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63B9A" w14:paraId="799261B9" w14:textId="77777777" w:rsidTr="00B6553F">
        <w:trPr>
          <w:cantSplit/>
          <w:trHeight w:hRule="exact" w:val="851"/>
        </w:trPr>
        <w:tc>
          <w:tcPr>
            <w:tcW w:w="1276" w:type="dxa"/>
            <w:tcBorders>
              <w:bottom w:val="single" w:sz="4" w:space="0" w:color="auto"/>
            </w:tcBorders>
            <w:vAlign w:val="bottom"/>
          </w:tcPr>
          <w:p w14:paraId="5A81706B" w14:textId="77777777" w:rsidR="00B56E9C" w:rsidRPr="004A485F" w:rsidRDefault="00B56E9C" w:rsidP="004A485F">
            <w:pPr>
              <w:spacing w:line="20" w:lineRule="exact"/>
              <w:rPr>
                <w:sz w:val="2"/>
              </w:rPr>
            </w:pPr>
            <w:bookmarkStart w:id="0" w:name="_GoBack"/>
            <w:bookmarkEnd w:id="0"/>
          </w:p>
          <w:p w14:paraId="277CD9F8" w14:textId="65D293EA" w:rsidR="004A485F" w:rsidRDefault="004A485F" w:rsidP="00B6553F">
            <w:pPr>
              <w:spacing w:after="80"/>
            </w:pPr>
          </w:p>
        </w:tc>
        <w:tc>
          <w:tcPr>
            <w:tcW w:w="2268" w:type="dxa"/>
            <w:tcBorders>
              <w:bottom w:val="single" w:sz="4" w:space="0" w:color="auto"/>
            </w:tcBorders>
            <w:vAlign w:val="bottom"/>
          </w:tcPr>
          <w:p w14:paraId="7BC2BEDB" w14:textId="77777777" w:rsidR="00B56E9C" w:rsidRPr="00463B9A" w:rsidRDefault="00B56E9C" w:rsidP="00B6553F">
            <w:pPr>
              <w:spacing w:after="80" w:line="300" w:lineRule="exact"/>
              <w:rPr>
                <w:b/>
                <w:sz w:val="24"/>
                <w:szCs w:val="24"/>
              </w:rPr>
            </w:pPr>
            <w:r w:rsidRPr="00463B9A">
              <w:rPr>
                <w:sz w:val="28"/>
                <w:szCs w:val="28"/>
              </w:rPr>
              <w:t>United Nations</w:t>
            </w:r>
          </w:p>
        </w:tc>
        <w:tc>
          <w:tcPr>
            <w:tcW w:w="6095" w:type="dxa"/>
            <w:gridSpan w:val="2"/>
            <w:tcBorders>
              <w:bottom w:val="single" w:sz="4" w:space="0" w:color="auto"/>
            </w:tcBorders>
            <w:vAlign w:val="bottom"/>
          </w:tcPr>
          <w:p w14:paraId="7920C780" w14:textId="25910494" w:rsidR="00B56E9C" w:rsidRPr="00463B9A" w:rsidRDefault="00A40224" w:rsidP="005572C7">
            <w:pPr>
              <w:jc w:val="right"/>
            </w:pPr>
            <w:r w:rsidRPr="00463B9A">
              <w:rPr>
                <w:sz w:val="40"/>
              </w:rPr>
              <w:t>CCPR</w:t>
            </w:r>
            <w:r w:rsidR="009F01D7" w:rsidRPr="00463B9A">
              <w:t>/C/116</w:t>
            </w:r>
            <w:r w:rsidRPr="00463B9A">
              <w:t>/D/2</w:t>
            </w:r>
            <w:r w:rsidR="009F01D7" w:rsidRPr="00463B9A">
              <w:t>327/</w:t>
            </w:r>
            <w:r w:rsidRPr="00463B9A">
              <w:t>2014</w:t>
            </w:r>
          </w:p>
        </w:tc>
      </w:tr>
      <w:tr w:rsidR="00B56E9C" w:rsidRPr="00463B9A" w14:paraId="2FD89F4F" w14:textId="77777777" w:rsidTr="00B6553F">
        <w:trPr>
          <w:cantSplit/>
          <w:trHeight w:hRule="exact" w:val="2835"/>
        </w:trPr>
        <w:tc>
          <w:tcPr>
            <w:tcW w:w="1276" w:type="dxa"/>
            <w:tcBorders>
              <w:top w:val="single" w:sz="4" w:space="0" w:color="auto"/>
              <w:bottom w:val="single" w:sz="12" w:space="0" w:color="auto"/>
            </w:tcBorders>
          </w:tcPr>
          <w:p w14:paraId="7FBBE985" w14:textId="45B42629" w:rsidR="00B56E9C" w:rsidRPr="00463B9A" w:rsidRDefault="00A40224" w:rsidP="00B6553F">
            <w:pPr>
              <w:spacing w:before="120"/>
            </w:pPr>
            <w:r w:rsidRPr="00463B9A">
              <w:rPr>
                <w:noProof/>
                <w:lang w:eastAsia="en-GB"/>
              </w:rPr>
              <w:drawing>
                <wp:inline distT="0" distB="0" distL="0" distR="0" wp14:anchorId="7A8476A6" wp14:editId="46C8AF72">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FA8222" w14:textId="58E576B6" w:rsidR="00754BCB" w:rsidRPr="00926918" w:rsidRDefault="00B56E9C" w:rsidP="00267F5F">
            <w:pPr>
              <w:spacing w:before="120" w:line="380" w:lineRule="exact"/>
              <w:rPr>
                <w:b/>
                <w:sz w:val="34"/>
                <w:szCs w:val="40"/>
              </w:rPr>
            </w:pPr>
            <w:r w:rsidRPr="00463B9A">
              <w:rPr>
                <w:b/>
                <w:sz w:val="34"/>
                <w:szCs w:val="40"/>
              </w:rPr>
              <w:t xml:space="preserve">International </w:t>
            </w:r>
            <w:r w:rsidR="00060C3A" w:rsidRPr="00463B9A">
              <w:rPr>
                <w:b/>
                <w:sz w:val="34"/>
                <w:szCs w:val="40"/>
              </w:rPr>
              <w:t>Covenant on</w:t>
            </w:r>
            <w:r w:rsidR="00060C3A" w:rsidRPr="00463B9A">
              <w:rPr>
                <w:b/>
                <w:sz w:val="34"/>
                <w:szCs w:val="40"/>
              </w:rPr>
              <w:br/>
              <w:t>Civil and Political R</w:t>
            </w:r>
            <w:r w:rsidR="00703577" w:rsidRPr="00463B9A">
              <w:rPr>
                <w:b/>
                <w:sz w:val="34"/>
                <w:szCs w:val="40"/>
              </w:rPr>
              <w:t>ights</w:t>
            </w:r>
          </w:p>
        </w:tc>
        <w:tc>
          <w:tcPr>
            <w:tcW w:w="2835" w:type="dxa"/>
            <w:tcBorders>
              <w:top w:val="single" w:sz="4" w:space="0" w:color="auto"/>
              <w:bottom w:val="single" w:sz="12" w:space="0" w:color="auto"/>
            </w:tcBorders>
          </w:tcPr>
          <w:p w14:paraId="68E97A89" w14:textId="4FFA83E5" w:rsidR="00A40224" w:rsidRPr="00463B9A" w:rsidRDefault="00A40224" w:rsidP="0018408B">
            <w:pPr>
              <w:spacing w:before="240" w:line="240" w:lineRule="exact"/>
            </w:pPr>
            <w:r w:rsidRPr="00463B9A">
              <w:t xml:space="preserve">Distr.: </w:t>
            </w:r>
            <w:r w:rsidR="00754080">
              <w:t>General</w:t>
            </w:r>
            <w:r w:rsidR="00873AAD">
              <w:t>3</w:t>
            </w:r>
            <w:r w:rsidR="00184458">
              <w:t xml:space="preserve"> </w:t>
            </w:r>
            <w:r w:rsidR="007A7B70">
              <w:t>May</w:t>
            </w:r>
            <w:r w:rsidR="005572C7">
              <w:t xml:space="preserve"> 2016</w:t>
            </w:r>
          </w:p>
          <w:p w14:paraId="600EC00C" w14:textId="77777777" w:rsidR="00A40224" w:rsidRPr="00463B9A" w:rsidRDefault="00A40224" w:rsidP="00A40224">
            <w:pPr>
              <w:spacing w:line="240" w:lineRule="exact"/>
            </w:pPr>
          </w:p>
          <w:p w14:paraId="30EA63E0" w14:textId="77777777" w:rsidR="00A40224" w:rsidRPr="00463B9A" w:rsidRDefault="00A40224" w:rsidP="00A40224">
            <w:pPr>
              <w:spacing w:line="240" w:lineRule="exact"/>
            </w:pPr>
            <w:r w:rsidRPr="00463B9A">
              <w:t>Original: English</w:t>
            </w:r>
          </w:p>
          <w:p w14:paraId="2B066836" w14:textId="0E0BBE18" w:rsidR="00A40224" w:rsidRPr="00463B9A" w:rsidRDefault="00A40224" w:rsidP="00A40224">
            <w:pPr>
              <w:spacing w:line="240" w:lineRule="exact"/>
            </w:pPr>
          </w:p>
        </w:tc>
      </w:tr>
    </w:tbl>
    <w:p w14:paraId="7A417CCD" w14:textId="5EC31192" w:rsidR="0018408B" w:rsidRPr="00463B9A" w:rsidRDefault="00A40224" w:rsidP="0018408B">
      <w:pPr>
        <w:spacing w:before="120"/>
        <w:rPr>
          <w:b/>
          <w:sz w:val="24"/>
          <w:szCs w:val="24"/>
        </w:rPr>
      </w:pPr>
      <w:r w:rsidRPr="00463B9A">
        <w:rPr>
          <w:b/>
          <w:sz w:val="24"/>
          <w:szCs w:val="24"/>
        </w:rPr>
        <w:t>Human Rights Committee</w:t>
      </w:r>
    </w:p>
    <w:p w14:paraId="567277F8" w14:textId="0D9B433F" w:rsidR="00A40224" w:rsidRPr="00463B9A" w:rsidRDefault="00A40224" w:rsidP="003826E8">
      <w:pPr>
        <w:pStyle w:val="HChG"/>
      </w:pPr>
      <w:r w:rsidRPr="00463B9A">
        <w:tab/>
      </w:r>
      <w:r w:rsidRPr="00463B9A">
        <w:tab/>
      </w:r>
      <w:r w:rsidR="00686139" w:rsidRPr="00686139">
        <w:t>Views adopted by the Committee under article 5 (4) of the Optional Protocol, concerning communication No.</w:t>
      </w:r>
      <w:r w:rsidR="00D72F15">
        <w:t> </w:t>
      </w:r>
      <w:r w:rsidR="00686139" w:rsidRPr="00686139">
        <w:t>2</w:t>
      </w:r>
      <w:r w:rsidR="00686139">
        <w:t>327</w:t>
      </w:r>
      <w:r w:rsidR="00686139" w:rsidRPr="00686139">
        <w:t>/2014</w:t>
      </w:r>
      <w:r w:rsidR="00686139" w:rsidRPr="00F52435">
        <w:rPr>
          <w:rStyle w:val="FootnoteReference"/>
          <w:b w:val="0"/>
          <w:sz w:val="20"/>
          <w:vertAlign w:val="baseline"/>
        </w:rPr>
        <w:footnoteReference w:customMarkFollows="1" w:id="2"/>
        <w:t>*</w:t>
      </w:r>
      <w:r w:rsidR="00954071" w:rsidRPr="003826E8">
        <w:rPr>
          <w:rStyle w:val="FootnoteReference"/>
          <w:b w:val="0"/>
          <w:bCs/>
          <w:position w:val="4"/>
          <w:sz w:val="20"/>
          <w:vertAlign w:val="baseline"/>
        </w:rPr>
        <w:t>,</w:t>
      </w:r>
      <w:r w:rsidR="00686139" w:rsidRPr="003826E8">
        <w:rPr>
          <w:rStyle w:val="FootnoteReference"/>
          <w:sz w:val="20"/>
          <w:vertAlign w:val="baseline"/>
        </w:rPr>
        <w:t xml:space="preserve"> </w:t>
      </w:r>
      <w:r w:rsidR="00686139" w:rsidRPr="00F52435">
        <w:rPr>
          <w:rStyle w:val="FootnoteReference"/>
          <w:b w:val="0"/>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A40224" w:rsidRPr="00463B9A" w14:paraId="616E64D8" w14:textId="77777777" w:rsidTr="003826E8">
        <w:tc>
          <w:tcPr>
            <w:tcW w:w="3402" w:type="dxa"/>
            <w:shd w:val="clear" w:color="auto" w:fill="auto"/>
          </w:tcPr>
          <w:p w14:paraId="007147A1" w14:textId="186F7F43" w:rsidR="00A40224" w:rsidRPr="00463B9A" w:rsidRDefault="00716E94" w:rsidP="003826E8">
            <w:pPr>
              <w:pStyle w:val="SingleTxtG"/>
              <w:ind w:left="0" w:right="0"/>
              <w:jc w:val="left"/>
              <w:rPr>
                <w:i/>
              </w:rPr>
            </w:pPr>
            <w:r>
              <w:rPr>
                <w:i/>
              </w:rPr>
              <w:t>Communication s</w:t>
            </w:r>
            <w:r w:rsidR="00A40224" w:rsidRPr="00463B9A">
              <w:rPr>
                <w:i/>
              </w:rPr>
              <w:t>ubmitted by:</w:t>
            </w:r>
          </w:p>
        </w:tc>
        <w:tc>
          <w:tcPr>
            <w:tcW w:w="3969" w:type="dxa"/>
            <w:shd w:val="clear" w:color="auto" w:fill="auto"/>
          </w:tcPr>
          <w:p w14:paraId="14D5997F" w14:textId="77777777" w:rsidR="00A40224" w:rsidRPr="00463B9A" w:rsidRDefault="009F01D7" w:rsidP="003826E8">
            <w:pPr>
              <w:spacing w:after="120"/>
            </w:pPr>
            <w:r w:rsidRPr="00463B9A">
              <w:t>Y</w:t>
            </w:r>
            <w:r w:rsidR="00A40224" w:rsidRPr="00463B9A">
              <w:t xml:space="preserve"> (represented by</w:t>
            </w:r>
            <w:r w:rsidRPr="00463B9A">
              <w:t xml:space="preserve"> counsel, Joseph W. Allen</w:t>
            </w:r>
            <w:r w:rsidR="00A40224" w:rsidRPr="00463B9A">
              <w:t>)</w:t>
            </w:r>
          </w:p>
        </w:tc>
      </w:tr>
      <w:tr w:rsidR="00A40224" w:rsidRPr="00463B9A" w14:paraId="536A1BB2" w14:textId="77777777" w:rsidTr="003826E8">
        <w:tc>
          <w:tcPr>
            <w:tcW w:w="3402" w:type="dxa"/>
            <w:shd w:val="clear" w:color="auto" w:fill="auto"/>
          </w:tcPr>
          <w:p w14:paraId="631F914A" w14:textId="77777777" w:rsidR="00A40224" w:rsidRPr="00463B9A" w:rsidRDefault="00A40224" w:rsidP="003826E8">
            <w:pPr>
              <w:pStyle w:val="SingleTxtG"/>
              <w:ind w:left="0" w:right="0"/>
              <w:jc w:val="left"/>
              <w:rPr>
                <w:i/>
              </w:rPr>
            </w:pPr>
            <w:r w:rsidRPr="00463B9A">
              <w:rPr>
                <w:i/>
              </w:rPr>
              <w:t>Alleged victim:</w:t>
            </w:r>
          </w:p>
        </w:tc>
        <w:tc>
          <w:tcPr>
            <w:tcW w:w="3969" w:type="dxa"/>
            <w:shd w:val="clear" w:color="auto" w:fill="auto"/>
          </w:tcPr>
          <w:p w14:paraId="4D15ABBC" w14:textId="77777777" w:rsidR="00A40224" w:rsidRPr="00463B9A" w:rsidRDefault="009F01D7" w:rsidP="003826E8">
            <w:pPr>
              <w:pStyle w:val="SingleTxtG"/>
              <w:ind w:left="0" w:right="0"/>
              <w:jc w:val="left"/>
            </w:pPr>
            <w:r w:rsidRPr="00463B9A">
              <w:t>Y</w:t>
            </w:r>
          </w:p>
        </w:tc>
      </w:tr>
      <w:tr w:rsidR="00A40224" w:rsidRPr="00463B9A" w14:paraId="048CD3BD" w14:textId="77777777" w:rsidTr="003826E8">
        <w:tc>
          <w:tcPr>
            <w:tcW w:w="3402" w:type="dxa"/>
            <w:shd w:val="clear" w:color="auto" w:fill="auto"/>
          </w:tcPr>
          <w:p w14:paraId="28B551AF" w14:textId="77777777" w:rsidR="00A40224" w:rsidRPr="00463B9A" w:rsidRDefault="00A40224" w:rsidP="003826E8">
            <w:pPr>
              <w:pStyle w:val="SingleTxtG"/>
              <w:ind w:left="0" w:right="0"/>
              <w:jc w:val="left"/>
              <w:rPr>
                <w:i/>
              </w:rPr>
            </w:pPr>
            <w:r w:rsidRPr="00463B9A">
              <w:rPr>
                <w:i/>
              </w:rPr>
              <w:t>State party:</w:t>
            </w:r>
          </w:p>
        </w:tc>
        <w:tc>
          <w:tcPr>
            <w:tcW w:w="3969" w:type="dxa"/>
            <w:shd w:val="clear" w:color="auto" w:fill="auto"/>
          </w:tcPr>
          <w:p w14:paraId="4F0B6E21" w14:textId="77777777" w:rsidR="00A40224" w:rsidRPr="00463B9A" w:rsidRDefault="009F01D7" w:rsidP="003826E8">
            <w:pPr>
              <w:pStyle w:val="SingleTxtG"/>
              <w:ind w:left="0" w:right="0"/>
              <w:jc w:val="left"/>
            </w:pPr>
            <w:r w:rsidRPr="00463B9A">
              <w:t>Canada</w:t>
            </w:r>
          </w:p>
        </w:tc>
      </w:tr>
      <w:tr w:rsidR="00A40224" w:rsidRPr="00463B9A" w14:paraId="2A558534" w14:textId="77777777" w:rsidTr="003826E8">
        <w:tc>
          <w:tcPr>
            <w:tcW w:w="3402" w:type="dxa"/>
            <w:shd w:val="clear" w:color="auto" w:fill="auto"/>
          </w:tcPr>
          <w:p w14:paraId="29A3B4C8" w14:textId="77777777" w:rsidR="00A40224" w:rsidRPr="00463B9A" w:rsidRDefault="00A40224" w:rsidP="003826E8">
            <w:pPr>
              <w:pStyle w:val="SingleTxtG"/>
              <w:ind w:left="0" w:right="0"/>
              <w:jc w:val="left"/>
              <w:rPr>
                <w:i/>
              </w:rPr>
            </w:pPr>
            <w:r w:rsidRPr="00463B9A">
              <w:rPr>
                <w:i/>
              </w:rPr>
              <w:t>Date of communication:</w:t>
            </w:r>
          </w:p>
        </w:tc>
        <w:tc>
          <w:tcPr>
            <w:tcW w:w="3969" w:type="dxa"/>
            <w:shd w:val="clear" w:color="auto" w:fill="auto"/>
          </w:tcPr>
          <w:p w14:paraId="085B1C33" w14:textId="77777777" w:rsidR="00A40224" w:rsidRPr="00463B9A" w:rsidRDefault="009F01D7" w:rsidP="003826E8">
            <w:pPr>
              <w:spacing w:after="120"/>
            </w:pPr>
            <w:r w:rsidRPr="00463B9A">
              <w:t>31 October 2013</w:t>
            </w:r>
            <w:r w:rsidR="00A40224" w:rsidRPr="00463B9A">
              <w:t xml:space="preserve"> (initial submission)</w:t>
            </w:r>
          </w:p>
        </w:tc>
      </w:tr>
      <w:tr w:rsidR="00A40224" w:rsidRPr="00463B9A" w14:paraId="1AEEF06C" w14:textId="77777777" w:rsidTr="003826E8">
        <w:tc>
          <w:tcPr>
            <w:tcW w:w="3402" w:type="dxa"/>
            <w:shd w:val="clear" w:color="auto" w:fill="auto"/>
          </w:tcPr>
          <w:p w14:paraId="2DE3E9F8" w14:textId="77777777" w:rsidR="00A40224" w:rsidRPr="00463B9A" w:rsidRDefault="00A40224" w:rsidP="003826E8">
            <w:pPr>
              <w:pStyle w:val="SingleTxtG"/>
              <w:ind w:left="0" w:right="0"/>
              <w:jc w:val="left"/>
              <w:rPr>
                <w:i/>
              </w:rPr>
            </w:pPr>
            <w:r w:rsidRPr="00463B9A">
              <w:rPr>
                <w:i/>
              </w:rPr>
              <w:t>Document references:</w:t>
            </w:r>
          </w:p>
        </w:tc>
        <w:tc>
          <w:tcPr>
            <w:tcW w:w="3969" w:type="dxa"/>
            <w:shd w:val="clear" w:color="auto" w:fill="auto"/>
          </w:tcPr>
          <w:p w14:paraId="06919ADE" w14:textId="1DE296F6" w:rsidR="009F01D7" w:rsidRPr="00463B9A" w:rsidRDefault="00686139" w:rsidP="003826E8">
            <w:pPr>
              <w:spacing w:after="120"/>
            </w:pPr>
            <w:r w:rsidRPr="00686139">
              <w:t>Decision taken pursuant to</w:t>
            </w:r>
            <w:r w:rsidR="00342A76" w:rsidRPr="00463B9A">
              <w:t xml:space="preserve"> </w:t>
            </w:r>
            <w:r w:rsidR="00A40224" w:rsidRPr="00463B9A">
              <w:t>rules 92 and 97</w:t>
            </w:r>
            <w:r w:rsidR="00A50747">
              <w:t xml:space="preserve"> of the Committee’s rules of procedure</w:t>
            </w:r>
            <w:r w:rsidR="00A40224" w:rsidRPr="00463B9A">
              <w:t xml:space="preserve">, transmitted to the State party on </w:t>
            </w:r>
            <w:r w:rsidR="009F01D7" w:rsidRPr="00463B9A">
              <w:t>7 January 2014</w:t>
            </w:r>
            <w:r w:rsidR="00A40224" w:rsidRPr="00463B9A">
              <w:t xml:space="preserve"> (not issued in document form)</w:t>
            </w:r>
          </w:p>
        </w:tc>
      </w:tr>
      <w:tr w:rsidR="00A40224" w:rsidRPr="00463B9A" w14:paraId="112B1F43" w14:textId="77777777" w:rsidTr="003826E8">
        <w:tc>
          <w:tcPr>
            <w:tcW w:w="3402" w:type="dxa"/>
            <w:shd w:val="clear" w:color="auto" w:fill="auto"/>
          </w:tcPr>
          <w:p w14:paraId="5B8A146F" w14:textId="77777777" w:rsidR="00A40224" w:rsidRPr="00463B9A" w:rsidRDefault="00A40224" w:rsidP="003826E8">
            <w:pPr>
              <w:pStyle w:val="SingleTxtG"/>
              <w:ind w:left="0" w:right="0"/>
              <w:jc w:val="left"/>
              <w:rPr>
                <w:i/>
              </w:rPr>
            </w:pPr>
            <w:r w:rsidRPr="00463B9A">
              <w:rPr>
                <w:i/>
              </w:rPr>
              <w:t>Date of adoption of Views:</w:t>
            </w:r>
          </w:p>
        </w:tc>
        <w:tc>
          <w:tcPr>
            <w:tcW w:w="3969" w:type="dxa"/>
            <w:shd w:val="clear" w:color="auto" w:fill="auto"/>
            <w:vAlign w:val="bottom"/>
          </w:tcPr>
          <w:p w14:paraId="5B3EBED0" w14:textId="06250D3E" w:rsidR="00A40224" w:rsidRPr="00463B9A" w:rsidRDefault="00754080" w:rsidP="003826E8">
            <w:pPr>
              <w:pStyle w:val="SingleTxtG"/>
              <w:ind w:left="0" w:right="0"/>
              <w:jc w:val="left"/>
            </w:pPr>
            <w:r>
              <w:t xml:space="preserve">10 </w:t>
            </w:r>
            <w:r w:rsidR="00E20C09">
              <w:t>March</w:t>
            </w:r>
            <w:r w:rsidR="00A40224" w:rsidRPr="00463B9A">
              <w:t xml:space="preserve"> </w:t>
            </w:r>
            <w:r w:rsidR="009F01D7" w:rsidRPr="00463B9A">
              <w:t>2016</w:t>
            </w:r>
          </w:p>
        </w:tc>
      </w:tr>
      <w:tr w:rsidR="00A40224" w:rsidRPr="00463B9A" w14:paraId="1AEDFF93" w14:textId="77777777" w:rsidTr="003826E8">
        <w:tc>
          <w:tcPr>
            <w:tcW w:w="3402" w:type="dxa"/>
            <w:shd w:val="clear" w:color="auto" w:fill="auto"/>
          </w:tcPr>
          <w:p w14:paraId="43C828C5" w14:textId="5679AC5C" w:rsidR="00A40224" w:rsidRPr="00463B9A" w:rsidRDefault="00A40224" w:rsidP="003826E8">
            <w:pPr>
              <w:pStyle w:val="SingleTxtG"/>
              <w:ind w:left="0" w:right="0"/>
              <w:jc w:val="left"/>
            </w:pPr>
            <w:r w:rsidRPr="00463B9A">
              <w:rPr>
                <w:i/>
                <w:iCs/>
              </w:rPr>
              <w:t>Subject matter:</w:t>
            </w:r>
          </w:p>
        </w:tc>
        <w:tc>
          <w:tcPr>
            <w:tcW w:w="3969" w:type="dxa"/>
            <w:shd w:val="clear" w:color="auto" w:fill="auto"/>
          </w:tcPr>
          <w:p w14:paraId="70D0F258" w14:textId="77777777" w:rsidR="00A40224" w:rsidRPr="00463B9A" w:rsidRDefault="00A40224" w:rsidP="003826E8">
            <w:pPr>
              <w:spacing w:after="120"/>
            </w:pPr>
            <w:r w:rsidRPr="00463B9A">
              <w:t xml:space="preserve">Deportation of author to </w:t>
            </w:r>
            <w:r w:rsidR="009F01D7" w:rsidRPr="00463B9A">
              <w:t>Bangladesh</w:t>
            </w:r>
          </w:p>
        </w:tc>
      </w:tr>
      <w:tr w:rsidR="00A40224" w:rsidRPr="00463B9A" w14:paraId="33B4B8A1" w14:textId="77777777" w:rsidTr="003826E8">
        <w:tc>
          <w:tcPr>
            <w:tcW w:w="3402" w:type="dxa"/>
            <w:shd w:val="clear" w:color="auto" w:fill="auto"/>
          </w:tcPr>
          <w:p w14:paraId="37726991" w14:textId="77777777" w:rsidR="00A40224" w:rsidRPr="00463B9A" w:rsidRDefault="00A40224" w:rsidP="003826E8">
            <w:pPr>
              <w:pStyle w:val="SingleTxtG"/>
              <w:ind w:left="0" w:right="0"/>
              <w:jc w:val="left"/>
              <w:rPr>
                <w:i/>
                <w:iCs/>
              </w:rPr>
            </w:pPr>
            <w:r w:rsidRPr="00463B9A">
              <w:rPr>
                <w:i/>
                <w:iCs/>
              </w:rPr>
              <w:t>Procedural issues</w:t>
            </w:r>
            <w:r w:rsidRPr="00463B9A">
              <w:rPr>
                <w:i/>
              </w:rPr>
              <w:t>:</w:t>
            </w:r>
          </w:p>
        </w:tc>
        <w:tc>
          <w:tcPr>
            <w:tcW w:w="3969" w:type="dxa"/>
            <w:shd w:val="clear" w:color="auto" w:fill="auto"/>
          </w:tcPr>
          <w:p w14:paraId="70B6E67A" w14:textId="14D61F0A" w:rsidR="009F01D7" w:rsidRPr="00463B9A" w:rsidRDefault="002872B9" w:rsidP="003826E8">
            <w:pPr>
              <w:spacing w:after="120"/>
            </w:pPr>
            <w:r w:rsidRPr="00463B9A">
              <w:t xml:space="preserve">Admissibility – exhaustion of domestic remedies; </w:t>
            </w:r>
            <w:r w:rsidR="00D975D1" w:rsidRPr="00463B9A">
              <w:t xml:space="preserve">admissibility – manifestly ill-founded; admissibility – </w:t>
            </w:r>
            <w:proofErr w:type="spellStart"/>
            <w:r w:rsidR="00D975D1" w:rsidRPr="00463B9A">
              <w:rPr>
                <w:i/>
              </w:rPr>
              <w:t>ratione</w:t>
            </w:r>
            <w:proofErr w:type="spellEnd"/>
            <w:r w:rsidR="00D975D1" w:rsidRPr="00463B9A">
              <w:rPr>
                <w:i/>
              </w:rPr>
              <w:t xml:space="preserve"> </w:t>
            </w:r>
            <w:proofErr w:type="spellStart"/>
            <w:r w:rsidR="00D975D1" w:rsidRPr="00463B9A">
              <w:rPr>
                <w:i/>
              </w:rPr>
              <w:t>materiae</w:t>
            </w:r>
            <w:proofErr w:type="spellEnd"/>
            <w:r w:rsidR="00D975D1" w:rsidRPr="00463B9A">
              <w:t xml:space="preserve">; </w:t>
            </w:r>
            <w:r w:rsidRPr="00463B9A">
              <w:t>a</w:t>
            </w:r>
            <w:r w:rsidR="00D975D1" w:rsidRPr="00463B9A">
              <w:t>dmissibility – victim status</w:t>
            </w:r>
          </w:p>
        </w:tc>
      </w:tr>
      <w:tr w:rsidR="00A40224" w:rsidRPr="00463B9A" w14:paraId="6857AFDD" w14:textId="77777777" w:rsidTr="003826E8">
        <w:tc>
          <w:tcPr>
            <w:tcW w:w="3402" w:type="dxa"/>
            <w:shd w:val="clear" w:color="auto" w:fill="auto"/>
          </w:tcPr>
          <w:p w14:paraId="371BB7F4" w14:textId="77777777" w:rsidR="00A40224" w:rsidRPr="00463B9A" w:rsidRDefault="00A40224" w:rsidP="003826E8">
            <w:pPr>
              <w:pStyle w:val="SingleTxtG"/>
              <w:ind w:left="0" w:right="0"/>
              <w:jc w:val="left"/>
              <w:rPr>
                <w:i/>
                <w:iCs/>
              </w:rPr>
            </w:pPr>
            <w:r w:rsidRPr="00463B9A">
              <w:rPr>
                <w:i/>
                <w:iCs/>
              </w:rPr>
              <w:t>Substantive issues:</w:t>
            </w:r>
          </w:p>
        </w:tc>
        <w:tc>
          <w:tcPr>
            <w:tcW w:w="3969" w:type="dxa"/>
            <w:shd w:val="clear" w:color="auto" w:fill="auto"/>
          </w:tcPr>
          <w:p w14:paraId="14CF1B51" w14:textId="651C3F73" w:rsidR="007D7097" w:rsidRPr="00463B9A" w:rsidRDefault="00217ED4" w:rsidP="003826E8">
            <w:pPr>
              <w:spacing w:after="120"/>
              <w:rPr>
                <w:lang w:val="en-US"/>
              </w:rPr>
            </w:pPr>
            <w:r w:rsidRPr="00463B9A">
              <w:rPr>
                <w:lang w:val="en-US"/>
              </w:rPr>
              <w:t>Arbitrary detention</w:t>
            </w:r>
            <w:r w:rsidR="00335D06" w:rsidRPr="00463B9A">
              <w:rPr>
                <w:lang w:val="en-US"/>
              </w:rPr>
              <w:t xml:space="preserve">; discrimination; </w:t>
            </w:r>
            <w:r w:rsidR="00335D06" w:rsidRPr="003826E8">
              <w:rPr>
                <w:lang w:val="en-US"/>
              </w:rPr>
              <w:t>n</w:t>
            </w:r>
            <w:r w:rsidR="00A40224" w:rsidRPr="003826E8">
              <w:rPr>
                <w:lang w:val="en-US"/>
              </w:rPr>
              <w:t>on-refoulement</w:t>
            </w:r>
            <w:r w:rsidR="00A40224" w:rsidRPr="008317F3">
              <w:rPr>
                <w:lang w:val="en-US"/>
              </w:rPr>
              <w:t>;</w:t>
            </w:r>
            <w:r w:rsidR="00A40224" w:rsidRPr="00463B9A">
              <w:rPr>
                <w:lang w:val="en-US"/>
              </w:rPr>
              <w:t xml:space="preserve"> refugee</w:t>
            </w:r>
            <w:r w:rsidR="002F3332">
              <w:rPr>
                <w:lang w:val="en-US"/>
              </w:rPr>
              <w:t xml:space="preserve"> status</w:t>
            </w:r>
            <w:r w:rsidR="00A40224" w:rsidRPr="00463B9A">
              <w:rPr>
                <w:lang w:val="en-US"/>
              </w:rPr>
              <w:t xml:space="preserve">; </w:t>
            </w:r>
            <w:r w:rsidRPr="00463B9A">
              <w:rPr>
                <w:lang w:val="en-US"/>
              </w:rPr>
              <w:t>right to life</w:t>
            </w:r>
            <w:r w:rsidR="007D7097" w:rsidRPr="00463B9A">
              <w:rPr>
                <w:lang w:val="en-US"/>
              </w:rPr>
              <w:t xml:space="preserve">; </w:t>
            </w:r>
            <w:r w:rsidR="00A40224" w:rsidRPr="00463B9A">
              <w:rPr>
                <w:lang w:val="en-US"/>
              </w:rPr>
              <w:t>torture</w:t>
            </w:r>
          </w:p>
        </w:tc>
      </w:tr>
      <w:tr w:rsidR="00A40224" w:rsidRPr="00463B9A" w14:paraId="218A9C15" w14:textId="77777777" w:rsidTr="003826E8">
        <w:tc>
          <w:tcPr>
            <w:tcW w:w="3402" w:type="dxa"/>
            <w:shd w:val="clear" w:color="auto" w:fill="auto"/>
          </w:tcPr>
          <w:p w14:paraId="0702AF65" w14:textId="77777777" w:rsidR="00A40224" w:rsidRPr="00463B9A" w:rsidRDefault="00A40224" w:rsidP="003826E8">
            <w:pPr>
              <w:pStyle w:val="SingleTxtG"/>
              <w:ind w:left="0" w:right="0"/>
              <w:jc w:val="left"/>
              <w:rPr>
                <w:i/>
                <w:iCs/>
              </w:rPr>
            </w:pPr>
            <w:r w:rsidRPr="00463B9A">
              <w:rPr>
                <w:i/>
                <w:iCs/>
              </w:rPr>
              <w:t>Articles of the Covenant</w:t>
            </w:r>
            <w:r w:rsidRPr="00463B9A">
              <w:rPr>
                <w:i/>
              </w:rPr>
              <w:t>:</w:t>
            </w:r>
          </w:p>
        </w:tc>
        <w:tc>
          <w:tcPr>
            <w:tcW w:w="3969" w:type="dxa"/>
            <w:shd w:val="clear" w:color="auto" w:fill="auto"/>
          </w:tcPr>
          <w:p w14:paraId="0D0F5DB5" w14:textId="07BB0309" w:rsidR="00A40224" w:rsidRPr="00463B9A" w:rsidRDefault="009F01D7" w:rsidP="003826E8">
            <w:pPr>
              <w:pStyle w:val="SingleTxtG"/>
              <w:ind w:left="0" w:right="0"/>
              <w:jc w:val="left"/>
            </w:pPr>
            <w:r w:rsidRPr="00463B9A">
              <w:t>6 (1), 7, 9 (1) and 26</w:t>
            </w:r>
          </w:p>
        </w:tc>
      </w:tr>
      <w:tr w:rsidR="00A40224" w:rsidRPr="00463B9A" w14:paraId="49F8C059" w14:textId="77777777" w:rsidTr="003826E8">
        <w:tc>
          <w:tcPr>
            <w:tcW w:w="3402" w:type="dxa"/>
            <w:shd w:val="clear" w:color="auto" w:fill="auto"/>
          </w:tcPr>
          <w:p w14:paraId="5D92955D" w14:textId="77777777" w:rsidR="00A40224" w:rsidRPr="00463B9A" w:rsidRDefault="00A40224" w:rsidP="003826E8">
            <w:pPr>
              <w:pStyle w:val="SingleTxtG"/>
              <w:ind w:left="0" w:right="0"/>
              <w:jc w:val="left"/>
              <w:rPr>
                <w:i/>
                <w:iCs/>
              </w:rPr>
            </w:pPr>
            <w:r w:rsidRPr="00463B9A">
              <w:rPr>
                <w:i/>
                <w:iCs/>
              </w:rPr>
              <w:t>Article</w:t>
            </w:r>
            <w:r w:rsidR="00C03875" w:rsidRPr="00463B9A">
              <w:rPr>
                <w:i/>
                <w:iCs/>
              </w:rPr>
              <w:t>s</w:t>
            </w:r>
            <w:r w:rsidRPr="00463B9A">
              <w:rPr>
                <w:i/>
                <w:iCs/>
              </w:rPr>
              <w:t xml:space="preserve"> of the Optional Protocol:</w:t>
            </w:r>
          </w:p>
        </w:tc>
        <w:tc>
          <w:tcPr>
            <w:tcW w:w="3969" w:type="dxa"/>
            <w:shd w:val="clear" w:color="auto" w:fill="auto"/>
          </w:tcPr>
          <w:p w14:paraId="5B78F26A" w14:textId="2C702518" w:rsidR="00A40224" w:rsidRPr="00463B9A" w:rsidRDefault="007D7097" w:rsidP="003826E8">
            <w:pPr>
              <w:pStyle w:val="SingleTxtG"/>
              <w:ind w:left="0" w:right="0"/>
              <w:jc w:val="left"/>
            </w:pPr>
            <w:r w:rsidRPr="00463B9A">
              <w:t xml:space="preserve">1, </w:t>
            </w:r>
            <w:r w:rsidR="00C03875" w:rsidRPr="00463B9A">
              <w:t>2</w:t>
            </w:r>
            <w:r w:rsidRPr="00463B9A">
              <w:t>, 3</w:t>
            </w:r>
            <w:r w:rsidR="00C03875" w:rsidRPr="00463B9A">
              <w:t xml:space="preserve"> and 5 (2)</w:t>
            </w:r>
            <w:r w:rsidR="008317F3">
              <w:t xml:space="preserve"> </w:t>
            </w:r>
            <w:r w:rsidR="00C03875" w:rsidRPr="00463B9A">
              <w:t>(b</w:t>
            </w:r>
            <w:r w:rsidR="00A40224" w:rsidRPr="00463B9A">
              <w:t>)</w:t>
            </w:r>
          </w:p>
        </w:tc>
      </w:tr>
    </w:tbl>
    <w:p w14:paraId="4FB765D0" w14:textId="7C85EE18" w:rsidR="00A40224" w:rsidRPr="00463B9A" w:rsidRDefault="0018408B" w:rsidP="00851C5A">
      <w:pPr>
        <w:pStyle w:val="SingleTxtG"/>
      </w:pPr>
      <w:r w:rsidRPr="0018408B">
        <w:rPr>
          <w:b/>
          <w:noProof/>
          <w:sz w:val="24"/>
          <w:szCs w:val="24"/>
          <w:lang w:eastAsia="en-GB"/>
        </w:rPr>
        <w:drawing>
          <wp:anchor distT="0" distB="0" distL="114300" distR="114300" simplePos="0" relativeHeight="251659264" behindDoc="0" locked="0" layoutInCell="1" allowOverlap="1" wp14:anchorId="135917DC" wp14:editId="7B75F562">
            <wp:simplePos x="0" y="0"/>
            <wp:positionH relativeFrom="margin">
              <wp:posOffset>4382770</wp:posOffset>
            </wp:positionH>
            <wp:positionV relativeFrom="margin">
              <wp:posOffset>8294040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A40224" w:rsidRPr="00463B9A">
        <w:tab/>
      </w:r>
    </w:p>
    <w:p w14:paraId="6D1003FE" w14:textId="60143AA8" w:rsidR="00A40224" w:rsidRPr="00463B9A" w:rsidRDefault="00A40224" w:rsidP="003826E8">
      <w:pPr>
        <w:pStyle w:val="SingleTxtG"/>
        <w:keepLines/>
      </w:pPr>
      <w:r w:rsidRPr="00463B9A">
        <w:lastRenderedPageBreak/>
        <w:t>1.1</w:t>
      </w:r>
      <w:r w:rsidRPr="00463B9A">
        <w:tab/>
        <w:t xml:space="preserve">The author of the communication is </w:t>
      </w:r>
      <w:r w:rsidR="00487D32" w:rsidRPr="00463B9A">
        <w:t>Y</w:t>
      </w:r>
      <w:r w:rsidRPr="00463B9A">
        <w:t>, a</w:t>
      </w:r>
      <w:r w:rsidR="00487D32" w:rsidRPr="00463B9A">
        <w:t xml:space="preserve"> </w:t>
      </w:r>
      <w:r w:rsidR="008317F3">
        <w:t xml:space="preserve">national of </w:t>
      </w:r>
      <w:r w:rsidR="00487D32" w:rsidRPr="00463B9A">
        <w:t>Bangladesh</w:t>
      </w:r>
      <w:r w:rsidRPr="00463B9A">
        <w:t xml:space="preserve"> born in </w:t>
      </w:r>
      <w:r w:rsidR="00487D32" w:rsidRPr="00463B9A">
        <w:t>1960</w:t>
      </w:r>
      <w:r w:rsidRPr="00463B9A">
        <w:t xml:space="preserve"> and currently residing in </w:t>
      </w:r>
      <w:r w:rsidR="00487D32" w:rsidRPr="00463B9A">
        <w:t>Canada</w:t>
      </w:r>
      <w:r w:rsidRPr="00463B9A">
        <w:t xml:space="preserve">. </w:t>
      </w:r>
      <w:r w:rsidR="00F472DB" w:rsidRPr="00463B9A">
        <w:t>She is</w:t>
      </w:r>
      <w:r w:rsidRPr="00463B9A">
        <w:t xml:space="preserve"> subject to deportation following the rejection of </w:t>
      </w:r>
      <w:r w:rsidR="00487D32" w:rsidRPr="00463B9A">
        <w:t>her</w:t>
      </w:r>
      <w:r w:rsidRPr="00463B9A">
        <w:t xml:space="preserve"> application for refugee status in </w:t>
      </w:r>
      <w:r w:rsidR="00487D32" w:rsidRPr="00463B9A">
        <w:t>Canada</w:t>
      </w:r>
      <w:r w:rsidRPr="00463B9A">
        <w:t xml:space="preserve">. </w:t>
      </w:r>
      <w:r w:rsidR="00487D32" w:rsidRPr="00463B9A">
        <w:t>Sh</w:t>
      </w:r>
      <w:r w:rsidRPr="00463B9A">
        <w:t xml:space="preserve">e asserts that by removing </w:t>
      </w:r>
      <w:r w:rsidR="00487D32" w:rsidRPr="00463B9A">
        <w:t>her</w:t>
      </w:r>
      <w:r w:rsidRPr="00463B9A">
        <w:t xml:space="preserve"> to </w:t>
      </w:r>
      <w:r w:rsidR="00487D32" w:rsidRPr="00463B9A">
        <w:t>Bangladesh</w:t>
      </w:r>
      <w:r w:rsidRPr="00463B9A">
        <w:t xml:space="preserve">, the State party would violate </w:t>
      </w:r>
      <w:r w:rsidR="00487D32" w:rsidRPr="00463B9A">
        <w:t>her</w:t>
      </w:r>
      <w:r w:rsidRPr="00463B9A">
        <w:t xml:space="preserve"> rights under articles </w:t>
      </w:r>
      <w:r w:rsidR="00487D32" w:rsidRPr="00463B9A">
        <w:t>6 (1), 7, 9 (1) and 26</w:t>
      </w:r>
      <w:r w:rsidRPr="00463B9A">
        <w:t xml:space="preserve"> of the Covenant. </w:t>
      </w:r>
      <w:r w:rsidR="00A95463" w:rsidRPr="00463B9A">
        <w:t xml:space="preserve">The Optional </w:t>
      </w:r>
      <w:r w:rsidR="00A95463" w:rsidRPr="00E20C09">
        <w:t>Protocol</w:t>
      </w:r>
      <w:r w:rsidR="00A95463" w:rsidRPr="00463B9A">
        <w:t xml:space="preserve"> to the Covenant entered into force for </w:t>
      </w:r>
      <w:r w:rsidR="00716E94">
        <w:t>the State party</w:t>
      </w:r>
      <w:r w:rsidR="00A95463" w:rsidRPr="00463B9A">
        <w:t xml:space="preserve"> on 19 August 1976.</w:t>
      </w:r>
      <w:r w:rsidR="00A95463">
        <w:t xml:space="preserve"> </w:t>
      </w:r>
      <w:r w:rsidR="00B818CC" w:rsidRPr="00463B9A">
        <w:t>The author</w:t>
      </w:r>
      <w:r w:rsidRPr="00463B9A">
        <w:t xml:space="preserve"> is represented by counsel, </w:t>
      </w:r>
      <w:r w:rsidR="00487D32" w:rsidRPr="00463B9A">
        <w:t>Joseph W. Allen.</w:t>
      </w:r>
      <w:r w:rsidR="000D24B8" w:rsidRPr="00463B9A">
        <w:rPr>
          <w:rStyle w:val="FootnoteReference"/>
        </w:rPr>
        <w:t xml:space="preserve"> </w:t>
      </w:r>
    </w:p>
    <w:p w14:paraId="1A761353" w14:textId="38BD9DB0" w:rsidR="00A40224" w:rsidRPr="00463B9A" w:rsidRDefault="00A40224" w:rsidP="00E20C09">
      <w:pPr>
        <w:pStyle w:val="SingleTxtG"/>
      </w:pPr>
      <w:r w:rsidRPr="00463B9A">
        <w:t>1.2</w:t>
      </w:r>
      <w:r w:rsidRPr="00463B9A">
        <w:tab/>
        <w:t xml:space="preserve">On </w:t>
      </w:r>
      <w:r w:rsidR="00487D32" w:rsidRPr="00463B9A">
        <w:t>7 January 2014</w:t>
      </w:r>
      <w:r w:rsidRPr="00463B9A">
        <w:t xml:space="preserve">, pursuant to rules 92 and 97 of its rules of procedure, the Committee, </w:t>
      </w:r>
      <w:r w:rsidRPr="00E20C09">
        <w:t>acting</w:t>
      </w:r>
      <w:r w:rsidRPr="00463B9A">
        <w:t xml:space="preserve"> through its Special Rapporteur on new communications and interim measures, requested </w:t>
      </w:r>
      <w:r w:rsidR="00B11633" w:rsidRPr="00463B9A">
        <w:t>the</w:t>
      </w:r>
      <w:r w:rsidRPr="00463B9A">
        <w:t xml:space="preserve"> State party </w:t>
      </w:r>
      <w:r w:rsidR="00B11633" w:rsidRPr="00463B9A">
        <w:t xml:space="preserve">to </w:t>
      </w:r>
      <w:r w:rsidR="00DE6747" w:rsidRPr="00463B9A">
        <w:t>refrain from removing</w:t>
      </w:r>
      <w:r w:rsidRPr="00463B9A">
        <w:t xml:space="preserve"> the author to </w:t>
      </w:r>
      <w:r w:rsidR="00487D32" w:rsidRPr="00463B9A">
        <w:t>Bangladesh</w:t>
      </w:r>
      <w:r w:rsidRPr="00463B9A">
        <w:t xml:space="preserve"> while the communication is under consideration by the Committee. On </w:t>
      </w:r>
      <w:r w:rsidR="001E59A2" w:rsidRPr="00463B9A">
        <w:t>10 September</w:t>
      </w:r>
      <w:r w:rsidRPr="00463B9A">
        <w:t xml:space="preserve"> 2015, the Committee denied the State party’s request to lift interim measures. The author remains in </w:t>
      </w:r>
      <w:r w:rsidR="00487D32" w:rsidRPr="00463B9A">
        <w:t>Canada</w:t>
      </w:r>
      <w:r w:rsidRPr="00463B9A">
        <w:t>.</w:t>
      </w:r>
      <w:r w:rsidR="00E20C09">
        <w:rPr>
          <w:rStyle w:val="FootnoteReference"/>
        </w:rPr>
        <w:t xml:space="preserve"> </w:t>
      </w:r>
    </w:p>
    <w:p w14:paraId="3ED007EE" w14:textId="77777777" w:rsidR="00152B67" w:rsidRPr="00463B9A" w:rsidRDefault="00152B67" w:rsidP="00152B67">
      <w:pPr>
        <w:pStyle w:val="SingleTxtG"/>
      </w:pPr>
      <w:r w:rsidRPr="00463B9A">
        <w:t>1.3</w:t>
      </w:r>
      <w:r w:rsidRPr="00463B9A">
        <w:tab/>
        <w:t>On 13 August 2014, the Committee denied the State party’s request to split the consideration of admissibility and the merits.</w:t>
      </w:r>
    </w:p>
    <w:p w14:paraId="4DCD18D1" w14:textId="031B204B" w:rsidR="00A40224" w:rsidRPr="00463B9A" w:rsidRDefault="00B61233" w:rsidP="00B61233">
      <w:pPr>
        <w:pStyle w:val="H23G"/>
      </w:pPr>
      <w:r w:rsidRPr="00463B9A">
        <w:tab/>
      </w:r>
      <w:r w:rsidRPr="00463B9A">
        <w:tab/>
      </w:r>
      <w:r w:rsidR="008317F3">
        <w:t>The f</w:t>
      </w:r>
      <w:r w:rsidR="00A40224" w:rsidRPr="00463B9A">
        <w:t>acts as presented by the author</w:t>
      </w:r>
      <w:r w:rsidR="00C33A2B" w:rsidRPr="00463B9A">
        <w:rPr>
          <w:rStyle w:val="FootnoteReference"/>
          <w:b w:val="0"/>
          <w:bCs/>
        </w:rPr>
        <w:t xml:space="preserve"> </w:t>
      </w:r>
    </w:p>
    <w:p w14:paraId="503DDE38" w14:textId="2D49AC0E" w:rsidR="00FB49C2" w:rsidRPr="00463B9A" w:rsidRDefault="00A40224" w:rsidP="000D24B8">
      <w:pPr>
        <w:pStyle w:val="SingleTxtG"/>
        <w:rPr>
          <w:lang w:val="en-US"/>
        </w:rPr>
      </w:pPr>
      <w:r w:rsidRPr="00463B9A">
        <w:rPr>
          <w:lang w:val="en-US"/>
        </w:rPr>
        <w:t>2.1</w:t>
      </w:r>
      <w:r w:rsidRPr="00463B9A">
        <w:rPr>
          <w:lang w:val="en-US"/>
        </w:rPr>
        <w:tab/>
      </w:r>
      <w:r w:rsidR="000D24B8" w:rsidRPr="00463B9A">
        <w:rPr>
          <w:lang w:val="en-US"/>
        </w:rPr>
        <w:t xml:space="preserve">The author </w:t>
      </w:r>
      <w:r w:rsidR="009419E5" w:rsidRPr="00463B9A">
        <w:rPr>
          <w:lang w:val="en-US"/>
        </w:rPr>
        <w:t>asserts</w:t>
      </w:r>
      <w:r w:rsidR="000D24B8" w:rsidRPr="00463B9A">
        <w:rPr>
          <w:lang w:val="en-US"/>
        </w:rPr>
        <w:t xml:space="preserve"> that her sister</w:t>
      </w:r>
      <w:r w:rsidR="00C75156" w:rsidRPr="00463B9A">
        <w:rPr>
          <w:lang w:val="en-US"/>
        </w:rPr>
        <w:t>,</w:t>
      </w:r>
      <w:r w:rsidR="000D24B8" w:rsidRPr="00463B9A">
        <w:rPr>
          <w:lang w:val="en-US"/>
        </w:rPr>
        <w:t xml:space="preserve"> </w:t>
      </w:r>
      <w:r w:rsidR="009E0905" w:rsidRPr="00463B9A">
        <w:rPr>
          <w:lang w:val="en-US"/>
        </w:rPr>
        <w:t>L.</w:t>
      </w:r>
      <w:r w:rsidR="00C75156" w:rsidRPr="00463B9A">
        <w:rPr>
          <w:lang w:val="en-US"/>
        </w:rPr>
        <w:t>,</w:t>
      </w:r>
      <w:r w:rsidR="002714BE" w:rsidRPr="00463B9A">
        <w:rPr>
          <w:lang w:val="en-US"/>
        </w:rPr>
        <w:t xml:space="preserve"> married a violent man, B., </w:t>
      </w:r>
      <w:r w:rsidR="009334ED" w:rsidRPr="00463B9A">
        <w:rPr>
          <w:lang w:val="en-US"/>
        </w:rPr>
        <w:t>in Bangladesh</w:t>
      </w:r>
      <w:r w:rsidR="00415D20" w:rsidRPr="00463B9A">
        <w:rPr>
          <w:lang w:val="en-US"/>
        </w:rPr>
        <w:t>.</w:t>
      </w:r>
      <w:r w:rsidR="00E51DBA" w:rsidRPr="00463B9A">
        <w:rPr>
          <w:vertAlign w:val="superscript"/>
          <w:lang w:val="en-US"/>
        </w:rPr>
        <w:t xml:space="preserve"> </w:t>
      </w:r>
      <w:r w:rsidR="008317F3">
        <w:rPr>
          <w:lang w:val="en-US"/>
        </w:rPr>
        <w:t>Owing</w:t>
      </w:r>
      <w:r w:rsidR="008317F3" w:rsidRPr="00463B9A">
        <w:rPr>
          <w:lang w:val="en-US"/>
        </w:rPr>
        <w:t xml:space="preserve"> </w:t>
      </w:r>
      <w:r w:rsidR="0069148B" w:rsidRPr="00463B9A">
        <w:rPr>
          <w:lang w:val="en-US"/>
        </w:rPr>
        <w:t xml:space="preserve">to B.’s abusive and violent </w:t>
      </w:r>
      <w:proofErr w:type="spellStart"/>
      <w:r w:rsidR="0069148B" w:rsidRPr="00463B9A">
        <w:rPr>
          <w:lang w:val="en-US"/>
        </w:rPr>
        <w:t>behavio</w:t>
      </w:r>
      <w:r w:rsidR="008317F3">
        <w:rPr>
          <w:lang w:val="en-US"/>
        </w:rPr>
        <w:t>u</w:t>
      </w:r>
      <w:r w:rsidR="0069148B" w:rsidRPr="00463B9A">
        <w:rPr>
          <w:lang w:val="en-US"/>
        </w:rPr>
        <w:t>r</w:t>
      </w:r>
      <w:proofErr w:type="spellEnd"/>
      <w:r w:rsidR="0069148B" w:rsidRPr="00463B9A">
        <w:rPr>
          <w:lang w:val="en-US"/>
        </w:rPr>
        <w:t>, L</w:t>
      </w:r>
      <w:r w:rsidR="009E0905" w:rsidRPr="00463B9A">
        <w:rPr>
          <w:lang w:val="en-US"/>
        </w:rPr>
        <w:t>.</w:t>
      </w:r>
      <w:r w:rsidR="000D24B8" w:rsidRPr="00463B9A">
        <w:rPr>
          <w:lang w:val="en-US"/>
        </w:rPr>
        <w:t xml:space="preserve"> filed for divorce</w:t>
      </w:r>
      <w:r w:rsidR="0069148B" w:rsidRPr="00463B9A">
        <w:rPr>
          <w:lang w:val="en-US"/>
        </w:rPr>
        <w:t xml:space="preserve"> and </w:t>
      </w:r>
      <w:r w:rsidR="000D24B8" w:rsidRPr="00463B9A">
        <w:rPr>
          <w:lang w:val="en-US"/>
        </w:rPr>
        <w:t xml:space="preserve">went to the </w:t>
      </w:r>
      <w:r w:rsidR="00011131" w:rsidRPr="00463B9A">
        <w:rPr>
          <w:lang w:val="en-US"/>
        </w:rPr>
        <w:t>United Kingdom</w:t>
      </w:r>
      <w:r w:rsidR="003D3E0C">
        <w:rPr>
          <w:lang w:val="en-US"/>
        </w:rPr>
        <w:t xml:space="preserve"> of Great Britain and Northern Ireland</w:t>
      </w:r>
      <w:r w:rsidR="000D24B8" w:rsidRPr="00463B9A">
        <w:rPr>
          <w:lang w:val="en-US"/>
        </w:rPr>
        <w:t xml:space="preserve"> with the author’s brother</w:t>
      </w:r>
      <w:r w:rsidR="00C75156" w:rsidRPr="00463B9A">
        <w:rPr>
          <w:lang w:val="en-US"/>
        </w:rPr>
        <w:t>,</w:t>
      </w:r>
      <w:r w:rsidR="004C3E44" w:rsidRPr="00463B9A">
        <w:rPr>
          <w:lang w:val="en-US"/>
        </w:rPr>
        <w:t xml:space="preserve"> I.</w:t>
      </w:r>
      <w:r w:rsidR="00C75156" w:rsidRPr="00463B9A">
        <w:rPr>
          <w:lang w:val="en-US"/>
        </w:rPr>
        <w:t>,</w:t>
      </w:r>
      <w:r w:rsidR="004C3E44" w:rsidRPr="00463B9A">
        <w:rPr>
          <w:lang w:val="en-US"/>
        </w:rPr>
        <w:t xml:space="preserve"> in 2005</w:t>
      </w:r>
      <w:r w:rsidR="000D24B8" w:rsidRPr="00463B9A">
        <w:rPr>
          <w:lang w:val="en-US"/>
        </w:rPr>
        <w:t>.</w:t>
      </w:r>
      <w:r w:rsidR="00E63B8B" w:rsidRPr="00463B9A">
        <w:rPr>
          <w:rStyle w:val="FootnoteReference"/>
          <w:lang w:val="en-US"/>
        </w:rPr>
        <w:t xml:space="preserve"> </w:t>
      </w:r>
      <w:r w:rsidR="0069148B" w:rsidRPr="00463B9A">
        <w:rPr>
          <w:lang w:val="en-US"/>
        </w:rPr>
        <w:t>After the author’s fat</w:t>
      </w:r>
      <w:r w:rsidR="001F5E9E" w:rsidRPr="00463B9A">
        <w:rPr>
          <w:lang w:val="en-US"/>
        </w:rPr>
        <w:t>her died in 2006, I.</w:t>
      </w:r>
      <w:r w:rsidR="0087442F" w:rsidRPr="00463B9A">
        <w:rPr>
          <w:lang w:val="en-US"/>
        </w:rPr>
        <w:t>, who was a British national,</w:t>
      </w:r>
      <w:r w:rsidR="001F5E9E" w:rsidRPr="00463B9A">
        <w:rPr>
          <w:lang w:val="en-US"/>
        </w:rPr>
        <w:t xml:space="preserve"> </w:t>
      </w:r>
      <w:r w:rsidR="0069148B" w:rsidRPr="00463B9A">
        <w:rPr>
          <w:lang w:val="en-US"/>
        </w:rPr>
        <w:t xml:space="preserve">returned to Bangladesh. There, he was murdered by </w:t>
      </w:r>
      <w:r w:rsidR="0073729A" w:rsidRPr="00463B9A">
        <w:rPr>
          <w:lang w:val="en-US"/>
        </w:rPr>
        <w:t xml:space="preserve">three individuals: </w:t>
      </w:r>
      <w:r w:rsidR="00EF781A" w:rsidRPr="00463B9A">
        <w:rPr>
          <w:lang w:val="en-US"/>
        </w:rPr>
        <w:t>B.</w:t>
      </w:r>
      <w:r w:rsidR="000D24B8" w:rsidRPr="00463B9A">
        <w:rPr>
          <w:lang w:val="en-US"/>
        </w:rPr>
        <w:t xml:space="preserve">, </w:t>
      </w:r>
      <w:r w:rsidR="00146E87" w:rsidRPr="00463B9A">
        <w:rPr>
          <w:lang w:val="en-US"/>
        </w:rPr>
        <w:t>B.</w:t>
      </w:r>
      <w:r w:rsidR="00EF781A" w:rsidRPr="00463B9A">
        <w:rPr>
          <w:lang w:val="en-US"/>
        </w:rPr>
        <w:t xml:space="preserve">’s brother </w:t>
      </w:r>
      <w:r w:rsidR="00553D5C">
        <w:rPr>
          <w:lang w:val="en-US"/>
        </w:rPr>
        <w:t>K.S.</w:t>
      </w:r>
      <w:r w:rsidR="0073729A" w:rsidRPr="00463B9A">
        <w:rPr>
          <w:lang w:val="en-US"/>
        </w:rPr>
        <w:t xml:space="preserve"> (</w:t>
      </w:r>
      <w:r w:rsidR="00A84B80" w:rsidRPr="00463B9A">
        <w:rPr>
          <w:lang w:val="en-US"/>
        </w:rPr>
        <w:t>a high-ranking</w:t>
      </w:r>
      <w:r w:rsidR="00EF781A" w:rsidRPr="00463B9A">
        <w:rPr>
          <w:lang w:val="en-US"/>
        </w:rPr>
        <w:t xml:space="preserve"> army officer) and one of their</w:t>
      </w:r>
      <w:r w:rsidR="000D24B8" w:rsidRPr="00463B9A">
        <w:rPr>
          <w:lang w:val="en-US"/>
        </w:rPr>
        <w:t xml:space="preserve"> friend</w:t>
      </w:r>
      <w:r w:rsidR="00EF781A" w:rsidRPr="00463B9A">
        <w:rPr>
          <w:lang w:val="en-US"/>
        </w:rPr>
        <w:t>s</w:t>
      </w:r>
      <w:r w:rsidR="000D24B8" w:rsidRPr="00463B9A">
        <w:rPr>
          <w:lang w:val="en-US"/>
        </w:rPr>
        <w:t xml:space="preserve">. Following </w:t>
      </w:r>
      <w:r w:rsidR="0087442F" w:rsidRPr="00463B9A">
        <w:rPr>
          <w:lang w:val="en-US"/>
        </w:rPr>
        <w:t xml:space="preserve">a press conference held by the author’s family and intervention from the British High Commissioner </w:t>
      </w:r>
      <w:r w:rsidR="004411EE">
        <w:rPr>
          <w:lang w:val="en-US"/>
        </w:rPr>
        <w:t>to</w:t>
      </w:r>
      <w:r w:rsidR="004411EE" w:rsidRPr="00463B9A">
        <w:rPr>
          <w:lang w:val="en-US"/>
        </w:rPr>
        <w:t xml:space="preserve"> </w:t>
      </w:r>
      <w:r w:rsidR="0087442F" w:rsidRPr="00463B9A">
        <w:rPr>
          <w:lang w:val="en-US"/>
        </w:rPr>
        <w:t>Bangladesh,</w:t>
      </w:r>
      <w:r w:rsidR="000D24B8" w:rsidRPr="00463B9A">
        <w:rPr>
          <w:lang w:val="en-US"/>
        </w:rPr>
        <w:t xml:space="preserve"> all three</w:t>
      </w:r>
      <w:r w:rsidR="00BB6DA7" w:rsidRPr="00463B9A">
        <w:rPr>
          <w:lang w:val="en-US"/>
        </w:rPr>
        <w:t xml:space="preserve"> </w:t>
      </w:r>
      <w:r w:rsidR="0073729A" w:rsidRPr="00463B9A">
        <w:rPr>
          <w:lang w:val="en-US"/>
        </w:rPr>
        <w:t>perpetrators</w:t>
      </w:r>
      <w:r w:rsidR="000D24B8" w:rsidRPr="00463B9A">
        <w:rPr>
          <w:lang w:val="en-US"/>
        </w:rPr>
        <w:t xml:space="preserve"> were </w:t>
      </w:r>
      <w:r w:rsidR="009334ED" w:rsidRPr="00463B9A">
        <w:rPr>
          <w:lang w:val="en-US"/>
        </w:rPr>
        <w:t>convicted</w:t>
      </w:r>
      <w:r w:rsidR="000D24B8" w:rsidRPr="00463B9A">
        <w:rPr>
          <w:lang w:val="en-US"/>
        </w:rPr>
        <w:t xml:space="preserve"> and sentenced to death</w:t>
      </w:r>
      <w:r w:rsidR="009334ED" w:rsidRPr="00463B9A">
        <w:rPr>
          <w:lang w:val="en-US"/>
        </w:rPr>
        <w:t xml:space="preserve"> in 2007</w:t>
      </w:r>
      <w:r w:rsidR="000D24B8" w:rsidRPr="00463B9A">
        <w:rPr>
          <w:lang w:val="en-US"/>
        </w:rPr>
        <w:t xml:space="preserve">. </w:t>
      </w:r>
      <w:r w:rsidR="002E20C4" w:rsidRPr="00463B9A">
        <w:rPr>
          <w:lang w:val="en-US"/>
        </w:rPr>
        <w:t>However,</w:t>
      </w:r>
      <w:r w:rsidR="00F265F4" w:rsidRPr="00463B9A">
        <w:rPr>
          <w:lang w:val="en-US"/>
        </w:rPr>
        <w:t xml:space="preserve"> </w:t>
      </w:r>
      <w:r w:rsidR="00B023DD">
        <w:rPr>
          <w:lang w:val="en-US"/>
        </w:rPr>
        <w:t xml:space="preserve">they filed an appeal of their criminal convictions and </w:t>
      </w:r>
      <w:r w:rsidR="003A4271" w:rsidRPr="00463B9A">
        <w:rPr>
          <w:lang w:val="en-US"/>
        </w:rPr>
        <w:t xml:space="preserve">their death sentences were </w:t>
      </w:r>
      <w:r w:rsidR="000A4891" w:rsidRPr="00463B9A">
        <w:rPr>
          <w:lang w:val="en-US"/>
        </w:rPr>
        <w:t>reversed</w:t>
      </w:r>
      <w:r w:rsidR="003A4271" w:rsidRPr="00463B9A">
        <w:rPr>
          <w:lang w:val="en-US"/>
        </w:rPr>
        <w:t xml:space="preserve"> following a change in </w:t>
      </w:r>
      <w:r w:rsidR="008317F3">
        <w:rPr>
          <w:lang w:val="en-US"/>
        </w:rPr>
        <w:t>G</w:t>
      </w:r>
      <w:r w:rsidR="003A4271" w:rsidRPr="00463B9A">
        <w:rPr>
          <w:lang w:val="en-US"/>
        </w:rPr>
        <w:t>overnment</w:t>
      </w:r>
      <w:r w:rsidR="00152B67" w:rsidRPr="00463B9A">
        <w:rPr>
          <w:lang w:val="en-US"/>
        </w:rPr>
        <w:t>.</w:t>
      </w:r>
      <w:r w:rsidR="002E20C4" w:rsidRPr="00463B9A">
        <w:rPr>
          <w:lang w:val="en-US"/>
        </w:rPr>
        <w:t xml:space="preserve"> </w:t>
      </w:r>
      <w:r w:rsidR="004411EE">
        <w:rPr>
          <w:lang w:val="en-US"/>
        </w:rPr>
        <w:t>R</w:t>
      </w:r>
      <w:r w:rsidR="008317F3">
        <w:rPr>
          <w:lang w:val="en-US"/>
        </w:rPr>
        <w:t>eversal</w:t>
      </w:r>
      <w:r w:rsidR="008317F3" w:rsidRPr="00463B9A">
        <w:rPr>
          <w:lang w:val="en-US"/>
        </w:rPr>
        <w:t xml:space="preserve"> </w:t>
      </w:r>
      <w:r w:rsidR="00F524E4" w:rsidRPr="00463B9A">
        <w:rPr>
          <w:lang w:val="en-US"/>
        </w:rPr>
        <w:t xml:space="preserve">of death sentences is not unusual in Bangladesh, where sentences are overturned with the arrival of a new </w:t>
      </w:r>
      <w:r w:rsidR="004411EE">
        <w:rPr>
          <w:lang w:val="en-US"/>
        </w:rPr>
        <w:t>G</w:t>
      </w:r>
      <w:r w:rsidR="00F524E4" w:rsidRPr="00463B9A">
        <w:rPr>
          <w:lang w:val="en-US"/>
        </w:rPr>
        <w:t>overnment</w:t>
      </w:r>
      <w:r w:rsidR="008317F3">
        <w:rPr>
          <w:lang w:val="en-US"/>
        </w:rPr>
        <w:t>.</w:t>
      </w:r>
      <w:r w:rsidR="00F524E4" w:rsidRPr="00463B9A">
        <w:rPr>
          <w:lang w:val="en-US"/>
        </w:rPr>
        <w:t xml:space="preserve"> </w:t>
      </w:r>
    </w:p>
    <w:p w14:paraId="7082F171" w14:textId="2AD7A807" w:rsidR="000D24B8" w:rsidRPr="00463B9A" w:rsidRDefault="00FB49C2">
      <w:pPr>
        <w:pStyle w:val="SingleTxtG"/>
        <w:rPr>
          <w:lang w:val="en-US"/>
        </w:rPr>
      </w:pPr>
      <w:r w:rsidRPr="00463B9A">
        <w:rPr>
          <w:lang w:val="en-US"/>
        </w:rPr>
        <w:t>2.2</w:t>
      </w:r>
      <w:r w:rsidRPr="00463B9A">
        <w:rPr>
          <w:lang w:val="en-US"/>
        </w:rPr>
        <w:tab/>
      </w:r>
      <w:r w:rsidR="008317F3">
        <w:rPr>
          <w:lang w:val="en-US"/>
        </w:rPr>
        <w:t>Another</w:t>
      </w:r>
      <w:r w:rsidR="008317F3" w:rsidRPr="00463B9A">
        <w:rPr>
          <w:lang w:val="en-US"/>
        </w:rPr>
        <w:t xml:space="preserve"> </w:t>
      </w:r>
      <w:r w:rsidR="00A84B80" w:rsidRPr="00463B9A">
        <w:rPr>
          <w:lang w:val="en-US"/>
        </w:rPr>
        <w:t xml:space="preserve">of B.’s brothers, S. (a high-ranking </w:t>
      </w:r>
      <w:r w:rsidR="002E20C4" w:rsidRPr="00463B9A">
        <w:rPr>
          <w:lang w:val="en-US"/>
        </w:rPr>
        <w:t xml:space="preserve">police inspector), threatened </w:t>
      </w:r>
      <w:r w:rsidR="008317F3">
        <w:rPr>
          <w:lang w:val="en-US"/>
        </w:rPr>
        <w:t>to</w:t>
      </w:r>
      <w:r w:rsidR="002E20C4" w:rsidRPr="00463B9A">
        <w:rPr>
          <w:lang w:val="en-US"/>
        </w:rPr>
        <w:t xml:space="preserve"> kill the author and her family unless they withdrew their complaint against the three </w:t>
      </w:r>
      <w:r w:rsidR="008317F3">
        <w:rPr>
          <w:lang w:val="en-US"/>
        </w:rPr>
        <w:t xml:space="preserve">convicted </w:t>
      </w:r>
      <w:r w:rsidR="002E20C4" w:rsidRPr="00463B9A">
        <w:rPr>
          <w:lang w:val="en-US"/>
        </w:rPr>
        <w:t xml:space="preserve">perpetrators. </w:t>
      </w:r>
      <w:r w:rsidR="009677AE" w:rsidRPr="00463B9A">
        <w:rPr>
          <w:lang w:val="en-US"/>
        </w:rPr>
        <w:t>In October 2010, S</w:t>
      </w:r>
      <w:r w:rsidR="00FB0945" w:rsidRPr="00463B9A">
        <w:rPr>
          <w:lang w:val="en-US"/>
        </w:rPr>
        <w:t>.</w:t>
      </w:r>
      <w:r w:rsidR="0061731B" w:rsidRPr="00463B9A">
        <w:rPr>
          <w:lang w:val="en-US"/>
        </w:rPr>
        <w:t xml:space="preserve"> called the author’s </w:t>
      </w:r>
      <w:r w:rsidR="004C3E44" w:rsidRPr="00463B9A">
        <w:rPr>
          <w:lang w:val="en-US"/>
        </w:rPr>
        <w:t xml:space="preserve">mother </w:t>
      </w:r>
      <w:r w:rsidR="0061731B" w:rsidRPr="00463B9A">
        <w:rPr>
          <w:lang w:val="en-US"/>
        </w:rPr>
        <w:t xml:space="preserve">and told her that </w:t>
      </w:r>
      <w:r w:rsidR="004C3E44" w:rsidRPr="00463B9A">
        <w:rPr>
          <w:lang w:val="en-US"/>
        </w:rPr>
        <w:t>his brother and friend wo</w:t>
      </w:r>
      <w:r w:rsidR="00FB0945" w:rsidRPr="00463B9A">
        <w:rPr>
          <w:lang w:val="en-US"/>
        </w:rPr>
        <w:t xml:space="preserve">uld soon be released </w:t>
      </w:r>
      <w:r w:rsidR="002E20C4" w:rsidRPr="00463B9A">
        <w:rPr>
          <w:lang w:val="en-US"/>
        </w:rPr>
        <w:t>from detention</w:t>
      </w:r>
      <w:r w:rsidR="00FB0945" w:rsidRPr="00463B9A">
        <w:rPr>
          <w:lang w:val="en-US"/>
        </w:rPr>
        <w:t xml:space="preserve">. He </w:t>
      </w:r>
      <w:r w:rsidR="004C3E44" w:rsidRPr="00463B9A">
        <w:rPr>
          <w:lang w:val="en-US"/>
        </w:rPr>
        <w:t>further stated</w:t>
      </w:r>
      <w:r w:rsidR="00553D5C">
        <w:rPr>
          <w:lang w:val="en-US"/>
        </w:rPr>
        <w:t xml:space="preserve">: </w:t>
      </w:r>
      <w:r w:rsidR="004C3E44" w:rsidRPr="00463B9A">
        <w:rPr>
          <w:lang w:val="en-US"/>
        </w:rPr>
        <w:t>“You will continue to lose your children one after another. Your daughter [the author] is our next target. You will be our last target.”</w:t>
      </w:r>
      <w:r w:rsidR="002E20C4" w:rsidRPr="00463B9A">
        <w:rPr>
          <w:lang w:val="en-US"/>
        </w:rPr>
        <w:t xml:space="preserve"> </w:t>
      </w:r>
      <w:r w:rsidR="009419E5" w:rsidRPr="00463B9A">
        <w:rPr>
          <w:lang w:val="en-US"/>
        </w:rPr>
        <w:t>T</w:t>
      </w:r>
      <w:r w:rsidR="00EC22D6" w:rsidRPr="00463B9A">
        <w:rPr>
          <w:lang w:val="en-US"/>
        </w:rPr>
        <w:t xml:space="preserve">he police took no action against S. after </w:t>
      </w:r>
      <w:r w:rsidR="00553D5C">
        <w:rPr>
          <w:lang w:val="en-US"/>
        </w:rPr>
        <w:t>the author’s</w:t>
      </w:r>
      <w:r w:rsidR="00553D5C" w:rsidRPr="00463B9A">
        <w:rPr>
          <w:lang w:val="en-US"/>
        </w:rPr>
        <w:t xml:space="preserve"> </w:t>
      </w:r>
      <w:r w:rsidR="00EC22D6" w:rsidRPr="00463B9A">
        <w:rPr>
          <w:lang w:val="en-US"/>
        </w:rPr>
        <w:t xml:space="preserve">mother informed them about </w:t>
      </w:r>
      <w:r w:rsidR="004411EE">
        <w:rPr>
          <w:lang w:val="en-US"/>
        </w:rPr>
        <w:t>the</w:t>
      </w:r>
      <w:r w:rsidR="004411EE" w:rsidRPr="00463B9A">
        <w:rPr>
          <w:lang w:val="en-US"/>
        </w:rPr>
        <w:t xml:space="preserve"> </w:t>
      </w:r>
      <w:r w:rsidR="00EC22D6" w:rsidRPr="00463B9A">
        <w:rPr>
          <w:lang w:val="en-US"/>
        </w:rPr>
        <w:t>call.</w:t>
      </w:r>
      <w:r w:rsidR="004C3E44" w:rsidRPr="00463B9A">
        <w:rPr>
          <w:lang w:val="en-US"/>
        </w:rPr>
        <w:t xml:space="preserve"> </w:t>
      </w:r>
      <w:r w:rsidR="009C284D" w:rsidRPr="00463B9A">
        <w:rPr>
          <w:lang w:val="en-US"/>
        </w:rPr>
        <w:t xml:space="preserve">Deeply concerned about </w:t>
      </w:r>
      <w:r w:rsidR="008A79DE">
        <w:rPr>
          <w:lang w:val="en-US"/>
        </w:rPr>
        <w:t>the author’s safety, her</w:t>
      </w:r>
      <w:r w:rsidR="009C284D" w:rsidRPr="00463B9A">
        <w:rPr>
          <w:lang w:val="en-US"/>
        </w:rPr>
        <w:t xml:space="preserve"> daughter in Canada sponsored</w:t>
      </w:r>
      <w:r w:rsidR="002F5900" w:rsidRPr="00463B9A">
        <w:rPr>
          <w:lang w:val="en-US"/>
        </w:rPr>
        <w:t xml:space="preserve"> her </w:t>
      </w:r>
      <w:r w:rsidR="002A3CB8" w:rsidRPr="00463B9A">
        <w:rPr>
          <w:lang w:val="en-US"/>
        </w:rPr>
        <w:t xml:space="preserve">application for a </w:t>
      </w:r>
      <w:r w:rsidR="002E6CD9" w:rsidRPr="00463B9A">
        <w:rPr>
          <w:lang w:val="en-US"/>
        </w:rPr>
        <w:t xml:space="preserve">Canadian </w:t>
      </w:r>
      <w:r w:rsidR="002A3CB8" w:rsidRPr="00463B9A">
        <w:rPr>
          <w:lang w:val="en-US"/>
        </w:rPr>
        <w:t>visitor’s visa in November 2010. The author obtained the visa in December 2010.</w:t>
      </w:r>
      <w:r w:rsidR="002F5900" w:rsidRPr="00463B9A">
        <w:rPr>
          <w:lang w:val="en-US"/>
        </w:rPr>
        <w:t xml:space="preserve"> </w:t>
      </w:r>
      <w:r w:rsidR="009419E5" w:rsidRPr="00463B9A">
        <w:rPr>
          <w:lang w:val="en-US"/>
        </w:rPr>
        <w:t>A</w:t>
      </w:r>
      <w:r w:rsidR="002F5900" w:rsidRPr="00463B9A">
        <w:rPr>
          <w:lang w:val="en-US"/>
        </w:rPr>
        <w:t xml:space="preserve"> few days before her departure </w:t>
      </w:r>
      <w:r w:rsidR="008317F3">
        <w:rPr>
          <w:lang w:val="en-US"/>
        </w:rPr>
        <w:t>for</w:t>
      </w:r>
      <w:r w:rsidR="008317F3" w:rsidRPr="00463B9A">
        <w:rPr>
          <w:lang w:val="en-US"/>
        </w:rPr>
        <w:t xml:space="preserve"> </w:t>
      </w:r>
      <w:r w:rsidR="002F5900" w:rsidRPr="00463B9A">
        <w:rPr>
          <w:lang w:val="en-US"/>
        </w:rPr>
        <w:t>Canada, she</w:t>
      </w:r>
      <w:r w:rsidRPr="00463B9A">
        <w:rPr>
          <w:lang w:val="en-US"/>
        </w:rPr>
        <w:t xml:space="preserve"> started receiving phone calls from an</w:t>
      </w:r>
      <w:r w:rsidR="002E6CD9" w:rsidRPr="00463B9A">
        <w:rPr>
          <w:lang w:val="en-US"/>
        </w:rPr>
        <w:t xml:space="preserve"> unidentified</w:t>
      </w:r>
      <w:r w:rsidRPr="00463B9A">
        <w:rPr>
          <w:lang w:val="en-US"/>
        </w:rPr>
        <w:t xml:space="preserve"> individual who threatened to kill her. In response, she filed a complaint </w:t>
      </w:r>
      <w:r w:rsidR="00F91C89" w:rsidRPr="00463B9A">
        <w:rPr>
          <w:lang w:val="en-US"/>
        </w:rPr>
        <w:t>at</w:t>
      </w:r>
      <w:r w:rsidRPr="00463B9A">
        <w:rPr>
          <w:lang w:val="en-US"/>
        </w:rPr>
        <w:t xml:space="preserve"> the </w:t>
      </w:r>
      <w:proofErr w:type="spellStart"/>
      <w:r w:rsidR="00C5501E" w:rsidRPr="00463B9A">
        <w:rPr>
          <w:lang w:val="en-US"/>
        </w:rPr>
        <w:t>Hajaribag</w:t>
      </w:r>
      <w:proofErr w:type="spellEnd"/>
      <w:r w:rsidR="00C5501E" w:rsidRPr="00463B9A">
        <w:rPr>
          <w:lang w:val="en-US"/>
        </w:rPr>
        <w:t xml:space="preserve"> police station</w:t>
      </w:r>
      <w:r w:rsidRPr="00463B9A">
        <w:rPr>
          <w:lang w:val="en-US"/>
        </w:rPr>
        <w:t xml:space="preserve"> in Dhaka</w:t>
      </w:r>
      <w:r w:rsidR="006F610E" w:rsidRPr="00463B9A">
        <w:rPr>
          <w:lang w:val="en-US"/>
        </w:rPr>
        <w:t>, on 5</w:t>
      </w:r>
      <w:r w:rsidR="00AE40E9">
        <w:rPr>
          <w:lang w:val="en-US"/>
        </w:rPr>
        <w:t> </w:t>
      </w:r>
      <w:r w:rsidR="006F610E" w:rsidRPr="00463B9A">
        <w:rPr>
          <w:lang w:val="en-US"/>
        </w:rPr>
        <w:t>January 2011. On the same day,</w:t>
      </w:r>
      <w:r w:rsidR="002F5900" w:rsidRPr="00463B9A">
        <w:rPr>
          <w:lang w:val="en-US"/>
        </w:rPr>
        <w:t xml:space="preserve"> she left for Canada</w:t>
      </w:r>
      <w:r w:rsidRPr="00463B9A">
        <w:rPr>
          <w:lang w:val="en-US"/>
        </w:rPr>
        <w:t>.</w:t>
      </w:r>
      <w:r w:rsidR="000F6AAA" w:rsidRPr="00463B9A">
        <w:rPr>
          <w:lang w:val="en-US"/>
        </w:rPr>
        <w:t xml:space="preserve"> S. and the individuals who murdered the author’s brother have influential contacts in the </w:t>
      </w:r>
      <w:r w:rsidR="008317F3">
        <w:rPr>
          <w:lang w:val="en-US"/>
        </w:rPr>
        <w:t>G</w:t>
      </w:r>
      <w:r w:rsidR="000F6AAA" w:rsidRPr="00463B9A">
        <w:rPr>
          <w:lang w:val="en-US"/>
        </w:rPr>
        <w:t>overnment in Bangladesh.</w:t>
      </w:r>
    </w:p>
    <w:p w14:paraId="6A7579DA" w14:textId="6BFEA22E" w:rsidR="00A00415" w:rsidRPr="00463B9A" w:rsidRDefault="00A00415" w:rsidP="000D24B8">
      <w:pPr>
        <w:pStyle w:val="SingleTxtG"/>
        <w:rPr>
          <w:lang w:val="en-US"/>
        </w:rPr>
      </w:pPr>
      <w:r w:rsidRPr="00463B9A">
        <w:rPr>
          <w:lang w:val="en-US"/>
        </w:rPr>
        <w:t>2.3</w:t>
      </w:r>
      <w:r w:rsidRPr="00463B9A">
        <w:rPr>
          <w:lang w:val="en-US"/>
        </w:rPr>
        <w:tab/>
      </w:r>
      <w:r w:rsidR="00C22A36" w:rsidRPr="00463B9A">
        <w:rPr>
          <w:lang w:val="en-US"/>
        </w:rPr>
        <w:t xml:space="preserve">The author’s </w:t>
      </w:r>
      <w:r w:rsidRPr="00463B9A">
        <w:rPr>
          <w:lang w:val="en-US"/>
        </w:rPr>
        <w:t xml:space="preserve">son and numerous other relatives have applied for refugee protection in the </w:t>
      </w:r>
      <w:r w:rsidR="008317F3">
        <w:rPr>
          <w:lang w:val="en-US"/>
        </w:rPr>
        <w:t xml:space="preserve">United Kingdom </w:t>
      </w:r>
      <w:r w:rsidRPr="00463B9A">
        <w:rPr>
          <w:lang w:val="en-US"/>
        </w:rPr>
        <w:t xml:space="preserve">and L. has obtained refugee status there. </w:t>
      </w:r>
      <w:r w:rsidR="009419E5" w:rsidRPr="00463B9A">
        <w:rPr>
          <w:lang w:val="en-US"/>
        </w:rPr>
        <w:t>A</w:t>
      </w:r>
      <w:r w:rsidRPr="00463B9A">
        <w:rPr>
          <w:lang w:val="en-US"/>
        </w:rPr>
        <w:t xml:space="preserve">ll of </w:t>
      </w:r>
      <w:r w:rsidR="00C22A36" w:rsidRPr="00463B9A">
        <w:rPr>
          <w:lang w:val="en-US"/>
        </w:rPr>
        <w:t>the author’s</w:t>
      </w:r>
      <w:r w:rsidRPr="00463B9A">
        <w:rPr>
          <w:lang w:val="en-US"/>
        </w:rPr>
        <w:t xml:space="preserve"> siblings have fled Bangladesh, and her ex-husband and children are in hiding. </w:t>
      </w:r>
      <w:r w:rsidR="009419E5" w:rsidRPr="00463B9A">
        <w:rPr>
          <w:lang w:val="en-US"/>
        </w:rPr>
        <w:t>The author</w:t>
      </w:r>
      <w:r w:rsidRPr="00463B9A">
        <w:rPr>
          <w:lang w:val="en-US"/>
        </w:rPr>
        <w:t xml:space="preserve"> is presently in Canada with her daughter, who is a permanent resident of Canada</w:t>
      </w:r>
      <w:r w:rsidR="00CA5CD1" w:rsidRPr="00463B9A">
        <w:rPr>
          <w:lang w:val="en-US"/>
        </w:rPr>
        <w:t>.</w:t>
      </w:r>
    </w:p>
    <w:p w14:paraId="37D09F80" w14:textId="22A0B77F" w:rsidR="000D24B8" w:rsidRPr="00463B9A" w:rsidRDefault="000D24B8" w:rsidP="000D24B8">
      <w:pPr>
        <w:ind w:left="1134" w:right="1134"/>
        <w:jc w:val="both"/>
      </w:pPr>
      <w:r w:rsidRPr="00463B9A">
        <w:rPr>
          <w:lang w:val="en-US"/>
        </w:rPr>
        <w:t>2.</w:t>
      </w:r>
      <w:r w:rsidR="00A00415" w:rsidRPr="00463B9A">
        <w:rPr>
          <w:lang w:val="en-US"/>
        </w:rPr>
        <w:t>4</w:t>
      </w:r>
      <w:r w:rsidRPr="00463B9A">
        <w:rPr>
          <w:lang w:val="en-US"/>
        </w:rPr>
        <w:tab/>
      </w:r>
      <w:r w:rsidRPr="00463B9A">
        <w:t xml:space="preserve">The author </w:t>
      </w:r>
      <w:r w:rsidR="00A00415" w:rsidRPr="00463B9A">
        <w:t>submits</w:t>
      </w:r>
      <w:r w:rsidRPr="00463B9A">
        <w:t xml:space="preserve"> that she has exhausted domestic remedies in Canada. Her application for refugee status was denied on 15 April 2013 and her application for leave to commence judicial review of the negative asylum decision was denied on 23 August 2013. </w:t>
      </w:r>
      <w:r w:rsidR="009419E5" w:rsidRPr="00463B9A">
        <w:t>When she submitted the communication</w:t>
      </w:r>
      <w:r w:rsidR="00A847FD" w:rsidRPr="00463B9A">
        <w:t xml:space="preserve"> to the Committee</w:t>
      </w:r>
      <w:r w:rsidR="009419E5" w:rsidRPr="00463B9A">
        <w:t xml:space="preserve">, she claimed that she was </w:t>
      </w:r>
      <w:r w:rsidRPr="00463B9A">
        <w:lastRenderedPageBreak/>
        <w:t xml:space="preserve">ineligible to file applications for </w:t>
      </w:r>
      <w:r w:rsidR="008317F3" w:rsidRPr="00463B9A">
        <w:t xml:space="preserve">pre-removal risk assessment </w:t>
      </w:r>
      <w:r w:rsidRPr="00463B9A">
        <w:t xml:space="preserve">(PRRA) and for permanent residence on </w:t>
      </w:r>
      <w:r w:rsidRPr="00CE3E2E">
        <w:t>humanitarian and</w:t>
      </w:r>
      <w:r w:rsidRPr="00463B9A">
        <w:t xml:space="preserve"> compassionate grounds (H&amp;C).</w:t>
      </w:r>
      <w:r w:rsidRPr="00AE40E9">
        <w:rPr>
          <w:rStyle w:val="FootnoteReference"/>
        </w:rPr>
        <w:footnoteReference w:id="4"/>
      </w:r>
      <w:r w:rsidRPr="00463B9A">
        <w:t xml:space="preserve"> </w:t>
      </w:r>
    </w:p>
    <w:p w14:paraId="5983BC47" w14:textId="77777777" w:rsidR="00A40224" w:rsidRPr="00463B9A" w:rsidRDefault="00B61233" w:rsidP="00B61233">
      <w:pPr>
        <w:pStyle w:val="H23G"/>
      </w:pPr>
      <w:r w:rsidRPr="00463B9A">
        <w:tab/>
      </w:r>
      <w:r w:rsidRPr="00463B9A">
        <w:tab/>
      </w:r>
      <w:r w:rsidR="00A40224" w:rsidRPr="00463B9A">
        <w:t>The complaint</w:t>
      </w:r>
    </w:p>
    <w:p w14:paraId="2DDAD446" w14:textId="0AAC557D" w:rsidR="000D24B8" w:rsidRPr="00463B9A" w:rsidRDefault="00A40224" w:rsidP="00A00415">
      <w:pPr>
        <w:pStyle w:val="SingleTxtG"/>
        <w:rPr>
          <w:lang w:val="en-US"/>
        </w:rPr>
      </w:pPr>
      <w:r w:rsidRPr="00463B9A">
        <w:rPr>
          <w:lang w:val="en-US"/>
        </w:rPr>
        <w:t>3.1</w:t>
      </w:r>
      <w:r w:rsidRPr="00463B9A">
        <w:rPr>
          <w:lang w:val="en-US"/>
        </w:rPr>
        <w:tab/>
        <w:t xml:space="preserve">The author submits that </w:t>
      </w:r>
      <w:r w:rsidR="00C22A36" w:rsidRPr="00463B9A">
        <w:rPr>
          <w:lang w:val="en-US"/>
        </w:rPr>
        <w:t>the State party</w:t>
      </w:r>
      <w:r w:rsidRPr="00463B9A">
        <w:rPr>
          <w:lang w:val="en-US"/>
        </w:rPr>
        <w:t xml:space="preserve"> would violate </w:t>
      </w:r>
      <w:r w:rsidR="000D24B8" w:rsidRPr="00463B9A">
        <w:rPr>
          <w:lang w:val="en-US"/>
        </w:rPr>
        <w:t>her</w:t>
      </w:r>
      <w:r w:rsidRPr="00463B9A">
        <w:rPr>
          <w:lang w:val="en-US"/>
        </w:rPr>
        <w:t xml:space="preserve"> rights under</w:t>
      </w:r>
      <w:r w:rsidR="0001358C" w:rsidRPr="00463B9A">
        <w:rPr>
          <w:lang w:val="en-US"/>
        </w:rPr>
        <w:t xml:space="preserve"> articles</w:t>
      </w:r>
      <w:r w:rsidRPr="00463B9A">
        <w:rPr>
          <w:lang w:val="en-US"/>
        </w:rPr>
        <w:t xml:space="preserve"> </w:t>
      </w:r>
      <w:r w:rsidR="000D24B8" w:rsidRPr="00463B9A">
        <w:t xml:space="preserve">6 (1), 7, 9 (1) and 26 </w:t>
      </w:r>
      <w:r w:rsidRPr="00463B9A">
        <w:t xml:space="preserve">of the </w:t>
      </w:r>
      <w:r w:rsidRPr="00463B9A">
        <w:rPr>
          <w:lang w:val="en-US"/>
        </w:rPr>
        <w:t xml:space="preserve">Covenant by forcibly removing </w:t>
      </w:r>
      <w:r w:rsidR="000D24B8" w:rsidRPr="00463B9A">
        <w:rPr>
          <w:lang w:val="en-US"/>
        </w:rPr>
        <w:t>her</w:t>
      </w:r>
      <w:r w:rsidRPr="00463B9A">
        <w:rPr>
          <w:lang w:val="en-US"/>
        </w:rPr>
        <w:t xml:space="preserve"> to </w:t>
      </w:r>
      <w:r w:rsidR="000D24B8" w:rsidRPr="00463B9A">
        <w:rPr>
          <w:lang w:val="en-US"/>
        </w:rPr>
        <w:t xml:space="preserve">Bangladesh, where </w:t>
      </w:r>
      <w:r w:rsidR="00676304" w:rsidRPr="00463B9A">
        <w:rPr>
          <w:lang w:val="en-US"/>
        </w:rPr>
        <w:t>S. (</w:t>
      </w:r>
      <w:r w:rsidR="000D24B8" w:rsidRPr="00463B9A">
        <w:rPr>
          <w:lang w:val="en-US"/>
        </w:rPr>
        <w:t xml:space="preserve">her sister </w:t>
      </w:r>
      <w:r w:rsidR="009E0905" w:rsidRPr="00463B9A">
        <w:rPr>
          <w:lang w:val="en-US"/>
        </w:rPr>
        <w:t>L.’s</w:t>
      </w:r>
      <w:r w:rsidR="000D24B8" w:rsidRPr="00463B9A">
        <w:rPr>
          <w:lang w:val="en-US"/>
        </w:rPr>
        <w:t xml:space="preserve"> </w:t>
      </w:r>
      <w:r w:rsidR="00C6671F" w:rsidRPr="00463B9A">
        <w:rPr>
          <w:lang w:val="en-US"/>
        </w:rPr>
        <w:t xml:space="preserve">former brother-in-law and </w:t>
      </w:r>
      <w:r w:rsidR="00676304" w:rsidRPr="00463B9A">
        <w:rPr>
          <w:lang w:val="en-US"/>
        </w:rPr>
        <w:t>a police inspector)</w:t>
      </w:r>
      <w:r w:rsidR="000D24B8" w:rsidRPr="00463B9A">
        <w:rPr>
          <w:lang w:val="en-US"/>
        </w:rPr>
        <w:t xml:space="preserve"> has threatened to kill her family unless they withdraw their complaint against his brothers and </w:t>
      </w:r>
      <w:r w:rsidR="004411EE">
        <w:rPr>
          <w:lang w:val="en-US"/>
        </w:rPr>
        <w:t xml:space="preserve">his </w:t>
      </w:r>
      <w:r w:rsidR="000D24B8" w:rsidRPr="00463B9A">
        <w:rPr>
          <w:lang w:val="en-US"/>
        </w:rPr>
        <w:t xml:space="preserve">friend. She also fears the vengeance of her brother’s three killers, whose death sentences were recently reversed. The author maintains that </w:t>
      </w:r>
      <w:r w:rsidR="006C2003" w:rsidRPr="00463B9A">
        <w:rPr>
          <w:lang w:val="en-US"/>
        </w:rPr>
        <w:t>both</w:t>
      </w:r>
      <w:r w:rsidR="000D24B8" w:rsidRPr="00463B9A">
        <w:rPr>
          <w:lang w:val="en-US"/>
        </w:rPr>
        <w:t xml:space="preserve"> the police force and the judiciary </w:t>
      </w:r>
      <w:r w:rsidR="006C2003" w:rsidRPr="00463B9A">
        <w:rPr>
          <w:lang w:val="en-US"/>
        </w:rPr>
        <w:t xml:space="preserve">in Bangladesh </w:t>
      </w:r>
      <w:r w:rsidR="000D24B8" w:rsidRPr="00463B9A">
        <w:rPr>
          <w:lang w:val="en-US"/>
        </w:rPr>
        <w:t xml:space="preserve">are undermined by </w:t>
      </w:r>
      <w:r w:rsidR="006C2003" w:rsidRPr="00463B9A">
        <w:rPr>
          <w:lang w:val="en-US"/>
        </w:rPr>
        <w:t xml:space="preserve">widespread </w:t>
      </w:r>
      <w:r w:rsidR="000D24B8" w:rsidRPr="00463B9A">
        <w:rPr>
          <w:lang w:val="en-US"/>
        </w:rPr>
        <w:t>corruption and impunity</w:t>
      </w:r>
      <w:r w:rsidR="00D0135C" w:rsidRPr="00463B9A">
        <w:rPr>
          <w:lang w:val="en-US"/>
        </w:rPr>
        <w:t>,</w:t>
      </w:r>
      <w:r w:rsidR="000D24B8" w:rsidRPr="00AE40E9">
        <w:rPr>
          <w:rStyle w:val="FootnoteReference"/>
        </w:rPr>
        <w:footnoteReference w:id="5"/>
      </w:r>
      <w:r w:rsidR="00D0135C" w:rsidRPr="00463B9A">
        <w:rPr>
          <w:lang w:val="en-US"/>
        </w:rPr>
        <w:t xml:space="preserve"> and that it is therefore impossible to obtain protection from the </w:t>
      </w:r>
      <w:r w:rsidR="008317F3">
        <w:rPr>
          <w:lang w:val="en-US"/>
        </w:rPr>
        <w:t>S</w:t>
      </w:r>
      <w:r w:rsidR="00D0135C" w:rsidRPr="00463B9A">
        <w:rPr>
          <w:lang w:val="en-US"/>
        </w:rPr>
        <w:t>tate authorities there</w:t>
      </w:r>
      <w:r w:rsidR="00A00415" w:rsidRPr="00463B9A">
        <w:rPr>
          <w:lang w:val="en-US"/>
        </w:rPr>
        <w:t>.</w:t>
      </w:r>
    </w:p>
    <w:p w14:paraId="2266338C" w14:textId="73F7F6C2" w:rsidR="000D24B8" w:rsidRPr="00463B9A" w:rsidRDefault="00A00415" w:rsidP="00E20C09">
      <w:pPr>
        <w:pStyle w:val="SingleTxtG"/>
        <w:rPr>
          <w:lang w:val="en-US"/>
        </w:rPr>
      </w:pPr>
      <w:r w:rsidRPr="00463B9A">
        <w:rPr>
          <w:lang w:val="en-US"/>
        </w:rPr>
        <w:t>3.2</w:t>
      </w:r>
      <w:r w:rsidR="000D24B8" w:rsidRPr="00463B9A">
        <w:rPr>
          <w:lang w:val="en-US"/>
        </w:rPr>
        <w:tab/>
        <w:t xml:space="preserve">The </w:t>
      </w:r>
      <w:r w:rsidR="008317F3">
        <w:rPr>
          <w:lang w:val="en-US"/>
        </w:rPr>
        <w:t>Immigration and Refugee Board of Canada</w:t>
      </w:r>
      <w:r w:rsidR="008317F3" w:rsidRPr="00463B9A">
        <w:rPr>
          <w:lang w:val="en-US"/>
        </w:rPr>
        <w:t xml:space="preserve"> </w:t>
      </w:r>
      <w:r w:rsidR="000D24B8" w:rsidRPr="00463B9A">
        <w:rPr>
          <w:lang w:val="en-US"/>
        </w:rPr>
        <w:t xml:space="preserve">erred </w:t>
      </w:r>
      <w:r w:rsidR="008317F3">
        <w:rPr>
          <w:lang w:val="en-US"/>
        </w:rPr>
        <w:t>in</w:t>
      </w:r>
      <w:r w:rsidR="008317F3" w:rsidRPr="00463B9A">
        <w:rPr>
          <w:lang w:val="en-US"/>
        </w:rPr>
        <w:t xml:space="preserve"> </w:t>
      </w:r>
      <w:r w:rsidR="000D24B8" w:rsidRPr="00463B9A">
        <w:rPr>
          <w:lang w:val="en-US"/>
        </w:rPr>
        <w:t xml:space="preserve">finding </w:t>
      </w:r>
      <w:r w:rsidR="003E51DF" w:rsidRPr="00463B9A">
        <w:rPr>
          <w:lang w:val="en-US"/>
        </w:rPr>
        <w:t xml:space="preserve">that </w:t>
      </w:r>
      <w:r w:rsidR="002952EE" w:rsidRPr="00463B9A">
        <w:rPr>
          <w:lang w:val="en-US"/>
        </w:rPr>
        <w:t>the author</w:t>
      </w:r>
      <w:r w:rsidR="003E51DF" w:rsidRPr="00463B9A">
        <w:rPr>
          <w:lang w:val="en-US"/>
        </w:rPr>
        <w:t xml:space="preserve"> was not credible</w:t>
      </w:r>
      <w:r w:rsidR="000D24B8" w:rsidRPr="00463B9A">
        <w:rPr>
          <w:lang w:val="en-US"/>
        </w:rPr>
        <w:t xml:space="preserve"> simply because she was not specifically mentioned in the documentary evidence </w:t>
      </w:r>
      <w:r w:rsidR="00CB19F1" w:rsidRPr="00463B9A">
        <w:rPr>
          <w:lang w:val="en-US"/>
        </w:rPr>
        <w:t xml:space="preserve">she presented concerning </w:t>
      </w:r>
      <w:r w:rsidR="000D24B8" w:rsidRPr="00463B9A">
        <w:rPr>
          <w:lang w:val="en-US"/>
        </w:rPr>
        <w:t xml:space="preserve">her brother’s murder or in the subsequent threats. </w:t>
      </w:r>
      <w:r w:rsidR="00940A01" w:rsidRPr="00463B9A">
        <w:rPr>
          <w:lang w:val="en-US"/>
        </w:rPr>
        <w:t>She</w:t>
      </w:r>
      <w:r w:rsidR="000D24B8" w:rsidRPr="00463B9A">
        <w:rPr>
          <w:lang w:val="en-US"/>
        </w:rPr>
        <w:t xml:space="preserve"> provided a copy of </w:t>
      </w:r>
      <w:r w:rsidR="008E3710" w:rsidRPr="00463B9A">
        <w:rPr>
          <w:lang w:val="en-US"/>
        </w:rPr>
        <w:t>the</w:t>
      </w:r>
      <w:r w:rsidR="000D24B8" w:rsidRPr="00463B9A">
        <w:rPr>
          <w:lang w:val="en-US"/>
        </w:rPr>
        <w:t xml:space="preserve"> complaint she made </w:t>
      </w:r>
      <w:r w:rsidR="008E3710" w:rsidRPr="00463B9A">
        <w:rPr>
          <w:lang w:val="en-US"/>
        </w:rPr>
        <w:t>at the police station in Dhaka</w:t>
      </w:r>
      <w:r w:rsidR="000D24B8" w:rsidRPr="00463B9A">
        <w:rPr>
          <w:lang w:val="en-US"/>
        </w:rPr>
        <w:t xml:space="preserve"> concerning death threats </w:t>
      </w:r>
      <w:r w:rsidR="00987426" w:rsidRPr="00463B9A">
        <w:rPr>
          <w:lang w:val="en-US"/>
        </w:rPr>
        <w:t xml:space="preserve">she </w:t>
      </w:r>
      <w:r w:rsidR="008317F3">
        <w:rPr>
          <w:lang w:val="en-US"/>
        </w:rPr>
        <w:t xml:space="preserve">had </w:t>
      </w:r>
      <w:r w:rsidR="000D24B8" w:rsidRPr="00463B9A">
        <w:rPr>
          <w:lang w:val="en-US"/>
        </w:rPr>
        <w:t>received via telephone.</w:t>
      </w:r>
      <w:r w:rsidR="00FF4B81" w:rsidRPr="00AE40E9">
        <w:rPr>
          <w:rStyle w:val="FootnoteReference"/>
        </w:rPr>
        <w:footnoteReference w:id="6"/>
      </w:r>
      <w:r w:rsidR="000D24B8" w:rsidRPr="00463B9A">
        <w:rPr>
          <w:lang w:val="en-US"/>
        </w:rPr>
        <w:t xml:space="preserve"> The author also </w:t>
      </w:r>
      <w:r w:rsidR="003E51DF" w:rsidRPr="00463B9A">
        <w:rPr>
          <w:lang w:val="en-US"/>
        </w:rPr>
        <w:t>present</w:t>
      </w:r>
      <w:r w:rsidR="008317F3">
        <w:rPr>
          <w:lang w:val="en-US"/>
        </w:rPr>
        <w:t>ed</w:t>
      </w:r>
      <w:r w:rsidR="003E51DF" w:rsidRPr="00463B9A">
        <w:rPr>
          <w:lang w:val="en-US"/>
        </w:rPr>
        <w:t xml:space="preserve"> </w:t>
      </w:r>
      <w:r w:rsidR="006E5442" w:rsidRPr="00463B9A">
        <w:rPr>
          <w:lang w:val="en-US"/>
        </w:rPr>
        <w:t xml:space="preserve">to the Committee </w:t>
      </w:r>
      <w:r w:rsidR="00CB19F1" w:rsidRPr="00463B9A">
        <w:rPr>
          <w:lang w:val="en-US"/>
        </w:rPr>
        <w:t>a new statement</w:t>
      </w:r>
      <w:r w:rsidR="002F7310" w:rsidRPr="00463B9A">
        <w:rPr>
          <w:lang w:val="en-US"/>
        </w:rPr>
        <w:t xml:space="preserve"> by</w:t>
      </w:r>
      <w:r w:rsidR="003E51DF" w:rsidRPr="00463B9A">
        <w:rPr>
          <w:lang w:val="en-US"/>
        </w:rPr>
        <w:t xml:space="preserve"> her sister L.</w:t>
      </w:r>
      <w:r w:rsidR="0062311E" w:rsidRPr="00463B9A">
        <w:rPr>
          <w:lang w:val="en-US"/>
        </w:rPr>
        <w:t xml:space="preserve"> to support </w:t>
      </w:r>
      <w:r w:rsidR="00831508" w:rsidRPr="00463B9A">
        <w:rPr>
          <w:lang w:val="en-US"/>
        </w:rPr>
        <w:t xml:space="preserve">her allegation that she </w:t>
      </w:r>
      <w:r w:rsidR="008317F3">
        <w:rPr>
          <w:lang w:val="en-US"/>
        </w:rPr>
        <w:t>had been</w:t>
      </w:r>
      <w:r w:rsidR="008317F3" w:rsidRPr="00463B9A">
        <w:rPr>
          <w:lang w:val="en-US"/>
        </w:rPr>
        <w:t xml:space="preserve"> </w:t>
      </w:r>
      <w:r w:rsidR="00831508" w:rsidRPr="00463B9A">
        <w:rPr>
          <w:lang w:val="en-US"/>
        </w:rPr>
        <w:t>subjected to violence and threats.</w:t>
      </w:r>
      <w:r w:rsidR="000D24B8" w:rsidRPr="00463B9A">
        <w:rPr>
          <w:lang w:val="en-US"/>
        </w:rPr>
        <w:t xml:space="preserve"> The author also asserts that she has never </w:t>
      </w:r>
      <w:r w:rsidR="00E2475B" w:rsidRPr="00463B9A">
        <w:rPr>
          <w:lang w:val="en-US"/>
        </w:rPr>
        <w:t>had</w:t>
      </w:r>
      <w:r w:rsidR="000D24B8" w:rsidRPr="00463B9A">
        <w:rPr>
          <w:lang w:val="en-US"/>
        </w:rPr>
        <w:t xml:space="preserve"> a fair opportunity to contest</w:t>
      </w:r>
      <w:r w:rsidR="00025BA5" w:rsidRPr="00463B9A">
        <w:rPr>
          <w:lang w:val="en-US"/>
        </w:rPr>
        <w:t xml:space="preserve"> the merits of the </w:t>
      </w:r>
      <w:r w:rsidR="008317F3">
        <w:rPr>
          <w:lang w:val="en-US"/>
        </w:rPr>
        <w:t>Board’s</w:t>
      </w:r>
      <w:r w:rsidR="008317F3" w:rsidRPr="00463B9A">
        <w:rPr>
          <w:lang w:val="en-US"/>
        </w:rPr>
        <w:t xml:space="preserve"> </w:t>
      </w:r>
      <w:r w:rsidR="00025BA5" w:rsidRPr="00463B9A">
        <w:rPr>
          <w:lang w:val="en-US"/>
        </w:rPr>
        <w:t>decision</w:t>
      </w:r>
      <w:r w:rsidR="000D24B8" w:rsidRPr="00463B9A">
        <w:rPr>
          <w:lang w:val="en-US"/>
        </w:rPr>
        <w:t xml:space="preserve"> because </w:t>
      </w:r>
      <w:r w:rsidR="00025BA5" w:rsidRPr="00463B9A">
        <w:rPr>
          <w:lang w:val="en-US"/>
        </w:rPr>
        <w:t xml:space="preserve">leave for judicial review of a decision </w:t>
      </w:r>
      <w:r w:rsidR="008317F3">
        <w:rPr>
          <w:lang w:val="en-US"/>
        </w:rPr>
        <w:t xml:space="preserve">of the Board </w:t>
      </w:r>
      <w:r w:rsidR="00025BA5" w:rsidRPr="00463B9A">
        <w:rPr>
          <w:lang w:val="en-US"/>
        </w:rPr>
        <w:t xml:space="preserve">is granted </w:t>
      </w:r>
      <w:r w:rsidR="008317F3" w:rsidRPr="00463B9A">
        <w:rPr>
          <w:lang w:val="en-US"/>
        </w:rPr>
        <w:t xml:space="preserve">only </w:t>
      </w:r>
      <w:r w:rsidR="00025BA5" w:rsidRPr="00463B9A">
        <w:rPr>
          <w:lang w:val="en-US"/>
        </w:rPr>
        <w:t>in about 10 per</w:t>
      </w:r>
      <w:r w:rsidR="008317F3">
        <w:rPr>
          <w:lang w:val="en-US"/>
        </w:rPr>
        <w:t xml:space="preserve"> </w:t>
      </w:r>
      <w:r w:rsidR="00025BA5" w:rsidRPr="00463B9A">
        <w:rPr>
          <w:lang w:val="en-US"/>
        </w:rPr>
        <w:t>cent of cases</w:t>
      </w:r>
      <w:r w:rsidR="000D24B8" w:rsidRPr="00463B9A">
        <w:rPr>
          <w:lang w:val="en-US"/>
        </w:rPr>
        <w:t>.</w:t>
      </w:r>
      <w:r w:rsidR="00787D34" w:rsidRPr="00463B9A">
        <w:rPr>
          <w:lang w:val="en-US"/>
        </w:rPr>
        <w:t xml:space="preserve"> </w:t>
      </w:r>
    </w:p>
    <w:p w14:paraId="45D4388F" w14:textId="0AC26DC3" w:rsidR="00A40224" w:rsidRPr="00463B9A" w:rsidRDefault="00253F6A" w:rsidP="00E20C09">
      <w:pPr>
        <w:pStyle w:val="SingleTxtG"/>
      </w:pPr>
      <w:r w:rsidRPr="00463B9A">
        <w:rPr>
          <w:lang w:val="en-US"/>
        </w:rPr>
        <w:t>3.</w:t>
      </w:r>
      <w:r w:rsidR="00A00415" w:rsidRPr="00463B9A">
        <w:rPr>
          <w:lang w:val="en-US"/>
        </w:rPr>
        <w:t>3</w:t>
      </w:r>
      <w:r w:rsidRPr="00463B9A">
        <w:rPr>
          <w:lang w:val="en-US"/>
        </w:rPr>
        <w:tab/>
        <w:t>The author further s</w:t>
      </w:r>
      <w:r w:rsidR="000D24B8" w:rsidRPr="00463B9A">
        <w:rPr>
          <w:lang w:val="en-US"/>
        </w:rPr>
        <w:t>ubmits that she is suffering from severe depression and anxiety, and that her symptoms are so grave that they interfere with her daily functioning.</w:t>
      </w:r>
      <w:r w:rsidR="000D24B8" w:rsidRPr="00AE40E9">
        <w:rPr>
          <w:rStyle w:val="FootnoteReference"/>
        </w:rPr>
        <w:footnoteReference w:id="7"/>
      </w:r>
      <w:r w:rsidR="000D24B8" w:rsidRPr="00463B9A">
        <w:rPr>
          <w:lang w:val="en-US"/>
        </w:rPr>
        <w:t xml:space="preserve"> </w:t>
      </w:r>
    </w:p>
    <w:p w14:paraId="798A905A" w14:textId="77777777" w:rsidR="00A40224" w:rsidRPr="00463B9A" w:rsidRDefault="00B61233" w:rsidP="00B61233">
      <w:pPr>
        <w:pStyle w:val="H23G"/>
      </w:pPr>
      <w:r w:rsidRPr="00463B9A">
        <w:tab/>
      </w:r>
      <w:r w:rsidRPr="00463B9A">
        <w:tab/>
      </w:r>
      <w:r w:rsidR="00A40224" w:rsidRPr="00463B9A">
        <w:t xml:space="preserve">State party’s observations on </w:t>
      </w:r>
      <w:r w:rsidR="00455990" w:rsidRPr="00463B9A">
        <w:t>admissibility</w:t>
      </w:r>
    </w:p>
    <w:p w14:paraId="53D0B4B2" w14:textId="5EA77F5C" w:rsidR="00253F6A" w:rsidRPr="00463B9A" w:rsidRDefault="00A40224" w:rsidP="00CD38CE">
      <w:pPr>
        <w:pStyle w:val="SingleTxtG"/>
      </w:pPr>
      <w:r w:rsidRPr="00463B9A">
        <w:rPr>
          <w:lang w:val="en-US"/>
        </w:rPr>
        <w:t>4.1</w:t>
      </w:r>
      <w:r w:rsidRPr="00463B9A">
        <w:rPr>
          <w:lang w:val="en-US"/>
        </w:rPr>
        <w:tab/>
      </w:r>
      <w:r w:rsidR="00253F6A" w:rsidRPr="00463B9A">
        <w:t xml:space="preserve">In its observations dated 24 June 2014, the State party considers that the communication is inadmissible </w:t>
      </w:r>
      <w:r w:rsidR="00F23755" w:rsidRPr="00463B9A">
        <w:t>under article</w:t>
      </w:r>
      <w:r w:rsidR="007257DC" w:rsidRPr="00463B9A">
        <w:t>s 2 and</w:t>
      </w:r>
      <w:r w:rsidR="00F23755" w:rsidRPr="00463B9A">
        <w:t xml:space="preserve"> 5 (2)</w:t>
      </w:r>
      <w:r w:rsidR="00251A57">
        <w:t xml:space="preserve"> </w:t>
      </w:r>
      <w:r w:rsidR="00F23755" w:rsidRPr="00463B9A">
        <w:t xml:space="preserve">(b) of the Optional Protocol </w:t>
      </w:r>
      <w:r w:rsidR="00455990" w:rsidRPr="00463B9A">
        <w:t xml:space="preserve">because the author has not exhausted domestic remedies. On 15 March 2014, she became </w:t>
      </w:r>
      <w:r w:rsidR="00253F6A" w:rsidRPr="00463B9A">
        <w:t>eligible to file PRRA and H&amp;C appl</w:t>
      </w:r>
      <w:r w:rsidR="00455990" w:rsidRPr="00463B9A">
        <w:t xml:space="preserve">ications, and on 1 April 2014, she filed a PRRA application. This </w:t>
      </w:r>
      <w:r w:rsidR="00253F6A" w:rsidRPr="00463B9A">
        <w:t xml:space="preserve">means that her allegation </w:t>
      </w:r>
      <w:r w:rsidR="00251A57">
        <w:t>that she would be at risk</w:t>
      </w:r>
      <w:r w:rsidR="00253F6A" w:rsidRPr="00463B9A">
        <w:t xml:space="preserve"> upon return will be assessed prior to her removal. </w:t>
      </w:r>
      <w:r w:rsidR="0086712D" w:rsidRPr="00463B9A">
        <w:t>If</w:t>
      </w:r>
      <w:r w:rsidR="00536E91" w:rsidRPr="00463B9A">
        <w:t xml:space="preserve"> </w:t>
      </w:r>
      <w:r w:rsidR="0058362D" w:rsidRPr="00463B9A">
        <w:t>her</w:t>
      </w:r>
      <w:r w:rsidR="00253F6A" w:rsidRPr="00463B9A">
        <w:t xml:space="preserve"> PRRA application is denied, </w:t>
      </w:r>
      <w:r w:rsidR="0058362D" w:rsidRPr="00463B9A">
        <w:t>she</w:t>
      </w:r>
      <w:r w:rsidR="00253F6A" w:rsidRPr="00463B9A">
        <w:t xml:space="preserve"> will </w:t>
      </w:r>
      <w:r w:rsidR="00455990" w:rsidRPr="00463B9A">
        <w:t>be able to</w:t>
      </w:r>
      <w:r w:rsidR="00253F6A" w:rsidRPr="00463B9A">
        <w:t xml:space="preserve"> seek judicial review of that decision and </w:t>
      </w:r>
      <w:r w:rsidR="00251A57">
        <w:t>can</w:t>
      </w:r>
      <w:r w:rsidR="00251A57" w:rsidRPr="00463B9A">
        <w:t xml:space="preserve"> </w:t>
      </w:r>
      <w:r w:rsidR="00253F6A" w:rsidRPr="00463B9A">
        <w:t xml:space="preserve">also seek a judicial stay of removal </w:t>
      </w:r>
      <w:r w:rsidR="00DF28C0" w:rsidRPr="00463B9A">
        <w:t>while her application for judicial review is pending.</w:t>
      </w:r>
      <w:r w:rsidR="00B8190F" w:rsidRPr="00463B9A">
        <w:t xml:space="preserve"> </w:t>
      </w:r>
      <w:r w:rsidR="00C82602" w:rsidRPr="00463B9A">
        <w:t xml:space="preserve">As she </w:t>
      </w:r>
      <w:r w:rsidR="00251A57">
        <w:t xml:space="preserve">has </w:t>
      </w:r>
      <w:r w:rsidR="00C82602" w:rsidRPr="00463B9A">
        <w:t xml:space="preserve">filed a PRRA application, her </w:t>
      </w:r>
      <w:r w:rsidR="00C82602" w:rsidRPr="00463B9A">
        <w:lastRenderedPageBreak/>
        <w:t xml:space="preserve">communication before the Committee has become moot and is hence inadmissible under article 1 of the Optional Protocol. </w:t>
      </w:r>
      <w:r w:rsidR="00251A57">
        <w:t xml:space="preserve"> </w:t>
      </w:r>
    </w:p>
    <w:p w14:paraId="08B0EF01" w14:textId="77777777" w:rsidR="00A40224" w:rsidRPr="00463B9A" w:rsidRDefault="00253F6A" w:rsidP="00253F6A">
      <w:pPr>
        <w:pStyle w:val="SingleTxtG"/>
      </w:pPr>
      <w:r w:rsidRPr="00463B9A">
        <w:t>4.</w:t>
      </w:r>
      <w:r w:rsidR="0041249C" w:rsidRPr="00463B9A">
        <w:t>2</w:t>
      </w:r>
      <w:r w:rsidRPr="00463B9A">
        <w:tab/>
        <w:t xml:space="preserve">The State party further considers that the author’s </w:t>
      </w:r>
      <w:r w:rsidR="003965B5" w:rsidRPr="00463B9A">
        <w:t xml:space="preserve">claims under articles 9 (1) and 26 of the Covenant are inadmissible </w:t>
      </w:r>
      <w:r w:rsidR="00376B42" w:rsidRPr="00463B9A">
        <w:t xml:space="preserve">under article 3 of the Optional Protocol </w:t>
      </w:r>
      <w:r w:rsidRPr="00463B9A">
        <w:t>because these provisions have no extraterritorial application. Any alleged risks to the author’s security should only be considered as part of the assessment of her complaint in relation to articles 6 and 7.</w:t>
      </w:r>
    </w:p>
    <w:p w14:paraId="06CDA0C8" w14:textId="77777777" w:rsidR="00A40224" w:rsidRPr="00463B9A" w:rsidRDefault="00B61233" w:rsidP="00B61233">
      <w:pPr>
        <w:pStyle w:val="H23G"/>
        <w:rPr>
          <w:lang w:val="en-US"/>
        </w:rPr>
      </w:pPr>
      <w:r w:rsidRPr="00463B9A">
        <w:rPr>
          <w:lang w:val="en-US"/>
        </w:rPr>
        <w:tab/>
      </w:r>
      <w:r w:rsidRPr="00463B9A">
        <w:rPr>
          <w:lang w:val="en-US"/>
        </w:rPr>
        <w:tab/>
      </w:r>
      <w:r w:rsidR="00A40224" w:rsidRPr="00463B9A">
        <w:rPr>
          <w:lang w:val="en-US"/>
        </w:rPr>
        <w:t>Author’s comments on the State party’s observations</w:t>
      </w:r>
    </w:p>
    <w:p w14:paraId="199DBA9A" w14:textId="58A178D7" w:rsidR="00C85647" w:rsidRPr="00463B9A" w:rsidRDefault="00A40224" w:rsidP="00C85647">
      <w:pPr>
        <w:pStyle w:val="SingleTxtG"/>
      </w:pPr>
      <w:r w:rsidRPr="00463B9A">
        <w:t>5.1</w:t>
      </w:r>
      <w:r w:rsidRPr="00463B9A">
        <w:tab/>
      </w:r>
      <w:r w:rsidR="00C85647" w:rsidRPr="00463B9A">
        <w:t xml:space="preserve">In her comments dated </w:t>
      </w:r>
      <w:r w:rsidR="00687592" w:rsidRPr="00463B9A">
        <w:t>25</w:t>
      </w:r>
      <w:r w:rsidR="00C85647" w:rsidRPr="00463B9A">
        <w:t xml:space="preserve"> July 2014, the author asserts that </w:t>
      </w:r>
      <w:r w:rsidR="00955A82" w:rsidRPr="00463B9A">
        <w:t xml:space="preserve">the PRRA </w:t>
      </w:r>
      <w:r w:rsidR="00C22A36" w:rsidRPr="00463B9A">
        <w:t xml:space="preserve">process </w:t>
      </w:r>
      <w:r w:rsidR="00955A82" w:rsidRPr="00463B9A">
        <w:t xml:space="preserve">is not an effective remedy because </w:t>
      </w:r>
      <w:r w:rsidR="001664CF" w:rsidRPr="00463B9A">
        <w:t xml:space="preserve">only </w:t>
      </w:r>
      <w:r w:rsidR="00251A57">
        <w:t>2-3</w:t>
      </w:r>
      <w:r w:rsidR="001664CF" w:rsidRPr="00463B9A">
        <w:t xml:space="preserve"> per</w:t>
      </w:r>
      <w:r w:rsidR="00251A57">
        <w:t xml:space="preserve"> </w:t>
      </w:r>
      <w:r w:rsidR="001664CF" w:rsidRPr="00463B9A">
        <w:t xml:space="preserve">cent of </w:t>
      </w:r>
      <w:r w:rsidR="00251A57">
        <w:t>such</w:t>
      </w:r>
      <w:r w:rsidR="00251A57" w:rsidRPr="00463B9A">
        <w:t xml:space="preserve"> </w:t>
      </w:r>
      <w:r w:rsidR="00955A82" w:rsidRPr="00463B9A">
        <w:t>applications are successful.</w:t>
      </w:r>
      <w:r w:rsidR="00251A57">
        <w:t xml:space="preserve"> </w:t>
      </w:r>
    </w:p>
    <w:p w14:paraId="530C6449" w14:textId="45A5AEF7" w:rsidR="00C85647" w:rsidRPr="00463B9A" w:rsidRDefault="00C85647" w:rsidP="00C85647">
      <w:pPr>
        <w:pStyle w:val="SingleTxtG"/>
      </w:pPr>
      <w:r w:rsidRPr="00463B9A">
        <w:t>5.2</w:t>
      </w:r>
      <w:r w:rsidRPr="00463B9A">
        <w:tab/>
        <w:t xml:space="preserve">The author also maintains that </w:t>
      </w:r>
      <w:r w:rsidR="009425D6" w:rsidRPr="00463B9A">
        <w:t xml:space="preserve">eligibility for residency on </w:t>
      </w:r>
      <w:r w:rsidRPr="00463B9A">
        <w:t xml:space="preserve">H&amp;C </w:t>
      </w:r>
      <w:r w:rsidR="009425D6" w:rsidRPr="00463B9A">
        <w:t>grounds</w:t>
      </w:r>
      <w:r w:rsidRPr="00463B9A">
        <w:t xml:space="preserve"> </w:t>
      </w:r>
      <w:r w:rsidR="00174770" w:rsidRPr="00463B9A">
        <w:t>depends</w:t>
      </w:r>
      <w:r w:rsidRPr="00463B9A">
        <w:t xml:space="preserve"> not only on </w:t>
      </w:r>
      <w:r w:rsidR="00357BB9" w:rsidRPr="00463B9A">
        <w:t xml:space="preserve">the </w:t>
      </w:r>
      <w:r w:rsidRPr="00463B9A">
        <w:t>hardship</w:t>
      </w:r>
      <w:r w:rsidR="00EF08D3" w:rsidRPr="00463B9A">
        <w:t xml:space="preserve"> that</w:t>
      </w:r>
      <w:r w:rsidRPr="00463B9A">
        <w:t xml:space="preserve"> </w:t>
      </w:r>
      <w:r w:rsidR="00377A5B" w:rsidRPr="00463B9A">
        <w:t xml:space="preserve">the applicant would face </w:t>
      </w:r>
      <w:r w:rsidRPr="00463B9A">
        <w:t xml:space="preserve">upon return to </w:t>
      </w:r>
      <w:r w:rsidR="004411EE">
        <w:t xml:space="preserve">the </w:t>
      </w:r>
      <w:r w:rsidR="00380A07" w:rsidRPr="00463B9A">
        <w:t xml:space="preserve">country of origin, but also </w:t>
      </w:r>
      <w:r w:rsidR="008F1131" w:rsidRPr="00463B9A">
        <w:t>on the</w:t>
      </w:r>
      <w:r w:rsidR="00843FDA" w:rsidRPr="00463B9A">
        <w:t xml:space="preserve"> </w:t>
      </w:r>
      <w:r w:rsidR="00E80BC2" w:rsidRPr="00463B9A">
        <w:t>degree to which the applicant is established in Canad</w:t>
      </w:r>
      <w:r w:rsidR="000677DC" w:rsidRPr="00463B9A">
        <w:t xml:space="preserve">a. </w:t>
      </w:r>
      <w:r w:rsidR="00875BD5" w:rsidRPr="00463B9A">
        <w:t>Because</w:t>
      </w:r>
      <w:r w:rsidRPr="00463B9A">
        <w:t xml:space="preserve"> she is </w:t>
      </w:r>
      <w:r w:rsidR="00CA0B3F" w:rsidRPr="00463B9A">
        <w:t>“</w:t>
      </w:r>
      <w:r w:rsidRPr="00463B9A">
        <w:t>presently dealing with psychological issues and had difficulty obtaining employment</w:t>
      </w:r>
      <w:r w:rsidR="00CA0B3F" w:rsidRPr="00463B9A">
        <w:t>”</w:t>
      </w:r>
      <w:r w:rsidR="00251A57">
        <w:t>,</w:t>
      </w:r>
      <w:r w:rsidRPr="00463B9A">
        <w:t xml:space="preserve"> which is an important step in proving </w:t>
      </w:r>
      <w:r w:rsidR="001B4CF8" w:rsidRPr="00463B9A">
        <w:t xml:space="preserve">that she is established </w:t>
      </w:r>
      <w:r w:rsidRPr="00463B9A">
        <w:t xml:space="preserve">in Canada, she </w:t>
      </w:r>
      <w:r w:rsidR="00843FDA" w:rsidRPr="00463B9A">
        <w:t xml:space="preserve">has </w:t>
      </w:r>
      <w:r w:rsidRPr="00463B9A">
        <w:t>chose</w:t>
      </w:r>
      <w:r w:rsidR="00843FDA" w:rsidRPr="00463B9A">
        <w:t>n</w:t>
      </w:r>
      <w:r w:rsidRPr="00463B9A">
        <w:t xml:space="preserve"> to wait until she </w:t>
      </w:r>
      <w:r w:rsidR="00DA2534" w:rsidRPr="00463B9A">
        <w:t>is able to</w:t>
      </w:r>
      <w:r w:rsidR="00843FDA" w:rsidRPr="00463B9A">
        <w:t xml:space="preserve"> present a stronger and more effective </w:t>
      </w:r>
      <w:r w:rsidR="00DA2534" w:rsidRPr="00463B9A">
        <w:t>H&amp;C application</w:t>
      </w:r>
      <w:r w:rsidR="00875BD5" w:rsidRPr="00463B9A">
        <w:t>.</w:t>
      </w:r>
      <w:r w:rsidR="00E20C09">
        <w:t xml:space="preserve"> </w:t>
      </w:r>
      <w:r w:rsidR="000A3E38" w:rsidRPr="00463B9A">
        <w:t>Furthermore, b</w:t>
      </w:r>
      <w:r w:rsidR="00160A72" w:rsidRPr="00463B9A">
        <w:t>ecause removal is not automatically stayed during the processing of an</w:t>
      </w:r>
      <w:r w:rsidR="00356AE3" w:rsidRPr="00463B9A">
        <w:t xml:space="preserve"> H&amp;C application</w:t>
      </w:r>
      <w:r w:rsidR="00160A72" w:rsidRPr="00463B9A">
        <w:t>, it</w:t>
      </w:r>
      <w:r w:rsidR="00356AE3" w:rsidRPr="00463B9A">
        <w:t xml:space="preserve"> </w:t>
      </w:r>
      <w:r w:rsidRPr="00463B9A">
        <w:t>is not a</w:t>
      </w:r>
      <w:r w:rsidR="00356AE3" w:rsidRPr="00463B9A">
        <w:t>n available and effective remedy</w:t>
      </w:r>
      <w:r w:rsidR="00160A72" w:rsidRPr="00463B9A">
        <w:t>.</w:t>
      </w:r>
      <w:r w:rsidR="00251A57">
        <w:t xml:space="preserve"> </w:t>
      </w:r>
    </w:p>
    <w:p w14:paraId="1D702328" w14:textId="003611ED" w:rsidR="00A40224" w:rsidRPr="00463B9A" w:rsidRDefault="00C85647" w:rsidP="00C85647">
      <w:pPr>
        <w:pStyle w:val="SingleTxtG"/>
      </w:pPr>
      <w:r w:rsidRPr="00463B9A">
        <w:t>5.3</w:t>
      </w:r>
      <w:r w:rsidRPr="00463B9A">
        <w:tab/>
        <w:t>With regard to the issue of the extraterritorial application of article 9 (1) of the Covenant, the author submits that the Committee</w:t>
      </w:r>
      <w:r w:rsidR="004A48D2" w:rsidRPr="00463B9A">
        <w:t xml:space="preserve"> should follow the </w:t>
      </w:r>
      <w:r w:rsidR="00EF08D3" w:rsidRPr="00463B9A">
        <w:t xml:space="preserve">admissibility </w:t>
      </w:r>
      <w:r w:rsidR="004A48D2" w:rsidRPr="00463B9A">
        <w:t xml:space="preserve">approach </w:t>
      </w:r>
      <w:r w:rsidR="00AB667B" w:rsidRPr="00463B9A">
        <w:t>set forth</w:t>
      </w:r>
      <w:r w:rsidR="004A48D2" w:rsidRPr="00463B9A">
        <w:t xml:space="preserve"> in its</w:t>
      </w:r>
      <w:r w:rsidRPr="00463B9A">
        <w:t xml:space="preserve"> Views </w:t>
      </w:r>
      <w:r w:rsidR="004A48D2" w:rsidRPr="00463B9A">
        <w:t>on</w:t>
      </w:r>
      <w:r w:rsidRPr="00463B9A">
        <w:t xml:space="preserve"> communication No. 1898/2009, </w:t>
      </w:r>
      <w:r w:rsidR="004A48D2" w:rsidRPr="00463B9A">
        <w:t>which</w:t>
      </w:r>
      <w:r w:rsidRPr="00463B9A">
        <w:t xml:space="preserve"> involved similar allegations, documents and family circumstances that pointed to a risk of arbitrary detention and persecution upon return to Bangladesh.</w:t>
      </w:r>
      <w:r w:rsidRPr="00AE40E9">
        <w:rPr>
          <w:rStyle w:val="FootnoteReference"/>
        </w:rPr>
        <w:footnoteReference w:id="8"/>
      </w:r>
      <w:r w:rsidRPr="00463B9A">
        <w:t xml:space="preserve"> The author also argues that the same reasoning should apply to </w:t>
      </w:r>
      <w:r w:rsidR="0058362D" w:rsidRPr="00463B9A">
        <w:t>her</w:t>
      </w:r>
      <w:r w:rsidR="00BF5DEA" w:rsidRPr="00463B9A">
        <w:t xml:space="preserve"> claim</w:t>
      </w:r>
      <w:r w:rsidRPr="00463B9A">
        <w:t xml:space="preserve"> un</w:t>
      </w:r>
      <w:r w:rsidR="001017E5" w:rsidRPr="00463B9A">
        <w:t>der article 26 of the Covenant.</w:t>
      </w:r>
    </w:p>
    <w:p w14:paraId="720178D0" w14:textId="474CD760" w:rsidR="00EA5731" w:rsidRPr="00463B9A" w:rsidRDefault="0079639C" w:rsidP="00C03875">
      <w:pPr>
        <w:pStyle w:val="SingleTxtG"/>
      </w:pPr>
      <w:r w:rsidRPr="00463B9A">
        <w:t>5.4</w:t>
      </w:r>
      <w:r w:rsidR="00C03875" w:rsidRPr="00463B9A">
        <w:tab/>
        <w:t xml:space="preserve">On 16 October 2014, the author </w:t>
      </w:r>
      <w:r w:rsidR="003A282D" w:rsidRPr="00463B9A">
        <w:t>informed the Committee</w:t>
      </w:r>
      <w:r w:rsidR="00C03875" w:rsidRPr="00463B9A">
        <w:t xml:space="preserve"> that her P</w:t>
      </w:r>
      <w:r w:rsidR="00EA5731" w:rsidRPr="00463B9A">
        <w:t xml:space="preserve">RRA application had been denied for the same reasons </w:t>
      </w:r>
      <w:r w:rsidR="00835962" w:rsidRPr="00463B9A">
        <w:t>set forth</w:t>
      </w:r>
      <w:r w:rsidR="00EA5731" w:rsidRPr="00463B9A">
        <w:t xml:space="preserve"> by the </w:t>
      </w:r>
      <w:r w:rsidR="00F240FD" w:rsidRPr="00463B9A">
        <w:t xml:space="preserve">Refugee Protection Division </w:t>
      </w:r>
      <w:r w:rsidR="00251A57">
        <w:t>of the Immigration and Refugee Board</w:t>
      </w:r>
      <w:r w:rsidR="00EA5731" w:rsidRPr="00463B9A">
        <w:t xml:space="preserve">. </w:t>
      </w:r>
      <w:r w:rsidR="00251A57">
        <w:t xml:space="preserve"> </w:t>
      </w:r>
    </w:p>
    <w:p w14:paraId="3D84C81C" w14:textId="210CF63D" w:rsidR="00C03875" w:rsidRPr="00463B9A" w:rsidRDefault="00E20C09" w:rsidP="00E20C09">
      <w:pPr>
        <w:pStyle w:val="H23G"/>
      </w:pPr>
      <w:r>
        <w:tab/>
      </w:r>
      <w:r>
        <w:tab/>
      </w:r>
      <w:r w:rsidR="00C03875" w:rsidRPr="00463B9A">
        <w:t xml:space="preserve">State party’s </w:t>
      </w:r>
      <w:r w:rsidR="00251A57">
        <w:t>additional</w:t>
      </w:r>
      <w:r w:rsidR="00251A57" w:rsidRPr="00463B9A">
        <w:t xml:space="preserve"> </w:t>
      </w:r>
      <w:r w:rsidR="00C03875" w:rsidRPr="00463B9A">
        <w:t>observations on admissibility</w:t>
      </w:r>
      <w:r w:rsidR="00251A57">
        <w:t xml:space="preserve"> </w:t>
      </w:r>
      <w:r w:rsidR="00C03875" w:rsidRPr="00463B9A">
        <w:t>and observations on the merits</w:t>
      </w:r>
    </w:p>
    <w:p w14:paraId="29FDC073" w14:textId="6108B1BA" w:rsidR="00F73665" w:rsidRPr="00463B9A" w:rsidRDefault="0079639C" w:rsidP="00F73665">
      <w:pPr>
        <w:pStyle w:val="SingleTxtG"/>
      </w:pPr>
      <w:r w:rsidRPr="00463B9A">
        <w:t>6</w:t>
      </w:r>
      <w:r w:rsidR="00C03875" w:rsidRPr="00463B9A">
        <w:t>.1</w:t>
      </w:r>
      <w:r w:rsidR="00C03875" w:rsidRPr="00463B9A">
        <w:tab/>
      </w:r>
      <w:r w:rsidR="000E1605" w:rsidRPr="00463B9A">
        <w:t xml:space="preserve">In its </w:t>
      </w:r>
      <w:r w:rsidR="00B8643E" w:rsidRPr="00463B9A">
        <w:t xml:space="preserve">observations </w:t>
      </w:r>
      <w:r w:rsidR="000E1605" w:rsidRPr="00463B9A">
        <w:t>dated 8 January 2015, t</w:t>
      </w:r>
      <w:r w:rsidR="002356FD" w:rsidRPr="00463B9A">
        <w:t>he State party inform</w:t>
      </w:r>
      <w:r w:rsidR="000E1605" w:rsidRPr="00463B9A">
        <w:t>ed</w:t>
      </w:r>
      <w:r w:rsidR="002356FD" w:rsidRPr="00463B9A">
        <w:t xml:space="preserve"> </w:t>
      </w:r>
      <w:r w:rsidR="009223F1" w:rsidRPr="00463B9A">
        <w:t xml:space="preserve">the Committee </w:t>
      </w:r>
      <w:r w:rsidR="002356FD" w:rsidRPr="00463B9A">
        <w:t xml:space="preserve">that the author </w:t>
      </w:r>
      <w:r w:rsidR="0065702E" w:rsidRPr="00463B9A">
        <w:t>ha</w:t>
      </w:r>
      <w:r w:rsidR="00251A57">
        <w:t>d</w:t>
      </w:r>
      <w:r w:rsidR="0065702E" w:rsidRPr="00463B9A">
        <w:t xml:space="preserve"> filed a</w:t>
      </w:r>
      <w:r w:rsidR="007363EA" w:rsidRPr="00463B9A">
        <w:t>n</w:t>
      </w:r>
      <w:r w:rsidR="002356FD" w:rsidRPr="00463B9A">
        <w:t xml:space="preserve"> application for leave and judicial review of the PRRA decision</w:t>
      </w:r>
      <w:r w:rsidR="00C50141" w:rsidRPr="00463B9A">
        <w:t xml:space="preserve">; </w:t>
      </w:r>
      <w:r w:rsidR="00251A57">
        <w:t>the</w:t>
      </w:r>
      <w:r w:rsidR="00251A57" w:rsidRPr="00463B9A">
        <w:t xml:space="preserve"> </w:t>
      </w:r>
      <w:r w:rsidR="00C50141" w:rsidRPr="00463B9A">
        <w:t xml:space="preserve">application </w:t>
      </w:r>
      <w:r w:rsidR="00251A57">
        <w:t>was</w:t>
      </w:r>
      <w:r w:rsidR="00251A57" w:rsidRPr="00463B9A">
        <w:t xml:space="preserve"> </w:t>
      </w:r>
      <w:r w:rsidR="00C50141" w:rsidRPr="00463B9A">
        <w:t>still pending.</w:t>
      </w:r>
      <w:r w:rsidR="002356FD" w:rsidRPr="00463B9A">
        <w:t xml:space="preserve"> The author </w:t>
      </w:r>
      <w:r w:rsidR="00665A85" w:rsidRPr="00463B9A">
        <w:t xml:space="preserve">was </w:t>
      </w:r>
      <w:r w:rsidR="002356FD" w:rsidRPr="00463B9A">
        <w:t xml:space="preserve">still eligible to file an H&amp;C application but </w:t>
      </w:r>
      <w:r w:rsidR="00665A85" w:rsidRPr="00463B9A">
        <w:t xml:space="preserve">had </w:t>
      </w:r>
      <w:r w:rsidR="002356FD" w:rsidRPr="00463B9A">
        <w:t xml:space="preserve">not done so. </w:t>
      </w:r>
    </w:p>
    <w:p w14:paraId="06CCD34C" w14:textId="04B96B0F" w:rsidR="008356B4" w:rsidRPr="00463B9A" w:rsidRDefault="0079639C" w:rsidP="005D3735">
      <w:pPr>
        <w:pStyle w:val="SingleTxtG"/>
        <w:rPr>
          <w:lang w:val="en-CA"/>
        </w:rPr>
      </w:pPr>
      <w:r w:rsidRPr="00463B9A">
        <w:t>6</w:t>
      </w:r>
      <w:r w:rsidR="002356FD" w:rsidRPr="00463B9A">
        <w:t>.</w:t>
      </w:r>
      <w:r w:rsidR="004B033A" w:rsidRPr="00463B9A">
        <w:t>2</w:t>
      </w:r>
      <w:r w:rsidR="002356FD" w:rsidRPr="00463B9A">
        <w:tab/>
      </w:r>
      <w:r w:rsidR="00C03875" w:rsidRPr="00463B9A">
        <w:t xml:space="preserve">The State party </w:t>
      </w:r>
      <w:r w:rsidR="00F73665" w:rsidRPr="00463B9A">
        <w:t>reiterates</w:t>
      </w:r>
      <w:r w:rsidR="00C03875" w:rsidRPr="00463B9A">
        <w:t xml:space="preserve"> that the communication </w:t>
      </w:r>
      <w:r w:rsidR="00F73665" w:rsidRPr="00463B9A">
        <w:t xml:space="preserve">is inadmissible </w:t>
      </w:r>
      <w:r w:rsidR="005D3735" w:rsidRPr="00463B9A">
        <w:t>under articles 1, 2, 3 and 5</w:t>
      </w:r>
      <w:r w:rsidR="00AD436B" w:rsidRPr="00463B9A">
        <w:t xml:space="preserve"> </w:t>
      </w:r>
      <w:r w:rsidR="005D3735" w:rsidRPr="00463B9A">
        <w:t>(2)</w:t>
      </w:r>
      <w:r w:rsidR="00251A57">
        <w:t xml:space="preserve"> </w:t>
      </w:r>
      <w:r w:rsidR="005D3735" w:rsidRPr="00463B9A">
        <w:t xml:space="preserve">(b) </w:t>
      </w:r>
      <w:r w:rsidR="00251A57">
        <w:t>on the grounds that it is</w:t>
      </w:r>
      <w:r w:rsidR="005D3735" w:rsidRPr="00463B9A">
        <w:t xml:space="preserve"> moot, </w:t>
      </w:r>
      <w:r w:rsidR="00251A57">
        <w:t>that domestic remedies have not been exhausted</w:t>
      </w:r>
      <w:r w:rsidR="005D3735" w:rsidRPr="00463B9A">
        <w:t xml:space="preserve"> and </w:t>
      </w:r>
      <w:r w:rsidR="00251A57">
        <w:t xml:space="preserve">that it is </w:t>
      </w:r>
      <w:r w:rsidR="005D3735" w:rsidRPr="00463B9A">
        <w:t>incompatib</w:t>
      </w:r>
      <w:r w:rsidR="00251A57">
        <w:t>le</w:t>
      </w:r>
      <w:r w:rsidR="005D3735" w:rsidRPr="00463B9A">
        <w:t xml:space="preserve"> with the provisions of the Covenant. </w:t>
      </w:r>
      <w:r w:rsidR="00F73665" w:rsidRPr="00463B9A">
        <w:rPr>
          <w:lang w:val="en-CA"/>
        </w:rPr>
        <w:t xml:space="preserve">Concerning the author’s </w:t>
      </w:r>
      <w:r w:rsidR="002C34EA" w:rsidRPr="00463B9A">
        <w:rPr>
          <w:lang w:val="en-CA"/>
        </w:rPr>
        <w:t xml:space="preserve">criticisms of the PRRA process, </w:t>
      </w:r>
      <w:r w:rsidR="00D64785" w:rsidRPr="00463B9A">
        <w:t xml:space="preserve">the </w:t>
      </w:r>
      <w:r w:rsidR="00BB67AC" w:rsidRPr="00463B9A">
        <w:t xml:space="preserve">State party </w:t>
      </w:r>
      <w:r w:rsidR="002F181D" w:rsidRPr="00463B9A">
        <w:t>observes</w:t>
      </w:r>
      <w:r w:rsidR="00BB67AC" w:rsidRPr="00463B9A">
        <w:t xml:space="preserve"> that the </w:t>
      </w:r>
      <w:r w:rsidR="00D64785" w:rsidRPr="00463B9A">
        <w:t xml:space="preserve">Federal Court of Canada has confirmed </w:t>
      </w:r>
      <w:r w:rsidR="002F181D" w:rsidRPr="00463B9A">
        <w:t>the independence of PRRA decision</w:t>
      </w:r>
      <w:r w:rsidR="00251A57">
        <w:t xml:space="preserve"> </w:t>
      </w:r>
      <w:r w:rsidR="002F181D" w:rsidRPr="00463B9A">
        <w:t xml:space="preserve">makers </w:t>
      </w:r>
      <w:r w:rsidR="00D64785" w:rsidRPr="00463B9A">
        <w:t xml:space="preserve">in several </w:t>
      </w:r>
      <w:r w:rsidR="002F181D" w:rsidRPr="00463B9A">
        <w:t>cases</w:t>
      </w:r>
      <w:r w:rsidR="00D64785" w:rsidRPr="00463B9A">
        <w:t>.</w:t>
      </w:r>
      <w:r w:rsidR="001A2F6D" w:rsidRPr="00463B9A">
        <w:rPr>
          <w:rStyle w:val="FootnoteReference"/>
        </w:rPr>
        <w:t xml:space="preserve"> </w:t>
      </w:r>
      <w:r w:rsidR="00787D34" w:rsidRPr="00463B9A">
        <w:t xml:space="preserve">Moreover, the acceptance rate of </w:t>
      </w:r>
      <w:r w:rsidR="00251A57">
        <w:t>such</w:t>
      </w:r>
      <w:r w:rsidR="00251A57" w:rsidRPr="00463B9A">
        <w:t xml:space="preserve"> </w:t>
      </w:r>
      <w:r w:rsidR="00787D34" w:rsidRPr="00463B9A">
        <w:t>applications</w:t>
      </w:r>
      <w:r w:rsidR="00EB1A4D" w:rsidRPr="00463B9A">
        <w:t xml:space="preserve"> in itself does not establish that the process lacks independence or is biased in favour of removal. </w:t>
      </w:r>
      <w:r w:rsidR="008356B4" w:rsidRPr="00463B9A">
        <w:rPr>
          <w:lang w:val="en-CA"/>
        </w:rPr>
        <w:t xml:space="preserve">The relevance of </w:t>
      </w:r>
      <w:r w:rsidR="001A2F6D" w:rsidRPr="00463B9A">
        <w:rPr>
          <w:lang w:val="en-CA"/>
        </w:rPr>
        <w:t>a</w:t>
      </w:r>
      <w:r w:rsidR="008356B4" w:rsidRPr="00463B9A">
        <w:rPr>
          <w:lang w:val="en-CA"/>
        </w:rPr>
        <w:t xml:space="preserve"> low acceptance rate should be assessed in</w:t>
      </w:r>
      <w:r w:rsidR="00251A57">
        <w:rPr>
          <w:lang w:val="en-CA"/>
        </w:rPr>
        <w:t xml:space="preserve"> the</w:t>
      </w:r>
      <w:r w:rsidR="008356B4" w:rsidRPr="00463B9A">
        <w:rPr>
          <w:lang w:val="en-CA"/>
        </w:rPr>
        <w:t xml:space="preserve"> light of the nature of the program</w:t>
      </w:r>
      <w:r w:rsidR="00251A57">
        <w:rPr>
          <w:lang w:val="en-CA"/>
        </w:rPr>
        <w:t>me</w:t>
      </w:r>
      <w:r w:rsidR="008356B4" w:rsidRPr="00463B9A">
        <w:rPr>
          <w:lang w:val="en-CA"/>
        </w:rPr>
        <w:t xml:space="preserve"> and its clients. The vast majority of PRRA applicants have already been found by the </w:t>
      </w:r>
      <w:r w:rsidR="00251A57">
        <w:rPr>
          <w:lang w:val="en-CA"/>
        </w:rPr>
        <w:t>Refugee Protection Division</w:t>
      </w:r>
      <w:r w:rsidR="008356B4" w:rsidRPr="00463B9A">
        <w:rPr>
          <w:lang w:val="en-CA"/>
        </w:rPr>
        <w:t xml:space="preserve"> not to be at risk of persecution, not to face a risk to life and not to be at risk of torture or cruel </w:t>
      </w:r>
      <w:r w:rsidR="00251A57">
        <w:rPr>
          <w:lang w:val="en-CA"/>
        </w:rPr>
        <w:t>or</w:t>
      </w:r>
      <w:r w:rsidR="00251A57" w:rsidRPr="00463B9A">
        <w:rPr>
          <w:lang w:val="en-CA"/>
        </w:rPr>
        <w:t xml:space="preserve"> </w:t>
      </w:r>
      <w:r w:rsidR="008356B4" w:rsidRPr="00463B9A">
        <w:rPr>
          <w:lang w:val="en-CA"/>
        </w:rPr>
        <w:t>unusual treatment or punishment. The PRRA program</w:t>
      </w:r>
      <w:r w:rsidR="00251A57">
        <w:rPr>
          <w:lang w:val="en-CA"/>
        </w:rPr>
        <w:t>me</w:t>
      </w:r>
      <w:r w:rsidR="008356B4" w:rsidRPr="00463B9A">
        <w:rPr>
          <w:lang w:val="en-CA"/>
        </w:rPr>
        <w:t xml:space="preserve"> aims to assess </w:t>
      </w:r>
      <w:r w:rsidR="00242A70" w:rsidRPr="00463B9A">
        <w:rPr>
          <w:lang w:val="en-CA"/>
        </w:rPr>
        <w:t>any</w:t>
      </w:r>
      <w:r w:rsidR="008356B4" w:rsidRPr="00463B9A">
        <w:rPr>
          <w:lang w:val="en-CA"/>
        </w:rPr>
        <w:t xml:space="preserve"> risk of return at the time of removal </w:t>
      </w:r>
      <w:r w:rsidR="00242A70" w:rsidRPr="00463B9A">
        <w:rPr>
          <w:lang w:val="en-CA"/>
        </w:rPr>
        <w:t>that</w:t>
      </w:r>
      <w:r w:rsidR="008356B4" w:rsidRPr="00463B9A">
        <w:rPr>
          <w:lang w:val="en-CA"/>
        </w:rPr>
        <w:t xml:space="preserve"> may not have existed at the time of the</w:t>
      </w:r>
      <w:r w:rsidR="00251A57">
        <w:rPr>
          <w:lang w:val="en-CA"/>
        </w:rPr>
        <w:t xml:space="preserve"> </w:t>
      </w:r>
      <w:r w:rsidR="00251A57">
        <w:rPr>
          <w:lang w:val="en-CA"/>
        </w:rPr>
        <w:lastRenderedPageBreak/>
        <w:t>Division</w:t>
      </w:r>
      <w:r w:rsidR="008356B4" w:rsidRPr="00463B9A">
        <w:rPr>
          <w:lang w:val="en-CA"/>
        </w:rPr>
        <w:t xml:space="preserve"> hearing. Considering that Canada’s overall acceptance rate for refugees is </w:t>
      </w:r>
      <w:r w:rsidR="00251A57">
        <w:rPr>
          <w:lang w:val="en-CA"/>
        </w:rPr>
        <w:t>about</w:t>
      </w:r>
      <w:r w:rsidR="00251A57" w:rsidRPr="00463B9A">
        <w:rPr>
          <w:lang w:val="en-CA"/>
        </w:rPr>
        <w:t xml:space="preserve"> </w:t>
      </w:r>
      <w:r w:rsidR="008356B4" w:rsidRPr="00463B9A">
        <w:rPr>
          <w:lang w:val="en-CA"/>
        </w:rPr>
        <w:t>41.6</w:t>
      </w:r>
      <w:r w:rsidR="00251A57">
        <w:rPr>
          <w:lang w:val="en-CA"/>
        </w:rPr>
        <w:t xml:space="preserve"> per cent</w:t>
      </w:r>
      <w:r w:rsidR="008356B4" w:rsidRPr="00463B9A">
        <w:rPr>
          <w:lang w:val="en-CA"/>
        </w:rPr>
        <w:t>, according to recent statistics,</w:t>
      </w:r>
      <w:r w:rsidR="008356B4" w:rsidRPr="00AE40E9">
        <w:rPr>
          <w:rStyle w:val="FootnoteReference"/>
        </w:rPr>
        <w:footnoteReference w:id="9"/>
      </w:r>
      <w:r w:rsidR="008356B4" w:rsidRPr="00463B9A">
        <w:rPr>
          <w:lang w:val="en-CA"/>
        </w:rPr>
        <w:t xml:space="preserve"> the lower PRRA acceptance rate reflects the fact that most </w:t>
      </w:r>
      <w:r w:rsidR="00800572" w:rsidRPr="00463B9A">
        <w:rPr>
          <w:lang w:val="en-CA"/>
        </w:rPr>
        <w:t>individuals</w:t>
      </w:r>
      <w:r w:rsidR="008356B4" w:rsidRPr="00463B9A">
        <w:rPr>
          <w:lang w:val="en-CA"/>
        </w:rPr>
        <w:t xml:space="preserve"> in need of protection </w:t>
      </w:r>
      <w:r w:rsidR="00800572" w:rsidRPr="00463B9A">
        <w:rPr>
          <w:lang w:val="en-CA"/>
        </w:rPr>
        <w:t>receive</w:t>
      </w:r>
      <w:r w:rsidR="008356B4" w:rsidRPr="00463B9A">
        <w:rPr>
          <w:lang w:val="en-CA"/>
        </w:rPr>
        <w:t xml:space="preserve"> it from the </w:t>
      </w:r>
      <w:r w:rsidR="00251A57">
        <w:rPr>
          <w:lang w:val="en-CA"/>
        </w:rPr>
        <w:t>Immigration and Refugee Board</w:t>
      </w:r>
      <w:r w:rsidR="008356B4" w:rsidRPr="00463B9A">
        <w:rPr>
          <w:lang w:val="en-CA"/>
        </w:rPr>
        <w:t xml:space="preserve">. </w:t>
      </w:r>
      <w:r w:rsidR="00251A57">
        <w:rPr>
          <w:lang w:val="en-CA"/>
        </w:rPr>
        <w:t xml:space="preserve"> </w:t>
      </w:r>
    </w:p>
    <w:p w14:paraId="7AD2C413" w14:textId="18E83A3F" w:rsidR="008356B4" w:rsidRPr="00463B9A" w:rsidRDefault="0079639C" w:rsidP="008356B4">
      <w:pPr>
        <w:pStyle w:val="SingleTxtG"/>
        <w:rPr>
          <w:lang w:val="en-CA"/>
        </w:rPr>
      </w:pPr>
      <w:r w:rsidRPr="00463B9A">
        <w:rPr>
          <w:lang w:val="en-CA"/>
        </w:rPr>
        <w:t>6</w:t>
      </w:r>
      <w:r w:rsidR="004533F8" w:rsidRPr="00463B9A">
        <w:rPr>
          <w:lang w:val="en-CA"/>
        </w:rPr>
        <w:t>.3</w:t>
      </w:r>
      <w:r w:rsidR="008356B4" w:rsidRPr="00463B9A">
        <w:rPr>
          <w:lang w:val="en-CA"/>
        </w:rPr>
        <w:tab/>
      </w:r>
      <w:r w:rsidR="00FD563E" w:rsidRPr="00463B9A">
        <w:rPr>
          <w:lang w:val="en-CA"/>
        </w:rPr>
        <w:t>The</w:t>
      </w:r>
      <w:r w:rsidR="008356B4" w:rsidRPr="00463B9A">
        <w:rPr>
          <w:lang w:val="en-CA"/>
        </w:rPr>
        <w:t xml:space="preserve"> State party </w:t>
      </w:r>
      <w:r w:rsidR="00C35C6D" w:rsidRPr="00463B9A">
        <w:rPr>
          <w:lang w:val="en-CA"/>
        </w:rPr>
        <w:t xml:space="preserve">clarifies </w:t>
      </w:r>
      <w:r w:rsidR="008356B4" w:rsidRPr="00463B9A">
        <w:rPr>
          <w:lang w:val="en-CA"/>
        </w:rPr>
        <w:t xml:space="preserve">that under domestic law, the PRRA process is not an appeal of the </w:t>
      </w:r>
      <w:r w:rsidR="00251A57">
        <w:rPr>
          <w:lang w:val="en-CA"/>
        </w:rPr>
        <w:t>Refugee Protection Division</w:t>
      </w:r>
      <w:r w:rsidR="008356B4" w:rsidRPr="00463B9A">
        <w:rPr>
          <w:lang w:val="en-CA"/>
        </w:rPr>
        <w:t xml:space="preserve"> </w:t>
      </w:r>
      <w:r w:rsidR="007737BA" w:rsidRPr="00463B9A">
        <w:rPr>
          <w:lang w:val="en-CA"/>
        </w:rPr>
        <w:t>decision</w:t>
      </w:r>
      <w:r w:rsidR="003774D5" w:rsidRPr="00463B9A">
        <w:rPr>
          <w:lang w:val="en-CA"/>
        </w:rPr>
        <w:t xml:space="preserve">. The applicant </w:t>
      </w:r>
      <w:r w:rsidR="00EF08D3" w:rsidRPr="00463B9A">
        <w:rPr>
          <w:lang w:val="en-CA"/>
        </w:rPr>
        <w:t>may</w:t>
      </w:r>
      <w:r w:rsidR="003774D5" w:rsidRPr="00463B9A">
        <w:rPr>
          <w:lang w:val="en-CA"/>
        </w:rPr>
        <w:t xml:space="preserve"> submit for consideration</w:t>
      </w:r>
      <w:r w:rsidR="008356B4" w:rsidRPr="00463B9A">
        <w:rPr>
          <w:lang w:val="en-CA"/>
        </w:rPr>
        <w:t xml:space="preserve"> </w:t>
      </w:r>
      <w:r w:rsidR="00251A57" w:rsidRPr="00463B9A">
        <w:rPr>
          <w:lang w:val="en-CA"/>
        </w:rPr>
        <w:t xml:space="preserve">only </w:t>
      </w:r>
      <w:r w:rsidR="008356B4" w:rsidRPr="00463B9A">
        <w:rPr>
          <w:lang w:val="en-CA"/>
        </w:rPr>
        <w:t xml:space="preserve">new </w:t>
      </w:r>
      <w:r w:rsidR="003774D5" w:rsidRPr="00463B9A">
        <w:rPr>
          <w:lang w:val="en-CA"/>
        </w:rPr>
        <w:t xml:space="preserve">risk-related evidence that </w:t>
      </w:r>
      <w:r w:rsidR="008356B4" w:rsidRPr="00463B9A">
        <w:rPr>
          <w:lang w:val="en-CA"/>
        </w:rPr>
        <w:t xml:space="preserve">arose after the </w:t>
      </w:r>
      <w:r w:rsidR="00251A57">
        <w:rPr>
          <w:lang w:val="en-CA"/>
        </w:rPr>
        <w:t>adoption of the</w:t>
      </w:r>
      <w:r w:rsidR="00B22468">
        <w:rPr>
          <w:lang w:val="en-CA"/>
        </w:rPr>
        <w:t xml:space="preserve"> </w:t>
      </w:r>
      <w:r w:rsidR="00251A57">
        <w:rPr>
          <w:lang w:val="en-CA"/>
        </w:rPr>
        <w:t>Division’s</w:t>
      </w:r>
      <w:r w:rsidR="008356B4" w:rsidRPr="00463B9A">
        <w:rPr>
          <w:lang w:val="en-CA"/>
        </w:rPr>
        <w:t xml:space="preserve"> decision or </w:t>
      </w:r>
      <w:r w:rsidR="003774D5" w:rsidRPr="00463B9A">
        <w:rPr>
          <w:lang w:val="en-CA"/>
        </w:rPr>
        <w:t>that</w:t>
      </w:r>
      <w:r w:rsidR="008356B4" w:rsidRPr="00463B9A">
        <w:rPr>
          <w:lang w:val="en-CA"/>
        </w:rPr>
        <w:t xml:space="preserve"> was not reasonably available at that time. Moreover, the </w:t>
      </w:r>
      <w:r w:rsidR="00A179EA">
        <w:rPr>
          <w:lang w:val="en-CA"/>
        </w:rPr>
        <w:t>Pre-Removal Risk Assessment O</w:t>
      </w:r>
      <w:r w:rsidR="00A179EA" w:rsidRPr="00463B9A">
        <w:rPr>
          <w:lang w:val="en-CA"/>
        </w:rPr>
        <w:t xml:space="preserve">fficer </w:t>
      </w:r>
      <w:r w:rsidR="008356B4" w:rsidRPr="00463B9A">
        <w:rPr>
          <w:lang w:val="en-CA"/>
        </w:rPr>
        <w:t xml:space="preserve">can also consider </w:t>
      </w:r>
      <w:r w:rsidR="00251A57" w:rsidRPr="00251A57">
        <w:rPr>
          <w:lang w:val="en-CA"/>
        </w:rPr>
        <w:t>only</w:t>
      </w:r>
      <w:r w:rsidR="00251A57">
        <w:rPr>
          <w:lang w:val="en-CA"/>
        </w:rPr>
        <w:t xml:space="preserve"> </w:t>
      </w:r>
      <w:r w:rsidR="008356B4" w:rsidRPr="00463B9A">
        <w:rPr>
          <w:lang w:val="en-CA"/>
        </w:rPr>
        <w:t xml:space="preserve">evidence that demonstrates that the applicant would be exposed to a new, different or additional risk not contemplated at the time of the </w:t>
      </w:r>
      <w:r w:rsidR="00251A57">
        <w:rPr>
          <w:lang w:val="en-CA"/>
        </w:rPr>
        <w:t>Division’s</w:t>
      </w:r>
      <w:r w:rsidR="008356B4" w:rsidRPr="00463B9A">
        <w:rPr>
          <w:lang w:val="en-CA"/>
        </w:rPr>
        <w:t xml:space="preserve"> decision. </w:t>
      </w:r>
      <w:r w:rsidR="000F7DA4" w:rsidRPr="00463B9A">
        <w:rPr>
          <w:lang w:val="en-CA"/>
        </w:rPr>
        <w:t>I</w:t>
      </w:r>
      <w:r w:rsidR="008356B4" w:rsidRPr="00463B9A">
        <w:rPr>
          <w:lang w:val="en-CA"/>
        </w:rPr>
        <w:t>n the author’s case</w:t>
      </w:r>
      <w:r w:rsidR="0009242F" w:rsidRPr="00463B9A">
        <w:rPr>
          <w:lang w:val="en-CA"/>
        </w:rPr>
        <w:t>,</w:t>
      </w:r>
      <w:r w:rsidR="008356B4" w:rsidRPr="00463B9A">
        <w:rPr>
          <w:lang w:val="en-CA"/>
        </w:rPr>
        <w:t xml:space="preserve"> </w:t>
      </w:r>
      <w:proofErr w:type="gramStart"/>
      <w:r w:rsidR="008356B4" w:rsidRPr="00463B9A">
        <w:rPr>
          <w:lang w:val="en-CA"/>
        </w:rPr>
        <w:t xml:space="preserve">the  </w:t>
      </w:r>
      <w:r w:rsidR="00251A57">
        <w:rPr>
          <w:lang w:val="en-CA"/>
        </w:rPr>
        <w:t>o</w:t>
      </w:r>
      <w:r w:rsidR="008356B4" w:rsidRPr="00463B9A">
        <w:rPr>
          <w:lang w:val="en-CA"/>
        </w:rPr>
        <w:t>fficer</w:t>
      </w:r>
      <w:proofErr w:type="gramEnd"/>
      <w:r w:rsidR="008356B4" w:rsidRPr="00463B9A">
        <w:rPr>
          <w:lang w:val="en-CA"/>
        </w:rPr>
        <w:t xml:space="preserve"> </w:t>
      </w:r>
      <w:r w:rsidR="00414915" w:rsidRPr="00463B9A">
        <w:rPr>
          <w:lang w:val="en-CA"/>
        </w:rPr>
        <w:t>diligently executed his duties,</w:t>
      </w:r>
      <w:r w:rsidR="003774D5" w:rsidRPr="00463B9A">
        <w:rPr>
          <w:lang w:val="en-CA"/>
        </w:rPr>
        <w:t xml:space="preserve"> </w:t>
      </w:r>
      <w:r w:rsidR="00414915" w:rsidRPr="00463B9A">
        <w:rPr>
          <w:lang w:val="en-CA"/>
        </w:rPr>
        <w:t>researching</w:t>
      </w:r>
      <w:r w:rsidR="003774D5" w:rsidRPr="00463B9A">
        <w:rPr>
          <w:lang w:val="en-CA"/>
        </w:rPr>
        <w:t xml:space="preserve"> whether there had been a change in country conditions and </w:t>
      </w:r>
      <w:r w:rsidR="00414915" w:rsidRPr="00463B9A">
        <w:rPr>
          <w:lang w:val="en-CA"/>
        </w:rPr>
        <w:t>considering the</w:t>
      </w:r>
      <w:r w:rsidR="003774D5" w:rsidRPr="00463B9A">
        <w:rPr>
          <w:lang w:val="en-CA"/>
        </w:rPr>
        <w:t xml:space="preserve"> evidence that the author claimed to be new. The </w:t>
      </w:r>
      <w:r w:rsidR="00251A57">
        <w:rPr>
          <w:lang w:val="en-CA"/>
        </w:rPr>
        <w:t>o</w:t>
      </w:r>
      <w:r w:rsidR="003774D5" w:rsidRPr="00463B9A">
        <w:rPr>
          <w:lang w:val="en-CA"/>
        </w:rPr>
        <w:t>fficer found that the allegedly new</w:t>
      </w:r>
      <w:r w:rsidR="008356B4" w:rsidRPr="00463B9A">
        <w:rPr>
          <w:lang w:val="en-CA"/>
        </w:rPr>
        <w:t xml:space="preserve"> evidence was not new because it either predated the </w:t>
      </w:r>
      <w:r w:rsidR="00251A57">
        <w:rPr>
          <w:lang w:val="en-CA"/>
        </w:rPr>
        <w:t>Division</w:t>
      </w:r>
      <w:r w:rsidR="008356B4" w:rsidRPr="00463B9A">
        <w:rPr>
          <w:lang w:val="en-CA"/>
        </w:rPr>
        <w:t xml:space="preserve"> hearing and thus should have been presented to </w:t>
      </w:r>
      <w:r w:rsidR="00251A57">
        <w:rPr>
          <w:lang w:val="en-CA"/>
        </w:rPr>
        <w:t>the Division</w:t>
      </w:r>
      <w:r w:rsidR="008356B4" w:rsidRPr="00463B9A">
        <w:rPr>
          <w:lang w:val="en-CA"/>
        </w:rPr>
        <w:t xml:space="preserve">, or was irrelevant to the PRRA process. In particular, the </w:t>
      </w:r>
      <w:r w:rsidR="00251A57">
        <w:rPr>
          <w:lang w:val="en-CA"/>
        </w:rPr>
        <w:t>o</w:t>
      </w:r>
      <w:r w:rsidR="008356B4" w:rsidRPr="00463B9A">
        <w:rPr>
          <w:lang w:val="en-CA"/>
        </w:rPr>
        <w:t xml:space="preserve">fficer considered the letter written by the author’s sister, </w:t>
      </w:r>
      <w:r w:rsidR="009E0905" w:rsidRPr="00463B9A">
        <w:rPr>
          <w:lang w:val="en-CA"/>
        </w:rPr>
        <w:t>L.</w:t>
      </w:r>
      <w:r w:rsidR="008356B4" w:rsidRPr="00463B9A">
        <w:rPr>
          <w:lang w:val="en-CA"/>
        </w:rPr>
        <w:t xml:space="preserve">, dated 10 December 2013. He noted that </w:t>
      </w:r>
      <w:r w:rsidR="004411EE">
        <w:rPr>
          <w:lang w:val="en-CA"/>
        </w:rPr>
        <w:t xml:space="preserve">although </w:t>
      </w:r>
      <w:r w:rsidR="008356B4" w:rsidRPr="00463B9A">
        <w:rPr>
          <w:lang w:val="en-CA"/>
        </w:rPr>
        <w:t xml:space="preserve">the letter post-dated the </w:t>
      </w:r>
      <w:r w:rsidR="00251A57">
        <w:rPr>
          <w:lang w:val="en-CA"/>
        </w:rPr>
        <w:t>Division</w:t>
      </w:r>
      <w:r w:rsidR="008356B4" w:rsidRPr="00463B9A">
        <w:rPr>
          <w:lang w:val="en-CA"/>
        </w:rPr>
        <w:t xml:space="preserve"> hearing</w:t>
      </w:r>
      <w:r w:rsidR="004411EE">
        <w:rPr>
          <w:lang w:val="en-CA"/>
        </w:rPr>
        <w:t>,</w:t>
      </w:r>
      <w:r w:rsidR="008356B4" w:rsidRPr="00463B9A">
        <w:rPr>
          <w:lang w:val="en-CA"/>
        </w:rPr>
        <w:t xml:space="preserve"> it was not new evidence because it could reasonably be expected to have been available to the author to provide to the </w:t>
      </w:r>
      <w:r w:rsidR="00251A57">
        <w:rPr>
          <w:lang w:val="en-CA"/>
        </w:rPr>
        <w:t>Division</w:t>
      </w:r>
      <w:r w:rsidR="00D62C70" w:rsidRPr="00463B9A">
        <w:rPr>
          <w:lang w:val="en-CA"/>
        </w:rPr>
        <w:t xml:space="preserve"> during </w:t>
      </w:r>
      <w:r w:rsidR="003D4E28">
        <w:rPr>
          <w:lang w:val="en-CA"/>
        </w:rPr>
        <w:t>the</w:t>
      </w:r>
      <w:r w:rsidR="00D62C70" w:rsidRPr="00463B9A">
        <w:rPr>
          <w:lang w:val="en-CA"/>
        </w:rPr>
        <w:t xml:space="preserve"> hearing. </w:t>
      </w:r>
      <w:r w:rsidR="00C00BBD" w:rsidRPr="00463B9A">
        <w:rPr>
          <w:lang w:val="en-CA"/>
        </w:rPr>
        <w:t>The author</w:t>
      </w:r>
      <w:r w:rsidR="008356B4" w:rsidRPr="00463B9A">
        <w:rPr>
          <w:lang w:val="en-CA"/>
        </w:rPr>
        <w:t xml:space="preserve"> could easily have obtained such a letter from </w:t>
      </w:r>
      <w:r w:rsidR="009E0905" w:rsidRPr="00463B9A">
        <w:rPr>
          <w:lang w:val="en-CA"/>
        </w:rPr>
        <w:t>L.</w:t>
      </w:r>
      <w:r w:rsidR="008356B4" w:rsidRPr="00463B9A">
        <w:rPr>
          <w:lang w:val="en-CA"/>
        </w:rPr>
        <w:t xml:space="preserve"> for presentation at </w:t>
      </w:r>
      <w:r w:rsidR="00251A57">
        <w:rPr>
          <w:lang w:val="en-CA"/>
        </w:rPr>
        <w:t>that time</w:t>
      </w:r>
      <w:r w:rsidR="00A63497" w:rsidRPr="00463B9A">
        <w:rPr>
          <w:lang w:val="en-CA"/>
        </w:rPr>
        <w:t>.</w:t>
      </w:r>
      <w:r w:rsidR="00E20C09">
        <w:rPr>
          <w:lang w:val="en-CA"/>
        </w:rPr>
        <w:t xml:space="preserve"> </w:t>
      </w:r>
      <w:r w:rsidR="00527669" w:rsidRPr="00463B9A">
        <w:rPr>
          <w:lang w:val="en-CA"/>
        </w:rPr>
        <w:t xml:space="preserve">Furthermore, </w:t>
      </w:r>
      <w:r w:rsidR="00527669" w:rsidRPr="00463B9A">
        <w:t xml:space="preserve">the </w:t>
      </w:r>
      <w:r w:rsidR="00251A57">
        <w:t>o</w:t>
      </w:r>
      <w:r w:rsidR="00527669" w:rsidRPr="00463B9A">
        <w:t xml:space="preserve">fficer found that the statements made in L.’s letter </w:t>
      </w:r>
      <w:r w:rsidR="003D4E28">
        <w:t>did</w:t>
      </w:r>
      <w:r w:rsidR="003D4E28" w:rsidRPr="00463B9A">
        <w:t xml:space="preserve"> </w:t>
      </w:r>
      <w:r w:rsidR="00527669" w:rsidRPr="00463B9A">
        <w:t xml:space="preserve">not overcome all the issues raised by the </w:t>
      </w:r>
      <w:r w:rsidR="00251A57">
        <w:t>Immigration and Refugee Board</w:t>
      </w:r>
      <w:r w:rsidR="00527669" w:rsidRPr="00463B9A">
        <w:t>.</w:t>
      </w:r>
    </w:p>
    <w:p w14:paraId="02B91952" w14:textId="4538C625" w:rsidR="008356B4" w:rsidRPr="00463B9A" w:rsidRDefault="0079639C" w:rsidP="00F73665">
      <w:pPr>
        <w:pStyle w:val="SingleTxtG"/>
        <w:rPr>
          <w:lang w:val="en-CA"/>
        </w:rPr>
      </w:pPr>
      <w:r w:rsidRPr="00463B9A">
        <w:rPr>
          <w:lang w:val="en-CA"/>
        </w:rPr>
        <w:t>6</w:t>
      </w:r>
      <w:r w:rsidR="00181322" w:rsidRPr="00463B9A">
        <w:rPr>
          <w:lang w:val="en-CA"/>
        </w:rPr>
        <w:t>.4</w:t>
      </w:r>
      <w:r w:rsidR="008356B4" w:rsidRPr="00463B9A">
        <w:rPr>
          <w:lang w:val="en-CA"/>
        </w:rPr>
        <w:tab/>
        <w:t xml:space="preserve">Regarding the author’s argument that the H&amp;C process </w:t>
      </w:r>
      <w:r w:rsidR="00701259" w:rsidRPr="00463B9A">
        <w:rPr>
          <w:lang w:val="en-CA"/>
        </w:rPr>
        <w:t>is not available or effective</w:t>
      </w:r>
      <w:r w:rsidR="008356B4" w:rsidRPr="00463B9A">
        <w:rPr>
          <w:lang w:val="en-CA"/>
        </w:rPr>
        <w:t xml:space="preserve">, the State party considers </w:t>
      </w:r>
      <w:r w:rsidR="006C46CF" w:rsidRPr="00463B9A">
        <w:rPr>
          <w:lang w:val="en-CA"/>
        </w:rPr>
        <w:t>that this re</w:t>
      </w:r>
      <w:r w:rsidR="000003A6" w:rsidRPr="00463B9A">
        <w:rPr>
          <w:lang w:val="en-CA"/>
        </w:rPr>
        <w:t>medy is available to the author</w:t>
      </w:r>
      <w:r w:rsidR="006C46CF" w:rsidRPr="00463B9A">
        <w:rPr>
          <w:lang w:val="en-CA"/>
        </w:rPr>
        <w:t xml:space="preserve"> because she beca</w:t>
      </w:r>
      <w:r w:rsidR="008356B4" w:rsidRPr="00463B9A">
        <w:rPr>
          <w:lang w:val="en-CA"/>
        </w:rPr>
        <w:t xml:space="preserve">me eligible to </w:t>
      </w:r>
      <w:r w:rsidR="006D0FFD" w:rsidRPr="00463B9A">
        <w:rPr>
          <w:lang w:val="en-CA"/>
        </w:rPr>
        <w:t>file</w:t>
      </w:r>
      <w:r w:rsidR="008356B4" w:rsidRPr="00463B9A">
        <w:rPr>
          <w:lang w:val="en-CA"/>
        </w:rPr>
        <w:t xml:space="preserve"> an H&amp;C application on 15 March 2014. </w:t>
      </w:r>
      <w:r w:rsidR="00C03968" w:rsidRPr="00463B9A">
        <w:rPr>
          <w:lang w:val="en-CA"/>
        </w:rPr>
        <w:t>A</w:t>
      </w:r>
      <w:r w:rsidR="006D0FFD" w:rsidRPr="00463B9A">
        <w:rPr>
          <w:lang w:val="en-CA"/>
        </w:rPr>
        <w:t xml:space="preserve">lthough </w:t>
      </w:r>
      <w:r w:rsidR="008356B4" w:rsidRPr="00463B9A">
        <w:rPr>
          <w:lang w:val="en-CA"/>
        </w:rPr>
        <w:t xml:space="preserve">the filing of </w:t>
      </w:r>
      <w:r w:rsidR="00553D5C">
        <w:rPr>
          <w:lang w:val="en-CA"/>
        </w:rPr>
        <w:t xml:space="preserve">such </w:t>
      </w:r>
      <w:proofErr w:type="gramStart"/>
      <w:r w:rsidR="008356B4" w:rsidRPr="00463B9A">
        <w:rPr>
          <w:lang w:val="en-CA"/>
        </w:rPr>
        <w:t>an  application</w:t>
      </w:r>
      <w:proofErr w:type="gramEnd"/>
      <w:r w:rsidR="008356B4" w:rsidRPr="00463B9A">
        <w:rPr>
          <w:lang w:val="en-CA"/>
        </w:rPr>
        <w:t xml:space="preserve"> would not lead to an automatic stay of removal pending the outcome of the assessment, the author could apply to the Federal Court for a judicial stay of removal so </w:t>
      </w:r>
      <w:r w:rsidR="00251A57">
        <w:rPr>
          <w:lang w:val="en-CA"/>
        </w:rPr>
        <w:t xml:space="preserve">that </w:t>
      </w:r>
      <w:r w:rsidR="008356B4" w:rsidRPr="00463B9A">
        <w:rPr>
          <w:lang w:val="en-CA"/>
        </w:rPr>
        <w:t xml:space="preserve">she could remain in Canada </w:t>
      </w:r>
      <w:r w:rsidR="00331836" w:rsidRPr="00463B9A">
        <w:rPr>
          <w:lang w:val="en-CA"/>
        </w:rPr>
        <w:t>during the consideration of her application</w:t>
      </w:r>
      <w:r w:rsidR="008356B4" w:rsidRPr="00463B9A">
        <w:rPr>
          <w:lang w:val="en-CA"/>
        </w:rPr>
        <w:t xml:space="preserve">. Ultimately, if </w:t>
      </w:r>
      <w:proofErr w:type="gramStart"/>
      <w:r w:rsidR="00553D5C">
        <w:rPr>
          <w:lang w:val="en-CA"/>
        </w:rPr>
        <w:t>the</w:t>
      </w:r>
      <w:r w:rsidR="00553D5C" w:rsidRPr="00463B9A">
        <w:rPr>
          <w:lang w:val="en-CA"/>
        </w:rPr>
        <w:t xml:space="preserve"> </w:t>
      </w:r>
      <w:r w:rsidR="008356B4" w:rsidRPr="00463B9A">
        <w:rPr>
          <w:lang w:val="en-CA"/>
        </w:rPr>
        <w:t xml:space="preserve"> application</w:t>
      </w:r>
      <w:proofErr w:type="gramEnd"/>
      <w:r w:rsidR="008356B4" w:rsidRPr="00463B9A">
        <w:rPr>
          <w:lang w:val="en-CA"/>
        </w:rPr>
        <w:t xml:space="preserve"> </w:t>
      </w:r>
      <w:r w:rsidR="001770EB" w:rsidRPr="00463B9A">
        <w:rPr>
          <w:lang w:val="en-CA"/>
        </w:rPr>
        <w:t>is</w:t>
      </w:r>
      <w:r w:rsidR="008356B4" w:rsidRPr="00463B9A">
        <w:rPr>
          <w:lang w:val="en-CA"/>
        </w:rPr>
        <w:t xml:space="preserve"> successful, </w:t>
      </w:r>
      <w:r w:rsidR="00A16A23" w:rsidRPr="00463B9A">
        <w:rPr>
          <w:lang w:val="en-CA"/>
        </w:rPr>
        <w:t>she</w:t>
      </w:r>
      <w:r w:rsidR="001770EB" w:rsidRPr="00463B9A">
        <w:rPr>
          <w:lang w:val="en-CA"/>
        </w:rPr>
        <w:t xml:space="preserve"> could</w:t>
      </w:r>
      <w:r w:rsidR="008356B4" w:rsidRPr="00463B9A">
        <w:rPr>
          <w:lang w:val="en-CA"/>
        </w:rPr>
        <w:t xml:space="preserve"> remain in Canada as a permanent resident. </w:t>
      </w:r>
      <w:r w:rsidR="001770EB" w:rsidRPr="00463B9A">
        <w:rPr>
          <w:lang w:val="en-CA"/>
        </w:rPr>
        <w:t>B</w:t>
      </w:r>
      <w:r w:rsidR="008356B4" w:rsidRPr="00463B9A">
        <w:rPr>
          <w:lang w:val="en-CA"/>
        </w:rPr>
        <w:t>ecause successful applicants are allowed to remain in Canada, the H&amp;C application is an effective domestic remedy available to those who have their claim for protection denied.</w:t>
      </w:r>
      <w:r w:rsidR="001A2F6D" w:rsidRPr="00463B9A">
        <w:rPr>
          <w:vertAlign w:val="superscript"/>
          <w:lang w:val="en-US"/>
        </w:rPr>
        <w:t xml:space="preserve"> </w:t>
      </w:r>
    </w:p>
    <w:p w14:paraId="120D218E" w14:textId="5BBB20A0" w:rsidR="008356B4" w:rsidRPr="00463B9A" w:rsidRDefault="0079639C" w:rsidP="008356B4">
      <w:pPr>
        <w:pStyle w:val="SingleTxtG"/>
        <w:rPr>
          <w:rFonts w:eastAsia="MS Mincho"/>
          <w:lang w:val="en-CA"/>
        </w:rPr>
      </w:pPr>
      <w:r w:rsidRPr="00463B9A">
        <w:rPr>
          <w:lang w:val="en-CA"/>
        </w:rPr>
        <w:t>6</w:t>
      </w:r>
      <w:r w:rsidR="008356B4" w:rsidRPr="00463B9A">
        <w:rPr>
          <w:lang w:val="en-CA"/>
        </w:rPr>
        <w:t>.</w:t>
      </w:r>
      <w:r w:rsidR="00181322" w:rsidRPr="00463B9A">
        <w:rPr>
          <w:lang w:val="en-CA"/>
        </w:rPr>
        <w:t>5</w:t>
      </w:r>
      <w:r w:rsidR="008356B4" w:rsidRPr="00463B9A">
        <w:rPr>
          <w:lang w:val="en-CA"/>
        </w:rPr>
        <w:tab/>
      </w:r>
      <w:r w:rsidR="008356B4" w:rsidRPr="00463B9A">
        <w:rPr>
          <w:rFonts w:eastAsia="MS Mincho"/>
          <w:lang w:val="en-CA"/>
        </w:rPr>
        <w:t xml:space="preserve">The State party notes that in </w:t>
      </w:r>
      <w:proofErr w:type="spellStart"/>
      <w:r w:rsidR="008356B4" w:rsidRPr="00463B9A">
        <w:rPr>
          <w:rFonts w:eastAsia="MS Mincho"/>
          <w:i/>
          <w:lang w:val="en-CA"/>
        </w:rPr>
        <w:t>Dastgir</w:t>
      </w:r>
      <w:proofErr w:type="spellEnd"/>
      <w:r w:rsidR="008356B4" w:rsidRPr="00463B9A">
        <w:rPr>
          <w:rFonts w:eastAsia="MS Mincho"/>
          <w:i/>
          <w:lang w:val="en-CA"/>
        </w:rPr>
        <w:t xml:space="preserve"> v. Canada </w:t>
      </w:r>
      <w:r w:rsidR="008356B4" w:rsidRPr="00463B9A">
        <w:rPr>
          <w:rFonts w:eastAsia="MS Mincho"/>
          <w:lang w:val="en-CA"/>
        </w:rPr>
        <w:t xml:space="preserve">and </w:t>
      </w:r>
      <w:r w:rsidR="008356B4" w:rsidRPr="00463B9A">
        <w:rPr>
          <w:rFonts w:eastAsia="MS Mincho"/>
          <w:i/>
          <w:lang w:val="en-CA"/>
        </w:rPr>
        <w:t>Khan v. Canada</w:t>
      </w:r>
      <w:r w:rsidR="008356B4" w:rsidRPr="00463B9A">
        <w:rPr>
          <w:rFonts w:eastAsia="MS Mincho"/>
          <w:lang w:val="en-CA"/>
        </w:rPr>
        <w:t xml:space="preserve">, the Committee </w:t>
      </w:r>
      <w:r w:rsidR="00DA3CD4" w:rsidRPr="00463B9A">
        <w:rPr>
          <w:rFonts w:eastAsia="MS Mincho"/>
          <w:lang w:val="en-CA"/>
        </w:rPr>
        <w:t>took the</w:t>
      </w:r>
      <w:r w:rsidR="008356B4" w:rsidRPr="00463B9A">
        <w:rPr>
          <w:rFonts w:eastAsia="MS Mincho"/>
          <w:lang w:val="en-CA"/>
        </w:rPr>
        <w:t xml:space="preserve"> view that the H&amp;C application was an effective remedy that must be exhausted for purposes of admissibility.</w:t>
      </w:r>
      <w:r w:rsidR="008356B4" w:rsidRPr="00AE40E9">
        <w:rPr>
          <w:rStyle w:val="FootnoteReference"/>
          <w:rFonts w:eastAsia="MS Mincho"/>
        </w:rPr>
        <w:footnoteReference w:id="10"/>
      </w:r>
      <w:r w:rsidR="00C160B3" w:rsidRPr="00463B9A">
        <w:rPr>
          <w:rFonts w:eastAsia="MS Mincho"/>
          <w:lang w:val="en-CA"/>
        </w:rPr>
        <w:t xml:space="preserve"> T</w:t>
      </w:r>
      <w:r w:rsidR="008356B4" w:rsidRPr="00463B9A">
        <w:rPr>
          <w:rFonts w:eastAsia="MS Mincho"/>
          <w:lang w:val="en-CA"/>
        </w:rPr>
        <w:t>he State party r</w:t>
      </w:r>
      <w:r w:rsidR="008356B4" w:rsidRPr="00463B9A">
        <w:rPr>
          <w:rFonts w:eastAsia="MS Mincho"/>
          <w:lang w:val="en-US"/>
        </w:rPr>
        <w:t xml:space="preserve">egrets the Committee’s more recent position that </w:t>
      </w:r>
      <w:r w:rsidR="003826E8">
        <w:rPr>
          <w:rFonts w:eastAsia="MS Mincho"/>
          <w:lang w:val="en-US"/>
        </w:rPr>
        <w:t xml:space="preserve">such </w:t>
      </w:r>
      <w:r w:rsidR="008356B4" w:rsidRPr="00463B9A">
        <w:rPr>
          <w:rFonts w:eastAsia="MS Mincho"/>
          <w:lang w:val="en-US"/>
        </w:rPr>
        <w:t>applications are not remedies that must be exhausted for the purposes of admissibility.</w:t>
      </w:r>
      <w:r w:rsidR="008356B4" w:rsidRPr="00AE40E9">
        <w:rPr>
          <w:rStyle w:val="FootnoteReference"/>
          <w:rFonts w:eastAsia="MS Mincho"/>
        </w:rPr>
        <w:footnoteReference w:id="11"/>
      </w:r>
      <w:r w:rsidR="008356B4" w:rsidRPr="00463B9A">
        <w:rPr>
          <w:rFonts w:eastAsia="MS Mincho"/>
          <w:lang w:val="en-US"/>
        </w:rPr>
        <w:t xml:space="preserve"> The State party </w:t>
      </w:r>
      <w:r w:rsidR="0039665E" w:rsidRPr="00463B9A">
        <w:rPr>
          <w:rFonts w:eastAsia="MS Mincho"/>
          <w:lang w:val="en-US"/>
        </w:rPr>
        <w:t>considers</w:t>
      </w:r>
      <w:r w:rsidR="008356B4" w:rsidRPr="00463B9A">
        <w:rPr>
          <w:rFonts w:eastAsia="MS Mincho"/>
          <w:lang w:val="en-US"/>
        </w:rPr>
        <w:t xml:space="preserve"> that </w:t>
      </w:r>
      <w:r w:rsidR="005660C0">
        <w:rPr>
          <w:rFonts w:eastAsia="MS Mincho"/>
          <w:lang w:val="en-US"/>
        </w:rPr>
        <w:t>the</w:t>
      </w:r>
      <w:r w:rsidR="00251A57" w:rsidRPr="00463B9A">
        <w:rPr>
          <w:rFonts w:eastAsia="MS Mincho"/>
          <w:lang w:val="en-US"/>
        </w:rPr>
        <w:t xml:space="preserve"> </w:t>
      </w:r>
      <w:r w:rsidR="008356B4" w:rsidRPr="00463B9A">
        <w:rPr>
          <w:rFonts w:eastAsia="MS Mincho"/>
          <w:lang w:val="en-US"/>
        </w:rPr>
        <w:t xml:space="preserve">grounds </w:t>
      </w:r>
      <w:r w:rsidR="005660C0">
        <w:rPr>
          <w:rFonts w:eastAsia="MS Mincho"/>
          <w:lang w:val="en-US"/>
        </w:rPr>
        <w:t xml:space="preserve">on which </w:t>
      </w:r>
      <w:r w:rsidR="008356B4" w:rsidRPr="00463B9A">
        <w:rPr>
          <w:rFonts w:eastAsia="MS Mincho"/>
          <w:lang w:val="en-US"/>
        </w:rPr>
        <w:t>the author of a communication is allowed to remain in Canada</w:t>
      </w:r>
      <w:r w:rsidR="005660C0">
        <w:rPr>
          <w:rFonts w:eastAsia="MS Mincho"/>
          <w:lang w:val="en-US"/>
        </w:rPr>
        <w:t xml:space="preserve"> </w:t>
      </w:r>
      <w:r w:rsidR="005660C0" w:rsidRPr="00463B9A">
        <w:rPr>
          <w:rFonts w:eastAsia="MS Mincho"/>
          <w:lang w:val="en-US"/>
        </w:rPr>
        <w:t>should not matter</w:t>
      </w:r>
      <w:r w:rsidR="008356B4" w:rsidRPr="00463B9A">
        <w:rPr>
          <w:rFonts w:eastAsia="MS Mincho"/>
          <w:lang w:val="en-US"/>
        </w:rPr>
        <w:t>, as long as the author is protected from removal to the country where she or he alleges to be at risk. The H&amp;C application is a fair administrative procedure, subject to judicial review, that includes an assessment of relevant hardship factors that an indi</w:t>
      </w:r>
      <w:r w:rsidR="006A54C9" w:rsidRPr="00463B9A">
        <w:rPr>
          <w:rFonts w:eastAsia="MS Mincho"/>
          <w:lang w:val="en-US"/>
        </w:rPr>
        <w:t>vidual might</w:t>
      </w:r>
      <w:r w:rsidR="008356B4" w:rsidRPr="00463B9A">
        <w:rPr>
          <w:rFonts w:eastAsia="MS Mincho"/>
          <w:lang w:val="en-US"/>
        </w:rPr>
        <w:t xml:space="preserve"> face if required to apply for permanent resident status from outside Canada. </w:t>
      </w:r>
      <w:r w:rsidR="008356B4" w:rsidRPr="00463B9A">
        <w:rPr>
          <w:rFonts w:eastAsia="MS Mincho"/>
        </w:rPr>
        <w:t xml:space="preserve">In fact, a number of authors have had their </w:t>
      </w:r>
      <w:r w:rsidR="008356B4" w:rsidRPr="00463B9A">
        <w:rPr>
          <w:rFonts w:eastAsia="MS Mincho"/>
        </w:rPr>
        <w:lastRenderedPageBreak/>
        <w:t xml:space="preserve">international communications before various treaty bodies, including the Committee, rendered moot because their H&amp;C application was successful. Recently, two communications before the Committee involving Canada were discontinued for this reason: communications </w:t>
      </w:r>
      <w:r w:rsidR="008356B4" w:rsidRPr="00553D5C">
        <w:rPr>
          <w:rFonts w:eastAsia="MS Mincho"/>
        </w:rPr>
        <w:t xml:space="preserve">No. 2138/2012 and </w:t>
      </w:r>
      <w:r w:rsidR="00150D96" w:rsidRPr="00553D5C">
        <w:rPr>
          <w:rFonts w:eastAsia="MS Mincho"/>
        </w:rPr>
        <w:t xml:space="preserve">No. </w:t>
      </w:r>
      <w:r w:rsidR="008356B4" w:rsidRPr="00FE5FD2">
        <w:rPr>
          <w:rFonts w:eastAsia="MS Mincho"/>
        </w:rPr>
        <w:t>2144/2012</w:t>
      </w:r>
      <w:r w:rsidR="008356B4" w:rsidRPr="00463B9A">
        <w:rPr>
          <w:rFonts w:eastAsia="MS Mincho"/>
        </w:rPr>
        <w:t>.</w:t>
      </w:r>
      <w:r w:rsidR="005660C0">
        <w:rPr>
          <w:rFonts w:eastAsia="MS Mincho"/>
        </w:rPr>
        <w:t xml:space="preserve"> </w:t>
      </w:r>
    </w:p>
    <w:p w14:paraId="1CCCF1FF" w14:textId="7FB4EB41" w:rsidR="00F73665" w:rsidRPr="00463B9A" w:rsidRDefault="0079639C" w:rsidP="00BA6F6A">
      <w:pPr>
        <w:pStyle w:val="SingleTxtG"/>
        <w:rPr>
          <w:lang w:val="en-CA"/>
        </w:rPr>
      </w:pPr>
      <w:r w:rsidRPr="00463B9A">
        <w:rPr>
          <w:lang w:val="en-CA"/>
        </w:rPr>
        <w:t>6</w:t>
      </w:r>
      <w:r w:rsidR="009345DA" w:rsidRPr="00463B9A">
        <w:rPr>
          <w:lang w:val="en-CA"/>
        </w:rPr>
        <w:t>.</w:t>
      </w:r>
      <w:r w:rsidR="00181322" w:rsidRPr="00463B9A">
        <w:rPr>
          <w:lang w:val="en-CA"/>
        </w:rPr>
        <w:t>6</w:t>
      </w:r>
      <w:r w:rsidR="009345DA" w:rsidRPr="00463B9A">
        <w:rPr>
          <w:lang w:val="en-CA"/>
        </w:rPr>
        <w:tab/>
      </w:r>
      <w:r w:rsidR="00EF08D3" w:rsidRPr="00463B9A">
        <w:rPr>
          <w:lang w:val="en-CA"/>
        </w:rPr>
        <w:t>The State party also responds to</w:t>
      </w:r>
      <w:r w:rsidR="00F73665" w:rsidRPr="00463B9A">
        <w:rPr>
          <w:lang w:val="en-CA"/>
        </w:rPr>
        <w:t xml:space="preserve"> the author’s argument that she is d</w:t>
      </w:r>
      <w:r w:rsidR="009345DA" w:rsidRPr="00463B9A">
        <w:rPr>
          <w:lang w:val="en-CA"/>
        </w:rPr>
        <w:t xml:space="preserve">elaying her H&amp;C application so </w:t>
      </w:r>
      <w:r w:rsidR="00EF08D3" w:rsidRPr="00463B9A">
        <w:rPr>
          <w:lang w:val="en-CA"/>
        </w:rPr>
        <w:t>as to “</w:t>
      </w:r>
      <w:r w:rsidR="009345DA" w:rsidRPr="00463B9A">
        <w:rPr>
          <w:lang w:val="en-CA"/>
        </w:rPr>
        <w:t>have the opportunity to present a strong and effective application”</w:t>
      </w:r>
      <w:r w:rsidR="00251A57">
        <w:rPr>
          <w:lang w:val="en-CA"/>
        </w:rPr>
        <w:t>.</w:t>
      </w:r>
      <w:r w:rsidR="009345DA" w:rsidRPr="00463B9A">
        <w:rPr>
          <w:lang w:val="en-CA"/>
        </w:rPr>
        <w:t xml:space="preserve"> </w:t>
      </w:r>
      <w:r w:rsidR="00EF08D3" w:rsidRPr="00463B9A">
        <w:rPr>
          <w:lang w:val="en-CA"/>
        </w:rPr>
        <w:t>T</w:t>
      </w:r>
      <w:r w:rsidR="00F73665" w:rsidRPr="00463B9A">
        <w:rPr>
          <w:lang w:val="en-CA"/>
        </w:rPr>
        <w:t>he State party considers that t</w:t>
      </w:r>
      <w:r w:rsidR="00EF08D3" w:rsidRPr="00463B9A">
        <w:rPr>
          <w:lang w:val="en-CA"/>
        </w:rPr>
        <w:t xml:space="preserve">he author’s </w:t>
      </w:r>
      <w:r w:rsidR="009345DA" w:rsidRPr="00463B9A">
        <w:rPr>
          <w:lang w:val="en-CA"/>
        </w:rPr>
        <w:t xml:space="preserve">explanations for her delay in </w:t>
      </w:r>
      <w:r w:rsidR="00B47001" w:rsidRPr="00463B9A">
        <w:rPr>
          <w:lang w:val="en-CA"/>
        </w:rPr>
        <w:t>filing</w:t>
      </w:r>
      <w:r w:rsidR="009345DA" w:rsidRPr="00463B9A">
        <w:rPr>
          <w:lang w:val="en-CA"/>
        </w:rPr>
        <w:t xml:space="preserve"> an application </w:t>
      </w:r>
      <w:r w:rsidR="005D5358" w:rsidRPr="00463B9A">
        <w:rPr>
          <w:lang w:val="en-CA"/>
        </w:rPr>
        <w:t xml:space="preserve">confirm that this remedy </w:t>
      </w:r>
      <w:r w:rsidR="009267B0" w:rsidRPr="00463B9A">
        <w:rPr>
          <w:lang w:val="en-CA"/>
        </w:rPr>
        <w:t>is both available and effective</w:t>
      </w:r>
      <w:r w:rsidR="005D5358" w:rsidRPr="00463B9A">
        <w:rPr>
          <w:lang w:val="en-CA"/>
        </w:rPr>
        <w:t xml:space="preserve"> and must therefore be exhausted for purposes of admissibility</w:t>
      </w:r>
      <w:r w:rsidR="009345DA" w:rsidRPr="00463B9A">
        <w:rPr>
          <w:lang w:val="en-CA"/>
        </w:rPr>
        <w:t>.</w:t>
      </w:r>
      <w:r w:rsidR="00F73665" w:rsidRPr="00463B9A">
        <w:rPr>
          <w:lang w:val="en-CA"/>
        </w:rPr>
        <w:t xml:space="preserve"> </w:t>
      </w:r>
      <w:r w:rsidR="009267B0" w:rsidRPr="00463B9A">
        <w:rPr>
          <w:lang w:val="en-CA"/>
        </w:rPr>
        <w:t xml:space="preserve">While she claims </w:t>
      </w:r>
      <w:r w:rsidR="005D5358" w:rsidRPr="00463B9A">
        <w:rPr>
          <w:lang w:val="en-CA"/>
        </w:rPr>
        <w:t>that she is</w:t>
      </w:r>
      <w:r w:rsidR="009345DA" w:rsidRPr="00463B9A">
        <w:rPr>
          <w:lang w:val="en-CA"/>
        </w:rPr>
        <w:t xml:space="preserve"> “presently dealing with psychological issues which made it difficul</w:t>
      </w:r>
      <w:r w:rsidR="00E44A23" w:rsidRPr="00463B9A">
        <w:rPr>
          <w:lang w:val="en-CA"/>
        </w:rPr>
        <w:t>t for her to obtain employment”</w:t>
      </w:r>
      <w:r w:rsidR="00251A57">
        <w:rPr>
          <w:lang w:val="en-CA"/>
        </w:rPr>
        <w:t>,</w:t>
      </w:r>
      <w:r w:rsidR="00E44A23" w:rsidRPr="00463B9A">
        <w:rPr>
          <w:lang w:val="en-CA"/>
        </w:rPr>
        <w:t xml:space="preserve"> </w:t>
      </w:r>
      <w:r w:rsidR="009267B0" w:rsidRPr="00463B9A">
        <w:rPr>
          <w:lang w:val="en-CA"/>
        </w:rPr>
        <w:t>she states</w:t>
      </w:r>
      <w:r w:rsidR="009345DA" w:rsidRPr="00463B9A">
        <w:rPr>
          <w:lang w:val="en-CA"/>
        </w:rPr>
        <w:t xml:space="preserve"> that she has been employed since 2013.</w:t>
      </w:r>
      <w:r w:rsidR="00F73665" w:rsidRPr="00463B9A">
        <w:rPr>
          <w:lang w:val="en-CA"/>
        </w:rPr>
        <w:t xml:space="preserve"> I</w:t>
      </w:r>
      <w:r w:rsidR="009345DA" w:rsidRPr="00463B9A">
        <w:rPr>
          <w:lang w:val="en-CA"/>
        </w:rPr>
        <w:t>t is inappropriate for the author to purposely delay the making of an H&amp;C application when eligible to apply. The process is not intended to be an alternative immigration stream or an appeal mechanism for failed asylum claimants. It is reserved for applicants who will personally suffer unusual and undeserved, or disproportionate</w:t>
      </w:r>
      <w:r w:rsidR="00251A57">
        <w:rPr>
          <w:lang w:val="en-CA"/>
        </w:rPr>
        <w:t>,</w:t>
      </w:r>
      <w:r w:rsidR="009345DA" w:rsidRPr="00463B9A">
        <w:rPr>
          <w:lang w:val="en-CA"/>
        </w:rPr>
        <w:t xml:space="preserve"> hardship if required to follow the standard procedure of applying to immigrate to Canada through normal channels, i.e., from outside the country. </w:t>
      </w:r>
      <w:r w:rsidR="006A54C9" w:rsidRPr="00463B9A">
        <w:rPr>
          <w:lang w:val="en-CA"/>
        </w:rPr>
        <w:t>P</w:t>
      </w:r>
      <w:r w:rsidR="009345DA" w:rsidRPr="00463B9A">
        <w:rPr>
          <w:lang w:val="en-CA"/>
        </w:rPr>
        <w:t xml:space="preserve">ositive H&amp;C consideration may be warranted when the period of inability to leave Canada </w:t>
      </w:r>
      <w:r w:rsidR="00251A57">
        <w:rPr>
          <w:lang w:val="en-CA"/>
        </w:rPr>
        <w:t>owing</w:t>
      </w:r>
      <w:r w:rsidR="00251A57" w:rsidRPr="00463B9A">
        <w:rPr>
          <w:lang w:val="en-CA"/>
        </w:rPr>
        <w:t xml:space="preserve"> </w:t>
      </w:r>
      <w:r w:rsidR="009345DA" w:rsidRPr="00463B9A">
        <w:rPr>
          <w:lang w:val="en-CA"/>
        </w:rPr>
        <w:t>to circumstances beyond the applicant’s control is of considerable duration and when there is evidence of a significant degr</w:t>
      </w:r>
      <w:r w:rsidR="00BA6F6A" w:rsidRPr="00463B9A">
        <w:rPr>
          <w:lang w:val="en-CA"/>
        </w:rPr>
        <w:t xml:space="preserve">ee of establishment in Canada. </w:t>
      </w:r>
      <w:r w:rsidR="00CD7B66" w:rsidRPr="00463B9A">
        <w:rPr>
          <w:lang w:val="en-CA"/>
        </w:rPr>
        <w:t xml:space="preserve">The author claims that </w:t>
      </w:r>
      <w:r w:rsidR="009345DA" w:rsidRPr="00463B9A">
        <w:rPr>
          <w:lang w:val="en-CA"/>
        </w:rPr>
        <w:t>she is purposely choosing to delay accessing an available and effective remedy</w:t>
      </w:r>
      <w:r w:rsidR="00CD7B66" w:rsidRPr="00463B9A">
        <w:rPr>
          <w:lang w:val="en-CA"/>
        </w:rPr>
        <w:t>; thus, it cannot be said that her current circumstances are beyond her control</w:t>
      </w:r>
      <w:r w:rsidR="009345DA" w:rsidRPr="00463B9A">
        <w:rPr>
          <w:lang w:val="en-CA"/>
        </w:rPr>
        <w:t>.</w:t>
      </w:r>
      <w:r w:rsidR="00F73665" w:rsidRPr="00463B9A">
        <w:rPr>
          <w:lang w:val="en-CA"/>
        </w:rPr>
        <w:t xml:space="preserve"> </w:t>
      </w:r>
      <w:r w:rsidR="00FB027C" w:rsidRPr="00463B9A">
        <w:rPr>
          <w:lang w:val="en-CA"/>
        </w:rPr>
        <w:t xml:space="preserve">Therefore, it is inappropriate </w:t>
      </w:r>
      <w:r w:rsidR="00251A57">
        <w:rPr>
          <w:lang w:val="en-CA"/>
        </w:rPr>
        <w:t>for</w:t>
      </w:r>
      <w:r w:rsidR="00251A57" w:rsidRPr="00463B9A">
        <w:rPr>
          <w:lang w:val="en-CA"/>
        </w:rPr>
        <w:t xml:space="preserve"> </w:t>
      </w:r>
      <w:r w:rsidR="00FB027C" w:rsidRPr="00463B9A">
        <w:rPr>
          <w:lang w:val="en-CA"/>
        </w:rPr>
        <w:t xml:space="preserve">the author initially </w:t>
      </w:r>
      <w:r w:rsidR="00251A57">
        <w:rPr>
          <w:lang w:val="en-CA"/>
        </w:rPr>
        <w:t xml:space="preserve">to </w:t>
      </w:r>
      <w:r w:rsidR="00FB027C" w:rsidRPr="00463B9A">
        <w:rPr>
          <w:lang w:val="en-CA"/>
        </w:rPr>
        <w:t>allege that the State party</w:t>
      </w:r>
      <w:r w:rsidR="009345DA" w:rsidRPr="00463B9A">
        <w:rPr>
          <w:lang w:val="en-CA"/>
        </w:rPr>
        <w:t xml:space="preserve"> violated its obligations under the Covenant by denying her access to a domestic remedy </w:t>
      </w:r>
      <w:r w:rsidR="008746F3" w:rsidRPr="00463B9A">
        <w:rPr>
          <w:lang w:val="en-CA"/>
        </w:rPr>
        <w:t>but</w:t>
      </w:r>
      <w:r w:rsidR="009345DA" w:rsidRPr="00463B9A">
        <w:rPr>
          <w:lang w:val="en-CA"/>
        </w:rPr>
        <w:t xml:space="preserve"> </w:t>
      </w:r>
      <w:r w:rsidR="008746F3" w:rsidRPr="00463B9A">
        <w:rPr>
          <w:lang w:val="en-CA"/>
        </w:rPr>
        <w:t xml:space="preserve">later </w:t>
      </w:r>
      <w:r w:rsidR="00251A57">
        <w:rPr>
          <w:lang w:val="en-CA"/>
        </w:rPr>
        <w:t>to take</w:t>
      </w:r>
      <w:r w:rsidR="00251A57" w:rsidRPr="00463B9A">
        <w:rPr>
          <w:lang w:val="en-CA"/>
        </w:rPr>
        <w:t xml:space="preserve"> </w:t>
      </w:r>
      <w:r w:rsidR="008746F3" w:rsidRPr="00463B9A">
        <w:rPr>
          <w:lang w:val="en-CA"/>
        </w:rPr>
        <w:t xml:space="preserve">the position that it is not an effective remedy when access to </w:t>
      </w:r>
      <w:r w:rsidR="009345DA" w:rsidRPr="00463B9A">
        <w:rPr>
          <w:lang w:val="en-CA"/>
        </w:rPr>
        <w:t xml:space="preserve">that remedy </w:t>
      </w:r>
      <w:r w:rsidR="00FB027C" w:rsidRPr="00463B9A">
        <w:rPr>
          <w:lang w:val="en-CA"/>
        </w:rPr>
        <w:t>became</w:t>
      </w:r>
      <w:r w:rsidR="009345DA" w:rsidRPr="00463B9A">
        <w:rPr>
          <w:lang w:val="en-CA"/>
        </w:rPr>
        <w:t xml:space="preserve"> available to her and she purposely fail</w:t>
      </w:r>
      <w:r w:rsidR="00FB027C" w:rsidRPr="00463B9A">
        <w:rPr>
          <w:lang w:val="en-CA"/>
        </w:rPr>
        <w:t>ed</w:t>
      </w:r>
      <w:r w:rsidR="008746F3" w:rsidRPr="00463B9A">
        <w:rPr>
          <w:lang w:val="en-CA"/>
        </w:rPr>
        <w:t xml:space="preserve"> to avail herself of it.</w:t>
      </w:r>
      <w:r w:rsidR="00524768" w:rsidRPr="00463B9A">
        <w:rPr>
          <w:lang w:val="en-CA"/>
        </w:rPr>
        <w:t xml:space="preserve"> </w:t>
      </w:r>
    </w:p>
    <w:p w14:paraId="7D6C90F6" w14:textId="16CB7257" w:rsidR="00BC1C7C" w:rsidRPr="00463B9A" w:rsidRDefault="0079639C" w:rsidP="00BC1C7C">
      <w:pPr>
        <w:pStyle w:val="SingleTxtG"/>
        <w:rPr>
          <w:lang w:val="en-CA"/>
        </w:rPr>
      </w:pPr>
      <w:r w:rsidRPr="00463B9A">
        <w:rPr>
          <w:lang w:val="en-CA"/>
        </w:rPr>
        <w:t>6</w:t>
      </w:r>
      <w:r w:rsidR="00756119" w:rsidRPr="00463B9A">
        <w:rPr>
          <w:lang w:val="en-CA"/>
        </w:rPr>
        <w:t>.</w:t>
      </w:r>
      <w:r w:rsidR="00181322" w:rsidRPr="00463B9A">
        <w:rPr>
          <w:lang w:val="en-CA"/>
        </w:rPr>
        <w:t>7</w:t>
      </w:r>
      <w:r w:rsidR="00524768" w:rsidRPr="00463B9A">
        <w:rPr>
          <w:lang w:val="en-CA"/>
        </w:rPr>
        <w:tab/>
      </w:r>
      <w:r w:rsidR="0025504B" w:rsidRPr="00463B9A">
        <w:rPr>
          <w:lang w:val="en-CA"/>
        </w:rPr>
        <w:t xml:space="preserve">The State party also considers that the communication is inadmissible as manifestly ill-founded because the author has not substantiated on even a </w:t>
      </w:r>
      <w:r w:rsidR="0025504B" w:rsidRPr="003826E8">
        <w:rPr>
          <w:lang w:val="en-CA"/>
        </w:rPr>
        <w:t>prima facie</w:t>
      </w:r>
      <w:r w:rsidR="0025504B" w:rsidRPr="00463B9A">
        <w:rPr>
          <w:lang w:val="en-CA"/>
        </w:rPr>
        <w:t xml:space="preserve"> basis her allegations with respect to articles 6 and 7. The </w:t>
      </w:r>
      <w:r w:rsidR="00251A57">
        <w:rPr>
          <w:lang w:val="en-CA"/>
        </w:rPr>
        <w:t>Refugee Protection Division</w:t>
      </w:r>
      <w:r w:rsidR="0025504B" w:rsidRPr="00463B9A">
        <w:rPr>
          <w:lang w:val="en-CA"/>
        </w:rPr>
        <w:t xml:space="preserve"> found that the author was not credible</w:t>
      </w:r>
      <w:r w:rsidR="00BD1024" w:rsidRPr="00463B9A">
        <w:rPr>
          <w:lang w:val="en-CA"/>
        </w:rPr>
        <w:t xml:space="preserve">. The documentary evidence </w:t>
      </w:r>
      <w:r w:rsidR="009A4A8B" w:rsidRPr="00463B9A">
        <w:rPr>
          <w:lang w:val="en-CA"/>
        </w:rPr>
        <w:t>she</w:t>
      </w:r>
      <w:r w:rsidR="00BD1024" w:rsidRPr="00463B9A">
        <w:rPr>
          <w:lang w:val="en-CA"/>
        </w:rPr>
        <w:t xml:space="preserve"> provided made “</w:t>
      </w:r>
      <w:r w:rsidR="00F73665" w:rsidRPr="00463B9A">
        <w:rPr>
          <w:lang w:val="en-CA"/>
        </w:rPr>
        <w:t>no mention of the [author] in a situation where if [her] allegations were true the panel would expect her to be mentioned”</w:t>
      </w:r>
      <w:r w:rsidR="00251A57">
        <w:rPr>
          <w:lang w:val="en-CA"/>
        </w:rPr>
        <w:t>.</w:t>
      </w:r>
      <w:r w:rsidR="0025504B"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xml:space="preserve"> explained that </w:t>
      </w:r>
      <w:r w:rsidR="00F161BE" w:rsidRPr="00463B9A">
        <w:rPr>
          <w:lang w:val="en-CA"/>
        </w:rPr>
        <w:t>it expected</w:t>
      </w:r>
      <w:r w:rsidR="00F73665" w:rsidRPr="00463B9A">
        <w:rPr>
          <w:lang w:val="en-CA"/>
        </w:rPr>
        <w:t xml:space="preserve"> that the author would be mentioned in</w:t>
      </w:r>
      <w:r w:rsidR="00F161BE" w:rsidRPr="00463B9A">
        <w:rPr>
          <w:lang w:val="en-CA"/>
        </w:rPr>
        <w:t xml:space="preserve"> the documentation she provided for the following reasons: extensive documentation concerning this murder case was available </w:t>
      </w:r>
      <w:r w:rsidR="00251A57">
        <w:rPr>
          <w:lang w:val="en-CA"/>
        </w:rPr>
        <w:t>owing</w:t>
      </w:r>
      <w:r w:rsidR="00251A57" w:rsidRPr="00463B9A">
        <w:rPr>
          <w:lang w:val="en-CA"/>
        </w:rPr>
        <w:t xml:space="preserve"> </w:t>
      </w:r>
      <w:r w:rsidR="00F161BE" w:rsidRPr="00463B9A">
        <w:rPr>
          <w:lang w:val="en-CA"/>
        </w:rPr>
        <w:t>to the high</w:t>
      </w:r>
      <w:r w:rsidR="00251A57">
        <w:rPr>
          <w:lang w:val="en-CA"/>
        </w:rPr>
        <w:t xml:space="preserve"> </w:t>
      </w:r>
      <w:r w:rsidR="00F161BE" w:rsidRPr="00463B9A">
        <w:rPr>
          <w:lang w:val="en-CA"/>
        </w:rPr>
        <w:t xml:space="preserve">level of publicity surrounding the murder of the author’s brother I., a British citizen; </w:t>
      </w:r>
      <w:r w:rsidR="00F73665" w:rsidRPr="00463B9A">
        <w:rPr>
          <w:lang w:val="en-CA"/>
        </w:rPr>
        <w:t>there were numerous individuals and legal teams involved in the murder case</w:t>
      </w:r>
      <w:r w:rsidR="00F161BE" w:rsidRPr="00463B9A">
        <w:rPr>
          <w:lang w:val="en-CA"/>
        </w:rPr>
        <w:t>,</w:t>
      </w:r>
      <w:r w:rsidR="00D237FE" w:rsidRPr="00463B9A">
        <w:rPr>
          <w:vertAlign w:val="superscript"/>
          <w:lang w:val="en-CA"/>
        </w:rPr>
        <w:t xml:space="preserve"> </w:t>
      </w:r>
      <w:r w:rsidR="00F161BE" w:rsidRPr="00463B9A">
        <w:rPr>
          <w:lang w:val="en-CA"/>
        </w:rPr>
        <w:t>such that the facts surrounding the case</w:t>
      </w:r>
      <w:r w:rsidR="00F73665" w:rsidRPr="00463B9A">
        <w:rPr>
          <w:lang w:val="en-CA"/>
        </w:rPr>
        <w:t xml:space="preserve"> were well</w:t>
      </w:r>
      <w:r w:rsidR="00251A57">
        <w:rPr>
          <w:lang w:val="en-CA"/>
        </w:rPr>
        <w:t xml:space="preserve"> </w:t>
      </w:r>
      <w:r w:rsidR="00F73665" w:rsidRPr="00463B9A">
        <w:rPr>
          <w:lang w:val="en-CA"/>
        </w:rPr>
        <w:t>documented;</w:t>
      </w:r>
      <w:r w:rsidR="00D237FE" w:rsidRPr="00463B9A">
        <w:rPr>
          <w:vertAlign w:val="superscript"/>
          <w:lang w:val="en-CA"/>
        </w:rPr>
        <w:t xml:space="preserve"> </w:t>
      </w:r>
      <w:r w:rsidR="00BD1024" w:rsidRPr="00463B9A">
        <w:rPr>
          <w:lang w:val="en-CA"/>
        </w:rPr>
        <w:t>t</w:t>
      </w:r>
      <w:r w:rsidR="00F73665" w:rsidRPr="00463B9A">
        <w:rPr>
          <w:lang w:val="en-CA"/>
        </w:rPr>
        <w:t>he author comes from a large family</w:t>
      </w:r>
      <w:r w:rsidR="00F35E7D" w:rsidRPr="00463B9A">
        <w:rPr>
          <w:lang w:val="en-CA"/>
        </w:rPr>
        <w:t>,</w:t>
      </w:r>
      <w:r w:rsidR="00F73665" w:rsidRPr="00463B9A">
        <w:rPr>
          <w:lang w:val="en-CA"/>
        </w:rPr>
        <w:t xml:space="preserve"> many of who</w:t>
      </w:r>
      <w:r w:rsidR="00251A57">
        <w:rPr>
          <w:lang w:val="en-CA"/>
        </w:rPr>
        <w:t>se members</w:t>
      </w:r>
      <w:r w:rsidR="00F73665" w:rsidRPr="00463B9A">
        <w:rPr>
          <w:lang w:val="en-CA"/>
        </w:rPr>
        <w:t xml:space="preserve"> continue to reside in Bangladesh and provide her with information; and</w:t>
      </w:r>
      <w:r w:rsidR="00BD1024" w:rsidRPr="00463B9A">
        <w:rPr>
          <w:lang w:val="en-CA"/>
        </w:rPr>
        <w:t xml:space="preserve"> t</w:t>
      </w:r>
      <w:r w:rsidR="00F73665" w:rsidRPr="00463B9A">
        <w:rPr>
          <w:lang w:val="en-CA"/>
        </w:rPr>
        <w:t>he panel has experience with claims from Bangladesh and is aware that the press in Bangladesh i</w:t>
      </w:r>
      <w:r w:rsidR="00F161BE" w:rsidRPr="00463B9A">
        <w:rPr>
          <w:lang w:val="en-CA"/>
        </w:rPr>
        <w:t>s very active</w:t>
      </w:r>
      <w:r w:rsidR="00805C6E" w:rsidRPr="00463B9A">
        <w:rPr>
          <w:lang w:val="en-CA"/>
        </w:rPr>
        <w:t>.</w:t>
      </w:r>
      <w:r w:rsidR="00BD1024" w:rsidRPr="00463B9A">
        <w:rPr>
          <w:lang w:val="en-CA"/>
        </w:rPr>
        <w:t xml:space="preserve"> </w:t>
      </w:r>
      <w:r w:rsidR="00F73665" w:rsidRPr="00463B9A">
        <w:rPr>
          <w:lang w:val="en-CA"/>
        </w:rPr>
        <w:t>The</w:t>
      </w:r>
      <w:r w:rsidR="00251A57">
        <w:rPr>
          <w:lang w:val="en-CA"/>
        </w:rPr>
        <w:t xml:space="preserve"> Division</w:t>
      </w:r>
      <w:r w:rsidR="00F73665" w:rsidRPr="00463B9A">
        <w:rPr>
          <w:lang w:val="en-CA"/>
        </w:rPr>
        <w:t xml:space="preserve"> commented on the significant amount of documentary material on the murder and intimidation allegations, noting that </w:t>
      </w:r>
      <w:r w:rsidR="00251A57">
        <w:rPr>
          <w:lang w:val="en-CA"/>
        </w:rPr>
        <w:t>that</w:t>
      </w:r>
      <w:r w:rsidR="00251A57" w:rsidRPr="00463B9A">
        <w:rPr>
          <w:lang w:val="en-CA"/>
        </w:rPr>
        <w:t xml:space="preserve"> </w:t>
      </w:r>
      <w:r w:rsidR="00F73665" w:rsidRPr="00463B9A">
        <w:rPr>
          <w:lang w:val="en-CA"/>
        </w:rPr>
        <w:t xml:space="preserve">was </w:t>
      </w:r>
      <w:r w:rsidR="00251A57">
        <w:rPr>
          <w:lang w:val="en-CA"/>
        </w:rPr>
        <w:t xml:space="preserve">due </w:t>
      </w:r>
      <w:r w:rsidR="00F73665" w:rsidRPr="00463B9A">
        <w:rPr>
          <w:lang w:val="en-CA"/>
        </w:rPr>
        <w:t xml:space="preserve">partly to the author’s family’s efforts to ensure that the </w:t>
      </w:r>
      <w:r w:rsidR="00251A57">
        <w:rPr>
          <w:lang w:val="en-CA"/>
        </w:rPr>
        <w:t>G</w:t>
      </w:r>
      <w:r w:rsidR="00A57FC1" w:rsidRPr="00463B9A">
        <w:rPr>
          <w:lang w:val="en-CA"/>
        </w:rPr>
        <w:t>overnment</w:t>
      </w:r>
      <w:r w:rsidR="00F73665" w:rsidRPr="00463B9A">
        <w:rPr>
          <w:lang w:val="en-CA"/>
        </w:rPr>
        <w:t xml:space="preserve"> </w:t>
      </w:r>
      <w:r w:rsidR="00251A57">
        <w:rPr>
          <w:lang w:val="en-CA"/>
        </w:rPr>
        <w:t xml:space="preserve">of the United Kingdom </w:t>
      </w:r>
      <w:r w:rsidR="00F73665" w:rsidRPr="00463B9A">
        <w:rPr>
          <w:lang w:val="en-CA"/>
        </w:rPr>
        <w:t xml:space="preserve">was aware that it would be a miscarriage of justice if the murderers of a British citizen were not </w:t>
      </w:r>
      <w:r w:rsidR="00B023DD">
        <w:rPr>
          <w:lang w:val="en-CA"/>
        </w:rPr>
        <w:t>prosecuted</w:t>
      </w:r>
      <w:r w:rsidR="00F73665" w:rsidRPr="00463B9A">
        <w:rPr>
          <w:lang w:val="en-CA"/>
        </w:rPr>
        <w:t>.</w:t>
      </w:r>
      <w:r w:rsidR="00805C6E" w:rsidRPr="00463B9A">
        <w:rPr>
          <w:lang w:val="en-CA"/>
        </w:rPr>
        <w:t xml:space="preserve"> </w:t>
      </w:r>
      <w:r w:rsidR="00F73665" w:rsidRPr="00463B9A">
        <w:rPr>
          <w:lang w:val="en-CA"/>
        </w:rPr>
        <w:t xml:space="preserve">Additionally, the </w:t>
      </w:r>
      <w:r w:rsidR="00251A57">
        <w:rPr>
          <w:lang w:val="en-CA"/>
        </w:rPr>
        <w:t>Division</w:t>
      </w:r>
      <w:r w:rsidR="00F73665" w:rsidRPr="00463B9A">
        <w:rPr>
          <w:lang w:val="en-CA"/>
        </w:rPr>
        <w:t xml:space="preserve"> noted that there </w:t>
      </w:r>
      <w:r w:rsidR="00251A57">
        <w:rPr>
          <w:lang w:val="en-CA"/>
        </w:rPr>
        <w:t>had been</w:t>
      </w:r>
      <w:r w:rsidR="00251A57" w:rsidRPr="00463B9A">
        <w:rPr>
          <w:lang w:val="en-CA"/>
        </w:rPr>
        <w:t xml:space="preserve"> </w:t>
      </w:r>
      <w:r w:rsidR="00F73665" w:rsidRPr="00463B9A">
        <w:rPr>
          <w:lang w:val="en-CA"/>
        </w:rPr>
        <w:t xml:space="preserve">in-depth analyses of the risks faced by the author’s family in Bangladesh as a result of hearings </w:t>
      </w:r>
      <w:r w:rsidR="00EB4166">
        <w:rPr>
          <w:lang w:val="en-CA"/>
        </w:rPr>
        <w:t>o</w:t>
      </w:r>
      <w:r w:rsidR="00F73665" w:rsidRPr="00463B9A">
        <w:rPr>
          <w:lang w:val="en-CA"/>
        </w:rPr>
        <w:t xml:space="preserve">n the </w:t>
      </w:r>
      <w:r w:rsidR="00251A57">
        <w:rPr>
          <w:lang w:val="en-CA"/>
        </w:rPr>
        <w:t>United Kingdom</w:t>
      </w:r>
      <w:r w:rsidR="00F73665" w:rsidRPr="00463B9A">
        <w:rPr>
          <w:lang w:val="en-CA"/>
        </w:rPr>
        <w:t xml:space="preserve"> asylum applications of the author’s sister, </w:t>
      </w:r>
      <w:r w:rsidR="009E0905" w:rsidRPr="00463B9A">
        <w:rPr>
          <w:lang w:val="en-CA"/>
        </w:rPr>
        <w:t>L.</w:t>
      </w:r>
      <w:r w:rsidR="0012081A" w:rsidRPr="00463B9A">
        <w:rPr>
          <w:lang w:val="en-CA"/>
        </w:rPr>
        <w:t>, and the author’s nephew</w:t>
      </w:r>
      <w:r w:rsidR="00F73665" w:rsidRPr="00463B9A">
        <w:rPr>
          <w:lang w:val="en-CA"/>
        </w:rPr>
        <w:t>.</w:t>
      </w:r>
      <w:r w:rsidR="00E53D7E" w:rsidRPr="00463B9A">
        <w:rPr>
          <w:lang w:val="en-CA"/>
        </w:rPr>
        <w:t xml:space="preserve"> </w:t>
      </w:r>
      <w:r w:rsidR="00EB4166">
        <w:rPr>
          <w:lang w:val="en-CA"/>
        </w:rPr>
        <w:t>T</w:t>
      </w:r>
      <w:r w:rsidR="00E53D7E" w:rsidRPr="00463B9A">
        <w:rPr>
          <w:lang w:val="en-CA"/>
        </w:rPr>
        <w:t xml:space="preserve">he </w:t>
      </w:r>
      <w:r w:rsidR="00251A57">
        <w:rPr>
          <w:lang w:val="en-CA"/>
        </w:rPr>
        <w:t>Division</w:t>
      </w:r>
      <w:r w:rsidR="00E53D7E" w:rsidRPr="00463B9A">
        <w:rPr>
          <w:lang w:val="en-CA"/>
        </w:rPr>
        <w:t xml:space="preserve"> </w:t>
      </w:r>
      <w:r w:rsidR="00E53D7E" w:rsidRPr="00463B9A">
        <w:t xml:space="preserve">attached very little probative value to </w:t>
      </w:r>
      <w:r w:rsidR="00EB4166" w:rsidRPr="00463B9A">
        <w:rPr>
          <w:lang w:val="en-CA"/>
        </w:rPr>
        <w:t>the police complaint filed by the author</w:t>
      </w:r>
      <w:r w:rsidR="00EB4166" w:rsidRPr="00463B9A" w:rsidDel="00EB4166">
        <w:t xml:space="preserve"> </w:t>
      </w:r>
      <w:r w:rsidR="00E53D7E" w:rsidRPr="00463B9A">
        <w:t xml:space="preserve">since it </w:t>
      </w:r>
      <w:r w:rsidR="00EB4166">
        <w:t>had been</w:t>
      </w:r>
      <w:r w:rsidR="00EB4166" w:rsidRPr="00463B9A">
        <w:t xml:space="preserve"> </w:t>
      </w:r>
      <w:r w:rsidR="00E53D7E" w:rsidRPr="00463B9A">
        <w:t>created by the author herself on the day she left Bangladesh, when she knew that she would be seeking refugee protection in Canada. In addition, the complaint did not specifically ide</w:t>
      </w:r>
      <w:r w:rsidR="003C79B2" w:rsidRPr="00463B9A">
        <w:t xml:space="preserve">ntify anyone, and </w:t>
      </w:r>
      <w:r w:rsidR="00EB418D" w:rsidRPr="00463B9A">
        <w:t>the author’s</w:t>
      </w:r>
      <w:r w:rsidR="003C79B2" w:rsidRPr="00463B9A">
        <w:t xml:space="preserve"> immediate </w:t>
      </w:r>
      <w:r w:rsidR="00E53D7E" w:rsidRPr="00463B9A">
        <w:t>departure from Bangladesh ensured that it could not be investigated further.</w:t>
      </w:r>
      <w:r w:rsidR="00EB4166">
        <w:t xml:space="preserve"> </w:t>
      </w:r>
    </w:p>
    <w:p w14:paraId="49021897" w14:textId="1AE9991B" w:rsidR="00F73665" w:rsidRPr="00463B9A" w:rsidRDefault="0079639C" w:rsidP="004C7118">
      <w:pPr>
        <w:pStyle w:val="SingleTxtG"/>
        <w:rPr>
          <w:lang w:val="en-CA"/>
        </w:rPr>
      </w:pPr>
      <w:r w:rsidRPr="00463B9A">
        <w:rPr>
          <w:lang w:val="en-CA"/>
        </w:rPr>
        <w:t>6</w:t>
      </w:r>
      <w:r w:rsidR="00BC1C7C" w:rsidRPr="00463B9A">
        <w:rPr>
          <w:lang w:val="en-CA"/>
        </w:rPr>
        <w:t>.</w:t>
      </w:r>
      <w:r w:rsidR="00181322" w:rsidRPr="00463B9A">
        <w:rPr>
          <w:lang w:val="en-CA"/>
        </w:rPr>
        <w:t>8</w:t>
      </w:r>
      <w:r w:rsidR="00BC1C7C" w:rsidRPr="00463B9A">
        <w:rPr>
          <w:lang w:val="en-CA"/>
        </w:rPr>
        <w:tab/>
        <w:t xml:space="preserve">The </w:t>
      </w:r>
      <w:r w:rsidR="00251A57">
        <w:rPr>
          <w:lang w:val="en-CA"/>
        </w:rPr>
        <w:t>Refugee Protection Division</w:t>
      </w:r>
      <w:r w:rsidR="00F73665" w:rsidRPr="00463B9A">
        <w:rPr>
          <w:lang w:val="en-CA"/>
        </w:rPr>
        <w:t xml:space="preserve"> </w:t>
      </w:r>
      <w:r w:rsidR="0034323C" w:rsidRPr="00463B9A">
        <w:rPr>
          <w:lang w:val="en-CA"/>
        </w:rPr>
        <w:t>noted</w:t>
      </w:r>
      <w:r w:rsidR="00F73665" w:rsidRPr="00463B9A">
        <w:rPr>
          <w:lang w:val="en-CA"/>
        </w:rPr>
        <w:t xml:space="preserve"> </w:t>
      </w:r>
      <w:r w:rsidR="00F66F4C" w:rsidRPr="00463B9A">
        <w:rPr>
          <w:lang w:val="en-CA"/>
        </w:rPr>
        <w:t xml:space="preserve">that </w:t>
      </w:r>
      <w:r w:rsidR="009D3769" w:rsidRPr="00463B9A">
        <w:rPr>
          <w:lang w:val="en-CA"/>
        </w:rPr>
        <w:t xml:space="preserve">neither the author nor her mother </w:t>
      </w:r>
      <w:r w:rsidR="005B37BE" w:rsidRPr="00463B9A">
        <w:rPr>
          <w:lang w:val="en-CA"/>
        </w:rPr>
        <w:t>was</w:t>
      </w:r>
      <w:r w:rsidR="009D3769" w:rsidRPr="00463B9A">
        <w:rPr>
          <w:lang w:val="en-CA"/>
        </w:rPr>
        <w:t xml:space="preserve"> mentioned</w:t>
      </w:r>
      <w:r w:rsidR="00294BB0" w:rsidRPr="00463B9A">
        <w:rPr>
          <w:lang w:val="en-CA"/>
        </w:rPr>
        <w:t xml:space="preserve"> in documents relating</w:t>
      </w:r>
      <w:r w:rsidR="00F73665" w:rsidRPr="00463B9A">
        <w:rPr>
          <w:lang w:val="en-CA"/>
        </w:rPr>
        <w:t xml:space="preserve"> to the period bef</w:t>
      </w:r>
      <w:r w:rsidR="009D3769" w:rsidRPr="00463B9A">
        <w:rPr>
          <w:lang w:val="en-CA"/>
        </w:rPr>
        <w:t>ore and during the murder trial (</w:t>
      </w:r>
      <w:r w:rsidR="00F73665" w:rsidRPr="00463B9A">
        <w:rPr>
          <w:lang w:val="en-CA"/>
        </w:rPr>
        <w:t xml:space="preserve">including </w:t>
      </w:r>
      <w:r w:rsidR="00F73665" w:rsidRPr="00463B9A">
        <w:rPr>
          <w:lang w:val="en-CA"/>
        </w:rPr>
        <w:lastRenderedPageBreak/>
        <w:t xml:space="preserve">a </w:t>
      </w:r>
      <w:r w:rsidR="00B67F08" w:rsidRPr="00463B9A">
        <w:rPr>
          <w:lang w:val="en-CA"/>
        </w:rPr>
        <w:t>letter written by her brother</w:t>
      </w:r>
      <w:r w:rsidR="00F73665" w:rsidRPr="00463B9A">
        <w:rPr>
          <w:lang w:val="en-CA"/>
        </w:rPr>
        <w:t xml:space="preserve"> </w:t>
      </w:r>
      <w:r w:rsidR="00294BB0" w:rsidRPr="00463B9A">
        <w:rPr>
          <w:lang w:val="en-CA"/>
        </w:rPr>
        <w:t>J.</w:t>
      </w:r>
      <w:r w:rsidR="00EB4166">
        <w:rPr>
          <w:lang w:val="en-CA"/>
        </w:rPr>
        <w:t xml:space="preserve"> in </w:t>
      </w:r>
      <w:r w:rsidR="00EB4166" w:rsidRPr="00463B9A">
        <w:rPr>
          <w:lang w:val="en-CA"/>
        </w:rPr>
        <w:t>2006</w:t>
      </w:r>
      <w:r w:rsidR="00F73665" w:rsidRPr="00463B9A">
        <w:rPr>
          <w:lang w:val="en-CA"/>
        </w:rPr>
        <w:t>, in which he listed family members who were being threatened</w:t>
      </w:r>
      <w:r w:rsidR="009D3769" w:rsidRPr="00463B9A">
        <w:rPr>
          <w:lang w:val="en-CA"/>
        </w:rPr>
        <w:t>)</w:t>
      </w:r>
      <w:r w:rsidR="007D1328">
        <w:rPr>
          <w:lang w:val="en-CA"/>
        </w:rPr>
        <w:t>.</w:t>
      </w:r>
      <w:r w:rsidR="00F66F4C" w:rsidRPr="00463B9A">
        <w:rPr>
          <w:lang w:val="en-CA"/>
        </w:rPr>
        <w:t xml:space="preserve"> The </w:t>
      </w:r>
      <w:r w:rsidR="00251A57">
        <w:rPr>
          <w:lang w:val="en-CA"/>
        </w:rPr>
        <w:t>Division</w:t>
      </w:r>
      <w:r w:rsidR="00F66F4C" w:rsidRPr="00463B9A">
        <w:rPr>
          <w:lang w:val="en-CA"/>
        </w:rPr>
        <w:t xml:space="preserve"> also note</w:t>
      </w:r>
      <w:r w:rsidR="00AF7FBC">
        <w:rPr>
          <w:lang w:val="en-CA"/>
        </w:rPr>
        <w:t>d</w:t>
      </w:r>
      <w:r w:rsidR="00F66F4C" w:rsidRPr="00463B9A">
        <w:rPr>
          <w:lang w:val="en-CA"/>
        </w:rPr>
        <w:t xml:space="preserve"> that</w:t>
      </w:r>
      <w:r w:rsidR="00805C6E" w:rsidRPr="00463B9A">
        <w:rPr>
          <w:vertAlign w:val="superscript"/>
          <w:lang w:val="en-CA"/>
        </w:rPr>
        <w:t xml:space="preserve"> </w:t>
      </w:r>
      <w:r w:rsidR="00F73665" w:rsidRPr="00463B9A">
        <w:rPr>
          <w:lang w:val="en-CA"/>
        </w:rPr>
        <w:t xml:space="preserve">the </w:t>
      </w:r>
      <w:r w:rsidR="00237934" w:rsidRPr="00463B9A">
        <w:rPr>
          <w:lang w:val="en-CA"/>
        </w:rPr>
        <w:t xml:space="preserve">alleged </w:t>
      </w:r>
      <w:r w:rsidR="00F73665" w:rsidRPr="00463B9A">
        <w:rPr>
          <w:lang w:val="en-CA"/>
        </w:rPr>
        <w:t>threats and efforts to</w:t>
      </w:r>
      <w:r w:rsidR="00F66F4C" w:rsidRPr="00463B9A">
        <w:rPr>
          <w:lang w:val="en-CA"/>
        </w:rPr>
        <w:t xml:space="preserve"> intimidate the author’s family members,</w:t>
      </w:r>
      <w:r w:rsidR="00F73665" w:rsidRPr="00463B9A">
        <w:rPr>
          <w:lang w:val="en-CA"/>
        </w:rPr>
        <w:t xml:space="preserve"> including her brother </w:t>
      </w:r>
      <w:r w:rsidR="00294BB0" w:rsidRPr="00463B9A">
        <w:rPr>
          <w:lang w:val="en-CA"/>
        </w:rPr>
        <w:t>J.</w:t>
      </w:r>
      <w:r w:rsidR="00F73665" w:rsidRPr="00463B9A">
        <w:rPr>
          <w:lang w:val="en-CA"/>
        </w:rPr>
        <w:t xml:space="preserve"> and her sister </w:t>
      </w:r>
      <w:r w:rsidR="00237934" w:rsidRPr="00463B9A">
        <w:rPr>
          <w:lang w:val="en-CA"/>
        </w:rPr>
        <w:t>L.</w:t>
      </w:r>
      <w:r w:rsidR="007D1328">
        <w:rPr>
          <w:lang w:val="en-CA"/>
        </w:rPr>
        <w:t>,</w:t>
      </w:r>
      <w:r w:rsidR="00237934" w:rsidRPr="00463B9A">
        <w:rPr>
          <w:lang w:val="en-CA"/>
        </w:rPr>
        <w:t xml:space="preserve"> </w:t>
      </w:r>
      <w:r w:rsidR="00F66F4C" w:rsidRPr="00463B9A">
        <w:rPr>
          <w:lang w:val="en-CA"/>
        </w:rPr>
        <w:t xml:space="preserve">were poorly documented. The </w:t>
      </w:r>
      <w:r w:rsidR="00251A57">
        <w:rPr>
          <w:lang w:val="en-CA"/>
        </w:rPr>
        <w:t>Division</w:t>
      </w:r>
      <w:r w:rsidR="00F66F4C" w:rsidRPr="00463B9A">
        <w:rPr>
          <w:lang w:val="en-CA"/>
        </w:rPr>
        <w:t xml:space="preserve"> </w:t>
      </w:r>
      <w:r w:rsidR="009D6613" w:rsidRPr="00463B9A">
        <w:rPr>
          <w:lang w:val="en-CA"/>
        </w:rPr>
        <w:t>further</w:t>
      </w:r>
      <w:r w:rsidR="00F66F4C" w:rsidRPr="00463B9A">
        <w:rPr>
          <w:lang w:val="en-CA"/>
        </w:rPr>
        <w:t xml:space="preserve"> found that </w:t>
      </w:r>
      <w:r w:rsidR="00BC1C7C" w:rsidRPr="00463B9A">
        <w:rPr>
          <w:lang w:val="en-CA"/>
        </w:rPr>
        <w:t>t</w:t>
      </w:r>
      <w:r w:rsidR="00F73665" w:rsidRPr="00463B9A">
        <w:rPr>
          <w:lang w:val="en-CA"/>
        </w:rPr>
        <w:t>here was no mention of t</w:t>
      </w:r>
      <w:r w:rsidR="00AB177D" w:rsidRPr="00463B9A">
        <w:rPr>
          <w:lang w:val="en-CA"/>
        </w:rPr>
        <w:t>he author, her mother</w:t>
      </w:r>
      <w:r w:rsidR="00F73665" w:rsidRPr="00463B9A">
        <w:rPr>
          <w:lang w:val="en-CA"/>
        </w:rPr>
        <w:t xml:space="preserve"> or the threats that the author alleged </w:t>
      </w:r>
      <w:r w:rsidR="00AF7FBC">
        <w:rPr>
          <w:lang w:val="en-CA"/>
        </w:rPr>
        <w:t>had been</w:t>
      </w:r>
      <w:r w:rsidR="00AF7FBC" w:rsidRPr="00463B9A">
        <w:rPr>
          <w:lang w:val="en-CA"/>
        </w:rPr>
        <w:t xml:space="preserve"> </w:t>
      </w:r>
      <w:r w:rsidR="00F73665" w:rsidRPr="00463B9A">
        <w:rPr>
          <w:lang w:val="en-CA"/>
        </w:rPr>
        <w:t>made against them in a letter writte</w:t>
      </w:r>
      <w:r w:rsidR="00294BB0" w:rsidRPr="00463B9A">
        <w:rPr>
          <w:lang w:val="en-CA"/>
        </w:rPr>
        <w:t>n by the author’s sister-in-law (</w:t>
      </w:r>
      <w:r w:rsidR="008A2838">
        <w:rPr>
          <w:lang w:val="en-CA"/>
        </w:rPr>
        <w:t xml:space="preserve">M., </w:t>
      </w:r>
      <w:r w:rsidR="00294BB0" w:rsidRPr="00463B9A">
        <w:rPr>
          <w:lang w:val="en-CA"/>
        </w:rPr>
        <w:t>I.’s widow)</w:t>
      </w:r>
      <w:r w:rsidR="00F73665" w:rsidRPr="00463B9A">
        <w:rPr>
          <w:lang w:val="en-CA"/>
        </w:rPr>
        <w:t xml:space="preserve"> and dated more than a year after the author arrived in Canada, </w:t>
      </w:r>
      <w:r w:rsidR="00AF7FBC">
        <w:rPr>
          <w:lang w:val="en-CA"/>
        </w:rPr>
        <w:t xml:space="preserve">in which M. </w:t>
      </w:r>
      <w:r w:rsidR="001A163C" w:rsidRPr="00463B9A">
        <w:rPr>
          <w:lang w:val="en-CA"/>
        </w:rPr>
        <w:t>allege</w:t>
      </w:r>
      <w:r w:rsidR="00AF7FBC">
        <w:rPr>
          <w:lang w:val="en-CA"/>
        </w:rPr>
        <w:t>d</w:t>
      </w:r>
      <w:r w:rsidR="001A163C" w:rsidRPr="00463B9A">
        <w:rPr>
          <w:lang w:val="en-CA"/>
        </w:rPr>
        <w:t xml:space="preserve"> that </w:t>
      </w:r>
      <w:r w:rsidR="00F73665" w:rsidRPr="00463B9A">
        <w:rPr>
          <w:lang w:val="en-CA"/>
        </w:rPr>
        <w:t>thr</w:t>
      </w:r>
      <w:r w:rsidR="001A163C" w:rsidRPr="00463B9A">
        <w:rPr>
          <w:lang w:val="en-CA"/>
        </w:rPr>
        <w:t xml:space="preserve">eats </w:t>
      </w:r>
      <w:r w:rsidR="00AF7FBC">
        <w:rPr>
          <w:lang w:val="en-CA"/>
        </w:rPr>
        <w:t>had been</w:t>
      </w:r>
      <w:r w:rsidR="001A163C" w:rsidRPr="00463B9A">
        <w:rPr>
          <w:lang w:val="en-CA"/>
        </w:rPr>
        <w:t xml:space="preserve"> made against her, her children, </w:t>
      </w:r>
      <w:r w:rsidR="00294BB0" w:rsidRPr="00463B9A">
        <w:rPr>
          <w:lang w:val="en-CA"/>
        </w:rPr>
        <w:t>her sister-in-law, L</w:t>
      </w:r>
      <w:r w:rsidR="00E87C71">
        <w:rPr>
          <w:lang w:val="en-CA"/>
        </w:rPr>
        <w:t>.</w:t>
      </w:r>
      <w:r w:rsidR="007D1328">
        <w:rPr>
          <w:lang w:val="en-CA"/>
        </w:rPr>
        <w:t>,</w:t>
      </w:r>
      <w:r w:rsidR="007D1328" w:rsidRPr="00463B9A">
        <w:rPr>
          <w:lang w:val="en-CA"/>
        </w:rPr>
        <w:t xml:space="preserve"> </w:t>
      </w:r>
      <w:r w:rsidR="00F73665" w:rsidRPr="00463B9A">
        <w:rPr>
          <w:lang w:val="en-CA"/>
        </w:rPr>
        <w:t xml:space="preserve">and </w:t>
      </w:r>
      <w:r w:rsidR="00294BB0" w:rsidRPr="00463B9A">
        <w:rPr>
          <w:lang w:val="en-CA"/>
        </w:rPr>
        <w:t>L.’s</w:t>
      </w:r>
      <w:r w:rsidR="00F73665" w:rsidRPr="00463B9A">
        <w:rPr>
          <w:lang w:val="en-CA"/>
        </w:rPr>
        <w:t xml:space="preserve"> children.</w:t>
      </w:r>
      <w:r w:rsidR="00805C6E" w:rsidRPr="00463B9A">
        <w:rPr>
          <w:vertAlign w:val="superscript"/>
          <w:lang w:val="en-CA"/>
        </w:rPr>
        <w:t xml:space="preserve"> </w:t>
      </w:r>
      <w:r w:rsidR="00BC1C7C" w:rsidRPr="00463B9A">
        <w:rPr>
          <w:lang w:val="en-CA"/>
        </w:rPr>
        <w:t>S</w:t>
      </w:r>
      <w:r w:rsidR="00F73665" w:rsidRPr="00463B9A">
        <w:rPr>
          <w:lang w:val="en-CA"/>
        </w:rPr>
        <w:t xml:space="preserve">pecifically commenting on </w:t>
      </w:r>
      <w:r w:rsidR="00294BB0" w:rsidRPr="00463B9A">
        <w:rPr>
          <w:lang w:val="en-CA"/>
        </w:rPr>
        <w:t>M.’s</w:t>
      </w:r>
      <w:r w:rsidR="00F73665" w:rsidRPr="00463B9A">
        <w:rPr>
          <w:lang w:val="en-CA"/>
        </w:rPr>
        <w:t xml:space="preserve"> letter, the </w:t>
      </w:r>
      <w:r w:rsidR="00251A57">
        <w:rPr>
          <w:lang w:val="en-CA"/>
        </w:rPr>
        <w:t>Division</w:t>
      </w:r>
      <w:r w:rsidR="00F73665" w:rsidRPr="00463B9A">
        <w:rPr>
          <w:lang w:val="en-CA"/>
        </w:rPr>
        <w:t xml:space="preserve"> </w:t>
      </w:r>
      <w:r w:rsidR="00F66F4C" w:rsidRPr="00463B9A">
        <w:rPr>
          <w:lang w:val="en-CA"/>
        </w:rPr>
        <w:t>considered it a “</w:t>
      </w:r>
      <w:r w:rsidR="00AF0D85" w:rsidRPr="00463B9A">
        <w:rPr>
          <w:lang w:val="en-CA"/>
        </w:rPr>
        <w:t>credibility</w:t>
      </w:r>
      <w:r w:rsidR="00F73665" w:rsidRPr="00463B9A">
        <w:rPr>
          <w:lang w:val="en-CA"/>
        </w:rPr>
        <w:t xml:space="preserve"> issue</w:t>
      </w:r>
      <w:r w:rsidR="007D1328">
        <w:rPr>
          <w:lang w:val="en-CA"/>
        </w:rPr>
        <w:t>”</w:t>
      </w:r>
      <w:r w:rsidR="00F73665" w:rsidRPr="00463B9A">
        <w:rPr>
          <w:lang w:val="en-CA"/>
        </w:rPr>
        <w:t xml:space="preserve"> that there </w:t>
      </w:r>
      <w:r w:rsidR="007D1328">
        <w:rPr>
          <w:lang w:val="en-CA"/>
        </w:rPr>
        <w:t>was</w:t>
      </w:r>
      <w:r w:rsidR="007D1328" w:rsidRPr="00463B9A">
        <w:rPr>
          <w:lang w:val="en-CA"/>
        </w:rPr>
        <w:t xml:space="preserve"> </w:t>
      </w:r>
      <w:r w:rsidR="00F73665" w:rsidRPr="00463B9A">
        <w:rPr>
          <w:lang w:val="en-CA"/>
        </w:rPr>
        <w:t>no mention of the author’s own allegations in th</w:t>
      </w:r>
      <w:r w:rsidR="007D1328">
        <w:rPr>
          <w:lang w:val="en-CA"/>
        </w:rPr>
        <w:t>e</w:t>
      </w:r>
      <w:r w:rsidR="00F73665" w:rsidRPr="00463B9A">
        <w:rPr>
          <w:lang w:val="en-CA"/>
        </w:rPr>
        <w:t xml:space="preserve"> letter</w:t>
      </w:r>
      <w:r w:rsidR="007D1328">
        <w:rPr>
          <w:lang w:val="en-CA"/>
        </w:rPr>
        <w:t>.</w:t>
      </w:r>
      <w:r w:rsidR="00805C6E" w:rsidRPr="00463B9A">
        <w:rPr>
          <w:vertAlign w:val="superscript"/>
          <w:lang w:val="en-CA"/>
        </w:rPr>
        <w:t xml:space="preserve"> </w:t>
      </w:r>
      <w:r w:rsidR="00BC1C7C" w:rsidRPr="00463B9A">
        <w:rPr>
          <w:lang w:val="en-CA"/>
        </w:rPr>
        <w:t>A</w:t>
      </w:r>
      <w:r w:rsidR="00F73665" w:rsidRPr="00463B9A">
        <w:rPr>
          <w:lang w:val="en-CA"/>
        </w:rPr>
        <w:t xml:space="preserve">t her protection hearing, the </w:t>
      </w:r>
      <w:r w:rsidR="00251A57">
        <w:rPr>
          <w:lang w:val="en-CA"/>
        </w:rPr>
        <w:t>Division</w:t>
      </w:r>
      <w:r w:rsidR="00F73665" w:rsidRPr="00463B9A">
        <w:rPr>
          <w:lang w:val="en-CA"/>
        </w:rPr>
        <w:t xml:space="preserve"> specifically questioned the author about this discrepancy. The author testified that </w:t>
      </w:r>
      <w:r w:rsidR="00294BB0" w:rsidRPr="00463B9A">
        <w:rPr>
          <w:lang w:val="en-CA"/>
        </w:rPr>
        <w:t>M.</w:t>
      </w:r>
      <w:r w:rsidR="00F73665" w:rsidRPr="00463B9A">
        <w:rPr>
          <w:lang w:val="en-CA"/>
        </w:rPr>
        <w:t xml:space="preserve"> </w:t>
      </w:r>
      <w:r w:rsidR="00F66F4C" w:rsidRPr="00463B9A">
        <w:rPr>
          <w:lang w:val="en-CA"/>
        </w:rPr>
        <w:t>had not mentioned</w:t>
      </w:r>
      <w:r w:rsidR="00F73665" w:rsidRPr="00463B9A">
        <w:rPr>
          <w:lang w:val="en-CA"/>
        </w:rPr>
        <w:t xml:space="preserve"> either the author or her mother because she</w:t>
      </w:r>
      <w:r w:rsidR="007D1328">
        <w:rPr>
          <w:lang w:val="en-CA"/>
        </w:rPr>
        <w:t xml:space="preserve"> </w:t>
      </w:r>
      <w:r w:rsidR="00F73665" w:rsidRPr="00463B9A">
        <w:rPr>
          <w:lang w:val="en-CA"/>
        </w:rPr>
        <w:t xml:space="preserve">was only </w:t>
      </w:r>
      <w:r w:rsidR="00AF7FBC">
        <w:rPr>
          <w:lang w:val="en-CA"/>
        </w:rPr>
        <w:t>referring to</w:t>
      </w:r>
      <w:r w:rsidR="00F73665" w:rsidRPr="00463B9A">
        <w:rPr>
          <w:lang w:val="en-CA"/>
        </w:rPr>
        <w:t xml:space="preserve"> her family in the U</w:t>
      </w:r>
      <w:r w:rsidR="007D1328">
        <w:rPr>
          <w:lang w:val="en-CA"/>
        </w:rPr>
        <w:t xml:space="preserve">nited Kingdom. </w:t>
      </w:r>
      <w:r w:rsidR="00805C6E" w:rsidRPr="00463B9A">
        <w:rPr>
          <w:vertAlign w:val="superscript"/>
          <w:lang w:val="en-CA"/>
        </w:rPr>
        <w:t xml:space="preserve"> </w:t>
      </w:r>
      <w:r w:rsidR="00F73665" w:rsidRPr="00463B9A">
        <w:rPr>
          <w:lang w:val="en-CA"/>
        </w:rPr>
        <w:t xml:space="preserve">However, the </w:t>
      </w:r>
      <w:r w:rsidR="007D1328">
        <w:rPr>
          <w:lang w:val="en-CA"/>
        </w:rPr>
        <w:t>D</w:t>
      </w:r>
      <w:r w:rsidR="00251A57">
        <w:rPr>
          <w:lang w:val="en-CA"/>
        </w:rPr>
        <w:t>ivision</w:t>
      </w:r>
      <w:r w:rsidR="00F73665" w:rsidRPr="00463B9A">
        <w:rPr>
          <w:lang w:val="en-CA"/>
        </w:rPr>
        <w:t xml:space="preserve"> rejected </w:t>
      </w:r>
      <w:r w:rsidR="00AF7FBC">
        <w:rPr>
          <w:lang w:val="en-CA"/>
        </w:rPr>
        <w:t>that</w:t>
      </w:r>
      <w:r w:rsidR="00AF7FBC" w:rsidRPr="00463B9A">
        <w:rPr>
          <w:lang w:val="en-CA"/>
        </w:rPr>
        <w:t xml:space="preserve"> </w:t>
      </w:r>
      <w:r w:rsidR="00F73665" w:rsidRPr="00463B9A">
        <w:rPr>
          <w:lang w:val="en-CA"/>
        </w:rPr>
        <w:t xml:space="preserve">explanation because the letter mentioned </w:t>
      </w:r>
      <w:r w:rsidR="00294BB0" w:rsidRPr="00463B9A">
        <w:rPr>
          <w:lang w:val="en-CA"/>
        </w:rPr>
        <w:t>L.</w:t>
      </w:r>
      <w:r w:rsidR="00F73665" w:rsidRPr="00463B9A">
        <w:rPr>
          <w:lang w:val="en-CA"/>
        </w:rPr>
        <w:t xml:space="preserve"> and her family (who initially remained in Bangladesh after the trial</w:t>
      </w:r>
      <w:r w:rsidR="00270C87" w:rsidRPr="00463B9A">
        <w:rPr>
          <w:lang w:val="en-CA"/>
        </w:rPr>
        <w:t>.)</w:t>
      </w:r>
      <w:r w:rsidR="00805C6E" w:rsidRPr="00463B9A">
        <w:rPr>
          <w:vertAlign w:val="superscript"/>
          <w:lang w:val="en-CA"/>
        </w:rPr>
        <w:t xml:space="preserve"> </w:t>
      </w:r>
      <w:r w:rsidR="00EB4166">
        <w:rPr>
          <w:vertAlign w:val="superscript"/>
          <w:lang w:val="en-CA"/>
        </w:rPr>
        <w:t xml:space="preserve"> </w:t>
      </w:r>
    </w:p>
    <w:p w14:paraId="70762FFF" w14:textId="4A3283B5" w:rsidR="00F73665" w:rsidRPr="00463B9A" w:rsidRDefault="0079639C" w:rsidP="00BC1C7C">
      <w:pPr>
        <w:pStyle w:val="SingleTxtG"/>
        <w:rPr>
          <w:lang w:val="en-CA"/>
        </w:rPr>
      </w:pPr>
      <w:r w:rsidRPr="00463B9A">
        <w:rPr>
          <w:lang w:val="en-CA"/>
        </w:rPr>
        <w:t>6</w:t>
      </w:r>
      <w:r w:rsidR="00BC1C7C" w:rsidRPr="00463B9A">
        <w:rPr>
          <w:lang w:val="en-CA"/>
        </w:rPr>
        <w:t>.</w:t>
      </w:r>
      <w:r w:rsidR="00181322" w:rsidRPr="00463B9A">
        <w:rPr>
          <w:lang w:val="en-CA"/>
        </w:rPr>
        <w:t>9</w:t>
      </w:r>
      <w:r w:rsidR="00BC1C7C" w:rsidRPr="00463B9A">
        <w:rPr>
          <w:lang w:val="en-CA"/>
        </w:rPr>
        <w:tab/>
        <w:t>The State party also observes that t</w:t>
      </w:r>
      <w:r w:rsidR="00F73665" w:rsidRPr="00463B9A">
        <w:rPr>
          <w:lang w:val="en-CA"/>
        </w:rPr>
        <w:t xml:space="preserve">he </w:t>
      </w:r>
      <w:r w:rsidR="00251A57">
        <w:rPr>
          <w:lang w:val="en-CA"/>
        </w:rPr>
        <w:t>Refugee Protection Division</w:t>
      </w:r>
      <w:r w:rsidR="00F73665" w:rsidRPr="00463B9A">
        <w:rPr>
          <w:lang w:val="en-CA"/>
        </w:rPr>
        <w:t xml:space="preserve"> questioned the author </w:t>
      </w:r>
      <w:r w:rsidR="00773E55" w:rsidRPr="00463B9A">
        <w:rPr>
          <w:lang w:val="en-CA"/>
        </w:rPr>
        <w:t>as to</w:t>
      </w:r>
      <w:r w:rsidR="00F73665" w:rsidRPr="00463B9A">
        <w:rPr>
          <w:lang w:val="en-CA"/>
        </w:rPr>
        <w:t xml:space="preserve"> why she could not provide more definitive evidence to clarify </w:t>
      </w:r>
      <w:r w:rsidR="00C422CF" w:rsidRPr="00463B9A">
        <w:rPr>
          <w:lang w:val="en-CA"/>
        </w:rPr>
        <w:t>her allegations</w:t>
      </w:r>
      <w:r w:rsidR="00F73665" w:rsidRPr="00463B9A">
        <w:rPr>
          <w:lang w:val="en-CA"/>
        </w:rPr>
        <w:t xml:space="preserve"> relating to either the </w:t>
      </w:r>
      <w:proofErr w:type="spellStart"/>
      <w:r w:rsidR="00E92952" w:rsidRPr="00463B9A">
        <w:rPr>
          <w:lang w:val="en-CA"/>
        </w:rPr>
        <w:t>Awami</w:t>
      </w:r>
      <w:proofErr w:type="spellEnd"/>
      <w:r w:rsidR="00E92952" w:rsidRPr="00463B9A">
        <w:rPr>
          <w:lang w:val="en-CA"/>
        </w:rPr>
        <w:t xml:space="preserve"> League’s </w:t>
      </w:r>
      <w:r w:rsidR="00F73665" w:rsidRPr="00463B9A">
        <w:rPr>
          <w:lang w:val="en-CA"/>
        </w:rPr>
        <w:t xml:space="preserve">efforts to secure the release of </w:t>
      </w:r>
      <w:r w:rsidR="006B54CB" w:rsidRPr="00463B9A">
        <w:rPr>
          <w:lang w:val="en-CA"/>
        </w:rPr>
        <w:t xml:space="preserve">B. and </w:t>
      </w:r>
      <w:r w:rsidR="00553D5C" w:rsidRPr="003826E8">
        <w:rPr>
          <w:lang w:val="en-CA"/>
        </w:rPr>
        <w:t>K.S.</w:t>
      </w:r>
      <w:r w:rsidR="00C422CF" w:rsidRPr="00553D5C">
        <w:rPr>
          <w:lang w:val="en-CA"/>
        </w:rPr>
        <w:t>,</w:t>
      </w:r>
      <w:r w:rsidR="00F73665" w:rsidRPr="00463B9A">
        <w:rPr>
          <w:lang w:val="en-CA"/>
        </w:rPr>
        <w:t xml:space="preserve"> or their actual release. The author informed the </w:t>
      </w:r>
      <w:r w:rsidR="00251A57">
        <w:rPr>
          <w:lang w:val="en-CA"/>
        </w:rPr>
        <w:t>Division</w:t>
      </w:r>
      <w:r w:rsidR="00F73665" w:rsidRPr="00463B9A">
        <w:rPr>
          <w:lang w:val="en-CA"/>
        </w:rPr>
        <w:t xml:space="preserve"> that she was unable to do so because there was “no one left [in Bangladesh]”</w:t>
      </w:r>
      <w:r w:rsidR="007D1328">
        <w:rPr>
          <w:lang w:val="en-CA"/>
        </w:rPr>
        <w:t>.</w:t>
      </w:r>
      <w:r w:rsidR="001A10B7" w:rsidRPr="00463B9A">
        <w:rPr>
          <w:vertAlign w:val="superscript"/>
          <w:lang w:val="en-CA"/>
        </w:rPr>
        <w:t xml:space="preserve"> </w:t>
      </w:r>
      <w:r w:rsidR="00F73665" w:rsidRPr="00463B9A">
        <w:rPr>
          <w:lang w:val="en-CA"/>
        </w:rPr>
        <w:t>The</w:t>
      </w:r>
      <w:r w:rsidR="00B22468">
        <w:rPr>
          <w:lang w:val="en-CA"/>
        </w:rPr>
        <w:t xml:space="preserve"> </w:t>
      </w:r>
      <w:r w:rsidR="00251A57">
        <w:rPr>
          <w:lang w:val="en-CA"/>
        </w:rPr>
        <w:t>Division</w:t>
      </w:r>
      <w:r w:rsidR="00F73665" w:rsidRPr="00463B9A">
        <w:rPr>
          <w:lang w:val="en-CA"/>
        </w:rPr>
        <w:t xml:space="preserve"> did not accept </w:t>
      </w:r>
      <w:r w:rsidR="00AF7FBC">
        <w:rPr>
          <w:lang w:val="en-CA"/>
        </w:rPr>
        <w:t>that</w:t>
      </w:r>
      <w:r w:rsidR="00AF7FBC" w:rsidRPr="00463B9A">
        <w:rPr>
          <w:lang w:val="en-CA"/>
        </w:rPr>
        <w:t xml:space="preserve"> </w:t>
      </w:r>
      <w:r w:rsidR="00F73665" w:rsidRPr="00463B9A">
        <w:rPr>
          <w:lang w:val="en-CA"/>
        </w:rPr>
        <w:t xml:space="preserve">answer as </w:t>
      </w:r>
      <w:r w:rsidR="007D1328">
        <w:rPr>
          <w:lang w:val="en-CA"/>
        </w:rPr>
        <w:t xml:space="preserve">being </w:t>
      </w:r>
      <w:r w:rsidR="00F73665" w:rsidRPr="00463B9A">
        <w:rPr>
          <w:lang w:val="en-CA"/>
        </w:rPr>
        <w:t xml:space="preserve">true because it was inconsistent with other evidence </w:t>
      </w:r>
      <w:r w:rsidR="00446F6F" w:rsidRPr="00463B9A">
        <w:rPr>
          <w:lang w:val="en-CA"/>
        </w:rPr>
        <w:t>establishing</w:t>
      </w:r>
      <w:r w:rsidR="00F73665" w:rsidRPr="00463B9A">
        <w:rPr>
          <w:lang w:val="en-CA"/>
        </w:rPr>
        <w:t xml:space="preserve"> that the author ha</w:t>
      </w:r>
      <w:r w:rsidR="007D1328">
        <w:rPr>
          <w:lang w:val="en-CA"/>
        </w:rPr>
        <w:t>d</w:t>
      </w:r>
      <w:r w:rsidR="00F73665" w:rsidRPr="00463B9A">
        <w:rPr>
          <w:lang w:val="en-CA"/>
        </w:rPr>
        <w:t xml:space="preserve"> extensive family connections in Bangladesh</w:t>
      </w:r>
      <w:r w:rsidR="00F11174" w:rsidRPr="00463B9A">
        <w:rPr>
          <w:lang w:val="en-CA"/>
        </w:rPr>
        <w:t>,</w:t>
      </w:r>
      <w:r w:rsidR="00F73665" w:rsidRPr="00463B9A">
        <w:rPr>
          <w:lang w:val="en-CA"/>
        </w:rPr>
        <w:t xml:space="preserve"> including her husband, three daughters and numerous aunts, uncles and cousins.</w:t>
      </w:r>
      <w:r w:rsidR="001A10B7" w:rsidRPr="00463B9A">
        <w:rPr>
          <w:vertAlign w:val="superscript"/>
          <w:lang w:val="en-CA"/>
        </w:rPr>
        <w:t xml:space="preserve"> </w:t>
      </w:r>
      <w:r w:rsidR="00F73665" w:rsidRPr="00463B9A">
        <w:rPr>
          <w:lang w:val="en-CA"/>
        </w:rPr>
        <w:t>Since the murder and the murder trial had been so widely publicized</w:t>
      </w:r>
      <w:r w:rsidR="007D1328">
        <w:rPr>
          <w:lang w:val="en-CA"/>
        </w:rPr>
        <w:t>,</w:t>
      </w:r>
      <w:r w:rsidR="00F73665" w:rsidRPr="00463B9A">
        <w:rPr>
          <w:lang w:val="en-CA"/>
        </w:rPr>
        <w:t xml:space="preserve"> and because of the active and partisan nature of the press in Bangladesh, the </w:t>
      </w:r>
      <w:r w:rsidR="00251A57">
        <w:rPr>
          <w:lang w:val="en-CA"/>
        </w:rPr>
        <w:t>Division</w:t>
      </w:r>
      <w:r w:rsidR="00F73665" w:rsidRPr="00463B9A">
        <w:rPr>
          <w:lang w:val="en-CA"/>
        </w:rPr>
        <w:t xml:space="preserve"> expected that any significant developments in the murder case would likely have been reported by the press (in particular in the Bangladesh Nationalist Party papers in relation to efforts by the </w:t>
      </w:r>
      <w:r w:rsidR="00F65AB1" w:rsidRPr="00463B9A">
        <w:rPr>
          <w:lang w:val="en-CA"/>
        </w:rPr>
        <w:t xml:space="preserve">competing </w:t>
      </w:r>
      <w:proofErr w:type="spellStart"/>
      <w:r w:rsidR="007D1328">
        <w:rPr>
          <w:lang w:val="en-CA"/>
        </w:rPr>
        <w:t>Awami</w:t>
      </w:r>
      <w:proofErr w:type="spellEnd"/>
      <w:r w:rsidR="007D1328">
        <w:rPr>
          <w:lang w:val="en-CA"/>
        </w:rPr>
        <w:t xml:space="preserve"> League</w:t>
      </w:r>
      <w:r w:rsidR="00F73665" w:rsidRPr="00463B9A">
        <w:rPr>
          <w:lang w:val="en-CA"/>
        </w:rPr>
        <w:t>) or recorded in legal documents. However, no such reports or documents were provided to the</w:t>
      </w:r>
      <w:r w:rsidR="00B22468">
        <w:rPr>
          <w:lang w:val="en-CA"/>
        </w:rPr>
        <w:t xml:space="preserve"> </w:t>
      </w:r>
      <w:r w:rsidR="00251A57">
        <w:rPr>
          <w:lang w:val="en-CA"/>
        </w:rPr>
        <w:t>Division</w:t>
      </w:r>
      <w:r w:rsidR="00F73665" w:rsidRPr="00463B9A">
        <w:rPr>
          <w:lang w:val="en-CA"/>
        </w:rPr>
        <w:t>.</w:t>
      </w:r>
      <w:r w:rsidR="001A10B7"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xml:space="preserve"> reviewed the 2008 decision of the </w:t>
      </w:r>
      <w:r w:rsidR="007D1328">
        <w:rPr>
          <w:lang w:val="en-CA"/>
        </w:rPr>
        <w:t>United Kingdom</w:t>
      </w:r>
      <w:r w:rsidR="00F73665" w:rsidRPr="00463B9A">
        <w:rPr>
          <w:lang w:val="en-CA"/>
        </w:rPr>
        <w:t xml:space="preserve"> Asylum and Immigration Tribunal </w:t>
      </w:r>
      <w:r w:rsidR="00A6320F" w:rsidRPr="00463B9A">
        <w:rPr>
          <w:lang w:val="en-CA"/>
        </w:rPr>
        <w:t>concerning</w:t>
      </w:r>
      <w:r w:rsidR="00F73665" w:rsidRPr="00463B9A">
        <w:rPr>
          <w:lang w:val="en-CA"/>
        </w:rPr>
        <w:t xml:space="preserve"> </w:t>
      </w:r>
      <w:r w:rsidR="00A6320F" w:rsidRPr="00463B9A">
        <w:rPr>
          <w:lang w:val="en-CA"/>
        </w:rPr>
        <w:t xml:space="preserve">L.’s asylum application, </w:t>
      </w:r>
      <w:r w:rsidR="00F73665" w:rsidRPr="00463B9A">
        <w:rPr>
          <w:lang w:val="en-CA"/>
        </w:rPr>
        <w:t>as well as the 2012 appeal decision</w:t>
      </w:r>
      <w:r w:rsidR="001A10B7" w:rsidRPr="00463B9A">
        <w:rPr>
          <w:vertAlign w:val="superscript"/>
          <w:lang w:val="en-CA"/>
        </w:rPr>
        <w:t xml:space="preserve"> </w:t>
      </w:r>
      <w:r w:rsidR="00F1392B" w:rsidRPr="00463B9A">
        <w:rPr>
          <w:lang w:val="en-CA"/>
        </w:rPr>
        <w:t xml:space="preserve">on </w:t>
      </w:r>
      <w:r w:rsidR="007D1328">
        <w:rPr>
          <w:lang w:val="en-CA"/>
        </w:rPr>
        <w:t xml:space="preserve">the application for </w:t>
      </w:r>
      <w:r w:rsidR="00F73665" w:rsidRPr="00463B9A">
        <w:rPr>
          <w:lang w:val="en-CA"/>
        </w:rPr>
        <w:t xml:space="preserve">asylum </w:t>
      </w:r>
      <w:r w:rsidR="007D1328">
        <w:rPr>
          <w:lang w:val="en-CA"/>
        </w:rPr>
        <w:t>in the United Kingdom</w:t>
      </w:r>
      <w:r w:rsidR="007D1328" w:rsidRPr="00463B9A">
        <w:rPr>
          <w:lang w:val="en-CA"/>
        </w:rPr>
        <w:t xml:space="preserve"> </w:t>
      </w:r>
      <w:r w:rsidR="00945B80" w:rsidRPr="00463B9A">
        <w:rPr>
          <w:lang w:val="en-CA"/>
        </w:rPr>
        <w:t>of the author’s nephew, H.</w:t>
      </w:r>
      <w:r w:rsidR="00F1392B" w:rsidRPr="00463B9A">
        <w:rPr>
          <w:lang w:val="en-CA"/>
        </w:rPr>
        <w:t xml:space="preserve"> The </w:t>
      </w:r>
      <w:r w:rsidR="00251A57">
        <w:rPr>
          <w:lang w:val="en-CA"/>
        </w:rPr>
        <w:t>Division</w:t>
      </w:r>
      <w:r w:rsidR="00E92952" w:rsidRPr="00463B9A">
        <w:rPr>
          <w:lang w:val="en-CA"/>
        </w:rPr>
        <w:t xml:space="preserve"> observed</w:t>
      </w:r>
      <w:r w:rsidR="00F1392B" w:rsidRPr="00463B9A">
        <w:rPr>
          <w:lang w:val="en-CA"/>
        </w:rPr>
        <w:t xml:space="preserve"> </w:t>
      </w:r>
      <w:r w:rsidR="00F73665" w:rsidRPr="00463B9A">
        <w:rPr>
          <w:lang w:val="en-CA"/>
        </w:rPr>
        <w:t>that th</w:t>
      </w:r>
      <w:r w:rsidR="007D1328">
        <w:rPr>
          <w:lang w:val="en-CA"/>
        </w:rPr>
        <w:t>o</w:t>
      </w:r>
      <w:r w:rsidR="00F73665" w:rsidRPr="00463B9A">
        <w:rPr>
          <w:lang w:val="en-CA"/>
        </w:rPr>
        <w:t xml:space="preserve">se decisions </w:t>
      </w:r>
      <w:r w:rsidR="007D1328">
        <w:rPr>
          <w:lang w:val="en-CA"/>
        </w:rPr>
        <w:t xml:space="preserve">had </w:t>
      </w:r>
      <w:r w:rsidR="00F73665" w:rsidRPr="00463B9A">
        <w:rPr>
          <w:lang w:val="en-CA"/>
        </w:rPr>
        <w:t>provided a “developed analysis of the risk faced by the [author’s] family in Bangladesh</w:t>
      </w:r>
      <w:r w:rsidR="00A6320F" w:rsidRPr="00463B9A">
        <w:rPr>
          <w:lang w:val="en-CA"/>
        </w:rPr>
        <w:t>”</w:t>
      </w:r>
      <w:r w:rsidR="007D1328">
        <w:rPr>
          <w:lang w:val="en-CA"/>
        </w:rPr>
        <w:t>.</w:t>
      </w:r>
      <w:r w:rsidR="00A6320F" w:rsidRPr="00463B9A">
        <w:rPr>
          <w:vertAlign w:val="superscript"/>
          <w:lang w:val="en-CA"/>
        </w:rPr>
        <w:t xml:space="preserve"> </w:t>
      </w:r>
      <w:r w:rsidR="00A6320F" w:rsidRPr="00463B9A">
        <w:rPr>
          <w:lang w:val="en-CA"/>
        </w:rPr>
        <w:t>T</w:t>
      </w:r>
      <w:r w:rsidR="00F73665" w:rsidRPr="00463B9A">
        <w:rPr>
          <w:lang w:val="en-CA"/>
        </w:rPr>
        <w:t xml:space="preserve">he </w:t>
      </w:r>
      <w:r w:rsidR="00251A57">
        <w:rPr>
          <w:lang w:val="en-CA"/>
        </w:rPr>
        <w:t>Division</w:t>
      </w:r>
      <w:r w:rsidR="00F73665" w:rsidRPr="00463B9A">
        <w:rPr>
          <w:lang w:val="en-CA"/>
        </w:rPr>
        <w:t xml:space="preserve"> noted that </w:t>
      </w:r>
      <w:r w:rsidR="00375DD9" w:rsidRPr="00463B9A">
        <w:rPr>
          <w:lang w:val="en-CA"/>
        </w:rPr>
        <w:t>in</w:t>
      </w:r>
      <w:r w:rsidR="00F73665" w:rsidRPr="00463B9A">
        <w:rPr>
          <w:lang w:val="en-CA"/>
        </w:rPr>
        <w:t xml:space="preserve"> the decision </w:t>
      </w:r>
      <w:r w:rsidR="009E0905" w:rsidRPr="00463B9A">
        <w:rPr>
          <w:lang w:val="en-CA"/>
        </w:rPr>
        <w:t>on</w:t>
      </w:r>
      <w:r w:rsidR="00F73665" w:rsidRPr="00463B9A">
        <w:rPr>
          <w:lang w:val="en-CA"/>
        </w:rPr>
        <w:t xml:space="preserve"> </w:t>
      </w:r>
      <w:r w:rsidR="009E0905" w:rsidRPr="00463B9A">
        <w:rPr>
          <w:lang w:val="en-CA"/>
        </w:rPr>
        <w:t>L.</w:t>
      </w:r>
      <w:r w:rsidR="00F73665" w:rsidRPr="00463B9A">
        <w:rPr>
          <w:lang w:val="en-CA"/>
        </w:rPr>
        <w:t xml:space="preserve">’s claim, it </w:t>
      </w:r>
      <w:r w:rsidR="007D1328">
        <w:rPr>
          <w:lang w:val="en-CA"/>
        </w:rPr>
        <w:t>was</w:t>
      </w:r>
      <w:r w:rsidR="007D1328" w:rsidRPr="00463B9A">
        <w:rPr>
          <w:lang w:val="en-CA"/>
        </w:rPr>
        <w:t xml:space="preserve"> </w:t>
      </w:r>
      <w:r w:rsidR="00F73665" w:rsidRPr="00463B9A">
        <w:rPr>
          <w:lang w:val="en-CA"/>
        </w:rPr>
        <w:t>set out quite explicitly that the author did not receive threats</w:t>
      </w:r>
      <w:r w:rsidR="00A6320F" w:rsidRPr="00463B9A">
        <w:rPr>
          <w:lang w:val="en-CA"/>
        </w:rPr>
        <w:t>,</w:t>
      </w:r>
      <w:r w:rsidR="00F73665" w:rsidRPr="00463B9A">
        <w:rPr>
          <w:lang w:val="en-CA"/>
        </w:rPr>
        <w:t xml:space="preserve"> nor did her mother.</w:t>
      </w:r>
    </w:p>
    <w:p w14:paraId="011C2CFF" w14:textId="084EAA4C" w:rsidR="00F73665" w:rsidRPr="00463B9A" w:rsidRDefault="0079639C" w:rsidP="00FC2831">
      <w:pPr>
        <w:pStyle w:val="SingleTxtG"/>
        <w:rPr>
          <w:lang w:val="en-CA"/>
        </w:rPr>
      </w:pPr>
      <w:r w:rsidRPr="00463B9A">
        <w:rPr>
          <w:lang w:val="en-CA"/>
        </w:rPr>
        <w:t>6</w:t>
      </w:r>
      <w:r w:rsidR="00BC1C7C" w:rsidRPr="00463B9A">
        <w:rPr>
          <w:lang w:val="en-CA"/>
        </w:rPr>
        <w:t>.1</w:t>
      </w:r>
      <w:r w:rsidR="00181322" w:rsidRPr="00463B9A">
        <w:rPr>
          <w:lang w:val="en-CA"/>
        </w:rPr>
        <w:t>0</w:t>
      </w:r>
      <w:r w:rsidR="00BC1C7C" w:rsidRPr="00463B9A">
        <w:rPr>
          <w:lang w:val="en-CA"/>
        </w:rPr>
        <w:tab/>
      </w:r>
      <w:r w:rsidR="007D1328">
        <w:rPr>
          <w:lang w:val="en-CA"/>
        </w:rPr>
        <w:t>In</w:t>
      </w:r>
      <w:r w:rsidR="00F73665" w:rsidRPr="00463B9A">
        <w:rPr>
          <w:lang w:val="en-CA"/>
        </w:rPr>
        <w:t xml:space="preserve"> the 2012 decision </w:t>
      </w:r>
      <w:r w:rsidR="007D1328">
        <w:rPr>
          <w:lang w:val="en-CA"/>
        </w:rPr>
        <w:t>o</w:t>
      </w:r>
      <w:r w:rsidR="00F73665" w:rsidRPr="00463B9A">
        <w:rPr>
          <w:lang w:val="en-CA"/>
        </w:rPr>
        <w:t xml:space="preserve">n </w:t>
      </w:r>
      <w:r w:rsidR="00945B80" w:rsidRPr="00463B9A">
        <w:rPr>
          <w:lang w:val="en-CA"/>
        </w:rPr>
        <w:t>H.’s</w:t>
      </w:r>
      <w:r w:rsidR="00F73665" w:rsidRPr="00463B9A">
        <w:rPr>
          <w:lang w:val="en-CA"/>
        </w:rPr>
        <w:t xml:space="preserve"> asylum appeal, there was no mention of any threats made to the author or her mother</w:t>
      </w:r>
      <w:r w:rsidR="00FC2831" w:rsidRPr="00463B9A">
        <w:rPr>
          <w:lang w:val="en-CA"/>
        </w:rPr>
        <w:t>,</w:t>
      </w:r>
      <w:r w:rsidR="00F73665" w:rsidRPr="00463B9A">
        <w:rPr>
          <w:lang w:val="en-CA"/>
        </w:rPr>
        <w:t xml:space="preserve"> even though </w:t>
      </w:r>
      <w:r w:rsidR="00945B80" w:rsidRPr="00463B9A">
        <w:rPr>
          <w:lang w:val="en-CA"/>
        </w:rPr>
        <w:t>H.’s</w:t>
      </w:r>
      <w:r w:rsidR="00F73665" w:rsidRPr="00463B9A">
        <w:rPr>
          <w:lang w:val="en-CA"/>
        </w:rPr>
        <w:t xml:space="preserve"> hearing </w:t>
      </w:r>
      <w:r w:rsidR="00FC2831" w:rsidRPr="00463B9A">
        <w:rPr>
          <w:lang w:val="en-CA"/>
        </w:rPr>
        <w:t xml:space="preserve">took place after the author </w:t>
      </w:r>
      <w:r w:rsidR="007D1328">
        <w:rPr>
          <w:lang w:val="en-CA"/>
        </w:rPr>
        <w:t xml:space="preserve">had </w:t>
      </w:r>
      <w:r w:rsidR="00FC2831" w:rsidRPr="00463B9A">
        <w:rPr>
          <w:lang w:val="en-CA"/>
        </w:rPr>
        <w:t xml:space="preserve">left Bangladesh and after her mother </w:t>
      </w:r>
      <w:r w:rsidR="00AF7FBC">
        <w:rPr>
          <w:lang w:val="en-CA"/>
        </w:rPr>
        <w:t xml:space="preserve">had </w:t>
      </w:r>
      <w:r w:rsidR="00FC2831" w:rsidRPr="00463B9A">
        <w:rPr>
          <w:lang w:val="en-CA"/>
        </w:rPr>
        <w:t xml:space="preserve">allegedly died from anxiety brought on by the death threats. </w:t>
      </w:r>
      <w:r w:rsidR="00F73665" w:rsidRPr="00463B9A">
        <w:rPr>
          <w:lang w:val="en-CA"/>
        </w:rPr>
        <w:t xml:space="preserve">The </w:t>
      </w:r>
      <w:r w:rsidR="00251A57">
        <w:rPr>
          <w:lang w:val="en-CA"/>
        </w:rPr>
        <w:t>Refugee Protection Division</w:t>
      </w:r>
      <w:r w:rsidR="00F73665" w:rsidRPr="00463B9A">
        <w:rPr>
          <w:lang w:val="en-CA"/>
        </w:rPr>
        <w:t xml:space="preserve"> also noted that the testimony of the author’s sister </w:t>
      </w:r>
      <w:r w:rsidR="009E0905" w:rsidRPr="00463B9A">
        <w:rPr>
          <w:lang w:val="en-CA"/>
        </w:rPr>
        <w:t>L.</w:t>
      </w:r>
      <w:r w:rsidR="00F73665" w:rsidRPr="00463B9A">
        <w:rPr>
          <w:lang w:val="en-CA"/>
        </w:rPr>
        <w:t xml:space="preserve"> at </w:t>
      </w:r>
      <w:r w:rsidR="00945B80" w:rsidRPr="00463B9A">
        <w:rPr>
          <w:lang w:val="en-CA"/>
        </w:rPr>
        <w:t>H.’s</w:t>
      </w:r>
      <w:r w:rsidR="00F73665" w:rsidRPr="00463B9A">
        <w:rPr>
          <w:lang w:val="en-CA"/>
        </w:rPr>
        <w:t xml:space="preserve"> appeal </w:t>
      </w:r>
      <w:r w:rsidR="007D1328">
        <w:rPr>
          <w:lang w:val="en-CA"/>
        </w:rPr>
        <w:t xml:space="preserve">hearing </w:t>
      </w:r>
      <w:r w:rsidR="00F73665" w:rsidRPr="00463B9A">
        <w:rPr>
          <w:lang w:val="en-CA"/>
        </w:rPr>
        <w:t xml:space="preserve">specifically contradicted the author’s claims </w:t>
      </w:r>
      <w:r w:rsidR="00AF7FBC">
        <w:rPr>
          <w:lang w:val="en-CA"/>
        </w:rPr>
        <w:t>that S. had specifically</w:t>
      </w:r>
      <w:r w:rsidR="00F73665" w:rsidRPr="00463B9A">
        <w:rPr>
          <w:lang w:val="en-CA"/>
        </w:rPr>
        <w:t xml:space="preserve"> target</w:t>
      </w:r>
      <w:r w:rsidR="00AF7FBC">
        <w:rPr>
          <w:lang w:val="en-CA"/>
        </w:rPr>
        <w:t xml:space="preserve">ed </w:t>
      </w:r>
      <w:r w:rsidR="00945B80" w:rsidRPr="00463B9A">
        <w:rPr>
          <w:lang w:val="en-CA"/>
        </w:rPr>
        <w:t>L.</w:t>
      </w:r>
      <w:r w:rsidR="00F73665" w:rsidRPr="00463B9A">
        <w:rPr>
          <w:lang w:val="en-CA"/>
        </w:rPr>
        <w:t xml:space="preserve"> (</w:t>
      </w:r>
      <w:r w:rsidR="00945B80" w:rsidRPr="00463B9A">
        <w:rPr>
          <w:lang w:val="en-CA"/>
        </w:rPr>
        <w:t>H.’s</w:t>
      </w:r>
      <w:r w:rsidR="00F73665" w:rsidRPr="00463B9A">
        <w:rPr>
          <w:lang w:val="en-CA"/>
        </w:rPr>
        <w:t xml:space="preserve"> mother), since </w:t>
      </w:r>
      <w:r w:rsidR="009E0905" w:rsidRPr="00463B9A">
        <w:rPr>
          <w:lang w:val="en-CA"/>
        </w:rPr>
        <w:t>L.</w:t>
      </w:r>
      <w:r w:rsidR="00F73665" w:rsidRPr="00463B9A">
        <w:rPr>
          <w:lang w:val="en-CA"/>
        </w:rPr>
        <w:t xml:space="preserve">, in answer to a question by the </w:t>
      </w:r>
      <w:r w:rsidR="007D1328">
        <w:rPr>
          <w:lang w:val="en-CA"/>
        </w:rPr>
        <w:t>United Kingdom</w:t>
      </w:r>
      <w:r w:rsidR="00F73665" w:rsidRPr="00463B9A">
        <w:rPr>
          <w:lang w:val="en-CA"/>
        </w:rPr>
        <w:t xml:space="preserve"> adjudicator as to why </w:t>
      </w:r>
      <w:r w:rsidR="00172B06" w:rsidRPr="00463B9A">
        <w:rPr>
          <w:lang w:val="en-CA"/>
        </w:rPr>
        <w:t>S.</w:t>
      </w:r>
      <w:r w:rsidR="00F73665" w:rsidRPr="00463B9A">
        <w:rPr>
          <w:lang w:val="en-CA"/>
        </w:rPr>
        <w:t xml:space="preserve"> had not directly targeted </w:t>
      </w:r>
      <w:r w:rsidR="00AF7FBC">
        <w:rPr>
          <w:lang w:val="en-CA"/>
        </w:rPr>
        <w:t>her</w:t>
      </w:r>
      <w:r w:rsidR="00F73665" w:rsidRPr="00463B9A">
        <w:rPr>
          <w:lang w:val="en-CA"/>
        </w:rPr>
        <w:t xml:space="preserve">, testified that </w:t>
      </w:r>
      <w:r w:rsidR="00172B06" w:rsidRPr="00463B9A">
        <w:rPr>
          <w:lang w:val="en-CA"/>
        </w:rPr>
        <w:t>S.</w:t>
      </w:r>
      <w:r w:rsidR="00F73665" w:rsidRPr="00463B9A">
        <w:rPr>
          <w:lang w:val="en-CA"/>
        </w:rPr>
        <w:t xml:space="preserve"> </w:t>
      </w:r>
      <w:r w:rsidR="007D1328">
        <w:rPr>
          <w:lang w:val="en-CA"/>
        </w:rPr>
        <w:t xml:space="preserve">had </w:t>
      </w:r>
      <w:r w:rsidR="00F73665" w:rsidRPr="00463B9A">
        <w:rPr>
          <w:lang w:val="en-CA"/>
        </w:rPr>
        <w:t xml:space="preserve">engaged in “clandestine harassment” </w:t>
      </w:r>
      <w:r w:rsidR="00447097">
        <w:rPr>
          <w:lang w:val="en-CA"/>
        </w:rPr>
        <w:t>by</w:t>
      </w:r>
      <w:r w:rsidR="00F73665" w:rsidRPr="00463B9A">
        <w:rPr>
          <w:lang w:val="en-CA"/>
        </w:rPr>
        <w:t xml:space="preserve"> filing fake legal cases.</w:t>
      </w:r>
      <w:r w:rsidR="001A10B7" w:rsidRPr="00463B9A">
        <w:rPr>
          <w:vertAlign w:val="superscript"/>
          <w:lang w:val="en-CA"/>
        </w:rPr>
        <w:t xml:space="preserve"> </w:t>
      </w:r>
      <w:r w:rsidR="00F73665" w:rsidRPr="00463B9A">
        <w:rPr>
          <w:lang w:val="en-CA"/>
        </w:rPr>
        <w:t xml:space="preserve">In addition to contradicting the author’s allegation </w:t>
      </w:r>
      <w:r w:rsidR="00447097">
        <w:rPr>
          <w:lang w:val="en-CA"/>
        </w:rPr>
        <w:t>that she was at</w:t>
      </w:r>
      <w:r w:rsidR="00447097" w:rsidRPr="00463B9A">
        <w:rPr>
          <w:lang w:val="en-CA"/>
        </w:rPr>
        <w:t xml:space="preserve"> </w:t>
      </w:r>
      <w:r w:rsidR="00F73665" w:rsidRPr="00463B9A">
        <w:rPr>
          <w:lang w:val="en-CA"/>
        </w:rPr>
        <w:t xml:space="preserve">risk, the </w:t>
      </w:r>
      <w:r w:rsidR="00251A57">
        <w:rPr>
          <w:lang w:val="en-CA"/>
        </w:rPr>
        <w:t>Division</w:t>
      </w:r>
      <w:r w:rsidR="00F73665" w:rsidRPr="00463B9A">
        <w:rPr>
          <w:lang w:val="en-CA"/>
        </w:rPr>
        <w:t xml:space="preserve"> found that </w:t>
      </w:r>
      <w:r w:rsidR="009E0905" w:rsidRPr="00463B9A">
        <w:rPr>
          <w:lang w:val="en-CA"/>
        </w:rPr>
        <w:t>L.</w:t>
      </w:r>
      <w:r w:rsidR="00F73665" w:rsidRPr="00463B9A">
        <w:rPr>
          <w:lang w:val="en-CA"/>
        </w:rPr>
        <w:t xml:space="preserve">’s testimony also weakened the author’s claim of a lack of State protection, since “the implication of </w:t>
      </w:r>
      <w:r w:rsidR="00172B06" w:rsidRPr="00463B9A">
        <w:rPr>
          <w:lang w:val="en-CA"/>
        </w:rPr>
        <w:t>S.</w:t>
      </w:r>
      <w:r w:rsidR="006B54CB" w:rsidRPr="00463B9A">
        <w:rPr>
          <w:lang w:val="en-CA"/>
        </w:rPr>
        <w:t xml:space="preserve"> </w:t>
      </w:r>
      <w:r w:rsidR="00F73665" w:rsidRPr="00463B9A">
        <w:rPr>
          <w:lang w:val="en-CA"/>
        </w:rPr>
        <w:t>keeping a low profile is that there exists State protection”</w:t>
      </w:r>
      <w:r w:rsidR="007D1328">
        <w:rPr>
          <w:lang w:val="en-CA"/>
        </w:rPr>
        <w:t>.</w:t>
      </w:r>
      <w:r w:rsidR="001A10B7"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xml:space="preserve"> found that the decision </w:t>
      </w:r>
      <w:r w:rsidR="007D1328">
        <w:rPr>
          <w:lang w:val="en-CA"/>
        </w:rPr>
        <w:t>o</w:t>
      </w:r>
      <w:r w:rsidR="00F73665" w:rsidRPr="00463B9A">
        <w:rPr>
          <w:lang w:val="en-CA"/>
        </w:rPr>
        <w:t xml:space="preserve">n </w:t>
      </w:r>
      <w:r w:rsidR="00172B06" w:rsidRPr="00463B9A">
        <w:rPr>
          <w:lang w:val="en-CA"/>
        </w:rPr>
        <w:t>H.’s</w:t>
      </w:r>
      <w:r w:rsidR="00F73665" w:rsidRPr="00463B9A">
        <w:rPr>
          <w:lang w:val="en-CA"/>
        </w:rPr>
        <w:t xml:space="preserve"> asylum appeal demonstrates that </w:t>
      </w:r>
      <w:r w:rsidR="00172B06" w:rsidRPr="00463B9A">
        <w:rPr>
          <w:lang w:val="en-CA"/>
        </w:rPr>
        <w:t>H.</w:t>
      </w:r>
      <w:r w:rsidR="00F73665" w:rsidRPr="00463B9A">
        <w:rPr>
          <w:lang w:val="en-CA"/>
        </w:rPr>
        <w:t xml:space="preserve"> and his family were at risk for a specific reason</w:t>
      </w:r>
      <w:r w:rsidR="007D1328">
        <w:rPr>
          <w:lang w:val="en-CA"/>
        </w:rPr>
        <w:t>:</w:t>
      </w:r>
      <w:r w:rsidR="00F73665" w:rsidRPr="00463B9A">
        <w:rPr>
          <w:lang w:val="en-CA"/>
        </w:rPr>
        <w:t xml:space="preserve"> their involvement in the murder case.</w:t>
      </w:r>
      <w:r w:rsidR="001A10B7"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xml:space="preserve"> further found that, on the </w:t>
      </w:r>
      <w:r w:rsidR="00447097">
        <w:rPr>
          <w:lang w:val="en-CA"/>
        </w:rPr>
        <w:t xml:space="preserve">basis of the </w:t>
      </w:r>
      <w:r w:rsidR="00F73665" w:rsidRPr="00463B9A">
        <w:rPr>
          <w:lang w:val="en-CA"/>
        </w:rPr>
        <w:t>evidence before it, the author was not involved in th</w:t>
      </w:r>
      <w:r w:rsidR="00447097">
        <w:rPr>
          <w:lang w:val="en-CA"/>
        </w:rPr>
        <w:t>at</w:t>
      </w:r>
      <w:r w:rsidR="00F73665" w:rsidRPr="00463B9A">
        <w:rPr>
          <w:lang w:val="en-CA"/>
        </w:rPr>
        <w:t xml:space="preserve"> case</w:t>
      </w:r>
      <w:r w:rsidR="00425966" w:rsidRPr="00463B9A">
        <w:rPr>
          <w:lang w:val="en-CA"/>
        </w:rPr>
        <w:t>.</w:t>
      </w:r>
      <w:r w:rsidR="007D1328">
        <w:rPr>
          <w:vertAlign w:val="superscript"/>
          <w:lang w:val="en-CA"/>
        </w:rPr>
        <w:t xml:space="preserve"> </w:t>
      </w:r>
      <w:r w:rsidR="00F73665" w:rsidRPr="00463B9A">
        <w:rPr>
          <w:lang w:val="en-CA"/>
        </w:rPr>
        <w:t xml:space="preserve">Thus, on the </w:t>
      </w:r>
      <w:r w:rsidR="00447097">
        <w:rPr>
          <w:lang w:val="en-CA"/>
        </w:rPr>
        <w:t xml:space="preserve">basis of the </w:t>
      </w:r>
      <w:r w:rsidR="00F73665" w:rsidRPr="00463B9A">
        <w:rPr>
          <w:lang w:val="en-CA"/>
        </w:rPr>
        <w:t xml:space="preserve">evidence provided to it by the author, the </w:t>
      </w:r>
      <w:r w:rsidR="00251A57">
        <w:rPr>
          <w:lang w:val="en-CA"/>
        </w:rPr>
        <w:t>Division</w:t>
      </w:r>
      <w:r w:rsidR="00F73665" w:rsidRPr="00463B9A">
        <w:rPr>
          <w:lang w:val="en-CA"/>
        </w:rPr>
        <w:t xml:space="preserve"> </w:t>
      </w:r>
      <w:r w:rsidR="00447097">
        <w:rPr>
          <w:lang w:val="en-CA"/>
        </w:rPr>
        <w:t>found</w:t>
      </w:r>
      <w:r w:rsidR="001C48B3">
        <w:rPr>
          <w:lang w:val="en-CA"/>
        </w:rPr>
        <w:t xml:space="preserve"> that </w:t>
      </w:r>
      <w:r w:rsidR="00F73665" w:rsidRPr="00463B9A">
        <w:rPr>
          <w:lang w:val="en-CA"/>
        </w:rPr>
        <w:t>overall</w:t>
      </w:r>
      <w:r w:rsidR="001C48B3">
        <w:rPr>
          <w:lang w:val="en-CA"/>
        </w:rPr>
        <w:t>, it could not</w:t>
      </w:r>
      <w:r w:rsidR="00F73665" w:rsidRPr="00463B9A">
        <w:rPr>
          <w:lang w:val="en-CA"/>
        </w:rPr>
        <w:t xml:space="preserve"> see why the author would be a target of </w:t>
      </w:r>
      <w:r w:rsidR="00172B06" w:rsidRPr="00463B9A">
        <w:rPr>
          <w:lang w:val="en-CA"/>
        </w:rPr>
        <w:t>S.</w:t>
      </w:r>
      <w:r w:rsidR="001A10B7" w:rsidRPr="00463B9A">
        <w:rPr>
          <w:vertAlign w:val="superscript"/>
          <w:lang w:val="en-CA"/>
        </w:rPr>
        <w:t xml:space="preserve"> </w:t>
      </w:r>
      <w:r w:rsidR="00F73665" w:rsidRPr="00463B9A">
        <w:rPr>
          <w:lang w:val="en-CA"/>
        </w:rPr>
        <w:t>and</w:t>
      </w:r>
      <w:r w:rsidR="001C48B3">
        <w:rPr>
          <w:lang w:val="en-CA"/>
        </w:rPr>
        <w:t xml:space="preserve"> </w:t>
      </w:r>
      <w:r w:rsidR="00F73665" w:rsidRPr="00463B9A">
        <w:rPr>
          <w:lang w:val="en-CA"/>
        </w:rPr>
        <w:t>did</w:t>
      </w:r>
      <w:r w:rsidR="001C48B3">
        <w:rPr>
          <w:lang w:val="en-CA"/>
        </w:rPr>
        <w:t xml:space="preserve"> </w:t>
      </w:r>
      <w:r w:rsidR="00F73665" w:rsidRPr="00463B9A">
        <w:rPr>
          <w:lang w:val="en-CA"/>
        </w:rPr>
        <w:t>not find it reasonable that the author would be at risk.</w:t>
      </w:r>
      <w:r w:rsidR="001A10B7"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on its own initiative, sought out evidence to corroborate the author’s claims.</w:t>
      </w:r>
      <w:r w:rsidR="001A10B7" w:rsidRPr="00463B9A">
        <w:rPr>
          <w:vertAlign w:val="superscript"/>
          <w:lang w:val="en-CA"/>
        </w:rPr>
        <w:t xml:space="preserve"> </w:t>
      </w:r>
      <w:r w:rsidR="00F73665" w:rsidRPr="00463B9A">
        <w:rPr>
          <w:lang w:val="en-CA"/>
        </w:rPr>
        <w:t xml:space="preserve">However, </w:t>
      </w:r>
      <w:r w:rsidR="00553D5C">
        <w:rPr>
          <w:lang w:val="en-CA"/>
        </w:rPr>
        <w:t xml:space="preserve">it </w:t>
      </w:r>
      <w:r w:rsidR="00F73665" w:rsidRPr="00463B9A">
        <w:rPr>
          <w:lang w:val="en-CA"/>
        </w:rPr>
        <w:t xml:space="preserve">found that the “only corroborative evidence” which implied a “specific risk” to the author was the complaint the author had filed with the police on the </w:t>
      </w:r>
      <w:r w:rsidR="00F73665" w:rsidRPr="00463B9A">
        <w:rPr>
          <w:lang w:val="en-CA"/>
        </w:rPr>
        <w:lastRenderedPageBreak/>
        <w:t>day she left Bangladesh for Canada.</w:t>
      </w:r>
      <w:r w:rsidR="001A10B7"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xml:space="preserve"> attached very little probat</w:t>
      </w:r>
      <w:r w:rsidR="00425966" w:rsidRPr="00463B9A">
        <w:rPr>
          <w:lang w:val="en-CA"/>
        </w:rPr>
        <w:t xml:space="preserve">ive value to </w:t>
      </w:r>
      <w:r w:rsidR="00447097">
        <w:rPr>
          <w:lang w:val="en-CA"/>
        </w:rPr>
        <w:t>that</w:t>
      </w:r>
      <w:r w:rsidR="00447097" w:rsidRPr="00463B9A">
        <w:rPr>
          <w:lang w:val="en-CA"/>
        </w:rPr>
        <w:t xml:space="preserve"> </w:t>
      </w:r>
      <w:r w:rsidR="00425966" w:rsidRPr="00463B9A">
        <w:rPr>
          <w:lang w:val="en-CA"/>
        </w:rPr>
        <w:t>document</w:t>
      </w:r>
      <w:r w:rsidR="00CD38CE" w:rsidRPr="00463B9A">
        <w:rPr>
          <w:lang w:val="en-CA"/>
        </w:rPr>
        <w:t xml:space="preserve"> for the reasons stated above.</w:t>
      </w:r>
      <w:r w:rsidR="00CD38CE" w:rsidRPr="00AE40E9">
        <w:rPr>
          <w:rStyle w:val="FootnoteReference"/>
        </w:rPr>
        <w:footnoteReference w:id="12"/>
      </w:r>
      <w:r w:rsidR="00F73665" w:rsidRPr="00463B9A">
        <w:rPr>
          <w:lang w:val="en-CA"/>
        </w:rPr>
        <w:t xml:space="preserve"> </w:t>
      </w:r>
      <w:r w:rsidR="00F73665" w:rsidRPr="00463B9A">
        <w:t xml:space="preserve">In reaching its conclusion that the author’s claim was untrue and amounted to an effort to </w:t>
      </w:r>
      <w:r w:rsidR="001C48B3">
        <w:t xml:space="preserve">be allowed to </w:t>
      </w:r>
      <w:r w:rsidR="00F73665" w:rsidRPr="00463B9A">
        <w:t xml:space="preserve">live in Canada with her daughter, the </w:t>
      </w:r>
      <w:r w:rsidR="00251A57">
        <w:t>Division</w:t>
      </w:r>
      <w:r w:rsidR="00F73665" w:rsidRPr="00463B9A">
        <w:t xml:space="preserve"> had </w:t>
      </w:r>
      <w:r w:rsidR="00447097">
        <w:t xml:space="preserve">had </w:t>
      </w:r>
      <w:r w:rsidR="00F73665" w:rsidRPr="00463B9A">
        <w:t>the benefi</w:t>
      </w:r>
      <w:r w:rsidR="002D606A" w:rsidRPr="00463B9A">
        <w:t>t of observing the author first-</w:t>
      </w:r>
      <w:r w:rsidR="00F73665" w:rsidRPr="00463B9A">
        <w:t>hand, hearing her oral</w:t>
      </w:r>
      <w:r w:rsidR="00E20C09">
        <w:t xml:space="preserve"> testimony and questioning her.</w:t>
      </w:r>
    </w:p>
    <w:p w14:paraId="30F6E0B8" w14:textId="67D5ABDA" w:rsidR="00F73665" w:rsidRPr="00463B9A" w:rsidRDefault="0079639C" w:rsidP="006261A6">
      <w:pPr>
        <w:pStyle w:val="SingleTxtG"/>
        <w:rPr>
          <w:lang w:val="en-CA"/>
        </w:rPr>
      </w:pPr>
      <w:r w:rsidRPr="00463B9A">
        <w:rPr>
          <w:lang w:val="en-CA"/>
        </w:rPr>
        <w:t>6</w:t>
      </w:r>
      <w:r w:rsidR="006261A6" w:rsidRPr="00463B9A">
        <w:rPr>
          <w:lang w:val="en-CA"/>
        </w:rPr>
        <w:t>.1</w:t>
      </w:r>
      <w:r w:rsidR="00181322" w:rsidRPr="00463B9A">
        <w:rPr>
          <w:lang w:val="en-CA"/>
        </w:rPr>
        <w:t>1</w:t>
      </w:r>
      <w:r w:rsidR="006261A6" w:rsidRPr="00463B9A">
        <w:rPr>
          <w:lang w:val="en-CA"/>
        </w:rPr>
        <w:tab/>
      </w:r>
      <w:r w:rsidR="006D407C" w:rsidRPr="00463B9A">
        <w:rPr>
          <w:lang w:val="en-CA"/>
        </w:rPr>
        <w:t>F</w:t>
      </w:r>
      <w:r w:rsidR="00F73665" w:rsidRPr="00463B9A">
        <w:rPr>
          <w:lang w:val="en-CA"/>
        </w:rPr>
        <w:t>urther evidence suggests that the au</w:t>
      </w:r>
      <w:r w:rsidR="006261A6" w:rsidRPr="00463B9A">
        <w:rPr>
          <w:lang w:val="en-CA"/>
        </w:rPr>
        <w:t>thor lacks credibility. For example, at</w:t>
      </w:r>
      <w:r w:rsidR="00F73665" w:rsidRPr="00463B9A">
        <w:rPr>
          <w:lang w:val="en-CA"/>
        </w:rPr>
        <w:t xml:space="preserve"> the </w:t>
      </w:r>
      <w:r w:rsidR="00251A57">
        <w:rPr>
          <w:lang w:val="en-CA"/>
        </w:rPr>
        <w:t>Refugee Protection Division</w:t>
      </w:r>
      <w:r w:rsidR="00F73665" w:rsidRPr="00463B9A">
        <w:rPr>
          <w:lang w:val="en-CA"/>
        </w:rPr>
        <w:t xml:space="preserve"> hearing and in her communication, the author claim</w:t>
      </w:r>
      <w:r w:rsidR="00F1392B" w:rsidRPr="00463B9A">
        <w:rPr>
          <w:lang w:val="en-CA"/>
        </w:rPr>
        <w:t>ed</w:t>
      </w:r>
      <w:r w:rsidR="00F73665" w:rsidRPr="00463B9A">
        <w:rPr>
          <w:lang w:val="en-CA"/>
        </w:rPr>
        <w:t xml:space="preserve"> that her mother </w:t>
      </w:r>
      <w:r w:rsidR="001C48B3">
        <w:rPr>
          <w:lang w:val="en-CA"/>
        </w:rPr>
        <w:t xml:space="preserve">had </w:t>
      </w:r>
      <w:r w:rsidR="00F73665" w:rsidRPr="00463B9A">
        <w:rPr>
          <w:lang w:val="en-CA"/>
        </w:rPr>
        <w:t>died in May 2011 “from anxieties brought on by the death threats”</w:t>
      </w:r>
      <w:r w:rsidR="001C48B3">
        <w:rPr>
          <w:lang w:val="en-CA"/>
        </w:rPr>
        <w:t xml:space="preserve">. </w:t>
      </w:r>
      <w:r w:rsidR="001A10B7" w:rsidRPr="00463B9A">
        <w:rPr>
          <w:vertAlign w:val="superscript"/>
          <w:lang w:val="en-CA"/>
        </w:rPr>
        <w:t xml:space="preserve"> </w:t>
      </w:r>
      <w:r w:rsidR="00F73665" w:rsidRPr="00463B9A">
        <w:rPr>
          <w:lang w:val="en-CA"/>
        </w:rPr>
        <w:t>However, in her PRRA</w:t>
      </w:r>
      <w:r w:rsidR="00B22468">
        <w:rPr>
          <w:lang w:val="en-CA"/>
        </w:rPr>
        <w:t xml:space="preserve"> </w:t>
      </w:r>
      <w:r w:rsidR="00F73665" w:rsidRPr="00463B9A">
        <w:rPr>
          <w:lang w:val="en-CA"/>
        </w:rPr>
        <w:t>application, completed on 31 March 2014, the author list</w:t>
      </w:r>
      <w:r w:rsidR="001C48B3">
        <w:rPr>
          <w:lang w:val="en-CA"/>
        </w:rPr>
        <w:t>ed</w:t>
      </w:r>
      <w:r w:rsidR="00F73665" w:rsidRPr="00463B9A">
        <w:rPr>
          <w:lang w:val="en-CA"/>
        </w:rPr>
        <w:t xml:space="preserve"> her mother as alive and </w:t>
      </w:r>
      <w:r w:rsidR="00F1392B" w:rsidRPr="00463B9A">
        <w:rPr>
          <w:lang w:val="en-CA"/>
        </w:rPr>
        <w:t>residing</w:t>
      </w:r>
      <w:r w:rsidR="00F73665" w:rsidRPr="00463B9A">
        <w:rPr>
          <w:lang w:val="en-CA"/>
        </w:rPr>
        <w:t xml:space="preserve"> in Bangladesh.</w:t>
      </w:r>
      <w:r w:rsidR="001A10B7" w:rsidRPr="00463B9A">
        <w:rPr>
          <w:vertAlign w:val="superscript"/>
          <w:lang w:val="en-CA"/>
        </w:rPr>
        <w:t xml:space="preserve"> </w:t>
      </w:r>
      <w:r w:rsidR="00F73665" w:rsidRPr="00463B9A">
        <w:rPr>
          <w:lang w:val="en-CA"/>
        </w:rPr>
        <w:t xml:space="preserve">In addition, and also on the </w:t>
      </w:r>
      <w:r w:rsidR="00447097">
        <w:rPr>
          <w:lang w:val="en-CA"/>
        </w:rPr>
        <w:t xml:space="preserve">basis of the </w:t>
      </w:r>
      <w:r w:rsidR="00F73665" w:rsidRPr="00463B9A">
        <w:rPr>
          <w:lang w:val="en-CA"/>
        </w:rPr>
        <w:t>author’s PRRA</w:t>
      </w:r>
      <w:r w:rsidR="00B22468">
        <w:rPr>
          <w:lang w:val="en-CA"/>
        </w:rPr>
        <w:t xml:space="preserve"> </w:t>
      </w:r>
      <w:r w:rsidR="00F73665" w:rsidRPr="00463B9A">
        <w:rPr>
          <w:lang w:val="en-CA"/>
        </w:rPr>
        <w:t>application, it</w:t>
      </w:r>
      <w:r w:rsidR="00172B06" w:rsidRPr="00463B9A">
        <w:rPr>
          <w:lang w:val="en-CA"/>
        </w:rPr>
        <w:t xml:space="preserve"> appears that the author’s son</w:t>
      </w:r>
      <w:r w:rsidR="00F73665" w:rsidRPr="00463B9A">
        <w:rPr>
          <w:lang w:val="en-CA"/>
        </w:rPr>
        <w:t xml:space="preserve">, who had previously resided in London and who, according to the author’s communication, </w:t>
      </w:r>
      <w:r w:rsidR="001C48B3" w:rsidRPr="00463B9A">
        <w:rPr>
          <w:lang w:val="en-CA"/>
        </w:rPr>
        <w:t xml:space="preserve">had </w:t>
      </w:r>
      <w:r w:rsidR="00F73665" w:rsidRPr="00463B9A">
        <w:rPr>
          <w:lang w:val="en-CA"/>
        </w:rPr>
        <w:t xml:space="preserve">applied for refugee status in the </w:t>
      </w:r>
      <w:r w:rsidR="001C48B3">
        <w:rPr>
          <w:lang w:val="en-CA"/>
        </w:rPr>
        <w:t>United Kingdom</w:t>
      </w:r>
      <w:r w:rsidR="002D606A" w:rsidRPr="00463B9A">
        <w:rPr>
          <w:lang w:val="en-CA"/>
        </w:rPr>
        <w:t>,</w:t>
      </w:r>
      <w:r w:rsidR="001A10B7" w:rsidRPr="00463B9A">
        <w:rPr>
          <w:vertAlign w:val="superscript"/>
          <w:lang w:val="en-CA"/>
        </w:rPr>
        <w:t xml:space="preserve"> </w:t>
      </w:r>
      <w:r w:rsidR="00447097">
        <w:rPr>
          <w:lang w:val="en-CA"/>
        </w:rPr>
        <w:t>had</w:t>
      </w:r>
      <w:r w:rsidR="00F73665" w:rsidRPr="00463B9A">
        <w:rPr>
          <w:lang w:val="en-CA"/>
        </w:rPr>
        <w:t xml:space="preserve"> returned to Bangladesh.</w:t>
      </w:r>
      <w:r w:rsidR="001A10B7" w:rsidRPr="00463B9A">
        <w:rPr>
          <w:vertAlign w:val="superscript"/>
          <w:lang w:val="en-CA"/>
        </w:rPr>
        <w:t xml:space="preserve"> </w:t>
      </w:r>
      <w:r w:rsidR="00F73665" w:rsidRPr="00463B9A">
        <w:rPr>
          <w:lang w:val="en-CA"/>
        </w:rPr>
        <w:t xml:space="preserve">The author had relied on her son’s asylum claim as evidence that her family was fleeing Bangladesh. </w:t>
      </w:r>
      <w:r w:rsidR="00447097">
        <w:rPr>
          <w:lang w:val="en-CA"/>
        </w:rPr>
        <w:t>H</w:t>
      </w:r>
      <w:r w:rsidR="00F73665" w:rsidRPr="00463B9A">
        <w:rPr>
          <w:lang w:val="en-CA"/>
        </w:rPr>
        <w:t xml:space="preserve">er failure to bring this change in circumstances to the Committee’s attention is </w:t>
      </w:r>
      <w:r w:rsidR="00447097">
        <w:rPr>
          <w:lang w:val="en-CA"/>
        </w:rPr>
        <w:t xml:space="preserve">therefore </w:t>
      </w:r>
      <w:r w:rsidR="00F73665" w:rsidRPr="00463B9A">
        <w:rPr>
          <w:lang w:val="en-CA"/>
        </w:rPr>
        <w:t>of concern.</w:t>
      </w:r>
      <w:r w:rsidR="006261A6" w:rsidRPr="00463B9A">
        <w:rPr>
          <w:lang w:val="en-CA"/>
        </w:rPr>
        <w:t xml:space="preserve"> Moreover, t</w:t>
      </w:r>
      <w:r w:rsidR="00F73665" w:rsidRPr="00463B9A">
        <w:rPr>
          <w:lang w:val="en-CA"/>
        </w:rPr>
        <w:t xml:space="preserve">he hearing and decision on the </w:t>
      </w:r>
      <w:r w:rsidR="001C48B3">
        <w:rPr>
          <w:lang w:val="en-CA"/>
        </w:rPr>
        <w:t>United Kingdom</w:t>
      </w:r>
      <w:r w:rsidR="00F73665" w:rsidRPr="00463B9A">
        <w:rPr>
          <w:lang w:val="en-CA"/>
        </w:rPr>
        <w:t xml:space="preserve"> asylum appeal of</w:t>
      </w:r>
      <w:r w:rsidR="001E12F5" w:rsidRPr="00463B9A">
        <w:rPr>
          <w:lang w:val="en-CA"/>
        </w:rPr>
        <w:t xml:space="preserve"> the author’s nephew</w:t>
      </w:r>
      <w:r w:rsidR="00F73665" w:rsidRPr="00463B9A">
        <w:rPr>
          <w:lang w:val="en-CA"/>
        </w:rPr>
        <w:t xml:space="preserve"> </w:t>
      </w:r>
      <w:r w:rsidR="00172B06" w:rsidRPr="00463B9A">
        <w:rPr>
          <w:lang w:val="en-CA"/>
        </w:rPr>
        <w:t>H.</w:t>
      </w:r>
      <w:r w:rsidR="00F73665" w:rsidRPr="00463B9A">
        <w:rPr>
          <w:lang w:val="en-CA"/>
        </w:rPr>
        <w:t xml:space="preserve"> took place on 23 November 2012, just </w:t>
      </w:r>
      <w:r w:rsidR="00172B06" w:rsidRPr="00463B9A">
        <w:rPr>
          <w:lang w:val="en-CA"/>
        </w:rPr>
        <w:t>under three</w:t>
      </w:r>
      <w:r w:rsidR="00F73665" w:rsidRPr="00463B9A">
        <w:rPr>
          <w:lang w:val="en-CA"/>
        </w:rPr>
        <w:t xml:space="preserve"> months before the author’s own protection hearing</w:t>
      </w:r>
      <w:r w:rsidR="00D82B36" w:rsidRPr="00463B9A">
        <w:rPr>
          <w:lang w:val="en-CA"/>
        </w:rPr>
        <w:t>,</w:t>
      </w:r>
      <w:r w:rsidR="00F73665" w:rsidRPr="00463B9A">
        <w:rPr>
          <w:lang w:val="en-CA"/>
        </w:rPr>
        <w:t xml:space="preserve"> which took place on 14 February 2013. However, there is no mention in the </w:t>
      </w:r>
      <w:r w:rsidR="001C48B3">
        <w:rPr>
          <w:lang w:val="en-CA"/>
        </w:rPr>
        <w:t>United Kingdom</w:t>
      </w:r>
      <w:r w:rsidR="00F73665" w:rsidRPr="00463B9A">
        <w:rPr>
          <w:lang w:val="en-CA"/>
        </w:rPr>
        <w:t xml:space="preserve"> decision of the author’s claims that </w:t>
      </w:r>
      <w:r w:rsidR="00F735F1" w:rsidRPr="00463B9A">
        <w:rPr>
          <w:lang w:val="en-CA"/>
        </w:rPr>
        <w:t>S.</w:t>
      </w:r>
      <w:r w:rsidR="00F73665" w:rsidRPr="00463B9A">
        <w:rPr>
          <w:lang w:val="en-CA"/>
        </w:rPr>
        <w:t xml:space="preserve"> had </w:t>
      </w:r>
      <w:r w:rsidR="001C48B3">
        <w:rPr>
          <w:lang w:val="en-CA"/>
        </w:rPr>
        <w:t>tried</w:t>
      </w:r>
      <w:r w:rsidR="00F73665" w:rsidRPr="00463B9A">
        <w:rPr>
          <w:lang w:val="en-CA"/>
        </w:rPr>
        <w:t xml:space="preserve"> to have the</w:t>
      </w:r>
      <w:r w:rsidR="00CA5CD1" w:rsidRPr="00463B9A">
        <w:rPr>
          <w:lang w:val="en-CA"/>
        </w:rPr>
        <w:t xml:space="preserve"> </w:t>
      </w:r>
      <w:r w:rsidR="001C48B3">
        <w:rPr>
          <w:lang w:val="en-CA"/>
        </w:rPr>
        <w:t>G</w:t>
      </w:r>
      <w:r w:rsidR="00F73665" w:rsidRPr="00463B9A">
        <w:rPr>
          <w:lang w:val="en-CA"/>
        </w:rPr>
        <w:t xml:space="preserve">overnment </w:t>
      </w:r>
      <w:r w:rsidR="00447097">
        <w:rPr>
          <w:lang w:val="en-CA"/>
        </w:rPr>
        <w:t xml:space="preserve">of Bangladesh </w:t>
      </w:r>
      <w:r w:rsidR="00F73665" w:rsidRPr="00463B9A">
        <w:rPr>
          <w:lang w:val="en-CA"/>
        </w:rPr>
        <w:t>interfere in the conviction</w:t>
      </w:r>
      <w:r w:rsidR="001C48B3">
        <w:rPr>
          <w:lang w:val="en-CA"/>
        </w:rPr>
        <w:t>s</w:t>
      </w:r>
      <w:r w:rsidR="00F73665" w:rsidRPr="00463B9A">
        <w:rPr>
          <w:lang w:val="en-CA"/>
        </w:rPr>
        <w:t xml:space="preserve"> and sentence</w:t>
      </w:r>
      <w:r w:rsidR="001C48B3">
        <w:rPr>
          <w:lang w:val="en-CA"/>
        </w:rPr>
        <w:t>s</w:t>
      </w:r>
      <w:r w:rsidR="00F73665" w:rsidRPr="00463B9A">
        <w:rPr>
          <w:lang w:val="en-CA"/>
        </w:rPr>
        <w:t xml:space="preserve"> of </w:t>
      </w:r>
      <w:r w:rsidR="006B54CB" w:rsidRPr="00463B9A">
        <w:rPr>
          <w:lang w:val="en-CA"/>
        </w:rPr>
        <w:t xml:space="preserve">B., </w:t>
      </w:r>
      <w:r w:rsidR="00553D5C">
        <w:rPr>
          <w:lang w:val="en-CA"/>
        </w:rPr>
        <w:t>K.S.</w:t>
      </w:r>
      <w:r w:rsidR="006B54CB" w:rsidRPr="00463B9A">
        <w:rPr>
          <w:lang w:val="en-CA"/>
        </w:rPr>
        <w:t xml:space="preserve"> and P.</w:t>
      </w:r>
      <w:r w:rsidR="00F73665" w:rsidRPr="00463B9A">
        <w:rPr>
          <w:lang w:val="en-CA"/>
        </w:rPr>
        <w:t xml:space="preserve">, or that the three </w:t>
      </w:r>
      <w:r w:rsidR="00436432" w:rsidRPr="00463B9A">
        <w:rPr>
          <w:lang w:val="en-CA"/>
        </w:rPr>
        <w:t>individuals</w:t>
      </w:r>
      <w:r w:rsidR="00F73665" w:rsidRPr="00463B9A">
        <w:rPr>
          <w:lang w:val="en-CA"/>
        </w:rPr>
        <w:t xml:space="preserve"> had been released from prison.</w:t>
      </w:r>
      <w:r w:rsidR="001A10B7" w:rsidRPr="00463B9A">
        <w:rPr>
          <w:vertAlign w:val="superscript"/>
          <w:lang w:val="en-CA"/>
        </w:rPr>
        <w:t xml:space="preserve"> </w:t>
      </w:r>
      <w:r w:rsidR="00FD7D52" w:rsidRPr="00463B9A">
        <w:rPr>
          <w:lang w:val="en-CA"/>
        </w:rPr>
        <w:t>It</w:t>
      </w:r>
      <w:r w:rsidR="00F73665" w:rsidRPr="00463B9A">
        <w:rPr>
          <w:lang w:val="en-CA"/>
        </w:rPr>
        <w:t xml:space="preserve"> is difficult to accept that </w:t>
      </w:r>
      <w:r w:rsidR="00F735F1" w:rsidRPr="00463B9A">
        <w:rPr>
          <w:lang w:val="en-CA"/>
        </w:rPr>
        <w:t>H.</w:t>
      </w:r>
      <w:r w:rsidR="00F73665" w:rsidRPr="00463B9A">
        <w:rPr>
          <w:lang w:val="en-CA"/>
        </w:rPr>
        <w:t xml:space="preserve">, </w:t>
      </w:r>
      <w:r w:rsidR="00F735F1" w:rsidRPr="00463B9A">
        <w:rPr>
          <w:lang w:val="en-CA"/>
        </w:rPr>
        <w:t xml:space="preserve">whose initial asylum claim was rejected, </w:t>
      </w:r>
      <w:r w:rsidR="00F73665" w:rsidRPr="00463B9A">
        <w:rPr>
          <w:lang w:val="en-CA"/>
        </w:rPr>
        <w:t>would not have referred to these facts, given that, if true, they would have strengthened his case on appeal.</w:t>
      </w:r>
    </w:p>
    <w:p w14:paraId="0A17C186" w14:textId="09C7DB6D" w:rsidR="00621DE3" w:rsidRPr="00463B9A" w:rsidRDefault="0079639C" w:rsidP="00621DE3">
      <w:pPr>
        <w:pStyle w:val="SingleTxtG"/>
        <w:rPr>
          <w:lang w:val="en-CA"/>
        </w:rPr>
      </w:pPr>
      <w:r w:rsidRPr="00463B9A">
        <w:rPr>
          <w:lang w:val="en-CA"/>
        </w:rPr>
        <w:t>6</w:t>
      </w:r>
      <w:r w:rsidR="006261A6" w:rsidRPr="00463B9A">
        <w:rPr>
          <w:lang w:val="en-CA"/>
        </w:rPr>
        <w:t>.1</w:t>
      </w:r>
      <w:r w:rsidR="00B812AC" w:rsidRPr="00463B9A">
        <w:rPr>
          <w:lang w:val="en-CA"/>
        </w:rPr>
        <w:t>2</w:t>
      </w:r>
      <w:r w:rsidR="00621DE3" w:rsidRPr="00463B9A">
        <w:rPr>
          <w:lang w:val="en-CA"/>
        </w:rPr>
        <w:tab/>
        <w:t xml:space="preserve">Concerning the author’s allegations that the human rights situation in Bangladesh is </w:t>
      </w:r>
      <w:r w:rsidR="002929C1" w:rsidRPr="00463B9A">
        <w:rPr>
          <w:lang w:val="en-CA"/>
        </w:rPr>
        <w:t>worsening</w:t>
      </w:r>
      <w:r w:rsidR="00621DE3" w:rsidRPr="00463B9A">
        <w:rPr>
          <w:lang w:val="en-CA"/>
        </w:rPr>
        <w:t>, the State party submits that the material</w:t>
      </w:r>
      <w:r w:rsidR="00F73665" w:rsidRPr="00463B9A">
        <w:rPr>
          <w:lang w:val="en-CA"/>
        </w:rPr>
        <w:t xml:space="preserve"> </w:t>
      </w:r>
      <w:r w:rsidR="00621DE3" w:rsidRPr="00463B9A">
        <w:rPr>
          <w:lang w:val="en-CA"/>
        </w:rPr>
        <w:t xml:space="preserve">the author presents </w:t>
      </w:r>
      <w:r w:rsidR="00F73665" w:rsidRPr="00463B9A">
        <w:rPr>
          <w:lang w:val="en-CA"/>
        </w:rPr>
        <w:t xml:space="preserve">is similar (and in some cases, identical) to that which was presented to and considered by the </w:t>
      </w:r>
      <w:r w:rsidR="00251A57">
        <w:rPr>
          <w:lang w:val="en-CA"/>
        </w:rPr>
        <w:t>Refugee Protection Division</w:t>
      </w:r>
      <w:r w:rsidR="00F73665" w:rsidRPr="00463B9A">
        <w:rPr>
          <w:lang w:val="en-CA"/>
        </w:rPr>
        <w:t xml:space="preserve"> and the </w:t>
      </w:r>
      <w:r w:rsidR="00A179EA">
        <w:rPr>
          <w:lang w:val="en-CA"/>
        </w:rPr>
        <w:t>Pre-Removal Risk Assessment O</w:t>
      </w:r>
      <w:r w:rsidR="00A179EA" w:rsidRPr="00463B9A">
        <w:rPr>
          <w:lang w:val="en-CA"/>
        </w:rPr>
        <w:t>fficer</w:t>
      </w:r>
      <w:r w:rsidR="00F73665" w:rsidRPr="00463B9A">
        <w:rPr>
          <w:lang w:val="en-CA"/>
        </w:rPr>
        <w:t>.</w:t>
      </w:r>
      <w:r w:rsidR="00A179EA">
        <w:rPr>
          <w:vertAlign w:val="superscript"/>
          <w:lang w:val="en-CA"/>
        </w:rPr>
        <w:t xml:space="preserve"> </w:t>
      </w:r>
      <w:r w:rsidR="00FE19EC" w:rsidRPr="00463B9A">
        <w:rPr>
          <w:lang w:val="en-CA"/>
        </w:rPr>
        <w:t xml:space="preserve">Both the </w:t>
      </w:r>
      <w:r w:rsidR="00251A57">
        <w:rPr>
          <w:lang w:val="en-CA"/>
        </w:rPr>
        <w:t>Division</w:t>
      </w:r>
      <w:r w:rsidR="00FE19EC" w:rsidRPr="00463B9A">
        <w:rPr>
          <w:lang w:val="en-CA"/>
        </w:rPr>
        <w:t xml:space="preserve"> and the </w:t>
      </w:r>
      <w:r w:rsidR="001C48B3">
        <w:rPr>
          <w:lang w:val="en-CA"/>
        </w:rPr>
        <w:t>o</w:t>
      </w:r>
      <w:r w:rsidR="00FE19EC" w:rsidRPr="00463B9A">
        <w:rPr>
          <w:lang w:val="en-CA"/>
        </w:rPr>
        <w:t>fficer specifically acknowledged th</w:t>
      </w:r>
      <w:r w:rsidR="00447097">
        <w:rPr>
          <w:lang w:val="en-CA"/>
        </w:rPr>
        <w:t>e</w:t>
      </w:r>
      <w:r w:rsidR="00FE19EC" w:rsidRPr="00463B9A">
        <w:rPr>
          <w:lang w:val="en-CA"/>
        </w:rPr>
        <w:t xml:space="preserve"> material and the </w:t>
      </w:r>
      <w:r w:rsidR="00251A57">
        <w:rPr>
          <w:lang w:val="en-CA"/>
        </w:rPr>
        <w:t>Division</w:t>
      </w:r>
      <w:r w:rsidR="00FE19EC" w:rsidRPr="00463B9A">
        <w:rPr>
          <w:lang w:val="en-CA"/>
        </w:rPr>
        <w:t xml:space="preserve">, in particular, found that corruption </w:t>
      </w:r>
      <w:r w:rsidR="00447097">
        <w:rPr>
          <w:lang w:val="en-CA"/>
        </w:rPr>
        <w:t>was</w:t>
      </w:r>
      <w:r w:rsidR="00447097" w:rsidRPr="00463B9A">
        <w:rPr>
          <w:lang w:val="en-CA"/>
        </w:rPr>
        <w:t xml:space="preserve"> </w:t>
      </w:r>
      <w:r w:rsidR="00FE19EC" w:rsidRPr="00463B9A">
        <w:rPr>
          <w:lang w:val="en-CA"/>
        </w:rPr>
        <w:t>rampant in Bangladesh. T</w:t>
      </w:r>
      <w:r w:rsidR="00F73665" w:rsidRPr="00463B9A">
        <w:rPr>
          <w:lang w:val="en-CA"/>
        </w:rPr>
        <w:t xml:space="preserve">hus, the human rights situation in Bangladesh, as perceived by the author, has been thoroughly assessed by domestic </w:t>
      </w:r>
      <w:r w:rsidR="005D3FD2" w:rsidRPr="00553D5C">
        <w:rPr>
          <w:lang w:val="en-CA"/>
        </w:rPr>
        <w:t>decision</w:t>
      </w:r>
      <w:r w:rsidR="00FE00E1" w:rsidRPr="00553D5C">
        <w:rPr>
          <w:lang w:val="en-CA"/>
        </w:rPr>
        <w:t xml:space="preserve"> </w:t>
      </w:r>
      <w:r w:rsidR="00CE34E7" w:rsidRPr="00553D5C">
        <w:rPr>
          <w:lang w:val="en-CA"/>
        </w:rPr>
        <w:t>makers</w:t>
      </w:r>
      <w:r w:rsidR="00E20C09" w:rsidRPr="00553D5C">
        <w:rPr>
          <w:lang w:val="en-CA"/>
        </w:rPr>
        <w:t>.</w:t>
      </w:r>
    </w:p>
    <w:p w14:paraId="4C67E604" w14:textId="76CE2D48" w:rsidR="00621DE3" w:rsidRPr="00463B9A" w:rsidRDefault="0079639C" w:rsidP="00621DE3">
      <w:pPr>
        <w:pStyle w:val="SingleTxtG"/>
        <w:rPr>
          <w:lang w:val="en-CA"/>
        </w:rPr>
      </w:pPr>
      <w:r w:rsidRPr="00463B9A">
        <w:rPr>
          <w:lang w:val="en-CA"/>
        </w:rPr>
        <w:t>6</w:t>
      </w:r>
      <w:r w:rsidR="00621DE3" w:rsidRPr="00463B9A">
        <w:rPr>
          <w:lang w:val="en-CA"/>
        </w:rPr>
        <w:t>.1</w:t>
      </w:r>
      <w:r w:rsidR="000A371D" w:rsidRPr="00463B9A">
        <w:rPr>
          <w:lang w:val="en-CA"/>
        </w:rPr>
        <w:t>3</w:t>
      </w:r>
      <w:r w:rsidR="00621DE3" w:rsidRPr="00463B9A">
        <w:rPr>
          <w:lang w:val="en-CA"/>
        </w:rPr>
        <w:tab/>
      </w:r>
      <w:r w:rsidR="00435ADC" w:rsidRPr="00463B9A">
        <w:rPr>
          <w:lang w:val="en-CA"/>
        </w:rPr>
        <w:t>A</w:t>
      </w:r>
      <w:r w:rsidR="00F73665" w:rsidRPr="00463B9A">
        <w:rPr>
          <w:lang w:val="en-CA"/>
        </w:rPr>
        <w:t xml:space="preserve"> review of previous as well as more recent reports from the same agencies relied on by the author (as well as country reports by the </w:t>
      </w:r>
      <w:r w:rsidR="001C48B3">
        <w:rPr>
          <w:lang w:val="en-CA"/>
        </w:rPr>
        <w:t>G</w:t>
      </w:r>
      <w:r w:rsidR="00F73665" w:rsidRPr="00463B9A">
        <w:rPr>
          <w:lang w:val="en-CA"/>
        </w:rPr>
        <w:t>overnment</w:t>
      </w:r>
      <w:r w:rsidR="001C48B3">
        <w:rPr>
          <w:lang w:val="en-CA"/>
        </w:rPr>
        <w:t xml:space="preserve"> of the United Kingdom</w:t>
      </w:r>
      <w:r w:rsidR="00F73665" w:rsidRPr="00463B9A">
        <w:rPr>
          <w:lang w:val="en-CA"/>
        </w:rPr>
        <w:t>, Human Rights</w:t>
      </w:r>
      <w:r w:rsidR="001C48B3">
        <w:rPr>
          <w:lang w:val="en-CA"/>
        </w:rPr>
        <w:t xml:space="preserve"> </w:t>
      </w:r>
      <w:r w:rsidR="00F73665" w:rsidRPr="00463B9A">
        <w:rPr>
          <w:lang w:val="en-CA"/>
        </w:rPr>
        <w:t>Watch and Amnesty International) would suggest that the human rights situation in Bangladesh has not worsened; it has either stayed the same or improved slightly in some areas.</w:t>
      </w:r>
      <w:r w:rsidR="001A10B7" w:rsidRPr="00463B9A">
        <w:rPr>
          <w:vertAlign w:val="superscript"/>
          <w:lang w:val="en-CA"/>
        </w:rPr>
        <w:t xml:space="preserve"> </w:t>
      </w:r>
      <w:r w:rsidR="008A1550" w:rsidRPr="00463B9A">
        <w:rPr>
          <w:lang w:val="en-CA"/>
        </w:rPr>
        <w:t>Moreover, t</w:t>
      </w:r>
      <w:r w:rsidR="00621DE3" w:rsidRPr="00463B9A">
        <w:rPr>
          <w:lang w:val="en-CA"/>
        </w:rPr>
        <w:t xml:space="preserve">he </w:t>
      </w:r>
      <w:r w:rsidR="00F73665" w:rsidRPr="00463B9A">
        <w:rPr>
          <w:lang w:val="en-CA"/>
        </w:rPr>
        <w:t xml:space="preserve">author has not provided any evidence to demonstrate how </w:t>
      </w:r>
      <w:r w:rsidR="008A1550" w:rsidRPr="00463B9A">
        <w:rPr>
          <w:lang w:val="en-CA"/>
        </w:rPr>
        <w:t>any</w:t>
      </w:r>
      <w:r w:rsidR="00F73665" w:rsidRPr="00463B9A">
        <w:rPr>
          <w:lang w:val="en-CA"/>
        </w:rPr>
        <w:t xml:space="preserve"> general level of risk relates to her personal circumstances. </w:t>
      </w:r>
      <w:r w:rsidR="00B635DD" w:rsidRPr="00463B9A">
        <w:rPr>
          <w:lang w:val="en-CA"/>
        </w:rPr>
        <w:t xml:space="preserve">She has </w:t>
      </w:r>
      <w:r w:rsidR="00A00415" w:rsidRPr="00463B9A">
        <w:rPr>
          <w:lang w:val="en-CA"/>
        </w:rPr>
        <w:t>not substantiated her</w:t>
      </w:r>
      <w:r w:rsidR="00B635DD" w:rsidRPr="00463B9A">
        <w:rPr>
          <w:lang w:val="en-CA"/>
        </w:rPr>
        <w:t xml:space="preserve"> allegation that the</w:t>
      </w:r>
      <w:r w:rsidR="00F73665" w:rsidRPr="00463B9A">
        <w:rPr>
          <w:lang w:val="en-CA"/>
        </w:rPr>
        <w:t xml:space="preserve"> current </w:t>
      </w:r>
      <w:proofErr w:type="spellStart"/>
      <w:r w:rsidR="001C48B3">
        <w:rPr>
          <w:lang w:val="en-CA"/>
        </w:rPr>
        <w:t>Awami</w:t>
      </w:r>
      <w:proofErr w:type="spellEnd"/>
      <w:r w:rsidR="001C48B3">
        <w:rPr>
          <w:lang w:val="en-CA"/>
        </w:rPr>
        <w:t xml:space="preserve"> League</w:t>
      </w:r>
      <w:r w:rsidR="001C48B3" w:rsidRPr="00463B9A">
        <w:rPr>
          <w:lang w:val="en-CA"/>
        </w:rPr>
        <w:t xml:space="preserve"> </w:t>
      </w:r>
      <w:r w:rsidR="001C48B3">
        <w:rPr>
          <w:lang w:val="en-CA"/>
        </w:rPr>
        <w:t>G</w:t>
      </w:r>
      <w:r w:rsidR="00F73665" w:rsidRPr="00463B9A">
        <w:rPr>
          <w:lang w:val="en-CA"/>
        </w:rPr>
        <w:t xml:space="preserve">overnment has interfered or will interfere with the outcome of the murder trial or has released or will release the murderers. </w:t>
      </w:r>
    </w:p>
    <w:p w14:paraId="48F00FB7" w14:textId="1F0B1927" w:rsidR="00F73665" w:rsidRPr="00463B9A" w:rsidRDefault="0079639C" w:rsidP="00F73665">
      <w:pPr>
        <w:pStyle w:val="SingleTxtG"/>
        <w:rPr>
          <w:lang w:val="en-CA"/>
        </w:rPr>
      </w:pPr>
      <w:r w:rsidRPr="00463B9A">
        <w:rPr>
          <w:lang w:val="en-CA"/>
        </w:rPr>
        <w:t>6</w:t>
      </w:r>
      <w:r w:rsidR="00621DE3" w:rsidRPr="00463B9A">
        <w:rPr>
          <w:lang w:val="en-CA"/>
        </w:rPr>
        <w:t>.1</w:t>
      </w:r>
      <w:r w:rsidR="000A371D" w:rsidRPr="00463B9A">
        <w:rPr>
          <w:lang w:val="en-CA"/>
        </w:rPr>
        <w:t>4</w:t>
      </w:r>
      <w:r w:rsidR="00621DE3" w:rsidRPr="00463B9A">
        <w:rPr>
          <w:lang w:val="en-CA"/>
        </w:rPr>
        <w:tab/>
      </w:r>
      <w:r w:rsidR="00F12E52" w:rsidRPr="00463B9A">
        <w:rPr>
          <w:lang w:val="en-CA"/>
        </w:rPr>
        <w:t>T</w:t>
      </w:r>
      <w:r w:rsidR="00F73665" w:rsidRPr="00463B9A">
        <w:rPr>
          <w:lang w:val="en-CA"/>
        </w:rPr>
        <w:t xml:space="preserve">he author does not provide any evidence to support </w:t>
      </w:r>
      <w:r w:rsidR="00F12E52" w:rsidRPr="00463B9A">
        <w:rPr>
          <w:lang w:val="en-CA"/>
        </w:rPr>
        <w:t xml:space="preserve">her claims that the </w:t>
      </w:r>
      <w:r w:rsidR="00A352D8">
        <w:rPr>
          <w:lang w:val="en-CA"/>
        </w:rPr>
        <w:t>“</w:t>
      </w:r>
      <w:r w:rsidR="00F12E52" w:rsidRPr="00463B9A">
        <w:rPr>
          <w:lang w:val="en-CA"/>
        </w:rPr>
        <w:t>agents of persecution</w:t>
      </w:r>
      <w:r w:rsidR="00A352D8">
        <w:rPr>
          <w:lang w:val="en-CA"/>
        </w:rPr>
        <w:t>”</w:t>
      </w:r>
      <w:r w:rsidR="00F12E52" w:rsidRPr="00463B9A">
        <w:rPr>
          <w:lang w:val="en-CA"/>
        </w:rPr>
        <w:t xml:space="preserve"> who murdered her </w:t>
      </w:r>
      <w:proofErr w:type="gramStart"/>
      <w:r w:rsidR="00F12E52" w:rsidRPr="00463B9A">
        <w:rPr>
          <w:lang w:val="en-CA"/>
        </w:rPr>
        <w:t>brother have</w:t>
      </w:r>
      <w:proofErr w:type="gramEnd"/>
      <w:r w:rsidR="00F12E52" w:rsidRPr="00463B9A">
        <w:rPr>
          <w:lang w:val="en-CA"/>
        </w:rPr>
        <w:t xml:space="preserve"> </w:t>
      </w:r>
      <w:r w:rsidR="00305B7C" w:rsidRPr="00463B9A">
        <w:rPr>
          <w:lang w:val="en-CA"/>
        </w:rPr>
        <w:t>significant</w:t>
      </w:r>
      <w:r w:rsidR="00F12E52" w:rsidRPr="00463B9A">
        <w:rPr>
          <w:lang w:val="en-CA"/>
        </w:rPr>
        <w:t xml:space="preserve"> judicia</w:t>
      </w:r>
      <w:r w:rsidR="003128FE">
        <w:rPr>
          <w:lang w:val="en-CA"/>
        </w:rPr>
        <w:t>l</w:t>
      </w:r>
      <w:r w:rsidR="00F12E52" w:rsidRPr="00463B9A">
        <w:rPr>
          <w:lang w:val="en-CA"/>
        </w:rPr>
        <w:t xml:space="preserve"> and political contacts</w:t>
      </w:r>
      <w:r w:rsidR="00305B7C" w:rsidRPr="00463B9A">
        <w:rPr>
          <w:lang w:val="en-CA"/>
        </w:rPr>
        <w:t>,</w:t>
      </w:r>
      <w:r w:rsidR="00F73665" w:rsidRPr="00463B9A">
        <w:rPr>
          <w:lang w:val="en-CA"/>
        </w:rPr>
        <w:t xml:space="preserve"> nor has she provided evidence demonstrating </w:t>
      </w:r>
      <w:r w:rsidR="00305B7C" w:rsidRPr="00463B9A">
        <w:rPr>
          <w:lang w:val="en-CA"/>
        </w:rPr>
        <w:t xml:space="preserve">that </w:t>
      </w:r>
      <w:r w:rsidR="006B54CB" w:rsidRPr="00463B9A">
        <w:rPr>
          <w:lang w:val="en-CA"/>
        </w:rPr>
        <w:t>any individuals</w:t>
      </w:r>
      <w:r w:rsidR="00F73665" w:rsidRPr="00463B9A">
        <w:rPr>
          <w:lang w:val="en-CA"/>
        </w:rPr>
        <w:t xml:space="preserve"> have used their alleged contacts to influence the outcome of the murder trial. Indeed, the</w:t>
      </w:r>
      <w:r w:rsidR="009E15DB" w:rsidRPr="00463B9A">
        <w:rPr>
          <w:lang w:val="en-CA"/>
        </w:rPr>
        <w:t xml:space="preserve"> evidence presented by the author at</w:t>
      </w:r>
      <w:r w:rsidR="00F73665" w:rsidRPr="00463B9A">
        <w:rPr>
          <w:lang w:val="en-CA"/>
        </w:rPr>
        <w:t xml:space="preserve"> her protection hearing suggests the opposite: as noted by the </w:t>
      </w:r>
      <w:r w:rsidR="00251A57">
        <w:rPr>
          <w:lang w:val="en-CA"/>
        </w:rPr>
        <w:t>Refugee Protection Division</w:t>
      </w:r>
      <w:r w:rsidR="00F73665" w:rsidRPr="00463B9A">
        <w:rPr>
          <w:lang w:val="en-CA"/>
        </w:rPr>
        <w:t xml:space="preserve">, her evidence established that the police </w:t>
      </w:r>
      <w:r w:rsidR="00E372CB">
        <w:rPr>
          <w:lang w:val="en-CA"/>
        </w:rPr>
        <w:t xml:space="preserve">in Bangladesh </w:t>
      </w:r>
      <w:r w:rsidR="00F73665" w:rsidRPr="00463B9A">
        <w:rPr>
          <w:lang w:val="en-CA"/>
        </w:rPr>
        <w:t xml:space="preserve">are clearly willing to arrest and charge a </w:t>
      </w:r>
      <w:r w:rsidR="003128FE">
        <w:rPr>
          <w:lang w:val="en-CA"/>
        </w:rPr>
        <w:t>c</w:t>
      </w:r>
      <w:r w:rsidR="00F73665" w:rsidRPr="00463B9A">
        <w:rPr>
          <w:lang w:val="en-CA"/>
        </w:rPr>
        <w:t>apta</w:t>
      </w:r>
      <w:r w:rsidR="009E15DB" w:rsidRPr="00463B9A">
        <w:rPr>
          <w:lang w:val="en-CA"/>
        </w:rPr>
        <w:t>in in the army (</w:t>
      </w:r>
      <w:r w:rsidR="00553D5C">
        <w:rPr>
          <w:lang w:val="en-CA"/>
        </w:rPr>
        <w:t>K.S.</w:t>
      </w:r>
      <w:r w:rsidR="00EB6120" w:rsidRPr="00463B9A">
        <w:rPr>
          <w:lang w:val="en-CA"/>
        </w:rPr>
        <w:t>)</w:t>
      </w:r>
      <w:r w:rsidR="00A352D8">
        <w:rPr>
          <w:lang w:val="en-CA"/>
        </w:rPr>
        <w:t>.</w:t>
      </w:r>
      <w:r w:rsidR="001A10B7" w:rsidRPr="00463B9A">
        <w:rPr>
          <w:vertAlign w:val="superscript"/>
          <w:lang w:val="en-CA"/>
        </w:rPr>
        <w:t xml:space="preserve"> </w:t>
      </w:r>
      <w:r w:rsidR="00F73665" w:rsidRPr="00463B9A">
        <w:rPr>
          <w:lang w:val="en-CA"/>
        </w:rPr>
        <w:t xml:space="preserve">In addition, it is also clear </w:t>
      </w:r>
      <w:r w:rsidR="00A352D8">
        <w:rPr>
          <w:lang w:val="en-CA"/>
        </w:rPr>
        <w:t xml:space="preserve">from </w:t>
      </w:r>
      <w:r w:rsidR="00A352D8" w:rsidRPr="00463B9A">
        <w:rPr>
          <w:lang w:val="en-CA"/>
        </w:rPr>
        <w:t xml:space="preserve">the author’s communication </w:t>
      </w:r>
      <w:r w:rsidR="00F73665" w:rsidRPr="00463B9A">
        <w:rPr>
          <w:lang w:val="en-CA"/>
        </w:rPr>
        <w:t xml:space="preserve">that the police are willing to arrest and </w:t>
      </w:r>
      <w:r w:rsidR="009E15DB" w:rsidRPr="00463B9A">
        <w:rPr>
          <w:lang w:val="en-CA"/>
        </w:rPr>
        <w:t>charge a police inspector (</w:t>
      </w:r>
      <w:r w:rsidR="003D02FF" w:rsidRPr="00463B9A">
        <w:rPr>
          <w:lang w:val="en-CA"/>
        </w:rPr>
        <w:t>P.</w:t>
      </w:r>
      <w:r w:rsidR="00305B7C" w:rsidRPr="00463B9A">
        <w:rPr>
          <w:lang w:val="en-CA"/>
        </w:rPr>
        <w:t>) as well as a person who</w:t>
      </w:r>
      <w:r w:rsidR="00F73665" w:rsidRPr="00463B9A">
        <w:rPr>
          <w:lang w:val="en-CA"/>
        </w:rPr>
        <w:t xml:space="preserve"> has one brother </w:t>
      </w:r>
      <w:r w:rsidR="003128FE">
        <w:rPr>
          <w:lang w:val="en-CA"/>
        </w:rPr>
        <w:t>who</w:t>
      </w:r>
      <w:r w:rsidR="003128FE" w:rsidRPr="00463B9A">
        <w:rPr>
          <w:lang w:val="en-CA"/>
        </w:rPr>
        <w:t xml:space="preserve"> </w:t>
      </w:r>
      <w:r w:rsidR="00F73665" w:rsidRPr="00463B9A">
        <w:rPr>
          <w:lang w:val="en-CA"/>
        </w:rPr>
        <w:t>is a police inspector and another brothe</w:t>
      </w:r>
      <w:r w:rsidR="009E15DB" w:rsidRPr="00463B9A">
        <w:rPr>
          <w:lang w:val="en-CA"/>
        </w:rPr>
        <w:t xml:space="preserve">r </w:t>
      </w:r>
      <w:r w:rsidR="003128FE">
        <w:rPr>
          <w:lang w:val="en-CA"/>
        </w:rPr>
        <w:t>who</w:t>
      </w:r>
      <w:r w:rsidR="003128FE" w:rsidRPr="00463B9A">
        <w:rPr>
          <w:lang w:val="en-CA"/>
        </w:rPr>
        <w:t xml:space="preserve"> </w:t>
      </w:r>
      <w:r w:rsidR="009E15DB" w:rsidRPr="00463B9A">
        <w:rPr>
          <w:lang w:val="en-CA"/>
        </w:rPr>
        <w:t xml:space="preserve">is an army </w:t>
      </w:r>
      <w:r w:rsidR="003128FE">
        <w:rPr>
          <w:lang w:val="en-CA"/>
        </w:rPr>
        <w:t>c</w:t>
      </w:r>
      <w:r w:rsidR="009E15DB" w:rsidRPr="00463B9A">
        <w:rPr>
          <w:lang w:val="en-CA"/>
        </w:rPr>
        <w:t>aptain (</w:t>
      </w:r>
      <w:r w:rsidR="006B54CB" w:rsidRPr="00463B9A">
        <w:rPr>
          <w:lang w:val="en-CA"/>
        </w:rPr>
        <w:t>B.</w:t>
      </w:r>
      <w:r w:rsidR="00EB6120" w:rsidRPr="00463B9A">
        <w:rPr>
          <w:lang w:val="en-CA"/>
        </w:rPr>
        <w:t>)</w:t>
      </w:r>
      <w:r w:rsidR="00F73665" w:rsidRPr="00463B9A">
        <w:rPr>
          <w:lang w:val="en-CA"/>
        </w:rPr>
        <w:t xml:space="preserve"> It is </w:t>
      </w:r>
      <w:r w:rsidR="00A352D8">
        <w:rPr>
          <w:lang w:val="en-CA"/>
        </w:rPr>
        <w:t>also</w:t>
      </w:r>
      <w:r w:rsidR="00A352D8" w:rsidRPr="00463B9A">
        <w:rPr>
          <w:lang w:val="en-CA"/>
        </w:rPr>
        <w:t xml:space="preserve"> </w:t>
      </w:r>
      <w:r w:rsidR="00F73665" w:rsidRPr="00463B9A">
        <w:rPr>
          <w:lang w:val="en-CA"/>
        </w:rPr>
        <w:t>clear</w:t>
      </w:r>
      <w:r w:rsidR="003128FE">
        <w:rPr>
          <w:lang w:val="en-CA"/>
        </w:rPr>
        <w:t xml:space="preserve"> from</w:t>
      </w:r>
      <w:r w:rsidR="00F73665" w:rsidRPr="00463B9A">
        <w:rPr>
          <w:lang w:val="en-CA"/>
        </w:rPr>
        <w:t xml:space="preserve"> the author’s communication that the judiciary </w:t>
      </w:r>
      <w:r w:rsidR="00E372CB">
        <w:rPr>
          <w:lang w:val="en-CA"/>
        </w:rPr>
        <w:t xml:space="preserve">of </w:t>
      </w:r>
      <w:r w:rsidR="00E372CB">
        <w:rPr>
          <w:lang w:val="en-CA"/>
        </w:rPr>
        <w:lastRenderedPageBreak/>
        <w:t xml:space="preserve">Bangladesh </w:t>
      </w:r>
      <w:r w:rsidR="003128FE">
        <w:rPr>
          <w:lang w:val="en-CA"/>
        </w:rPr>
        <w:t>is</w:t>
      </w:r>
      <w:r w:rsidR="003128FE" w:rsidRPr="00463B9A">
        <w:rPr>
          <w:lang w:val="en-CA"/>
        </w:rPr>
        <w:t xml:space="preserve"> </w:t>
      </w:r>
      <w:r w:rsidR="00F73665" w:rsidRPr="00463B9A">
        <w:rPr>
          <w:lang w:val="en-CA"/>
        </w:rPr>
        <w:t xml:space="preserve">willing and able to convict members of the police and </w:t>
      </w:r>
      <w:r w:rsidR="003128FE">
        <w:rPr>
          <w:lang w:val="en-CA"/>
        </w:rPr>
        <w:t xml:space="preserve">the </w:t>
      </w:r>
      <w:r w:rsidR="00F73665" w:rsidRPr="00463B9A">
        <w:rPr>
          <w:lang w:val="en-CA"/>
        </w:rPr>
        <w:t xml:space="preserve">military. </w:t>
      </w:r>
      <w:r w:rsidR="000B4E0A" w:rsidRPr="00463B9A">
        <w:rPr>
          <w:lang w:val="en-CA"/>
        </w:rPr>
        <w:t>T</w:t>
      </w:r>
      <w:r w:rsidR="00F73665" w:rsidRPr="00463B9A">
        <w:rPr>
          <w:lang w:val="en-CA"/>
        </w:rPr>
        <w:t>hus, the author’s claim that “the authorities are an important part of the [corruption] problem, making it impossible to go to them for help”</w:t>
      </w:r>
      <w:r w:rsidR="00D05098" w:rsidRPr="00463B9A">
        <w:rPr>
          <w:vertAlign w:val="superscript"/>
          <w:lang w:val="en-CA"/>
        </w:rPr>
        <w:t xml:space="preserve"> </w:t>
      </w:r>
      <w:r w:rsidR="00F73665" w:rsidRPr="00463B9A">
        <w:rPr>
          <w:lang w:val="en-CA"/>
        </w:rPr>
        <w:t>would appear to be untrue as it relates to her specific circumstances.</w:t>
      </w:r>
    </w:p>
    <w:p w14:paraId="3C97C2FC" w14:textId="5A2AEF41" w:rsidR="001B04D5" w:rsidRPr="00463B9A" w:rsidRDefault="0079639C" w:rsidP="00D42E5C">
      <w:pPr>
        <w:pStyle w:val="SingleTxtG"/>
        <w:rPr>
          <w:lang w:val="en-CA"/>
        </w:rPr>
      </w:pPr>
      <w:r w:rsidRPr="00463B9A">
        <w:rPr>
          <w:lang w:val="en-CA"/>
        </w:rPr>
        <w:t>6</w:t>
      </w:r>
      <w:r w:rsidR="00322221" w:rsidRPr="00463B9A">
        <w:rPr>
          <w:lang w:val="en-CA"/>
        </w:rPr>
        <w:t>.</w:t>
      </w:r>
      <w:r w:rsidR="0089371C" w:rsidRPr="00463B9A">
        <w:rPr>
          <w:lang w:val="en-CA"/>
        </w:rPr>
        <w:t>1</w:t>
      </w:r>
      <w:r w:rsidR="000A371D" w:rsidRPr="00463B9A">
        <w:rPr>
          <w:lang w:val="en-CA"/>
        </w:rPr>
        <w:t>5</w:t>
      </w:r>
      <w:r w:rsidR="000B4E0A" w:rsidRPr="00463B9A">
        <w:rPr>
          <w:lang w:val="en-CA"/>
        </w:rPr>
        <w:tab/>
        <w:t xml:space="preserve">The author has not provided any evidence to support her allegations </w:t>
      </w:r>
      <w:r w:rsidR="00687592" w:rsidRPr="00463B9A">
        <w:rPr>
          <w:lang w:val="en-CA"/>
        </w:rPr>
        <w:t xml:space="preserve">concerning the reason the death sentences were </w:t>
      </w:r>
      <w:r w:rsidR="00272A6A">
        <w:rPr>
          <w:lang w:val="en-CA"/>
        </w:rPr>
        <w:t>reversed</w:t>
      </w:r>
      <w:r w:rsidR="00272A6A" w:rsidRPr="00463B9A">
        <w:rPr>
          <w:lang w:val="en-CA"/>
        </w:rPr>
        <w:t xml:space="preserve"> </w:t>
      </w:r>
      <w:r w:rsidR="00150EBA" w:rsidRPr="00463B9A">
        <w:rPr>
          <w:lang w:val="en-CA"/>
        </w:rPr>
        <w:t xml:space="preserve">and the criminal convictions were appealed. </w:t>
      </w:r>
      <w:r w:rsidR="00F73665" w:rsidRPr="00463B9A">
        <w:rPr>
          <w:lang w:val="en-CA"/>
        </w:rPr>
        <w:t>The author claims</w:t>
      </w:r>
      <w:r w:rsidR="00150EBA" w:rsidRPr="00463B9A">
        <w:rPr>
          <w:lang w:val="en-CA"/>
        </w:rPr>
        <w:t xml:space="preserve"> that</w:t>
      </w:r>
      <w:r w:rsidR="00F73665" w:rsidRPr="00463B9A">
        <w:rPr>
          <w:lang w:val="en-CA"/>
        </w:rPr>
        <w:t xml:space="preserve"> these actions are due to the fact </w:t>
      </w:r>
      <w:r w:rsidR="00150EBA" w:rsidRPr="00463B9A">
        <w:rPr>
          <w:lang w:val="en-CA"/>
        </w:rPr>
        <w:t xml:space="preserve">that </w:t>
      </w:r>
      <w:r w:rsidR="00F73665" w:rsidRPr="00463B9A">
        <w:rPr>
          <w:lang w:val="en-CA"/>
        </w:rPr>
        <w:t xml:space="preserve">the </w:t>
      </w:r>
      <w:r w:rsidR="003128FE">
        <w:rPr>
          <w:lang w:val="en-CA"/>
        </w:rPr>
        <w:t>G</w:t>
      </w:r>
      <w:r w:rsidR="00F73665" w:rsidRPr="00463B9A">
        <w:rPr>
          <w:lang w:val="en-CA"/>
        </w:rPr>
        <w:t xml:space="preserve">overnment changed in 2008 </w:t>
      </w:r>
      <w:r w:rsidR="00150EBA" w:rsidRPr="00463B9A">
        <w:rPr>
          <w:lang w:val="en-CA"/>
        </w:rPr>
        <w:t>(</w:t>
      </w:r>
      <w:r w:rsidR="00F73665" w:rsidRPr="00463B9A">
        <w:rPr>
          <w:lang w:val="en-CA"/>
        </w:rPr>
        <w:t xml:space="preserve">from the </w:t>
      </w:r>
      <w:r w:rsidR="003128FE">
        <w:rPr>
          <w:lang w:val="en-CA"/>
        </w:rPr>
        <w:t>Bangladesh National Party</w:t>
      </w:r>
      <w:r w:rsidR="003128FE" w:rsidRPr="00463B9A">
        <w:rPr>
          <w:lang w:val="en-CA"/>
        </w:rPr>
        <w:t xml:space="preserve"> </w:t>
      </w:r>
      <w:r w:rsidR="00F73665" w:rsidRPr="00463B9A">
        <w:rPr>
          <w:lang w:val="en-CA"/>
        </w:rPr>
        <w:t xml:space="preserve">to the </w:t>
      </w:r>
      <w:proofErr w:type="spellStart"/>
      <w:r w:rsidR="003128FE">
        <w:rPr>
          <w:lang w:val="en-CA"/>
        </w:rPr>
        <w:t>Awami</w:t>
      </w:r>
      <w:proofErr w:type="spellEnd"/>
      <w:r w:rsidR="003128FE">
        <w:rPr>
          <w:lang w:val="en-CA"/>
        </w:rPr>
        <w:t xml:space="preserve"> League</w:t>
      </w:r>
      <w:r w:rsidR="00150EBA" w:rsidRPr="00463B9A">
        <w:rPr>
          <w:lang w:val="en-CA"/>
        </w:rPr>
        <w:t>)</w:t>
      </w:r>
      <w:r w:rsidR="00A36D50" w:rsidRPr="00463B9A">
        <w:rPr>
          <w:lang w:val="en-CA"/>
        </w:rPr>
        <w:t xml:space="preserve">. </w:t>
      </w:r>
      <w:r w:rsidR="00F73665" w:rsidRPr="00463B9A">
        <w:rPr>
          <w:lang w:val="en-CA"/>
        </w:rPr>
        <w:t xml:space="preserve">The author notes that it is not unusual in Bangladesh </w:t>
      </w:r>
      <w:r w:rsidR="003128FE">
        <w:rPr>
          <w:lang w:val="en-CA"/>
        </w:rPr>
        <w:t>for</w:t>
      </w:r>
      <w:r w:rsidR="003128FE" w:rsidRPr="00463B9A">
        <w:rPr>
          <w:lang w:val="en-CA"/>
        </w:rPr>
        <w:t xml:space="preserve"> </w:t>
      </w:r>
      <w:r w:rsidR="00F73665" w:rsidRPr="00463B9A">
        <w:rPr>
          <w:lang w:val="en-CA"/>
        </w:rPr>
        <w:t xml:space="preserve">sentences </w:t>
      </w:r>
      <w:r w:rsidR="003128FE">
        <w:rPr>
          <w:lang w:val="en-CA"/>
        </w:rPr>
        <w:t>to be</w:t>
      </w:r>
      <w:r w:rsidR="003128FE" w:rsidRPr="00463B9A">
        <w:rPr>
          <w:lang w:val="en-CA"/>
        </w:rPr>
        <w:t xml:space="preserve"> </w:t>
      </w:r>
      <w:r w:rsidR="00F73665" w:rsidRPr="00463B9A">
        <w:rPr>
          <w:lang w:val="en-CA"/>
        </w:rPr>
        <w:t xml:space="preserve">overturned with the arrival of a new </w:t>
      </w:r>
      <w:r w:rsidR="003128FE">
        <w:rPr>
          <w:lang w:val="en-CA"/>
        </w:rPr>
        <w:t>G</w:t>
      </w:r>
      <w:r w:rsidR="00F73665" w:rsidRPr="00463B9A">
        <w:rPr>
          <w:lang w:val="en-CA"/>
        </w:rPr>
        <w:t>overnment.</w:t>
      </w:r>
      <w:r w:rsidR="001A10B7" w:rsidRPr="00463B9A">
        <w:rPr>
          <w:vertAlign w:val="superscript"/>
          <w:lang w:val="en-CA"/>
        </w:rPr>
        <w:t xml:space="preserve"> </w:t>
      </w:r>
      <w:r w:rsidR="00D17C57" w:rsidRPr="00463B9A">
        <w:rPr>
          <w:lang w:val="en-CA"/>
        </w:rPr>
        <w:t>However</w:t>
      </w:r>
      <w:r w:rsidR="00F73665" w:rsidRPr="00463B9A">
        <w:rPr>
          <w:lang w:val="en-CA"/>
        </w:rPr>
        <w:t xml:space="preserve">, it can no longer be said that the </w:t>
      </w:r>
      <w:proofErr w:type="spellStart"/>
      <w:r w:rsidR="003128FE">
        <w:rPr>
          <w:lang w:val="en-CA"/>
        </w:rPr>
        <w:t>Awami</w:t>
      </w:r>
      <w:proofErr w:type="spellEnd"/>
      <w:r w:rsidR="003128FE">
        <w:rPr>
          <w:lang w:val="en-CA"/>
        </w:rPr>
        <w:t xml:space="preserve"> League</w:t>
      </w:r>
      <w:r w:rsidR="003128FE" w:rsidRPr="00463B9A">
        <w:rPr>
          <w:lang w:val="en-CA"/>
        </w:rPr>
        <w:t xml:space="preserve"> </w:t>
      </w:r>
      <w:r w:rsidR="00F73665" w:rsidRPr="00463B9A">
        <w:rPr>
          <w:lang w:val="en-CA"/>
        </w:rPr>
        <w:t xml:space="preserve">is a “new </w:t>
      </w:r>
      <w:r w:rsidR="003128FE">
        <w:rPr>
          <w:lang w:val="en-CA"/>
        </w:rPr>
        <w:t>G</w:t>
      </w:r>
      <w:r w:rsidR="00F73665" w:rsidRPr="00463B9A">
        <w:rPr>
          <w:lang w:val="en-CA"/>
        </w:rPr>
        <w:t>overnment”</w:t>
      </w:r>
      <w:r w:rsidR="00272A6A">
        <w:rPr>
          <w:lang w:val="en-CA"/>
        </w:rPr>
        <w:t>,</w:t>
      </w:r>
      <w:r w:rsidR="00F73665" w:rsidRPr="00463B9A">
        <w:rPr>
          <w:lang w:val="en-CA"/>
        </w:rPr>
        <w:t xml:space="preserve"> since it has been in power for </w:t>
      </w:r>
      <w:r w:rsidR="00C4542B">
        <w:rPr>
          <w:lang w:val="en-CA"/>
        </w:rPr>
        <w:t>six</w:t>
      </w:r>
      <w:r w:rsidR="00F73665" w:rsidRPr="00463B9A">
        <w:rPr>
          <w:lang w:val="en-CA"/>
        </w:rPr>
        <w:t xml:space="preserve"> years </w:t>
      </w:r>
      <w:r w:rsidR="00767EBE">
        <w:rPr>
          <w:lang w:val="en-CA"/>
        </w:rPr>
        <w:t xml:space="preserve">and had been in power for </w:t>
      </w:r>
      <w:r w:rsidR="00C4542B">
        <w:rPr>
          <w:lang w:val="en-CA"/>
        </w:rPr>
        <w:t>five</w:t>
      </w:r>
      <w:r w:rsidR="00F73665" w:rsidRPr="00463B9A">
        <w:rPr>
          <w:lang w:val="en-CA"/>
        </w:rPr>
        <w:t xml:space="preserve"> years at the time that the author </w:t>
      </w:r>
      <w:r w:rsidR="00767EBE">
        <w:rPr>
          <w:lang w:val="en-CA"/>
        </w:rPr>
        <w:t>submitted</w:t>
      </w:r>
      <w:r w:rsidR="00F73665" w:rsidRPr="00463B9A">
        <w:rPr>
          <w:lang w:val="en-CA"/>
        </w:rPr>
        <w:t xml:space="preserve"> her complaint </w:t>
      </w:r>
      <w:r w:rsidR="00767EBE">
        <w:rPr>
          <w:lang w:val="en-CA"/>
        </w:rPr>
        <w:t>to</w:t>
      </w:r>
      <w:r w:rsidR="00F73665" w:rsidRPr="00463B9A">
        <w:rPr>
          <w:lang w:val="en-CA"/>
        </w:rPr>
        <w:t xml:space="preserve"> the Committee.</w:t>
      </w:r>
      <w:r w:rsidR="001A10B7" w:rsidRPr="00463B9A">
        <w:rPr>
          <w:vertAlign w:val="superscript"/>
          <w:lang w:val="en-CA"/>
        </w:rPr>
        <w:t xml:space="preserve"> </w:t>
      </w:r>
      <w:r w:rsidR="00583BA4" w:rsidRPr="00463B9A">
        <w:rPr>
          <w:lang w:val="en-CA"/>
        </w:rPr>
        <w:t>Furthermore</w:t>
      </w:r>
      <w:r w:rsidR="00F73665" w:rsidRPr="00463B9A">
        <w:rPr>
          <w:lang w:val="en-CA"/>
        </w:rPr>
        <w:t xml:space="preserve">, according to the author’s communication, her brother’s murderers are </w:t>
      </w:r>
      <w:r w:rsidR="006B54CB" w:rsidRPr="00463B9A">
        <w:rPr>
          <w:lang w:val="en-CA"/>
        </w:rPr>
        <w:t>B., K</w:t>
      </w:r>
      <w:r w:rsidR="00272A6A">
        <w:rPr>
          <w:lang w:val="en-CA"/>
        </w:rPr>
        <w:t>.</w:t>
      </w:r>
      <w:r w:rsidR="003128FE">
        <w:rPr>
          <w:lang w:val="en-CA"/>
        </w:rPr>
        <w:t xml:space="preserve"> </w:t>
      </w:r>
      <w:r w:rsidR="006B54CB" w:rsidRPr="00463B9A">
        <w:rPr>
          <w:lang w:val="en-CA"/>
        </w:rPr>
        <w:t>S. and P</w:t>
      </w:r>
      <w:r w:rsidR="00F73665" w:rsidRPr="00463B9A">
        <w:rPr>
          <w:lang w:val="en-CA"/>
        </w:rPr>
        <w:t>.</w:t>
      </w:r>
      <w:r w:rsidR="001A10B7" w:rsidRPr="00463B9A">
        <w:rPr>
          <w:vertAlign w:val="superscript"/>
          <w:lang w:val="en-CA"/>
        </w:rPr>
        <w:t xml:space="preserve"> </w:t>
      </w:r>
      <w:r w:rsidR="00F73665" w:rsidRPr="00463B9A">
        <w:rPr>
          <w:lang w:val="en-CA"/>
        </w:rPr>
        <w:t>The only information provided by the author that is purportedly about the mur</w:t>
      </w:r>
      <w:r w:rsidR="004112BE" w:rsidRPr="00463B9A">
        <w:rPr>
          <w:lang w:val="en-CA"/>
        </w:rPr>
        <w:t>der case is the photocopy of a screen shot</w:t>
      </w:r>
      <w:r w:rsidR="003128FE">
        <w:rPr>
          <w:lang w:val="en-CA"/>
        </w:rPr>
        <w:t>,</w:t>
      </w:r>
      <w:r w:rsidR="004112BE" w:rsidRPr="00463B9A">
        <w:rPr>
          <w:lang w:val="en-CA"/>
        </w:rPr>
        <w:t xml:space="preserve"> </w:t>
      </w:r>
      <w:r w:rsidR="00F73665" w:rsidRPr="00463B9A">
        <w:rPr>
          <w:lang w:val="en-CA"/>
        </w:rPr>
        <w:t xml:space="preserve">apparently of the Supreme Court of Bangladesh website, referring to a number of cases involving </w:t>
      </w:r>
      <w:r w:rsidR="00235765" w:rsidRPr="00463B9A">
        <w:rPr>
          <w:lang w:val="en-CA"/>
        </w:rPr>
        <w:t>three individuals (B., A. and P.)</w:t>
      </w:r>
      <w:r w:rsidR="00272A6A">
        <w:rPr>
          <w:lang w:val="en-CA"/>
        </w:rPr>
        <w:t>.</w:t>
      </w:r>
      <w:r w:rsidR="00235765" w:rsidRPr="00463B9A">
        <w:rPr>
          <w:lang w:val="en-CA"/>
        </w:rPr>
        <w:t xml:space="preserve"> However, there is no </w:t>
      </w:r>
      <w:r w:rsidR="00F73665" w:rsidRPr="00463B9A">
        <w:rPr>
          <w:lang w:val="en-CA"/>
        </w:rPr>
        <w:t xml:space="preserve">evidence to confirm that these are the same individuals identified by the author as her brother’s murderers. Moreover, there is no evidence that the </w:t>
      </w:r>
      <w:proofErr w:type="spellStart"/>
      <w:r w:rsidR="003128FE">
        <w:rPr>
          <w:lang w:val="en-CA"/>
        </w:rPr>
        <w:t>Awami</w:t>
      </w:r>
      <w:proofErr w:type="spellEnd"/>
      <w:r w:rsidR="003128FE">
        <w:rPr>
          <w:lang w:val="en-CA"/>
        </w:rPr>
        <w:t xml:space="preserve"> League</w:t>
      </w:r>
      <w:r w:rsidR="003128FE" w:rsidRPr="00463B9A">
        <w:rPr>
          <w:lang w:val="en-CA"/>
        </w:rPr>
        <w:t xml:space="preserve"> </w:t>
      </w:r>
      <w:r w:rsidR="003128FE">
        <w:rPr>
          <w:lang w:val="en-CA"/>
        </w:rPr>
        <w:t>G</w:t>
      </w:r>
      <w:r w:rsidR="00F73665" w:rsidRPr="00463B9A">
        <w:rPr>
          <w:lang w:val="en-CA"/>
        </w:rPr>
        <w:t xml:space="preserve">overnment </w:t>
      </w:r>
      <w:r w:rsidR="00272A6A">
        <w:rPr>
          <w:lang w:val="en-CA"/>
        </w:rPr>
        <w:t xml:space="preserve">has </w:t>
      </w:r>
      <w:r w:rsidR="00F73665" w:rsidRPr="00463B9A">
        <w:rPr>
          <w:lang w:val="en-CA"/>
        </w:rPr>
        <w:t xml:space="preserve">interfered or is interfering in the murder case. </w:t>
      </w:r>
    </w:p>
    <w:p w14:paraId="25201FC8" w14:textId="3328B6D7" w:rsidR="00F73665" w:rsidRPr="00463B9A" w:rsidRDefault="0079639C" w:rsidP="001B04D5">
      <w:pPr>
        <w:pStyle w:val="SingleTxtG"/>
        <w:rPr>
          <w:lang w:val="en-CA"/>
        </w:rPr>
      </w:pPr>
      <w:r w:rsidRPr="00463B9A">
        <w:rPr>
          <w:lang w:val="en-CA"/>
        </w:rPr>
        <w:t>6</w:t>
      </w:r>
      <w:r w:rsidR="002C02D2" w:rsidRPr="00463B9A">
        <w:rPr>
          <w:lang w:val="en-CA"/>
        </w:rPr>
        <w:t>.</w:t>
      </w:r>
      <w:r w:rsidR="0089371C" w:rsidRPr="00463B9A">
        <w:rPr>
          <w:lang w:val="en-CA"/>
        </w:rPr>
        <w:t>1</w:t>
      </w:r>
      <w:r w:rsidR="000A371D" w:rsidRPr="00463B9A">
        <w:rPr>
          <w:lang w:val="en-CA"/>
        </w:rPr>
        <w:t>6</w:t>
      </w:r>
      <w:r w:rsidR="002C02D2" w:rsidRPr="00463B9A">
        <w:rPr>
          <w:lang w:val="en-CA"/>
        </w:rPr>
        <w:tab/>
      </w:r>
      <w:r w:rsidR="001B04D5" w:rsidRPr="00463B9A">
        <w:rPr>
          <w:lang w:val="en-CA"/>
        </w:rPr>
        <w:t xml:space="preserve">The State party also considers that the author has not shown that she would not have an internal flight alternative in Bangladesh. The </w:t>
      </w:r>
      <w:r w:rsidR="00251A57">
        <w:rPr>
          <w:lang w:val="en-CA"/>
        </w:rPr>
        <w:t>Refugee Protection Division</w:t>
      </w:r>
      <w:r w:rsidR="001B04D5" w:rsidRPr="00463B9A">
        <w:rPr>
          <w:lang w:val="en-CA"/>
        </w:rPr>
        <w:t xml:space="preserve"> considered </w:t>
      </w:r>
      <w:r w:rsidR="001914E7" w:rsidRPr="00463B9A">
        <w:rPr>
          <w:lang w:val="en-CA"/>
        </w:rPr>
        <w:t>this issue</w:t>
      </w:r>
      <w:r w:rsidR="001B04D5" w:rsidRPr="00463B9A">
        <w:rPr>
          <w:lang w:val="en-CA"/>
        </w:rPr>
        <w:t xml:space="preserve"> when it noted that the author’s alleged persecutor, </w:t>
      </w:r>
      <w:r w:rsidR="004B7D02" w:rsidRPr="00463B9A">
        <w:rPr>
          <w:lang w:val="en-CA"/>
        </w:rPr>
        <w:t>S.</w:t>
      </w:r>
      <w:r w:rsidR="001B04D5" w:rsidRPr="00463B9A">
        <w:rPr>
          <w:lang w:val="en-CA"/>
        </w:rPr>
        <w:t xml:space="preserve">, was a police inspector in </w:t>
      </w:r>
      <w:proofErr w:type="spellStart"/>
      <w:r w:rsidR="001B04D5" w:rsidRPr="00463B9A">
        <w:rPr>
          <w:lang w:val="en-CA"/>
        </w:rPr>
        <w:t>Rajshahi</w:t>
      </w:r>
      <w:proofErr w:type="spellEnd"/>
      <w:r w:rsidR="001B04D5" w:rsidRPr="00463B9A">
        <w:rPr>
          <w:lang w:val="en-CA"/>
        </w:rPr>
        <w:t xml:space="preserve">, a city 250 kilometres from Dhaka. The </w:t>
      </w:r>
      <w:r w:rsidR="00251A57">
        <w:rPr>
          <w:lang w:val="en-CA"/>
        </w:rPr>
        <w:t>Division</w:t>
      </w:r>
      <w:r w:rsidR="001B04D5" w:rsidRPr="00463B9A">
        <w:rPr>
          <w:lang w:val="en-CA"/>
        </w:rPr>
        <w:t xml:space="preserve"> found that there was no evidence of any specific political connections on </w:t>
      </w:r>
      <w:r w:rsidR="004B7D02" w:rsidRPr="00463B9A">
        <w:rPr>
          <w:lang w:val="en-CA"/>
        </w:rPr>
        <w:t>S.’s</w:t>
      </w:r>
      <w:r w:rsidR="001B04D5" w:rsidRPr="00463B9A">
        <w:rPr>
          <w:lang w:val="en-CA"/>
        </w:rPr>
        <w:t xml:space="preserve"> part,</w:t>
      </w:r>
      <w:r w:rsidR="001B04D5" w:rsidRPr="00463B9A">
        <w:rPr>
          <w:vertAlign w:val="superscript"/>
          <w:lang w:val="en-CA"/>
        </w:rPr>
        <w:t xml:space="preserve"> </w:t>
      </w:r>
      <w:r w:rsidR="001B04D5" w:rsidRPr="00463B9A">
        <w:rPr>
          <w:lang w:val="en-CA"/>
        </w:rPr>
        <w:t xml:space="preserve">thereby implying that </w:t>
      </w:r>
      <w:r w:rsidR="004B7D02" w:rsidRPr="00463B9A">
        <w:rPr>
          <w:lang w:val="en-CA"/>
        </w:rPr>
        <w:t>S.</w:t>
      </w:r>
      <w:r w:rsidR="001B04D5" w:rsidRPr="00463B9A">
        <w:rPr>
          <w:lang w:val="en-CA"/>
        </w:rPr>
        <w:t xml:space="preserve"> had no influence beyond </w:t>
      </w:r>
      <w:proofErr w:type="spellStart"/>
      <w:r w:rsidR="001B04D5" w:rsidRPr="00463B9A">
        <w:rPr>
          <w:lang w:val="en-CA"/>
        </w:rPr>
        <w:t>Rajshahi</w:t>
      </w:r>
      <w:proofErr w:type="spellEnd"/>
      <w:r w:rsidR="001B04D5" w:rsidRPr="00463B9A">
        <w:rPr>
          <w:lang w:val="en-CA"/>
        </w:rPr>
        <w:t>. Th</w:t>
      </w:r>
      <w:r w:rsidR="00F73665" w:rsidRPr="00463B9A">
        <w:rPr>
          <w:lang w:val="en-CA"/>
        </w:rPr>
        <w:t xml:space="preserve">e author’s evidence confirms that </w:t>
      </w:r>
      <w:r w:rsidR="004B7D02" w:rsidRPr="00463B9A">
        <w:rPr>
          <w:lang w:val="en-CA"/>
        </w:rPr>
        <w:t>S.</w:t>
      </w:r>
      <w:r w:rsidR="00F73665" w:rsidRPr="00463B9A">
        <w:rPr>
          <w:lang w:val="en-CA"/>
        </w:rPr>
        <w:t xml:space="preserve"> has no influence. </w:t>
      </w:r>
      <w:r w:rsidR="0046029E" w:rsidRPr="00463B9A">
        <w:rPr>
          <w:lang w:val="en-CA"/>
        </w:rPr>
        <w:t>T</w:t>
      </w:r>
      <w:r w:rsidR="00F73665" w:rsidRPr="00463B9A">
        <w:rPr>
          <w:lang w:val="en-CA"/>
        </w:rPr>
        <w:t>he author’s husband, four of their five children and her mother have remained in Bangladesh.</w:t>
      </w:r>
      <w:r w:rsidR="001A10B7" w:rsidRPr="00463B9A">
        <w:rPr>
          <w:vertAlign w:val="superscript"/>
          <w:lang w:val="en-CA"/>
        </w:rPr>
        <w:t xml:space="preserve"> </w:t>
      </w:r>
      <w:r w:rsidR="00F73665" w:rsidRPr="00463B9A">
        <w:rPr>
          <w:lang w:val="en-CA"/>
        </w:rPr>
        <w:t xml:space="preserve">In addition, the author’s extended family, particularly her father’s side of the family, is large and many </w:t>
      </w:r>
      <w:r w:rsidR="00E372CB">
        <w:rPr>
          <w:lang w:val="en-CA"/>
        </w:rPr>
        <w:t xml:space="preserve">members </w:t>
      </w:r>
      <w:r w:rsidR="00F73665" w:rsidRPr="00463B9A">
        <w:rPr>
          <w:lang w:val="en-CA"/>
        </w:rPr>
        <w:t>continue to reside in Bangladesh, including numerous aunts, uncles and cousins.</w:t>
      </w:r>
      <w:r w:rsidR="00E20C09">
        <w:rPr>
          <w:vertAlign w:val="superscript"/>
          <w:lang w:val="en-CA"/>
        </w:rPr>
        <w:t xml:space="preserve"> </w:t>
      </w:r>
      <w:r w:rsidR="00F73665" w:rsidRPr="00463B9A">
        <w:rPr>
          <w:lang w:val="en-CA"/>
        </w:rPr>
        <w:t xml:space="preserve">Thus, it appears that there are many places in Bangladesh </w:t>
      </w:r>
      <w:r w:rsidR="00E372CB">
        <w:rPr>
          <w:lang w:val="en-CA"/>
        </w:rPr>
        <w:t>where</w:t>
      </w:r>
      <w:r w:rsidR="00F73665" w:rsidRPr="00463B9A">
        <w:rPr>
          <w:lang w:val="en-CA"/>
        </w:rPr>
        <w:t xml:space="preserve"> the author could safely reside. </w:t>
      </w:r>
    </w:p>
    <w:p w14:paraId="5C6FF427" w14:textId="2C21B5A7" w:rsidR="007C3D77" w:rsidRPr="00463B9A" w:rsidRDefault="0079639C" w:rsidP="007C3D77">
      <w:pPr>
        <w:pStyle w:val="SingleTxtG"/>
        <w:rPr>
          <w:lang w:val="en-CA"/>
        </w:rPr>
      </w:pPr>
      <w:r w:rsidRPr="00463B9A">
        <w:rPr>
          <w:lang w:val="en-CA"/>
        </w:rPr>
        <w:t>6</w:t>
      </w:r>
      <w:r w:rsidR="001B04D5" w:rsidRPr="00463B9A">
        <w:rPr>
          <w:lang w:val="en-CA"/>
        </w:rPr>
        <w:t>.</w:t>
      </w:r>
      <w:r w:rsidR="0089371C" w:rsidRPr="00463B9A">
        <w:rPr>
          <w:lang w:val="en-CA"/>
        </w:rPr>
        <w:t>1</w:t>
      </w:r>
      <w:r w:rsidR="000A371D" w:rsidRPr="00463B9A">
        <w:rPr>
          <w:lang w:val="en-CA"/>
        </w:rPr>
        <w:t>7</w:t>
      </w:r>
      <w:r w:rsidR="001B04D5" w:rsidRPr="00463B9A">
        <w:rPr>
          <w:lang w:val="en-CA"/>
        </w:rPr>
        <w:tab/>
      </w:r>
      <w:r w:rsidR="0046029E" w:rsidRPr="00463B9A">
        <w:rPr>
          <w:lang w:val="en-CA"/>
        </w:rPr>
        <w:t>T</w:t>
      </w:r>
      <w:r w:rsidR="00792382" w:rsidRPr="00463B9A">
        <w:rPr>
          <w:lang w:val="en-CA"/>
        </w:rPr>
        <w:t xml:space="preserve">he </w:t>
      </w:r>
      <w:r w:rsidR="00F73665" w:rsidRPr="00463B9A">
        <w:rPr>
          <w:lang w:val="en-CA"/>
        </w:rPr>
        <w:t xml:space="preserve">author’s allegations of persecution concern the actions of a private individual, </w:t>
      </w:r>
      <w:r w:rsidR="00EB6120" w:rsidRPr="00463B9A">
        <w:rPr>
          <w:lang w:val="en-CA"/>
        </w:rPr>
        <w:t>S.</w:t>
      </w:r>
      <w:r w:rsidR="00F73665" w:rsidRPr="00463B9A">
        <w:rPr>
          <w:lang w:val="en-CA"/>
        </w:rPr>
        <w:t xml:space="preserve">, and not </w:t>
      </w:r>
      <w:r w:rsidR="00E372CB">
        <w:rPr>
          <w:lang w:val="en-CA"/>
        </w:rPr>
        <w:t>S</w:t>
      </w:r>
      <w:r w:rsidR="00F73665" w:rsidRPr="00463B9A">
        <w:rPr>
          <w:lang w:val="en-CA"/>
        </w:rPr>
        <w:t xml:space="preserve">tate authorities. The </w:t>
      </w:r>
      <w:r w:rsidR="00251A57">
        <w:rPr>
          <w:lang w:val="en-CA"/>
        </w:rPr>
        <w:t>Refugee Protection Division</w:t>
      </w:r>
      <w:r w:rsidR="00F73665" w:rsidRPr="00463B9A">
        <w:rPr>
          <w:lang w:val="en-CA"/>
        </w:rPr>
        <w:t xml:space="preserve"> noted that </w:t>
      </w:r>
      <w:r w:rsidR="00E372CB">
        <w:rPr>
          <w:lang w:val="en-CA"/>
        </w:rPr>
        <w:t>S</w:t>
      </w:r>
      <w:r w:rsidR="00F73665" w:rsidRPr="00463B9A">
        <w:rPr>
          <w:lang w:val="en-CA"/>
        </w:rPr>
        <w:t>tate protection was available to the author, given that the police in Bangladesh had arrested and charged the three individua</w:t>
      </w:r>
      <w:r w:rsidR="004B7D02" w:rsidRPr="00463B9A">
        <w:rPr>
          <w:lang w:val="en-CA"/>
        </w:rPr>
        <w:t>ls responsible for I.’s murder</w:t>
      </w:r>
      <w:r w:rsidR="00F73665" w:rsidRPr="00463B9A">
        <w:rPr>
          <w:lang w:val="en-CA"/>
        </w:rPr>
        <w:t xml:space="preserve">. These actions were taken despite the fact that at the time of their arrests, </w:t>
      </w:r>
      <w:r w:rsidR="00553D5C">
        <w:rPr>
          <w:lang w:val="en-CA"/>
        </w:rPr>
        <w:t>K.S.</w:t>
      </w:r>
      <w:r w:rsidR="00F73665" w:rsidRPr="00463B9A">
        <w:rPr>
          <w:lang w:val="en-CA"/>
        </w:rPr>
        <w:t xml:space="preserve"> was an army </w:t>
      </w:r>
      <w:r w:rsidR="00E372CB">
        <w:rPr>
          <w:lang w:val="en-CA"/>
        </w:rPr>
        <w:t>c</w:t>
      </w:r>
      <w:r w:rsidR="00F73665" w:rsidRPr="00463B9A">
        <w:rPr>
          <w:lang w:val="en-CA"/>
        </w:rPr>
        <w:t xml:space="preserve">aptain, </w:t>
      </w:r>
      <w:r w:rsidR="00EB6120" w:rsidRPr="00463B9A">
        <w:rPr>
          <w:lang w:val="en-CA"/>
        </w:rPr>
        <w:t>P.</w:t>
      </w:r>
      <w:r w:rsidR="00F73665" w:rsidRPr="00463B9A">
        <w:rPr>
          <w:lang w:val="en-CA"/>
        </w:rPr>
        <w:t xml:space="preserve"> was a police inspector and </w:t>
      </w:r>
      <w:r w:rsidR="00EB6120" w:rsidRPr="00463B9A">
        <w:rPr>
          <w:lang w:val="en-CA"/>
        </w:rPr>
        <w:t>B.</w:t>
      </w:r>
      <w:r w:rsidR="00F73665" w:rsidRPr="00463B9A">
        <w:rPr>
          <w:lang w:val="en-CA"/>
        </w:rPr>
        <w:t xml:space="preserve"> had </w:t>
      </w:r>
      <w:r w:rsidR="00E372CB">
        <w:rPr>
          <w:lang w:val="en-CA"/>
        </w:rPr>
        <w:t>one</w:t>
      </w:r>
      <w:r w:rsidR="00E372CB" w:rsidRPr="00463B9A">
        <w:rPr>
          <w:lang w:val="en-CA"/>
        </w:rPr>
        <w:t xml:space="preserve"> </w:t>
      </w:r>
      <w:r w:rsidR="00F73665" w:rsidRPr="00463B9A">
        <w:rPr>
          <w:lang w:val="en-CA"/>
        </w:rPr>
        <w:t>brother who wa</w:t>
      </w:r>
      <w:r w:rsidR="00EB6120" w:rsidRPr="00463B9A">
        <w:rPr>
          <w:lang w:val="en-CA"/>
        </w:rPr>
        <w:t>s a police inspector (i.e.</w:t>
      </w:r>
      <w:r w:rsidR="00E372CB">
        <w:rPr>
          <w:lang w:val="en-CA"/>
        </w:rPr>
        <w:t>,</w:t>
      </w:r>
      <w:r w:rsidR="00EB6120" w:rsidRPr="00463B9A">
        <w:rPr>
          <w:lang w:val="en-CA"/>
        </w:rPr>
        <w:t xml:space="preserve"> S.</w:t>
      </w:r>
      <w:r w:rsidR="00F73665" w:rsidRPr="00463B9A">
        <w:rPr>
          <w:lang w:val="en-CA"/>
        </w:rPr>
        <w:t xml:space="preserve">) and another brother who was an army </w:t>
      </w:r>
      <w:r w:rsidR="00E372CB">
        <w:rPr>
          <w:lang w:val="en-CA"/>
        </w:rPr>
        <w:t>c</w:t>
      </w:r>
      <w:r w:rsidR="00F73665" w:rsidRPr="00463B9A">
        <w:rPr>
          <w:lang w:val="en-CA"/>
        </w:rPr>
        <w:t>aptain (i.e</w:t>
      </w:r>
      <w:r w:rsidR="00272A6A">
        <w:rPr>
          <w:lang w:val="en-CA"/>
        </w:rPr>
        <w:t>.,</w:t>
      </w:r>
      <w:r w:rsidR="000A7B8D">
        <w:rPr>
          <w:lang w:val="en-CA"/>
        </w:rPr>
        <w:t xml:space="preserve"> </w:t>
      </w:r>
      <w:r w:rsidR="00553D5C">
        <w:rPr>
          <w:lang w:val="en-CA"/>
        </w:rPr>
        <w:t>K.S.</w:t>
      </w:r>
      <w:r w:rsidR="00EB6120" w:rsidRPr="00463B9A">
        <w:rPr>
          <w:lang w:val="en-CA"/>
        </w:rPr>
        <w:t>)</w:t>
      </w:r>
      <w:r w:rsidR="007F6473" w:rsidRPr="00463B9A">
        <w:rPr>
          <w:lang w:val="en-CA"/>
        </w:rPr>
        <w:t>.</w:t>
      </w:r>
      <w:r w:rsidR="001A10B7" w:rsidRPr="00463B9A">
        <w:rPr>
          <w:vertAlign w:val="superscript"/>
          <w:lang w:val="en-CA"/>
        </w:rPr>
        <w:t xml:space="preserve"> </w:t>
      </w:r>
      <w:r w:rsidR="00F73665" w:rsidRPr="00463B9A">
        <w:rPr>
          <w:lang w:val="en-CA"/>
        </w:rPr>
        <w:t>As per the author’s communication, all three individuals were subsequently tried and convicted by a court</w:t>
      </w:r>
      <w:r w:rsidR="00E372CB">
        <w:rPr>
          <w:lang w:val="en-CA"/>
        </w:rPr>
        <w:t xml:space="preserve"> in </w:t>
      </w:r>
      <w:r w:rsidR="00E372CB" w:rsidRPr="00463B9A">
        <w:rPr>
          <w:lang w:val="en-CA"/>
        </w:rPr>
        <w:t>Bangladesh</w:t>
      </w:r>
      <w:r w:rsidR="00F73665" w:rsidRPr="00463B9A">
        <w:rPr>
          <w:lang w:val="en-CA"/>
        </w:rPr>
        <w:t>.</w:t>
      </w:r>
      <w:r w:rsidR="001A10B7" w:rsidRPr="00463B9A">
        <w:rPr>
          <w:vertAlign w:val="superscript"/>
          <w:lang w:val="en-CA"/>
        </w:rPr>
        <w:t xml:space="preserve"> </w:t>
      </w:r>
      <w:r w:rsidR="00F73665" w:rsidRPr="00463B9A">
        <w:rPr>
          <w:lang w:val="en-CA"/>
        </w:rPr>
        <w:t xml:space="preserve">The </w:t>
      </w:r>
      <w:r w:rsidR="00251A57">
        <w:rPr>
          <w:lang w:val="en-CA"/>
        </w:rPr>
        <w:t>Division</w:t>
      </w:r>
      <w:r w:rsidR="00F73665" w:rsidRPr="00463B9A">
        <w:rPr>
          <w:lang w:val="en-CA"/>
        </w:rPr>
        <w:t xml:space="preserve"> further noted the availability of </w:t>
      </w:r>
      <w:r w:rsidR="00E372CB">
        <w:rPr>
          <w:lang w:val="en-CA"/>
        </w:rPr>
        <w:t>S</w:t>
      </w:r>
      <w:r w:rsidR="00F73665" w:rsidRPr="00463B9A">
        <w:rPr>
          <w:lang w:val="en-CA"/>
        </w:rPr>
        <w:t xml:space="preserve">tate protection after considering </w:t>
      </w:r>
      <w:r w:rsidR="00386C08" w:rsidRPr="00463B9A">
        <w:rPr>
          <w:lang w:val="en-CA"/>
        </w:rPr>
        <w:t>L.’s testimony during</w:t>
      </w:r>
      <w:r w:rsidR="00F73665" w:rsidRPr="00463B9A">
        <w:rPr>
          <w:lang w:val="en-CA"/>
        </w:rPr>
        <w:t xml:space="preserve"> </w:t>
      </w:r>
      <w:r w:rsidR="00EB6120" w:rsidRPr="00463B9A">
        <w:rPr>
          <w:lang w:val="en-CA"/>
        </w:rPr>
        <w:t>H.’s</w:t>
      </w:r>
      <w:r w:rsidR="00F73665" w:rsidRPr="00463B9A">
        <w:rPr>
          <w:lang w:val="en-CA"/>
        </w:rPr>
        <w:t xml:space="preserve"> asylum appeal </w:t>
      </w:r>
      <w:r w:rsidR="00386C08" w:rsidRPr="00463B9A">
        <w:rPr>
          <w:lang w:val="en-CA"/>
        </w:rPr>
        <w:t xml:space="preserve">proceedings </w:t>
      </w:r>
      <w:r w:rsidR="00F73665" w:rsidRPr="00463B9A">
        <w:rPr>
          <w:lang w:val="en-CA"/>
        </w:rPr>
        <w:t xml:space="preserve">(to the effect that </w:t>
      </w:r>
      <w:r w:rsidR="00EB6120" w:rsidRPr="00463B9A">
        <w:rPr>
          <w:lang w:val="en-CA"/>
        </w:rPr>
        <w:t>S.</w:t>
      </w:r>
      <w:r w:rsidR="00F73665" w:rsidRPr="00463B9A">
        <w:rPr>
          <w:lang w:val="en-CA"/>
        </w:rPr>
        <w:t xml:space="preserve"> </w:t>
      </w:r>
      <w:r w:rsidR="00386C08" w:rsidRPr="00463B9A">
        <w:rPr>
          <w:lang w:val="en-CA"/>
        </w:rPr>
        <w:t xml:space="preserve">had </w:t>
      </w:r>
      <w:r w:rsidR="00F73665" w:rsidRPr="00463B9A">
        <w:rPr>
          <w:lang w:val="en-CA"/>
        </w:rPr>
        <w:t xml:space="preserve">engaged in clandestine harassment of </w:t>
      </w:r>
      <w:r w:rsidR="00EB6120" w:rsidRPr="00463B9A">
        <w:rPr>
          <w:lang w:val="en-CA"/>
        </w:rPr>
        <w:t>L.</w:t>
      </w:r>
      <w:r w:rsidR="00F73665" w:rsidRPr="00463B9A">
        <w:rPr>
          <w:lang w:val="en-CA"/>
        </w:rPr>
        <w:t xml:space="preserve"> in order to avoid detection)</w:t>
      </w:r>
      <w:r w:rsidR="00652208" w:rsidRPr="00463B9A">
        <w:rPr>
          <w:lang w:val="en-CA"/>
        </w:rPr>
        <w:t xml:space="preserve">. The </w:t>
      </w:r>
      <w:r w:rsidR="00251A57">
        <w:rPr>
          <w:lang w:val="en-CA"/>
        </w:rPr>
        <w:t>Division</w:t>
      </w:r>
      <w:r w:rsidR="00652208" w:rsidRPr="00463B9A">
        <w:rPr>
          <w:lang w:val="en-CA"/>
        </w:rPr>
        <w:t xml:space="preserve"> considered that this testimony </w:t>
      </w:r>
      <w:r w:rsidR="00F73665" w:rsidRPr="00463B9A">
        <w:rPr>
          <w:lang w:val="en-CA"/>
        </w:rPr>
        <w:t xml:space="preserve">weakened the author’s claims of a lack of </w:t>
      </w:r>
      <w:r w:rsidR="00E372CB">
        <w:rPr>
          <w:lang w:val="en-CA"/>
        </w:rPr>
        <w:t>S</w:t>
      </w:r>
      <w:r w:rsidR="00F73665" w:rsidRPr="00463B9A">
        <w:rPr>
          <w:lang w:val="en-CA"/>
        </w:rPr>
        <w:t xml:space="preserve">tate protection “because the implication of </w:t>
      </w:r>
      <w:r w:rsidR="00EB6120" w:rsidRPr="00463B9A">
        <w:rPr>
          <w:lang w:val="en-CA"/>
        </w:rPr>
        <w:t>S.</w:t>
      </w:r>
      <w:r w:rsidR="00F73665" w:rsidRPr="00463B9A">
        <w:rPr>
          <w:lang w:val="en-CA"/>
        </w:rPr>
        <w:t xml:space="preserve"> keeping a low profile is that there exists </w:t>
      </w:r>
      <w:r w:rsidR="00FE5FD2">
        <w:rPr>
          <w:lang w:val="en-CA"/>
        </w:rPr>
        <w:t>S</w:t>
      </w:r>
      <w:r w:rsidR="00F73665" w:rsidRPr="00463B9A">
        <w:rPr>
          <w:lang w:val="en-CA"/>
        </w:rPr>
        <w:t>tate protection”</w:t>
      </w:r>
      <w:r w:rsidR="000A7B8D">
        <w:rPr>
          <w:lang w:val="en-CA"/>
        </w:rPr>
        <w:t>.</w:t>
      </w:r>
      <w:r w:rsidR="007C3D77" w:rsidRPr="00463B9A">
        <w:rPr>
          <w:vertAlign w:val="superscript"/>
          <w:lang w:val="en-CA"/>
        </w:rPr>
        <w:t xml:space="preserve"> </w:t>
      </w:r>
      <w:r w:rsidR="007C3D77" w:rsidRPr="00463B9A">
        <w:rPr>
          <w:lang w:val="en-CA"/>
        </w:rPr>
        <w:t>The author has not presented evidence demonstrating</w:t>
      </w:r>
      <w:r w:rsidR="00F73665" w:rsidRPr="00463B9A">
        <w:rPr>
          <w:lang w:val="en-CA"/>
        </w:rPr>
        <w:t xml:space="preserve"> that any of </w:t>
      </w:r>
      <w:r w:rsidR="00EB6120" w:rsidRPr="00463B9A">
        <w:rPr>
          <w:lang w:val="en-CA"/>
        </w:rPr>
        <w:t>S.’s</w:t>
      </w:r>
      <w:r w:rsidR="007C3D77" w:rsidRPr="00463B9A">
        <w:rPr>
          <w:lang w:val="en-CA"/>
        </w:rPr>
        <w:t xml:space="preserve"> threats</w:t>
      </w:r>
      <w:r w:rsidR="00F73665" w:rsidRPr="00463B9A">
        <w:rPr>
          <w:lang w:val="en-CA"/>
        </w:rPr>
        <w:t xml:space="preserve"> were in any</w:t>
      </w:r>
      <w:r w:rsidR="007C3D77" w:rsidRPr="00463B9A">
        <w:rPr>
          <w:lang w:val="en-CA"/>
        </w:rPr>
        <w:t xml:space="preserve"> </w:t>
      </w:r>
      <w:r w:rsidR="00F73665" w:rsidRPr="00463B9A">
        <w:rPr>
          <w:lang w:val="en-CA"/>
        </w:rPr>
        <w:t xml:space="preserve">way sanctioned by the </w:t>
      </w:r>
      <w:r w:rsidR="00E372CB">
        <w:rPr>
          <w:lang w:val="en-CA"/>
        </w:rPr>
        <w:t>S</w:t>
      </w:r>
      <w:r w:rsidR="00F73665" w:rsidRPr="00463B9A">
        <w:rPr>
          <w:lang w:val="en-CA"/>
        </w:rPr>
        <w:t xml:space="preserve">tate. Indeed, given </w:t>
      </w:r>
      <w:r w:rsidR="009E0905" w:rsidRPr="00463B9A">
        <w:rPr>
          <w:lang w:val="en-CA"/>
        </w:rPr>
        <w:t>L.</w:t>
      </w:r>
      <w:r w:rsidR="00F73665" w:rsidRPr="00463B9A">
        <w:rPr>
          <w:lang w:val="en-CA"/>
        </w:rPr>
        <w:t xml:space="preserve">’s testimony at </w:t>
      </w:r>
      <w:r w:rsidR="00EB6120" w:rsidRPr="00463B9A">
        <w:rPr>
          <w:lang w:val="en-CA"/>
        </w:rPr>
        <w:t>H.’s</w:t>
      </w:r>
      <w:r w:rsidR="00F73665" w:rsidRPr="00463B9A">
        <w:rPr>
          <w:lang w:val="en-CA"/>
        </w:rPr>
        <w:t xml:space="preserve"> appeal</w:t>
      </w:r>
      <w:r w:rsidR="00272A6A">
        <w:rPr>
          <w:lang w:val="en-CA"/>
        </w:rPr>
        <w:t xml:space="preserve"> hearing</w:t>
      </w:r>
      <w:r w:rsidR="00F73665" w:rsidRPr="00463B9A">
        <w:rPr>
          <w:lang w:val="en-CA"/>
        </w:rPr>
        <w:t xml:space="preserve">, the logical inference is that the </w:t>
      </w:r>
      <w:r w:rsidR="0033721E" w:rsidRPr="00463B9A">
        <w:rPr>
          <w:lang w:val="en-CA"/>
        </w:rPr>
        <w:t>S</w:t>
      </w:r>
      <w:r w:rsidR="00F73665" w:rsidRPr="00463B9A">
        <w:rPr>
          <w:lang w:val="en-CA"/>
        </w:rPr>
        <w:t xml:space="preserve">tate did not sanction </w:t>
      </w:r>
      <w:r w:rsidR="00EB6120" w:rsidRPr="00463B9A">
        <w:rPr>
          <w:lang w:val="en-CA"/>
        </w:rPr>
        <w:t>S.’s</w:t>
      </w:r>
      <w:r w:rsidR="00F73665" w:rsidRPr="00463B9A">
        <w:rPr>
          <w:lang w:val="en-CA"/>
        </w:rPr>
        <w:t xml:space="preserve"> alleged behaviour.</w:t>
      </w:r>
      <w:r w:rsidR="007C3D77" w:rsidRPr="00463B9A">
        <w:rPr>
          <w:lang w:val="en-CA"/>
        </w:rPr>
        <w:t xml:space="preserve"> </w:t>
      </w:r>
      <w:r w:rsidR="00272A6A">
        <w:rPr>
          <w:lang w:val="en-CA"/>
        </w:rPr>
        <w:t>I</w:t>
      </w:r>
      <w:r w:rsidR="00272A6A" w:rsidRPr="00463B9A">
        <w:rPr>
          <w:lang w:val="en-CA"/>
        </w:rPr>
        <w:t xml:space="preserve">n the light of the </w:t>
      </w:r>
      <w:r w:rsidR="00272A6A">
        <w:rPr>
          <w:lang w:val="en-CA"/>
        </w:rPr>
        <w:t>foregoing,</w:t>
      </w:r>
      <w:r w:rsidR="00272A6A" w:rsidRPr="00463B9A">
        <w:rPr>
          <w:lang w:val="en-CA"/>
        </w:rPr>
        <w:t xml:space="preserve"> </w:t>
      </w:r>
      <w:r w:rsidR="00272A6A">
        <w:rPr>
          <w:lang w:val="en-CA"/>
        </w:rPr>
        <w:t>t</w:t>
      </w:r>
      <w:r w:rsidR="007C3D77" w:rsidRPr="00463B9A">
        <w:rPr>
          <w:lang w:val="en-CA"/>
        </w:rPr>
        <w:t>he State party concludes that the author has not established that her rights under articles 6 or 7 would be violated should she be returned to Bangladesh.</w:t>
      </w:r>
    </w:p>
    <w:p w14:paraId="4DF6545C" w14:textId="24429C1D" w:rsidR="00A97A3D" w:rsidRPr="00463B9A" w:rsidRDefault="0079639C" w:rsidP="00A97A3D">
      <w:pPr>
        <w:pStyle w:val="SingleTxtG"/>
        <w:rPr>
          <w:lang w:val="en-CA"/>
        </w:rPr>
      </w:pPr>
      <w:r w:rsidRPr="00463B9A">
        <w:rPr>
          <w:lang w:val="en-CA"/>
        </w:rPr>
        <w:t>6</w:t>
      </w:r>
      <w:r w:rsidR="007C3D77" w:rsidRPr="00463B9A">
        <w:rPr>
          <w:lang w:val="en-CA"/>
        </w:rPr>
        <w:t>.</w:t>
      </w:r>
      <w:r w:rsidR="0089371C" w:rsidRPr="00463B9A">
        <w:rPr>
          <w:lang w:val="en-CA"/>
        </w:rPr>
        <w:t>1</w:t>
      </w:r>
      <w:r w:rsidR="000A371D" w:rsidRPr="00463B9A">
        <w:rPr>
          <w:lang w:val="en-CA"/>
        </w:rPr>
        <w:t>8</w:t>
      </w:r>
      <w:r w:rsidR="007C3D77" w:rsidRPr="00463B9A">
        <w:rPr>
          <w:lang w:val="en-CA"/>
        </w:rPr>
        <w:tab/>
        <w:t xml:space="preserve">The State party further submits that the author’s claims under articles 9 (1) and 26 are inadmissible </w:t>
      </w:r>
      <w:proofErr w:type="spellStart"/>
      <w:r w:rsidR="007C3D77" w:rsidRPr="00463B9A">
        <w:rPr>
          <w:i/>
          <w:lang w:val="en-CA"/>
        </w:rPr>
        <w:t>ratione</w:t>
      </w:r>
      <w:proofErr w:type="spellEnd"/>
      <w:r w:rsidR="007C3D77" w:rsidRPr="00463B9A">
        <w:rPr>
          <w:i/>
          <w:lang w:val="en-CA"/>
        </w:rPr>
        <w:t xml:space="preserve"> </w:t>
      </w:r>
      <w:proofErr w:type="spellStart"/>
      <w:r w:rsidR="007C3D77" w:rsidRPr="00FE5FD2">
        <w:rPr>
          <w:i/>
          <w:lang w:val="en-CA"/>
        </w:rPr>
        <w:t>materia</w:t>
      </w:r>
      <w:r w:rsidR="00453A7B" w:rsidRPr="00FE5FD2">
        <w:rPr>
          <w:i/>
          <w:lang w:val="en-CA"/>
        </w:rPr>
        <w:t>e</w:t>
      </w:r>
      <w:proofErr w:type="spellEnd"/>
      <w:r w:rsidR="00272A6A" w:rsidRPr="003826E8">
        <w:rPr>
          <w:iCs/>
          <w:lang w:val="en-CA"/>
        </w:rPr>
        <w:t>,</w:t>
      </w:r>
      <w:r w:rsidR="007C3D77" w:rsidRPr="00463B9A">
        <w:rPr>
          <w:lang w:val="en-CA"/>
        </w:rPr>
        <w:t xml:space="preserve"> because </w:t>
      </w:r>
      <w:r w:rsidR="0046029E" w:rsidRPr="00463B9A">
        <w:rPr>
          <w:lang w:val="en-CA"/>
        </w:rPr>
        <w:t>these articles</w:t>
      </w:r>
      <w:r w:rsidR="007C3D77" w:rsidRPr="00463B9A">
        <w:rPr>
          <w:lang w:val="en-CA"/>
        </w:rPr>
        <w:t xml:space="preserve"> do not hav</w:t>
      </w:r>
      <w:r w:rsidR="007E15D1" w:rsidRPr="00463B9A">
        <w:rPr>
          <w:lang w:val="en-CA"/>
        </w:rPr>
        <w:t>e e</w:t>
      </w:r>
      <w:r w:rsidR="00684039" w:rsidRPr="00463B9A">
        <w:rPr>
          <w:lang w:val="en-CA"/>
        </w:rPr>
        <w:t>xtraterritorial application,</w:t>
      </w:r>
      <w:r w:rsidR="007E15D1" w:rsidRPr="00463B9A">
        <w:rPr>
          <w:lang w:val="en-CA"/>
        </w:rPr>
        <w:t xml:space="preserve"> </w:t>
      </w:r>
      <w:r w:rsidR="00684039" w:rsidRPr="00463B9A">
        <w:rPr>
          <w:lang w:val="en-CA"/>
        </w:rPr>
        <w:t>and are</w:t>
      </w:r>
      <w:r w:rsidR="007E15D1" w:rsidRPr="00463B9A">
        <w:rPr>
          <w:lang w:val="en-CA"/>
        </w:rPr>
        <w:t xml:space="preserve"> without merit in the light of the foregoing. </w:t>
      </w:r>
    </w:p>
    <w:p w14:paraId="7E0F1F3D" w14:textId="49402118" w:rsidR="008072C8" w:rsidRPr="00463B9A" w:rsidRDefault="0079639C" w:rsidP="00A97A3D">
      <w:pPr>
        <w:pStyle w:val="SingleTxtG"/>
        <w:rPr>
          <w:lang w:val="en-US"/>
        </w:rPr>
      </w:pPr>
      <w:r w:rsidRPr="00463B9A">
        <w:rPr>
          <w:lang w:val="en-CA"/>
        </w:rPr>
        <w:lastRenderedPageBreak/>
        <w:t>6</w:t>
      </w:r>
      <w:r w:rsidR="007C3D77" w:rsidRPr="00463B9A">
        <w:rPr>
          <w:lang w:val="en-CA"/>
        </w:rPr>
        <w:t>.</w:t>
      </w:r>
      <w:r w:rsidR="000A371D" w:rsidRPr="00463B9A">
        <w:rPr>
          <w:lang w:val="en-CA"/>
        </w:rPr>
        <w:t>19</w:t>
      </w:r>
      <w:r w:rsidR="007C3D77" w:rsidRPr="00463B9A">
        <w:rPr>
          <w:lang w:val="en-CA"/>
        </w:rPr>
        <w:tab/>
      </w:r>
      <w:r w:rsidR="00A97A3D" w:rsidRPr="00463B9A">
        <w:rPr>
          <w:lang w:val="en-CA"/>
        </w:rPr>
        <w:t xml:space="preserve">The State party </w:t>
      </w:r>
      <w:r w:rsidR="00684039" w:rsidRPr="00463B9A">
        <w:rPr>
          <w:lang w:val="en-CA"/>
        </w:rPr>
        <w:t xml:space="preserve">also </w:t>
      </w:r>
      <w:r w:rsidR="00A97A3D" w:rsidRPr="00463B9A">
        <w:rPr>
          <w:lang w:val="en-CA"/>
        </w:rPr>
        <w:t>notes the author’s claim that she “has never been afforded a fair opportunity to contest the merits of her negative [</w:t>
      </w:r>
      <w:r w:rsidR="00251A57">
        <w:rPr>
          <w:lang w:val="en-CA"/>
        </w:rPr>
        <w:t>Refugee Protection Division</w:t>
      </w:r>
      <w:r w:rsidR="00A97A3D" w:rsidRPr="00463B9A">
        <w:rPr>
          <w:lang w:val="en-CA"/>
        </w:rPr>
        <w:t xml:space="preserve">] decision” and her criticism of the Canadian immigration and protection system. The State party considers that it is not within the scope of review of the Committee to consider the Canadian refugee protection system in general, but only to examine whether, in the present case, </w:t>
      </w:r>
      <w:r w:rsidR="0033721E" w:rsidRPr="00463B9A">
        <w:rPr>
          <w:lang w:val="en-CA"/>
        </w:rPr>
        <w:t>the State party</w:t>
      </w:r>
      <w:r w:rsidR="00A97A3D" w:rsidRPr="00463B9A">
        <w:rPr>
          <w:lang w:val="en-CA"/>
        </w:rPr>
        <w:t xml:space="preserve"> complied with its obligations under the </w:t>
      </w:r>
      <w:r w:rsidR="00A97A3D" w:rsidRPr="00463B9A">
        <w:rPr>
          <w:iCs/>
          <w:lang w:val="en-CA"/>
        </w:rPr>
        <w:t>Covenant</w:t>
      </w:r>
      <w:r w:rsidR="00A97A3D" w:rsidRPr="00463B9A">
        <w:rPr>
          <w:lang w:val="en-CA"/>
        </w:rPr>
        <w:t>. Moreov</w:t>
      </w:r>
      <w:r w:rsidR="00684039" w:rsidRPr="00463B9A">
        <w:rPr>
          <w:lang w:val="en-CA"/>
        </w:rPr>
        <w:t>er, her criticisms are not valid, for several reasons</w:t>
      </w:r>
      <w:r w:rsidR="00A97A3D" w:rsidRPr="00463B9A">
        <w:rPr>
          <w:lang w:val="en-CA"/>
        </w:rPr>
        <w:t xml:space="preserve">. First, the </w:t>
      </w:r>
      <w:r w:rsidR="00D04044" w:rsidRPr="00463B9A">
        <w:rPr>
          <w:lang w:val="en-CA"/>
        </w:rPr>
        <w:t xml:space="preserve">leave requirement has been deemed constitutional by </w:t>
      </w:r>
      <w:r w:rsidR="0033721E" w:rsidRPr="00463B9A">
        <w:rPr>
          <w:lang w:val="en-US"/>
        </w:rPr>
        <w:t xml:space="preserve">the </w:t>
      </w:r>
      <w:r w:rsidR="00A97A3D" w:rsidRPr="00463B9A">
        <w:rPr>
          <w:lang w:val="en-US"/>
        </w:rPr>
        <w:t>Federal Court of Appeal</w:t>
      </w:r>
      <w:r w:rsidR="00E372CB">
        <w:rPr>
          <w:lang w:val="en-US"/>
        </w:rPr>
        <w:t xml:space="preserve"> of Canada</w:t>
      </w:r>
      <w:r w:rsidR="00D04044" w:rsidRPr="00463B9A">
        <w:rPr>
          <w:lang w:val="en-US"/>
        </w:rPr>
        <w:t>.</w:t>
      </w:r>
      <w:r w:rsidR="00C76C9A" w:rsidRPr="00463B9A">
        <w:rPr>
          <w:vertAlign w:val="superscript"/>
          <w:lang w:val="en-US"/>
        </w:rPr>
        <w:t xml:space="preserve"> </w:t>
      </w:r>
      <w:r w:rsidR="002B640D" w:rsidRPr="00463B9A">
        <w:rPr>
          <w:lang w:val="en-CA"/>
        </w:rPr>
        <w:t>An</w:t>
      </w:r>
      <w:r w:rsidR="00A97A3D" w:rsidRPr="00463B9A">
        <w:rPr>
          <w:lang w:val="en-CA"/>
        </w:rPr>
        <w:t xml:space="preserve"> applicant must show that there is a “fairly arguable case” or a “serious question to be determined” by way of judicial review</w:t>
      </w:r>
      <w:r w:rsidR="002B640D" w:rsidRPr="00463B9A">
        <w:rPr>
          <w:lang w:val="en-US"/>
        </w:rPr>
        <w:t xml:space="preserve">. </w:t>
      </w:r>
      <w:r w:rsidR="00A97A3D" w:rsidRPr="00463B9A">
        <w:rPr>
          <w:lang w:val="en-US"/>
        </w:rPr>
        <w:t xml:space="preserve">Leave applications are thoroughly reviewed by a judge of the Federal Court on the basis of written submissions from both the author and the </w:t>
      </w:r>
      <w:r w:rsidR="00E372CB">
        <w:rPr>
          <w:lang w:val="en-US"/>
        </w:rPr>
        <w:t>G</w:t>
      </w:r>
      <w:r w:rsidR="00A97A3D" w:rsidRPr="00463B9A">
        <w:rPr>
          <w:lang w:val="en-US"/>
        </w:rPr>
        <w:t xml:space="preserve">overnment. </w:t>
      </w:r>
    </w:p>
    <w:p w14:paraId="252E74DA" w14:textId="7E4965BC" w:rsidR="00F73665" w:rsidRPr="00463B9A" w:rsidRDefault="0079639C" w:rsidP="00326C21">
      <w:pPr>
        <w:pStyle w:val="SingleTxtG"/>
        <w:rPr>
          <w:lang w:val="en-CA"/>
        </w:rPr>
      </w:pPr>
      <w:r w:rsidRPr="00463B9A">
        <w:rPr>
          <w:lang w:val="en-US"/>
        </w:rPr>
        <w:t>6</w:t>
      </w:r>
      <w:r w:rsidR="008072C8" w:rsidRPr="00463B9A">
        <w:rPr>
          <w:lang w:val="en-US"/>
        </w:rPr>
        <w:t>.2</w:t>
      </w:r>
      <w:r w:rsidR="000A371D" w:rsidRPr="00463B9A">
        <w:rPr>
          <w:lang w:val="en-US"/>
        </w:rPr>
        <w:t>0</w:t>
      </w:r>
      <w:r w:rsidR="008072C8" w:rsidRPr="00463B9A">
        <w:rPr>
          <w:lang w:val="en-US"/>
        </w:rPr>
        <w:tab/>
      </w:r>
      <w:r w:rsidR="00A97A3D" w:rsidRPr="00463B9A">
        <w:rPr>
          <w:lang w:val="en-US"/>
        </w:rPr>
        <w:t>Second, t</w:t>
      </w:r>
      <w:r w:rsidR="00F73665" w:rsidRPr="00463B9A">
        <w:rPr>
          <w:lang w:val="en-CA"/>
        </w:rPr>
        <w:t>he author’s complaint that leave applications are only granted in 10</w:t>
      </w:r>
      <w:r w:rsidR="00E372CB">
        <w:rPr>
          <w:lang w:val="en-CA"/>
        </w:rPr>
        <w:t xml:space="preserve"> per cent</w:t>
      </w:r>
      <w:r w:rsidR="00F73665" w:rsidRPr="00463B9A">
        <w:rPr>
          <w:lang w:val="en-CA"/>
        </w:rPr>
        <w:t xml:space="preserve"> of cases is based on statistics from 2006 compiled by the Canadian Council for Refugees.</w:t>
      </w:r>
      <w:r w:rsidR="00C76C9A" w:rsidRPr="003826E8">
        <w:rPr>
          <w:lang w:val="en-CA"/>
        </w:rPr>
        <w:t xml:space="preserve"> </w:t>
      </w:r>
      <w:r w:rsidR="008072C8" w:rsidRPr="00463B9A">
        <w:rPr>
          <w:lang w:val="en-CA"/>
        </w:rPr>
        <w:t>T</w:t>
      </w:r>
      <w:r w:rsidR="00F73665" w:rsidRPr="00463B9A">
        <w:rPr>
          <w:lang w:val="en-CA"/>
        </w:rPr>
        <w:t xml:space="preserve">he statistics compiled by the Federal Court itself, using </w:t>
      </w:r>
      <w:r w:rsidR="008072C8" w:rsidRPr="00463B9A">
        <w:rPr>
          <w:lang w:val="en-CA"/>
        </w:rPr>
        <w:t>data for the 2013 calendar year,</w:t>
      </w:r>
      <w:r w:rsidR="00E20C09">
        <w:rPr>
          <w:vertAlign w:val="superscript"/>
          <w:lang w:val="en-CA"/>
        </w:rPr>
        <w:t xml:space="preserve"> </w:t>
      </w:r>
      <w:r w:rsidR="008072C8" w:rsidRPr="00463B9A">
        <w:rPr>
          <w:lang w:val="en-CA"/>
        </w:rPr>
        <w:t>indicate that o</w:t>
      </w:r>
      <w:r w:rsidR="00F73665" w:rsidRPr="00463B9A">
        <w:rPr>
          <w:lang w:val="en-CA"/>
        </w:rPr>
        <w:t>ut of 5</w:t>
      </w:r>
      <w:r w:rsidR="00E50765" w:rsidRPr="00463B9A">
        <w:rPr>
          <w:lang w:val="en-CA"/>
        </w:rPr>
        <w:t>,</w:t>
      </w:r>
      <w:r w:rsidR="00F73665" w:rsidRPr="00463B9A">
        <w:rPr>
          <w:lang w:val="en-CA"/>
        </w:rPr>
        <w:t>496 applications for leave for judicial review in the refugee context that were decided in that period, 685 applications were granted. In other words, the grant rate was 12.5</w:t>
      </w:r>
      <w:r w:rsidR="00E372CB">
        <w:rPr>
          <w:lang w:val="en-CA"/>
        </w:rPr>
        <w:t xml:space="preserve"> per cent</w:t>
      </w:r>
      <w:r w:rsidR="00F73665" w:rsidRPr="00463B9A">
        <w:rPr>
          <w:lang w:val="en-CA"/>
        </w:rPr>
        <w:t xml:space="preserve">. These statistics are not indicative of a lack of vigilance by the Federal Court but rather of a focus of its resources, which are not unlimited, </w:t>
      </w:r>
      <w:r w:rsidR="00E372CB">
        <w:rPr>
          <w:lang w:val="en-CA"/>
        </w:rPr>
        <w:t>on</w:t>
      </w:r>
      <w:r w:rsidR="00E372CB" w:rsidRPr="00463B9A">
        <w:rPr>
          <w:lang w:val="en-CA"/>
        </w:rPr>
        <w:t xml:space="preserve"> </w:t>
      </w:r>
      <w:r w:rsidR="00F73665" w:rsidRPr="00463B9A">
        <w:rPr>
          <w:lang w:val="en-CA"/>
        </w:rPr>
        <w:t xml:space="preserve">the decisions that satisfy the established test for leave. This triage of cases is made necessary by the high volume of leave applications filed each year. </w:t>
      </w:r>
    </w:p>
    <w:p w14:paraId="02459542" w14:textId="469139A0" w:rsidR="00F73665" w:rsidRPr="00463B9A" w:rsidRDefault="0079639C" w:rsidP="00D04044">
      <w:pPr>
        <w:pStyle w:val="SingleTxtG"/>
        <w:rPr>
          <w:lang w:val="en-CA"/>
        </w:rPr>
      </w:pPr>
      <w:r w:rsidRPr="00463B9A">
        <w:rPr>
          <w:lang w:val="en-CA"/>
        </w:rPr>
        <w:t>6</w:t>
      </w:r>
      <w:r w:rsidR="00326C21" w:rsidRPr="00463B9A">
        <w:rPr>
          <w:lang w:val="en-CA"/>
        </w:rPr>
        <w:t>.2</w:t>
      </w:r>
      <w:r w:rsidR="000A371D" w:rsidRPr="00463B9A">
        <w:rPr>
          <w:lang w:val="en-CA"/>
        </w:rPr>
        <w:t>1</w:t>
      </w:r>
      <w:r w:rsidR="00326C21" w:rsidRPr="00463B9A">
        <w:rPr>
          <w:lang w:val="en-CA"/>
        </w:rPr>
        <w:tab/>
        <w:t>T</w:t>
      </w:r>
      <w:r w:rsidR="00F73665" w:rsidRPr="00463B9A">
        <w:rPr>
          <w:lang w:val="en-CA"/>
        </w:rPr>
        <w:t xml:space="preserve">hird, the current system of judicial review by the Federal Court does provide for “judicial review of the merits” of a </w:t>
      </w:r>
      <w:r w:rsidR="00251A57">
        <w:rPr>
          <w:lang w:val="en-CA"/>
        </w:rPr>
        <w:t>Refugee Protection Division</w:t>
      </w:r>
      <w:r w:rsidR="00F73665" w:rsidRPr="00463B9A">
        <w:rPr>
          <w:lang w:val="en-CA"/>
        </w:rPr>
        <w:t xml:space="preserve"> decision, </w:t>
      </w:r>
      <w:r w:rsidR="00A05490" w:rsidRPr="00463B9A">
        <w:rPr>
          <w:lang w:val="en-CA"/>
        </w:rPr>
        <w:t>as</w:t>
      </w:r>
      <w:r w:rsidR="00F73665" w:rsidRPr="00463B9A">
        <w:rPr>
          <w:lang w:val="en-CA"/>
        </w:rPr>
        <w:t xml:space="preserve"> it allows for review of both the law and the facts. As in many legal systems around the world, judicial review in Canada is best characterized as judicial supervision of administrative decision-making. For reasons of expertise, accessibility and efficiency, a specialized administrative tribunal is often the best primary decision</w:t>
      </w:r>
      <w:r w:rsidR="00E372CB">
        <w:rPr>
          <w:lang w:val="en-CA"/>
        </w:rPr>
        <w:t xml:space="preserve"> </w:t>
      </w:r>
      <w:r w:rsidR="00F73665" w:rsidRPr="00463B9A">
        <w:rPr>
          <w:lang w:val="en-CA"/>
        </w:rPr>
        <w:t xml:space="preserve">maker for a particular matter. The </w:t>
      </w:r>
      <w:r w:rsidR="00251A57">
        <w:rPr>
          <w:lang w:val="en-CA"/>
        </w:rPr>
        <w:t>Refugee Protection Division</w:t>
      </w:r>
      <w:r w:rsidR="00F73665" w:rsidRPr="00463B9A">
        <w:rPr>
          <w:lang w:val="en-CA"/>
        </w:rPr>
        <w:t xml:space="preserve"> is a division of the </w:t>
      </w:r>
      <w:r w:rsidR="00E372CB">
        <w:rPr>
          <w:lang w:val="en-CA"/>
        </w:rPr>
        <w:t>Immigration and Refugee Board</w:t>
      </w:r>
      <w:r w:rsidR="00F73665" w:rsidRPr="00463B9A">
        <w:rPr>
          <w:lang w:val="en-CA"/>
        </w:rPr>
        <w:t xml:space="preserve">, an independent and quasi-judicial tribunal. </w:t>
      </w:r>
      <w:r w:rsidR="00E372CB">
        <w:rPr>
          <w:lang w:val="en-CA"/>
        </w:rPr>
        <w:t>Board</w:t>
      </w:r>
      <w:r w:rsidR="00E372CB" w:rsidRPr="00463B9A">
        <w:rPr>
          <w:lang w:val="en-CA"/>
        </w:rPr>
        <w:t xml:space="preserve"> </w:t>
      </w:r>
      <w:r w:rsidR="00F73665" w:rsidRPr="00463B9A">
        <w:rPr>
          <w:lang w:val="en-CA"/>
        </w:rPr>
        <w:t xml:space="preserve">members hear immigration and refugee matters exclusively, receive specialized training in this area of the law, and stay informed and develop expertise in country conditions and events of alleged persecution or other human rights violations. They have access to the </w:t>
      </w:r>
      <w:r w:rsidR="00DA23EF">
        <w:rPr>
          <w:lang w:val="en-CA"/>
        </w:rPr>
        <w:t>Board’</w:t>
      </w:r>
      <w:r w:rsidR="00E372CB">
        <w:rPr>
          <w:lang w:val="en-CA"/>
        </w:rPr>
        <w:t>s</w:t>
      </w:r>
      <w:r w:rsidR="00E372CB" w:rsidRPr="00463B9A">
        <w:rPr>
          <w:lang w:val="en-CA"/>
        </w:rPr>
        <w:t xml:space="preserve"> </w:t>
      </w:r>
      <w:r w:rsidR="00F73665" w:rsidRPr="00463B9A">
        <w:rPr>
          <w:lang w:val="en-CA"/>
        </w:rPr>
        <w:t>internationally</w:t>
      </w:r>
      <w:r w:rsidR="00E372CB">
        <w:rPr>
          <w:lang w:val="en-CA"/>
        </w:rPr>
        <w:t xml:space="preserve"> </w:t>
      </w:r>
      <w:r w:rsidR="00F73665" w:rsidRPr="00463B9A">
        <w:rPr>
          <w:lang w:val="en-CA"/>
        </w:rPr>
        <w:t xml:space="preserve">recognized </w:t>
      </w:r>
      <w:r w:rsidR="00DA23EF">
        <w:rPr>
          <w:lang w:val="en-CA"/>
        </w:rPr>
        <w:t>r</w:t>
      </w:r>
      <w:r w:rsidR="00F73665" w:rsidRPr="00463B9A">
        <w:rPr>
          <w:lang w:val="en-CA"/>
        </w:rPr>
        <w:t xml:space="preserve">esearch </w:t>
      </w:r>
      <w:r w:rsidR="00DA23EF">
        <w:rPr>
          <w:lang w:val="en-CA"/>
        </w:rPr>
        <w:t>p</w:t>
      </w:r>
      <w:r w:rsidR="00F73665" w:rsidRPr="00463B9A">
        <w:rPr>
          <w:lang w:val="en-CA"/>
        </w:rPr>
        <w:t>rogram</w:t>
      </w:r>
      <w:r w:rsidR="00E372CB">
        <w:rPr>
          <w:lang w:val="en-CA"/>
        </w:rPr>
        <w:t>me</w:t>
      </w:r>
      <w:r w:rsidR="00D04044" w:rsidRPr="00463B9A">
        <w:rPr>
          <w:vertAlign w:val="superscript"/>
          <w:lang w:val="en-CA"/>
        </w:rPr>
        <w:t xml:space="preserve"> </w:t>
      </w:r>
      <w:r w:rsidR="00F73665" w:rsidRPr="00463B9A">
        <w:rPr>
          <w:lang w:val="en-CA"/>
        </w:rPr>
        <w:t>which produces, among other research, a National Documentation Package for every country for which there is a claim for refugee protection.</w:t>
      </w:r>
      <w:r w:rsidR="00D04044" w:rsidRPr="00463B9A">
        <w:rPr>
          <w:vertAlign w:val="superscript"/>
          <w:lang w:val="en-CA"/>
        </w:rPr>
        <w:t xml:space="preserve"> </w:t>
      </w:r>
      <w:r w:rsidR="00F73665" w:rsidRPr="00463B9A">
        <w:rPr>
          <w:lang w:val="en-CA"/>
        </w:rPr>
        <w:t xml:space="preserve">While </w:t>
      </w:r>
      <w:r w:rsidR="00DA23EF">
        <w:rPr>
          <w:lang w:val="en-CA"/>
        </w:rPr>
        <w:t>Board</w:t>
      </w:r>
      <w:r w:rsidR="00DA23EF" w:rsidRPr="00463B9A">
        <w:rPr>
          <w:lang w:val="en-CA"/>
        </w:rPr>
        <w:t xml:space="preserve"> </w:t>
      </w:r>
      <w:r w:rsidR="00F73665" w:rsidRPr="00463B9A">
        <w:rPr>
          <w:lang w:val="en-CA"/>
        </w:rPr>
        <w:t>members are best situated to be the primary decision</w:t>
      </w:r>
      <w:r w:rsidR="00DA23EF">
        <w:rPr>
          <w:lang w:val="en-CA"/>
        </w:rPr>
        <w:t xml:space="preserve"> </w:t>
      </w:r>
      <w:r w:rsidR="00F73665" w:rsidRPr="00463B9A">
        <w:rPr>
          <w:lang w:val="en-CA"/>
        </w:rPr>
        <w:t>makers, the function of judicial review is to ensure the legality, the reasonableness and the fairness of the administrative decision-making process and its outcomes.</w:t>
      </w:r>
      <w:r w:rsidR="00D04044" w:rsidRPr="00463B9A">
        <w:rPr>
          <w:lang w:val="en-CA"/>
        </w:rPr>
        <w:t xml:space="preserve"> </w:t>
      </w:r>
      <w:r w:rsidR="00F73665" w:rsidRPr="00463B9A">
        <w:rPr>
          <w:lang w:val="en-CA"/>
        </w:rPr>
        <w:t xml:space="preserve">The Federal Court reviews the </w:t>
      </w:r>
      <w:r w:rsidR="00DA23EF">
        <w:rPr>
          <w:lang w:val="en-CA"/>
        </w:rPr>
        <w:t>Board’s</w:t>
      </w:r>
      <w:r w:rsidR="00DA23EF" w:rsidRPr="00463B9A">
        <w:rPr>
          <w:lang w:val="en-CA"/>
        </w:rPr>
        <w:t xml:space="preserve"> </w:t>
      </w:r>
      <w:r w:rsidR="00F73665" w:rsidRPr="00463B9A">
        <w:rPr>
          <w:lang w:val="en-CA"/>
        </w:rPr>
        <w:t xml:space="preserve">decisions for factual errors or errors involving both facts and law, generally on a </w:t>
      </w:r>
      <w:r w:rsidR="00CA2C41">
        <w:rPr>
          <w:lang w:val="en-CA"/>
        </w:rPr>
        <w:t xml:space="preserve">standard of </w:t>
      </w:r>
      <w:r w:rsidR="00F73665" w:rsidRPr="00463B9A">
        <w:rPr>
          <w:lang w:val="en-CA"/>
        </w:rPr>
        <w:t>reasonableness in deference to the tribunal’s expertise. However, the Court may also review</w:t>
      </w:r>
      <w:r w:rsidR="000864FB" w:rsidRPr="00463B9A">
        <w:rPr>
          <w:lang w:val="en-CA"/>
        </w:rPr>
        <w:t xml:space="preserve"> the correctness of any</w:t>
      </w:r>
      <w:r w:rsidR="00F73665" w:rsidRPr="00463B9A">
        <w:rPr>
          <w:lang w:val="en-CA"/>
        </w:rPr>
        <w:t xml:space="preserve"> aspect of the tribunal’s decision that involves questions of law of central importance to the legal system as a whole and outside the tribunal’s expertise. Judicial review could not effectively function if each review </w:t>
      </w:r>
      <w:r w:rsidR="00375AB0" w:rsidRPr="00463B9A">
        <w:rPr>
          <w:lang w:val="en-CA"/>
        </w:rPr>
        <w:t>were</w:t>
      </w:r>
      <w:r w:rsidR="00F73665" w:rsidRPr="00463B9A">
        <w:rPr>
          <w:lang w:val="en-CA"/>
        </w:rPr>
        <w:t xml:space="preserve"> a </w:t>
      </w:r>
      <w:r w:rsidR="00F73665" w:rsidRPr="003826E8">
        <w:rPr>
          <w:iCs/>
          <w:lang w:val="en-CA"/>
        </w:rPr>
        <w:t>de novo</w:t>
      </w:r>
      <w:r w:rsidR="00375AB0" w:rsidRPr="00463B9A">
        <w:rPr>
          <w:lang w:val="en-CA"/>
        </w:rPr>
        <w:t xml:space="preserve"> hearing,</w:t>
      </w:r>
      <w:r w:rsidR="00F73665" w:rsidRPr="00463B9A">
        <w:rPr>
          <w:lang w:val="en-CA"/>
        </w:rPr>
        <w:t xml:space="preserve"> with the reviewing court acting as a second trier of fact that shows no deference to the administrative decision</w:t>
      </w:r>
      <w:r w:rsidR="00DA23EF">
        <w:rPr>
          <w:lang w:val="en-CA"/>
        </w:rPr>
        <w:t xml:space="preserve"> </w:t>
      </w:r>
      <w:r w:rsidR="00F73665" w:rsidRPr="00463B9A">
        <w:rPr>
          <w:lang w:val="en-CA"/>
        </w:rPr>
        <w:t>maker, given that a properly functioning judicial system conducting judicial a</w:t>
      </w:r>
      <w:r w:rsidR="00502301" w:rsidRPr="00463B9A">
        <w:rPr>
          <w:lang w:val="en-CA"/>
        </w:rPr>
        <w:t>nd appellate reviews cannot re</w:t>
      </w:r>
      <w:r w:rsidR="00F73665" w:rsidRPr="00463B9A">
        <w:rPr>
          <w:lang w:val="en-CA"/>
        </w:rPr>
        <w:t>try the same case at multiple levels of court. This approach would simply not be feasible in any administrative system.</w:t>
      </w:r>
    </w:p>
    <w:p w14:paraId="427BB215" w14:textId="5AB22342" w:rsidR="009345DA" w:rsidRPr="00463B9A" w:rsidRDefault="0079639C" w:rsidP="00F47D7D">
      <w:pPr>
        <w:pStyle w:val="SingleTxtG"/>
        <w:rPr>
          <w:lang w:val="en-CA"/>
        </w:rPr>
      </w:pPr>
      <w:r w:rsidRPr="00463B9A">
        <w:rPr>
          <w:lang w:val="en-CA"/>
        </w:rPr>
        <w:t>6</w:t>
      </w:r>
      <w:r w:rsidR="00D04044" w:rsidRPr="00463B9A">
        <w:rPr>
          <w:lang w:val="en-CA"/>
        </w:rPr>
        <w:t>.2</w:t>
      </w:r>
      <w:r w:rsidR="000A371D" w:rsidRPr="00463B9A">
        <w:rPr>
          <w:lang w:val="en-CA"/>
        </w:rPr>
        <w:t>2</w:t>
      </w:r>
      <w:r w:rsidR="00D04044" w:rsidRPr="00463B9A">
        <w:rPr>
          <w:lang w:val="en-CA"/>
        </w:rPr>
        <w:tab/>
        <w:t>Fourth</w:t>
      </w:r>
      <w:r w:rsidR="00F73665" w:rsidRPr="00463B9A">
        <w:rPr>
          <w:lang w:val="en-CA"/>
        </w:rPr>
        <w:t xml:space="preserve">, the author’s complaints about the judicial review process are </w:t>
      </w:r>
      <w:r w:rsidR="001A2D64" w:rsidRPr="00463B9A">
        <w:rPr>
          <w:lang w:val="en-CA"/>
        </w:rPr>
        <w:t>unsubstantiated</w:t>
      </w:r>
      <w:r w:rsidR="00F73665" w:rsidRPr="00463B9A">
        <w:rPr>
          <w:lang w:val="en-CA"/>
        </w:rPr>
        <w:t xml:space="preserve">. </w:t>
      </w:r>
      <w:r w:rsidR="00D04044" w:rsidRPr="00463B9A">
        <w:rPr>
          <w:lang w:val="en-CA"/>
        </w:rPr>
        <w:t>T</w:t>
      </w:r>
      <w:r w:rsidR="00F73665" w:rsidRPr="00463B9A">
        <w:rPr>
          <w:lang w:val="en-CA"/>
        </w:rPr>
        <w:t xml:space="preserve">he </w:t>
      </w:r>
      <w:r w:rsidR="00251A57">
        <w:rPr>
          <w:lang w:val="en-CA"/>
        </w:rPr>
        <w:t>Refugee Protection Division</w:t>
      </w:r>
      <w:r w:rsidR="00F73665" w:rsidRPr="00463B9A">
        <w:rPr>
          <w:lang w:val="en-CA"/>
        </w:rPr>
        <w:t xml:space="preserve"> </w:t>
      </w:r>
      <w:r w:rsidR="0060019D" w:rsidRPr="00463B9A">
        <w:rPr>
          <w:lang w:val="en-CA"/>
        </w:rPr>
        <w:t>provided careful reasoning for its determination</w:t>
      </w:r>
      <w:r w:rsidR="00F73665" w:rsidRPr="00463B9A">
        <w:rPr>
          <w:lang w:val="en-CA"/>
        </w:rPr>
        <w:t xml:space="preserve"> that the author’s allega</w:t>
      </w:r>
      <w:r w:rsidR="001A2D64" w:rsidRPr="00463B9A">
        <w:rPr>
          <w:lang w:val="en-CA"/>
        </w:rPr>
        <w:t>tions of persecution are untrue</w:t>
      </w:r>
      <w:r w:rsidR="0060019D" w:rsidRPr="00463B9A">
        <w:rPr>
          <w:lang w:val="en-CA"/>
        </w:rPr>
        <w:t xml:space="preserve">. </w:t>
      </w:r>
      <w:r w:rsidR="004A6468" w:rsidRPr="00463B9A">
        <w:rPr>
          <w:lang w:val="en-CA"/>
        </w:rPr>
        <w:t>Finally, c</w:t>
      </w:r>
      <w:r w:rsidR="00D04044" w:rsidRPr="00463B9A">
        <w:rPr>
          <w:lang w:val="en-CA"/>
        </w:rPr>
        <w:t xml:space="preserve">oncerning the author’s criticisms of recent </w:t>
      </w:r>
      <w:r w:rsidR="00596A83" w:rsidRPr="00463B9A">
        <w:rPr>
          <w:lang w:val="en-CA"/>
        </w:rPr>
        <w:t>changes</w:t>
      </w:r>
      <w:r w:rsidR="00D04044" w:rsidRPr="00463B9A">
        <w:rPr>
          <w:lang w:val="en-CA"/>
        </w:rPr>
        <w:t xml:space="preserve"> to the PRRA</w:t>
      </w:r>
      <w:r w:rsidR="00F37936">
        <w:rPr>
          <w:lang w:val="en-CA"/>
        </w:rPr>
        <w:t xml:space="preserve"> </w:t>
      </w:r>
      <w:r w:rsidR="00D04044" w:rsidRPr="00463B9A">
        <w:rPr>
          <w:lang w:val="en-CA"/>
        </w:rPr>
        <w:t xml:space="preserve">and H&amp;C processes, the State party considers that these allegations are moot because the author has been eligible to use these processes since 15 March 2014. In addition, </w:t>
      </w:r>
      <w:r w:rsidR="00F73665" w:rsidRPr="00463B9A">
        <w:rPr>
          <w:lang w:val="en-CA"/>
        </w:rPr>
        <w:t xml:space="preserve">the legislative changes of which the author complains were made in 2010 for the purposes of streamlining Canada’s immigration and </w:t>
      </w:r>
      <w:r w:rsidR="00F73665" w:rsidRPr="00463B9A">
        <w:rPr>
          <w:lang w:val="en-CA"/>
        </w:rPr>
        <w:lastRenderedPageBreak/>
        <w:t xml:space="preserve">refugee protection system by removing duplicate proceedings. </w:t>
      </w:r>
      <w:r w:rsidR="00684039" w:rsidRPr="00463B9A">
        <w:rPr>
          <w:lang w:val="en-CA"/>
        </w:rPr>
        <w:t>Several decision</w:t>
      </w:r>
      <w:r w:rsidR="00A179EA">
        <w:rPr>
          <w:lang w:val="en-CA"/>
        </w:rPr>
        <w:t xml:space="preserve"> </w:t>
      </w:r>
      <w:r w:rsidR="00684039" w:rsidRPr="00463B9A">
        <w:rPr>
          <w:lang w:val="en-CA"/>
        </w:rPr>
        <w:t>makers assess the allegations of personal risk presented by individuals seeking the State party’s protection</w:t>
      </w:r>
      <w:r w:rsidR="00F73665" w:rsidRPr="00463B9A">
        <w:rPr>
          <w:lang w:val="en-CA"/>
        </w:rPr>
        <w:t xml:space="preserve">: the </w:t>
      </w:r>
      <w:r w:rsidR="00251A57">
        <w:rPr>
          <w:lang w:val="en-CA"/>
        </w:rPr>
        <w:t>Refugee Protection Division</w:t>
      </w:r>
      <w:r w:rsidR="00F73665" w:rsidRPr="00463B9A">
        <w:rPr>
          <w:lang w:val="en-CA"/>
        </w:rPr>
        <w:t xml:space="preserve">, the Federal Court and a </w:t>
      </w:r>
      <w:r w:rsidR="00A179EA">
        <w:rPr>
          <w:lang w:val="en-CA"/>
        </w:rPr>
        <w:t>Canada Border Services Agency</w:t>
      </w:r>
      <w:r w:rsidR="00A179EA" w:rsidRPr="00463B9A">
        <w:rPr>
          <w:lang w:val="en-CA"/>
        </w:rPr>
        <w:t xml:space="preserve"> </w:t>
      </w:r>
      <w:r w:rsidR="00F73665" w:rsidRPr="00463B9A">
        <w:rPr>
          <w:lang w:val="en-CA"/>
        </w:rPr>
        <w:t xml:space="preserve">Removals Officer (if the person were to request an administrative deferral of removal). </w:t>
      </w:r>
      <w:r w:rsidR="00C36C8E" w:rsidRPr="00463B9A">
        <w:rPr>
          <w:lang w:val="en-CA"/>
        </w:rPr>
        <w:t>Such</w:t>
      </w:r>
      <w:r w:rsidR="00F73665" w:rsidRPr="00463B9A">
        <w:rPr>
          <w:lang w:val="en-CA"/>
        </w:rPr>
        <w:t xml:space="preserve"> risk assessments usually occur</w:t>
      </w:r>
      <w:r w:rsidR="00F936BE" w:rsidRPr="00463B9A">
        <w:rPr>
          <w:lang w:val="en-CA"/>
        </w:rPr>
        <w:t xml:space="preserve"> within a 12-</w:t>
      </w:r>
      <w:r w:rsidR="00A179EA">
        <w:rPr>
          <w:lang w:val="en-CA"/>
        </w:rPr>
        <w:t xml:space="preserve"> to </w:t>
      </w:r>
      <w:r w:rsidR="00F73665" w:rsidRPr="00463B9A">
        <w:rPr>
          <w:lang w:val="en-CA"/>
        </w:rPr>
        <w:t>18</w:t>
      </w:r>
      <w:r w:rsidR="00A179EA">
        <w:rPr>
          <w:lang w:val="en-CA"/>
        </w:rPr>
        <w:t>-</w:t>
      </w:r>
      <w:r w:rsidR="00F73665" w:rsidRPr="00463B9A">
        <w:rPr>
          <w:lang w:val="en-CA"/>
        </w:rPr>
        <w:t xml:space="preserve">month time frame, </w:t>
      </w:r>
      <w:r w:rsidR="00A73F3F" w:rsidRPr="00463B9A">
        <w:rPr>
          <w:lang w:val="en-CA"/>
        </w:rPr>
        <w:t>which obviates the need for an additional asses</w:t>
      </w:r>
      <w:r w:rsidR="00F73665" w:rsidRPr="00463B9A">
        <w:rPr>
          <w:lang w:val="en-CA"/>
        </w:rPr>
        <w:t xml:space="preserve">sment of the same risk factors by either a </w:t>
      </w:r>
      <w:r w:rsidR="00A179EA" w:rsidRPr="00FE5FD2">
        <w:rPr>
          <w:lang w:val="en-CA"/>
        </w:rPr>
        <w:t>Pre-Removal Risk Assessment Officer</w:t>
      </w:r>
      <w:r w:rsidR="00F73665" w:rsidRPr="00FE5FD2">
        <w:rPr>
          <w:lang w:val="en-CA"/>
        </w:rPr>
        <w:t xml:space="preserve"> or a </w:t>
      </w:r>
      <w:r w:rsidR="00A179EA" w:rsidRPr="00FE5FD2">
        <w:rPr>
          <w:lang w:val="en-CA"/>
        </w:rPr>
        <w:t>Humanitarian and Compassionate Officer</w:t>
      </w:r>
      <w:r w:rsidR="00F73665" w:rsidRPr="00463B9A">
        <w:rPr>
          <w:lang w:val="en-CA"/>
        </w:rPr>
        <w:t xml:space="preserve">. </w:t>
      </w:r>
      <w:r w:rsidR="00F47D7D" w:rsidRPr="00463B9A">
        <w:rPr>
          <w:lang w:val="en-CA"/>
        </w:rPr>
        <w:t xml:space="preserve">Furthermore, </w:t>
      </w:r>
      <w:r w:rsidR="00F73665" w:rsidRPr="00463B9A">
        <w:rPr>
          <w:lang w:val="en-CA"/>
        </w:rPr>
        <w:t>the H&amp;C process is inten</w:t>
      </w:r>
      <w:r w:rsidR="00A73F3F" w:rsidRPr="00463B9A">
        <w:rPr>
          <w:lang w:val="en-CA"/>
        </w:rPr>
        <w:t xml:space="preserve">ded to provide claimants with an alternate </w:t>
      </w:r>
      <w:r w:rsidR="00F73665" w:rsidRPr="00463B9A">
        <w:rPr>
          <w:lang w:val="en-CA"/>
        </w:rPr>
        <w:t xml:space="preserve">avenue by which to seek </w:t>
      </w:r>
      <w:r w:rsidR="00A73F3F" w:rsidRPr="00463B9A">
        <w:rPr>
          <w:lang w:val="en-CA"/>
        </w:rPr>
        <w:t>the State party’s</w:t>
      </w:r>
      <w:r w:rsidR="00F73665" w:rsidRPr="00463B9A">
        <w:rPr>
          <w:lang w:val="en-CA"/>
        </w:rPr>
        <w:t xml:space="preserve"> protection, one that is not based on personal risk of irreparable harm but is more broadly based and allows for consideration of a number of other factors.</w:t>
      </w:r>
      <w:r w:rsidR="00F47D7D" w:rsidRPr="00463B9A">
        <w:rPr>
          <w:lang w:val="en-CA"/>
        </w:rPr>
        <w:t xml:space="preserve"> The author has not provided any evidence to support her criticisms of the refugee protection system in Canada. </w:t>
      </w:r>
    </w:p>
    <w:p w14:paraId="1E6BB6CF" w14:textId="6C93ED6D" w:rsidR="00BA6F6A" w:rsidRPr="00463B9A" w:rsidRDefault="0079639C" w:rsidP="00F47D7D">
      <w:pPr>
        <w:pStyle w:val="SingleTxtG"/>
        <w:rPr>
          <w:lang w:val="en-CA"/>
        </w:rPr>
      </w:pPr>
      <w:r w:rsidRPr="00463B9A">
        <w:rPr>
          <w:lang w:val="en-CA"/>
        </w:rPr>
        <w:t>6</w:t>
      </w:r>
      <w:r w:rsidR="00BA6F6A" w:rsidRPr="00463B9A">
        <w:rPr>
          <w:lang w:val="en-CA"/>
        </w:rPr>
        <w:t>.</w:t>
      </w:r>
      <w:r w:rsidR="0089371C" w:rsidRPr="00463B9A">
        <w:rPr>
          <w:lang w:val="en-CA"/>
        </w:rPr>
        <w:t>2</w:t>
      </w:r>
      <w:r w:rsidR="000A371D" w:rsidRPr="00463B9A">
        <w:rPr>
          <w:lang w:val="en-CA"/>
        </w:rPr>
        <w:t>3</w:t>
      </w:r>
      <w:r w:rsidR="00BA6F6A" w:rsidRPr="00463B9A">
        <w:rPr>
          <w:lang w:val="en-CA"/>
        </w:rPr>
        <w:tab/>
      </w:r>
      <w:r w:rsidR="002910CF" w:rsidRPr="00463B9A">
        <w:rPr>
          <w:lang w:val="en-CA"/>
        </w:rPr>
        <w:t>For the foregoing reasons, t</w:t>
      </w:r>
      <w:r w:rsidR="00BA6F6A" w:rsidRPr="00463B9A">
        <w:rPr>
          <w:lang w:val="en-CA"/>
        </w:rPr>
        <w:t>he State party also considers that the communi</w:t>
      </w:r>
      <w:r w:rsidR="009C28DC" w:rsidRPr="00463B9A">
        <w:rPr>
          <w:lang w:val="en-CA"/>
        </w:rPr>
        <w:t>cation is wholly without merit.</w:t>
      </w:r>
      <w:r w:rsidR="002910CF" w:rsidRPr="00463B9A">
        <w:rPr>
          <w:lang w:val="en-CA"/>
        </w:rPr>
        <w:t xml:space="preserve"> It </w:t>
      </w:r>
      <w:r w:rsidR="00BA6F6A" w:rsidRPr="00463B9A">
        <w:rPr>
          <w:lang w:val="en-CA"/>
        </w:rPr>
        <w:t xml:space="preserve">further considers that the author is attempting to use the Committee as a tribunal of “fourth instance” and that the material submitted by the author cannot support a finding that the </w:t>
      </w:r>
      <w:r w:rsidR="009C28DC" w:rsidRPr="00463B9A">
        <w:rPr>
          <w:lang w:val="en-CA"/>
        </w:rPr>
        <w:t>domestic</w:t>
      </w:r>
      <w:r w:rsidR="00BA6F6A" w:rsidRPr="00463B9A">
        <w:rPr>
          <w:lang w:val="en-CA"/>
        </w:rPr>
        <w:t xml:space="preserve"> decisions were manifestly arbitrary, erroneous or </w:t>
      </w:r>
      <w:r w:rsidR="009C28DC" w:rsidRPr="00463B9A">
        <w:rPr>
          <w:lang w:val="en-CA"/>
        </w:rPr>
        <w:t>equivalent</w:t>
      </w:r>
      <w:r w:rsidR="00BA6F6A" w:rsidRPr="00463B9A">
        <w:rPr>
          <w:lang w:val="en-CA"/>
        </w:rPr>
        <w:t xml:space="preserve"> to a denial of justice.</w:t>
      </w:r>
      <w:r w:rsidR="00E20C09">
        <w:rPr>
          <w:lang w:val="en-CA"/>
        </w:rPr>
        <w:t xml:space="preserve"> </w:t>
      </w:r>
    </w:p>
    <w:p w14:paraId="2550F240" w14:textId="02085AF3" w:rsidR="00C03875" w:rsidRPr="00463B9A" w:rsidRDefault="00E20C09" w:rsidP="00E20C09">
      <w:pPr>
        <w:pStyle w:val="H23G"/>
      </w:pPr>
      <w:r>
        <w:tab/>
      </w:r>
      <w:r>
        <w:tab/>
      </w:r>
      <w:r w:rsidR="00C03875" w:rsidRPr="00463B9A">
        <w:t xml:space="preserve">Author’s </w:t>
      </w:r>
      <w:r w:rsidR="00A179EA">
        <w:t>additional</w:t>
      </w:r>
      <w:r w:rsidR="00A179EA" w:rsidRPr="00463B9A">
        <w:t xml:space="preserve"> </w:t>
      </w:r>
      <w:r w:rsidR="00C03875" w:rsidRPr="00463B9A">
        <w:t>comments</w:t>
      </w:r>
    </w:p>
    <w:p w14:paraId="2D6A4CEE" w14:textId="42033565" w:rsidR="00C03875" w:rsidRPr="00463B9A" w:rsidRDefault="0079639C" w:rsidP="00C03875">
      <w:pPr>
        <w:pStyle w:val="SingleTxtG"/>
      </w:pPr>
      <w:r w:rsidRPr="00463B9A">
        <w:t>7</w:t>
      </w:r>
      <w:r w:rsidR="00E748A3" w:rsidRPr="00463B9A">
        <w:t>.1</w:t>
      </w:r>
      <w:r w:rsidR="00E748A3" w:rsidRPr="00463B9A">
        <w:tab/>
      </w:r>
      <w:r w:rsidR="00153BCE" w:rsidRPr="00463B9A">
        <w:t>On</w:t>
      </w:r>
      <w:r w:rsidR="00C03875" w:rsidRPr="00463B9A">
        <w:t xml:space="preserve"> 1 May 2015, the author </w:t>
      </w:r>
      <w:r w:rsidR="00561B64" w:rsidRPr="00463B9A">
        <w:t>inform</w:t>
      </w:r>
      <w:r w:rsidR="00153BCE" w:rsidRPr="00463B9A">
        <w:t>ed</w:t>
      </w:r>
      <w:r w:rsidR="00561B64" w:rsidRPr="00463B9A">
        <w:t xml:space="preserve"> the Committee</w:t>
      </w:r>
      <w:r w:rsidR="00C03875" w:rsidRPr="00463B9A">
        <w:t xml:space="preserve"> that she </w:t>
      </w:r>
      <w:r w:rsidR="00A179EA">
        <w:t xml:space="preserve">had </w:t>
      </w:r>
      <w:r w:rsidR="00C03875" w:rsidRPr="00463B9A">
        <w:t>filed a</w:t>
      </w:r>
      <w:r w:rsidR="00F37936">
        <w:t>n</w:t>
      </w:r>
      <w:r w:rsidR="00C03875" w:rsidRPr="00463B9A">
        <w:t xml:space="preserve"> H&amp;C application in January 2015. </w:t>
      </w:r>
      <w:r w:rsidR="00E748A3" w:rsidRPr="00463B9A">
        <w:t>The t</w:t>
      </w:r>
      <w:r w:rsidR="00C03875" w:rsidRPr="00463B9A">
        <w:t xml:space="preserve">hree men who allegedly murdered her brother </w:t>
      </w:r>
      <w:r w:rsidR="00A179EA">
        <w:t>were</w:t>
      </w:r>
      <w:r w:rsidR="00C03875" w:rsidRPr="00463B9A">
        <w:t xml:space="preserve"> freed after their appeal before the Criminal Appellate Jurisdiction was granted on 13</w:t>
      </w:r>
      <w:r w:rsidR="00845335">
        <w:t> </w:t>
      </w:r>
      <w:r w:rsidR="00C03875" w:rsidRPr="00463B9A">
        <w:t>November 2014.</w:t>
      </w:r>
      <w:r w:rsidR="001926C6" w:rsidRPr="00AE40E9">
        <w:rPr>
          <w:rStyle w:val="FootnoteReference"/>
        </w:rPr>
        <w:footnoteReference w:id="13"/>
      </w:r>
      <w:r w:rsidR="00C03875" w:rsidRPr="00463B9A">
        <w:t xml:space="preserve"> </w:t>
      </w:r>
      <w:r w:rsidR="00B3421B" w:rsidRPr="00463B9A">
        <w:t>Their</w:t>
      </w:r>
      <w:r w:rsidR="00C03875" w:rsidRPr="00463B9A">
        <w:t xml:space="preserve"> release from detention present</w:t>
      </w:r>
      <w:r w:rsidR="00A179EA">
        <w:t>ed</w:t>
      </w:r>
      <w:r w:rsidR="00C03875" w:rsidRPr="00463B9A">
        <w:t xml:space="preserve"> additional danger for her should she return to Bangladesh. </w:t>
      </w:r>
    </w:p>
    <w:p w14:paraId="62160B78" w14:textId="2FB269F5" w:rsidR="00153BCE" w:rsidRPr="00463B9A" w:rsidRDefault="00153BCE" w:rsidP="00C03875">
      <w:pPr>
        <w:pStyle w:val="SingleTxtG"/>
      </w:pPr>
      <w:r w:rsidRPr="00463B9A">
        <w:t>7.2</w:t>
      </w:r>
      <w:r w:rsidRPr="00463B9A">
        <w:tab/>
      </w:r>
      <w:r w:rsidR="008D2A01" w:rsidRPr="00463B9A">
        <w:t>On</w:t>
      </w:r>
      <w:r w:rsidRPr="00463B9A">
        <w:t xml:space="preserve"> 4 September 2015, the author </w:t>
      </w:r>
      <w:r w:rsidR="008D2A01" w:rsidRPr="00463B9A">
        <w:t>informed the Committee</w:t>
      </w:r>
      <w:r w:rsidRPr="00463B9A">
        <w:t xml:space="preserve"> that one of her nephews, H., </w:t>
      </w:r>
      <w:r w:rsidR="00FE5FD2">
        <w:t>had</w:t>
      </w:r>
      <w:r w:rsidR="00FE5FD2" w:rsidRPr="00463B9A">
        <w:t xml:space="preserve"> </w:t>
      </w:r>
      <w:r w:rsidR="008D2A01" w:rsidRPr="00463B9A">
        <w:t>been</w:t>
      </w:r>
      <w:r w:rsidRPr="00463B9A">
        <w:t xml:space="preserve"> granted asylum in the </w:t>
      </w:r>
      <w:r w:rsidR="00A179EA">
        <w:t>United Kingdom.</w:t>
      </w:r>
      <w:r w:rsidRPr="00463B9A">
        <w:t xml:space="preserve"> She claims that an H&amp;C application does not stay removal until acceptance of the application at the “first level” and that the acquittal and release of B. and his associates would further endanger her. The convictions of the three individuals were overturned “as soon as pressure from the </w:t>
      </w:r>
      <w:r w:rsidR="00A179EA">
        <w:t>[United Kingdom]</w:t>
      </w:r>
      <w:r w:rsidRPr="00463B9A">
        <w:t xml:space="preserve"> stopped”</w:t>
      </w:r>
      <w:r w:rsidR="00A179EA">
        <w:t>,</w:t>
      </w:r>
      <w:r w:rsidRPr="00463B9A">
        <w:t xml:space="preserve"> which demonstrates the clear lack of State protection in Bangladesh. Finally, current documentary evidence demonstrates that nothing has changed in Bangladesh since the communication was submitted in 2013. Impunity and corruption still undermine judicial processes and prevent individuals from obtaining State protection there.</w:t>
      </w:r>
      <w:r w:rsidRPr="00AE40E9">
        <w:rPr>
          <w:rStyle w:val="FootnoteReference"/>
        </w:rPr>
        <w:footnoteReference w:id="14"/>
      </w:r>
    </w:p>
    <w:p w14:paraId="02C2DF9A" w14:textId="7A54EE3D" w:rsidR="00C03875" w:rsidRPr="00463B9A" w:rsidRDefault="00E20C09" w:rsidP="00E20C09">
      <w:pPr>
        <w:pStyle w:val="H23G"/>
      </w:pPr>
      <w:r>
        <w:tab/>
      </w:r>
      <w:r>
        <w:tab/>
      </w:r>
      <w:r w:rsidR="00C03875" w:rsidRPr="00463B9A">
        <w:t xml:space="preserve">State party’s further observations </w:t>
      </w:r>
    </w:p>
    <w:p w14:paraId="0908C4BB" w14:textId="2D1D41BE" w:rsidR="00C640E4" w:rsidRPr="00463B9A" w:rsidRDefault="0079639C" w:rsidP="00153BCE">
      <w:pPr>
        <w:pStyle w:val="SingleTxtG"/>
      </w:pPr>
      <w:r w:rsidRPr="00463B9A">
        <w:t>8</w:t>
      </w:r>
      <w:r w:rsidR="00E20C09">
        <w:t>.</w:t>
      </w:r>
      <w:r w:rsidR="00C03875" w:rsidRPr="00463B9A">
        <w:tab/>
      </w:r>
      <w:r w:rsidR="00FE088F" w:rsidRPr="00463B9A">
        <w:t>In a further submission dated</w:t>
      </w:r>
      <w:r w:rsidR="00C03875" w:rsidRPr="00463B9A">
        <w:t xml:space="preserve"> 6 July 2015, the State </w:t>
      </w:r>
      <w:r w:rsidR="00FE088F" w:rsidRPr="00463B9A">
        <w:t xml:space="preserve">party reiterates its prior arguments and </w:t>
      </w:r>
      <w:r w:rsidR="00754710" w:rsidRPr="00463B9A">
        <w:t xml:space="preserve">observes that according to the court document provided by the author, the High Court Division set aside the convictions of her brother’s alleged killers on 23 January 2013, not on 13 November 2014, as the author asserts. Accordingly, the </w:t>
      </w:r>
      <w:r w:rsidR="00A179EA">
        <w:t>c</w:t>
      </w:r>
      <w:r w:rsidR="00754710" w:rsidRPr="00463B9A">
        <w:t xml:space="preserve">ourt’s decision was available to the author for use at her hearing before the </w:t>
      </w:r>
      <w:r w:rsidR="00251A57">
        <w:t>Refugee Protection Division</w:t>
      </w:r>
      <w:r w:rsidR="00754710" w:rsidRPr="00463B9A">
        <w:t xml:space="preserve"> on 14 February 2013 as well as for her PRRA</w:t>
      </w:r>
      <w:r w:rsidR="00F37936">
        <w:t xml:space="preserve"> </w:t>
      </w:r>
      <w:r w:rsidR="00754710" w:rsidRPr="00463B9A">
        <w:t xml:space="preserve">application filed on 22 October 2014. Moreover, </w:t>
      </w:r>
      <w:r w:rsidR="00754710" w:rsidRPr="00463B9A">
        <w:lastRenderedPageBreak/>
        <w:t>there is nothing in the court’s decisions or the author’s submissions that provides proof that she is at risk, or that the authorit</w:t>
      </w:r>
      <w:r w:rsidR="00C21B0B" w:rsidRPr="00463B9A">
        <w:t xml:space="preserve">ies </w:t>
      </w:r>
      <w:r w:rsidR="00A179EA">
        <w:t xml:space="preserve">of </w:t>
      </w:r>
      <w:r w:rsidR="00A179EA" w:rsidRPr="00463B9A">
        <w:t>Bangladesh</w:t>
      </w:r>
      <w:r w:rsidR="00A179EA">
        <w:t xml:space="preserve"> </w:t>
      </w:r>
      <w:r w:rsidR="00C21B0B" w:rsidRPr="00463B9A">
        <w:t xml:space="preserve">are unable to protect her. </w:t>
      </w:r>
      <w:r w:rsidR="004C6C5B" w:rsidRPr="00463B9A">
        <w:t>T</w:t>
      </w:r>
      <w:r w:rsidR="00AA5CC5" w:rsidRPr="00463B9A">
        <w:t>he</w:t>
      </w:r>
      <w:r w:rsidR="00C21B0B" w:rsidRPr="00463B9A">
        <w:t xml:space="preserve"> </w:t>
      </w:r>
      <w:r w:rsidR="004C6C5B" w:rsidRPr="00463B9A">
        <w:t xml:space="preserve">determinations of the </w:t>
      </w:r>
      <w:r w:rsidR="00C21B0B" w:rsidRPr="00463B9A">
        <w:t>Canadian decision</w:t>
      </w:r>
      <w:r w:rsidR="00A179EA">
        <w:t xml:space="preserve"> </w:t>
      </w:r>
      <w:r w:rsidR="00C21B0B" w:rsidRPr="00463B9A">
        <w:t>makers</w:t>
      </w:r>
      <w:r w:rsidR="004C6C5B" w:rsidRPr="00463B9A">
        <w:t xml:space="preserve"> </w:t>
      </w:r>
      <w:r w:rsidR="00C21B0B" w:rsidRPr="00463B9A">
        <w:t>were not based on whether the accused individuals were (or would remain) in prison</w:t>
      </w:r>
      <w:r w:rsidR="0000242B">
        <w:t>;</w:t>
      </w:r>
      <w:r w:rsidR="00C21B0B" w:rsidRPr="00463B9A">
        <w:t xml:space="preserve"> </w:t>
      </w:r>
      <w:r w:rsidR="0000242B">
        <w:t>i</w:t>
      </w:r>
      <w:r w:rsidR="00C21B0B" w:rsidRPr="00463B9A">
        <w:t xml:space="preserve">n fact, S. was not in prison. Rather, the assessment of risk was based on the </w:t>
      </w:r>
      <w:r w:rsidR="001A0D92" w:rsidRPr="00463B9A">
        <w:t>considerations mentioned in</w:t>
      </w:r>
      <w:r w:rsidR="00DC7723" w:rsidRPr="00463B9A">
        <w:t xml:space="preserve"> the State party’s</w:t>
      </w:r>
      <w:r w:rsidR="001A0D92" w:rsidRPr="00463B9A">
        <w:t xml:space="preserve"> prior submissions</w:t>
      </w:r>
      <w:r w:rsidR="00C21B0B" w:rsidRPr="00463B9A">
        <w:t xml:space="preserve">. </w:t>
      </w:r>
      <w:r w:rsidR="001A0D92" w:rsidRPr="00463B9A">
        <w:t xml:space="preserve">The author was not identified in any of the letters sent by the author’s family to the </w:t>
      </w:r>
      <w:r w:rsidR="0000242B">
        <w:t>United Kingdom</w:t>
      </w:r>
      <w:r w:rsidR="001A0D92" w:rsidRPr="00463B9A">
        <w:t xml:space="preserve"> authorities complaining about death threats and identifying the family members who had been threatened, nor was she mentioned in any of the </w:t>
      </w:r>
      <w:r w:rsidR="0000242B">
        <w:t>United Kingdom</w:t>
      </w:r>
      <w:r w:rsidR="001A0D92" w:rsidRPr="00463B9A">
        <w:t xml:space="preserve"> asylum proceedings as having been threatened or at risk in Bangladesh. In fact, in L.’s asylum proceedings, it was explicitly stated that the author had not been threatened. </w:t>
      </w:r>
    </w:p>
    <w:p w14:paraId="665A9A30" w14:textId="0F05EDAC" w:rsidR="005572C7" w:rsidRDefault="00A40224" w:rsidP="005572C7">
      <w:pPr>
        <w:pStyle w:val="H23G"/>
      </w:pPr>
      <w:r w:rsidRPr="00463B9A">
        <w:tab/>
      </w:r>
      <w:r w:rsidRPr="00463B9A">
        <w:tab/>
        <w:t>Issues and proceedings before the Committee</w:t>
      </w:r>
    </w:p>
    <w:p w14:paraId="165CC31F" w14:textId="6F14F749" w:rsidR="005572C7" w:rsidRPr="005572C7" w:rsidRDefault="005572C7" w:rsidP="00283E5C">
      <w:pPr>
        <w:pStyle w:val="H4G"/>
      </w:pPr>
      <w:r>
        <w:tab/>
      </w:r>
      <w:r>
        <w:tab/>
      </w:r>
      <w:r w:rsidRPr="005572C7">
        <w:t>Consideration of admissibility</w:t>
      </w:r>
    </w:p>
    <w:p w14:paraId="50D9DEF9" w14:textId="40F80131" w:rsidR="006F1676" w:rsidRPr="00463B9A" w:rsidRDefault="00153BCE" w:rsidP="006F1676">
      <w:pPr>
        <w:pStyle w:val="SingleTxtG"/>
        <w:rPr>
          <w:rFonts w:eastAsia="MS Mincho"/>
        </w:rPr>
      </w:pPr>
      <w:r w:rsidRPr="00463B9A">
        <w:rPr>
          <w:rFonts w:eastAsia="MS Mincho"/>
        </w:rPr>
        <w:t>9</w:t>
      </w:r>
      <w:r w:rsidR="006F1676" w:rsidRPr="00463B9A">
        <w:rPr>
          <w:rFonts w:eastAsia="MS Mincho"/>
        </w:rPr>
        <w:t>.1</w:t>
      </w:r>
      <w:r w:rsidR="006F1676" w:rsidRPr="00463B9A">
        <w:rPr>
          <w:rFonts w:eastAsia="MS Mincho"/>
        </w:rPr>
        <w:tab/>
        <w:t>Before considering any claims contained in a communication, the Human Rights Committee must decide, in accordance with rule 93 of its rules of procedure, whether the claim is admissible under the Optional Protocol.</w:t>
      </w:r>
    </w:p>
    <w:p w14:paraId="514BDC9F" w14:textId="4870FB31" w:rsidR="006F1676" w:rsidRPr="00463B9A" w:rsidRDefault="00153BCE" w:rsidP="006F1676">
      <w:pPr>
        <w:spacing w:after="120"/>
        <w:ind w:left="1134" w:right="1134"/>
        <w:jc w:val="both"/>
        <w:rPr>
          <w:rFonts w:eastAsia="MS Mincho"/>
          <w:bCs/>
        </w:rPr>
      </w:pPr>
      <w:r w:rsidRPr="00463B9A">
        <w:rPr>
          <w:rFonts w:eastAsia="MS Mincho"/>
        </w:rPr>
        <w:t>9</w:t>
      </w:r>
      <w:r w:rsidR="006F1676" w:rsidRPr="00463B9A">
        <w:rPr>
          <w:rFonts w:eastAsia="MS Mincho"/>
        </w:rPr>
        <w:t>.2</w:t>
      </w:r>
      <w:r w:rsidR="006F1676" w:rsidRPr="00463B9A">
        <w:rPr>
          <w:rFonts w:eastAsia="MS Mincho"/>
        </w:rPr>
        <w:tab/>
      </w:r>
      <w:r w:rsidR="006F1676" w:rsidRPr="00463B9A">
        <w:rPr>
          <w:rFonts w:eastAsia="MS Mincho"/>
          <w:bCs/>
        </w:rPr>
        <w:t xml:space="preserve">The Committee </w:t>
      </w:r>
      <w:r w:rsidR="00D56471">
        <w:rPr>
          <w:rFonts w:eastAsia="MS Mincho"/>
          <w:bCs/>
        </w:rPr>
        <w:t>has ascertained</w:t>
      </w:r>
      <w:r w:rsidR="006F1676" w:rsidRPr="00463B9A">
        <w:rPr>
          <w:rFonts w:eastAsia="MS Mincho"/>
          <w:bCs/>
        </w:rPr>
        <w:t xml:space="preserve">, as required </w:t>
      </w:r>
      <w:r w:rsidR="00D56471">
        <w:rPr>
          <w:rFonts w:eastAsia="MS Mincho"/>
          <w:bCs/>
        </w:rPr>
        <w:t>under</w:t>
      </w:r>
      <w:r w:rsidR="00D56471" w:rsidRPr="00463B9A">
        <w:rPr>
          <w:rFonts w:eastAsia="MS Mincho"/>
          <w:bCs/>
        </w:rPr>
        <w:t xml:space="preserve"> </w:t>
      </w:r>
      <w:r w:rsidR="006F1676" w:rsidRPr="00463B9A">
        <w:rPr>
          <w:rFonts w:eastAsia="MS Mincho"/>
          <w:bCs/>
        </w:rPr>
        <w:t>article 5</w:t>
      </w:r>
      <w:r w:rsidR="002F391C" w:rsidRPr="00463B9A">
        <w:rPr>
          <w:rFonts w:eastAsia="MS Mincho"/>
          <w:bCs/>
        </w:rPr>
        <w:t xml:space="preserve"> </w:t>
      </w:r>
      <w:r w:rsidR="006F1676" w:rsidRPr="00463B9A">
        <w:rPr>
          <w:rFonts w:eastAsia="MS Mincho"/>
          <w:bCs/>
        </w:rPr>
        <w:t>(2)</w:t>
      </w:r>
      <w:r w:rsidR="0000242B">
        <w:rPr>
          <w:rFonts w:eastAsia="MS Mincho"/>
          <w:bCs/>
        </w:rPr>
        <w:t xml:space="preserve"> </w:t>
      </w:r>
      <w:r w:rsidR="006F1676" w:rsidRPr="00463B9A">
        <w:rPr>
          <w:rFonts w:eastAsia="MS Mincho"/>
          <w:bCs/>
        </w:rPr>
        <w:t>(a) of the Optional Protocol, that the same matter is not being examined under any other procedure of international investigation or settlement.</w:t>
      </w:r>
    </w:p>
    <w:p w14:paraId="665B9FF8" w14:textId="1F241DF0" w:rsidR="006F1676" w:rsidRPr="00463B9A" w:rsidRDefault="00153BCE" w:rsidP="006F1676">
      <w:pPr>
        <w:pStyle w:val="SingleTxtG"/>
        <w:rPr>
          <w:rFonts w:eastAsia="MS Mincho"/>
        </w:rPr>
      </w:pPr>
      <w:r w:rsidRPr="00463B9A">
        <w:rPr>
          <w:rFonts w:eastAsia="MS Mincho"/>
          <w:bCs/>
        </w:rPr>
        <w:t>9</w:t>
      </w:r>
      <w:r w:rsidR="006F1676" w:rsidRPr="00463B9A">
        <w:rPr>
          <w:rFonts w:eastAsia="MS Mincho"/>
          <w:bCs/>
        </w:rPr>
        <w:t>.3</w:t>
      </w:r>
      <w:r w:rsidR="006F1676" w:rsidRPr="00463B9A">
        <w:rPr>
          <w:rFonts w:eastAsia="MS Mincho"/>
          <w:bCs/>
        </w:rPr>
        <w:tab/>
      </w:r>
      <w:r w:rsidR="006F1676" w:rsidRPr="00463B9A">
        <w:rPr>
          <w:rFonts w:eastAsia="MS Mincho"/>
        </w:rPr>
        <w:t>The Committee recalls its jurisprudence to the effect that authors must avail themselves of all domestic remedies in order to fulfil the requirement of article 5</w:t>
      </w:r>
      <w:r w:rsidR="002F391C" w:rsidRPr="00463B9A">
        <w:rPr>
          <w:rFonts w:eastAsia="MS Mincho"/>
        </w:rPr>
        <w:t xml:space="preserve"> </w:t>
      </w:r>
      <w:r w:rsidR="006F1676" w:rsidRPr="00463B9A">
        <w:rPr>
          <w:rFonts w:eastAsia="MS Mincho"/>
        </w:rPr>
        <w:t>(2)</w:t>
      </w:r>
      <w:r w:rsidR="0000242B">
        <w:rPr>
          <w:rFonts w:eastAsia="MS Mincho"/>
        </w:rPr>
        <w:t xml:space="preserve"> </w:t>
      </w:r>
      <w:r w:rsidR="006F1676" w:rsidRPr="00463B9A">
        <w:rPr>
          <w:rFonts w:eastAsia="MS Mincho"/>
        </w:rPr>
        <w:t xml:space="preserve">(b) of the Optional Protocol, insofar as such remedies appear to be effective in the given case and are </w:t>
      </w:r>
      <w:r w:rsidR="006F1676" w:rsidRPr="00463B9A">
        <w:rPr>
          <w:rFonts w:eastAsia="MS Mincho"/>
          <w:iCs/>
        </w:rPr>
        <w:t>de facto</w:t>
      </w:r>
      <w:r w:rsidR="006F1676" w:rsidRPr="00463B9A">
        <w:rPr>
          <w:rFonts w:eastAsia="MS Mincho"/>
        </w:rPr>
        <w:t xml:space="preserve"> available to the author.</w:t>
      </w:r>
      <w:r w:rsidR="006F1676" w:rsidRPr="00AE40E9">
        <w:rPr>
          <w:rStyle w:val="FootnoteReference"/>
          <w:rFonts w:eastAsia="MS Mincho"/>
        </w:rPr>
        <w:footnoteReference w:id="15"/>
      </w:r>
      <w:r w:rsidR="006F1676" w:rsidRPr="00463B9A">
        <w:rPr>
          <w:rFonts w:eastAsia="MS Mincho"/>
        </w:rPr>
        <w:t xml:space="preserve"> </w:t>
      </w:r>
      <w:r w:rsidR="006F1676" w:rsidRPr="00463B9A">
        <w:rPr>
          <w:rFonts w:eastAsia="MS Mincho"/>
          <w:bCs/>
        </w:rPr>
        <w:t xml:space="preserve">The Committee notes that </w:t>
      </w:r>
      <w:r w:rsidR="007B3F30" w:rsidRPr="00463B9A">
        <w:rPr>
          <w:rFonts w:eastAsia="MS Mincho"/>
          <w:bCs/>
        </w:rPr>
        <w:t xml:space="preserve">the author has filed a pending </w:t>
      </w:r>
      <w:r w:rsidR="00B342E7" w:rsidRPr="00463B9A">
        <w:rPr>
          <w:rFonts w:eastAsia="MS Mincho"/>
          <w:bCs/>
        </w:rPr>
        <w:t xml:space="preserve">H&amp;C application, which the State party considers to be an effective remedy. </w:t>
      </w:r>
      <w:r w:rsidR="00D04A53" w:rsidRPr="00463B9A">
        <w:rPr>
          <w:rFonts w:eastAsia="MS Mincho"/>
          <w:bCs/>
        </w:rPr>
        <w:t>The</w:t>
      </w:r>
      <w:r w:rsidR="006F1676" w:rsidRPr="00463B9A">
        <w:rPr>
          <w:rFonts w:eastAsia="MS Mincho"/>
          <w:bCs/>
        </w:rPr>
        <w:t xml:space="preserve"> </w:t>
      </w:r>
      <w:r w:rsidR="00D04A53" w:rsidRPr="00463B9A">
        <w:rPr>
          <w:rFonts w:eastAsia="MS Mincho"/>
          <w:bCs/>
        </w:rPr>
        <w:t xml:space="preserve">Committee </w:t>
      </w:r>
      <w:r w:rsidR="00D56471">
        <w:rPr>
          <w:rFonts w:eastAsia="MS Mincho"/>
          <w:bCs/>
        </w:rPr>
        <w:t xml:space="preserve">also </w:t>
      </w:r>
      <w:r w:rsidR="00D04A53" w:rsidRPr="00463B9A">
        <w:rPr>
          <w:rFonts w:eastAsia="MS Mincho"/>
          <w:bCs/>
        </w:rPr>
        <w:t>note</w:t>
      </w:r>
      <w:r w:rsidR="00D56471">
        <w:rPr>
          <w:rFonts w:eastAsia="MS Mincho"/>
          <w:bCs/>
        </w:rPr>
        <w:t>s</w:t>
      </w:r>
      <w:r w:rsidR="00D04A53" w:rsidRPr="00463B9A">
        <w:rPr>
          <w:rFonts w:eastAsia="MS Mincho"/>
          <w:bCs/>
        </w:rPr>
        <w:t xml:space="preserve"> </w:t>
      </w:r>
      <w:r w:rsidR="006F1676" w:rsidRPr="00463B9A">
        <w:rPr>
          <w:rFonts w:eastAsia="MS Mincho"/>
          <w:bCs/>
        </w:rPr>
        <w:t>the State party’s observations that</w:t>
      </w:r>
      <w:r w:rsidR="00B342E7" w:rsidRPr="00463B9A">
        <w:rPr>
          <w:rFonts w:eastAsia="MS Mincho"/>
          <w:bCs/>
        </w:rPr>
        <w:t xml:space="preserve"> a successful H&amp;C application would allow the author to </w:t>
      </w:r>
      <w:r w:rsidR="006F1676" w:rsidRPr="00463B9A">
        <w:rPr>
          <w:rFonts w:eastAsia="MS Mincho"/>
          <w:bCs/>
        </w:rPr>
        <w:t xml:space="preserve">reside </w:t>
      </w:r>
      <w:r w:rsidR="0000242B" w:rsidRPr="00463B9A">
        <w:rPr>
          <w:rFonts w:eastAsia="MS Mincho"/>
          <w:bCs/>
        </w:rPr>
        <w:t xml:space="preserve">permanently </w:t>
      </w:r>
      <w:r w:rsidR="006F1676" w:rsidRPr="00463B9A">
        <w:rPr>
          <w:rFonts w:eastAsia="MS Mincho"/>
          <w:bCs/>
        </w:rPr>
        <w:t>in Canada and that two recent communications before the Committee were discontinued because thei</w:t>
      </w:r>
      <w:r w:rsidR="00D04A53" w:rsidRPr="00463B9A">
        <w:rPr>
          <w:rFonts w:eastAsia="MS Mincho"/>
          <w:bCs/>
        </w:rPr>
        <w:t>r H&amp;C applica</w:t>
      </w:r>
      <w:r w:rsidR="00B342E7" w:rsidRPr="00463B9A">
        <w:rPr>
          <w:rFonts w:eastAsia="MS Mincho"/>
          <w:bCs/>
        </w:rPr>
        <w:t xml:space="preserve">tions </w:t>
      </w:r>
      <w:r w:rsidR="0000242B">
        <w:rPr>
          <w:rFonts w:eastAsia="MS Mincho"/>
          <w:bCs/>
        </w:rPr>
        <w:t>had been</w:t>
      </w:r>
      <w:r w:rsidR="0000242B" w:rsidRPr="00463B9A">
        <w:rPr>
          <w:rFonts w:eastAsia="MS Mincho"/>
          <w:bCs/>
        </w:rPr>
        <w:t xml:space="preserve"> </w:t>
      </w:r>
      <w:r w:rsidR="00B342E7" w:rsidRPr="00463B9A">
        <w:rPr>
          <w:rFonts w:eastAsia="MS Mincho"/>
          <w:bCs/>
        </w:rPr>
        <w:t>granted. However</w:t>
      </w:r>
      <w:r w:rsidR="00D04A53" w:rsidRPr="00463B9A">
        <w:rPr>
          <w:rFonts w:eastAsia="MS Mincho"/>
          <w:bCs/>
        </w:rPr>
        <w:t xml:space="preserve">, </w:t>
      </w:r>
      <w:r w:rsidR="00147A72" w:rsidRPr="00463B9A">
        <w:rPr>
          <w:rFonts w:eastAsia="MS Mincho"/>
          <w:bCs/>
        </w:rPr>
        <w:t xml:space="preserve">it is uncontested that </w:t>
      </w:r>
      <w:r w:rsidR="0010410A" w:rsidRPr="00463B9A">
        <w:rPr>
          <w:rFonts w:eastAsia="MS Mincho"/>
          <w:bCs/>
        </w:rPr>
        <w:t xml:space="preserve">removal </w:t>
      </w:r>
      <w:r w:rsidR="00041F05" w:rsidRPr="00463B9A">
        <w:rPr>
          <w:rFonts w:eastAsia="MS Mincho"/>
          <w:bCs/>
        </w:rPr>
        <w:t>is</w:t>
      </w:r>
      <w:r w:rsidR="0010410A" w:rsidRPr="00463B9A">
        <w:rPr>
          <w:rFonts w:eastAsia="MS Mincho"/>
          <w:bCs/>
        </w:rPr>
        <w:t xml:space="preserve"> not automatically stayed by the filing of an</w:t>
      </w:r>
      <w:r w:rsidR="00147A72" w:rsidRPr="00463B9A">
        <w:rPr>
          <w:rFonts w:eastAsia="MS Mincho"/>
          <w:bCs/>
        </w:rPr>
        <w:t xml:space="preserve"> H&amp;C application</w:t>
      </w:r>
      <w:r w:rsidR="008749EF" w:rsidRPr="00463B9A">
        <w:rPr>
          <w:rFonts w:eastAsia="MS Mincho"/>
          <w:bCs/>
        </w:rPr>
        <w:t xml:space="preserve">. </w:t>
      </w:r>
      <w:r w:rsidR="00B21307" w:rsidRPr="00463B9A">
        <w:rPr>
          <w:rFonts w:eastAsia="MS Mincho"/>
          <w:bCs/>
        </w:rPr>
        <w:t xml:space="preserve">Because the </w:t>
      </w:r>
      <w:r w:rsidR="00675BDE" w:rsidRPr="00463B9A">
        <w:rPr>
          <w:rFonts w:eastAsia="MS Mincho"/>
          <w:bCs/>
        </w:rPr>
        <w:t>author alleges</w:t>
      </w:r>
      <w:r w:rsidR="00B21307" w:rsidRPr="00463B9A">
        <w:rPr>
          <w:rFonts w:eastAsia="MS Mincho"/>
          <w:bCs/>
        </w:rPr>
        <w:t xml:space="preserve"> a need for protection from such removal, t</w:t>
      </w:r>
      <w:r w:rsidR="008749EF" w:rsidRPr="00463B9A">
        <w:rPr>
          <w:rFonts w:eastAsia="MS Mincho"/>
          <w:bCs/>
        </w:rPr>
        <w:t xml:space="preserve">he Committee </w:t>
      </w:r>
      <w:r w:rsidR="006F1676" w:rsidRPr="00463B9A">
        <w:rPr>
          <w:rFonts w:eastAsia="MS Mincho"/>
          <w:bCs/>
        </w:rPr>
        <w:t xml:space="preserve">considers that </w:t>
      </w:r>
      <w:r w:rsidR="00B21307" w:rsidRPr="00463B9A">
        <w:rPr>
          <w:rFonts w:eastAsia="MS Mincho"/>
          <w:bCs/>
        </w:rPr>
        <w:t>the H&amp;C</w:t>
      </w:r>
      <w:r w:rsidR="006F1676" w:rsidRPr="00463B9A">
        <w:rPr>
          <w:rFonts w:eastAsia="MS Mincho"/>
          <w:bCs/>
        </w:rPr>
        <w:t xml:space="preserve"> application cannot be considered as offering </w:t>
      </w:r>
      <w:r w:rsidR="003B108F" w:rsidRPr="00463B9A">
        <w:rPr>
          <w:rFonts w:eastAsia="MS Mincho"/>
          <w:bCs/>
        </w:rPr>
        <w:t>her</w:t>
      </w:r>
      <w:r w:rsidR="006F1676" w:rsidRPr="00463B9A">
        <w:rPr>
          <w:rFonts w:eastAsia="MS Mincho"/>
          <w:bCs/>
        </w:rPr>
        <w:t xml:space="preserve"> an effective remedy under the circumstances.</w:t>
      </w:r>
      <w:r w:rsidR="006F1676" w:rsidRPr="00AE40E9">
        <w:rPr>
          <w:rStyle w:val="FootnoteReference"/>
          <w:rFonts w:eastAsia="MS Mincho"/>
        </w:rPr>
        <w:footnoteReference w:id="16"/>
      </w:r>
      <w:r w:rsidR="006F1676" w:rsidRPr="00463B9A">
        <w:rPr>
          <w:rFonts w:eastAsia="MS Mincho"/>
          <w:bCs/>
        </w:rPr>
        <w:t xml:space="preserve"> Accordingly, t</w:t>
      </w:r>
      <w:r w:rsidR="006F1676" w:rsidRPr="00463B9A">
        <w:rPr>
          <w:rFonts w:eastAsia="MS Mincho"/>
        </w:rPr>
        <w:t>he Committee considers that it is not precluded by the requirements of article 5</w:t>
      </w:r>
      <w:r w:rsidR="006E1AB4" w:rsidRPr="00463B9A">
        <w:rPr>
          <w:rFonts w:eastAsia="MS Mincho"/>
        </w:rPr>
        <w:t xml:space="preserve"> </w:t>
      </w:r>
      <w:r w:rsidR="006F1676" w:rsidRPr="00463B9A">
        <w:rPr>
          <w:rFonts w:eastAsia="MS Mincho"/>
        </w:rPr>
        <w:t>(2)</w:t>
      </w:r>
      <w:r w:rsidR="0000242B">
        <w:rPr>
          <w:rFonts w:eastAsia="MS Mincho"/>
        </w:rPr>
        <w:t xml:space="preserve"> </w:t>
      </w:r>
      <w:r w:rsidR="006F1676" w:rsidRPr="00463B9A">
        <w:rPr>
          <w:rFonts w:eastAsia="MS Mincho"/>
        </w:rPr>
        <w:t>(b) of the Optional Protocol from examining the present communication.</w:t>
      </w:r>
      <w:r w:rsidR="00461E4F" w:rsidRPr="00463B9A">
        <w:rPr>
          <w:rFonts w:eastAsia="MS Mincho"/>
        </w:rPr>
        <w:t xml:space="preserve"> </w:t>
      </w:r>
    </w:p>
    <w:p w14:paraId="6414CF9F" w14:textId="363E5D66" w:rsidR="00461E4F" w:rsidRPr="00463B9A" w:rsidRDefault="00153BCE" w:rsidP="00586F54">
      <w:pPr>
        <w:pStyle w:val="SingleTxtG"/>
        <w:rPr>
          <w:rFonts w:eastAsia="MS Mincho"/>
        </w:rPr>
      </w:pPr>
      <w:r w:rsidRPr="00463B9A">
        <w:rPr>
          <w:rFonts w:eastAsia="MS Mincho"/>
        </w:rPr>
        <w:t>9</w:t>
      </w:r>
      <w:r w:rsidR="00461E4F" w:rsidRPr="00463B9A">
        <w:rPr>
          <w:rFonts w:eastAsia="MS Mincho"/>
        </w:rPr>
        <w:t>.4</w:t>
      </w:r>
      <w:r w:rsidR="00461E4F" w:rsidRPr="00463B9A">
        <w:rPr>
          <w:rFonts w:eastAsia="MS Mincho"/>
        </w:rPr>
        <w:tab/>
        <w:t>The Committee note</w:t>
      </w:r>
      <w:r w:rsidR="00D56471">
        <w:rPr>
          <w:rFonts w:eastAsia="MS Mincho"/>
        </w:rPr>
        <w:t>s</w:t>
      </w:r>
      <w:r w:rsidR="00461E4F" w:rsidRPr="00463B9A">
        <w:rPr>
          <w:rFonts w:eastAsia="MS Mincho"/>
        </w:rPr>
        <w:t xml:space="preserve"> the State party’s argument that the communication is</w:t>
      </w:r>
      <w:r w:rsidR="000E3AC7" w:rsidRPr="00463B9A">
        <w:rPr>
          <w:rFonts w:eastAsia="MS Mincho"/>
        </w:rPr>
        <w:t xml:space="preserve"> </w:t>
      </w:r>
      <w:r w:rsidR="00870AD7" w:rsidRPr="00463B9A">
        <w:rPr>
          <w:rFonts w:eastAsia="MS Mincho"/>
        </w:rPr>
        <w:t xml:space="preserve">moot and is therefore </w:t>
      </w:r>
      <w:r w:rsidR="000E3AC7" w:rsidRPr="00463B9A">
        <w:rPr>
          <w:rFonts w:eastAsia="MS Mincho"/>
        </w:rPr>
        <w:t xml:space="preserve">inadmissible under </w:t>
      </w:r>
      <w:r w:rsidR="0065035F" w:rsidRPr="00463B9A">
        <w:rPr>
          <w:rFonts w:eastAsia="MS Mincho"/>
        </w:rPr>
        <w:t xml:space="preserve">article 1 of the Optional Protocol </w:t>
      </w:r>
      <w:r w:rsidR="00461E4F" w:rsidRPr="00463B9A">
        <w:rPr>
          <w:rFonts w:eastAsia="MS Mincho"/>
        </w:rPr>
        <w:t>because</w:t>
      </w:r>
      <w:r w:rsidR="000E3AC7" w:rsidRPr="00463B9A">
        <w:rPr>
          <w:rFonts w:eastAsia="MS Mincho"/>
        </w:rPr>
        <w:t>,</w:t>
      </w:r>
      <w:r w:rsidR="0065035F" w:rsidRPr="00463B9A">
        <w:rPr>
          <w:rFonts w:eastAsia="MS Mincho"/>
        </w:rPr>
        <w:t xml:space="preserve"> while the author claims that she became eligible for removal without having had access </w:t>
      </w:r>
      <w:r w:rsidR="0092214B" w:rsidRPr="00463B9A">
        <w:rPr>
          <w:rFonts w:eastAsia="MS Mincho"/>
        </w:rPr>
        <w:t>to the PRRA</w:t>
      </w:r>
      <w:r w:rsidR="008C5A1F">
        <w:rPr>
          <w:rFonts w:eastAsia="MS Mincho"/>
        </w:rPr>
        <w:t xml:space="preserve"> </w:t>
      </w:r>
      <w:r w:rsidR="0092214B" w:rsidRPr="00463B9A">
        <w:rPr>
          <w:rFonts w:eastAsia="MS Mincho"/>
        </w:rPr>
        <w:t>or H&amp;C procedures, she does in fact have access to them.</w:t>
      </w:r>
      <w:r w:rsidR="0065035F" w:rsidRPr="00463B9A">
        <w:rPr>
          <w:rFonts w:eastAsia="MS Mincho"/>
        </w:rPr>
        <w:t xml:space="preserve"> </w:t>
      </w:r>
      <w:r w:rsidR="00EF65A5" w:rsidRPr="00463B9A">
        <w:rPr>
          <w:rFonts w:eastAsia="MS Mincho"/>
        </w:rPr>
        <w:t>The Committee observes that the author has since exhausted the PRRA</w:t>
      </w:r>
      <w:r w:rsidR="008C5A1F">
        <w:rPr>
          <w:rFonts w:eastAsia="MS Mincho"/>
        </w:rPr>
        <w:t xml:space="preserve"> </w:t>
      </w:r>
      <w:r w:rsidR="00EF65A5" w:rsidRPr="00463B9A">
        <w:rPr>
          <w:rFonts w:eastAsia="MS Mincho"/>
        </w:rPr>
        <w:t xml:space="preserve">remedy without success and recalls that her H&amp;C application does not constitute an effective remedy. </w:t>
      </w:r>
      <w:r w:rsidR="0092214B" w:rsidRPr="00463B9A">
        <w:rPr>
          <w:rFonts w:eastAsia="MS Mincho"/>
        </w:rPr>
        <w:t xml:space="preserve">The Committee therefore </w:t>
      </w:r>
      <w:r w:rsidR="00D90E0F" w:rsidRPr="00463B9A">
        <w:rPr>
          <w:rFonts w:eastAsia="MS Mincho"/>
        </w:rPr>
        <w:t xml:space="preserve">considers that it is not barred by article 1 of the Optional Protocol from examining the communication. </w:t>
      </w:r>
    </w:p>
    <w:p w14:paraId="0D6E017F" w14:textId="1191DC50" w:rsidR="006F1676" w:rsidRPr="00463B9A" w:rsidRDefault="00153BCE" w:rsidP="00396A47">
      <w:pPr>
        <w:pStyle w:val="SingleTxtG"/>
        <w:rPr>
          <w:rFonts w:eastAsia="MS Mincho"/>
        </w:rPr>
      </w:pPr>
      <w:r w:rsidRPr="00463B9A">
        <w:rPr>
          <w:rFonts w:eastAsia="MS Mincho"/>
        </w:rPr>
        <w:t>9</w:t>
      </w:r>
      <w:r w:rsidR="002207CC" w:rsidRPr="00463B9A">
        <w:rPr>
          <w:rFonts w:eastAsia="MS Mincho"/>
        </w:rPr>
        <w:t>.5</w:t>
      </w:r>
      <w:r w:rsidR="006F1676" w:rsidRPr="00463B9A">
        <w:rPr>
          <w:rFonts w:eastAsia="MS Mincho"/>
        </w:rPr>
        <w:tab/>
        <w:t xml:space="preserve">The Committee </w:t>
      </w:r>
      <w:r w:rsidR="00702C68" w:rsidRPr="00463B9A">
        <w:rPr>
          <w:rFonts w:eastAsia="MS Mincho"/>
        </w:rPr>
        <w:t xml:space="preserve">further </w:t>
      </w:r>
      <w:r w:rsidR="006F1676" w:rsidRPr="00463B9A">
        <w:rPr>
          <w:rFonts w:eastAsia="MS Mincho"/>
        </w:rPr>
        <w:t xml:space="preserve">notes the State party’s argument that the author’s claims are inadmissible under article 2 of the Optional Protocol </w:t>
      </w:r>
      <w:r w:rsidR="0000242B">
        <w:rPr>
          <w:rFonts w:eastAsia="MS Mincho"/>
        </w:rPr>
        <w:t>owing</w:t>
      </w:r>
      <w:r w:rsidR="0000242B" w:rsidRPr="00463B9A">
        <w:rPr>
          <w:rFonts w:eastAsia="MS Mincho"/>
        </w:rPr>
        <w:t xml:space="preserve"> </w:t>
      </w:r>
      <w:r w:rsidR="006F1676" w:rsidRPr="00463B9A">
        <w:rPr>
          <w:rFonts w:eastAsia="MS Mincho"/>
        </w:rPr>
        <w:t xml:space="preserve">to insufficient substantiation. </w:t>
      </w:r>
      <w:r w:rsidR="0035656D" w:rsidRPr="00463B9A">
        <w:rPr>
          <w:rFonts w:eastAsia="MS Mincho"/>
        </w:rPr>
        <w:t>However, c</w:t>
      </w:r>
      <w:r w:rsidR="006F1676" w:rsidRPr="00463B9A">
        <w:rPr>
          <w:rFonts w:eastAsia="MS Mincho"/>
        </w:rPr>
        <w:t>oncerning the author’s claims under articles 6</w:t>
      </w:r>
      <w:r w:rsidR="00C867D9" w:rsidRPr="00463B9A">
        <w:rPr>
          <w:rFonts w:eastAsia="MS Mincho"/>
        </w:rPr>
        <w:t xml:space="preserve"> </w:t>
      </w:r>
      <w:r w:rsidR="006F1676" w:rsidRPr="00463B9A">
        <w:rPr>
          <w:rFonts w:eastAsia="MS Mincho"/>
        </w:rPr>
        <w:t xml:space="preserve">(1) and 7 of the Covenant, the Committee finds that, for the purposes of admissibility, the author has provided sufficient </w:t>
      </w:r>
      <w:r w:rsidR="006F1676" w:rsidRPr="00463B9A">
        <w:rPr>
          <w:rFonts w:eastAsia="MS Mincho"/>
        </w:rPr>
        <w:lastRenderedPageBreak/>
        <w:t xml:space="preserve">details and documentary evidence regarding </w:t>
      </w:r>
      <w:r w:rsidR="003B108F" w:rsidRPr="00463B9A">
        <w:rPr>
          <w:rFonts w:eastAsia="MS Mincho"/>
        </w:rPr>
        <w:t>her</w:t>
      </w:r>
      <w:r w:rsidR="006F1676" w:rsidRPr="00463B9A">
        <w:rPr>
          <w:rFonts w:eastAsia="MS Mincho"/>
        </w:rPr>
        <w:t xml:space="preserve"> personal risk of facing death or cruel, inhuman or degrading treatment or punishment and therefore finds this part of the communication admissible.</w:t>
      </w:r>
      <w:r w:rsidR="006F1676" w:rsidRPr="00AE40E9">
        <w:rPr>
          <w:rStyle w:val="FootnoteReference"/>
          <w:rFonts w:eastAsia="MS Mincho"/>
        </w:rPr>
        <w:footnoteReference w:id="17"/>
      </w:r>
      <w:r w:rsidR="006F1676" w:rsidRPr="00463B9A">
        <w:rPr>
          <w:rFonts w:eastAsia="MS Mincho"/>
        </w:rPr>
        <w:t xml:space="preserve"> </w:t>
      </w:r>
    </w:p>
    <w:p w14:paraId="503C2CD8" w14:textId="77777777" w:rsidR="006F1676" w:rsidRPr="00463B9A" w:rsidRDefault="00153BCE" w:rsidP="006F1676">
      <w:pPr>
        <w:pStyle w:val="SingleTxtG"/>
        <w:rPr>
          <w:rFonts w:eastAsia="MS Mincho"/>
          <w:lang w:val="en-US"/>
        </w:rPr>
      </w:pPr>
      <w:r w:rsidRPr="00463B9A">
        <w:rPr>
          <w:rFonts w:eastAsia="MS Mincho"/>
        </w:rPr>
        <w:t>9</w:t>
      </w:r>
      <w:r w:rsidR="006F1676" w:rsidRPr="00463B9A">
        <w:rPr>
          <w:rFonts w:eastAsia="MS Mincho"/>
        </w:rPr>
        <w:t>.</w:t>
      </w:r>
      <w:r w:rsidR="002B76D4" w:rsidRPr="00463B9A">
        <w:rPr>
          <w:rFonts w:eastAsia="MS Mincho"/>
        </w:rPr>
        <w:t>6</w:t>
      </w:r>
      <w:r w:rsidR="006F1676" w:rsidRPr="00463B9A">
        <w:rPr>
          <w:rFonts w:eastAsia="MS Mincho"/>
        </w:rPr>
        <w:tab/>
        <w:t xml:space="preserve">With regard to the author’s claims under articles </w:t>
      </w:r>
      <w:r w:rsidR="006F1676" w:rsidRPr="00463B9A">
        <w:rPr>
          <w:rFonts w:eastAsia="MS Mincho"/>
          <w:color w:val="000000"/>
        </w:rPr>
        <w:t>9</w:t>
      </w:r>
      <w:r w:rsidR="00772C94" w:rsidRPr="00463B9A">
        <w:rPr>
          <w:rFonts w:eastAsia="MS Mincho"/>
          <w:color w:val="000000"/>
        </w:rPr>
        <w:t xml:space="preserve"> </w:t>
      </w:r>
      <w:r w:rsidR="00C867D9" w:rsidRPr="00463B9A">
        <w:rPr>
          <w:rFonts w:eastAsia="MS Mincho"/>
          <w:color w:val="000000"/>
        </w:rPr>
        <w:t xml:space="preserve">(1) </w:t>
      </w:r>
      <w:r w:rsidR="006F1676" w:rsidRPr="00463B9A">
        <w:rPr>
          <w:rFonts w:eastAsia="MS Mincho"/>
          <w:color w:val="000000"/>
        </w:rPr>
        <w:t>and 26 of the Covenant</w:t>
      </w:r>
      <w:r w:rsidR="006F1676" w:rsidRPr="00463B9A">
        <w:rPr>
          <w:rFonts w:eastAsia="MS Mincho"/>
        </w:rPr>
        <w:t xml:space="preserve">, the Committee notes the State party’s argument that its </w:t>
      </w:r>
      <w:r w:rsidR="006F1676" w:rsidRPr="003826E8">
        <w:rPr>
          <w:rFonts w:eastAsia="MS Mincho"/>
        </w:rPr>
        <w:t>non</w:t>
      </w:r>
      <w:r w:rsidR="006F1676" w:rsidRPr="004411EE">
        <w:rPr>
          <w:rFonts w:eastAsia="MS Mincho"/>
        </w:rPr>
        <w:t>-</w:t>
      </w:r>
      <w:r w:rsidR="006F1676" w:rsidRPr="003826E8">
        <w:rPr>
          <w:rFonts w:eastAsia="MS Mincho"/>
        </w:rPr>
        <w:t>refoulement</w:t>
      </w:r>
      <w:r w:rsidR="006F1676" w:rsidRPr="00463B9A">
        <w:rPr>
          <w:rFonts w:eastAsia="MS Mincho"/>
        </w:rPr>
        <w:t xml:space="preserve"> obligations do not extend to potential breaches of these provisions, and that these claims are therefore inadmissible </w:t>
      </w:r>
      <w:proofErr w:type="spellStart"/>
      <w:r w:rsidR="006F1676" w:rsidRPr="00463B9A">
        <w:rPr>
          <w:rFonts w:eastAsia="MS Mincho"/>
          <w:i/>
        </w:rPr>
        <w:t>ratione</w:t>
      </w:r>
      <w:proofErr w:type="spellEnd"/>
      <w:r w:rsidR="006F1676" w:rsidRPr="00463B9A">
        <w:rPr>
          <w:rFonts w:eastAsia="MS Mincho"/>
          <w:i/>
        </w:rPr>
        <w:t xml:space="preserve"> </w:t>
      </w:r>
      <w:proofErr w:type="spellStart"/>
      <w:r w:rsidR="006F1676" w:rsidRPr="00463B9A">
        <w:rPr>
          <w:rFonts w:eastAsia="MS Mincho"/>
          <w:i/>
        </w:rPr>
        <w:t>materiae</w:t>
      </w:r>
      <w:proofErr w:type="spellEnd"/>
      <w:r w:rsidR="006F1676" w:rsidRPr="00463B9A">
        <w:rPr>
          <w:rFonts w:eastAsia="MS Mincho"/>
        </w:rPr>
        <w:t xml:space="preserve"> under article 3 of the Optional Protocol. The Committee </w:t>
      </w:r>
      <w:r w:rsidR="00840A52" w:rsidRPr="00463B9A">
        <w:rPr>
          <w:rFonts w:eastAsia="MS Mincho"/>
        </w:rPr>
        <w:t>considers</w:t>
      </w:r>
      <w:r w:rsidR="006F1676" w:rsidRPr="00463B9A">
        <w:rPr>
          <w:rFonts w:eastAsia="MS Mincho"/>
        </w:rPr>
        <w:t xml:space="preserve"> that the author has not clearly articulated how </w:t>
      </w:r>
      <w:r w:rsidR="003B108F" w:rsidRPr="00463B9A">
        <w:rPr>
          <w:rFonts w:eastAsia="MS Mincho"/>
        </w:rPr>
        <w:t>her</w:t>
      </w:r>
      <w:r w:rsidR="006F1676" w:rsidRPr="00463B9A">
        <w:rPr>
          <w:rFonts w:eastAsia="MS Mincho"/>
        </w:rPr>
        <w:t xml:space="preserve"> removal to Bangladesh would violate the State party’s obligations under these articles. </w:t>
      </w:r>
      <w:r w:rsidR="00CA3085" w:rsidRPr="00463B9A">
        <w:rPr>
          <w:rFonts w:eastAsia="MS Mincho"/>
        </w:rPr>
        <w:t>In particular, she</w:t>
      </w:r>
      <w:r w:rsidR="00772C94" w:rsidRPr="00463B9A">
        <w:rPr>
          <w:rFonts w:eastAsia="MS Mincho"/>
        </w:rPr>
        <w:t xml:space="preserve"> has not alleged facts that indicate that she would be arbitrarily detain</w:t>
      </w:r>
      <w:r w:rsidR="009D24F8" w:rsidRPr="00463B9A">
        <w:rPr>
          <w:rFonts w:eastAsia="MS Mincho"/>
        </w:rPr>
        <w:t xml:space="preserve">ed </w:t>
      </w:r>
      <w:r w:rsidR="00772C94" w:rsidRPr="00463B9A">
        <w:rPr>
          <w:rFonts w:eastAsia="MS Mincho"/>
        </w:rPr>
        <w:t xml:space="preserve">or </w:t>
      </w:r>
      <w:r w:rsidR="009D24F8" w:rsidRPr="00463B9A">
        <w:rPr>
          <w:rFonts w:eastAsia="MS Mincho"/>
        </w:rPr>
        <w:t>subject</w:t>
      </w:r>
      <w:r w:rsidR="00756878" w:rsidRPr="00463B9A">
        <w:rPr>
          <w:rFonts w:eastAsia="MS Mincho"/>
        </w:rPr>
        <w:t>ed</w:t>
      </w:r>
      <w:r w:rsidR="009D24F8" w:rsidRPr="00463B9A">
        <w:rPr>
          <w:rFonts w:eastAsia="MS Mincho"/>
        </w:rPr>
        <w:t xml:space="preserve"> to discrimination</w:t>
      </w:r>
      <w:r w:rsidR="00772C94" w:rsidRPr="00463B9A">
        <w:rPr>
          <w:rFonts w:eastAsia="MS Mincho"/>
        </w:rPr>
        <w:t xml:space="preserve"> if returned to Bangladesh. </w:t>
      </w:r>
      <w:r w:rsidR="00D327D7" w:rsidRPr="00463B9A">
        <w:rPr>
          <w:rFonts w:eastAsia="MS Mincho"/>
        </w:rPr>
        <w:t xml:space="preserve">The Committee </w:t>
      </w:r>
      <w:r w:rsidR="006F1676" w:rsidRPr="00463B9A">
        <w:rPr>
          <w:rFonts w:eastAsia="MS Mincho"/>
        </w:rPr>
        <w:t xml:space="preserve">finds that the author </w:t>
      </w:r>
      <w:r w:rsidR="00840A52" w:rsidRPr="00463B9A">
        <w:rPr>
          <w:rFonts w:eastAsia="MS Mincho"/>
        </w:rPr>
        <w:t xml:space="preserve">has </w:t>
      </w:r>
      <w:r w:rsidR="006F1676" w:rsidRPr="00463B9A">
        <w:rPr>
          <w:rFonts w:eastAsia="MS Mincho"/>
        </w:rPr>
        <w:t xml:space="preserve">failed to substantiate, for purposes of admissibility, </w:t>
      </w:r>
      <w:r w:rsidR="003B108F" w:rsidRPr="00463B9A">
        <w:rPr>
          <w:rFonts w:eastAsia="MS Mincho"/>
        </w:rPr>
        <w:t>her</w:t>
      </w:r>
      <w:r w:rsidR="006F1676" w:rsidRPr="00463B9A">
        <w:rPr>
          <w:rFonts w:eastAsia="MS Mincho"/>
        </w:rPr>
        <w:t xml:space="preserve"> allegation</w:t>
      </w:r>
      <w:r w:rsidR="00772C94" w:rsidRPr="00463B9A">
        <w:rPr>
          <w:rFonts w:eastAsia="MS Mincho"/>
        </w:rPr>
        <w:t>s</w:t>
      </w:r>
      <w:r w:rsidR="006F1676" w:rsidRPr="00463B9A">
        <w:rPr>
          <w:rFonts w:eastAsia="MS Mincho"/>
        </w:rPr>
        <w:t xml:space="preserve"> under articles </w:t>
      </w:r>
      <w:r w:rsidR="00C867D9" w:rsidRPr="00463B9A">
        <w:rPr>
          <w:rFonts w:eastAsia="MS Mincho"/>
          <w:lang w:val="en-US"/>
        </w:rPr>
        <w:t>9 (1) and</w:t>
      </w:r>
      <w:r w:rsidR="006F1676" w:rsidRPr="00463B9A">
        <w:rPr>
          <w:rFonts w:eastAsia="MS Mincho"/>
          <w:lang w:val="en-US"/>
        </w:rPr>
        <w:t xml:space="preserve"> 26</w:t>
      </w:r>
      <w:r w:rsidR="006F1676" w:rsidRPr="00463B9A">
        <w:rPr>
          <w:rFonts w:eastAsia="MS Mincho"/>
        </w:rPr>
        <w:t>.</w:t>
      </w:r>
      <w:r w:rsidR="00AA7AEC" w:rsidRPr="00463B9A">
        <w:rPr>
          <w:rFonts w:eastAsia="MS Mincho"/>
          <w:vertAlign w:val="superscript"/>
          <w:lang w:val="en-US"/>
        </w:rPr>
        <w:t xml:space="preserve"> </w:t>
      </w:r>
      <w:r w:rsidR="006F1676" w:rsidRPr="00463B9A">
        <w:rPr>
          <w:rFonts w:eastAsia="MS Mincho"/>
          <w:lang w:val="en-US"/>
        </w:rPr>
        <w:t xml:space="preserve">Accordingly, the Committee declares this part of the communication inadmissible under article 2 of the Optional Protocol. </w:t>
      </w:r>
    </w:p>
    <w:p w14:paraId="2F912DCA" w14:textId="77777777" w:rsidR="006F1676" w:rsidRPr="00463B9A" w:rsidRDefault="00153BCE" w:rsidP="006F1676">
      <w:pPr>
        <w:spacing w:after="120"/>
        <w:ind w:left="1134" w:right="1134"/>
        <w:jc w:val="both"/>
        <w:rPr>
          <w:rFonts w:eastAsia="MS Mincho"/>
        </w:rPr>
      </w:pPr>
      <w:r w:rsidRPr="00463B9A">
        <w:rPr>
          <w:rFonts w:eastAsia="MS Mincho"/>
        </w:rPr>
        <w:t>9</w:t>
      </w:r>
      <w:r w:rsidR="006F1676" w:rsidRPr="00463B9A">
        <w:rPr>
          <w:rFonts w:eastAsia="MS Mincho"/>
        </w:rPr>
        <w:t>.</w:t>
      </w:r>
      <w:r w:rsidR="002B76D4" w:rsidRPr="00463B9A">
        <w:rPr>
          <w:rFonts w:eastAsia="MS Mincho"/>
        </w:rPr>
        <w:t>7</w:t>
      </w:r>
      <w:r w:rsidR="006F1676" w:rsidRPr="00463B9A">
        <w:rPr>
          <w:rFonts w:eastAsia="MS Mincho"/>
        </w:rPr>
        <w:tab/>
        <w:t>The Committee declares the communication admissible insofar as it raises issues under articles 6</w:t>
      </w:r>
      <w:r w:rsidR="00D53954" w:rsidRPr="00463B9A">
        <w:rPr>
          <w:rFonts w:eastAsia="MS Mincho"/>
        </w:rPr>
        <w:t xml:space="preserve"> </w:t>
      </w:r>
      <w:r w:rsidR="006F1676" w:rsidRPr="00463B9A">
        <w:rPr>
          <w:rFonts w:eastAsia="MS Mincho"/>
        </w:rPr>
        <w:t>(1) and 7 and proceeds to consideration of the merits.</w:t>
      </w:r>
    </w:p>
    <w:p w14:paraId="6F96779F" w14:textId="77777777" w:rsidR="006F1676" w:rsidRPr="00463B9A" w:rsidRDefault="006F1676" w:rsidP="006F1676">
      <w:pPr>
        <w:pStyle w:val="H4G"/>
        <w:rPr>
          <w:rFonts w:eastAsia="MS Mincho"/>
        </w:rPr>
      </w:pPr>
      <w:r w:rsidRPr="00463B9A">
        <w:rPr>
          <w:rFonts w:eastAsia="MS Mincho"/>
        </w:rPr>
        <w:tab/>
      </w:r>
      <w:r w:rsidRPr="00463B9A">
        <w:rPr>
          <w:rFonts w:eastAsia="MS Mincho"/>
        </w:rPr>
        <w:tab/>
        <w:t>Consideration of the merits</w:t>
      </w:r>
    </w:p>
    <w:p w14:paraId="7A77F569" w14:textId="23BD9CC4" w:rsidR="006F1676" w:rsidRPr="00463B9A" w:rsidRDefault="00E36E6E" w:rsidP="006F1676">
      <w:pPr>
        <w:pStyle w:val="SingleTxtG"/>
        <w:rPr>
          <w:rFonts w:eastAsia="MS Mincho"/>
        </w:rPr>
      </w:pPr>
      <w:r w:rsidRPr="00463B9A">
        <w:rPr>
          <w:rFonts w:eastAsia="MS Mincho"/>
          <w:iCs/>
        </w:rPr>
        <w:t>1</w:t>
      </w:r>
      <w:r w:rsidR="00153BCE" w:rsidRPr="00463B9A">
        <w:rPr>
          <w:rFonts w:eastAsia="MS Mincho"/>
          <w:iCs/>
        </w:rPr>
        <w:t>0</w:t>
      </w:r>
      <w:r w:rsidR="006F1676" w:rsidRPr="00463B9A">
        <w:rPr>
          <w:rFonts w:eastAsia="MS Mincho"/>
          <w:iCs/>
        </w:rPr>
        <w:t>.1</w:t>
      </w:r>
      <w:r w:rsidR="006F1676" w:rsidRPr="00463B9A">
        <w:rPr>
          <w:rFonts w:eastAsia="MS Mincho"/>
          <w:iCs/>
        </w:rPr>
        <w:tab/>
      </w:r>
      <w:r w:rsidR="006F1676" w:rsidRPr="00463B9A">
        <w:rPr>
          <w:rFonts w:eastAsia="MS Mincho"/>
        </w:rPr>
        <w:t>The Committee has considered the communication in the light of all the information made available to it by the parties, as provided for under article 5</w:t>
      </w:r>
      <w:r w:rsidR="00FB5B26" w:rsidRPr="00463B9A">
        <w:rPr>
          <w:rFonts w:eastAsia="MS Mincho"/>
        </w:rPr>
        <w:t xml:space="preserve"> </w:t>
      </w:r>
      <w:r w:rsidR="006F1676" w:rsidRPr="00463B9A">
        <w:rPr>
          <w:rFonts w:eastAsia="MS Mincho"/>
        </w:rPr>
        <w:t xml:space="preserve">(1) of the Optional Protocol. </w:t>
      </w:r>
    </w:p>
    <w:p w14:paraId="670EB7A6" w14:textId="32D00AE8" w:rsidR="006F1676" w:rsidRPr="00463B9A" w:rsidRDefault="00E36E6E" w:rsidP="006F1676">
      <w:pPr>
        <w:pStyle w:val="SingleTxtG"/>
        <w:rPr>
          <w:rFonts w:eastAsia="MS Mincho"/>
          <w:lang w:val="en-US"/>
        </w:rPr>
      </w:pPr>
      <w:r w:rsidRPr="00463B9A">
        <w:rPr>
          <w:rFonts w:eastAsia="MS Mincho"/>
        </w:rPr>
        <w:t>1</w:t>
      </w:r>
      <w:r w:rsidR="00153BCE" w:rsidRPr="00463B9A">
        <w:rPr>
          <w:rFonts w:eastAsia="MS Mincho"/>
        </w:rPr>
        <w:t>0</w:t>
      </w:r>
      <w:r w:rsidR="006F1676" w:rsidRPr="00463B9A">
        <w:rPr>
          <w:rFonts w:eastAsia="MS Mincho"/>
        </w:rPr>
        <w:t>.2</w:t>
      </w:r>
      <w:r w:rsidR="006F1676" w:rsidRPr="00463B9A">
        <w:rPr>
          <w:rFonts w:eastAsia="MS Mincho"/>
        </w:rPr>
        <w:tab/>
        <w:t xml:space="preserve">The Committee notes the author’s claim that </w:t>
      </w:r>
      <w:r w:rsidR="003B108F" w:rsidRPr="00463B9A">
        <w:rPr>
          <w:rFonts w:eastAsia="MS Mincho"/>
        </w:rPr>
        <w:t>s</w:t>
      </w:r>
      <w:r w:rsidR="006F1676" w:rsidRPr="00463B9A">
        <w:rPr>
          <w:rFonts w:eastAsia="MS Mincho"/>
        </w:rPr>
        <w:t xml:space="preserve">he would face ill-treatment </w:t>
      </w:r>
      <w:r w:rsidR="00854273" w:rsidRPr="00463B9A">
        <w:rPr>
          <w:rFonts w:eastAsia="MS Mincho"/>
        </w:rPr>
        <w:t xml:space="preserve">or death </w:t>
      </w:r>
      <w:r w:rsidR="006F1676" w:rsidRPr="00463B9A">
        <w:rPr>
          <w:rFonts w:eastAsia="MS Mincho"/>
        </w:rPr>
        <w:t xml:space="preserve">if </w:t>
      </w:r>
      <w:r w:rsidR="00854273" w:rsidRPr="00463B9A">
        <w:rPr>
          <w:rFonts w:eastAsia="MS Mincho"/>
        </w:rPr>
        <w:t>s</w:t>
      </w:r>
      <w:r w:rsidR="006F1676" w:rsidRPr="00463B9A">
        <w:rPr>
          <w:rFonts w:eastAsia="MS Mincho"/>
        </w:rPr>
        <w:t xml:space="preserve">he were removed to Bangladesh </w:t>
      </w:r>
      <w:r w:rsidR="0000242B">
        <w:rPr>
          <w:rFonts w:eastAsia="MS Mincho"/>
        </w:rPr>
        <w:t>owing</w:t>
      </w:r>
      <w:r w:rsidR="0000242B" w:rsidRPr="00463B9A">
        <w:rPr>
          <w:rFonts w:eastAsia="MS Mincho"/>
        </w:rPr>
        <w:t xml:space="preserve"> </w:t>
      </w:r>
      <w:r w:rsidR="006F1676" w:rsidRPr="00463B9A">
        <w:rPr>
          <w:rFonts w:eastAsia="MS Mincho"/>
        </w:rPr>
        <w:t xml:space="preserve">to </w:t>
      </w:r>
      <w:r w:rsidR="00854273" w:rsidRPr="00463B9A">
        <w:rPr>
          <w:rFonts w:eastAsia="MS Mincho"/>
        </w:rPr>
        <w:t xml:space="preserve">threats from </w:t>
      </w:r>
      <w:r w:rsidR="00731640" w:rsidRPr="00463B9A">
        <w:rPr>
          <w:rFonts w:eastAsia="MS Mincho"/>
        </w:rPr>
        <w:t xml:space="preserve">S., whose friend and two brothers murdered her own </w:t>
      </w:r>
      <w:r w:rsidR="00854273" w:rsidRPr="00463B9A">
        <w:rPr>
          <w:rFonts w:eastAsia="MS Mincho"/>
        </w:rPr>
        <w:t>brother.</w:t>
      </w:r>
      <w:r w:rsidR="00731640" w:rsidRPr="00463B9A">
        <w:rPr>
          <w:rFonts w:eastAsia="MS Mincho"/>
        </w:rPr>
        <w:t xml:space="preserve"> The Committee</w:t>
      </w:r>
      <w:r w:rsidR="006F1676" w:rsidRPr="00463B9A">
        <w:rPr>
          <w:rFonts w:eastAsia="MS Mincho"/>
        </w:rPr>
        <w:t xml:space="preserve"> also notes the State party’s observations that </w:t>
      </w:r>
      <w:r w:rsidR="006F1676" w:rsidRPr="00463B9A">
        <w:rPr>
          <w:rFonts w:eastAsia="MS Mincho"/>
          <w:lang w:val="en-US"/>
        </w:rPr>
        <w:t>the domestic decision</w:t>
      </w:r>
      <w:r w:rsidR="0000242B">
        <w:rPr>
          <w:rFonts w:eastAsia="MS Mincho"/>
          <w:lang w:val="en-US"/>
        </w:rPr>
        <w:t xml:space="preserve"> </w:t>
      </w:r>
      <w:r w:rsidR="006F1676" w:rsidRPr="00463B9A">
        <w:rPr>
          <w:rFonts w:eastAsia="MS Mincho"/>
          <w:lang w:val="en-US"/>
        </w:rPr>
        <w:t xml:space="preserve">makers were not </w:t>
      </w:r>
      <w:r w:rsidR="00AF3171" w:rsidRPr="00463B9A">
        <w:rPr>
          <w:rFonts w:eastAsia="MS Mincho"/>
          <w:lang w:val="en-US"/>
        </w:rPr>
        <w:t>persuaded</w:t>
      </w:r>
      <w:r w:rsidR="006F1676" w:rsidRPr="00463B9A">
        <w:rPr>
          <w:rFonts w:eastAsia="MS Mincho"/>
          <w:lang w:val="en-US"/>
        </w:rPr>
        <w:t xml:space="preserve"> that the author</w:t>
      </w:r>
      <w:r w:rsidR="00854273" w:rsidRPr="00463B9A">
        <w:rPr>
          <w:rFonts w:eastAsia="MS Mincho"/>
          <w:lang w:val="en-US"/>
        </w:rPr>
        <w:t xml:space="preserve"> had been personally targeted</w:t>
      </w:r>
      <w:r w:rsidR="006F1676" w:rsidRPr="00463B9A">
        <w:rPr>
          <w:rFonts w:eastAsia="MS Mincho"/>
          <w:lang w:val="en-US"/>
        </w:rPr>
        <w:t xml:space="preserve">, or would be </w:t>
      </w:r>
      <w:r w:rsidR="00AF3171" w:rsidRPr="00463B9A">
        <w:rPr>
          <w:rFonts w:eastAsia="MS Mincho"/>
          <w:lang w:val="en-US"/>
        </w:rPr>
        <w:t xml:space="preserve">targeted </w:t>
      </w:r>
      <w:r w:rsidR="006F1676" w:rsidRPr="00463B9A">
        <w:rPr>
          <w:rFonts w:eastAsia="MS Mincho"/>
          <w:lang w:val="en-US"/>
        </w:rPr>
        <w:t xml:space="preserve">if </w:t>
      </w:r>
      <w:r w:rsidR="00854273" w:rsidRPr="00463B9A">
        <w:rPr>
          <w:rFonts w:eastAsia="MS Mincho"/>
          <w:lang w:val="en-US"/>
        </w:rPr>
        <w:t>s</w:t>
      </w:r>
      <w:r w:rsidR="006F1676" w:rsidRPr="00463B9A">
        <w:rPr>
          <w:rFonts w:eastAsia="MS Mincho"/>
          <w:lang w:val="en-US"/>
        </w:rPr>
        <w:t xml:space="preserve">he returned to </w:t>
      </w:r>
      <w:r w:rsidR="00854273" w:rsidRPr="00463B9A">
        <w:rPr>
          <w:rFonts w:eastAsia="MS Mincho"/>
          <w:lang w:val="en-US"/>
        </w:rPr>
        <w:t>Bangladesh</w:t>
      </w:r>
      <w:r w:rsidR="006F1676" w:rsidRPr="00463B9A">
        <w:rPr>
          <w:rFonts w:eastAsia="MS Mincho"/>
          <w:lang w:val="en-US"/>
        </w:rPr>
        <w:t xml:space="preserve">. The Committee further takes note of the State party’s observation that </w:t>
      </w:r>
      <w:r w:rsidR="006F1676" w:rsidRPr="00463B9A">
        <w:rPr>
          <w:rFonts w:eastAsia="MS Mincho"/>
        </w:rPr>
        <w:t>it is not the Committee’s role to review credibility assessments made by domestic decision</w:t>
      </w:r>
      <w:r w:rsidR="0000242B">
        <w:rPr>
          <w:rFonts w:eastAsia="MS Mincho"/>
        </w:rPr>
        <w:t xml:space="preserve"> </w:t>
      </w:r>
      <w:r w:rsidR="006F1676" w:rsidRPr="00463B9A">
        <w:rPr>
          <w:rFonts w:eastAsia="MS Mincho"/>
        </w:rPr>
        <w:t>makers.</w:t>
      </w:r>
    </w:p>
    <w:p w14:paraId="3AA85AE9" w14:textId="723F2777" w:rsidR="006F1676" w:rsidRPr="00463B9A" w:rsidRDefault="00E36E6E" w:rsidP="006F1676">
      <w:pPr>
        <w:pStyle w:val="SingleTxtG"/>
        <w:rPr>
          <w:rFonts w:eastAsia="MS Mincho"/>
          <w:lang w:val="en-US"/>
        </w:rPr>
      </w:pPr>
      <w:r w:rsidRPr="00463B9A">
        <w:rPr>
          <w:rFonts w:eastAsia="MS Mincho"/>
        </w:rPr>
        <w:t>1</w:t>
      </w:r>
      <w:r w:rsidR="00153BCE" w:rsidRPr="00463B9A">
        <w:rPr>
          <w:rFonts w:eastAsia="MS Mincho"/>
        </w:rPr>
        <w:t>0</w:t>
      </w:r>
      <w:r w:rsidR="006F1676" w:rsidRPr="00463B9A">
        <w:rPr>
          <w:rFonts w:eastAsia="MS Mincho"/>
        </w:rPr>
        <w:t>.3</w:t>
      </w:r>
      <w:r w:rsidR="006F1676" w:rsidRPr="00463B9A">
        <w:rPr>
          <w:rFonts w:eastAsia="MS Mincho"/>
        </w:rPr>
        <w:tab/>
        <w:t xml:space="preserve">The Committee recalls </w:t>
      </w:r>
      <w:r w:rsidR="0000242B">
        <w:rPr>
          <w:rFonts w:eastAsia="MS Mincho"/>
        </w:rPr>
        <w:t xml:space="preserve">paragraph 12 of </w:t>
      </w:r>
      <w:r w:rsidR="006F1676" w:rsidRPr="00463B9A">
        <w:rPr>
          <w:rFonts w:eastAsia="MS Mincho"/>
        </w:rPr>
        <w:t>its general comment No. 31</w:t>
      </w:r>
      <w:r w:rsidR="0000242B">
        <w:rPr>
          <w:rFonts w:eastAsia="MS Mincho"/>
        </w:rPr>
        <w:t xml:space="preserve"> (2004) on the nature of the general legal obligation on States parties to the Covenant,</w:t>
      </w:r>
      <w:r w:rsidR="006F1676" w:rsidRPr="00463B9A">
        <w:rPr>
          <w:rFonts w:eastAsia="MS Mincho"/>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006F1676" w:rsidRPr="00AE40E9">
        <w:rPr>
          <w:rStyle w:val="FootnoteReference"/>
          <w:rFonts w:eastAsia="MS Mincho"/>
        </w:rPr>
        <w:footnoteReference w:id="18"/>
      </w:r>
      <w:r w:rsidR="006F1676" w:rsidRPr="00463B9A">
        <w:rPr>
          <w:rFonts w:eastAsia="MS Mincho"/>
        </w:rPr>
        <w:t xml:space="preserve"> and that there is a high threshold for providing substantial grounds to establish that a real risk of irreparable harm exists. Thus, all relevant facts and circumstances must be considered, including the general human </w:t>
      </w:r>
      <w:r w:rsidR="004F4323" w:rsidRPr="00463B9A">
        <w:rPr>
          <w:rFonts w:eastAsia="MS Mincho"/>
        </w:rPr>
        <w:t>rights situation in the author’s</w:t>
      </w:r>
      <w:r w:rsidR="006F1676" w:rsidRPr="00463B9A">
        <w:rPr>
          <w:rFonts w:eastAsia="MS Mincho"/>
        </w:rPr>
        <w:t xml:space="preserve"> country of origin.</w:t>
      </w:r>
      <w:r w:rsidR="006F1676" w:rsidRPr="00AE40E9">
        <w:rPr>
          <w:rStyle w:val="FootnoteReference"/>
          <w:rFonts w:eastAsia="MS Mincho"/>
        </w:rPr>
        <w:footnoteReference w:id="19"/>
      </w:r>
      <w:r w:rsidR="006F1676" w:rsidRPr="00463B9A">
        <w:rPr>
          <w:rFonts w:eastAsia="MS Mincho"/>
        </w:rPr>
        <w:t xml:space="preserve"> </w:t>
      </w:r>
      <w:r w:rsidR="006F1676" w:rsidRPr="00463B9A">
        <w:rPr>
          <w:rFonts w:eastAsia="MS Mincho"/>
          <w:lang w:val="en-US"/>
        </w:rPr>
        <w:t>The Committee recalls that it is generally for the organs of States parties to examine the facts and evidence of the case</w:t>
      </w:r>
      <w:r w:rsidR="006F1676" w:rsidRPr="00463B9A">
        <w:rPr>
          <w:rFonts w:eastAsia="MS Mincho"/>
          <w:b/>
          <w:lang w:val="en-US"/>
        </w:rPr>
        <w:t xml:space="preserve"> </w:t>
      </w:r>
      <w:r w:rsidR="006F1676" w:rsidRPr="00463B9A">
        <w:rPr>
          <w:rFonts w:eastAsia="MS Mincho"/>
          <w:lang w:val="en-US"/>
        </w:rPr>
        <w:t>in order to determine whether such a risk exists, unless it can be established that the assessment was arbitrary or amounted to a manifest error or denial of justice.</w:t>
      </w:r>
      <w:r w:rsidR="006F1676" w:rsidRPr="00AE40E9">
        <w:rPr>
          <w:rStyle w:val="FootnoteReference"/>
          <w:rFonts w:eastAsia="MS Mincho"/>
        </w:rPr>
        <w:footnoteReference w:id="20"/>
      </w:r>
    </w:p>
    <w:p w14:paraId="67B45CEE" w14:textId="7EAA449B" w:rsidR="006F1676" w:rsidRPr="00463B9A" w:rsidRDefault="00E36E6E" w:rsidP="00D93432">
      <w:pPr>
        <w:pStyle w:val="SingleTxtG"/>
      </w:pPr>
      <w:r w:rsidRPr="00463B9A">
        <w:rPr>
          <w:rFonts w:eastAsia="MS Mincho"/>
          <w:lang w:val="en-US"/>
        </w:rPr>
        <w:lastRenderedPageBreak/>
        <w:t>1</w:t>
      </w:r>
      <w:r w:rsidR="00153BCE" w:rsidRPr="00463B9A">
        <w:rPr>
          <w:rFonts w:eastAsia="MS Mincho"/>
          <w:lang w:val="en-US"/>
        </w:rPr>
        <w:t>0</w:t>
      </w:r>
      <w:r w:rsidR="006F1676" w:rsidRPr="00463B9A">
        <w:rPr>
          <w:rFonts w:eastAsia="MS Mincho"/>
          <w:lang w:val="en-US"/>
        </w:rPr>
        <w:t>.4</w:t>
      </w:r>
      <w:r w:rsidR="006F1676" w:rsidRPr="00463B9A">
        <w:rPr>
          <w:rFonts w:eastAsia="MS Mincho"/>
          <w:lang w:val="en-US"/>
        </w:rPr>
        <w:tab/>
      </w:r>
      <w:r w:rsidR="006738AE" w:rsidRPr="00463B9A">
        <w:rPr>
          <w:rFonts w:eastAsia="MS Mincho"/>
          <w:lang w:val="en-US"/>
        </w:rPr>
        <w:t xml:space="preserve">The Committee </w:t>
      </w:r>
      <w:r w:rsidR="00A37D67" w:rsidRPr="00463B9A">
        <w:rPr>
          <w:rFonts w:eastAsia="MS Mincho"/>
          <w:lang w:val="en-US"/>
        </w:rPr>
        <w:t>takes note that the State party’s authorities, after examining the evidence and oral testimony provided by the author in her refugee claim and PRRA</w:t>
      </w:r>
      <w:r w:rsidR="008C5A1F">
        <w:rPr>
          <w:rFonts w:eastAsia="MS Mincho"/>
          <w:lang w:val="en-US"/>
        </w:rPr>
        <w:t xml:space="preserve"> </w:t>
      </w:r>
      <w:r w:rsidR="00A37D67" w:rsidRPr="00463B9A">
        <w:rPr>
          <w:rFonts w:eastAsia="MS Mincho"/>
          <w:lang w:val="en-US"/>
        </w:rPr>
        <w:t xml:space="preserve">application as well as evidence concerning the human rights situation in Bangladesh, found that the author </w:t>
      </w:r>
      <w:r w:rsidR="009140BC" w:rsidRPr="00463B9A">
        <w:rPr>
          <w:rFonts w:eastAsia="MS Mincho"/>
          <w:lang w:val="en-US"/>
        </w:rPr>
        <w:t xml:space="preserve">had not shown that she would be at risk if she were returned to Bangladesh. </w:t>
      </w:r>
      <w:r w:rsidR="006F1676" w:rsidRPr="00463B9A">
        <w:rPr>
          <w:rFonts w:eastAsia="MS Mincho"/>
          <w:lang w:val="en-US"/>
        </w:rPr>
        <w:t xml:space="preserve">The </w:t>
      </w:r>
      <w:r w:rsidR="00251A57">
        <w:rPr>
          <w:rFonts w:eastAsia="MS Mincho"/>
          <w:lang w:val="en-US"/>
        </w:rPr>
        <w:t>Refugee Protection Division</w:t>
      </w:r>
      <w:r w:rsidR="006F1676" w:rsidRPr="00463B9A">
        <w:rPr>
          <w:rFonts w:eastAsia="MS Mincho"/>
          <w:lang w:val="en-US"/>
        </w:rPr>
        <w:t xml:space="preserve"> found</w:t>
      </w:r>
      <w:r w:rsidR="00E32196" w:rsidRPr="00463B9A">
        <w:rPr>
          <w:rFonts w:eastAsia="MS Mincho"/>
          <w:lang w:val="en-US"/>
        </w:rPr>
        <w:t xml:space="preserve"> </w:t>
      </w:r>
      <w:r w:rsidR="006F1676" w:rsidRPr="00463B9A">
        <w:rPr>
          <w:rFonts w:eastAsia="MS Mincho"/>
          <w:lang w:val="en-US"/>
        </w:rPr>
        <w:t xml:space="preserve">that </w:t>
      </w:r>
      <w:r w:rsidR="00E32196" w:rsidRPr="00463B9A">
        <w:rPr>
          <w:rFonts w:eastAsia="MS Mincho"/>
          <w:lang w:val="en-US"/>
        </w:rPr>
        <w:t>she was not credible concerning the threats she and her mother allegedly recei</w:t>
      </w:r>
      <w:r w:rsidR="00F40BCB" w:rsidRPr="00463B9A">
        <w:rPr>
          <w:rFonts w:eastAsia="MS Mincho"/>
          <w:lang w:val="en-US"/>
        </w:rPr>
        <w:t xml:space="preserve">ved after her brother’s murder; </w:t>
      </w:r>
      <w:r w:rsidR="00172C6C" w:rsidRPr="00463B9A">
        <w:rPr>
          <w:rFonts w:eastAsia="MS Mincho"/>
          <w:lang w:val="en-US"/>
        </w:rPr>
        <w:t xml:space="preserve">that the statements she provided </w:t>
      </w:r>
      <w:r w:rsidR="001A69F4" w:rsidRPr="00463B9A">
        <w:rPr>
          <w:rFonts w:eastAsia="MS Mincho"/>
          <w:lang w:val="en-US"/>
        </w:rPr>
        <w:t xml:space="preserve">from other individuals </w:t>
      </w:r>
      <w:r w:rsidR="00172C6C" w:rsidRPr="00463B9A">
        <w:rPr>
          <w:rFonts w:eastAsia="MS Mincho"/>
          <w:lang w:val="en-US"/>
        </w:rPr>
        <w:t xml:space="preserve">to establish that </w:t>
      </w:r>
      <w:r w:rsidR="005C686E" w:rsidRPr="00463B9A">
        <w:rPr>
          <w:rFonts w:eastAsia="MS Mincho"/>
          <w:lang w:val="en-US"/>
        </w:rPr>
        <w:t>she</w:t>
      </w:r>
      <w:r w:rsidR="00172C6C" w:rsidRPr="00463B9A">
        <w:rPr>
          <w:rFonts w:eastAsia="MS Mincho"/>
          <w:lang w:val="en-US"/>
        </w:rPr>
        <w:t xml:space="preserve"> had been</w:t>
      </w:r>
      <w:r w:rsidR="001A69F4" w:rsidRPr="00463B9A">
        <w:rPr>
          <w:rFonts w:eastAsia="MS Mincho"/>
          <w:lang w:val="en-US"/>
        </w:rPr>
        <w:t xml:space="preserve"> threatened did not mention her; that she</w:t>
      </w:r>
      <w:r w:rsidR="00E32196" w:rsidRPr="00463B9A">
        <w:rPr>
          <w:lang w:val="en-CA"/>
        </w:rPr>
        <w:t xml:space="preserve"> did not</w:t>
      </w:r>
      <w:r w:rsidR="00183360" w:rsidRPr="00463B9A">
        <w:rPr>
          <w:lang w:val="en-CA"/>
        </w:rPr>
        <w:t xml:space="preserve"> provide any evidence to support her claims that the agents of persecution who</w:t>
      </w:r>
      <w:r w:rsidR="00247F5F" w:rsidRPr="00463B9A">
        <w:rPr>
          <w:lang w:val="en-CA"/>
        </w:rPr>
        <w:t xml:space="preserve"> allegedly</w:t>
      </w:r>
      <w:r w:rsidR="00183360" w:rsidRPr="00463B9A">
        <w:rPr>
          <w:lang w:val="en-CA"/>
        </w:rPr>
        <w:t xml:space="preserve"> murdered her brother </w:t>
      </w:r>
      <w:r w:rsidR="0000242B">
        <w:rPr>
          <w:lang w:val="en-CA"/>
        </w:rPr>
        <w:t>had</w:t>
      </w:r>
      <w:r w:rsidR="0000242B" w:rsidRPr="00463B9A">
        <w:rPr>
          <w:lang w:val="en-CA"/>
        </w:rPr>
        <w:t xml:space="preserve"> </w:t>
      </w:r>
      <w:r w:rsidR="00183360" w:rsidRPr="00463B9A">
        <w:rPr>
          <w:lang w:val="en-CA"/>
        </w:rPr>
        <w:t>important j</w:t>
      </w:r>
      <w:r w:rsidR="006B3E5B" w:rsidRPr="00463B9A">
        <w:rPr>
          <w:lang w:val="en-CA"/>
        </w:rPr>
        <w:t>udicia</w:t>
      </w:r>
      <w:r w:rsidR="008440D2" w:rsidRPr="00463B9A">
        <w:rPr>
          <w:lang w:val="en-CA"/>
        </w:rPr>
        <w:t>l</w:t>
      </w:r>
      <w:r w:rsidR="006B3E5B" w:rsidRPr="00463B9A">
        <w:rPr>
          <w:lang w:val="en-CA"/>
        </w:rPr>
        <w:t xml:space="preserve"> and political contacts; that there was no evidence that </w:t>
      </w:r>
      <w:r w:rsidR="00183360" w:rsidRPr="00463B9A">
        <w:rPr>
          <w:lang w:val="en-CA"/>
        </w:rPr>
        <w:t>any individuals used their contacts to influence the outcome of the murder trial</w:t>
      </w:r>
      <w:r w:rsidR="0054127F" w:rsidRPr="00463B9A">
        <w:rPr>
          <w:lang w:val="en-CA"/>
        </w:rPr>
        <w:t xml:space="preserve"> or the subsequent appeal</w:t>
      </w:r>
      <w:r w:rsidR="0088121A" w:rsidRPr="00463B9A">
        <w:rPr>
          <w:lang w:val="en-CA"/>
        </w:rPr>
        <w:t xml:space="preserve">; </w:t>
      </w:r>
      <w:r w:rsidR="00903E22" w:rsidRPr="00463B9A">
        <w:rPr>
          <w:lang w:val="en-CA"/>
        </w:rPr>
        <w:t>and</w:t>
      </w:r>
      <w:r w:rsidR="0088121A" w:rsidRPr="00463B9A">
        <w:rPr>
          <w:lang w:val="en-CA"/>
        </w:rPr>
        <w:t xml:space="preserve"> that </w:t>
      </w:r>
      <w:r w:rsidR="00AF3171" w:rsidRPr="00463B9A">
        <w:rPr>
          <w:lang w:val="en-CA"/>
        </w:rPr>
        <w:t xml:space="preserve">her </w:t>
      </w:r>
      <w:r w:rsidR="0088121A" w:rsidRPr="00463B9A">
        <w:rPr>
          <w:lang w:val="en-CA"/>
        </w:rPr>
        <w:t xml:space="preserve">assertion that the authorities </w:t>
      </w:r>
      <w:r w:rsidR="0000242B">
        <w:rPr>
          <w:lang w:val="en-CA"/>
        </w:rPr>
        <w:t xml:space="preserve">of </w:t>
      </w:r>
      <w:r w:rsidR="0000242B" w:rsidRPr="00463B9A">
        <w:rPr>
          <w:lang w:val="en-CA"/>
        </w:rPr>
        <w:t xml:space="preserve">Bangladesh </w:t>
      </w:r>
      <w:r w:rsidR="0088121A" w:rsidRPr="00463B9A">
        <w:rPr>
          <w:lang w:val="en-CA"/>
        </w:rPr>
        <w:t xml:space="preserve">were unable or unwilling to protect her from the </w:t>
      </w:r>
      <w:r w:rsidR="00D41B54" w:rsidRPr="00463B9A">
        <w:rPr>
          <w:lang w:val="en-CA"/>
        </w:rPr>
        <w:t>alleged threats</w:t>
      </w:r>
      <w:r w:rsidR="00AF3171" w:rsidRPr="00463B9A">
        <w:rPr>
          <w:lang w:val="en-CA"/>
        </w:rPr>
        <w:t xml:space="preserve"> was not substantiated</w:t>
      </w:r>
      <w:r w:rsidR="0088121A" w:rsidRPr="00463B9A">
        <w:rPr>
          <w:lang w:val="en-CA"/>
        </w:rPr>
        <w:t xml:space="preserve">. </w:t>
      </w:r>
      <w:r w:rsidR="00BB118C" w:rsidRPr="00463B9A">
        <w:rPr>
          <w:rFonts w:eastAsia="MS Mincho"/>
          <w:lang w:val="en-US"/>
        </w:rPr>
        <w:t>The Committee further notes</w:t>
      </w:r>
      <w:r w:rsidR="00186CDE" w:rsidRPr="00463B9A">
        <w:rPr>
          <w:rFonts w:eastAsia="MS Mincho"/>
          <w:lang w:val="en-US"/>
        </w:rPr>
        <w:t>, inter alia,</w:t>
      </w:r>
      <w:r w:rsidR="00BB118C" w:rsidRPr="00463B9A">
        <w:rPr>
          <w:rFonts w:eastAsia="MS Mincho"/>
          <w:lang w:val="en-US"/>
        </w:rPr>
        <w:t xml:space="preserve"> </w:t>
      </w:r>
      <w:r w:rsidR="008B7553" w:rsidRPr="00463B9A">
        <w:rPr>
          <w:rFonts w:eastAsia="MS Mincho"/>
          <w:lang w:val="en-US"/>
        </w:rPr>
        <w:t xml:space="preserve">that although the author asserts that her husband and children are in hiding, she has not responded to </w:t>
      </w:r>
      <w:r w:rsidR="00C76C9A" w:rsidRPr="00463B9A">
        <w:rPr>
          <w:rFonts w:eastAsia="MS Mincho"/>
          <w:lang w:val="en-US"/>
        </w:rPr>
        <w:t>the State party’s observation</w:t>
      </w:r>
      <w:r w:rsidR="00BB118C" w:rsidRPr="00463B9A">
        <w:rPr>
          <w:rFonts w:eastAsia="MS Mincho"/>
          <w:lang w:val="en-US"/>
        </w:rPr>
        <w:t xml:space="preserve"> </w:t>
      </w:r>
      <w:r w:rsidR="003D22BF" w:rsidRPr="00463B9A">
        <w:rPr>
          <w:rFonts w:eastAsia="MS Mincho"/>
          <w:lang w:val="en-US"/>
        </w:rPr>
        <w:t xml:space="preserve">that several members of </w:t>
      </w:r>
      <w:r w:rsidR="008B7553" w:rsidRPr="00463B9A">
        <w:rPr>
          <w:rFonts w:eastAsia="MS Mincho"/>
          <w:lang w:val="en-US"/>
        </w:rPr>
        <w:t>her</w:t>
      </w:r>
      <w:r w:rsidR="003D22BF" w:rsidRPr="00463B9A">
        <w:rPr>
          <w:rFonts w:eastAsia="MS Mincho"/>
          <w:lang w:val="en-US"/>
        </w:rPr>
        <w:t xml:space="preserve"> family, including </w:t>
      </w:r>
      <w:r w:rsidR="001914E7" w:rsidRPr="00463B9A">
        <w:rPr>
          <w:lang w:val="en-CA"/>
        </w:rPr>
        <w:t>her husband, four of their five children</w:t>
      </w:r>
      <w:r w:rsidR="00D204F9" w:rsidRPr="00463B9A">
        <w:rPr>
          <w:lang w:val="en-CA"/>
        </w:rPr>
        <w:t xml:space="preserve"> </w:t>
      </w:r>
      <w:r w:rsidR="001914E7" w:rsidRPr="00463B9A">
        <w:rPr>
          <w:lang w:val="en-CA"/>
        </w:rPr>
        <w:t xml:space="preserve">and numerous aunts, uncles and cousins </w:t>
      </w:r>
      <w:r w:rsidR="006F7A66" w:rsidRPr="00463B9A">
        <w:rPr>
          <w:lang w:val="en-CA"/>
        </w:rPr>
        <w:t>reside</w:t>
      </w:r>
      <w:r w:rsidR="001914E7" w:rsidRPr="00463B9A">
        <w:rPr>
          <w:lang w:val="en-CA"/>
        </w:rPr>
        <w:t xml:space="preserve"> in Bangladesh, </w:t>
      </w:r>
      <w:r w:rsidR="00587D1B" w:rsidRPr="00463B9A">
        <w:rPr>
          <w:rFonts w:eastAsia="MS Mincho"/>
          <w:lang w:val="en-US"/>
        </w:rPr>
        <w:t xml:space="preserve">and that there is no information that any of them </w:t>
      </w:r>
      <w:r w:rsidR="009170B8" w:rsidRPr="00463B9A">
        <w:rPr>
          <w:rFonts w:eastAsia="MS Mincho"/>
          <w:lang w:val="en-US"/>
        </w:rPr>
        <w:t>is</w:t>
      </w:r>
      <w:r w:rsidR="00587D1B" w:rsidRPr="00463B9A">
        <w:rPr>
          <w:rFonts w:eastAsia="MS Mincho"/>
          <w:lang w:val="en-US"/>
        </w:rPr>
        <w:t xml:space="preserve"> at risk of harm from the alleged k</w:t>
      </w:r>
      <w:r w:rsidR="00D83B80" w:rsidRPr="00463B9A">
        <w:rPr>
          <w:rFonts w:eastAsia="MS Mincho"/>
          <w:lang w:val="en-US"/>
        </w:rPr>
        <w:t xml:space="preserve">illers of the author’s brother. </w:t>
      </w:r>
      <w:r w:rsidR="0033538B" w:rsidRPr="00463B9A">
        <w:rPr>
          <w:lang w:val="en-CA"/>
        </w:rPr>
        <w:t xml:space="preserve">While taking </w:t>
      </w:r>
      <w:r w:rsidR="0033538B" w:rsidRPr="00463B9A">
        <w:rPr>
          <w:rFonts w:eastAsia="MS Mincho"/>
          <w:lang w:val="en-US"/>
        </w:rPr>
        <w:t xml:space="preserve">note of the reports cited by the author concerning corruption </w:t>
      </w:r>
      <w:r w:rsidR="00C971F9" w:rsidRPr="00463B9A">
        <w:rPr>
          <w:rFonts w:eastAsia="MS Mincho"/>
          <w:lang w:val="en-US"/>
        </w:rPr>
        <w:t>in</w:t>
      </w:r>
      <w:r w:rsidR="0033538B" w:rsidRPr="00463B9A">
        <w:rPr>
          <w:rFonts w:eastAsia="MS Mincho"/>
          <w:lang w:val="en-US"/>
        </w:rPr>
        <w:t xml:space="preserve"> Bang</w:t>
      </w:r>
      <w:r w:rsidR="00C971F9" w:rsidRPr="00463B9A">
        <w:rPr>
          <w:rFonts w:eastAsia="MS Mincho"/>
          <w:lang w:val="en-US"/>
        </w:rPr>
        <w:t>ladesh, the Committee notes the State party’s observation that its decision</w:t>
      </w:r>
      <w:r w:rsidR="0000242B">
        <w:rPr>
          <w:rFonts w:eastAsia="MS Mincho"/>
          <w:lang w:val="en-US"/>
        </w:rPr>
        <w:t xml:space="preserve"> </w:t>
      </w:r>
      <w:r w:rsidR="00C971F9" w:rsidRPr="00463B9A">
        <w:rPr>
          <w:rFonts w:eastAsia="MS Mincho"/>
          <w:lang w:val="en-US"/>
        </w:rPr>
        <w:t xml:space="preserve">makers </w:t>
      </w:r>
      <w:r w:rsidR="00F56C3B" w:rsidRPr="00463B9A">
        <w:rPr>
          <w:rFonts w:eastAsia="MS Mincho"/>
          <w:lang w:val="en-US"/>
        </w:rPr>
        <w:t>found</w:t>
      </w:r>
      <w:r w:rsidR="00C971F9" w:rsidRPr="00463B9A">
        <w:rPr>
          <w:rFonts w:eastAsia="MS Mincho"/>
          <w:lang w:val="en-US"/>
        </w:rPr>
        <w:t xml:space="preserve"> that corruption is “rampant” in Bangladesh but nevertheless </w:t>
      </w:r>
      <w:r w:rsidR="006E4E73" w:rsidRPr="00463B9A">
        <w:rPr>
          <w:rFonts w:eastAsia="MS Mincho"/>
          <w:lang w:val="en-US"/>
        </w:rPr>
        <w:t>considered</w:t>
      </w:r>
      <w:r w:rsidR="00C971F9" w:rsidRPr="00463B9A">
        <w:rPr>
          <w:rFonts w:eastAsia="MS Mincho"/>
          <w:lang w:val="en-US"/>
        </w:rPr>
        <w:t xml:space="preserve"> that </w:t>
      </w:r>
      <w:r w:rsidR="006E4E73" w:rsidRPr="00463B9A">
        <w:rPr>
          <w:rFonts w:eastAsia="MS Mincho"/>
          <w:lang w:val="en-US"/>
        </w:rPr>
        <w:t>there was no credible evidence of</w:t>
      </w:r>
      <w:r w:rsidR="00C971F9" w:rsidRPr="00463B9A">
        <w:rPr>
          <w:rFonts w:eastAsia="MS Mincho"/>
          <w:lang w:val="en-US"/>
        </w:rPr>
        <w:t xml:space="preserve"> a personal risk of harm to the author. </w:t>
      </w:r>
      <w:r w:rsidR="0099555A" w:rsidRPr="00463B9A">
        <w:rPr>
          <w:rFonts w:eastAsia="MS Mincho"/>
          <w:lang w:val="en-US"/>
        </w:rPr>
        <w:t xml:space="preserve">The Committee </w:t>
      </w:r>
      <w:r w:rsidR="00DF1E28" w:rsidRPr="00463B9A">
        <w:rPr>
          <w:rFonts w:eastAsia="MS Mincho"/>
          <w:lang w:val="en-US"/>
        </w:rPr>
        <w:t>considers</w:t>
      </w:r>
      <w:r w:rsidR="0099555A" w:rsidRPr="00463B9A">
        <w:rPr>
          <w:rFonts w:eastAsia="MS Mincho"/>
          <w:lang w:val="en-US"/>
        </w:rPr>
        <w:t xml:space="preserve"> that the author’s claims before the State party’s authorities were thoroughly examined by the </w:t>
      </w:r>
      <w:r w:rsidR="00251A57">
        <w:rPr>
          <w:rFonts w:eastAsia="MS Mincho"/>
          <w:lang w:val="en-US"/>
        </w:rPr>
        <w:t>Refugee Protection Division</w:t>
      </w:r>
      <w:r w:rsidR="0099555A" w:rsidRPr="00463B9A">
        <w:rPr>
          <w:rFonts w:eastAsia="MS Mincho"/>
          <w:lang w:val="en-US"/>
        </w:rPr>
        <w:t xml:space="preserve"> and the </w:t>
      </w:r>
      <w:r w:rsidR="0000242B">
        <w:rPr>
          <w:rFonts w:eastAsia="MS Mincho"/>
          <w:lang w:val="en-US"/>
        </w:rPr>
        <w:t>Pre-Removal Risk A</w:t>
      </w:r>
      <w:r w:rsidR="00251A57">
        <w:rPr>
          <w:rFonts w:eastAsia="MS Mincho"/>
          <w:lang w:val="en-US"/>
        </w:rPr>
        <w:t xml:space="preserve">ssessment </w:t>
      </w:r>
      <w:r w:rsidR="0099555A" w:rsidRPr="00463B9A">
        <w:rPr>
          <w:rFonts w:eastAsia="MS Mincho"/>
          <w:lang w:val="en-US"/>
        </w:rPr>
        <w:t xml:space="preserve">Officer. </w:t>
      </w:r>
      <w:r w:rsidR="0000242B">
        <w:rPr>
          <w:rFonts w:eastAsia="MS Mincho"/>
          <w:lang w:val="en-US"/>
        </w:rPr>
        <w:t xml:space="preserve"> </w:t>
      </w:r>
    </w:p>
    <w:p w14:paraId="0D5E10D2" w14:textId="1C52D9E3" w:rsidR="00E074EF" w:rsidRPr="00463B9A" w:rsidRDefault="000E1038" w:rsidP="006F1676">
      <w:pPr>
        <w:pStyle w:val="SingleTxtG"/>
        <w:rPr>
          <w:rFonts w:eastAsia="MS Mincho"/>
        </w:rPr>
      </w:pPr>
      <w:r w:rsidRPr="00463B9A">
        <w:rPr>
          <w:rFonts w:eastAsia="MS Mincho"/>
        </w:rPr>
        <w:t>1</w:t>
      </w:r>
      <w:r w:rsidR="00153BCE" w:rsidRPr="00463B9A">
        <w:rPr>
          <w:rFonts w:eastAsia="MS Mincho"/>
        </w:rPr>
        <w:t>0</w:t>
      </w:r>
      <w:r w:rsidRPr="00463B9A">
        <w:rPr>
          <w:rFonts w:eastAsia="MS Mincho"/>
        </w:rPr>
        <w:t>.</w:t>
      </w:r>
      <w:r w:rsidR="00751486" w:rsidRPr="00463B9A">
        <w:rPr>
          <w:rFonts w:eastAsia="MS Mincho"/>
        </w:rPr>
        <w:t>5</w:t>
      </w:r>
      <w:r w:rsidRPr="00463B9A">
        <w:rPr>
          <w:rFonts w:eastAsia="MS Mincho"/>
        </w:rPr>
        <w:tab/>
      </w:r>
      <w:r w:rsidR="00004ED3" w:rsidRPr="00463B9A">
        <w:rPr>
          <w:lang w:val="en-US"/>
        </w:rPr>
        <w:t xml:space="preserve">While noting the serious diagnosis of post-traumatic stress disorder, depression and anxiety, the Committee considers that </w:t>
      </w:r>
      <w:r w:rsidR="00004ED3" w:rsidRPr="00463B9A">
        <w:t xml:space="preserve">the author’s medical condition in itself, in the circumstances of this case, </w:t>
      </w:r>
      <w:r w:rsidR="00751486" w:rsidRPr="00463B9A">
        <w:t>is not sufficient to substantiate the risk alleged by the author concerning her removal to Bangladesh</w:t>
      </w:r>
      <w:r w:rsidR="00004ED3" w:rsidRPr="00463B9A">
        <w:t>.</w:t>
      </w:r>
      <w:r w:rsidR="00004ED3" w:rsidRPr="00AE40E9">
        <w:rPr>
          <w:rStyle w:val="FootnoteReference"/>
        </w:rPr>
        <w:footnoteReference w:id="21"/>
      </w:r>
      <w:r w:rsidR="00004ED3" w:rsidRPr="00463B9A">
        <w:t xml:space="preserve"> </w:t>
      </w:r>
      <w:r w:rsidR="002045BD" w:rsidRPr="00463B9A">
        <w:rPr>
          <w:rFonts w:eastAsia="MS Mincho"/>
        </w:rPr>
        <w:t>Although</w:t>
      </w:r>
      <w:r w:rsidR="006F1676" w:rsidRPr="00463B9A">
        <w:rPr>
          <w:rFonts w:eastAsia="MS Mincho"/>
        </w:rPr>
        <w:t xml:space="preserve"> the author asserts that </w:t>
      </w:r>
      <w:r w:rsidR="00640EA9" w:rsidRPr="00463B9A">
        <w:rPr>
          <w:rFonts w:eastAsia="MS Mincho"/>
        </w:rPr>
        <w:t>s</w:t>
      </w:r>
      <w:r w:rsidR="006F1676" w:rsidRPr="00463B9A">
        <w:rPr>
          <w:rFonts w:eastAsia="MS Mincho"/>
        </w:rPr>
        <w:t xml:space="preserve">he did not have a fair opportunity to contest the merits of the </w:t>
      </w:r>
      <w:r w:rsidR="0000242B">
        <w:rPr>
          <w:rFonts w:eastAsia="MS Mincho"/>
        </w:rPr>
        <w:t xml:space="preserve">decision of the </w:t>
      </w:r>
      <w:r w:rsidR="00251A57">
        <w:rPr>
          <w:rFonts w:eastAsia="MS Mincho"/>
        </w:rPr>
        <w:t>Refugee Protection Division</w:t>
      </w:r>
      <w:r w:rsidR="006F1676" w:rsidRPr="00463B9A">
        <w:rPr>
          <w:rFonts w:eastAsia="MS Mincho"/>
        </w:rPr>
        <w:t xml:space="preserve"> before the Federal Court, </w:t>
      </w:r>
      <w:r w:rsidR="00640EA9" w:rsidRPr="00463B9A">
        <w:rPr>
          <w:rFonts w:eastAsia="MS Mincho"/>
        </w:rPr>
        <w:t>s</w:t>
      </w:r>
      <w:r w:rsidR="006F1676" w:rsidRPr="00463B9A">
        <w:rPr>
          <w:rFonts w:eastAsia="MS Mincho"/>
        </w:rPr>
        <w:t xml:space="preserve">he does not specify the basis of </w:t>
      </w:r>
      <w:r w:rsidR="00640EA9" w:rsidRPr="00463B9A">
        <w:rPr>
          <w:rFonts w:eastAsia="MS Mincho"/>
        </w:rPr>
        <w:t>her</w:t>
      </w:r>
      <w:r w:rsidR="006F1676" w:rsidRPr="00463B9A">
        <w:rPr>
          <w:rFonts w:eastAsia="MS Mincho"/>
        </w:rPr>
        <w:t xml:space="preserve"> application for leave </w:t>
      </w:r>
      <w:r w:rsidR="003456ED" w:rsidRPr="00463B9A">
        <w:rPr>
          <w:rFonts w:eastAsia="MS Mincho"/>
        </w:rPr>
        <w:t>and</w:t>
      </w:r>
      <w:r w:rsidR="006F1676" w:rsidRPr="00463B9A">
        <w:rPr>
          <w:rFonts w:eastAsia="MS Mincho"/>
        </w:rPr>
        <w:t xml:space="preserve"> judicial review and does not </w:t>
      </w:r>
      <w:r w:rsidR="006F1676" w:rsidRPr="00463B9A">
        <w:rPr>
          <w:rFonts w:eastAsia="MS Mincho"/>
          <w:color w:val="000000"/>
        </w:rPr>
        <w:t>comment on the State party’s observation that such applications are granted where there is a “fairly arguable case” or “a serious question to be determined”</w:t>
      </w:r>
      <w:r w:rsidR="0000242B">
        <w:rPr>
          <w:rFonts w:eastAsia="MS Mincho"/>
          <w:color w:val="000000"/>
        </w:rPr>
        <w:t>.</w:t>
      </w:r>
      <w:r w:rsidR="009A38AA" w:rsidRPr="00AE40E9">
        <w:rPr>
          <w:rStyle w:val="FootnoteReference"/>
          <w:rFonts w:eastAsia="MS Mincho"/>
        </w:rPr>
        <w:footnoteReference w:id="22"/>
      </w:r>
      <w:r w:rsidR="006F1676" w:rsidRPr="00463B9A">
        <w:rPr>
          <w:rFonts w:eastAsia="MS Mincho"/>
        </w:rPr>
        <w:t xml:space="preserve"> </w:t>
      </w:r>
    </w:p>
    <w:p w14:paraId="6CB81384" w14:textId="2199F4C1" w:rsidR="006F1676" w:rsidRPr="00463B9A" w:rsidRDefault="00E074EF" w:rsidP="006F1676">
      <w:pPr>
        <w:pStyle w:val="SingleTxtG"/>
        <w:rPr>
          <w:rFonts w:eastAsia="MS Mincho"/>
        </w:rPr>
      </w:pPr>
      <w:r w:rsidRPr="00463B9A">
        <w:rPr>
          <w:rFonts w:eastAsia="MS Mincho"/>
        </w:rPr>
        <w:t>1</w:t>
      </w:r>
      <w:r w:rsidR="00153BCE" w:rsidRPr="00463B9A">
        <w:rPr>
          <w:rFonts w:eastAsia="MS Mincho"/>
        </w:rPr>
        <w:t>0</w:t>
      </w:r>
      <w:r w:rsidRPr="00463B9A">
        <w:rPr>
          <w:rFonts w:eastAsia="MS Mincho"/>
        </w:rPr>
        <w:t>.</w:t>
      </w:r>
      <w:r w:rsidR="00682318" w:rsidRPr="00463B9A">
        <w:rPr>
          <w:rFonts w:eastAsia="MS Mincho"/>
        </w:rPr>
        <w:t>6</w:t>
      </w:r>
      <w:r w:rsidRPr="00463B9A">
        <w:rPr>
          <w:rFonts w:eastAsia="MS Mincho"/>
        </w:rPr>
        <w:tab/>
      </w:r>
      <w:r w:rsidR="006F1676" w:rsidRPr="00463B9A">
        <w:rPr>
          <w:rFonts w:eastAsia="MS Mincho"/>
        </w:rPr>
        <w:t xml:space="preserve">Accordingly, the Committee considers that the author </w:t>
      </w:r>
      <w:r w:rsidR="006F1676" w:rsidRPr="00463B9A">
        <w:rPr>
          <w:rFonts w:eastAsia="MS Mincho"/>
          <w:lang w:val="en-US"/>
        </w:rPr>
        <w:t xml:space="preserve">has not identified any irregularity in the decision-making process, or any risk factor that the State party’s authorities failed to take properly into account. The Committee considers that while the author disagrees with the factual conclusions of the State party’s authorities, </w:t>
      </w:r>
      <w:r w:rsidR="00640EA9" w:rsidRPr="00463B9A">
        <w:rPr>
          <w:rFonts w:eastAsia="MS Mincho"/>
          <w:lang w:val="en-US"/>
        </w:rPr>
        <w:t>s</w:t>
      </w:r>
      <w:r w:rsidR="006F1676" w:rsidRPr="00463B9A">
        <w:rPr>
          <w:rFonts w:eastAsia="MS Mincho"/>
          <w:lang w:val="en-US"/>
        </w:rPr>
        <w:t xml:space="preserve">he has not shown that they were arbitrary or manifestly erroneous, or amounted to a denial of justice. </w:t>
      </w:r>
      <w:r w:rsidR="006F1676" w:rsidRPr="00463B9A">
        <w:rPr>
          <w:rFonts w:eastAsia="MS Mincho"/>
          <w:lang w:val="x-none"/>
        </w:rPr>
        <w:t xml:space="preserve">In the light of the </w:t>
      </w:r>
      <w:r w:rsidR="00246832">
        <w:rPr>
          <w:rFonts w:eastAsia="MS Mincho"/>
          <w:lang w:val="en-US"/>
        </w:rPr>
        <w:t>foregoing</w:t>
      </w:r>
      <w:r w:rsidR="006F1676" w:rsidRPr="00463B9A">
        <w:rPr>
          <w:rFonts w:eastAsia="MS Mincho"/>
          <w:lang w:val="x-none"/>
        </w:rPr>
        <w:t xml:space="preserve">, the Committee cannot conclude that the information before it shows </w:t>
      </w:r>
      <w:r w:rsidR="00DC2324">
        <w:rPr>
          <w:rFonts w:eastAsia="MS Mincho"/>
          <w:lang w:val="en-US"/>
        </w:rPr>
        <w:t>that there are substantial grounds for believing that there is a real risk of irreparable harm</w:t>
      </w:r>
      <w:r w:rsidR="00F52DA2">
        <w:rPr>
          <w:rFonts w:eastAsia="MS Mincho"/>
          <w:lang w:val="en-US"/>
        </w:rPr>
        <w:t xml:space="preserve"> to the author</w:t>
      </w:r>
      <w:r w:rsidR="00DC2324">
        <w:rPr>
          <w:rFonts w:eastAsia="MS Mincho"/>
          <w:lang w:val="en-US"/>
        </w:rPr>
        <w:t>, as contemplated by articles 6 (1) and 7 of the Covenant.</w:t>
      </w:r>
      <w:r w:rsidR="002D677A" w:rsidRPr="00AE40E9">
        <w:rPr>
          <w:rStyle w:val="FootnoteReference"/>
          <w:rFonts w:eastAsia="MS Mincho"/>
        </w:rPr>
        <w:footnoteReference w:id="23"/>
      </w:r>
      <w:r w:rsidR="00DC2324">
        <w:rPr>
          <w:rFonts w:eastAsia="MS Mincho"/>
          <w:lang w:val="en-US"/>
        </w:rPr>
        <w:t xml:space="preserve"> This decision </w:t>
      </w:r>
      <w:r w:rsidR="0097712C">
        <w:rPr>
          <w:rFonts w:eastAsia="MS Mincho"/>
          <w:lang w:val="en-US"/>
        </w:rPr>
        <w:t>is without prejudice to</w:t>
      </w:r>
      <w:r w:rsidR="00DC2324">
        <w:rPr>
          <w:rFonts w:eastAsia="MS Mincho"/>
          <w:lang w:val="en-US"/>
        </w:rPr>
        <w:t xml:space="preserve"> the outcome of the author’s </w:t>
      </w:r>
      <w:r w:rsidR="00CB1909">
        <w:rPr>
          <w:rFonts w:eastAsia="MS Mincho"/>
          <w:lang w:val="en-US"/>
        </w:rPr>
        <w:t xml:space="preserve">pending </w:t>
      </w:r>
      <w:r w:rsidR="00DC2324">
        <w:rPr>
          <w:rFonts w:eastAsia="MS Mincho"/>
          <w:lang w:val="en-US"/>
        </w:rPr>
        <w:t>application for permanent residence on humanitarian and compassionate</w:t>
      </w:r>
      <w:r w:rsidR="00BD2379">
        <w:rPr>
          <w:rFonts w:eastAsia="MS Mincho"/>
          <w:lang w:val="en-US"/>
        </w:rPr>
        <w:t xml:space="preserve"> </w:t>
      </w:r>
      <w:r w:rsidR="00DC2324">
        <w:rPr>
          <w:rFonts w:eastAsia="MS Mincho"/>
          <w:lang w:val="en-US"/>
        </w:rPr>
        <w:t>grounds</w:t>
      </w:r>
      <w:r w:rsidR="006F1676" w:rsidRPr="00463B9A">
        <w:rPr>
          <w:rFonts w:eastAsia="MS Mincho"/>
          <w:lang w:val="x-none"/>
        </w:rPr>
        <w:t>.</w:t>
      </w:r>
      <w:r w:rsidR="00E20C09">
        <w:rPr>
          <w:rFonts w:eastAsia="MS Mincho"/>
          <w:sz w:val="18"/>
          <w:vertAlign w:val="superscript"/>
          <w:lang w:val="en-US"/>
        </w:rPr>
        <w:t xml:space="preserve"> </w:t>
      </w:r>
    </w:p>
    <w:p w14:paraId="6CD196E0" w14:textId="2A4F5AD2" w:rsidR="006F1676" w:rsidRDefault="006F1676" w:rsidP="006F1676">
      <w:pPr>
        <w:pStyle w:val="SingleTxtG"/>
        <w:rPr>
          <w:rFonts w:eastAsia="MS Mincho"/>
        </w:rPr>
      </w:pPr>
      <w:r w:rsidRPr="00463B9A">
        <w:rPr>
          <w:rFonts w:eastAsia="MS Mincho"/>
        </w:rPr>
        <w:lastRenderedPageBreak/>
        <w:t>1</w:t>
      </w:r>
      <w:r w:rsidR="00153BCE" w:rsidRPr="00463B9A">
        <w:rPr>
          <w:rFonts w:eastAsia="MS Mincho"/>
        </w:rPr>
        <w:t>1</w:t>
      </w:r>
      <w:r w:rsidRPr="00463B9A">
        <w:rPr>
          <w:rFonts w:eastAsia="MS Mincho"/>
        </w:rPr>
        <w:t>.</w:t>
      </w:r>
      <w:r w:rsidRPr="00463B9A">
        <w:rPr>
          <w:rFonts w:eastAsia="MS Mincho"/>
        </w:rPr>
        <w:tab/>
        <w:t>The Committee, acting under article 5</w:t>
      </w:r>
      <w:r w:rsidR="009E6F73" w:rsidRPr="00463B9A">
        <w:rPr>
          <w:rFonts w:eastAsia="MS Mincho"/>
        </w:rPr>
        <w:t xml:space="preserve"> </w:t>
      </w:r>
      <w:r w:rsidRPr="00463B9A">
        <w:rPr>
          <w:rFonts w:eastAsia="MS Mincho"/>
        </w:rPr>
        <w:t xml:space="preserve">(4) of the Optional Protocol, is of the view that the author’s removal to Bangladesh would not violate </w:t>
      </w:r>
      <w:r w:rsidR="00A22CD3" w:rsidRPr="00463B9A">
        <w:rPr>
          <w:rFonts w:eastAsia="MS Mincho"/>
        </w:rPr>
        <w:t>her</w:t>
      </w:r>
      <w:r w:rsidRPr="00463B9A">
        <w:rPr>
          <w:rFonts w:eastAsia="MS Mincho"/>
        </w:rPr>
        <w:t xml:space="preserve"> rights under articles 6</w:t>
      </w:r>
      <w:r w:rsidR="00640EA9" w:rsidRPr="00463B9A">
        <w:rPr>
          <w:rFonts w:eastAsia="MS Mincho"/>
        </w:rPr>
        <w:t xml:space="preserve"> </w:t>
      </w:r>
      <w:r w:rsidRPr="00463B9A">
        <w:rPr>
          <w:rFonts w:eastAsia="MS Mincho"/>
        </w:rPr>
        <w:t>(1) or 7 of the Covenant.</w:t>
      </w:r>
    </w:p>
    <w:p w14:paraId="3F960D2E" w14:textId="77777777" w:rsidR="00B61233" w:rsidRPr="00620BFF" w:rsidRDefault="006F1676" w:rsidP="00620BFF">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B61233" w:rsidRPr="00620BFF" w:rsidSect="000B5E5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50102" w14:textId="77777777" w:rsidR="00071816" w:rsidRDefault="00071816"/>
  </w:endnote>
  <w:endnote w:type="continuationSeparator" w:id="0">
    <w:p w14:paraId="107BB583" w14:textId="77777777" w:rsidR="00071816" w:rsidRDefault="00071816"/>
  </w:endnote>
  <w:endnote w:type="continuationNotice" w:id="1">
    <w:p w14:paraId="16059B22" w14:textId="77777777" w:rsidR="00071816" w:rsidRDefault="0007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D0A6" w14:textId="77777777" w:rsidR="003D4E28" w:rsidRPr="00A40224" w:rsidRDefault="003D4E28" w:rsidP="00A40224">
    <w:pPr>
      <w:pStyle w:val="Footer"/>
      <w:tabs>
        <w:tab w:val="right" w:pos="9638"/>
      </w:tabs>
    </w:pPr>
    <w:r w:rsidRPr="00A40224">
      <w:rPr>
        <w:b/>
        <w:sz w:val="18"/>
      </w:rPr>
      <w:fldChar w:fldCharType="begin"/>
    </w:r>
    <w:r w:rsidRPr="00A40224">
      <w:rPr>
        <w:b/>
        <w:sz w:val="18"/>
      </w:rPr>
      <w:instrText xml:space="preserve"> PAGE  \* MERGEFORMAT </w:instrText>
    </w:r>
    <w:r w:rsidRPr="00A40224">
      <w:rPr>
        <w:b/>
        <w:sz w:val="18"/>
      </w:rPr>
      <w:fldChar w:fldCharType="separate"/>
    </w:r>
    <w:r w:rsidR="00097E5A">
      <w:rPr>
        <w:b/>
        <w:noProof/>
        <w:sz w:val="18"/>
      </w:rPr>
      <w:t>14</w:t>
    </w:r>
    <w:r w:rsidRPr="00A40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A2B8" w14:textId="77777777" w:rsidR="003D4E28" w:rsidRPr="00A40224" w:rsidRDefault="003D4E28" w:rsidP="00A40224">
    <w:pPr>
      <w:pStyle w:val="Footer"/>
      <w:tabs>
        <w:tab w:val="right" w:pos="9638"/>
      </w:tabs>
      <w:rPr>
        <w:b/>
        <w:sz w:val="18"/>
      </w:rPr>
    </w:pPr>
    <w:r>
      <w:tab/>
    </w:r>
    <w:r w:rsidRPr="00A40224">
      <w:rPr>
        <w:b/>
        <w:sz w:val="18"/>
      </w:rPr>
      <w:fldChar w:fldCharType="begin"/>
    </w:r>
    <w:r w:rsidRPr="00A40224">
      <w:rPr>
        <w:b/>
        <w:sz w:val="18"/>
      </w:rPr>
      <w:instrText xml:space="preserve"> PAGE  \* MERGEFORMAT </w:instrText>
    </w:r>
    <w:r w:rsidRPr="00A40224">
      <w:rPr>
        <w:b/>
        <w:sz w:val="18"/>
      </w:rPr>
      <w:fldChar w:fldCharType="separate"/>
    </w:r>
    <w:r w:rsidR="00097E5A">
      <w:rPr>
        <w:b/>
        <w:noProof/>
        <w:sz w:val="18"/>
      </w:rPr>
      <w:t>15</w:t>
    </w:r>
    <w:r w:rsidRPr="00A40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A122" w14:textId="00669D9E" w:rsidR="0018408B" w:rsidRDefault="0018408B">
    <w:pPr>
      <w:pStyle w:val="Footer"/>
      <w:rPr>
        <w:sz w:val="20"/>
      </w:rPr>
    </w:pPr>
    <w:r>
      <w:rPr>
        <w:sz w:val="20"/>
      </w:rPr>
      <w:t>GE.16-07148(E)</w:t>
    </w:r>
  </w:p>
  <w:p w14:paraId="7BB97470" w14:textId="5CC6D0F6" w:rsidR="0018408B" w:rsidRPr="0018408B" w:rsidRDefault="0018408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14:anchorId="3E4629EB" wp14:editId="08CD8881">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116/D/232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7/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4575" w14:textId="77777777" w:rsidR="00071816" w:rsidRPr="000B175B" w:rsidRDefault="00071816" w:rsidP="000B175B">
      <w:pPr>
        <w:tabs>
          <w:tab w:val="right" w:pos="2155"/>
        </w:tabs>
        <w:spacing w:after="80"/>
        <w:ind w:left="680"/>
        <w:rPr>
          <w:u w:val="single"/>
        </w:rPr>
      </w:pPr>
      <w:r>
        <w:rPr>
          <w:u w:val="single"/>
        </w:rPr>
        <w:tab/>
      </w:r>
    </w:p>
  </w:footnote>
  <w:footnote w:type="continuationSeparator" w:id="0">
    <w:p w14:paraId="1E5FE38B" w14:textId="77777777" w:rsidR="00071816" w:rsidRPr="00FC68B7" w:rsidRDefault="00071816" w:rsidP="00FC68B7">
      <w:pPr>
        <w:tabs>
          <w:tab w:val="left" w:pos="2155"/>
        </w:tabs>
        <w:spacing w:after="80"/>
        <w:ind w:left="680"/>
        <w:rPr>
          <w:u w:val="single"/>
        </w:rPr>
      </w:pPr>
      <w:r>
        <w:rPr>
          <w:u w:val="single"/>
        </w:rPr>
        <w:tab/>
      </w:r>
    </w:p>
  </w:footnote>
  <w:footnote w:type="continuationNotice" w:id="1">
    <w:p w14:paraId="73331224" w14:textId="77777777" w:rsidR="00071816" w:rsidRDefault="00071816"/>
  </w:footnote>
  <w:footnote w:id="2">
    <w:p w14:paraId="2E3087D2" w14:textId="77777777" w:rsidR="003D4E28" w:rsidRPr="003826E8" w:rsidRDefault="003D4E28" w:rsidP="00686139">
      <w:pPr>
        <w:pStyle w:val="FootnoteText"/>
      </w:pPr>
      <w:r>
        <w:rPr>
          <w:rStyle w:val="FootnoteReference"/>
        </w:rPr>
        <w:tab/>
      </w:r>
      <w:r w:rsidRPr="0012158C">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3826E8">
        <w:t>116th</w:t>
      </w:r>
      <w:r w:rsidRPr="009E4187">
        <w:t xml:space="preserve"> session (</w:t>
      </w:r>
      <w:r w:rsidRPr="003826E8">
        <w:t>7-31 March 2016</w:t>
      </w:r>
      <w:r w:rsidRPr="009E4187">
        <w:t>).</w:t>
      </w:r>
      <w:proofErr w:type="gramEnd"/>
    </w:p>
  </w:footnote>
  <w:footnote w:id="3">
    <w:p w14:paraId="16D74408" w14:textId="31DD3089" w:rsidR="003D4E28" w:rsidRPr="003826E8" w:rsidRDefault="003D4E28" w:rsidP="00686139">
      <w:pPr>
        <w:pStyle w:val="FootnoteText"/>
      </w:pPr>
      <w:r w:rsidRPr="003826E8">
        <w:rPr>
          <w:rStyle w:val="FootnoteReference"/>
          <w:sz w:val="20"/>
          <w:vertAlign w:val="baseline"/>
        </w:rPr>
        <w:tab/>
        <w:t>**</w:t>
      </w:r>
      <w:r w:rsidRPr="003826E8">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Ahmed Amin </w:t>
      </w:r>
      <w:proofErr w:type="spellStart"/>
      <w:r w:rsidRPr="00686139">
        <w:t>Fathalla</w:t>
      </w:r>
      <w:proofErr w:type="spellEnd"/>
      <w:r w:rsidRPr="00686139">
        <w:t xml:space="preserve">, Olivier de </w:t>
      </w:r>
      <w:proofErr w:type="spellStart"/>
      <w:r w:rsidRPr="00686139">
        <w:t>Frouville</w:t>
      </w:r>
      <w:proofErr w:type="spellEnd"/>
      <w:r w:rsidRPr="00686139">
        <w:t xml:space="preserve">, Yuji </w:t>
      </w:r>
      <w:proofErr w:type="spellStart"/>
      <w:r w:rsidRPr="00686139">
        <w:t>Iwasawa</w:t>
      </w:r>
      <w:proofErr w:type="spellEnd"/>
      <w:r w:rsidRPr="00686139">
        <w:t xml:space="preserve">, Ivana </w:t>
      </w:r>
      <w:proofErr w:type="spellStart"/>
      <w:r w:rsidRPr="00686139">
        <w:t>Jeli</w:t>
      </w:r>
      <w:r>
        <w:t>ć</w:t>
      </w:r>
      <w:proofErr w:type="spellEnd"/>
      <w:r w:rsidRPr="00686139">
        <w:t xml:space="preserve">, Mauro </w:t>
      </w:r>
      <w:proofErr w:type="spellStart"/>
      <w:r w:rsidRPr="00686139">
        <w:t>Politi</w:t>
      </w:r>
      <w:proofErr w:type="spellEnd"/>
      <w:r w:rsidRPr="00686139">
        <w:t xml:space="preserve">, Sir Nigel </w:t>
      </w:r>
      <w:proofErr w:type="spellStart"/>
      <w:r w:rsidRPr="00686139">
        <w:t>Rodley</w:t>
      </w:r>
      <w:proofErr w:type="spellEnd"/>
      <w:r w:rsidRPr="00686139">
        <w:t xml:space="preserve">, </w:t>
      </w:r>
      <w:proofErr w:type="spellStart"/>
      <w:r w:rsidRPr="00686139">
        <w:t>V</w:t>
      </w:r>
      <w:r>
        <w:t>í</w:t>
      </w:r>
      <w:r w:rsidRPr="00686139">
        <w:t>ctor</w:t>
      </w:r>
      <w:proofErr w:type="spellEnd"/>
      <w:r w:rsidRPr="00686139">
        <w:t xml:space="preserve"> Manuel Rodríguez-</w:t>
      </w:r>
      <w:proofErr w:type="spellStart"/>
      <w:r w:rsidRPr="00686139">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xml:space="preserve">, </w:t>
      </w:r>
      <w:proofErr w:type="spellStart"/>
      <w:r w:rsidRPr="00686139">
        <w:t>Anja</w:t>
      </w:r>
      <w:proofErr w:type="spellEnd"/>
      <w:r w:rsidRPr="00686139">
        <w:t xml:space="preserve"> Seibert-</w:t>
      </w:r>
      <w:proofErr w:type="spellStart"/>
      <w:r w:rsidRPr="00686139">
        <w:t>Fohr</w:t>
      </w:r>
      <w:proofErr w:type="spellEnd"/>
      <w:r w:rsidRPr="00686139">
        <w:t>, Yuval Shany, Konstantine Vardzelashvili and Margo Waterval.</w:t>
      </w:r>
    </w:p>
  </w:footnote>
  <w:footnote w:id="4">
    <w:p w14:paraId="0820BD76" w14:textId="0D9BD5CF" w:rsidR="003D4E28" w:rsidRPr="00463B9A" w:rsidRDefault="003D4E28" w:rsidP="00E20C09">
      <w:pPr>
        <w:pStyle w:val="FootnoteText"/>
      </w:pPr>
      <w:r>
        <w:tab/>
      </w:r>
      <w:r w:rsidRPr="00AE40E9">
        <w:rPr>
          <w:rStyle w:val="FootnoteReference"/>
        </w:rPr>
        <w:footnoteRef/>
      </w:r>
      <w:r>
        <w:tab/>
      </w:r>
      <w:r w:rsidRPr="00463B9A">
        <w:t>The author cites Canada Immigration and Refugee Protection Act subsection 25 (1.2)</w:t>
      </w:r>
      <w:r>
        <w:t xml:space="preserve"> </w:t>
      </w:r>
      <w:r w:rsidRPr="00463B9A">
        <w:t>(c) and article</w:t>
      </w:r>
      <w:r>
        <w:t> </w:t>
      </w:r>
      <w:r w:rsidRPr="00463B9A">
        <w:t>112 (2)</w:t>
      </w:r>
      <w:r>
        <w:t xml:space="preserve"> </w:t>
      </w:r>
      <w:r w:rsidRPr="00463B9A">
        <w:t>(c).</w:t>
      </w:r>
    </w:p>
  </w:footnote>
  <w:footnote w:id="5">
    <w:p w14:paraId="6B110D24" w14:textId="4B2910B4" w:rsidR="003D4E28" w:rsidRPr="00463B9A" w:rsidRDefault="003D4E28" w:rsidP="00E20C09">
      <w:pPr>
        <w:pStyle w:val="FootnoteText"/>
      </w:pPr>
      <w:r>
        <w:tab/>
      </w:r>
      <w:r w:rsidRPr="00AE40E9">
        <w:rPr>
          <w:rStyle w:val="FootnoteReference"/>
        </w:rPr>
        <w:footnoteRef/>
      </w:r>
      <w:r>
        <w:tab/>
      </w:r>
      <w:r w:rsidRPr="00463B9A">
        <w:t xml:space="preserve">The author cites, inter alia, United States Department of State, </w:t>
      </w:r>
      <w:r w:rsidRPr="003826E8">
        <w:t>Bangladesh 2012 Human Rights Report</w:t>
      </w:r>
      <w:r>
        <w:t xml:space="preserve">, </w:t>
      </w:r>
      <w:r w:rsidRPr="00463B9A">
        <w:t>19 April 2013; U4 Anti-Corruption Resource Center</w:t>
      </w:r>
      <w:r>
        <w:t xml:space="preserve">, </w:t>
      </w:r>
      <w:r w:rsidRPr="00463B9A">
        <w:t>Transparency International</w:t>
      </w:r>
      <w:r>
        <w:t xml:space="preserve"> and</w:t>
      </w:r>
      <w:r w:rsidRPr="00463B9A">
        <w:t xml:space="preserve"> </w:t>
      </w:r>
      <w:r>
        <w:t>Chr.</w:t>
      </w:r>
      <w:r w:rsidRPr="00463B9A">
        <w:t xml:space="preserve"> Michelsen Institute, </w:t>
      </w:r>
      <w:r w:rsidRPr="003826E8">
        <w:t xml:space="preserve">Overview of </w:t>
      </w:r>
      <w:r>
        <w:t>c</w:t>
      </w:r>
      <w:r w:rsidRPr="003826E8">
        <w:t xml:space="preserve">orruption and </w:t>
      </w:r>
      <w:r>
        <w:t>a</w:t>
      </w:r>
      <w:r w:rsidRPr="003826E8">
        <w:t>nti-Corruption in Bangladesh</w:t>
      </w:r>
      <w:r w:rsidRPr="00463B9A">
        <w:t xml:space="preserve">, 7 November 2012; </w:t>
      </w:r>
      <w:r>
        <w:t xml:space="preserve">and </w:t>
      </w:r>
      <w:r w:rsidRPr="00463B9A">
        <w:t xml:space="preserve">Freedom House, </w:t>
      </w:r>
      <w:r w:rsidRPr="003826E8">
        <w:t>Freedom in the World 2013</w:t>
      </w:r>
      <w:r>
        <w:t xml:space="preserve">: </w:t>
      </w:r>
      <w:r w:rsidRPr="00050EFB">
        <w:t>Bangladesh</w:t>
      </w:r>
      <w:r w:rsidRPr="00463B9A">
        <w:t xml:space="preserve">. </w:t>
      </w:r>
    </w:p>
  </w:footnote>
  <w:footnote w:id="6">
    <w:p w14:paraId="0831FD8A" w14:textId="2ADF6ED0" w:rsidR="003D4E28" w:rsidRPr="00463B9A" w:rsidRDefault="003D4E28" w:rsidP="00E20C09">
      <w:pPr>
        <w:pStyle w:val="FootnoteText"/>
      </w:pPr>
      <w:r>
        <w:tab/>
      </w:r>
      <w:r w:rsidRPr="00AE40E9">
        <w:rPr>
          <w:rStyle w:val="FootnoteReference"/>
        </w:rPr>
        <w:footnoteRef/>
      </w:r>
      <w:r>
        <w:tab/>
      </w:r>
      <w:r w:rsidRPr="00463B9A">
        <w:t xml:space="preserve">The author provides a translation of the complaint, which is dated </w:t>
      </w:r>
      <w:r>
        <w:t xml:space="preserve">5 January </w:t>
      </w:r>
      <w:r w:rsidRPr="00463B9A">
        <w:t>2011. In the complaint, the author states, “An unknown caller from his phone number [xxx] has been calling me again and again at my personal mobile phone number [xxx] for the past 4/5 days and intimidating and threatening me in various ways</w:t>
      </w:r>
      <w:r>
        <w:t>,</w:t>
      </w:r>
      <w:r w:rsidRPr="00463B9A">
        <w:t xml:space="preserve"> including death threats. Whenever I asked about his address and identity, the caller cut off the phone.” </w:t>
      </w:r>
    </w:p>
  </w:footnote>
  <w:footnote w:id="7">
    <w:p w14:paraId="071478EE" w14:textId="58AAEFF9" w:rsidR="003D4E28" w:rsidRPr="00463B9A" w:rsidRDefault="003D4E28" w:rsidP="00E20C09">
      <w:pPr>
        <w:pStyle w:val="FootnoteText"/>
      </w:pPr>
      <w:r>
        <w:tab/>
      </w:r>
      <w:r w:rsidRPr="00AE40E9">
        <w:rPr>
          <w:rStyle w:val="FootnoteReference"/>
        </w:rPr>
        <w:footnoteRef/>
      </w:r>
      <w:r>
        <w:tab/>
      </w:r>
      <w:r w:rsidRPr="00463B9A">
        <w:t xml:space="preserve">The author provides a psychological evaluation report dated 19 November 2012 by psychologist </w:t>
      </w:r>
      <w:proofErr w:type="spellStart"/>
      <w:r w:rsidRPr="00463B9A">
        <w:t>Lise</w:t>
      </w:r>
      <w:proofErr w:type="spellEnd"/>
      <w:r w:rsidRPr="00463B9A">
        <w:t xml:space="preserve"> </w:t>
      </w:r>
      <w:proofErr w:type="spellStart"/>
      <w:r w:rsidRPr="00463B9A">
        <w:t>Libarian</w:t>
      </w:r>
      <w:proofErr w:type="spellEnd"/>
      <w:r w:rsidRPr="00463B9A">
        <w:t>, who states: “</w:t>
      </w:r>
      <w:r>
        <w:t>[Y]</w:t>
      </w:r>
      <w:r w:rsidRPr="00463B9A">
        <w:t xml:space="preserve"> needs professional care to help her with her depression, anxiety and post-traumatic stress. She needs to be followed by a psychiatrist and be prescribed medication to help alleviate her severe depression, anxiety and post-traumatic stress. Along with medication and psychotherapy, her depression, anxiety and potential risk of suicide will eventually diminish.” </w:t>
      </w:r>
    </w:p>
  </w:footnote>
  <w:footnote w:id="8">
    <w:p w14:paraId="376FFE2E" w14:textId="1395E762" w:rsidR="003D4E28" w:rsidRPr="00463B9A" w:rsidRDefault="003D4E28" w:rsidP="00E20C09">
      <w:pPr>
        <w:pStyle w:val="FootnoteText"/>
      </w:pPr>
      <w:r>
        <w:tab/>
      </w:r>
      <w:r w:rsidRPr="00AE40E9">
        <w:rPr>
          <w:rStyle w:val="FootnoteReference"/>
        </w:rPr>
        <w:footnoteRef/>
      </w:r>
      <w:r>
        <w:tab/>
      </w:r>
      <w:r w:rsidRPr="00463B9A">
        <w:t xml:space="preserve">See communication No. 1898/2009, </w:t>
      </w:r>
      <w:proofErr w:type="spellStart"/>
      <w:r w:rsidRPr="00463B9A">
        <w:rPr>
          <w:i/>
        </w:rPr>
        <w:t>Choudhary</w:t>
      </w:r>
      <w:proofErr w:type="spellEnd"/>
      <w:r w:rsidRPr="00463B9A">
        <w:rPr>
          <w:i/>
        </w:rPr>
        <w:t xml:space="preserve"> v. Canada</w:t>
      </w:r>
      <w:r w:rsidRPr="00463B9A">
        <w:t>, Views adopted on 28</w:t>
      </w:r>
      <w:r>
        <w:t> </w:t>
      </w:r>
      <w:r w:rsidRPr="00463B9A">
        <w:t xml:space="preserve">October 2013. </w:t>
      </w:r>
    </w:p>
  </w:footnote>
  <w:footnote w:id="9">
    <w:p w14:paraId="5E770722" w14:textId="572417F2" w:rsidR="003D4E28" w:rsidRPr="00E20C09" w:rsidRDefault="003D4E28" w:rsidP="00E20C09">
      <w:pPr>
        <w:pStyle w:val="FootnoteText"/>
      </w:pPr>
      <w:r>
        <w:tab/>
      </w:r>
      <w:r w:rsidRPr="00AE40E9">
        <w:rPr>
          <w:rStyle w:val="FootnoteReference"/>
        </w:rPr>
        <w:footnoteRef/>
      </w:r>
      <w:r>
        <w:tab/>
      </w:r>
      <w:r w:rsidRPr="00463B9A">
        <w:t xml:space="preserve">The State </w:t>
      </w:r>
      <w:r w:rsidRPr="00E20C09">
        <w:t>party</w:t>
      </w:r>
      <w:r w:rsidRPr="00463B9A">
        <w:t xml:space="preserve"> cites </w:t>
      </w:r>
      <w:r>
        <w:t xml:space="preserve">Office of the United Nations High Commissioner for Refugees, </w:t>
      </w:r>
      <w:r w:rsidRPr="00463B9A">
        <w:t xml:space="preserve"> </w:t>
      </w:r>
      <w:r w:rsidRPr="003826E8">
        <w:rPr>
          <w:i/>
        </w:rPr>
        <w:t>Statistical Yearbook 2012</w:t>
      </w:r>
      <w:r w:rsidRPr="00463B9A">
        <w:t>, 12th ed</w:t>
      </w:r>
      <w:r>
        <w:t>.</w:t>
      </w:r>
      <w:r w:rsidRPr="00463B9A">
        <w:t xml:space="preserve">, </w:t>
      </w:r>
      <w:r w:rsidRPr="003826E8">
        <w:rPr>
          <w:i/>
        </w:rPr>
        <w:t>Annex</w:t>
      </w:r>
      <w:r w:rsidRPr="00463B9A">
        <w:t xml:space="preserve">, </w:t>
      </w:r>
      <w:r>
        <w:t>t</w:t>
      </w:r>
      <w:r w:rsidRPr="00463B9A">
        <w:t>able 10, “Asylum applications and refugee status determination by country/territory of asylum and level in the procedure”</w:t>
      </w:r>
      <w:r>
        <w:t>,</w:t>
      </w:r>
      <w:r w:rsidRPr="00463B9A">
        <w:t xml:space="preserve"> available </w:t>
      </w:r>
      <w:r>
        <w:t>from</w:t>
      </w:r>
      <w:r>
        <w:rPr>
          <w:color w:val="FF0000"/>
        </w:rPr>
        <w:t xml:space="preserve"> </w:t>
      </w:r>
      <w:r w:rsidRPr="00463B9A">
        <w:t>www.unhcr.org/52a723f89.html.</w:t>
      </w:r>
      <w:r w:rsidRPr="00463B9A">
        <w:rPr>
          <w:color w:val="FF0000"/>
        </w:rPr>
        <w:t xml:space="preserve"> </w:t>
      </w:r>
    </w:p>
  </w:footnote>
  <w:footnote w:id="10">
    <w:p w14:paraId="17599266" w14:textId="03662A56" w:rsidR="003D4E28" w:rsidRPr="00463B9A" w:rsidRDefault="003D4E28" w:rsidP="00E20C09">
      <w:pPr>
        <w:pStyle w:val="FootnoteText"/>
      </w:pPr>
      <w:r>
        <w:tab/>
      </w:r>
      <w:r w:rsidRPr="00AE40E9">
        <w:rPr>
          <w:rStyle w:val="FootnoteReference"/>
        </w:rPr>
        <w:footnoteRef/>
      </w:r>
      <w:r>
        <w:tab/>
        <w:t>See</w:t>
      </w:r>
      <w:r w:rsidRPr="00463B9A">
        <w:t xml:space="preserve"> communication No. 1578/2007</w:t>
      </w:r>
      <w:r>
        <w:t xml:space="preserve">, </w:t>
      </w:r>
      <w:r w:rsidRPr="00463B9A">
        <w:rPr>
          <w:i/>
        </w:rPr>
        <w:t>Dastgir v. Canada</w:t>
      </w:r>
      <w:r w:rsidRPr="00463B9A">
        <w:t>, decision of inadmissibility adopted on 30 October 2008</w:t>
      </w:r>
      <w:r>
        <w:t xml:space="preserve"> and No</w:t>
      </w:r>
      <w:r w:rsidRPr="00463B9A">
        <w:t>.</w:t>
      </w:r>
      <w:r>
        <w:t xml:space="preserve"> 1302/2004, </w:t>
      </w:r>
      <w:r w:rsidRPr="003826E8">
        <w:rPr>
          <w:i/>
        </w:rPr>
        <w:t>Khan v. Canada</w:t>
      </w:r>
      <w:r>
        <w:rPr>
          <w:i/>
        </w:rPr>
        <w:t xml:space="preserve">, </w:t>
      </w:r>
      <w:r w:rsidRPr="00463B9A">
        <w:t xml:space="preserve">decision of inadmissibility adopted </w:t>
      </w:r>
      <w:r>
        <w:t>on 15 July 2006, cited, among other cases, by the State party.</w:t>
      </w:r>
      <w:r w:rsidRPr="00463B9A">
        <w:t xml:space="preserve"> </w:t>
      </w:r>
    </w:p>
  </w:footnote>
  <w:footnote w:id="11">
    <w:p w14:paraId="62520DDF" w14:textId="244A57BF" w:rsidR="003D4E28" w:rsidRPr="00463B9A" w:rsidRDefault="003D4E28" w:rsidP="00E20C09">
      <w:pPr>
        <w:pStyle w:val="FootnoteText"/>
        <w:rPr>
          <w:i/>
        </w:rPr>
      </w:pPr>
      <w:r>
        <w:tab/>
      </w:r>
      <w:r w:rsidRPr="00AE40E9">
        <w:rPr>
          <w:rStyle w:val="FootnoteReference"/>
        </w:rPr>
        <w:footnoteRef/>
      </w:r>
      <w:r>
        <w:tab/>
      </w:r>
      <w:r w:rsidRPr="004411EE">
        <w:t>The</w:t>
      </w:r>
      <w:r w:rsidRPr="00463B9A">
        <w:t xml:space="preserve"> State party cites communication</w:t>
      </w:r>
      <w:r w:rsidR="00EB4166">
        <w:t>s</w:t>
      </w:r>
      <w:r w:rsidRPr="00463B9A">
        <w:t xml:space="preserve"> No. 1959/2010</w:t>
      </w:r>
      <w:r>
        <w:t xml:space="preserve">, </w:t>
      </w:r>
      <w:r w:rsidRPr="00463B9A">
        <w:rPr>
          <w:i/>
        </w:rPr>
        <w:t>Warsame v. Canada</w:t>
      </w:r>
      <w:r w:rsidRPr="00463B9A">
        <w:t xml:space="preserve">, Views adopted on 21 July 2011, para. 7.4; </w:t>
      </w:r>
      <w:r>
        <w:t xml:space="preserve">and </w:t>
      </w:r>
      <w:r w:rsidRPr="00463B9A">
        <w:t>No. 1816/2008</w:t>
      </w:r>
      <w:r>
        <w:t xml:space="preserve">, </w:t>
      </w:r>
      <w:r w:rsidR="00553D5C">
        <w:rPr>
          <w:i/>
        </w:rPr>
        <w:t>K.A.L.</w:t>
      </w:r>
      <w:r w:rsidRPr="00463B9A">
        <w:rPr>
          <w:i/>
        </w:rPr>
        <w:t xml:space="preserve"> and </w:t>
      </w:r>
      <w:r w:rsidR="00553D5C">
        <w:rPr>
          <w:i/>
        </w:rPr>
        <w:t>A.A.M.L</w:t>
      </w:r>
      <w:proofErr w:type="gramStart"/>
      <w:r w:rsidR="00553D5C">
        <w:rPr>
          <w:i/>
        </w:rPr>
        <w:t>.</w:t>
      </w:r>
      <w:r w:rsidRPr="00463B9A">
        <w:rPr>
          <w:i/>
        </w:rPr>
        <w:t>.</w:t>
      </w:r>
      <w:proofErr w:type="gramEnd"/>
      <w:r w:rsidRPr="00463B9A">
        <w:rPr>
          <w:i/>
        </w:rPr>
        <w:t xml:space="preserve"> v. Canada</w:t>
      </w:r>
      <w:r w:rsidRPr="00463B9A">
        <w:t>,</w:t>
      </w:r>
      <w:r w:rsidRPr="00463B9A">
        <w:rPr>
          <w:i/>
        </w:rPr>
        <w:t xml:space="preserve"> </w:t>
      </w:r>
      <w:r w:rsidRPr="00463B9A">
        <w:t>decision of inadmissibility adopted on 26 March 2012, para. 6.5.</w:t>
      </w:r>
    </w:p>
  </w:footnote>
  <w:footnote w:id="12">
    <w:p w14:paraId="5C305021" w14:textId="5E559124" w:rsidR="003D4E28" w:rsidRPr="00463B9A" w:rsidRDefault="003D4E28" w:rsidP="00E20C09">
      <w:pPr>
        <w:pStyle w:val="FootnoteText"/>
      </w:pPr>
      <w:r>
        <w:tab/>
      </w:r>
      <w:r w:rsidRPr="00AE40E9">
        <w:rPr>
          <w:rStyle w:val="FootnoteReference"/>
        </w:rPr>
        <w:footnoteRef/>
      </w:r>
      <w:r>
        <w:tab/>
      </w:r>
      <w:r w:rsidRPr="00463B9A">
        <w:t>See para. 6.7.</w:t>
      </w:r>
    </w:p>
  </w:footnote>
  <w:footnote w:id="13">
    <w:p w14:paraId="447ED95B" w14:textId="20808984" w:rsidR="003D4E28" w:rsidRPr="00463B9A" w:rsidRDefault="003D4E28" w:rsidP="00E20C09">
      <w:pPr>
        <w:pStyle w:val="FootnoteText"/>
      </w:pPr>
      <w:r>
        <w:tab/>
      </w:r>
      <w:r w:rsidRPr="00AE40E9">
        <w:rPr>
          <w:rStyle w:val="FootnoteReference"/>
        </w:rPr>
        <w:footnoteRef/>
      </w:r>
      <w:r>
        <w:tab/>
      </w:r>
      <w:r w:rsidRPr="00463B9A">
        <w:t xml:space="preserve">The author provides a decision of the Supreme Court of Bangladesh, High Court Division, Dhaka (Criminal Appellate Jurisdiction) dated 20-23 January 2013. The Court set aside the convictions and death sentences of B., </w:t>
      </w:r>
      <w:r w:rsidR="00553D5C">
        <w:t>K.S.</w:t>
      </w:r>
      <w:r w:rsidRPr="00463B9A">
        <w:t xml:space="preserve"> and P. for the murder of I., </w:t>
      </w:r>
      <w:r>
        <w:t>owing</w:t>
      </w:r>
      <w:r w:rsidRPr="00463B9A">
        <w:t xml:space="preserve"> to the prosecution’s failure to prove its case beyond a reasonable doubt. The author also provides a copy of a judgment issued by the Supreme Court of Bangladesh, Appellate Division, dated 19 January 2015. The judgment upheld the decision of the High Court Division to set aside the convictions of B., </w:t>
      </w:r>
      <w:r w:rsidR="00553D5C">
        <w:t>K.S.</w:t>
      </w:r>
      <w:r w:rsidRPr="00463B9A">
        <w:t xml:space="preserve"> and P., in the absence of any cogent evidence proving the charges against them. </w:t>
      </w:r>
    </w:p>
  </w:footnote>
  <w:footnote w:id="14">
    <w:p w14:paraId="7B4AD00C" w14:textId="6D3BDF97" w:rsidR="003D4E28" w:rsidRPr="00463B9A" w:rsidRDefault="003D4E28" w:rsidP="00E20C09">
      <w:pPr>
        <w:pStyle w:val="FootnoteText"/>
      </w:pPr>
      <w:r>
        <w:tab/>
      </w:r>
      <w:r w:rsidRPr="00AE40E9">
        <w:rPr>
          <w:rStyle w:val="FootnoteReference"/>
        </w:rPr>
        <w:footnoteRef/>
      </w:r>
      <w:r>
        <w:tab/>
      </w:r>
      <w:r w:rsidRPr="00463B9A">
        <w:t>The author cites Freedom House</w:t>
      </w:r>
      <w:r>
        <w:t xml:space="preserve">, </w:t>
      </w:r>
      <w:r w:rsidRPr="00463B9A">
        <w:t>2015 Freedom in the World Report</w:t>
      </w:r>
      <w:r>
        <w:t>: Bangladesh</w:t>
      </w:r>
      <w:r w:rsidRPr="00463B9A">
        <w:t>.</w:t>
      </w:r>
    </w:p>
  </w:footnote>
  <w:footnote w:id="15">
    <w:p w14:paraId="001C4F9A" w14:textId="13C877D5" w:rsidR="003D4E28" w:rsidRPr="00463B9A" w:rsidRDefault="003D4E28" w:rsidP="00E20C09">
      <w:pPr>
        <w:pStyle w:val="FootnoteText"/>
        <w:rPr>
          <w:lang w:eastAsia="en-GB"/>
        </w:rPr>
      </w:pPr>
      <w:r>
        <w:tab/>
      </w:r>
      <w:r w:rsidRPr="00AE40E9">
        <w:rPr>
          <w:rStyle w:val="FootnoteReference"/>
        </w:rPr>
        <w:footnoteRef/>
      </w:r>
      <w:r w:rsidRPr="00463B9A">
        <w:tab/>
      </w:r>
      <w:r w:rsidRPr="00463B9A">
        <w:rPr>
          <w:lang w:eastAsia="en-GB"/>
        </w:rPr>
        <w:t xml:space="preserve">See </w:t>
      </w:r>
      <w:proofErr w:type="spellStart"/>
      <w:r w:rsidRPr="00463B9A">
        <w:rPr>
          <w:i/>
          <w:lang w:eastAsia="en-GB"/>
        </w:rPr>
        <w:t>Warsame</w:t>
      </w:r>
      <w:proofErr w:type="spellEnd"/>
      <w:r w:rsidRPr="00463B9A">
        <w:rPr>
          <w:i/>
          <w:lang w:eastAsia="en-GB"/>
        </w:rPr>
        <w:t xml:space="preserve"> v. Canada</w:t>
      </w:r>
      <w:r w:rsidRPr="00463B9A">
        <w:rPr>
          <w:lang w:eastAsia="en-GB"/>
        </w:rPr>
        <w:t xml:space="preserve">, para. 7.4; </w:t>
      </w:r>
      <w:r>
        <w:rPr>
          <w:lang w:eastAsia="en-GB"/>
        </w:rPr>
        <w:t xml:space="preserve">and </w:t>
      </w:r>
      <w:r w:rsidRPr="00463B9A">
        <w:rPr>
          <w:lang w:eastAsia="en-GB"/>
        </w:rPr>
        <w:t xml:space="preserve">communication No. 1003/2001, </w:t>
      </w:r>
      <w:r w:rsidRPr="00463B9A">
        <w:rPr>
          <w:i/>
          <w:lang w:eastAsia="en-GB"/>
        </w:rPr>
        <w:t>P</w:t>
      </w:r>
      <w:r w:rsidR="00553D5C">
        <w:rPr>
          <w:i/>
          <w:lang w:eastAsia="en-GB"/>
        </w:rPr>
        <w:t>.</w:t>
      </w:r>
      <w:r w:rsidRPr="00463B9A">
        <w:rPr>
          <w:i/>
          <w:lang w:eastAsia="en-GB"/>
        </w:rPr>
        <w:t>L. v. Germany</w:t>
      </w:r>
      <w:r w:rsidRPr="00463B9A">
        <w:rPr>
          <w:lang w:eastAsia="en-GB"/>
        </w:rPr>
        <w:t>, decision of inadmissibility adopted on 22 October 2003, para. 6.5.</w:t>
      </w:r>
    </w:p>
  </w:footnote>
  <w:footnote w:id="16">
    <w:p w14:paraId="364FBA98" w14:textId="397317E7" w:rsidR="003D4E28" w:rsidRPr="00463B9A" w:rsidRDefault="003D4E28" w:rsidP="00E20C09">
      <w:pPr>
        <w:pStyle w:val="FootnoteText"/>
      </w:pPr>
      <w:r>
        <w:tab/>
      </w:r>
      <w:r w:rsidRPr="00AE40E9">
        <w:rPr>
          <w:rStyle w:val="FootnoteReference"/>
        </w:rPr>
        <w:footnoteRef/>
      </w:r>
      <w:r w:rsidRPr="00463B9A">
        <w:tab/>
        <w:t xml:space="preserve">See communication No. 2366/2014, </w:t>
      </w:r>
      <w:r w:rsidRPr="003826E8">
        <w:rPr>
          <w:i/>
        </w:rPr>
        <w:t>X</w:t>
      </w:r>
      <w:r>
        <w:rPr>
          <w:i/>
        </w:rPr>
        <w:t xml:space="preserve">. v. Canada, </w:t>
      </w:r>
      <w:r w:rsidRPr="00463B9A">
        <w:t xml:space="preserve">Views adopted on 5 November 2015, </w:t>
      </w:r>
      <w:proofErr w:type="gramStart"/>
      <w:r w:rsidRPr="00463B9A">
        <w:t>para</w:t>
      </w:r>
      <w:proofErr w:type="gramEnd"/>
      <w:r>
        <w:t>.</w:t>
      </w:r>
      <w:r w:rsidRPr="00463B9A">
        <w:t xml:space="preserve"> </w:t>
      </w:r>
      <w:proofErr w:type="gramStart"/>
      <w:r w:rsidRPr="00463B9A">
        <w:t xml:space="preserve">8.3; </w:t>
      </w:r>
      <w:proofErr w:type="spellStart"/>
      <w:r w:rsidRPr="00463B9A">
        <w:rPr>
          <w:i/>
        </w:rPr>
        <w:t>Choudhary</w:t>
      </w:r>
      <w:proofErr w:type="spellEnd"/>
      <w:r w:rsidRPr="00463B9A">
        <w:rPr>
          <w:i/>
        </w:rPr>
        <w:t xml:space="preserve"> v. Canada</w:t>
      </w:r>
      <w:r w:rsidRPr="00463B9A">
        <w:t>, para.</w:t>
      </w:r>
      <w:proofErr w:type="gramEnd"/>
      <w:r w:rsidRPr="00463B9A">
        <w:t xml:space="preserve"> </w:t>
      </w:r>
      <w:proofErr w:type="gramStart"/>
      <w:r w:rsidRPr="00463B9A">
        <w:t xml:space="preserve">8.3; </w:t>
      </w:r>
      <w:r>
        <w:t xml:space="preserve">and </w:t>
      </w:r>
      <w:proofErr w:type="spellStart"/>
      <w:r w:rsidRPr="00463B9A">
        <w:rPr>
          <w:i/>
          <w:lang w:eastAsia="en-GB"/>
        </w:rPr>
        <w:t>Warsame</w:t>
      </w:r>
      <w:proofErr w:type="spellEnd"/>
      <w:r w:rsidRPr="00463B9A">
        <w:rPr>
          <w:i/>
          <w:lang w:eastAsia="en-GB"/>
        </w:rPr>
        <w:t xml:space="preserve"> v. Canada</w:t>
      </w:r>
      <w:r w:rsidRPr="00463B9A">
        <w:rPr>
          <w:lang w:eastAsia="en-GB"/>
        </w:rPr>
        <w:t>, para.</w:t>
      </w:r>
      <w:proofErr w:type="gramEnd"/>
      <w:r w:rsidRPr="00463B9A">
        <w:rPr>
          <w:lang w:eastAsia="en-GB"/>
        </w:rPr>
        <w:t xml:space="preserve"> 7.4.</w:t>
      </w:r>
    </w:p>
  </w:footnote>
  <w:footnote w:id="17">
    <w:p w14:paraId="2BB63981" w14:textId="4E09E7A4" w:rsidR="003D4E28" w:rsidRPr="00463B9A" w:rsidRDefault="003D4E28" w:rsidP="00E20C09">
      <w:pPr>
        <w:pStyle w:val="FootnoteText"/>
      </w:pPr>
      <w:r w:rsidRPr="00463B9A">
        <w:tab/>
      </w:r>
      <w:r w:rsidRPr="00AE40E9">
        <w:rPr>
          <w:rStyle w:val="FootnoteReference"/>
        </w:rPr>
        <w:footnoteRef/>
      </w:r>
      <w:r>
        <w:tab/>
      </w:r>
      <w:proofErr w:type="gramStart"/>
      <w:r w:rsidRPr="00463B9A">
        <w:t>See co</w:t>
      </w:r>
      <w:r w:rsidRPr="00E20C09">
        <w:t>m</w:t>
      </w:r>
      <w:r w:rsidRPr="00463B9A">
        <w:t>munication</w:t>
      </w:r>
      <w:r w:rsidR="008C5A1F">
        <w:t xml:space="preserve"> </w:t>
      </w:r>
      <w:r w:rsidRPr="00463B9A">
        <w:t>No. 1957/2010,</w:t>
      </w:r>
      <w:r w:rsidR="008C5A1F">
        <w:t xml:space="preserve"> </w:t>
      </w:r>
      <w:r w:rsidRPr="00463B9A">
        <w:rPr>
          <w:i/>
        </w:rPr>
        <w:t xml:space="preserve">Lin </w:t>
      </w:r>
      <w:r w:rsidRPr="00463B9A">
        <w:rPr>
          <w:i/>
          <w:iCs/>
        </w:rPr>
        <w:t>v</w:t>
      </w:r>
      <w:r w:rsidRPr="00463B9A">
        <w:rPr>
          <w:i/>
        </w:rPr>
        <w:t>. Australia</w:t>
      </w:r>
      <w:r w:rsidRPr="00463B9A">
        <w:t>,</w:t>
      </w:r>
      <w:r w:rsidR="008C5A1F">
        <w:t xml:space="preserve"> </w:t>
      </w:r>
      <w:r w:rsidRPr="00463B9A">
        <w:t>Views adopted on 21 March 2013, para.</w:t>
      </w:r>
      <w:proofErr w:type="gramEnd"/>
      <w:r w:rsidRPr="00463B9A">
        <w:t xml:space="preserve"> 8.6.</w:t>
      </w:r>
    </w:p>
  </w:footnote>
  <w:footnote w:id="18">
    <w:p w14:paraId="1A6D4940" w14:textId="73771B13" w:rsidR="003D4E28" w:rsidRPr="00463B9A" w:rsidRDefault="003D4E28" w:rsidP="00E20C09">
      <w:pPr>
        <w:pStyle w:val="FootnoteText"/>
      </w:pPr>
      <w:r>
        <w:tab/>
      </w:r>
      <w:r w:rsidRPr="00AE40E9">
        <w:rPr>
          <w:rStyle w:val="FootnoteReference"/>
        </w:rPr>
        <w:footnoteRef/>
      </w:r>
      <w:r w:rsidRPr="00463B9A">
        <w:tab/>
      </w:r>
      <w:proofErr w:type="gramStart"/>
      <w:r w:rsidRPr="00463B9A">
        <w:t>See,</w:t>
      </w:r>
      <w:proofErr w:type="gramEnd"/>
      <w:r w:rsidRPr="00463B9A">
        <w:t xml:space="preserve"> </w:t>
      </w:r>
      <w:r w:rsidRPr="00E20C09">
        <w:t>inter</w:t>
      </w:r>
      <w:r w:rsidRPr="00463B9A">
        <w:t xml:space="preserve"> alia, communication No. 2393/2014, </w:t>
      </w:r>
      <w:r w:rsidRPr="00463B9A">
        <w:rPr>
          <w:i/>
        </w:rPr>
        <w:t>K</w:t>
      </w:r>
      <w:r>
        <w:rPr>
          <w:i/>
        </w:rPr>
        <w:t>.</w:t>
      </w:r>
      <w:r w:rsidRPr="00463B9A">
        <w:rPr>
          <w:i/>
        </w:rPr>
        <w:t xml:space="preserve"> v. Denmark</w:t>
      </w:r>
      <w:r w:rsidRPr="00463B9A">
        <w:t>, Views adopted on 16 July 2015, para.</w:t>
      </w:r>
      <w:r>
        <w:t> </w:t>
      </w:r>
      <w:r w:rsidRPr="00463B9A">
        <w:t xml:space="preserve">7.3; </w:t>
      </w:r>
      <w:r>
        <w:t xml:space="preserve">and </w:t>
      </w:r>
      <w:r w:rsidRPr="00463B9A">
        <w:t xml:space="preserve">communication No. 2272/2013, </w:t>
      </w:r>
      <w:r w:rsidRPr="00463B9A">
        <w:rPr>
          <w:i/>
        </w:rPr>
        <w:t>P</w:t>
      </w:r>
      <w:r w:rsidR="00553D5C">
        <w:rPr>
          <w:i/>
        </w:rPr>
        <w:t>.</w:t>
      </w:r>
      <w:r w:rsidRPr="00463B9A">
        <w:rPr>
          <w:i/>
        </w:rPr>
        <w:t>T. v. Denmark</w:t>
      </w:r>
      <w:r w:rsidRPr="00463B9A">
        <w:t>, Views adopted on 1 April 2015, para. 7.2.</w:t>
      </w:r>
    </w:p>
  </w:footnote>
  <w:footnote w:id="19">
    <w:p w14:paraId="6D9FE454" w14:textId="1522E493" w:rsidR="003D4E28" w:rsidRPr="00463B9A" w:rsidRDefault="003D4E28" w:rsidP="00E20C09">
      <w:pPr>
        <w:pStyle w:val="FootnoteText"/>
      </w:pPr>
      <w:r>
        <w:tab/>
      </w:r>
      <w:r w:rsidRPr="00AE40E9">
        <w:rPr>
          <w:rStyle w:val="FootnoteReference"/>
        </w:rPr>
        <w:footnoteRef/>
      </w:r>
      <w:r w:rsidRPr="00463B9A">
        <w:tab/>
        <w:t xml:space="preserve">See </w:t>
      </w:r>
      <w:r w:rsidRPr="00463B9A">
        <w:rPr>
          <w:i/>
          <w:iCs/>
        </w:rPr>
        <w:t>X</w:t>
      </w:r>
      <w:r>
        <w:rPr>
          <w:i/>
          <w:iCs/>
        </w:rPr>
        <w:t>.</w:t>
      </w:r>
      <w:r w:rsidRPr="00463B9A">
        <w:rPr>
          <w:i/>
          <w:iCs/>
        </w:rPr>
        <w:t xml:space="preserve"> v. Denmark</w:t>
      </w:r>
      <w:r w:rsidRPr="00463B9A">
        <w:t xml:space="preserve">, para. 9.2; </w:t>
      </w:r>
      <w:r>
        <w:t xml:space="preserve">and </w:t>
      </w:r>
      <w:r w:rsidRPr="00463B9A">
        <w:t>communication No. 1833/2008</w:t>
      </w:r>
      <w:r w:rsidRPr="00463B9A">
        <w:rPr>
          <w:i/>
        </w:rPr>
        <w:t>, X</w:t>
      </w:r>
      <w:r>
        <w:rPr>
          <w:i/>
        </w:rPr>
        <w:t>.</w:t>
      </w:r>
      <w:r w:rsidRPr="00463B9A">
        <w:rPr>
          <w:i/>
        </w:rPr>
        <w:t xml:space="preserve"> v. Sweden</w:t>
      </w:r>
      <w:r w:rsidRPr="00463B9A">
        <w:t xml:space="preserve">, Views adopted on 1 November 2011, para. 5.18. </w:t>
      </w:r>
    </w:p>
  </w:footnote>
  <w:footnote w:id="20">
    <w:p w14:paraId="2A0760AE" w14:textId="63FEB5A0" w:rsidR="003D4E28" w:rsidRPr="00463B9A" w:rsidRDefault="003D4E28" w:rsidP="00E20C09">
      <w:pPr>
        <w:pStyle w:val="FootnoteText"/>
      </w:pPr>
      <w:r>
        <w:tab/>
      </w:r>
      <w:r w:rsidRPr="00AE40E9">
        <w:rPr>
          <w:rStyle w:val="FootnoteReference"/>
        </w:rPr>
        <w:footnoteRef/>
      </w:r>
      <w:r w:rsidRPr="00463B9A">
        <w:tab/>
      </w:r>
      <w:proofErr w:type="gramStart"/>
      <w:r w:rsidRPr="00463B9A">
        <w:t>See,</w:t>
      </w:r>
      <w:proofErr w:type="gramEnd"/>
      <w:r w:rsidRPr="00463B9A">
        <w:t xml:space="preserve"> inter alia, </w:t>
      </w:r>
      <w:r w:rsidRPr="00463B9A">
        <w:rPr>
          <w:i/>
        </w:rPr>
        <w:t>K</w:t>
      </w:r>
      <w:r>
        <w:rPr>
          <w:i/>
        </w:rPr>
        <w:t>.</w:t>
      </w:r>
      <w:r w:rsidRPr="00463B9A">
        <w:rPr>
          <w:i/>
        </w:rPr>
        <w:t xml:space="preserve"> v. Denmark</w:t>
      </w:r>
      <w:r w:rsidRPr="00463B9A">
        <w:t>, para.</w:t>
      </w:r>
      <w:r>
        <w:t> </w:t>
      </w:r>
      <w:r w:rsidRPr="00463B9A">
        <w:t>7.4.</w:t>
      </w:r>
    </w:p>
  </w:footnote>
  <w:footnote w:id="21">
    <w:p w14:paraId="7814B7EB" w14:textId="2C1C961B" w:rsidR="003D4E28" w:rsidRPr="00463B9A" w:rsidRDefault="003D4E28" w:rsidP="00E20C09">
      <w:pPr>
        <w:pStyle w:val="FootnoteText"/>
      </w:pPr>
      <w:r>
        <w:tab/>
      </w:r>
      <w:r w:rsidRPr="00AE40E9">
        <w:rPr>
          <w:rStyle w:val="FootnoteReference"/>
        </w:rPr>
        <w:footnoteRef/>
      </w:r>
      <w:r>
        <w:tab/>
      </w:r>
      <w:r w:rsidRPr="00463B9A">
        <w:t xml:space="preserve">See </w:t>
      </w:r>
      <w:proofErr w:type="gramStart"/>
      <w:r w:rsidRPr="00463B9A">
        <w:t xml:space="preserve">communication </w:t>
      </w:r>
      <w:r>
        <w:t xml:space="preserve"> </w:t>
      </w:r>
      <w:r w:rsidRPr="00463B9A">
        <w:t>No</w:t>
      </w:r>
      <w:proofErr w:type="gramEnd"/>
      <w:r w:rsidRPr="00463B9A">
        <w:t xml:space="preserve">. 2049/2011, </w:t>
      </w:r>
      <w:r w:rsidRPr="00463B9A">
        <w:rPr>
          <w:i/>
        </w:rPr>
        <w:t>Z</w:t>
      </w:r>
      <w:r>
        <w:rPr>
          <w:i/>
        </w:rPr>
        <w:t>.</w:t>
      </w:r>
      <w:r w:rsidRPr="00463B9A">
        <w:rPr>
          <w:i/>
        </w:rPr>
        <w:t xml:space="preserve"> v. Australia</w:t>
      </w:r>
      <w:r w:rsidRPr="00463B9A">
        <w:t>, Views adopted on 18 July 2014, paras. 9.4</w:t>
      </w:r>
      <w:r>
        <w:t xml:space="preserve"> </w:t>
      </w:r>
      <w:proofErr w:type="gramStart"/>
      <w:r>
        <w:t>and</w:t>
      </w:r>
      <w:proofErr w:type="gramEnd"/>
      <w:r w:rsidRPr="00463B9A">
        <w:t xml:space="preserve"> 9.5; </w:t>
      </w:r>
      <w:r w:rsidRPr="00463B9A">
        <w:rPr>
          <w:i/>
        </w:rPr>
        <w:t>Li</w:t>
      </w:r>
      <w:r>
        <w:rPr>
          <w:i/>
        </w:rPr>
        <w:t>n</w:t>
      </w:r>
      <w:r w:rsidRPr="00463B9A">
        <w:rPr>
          <w:i/>
        </w:rPr>
        <w:t xml:space="preserve"> v. Australia</w:t>
      </w:r>
      <w:r w:rsidRPr="00463B9A">
        <w:t>, paras.</w:t>
      </w:r>
      <w:r>
        <w:t> </w:t>
      </w:r>
      <w:r w:rsidRPr="00463B9A">
        <w:t>2.3</w:t>
      </w:r>
      <w:r>
        <w:t xml:space="preserve"> </w:t>
      </w:r>
      <w:proofErr w:type="gramStart"/>
      <w:r>
        <w:t>and</w:t>
      </w:r>
      <w:proofErr w:type="gramEnd"/>
      <w:r w:rsidRPr="00463B9A">
        <w:t xml:space="preserve"> 9.4; </w:t>
      </w:r>
      <w:r>
        <w:t xml:space="preserve">and </w:t>
      </w:r>
      <w:r w:rsidRPr="00463B9A">
        <w:t>communication</w:t>
      </w:r>
      <w:r>
        <w:t>s</w:t>
      </w:r>
      <w:r w:rsidRPr="00463B9A">
        <w:t xml:space="preserve"> No. 1315/2004, </w:t>
      </w:r>
      <w:r w:rsidRPr="00463B9A">
        <w:rPr>
          <w:i/>
        </w:rPr>
        <w:t>Singh v. Canada</w:t>
      </w:r>
      <w:r w:rsidRPr="00463B9A">
        <w:t>, decision of inadmissibility adopted on 30 March 2006, note 1</w:t>
      </w:r>
      <w:r>
        <w:t xml:space="preserve"> and</w:t>
      </w:r>
      <w:r w:rsidRPr="00463B9A">
        <w:t xml:space="preserve"> para. 6.3; </w:t>
      </w:r>
      <w:r>
        <w:t xml:space="preserve">and </w:t>
      </w:r>
      <w:r w:rsidRPr="00463B9A">
        <w:t xml:space="preserve">communication No. 1897/2009, </w:t>
      </w:r>
      <w:r w:rsidRPr="00463B9A">
        <w:rPr>
          <w:i/>
        </w:rPr>
        <w:t>S.</w:t>
      </w:r>
      <w:r>
        <w:rPr>
          <w:i/>
        </w:rPr>
        <w:t xml:space="preserve"> </w:t>
      </w:r>
      <w:r w:rsidRPr="00463B9A">
        <w:rPr>
          <w:i/>
        </w:rPr>
        <w:t>Y.</w:t>
      </w:r>
      <w:r>
        <w:rPr>
          <w:i/>
        </w:rPr>
        <w:t xml:space="preserve"> </w:t>
      </w:r>
      <w:r w:rsidRPr="00463B9A">
        <w:rPr>
          <w:i/>
        </w:rPr>
        <w:t>L. v. Australia</w:t>
      </w:r>
      <w:r w:rsidRPr="00463B9A">
        <w:t xml:space="preserve">, decision of inadmissibility adopted on 24 July 2013, </w:t>
      </w:r>
      <w:proofErr w:type="gramStart"/>
      <w:r w:rsidRPr="00463B9A">
        <w:t>para</w:t>
      </w:r>
      <w:proofErr w:type="gramEnd"/>
      <w:r w:rsidRPr="00463B9A">
        <w:t>. 8.4.</w:t>
      </w:r>
    </w:p>
  </w:footnote>
  <w:footnote w:id="22">
    <w:p w14:paraId="4DE0A1DD" w14:textId="58B71139" w:rsidR="003D4E28" w:rsidRPr="009A38AA" w:rsidRDefault="003D4E28" w:rsidP="00E20C09">
      <w:pPr>
        <w:pStyle w:val="FootnoteText"/>
      </w:pPr>
      <w:r>
        <w:tab/>
      </w:r>
      <w:r w:rsidRPr="00AE40E9">
        <w:rPr>
          <w:rStyle w:val="FootnoteReference"/>
        </w:rPr>
        <w:footnoteRef/>
      </w:r>
      <w:r>
        <w:tab/>
      </w:r>
      <w:r w:rsidRPr="00463B9A">
        <w:t xml:space="preserve">See </w:t>
      </w:r>
      <w:r w:rsidRPr="003826E8">
        <w:rPr>
          <w:i/>
        </w:rPr>
        <w:t>X.</w:t>
      </w:r>
      <w:r w:rsidRPr="00463B9A">
        <w:rPr>
          <w:i/>
        </w:rPr>
        <w:t xml:space="preserve"> v. Canada</w:t>
      </w:r>
      <w:r w:rsidRPr="00463B9A">
        <w:t>, para. 9.5.</w:t>
      </w:r>
    </w:p>
  </w:footnote>
  <w:footnote w:id="23">
    <w:p w14:paraId="7A2F24A2" w14:textId="021CAFAC" w:rsidR="003D4E28" w:rsidRPr="002D677A" w:rsidRDefault="003D4E28" w:rsidP="002D677A">
      <w:pPr>
        <w:pStyle w:val="FootnoteText"/>
      </w:pPr>
      <w:r>
        <w:tab/>
      </w:r>
      <w:r w:rsidRPr="00AE40E9">
        <w:rPr>
          <w:rStyle w:val="FootnoteReference"/>
        </w:rPr>
        <w:footnoteRef/>
      </w:r>
      <w:r>
        <w:tab/>
      </w:r>
      <w:r w:rsidRPr="00463B9A">
        <w:t xml:space="preserve">See </w:t>
      </w:r>
      <w:r w:rsidRPr="00E20C09">
        <w:t>general</w:t>
      </w:r>
      <w:r w:rsidRPr="00463B9A">
        <w:t xml:space="preserve"> comment No. 31,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7EB9" w14:textId="415BE170" w:rsidR="003D4E28" w:rsidRPr="00A40224" w:rsidRDefault="003D4E28">
    <w:pPr>
      <w:pStyle w:val="Header"/>
    </w:pPr>
    <w:r>
      <w:t xml:space="preserve">CCPR/C/116/D/2327/2014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A113" w14:textId="7CE45389" w:rsidR="003D4E28" w:rsidRPr="00A40224" w:rsidRDefault="003D4E28" w:rsidP="00A40224">
    <w:pPr>
      <w:pStyle w:val="Header"/>
      <w:jc w:val="right"/>
    </w:pPr>
    <w:r>
      <w:t>CCPR/C/116/D/2327/2014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D07A0"/>
    <w:multiLevelType w:val="hybridMultilevel"/>
    <w:tmpl w:val="7A06A01A"/>
    <w:lvl w:ilvl="0" w:tplc="B29CB2FC">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4C1CF5"/>
    <w:multiLevelType w:val="hybridMultilevel"/>
    <w:tmpl w:val="0E4C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12674"/>
    <w:multiLevelType w:val="hybridMultilevel"/>
    <w:tmpl w:val="8E56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164DB5"/>
    <w:multiLevelType w:val="hybridMultilevel"/>
    <w:tmpl w:val="D51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8BC"/>
    <w:multiLevelType w:val="hybridMultilevel"/>
    <w:tmpl w:val="2856F49E"/>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10D61548"/>
    <w:multiLevelType w:val="hybridMultilevel"/>
    <w:tmpl w:val="DA6857B2"/>
    <w:lvl w:ilvl="0" w:tplc="9F9481C6">
      <w:start w:val="1"/>
      <w:numFmt w:val="lowerLetter"/>
      <w:lvlText w:val="%1."/>
      <w:lvlJc w:val="left"/>
      <w:pPr>
        <w:ind w:left="814" w:hanging="360"/>
      </w:pPr>
      <w:rPr>
        <w:b/>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112A22C1"/>
    <w:multiLevelType w:val="hybridMultilevel"/>
    <w:tmpl w:val="5B58D7D4"/>
    <w:lvl w:ilvl="0" w:tplc="5B96F89C">
      <w:start w:val="1"/>
      <w:numFmt w:val="decimal"/>
      <w:lvlText w:val="%1."/>
      <w:lvlJc w:val="left"/>
      <w:pPr>
        <w:ind w:left="1080" w:hanging="360"/>
      </w:pPr>
      <w:rPr>
        <w:sz w:val="24"/>
        <w:szCs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9C0C35"/>
    <w:multiLevelType w:val="hybridMultilevel"/>
    <w:tmpl w:val="32ECFF14"/>
    <w:lvl w:ilvl="0" w:tplc="B922FA7E">
      <w:start w:val="1"/>
      <w:numFmt w:val="decimal"/>
      <w:lvlText w:val="%1."/>
      <w:lvlJc w:val="left"/>
      <w:pPr>
        <w:tabs>
          <w:tab w:val="num" w:pos="454"/>
        </w:tabs>
        <w:ind w:left="454" w:hanging="454"/>
      </w:pPr>
      <w:rPr>
        <w:rFonts w:hint="default"/>
        <w:b w:val="0"/>
        <w:i w:val="0"/>
        <w:strike w:val="0"/>
        <w:dstrike w:val="0"/>
      </w:rPr>
    </w:lvl>
    <w:lvl w:ilvl="1" w:tplc="74C41906">
      <w:start w:val="1"/>
      <w:numFmt w:val="decimal"/>
      <w:lvlText w:val="%2."/>
      <w:lvlJc w:val="left"/>
      <w:pPr>
        <w:tabs>
          <w:tab w:val="num" w:pos="1440"/>
        </w:tabs>
        <w:ind w:left="1440" w:hanging="360"/>
      </w:pPr>
      <w:rPr>
        <w:rFonts w:hint="default"/>
        <w:b w:val="0"/>
      </w:rPr>
    </w:lvl>
    <w:lvl w:ilvl="2" w:tplc="84E26ED0">
      <w:start w:val="1"/>
      <w:numFmt w:val="upperRoman"/>
      <w:lvlText w:val="%3."/>
      <w:lvlJc w:val="right"/>
      <w:pPr>
        <w:tabs>
          <w:tab w:val="num" w:pos="2340"/>
        </w:tabs>
        <w:ind w:left="1980" w:firstLine="0"/>
      </w:pPr>
      <w:rPr>
        <w:rFonts w:hint="default"/>
      </w:rPr>
    </w:lvl>
    <w:lvl w:ilvl="3" w:tplc="822409B8" w:tentative="1">
      <w:start w:val="1"/>
      <w:numFmt w:val="decimal"/>
      <w:lvlText w:val="%4."/>
      <w:lvlJc w:val="left"/>
      <w:pPr>
        <w:tabs>
          <w:tab w:val="num" w:pos="2880"/>
        </w:tabs>
        <w:ind w:left="2880" w:hanging="360"/>
      </w:pPr>
    </w:lvl>
    <w:lvl w:ilvl="4" w:tplc="1346A7EA" w:tentative="1">
      <w:start w:val="1"/>
      <w:numFmt w:val="lowerLetter"/>
      <w:lvlText w:val="%5."/>
      <w:lvlJc w:val="left"/>
      <w:pPr>
        <w:tabs>
          <w:tab w:val="num" w:pos="3600"/>
        </w:tabs>
        <w:ind w:left="3600" w:hanging="360"/>
      </w:pPr>
    </w:lvl>
    <w:lvl w:ilvl="5" w:tplc="301858CA" w:tentative="1">
      <w:start w:val="1"/>
      <w:numFmt w:val="lowerRoman"/>
      <w:lvlText w:val="%6."/>
      <w:lvlJc w:val="right"/>
      <w:pPr>
        <w:tabs>
          <w:tab w:val="num" w:pos="4320"/>
        </w:tabs>
        <w:ind w:left="4320" w:hanging="180"/>
      </w:pPr>
    </w:lvl>
    <w:lvl w:ilvl="6" w:tplc="8EDADA28" w:tentative="1">
      <w:start w:val="1"/>
      <w:numFmt w:val="decimal"/>
      <w:lvlText w:val="%7."/>
      <w:lvlJc w:val="left"/>
      <w:pPr>
        <w:tabs>
          <w:tab w:val="num" w:pos="5040"/>
        </w:tabs>
        <w:ind w:left="5040" w:hanging="360"/>
      </w:pPr>
    </w:lvl>
    <w:lvl w:ilvl="7" w:tplc="CE5EAB24" w:tentative="1">
      <w:start w:val="1"/>
      <w:numFmt w:val="lowerLetter"/>
      <w:lvlText w:val="%8."/>
      <w:lvlJc w:val="left"/>
      <w:pPr>
        <w:tabs>
          <w:tab w:val="num" w:pos="5760"/>
        </w:tabs>
        <w:ind w:left="5760" w:hanging="360"/>
      </w:pPr>
    </w:lvl>
    <w:lvl w:ilvl="8" w:tplc="383003B0" w:tentative="1">
      <w:start w:val="1"/>
      <w:numFmt w:val="lowerRoman"/>
      <w:lvlText w:val="%9."/>
      <w:lvlJc w:val="right"/>
      <w:pPr>
        <w:tabs>
          <w:tab w:val="num" w:pos="6480"/>
        </w:tabs>
        <w:ind w:left="6480" w:hanging="180"/>
      </w:pPr>
    </w:lvl>
  </w:abstractNum>
  <w:abstractNum w:abstractNumId="9">
    <w:nsid w:val="1DE102CF"/>
    <w:multiLevelType w:val="singleLevel"/>
    <w:tmpl w:val="F9CA68C0"/>
    <w:lvl w:ilvl="0">
      <w:start w:val="1"/>
      <w:numFmt w:val="decimal"/>
      <w:lvlText w:val="%1."/>
      <w:lvlJc w:val="left"/>
      <w:pPr>
        <w:tabs>
          <w:tab w:val="num" w:pos="1080"/>
        </w:tabs>
        <w:ind w:left="1080" w:hanging="360"/>
      </w:pPr>
      <w:rPr>
        <w:rFonts w:ascii="Times New Roman" w:hAnsi="Times New Roman" w:hint="default"/>
        <w:sz w:val="20"/>
      </w:rPr>
    </w:lvl>
  </w:abstractNum>
  <w:abstractNum w:abstractNumId="10">
    <w:nsid w:val="29FD16C0"/>
    <w:multiLevelType w:val="hybridMultilevel"/>
    <w:tmpl w:val="600648E0"/>
    <w:lvl w:ilvl="0" w:tplc="3F68CBF8">
      <w:start w:val="1"/>
      <w:numFmt w:val="lowerLetter"/>
      <w:lvlText w:val="(%1)"/>
      <w:lvlJc w:val="left"/>
      <w:pPr>
        <w:tabs>
          <w:tab w:val="num" w:pos="1080"/>
        </w:tabs>
        <w:ind w:left="1080" w:hanging="360"/>
      </w:pPr>
      <w:rPr>
        <w:rFonts w:hint="default"/>
      </w:rPr>
    </w:lvl>
    <w:lvl w:ilvl="1" w:tplc="7D3AA5DC" w:tentative="1">
      <w:start w:val="1"/>
      <w:numFmt w:val="lowerLetter"/>
      <w:lvlText w:val="%2."/>
      <w:lvlJc w:val="left"/>
      <w:pPr>
        <w:tabs>
          <w:tab w:val="num" w:pos="1800"/>
        </w:tabs>
        <w:ind w:left="1800" w:hanging="360"/>
      </w:pPr>
    </w:lvl>
    <w:lvl w:ilvl="2" w:tplc="5712C78E" w:tentative="1">
      <w:start w:val="1"/>
      <w:numFmt w:val="lowerRoman"/>
      <w:lvlText w:val="%3."/>
      <w:lvlJc w:val="right"/>
      <w:pPr>
        <w:tabs>
          <w:tab w:val="num" w:pos="2520"/>
        </w:tabs>
        <w:ind w:left="2520" w:hanging="180"/>
      </w:pPr>
    </w:lvl>
    <w:lvl w:ilvl="3" w:tplc="48C63C38" w:tentative="1">
      <w:start w:val="1"/>
      <w:numFmt w:val="decimal"/>
      <w:lvlText w:val="%4."/>
      <w:lvlJc w:val="left"/>
      <w:pPr>
        <w:tabs>
          <w:tab w:val="num" w:pos="3240"/>
        </w:tabs>
        <w:ind w:left="3240" w:hanging="360"/>
      </w:pPr>
    </w:lvl>
    <w:lvl w:ilvl="4" w:tplc="8654BBF2" w:tentative="1">
      <w:start w:val="1"/>
      <w:numFmt w:val="lowerLetter"/>
      <w:lvlText w:val="%5."/>
      <w:lvlJc w:val="left"/>
      <w:pPr>
        <w:tabs>
          <w:tab w:val="num" w:pos="3960"/>
        </w:tabs>
        <w:ind w:left="3960" w:hanging="360"/>
      </w:pPr>
    </w:lvl>
    <w:lvl w:ilvl="5" w:tplc="EDD47BDA" w:tentative="1">
      <w:start w:val="1"/>
      <w:numFmt w:val="lowerRoman"/>
      <w:lvlText w:val="%6."/>
      <w:lvlJc w:val="right"/>
      <w:pPr>
        <w:tabs>
          <w:tab w:val="num" w:pos="4680"/>
        </w:tabs>
        <w:ind w:left="4680" w:hanging="180"/>
      </w:pPr>
    </w:lvl>
    <w:lvl w:ilvl="6" w:tplc="0222319C" w:tentative="1">
      <w:start w:val="1"/>
      <w:numFmt w:val="decimal"/>
      <w:lvlText w:val="%7."/>
      <w:lvlJc w:val="left"/>
      <w:pPr>
        <w:tabs>
          <w:tab w:val="num" w:pos="5400"/>
        </w:tabs>
        <w:ind w:left="5400" w:hanging="360"/>
      </w:pPr>
    </w:lvl>
    <w:lvl w:ilvl="7" w:tplc="AD5C1510" w:tentative="1">
      <w:start w:val="1"/>
      <w:numFmt w:val="lowerLetter"/>
      <w:lvlText w:val="%8."/>
      <w:lvlJc w:val="left"/>
      <w:pPr>
        <w:tabs>
          <w:tab w:val="num" w:pos="6120"/>
        </w:tabs>
        <w:ind w:left="6120" w:hanging="360"/>
      </w:pPr>
    </w:lvl>
    <w:lvl w:ilvl="8" w:tplc="6E788392" w:tentative="1">
      <w:start w:val="1"/>
      <w:numFmt w:val="lowerRoman"/>
      <w:lvlText w:val="%9."/>
      <w:lvlJc w:val="right"/>
      <w:pPr>
        <w:tabs>
          <w:tab w:val="num" w:pos="6840"/>
        </w:tabs>
        <w:ind w:left="6840" w:hanging="180"/>
      </w:pPr>
    </w:lvl>
  </w:abstractNum>
  <w:abstractNum w:abstractNumId="11">
    <w:nsid w:val="2BCA131B"/>
    <w:multiLevelType w:val="hybridMultilevel"/>
    <w:tmpl w:val="5072B6C0"/>
    <w:lvl w:ilvl="0" w:tplc="33547D46">
      <w:start w:val="1"/>
      <w:numFmt w:val="lowerRoman"/>
      <w:lvlText w:val="%1."/>
      <w:lvlJc w:val="right"/>
      <w:pPr>
        <w:ind w:left="360" w:hanging="360"/>
      </w:pPr>
      <w:rPr>
        <w:rFonts w:hint="default"/>
      </w:rPr>
    </w:lvl>
    <w:lvl w:ilvl="1" w:tplc="5A90CFAC" w:tentative="1">
      <w:start w:val="1"/>
      <w:numFmt w:val="lowerLetter"/>
      <w:lvlText w:val="%2."/>
      <w:lvlJc w:val="left"/>
      <w:pPr>
        <w:ind w:left="1440" w:hanging="360"/>
      </w:pPr>
    </w:lvl>
    <w:lvl w:ilvl="2" w:tplc="9628FF38" w:tentative="1">
      <w:start w:val="1"/>
      <w:numFmt w:val="lowerRoman"/>
      <w:lvlText w:val="%3."/>
      <w:lvlJc w:val="right"/>
      <w:pPr>
        <w:ind w:left="2160" w:hanging="180"/>
      </w:pPr>
    </w:lvl>
    <w:lvl w:ilvl="3" w:tplc="8DCC60F6" w:tentative="1">
      <w:start w:val="1"/>
      <w:numFmt w:val="decimal"/>
      <w:lvlText w:val="%4."/>
      <w:lvlJc w:val="left"/>
      <w:pPr>
        <w:ind w:left="2880" w:hanging="360"/>
      </w:pPr>
    </w:lvl>
    <w:lvl w:ilvl="4" w:tplc="47A62806" w:tentative="1">
      <w:start w:val="1"/>
      <w:numFmt w:val="lowerLetter"/>
      <w:lvlText w:val="%5."/>
      <w:lvlJc w:val="left"/>
      <w:pPr>
        <w:ind w:left="3600" w:hanging="360"/>
      </w:pPr>
    </w:lvl>
    <w:lvl w:ilvl="5" w:tplc="F4CE1B1C" w:tentative="1">
      <w:start w:val="1"/>
      <w:numFmt w:val="lowerRoman"/>
      <w:lvlText w:val="%6."/>
      <w:lvlJc w:val="right"/>
      <w:pPr>
        <w:ind w:left="4320" w:hanging="180"/>
      </w:pPr>
    </w:lvl>
    <w:lvl w:ilvl="6" w:tplc="7FD20142" w:tentative="1">
      <w:start w:val="1"/>
      <w:numFmt w:val="decimal"/>
      <w:lvlText w:val="%7."/>
      <w:lvlJc w:val="left"/>
      <w:pPr>
        <w:ind w:left="5040" w:hanging="360"/>
      </w:pPr>
    </w:lvl>
    <w:lvl w:ilvl="7" w:tplc="BF74696E" w:tentative="1">
      <w:start w:val="1"/>
      <w:numFmt w:val="lowerLetter"/>
      <w:lvlText w:val="%8."/>
      <w:lvlJc w:val="left"/>
      <w:pPr>
        <w:ind w:left="5760" w:hanging="360"/>
      </w:pPr>
    </w:lvl>
    <w:lvl w:ilvl="8" w:tplc="37FE6126" w:tentative="1">
      <w:start w:val="1"/>
      <w:numFmt w:val="lowerRoman"/>
      <w:lvlText w:val="%9."/>
      <w:lvlJc w:val="right"/>
      <w:pPr>
        <w:ind w:left="6480" w:hanging="180"/>
      </w:pPr>
    </w:lvl>
  </w:abstractNum>
  <w:abstractNum w:abstractNumId="12">
    <w:nsid w:val="3F5B54A5"/>
    <w:multiLevelType w:val="hybridMultilevel"/>
    <w:tmpl w:val="FE04A330"/>
    <w:lvl w:ilvl="0" w:tplc="74926768">
      <w:start w:val="3"/>
      <w:numFmt w:val="upperRoman"/>
      <w:lvlText w:val="%1."/>
      <w:lvlJc w:val="left"/>
      <w:pPr>
        <w:tabs>
          <w:tab w:val="num" w:pos="720"/>
        </w:tabs>
        <w:ind w:left="720" w:hanging="72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8FD397A"/>
    <w:multiLevelType w:val="hybridMultilevel"/>
    <w:tmpl w:val="86362780"/>
    <w:lvl w:ilvl="0" w:tplc="A3D48B10">
      <w:start w:val="1"/>
      <w:numFmt w:val="upperLetter"/>
      <w:lvlText w:val="%1."/>
      <w:lvlJc w:val="left"/>
      <w:pPr>
        <w:ind w:left="360" w:hanging="360"/>
      </w:pPr>
    </w:lvl>
    <w:lvl w:ilvl="1" w:tplc="6708093C" w:tentative="1">
      <w:start w:val="1"/>
      <w:numFmt w:val="lowerLetter"/>
      <w:lvlText w:val="%2."/>
      <w:lvlJc w:val="left"/>
      <w:pPr>
        <w:ind w:left="1080" w:hanging="360"/>
      </w:pPr>
    </w:lvl>
    <w:lvl w:ilvl="2" w:tplc="BF546EB4" w:tentative="1">
      <w:start w:val="1"/>
      <w:numFmt w:val="lowerRoman"/>
      <w:lvlText w:val="%3."/>
      <w:lvlJc w:val="right"/>
      <w:pPr>
        <w:ind w:left="1800" w:hanging="180"/>
      </w:pPr>
    </w:lvl>
    <w:lvl w:ilvl="3" w:tplc="6FF81506" w:tentative="1">
      <w:start w:val="1"/>
      <w:numFmt w:val="decimal"/>
      <w:lvlText w:val="%4."/>
      <w:lvlJc w:val="left"/>
      <w:pPr>
        <w:ind w:left="2520" w:hanging="360"/>
      </w:pPr>
    </w:lvl>
    <w:lvl w:ilvl="4" w:tplc="00506838" w:tentative="1">
      <w:start w:val="1"/>
      <w:numFmt w:val="lowerLetter"/>
      <w:lvlText w:val="%5."/>
      <w:lvlJc w:val="left"/>
      <w:pPr>
        <w:ind w:left="3240" w:hanging="360"/>
      </w:pPr>
    </w:lvl>
    <w:lvl w:ilvl="5" w:tplc="8926E70C" w:tentative="1">
      <w:start w:val="1"/>
      <w:numFmt w:val="lowerRoman"/>
      <w:lvlText w:val="%6."/>
      <w:lvlJc w:val="right"/>
      <w:pPr>
        <w:ind w:left="3960" w:hanging="180"/>
      </w:pPr>
    </w:lvl>
    <w:lvl w:ilvl="6" w:tplc="6C72CC7C" w:tentative="1">
      <w:start w:val="1"/>
      <w:numFmt w:val="decimal"/>
      <w:lvlText w:val="%7."/>
      <w:lvlJc w:val="left"/>
      <w:pPr>
        <w:ind w:left="4680" w:hanging="360"/>
      </w:pPr>
    </w:lvl>
    <w:lvl w:ilvl="7" w:tplc="4F68B31C" w:tentative="1">
      <w:start w:val="1"/>
      <w:numFmt w:val="lowerLetter"/>
      <w:lvlText w:val="%8."/>
      <w:lvlJc w:val="left"/>
      <w:pPr>
        <w:ind w:left="5400" w:hanging="360"/>
      </w:pPr>
    </w:lvl>
    <w:lvl w:ilvl="8" w:tplc="C7E8BF60" w:tentative="1">
      <w:start w:val="1"/>
      <w:numFmt w:val="lowerRoman"/>
      <w:lvlText w:val="%9."/>
      <w:lvlJc w:val="right"/>
      <w:pPr>
        <w:ind w:left="6120" w:hanging="180"/>
      </w:pPr>
    </w:lvl>
  </w:abstractNum>
  <w:abstractNum w:abstractNumId="14">
    <w:nsid w:val="5C43310E"/>
    <w:multiLevelType w:val="hybridMultilevel"/>
    <w:tmpl w:val="F6FE0890"/>
    <w:lvl w:ilvl="0" w:tplc="82E033F4">
      <w:start w:val="1"/>
      <w:numFmt w:val="bullet"/>
      <w:lvlText w:val=""/>
      <w:lvlJc w:val="left"/>
      <w:pPr>
        <w:ind w:left="720" w:hanging="360"/>
      </w:pPr>
      <w:rPr>
        <w:rFonts w:ascii="Symbol" w:hAnsi="Symbol" w:hint="default"/>
        <w:vertAlign w:val="baseline"/>
      </w:rPr>
    </w:lvl>
    <w:lvl w:ilvl="1" w:tplc="8794C78C" w:tentative="1">
      <w:start w:val="1"/>
      <w:numFmt w:val="bullet"/>
      <w:lvlText w:val="o"/>
      <w:lvlJc w:val="left"/>
      <w:pPr>
        <w:ind w:left="1440" w:hanging="360"/>
      </w:pPr>
      <w:rPr>
        <w:rFonts w:ascii="Courier New" w:hAnsi="Courier New" w:cs="Courier New" w:hint="default"/>
      </w:rPr>
    </w:lvl>
    <w:lvl w:ilvl="2" w:tplc="D7FC62E2" w:tentative="1">
      <w:start w:val="1"/>
      <w:numFmt w:val="bullet"/>
      <w:lvlText w:val=""/>
      <w:lvlJc w:val="left"/>
      <w:pPr>
        <w:ind w:left="2160" w:hanging="360"/>
      </w:pPr>
      <w:rPr>
        <w:rFonts w:ascii="Wingdings" w:hAnsi="Wingdings" w:hint="default"/>
      </w:rPr>
    </w:lvl>
    <w:lvl w:ilvl="3" w:tplc="0C7E90A2" w:tentative="1">
      <w:start w:val="1"/>
      <w:numFmt w:val="bullet"/>
      <w:lvlText w:val=""/>
      <w:lvlJc w:val="left"/>
      <w:pPr>
        <w:ind w:left="2880" w:hanging="360"/>
      </w:pPr>
      <w:rPr>
        <w:rFonts w:ascii="Symbol" w:hAnsi="Symbol" w:hint="default"/>
      </w:rPr>
    </w:lvl>
    <w:lvl w:ilvl="4" w:tplc="3A88ED52" w:tentative="1">
      <w:start w:val="1"/>
      <w:numFmt w:val="bullet"/>
      <w:lvlText w:val="o"/>
      <w:lvlJc w:val="left"/>
      <w:pPr>
        <w:ind w:left="3600" w:hanging="360"/>
      </w:pPr>
      <w:rPr>
        <w:rFonts w:ascii="Courier New" w:hAnsi="Courier New" w:cs="Courier New" w:hint="default"/>
      </w:rPr>
    </w:lvl>
    <w:lvl w:ilvl="5" w:tplc="0E0ADC16" w:tentative="1">
      <w:start w:val="1"/>
      <w:numFmt w:val="bullet"/>
      <w:lvlText w:val=""/>
      <w:lvlJc w:val="left"/>
      <w:pPr>
        <w:ind w:left="4320" w:hanging="360"/>
      </w:pPr>
      <w:rPr>
        <w:rFonts w:ascii="Wingdings" w:hAnsi="Wingdings" w:hint="default"/>
      </w:rPr>
    </w:lvl>
    <w:lvl w:ilvl="6" w:tplc="B6A098DE" w:tentative="1">
      <w:start w:val="1"/>
      <w:numFmt w:val="bullet"/>
      <w:lvlText w:val=""/>
      <w:lvlJc w:val="left"/>
      <w:pPr>
        <w:ind w:left="5040" w:hanging="360"/>
      </w:pPr>
      <w:rPr>
        <w:rFonts w:ascii="Symbol" w:hAnsi="Symbol" w:hint="default"/>
      </w:rPr>
    </w:lvl>
    <w:lvl w:ilvl="7" w:tplc="F93AEB7A" w:tentative="1">
      <w:start w:val="1"/>
      <w:numFmt w:val="bullet"/>
      <w:lvlText w:val="o"/>
      <w:lvlJc w:val="left"/>
      <w:pPr>
        <w:ind w:left="5760" w:hanging="360"/>
      </w:pPr>
      <w:rPr>
        <w:rFonts w:ascii="Courier New" w:hAnsi="Courier New" w:cs="Courier New" w:hint="default"/>
      </w:rPr>
    </w:lvl>
    <w:lvl w:ilvl="8" w:tplc="684CC5F8" w:tentative="1">
      <w:start w:val="1"/>
      <w:numFmt w:val="bullet"/>
      <w:lvlText w:val=""/>
      <w:lvlJc w:val="left"/>
      <w:pPr>
        <w:ind w:left="6480" w:hanging="360"/>
      </w:pPr>
      <w:rPr>
        <w:rFonts w:ascii="Wingdings" w:hAnsi="Wingdings" w:hint="default"/>
      </w:rPr>
    </w:lvl>
  </w:abstractNum>
  <w:abstractNum w:abstractNumId="15">
    <w:nsid w:val="5E5B00EE"/>
    <w:multiLevelType w:val="hybridMultilevel"/>
    <w:tmpl w:val="CE3C6686"/>
    <w:lvl w:ilvl="0" w:tplc="DCE499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C52163"/>
    <w:multiLevelType w:val="hybridMultilevel"/>
    <w:tmpl w:val="B442F464"/>
    <w:lvl w:ilvl="0" w:tplc="E2D21898">
      <w:start w:val="1"/>
      <w:numFmt w:val="lowerRoman"/>
      <w:lvlText w:val="%1."/>
      <w:lvlJc w:val="right"/>
      <w:pPr>
        <w:ind w:left="360" w:hanging="360"/>
      </w:pPr>
    </w:lvl>
    <w:lvl w:ilvl="1" w:tplc="D974DEF4" w:tentative="1">
      <w:start w:val="1"/>
      <w:numFmt w:val="lowerLetter"/>
      <w:lvlText w:val="%2."/>
      <w:lvlJc w:val="left"/>
      <w:pPr>
        <w:ind w:left="1080" w:hanging="360"/>
      </w:pPr>
    </w:lvl>
    <w:lvl w:ilvl="2" w:tplc="E5AEBFC4" w:tentative="1">
      <w:start w:val="1"/>
      <w:numFmt w:val="lowerRoman"/>
      <w:lvlText w:val="%3."/>
      <w:lvlJc w:val="right"/>
      <w:pPr>
        <w:ind w:left="1800" w:hanging="180"/>
      </w:pPr>
    </w:lvl>
    <w:lvl w:ilvl="3" w:tplc="765C37FA" w:tentative="1">
      <w:start w:val="1"/>
      <w:numFmt w:val="decimal"/>
      <w:lvlText w:val="%4."/>
      <w:lvlJc w:val="left"/>
      <w:pPr>
        <w:ind w:left="2520" w:hanging="360"/>
      </w:pPr>
    </w:lvl>
    <w:lvl w:ilvl="4" w:tplc="D94A9928" w:tentative="1">
      <w:start w:val="1"/>
      <w:numFmt w:val="lowerLetter"/>
      <w:lvlText w:val="%5."/>
      <w:lvlJc w:val="left"/>
      <w:pPr>
        <w:ind w:left="3240" w:hanging="360"/>
      </w:pPr>
    </w:lvl>
    <w:lvl w:ilvl="5" w:tplc="1F5EC6FE" w:tentative="1">
      <w:start w:val="1"/>
      <w:numFmt w:val="lowerRoman"/>
      <w:lvlText w:val="%6."/>
      <w:lvlJc w:val="right"/>
      <w:pPr>
        <w:ind w:left="3960" w:hanging="180"/>
      </w:pPr>
    </w:lvl>
    <w:lvl w:ilvl="6" w:tplc="70B0B1C8" w:tentative="1">
      <w:start w:val="1"/>
      <w:numFmt w:val="decimal"/>
      <w:lvlText w:val="%7."/>
      <w:lvlJc w:val="left"/>
      <w:pPr>
        <w:ind w:left="4680" w:hanging="360"/>
      </w:pPr>
    </w:lvl>
    <w:lvl w:ilvl="7" w:tplc="B5B2EF2E" w:tentative="1">
      <w:start w:val="1"/>
      <w:numFmt w:val="lowerLetter"/>
      <w:lvlText w:val="%8."/>
      <w:lvlJc w:val="left"/>
      <w:pPr>
        <w:ind w:left="5400" w:hanging="360"/>
      </w:pPr>
    </w:lvl>
    <w:lvl w:ilvl="8" w:tplc="358C9F52" w:tentative="1">
      <w:start w:val="1"/>
      <w:numFmt w:val="lowerRoman"/>
      <w:lvlText w:val="%9."/>
      <w:lvlJc w:val="right"/>
      <w:pPr>
        <w:ind w:left="6120" w:hanging="180"/>
      </w:pPr>
    </w:lvl>
  </w:abstractNum>
  <w:abstractNum w:abstractNumId="17">
    <w:nsid w:val="61DD17E6"/>
    <w:multiLevelType w:val="hybridMultilevel"/>
    <w:tmpl w:val="E4F4F8D8"/>
    <w:lvl w:ilvl="0" w:tplc="0409001B">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D444C"/>
    <w:multiLevelType w:val="hybridMultilevel"/>
    <w:tmpl w:val="9838014C"/>
    <w:lvl w:ilvl="0" w:tplc="1009000F">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9">
    <w:nsid w:val="65CE67C7"/>
    <w:multiLevelType w:val="singleLevel"/>
    <w:tmpl w:val="BCCEB138"/>
    <w:lvl w:ilvl="0">
      <w:start w:val="1"/>
      <w:numFmt w:val="upperRoman"/>
      <w:lvlText w:val="%1."/>
      <w:lvlJc w:val="left"/>
      <w:pPr>
        <w:tabs>
          <w:tab w:val="num" w:pos="720"/>
        </w:tabs>
        <w:ind w:left="720" w:hanging="720"/>
      </w:pPr>
      <w:rPr>
        <w:rFonts w:hint="default"/>
        <w:b/>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AC20B8"/>
    <w:multiLevelType w:val="hybridMultilevel"/>
    <w:tmpl w:val="7D301ED4"/>
    <w:lvl w:ilvl="0" w:tplc="A844D202">
      <w:start w:val="1"/>
      <w:numFmt w:val="lowerRoman"/>
      <w:lvlText w:val="%1."/>
      <w:lvlJc w:val="right"/>
      <w:pPr>
        <w:ind w:left="360" w:hanging="360"/>
      </w:pPr>
      <w:rPr>
        <w:i w:val="0"/>
      </w:rPr>
    </w:lvl>
    <w:lvl w:ilvl="1" w:tplc="15E2044A" w:tentative="1">
      <w:start w:val="1"/>
      <w:numFmt w:val="lowerLetter"/>
      <w:lvlText w:val="%2."/>
      <w:lvlJc w:val="left"/>
      <w:pPr>
        <w:ind w:left="1080" w:hanging="360"/>
      </w:pPr>
    </w:lvl>
    <w:lvl w:ilvl="2" w:tplc="E1B442E4" w:tentative="1">
      <w:start w:val="1"/>
      <w:numFmt w:val="lowerRoman"/>
      <w:lvlText w:val="%3."/>
      <w:lvlJc w:val="right"/>
      <w:pPr>
        <w:ind w:left="1800" w:hanging="180"/>
      </w:pPr>
    </w:lvl>
    <w:lvl w:ilvl="3" w:tplc="73EED636" w:tentative="1">
      <w:start w:val="1"/>
      <w:numFmt w:val="decimal"/>
      <w:lvlText w:val="%4."/>
      <w:lvlJc w:val="left"/>
      <w:pPr>
        <w:ind w:left="2520" w:hanging="360"/>
      </w:pPr>
    </w:lvl>
    <w:lvl w:ilvl="4" w:tplc="4F1A3294" w:tentative="1">
      <w:start w:val="1"/>
      <w:numFmt w:val="lowerLetter"/>
      <w:lvlText w:val="%5."/>
      <w:lvlJc w:val="left"/>
      <w:pPr>
        <w:ind w:left="3240" w:hanging="360"/>
      </w:pPr>
    </w:lvl>
    <w:lvl w:ilvl="5" w:tplc="D32834A0" w:tentative="1">
      <w:start w:val="1"/>
      <w:numFmt w:val="lowerRoman"/>
      <w:lvlText w:val="%6."/>
      <w:lvlJc w:val="right"/>
      <w:pPr>
        <w:ind w:left="3960" w:hanging="180"/>
      </w:pPr>
    </w:lvl>
    <w:lvl w:ilvl="6" w:tplc="6B2C1436" w:tentative="1">
      <w:start w:val="1"/>
      <w:numFmt w:val="decimal"/>
      <w:lvlText w:val="%7."/>
      <w:lvlJc w:val="left"/>
      <w:pPr>
        <w:ind w:left="4680" w:hanging="360"/>
      </w:pPr>
    </w:lvl>
    <w:lvl w:ilvl="7" w:tplc="D05274E0" w:tentative="1">
      <w:start w:val="1"/>
      <w:numFmt w:val="lowerLetter"/>
      <w:lvlText w:val="%8."/>
      <w:lvlJc w:val="left"/>
      <w:pPr>
        <w:ind w:left="5400" w:hanging="360"/>
      </w:pPr>
    </w:lvl>
    <w:lvl w:ilvl="8" w:tplc="2A0C9064" w:tentative="1">
      <w:start w:val="1"/>
      <w:numFmt w:val="lowerRoman"/>
      <w:lvlText w:val="%9."/>
      <w:lvlJc w:val="right"/>
      <w:pPr>
        <w:ind w:left="6120" w:hanging="180"/>
      </w:pPr>
    </w:lvl>
  </w:abstractNum>
  <w:abstractNum w:abstractNumId="22">
    <w:nsid w:val="6E0D4305"/>
    <w:multiLevelType w:val="hybridMultilevel"/>
    <w:tmpl w:val="32ECFF14"/>
    <w:lvl w:ilvl="0" w:tplc="EF506D4C">
      <w:start w:val="1"/>
      <w:numFmt w:val="decimal"/>
      <w:lvlText w:val="%1."/>
      <w:lvlJc w:val="left"/>
      <w:pPr>
        <w:tabs>
          <w:tab w:val="num" w:pos="454"/>
        </w:tabs>
        <w:ind w:left="454" w:hanging="454"/>
      </w:pPr>
      <w:rPr>
        <w:rFonts w:hint="default"/>
        <w:b w:val="0"/>
        <w:i w:val="0"/>
        <w:strike w:val="0"/>
        <w:dstrike w:val="0"/>
      </w:rPr>
    </w:lvl>
    <w:lvl w:ilvl="1" w:tplc="04090019">
      <w:start w:val="1"/>
      <w:numFmt w:val="decimal"/>
      <w:lvlText w:val="%2."/>
      <w:lvlJc w:val="left"/>
      <w:pPr>
        <w:tabs>
          <w:tab w:val="num" w:pos="1440"/>
        </w:tabs>
        <w:ind w:left="1440" w:hanging="360"/>
      </w:pPr>
      <w:rPr>
        <w:rFonts w:hint="default"/>
        <w:b w:val="0"/>
      </w:rPr>
    </w:lvl>
    <w:lvl w:ilvl="2" w:tplc="0409001B">
      <w:start w:val="1"/>
      <w:numFmt w:val="upperRoman"/>
      <w:lvlText w:val="%3."/>
      <w:lvlJc w:val="righ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9234D4"/>
    <w:multiLevelType w:val="hybridMultilevel"/>
    <w:tmpl w:val="CDD883AE"/>
    <w:lvl w:ilvl="0" w:tplc="B922FA7E">
      <w:start w:val="1"/>
      <w:numFmt w:val="bullet"/>
      <w:lvlText w:val=""/>
      <w:lvlJc w:val="left"/>
      <w:pPr>
        <w:ind w:left="720" w:hanging="360"/>
      </w:pPr>
      <w:rPr>
        <w:rFonts w:ascii="Symbol" w:hAnsi="Symbol" w:hint="default"/>
      </w:rPr>
    </w:lvl>
    <w:lvl w:ilvl="1" w:tplc="74C41906" w:tentative="1">
      <w:start w:val="1"/>
      <w:numFmt w:val="bullet"/>
      <w:lvlText w:val="o"/>
      <w:lvlJc w:val="left"/>
      <w:pPr>
        <w:ind w:left="1440" w:hanging="360"/>
      </w:pPr>
      <w:rPr>
        <w:rFonts w:ascii="Courier New" w:hAnsi="Courier New" w:cs="Courier New" w:hint="default"/>
      </w:rPr>
    </w:lvl>
    <w:lvl w:ilvl="2" w:tplc="84E26ED0" w:tentative="1">
      <w:start w:val="1"/>
      <w:numFmt w:val="bullet"/>
      <w:lvlText w:val=""/>
      <w:lvlJc w:val="left"/>
      <w:pPr>
        <w:ind w:left="2160" w:hanging="360"/>
      </w:pPr>
      <w:rPr>
        <w:rFonts w:ascii="Wingdings" w:hAnsi="Wingdings" w:hint="default"/>
      </w:rPr>
    </w:lvl>
    <w:lvl w:ilvl="3" w:tplc="822409B8" w:tentative="1">
      <w:start w:val="1"/>
      <w:numFmt w:val="bullet"/>
      <w:lvlText w:val=""/>
      <w:lvlJc w:val="left"/>
      <w:pPr>
        <w:ind w:left="2880" w:hanging="360"/>
      </w:pPr>
      <w:rPr>
        <w:rFonts w:ascii="Symbol" w:hAnsi="Symbol" w:hint="default"/>
      </w:rPr>
    </w:lvl>
    <w:lvl w:ilvl="4" w:tplc="1346A7EA" w:tentative="1">
      <w:start w:val="1"/>
      <w:numFmt w:val="bullet"/>
      <w:lvlText w:val="o"/>
      <w:lvlJc w:val="left"/>
      <w:pPr>
        <w:ind w:left="3600" w:hanging="360"/>
      </w:pPr>
      <w:rPr>
        <w:rFonts w:ascii="Courier New" w:hAnsi="Courier New" w:cs="Courier New" w:hint="default"/>
      </w:rPr>
    </w:lvl>
    <w:lvl w:ilvl="5" w:tplc="301858CA" w:tentative="1">
      <w:start w:val="1"/>
      <w:numFmt w:val="bullet"/>
      <w:lvlText w:val=""/>
      <w:lvlJc w:val="left"/>
      <w:pPr>
        <w:ind w:left="4320" w:hanging="360"/>
      </w:pPr>
      <w:rPr>
        <w:rFonts w:ascii="Wingdings" w:hAnsi="Wingdings" w:hint="default"/>
      </w:rPr>
    </w:lvl>
    <w:lvl w:ilvl="6" w:tplc="8EDADA28" w:tentative="1">
      <w:start w:val="1"/>
      <w:numFmt w:val="bullet"/>
      <w:lvlText w:val=""/>
      <w:lvlJc w:val="left"/>
      <w:pPr>
        <w:ind w:left="5040" w:hanging="360"/>
      </w:pPr>
      <w:rPr>
        <w:rFonts w:ascii="Symbol" w:hAnsi="Symbol" w:hint="default"/>
      </w:rPr>
    </w:lvl>
    <w:lvl w:ilvl="7" w:tplc="CE5EAB24" w:tentative="1">
      <w:start w:val="1"/>
      <w:numFmt w:val="bullet"/>
      <w:lvlText w:val="o"/>
      <w:lvlJc w:val="left"/>
      <w:pPr>
        <w:ind w:left="5760" w:hanging="360"/>
      </w:pPr>
      <w:rPr>
        <w:rFonts w:ascii="Courier New" w:hAnsi="Courier New" w:cs="Courier New" w:hint="default"/>
      </w:rPr>
    </w:lvl>
    <w:lvl w:ilvl="8" w:tplc="383003B0" w:tentative="1">
      <w:start w:val="1"/>
      <w:numFmt w:val="bullet"/>
      <w:lvlText w:val=""/>
      <w:lvlJc w:val="left"/>
      <w:pPr>
        <w:ind w:left="6480" w:hanging="360"/>
      </w:pPr>
      <w:rPr>
        <w:rFonts w:ascii="Wingdings" w:hAnsi="Wingdings" w:hint="default"/>
      </w:rPr>
    </w:lvl>
  </w:abstractNum>
  <w:abstractNum w:abstractNumId="24">
    <w:nsid w:val="772F250F"/>
    <w:multiLevelType w:val="hybridMultilevel"/>
    <w:tmpl w:val="D0A4B322"/>
    <w:lvl w:ilvl="0" w:tplc="8FE823EC">
      <w:start w:val="1"/>
      <w:numFmt w:val="decimal"/>
      <w:lvlText w:val="%1."/>
      <w:lvlJc w:val="left"/>
      <w:pPr>
        <w:ind w:left="360" w:hanging="360"/>
      </w:pPr>
      <w:rPr>
        <w:b w:val="0"/>
      </w:rPr>
    </w:lvl>
    <w:lvl w:ilvl="1" w:tplc="A198C61A">
      <w:numFmt w:val="bullet"/>
      <w:lvlText w:val="-"/>
      <w:lvlJc w:val="left"/>
      <w:pPr>
        <w:ind w:left="1080" w:hanging="360"/>
      </w:pPr>
      <w:rPr>
        <w:rFonts w:ascii="Times New Roman" w:eastAsia="Times New Roman" w:hAnsi="Times New Roman" w:cs="Times New Roman" w:hint="default"/>
      </w:rPr>
    </w:lvl>
    <w:lvl w:ilvl="2" w:tplc="4B2438BE" w:tentative="1">
      <w:start w:val="1"/>
      <w:numFmt w:val="lowerRoman"/>
      <w:lvlText w:val="%3."/>
      <w:lvlJc w:val="right"/>
      <w:pPr>
        <w:ind w:left="1800" w:hanging="180"/>
      </w:pPr>
    </w:lvl>
    <w:lvl w:ilvl="3" w:tplc="4C78FC26" w:tentative="1">
      <w:start w:val="1"/>
      <w:numFmt w:val="decimal"/>
      <w:lvlText w:val="%4."/>
      <w:lvlJc w:val="left"/>
      <w:pPr>
        <w:ind w:left="2520" w:hanging="360"/>
      </w:pPr>
    </w:lvl>
    <w:lvl w:ilvl="4" w:tplc="D4706FF6" w:tentative="1">
      <w:start w:val="1"/>
      <w:numFmt w:val="lowerLetter"/>
      <w:lvlText w:val="%5."/>
      <w:lvlJc w:val="left"/>
      <w:pPr>
        <w:ind w:left="3240" w:hanging="360"/>
      </w:pPr>
    </w:lvl>
    <w:lvl w:ilvl="5" w:tplc="BD7248BA" w:tentative="1">
      <w:start w:val="1"/>
      <w:numFmt w:val="lowerRoman"/>
      <w:lvlText w:val="%6."/>
      <w:lvlJc w:val="right"/>
      <w:pPr>
        <w:ind w:left="3960" w:hanging="180"/>
      </w:pPr>
    </w:lvl>
    <w:lvl w:ilvl="6" w:tplc="5792EDB8" w:tentative="1">
      <w:start w:val="1"/>
      <w:numFmt w:val="decimal"/>
      <w:lvlText w:val="%7."/>
      <w:lvlJc w:val="left"/>
      <w:pPr>
        <w:ind w:left="4680" w:hanging="360"/>
      </w:pPr>
    </w:lvl>
    <w:lvl w:ilvl="7" w:tplc="52F4C118" w:tentative="1">
      <w:start w:val="1"/>
      <w:numFmt w:val="lowerLetter"/>
      <w:lvlText w:val="%8."/>
      <w:lvlJc w:val="left"/>
      <w:pPr>
        <w:ind w:left="5400" w:hanging="360"/>
      </w:pPr>
    </w:lvl>
    <w:lvl w:ilvl="8" w:tplc="68BECCDC" w:tentative="1">
      <w:start w:val="1"/>
      <w:numFmt w:val="lowerRoman"/>
      <w:lvlText w:val="%9."/>
      <w:lvlJc w:val="right"/>
      <w:pPr>
        <w:ind w:left="6120" w:hanging="180"/>
      </w:pPr>
    </w:lvl>
  </w:abstractNum>
  <w:num w:numId="1">
    <w:abstractNumId w:val="0"/>
  </w:num>
  <w:num w:numId="2">
    <w:abstractNumId w:val="20"/>
  </w:num>
  <w:num w:numId="3">
    <w:abstractNumId w:val="14"/>
  </w:num>
  <w:num w:numId="4">
    <w:abstractNumId w:val="22"/>
  </w:num>
  <w:num w:numId="5">
    <w:abstractNumId w:val="19"/>
  </w:num>
  <w:num w:numId="6">
    <w:abstractNumId w:val="9"/>
  </w:num>
  <w:num w:numId="7">
    <w:abstractNumId w:val="10"/>
  </w:num>
  <w:num w:numId="8">
    <w:abstractNumId w:val="12"/>
  </w:num>
  <w:num w:numId="9">
    <w:abstractNumId w:val="24"/>
  </w:num>
  <w:num w:numId="10">
    <w:abstractNumId w:val="18"/>
  </w:num>
  <w:num w:numId="11">
    <w:abstractNumId w:val="15"/>
  </w:num>
  <w:num w:numId="12">
    <w:abstractNumId w:val="13"/>
  </w:num>
  <w:num w:numId="13">
    <w:abstractNumId w:val="23"/>
  </w:num>
  <w:num w:numId="14">
    <w:abstractNumId w:val="3"/>
  </w:num>
  <w:num w:numId="15">
    <w:abstractNumId w:val="17"/>
  </w:num>
  <w:num w:numId="16">
    <w:abstractNumId w:val="16"/>
  </w:num>
  <w:num w:numId="17">
    <w:abstractNumId w:val="5"/>
  </w:num>
  <w:num w:numId="18">
    <w:abstractNumId w:val="21"/>
  </w:num>
  <w:num w:numId="19">
    <w:abstractNumId w:val="6"/>
  </w:num>
  <w:num w:numId="20">
    <w:abstractNumId w:val="2"/>
  </w:num>
  <w:num w:numId="21">
    <w:abstractNumId w:val="1"/>
  </w:num>
  <w:num w:numId="22">
    <w:abstractNumId w:val="7"/>
  </w:num>
  <w:num w:numId="23">
    <w:abstractNumId w:val="11"/>
  </w:num>
  <w:num w:numId="24">
    <w:abstractNumId w:val="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4"/>
    <w:rsid w:val="000003A6"/>
    <w:rsid w:val="00001AF4"/>
    <w:rsid w:val="0000242B"/>
    <w:rsid w:val="00004ED3"/>
    <w:rsid w:val="0000613A"/>
    <w:rsid w:val="00011131"/>
    <w:rsid w:val="0001358C"/>
    <w:rsid w:val="00021F04"/>
    <w:rsid w:val="000241E0"/>
    <w:rsid w:val="00025BA5"/>
    <w:rsid w:val="000272B3"/>
    <w:rsid w:val="0002788D"/>
    <w:rsid w:val="00035BBE"/>
    <w:rsid w:val="00037E80"/>
    <w:rsid w:val="00041F05"/>
    <w:rsid w:val="00043E8D"/>
    <w:rsid w:val="000447C6"/>
    <w:rsid w:val="00050F6B"/>
    <w:rsid w:val="000518B3"/>
    <w:rsid w:val="00051962"/>
    <w:rsid w:val="00057CA5"/>
    <w:rsid w:val="00057E97"/>
    <w:rsid w:val="00060C3A"/>
    <w:rsid w:val="00064561"/>
    <w:rsid w:val="000677DC"/>
    <w:rsid w:val="00071816"/>
    <w:rsid w:val="00072C8C"/>
    <w:rsid w:val="000733B5"/>
    <w:rsid w:val="00081815"/>
    <w:rsid w:val="00082535"/>
    <w:rsid w:val="000839F6"/>
    <w:rsid w:val="000864FB"/>
    <w:rsid w:val="00090709"/>
    <w:rsid w:val="0009242F"/>
    <w:rsid w:val="000931C0"/>
    <w:rsid w:val="0009590A"/>
    <w:rsid w:val="00096CA9"/>
    <w:rsid w:val="00097E5A"/>
    <w:rsid w:val="000A2FD7"/>
    <w:rsid w:val="000A371D"/>
    <w:rsid w:val="000A3E38"/>
    <w:rsid w:val="000A4891"/>
    <w:rsid w:val="000A7B8D"/>
    <w:rsid w:val="000B175B"/>
    <w:rsid w:val="000B1932"/>
    <w:rsid w:val="000B3A0F"/>
    <w:rsid w:val="000B4E0A"/>
    <w:rsid w:val="000B4EF7"/>
    <w:rsid w:val="000B5554"/>
    <w:rsid w:val="000B5E51"/>
    <w:rsid w:val="000B6E0F"/>
    <w:rsid w:val="000C1D6C"/>
    <w:rsid w:val="000C2C03"/>
    <w:rsid w:val="000C2D2E"/>
    <w:rsid w:val="000C3F11"/>
    <w:rsid w:val="000D24B8"/>
    <w:rsid w:val="000E0415"/>
    <w:rsid w:val="000E1038"/>
    <w:rsid w:val="000E1605"/>
    <w:rsid w:val="000E179D"/>
    <w:rsid w:val="000E3AC7"/>
    <w:rsid w:val="000E5BA6"/>
    <w:rsid w:val="000F0D7A"/>
    <w:rsid w:val="000F2455"/>
    <w:rsid w:val="000F6AAA"/>
    <w:rsid w:val="000F73DC"/>
    <w:rsid w:val="000F7AEE"/>
    <w:rsid w:val="000F7DA4"/>
    <w:rsid w:val="001011ED"/>
    <w:rsid w:val="001017E5"/>
    <w:rsid w:val="0010410A"/>
    <w:rsid w:val="0010785E"/>
    <w:rsid w:val="001103AA"/>
    <w:rsid w:val="00115435"/>
    <w:rsid w:val="0011702D"/>
    <w:rsid w:val="0012081A"/>
    <w:rsid w:val="0012158C"/>
    <w:rsid w:val="00124156"/>
    <w:rsid w:val="00126297"/>
    <w:rsid w:val="0013121E"/>
    <w:rsid w:val="00132EE1"/>
    <w:rsid w:val="0013328F"/>
    <w:rsid w:val="00136F00"/>
    <w:rsid w:val="00141456"/>
    <w:rsid w:val="0014241E"/>
    <w:rsid w:val="001468A6"/>
    <w:rsid w:val="00146E87"/>
    <w:rsid w:val="00147A72"/>
    <w:rsid w:val="00150D96"/>
    <w:rsid w:val="00150EBA"/>
    <w:rsid w:val="00151173"/>
    <w:rsid w:val="00152B67"/>
    <w:rsid w:val="00153BCE"/>
    <w:rsid w:val="001603B5"/>
    <w:rsid w:val="0016095A"/>
    <w:rsid w:val="00160A72"/>
    <w:rsid w:val="001623A7"/>
    <w:rsid w:val="001649A4"/>
    <w:rsid w:val="00165F3A"/>
    <w:rsid w:val="001664CF"/>
    <w:rsid w:val="00172B06"/>
    <w:rsid w:val="00172C6C"/>
    <w:rsid w:val="00174770"/>
    <w:rsid w:val="001770EB"/>
    <w:rsid w:val="00177714"/>
    <w:rsid w:val="001807E6"/>
    <w:rsid w:val="00181322"/>
    <w:rsid w:val="001825DD"/>
    <w:rsid w:val="00182F56"/>
    <w:rsid w:val="00183360"/>
    <w:rsid w:val="00183968"/>
    <w:rsid w:val="0018408B"/>
    <w:rsid w:val="00184458"/>
    <w:rsid w:val="00186CDE"/>
    <w:rsid w:val="001914E7"/>
    <w:rsid w:val="001926C6"/>
    <w:rsid w:val="001942A8"/>
    <w:rsid w:val="00195420"/>
    <w:rsid w:val="001A0D92"/>
    <w:rsid w:val="001A10B7"/>
    <w:rsid w:val="001A163C"/>
    <w:rsid w:val="001A2D64"/>
    <w:rsid w:val="001A2F6D"/>
    <w:rsid w:val="001A32CA"/>
    <w:rsid w:val="001A3BDF"/>
    <w:rsid w:val="001A537A"/>
    <w:rsid w:val="001A6686"/>
    <w:rsid w:val="001A69F4"/>
    <w:rsid w:val="001B04D5"/>
    <w:rsid w:val="001B130D"/>
    <w:rsid w:val="001B1B16"/>
    <w:rsid w:val="001B358B"/>
    <w:rsid w:val="001B363A"/>
    <w:rsid w:val="001B4B04"/>
    <w:rsid w:val="001B4CF8"/>
    <w:rsid w:val="001B55EE"/>
    <w:rsid w:val="001B72CE"/>
    <w:rsid w:val="001C48B3"/>
    <w:rsid w:val="001C5C42"/>
    <w:rsid w:val="001C6663"/>
    <w:rsid w:val="001C66FF"/>
    <w:rsid w:val="001C7895"/>
    <w:rsid w:val="001D0C8C"/>
    <w:rsid w:val="001D159A"/>
    <w:rsid w:val="001D1831"/>
    <w:rsid w:val="001D26DF"/>
    <w:rsid w:val="001D2D12"/>
    <w:rsid w:val="001D3A03"/>
    <w:rsid w:val="001D5144"/>
    <w:rsid w:val="001E12F5"/>
    <w:rsid w:val="001E1BD3"/>
    <w:rsid w:val="001E2ADD"/>
    <w:rsid w:val="001E43DE"/>
    <w:rsid w:val="001E59A2"/>
    <w:rsid w:val="001F46D6"/>
    <w:rsid w:val="001F5E9E"/>
    <w:rsid w:val="001F7CA5"/>
    <w:rsid w:val="00202DA8"/>
    <w:rsid w:val="002045BD"/>
    <w:rsid w:val="00204827"/>
    <w:rsid w:val="00205430"/>
    <w:rsid w:val="00211E0B"/>
    <w:rsid w:val="00214EDE"/>
    <w:rsid w:val="002155DC"/>
    <w:rsid w:val="00217ED4"/>
    <w:rsid w:val="002207CC"/>
    <w:rsid w:val="00230424"/>
    <w:rsid w:val="0023210C"/>
    <w:rsid w:val="002356FD"/>
    <w:rsid w:val="00235765"/>
    <w:rsid w:val="00237934"/>
    <w:rsid w:val="00242A70"/>
    <w:rsid w:val="00246832"/>
    <w:rsid w:val="00247F5F"/>
    <w:rsid w:val="00250061"/>
    <w:rsid w:val="00251A57"/>
    <w:rsid w:val="002521DA"/>
    <w:rsid w:val="00252CFB"/>
    <w:rsid w:val="00253F6A"/>
    <w:rsid w:val="002547C6"/>
    <w:rsid w:val="0025504B"/>
    <w:rsid w:val="002577F0"/>
    <w:rsid w:val="0026034F"/>
    <w:rsid w:val="00261615"/>
    <w:rsid w:val="002641C4"/>
    <w:rsid w:val="002665EC"/>
    <w:rsid w:val="00267F5F"/>
    <w:rsid w:val="00270652"/>
    <w:rsid w:val="00270C87"/>
    <w:rsid w:val="002714BE"/>
    <w:rsid w:val="002715E1"/>
    <w:rsid w:val="00272A6A"/>
    <w:rsid w:val="00273DFD"/>
    <w:rsid w:val="00274057"/>
    <w:rsid w:val="00274490"/>
    <w:rsid w:val="002807B3"/>
    <w:rsid w:val="00281D9A"/>
    <w:rsid w:val="00282672"/>
    <w:rsid w:val="00283E5C"/>
    <w:rsid w:val="00284F5E"/>
    <w:rsid w:val="002856C9"/>
    <w:rsid w:val="00286B4D"/>
    <w:rsid w:val="002872B9"/>
    <w:rsid w:val="002910CF"/>
    <w:rsid w:val="00291DDB"/>
    <w:rsid w:val="002929C1"/>
    <w:rsid w:val="00294BB0"/>
    <w:rsid w:val="002952EE"/>
    <w:rsid w:val="00295AE5"/>
    <w:rsid w:val="002970F7"/>
    <w:rsid w:val="00297726"/>
    <w:rsid w:val="002A0328"/>
    <w:rsid w:val="002A2421"/>
    <w:rsid w:val="002A287D"/>
    <w:rsid w:val="002A3CB8"/>
    <w:rsid w:val="002A7040"/>
    <w:rsid w:val="002B0157"/>
    <w:rsid w:val="002B640D"/>
    <w:rsid w:val="002B76D4"/>
    <w:rsid w:val="002C02D2"/>
    <w:rsid w:val="002C10A1"/>
    <w:rsid w:val="002C11AF"/>
    <w:rsid w:val="002C1C53"/>
    <w:rsid w:val="002C34EA"/>
    <w:rsid w:val="002D504F"/>
    <w:rsid w:val="002D606A"/>
    <w:rsid w:val="002D677A"/>
    <w:rsid w:val="002D6E72"/>
    <w:rsid w:val="002E089C"/>
    <w:rsid w:val="002E20C4"/>
    <w:rsid w:val="002E6CD9"/>
    <w:rsid w:val="002F175C"/>
    <w:rsid w:val="002F181D"/>
    <w:rsid w:val="002F2680"/>
    <w:rsid w:val="002F3332"/>
    <w:rsid w:val="002F391C"/>
    <w:rsid w:val="002F5900"/>
    <w:rsid w:val="002F6028"/>
    <w:rsid w:val="002F7310"/>
    <w:rsid w:val="00305B7C"/>
    <w:rsid w:val="00310869"/>
    <w:rsid w:val="003128FE"/>
    <w:rsid w:val="00313865"/>
    <w:rsid w:val="00322221"/>
    <w:rsid w:val="003229D8"/>
    <w:rsid w:val="00323A36"/>
    <w:rsid w:val="00324001"/>
    <w:rsid w:val="00326C21"/>
    <w:rsid w:val="00330712"/>
    <w:rsid w:val="00331836"/>
    <w:rsid w:val="0033538B"/>
    <w:rsid w:val="00335D06"/>
    <w:rsid w:val="0033721E"/>
    <w:rsid w:val="0033745C"/>
    <w:rsid w:val="003415A7"/>
    <w:rsid w:val="00342A76"/>
    <w:rsid w:val="0034323C"/>
    <w:rsid w:val="003456ED"/>
    <w:rsid w:val="003523F5"/>
    <w:rsid w:val="00352709"/>
    <w:rsid w:val="00353222"/>
    <w:rsid w:val="0035656D"/>
    <w:rsid w:val="00356AE3"/>
    <w:rsid w:val="00356C56"/>
    <w:rsid w:val="00357BB9"/>
    <w:rsid w:val="00365051"/>
    <w:rsid w:val="0036553B"/>
    <w:rsid w:val="00367567"/>
    <w:rsid w:val="00370C0F"/>
    <w:rsid w:val="00371178"/>
    <w:rsid w:val="0037343E"/>
    <w:rsid w:val="00375AB0"/>
    <w:rsid w:val="00375DD9"/>
    <w:rsid w:val="00376B42"/>
    <w:rsid w:val="003774D5"/>
    <w:rsid w:val="00377A5B"/>
    <w:rsid w:val="00377D6E"/>
    <w:rsid w:val="00380A07"/>
    <w:rsid w:val="003826E8"/>
    <w:rsid w:val="00383197"/>
    <w:rsid w:val="0038336C"/>
    <w:rsid w:val="00386C08"/>
    <w:rsid w:val="00390646"/>
    <w:rsid w:val="00390A6A"/>
    <w:rsid w:val="003914FE"/>
    <w:rsid w:val="003921ED"/>
    <w:rsid w:val="003965B5"/>
    <w:rsid w:val="0039665E"/>
    <w:rsid w:val="00396A47"/>
    <w:rsid w:val="00397A9E"/>
    <w:rsid w:val="003A222E"/>
    <w:rsid w:val="003A282D"/>
    <w:rsid w:val="003A2EF5"/>
    <w:rsid w:val="003A3292"/>
    <w:rsid w:val="003A4271"/>
    <w:rsid w:val="003A4DE3"/>
    <w:rsid w:val="003A6810"/>
    <w:rsid w:val="003B108F"/>
    <w:rsid w:val="003B200D"/>
    <w:rsid w:val="003B7B48"/>
    <w:rsid w:val="003C2CC4"/>
    <w:rsid w:val="003C3D11"/>
    <w:rsid w:val="003C538E"/>
    <w:rsid w:val="003C79B2"/>
    <w:rsid w:val="003D02FF"/>
    <w:rsid w:val="003D06A6"/>
    <w:rsid w:val="003D1C21"/>
    <w:rsid w:val="003D1DC7"/>
    <w:rsid w:val="003D22BF"/>
    <w:rsid w:val="003D3E0C"/>
    <w:rsid w:val="003D3F1D"/>
    <w:rsid w:val="003D409C"/>
    <w:rsid w:val="003D4B23"/>
    <w:rsid w:val="003D4E28"/>
    <w:rsid w:val="003E51DF"/>
    <w:rsid w:val="003F6A77"/>
    <w:rsid w:val="00401809"/>
    <w:rsid w:val="00403A11"/>
    <w:rsid w:val="004057B6"/>
    <w:rsid w:val="00410C89"/>
    <w:rsid w:val="004112BE"/>
    <w:rsid w:val="0041249C"/>
    <w:rsid w:val="00414915"/>
    <w:rsid w:val="00415D20"/>
    <w:rsid w:val="004169F0"/>
    <w:rsid w:val="00422415"/>
    <w:rsid w:val="00422D93"/>
    <w:rsid w:val="00424301"/>
    <w:rsid w:val="00425966"/>
    <w:rsid w:val="00426B9B"/>
    <w:rsid w:val="004325CB"/>
    <w:rsid w:val="00435ADC"/>
    <w:rsid w:val="00436432"/>
    <w:rsid w:val="00436B33"/>
    <w:rsid w:val="004411EE"/>
    <w:rsid w:val="00442A83"/>
    <w:rsid w:val="00443C2B"/>
    <w:rsid w:val="00446F6F"/>
    <w:rsid w:val="00447097"/>
    <w:rsid w:val="00447327"/>
    <w:rsid w:val="00447ECA"/>
    <w:rsid w:val="00450423"/>
    <w:rsid w:val="00452FC0"/>
    <w:rsid w:val="004533F8"/>
    <w:rsid w:val="00453A7B"/>
    <w:rsid w:val="0045495B"/>
    <w:rsid w:val="0045551C"/>
    <w:rsid w:val="00455990"/>
    <w:rsid w:val="00456450"/>
    <w:rsid w:val="0046029E"/>
    <w:rsid w:val="004619E6"/>
    <w:rsid w:val="00461E4F"/>
    <w:rsid w:val="00463B9A"/>
    <w:rsid w:val="00465165"/>
    <w:rsid w:val="0047047C"/>
    <w:rsid w:val="00473676"/>
    <w:rsid w:val="0047643D"/>
    <w:rsid w:val="00485287"/>
    <w:rsid w:val="00486FFA"/>
    <w:rsid w:val="00487488"/>
    <w:rsid w:val="00487D32"/>
    <w:rsid w:val="004933D6"/>
    <w:rsid w:val="00493BAC"/>
    <w:rsid w:val="004955B4"/>
    <w:rsid w:val="00496119"/>
    <w:rsid w:val="004A001B"/>
    <w:rsid w:val="004A030D"/>
    <w:rsid w:val="004A26D2"/>
    <w:rsid w:val="004A485F"/>
    <w:rsid w:val="004A48D2"/>
    <w:rsid w:val="004A5F2A"/>
    <w:rsid w:val="004A6468"/>
    <w:rsid w:val="004B033A"/>
    <w:rsid w:val="004B03C1"/>
    <w:rsid w:val="004B0754"/>
    <w:rsid w:val="004B0AF6"/>
    <w:rsid w:val="004B2E8A"/>
    <w:rsid w:val="004B64A3"/>
    <w:rsid w:val="004B7D02"/>
    <w:rsid w:val="004C02D1"/>
    <w:rsid w:val="004C2321"/>
    <w:rsid w:val="004C2EE7"/>
    <w:rsid w:val="004C3E44"/>
    <w:rsid w:val="004C40A9"/>
    <w:rsid w:val="004C6C5B"/>
    <w:rsid w:val="004C7118"/>
    <w:rsid w:val="004D1B8F"/>
    <w:rsid w:val="004D310D"/>
    <w:rsid w:val="004D544D"/>
    <w:rsid w:val="004E1B25"/>
    <w:rsid w:val="004E5E12"/>
    <w:rsid w:val="004E7C59"/>
    <w:rsid w:val="004F07B2"/>
    <w:rsid w:val="004F23BB"/>
    <w:rsid w:val="004F282D"/>
    <w:rsid w:val="004F2940"/>
    <w:rsid w:val="004F4323"/>
    <w:rsid w:val="004F4472"/>
    <w:rsid w:val="004F497F"/>
    <w:rsid w:val="004F6047"/>
    <w:rsid w:val="004F7FFD"/>
    <w:rsid w:val="00502301"/>
    <w:rsid w:val="00502E60"/>
    <w:rsid w:val="005127D9"/>
    <w:rsid w:val="0052136D"/>
    <w:rsid w:val="005222E3"/>
    <w:rsid w:val="00524768"/>
    <w:rsid w:val="00526E3D"/>
    <w:rsid w:val="00527669"/>
    <w:rsid w:val="0052775E"/>
    <w:rsid w:val="00536E91"/>
    <w:rsid w:val="005374E3"/>
    <w:rsid w:val="00537B8A"/>
    <w:rsid w:val="0054127F"/>
    <w:rsid w:val="005420F2"/>
    <w:rsid w:val="0054544C"/>
    <w:rsid w:val="0054675F"/>
    <w:rsid w:val="00550596"/>
    <w:rsid w:val="00550C59"/>
    <w:rsid w:val="00553D5C"/>
    <w:rsid w:val="005572C7"/>
    <w:rsid w:val="00557E2E"/>
    <w:rsid w:val="00557E40"/>
    <w:rsid w:val="00560092"/>
    <w:rsid w:val="005600C1"/>
    <w:rsid w:val="00561A56"/>
    <w:rsid w:val="00561A84"/>
    <w:rsid w:val="00561B64"/>
    <w:rsid w:val="005628B6"/>
    <w:rsid w:val="005660C0"/>
    <w:rsid w:val="00570B3E"/>
    <w:rsid w:val="0057185C"/>
    <w:rsid w:val="005748C5"/>
    <w:rsid w:val="00581D72"/>
    <w:rsid w:val="0058362D"/>
    <w:rsid w:val="00583BA4"/>
    <w:rsid w:val="005848B3"/>
    <w:rsid w:val="005853A9"/>
    <w:rsid w:val="00585ADB"/>
    <w:rsid w:val="00586263"/>
    <w:rsid w:val="00586464"/>
    <w:rsid w:val="00586F54"/>
    <w:rsid w:val="00587D1B"/>
    <w:rsid w:val="00590F87"/>
    <w:rsid w:val="00592C4A"/>
    <w:rsid w:val="00596A83"/>
    <w:rsid w:val="005A75FA"/>
    <w:rsid w:val="005B37BE"/>
    <w:rsid w:val="005B3DB3"/>
    <w:rsid w:val="005C686E"/>
    <w:rsid w:val="005D3735"/>
    <w:rsid w:val="005D3FD2"/>
    <w:rsid w:val="005D5358"/>
    <w:rsid w:val="005D5AA1"/>
    <w:rsid w:val="005D5B89"/>
    <w:rsid w:val="005E07F7"/>
    <w:rsid w:val="005E1076"/>
    <w:rsid w:val="005E30C7"/>
    <w:rsid w:val="005F26AC"/>
    <w:rsid w:val="005F7717"/>
    <w:rsid w:val="005F7B75"/>
    <w:rsid w:val="0060019D"/>
    <w:rsid w:val="006001EE"/>
    <w:rsid w:val="006039B2"/>
    <w:rsid w:val="00604218"/>
    <w:rsid w:val="00605042"/>
    <w:rsid w:val="00607144"/>
    <w:rsid w:val="006100E6"/>
    <w:rsid w:val="00611168"/>
    <w:rsid w:val="0061150C"/>
    <w:rsid w:val="00611FC4"/>
    <w:rsid w:val="00613728"/>
    <w:rsid w:val="0061731B"/>
    <w:rsid w:val="00617421"/>
    <w:rsid w:val="006176FB"/>
    <w:rsid w:val="00620BFF"/>
    <w:rsid w:val="00621DE3"/>
    <w:rsid w:val="0062311E"/>
    <w:rsid w:val="006261A6"/>
    <w:rsid w:val="0063023A"/>
    <w:rsid w:val="006312C9"/>
    <w:rsid w:val="00632077"/>
    <w:rsid w:val="00633B7C"/>
    <w:rsid w:val="00635C59"/>
    <w:rsid w:val="006360C2"/>
    <w:rsid w:val="00640B26"/>
    <w:rsid w:val="00640EA9"/>
    <w:rsid w:val="006429AE"/>
    <w:rsid w:val="00642A1C"/>
    <w:rsid w:val="00642C1E"/>
    <w:rsid w:val="006439C2"/>
    <w:rsid w:val="006462FE"/>
    <w:rsid w:val="0065035F"/>
    <w:rsid w:val="0065075F"/>
    <w:rsid w:val="00651809"/>
    <w:rsid w:val="00652208"/>
    <w:rsid w:val="00652D0A"/>
    <w:rsid w:val="006548EB"/>
    <w:rsid w:val="0065702E"/>
    <w:rsid w:val="006575E7"/>
    <w:rsid w:val="00662BB6"/>
    <w:rsid w:val="00665A85"/>
    <w:rsid w:val="00667028"/>
    <w:rsid w:val="006738AE"/>
    <w:rsid w:val="00675BDE"/>
    <w:rsid w:val="00676304"/>
    <w:rsid w:val="00682244"/>
    <w:rsid w:val="00682318"/>
    <w:rsid w:val="0068359D"/>
    <w:rsid w:val="00684039"/>
    <w:rsid w:val="00684C21"/>
    <w:rsid w:val="00685ED0"/>
    <w:rsid w:val="00686139"/>
    <w:rsid w:val="00687592"/>
    <w:rsid w:val="0069148B"/>
    <w:rsid w:val="006A052C"/>
    <w:rsid w:val="006A3E27"/>
    <w:rsid w:val="006A54C9"/>
    <w:rsid w:val="006B10E3"/>
    <w:rsid w:val="006B3E5B"/>
    <w:rsid w:val="006B508E"/>
    <w:rsid w:val="006B54CB"/>
    <w:rsid w:val="006B60D5"/>
    <w:rsid w:val="006C2003"/>
    <w:rsid w:val="006C46CF"/>
    <w:rsid w:val="006C6503"/>
    <w:rsid w:val="006C7004"/>
    <w:rsid w:val="006C7804"/>
    <w:rsid w:val="006D0894"/>
    <w:rsid w:val="006D0FFD"/>
    <w:rsid w:val="006D18C5"/>
    <w:rsid w:val="006D37AF"/>
    <w:rsid w:val="006D407C"/>
    <w:rsid w:val="006D51D0"/>
    <w:rsid w:val="006D59F4"/>
    <w:rsid w:val="006D7E70"/>
    <w:rsid w:val="006E1AB4"/>
    <w:rsid w:val="006E4E73"/>
    <w:rsid w:val="006E52C8"/>
    <w:rsid w:val="006E5442"/>
    <w:rsid w:val="006E564B"/>
    <w:rsid w:val="006E7191"/>
    <w:rsid w:val="006F1676"/>
    <w:rsid w:val="006F2046"/>
    <w:rsid w:val="006F5BE3"/>
    <w:rsid w:val="006F610E"/>
    <w:rsid w:val="006F7A66"/>
    <w:rsid w:val="00701259"/>
    <w:rsid w:val="00702C68"/>
    <w:rsid w:val="00703577"/>
    <w:rsid w:val="00706647"/>
    <w:rsid w:val="007067F4"/>
    <w:rsid w:val="007073FD"/>
    <w:rsid w:val="00707821"/>
    <w:rsid w:val="0071005F"/>
    <w:rsid w:val="00710433"/>
    <w:rsid w:val="00711B63"/>
    <w:rsid w:val="00712C63"/>
    <w:rsid w:val="00713F31"/>
    <w:rsid w:val="007147B8"/>
    <w:rsid w:val="00716E94"/>
    <w:rsid w:val="007207A2"/>
    <w:rsid w:val="007217FA"/>
    <w:rsid w:val="00722064"/>
    <w:rsid w:val="00723A94"/>
    <w:rsid w:val="007257DC"/>
    <w:rsid w:val="00725D91"/>
    <w:rsid w:val="0072632A"/>
    <w:rsid w:val="00731640"/>
    <w:rsid w:val="007327D5"/>
    <w:rsid w:val="00733F1A"/>
    <w:rsid w:val="007363EA"/>
    <w:rsid w:val="00736494"/>
    <w:rsid w:val="0073729A"/>
    <w:rsid w:val="0074269A"/>
    <w:rsid w:val="007429BB"/>
    <w:rsid w:val="00747F42"/>
    <w:rsid w:val="0075145C"/>
    <w:rsid w:val="00751486"/>
    <w:rsid w:val="00751B00"/>
    <w:rsid w:val="00752727"/>
    <w:rsid w:val="00754080"/>
    <w:rsid w:val="00754710"/>
    <w:rsid w:val="00754BCB"/>
    <w:rsid w:val="007554EF"/>
    <w:rsid w:val="00756119"/>
    <w:rsid w:val="00756878"/>
    <w:rsid w:val="007629C8"/>
    <w:rsid w:val="00762A5F"/>
    <w:rsid w:val="00763911"/>
    <w:rsid w:val="007675F4"/>
    <w:rsid w:val="00767EBE"/>
    <w:rsid w:val="0077214F"/>
    <w:rsid w:val="00772744"/>
    <w:rsid w:val="00772C94"/>
    <w:rsid w:val="00772FE2"/>
    <w:rsid w:val="007737BA"/>
    <w:rsid w:val="00773E55"/>
    <w:rsid w:val="00782311"/>
    <w:rsid w:val="00787D34"/>
    <w:rsid w:val="007908FF"/>
    <w:rsid w:val="00792382"/>
    <w:rsid w:val="007933EC"/>
    <w:rsid w:val="00794307"/>
    <w:rsid w:val="007954A6"/>
    <w:rsid w:val="007958B5"/>
    <w:rsid w:val="0079639C"/>
    <w:rsid w:val="00797691"/>
    <w:rsid w:val="007A2A78"/>
    <w:rsid w:val="007A30E6"/>
    <w:rsid w:val="007A673D"/>
    <w:rsid w:val="007A7B70"/>
    <w:rsid w:val="007B3F30"/>
    <w:rsid w:val="007B6772"/>
    <w:rsid w:val="007B697E"/>
    <w:rsid w:val="007B6BA5"/>
    <w:rsid w:val="007C3390"/>
    <w:rsid w:val="007C3D77"/>
    <w:rsid w:val="007C4F4B"/>
    <w:rsid w:val="007C784F"/>
    <w:rsid w:val="007D1328"/>
    <w:rsid w:val="007D69F2"/>
    <w:rsid w:val="007D6A33"/>
    <w:rsid w:val="007D7097"/>
    <w:rsid w:val="007E0B2D"/>
    <w:rsid w:val="007E15D1"/>
    <w:rsid w:val="007E18D0"/>
    <w:rsid w:val="007E5490"/>
    <w:rsid w:val="007F3B04"/>
    <w:rsid w:val="007F6473"/>
    <w:rsid w:val="007F6611"/>
    <w:rsid w:val="007F7B32"/>
    <w:rsid w:val="00800572"/>
    <w:rsid w:val="008044AA"/>
    <w:rsid w:val="00805C6E"/>
    <w:rsid w:val="008071E4"/>
    <w:rsid w:val="008072C8"/>
    <w:rsid w:val="00807B5D"/>
    <w:rsid w:val="008105B8"/>
    <w:rsid w:val="00813939"/>
    <w:rsid w:val="00813A4C"/>
    <w:rsid w:val="00820CBE"/>
    <w:rsid w:val="00822478"/>
    <w:rsid w:val="008228E1"/>
    <w:rsid w:val="008242D7"/>
    <w:rsid w:val="008257B1"/>
    <w:rsid w:val="008275C2"/>
    <w:rsid w:val="00831508"/>
    <w:rsid w:val="008317F3"/>
    <w:rsid w:val="008356B4"/>
    <w:rsid w:val="00835962"/>
    <w:rsid w:val="00840A52"/>
    <w:rsid w:val="008422A5"/>
    <w:rsid w:val="00843767"/>
    <w:rsid w:val="008439D8"/>
    <w:rsid w:val="00843FDA"/>
    <w:rsid w:val="008440D2"/>
    <w:rsid w:val="00845335"/>
    <w:rsid w:val="0084598B"/>
    <w:rsid w:val="00846007"/>
    <w:rsid w:val="00847582"/>
    <w:rsid w:val="00851C5A"/>
    <w:rsid w:val="00852237"/>
    <w:rsid w:val="00854273"/>
    <w:rsid w:val="00854A88"/>
    <w:rsid w:val="00855FFA"/>
    <w:rsid w:val="00860250"/>
    <w:rsid w:val="0086253C"/>
    <w:rsid w:val="008660D2"/>
    <w:rsid w:val="008663AB"/>
    <w:rsid w:val="0086712D"/>
    <w:rsid w:val="008679D9"/>
    <w:rsid w:val="00870AD7"/>
    <w:rsid w:val="00872861"/>
    <w:rsid w:val="00872D8A"/>
    <w:rsid w:val="00873AAD"/>
    <w:rsid w:val="0087442F"/>
    <w:rsid w:val="008746F3"/>
    <w:rsid w:val="008749EF"/>
    <w:rsid w:val="00875BD5"/>
    <w:rsid w:val="00875D38"/>
    <w:rsid w:val="0088121A"/>
    <w:rsid w:val="00881D8F"/>
    <w:rsid w:val="008866D4"/>
    <w:rsid w:val="00892D6C"/>
    <w:rsid w:val="00892DD9"/>
    <w:rsid w:val="0089371C"/>
    <w:rsid w:val="008979B1"/>
    <w:rsid w:val="008A001B"/>
    <w:rsid w:val="008A1550"/>
    <w:rsid w:val="008A1DB2"/>
    <w:rsid w:val="008A2838"/>
    <w:rsid w:val="008A3676"/>
    <w:rsid w:val="008A3B94"/>
    <w:rsid w:val="008A6B25"/>
    <w:rsid w:val="008A6C4F"/>
    <w:rsid w:val="008A7898"/>
    <w:rsid w:val="008A78D8"/>
    <w:rsid w:val="008A79DE"/>
    <w:rsid w:val="008B2335"/>
    <w:rsid w:val="008B4FF8"/>
    <w:rsid w:val="008B6ABE"/>
    <w:rsid w:val="008B7553"/>
    <w:rsid w:val="008C0E80"/>
    <w:rsid w:val="008C5A1F"/>
    <w:rsid w:val="008D2A01"/>
    <w:rsid w:val="008D2D10"/>
    <w:rsid w:val="008E0678"/>
    <w:rsid w:val="008E27CE"/>
    <w:rsid w:val="008E3710"/>
    <w:rsid w:val="008E3C43"/>
    <w:rsid w:val="008E6907"/>
    <w:rsid w:val="008E76A7"/>
    <w:rsid w:val="008E7D83"/>
    <w:rsid w:val="008F1131"/>
    <w:rsid w:val="008F3F65"/>
    <w:rsid w:val="0090171E"/>
    <w:rsid w:val="00902178"/>
    <w:rsid w:val="00903E22"/>
    <w:rsid w:val="00907C37"/>
    <w:rsid w:val="00910F40"/>
    <w:rsid w:val="00912C08"/>
    <w:rsid w:val="00913E9D"/>
    <w:rsid w:val="009140BC"/>
    <w:rsid w:val="00915CB8"/>
    <w:rsid w:val="009170B8"/>
    <w:rsid w:val="009220B8"/>
    <w:rsid w:val="0092214B"/>
    <w:rsid w:val="00922374"/>
    <w:rsid w:val="009223CA"/>
    <w:rsid w:val="009223F1"/>
    <w:rsid w:val="00922D44"/>
    <w:rsid w:val="009267B0"/>
    <w:rsid w:val="00926918"/>
    <w:rsid w:val="009269BD"/>
    <w:rsid w:val="00931028"/>
    <w:rsid w:val="00932248"/>
    <w:rsid w:val="009326D2"/>
    <w:rsid w:val="009334ED"/>
    <w:rsid w:val="009337E7"/>
    <w:rsid w:val="009345DA"/>
    <w:rsid w:val="00934C55"/>
    <w:rsid w:val="00940A01"/>
    <w:rsid w:val="00940F93"/>
    <w:rsid w:val="009419E5"/>
    <w:rsid w:val="009425D6"/>
    <w:rsid w:val="00943611"/>
    <w:rsid w:val="0094466E"/>
    <w:rsid w:val="00945B80"/>
    <w:rsid w:val="00951D7D"/>
    <w:rsid w:val="0095321C"/>
    <w:rsid w:val="0095347F"/>
    <w:rsid w:val="00954071"/>
    <w:rsid w:val="00954B2E"/>
    <w:rsid w:val="0095512F"/>
    <w:rsid w:val="00955A82"/>
    <w:rsid w:val="009608B7"/>
    <w:rsid w:val="00964CE4"/>
    <w:rsid w:val="0096630B"/>
    <w:rsid w:val="009668B1"/>
    <w:rsid w:val="009677AE"/>
    <w:rsid w:val="00967EFB"/>
    <w:rsid w:val="00971861"/>
    <w:rsid w:val="00972305"/>
    <w:rsid w:val="00974252"/>
    <w:rsid w:val="00974971"/>
    <w:rsid w:val="009760F3"/>
    <w:rsid w:val="0097712C"/>
    <w:rsid w:val="009820C8"/>
    <w:rsid w:val="00984124"/>
    <w:rsid w:val="00984BA3"/>
    <w:rsid w:val="009866E7"/>
    <w:rsid w:val="00987426"/>
    <w:rsid w:val="00987BE1"/>
    <w:rsid w:val="009909F5"/>
    <w:rsid w:val="00992091"/>
    <w:rsid w:val="009933EB"/>
    <w:rsid w:val="0099555A"/>
    <w:rsid w:val="009969F7"/>
    <w:rsid w:val="00997261"/>
    <w:rsid w:val="009A0E8D"/>
    <w:rsid w:val="009A1AA4"/>
    <w:rsid w:val="009A38AA"/>
    <w:rsid w:val="009A40F1"/>
    <w:rsid w:val="009A4A8B"/>
    <w:rsid w:val="009B26E7"/>
    <w:rsid w:val="009B6F2C"/>
    <w:rsid w:val="009C284D"/>
    <w:rsid w:val="009C28DC"/>
    <w:rsid w:val="009D0CDC"/>
    <w:rsid w:val="009D1B1E"/>
    <w:rsid w:val="009D1D67"/>
    <w:rsid w:val="009D24F8"/>
    <w:rsid w:val="009D3769"/>
    <w:rsid w:val="009D478C"/>
    <w:rsid w:val="009D6613"/>
    <w:rsid w:val="009E0905"/>
    <w:rsid w:val="009E15DB"/>
    <w:rsid w:val="009E3BDA"/>
    <w:rsid w:val="009E6F73"/>
    <w:rsid w:val="009F01D7"/>
    <w:rsid w:val="009F4498"/>
    <w:rsid w:val="009F6011"/>
    <w:rsid w:val="00A00415"/>
    <w:rsid w:val="00A00A3F"/>
    <w:rsid w:val="00A00AD9"/>
    <w:rsid w:val="00A01489"/>
    <w:rsid w:val="00A01F0F"/>
    <w:rsid w:val="00A04B4F"/>
    <w:rsid w:val="00A04CAC"/>
    <w:rsid w:val="00A05490"/>
    <w:rsid w:val="00A05C48"/>
    <w:rsid w:val="00A062FA"/>
    <w:rsid w:val="00A065B7"/>
    <w:rsid w:val="00A11748"/>
    <w:rsid w:val="00A122B6"/>
    <w:rsid w:val="00A12EDF"/>
    <w:rsid w:val="00A16A23"/>
    <w:rsid w:val="00A17338"/>
    <w:rsid w:val="00A179EA"/>
    <w:rsid w:val="00A22CD3"/>
    <w:rsid w:val="00A23615"/>
    <w:rsid w:val="00A26830"/>
    <w:rsid w:val="00A301C9"/>
    <w:rsid w:val="00A313AC"/>
    <w:rsid w:val="00A338F1"/>
    <w:rsid w:val="00A352D8"/>
    <w:rsid w:val="00A35776"/>
    <w:rsid w:val="00A36D50"/>
    <w:rsid w:val="00A37D67"/>
    <w:rsid w:val="00A40224"/>
    <w:rsid w:val="00A428EF"/>
    <w:rsid w:val="00A444BD"/>
    <w:rsid w:val="00A44615"/>
    <w:rsid w:val="00A47619"/>
    <w:rsid w:val="00A47DB6"/>
    <w:rsid w:val="00A50229"/>
    <w:rsid w:val="00A50747"/>
    <w:rsid w:val="00A50800"/>
    <w:rsid w:val="00A55109"/>
    <w:rsid w:val="00A562B1"/>
    <w:rsid w:val="00A574A2"/>
    <w:rsid w:val="00A57FC1"/>
    <w:rsid w:val="00A6320F"/>
    <w:rsid w:val="00A632F7"/>
    <w:rsid w:val="00A63497"/>
    <w:rsid w:val="00A63F4E"/>
    <w:rsid w:val="00A64F61"/>
    <w:rsid w:val="00A70A8D"/>
    <w:rsid w:val="00A72F22"/>
    <w:rsid w:val="00A72FB5"/>
    <w:rsid w:val="00A7360F"/>
    <w:rsid w:val="00A73F3F"/>
    <w:rsid w:val="00A748A6"/>
    <w:rsid w:val="00A769F4"/>
    <w:rsid w:val="00A776B4"/>
    <w:rsid w:val="00A82FD4"/>
    <w:rsid w:val="00A84120"/>
    <w:rsid w:val="00A847FD"/>
    <w:rsid w:val="00A84B80"/>
    <w:rsid w:val="00A8653D"/>
    <w:rsid w:val="00A90064"/>
    <w:rsid w:val="00A91016"/>
    <w:rsid w:val="00A94361"/>
    <w:rsid w:val="00A95463"/>
    <w:rsid w:val="00A97A3D"/>
    <w:rsid w:val="00AA293C"/>
    <w:rsid w:val="00AA520F"/>
    <w:rsid w:val="00AA5CC5"/>
    <w:rsid w:val="00AA7037"/>
    <w:rsid w:val="00AA7AEC"/>
    <w:rsid w:val="00AB177D"/>
    <w:rsid w:val="00AB667B"/>
    <w:rsid w:val="00AB7C89"/>
    <w:rsid w:val="00AC09A7"/>
    <w:rsid w:val="00AC38D6"/>
    <w:rsid w:val="00AD11FE"/>
    <w:rsid w:val="00AD436B"/>
    <w:rsid w:val="00AD4A9B"/>
    <w:rsid w:val="00AE1050"/>
    <w:rsid w:val="00AE40E9"/>
    <w:rsid w:val="00AE4BB9"/>
    <w:rsid w:val="00AE5476"/>
    <w:rsid w:val="00AF0D85"/>
    <w:rsid w:val="00AF1E90"/>
    <w:rsid w:val="00AF3171"/>
    <w:rsid w:val="00AF4443"/>
    <w:rsid w:val="00AF7510"/>
    <w:rsid w:val="00AF7898"/>
    <w:rsid w:val="00AF7FBC"/>
    <w:rsid w:val="00B0218F"/>
    <w:rsid w:val="00B023DD"/>
    <w:rsid w:val="00B02F74"/>
    <w:rsid w:val="00B04DFD"/>
    <w:rsid w:val="00B1030E"/>
    <w:rsid w:val="00B11633"/>
    <w:rsid w:val="00B13E9B"/>
    <w:rsid w:val="00B21307"/>
    <w:rsid w:val="00B22468"/>
    <w:rsid w:val="00B30179"/>
    <w:rsid w:val="00B30D80"/>
    <w:rsid w:val="00B31D5F"/>
    <w:rsid w:val="00B320DC"/>
    <w:rsid w:val="00B3298B"/>
    <w:rsid w:val="00B339A7"/>
    <w:rsid w:val="00B3420B"/>
    <w:rsid w:val="00B3421B"/>
    <w:rsid w:val="00B342E7"/>
    <w:rsid w:val="00B34CEC"/>
    <w:rsid w:val="00B458C5"/>
    <w:rsid w:val="00B47001"/>
    <w:rsid w:val="00B500C9"/>
    <w:rsid w:val="00B50E85"/>
    <w:rsid w:val="00B51C4D"/>
    <w:rsid w:val="00B56E4A"/>
    <w:rsid w:val="00B56E9C"/>
    <w:rsid w:val="00B60843"/>
    <w:rsid w:val="00B61233"/>
    <w:rsid w:val="00B63109"/>
    <w:rsid w:val="00B635DD"/>
    <w:rsid w:val="00B64B1F"/>
    <w:rsid w:val="00B65080"/>
    <w:rsid w:val="00B6553F"/>
    <w:rsid w:val="00B65799"/>
    <w:rsid w:val="00B6612E"/>
    <w:rsid w:val="00B662EB"/>
    <w:rsid w:val="00B66E5E"/>
    <w:rsid w:val="00B66ECD"/>
    <w:rsid w:val="00B6720D"/>
    <w:rsid w:val="00B67D6D"/>
    <w:rsid w:val="00B67F08"/>
    <w:rsid w:val="00B701A6"/>
    <w:rsid w:val="00B764BA"/>
    <w:rsid w:val="00B77D05"/>
    <w:rsid w:val="00B81206"/>
    <w:rsid w:val="00B812AC"/>
    <w:rsid w:val="00B818CC"/>
    <w:rsid w:val="00B8190F"/>
    <w:rsid w:val="00B81E12"/>
    <w:rsid w:val="00B82B5A"/>
    <w:rsid w:val="00B85B2C"/>
    <w:rsid w:val="00B8643E"/>
    <w:rsid w:val="00B9067B"/>
    <w:rsid w:val="00B92591"/>
    <w:rsid w:val="00B9531C"/>
    <w:rsid w:val="00B963B5"/>
    <w:rsid w:val="00BA00D3"/>
    <w:rsid w:val="00BA1146"/>
    <w:rsid w:val="00BA6988"/>
    <w:rsid w:val="00BA6F6A"/>
    <w:rsid w:val="00BB118C"/>
    <w:rsid w:val="00BB55BE"/>
    <w:rsid w:val="00BB67AC"/>
    <w:rsid w:val="00BB6DA7"/>
    <w:rsid w:val="00BB73D9"/>
    <w:rsid w:val="00BC1C7C"/>
    <w:rsid w:val="00BC2C23"/>
    <w:rsid w:val="00BC624D"/>
    <w:rsid w:val="00BC74E9"/>
    <w:rsid w:val="00BD1024"/>
    <w:rsid w:val="00BD2379"/>
    <w:rsid w:val="00BD5B4B"/>
    <w:rsid w:val="00BE101D"/>
    <w:rsid w:val="00BE5ED7"/>
    <w:rsid w:val="00BF1100"/>
    <w:rsid w:val="00BF499E"/>
    <w:rsid w:val="00BF5DEA"/>
    <w:rsid w:val="00BF645B"/>
    <w:rsid w:val="00BF68A8"/>
    <w:rsid w:val="00BF6D94"/>
    <w:rsid w:val="00C00BBD"/>
    <w:rsid w:val="00C03875"/>
    <w:rsid w:val="00C03968"/>
    <w:rsid w:val="00C0448F"/>
    <w:rsid w:val="00C118D0"/>
    <w:rsid w:val="00C11A03"/>
    <w:rsid w:val="00C11F78"/>
    <w:rsid w:val="00C1277F"/>
    <w:rsid w:val="00C129D4"/>
    <w:rsid w:val="00C160B3"/>
    <w:rsid w:val="00C217B5"/>
    <w:rsid w:val="00C21B0B"/>
    <w:rsid w:val="00C22A36"/>
    <w:rsid w:val="00C22AB0"/>
    <w:rsid w:val="00C22C3C"/>
    <w:rsid w:val="00C23025"/>
    <w:rsid w:val="00C23B45"/>
    <w:rsid w:val="00C24A42"/>
    <w:rsid w:val="00C253DB"/>
    <w:rsid w:val="00C271CE"/>
    <w:rsid w:val="00C27879"/>
    <w:rsid w:val="00C31513"/>
    <w:rsid w:val="00C33A2B"/>
    <w:rsid w:val="00C34558"/>
    <w:rsid w:val="00C35C6D"/>
    <w:rsid w:val="00C36C8E"/>
    <w:rsid w:val="00C422CF"/>
    <w:rsid w:val="00C4542B"/>
    <w:rsid w:val="00C45B74"/>
    <w:rsid w:val="00C463DD"/>
    <w:rsid w:val="00C47176"/>
    <w:rsid w:val="00C4724C"/>
    <w:rsid w:val="00C50141"/>
    <w:rsid w:val="00C50600"/>
    <w:rsid w:val="00C50F48"/>
    <w:rsid w:val="00C53730"/>
    <w:rsid w:val="00C54FE3"/>
    <w:rsid w:val="00C5501E"/>
    <w:rsid w:val="00C55BF3"/>
    <w:rsid w:val="00C56D60"/>
    <w:rsid w:val="00C629A0"/>
    <w:rsid w:val="00C640E4"/>
    <w:rsid w:val="00C666DC"/>
    <w:rsid w:val="00C6671F"/>
    <w:rsid w:val="00C729A4"/>
    <w:rsid w:val="00C73DFF"/>
    <w:rsid w:val="00C745C3"/>
    <w:rsid w:val="00C75022"/>
    <w:rsid w:val="00C75156"/>
    <w:rsid w:val="00C758FB"/>
    <w:rsid w:val="00C76C9A"/>
    <w:rsid w:val="00C82602"/>
    <w:rsid w:val="00C8270E"/>
    <w:rsid w:val="00C83B66"/>
    <w:rsid w:val="00C8458E"/>
    <w:rsid w:val="00C84866"/>
    <w:rsid w:val="00C85647"/>
    <w:rsid w:val="00C867D9"/>
    <w:rsid w:val="00C876F4"/>
    <w:rsid w:val="00C90544"/>
    <w:rsid w:val="00C914E9"/>
    <w:rsid w:val="00C96999"/>
    <w:rsid w:val="00C971F9"/>
    <w:rsid w:val="00C975B8"/>
    <w:rsid w:val="00C97691"/>
    <w:rsid w:val="00CA0B3F"/>
    <w:rsid w:val="00CA0DF2"/>
    <w:rsid w:val="00CA20D4"/>
    <w:rsid w:val="00CA2C41"/>
    <w:rsid w:val="00CA3085"/>
    <w:rsid w:val="00CA5CD1"/>
    <w:rsid w:val="00CB1909"/>
    <w:rsid w:val="00CB19F1"/>
    <w:rsid w:val="00CB338B"/>
    <w:rsid w:val="00CB5173"/>
    <w:rsid w:val="00CC6E93"/>
    <w:rsid w:val="00CC7C1E"/>
    <w:rsid w:val="00CD38CE"/>
    <w:rsid w:val="00CD3C14"/>
    <w:rsid w:val="00CD5104"/>
    <w:rsid w:val="00CD7B66"/>
    <w:rsid w:val="00CE1EF2"/>
    <w:rsid w:val="00CE245B"/>
    <w:rsid w:val="00CE2866"/>
    <w:rsid w:val="00CE34E7"/>
    <w:rsid w:val="00CE3743"/>
    <w:rsid w:val="00CE3E2E"/>
    <w:rsid w:val="00CE41C1"/>
    <w:rsid w:val="00CE4A8F"/>
    <w:rsid w:val="00CE68E6"/>
    <w:rsid w:val="00CF1584"/>
    <w:rsid w:val="00CF1F2B"/>
    <w:rsid w:val="00CF37A8"/>
    <w:rsid w:val="00CF435C"/>
    <w:rsid w:val="00CF6E7A"/>
    <w:rsid w:val="00D0135C"/>
    <w:rsid w:val="00D018E5"/>
    <w:rsid w:val="00D026C8"/>
    <w:rsid w:val="00D04044"/>
    <w:rsid w:val="00D04A53"/>
    <w:rsid w:val="00D05098"/>
    <w:rsid w:val="00D06B2F"/>
    <w:rsid w:val="00D075FF"/>
    <w:rsid w:val="00D109A5"/>
    <w:rsid w:val="00D1236F"/>
    <w:rsid w:val="00D14622"/>
    <w:rsid w:val="00D14D39"/>
    <w:rsid w:val="00D151BC"/>
    <w:rsid w:val="00D15E6B"/>
    <w:rsid w:val="00D17C57"/>
    <w:rsid w:val="00D17F97"/>
    <w:rsid w:val="00D2031B"/>
    <w:rsid w:val="00D204F9"/>
    <w:rsid w:val="00D2331D"/>
    <w:rsid w:val="00D237FE"/>
    <w:rsid w:val="00D23E3C"/>
    <w:rsid w:val="00D25FE2"/>
    <w:rsid w:val="00D30BC0"/>
    <w:rsid w:val="00D321D0"/>
    <w:rsid w:val="00D327D7"/>
    <w:rsid w:val="00D376D1"/>
    <w:rsid w:val="00D41B54"/>
    <w:rsid w:val="00D422B9"/>
    <w:rsid w:val="00D427CA"/>
    <w:rsid w:val="00D42E5C"/>
    <w:rsid w:val="00D43125"/>
    <w:rsid w:val="00D43252"/>
    <w:rsid w:val="00D443ED"/>
    <w:rsid w:val="00D47E94"/>
    <w:rsid w:val="00D47EEA"/>
    <w:rsid w:val="00D500EC"/>
    <w:rsid w:val="00D52865"/>
    <w:rsid w:val="00D53954"/>
    <w:rsid w:val="00D54C66"/>
    <w:rsid w:val="00D56471"/>
    <w:rsid w:val="00D62C70"/>
    <w:rsid w:val="00D64785"/>
    <w:rsid w:val="00D71B9D"/>
    <w:rsid w:val="00D72F15"/>
    <w:rsid w:val="00D732B7"/>
    <w:rsid w:val="00D7493A"/>
    <w:rsid w:val="00D74FBA"/>
    <w:rsid w:val="00D77DBF"/>
    <w:rsid w:val="00D8188E"/>
    <w:rsid w:val="00D82B36"/>
    <w:rsid w:val="00D83B80"/>
    <w:rsid w:val="00D90E0F"/>
    <w:rsid w:val="00D92F90"/>
    <w:rsid w:val="00D93432"/>
    <w:rsid w:val="00D95303"/>
    <w:rsid w:val="00D956ED"/>
    <w:rsid w:val="00D975D1"/>
    <w:rsid w:val="00D978C6"/>
    <w:rsid w:val="00DA06C2"/>
    <w:rsid w:val="00DA23EF"/>
    <w:rsid w:val="00DA2534"/>
    <w:rsid w:val="00DA3111"/>
    <w:rsid w:val="00DA37E4"/>
    <w:rsid w:val="00DA3C1C"/>
    <w:rsid w:val="00DA3CD4"/>
    <w:rsid w:val="00DA7942"/>
    <w:rsid w:val="00DA7D88"/>
    <w:rsid w:val="00DB0C79"/>
    <w:rsid w:val="00DB2AA0"/>
    <w:rsid w:val="00DB304D"/>
    <w:rsid w:val="00DB376D"/>
    <w:rsid w:val="00DC2324"/>
    <w:rsid w:val="00DC7723"/>
    <w:rsid w:val="00DE4DFB"/>
    <w:rsid w:val="00DE654C"/>
    <w:rsid w:val="00DE6747"/>
    <w:rsid w:val="00DE678E"/>
    <w:rsid w:val="00DF14D3"/>
    <w:rsid w:val="00DF14F0"/>
    <w:rsid w:val="00DF1E28"/>
    <w:rsid w:val="00DF28C0"/>
    <w:rsid w:val="00DF6259"/>
    <w:rsid w:val="00DF67E1"/>
    <w:rsid w:val="00DF7E5A"/>
    <w:rsid w:val="00E029CE"/>
    <w:rsid w:val="00E049FB"/>
    <w:rsid w:val="00E0733C"/>
    <w:rsid w:val="00E074EF"/>
    <w:rsid w:val="00E1137A"/>
    <w:rsid w:val="00E20C09"/>
    <w:rsid w:val="00E22FB6"/>
    <w:rsid w:val="00E23BFE"/>
    <w:rsid w:val="00E2475B"/>
    <w:rsid w:val="00E25CFA"/>
    <w:rsid w:val="00E2614F"/>
    <w:rsid w:val="00E27346"/>
    <w:rsid w:val="00E30E2D"/>
    <w:rsid w:val="00E32196"/>
    <w:rsid w:val="00E336C7"/>
    <w:rsid w:val="00E36E6E"/>
    <w:rsid w:val="00E372CB"/>
    <w:rsid w:val="00E413CC"/>
    <w:rsid w:val="00E4301B"/>
    <w:rsid w:val="00E44A23"/>
    <w:rsid w:val="00E47731"/>
    <w:rsid w:val="00E50765"/>
    <w:rsid w:val="00E51DBA"/>
    <w:rsid w:val="00E537AE"/>
    <w:rsid w:val="00E53D7E"/>
    <w:rsid w:val="00E61380"/>
    <w:rsid w:val="00E61C39"/>
    <w:rsid w:val="00E63B8B"/>
    <w:rsid w:val="00E644E0"/>
    <w:rsid w:val="00E66084"/>
    <w:rsid w:val="00E70EBB"/>
    <w:rsid w:val="00E71BC8"/>
    <w:rsid w:val="00E7260F"/>
    <w:rsid w:val="00E745BF"/>
    <w:rsid w:val="00E748A3"/>
    <w:rsid w:val="00E763D0"/>
    <w:rsid w:val="00E779FC"/>
    <w:rsid w:val="00E80BC2"/>
    <w:rsid w:val="00E868E5"/>
    <w:rsid w:val="00E87C71"/>
    <w:rsid w:val="00E92952"/>
    <w:rsid w:val="00E938F2"/>
    <w:rsid w:val="00E94B9E"/>
    <w:rsid w:val="00E95B83"/>
    <w:rsid w:val="00E965D8"/>
    <w:rsid w:val="00E96630"/>
    <w:rsid w:val="00EA0B76"/>
    <w:rsid w:val="00EA32AB"/>
    <w:rsid w:val="00EA4BF8"/>
    <w:rsid w:val="00EA5731"/>
    <w:rsid w:val="00EA5D2D"/>
    <w:rsid w:val="00EB1A4D"/>
    <w:rsid w:val="00EB2581"/>
    <w:rsid w:val="00EB2E38"/>
    <w:rsid w:val="00EB3A53"/>
    <w:rsid w:val="00EB4166"/>
    <w:rsid w:val="00EB418D"/>
    <w:rsid w:val="00EB6120"/>
    <w:rsid w:val="00EB7AF6"/>
    <w:rsid w:val="00EB7D1B"/>
    <w:rsid w:val="00EC22D6"/>
    <w:rsid w:val="00EC3380"/>
    <w:rsid w:val="00ED3785"/>
    <w:rsid w:val="00ED5DC8"/>
    <w:rsid w:val="00ED7A2A"/>
    <w:rsid w:val="00EE3AF9"/>
    <w:rsid w:val="00EE65E7"/>
    <w:rsid w:val="00EE7B79"/>
    <w:rsid w:val="00EF08D3"/>
    <w:rsid w:val="00EF1D7F"/>
    <w:rsid w:val="00EF26CA"/>
    <w:rsid w:val="00EF4098"/>
    <w:rsid w:val="00EF6285"/>
    <w:rsid w:val="00EF65A5"/>
    <w:rsid w:val="00EF7553"/>
    <w:rsid w:val="00EF781A"/>
    <w:rsid w:val="00F04EC6"/>
    <w:rsid w:val="00F07865"/>
    <w:rsid w:val="00F10F77"/>
    <w:rsid w:val="00F11174"/>
    <w:rsid w:val="00F12E52"/>
    <w:rsid w:val="00F1392B"/>
    <w:rsid w:val="00F13DBB"/>
    <w:rsid w:val="00F15383"/>
    <w:rsid w:val="00F161BE"/>
    <w:rsid w:val="00F20546"/>
    <w:rsid w:val="00F20913"/>
    <w:rsid w:val="00F20C3D"/>
    <w:rsid w:val="00F2154B"/>
    <w:rsid w:val="00F23755"/>
    <w:rsid w:val="00F240FD"/>
    <w:rsid w:val="00F24D26"/>
    <w:rsid w:val="00F265F4"/>
    <w:rsid w:val="00F270CD"/>
    <w:rsid w:val="00F27FE7"/>
    <w:rsid w:val="00F33176"/>
    <w:rsid w:val="00F35E7D"/>
    <w:rsid w:val="00F37936"/>
    <w:rsid w:val="00F40BCB"/>
    <w:rsid w:val="00F43E9E"/>
    <w:rsid w:val="00F44461"/>
    <w:rsid w:val="00F44CE6"/>
    <w:rsid w:val="00F4609A"/>
    <w:rsid w:val="00F472DB"/>
    <w:rsid w:val="00F47D7D"/>
    <w:rsid w:val="00F500E9"/>
    <w:rsid w:val="00F52435"/>
    <w:rsid w:val="00F524E4"/>
    <w:rsid w:val="00F526A2"/>
    <w:rsid w:val="00F52DA2"/>
    <w:rsid w:val="00F539C9"/>
    <w:rsid w:val="00F56C3B"/>
    <w:rsid w:val="00F61B80"/>
    <w:rsid w:val="00F65AB1"/>
    <w:rsid w:val="00F65ECE"/>
    <w:rsid w:val="00F66F4C"/>
    <w:rsid w:val="00F67878"/>
    <w:rsid w:val="00F709A3"/>
    <w:rsid w:val="00F735F1"/>
    <w:rsid w:val="00F73665"/>
    <w:rsid w:val="00F7519F"/>
    <w:rsid w:val="00F75AC4"/>
    <w:rsid w:val="00F86BCB"/>
    <w:rsid w:val="00F874CE"/>
    <w:rsid w:val="00F87F25"/>
    <w:rsid w:val="00F9057C"/>
    <w:rsid w:val="00F906D7"/>
    <w:rsid w:val="00F90DBA"/>
    <w:rsid w:val="00F91C89"/>
    <w:rsid w:val="00F936BE"/>
    <w:rsid w:val="00F93781"/>
    <w:rsid w:val="00F93D4B"/>
    <w:rsid w:val="00F9436B"/>
    <w:rsid w:val="00F97EAD"/>
    <w:rsid w:val="00F97EFD"/>
    <w:rsid w:val="00FA384D"/>
    <w:rsid w:val="00FA4E75"/>
    <w:rsid w:val="00FA6CAE"/>
    <w:rsid w:val="00FB027C"/>
    <w:rsid w:val="00FB0945"/>
    <w:rsid w:val="00FB3616"/>
    <w:rsid w:val="00FB3975"/>
    <w:rsid w:val="00FB48D3"/>
    <w:rsid w:val="00FB49C2"/>
    <w:rsid w:val="00FB4B45"/>
    <w:rsid w:val="00FB5B26"/>
    <w:rsid w:val="00FB5E22"/>
    <w:rsid w:val="00FB613B"/>
    <w:rsid w:val="00FB61DD"/>
    <w:rsid w:val="00FB6553"/>
    <w:rsid w:val="00FC2831"/>
    <w:rsid w:val="00FC68B7"/>
    <w:rsid w:val="00FC68D1"/>
    <w:rsid w:val="00FC749E"/>
    <w:rsid w:val="00FD0FD5"/>
    <w:rsid w:val="00FD1791"/>
    <w:rsid w:val="00FD3098"/>
    <w:rsid w:val="00FD563E"/>
    <w:rsid w:val="00FD7D52"/>
    <w:rsid w:val="00FD7DC5"/>
    <w:rsid w:val="00FE00E1"/>
    <w:rsid w:val="00FE088F"/>
    <w:rsid w:val="00FE106A"/>
    <w:rsid w:val="00FE19EC"/>
    <w:rsid w:val="00FE20D1"/>
    <w:rsid w:val="00FE3277"/>
    <w:rsid w:val="00FE4075"/>
    <w:rsid w:val="00FE5FD2"/>
    <w:rsid w:val="00FF155C"/>
    <w:rsid w:val="00FF3105"/>
    <w:rsid w:val="00FF31BC"/>
    <w:rsid w:val="00FF38D0"/>
    <w:rsid w:val="00FF486D"/>
    <w:rsid w:val="00FF4B81"/>
    <w:rsid w:val="00FF4BCC"/>
    <w:rsid w:val="00FF6DEF"/>
    <w:rsid w:val="00FF7041"/>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5407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95407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
    <w:link w:val="FootnoteText"/>
    <w:rsid w:val="00A40224"/>
    <w:rPr>
      <w:rFonts w:eastAsia="SimSun"/>
      <w:sz w:val="18"/>
      <w:lang w:val="en-US" w:eastAsia="zh-CN"/>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AF7FB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5407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95407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
    <w:link w:val="FootnoteText"/>
    <w:rsid w:val="00A40224"/>
    <w:rPr>
      <w:rFonts w:eastAsia="SimSun"/>
      <w:sz w:val="18"/>
      <w:lang w:val="en-US" w:eastAsia="zh-CN"/>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AF7F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11528-C038-48A7-AE9F-7316BF80EAA3}"/>
</file>

<file path=customXml/itemProps2.xml><?xml version="1.0" encoding="utf-8"?>
<ds:datastoreItem xmlns:ds="http://schemas.openxmlformats.org/officeDocument/2006/customXml" ds:itemID="{736AA5BD-90ED-4427-9405-9A506224FE1B}"/>
</file>

<file path=customXml/itemProps3.xml><?xml version="1.0" encoding="utf-8"?>
<ds:datastoreItem xmlns:ds="http://schemas.openxmlformats.org/officeDocument/2006/customXml" ds:itemID="{4C8E3621-C31C-4754-BCA8-36F347C4AB68}"/>
</file>

<file path=customXml/itemProps4.xml><?xml version="1.0" encoding="utf-8"?>
<ds:datastoreItem xmlns:ds="http://schemas.openxmlformats.org/officeDocument/2006/customXml" ds:itemID="{C5389ED9-77B0-47FD-A777-700D79692F57}"/>
</file>

<file path=docProps/app.xml><?xml version="1.0" encoding="utf-8"?>
<Properties xmlns="http://schemas.openxmlformats.org/officeDocument/2006/extended-properties" xmlns:vt="http://schemas.openxmlformats.org/officeDocument/2006/docPropsVTypes">
  <Template>CCPR_E.dotm</Template>
  <TotalTime>1</TotalTime>
  <Pages>15</Pages>
  <Words>7500</Words>
  <Characters>42752</Characters>
  <Application>Microsoft Office Word</Application>
  <DocSecurity>0</DocSecurity>
  <Lines>356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1607148</vt:lpstr>
      <vt:lpstr>United Nations</vt:lpstr>
    </vt:vector>
  </TitlesOfParts>
  <Company>CSD</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1607148</dc:title>
  <dc:subject>CCPR/C/116/D/2327/2014</dc:subject>
  <dc:creator>Viktoria Saprykina-Houdemer</dc:creator>
  <cp:lastModifiedBy>Viktoria Saprykina-Houdemer</cp:lastModifiedBy>
  <cp:revision>2</cp:revision>
  <cp:lastPrinted>2015-12-16T11:54:00Z</cp:lastPrinted>
  <dcterms:created xsi:type="dcterms:W3CDTF">2016-06-01T10:27:00Z</dcterms:created>
  <dcterms:modified xsi:type="dcterms:W3CDTF">2016-06-01T10:27:00Z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