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1CE8" w:rsidRPr="00884EA8" w:rsidTr="00464EEE">
        <w:trPr>
          <w:trHeight w:hRule="exact" w:val="851"/>
        </w:trPr>
        <w:tc>
          <w:tcPr>
            <w:tcW w:w="1277" w:type="dxa"/>
            <w:tcBorders>
              <w:bottom w:val="single" w:sz="4" w:space="0" w:color="auto"/>
            </w:tcBorders>
          </w:tcPr>
          <w:p w:rsidR="00AF1CE8" w:rsidRPr="00C95C11" w:rsidRDefault="00CC33C6" w:rsidP="00E32FE4">
            <w:pPr>
              <w:spacing w:line="240" w:lineRule="auto"/>
              <w:rPr>
                <w:sz w:val="6"/>
                <w:lang w:val="fr-FR"/>
              </w:rPr>
            </w:pPr>
            <w:bookmarkStart w:id="0" w:name="_GoBack"/>
            <w:bookmarkEnd w:id="0"/>
            <w:r w:rsidRPr="00C95C11">
              <w:rPr>
                <w:sz w:val="6"/>
                <w:lang w:val="fr-FR"/>
              </w:rPr>
              <w:t xml:space="preserve"> </w:t>
            </w:r>
          </w:p>
        </w:tc>
        <w:tc>
          <w:tcPr>
            <w:tcW w:w="2268" w:type="dxa"/>
            <w:tcBorders>
              <w:bottom w:val="single" w:sz="4" w:space="0" w:color="auto"/>
            </w:tcBorders>
            <w:vAlign w:val="bottom"/>
          </w:tcPr>
          <w:p w:rsidR="00AF1CE8" w:rsidRPr="00C95C11" w:rsidRDefault="00AF1CE8" w:rsidP="00464EEE">
            <w:pPr>
              <w:spacing w:after="80" w:line="300" w:lineRule="exact"/>
              <w:rPr>
                <w:sz w:val="28"/>
                <w:lang w:val="fr-FR"/>
              </w:rPr>
            </w:pPr>
            <w:r w:rsidRPr="00C95C11">
              <w:rPr>
                <w:sz w:val="28"/>
                <w:lang w:val="fr-FR"/>
              </w:rPr>
              <w:t>Nations Unies</w:t>
            </w:r>
          </w:p>
        </w:tc>
        <w:tc>
          <w:tcPr>
            <w:tcW w:w="6094" w:type="dxa"/>
            <w:gridSpan w:val="2"/>
            <w:tcBorders>
              <w:bottom w:val="single" w:sz="4" w:space="0" w:color="auto"/>
            </w:tcBorders>
            <w:vAlign w:val="bottom"/>
          </w:tcPr>
          <w:p w:rsidR="00AF1CE8" w:rsidRPr="00E5743D" w:rsidRDefault="00E5743D" w:rsidP="00E5743D">
            <w:pPr>
              <w:jc w:val="right"/>
              <w:rPr>
                <w:lang w:val="fr-FR"/>
              </w:rPr>
            </w:pPr>
            <w:r w:rsidRPr="00E5743D">
              <w:rPr>
                <w:sz w:val="40"/>
                <w:lang w:val="fr-FR"/>
              </w:rPr>
              <w:t>CCPR</w:t>
            </w:r>
            <w:r>
              <w:rPr>
                <w:lang w:val="fr-FR"/>
              </w:rPr>
              <w:t>/C/116/D/2297/2013</w:t>
            </w:r>
          </w:p>
        </w:tc>
      </w:tr>
      <w:tr w:rsidR="00AF1CE8" w:rsidRPr="00884EA8" w:rsidTr="00464EEE">
        <w:trPr>
          <w:trHeight w:hRule="exact" w:val="2835"/>
        </w:trPr>
        <w:tc>
          <w:tcPr>
            <w:tcW w:w="1276" w:type="dxa"/>
            <w:tcBorders>
              <w:top w:val="single" w:sz="4" w:space="0" w:color="auto"/>
              <w:bottom w:val="single" w:sz="12" w:space="0" w:color="auto"/>
            </w:tcBorders>
          </w:tcPr>
          <w:p w:rsidR="00AF1CE8" w:rsidRPr="00C95C11" w:rsidRDefault="009963FD" w:rsidP="00464EEE">
            <w:pPr>
              <w:spacing w:before="120"/>
              <w:jc w:val="center"/>
              <w:rPr>
                <w:lang w:val="fr-FR"/>
              </w:rPr>
            </w:pPr>
            <w:r w:rsidRPr="00C95C11">
              <w:rPr>
                <w:noProof/>
                <w:lang w:val="en-GB" w:eastAsia="en-GB"/>
              </w:rPr>
              <w:drawing>
                <wp:inline distT="0" distB="0" distL="0" distR="0" wp14:anchorId="5F1DDC16" wp14:editId="17912B03">
                  <wp:extent cx="713105" cy="59309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3105" cy="59309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13514" w:rsidRPr="00C95C11" w:rsidRDefault="00AF1CE8" w:rsidP="00464EEE">
            <w:pPr>
              <w:spacing w:before="120" w:line="380" w:lineRule="exact"/>
              <w:rPr>
                <w:b/>
                <w:sz w:val="34"/>
                <w:szCs w:val="34"/>
                <w:lang w:val="fr-FR"/>
              </w:rPr>
            </w:pPr>
            <w:r w:rsidRPr="00C95C11">
              <w:rPr>
                <w:b/>
                <w:sz w:val="34"/>
                <w:szCs w:val="34"/>
                <w:lang w:val="fr-FR"/>
              </w:rPr>
              <w:t>Pacte international relatif</w:t>
            </w:r>
            <w:r w:rsidRPr="00C95C11">
              <w:rPr>
                <w:b/>
                <w:sz w:val="34"/>
                <w:szCs w:val="34"/>
                <w:lang w:val="fr-FR"/>
              </w:rPr>
              <w:br/>
              <w:t>aux droits civils et politiques</w:t>
            </w:r>
          </w:p>
        </w:tc>
        <w:tc>
          <w:tcPr>
            <w:tcW w:w="2835" w:type="dxa"/>
            <w:tcBorders>
              <w:top w:val="single" w:sz="4" w:space="0" w:color="auto"/>
              <w:bottom w:val="single" w:sz="12" w:space="0" w:color="auto"/>
            </w:tcBorders>
          </w:tcPr>
          <w:p w:rsidR="00AF1CE8" w:rsidRPr="00C95C11" w:rsidRDefault="00857A23" w:rsidP="00464EEE">
            <w:pPr>
              <w:spacing w:before="240"/>
              <w:rPr>
                <w:lang w:val="fr-FR"/>
              </w:rPr>
            </w:pPr>
            <w:r w:rsidRPr="00C95C11">
              <w:rPr>
                <w:lang w:val="fr-FR"/>
              </w:rPr>
              <w:t xml:space="preserve">Distr. </w:t>
            </w:r>
            <w:r w:rsidR="00940D8A" w:rsidRPr="00C95C11">
              <w:rPr>
                <w:lang w:val="fr-FR"/>
              </w:rPr>
              <w:t>générale</w:t>
            </w:r>
          </w:p>
          <w:p w:rsidR="009963FD" w:rsidRPr="00C95C11" w:rsidRDefault="00A21A6A" w:rsidP="00482CCD">
            <w:pPr>
              <w:spacing w:line="240" w:lineRule="exact"/>
              <w:rPr>
                <w:lang w:val="fr-FR"/>
              </w:rPr>
            </w:pPr>
            <w:r>
              <w:rPr>
                <w:lang w:val="fr-FR"/>
              </w:rPr>
              <w:t>1</w:t>
            </w:r>
            <w:r w:rsidR="00482CCD">
              <w:rPr>
                <w:lang w:val="fr-FR"/>
              </w:rPr>
              <w:t>2</w:t>
            </w:r>
            <w:r>
              <w:rPr>
                <w:lang w:val="fr-FR"/>
              </w:rPr>
              <w:t xml:space="preserve"> mai </w:t>
            </w:r>
            <w:r w:rsidR="009963FD" w:rsidRPr="00C95C11">
              <w:rPr>
                <w:lang w:val="fr-FR"/>
              </w:rPr>
              <w:t>2016</w:t>
            </w:r>
          </w:p>
          <w:p w:rsidR="009963FD" w:rsidRPr="00C95C11" w:rsidRDefault="009963FD" w:rsidP="009963FD">
            <w:pPr>
              <w:spacing w:line="240" w:lineRule="exact"/>
              <w:rPr>
                <w:lang w:val="fr-FR"/>
              </w:rPr>
            </w:pPr>
          </w:p>
          <w:p w:rsidR="009963FD" w:rsidRPr="00C95C11" w:rsidRDefault="009963FD" w:rsidP="009963FD">
            <w:pPr>
              <w:spacing w:line="240" w:lineRule="exact"/>
              <w:rPr>
                <w:lang w:val="fr-FR"/>
              </w:rPr>
            </w:pPr>
            <w:r w:rsidRPr="00C95C11">
              <w:rPr>
                <w:lang w:val="fr-FR"/>
              </w:rPr>
              <w:t>Original</w:t>
            </w:r>
            <w:r w:rsidR="00620D9F">
              <w:rPr>
                <w:lang w:val="fr-FR"/>
              </w:rPr>
              <w:t> </w:t>
            </w:r>
            <w:r w:rsidRPr="00C95C11">
              <w:rPr>
                <w:lang w:val="fr-FR"/>
              </w:rPr>
              <w:t>: français</w:t>
            </w:r>
          </w:p>
        </w:tc>
      </w:tr>
    </w:tbl>
    <w:p w:rsidR="00E32FE4" w:rsidRPr="00C95C11" w:rsidRDefault="00E32FE4" w:rsidP="004046D7">
      <w:pPr>
        <w:autoSpaceDN w:val="0"/>
        <w:spacing w:line="20" w:lineRule="exact"/>
        <w:textAlignment w:val="baseline"/>
        <w:rPr>
          <w:b/>
          <w:kern w:val="3"/>
          <w:sz w:val="2"/>
          <w:szCs w:val="24"/>
          <w:lang w:val="fr-FR"/>
        </w:rPr>
      </w:pPr>
    </w:p>
    <w:p w:rsidR="004046D7" w:rsidRPr="00C95C11" w:rsidRDefault="004046D7" w:rsidP="00E32FE4">
      <w:pPr>
        <w:autoSpaceDN w:val="0"/>
        <w:spacing w:line="20" w:lineRule="exact"/>
        <w:textAlignment w:val="baseline"/>
        <w:rPr>
          <w:b/>
          <w:kern w:val="3"/>
          <w:sz w:val="2"/>
          <w:szCs w:val="24"/>
          <w:lang w:val="fr-FR"/>
        </w:rPr>
      </w:pPr>
    </w:p>
    <w:p w:rsidR="009963FD" w:rsidRPr="00C95C11" w:rsidRDefault="009963FD" w:rsidP="00E5743D">
      <w:pPr>
        <w:autoSpaceDN w:val="0"/>
        <w:textAlignment w:val="baseline"/>
        <w:rPr>
          <w:kern w:val="3"/>
          <w:lang w:val="fr-FR"/>
        </w:rPr>
      </w:pPr>
      <w:r w:rsidRPr="00C95C11">
        <w:rPr>
          <w:b/>
          <w:kern w:val="3"/>
          <w:sz w:val="24"/>
          <w:szCs w:val="24"/>
          <w:lang w:val="fr-FR"/>
        </w:rPr>
        <w:t>Comité des droits de l’homme</w:t>
      </w:r>
    </w:p>
    <w:p w:rsidR="009963FD" w:rsidRPr="00C95C11" w:rsidRDefault="009963FD" w:rsidP="00E5743D">
      <w:pPr>
        <w:pStyle w:val="HChG"/>
        <w:spacing w:before="240"/>
        <w:rPr>
          <w:b w:val="0"/>
          <w:kern w:val="3"/>
          <w:sz w:val="24"/>
          <w:lang w:val="fr-FR"/>
        </w:rPr>
      </w:pPr>
      <w:r w:rsidRPr="00C95C11">
        <w:rPr>
          <w:b w:val="0"/>
          <w:kern w:val="3"/>
          <w:lang w:val="fr-FR"/>
        </w:rPr>
        <w:tab/>
      </w:r>
      <w:r w:rsidR="00CC33C6" w:rsidRPr="00C95C11">
        <w:rPr>
          <w:kern w:val="3"/>
          <w:lang w:val="fr-FR"/>
        </w:rPr>
        <w:tab/>
      </w:r>
      <w:r w:rsidR="00853A9E" w:rsidRPr="003D7E85">
        <w:t>Constatations adoptées par le Comité au titre du paragraphe 4 de l’article 5 du Protocole facultatif</w:t>
      </w:r>
      <w:r w:rsidR="00475930">
        <w:t>,</w:t>
      </w:r>
      <w:r w:rsidR="00853A9E" w:rsidRPr="003D7E85">
        <w:t xml:space="preserve"> concernant la communication n</w:t>
      </w:r>
      <w:r w:rsidR="00853A9E" w:rsidRPr="003D7E85">
        <w:rPr>
          <w:vertAlign w:val="superscript"/>
        </w:rPr>
        <w:t>o</w:t>
      </w:r>
      <w:r w:rsidR="00853A9E" w:rsidRPr="003D7E85">
        <w:t> 2297/2013</w:t>
      </w:r>
      <w:r w:rsidR="00AA1693" w:rsidRPr="00C95C11">
        <w:rPr>
          <w:rStyle w:val="FootnoteReference"/>
          <w:b w:val="0"/>
          <w:bCs/>
          <w:sz w:val="20"/>
          <w:vertAlign w:val="baseline"/>
          <w:lang w:val="fr-FR"/>
        </w:rPr>
        <w:footnoteReference w:customMarkFollows="1" w:id="2"/>
        <w:t>*</w:t>
      </w:r>
      <w:r w:rsidR="004174D3">
        <w:rPr>
          <w:b w:val="0"/>
          <w:bCs/>
          <w:position w:val="4"/>
          <w:sz w:val="20"/>
          <w:lang w:val="fr-FR"/>
        </w:rPr>
        <w:t>,</w:t>
      </w:r>
      <w:r w:rsidR="005D3207" w:rsidRPr="00C95C11">
        <w:rPr>
          <w:b w:val="0"/>
          <w:bCs/>
          <w:lang w:val="fr-FR"/>
        </w:rPr>
        <w:t xml:space="preserve"> </w:t>
      </w:r>
      <w:r w:rsidR="00AA1693" w:rsidRPr="00C95C11">
        <w:rPr>
          <w:rStyle w:val="FootnoteReference"/>
          <w:b w:val="0"/>
          <w:sz w:val="20"/>
          <w:szCs w:val="24"/>
          <w:vertAlign w:val="baseline"/>
          <w:lang w:val="fr-FR"/>
        </w:rPr>
        <w:footnoteReference w:customMarkFollows="1" w:id="3"/>
        <w:t>**</w:t>
      </w:r>
      <w:r w:rsidR="00CC33C6" w:rsidRPr="00C95C11">
        <w:rPr>
          <w:b w:val="0"/>
          <w:szCs w:val="24"/>
          <w:lang w:val="fr-FR"/>
        </w:rPr>
        <w:t xml:space="preserve"> </w:t>
      </w:r>
    </w:p>
    <w:tbl>
      <w:tblPr>
        <w:tblW w:w="7371" w:type="dxa"/>
        <w:tblInd w:w="1134" w:type="dxa"/>
        <w:tblLayout w:type="fixed"/>
        <w:tblCellMar>
          <w:left w:w="10" w:type="dxa"/>
          <w:right w:w="10" w:type="dxa"/>
        </w:tblCellMar>
        <w:tblLook w:val="0000" w:firstRow="0" w:lastRow="0" w:firstColumn="0" w:lastColumn="0" w:noHBand="0" w:noVBand="0"/>
      </w:tblPr>
      <w:tblGrid>
        <w:gridCol w:w="3402"/>
        <w:gridCol w:w="3969"/>
      </w:tblGrid>
      <w:tr w:rsidR="009963FD" w:rsidRPr="00884EA8" w:rsidTr="00C95C11">
        <w:tc>
          <w:tcPr>
            <w:tcW w:w="3402"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r w:rsidRPr="00C95C11">
              <w:rPr>
                <w:i/>
                <w:kern w:val="3"/>
                <w:lang w:val="fr-FR"/>
              </w:rPr>
              <w:t>Communication présentée par</w:t>
            </w:r>
            <w:r w:rsidR="00620D9F">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9963FD" w:rsidRPr="00C95C11" w:rsidRDefault="009963FD" w:rsidP="00DD1E31">
            <w:pPr>
              <w:autoSpaceDN w:val="0"/>
              <w:spacing w:after="120"/>
              <w:textAlignment w:val="baseline"/>
              <w:rPr>
                <w:kern w:val="3"/>
                <w:lang w:val="fr-FR"/>
              </w:rPr>
            </w:pPr>
            <w:r w:rsidRPr="00C95C11">
              <w:rPr>
                <w:kern w:val="3"/>
                <w:lang w:val="fr-FR"/>
              </w:rPr>
              <w:t>Me</w:t>
            </w:r>
            <w:r w:rsidR="00CE7882" w:rsidRPr="00C95C11">
              <w:rPr>
                <w:kern w:val="3"/>
                <w:lang w:val="fr-FR"/>
              </w:rPr>
              <w:t xml:space="preserve">jdoub </w:t>
            </w:r>
            <w:r w:rsidRPr="00C95C11">
              <w:rPr>
                <w:kern w:val="3"/>
                <w:lang w:val="fr-FR"/>
              </w:rPr>
              <w:t xml:space="preserve">Chani </w:t>
            </w:r>
            <w:r w:rsidR="00FB37E2">
              <w:rPr>
                <w:kern w:val="3"/>
                <w:lang w:val="fr-FR"/>
              </w:rPr>
              <w:t>[</w:t>
            </w:r>
            <w:r w:rsidRPr="00C95C11">
              <w:rPr>
                <w:kern w:val="3"/>
                <w:lang w:val="fr-FR"/>
              </w:rPr>
              <w:t>représenté par M</w:t>
            </w:r>
            <w:r w:rsidR="00853A9E" w:rsidRPr="003D7E85">
              <w:rPr>
                <w:kern w:val="3"/>
                <w:vertAlign w:val="superscript"/>
                <w:lang w:val="fr-FR"/>
              </w:rPr>
              <w:t>e</w:t>
            </w:r>
            <w:r w:rsidRPr="00C95C11">
              <w:rPr>
                <w:kern w:val="3"/>
                <w:lang w:val="fr-FR"/>
              </w:rPr>
              <w:t xml:space="preserve"> William Bourdon et </w:t>
            </w:r>
            <w:r w:rsidR="00FB37E2">
              <w:rPr>
                <w:kern w:val="3"/>
                <w:lang w:val="fr-FR"/>
              </w:rPr>
              <w:t>l’</w:t>
            </w:r>
            <w:r w:rsidR="009B78EA">
              <w:rPr>
                <w:kern w:val="3"/>
                <w:lang w:val="fr-FR"/>
              </w:rPr>
              <w:t>Action des chrétiens pour l’abolition de la torture-France</w:t>
            </w:r>
            <w:r w:rsidR="00FB37E2">
              <w:rPr>
                <w:kern w:val="3"/>
                <w:lang w:val="fr-FR"/>
              </w:rPr>
              <w:t xml:space="preserve"> (</w:t>
            </w:r>
            <w:r w:rsidRPr="00C95C11">
              <w:rPr>
                <w:kern w:val="3"/>
                <w:lang w:val="fr-FR"/>
              </w:rPr>
              <w:t>ACAT-</w:t>
            </w:r>
            <w:r w:rsidR="009B78EA">
              <w:rPr>
                <w:kern w:val="3"/>
                <w:lang w:val="fr-FR"/>
              </w:rPr>
              <w:t>France</w:t>
            </w:r>
            <w:r w:rsidRPr="00C95C11">
              <w:rPr>
                <w:kern w:val="3"/>
                <w:lang w:val="fr-FR"/>
              </w:rPr>
              <w:t>)</w:t>
            </w:r>
            <w:r w:rsidR="00FB37E2">
              <w:rPr>
                <w:kern w:val="3"/>
                <w:lang w:val="fr-FR"/>
              </w:rPr>
              <w:t>]</w:t>
            </w:r>
          </w:p>
        </w:tc>
      </w:tr>
      <w:tr w:rsidR="009963FD" w:rsidRPr="00884EA8" w:rsidTr="00C95C11">
        <w:tc>
          <w:tcPr>
            <w:tcW w:w="3402"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r w:rsidRPr="00C95C11">
              <w:rPr>
                <w:i/>
                <w:kern w:val="3"/>
                <w:lang w:val="fr-FR"/>
              </w:rPr>
              <w:t>Au nom de</w:t>
            </w:r>
            <w:r w:rsidR="00620D9F">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r w:rsidRPr="00C95C11">
              <w:rPr>
                <w:kern w:val="3"/>
                <w:lang w:val="fr-FR"/>
              </w:rPr>
              <w:t>L’auteur</w:t>
            </w:r>
          </w:p>
        </w:tc>
      </w:tr>
      <w:tr w:rsidR="009963FD" w:rsidRPr="00884EA8" w:rsidTr="00C95C11">
        <w:tc>
          <w:tcPr>
            <w:tcW w:w="3402"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r w:rsidRPr="00C95C11">
              <w:rPr>
                <w:i/>
                <w:kern w:val="3"/>
                <w:lang w:val="fr-FR"/>
              </w:rPr>
              <w:t>État partie</w:t>
            </w:r>
            <w:r w:rsidR="00620D9F">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r w:rsidRPr="00C95C11">
              <w:rPr>
                <w:kern w:val="3"/>
                <w:lang w:val="fr-FR"/>
              </w:rPr>
              <w:t>Algérie</w:t>
            </w:r>
          </w:p>
        </w:tc>
      </w:tr>
      <w:tr w:rsidR="009963FD" w:rsidRPr="00884EA8" w:rsidTr="00C95C11">
        <w:tc>
          <w:tcPr>
            <w:tcW w:w="3402"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r w:rsidRPr="00C95C11">
              <w:rPr>
                <w:i/>
                <w:kern w:val="3"/>
                <w:lang w:val="fr-FR"/>
              </w:rPr>
              <w:t>Date de la communication</w:t>
            </w:r>
            <w:r w:rsidR="00620D9F">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r w:rsidRPr="00C95C11">
              <w:rPr>
                <w:kern w:val="3"/>
                <w:lang w:val="fr-FR"/>
              </w:rPr>
              <w:t>15 juillet 2013 (date de la lettre initiale)</w:t>
            </w:r>
          </w:p>
        </w:tc>
      </w:tr>
      <w:tr w:rsidR="009963FD" w:rsidRPr="00884EA8" w:rsidTr="00C95C11">
        <w:tc>
          <w:tcPr>
            <w:tcW w:w="3402"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proofErr w:type="gramStart"/>
            <w:r w:rsidRPr="00C95C11">
              <w:rPr>
                <w:i/>
                <w:kern w:val="3"/>
                <w:lang w:val="fr-FR"/>
              </w:rPr>
              <w:t>Références</w:t>
            </w:r>
            <w:proofErr w:type="gramEnd"/>
            <w:r w:rsidR="00620D9F">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9963FD" w:rsidRPr="00C95C11" w:rsidRDefault="009963FD" w:rsidP="008806EC">
            <w:pPr>
              <w:autoSpaceDN w:val="0"/>
              <w:spacing w:after="120"/>
              <w:textAlignment w:val="baseline"/>
              <w:rPr>
                <w:kern w:val="3"/>
                <w:lang w:val="fr-FR"/>
              </w:rPr>
            </w:pPr>
            <w:r w:rsidRPr="00C95C11">
              <w:rPr>
                <w:kern w:val="3"/>
                <w:lang w:val="fr-FR"/>
              </w:rPr>
              <w:t>Décision prise en application des articles 92 et 97 du règlement intérieur, communiquée à l’État partie le 30</w:t>
            </w:r>
            <w:r w:rsidR="008806EC">
              <w:rPr>
                <w:kern w:val="3"/>
                <w:lang w:val="fr-FR"/>
              </w:rPr>
              <w:t> </w:t>
            </w:r>
            <w:r w:rsidRPr="00C95C11">
              <w:rPr>
                <w:kern w:val="3"/>
                <w:lang w:val="fr-FR"/>
              </w:rPr>
              <w:t>octobre 2013 (</w:t>
            </w:r>
            <w:r w:rsidR="00427F7C" w:rsidRPr="00C95C11">
              <w:rPr>
                <w:kern w:val="3"/>
                <w:lang w:val="fr-FR"/>
              </w:rPr>
              <w:t>non</w:t>
            </w:r>
            <w:r w:rsidR="00475930">
              <w:rPr>
                <w:kern w:val="3"/>
                <w:lang w:val="fr-FR"/>
              </w:rPr>
              <w:t xml:space="preserve"> </w:t>
            </w:r>
            <w:r w:rsidRPr="00C95C11">
              <w:rPr>
                <w:kern w:val="3"/>
                <w:lang w:val="fr-FR"/>
              </w:rPr>
              <w:t>publiée sous forme de document)</w:t>
            </w:r>
          </w:p>
        </w:tc>
      </w:tr>
      <w:tr w:rsidR="009963FD" w:rsidRPr="00884EA8" w:rsidTr="00C95C11">
        <w:tc>
          <w:tcPr>
            <w:tcW w:w="3402"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r w:rsidRPr="00C95C11">
              <w:rPr>
                <w:i/>
                <w:kern w:val="3"/>
                <w:lang w:val="fr-FR"/>
              </w:rPr>
              <w:t>Date des constatations</w:t>
            </w:r>
            <w:r w:rsidR="00620D9F">
              <w:rPr>
                <w:i/>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9963FD" w:rsidRPr="00C95C11" w:rsidRDefault="00940D8A">
            <w:pPr>
              <w:autoSpaceDN w:val="0"/>
              <w:spacing w:after="120"/>
              <w:textAlignment w:val="baseline"/>
              <w:rPr>
                <w:kern w:val="3"/>
                <w:lang w:val="fr-FR"/>
              </w:rPr>
            </w:pPr>
            <w:r w:rsidRPr="00C95C11">
              <w:rPr>
                <w:kern w:val="3"/>
                <w:lang w:val="fr-FR"/>
              </w:rPr>
              <w:t>11</w:t>
            </w:r>
            <w:r w:rsidR="009963FD" w:rsidRPr="00C95C11">
              <w:rPr>
                <w:kern w:val="3"/>
                <w:lang w:val="fr-FR"/>
              </w:rPr>
              <w:t xml:space="preserve"> mars 2016</w:t>
            </w:r>
          </w:p>
        </w:tc>
      </w:tr>
      <w:tr w:rsidR="009963FD" w:rsidRPr="00884EA8" w:rsidTr="00C95C11">
        <w:tc>
          <w:tcPr>
            <w:tcW w:w="3402"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r w:rsidRPr="00C95C11">
              <w:rPr>
                <w:lang w:val="fr-FR"/>
              </w:rPr>
              <w:br w:type="page"/>
            </w:r>
            <w:r w:rsidRPr="00C95C11">
              <w:rPr>
                <w:rFonts w:ascii="Calibri" w:hAnsi="Calibri" w:cs="Arial"/>
                <w:kern w:val="3"/>
                <w:lang w:val="fr-FR" w:eastAsia="en-GB"/>
              </w:rPr>
              <w:br w:type="page"/>
            </w:r>
            <w:r w:rsidRPr="00C95C11">
              <w:rPr>
                <w:i/>
                <w:iCs/>
                <w:kern w:val="3"/>
                <w:lang w:val="fr-FR"/>
              </w:rPr>
              <w:t>Objet</w:t>
            </w:r>
            <w:r w:rsidR="00620D9F">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9963FD" w:rsidRPr="00C95C11" w:rsidRDefault="009963FD">
            <w:pPr>
              <w:autoSpaceDN w:val="0"/>
              <w:spacing w:after="120"/>
              <w:textAlignment w:val="baseline"/>
              <w:rPr>
                <w:kern w:val="3"/>
                <w:lang w:val="fr-FR"/>
              </w:rPr>
            </w:pPr>
            <w:r w:rsidRPr="00C95C11">
              <w:rPr>
                <w:kern w:val="3"/>
                <w:lang w:val="fr-FR"/>
              </w:rPr>
              <w:t>Torture et détention arbitraire</w:t>
            </w:r>
          </w:p>
        </w:tc>
      </w:tr>
      <w:tr w:rsidR="00DF2BE1" w:rsidRPr="00F3675A" w:rsidTr="00C95C11">
        <w:tc>
          <w:tcPr>
            <w:tcW w:w="3402" w:type="dxa"/>
            <w:shd w:val="clear" w:color="auto" w:fill="FFFFFF"/>
            <w:tcMar>
              <w:top w:w="0" w:type="dxa"/>
              <w:left w:w="0" w:type="dxa"/>
              <w:bottom w:w="0" w:type="dxa"/>
              <w:right w:w="0" w:type="dxa"/>
            </w:tcMar>
          </w:tcPr>
          <w:p w:rsidR="00DF2BE1" w:rsidRPr="00C95C11" w:rsidRDefault="00DF2BE1">
            <w:pPr>
              <w:autoSpaceDN w:val="0"/>
              <w:spacing w:after="120"/>
              <w:textAlignment w:val="baseline"/>
              <w:rPr>
                <w:i/>
                <w:iCs/>
                <w:kern w:val="3"/>
                <w:lang w:val="fr-FR"/>
              </w:rPr>
            </w:pPr>
            <w:r w:rsidRPr="00C95C11">
              <w:rPr>
                <w:i/>
                <w:iCs/>
                <w:kern w:val="3"/>
                <w:lang w:val="fr-FR"/>
              </w:rPr>
              <w:t>Question(s) de procédure</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DF2BE1" w:rsidRPr="00F3675A" w:rsidRDefault="00DF2BE1">
            <w:pPr>
              <w:autoSpaceDN w:val="0"/>
              <w:spacing w:after="120"/>
              <w:textAlignment w:val="baseline"/>
              <w:rPr>
                <w:kern w:val="3"/>
                <w:lang w:val="fr-FR"/>
              </w:rPr>
            </w:pPr>
            <w:r w:rsidRPr="00F3675A">
              <w:rPr>
                <w:kern w:val="3"/>
                <w:lang w:val="fr-FR"/>
              </w:rPr>
              <w:t xml:space="preserve">Épuisement des recours internes ; </w:t>
            </w:r>
            <w:r w:rsidR="007F5F0C" w:rsidRPr="00F3675A">
              <w:rPr>
                <w:kern w:val="3"/>
                <w:lang w:val="fr-FR"/>
              </w:rPr>
              <w:t>non-étaiement</w:t>
            </w:r>
          </w:p>
        </w:tc>
      </w:tr>
      <w:tr w:rsidR="00DF2BE1" w:rsidRPr="00884EA8" w:rsidTr="00C95C11">
        <w:tc>
          <w:tcPr>
            <w:tcW w:w="3402" w:type="dxa"/>
            <w:shd w:val="clear" w:color="auto" w:fill="FFFFFF"/>
            <w:tcMar>
              <w:top w:w="0" w:type="dxa"/>
              <w:left w:w="0" w:type="dxa"/>
              <w:bottom w:w="0" w:type="dxa"/>
              <w:right w:w="0" w:type="dxa"/>
            </w:tcMar>
          </w:tcPr>
          <w:p w:rsidR="00DF2BE1" w:rsidRPr="00C95C11" w:rsidRDefault="00DF2BE1">
            <w:pPr>
              <w:autoSpaceDN w:val="0"/>
              <w:spacing w:after="120"/>
              <w:textAlignment w:val="baseline"/>
              <w:rPr>
                <w:kern w:val="3"/>
                <w:lang w:val="fr-FR"/>
              </w:rPr>
            </w:pPr>
            <w:r w:rsidRPr="00C95C11">
              <w:rPr>
                <w:i/>
                <w:iCs/>
                <w:kern w:val="3"/>
                <w:lang w:val="fr-FR"/>
              </w:rPr>
              <w:t>Question(s) de fond</w:t>
            </w:r>
            <w:r>
              <w:rPr>
                <w:i/>
                <w:iCs/>
                <w:kern w:val="3"/>
                <w:lang w:val="fr-FR"/>
              </w:rPr>
              <w:t> </w:t>
            </w:r>
            <w:r w:rsidRPr="00C95C11">
              <w:rPr>
                <w:kern w:val="3"/>
                <w:lang w:val="fr-FR"/>
              </w:rPr>
              <w:t>:</w:t>
            </w:r>
          </w:p>
        </w:tc>
        <w:tc>
          <w:tcPr>
            <w:tcW w:w="3969" w:type="dxa"/>
            <w:shd w:val="clear" w:color="auto" w:fill="FFFFFF"/>
            <w:tcMar>
              <w:top w:w="0" w:type="dxa"/>
              <w:left w:w="0" w:type="dxa"/>
              <w:bottom w:w="0" w:type="dxa"/>
              <w:right w:w="0" w:type="dxa"/>
            </w:tcMar>
          </w:tcPr>
          <w:p w:rsidR="00DF2BE1" w:rsidRPr="00C95C11" w:rsidRDefault="007F5F0C">
            <w:pPr>
              <w:autoSpaceDN w:val="0"/>
              <w:spacing w:after="120"/>
              <w:textAlignment w:val="baseline"/>
              <w:rPr>
                <w:kern w:val="3"/>
                <w:lang w:val="fr-FR"/>
              </w:rPr>
            </w:pPr>
            <w:r w:rsidRPr="00F3675A">
              <w:rPr>
                <w:kern w:val="3"/>
                <w:lang w:val="fr-FR"/>
              </w:rPr>
              <w:t>Torture et traitements inhumains ou dégradants ; détention arbitraire ; liberté de mouvement ; égalité des armes et procédure équitable ; soustraction à la protection de la loi</w:t>
            </w:r>
          </w:p>
        </w:tc>
      </w:tr>
      <w:tr w:rsidR="00DF2BE1" w:rsidRPr="00884EA8" w:rsidTr="00C95C11">
        <w:tc>
          <w:tcPr>
            <w:tcW w:w="3402" w:type="dxa"/>
            <w:shd w:val="clear" w:color="auto" w:fill="FFFFFF"/>
            <w:tcMar>
              <w:top w:w="0" w:type="dxa"/>
              <w:left w:w="0" w:type="dxa"/>
              <w:bottom w:w="0" w:type="dxa"/>
              <w:right w:w="0" w:type="dxa"/>
            </w:tcMar>
          </w:tcPr>
          <w:p w:rsidR="00DF2BE1" w:rsidRPr="00F3675A" w:rsidRDefault="00DF2BE1">
            <w:pPr>
              <w:autoSpaceDN w:val="0"/>
              <w:spacing w:after="120"/>
              <w:textAlignment w:val="baseline"/>
              <w:rPr>
                <w:kern w:val="3"/>
                <w:lang w:val="fr-FR"/>
              </w:rPr>
            </w:pPr>
            <w:r w:rsidRPr="00F3675A">
              <w:rPr>
                <w:i/>
                <w:iCs/>
                <w:kern w:val="3"/>
                <w:lang w:val="fr-FR"/>
              </w:rPr>
              <w:t>Article(s) du Pacte </w:t>
            </w:r>
            <w:r w:rsidRPr="00F3675A">
              <w:rPr>
                <w:kern w:val="3"/>
                <w:lang w:val="fr-FR"/>
              </w:rPr>
              <w:t>:</w:t>
            </w:r>
          </w:p>
        </w:tc>
        <w:tc>
          <w:tcPr>
            <w:tcW w:w="3969" w:type="dxa"/>
            <w:shd w:val="clear" w:color="auto" w:fill="FFFFFF"/>
            <w:tcMar>
              <w:top w:w="0" w:type="dxa"/>
              <w:left w:w="0" w:type="dxa"/>
              <w:bottom w:w="0" w:type="dxa"/>
              <w:right w:w="0" w:type="dxa"/>
            </w:tcMar>
          </w:tcPr>
          <w:p w:rsidR="00DF2BE1" w:rsidRPr="00F3675A" w:rsidRDefault="007F5F0C">
            <w:pPr>
              <w:autoSpaceDN w:val="0"/>
              <w:spacing w:after="120"/>
              <w:textAlignment w:val="baseline"/>
              <w:rPr>
                <w:kern w:val="3"/>
                <w:lang w:val="fr-FR"/>
              </w:rPr>
            </w:pPr>
            <w:r w:rsidRPr="00F3675A">
              <w:rPr>
                <w:kern w:val="3"/>
                <w:lang w:val="fr-FR"/>
              </w:rPr>
              <w:t>2, paragraphe 3, 7, 9, 10, 12 et 14</w:t>
            </w:r>
            <w:r w:rsidR="00DF2BE1" w:rsidRPr="00F3675A">
              <w:rPr>
                <w:kern w:val="3"/>
                <w:lang w:val="fr-FR"/>
              </w:rPr>
              <w:t xml:space="preserve"> </w:t>
            </w:r>
          </w:p>
        </w:tc>
      </w:tr>
      <w:tr w:rsidR="00DF2BE1" w:rsidRPr="00884EA8" w:rsidTr="00C95C11">
        <w:tc>
          <w:tcPr>
            <w:tcW w:w="3402" w:type="dxa"/>
            <w:shd w:val="clear" w:color="auto" w:fill="FFFFFF"/>
            <w:tcMar>
              <w:top w:w="0" w:type="dxa"/>
              <w:left w:w="0" w:type="dxa"/>
              <w:bottom w:w="0" w:type="dxa"/>
              <w:right w:w="0" w:type="dxa"/>
            </w:tcMar>
          </w:tcPr>
          <w:p w:rsidR="00DF2BE1" w:rsidRPr="003D7E85" w:rsidRDefault="00DF2BE1">
            <w:pPr>
              <w:autoSpaceDN w:val="0"/>
              <w:spacing w:after="120"/>
              <w:textAlignment w:val="baseline"/>
              <w:rPr>
                <w:kern w:val="3"/>
                <w:lang w:val="fr-FR"/>
              </w:rPr>
            </w:pPr>
            <w:r w:rsidRPr="003D7E85">
              <w:rPr>
                <w:i/>
                <w:iCs/>
                <w:kern w:val="3"/>
                <w:lang w:val="fr-FR"/>
              </w:rPr>
              <w:lastRenderedPageBreak/>
              <w:t>Article(s) du Protocole facultatif </w:t>
            </w:r>
            <w:r w:rsidRPr="003D7E85">
              <w:rPr>
                <w:kern w:val="3"/>
                <w:lang w:val="fr-FR"/>
              </w:rPr>
              <w:t>:</w:t>
            </w:r>
          </w:p>
        </w:tc>
        <w:tc>
          <w:tcPr>
            <w:tcW w:w="3969" w:type="dxa"/>
            <w:shd w:val="clear" w:color="auto" w:fill="FFFFFF"/>
            <w:tcMar>
              <w:top w:w="0" w:type="dxa"/>
              <w:left w:w="0" w:type="dxa"/>
              <w:bottom w:w="0" w:type="dxa"/>
              <w:right w:w="0" w:type="dxa"/>
            </w:tcMar>
          </w:tcPr>
          <w:p w:rsidR="00DF2BE1" w:rsidRPr="003D7E85" w:rsidRDefault="00853A9E">
            <w:pPr>
              <w:autoSpaceDN w:val="0"/>
              <w:spacing w:after="120"/>
              <w:textAlignment w:val="baseline"/>
              <w:rPr>
                <w:kern w:val="3"/>
                <w:lang w:val="fr-FR"/>
              </w:rPr>
            </w:pPr>
            <w:r w:rsidRPr="003D7E85">
              <w:rPr>
                <w:kern w:val="3"/>
                <w:lang w:val="fr-FR"/>
              </w:rPr>
              <w:t>Articles 2 et 5, paragraphe 2 b)</w:t>
            </w:r>
          </w:p>
        </w:tc>
      </w:tr>
    </w:tbl>
    <w:p w:rsidR="009963FD" w:rsidRPr="00C95C11" w:rsidRDefault="00ED044B">
      <w:pPr>
        <w:pStyle w:val="SingleTxtG"/>
        <w:rPr>
          <w:lang w:val="fr-FR"/>
        </w:rPr>
      </w:pPr>
      <w:r w:rsidRPr="00C95C11">
        <w:rPr>
          <w:lang w:val="fr-FR"/>
        </w:rPr>
        <w:t>1.</w:t>
      </w:r>
      <w:r w:rsidR="009963FD" w:rsidRPr="00C95C11">
        <w:rPr>
          <w:lang w:val="fr-FR"/>
        </w:rPr>
        <w:tab/>
        <w:t xml:space="preserve">L’auteur de la communication est </w:t>
      </w:r>
      <w:r w:rsidR="00CE7882" w:rsidRPr="00C95C11">
        <w:rPr>
          <w:lang w:val="fr-FR"/>
        </w:rPr>
        <w:t xml:space="preserve">Mejdoub </w:t>
      </w:r>
      <w:r w:rsidR="009963FD" w:rsidRPr="00C95C11">
        <w:rPr>
          <w:lang w:val="fr-FR"/>
        </w:rPr>
        <w:t>Chani, né le 5 janvier 1952 à Aïn Sefra</w:t>
      </w:r>
      <w:r w:rsidR="00386773">
        <w:rPr>
          <w:lang w:val="fr-FR"/>
        </w:rPr>
        <w:t xml:space="preserve"> (</w:t>
      </w:r>
      <w:r w:rsidR="009963FD" w:rsidRPr="00C95C11">
        <w:rPr>
          <w:lang w:val="fr-FR"/>
        </w:rPr>
        <w:t>Algérie</w:t>
      </w:r>
      <w:r w:rsidR="00386773">
        <w:rPr>
          <w:lang w:val="fr-FR"/>
        </w:rPr>
        <w:t>)</w:t>
      </w:r>
      <w:r w:rsidR="009963FD" w:rsidRPr="00C95C11">
        <w:rPr>
          <w:lang w:val="fr-FR"/>
        </w:rPr>
        <w:t xml:space="preserve">, et actuellement incarcéré à la </w:t>
      </w:r>
      <w:r w:rsidR="005778A9" w:rsidRPr="005778A9">
        <w:rPr>
          <w:lang w:val="fr-FR"/>
        </w:rPr>
        <w:t>m</w:t>
      </w:r>
      <w:r w:rsidR="009963FD" w:rsidRPr="005778A9">
        <w:rPr>
          <w:lang w:val="fr-FR"/>
        </w:rPr>
        <w:t>aison d’arrêt</w:t>
      </w:r>
      <w:r w:rsidR="009963FD" w:rsidRPr="00C95C11">
        <w:rPr>
          <w:lang w:val="fr-FR"/>
        </w:rPr>
        <w:t xml:space="preserve"> d’Alger (Serkadji). Il allègue être victime d’une violation par l’Algérie des articles 7</w:t>
      </w:r>
      <w:r w:rsidR="00386773">
        <w:rPr>
          <w:lang w:val="fr-FR"/>
        </w:rPr>
        <w:t>,</w:t>
      </w:r>
      <w:r w:rsidR="009963FD" w:rsidRPr="00C95C11">
        <w:rPr>
          <w:lang w:val="fr-FR"/>
        </w:rPr>
        <w:t xml:space="preserve"> 9</w:t>
      </w:r>
      <w:r w:rsidR="00386773">
        <w:rPr>
          <w:lang w:val="fr-FR"/>
        </w:rPr>
        <w:t>,</w:t>
      </w:r>
      <w:r w:rsidR="009963FD" w:rsidRPr="00C95C11">
        <w:rPr>
          <w:lang w:val="fr-FR"/>
        </w:rPr>
        <w:t xml:space="preserve"> 10</w:t>
      </w:r>
      <w:r w:rsidR="00386773">
        <w:rPr>
          <w:lang w:val="fr-FR"/>
        </w:rPr>
        <w:t>,</w:t>
      </w:r>
      <w:r w:rsidR="009963FD" w:rsidRPr="00C95C11">
        <w:rPr>
          <w:lang w:val="fr-FR"/>
        </w:rPr>
        <w:t xml:space="preserve"> 12 et 14</w:t>
      </w:r>
      <w:r w:rsidR="00A00202">
        <w:rPr>
          <w:lang w:val="fr-FR"/>
        </w:rPr>
        <w:t>,</w:t>
      </w:r>
      <w:r w:rsidR="009963FD" w:rsidRPr="00C95C11">
        <w:rPr>
          <w:lang w:val="fr-FR"/>
        </w:rPr>
        <w:t xml:space="preserve"> </w:t>
      </w:r>
      <w:r w:rsidR="00386773">
        <w:rPr>
          <w:lang w:val="fr-FR"/>
        </w:rPr>
        <w:t xml:space="preserve">lus </w:t>
      </w:r>
      <w:r w:rsidR="009963FD" w:rsidRPr="00C95C11">
        <w:rPr>
          <w:lang w:val="fr-FR"/>
        </w:rPr>
        <w:t xml:space="preserve">seuls </w:t>
      </w:r>
      <w:r w:rsidR="004635E9" w:rsidRPr="00A00202">
        <w:rPr>
          <w:lang w:val="fr-FR"/>
        </w:rPr>
        <w:t xml:space="preserve">ou </w:t>
      </w:r>
      <w:r w:rsidR="00853A9E" w:rsidRPr="003D7E85">
        <w:rPr>
          <w:lang w:val="fr-FR"/>
        </w:rPr>
        <w:t xml:space="preserve">conjointement </w:t>
      </w:r>
      <w:r w:rsidR="009963FD" w:rsidRPr="00A00202">
        <w:rPr>
          <w:lang w:val="fr-FR"/>
        </w:rPr>
        <w:t>avec</w:t>
      </w:r>
      <w:r w:rsidR="009963FD" w:rsidRPr="00C95C11">
        <w:rPr>
          <w:lang w:val="fr-FR"/>
        </w:rPr>
        <w:t xml:space="preserve"> l’article 2, </w:t>
      </w:r>
      <w:r w:rsidR="009963FD" w:rsidRPr="002F7EEC">
        <w:rPr>
          <w:lang w:val="fr-FR"/>
        </w:rPr>
        <w:t>paragra</w:t>
      </w:r>
      <w:r w:rsidR="00853A9E" w:rsidRPr="002F7EEC">
        <w:rPr>
          <w:lang w:val="fr-FR"/>
        </w:rPr>
        <w:t>phe</w:t>
      </w:r>
      <w:r w:rsidR="009963FD" w:rsidRPr="002F7EEC">
        <w:rPr>
          <w:lang w:val="fr-FR"/>
        </w:rPr>
        <w:t xml:space="preserve"> 3</w:t>
      </w:r>
      <w:r w:rsidR="009963FD" w:rsidRPr="00C95C11">
        <w:rPr>
          <w:rStyle w:val="FootnoteReference"/>
          <w:lang w:val="fr-FR"/>
        </w:rPr>
        <w:footnoteReference w:id="4"/>
      </w:r>
      <w:r w:rsidR="005778A9">
        <w:rPr>
          <w:lang w:val="fr-FR"/>
        </w:rPr>
        <w:t>,</w:t>
      </w:r>
      <w:r w:rsidR="009963FD" w:rsidRPr="00C95C11">
        <w:rPr>
          <w:lang w:val="fr-FR"/>
        </w:rPr>
        <w:t xml:space="preserve"> du Pacte</w:t>
      </w:r>
      <w:r w:rsidR="00386773">
        <w:rPr>
          <w:lang w:val="fr-FR"/>
        </w:rPr>
        <w:t xml:space="preserve"> international</w:t>
      </w:r>
      <w:r w:rsidR="009963FD" w:rsidRPr="00C95C11">
        <w:rPr>
          <w:lang w:val="fr-FR"/>
        </w:rPr>
        <w:t xml:space="preserve"> relatif aux droits civils et politiques. Il est représenté par William Bourdon (</w:t>
      </w:r>
      <w:r w:rsidR="00853A9E" w:rsidRPr="003D7E85">
        <w:rPr>
          <w:lang w:val="fr-FR"/>
        </w:rPr>
        <w:t>Bourdon &amp; Forestier</w:t>
      </w:r>
      <w:r w:rsidR="009963FD" w:rsidRPr="003D7E85">
        <w:rPr>
          <w:lang w:val="fr-FR"/>
        </w:rPr>
        <w:t>,</w:t>
      </w:r>
      <w:r w:rsidR="009963FD" w:rsidRPr="00C95C11">
        <w:rPr>
          <w:lang w:val="fr-FR"/>
        </w:rPr>
        <w:t xml:space="preserve"> Paris) et l’</w:t>
      </w:r>
      <w:r w:rsidR="009B78EA">
        <w:rPr>
          <w:kern w:val="3"/>
          <w:lang w:val="fr-FR"/>
        </w:rPr>
        <w:t>Action des chrétiens pour l’abolition de la torture-France</w:t>
      </w:r>
      <w:r w:rsidR="009B78EA" w:rsidRPr="00C95C11">
        <w:rPr>
          <w:lang w:val="fr-FR"/>
        </w:rPr>
        <w:t xml:space="preserve"> </w:t>
      </w:r>
      <w:r w:rsidR="009B78EA">
        <w:rPr>
          <w:lang w:val="fr-FR"/>
        </w:rPr>
        <w:t>(</w:t>
      </w:r>
      <w:r w:rsidR="009963FD" w:rsidRPr="00C95C11">
        <w:rPr>
          <w:lang w:val="fr-FR"/>
        </w:rPr>
        <w:t>ACAT-France</w:t>
      </w:r>
      <w:r w:rsidR="009B78EA">
        <w:rPr>
          <w:lang w:val="fr-FR"/>
        </w:rPr>
        <w:t>)</w:t>
      </w:r>
      <w:r w:rsidR="009963FD" w:rsidRPr="00C95C11">
        <w:rPr>
          <w:lang w:val="fr-FR"/>
        </w:rPr>
        <w:t>.</w:t>
      </w:r>
    </w:p>
    <w:p w:rsidR="009963FD" w:rsidRPr="00C95C11" w:rsidRDefault="009963FD" w:rsidP="009963FD">
      <w:pPr>
        <w:pStyle w:val="H23G"/>
        <w:rPr>
          <w:lang w:val="fr-FR"/>
        </w:rPr>
      </w:pPr>
      <w:r w:rsidRPr="00C95C11">
        <w:rPr>
          <w:lang w:val="fr-FR"/>
        </w:rPr>
        <w:tab/>
      </w:r>
      <w:r w:rsidRPr="00C95C11">
        <w:rPr>
          <w:lang w:val="fr-FR"/>
        </w:rPr>
        <w:tab/>
        <w:t>Rappel des faits</w:t>
      </w:r>
      <w:r w:rsidRPr="00C95C11">
        <w:rPr>
          <w:rStyle w:val="FootnoteReference"/>
          <w:b w:val="0"/>
          <w:bCs/>
          <w:lang w:val="fr-FR"/>
        </w:rPr>
        <w:footnoteReference w:id="5"/>
      </w:r>
    </w:p>
    <w:p w:rsidR="009963FD" w:rsidRPr="00C95C11" w:rsidRDefault="009963FD" w:rsidP="009963FD">
      <w:pPr>
        <w:pStyle w:val="SingleTxtG"/>
        <w:rPr>
          <w:lang w:val="fr-FR"/>
        </w:rPr>
      </w:pPr>
      <w:r w:rsidRPr="00C95C11">
        <w:rPr>
          <w:lang w:val="fr-FR"/>
        </w:rPr>
        <w:t>2.1</w:t>
      </w:r>
      <w:r w:rsidRPr="00C95C11">
        <w:rPr>
          <w:lang w:val="fr-FR"/>
        </w:rPr>
        <w:tab/>
        <w:t>L’auteur est un résident luxembourgeois ayant la double nationalité algérienne et luxembourgeoise, exerçant des fonctions de consultant international et fiduciaire. Dans l’exercice de ses fonctions professionnelles à la tête d’une société nommée ADC Conseil, l’auteur est constamment amené à effectuer des prestations de conseil économique et financier.</w:t>
      </w:r>
    </w:p>
    <w:p w:rsidR="009963FD" w:rsidRPr="00C95C11" w:rsidRDefault="009963FD">
      <w:pPr>
        <w:pStyle w:val="SingleTxtG"/>
        <w:rPr>
          <w:lang w:val="fr-FR"/>
        </w:rPr>
      </w:pPr>
      <w:r w:rsidRPr="00C95C11">
        <w:rPr>
          <w:lang w:val="fr-FR"/>
        </w:rPr>
        <w:t>2.2</w:t>
      </w:r>
      <w:r w:rsidRPr="00C95C11">
        <w:rPr>
          <w:lang w:val="fr-FR"/>
        </w:rPr>
        <w:tab/>
        <w:t xml:space="preserve">L’auteur </w:t>
      </w:r>
      <w:r w:rsidR="005778A9">
        <w:rPr>
          <w:lang w:val="fr-FR"/>
        </w:rPr>
        <w:t xml:space="preserve">a été </w:t>
      </w:r>
      <w:r w:rsidRPr="00C95C11">
        <w:rPr>
          <w:lang w:val="fr-FR"/>
        </w:rPr>
        <w:t>interpellé par la police des frontières à l’aéroport d’Alger</w:t>
      </w:r>
      <w:r w:rsidR="005778A9">
        <w:rPr>
          <w:lang w:val="fr-FR"/>
        </w:rPr>
        <w:t>,</w:t>
      </w:r>
      <w:r w:rsidRPr="00C95C11">
        <w:rPr>
          <w:lang w:val="fr-FR"/>
        </w:rPr>
        <w:t xml:space="preserve"> le 16</w:t>
      </w:r>
      <w:r w:rsidR="00001D96" w:rsidRPr="00C95C11">
        <w:rPr>
          <w:lang w:val="fr-FR"/>
        </w:rPr>
        <w:t> </w:t>
      </w:r>
      <w:r w:rsidRPr="00C95C11">
        <w:rPr>
          <w:lang w:val="fr-FR"/>
        </w:rPr>
        <w:t>septembre 2009</w:t>
      </w:r>
      <w:r w:rsidR="005778A9">
        <w:rPr>
          <w:lang w:val="fr-FR"/>
        </w:rPr>
        <w:t>,</w:t>
      </w:r>
      <w:r w:rsidRPr="00C95C11">
        <w:rPr>
          <w:lang w:val="fr-FR"/>
        </w:rPr>
        <w:t xml:space="preserve"> pour un </w:t>
      </w:r>
      <w:r w:rsidR="005778A9">
        <w:rPr>
          <w:lang w:val="fr-FR"/>
        </w:rPr>
        <w:t>« </w:t>
      </w:r>
      <w:r w:rsidRPr="00C95C11">
        <w:rPr>
          <w:lang w:val="fr-FR"/>
        </w:rPr>
        <w:t>examen de situation</w:t>
      </w:r>
      <w:r w:rsidR="006649DC">
        <w:rPr>
          <w:lang w:val="fr-FR"/>
        </w:rPr>
        <w:t> </w:t>
      </w:r>
      <w:r w:rsidRPr="00C95C11">
        <w:rPr>
          <w:lang w:val="fr-FR"/>
        </w:rPr>
        <w:t xml:space="preserve">». Il </w:t>
      </w:r>
      <w:r w:rsidR="005778A9">
        <w:rPr>
          <w:lang w:val="fr-FR"/>
        </w:rPr>
        <w:t xml:space="preserve">a </w:t>
      </w:r>
      <w:r w:rsidRPr="00C95C11">
        <w:rPr>
          <w:lang w:val="fr-FR"/>
        </w:rPr>
        <w:t xml:space="preserve">ensuite </w:t>
      </w:r>
      <w:r w:rsidR="005778A9">
        <w:rPr>
          <w:lang w:val="fr-FR"/>
        </w:rPr>
        <w:t xml:space="preserve">été </w:t>
      </w:r>
      <w:r w:rsidRPr="00C95C11">
        <w:rPr>
          <w:lang w:val="fr-FR"/>
        </w:rPr>
        <w:t>arrêté</w:t>
      </w:r>
      <w:r w:rsidR="005778A9">
        <w:rPr>
          <w:lang w:val="fr-FR"/>
        </w:rPr>
        <w:t>,</w:t>
      </w:r>
      <w:r w:rsidRPr="00C95C11">
        <w:rPr>
          <w:lang w:val="fr-FR"/>
        </w:rPr>
        <w:t xml:space="preserve"> le 17</w:t>
      </w:r>
      <w:r w:rsidR="00A21A6A">
        <w:rPr>
          <w:lang w:val="fr-FR"/>
        </w:rPr>
        <w:t> </w:t>
      </w:r>
      <w:r w:rsidRPr="00C95C11">
        <w:rPr>
          <w:lang w:val="fr-FR"/>
        </w:rPr>
        <w:t>septembre 2009</w:t>
      </w:r>
      <w:r w:rsidR="005778A9">
        <w:rPr>
          <w:lang w:val="fr-FR"/>
        </w:rPr>
        <w:t>,</w:t>
      </w:r>
      <w:r w:rsidRPr="00C95C11">
        <w:rPr>
          <w:lang w:val="fr-FR"/>
        </w:rPr>
        <w:t xml:space="preserve"> par des agents du service territorial de la police judiciaire d’Alger du Département </w:t>
      </w:r>
      <w:r w:rsidR="00427F7C" w:rsidRPr="00C95C11">
        <w:rPr>
          <w:lang w:val="fr-FR"/>
        </w:rPr>
        <w:t xml:space="preserve">du renseignement et </w:t>
      </w:r>
      <w:r w:rsidRPr="00C95C11">
        <w:rPr>
          <w:lang w:val="fr-FR"/>
        </w:rPr>
        <w:t>de</w:t>
      </w:r>
      <w:r w:rsidR="00427F7C" w:rsidRPr="00C95C11">
        <w:rPr>
          <w:lang w:val="fr-FR"/>
        </w:rPr>
        <w:t xml:space="preserve"> la</w:t>
      </w:r>
      <w:r w:rsidRPr="00C95C11">
        <w:rPr>
          <w:lang w:val="fr-FR"/>
        </w:rPr>
        <w:t xml:space="preserve"> sécurité algérien (DRS) à l’hôtel El-Djazaïr, où il était descendu. Sa famille </w:t>
      </w:r>
      <w:r w:rsidR="005778A9">
        <w:rPr>
          <w:lang w:val="fr-FR"/>
        </w:rPr>
        <w:t xml:space="preserve">est </w:t>
      </w:r>
      <w:r w:rsidRPr="00C95C11">
        <w:rPr>
          <w:lang w:val="fr-FR"/>
        </w:rPr>
        <w:t>rest</w:t>
      </w:r>
      <w:r w:rsidR="005778A9">
        <w:rPr>
          <w:lang w:val="fr-FR"/>
        </w:rPr>
        <w:t>é</w:t>
      </w:r>
      <w:r w:rsidRPr="00C95C11">
        <w:rPr>
          <w:lang w:val="fr-FR"/>
        </w:rPr>
        <w:t>e</w:t>
      </w:r>
      <w:r w:rsidR="005778A9">
        <w:rPr>
          <w:lang w:val="fr-FR"/>
        </w:rPr>
        <w:t xml:space="preserve"> </w:t>
      </w:r>
      <w:r w:rsidRPr="00C95C11">
        <w:rPr>
          <w:lang w:val="fr-FR"/>
        </w:rPr>
        <w:t>sans nouvelle</w:t>
      </w:r>
      <w:r w:rsidR="005778A9">
        <w:rPr>
          <w:lang w:val="fr-FR"/>
        </w:rPr>
        <w:t>s</w:t>
      </w:r>
      <w:r w:rsidRPr="00C95C11">
        <w:rPr>
          <w:lang w:val="fr-FR"/>
        </w:rPr>
        <w:t xml:space="preserve"> de lui pendant </w:t>
      </w:r>
      <w:r w:rsidR="005778A9">
        <w:rPr>
          <w:lang w:val="fr-FR"/>
        </w:rPr>
        <w:t xml:space="preserve">vingt </w:t>
      </w:r>
      <w:r w:rsidRPr="00C95C11">
        <w:rPr>
          <w:lang w:val="fr-FR"/>
        </w:rPr>
        <w:t>jours, au cours desquels il n</w:t>
      </w:r>
      <w:r w:rsidR="005778A9">
        <w:rPr>
          <w:lang w:val="fr-FR"/>
        </w:rPr>
        <w:t>’a plus</w:t>
      </w:r>
      <w:r w:rsidRPr="00C95C11">
        <w:rPr>
          <w:lang w:val="fr-FR"/>
        </w:rPr>
        <w:t xml:space="preserve"> donn</w:t>
      </w:r>
      <w:r w:rsidR="005778A9">
        <w:rPr>
          <w:lang w:val="fr-FR"/>
        </w:rPr>
        <w:t xml:space="preserve">é </w:t>
      </w:r>
      <w:r w:rsidRPr="00C95C11">
        <w:rPr>
          <w:lang w:val="fr-FR"/>
        </w:rPr>
        <w:t>signe de vie.</w:t>
      </w:r>
    </w:p>
    <w:p w:rsidR="009963FD" w:rsidRPr="00C95C11" w:rsidRDefault="009963FD" w:rsidP="002F7EEC">
      <w:pPr>
        <w:pStyle w:val="SingleTxtG"/>
        <w:rPr>
          <w:lang w:val="fr-FR"/>
        </w:rPr>
      </w:pPr>
      <w:r w:rsidRPr="00C95C11">
        <w:rPr>
          <w:lang w:val="fr-FR"/>
        </w:rPr>
        <w:t>2.3</w:t>
      </w:r>
      <w:r w:rsidRPr="00C95C11">
        <w:rPr>
          <w:lang w:val="fr-FR"/>
        </w:rPr>
        <w:tab/>
        <w:t>Sans nouvelle de l’auteur, son épouse s</w:t>
      </w:r>
      <w:r w:rsidR="005778A9">
        <w:rPr>
          <w:lang w:val="fr-FR"/>
        </w:rPr>
        <w:t xml:space="preserve">’est vu </w:t>
      </w:r>
      <w:r w:rsidRPr="00C95C11">
        <w:rPr>
          <w:lang w:val="fr-FR"/>
        </w:rPr>
        <w:t xml:space="preserve">contrainte </w:t>
      </w:r>
      <w:r w:rsidR="005778A9">
        <w:rPr>
          <w:lang w:val="fr-FR"/>
        </w:rPr>
        <w:t>d’</w:t>
      </w:r>
      <w:r w:rsidRPr="00C95C11">
        <w:rPr>
          <w:lang w:val="fr-FR"/>
        </w:rPr>
        <w:t xml:space="preserve">adresser vainement depuis Bruxelles une requête au </w:t>
      </w:r>
      <w:r w:rsidR="005778A9">
        <w:rPr>
          <w:lang w:val="fr-FR"/>
        </w:rPr>
        <w:t>C</w:t>
      </w:r>
      <w:r w:rsidRPr="00C95C11">
        <w:rPr>
          <w:lang w:val="fr-FR"/>
        </w:rPr>
        <w:t>onsul général d’Algérie (représentant les intérêts de l’Algérie au Luxembourg)</w:t>
      </w:r>
      <w:r w:rsidR="00A615C9" w:rsidRPr="00C95C11">
        <w:rPr>
          <w:rStyle w:val="FootnoteReference"/>
          <w:lang w:val="fr-FR"/>
        </w:rPr>
        <w:footnoteReference w:id="6"/>
      </w:r>
      <w:r w:rsidRPr="00C95C11">
        <w:rPr>
          <w:lang w:val="fr-FR"/>
        </w:rPr>
        <w:t xml:space="preserve"> alors qu’elle </w:t>
      </w:r>
      <w:r w:rsidR="005778A9">
        <w:rPr>
          <w:lang w:val="fr-FR"/>
        </w:rPr>
        <w:t xml:space="preserve">savait </w:t>
      </w:r>
      <w:r w:rsidRPr="00C95C11">
        <w:rPr>
          <w:lang w:val="fr-FR"/>
        </w:rPr>
        <w:t xml:space="preserve">que son mari </w:t>
      </w:r>
      <w:r w:rsidR="005778A9">
        <w:rPr>
          <w:lang w:val="fr-FR"/>
        </w:rPr>
        <w:t xml:space="preserve">était </w:t>
      </w:r>
      <w:r w:rsidRPr="00C95C11">
        <w:rPr>
          <w:lang w:val="fr-FR"/>
        </w:rPr>
        <w:t xml:space="preserve">parti à Alger pour fêter </w:t>
      </w:r>
      <w:r w:rsidR="00853A9E" w:rsidRPr="002F7EEC">
        <w:rPr>
          <w:lang w:val="fr-FR"/>
        </w:rPr>
        <w:t>l’</w:t>
      </w:r>
      <w:r w:rsidR="002F7EEC" w:rsidRPr="003D7E85">
        <w:rPr>
          <w:lang w:val="fr-FR"/>
        </w:rPr>
        <w:t>Aïd</w:t>
      </w:r>
      <w:r w:rsidRPr="002F7EEC">
        <w:rPr>
          <w:lang w:val="fr-FR"/>
        </w:rPr>
        <w:t>. Dans</w:t>
      </w:r>
      <w:r w:rsidRPr="00C95C11">
        <w:rPr>
          <w:lang w:val="fr-FR"/>
        </w:rPr>
        <w:t xml:space="preserve"> cette lettre</w:t>
      </w:r>
      <w:r w:rsidR="005778A9">
        <w:rPr>
          <w:lang w:val="fr-FR"/>
        </w:rPr>
        <w:t>,</w:t>
      </w:r>
      <w:r w:rsidRPr="00C95C11">
        <w:rPr>
          <w:lang w:val="fr-FR"/>
        </w:rPr>
        <w:t xml:space="preserve"> elle indiqu</w:t>
      </w:r>
      <w:r w:rsidR="005778A9">
        <w:rPr>
          <w:lang w:val="fr-FR"/>
        </w:rPr>
        <w:t xml:space="preserve">ait </w:t>
      </w:r>
      <w:r w:rsidRPr="00C95C11">
        <w:rPr>
          <w:lang w:val="fr-FR"/>
        </w:rPr>
        <w:t xml:space="preserve">ne plus avoir eu de nouvelles de son mari depuis qu’elle </w:t>
      </w:r>
      <w:r w:rsidR="005778A9">
        <w:rPr>
          <w:lang w:val="fr-FR"/>
        </w:rPr>
        <w:t xml:space="preserve">avait </w:t>
      </w:r>
      <w:r w:rsidRPr="00C95C11">
        <w:rPr>
          <w:lang w:val="fr-FR"/>
        </w:rPr>
        <w:t>essayé de l</w:t>
      </w:r>
      <w:r w:rsidR="005778A9">
        <w:rPr>
          <w:lang w:val="fr-FR"/>
        </w:rPr>
        <w:t>e</w:t>
      </w:r>
      <w:r w:rsidRPr="00C95C11">
        <w:rPr>
          <w:lang w:val="fr-FR"/>
        </w:rPr>
        <w:t xml:space="preserve"> contacter le 24</w:t>
      </w:r>
      <w:r w:rsidR="00A21A6A">
        <w:rPr>
          <w:lang w:val="fr-FR"/>
        </w:rPr>
        <w:t> </w:t>
      </w:r>
      <w:r w:rsidRPr="00C95C11">
        <w:rPr>
          <w:lang w:val="fr-FR"/>
        </w:rPr>
        <w:t xml:space="preserve">septembre 2009. Sa famille apprendra par la suite que ce dernier a été officiellement mis en cause dans une affaire pénale, offrant a posteriori l’apparence d’une instruction criminelle de droit commun. Son arrestation s’inscrit dans l’affaire </w:t>
      </w:r>
      <w:r w:rsidR="00A21A6A">
        <w:rPr>
          <w:lang w:val="fr-FR"/>
        </w:rPr>
        <w:t xml:space="preserve">dite </w:t>
      </w:r>
      <w:r w:rsidRPr="00C95C11">
        <w:rPr>
          <w:lang w:val="fr-FR"/>
        </w:rPr>
        <w:t>de l’autoroute est-ou</w:t>
      </w:r>
      <w:r w:rsidR="00ED044B" w:rsidRPr="00C95C11">
        <w:rPr>
          <w:lang w:val="fr-FR"/>
        </w:rPr>
        <w:t>est, également connue comme «</w:t>
      </w:r>
      <w:r w:rsidR="006649DC">
        <w:rPr>
          <w:lang w:val="fr-FR"/>
        </w:rPr>
        <w:t> </w:t>
      </w:r>
      <w:r w:rsidRPr="00C95C11">
        <w:rPr>
          <w:lang w:val="fr-FR"/>
        </w:rPr>
        <w:t>l’</w:t>
      </w:r>
      <w:r w:rsidR="00ED044B" w:rsidRPr="00C95C11">
        <w:rPr>
          <w:lang w:val="fr-FR"/>
        </w:rPr>
        <w:t>affaire de corruption du siècle</w:t>
      </w:r>
      <w:r w:rsidR="006649DC">
        <w:rPr>
          <w:lang w:val="fr-FR"/>
        </w:rPr>
        <w:t> </w:t>
      </w:r>
      <w:r w:rsidRPr="00C95C11">
        <w:rPr>
          <w:lang w:val="fr-FR"/>
        </w:rPr>
        <w:t>», qui revêt un caractère éminemment politique.</w:t>
      </w:r>
    </w:p>
    <w:p w:rsidR="00C542A8" w:rsidRDefault="009963FD">
      <w:pPr>
        <w:pStyle w:val="SingleTxtG"/>
        <w:rPr>
          <w:lang w:val="fr-FR"/>
        </w:rPr>
      </w:pPr>
      <w:r w:rsidRPr="00C95C11">
        <w:rPr>
          <w:lang w:val="fr-FR"/>
        </w:rPr>
        <w:t>2.4</w:t>
      </w:r>
      <w:r w:rsidRPr="00C95C11">
        <w:rPr>
          <w:lang w:val="fr-FR"/>
        </w:rPr>
        <w:tab/>
        <w:t xml:space="preserve">L’auteur aurait été détenu durant </w:t>
      </w:r>
      <w:r w:rsidR="000D606E">
        <w:rPr>
          <w:lang w:val="fr-FR"/>
        </w:rPr>
        <w:t xml:space="preserve">vingt </w:t>
      </w:r>
      <w:r w:rsidRPr="00C95C11">
        <w:rPr>
          <w:lang w:val="fr-FR"/>
        </w:rPr>
        <w:t xml:space="preserve">jours au secret et dans un endroit inconnu (il apprendra par la suite qu’il aurait été détenu dans les locaux de la police judiciaire du DRS). </w:t>
      </w:r>
      <w:r w:rsidR="006649DC" w:rsidRPr="00884EA8">
        <w:rPr>
          <w:lang w:val="fr-FR"/>
        </w:rPr>
        <w:t>À</w:t>
      </w:r>
      <w:r w:rsidRPr="00C95C11">
        <w:rPr>
          <w:lang w:val="fr-FR"/>
        </w:rPr>
        <w:t xml:space="preserve"> travers un récit écrit de sa main et transmis par la suite à sa famille, il décrit qu’il n’a pas eu la possibilité de communiquer avec un membre de sa famille ni avec un avocat pendant ces </w:t>
      </w:r>
      <w:r w:rsidR="0052583A">
        <w:rPr>
          <w:lang w:val="fr-FR"/>
        </w:rPr>
        <w:t xml:space="preserve">vingt </w:t>
      </w:r>
      <w:r w:rsidRPr="00C95C11">
        <w:rPr>
          <w:lang w:val="fr-FR"/>
        </w:rPr>
        <w:t>jours et qu’il a été séquestré, violenté et soumis à des pressions physiques et</w:t>
      </w:r>
      <w:r w:rsidR="00ED044B" w:rsidRPr="00C95C11">
        <w:rPr>
          <w:lang w:val="fr-FR"/>
        </w:rPr>
        <w:t xml:space="preserve"> psychologiques insoutenables. </w:t>
      </w:r>
      <w:r w:rsidRPr="00C95C11">
        <w:rPr>
          <w:lang w:val="fr-FR"/>
        </w:rPr>
        <w:t xml:space="preserve">Interrogé à toute heure du jour et de la nuit, il </w:t>
      </w:r>
      <w:r w:rsidR="0052583A">
        <w:rPr>
          <w:lang w:val="fr-FR"/>
        </w:rPr>
        <w:t xml:space="preserve">était </w:t>
      </w:r>
      <w:r w:rsidRPr="00C95C11">
        <w:rPr>
          <w:lang w:val="fr-FR"/>
        </w:rPr>
        <w:t>régulièreme</w:t>
      </w:r>
      <w:r w:rsidR="00ED044B" w:rsidRPr="00C95C11">
        <w:rPr>
          <w:lang w:val="fr-FR"/>
        </w:rPr>
        <w:t>nt insulté et frappé pour «</w:t>
      </w:r>
      <w:r w:rsidR="006649DC">
        <w:rPr>
          <w:lang w:val="fr-FR"/>
        </w:rPr>
        <w:t> </w:t>
      </w:r>
      <w:r w:rsidR="00ED044B" w:rsidRPr="00C95C11">
        <w:rPr>
          <w:lang w:val="fr-FR"/>
        </w:rPr>
        <w:t>avouer</w:t>
      </w:r>
      <w:r w:rsidR="006649DC">
        <w:rPr>
          <w:lang w:val="fr-FR"/>
        </w:rPr>
        <w:t> </w:t>
      </w:r>
      <w:r w:rsidRPr="00C95C11">
        <w:rPr>
          <w:lang w:val="fr-FR"/>
        </w:rPr>
        <w:t xml:space="preserve">». Régulièrement, ses </w:t>
      </w:r>
      <w:r w:rsidR="00853A9E" w:rsidRPr="003D7E85">
        <w:rPr>
          <w:lang w:val="fr-FR"/>
        </w:rPr>
        <w:t>interrogateurs</w:t>
      </w:r>
      <w:r w:rsidRPr="00C95C11">
        <w:rPr>
          <w:lang w:val="fr-FR"/>
        </w:rPr>
        <w:t xml:space="preserve"> </w:t>
      </w:r>
      <w:r w:rsidR="0052583A">
        <w:rPr>
          <w:lang w:val="fr-FR"/>
        </w:rPr>
        <w:t xml:space="preserve">posaient </w:t>
      </w:r>
      <w:r w:rsidRPr="00C95C11">
        <w:rPr>
          <w:lang w:val="fr-FR"/>
        </w:rPr>
        <w:t>le téléphone portable de l’auteur sur la table, le laissant sonner en permanence, prenant soin d’en recharger la batterie, usant du moyen de pression insoutenable de la souffrance de ses proches, laissés sans nouvelle et tentant à toute heure de le joindre.</w:t>
      </w:r>
    </w:p>
    <w:p w:rsidR="00C542A8" w:rsidRDefault="00ED044B" w:rsidP="003502E2">
      <w:pPr>
        <w:pStyle w:val="SingleTxtG"/>
        <w:rPr>
          <w:lang w:val="fr-FR"/>
        </w:rPr>
      </w:pPr>
      <w:r w:rsidRPr="00C95C11">
        <w:rPr>
          <w:lang w:val="fr-FR"/>
        </w:rPr>
        <w:t>2.5</w:t>
      </w:r>
      <w:r w:rsidRPr="00C95C11">
        <w:rPr>
          <w:lang w:val="fr-FR"/>
        </w:rPr>
        <w:tab/>
        <w:t>Pour qu’il «</w:t>
      </w:r>
      <w:r w:rsidR="006649DC">
        <w:rPr>
          <w:lang w:val="fr-FR"/>
        </w:rPr>
        <w:t> </w:t>
      </w:r>
      <w:r w:rsidRPr="00C95C11">
        <w:rPr>
          <w:lang w:val="fr-FR"/>
        </w:rPr>
        <w:t>avoue</w:t>
      </w:r>
      <w:r w:rsidR="006649DC">
        <w:rPr>
          <w:lang w:val="fr-FR"/>
        </w:rPr>
        <w:t> </w:t>
      </w:r>
      <w:r w:rsidR="009963FD" w:rsidRPr="00C95C11">
        <w:rPr>
          <w:lang w:val="fr-FR"/>
        </w:rPr>
        <w:t xml:space="preserve">», l’auteur a également été privé de sommeil, ce qui lui a fait </w:t>
      </w:r>
      <w:r w:rsidR="0052583A">
        <w:rPr>
          <w:lang w:val="fr-FR"/>
        </w:rPr>
        <w:t xml:space="preserve">perdre </w:t>
      </w:r>
      <w:r w:rsidR="009963FD" w:rsidRPr="00C95C11">
        <w:rPr>
          <w:lang w:val="fr-FR"/>
        </w:rPr>
        <w:t>la notion du temps. Les fonctionnaires de la police judiciaire du DRS n’ont même plus pris la peine de camoufler ces privations</w:t>
      </w:r>
      <w:r w:rsidR="00FB37E2">
        <w:rPr>
          <w:lang w:val="fr-FR"/>
        </w:rPr>
        <w:t>,</w:t>
      </w:r>
      <w:r w:rsidR="009963FD" w:rsidRPr="00C95C11">
        <w:rPr>
          <w:lang w:val="fr-FR"/>
        </w:rPr>
        <w:t xml:space="preserve"> qui sont notamment relatées dans le procès-verbal de l’audition par le juge d’instruction entre </w:t>
      </w:r>
      <w:r w:rsidR="003502E2">
        <w:rPr>
          <w:lang w:val="fr-FR"/>
        </w:rPr>
        <w:t xml:space="preserve">minuit </w:t>
      </w:r>
      <w:r w:rsidR="009963FD" w:rsidRPr="00C95C11">
        <w:rPr>
          <w:lang w:val="fr-FR"/>
        </w:rPr>
        <w:t>et quatre heures du matin</w:t>
      </w:r>
      <w:r w:rsidR="0052583A">
        <w:rPr>
          <w:lang w:val="fr-FR"/>
        </w:rPr>
        <w:t>,</w:t>
      </w:r>
      <w:r w:rsidR="009963FD" w:rsidRPr="00C95C11">
        <w:rPr>
          <w:lang w:val="fr-FR"/>
        </w:rPr>
        <w:t xml:space="preserve"> le </w:t>
      </w:r>
      <w:r w:rsidR="009963FD" w:rsidRPr="00C95C11">
        <w:rPr>
          <w:lang w:val="fr-FR"/>
        </w:rPr>
        <w:lastRenderedPageBreak/>
        <w:t>7</w:t>
      </w:r>
      <w:r w:rsidR="0052583A">
        <w:rPr>
          <w:lang w:val="fr-FR"/>
        </w:rPr>
        <w:t> </w:t>
      </w:r>
      <w:r w:rsidR="009963FD" w:rsidRPr="00C95C11">
        <w:rPr>
          <w:lang w:val="fr-FR"/>
        </w:rPr>
        <w:t>octobre 2009</w:t>
      </w:r>
      <w:r w:rsidR="00A615C9" w:rsidRPr="00C95C11">
        <w:rPr>
          <w:rStyle w:val="FootnoteReference"/>
          <w:lang w:val="fr-FR"/>
        </w:rPr>
        <w:footnoteReference w:id="7"/>
      </w:r>
      <w:r w:rsidR="009963FD" w:rsidRPr="00C95C11">
        <w:rPr>
          <w:lang w:val="fr-FR"/>
        </w:rPr>
        <w:t xml:space="preserve">. L’auteur a également été privé de nourriture et il </w:t>
      </w:r>
      <w:r w:rsidR="0052583A">
        <w:rPr>
          <w:lang w:val="fr-FR"/>
        </w:rPr>
        <w:t xml:space="preserve">est </w:t>
      </w:r>
      <w:r w:rsidR="009963FD" w:rsidRPr="00C95C11">
        <w:rPr>
          <w:lang w:val="fr-FR"/>
        </w:rPr>
        <w:t>appar</w:t>
      </w:r>
      <w:r w:rsidR="0052583A">
        <w:rPr>
          <w:lang w:val="fr-FR"/>
        </w:rPr>
        <w:t xml:space="preserve">u, </w:t>
      </w:r>
      <w:r w:rsidR="009963FD" w:rsidRPr="00C95C11">
        <w:rPr>
          <w:lang w:val="fr-FR"/>
        </w:rPr>
        <w:t>après la levée de sa détention au secret</w:t>
      </w:r>
      <w:r w:rsidR="0052583A">
        <w:rPr>
          <w:lang w:val="fr-FR"/>
        </w:rPr>
        <w:t>,</w:t>
      </w:r>
      <w:r w:rsidR="009963FD" w:rsidRPr="00C95C11">
        <w:rPr>
          <w:lang w:val="fr-FR"/>
        </w:rPr>
        <w:t xml:space="preserve"> qu’il a</w:t>
      </w:r>
      <w:r w:rsidR="0052583A">
        <w:rPr>
          <w:lang w:val="fr-FR"/>
        </w:rPr>
        <w:t>vait</w:t>
      </w:r>
      <w:r w:rsidR="009963FD" w:rsidRPr="00C95C11">
        <w:rPr>
          <w:lang w:val="fr-FR"/>
        </w:rPr>
        <w:t xml:space="preserve"> perdu plus de 11</w:t>
      </w:r>
      <w:r w:rsidR="0052583A">
        <w:rPr>
          <w:lang w:val="fr-FR"/>
        </w:rPr>
        <w:t> </w:t>
      </w:r>
      <w:r w:rsidR="009963FD" w:rsidRPr="00C95C11">
        <w:rPr>
          <w:lang w:val="fr-FR"/>
        </w:rPr>
        <w:t xml:space="preserve">kg en </w:t>
      </w:r>
      <w:r w:rsidR="0052583A">
        <w:rPr>
          <w:lang w:val="fr-FR"/>
        </w:rPr>
        <w:t>vingt jours</w:t>
      </w:r>
      <w:r w:rsidR="009963FD" w:rsidRPr="00C95C11">
        <w:rPr>
          <w:lang w:val="fr-FR"/>
        </w:rPr>
        <w:t xml:space="preserve">. Il </w:t>
      </w:r>
      <w:r w:rsidR="0052583A">
        <w:rPr>
          <w:lang w:val="fr-FR"/>
        </w:rPr>
        <w:t xml:space="preserve">était </w:t>
      </w:r>
      <w:r w:rsidR="009963FD" w:rsidRPr="00C95C11">
        <w:rPr>
          <w:lang w:val="fr-FR"/>
        </w:rPr>
        <w:t xml:space="preserve">systématiquement passé à tabac, à chaque interrogatoire, par un ou plusieurs agents, durant des heures entières, par des coups de poings, des gifles, </w:t>
      </w:r>
      <w:r w:rsidR="0052583A">
        <w:rPr>
          <w:lang w:val="fr-FR"/>
        </w:rPr>
        <w:t xml:space="preserve">et recevait aussi </w:t>
      </w:r>
      <w:r w:rsidR="009963FD" w:rsidRPr="00C95C11">
        <w:rPr>
          <w:lang w:val="fr-FR"/>
        </w:rPr>
        <w:t>des insulte</w:t>
      </w:r>
      <w:r w:rsidRPr="00C95C11">
        <w:rPr>
          <w:lang w:val="fr-FR"/>
        </w:rPr>
        <w:t xml:space="preserve">s, </w:t>
      </w:r>
      <w:r w:rsidR="0052583A">
        <w:rPr>
          <w:lang w:val="fr-FR"/>
        </w:rPr>
        <w:t xml:space="preserve">des </w:t>
      </w:r>
      <w:r w:rsidRPr="00C95C11">
        <w:rPr>
          <w:lang w:val="fr-FR"/>
        </w:rPr>
        <w:t xml:space="preserve">crachats et </w:t>
      </w:r>
      <w:r w:rsidR="0052583A">
        <w:rPr>
          <w:lang w:val="fr-FR"/>
        </w:rPr>
        <w:t xml:space="preserve">des </w:t>
      </w:r>
      <w:r w:rsidRPr="00C95C11">
        <w:rPr>
          <w:lang w:val="fr-FR"/>
        </w:rPr>
        <w:t>coups de pied.</w:t>
      </w:r>
    </w:p>
    <w:p w:rsidR="00C542A8" w:rsidRDefault="009963FD">
      <w:pPr>
        <w:pStyle w:val="SingleTxtG"/>
        <w:rPr>
          <w:lang w:val="fr-FR"/>
        </w:rPr>
      </w:pPr>
      <w:r w:rsidRPr="00C95C11">
        <w:rPr>
          <w:lang w:val="fr-FR"/>
        </w:rPr>
        <w:t>2.6</w:t>
      </w:r>
      <w:r w:rsidRPr="00C95C11">
        <w:rPr>
          <w:lang w:val="fr-FR"/>
        </w:rPr>
        <w:tab/>
        <w:t xml:space="preserve">L’auteur a également été humilié. </w:t>
      </w:r>
      <w:r w:rsidR="0052583A">
        <w:rPr>
          <w:lang w:val="fr-FR"/>
        </w:rPr>
        <w:t>Un jour, alors qu’</w:t>
      </w:r>
      <w:r w:rsidRPr="00C95C11">
        <w:rPr>
          <w:lang w:val="fr-FR"/>
        </w:rPr>
        <w:t>il demandait naïvement un seau d’eau pour pouvoir se laver, il a été agenouillé puis entouré d’agents de la sécurité militaire qui sont venu</w:t>
      </w:r>
      <w:r w:rsidR="0052583A">
        <w:rPr>
          <w:lang w:val="fr-FR"/>
        </w:rPr>
        <w:t>s</w:t>
      </w:r>
      <w:r w:rsidRPr="00C95C11">
        <w:rPr>
          <w:lang w:val="fr-FR"/>
        </w:rPr>
        <w:t xml:space="preserve"> lui </w:t>
      </w:r>
      <w:r w:rsidR="00ED044B" w:rsidRPr="00C95C11">
        <w:rPr>
          <w:lang w:val="fr-FR"/>
        </w:rPr>
        <w:t>uriner dessus pour le «</w:t>
      </w:r>
      <w:r w:rsidR="006649DC">
        <w:rPr>
          <w:lang w:val="fr-FR"/>
        </w:rPr>
        <w:t> </w:t>
      </w:r>
      <w:r w:rsidR="00ED044B" w:rsidRPr="00C95C11">
        <w:rPr>
          <w:lang w:val="fr-FR"/>
        </w:rPr>
        <w:t>doucher</w:t>
      </w:r>
      <w:r w:rsidR="006649DC">
        <w:rPr>
          <w:lang w:val="fr-FR"/>
        </w:rPr>
        <w:t> </w:t>
      </w:r>
      <w:r w:rsidRPr="00C95C11">
        <w:rPr>
          <w:lang w:val="fr-FR"/>
        </w:rPr>
        <w:t xml:space="preserve">». L’auteur décrit également les ordres lui imposant de se déshabiller complètement et de rester nu, à la vue de tous, jusqu’à s’endormir dans cet état. </w:t>
      </w:r>
      <w:r w:rsidR="0052583A">
        <w:rPr>
          <w:lang w:val="fr-FR"/>
        </w:rPr>
        <w:t>Il a subi d</w:t>
      </w:r>
      <w:r w:rsidRPr="00C95C11">
        <w:rPr>
          <w:lang w:val="fr-FR"/>
        </w:rPr>
        <w:t>es interrogatoires interminables</w:t>
      </w:r>
      <w:r w:rsidR="0052583A">
        <w:rPr>
          <w:lang w:val="fr-FR"/>
        </w:rPr>
        <w:t>,</w:t>
      </w:r>
      <w:r w:rsidRPr="00C95C11">
        <w:rPr>
          <w:lang w:val="fr-FR"/>
        </w:rPr>
        <w:t xml:space="preserve"> toujours </w:t>
      </w:r>
      <w:proofErr w:type="gramStart"/>
      <w:r w:rsidRPr="00C95C11">
        <w:rPr>
          <w:lang w:val="fr-FR"/>
        </w:rPr>
        <w:t>nu</w:t>
      </w:r>
      <w:proofErr w:type="gramEnd"/>
      <w:r w:rsidRPr="00C95C11">
        <w:rPr>
          <w:lang w:val="fr-FR"/>
        </w:rPr>
        <w:t xml:space="preserve"> et agenouillé, les mains dans le dos, la tête contre le mur.</w:t>
      </w:r>
    </w:p>
    <w:p w:rsidR="00C542A8" w:rsidRDefault="009963FD">
      <w:pPr>
        <w:pStyle w:val="SingleTxtG"/>
        <w:rPr>
          <w:lang w:val="fr-FR"/>
        </w:rPr>
      </w:pPr>
      <w:r w:rsidRPr="00C95C11">
        <w:rPr>
          <w:lang w:val="fr-FR"/>
        </w:rPr>
        <w:t>2.7</w:t>
      </w:r>
      <w:r w:rsidRPr="00C95C11">
        <w:rPr>
          <w:lang w:val="fr-FR"/>
        </w:rPr>
        <w:tab/>
        <w:t xml:space="preserve">Le 28 septembre 2009, dans le cadre de l’enquête préliminaire diligentée par les officiers de la police judiciaire du DRS, ces agents ont obtenu une autorisation de perquisition du </w:t>
      </w:r>
      <w:r w:rsidR="008D7155">
        <w:rPr>
          <w:lang w:val="fr-FR"/>
        </w:rPr>
        <w:t>P</w:t>
      </w:r>
      <w:r w:rsidRPr="00C95C11">
        <w:rPr>
          <w:lang w:val="fr-FR"/>
        </w:rPr>
        <w:t xml:space="preserve">rocureur de la République du </w:t>
      </w:r>
      <w:r w:rsidR="008D7155">
        <w:rPr>
          <w:lang w:val="fr-FR"/>
        </w:rPr>
        <w:t>t</w:t>
      </w:r>
      <w:r w:rsidRPr="00C95C11">
        <w:rPr>
          <w:lang w:val="fr-FR"/>
        </w:rPr>
        <w:t xml:space="preserve">ribunal </w:t>
      </w:r>
      <w:proofErr w:type="gramStart"/>
      <w:r w:rsidRPr="00C95C11">
        <w:rPr>
          <w:lang w:val="fr-FR"/>
        </w:rPr>
        <w:t>de Hussein-Dey</w:t>
      </w:r>
      <w:proofErr w:type="gramEnd"/>
      <w:r w:rsidRPr="00C95C11">
        <w:rPr>
          <w:lang w:val="fr-FR"/>
        </w:rPr>
        <w:t>, du ressort de la Cour d’Alger, perquisition à mener dans les locaux de la société Oriflamme, appartenant à l’auteur. Cette perquisition a été effectuée le 4</w:t>
      </w:r>
      <w:r w:rsidR="008D7155">
        <w:rPr>
          <w:lang w:val="fr-FR"/>
        </w:rPr>
        <w:t> </w:t>
      </w:r>
      <w:r w:rsidRPr="00C95C11">
        <w:rPr>
          <w:lang w:val="fr-FR"/>
        </w:rPr>
        <w:t xml:space="preserve">octobre 2009 en présence d’un neveu de l’auteur et </w:t>
      </w:r>
      <w:r w:rsidR="00FB37E2">
        <w:rPr>
          <w:lang w:val="fr-FR"/>
        </w:rPr>
        <w:t>d’</w:t>
      </w:r>
      <w:r w:rsidRPr="00C95C11">
        <w:rPr>
          <w:lang w:val="fr-FR"/>
        </w:rPr>
        <w:t>un autre employé, mais en l’absence de l’auteur qui était pourtant disponible puisqu’en garde à vue. Lors de la perquisition, une somme d’argent a été saisie et a été consignée dans le procès-verbal de la perquisition. En revanche, un ordinateur de l’auteur</w:t>
      </w:r>
      <w:r w:rsidR="008D7155">
        <w:rPr>
          <w:lang w:val="fr-FR"/>
        </w:rPr>
        <w:t xml:space="preserve"> </w:t>
      </w:r>
      <w:r w:rsidR="008D7155" w:rsidRPr="00C95C11">
        <w:rPr>
          <w:lang w:val="fr-FR"/>
        </w:rPr>
        <w:t>a été saisi</w:t>
      </w:r>
      <w:r w:rsidRPr="00C95C11">
        <w:rPr>
          <w:lang w:val="fr-FR"/>
        </w:rPr>
        <w:t>, sans qu’il soit référencé dans le dossier pénal comme pièce à conviction.</w:t>
      </w:r>
    </w:p>
    <w:p w:rsidR="00C542A8" w:rsidRDefault="009963FD">
      <w:pPr>
        <w:pStyle w:val="SingleTxtG"/>
        <w:rPr>
          <w:lang w:val="fr-FR"/>
        </w:rPr>
      </w:pPr>
      <w:r w:rsidRPr="00C95C11">
        <w:rPr>
          <w:lang w:val="fr-FR"/>
        </w:rPr>
        <w:t>2.</w:t>
      </w:r>
      <w:r w:rsidR="00ED044B" w:rsidRPr="00C95C11">
        <w:rPr>
          <w:lang w:val="fr-FR"/>
        </w:rPr>
        <w:t>8</w:t>
      </w:r>
      <w:r w:rsidRPr="00C95C11">
        <w:rPr>
          <w:lang w:val="fr-FR"/>
        </w:rPr>
        <w:tab/>
        <w:t xml:space="preserve">L’auteur </w:t>
      </w:r>
      <w:r w:rsidR="008D7155">
        <w:rPr>
          <w:lang w:val="fr-FR"/>
        </w:rPr>
        <w:t xml:space="preserve">a été </w:t>
      </w:r>
      <w:r w:rsidRPr="00C95C11">
        <w:rPr>
          <w:lang w:val="fr-FR"/>
        </w:rPr>
        <w:t>présenté devant le Procureur de la République du tribunal de Sidi M’hamed le 6</w:t>
      </w:r>
      <w:r w:rsidR="00A34935">
        <w:rPr>
          <w:lang w:val="fr-FR"/>
        </w:rPr>
        <w:t> </w:t>
      </w:r>
      <w:r w:rsidRPr="00C95C11">
        <w:rPr>
          <w:lang w:val="fr-FR"/>
        </w:rPr>
        <w:t>octobre 2009 puis auditionné dans la nuit du 6 au 7 octobre 2009 (de minuit à quatre heures du matin) par le juge d’instruction de la 9</w:t>
      </w:r>
      <w:r w:rsidRPr="00C95C11">
        <w:rPr>
          <w:vertAlign w:val="superscript"/>
          <w:lang w:val="fr-FR"/>
        </w:rPr>
        <w:t>e</w:t>
      </w:r>
      <w:r w:rsidRPr="00C95C11">
        <w:rPr>
          <w:lang w:val="fr-FR"/>
        </w:rPr>
        <w:t xml:space="preserve"> chambre du pôle pénal spécialisé près ledit tribunal. Il </w:t>
      </w:r>
      <w:r w:rsidR="008D7155">
        <w:rPr>
          <w:lang w:val="fr-FR"/>
        </w:rPr>
        <w:t xml:space="preserve">a </w:t>
      </w:r>
      <w:r w:rsidRPr="00C95C11">
        <w:rPr>
          <w:lang w:val="fr-FR"/>
        </w:rPr>
        <w:t xml:space="preserve">alors </w:t>
      </w:r>
      <w:r w:rsidR="008D7155">
        <w:rPr>
          <w:lang w:val="fr-FR"/>
        </w:rPr>
        <w:t xml:space="preserve">été </w:t>
      </w:r>
      <w:r w:rsidRPr="00C95C11">
        <w:rPr>
          <w:lang w:val="fr-FR"/>
        </w:rPr>
        <w:t xml:space="preserve">placé en détention provisoire. Il </w:t>
      </w:r>
      <w:r w:rsidR="00A34935">
        <w:rPr>
          <w:lang w:val="fr-FR"/>
        </w:rPr>
        <w:t xml:space="preserve">a été </w:t>
      </w:r>
      <w:r w:rsidRPr="00C95C11">
        <w:rPr>
          <w:lang w:val="fr-FR"/>
        </w:rPr>
        <w:t>officiellement accusé de crimes et délits en lien avec une opération de corruption entourant la construction de l’autoroute traversant l’Algérie d’</w:t>
      </w:r>
      <w:r w:rsidR="005778A9">
        <w:rPr>
          <w:lang w:val="fr-FR"/>
        </w:rPr>
        <w:t>e</w:t>
      </w:r>
      <w:r w:rsidRPr="00C95C11">
        <w:rPr>
          <w:lang w:val="fr-FR"/>
        </w:rPr>
        <w:t xml:space="preserve">st en </w:t>
      </w:r>
      <w:r w:rsidR="005778A9">
        <w:rPr>
          <w:lang w:val="fr-FR"/>
        </w:rPr>
        <w:t>o</w:t>
      </w:r>
      <w:r w:rsidRPr="00C95C11">
        <w:rPr>
          <w:lang w:val="fr-FR"/>
        </w:rPr>
        <w:t>uest.</w:t>
      </w:r>
    </w:p>
    <w:p w:rsidR="00C542A8" w:rsidRDefault="009963FD">
      <w:pPr>
        <w:pStyle w:val="SingleTxtG"/>
        <w:rPr>
          <w:lang w:val="fr-FR"/>
        </w:rPr>
      </w:pPr>
      <w:r w:rsidRPr="00C95C11">
        <w:rPr>
          <w:lang w:val="fr-FR"/>
        </w:rPr>
        <w:t>2.</w:t>
      </w:r>
      <w:r w:rsidR="00ED044B" w:rsidRPr="00C95C11">
        <w:rPr>
          <w:lang w:val="fr-FR"/>
        </w:rPr>
        <w:t>9</w:t>
      </w:r>
      <w:r w:rsidR="00ED044B" w:rsidRPr="00C95C11">
        <w:rPr>
          <w:lang w:val="fr-FR"/>
        </w:rPr>
        <w:tab/>
      </w:r>
      <w:r w:rsidRPr="00C95C11">
        <w:rPr>
          <w:lang w:val="fr-FR"/>
        </w:rPr>
        <w:t xml:space="preserve">L’auteur souligne </w:t>
      </w:r>
      <w:r w:rsidR="008D7155">
        <w:rPr>
          <w:lang w:val="fr-FR"/>
        </w:rPr>
        <w:t xml:space="preserve">que </w:t>
      </w:r>
      <w:r w:rsidRPr="00C95C11">
        <w:rPr>
          <w:lang w:val="fr-FR"/>
        </w:rPr>
        <w:t xml:space="preserve">plusieurs étapes de la procédure pénale </w:t>
      </w:r>
      <w:r w:rsidR="008D7155">
        <w:rPr>
          <w:lang w:val="fr-FR"/>
        </w:rPr>
        <w:t xml:space="preserve">ont été </w:t>
      </w:r>
      <w:r w:rsidR="008D7155" w:rsidRPr="00C95C11">
        <w:rPr>
          <w:lang w:val="fr-FR"/>
        </w:rPr>
        <w:t>expédi</w:t>
      </w:r>
      <w:r w:rsidR="008D7155">
        <w:rPr>
          <w:lang w:val="fr-FR"/>
        </w:rPr>
        <w:t xml:space="preserve">ées </w:t>
      </w:r>
      <w:r w:rsidRPr="00C95C11">
        <w:rPr>
          <w:lang w:val="fr-FR"/>
        </w:rPr>
        <w:t xml:space="preserve">en une seule journée, </w:t>
      </w:r>
      <w:r w:rsidR="008D7155">
        <w:rPr>
          <w:lang w:val="fr-FR"/>
        </w:rPr>
        <w:t xml:space="preserve">le </w:t>
      </w:r>
      <w:r w:rsidRPr="00C95C11">
        <w:rPr>
          <w:lang w:val="fr-FR"/>
        </w:rPr>
        <w:t>6 octobre 2009. Ainsi, le rapport d’enquête préliminaire qui a figuré par la suite au dossier judiciaire mentionne avoir été ouvert le 28 septembre et clôturé le 6</w:t>
      </w:r>
      <w:r w:rsidR="008D7155">
        <w:rPr>
          <w:lang w:val="fr-FR"/>
        </w:rPr>
        <w:t> </w:t>
      </w:r>
      <w:r w:rsidRPr="00C95C11">
        <w:rPr>
          <w:lang w:val="fr-FR"/>
        </w:rPr>
        <w:t>octobre 2009. Ce rapport a été transmis au Procureur de la République du tribunal de Bir Mourad Raïs</w:t>
      </w:r>
      <w:r w:rsidR="008D7155">
        <w:rPr>
          <w:lang w:val="fr-FR"/>
        </w:rPr>
        <w:t>,</w:t>
      </w:r>
      <w:r w:rsidRPr="00C95C11">
        <w:rPr>
          <w:lang w:val="fr-FR"/>
        </w:rPr>
        <w:t xml:space="preserve"> le 6 octobre 2009, qui s’est dessaisi de l’affaire et l’a transmis le même jour au Procureur de la République de Sidi M’hamed. Le même jour, le Procureur général de la </w:t>
      </w:r>
      <w:r w:rsidR="004635E9" w:rsidRPr="00A34935">
        <w:rPr>
          <w:lang w:val="fr-FR"/>
        </w:rPr>
        <w:t>Cour d’Alger</w:t>
      </w:r>
      <w:r w:rsidRPr="00A34935">
        <w:rPr>
          <w:lang w:val="fr-FR"/>
        </w:rPr>
        <w:t xml:space="preserve"> a</w:t>
      </w:r>
      <w:r w:rsidRPr="00C95C11">
        <w:rPr>
          <w:lang w:val="fr-FR"/>
        </w:rPr>
        <w:t xml:space="preserve"> adressé des instructions écrites au Procureur de la République de Sidi M’hamed aux fins de l’ouverture d’une information judiciaire contre un certain nombre de personnes mises en cause, parmi lesquelles l’auteur, sur la base de plusieurs chefs d’inculpation, dont association de malfaiteurs, trafic d’influence, corruption et blanchiment d’argent.</w:t>
      </w:r>
    </w:p>
    <w:p w:rsidR="00C542A8" w:rsidRDefault="009963FD">
      <w:pPr>
        <w:pStyle w:val="SingleTxtG"/>
        <w:rPr>
          <w:lang w:val="fr-FR"/>
        </w:rPr>
      </w:pPr>
      <w:r w:rsidRPr="00C95C11">
        <w:rPr>
          <w:lang w:val="fr-FR"/>
        </w:rPr>
        <w:t>2.1</w:t>
      </w:r>
      <w:r w:rsidR="00ED044B" w:rsidRPr="00C95C11">
        <w:rPr>
          <w:lang w:val="fr-FR"/>
        </w:rPr>
        <w:t>0</w:t>
      </w:r>
      <w:r w:rsidRPr="00C95C11">
        <w:rPr>
          <w:lang w:val="fr-FR"/>
        </w:rPr>
        <w:tab/>
        <w:t>Le 6 juin 2011, le juge d’instruction</w:t>
      </w:r>
      <w:r w:rsidR="008D7155">
        <w:rPr>
          <w:lang w:val="fr-FR"/>
        </w:rPr>
        <w:t>,</w:t>
      </w:r>
      <w:r w:rsidRPr="00C95C11">
        <w:rPr>
          <w:lang w:val="fr-FR"/>
        </w:rPr>
        <w:t xml:space="preserve"> ayant estimé avoir clos l’information judiciaire contre l’auteur et d’autres coaccusés dans l’affaire de l’autoroute </w:t>
      </w:r>
      <w:r w:rsidR="005778A9">
        <w:rPr>
          <w:lang w:val="fr-FR"/>
        </w:rPr>
        <w:t>e</w:t>
      </w:r>
      <w:r w:rsidRPr="00C95C11">
        <w:rPr>
          <w:lang w:val="fr-FR"/>
        </w:rPr>
        <w:t>st-</w:t>
      </w:r>
      <w:r w:rsidR="005778A9">
        <w:rPr>
          <w:lang w:val="fr-FR"/>
        </w:rPr>
        <w:t>o</w:t>
      </w:r>
      <w:r w:rsidRPr="00C95C11">
        <w:rPr>
          <w:lang w:val="fr-FR"/>
        </w:rPr>
        <w:t xml:space="preserve">uest, a rendu une ordonnance de transmission des pièces de la procédure au </w:t>
      </w:r>
      <w:r w:rsidR="008D7155">
        <w:rPr>
          <w:lang w:val="fr-FR"/>
        </w:rPr>
        <w:t>P</w:t>
      </w:r>
      <w:r w:rsidRPr="00C95C11">
        <w:rPr>
          <w:lang w:val="fr-FR"/>
        </w:rPr>
        <w:t>rocureur général, aux fins de saisine par ce dernier de la chambre d’accusation pour qu’il soit procédé au renvoi des prévenus devant le tribunal criminel compétent. En juillet 2011, la chambre d’accusation a demandé un complément d’information au juge d’instruction. Le 16 novembre 2011, la chambre d’accusation a rendu son arrêt, renvoyant les prévenus</w:t>
      </w:r>
      <w:r w:rsidR="008D7155">
        <w:rPr>
          <w:lang w:val="fr-FR"/>
        </w:rPr>
        <w:t>,</w:t>
      </w:r>
      <w:r w:rsidRPr="00C95C11">
        <w:rPr>
          <w:lang w:val="fr-FR"/>
        </w:rPr>
        <w:t xml:space="preserve"> dont l’auteur</w:t>
      </w:r>
      <w:r w:rsidR="008D7155">
        <w:rPr>
          <w:lang w:val="fr-FR"/>
        </w:rPr>
        <w:t>,</w:t>
      </w:r>
      <w:r w:rsidRPr="00C95C11">
        <w:rPr>
          <w:lang w:val="fr-FR"/>
        </w:rPr>
        <w:t xml:space="preserve"> devant le tribunal criminel. Le 20 novembre 2011, l’auteur a formé un pourvoi en cassation contre cet arrêt sans toutefois avoir une copie de cet arrêt dans la mesure où ledit arrêt de la chambre d’accusation n’a été mis à disposition des avocats de l</w:t>
      </w:r>
      <w:r w:rsidR="00ED044B" w:rsidRPr="00C95C11">
        <w:rPr>
          <w:lang w:val="fr-FR"/>
        </w:rPr>
        <w:t>’auteur que le 30 janvier 2012.</w:t>
      </w:r>
    </w:p>
    <w:p w:rsidR="00C542A8" w:rsidRDefault="009963FD">
      <w:pPr>
        <w:pStyle w:val="SingleTxtG"/>
        <w:rPr>
          <w:lang w:val="fr-FR"/>
        </w:rPr>
      </w:pPr>
      <w:r w:rsidRPr="00C95C11">
        <w:rPr>
          <w:lang w:val="fr-FR"/>
        </w:rPr>
        <w:lastRenderedPageBreak/>
        <w:t>2.1</w:t>
      </w:r>
      <w:r w:rsidR="00ED044B" w:rsidRPr="00C95C11">
        <w:rPr>
          <w:lang w:val="fr-FR"/>
        </w:rPr>
        <w:t>1</w:t>
      </w:r>
      <w:r w:rsidRPr="00C95C11">
        <w:rPr>
          <w:lang w:val="fr-FR"/>
        </w:rPr>
        <w:tab/>
        <w:t xml:space="preserve">Le 31 octobre 2011, l’auteur a déposé une plainte pour détention arbitraire auprès du </w:t>
      </w:r>
      <w:r w:rsidR="008A1655">
        <w:rPr>
          <w:lang w:val="fr-FR"/>
        </w:rPr>
        <w:t>P</w:t>
      </w:r>
      <w:r w:rsidRPr="00C95C11">
        <w:rPr>
          <w:lang w:val="fr-FR"/>
        </w:rPr>
        <w:t>rocureur général de la Cour d’Alger ainsi qu’une requête pour les mêmes motifs auprès de la chambre d’accusation le 2</w:t>
      </w:r>
      <w:r w:rsidR="008A1655">
        <w:rPr>
          <w:lang w:val="fr-FR"/>
        </w:rPr>
        <w:t> </w:t>
      </w:r>
      <w:r w:rsidRPr="00C95C11">
        <w:rPr>
          <w:lang w:val="fr-FR"/>
        </w:rPr>
        <w:t>novembre 2011. L’auteur a été informé du rejet de la plainte par le Procureur de la République du tribunal de Sidi M’hamed au motif que les mêmes moyens de droit avaient déjà été soulevés et appréciés par la chambre d’accusation le 16</w:t>
      </w:r>
      <w:r w:rsidR="008A1655">
        <w:rPr>
          <w:lang w:val="fr-FR"/>
        </w:rPr>
        <w:t> </w:t>
      </w:r>
      <w:r w:rsidRPr="00C95C11">
        <w:rPr>
          <w:lang w:val="fr-FR"/>
        </w:rPr>
        <w:t>novembre 2011.</w:t>
      </w:r>
    </w:p>
    <w:p w:rsidR="00C542A8" w:rsidRDefault="009963FD">
      <w:pPr>
        <w:pStyle w:val="SingleTxtG"/>
        <w:rPr>
          <w:lang w:val="fr-FR"/>
        </w:rPr>
      </w:pPr>
      <w:r w:rsidRPr="00C95C11">
        <w:rPr>
          <w:lang w:val="fr-FR"/>
        </w:rPr>
        <w:t>2.1</w:t>
      </w:r>
      <w:r w:rsidR="00ED044B" w:rsidRPr="00C95C11">
        <w:rPr>
          <w:lang w:val="fr-FR"/>
        </w:rPr>
        <w:t>2</w:t>
      </w:r>
      <w:r w:rsidRPr="00C95C11">
        <w:rPr>
          <w:lang w:val="fr-FR"/>
        </w:rPr>
        <w:tab/>
        <w:t xml:space="preserve">Le 3 novembre 2011, assisté d’un avocat, l’auteur </w:t>
      </w:r>
      <w:r w:rsidR="008A1655">
        <w:rPr>
          <w:lang w:val="fr-FR"/>
        </w:rPr>
        <w:t xml:space="preserve">a </w:t>
      </w:r>
      <w:r w:rsidRPr="00C95C11">
        <w:rPr>
          <w:lang w:val="fr-FR"/>
        </w:rPr>
        <w:t>dépos</w:t>
      </w:r>
      <w:r w:rsidR="008A1655">
        <w:rPr>
          <w:lang w:val="fr-FR"/>
        </w:rPr>
        <w:t>é</w:t>
      </w:r>
      <w:r w:rsidRPr="00C95C11">
        <w:rPr>
          <w:lang w:val="fr-FR"/>
        </w:rPr>
        <w:t xml:space="preserve"> plainte pour détention arbitraire, actes de torture et extorsion d’aveux par la contrainte, devant le Procureur </w:t>
      </w:r>
      <w:r w:rsidR="008A1655">
        <w:rPr>
          <w:lang w:val="fr-FR"/>
        </w:rPr>
        <w:t>g</w:t>
      </w:r>
      <w:r w:rsidRPr="00C95C11">
        <w:rPr>
          <w:lang w:val="fr-FR"/>
        </w:rPr>
        <w:t xml:space="preserve">énéral de la République de la Cour d’Alger. Le 13 novembre 2011, le Procureur de la République du tribunal de Sidi M’hamed </w:t>
      </w:r>
      <w:r w:rsidR="008A1655">
        <w:rPr>
          <w:lang w:val="fr-FR"/>
        </w:rPr>
        <w:t xml:space="preserve">a </w:t>
      </w:r>
      <w:r w:rsidRPr="00C95C11">
        <w:rPr>
          <w:lang w:val="fr-FR"/>
        </w:rPr>
        <w:t>notifi</w:t>
      </w:r>
      <w:r w:rsidR="008A1655">
        <w:rPr>
          <w:lang w:val="fr-FR"/>
        </w:rPr>
        <w:t>é</w:t>
      </w:r>
      <w:r w:rsidRPr="00C95C11">
        <w:rPr>
          <w:lang w:val="fr-FR"/>
        </w:rPr>
        <w:t xml:space="preserve"> les avocats de l’auteur du classement sans suite de la plainte. Ce classement sans suite est </w:t>
      </w:r>
      <w:r w:rsidR="008A1655">
        <w:rPr>
          <w:lang w:val="fr-FR"/>
        </w:rPr>
        <w:t xml:space="preserve">intervenu </w:t>
      </w:r>
      <w:r w:rsidRPr="00C95C11">
        <w:rPr>
          <w:lang w:val="fr-FR"/>
        </w:rPr>
        <w:t xml:space="preserve">seulement </w:t>
      </w:r>
      <w:r w:rsidR="008A1655">
        <w:rPr>
          <w:lang w:val="fr-FR"/>
        </w:rPr>
        <w:t xml:space="preserve">dix </w:t>
      </w:r>
      <w:r w:rsidRPr="00C95C11">
        <w:rPr>
          <w:lang w:val="fr-FR"/>
        </w:rPr>
        <w:t xml:space="preserve">jours après le dépôt de la plainte, sans que l’audition du plaignant ou une quelconque enquête </w:t>
      </w:r>
      <w:r w:rsidR="008A1655">
        <w:rPr>
          <w:lang w:val="fr-FR"/>
        </w:rPr>
        <w:t xml:space="preserve">ne </w:t>
      </w:r>
      <w:r w:rsidRPr="00C95C11">
        <w:rPr>
          <w:lang w:val="fr-FR"/>
        </w:rPr>
        <w:t xml:space="preserve">soient menées ou que le Procureur </w:t>
      </w:r>
      <w:r w:rsidR="008A1655">
        <w:rPr>
          <w:lang w:val="fr-FR"/>
        </w:rPr>
        <w:t xml:space="preserve">ne </w:t>
      </w:r>
      <w:r w:rsidRPr="00C95C11">
        <w:rPr>
          <w:lang w:val="fr-FR"/>
        </w:rPr>
        <w:t xml:space="preserve">transmette ladite plainte aux services de police judiciaire pour suivi. Bien que l’article 36 du </w:t>
      </w:r>
      <w:r w:rsidR="001B0413" w:rsidRPr="00884EA8">
        <w:rPr>
          <w:lang w:val="fr-FR"/>
        </w:rPr>
        <w:t xml:space="preserve">Code </w:t>
      </w:r>
      <w:r w:rsidRPr="00C95C11">
        <w:rPr>
          <w:lang w:val="fr-FR"/>
        </w:rPr>
        <w:t>de procédure pénale dispose que le classement sans suite est toujours révocable, laissant apparaître théoriquement pour tout plaignant la voie d</w:t>
      </w:r>
      <w:r w:rsidR="00CC33C6" w:rsidRPr="00C95C11">
        <w:rPr>
          <w:lang w:val="fr-FR"/>
        </w:rPr>
        <w:t>’</w:t>
      </w:r>
      <w:r w:rsidRPr="00C95C11">
        <w:rPr>
          <w:lang w:val="fr-FR"/>
        </w:rPr>
        <w:t xml:space="preserve">un recours, la reconsidération du classement sans suite est en pratique improbable. Les avocats de l’auteur ont néanmoins contesté la décision de classement sans suite et l’utilisation d’aveux obtenus sous la contrainte lors de tous les actes de procédure qui ont suivi le dépôt de la plainte auprès du Procureur </w:t>
      </w:r>
      <w:r w:rsidR="008A1655">
        <w:rPr>
          <w:lang w:val="fr-FR"/>
        </w:rPr>
        <w:t>g</w:t>
      </w:r>
      <w:r w:rsidRPr="00C95C11">
        <w:rPr>
          <w:lang w:val="fr-FR"/>
        </w:rPr>
        <w:t xml:space="preserve">énéral. Les avocats de l’auteur ont aussi allégué la torture subie et contesté la décision de classement sans suite au cours de toutes les audiences relatives à l’affaire de l’autoroute </w:t>
      </w:r>
      <w:r w:rsidR="005778A9">
        <w:rPr>
          <w:lang w:val="fr-FR"/>
        </w:rPr>
        <w:t>e</w:t>
      </w:r>
      <w:r w:rsidRPr="00C95C11">
        <w:rPr>
          <w:lang w:val="fr-FR"/>
        </w:rPr>
        <w:t>st-</w:t>
      </w:r>
      <w:r w:rsidR="005778A9">
        <w:rPr>
          <w:lang w:val="fr-FR"/>
        </w:rPr>
        <w:t>o</w:t>
      </w:r>
      <w:r w:rsidRPr="00C95C11">
        <w:rPr>
          <w:lang w:val="fr-FR"/>
        </w:rPr>
        <w:t xml:space="preserve">uest. Ces allégations n’ont cependant pas été mentionnées dans les décisions judiciaires officielles. Aucune enquête n’a jamais été diligentée sur les actes de torture subis dans le cadre de la garde à vue de </w:t>
      </w:r>
      <w:r w:rsidR="0052583A">
        <w:rPr>
          <w:lang w:val="fr-FR"/>
        </w:rPr>
        <w:t>vingt jours</w:t>
      </w:r>
      <w:r w:rsidR="008A1655">
        <w:rPr>
          <w:lang w:val="fr-FR"/>
        </w:rPr>
        <w:t xml:space="preserve"> </w:t>
      </w:r>
      <w:r w:rsidRPr="00C95C11">
        <w:rPr>
          <w:lang w:val="fr-FR"/>
        </w:rPr>
        <w:t xml:space="preserve">menée dans le cadre de cette affaire. </w:t>
      </w:r>
    </w:p>
    <w:p w:rsidR="00C542A8" w:rsidRPr="003D7E85" w:rsidRDefault="009963FD">
      <w:pPr>
        <w:pStyle w:val="SingleTxtG"/>
        <w:rPr>
          <w:lang w:val="fr-FR"/>
        </w:rPr>
      </w:pPr>
      <w:r w:rsidRPr="00C95C11">
        <w:rPr>
          <w:lang w:val="fr-FR"/>
        </w:rPr>
        <w:t>2.1</w:t>
      </w:r>
      <w:r w:rsidR="00ED044B" w:rsidRPr="00C95C11">
        <w:rPr>
          <w:lang w:val="fr-FR"/>
        </w:rPr>
        <w:t>3</w:t>
      </w:r>
      <w:r w:rsidRPr="00C95C11">
        <w:rPr>
          <w:lang w:val="fr-FR"/>
        </w:rPr>
        <w:tab/>
        <w:t xml:space="preserve">En 2011, alors que l’auteur </w:t>
      </w:r>
      <w:r w:rsidR="00677FD1">
        <w:rPr>
          <w:lang w:val="fr-FR"/>
        </w:rPr>
        <w:t xml:space="preserve">était </w:t>
      </w:r>
      <w:r w:rsidRPr="00C95C11">
        <w:rPr>
          <w:lang w:val="fr-FR"/>
        </w:rPr>
        <w:t>toujours en détention provisoire dans l’affaire précitée, la justice algérienne l</w:t>
      </w:r>
      <w:r w:rsidR="00677FD1">
        <w:rPr>
          <w:lang w:val="fr-FR"/>
        </w:rPr>
        <w:t>’a</w:t>
      </w:r>
      <w:r w:rsidRPr="00C95C11">
        <w:rPr>
          <w:lang w:val="fr-FR"/>
        </w:rPr>
        <w:t xml:space="preserve"> poursui</w:t>
      </w:r>
      <w:r w:rsidR="00677FD1">
        <w:rPr>
          <w:lang w:val="fr-FR"/>
        </w:rPr>
        <w:t>vi</w:t>
      </w:r>
      <w:r w:rsidRPr="00C95C11">
        <w:rPr>
          <w:lang w:val="fr-FR"/>
        </w:rPr>
        <w:t xml:space="preserve"> dans une deuxième affaire pour délits de corruption, trafic d’influence et blanchiment d’argent, affaire appelée « Algérie T</w:t>
      </w:r>
      <w:r w:rsidR="009A4E1C">
        <w:rPr>
          <w:lang w:val="fr-FR"/>
        </w:rPr>
        <w:t>é</w:t>
      </w:r>
      <w:r w:rsidR="00ED044B" w:rsidRPr="00C95C11">
        <w:rPr>
          <w:lang w:val="fr-FR"/>
        </w:rPr>
        <w:t>l</w:t>
      </w:r>
      <w:r w:rsidR="009A4E1C">
        <w:rPr>
          <w:lang w:val="fr-FR"/>
        </w:rPr>
        <w:t>é</w:t>
      </w:r>
      <w:r w:rsidR="00ED044B" w:rsidRPr="00C95C11">
        <w:rPr>
          <w:lang w:val="fr-FR"/>
        </w:rPr>
        <w:t>com » ou «</w:t>
      </w:r>
      <w:r w:rsidR="006649DC">
        <w:rPr>
          <w:lang w:val="fr-FR"/>
        </w:rPr>
        <w:t> </w:t>
      </w:r>
      <w:r w:rsidR="00ED044B" w:rsidRPr="00C95C11">
        <w:rPr>
          <w:lang w:val="fr-FR"/>
        </w:rPr>
        <w:t>Natixis</w:t>
      </w:r>
      <w:r w:rsidR="009A4E1C">
        <w:rPr>
          <w:lang w:val="fr-FR"/>
        </w:rPr>
        <w:t xml:space="preserve"> </w:t>
      </w:r>
      <w:r w:rsidR="006649DC">
        <w:rPr>
          <w:lang w:val="fr-FR"/>
        </w:rPr>
        <w:t>Luxembourg </w:t>
      </w:r>
      <w:r w:rsidRPr="00C95C11">
        <w:rPr>
          <w:lang w:val="fr-FR"/>
        </w:rPr>
        <w:t xml:space="preserve">». Le 6 juin 2012, le tribunal de Sidi M’hamed, section des délits, </w:t>
      </w:r>
      <w:r w:rsidR="00677FD1">
        <w:rPr>
          <w:lang w:val="fr-FR"/>
        </w:rPr>
        <w:t xml:space="preserve">a </w:t>
      </w:r>
      <w:r w:rsidRPr="00C95C11">
        <w:rPr>
          <w:lang w:val="fr-FR"/>
        </w:rPr>
        <w:t>condamn</w:t>
      </w:r>
      <w:r w:rsidR="00677FD1">
        <w:rPr>
          <w:lang w:val="fr-FR"/>
        </w:rPr>
        <w:t>é</w:t>
      </w:r>
      <w:r w:rsidRPr="00C95C11">
        <w:rPr>
          <w:lang w:val="fr-FR"/>
        </w:rPr>
        <w:t xml:space="preserve"> l’auteur à </w:t>
      </w:r>
      <w:r w:rsidR="004D0428">
        <w:rPr>
          <w:lang w:val="fr-FR"/>
        </w:rPr>
        <w:t xml:space="preserve">dix-huit </w:t>
      </w:r>
      <w:r w:rsidRPr="00C95C11">
        <w:rPr>
          <w:lang w:val="fr-FR"/>
        </w:rPr>
        <w:t xml:space="preserve">ans d’emprisonnement ferme dans cette affaire et </w:t>
      </w:r>
      <w:r w:rsidR="00677FD1">
        <w:rPr>
          <w:lang w:val="fr-FR"/>
        </w:rPr>
        <w:t xml:space="preserve">à </w:t>
      </w:r>
      <w:r w:rsidRPr="00C95C11">
        <w:rPr>
          <w:lang w:val="fr-FR"/>
        </w:rPr>
        <w:t>5</w:t>
      </w:r>
      <w:r w:rsidR="00677FD1">
        <w:rPr>
          <w:lang w:val="fr-FR"/>
        </w:rPr>
        <w:t> </w:t>
      </w:r>
      <w:r w:rsidRPr="00C95C11">
        <w:rPr>
          <w:lang w:val="fr-FR"/>
        </w:rPr>
        <w:t xml:space="preserve">millions de dinars d’amende pour blanchiment d’argent. </w:t>
      </w:r>
      <w:r w:rsidRPr="003D7E85">
        <w:rPr>
          <w:lang w:val="fr-FR"/>
        </w:rPr>
        <w:t xml:space="preserve">Le </w:t>
      </w:r>
      <w:r w:rsidR="00853A9E" w:rsidRPr="003D7E85">
        <w:rPr>
          <w:lang w:val="fr-FR"/>
        </w:rPr>
        <w:t>11 décembre 2012</w:t>
      </w:r>
      <w:r w:rsidRPr="003D7E85">
        <w:rPr>
          <w:lang w:val="fr-FR"/>
        </w:rPr>
        <w:t xml:space="preserve">, la </w:t>
      </w:r>
      <w:r w:rsidR="00196FAB" w:rsidRPr="003D7E85">
        <w:rPr>
          <w:lang w:val="fr-FR"/>
        </w:rPr>
        <w:t>c</w:t>
      </w:r>
      <w:r w:rsidRPr="003D7E85">
        <w:rPr>
          <w:lang w:val="fr-FR"/>
        </w:rPr>
        <w:t xml:space="preserve">our d’appel d’Alger </w:t>
      </w:r>
      <w:r w:rsidR="00677FD1" w:rsidRPr="003D7E85">
        <w:rPr>
          <w:lang w:val="fr-FR"/>
        </w:rPr>
        <w:t xml:space="preserve">a </w:t>
      </w:r>
      <w:r w:rsidRPr="003D7E85">
        <w:rPr>
          <w:lang w:val="fr-FR"/>
        </w:rPr>
        <w:t>révis</w:t>
      </w:r>
      <w:r w:rsidR="00677FD1" w:rsidRPr="003D7E85">
        <w:rPr>
          <w:lang w:val="fr-FR"/>
        </w:rPr>
        <w:t>é</w:t>
      </w:r>
      <w:r w:rsidRPr="003D7E85">
        <w:rPr>
          <w:lang w:val="fr-FR"/>
        </w:rPr>
        <w:t xml:space="preserve"> la peine de l’auteur en le condamnant à </w:t>
      </w:r>
      <w:r w:rsidR="00677FD1" w:rsidRPr="003D7E85">
        <w:rPr>
          <w:lang w:val="fr-FR"/>
        </w:rPr>
        <w:t xml:space="preserve">quinze </w:t>
      </w:r>
      <w:r w:rsidRPr="003D7E85">
        <w:rPr>
          <w:lang w:val="fr-FR"/>
        </w:rPr>
        <w:t xml:space="preserve">ans d’emprisonnement et </w:t>
      </w:r>
      <w:r w:rsidR="00677FD1" w:rsidRPr="003D7E85">
        <w:rPr>
          <w:lang w:val="fr-FR"/>
        </w:rPr>
        <w:t xml:space="preserve">à </w:t>
      </w:r>
      <w:r w:rsidRPr="003D7E85">
        <w:rPr>
          <w:lang w:val="fr-FR"/>
        </w:rPr>
        <w:t>4</w:t>
      </w:r>
      <w:r w:rsidR="004D0428" w:rsidRPr="003D7E85">
        <w:rPr>
          <w:lang w:val="fr-FR"/>
        </w:rPr>
        <w:t> </w:t>
      </w:r>
      <w:r w:rsidRPr="003D7E85">
        <w:rPr>
          <w:lang w:val="fr-FR"/>
        </w:rPr>
        <w:t>millions de dinars pour blanchiment d’argent. Le 17 décembre 2012, l’auteur s</w:t>
      </w:r>
      <w:r w:rsidR="00677FD1" w:rsidRPr="003D7E85">
        <w:rPr>
          <w:lang w:val="fr-FR"/>
        </w:rPr>
        <w:t xml:space="preserve">’est </w:t>
      </w:r>
      <w:r w:rsidRPr="003D7E85">
        <w:rPr>
          <w:lang w:val="fr-FR"/>
        </w:rPr>
        <w:t>pourv</w:t>
      </w:r>
      <w:r w:rsidR="00677FD1" w:rsidRPr="003D7E85">
        <w:rPr>
          <w:lang w:val="fr-FR"/>
        </w:rPr>
        <w:t xml:space="preserve">u </w:t>
      </w:r>
      <w:r w:rsidRPr="003D7E85">
        <w:rPr>
          <w:lang w:val="fr-FR"/>
        </w:rPr>
        <w:t>en cassation devant la Cour suprême</w:t>
      </w:r>
      <w:r w:rsidRPr="003D7E85">
        <w:rPr>
          <w:rStyle w:val="FootnoteReference"/>
          <w:lang w:val="fr-FR"/>
        </w:rPr>
        <w:footnoteReference w:id="8"/>
      </w:r>
      <w:r w:rsidRPr="003D7E85">
        <w:rPr>
          <w:lang w:val="fr-FR"/>
        </w:rPr>
        <w:t>.</w:t>
      </w:r>
    </w:p>
    <w:p w:rsidR="00C542A8" w:rsidRDefault="009963FD">
      <w:pPr>
        <w:pStyle w:val="SingleTxtG"/>
        <w:rPr>
          <w:lang w:val="fr-FR"/>
        </w:rPr>
      </w:pPr>
      <w:r w:rsidRPr="003D7E85">
        <w:rPr>
          <w:lang w:val="fr-FR"/>
        </w:rPr>
        <w:t>2.1</w:t>
      </w:r>
      <w:r w:rsidR="00ED044B" w:rsidRPr="003D7E85">
        <w:rPr>
          <w:lang w:val="fr-FR"/>
        </w:rPr>
        <w:t>4</w:t>
      </w:r>
      <w:r w:rsidRPr="003D7E85">
        <w:rPr>
          <w:lang w:val="fr-FR"/>
        </w:rPr>
        <w:tab/>
        <w:t xml:space="preserve">Le 12 octobre 2012, l’auteur </w:t>
      </w:r>
      <w:r w:rsidR="004155EE" w:rsidRPr="003D7E85">
        <w:rPr>
          <w:lang w:val="fr-FR"/>
        </w:rPr>
        <w:t xml:space="preserve">a </w:t>
      </w:r>
      <w:r w:rsidRPr="003D7E85">
        <w:rPr>
          <w:lang w:val="fr-FR"/>
        </w:rPr>
        <w:t>adress</w:t>
      </w:r>
      <w:r w:rsidR="004155EE" w:rsidRPr="003D7E85">
        <w:rPr>
          <w:lang w:val="fr-FR"/>
        </w:rPr>
        <w:t>é</w:t>
      </w:r>
      <w:r w:rsidRPr="003D7E85">
        <w:rPr>
          <w:lang w:val="fr-FR"/>
        </w:rPr>
        <w:t xml:space="preserve"> une plainte contre X pour torture au Procureur d’</w:t>
      </w:r>
      <w:r w:rsidR="006649DC" w:rsidRPr="003D7E85">
        <w:rPr>
          <w:lang w:val="fr-FR"/>
        </w:rPr>
        <w:t>État</w:t>
      </w:r>
      <w:r w:rsidRPr="003D7E85">
        <w:rPr>
          <w:lang w:val="fr-FR"/>
        </w:rPr>
        <w:t xml:space="preserve"> du Luxembourg, sur la base de </w:t>
      </w:r>
      <w:r w:rsidR="00853A9E" w:rsidRPr="003D7E85">
        <w:rPr>
          <w:lang w:val="fr-FR"/>
        </w:rPr>
        <w:t>l’article 7-3 du Code d’instruction criminelle,</w:t>
      </w:r>
      <w:r w:rsidRPr="003D7E85">
        <w:rPr>
          <w:lang w:val="fr-FR"/>
        </w:rPr>
        <w:t xml:space="preserve"> qui institue une compétence universelle</w:t>
      </w:r>
      <w:r w:rsidRPr="00C95C11">
        <w:rPr>
          <w:lang w:val="fr-FR"/>
        </w:rPr>
        <w:t xml:space="preserve"> au profit des juridictions luxembourgeoises lorsque tout étranger</w:t>
      </w:r>
      <w:r w:rsidR="004155EE">
        <w:rPr>
          <w:lang w:val="fr-FR"/>
        </w:rPr>
        <w:t>,</w:t>
      </w:r>
      <w:r w:rsidRPr="00C95C11">
        <w:rPr>
          <w:lang w:val="fr-FR"/>
        </w:rPr>
        <w:t xml:space="preserve"> hors du territoire du Grand-Duché</w:t>
      </w:r>
      <w:r w:rsidR="004155EE">
        <w:rPr>
          <w:lang w:val="fr-FR"/>
        </w:rPr>
        <w:t>,</w:t>
      </w:r>
      <w:r w:rsidRPr="00C95C11">
        <w:rPr>
          <w:lang w:val="fr-FR"/>
        </w:rPr>
        <w:t xml:space="preserve"> est coupable de torture envers un </w:t>
      </w:r>
      <w:r w:rsidR="004155EE">
        <w:rPr>
          <w:lang w:val="fr-FR"/>
        </w:rPr>
        <w:t>L</w:t>
      </w:r>
      <w:r w:rsidRPr="00C95C11">
        <w:rPr>
          <w:lang w:val="fr-FR"/>
        </w:rPr>
        <w:t xml:space="preserve">uxembourgeois ou une personne résidant au Luxembourg. Le </w:t>
      </w:r>
      <w:r w:rsidR="004D0428">
        <w:rPr>
          <w:lang w:val="fr-FR"/>
        </w:rPr>
        <w:t>p</w:t>
      </w:r>
      <w:r w:rsidRPr="00C95C11">
        <w:rPr>
          <w:lang w:val="fr-FR"/>
        </w:rPr>
        <w:t>arquet du Luxembourg a ouvert une enquête préliminaire qui a récemment permis l’audition de proches de la victime. L’auteur doute toutefois de l’efficacité de cette procédure, qui nécessite la coopération de l’Algérie.</w:t>
      </w:r>
    </w:p>
    <w:p w:rsidR="00C542A8" w:rsidRDefault="009963FD" w:rsidP="002F7EEC">
      <w:pPr>
        <w:pStyle w:val="SingleTxtG"/>
        <w:rPr>
          <w:lang w:val="fr-FR"/>
        </w:rPr>
      </w:pPr>
      <w:r w:rsidRPr="00C95C11">
        <w:rPr>
          <w:lang w:val="fr-FR"/>
        </w:rPr>
        <w:t>2.1</w:t>
      </w:r>
      <w:r w:rsidR="00ED044B" w:rsidRPr="00C95C11">
        <w:rPr>
          <w:lang w:val="fr-FR"/>
        </w:rPr>
        <w:t>5</w:t>
      </w:r>
      <w:r w:rsidRPr="00C95C11">
        <w:rPr>
          <w:lang w:val="fr-FR"/>
        </w:rPr>
        <w:tab/>
        <w:t xml:space="preserve">Concernant l’épuisement des voies de recours internes, l’auteur souligne qu’il n’a eu de cesse de dénoncer auprès du parquet les irrégularités de la procédure, et notamment les actes de torture subis, en vain. Il note par conséquent qu’il ne dispose d’aucun recours utile, </w:t>
      </w:r>
      <w:r w:rsidRPr="00C95C11">
        <w:rPr>
          <w:lang w:val="fr-FR"/>
        </w:rPr>
        <w:lastRenderedPageBreak/>
        <w:t>ajoutant que de nombreuses sources non</w:t>
      </w:r>
      <w:r w:rsidR="00447F0E">
        <w:rPr>
          <w:lang w:val="fr-FR"/>
        </w:rPr>
        <w:t xml:space="preserve"> </w:t>
      </w:r>
      <w:r w:rsidRPr="00C95C11">
        <w:rPr>
          <w:lang w:val="fr-FR"/>
        </w:rPr>
        <w:t xml:space="preserve">gouvernementales s’accordent à dire que les juridictions algériennes ne présentent pas les garanties d’une justice équitable, </w:t>
      </w:r>
      <w:r w:rsidR="007F5F0C" w:rsidRPr="007D2A2D">
        <w:rPr>
          <w:lang w:val="fr-FR"/>
        </w:rPr>
        <w:t>et sont unanimes</w:t>
      </w:r>
      <w:r w:rsidRPr="00C95C11">
        <w:rPr>
          <w:lang w:val="fr-FR"/>
        </w:rPr>
        <w:t xml:space="preserve"> </w:t>
      </w:r>
      <w:r w:rsidR="002F7EEC">
        <w:rPr>
          <w:lang w:val="fr-FR"/>
        </w:rPr>
        <w:t xml:space="preserve">à </w:t>
      </w:r>
      <w:r w:rsidR="002F7EEC" w:rsidRPr="002F7EEC">
        <w:rPr>
          <w:lang w:val="fr-FR"/>
        </w:rPr>
        <w:t xml:space="preserve">dénoncer </w:t>
      </w:r>
      <w:r w:rsidRPr="002F7EEC">
        <w:rPr>
          <w:lang w:val="fr-FR"/>
        </w:rPr>
        <w:t>la détention</w:t>
      </w:r>
      <w:r w:rsidRPr="00C95C11">
        <w:rPr>
          <w:lang w:val="fr-FR"/>
        </w:rPr>
        <w:t xml:space="preserve"> arbitraire et la torture pratiquées par le </w:t>
      </w:r>
      <w:r w:rsidR="007D2A2D">
        <w:rPr>
          <w:lang w:val="fr-FR"/>
        </w:rPr>
        <w:t>s</w:t>
      </w:r>
      <w:r w:rsidRPr="00C95C11">
        <w:rPr>
          <w:lang w:val="fr-FR"/>
        </w:rPr>
        <w:t xml:space="preserve">ervice des renseignements </w:t>
      </w:r>
      <w:r w:rsidRPr="007D2A2D">
        <w:rPr>
          <w:lang w:val="fr-FR"/>
        </w:rPr>
        <w:t>algérien</w:t>
      </w:r>
      <w:r w:rsidR="007F5F0C" w:rsidRPr="007D2A2D">
        <w:rPr>
          <w:lang w:val="fr-FR"/>
        </w:rPr>
        <w:t>s</w:t>
      </w:r>
      <w:r w:rsidRPr="007D2A2D">
        <w:rPr>
          <w:lang w:val="fr-FR"/>
        </w:rPr>
        <w:t>.</w:t>
      </w:r>
    </w:p>
    <w:p w:rsidR="009963FD" w:rsidRPr="00C95C11" w:rsidRDefault="009963FD" w:rsidP="00ED044B">
      <w:pPr>
        <w:pStyle w:val="H23G"/>
        <w:rPr>
          <w:lang w:val="fr-FR"/>
        </w:rPr>
      </w:pPr>
      <w:r w:rsidRPr="00C95C11">
        <w:rPr>
          <w:lang w:val="fr-FR"/>
        </w:rPr>
        <w:tab/>
      </w:r>
      <w:r w:rsidRPr="00C95C11">
        <w:rPr>
          <w:lang w:val="fr-FR"/>
        </w:rPr>
        <w:tab/>
        <w:t>Teneur de la plainte</w:t>
      </w:r>
    </w:p>
    <w:p w:rsidR="009963FD" w:rsidRPr="00C95C11" w:rsidRDefault="009963FD" w:rsidP="00ED044B">
      <w:pPr>
        <w:pStyle w:val="SingleTxtG"/>
        <w:rPr>
          <w:lang w:val="fr-FR"/>
        </w:rPr>
      </w:pPr>
      <w:r w:rsidRPr="00C95C11">
        <w:rPr>
          <w:lang w:val="fr-FR"/>
        </w:rPr>
        <w:t>3.1</w:t>
      </w:r>
      <w:r w:rsidRPr="00C95C11">
        <w:rPr>
          <w:lang w:val="fr-FR"/>
        </w:rPr>
        <w:tab/>
        <w:t>L’auteur allègue une violation des articles 7, 9, 10, 12 et 14 du Pacte.</w:t>
      </w:r>
    </w:p>
    <w:p w:rsidR="009963FD" w:rsidRPr="00C95C11" w:rsidRDefault="00ED044B">
      <w:pPr>
        <w:pStyle w:val="H4G"/>
        <w:rPr>
          <w:lang w:val="fr-FR"/>
        </w:rPr>
      </w:pPr>
      <w:r w:rsidRPr="00C95C11">
        <w:rPr>
          <w:lang w:val="fr-FR"/>
        </w:rPr>
        <w:tab/>
      </w:r>
      <w:r w:rsidRPr="00C95C11">
        <w:rPr>
          <w:lang w:val="fr-FR"/>
        </w:rPr>
        <w:tab/>
      </w:r>
      <w:r w:rsidR="009963FD" w:rsidRPr="00C95C11">
        <w:rPr>
          <w:lang w:val="fr-FR"/>
        </w:rPr>
        <w:t xml:space="preserve">Affaire </w:t>
      </w:r>
      <w:r w:rsidR="005778A9">
        <w:rPr>
          <w:lang w:val="fr-FR"/>
        </w:rPr>
        <w:t>de l’</w:t>
      </w:r>
      <w:r w:rsidR="009963FD" w:rsidRPr="00C95C11">
        <w:rPr>
          <w:lang w:val="fr-FR"/>
        </w:rPr>
        <w:t xml:space="preserve">autoroute </w:t>
      </w:r>
      <w:r w:rsidR="005778A9">
        <w:rPr>
          <w:lang w:val="fr-FR"/>
        </w:rPr>
        <w:t>e</w:t>
      </w:r>
      <w:r w:rsidR="009963FD" w:rsidRPr="00C95C11">
        <w:rPr>
          <w:lang w:val="fr-FR"/>
        </w:rPr>
        <w:t>st-</w:t>
      </w:r>
      <w:r w:rsidR="005778A9">
        <w:rPr>
          <w:lang w:val="fr-FR"/>
        </w:rPr>
        <w:t>o</w:t>
      </w:r>
      <w:r w:rsidR="009963FD" w:rsidRPr="00C95C11">
        <w:rPr>
          <w:lang w:val="fr-FR"/>
        </w:rPr>
        <w:t>uest</w:t>
      </w:r>
    </w:p>
    <w:p w:rsidR="009963FD" w:rsidRPr="00C95C11" w:rsidRDefault="009963FD" w:rsidP="002A0104">
      <w:pPr>
        <w:pStyle w:val="SingleTxtG"/>
        <w:rPr>
          <w:lang w:val="fr-FR"/>
        </w:rPr>
      </w:pPr>
      <w:r w:rsidRPr="00C95C11">
        <w:rPr>
          <w:lang w:val="fr-FR"/>
        </w:rPr>
        <w:t>3.2</w:t>
      </w:r>
      <w:r w:rsidRPr="00C95C11">
        <w:rPr>
          <w:lang w:val="fr-FR"/>
        </w:rPr>
        <w:tab/>
        <w:t xml:space="preserve">Au titre de l’article 7, l’auteur allègue l’extorsion d’aveux par la contrainte et l’exercice de la torture contre sa personne durant sa garde à </w:t>
      </w:r>
      <w:r w:rsidRPr="003D7E85">
        <w:rPr>
          <w:lang w:val="fr-FR"/>
        </w:rPr>
        <w:t xml:space="preserve">vue </w:t>
      </w:r>
      <w:r w:rsidR="00853A9E" w:rsidRPr="003D7E85">
        <w:rPr>
          <w:lang w:val="fr-FR"/>
        </w:rPr>
        <w:t>du 17 septembre au 6 octobre 2009.</w:t>
      </w:r>
      <w:r w:rsidRPr="003D7E85">
        <w:rPr>
          <w:lang w:val="fr-FR"/>
        </w:rPr>
        <w:t xml:space="preserve"> L</w:t>
      </w:r>
      <w:r w:rsidRPr="00C95C11">
        <w:rPr>
          <w:lang w:val="fr-FR"/>
        </w:rPr>
        <w:t>’auteur considère que le traitement dont il a été victime (</w:t>
      </w:r>
      <w:r w:rsidR="00853A9E" w:rsidRPr="009D1B5E">
        <w:rPr>
          <w:lang w:val="fr-FR"/>
        </w:rPr>
        <w:t>par. 2.4</w:t>
      </w:r>
      <w:r w:rsidR="007D2A2D" w:rsidRPr="009D1B5E">
        <w:rPr>
          <w:lang w:val="fr-FR"/>
        </w:rPr>
        <w:t xml:space="preserve"> à </w:t>
      </w:r>
      <w:r w:rsidR="00853A9E" w:rsidRPr="009D1B5E">
        <w:rPr>
          <w:lang w:val="fr-FR"/>
        </w:rPr>
        <w:t>2.7</w:t>
      </w:r>
      <w:r w:rsidRPr="009D1B5E">
        <w:rPr>
          <w:lang w:val="fr-FR"/>
        </w:rPr>
        <w:t>),</w:t>
      </w:r>
      <w:r w:rsidRPr="00C95C11">
        <w:rPr>
          <w:lang w:val="fr-FR"/>
        </w:rPr>
        <w:t xml:space="preserve"> viole l’article 7 du Pacte.</w:t>
      </w:r>
    </w:p>
    <w:p w:rsidR="00C542A8" w:rsidRPr="003D7E85" w:rsidRDefault="009963FD">
      <w:pPr>
        <w:pStyle w:val="SingleTxtG"/>
        <w:rPr>
          <w:lang w:val="fr-FR"/>
        </w:rPr>
      </w:pPr>
      <w:r w:rsidRPr="00C95C11">
        <w:rPr>
          <w:lang w:val="fr-FR"/>
        </w:rPr>
        <w:t>3.3</w:t>
      </w:r>
      <w:r w:rsidRPr="00C95C11">
        <w:rPr>
          <w:lang w:val="fr-FR"/>
        </w:rPr>
        <w:tab/>
        <w:t xml:space="preserve">L’auteur allègue que sa seule garde à vue illégale viole l’article 9 du Pacte. Il a été conduit sans explication vers une destination inconnue, </w:t>
      </w:r>
      <w:r w:rsidRPr="003D7E85">
        <w:rPr>
          <w:lang w:val="fr-FR"/>
        </w:rPr>
        <w:t xml:space="preserve">détenu durant </w:t>
      </w:r>
      <w:r w:rsidR="0052583A" w:rsidRPr="003D7E85">
        <w:rPr>
          <w:lang w:val="fr-FR"/>
        </w:rPr>
        <w:t>vingt jours</w:t>
      </w:r>
      <w:r w:rsidRPr="003D7E85">
        <w:rPr>
          <w:lang w:val="fr-FR"/>
        </w:rPr>
        <w:t xml:space="preserve"> au secret, au mépris de ses droits constitutionnels et notamment de </w:t>
      </w:r>
      <w:r w:rsidR="00853A9E" w:rsidRPr="003D7E85">
        <w:rPr>
          <w:lang w:val="fr-FR"/>
        </w:rPr>
        <w:t>l’article 48 de la Constitution</w:t>
      </w:r>
      <w:r w:rsidRPr="003D7E85">
        <w:rPr>
          <w:lang w:val="fr-FR"/>
        </w:rPr>
        <w:t xml:space="preserve">, puisque sa détention n’a pas été soumise au contrôle judiciaire dans les </w:t>
      </w:r>
      <w:r w:rsidR="003051F5" w:rsidRPr="003D7E85">
        <w:rPr>
          <w:lang w:val="fr-FR"/>
        </w:rPr>
        <w:t xml:space="preserve">quarante-huit </w:t>
      </w:r>
      <w:r w:rsidRPr="003D7E85">
        <w:rPr>
          <w:lang w:val="fr-FR"/>
        </w:rPr>
        <w:t xml:space="preserve">heures suivant son arrestation, et qu’il n’a pas pu avoir de contacts avec sa famille. Il n’a jamais été soumis à un examen médical contrairement à ce qu’ont affirmé les enquêteurs qui ont versé au dossier une fiche médicale que l’auteur estime fictive. Cette fiche est d’ailleurs miraculeusement apparue dans le dossier judiciaire après que l’auteur a fait état de l’absence d’un examen médical à l’issue de sa garde à vue lors de l’audience de la chambre d’accusation du </w:t>
      </w:r>
      <w:r w:rsidR="00853A9E" w:rsidRPr="003D7E85">
        <w:rPr>
          <w:lang w:val="fr-FR"/>
        </w:rPr>
        <w:t>29 juin 2011</w:t>
      </w:r>
      <w:r w:rsidRPr="003D7E85">
        <w:rPr>
          <w:lang w:val="fr-FR"/>
        </w:rPr>
        <w:t>.</w:t>
      </w:r>
    </w:p>
    <w:p w:rsidR="00C542A8" w:rsidRDefault="009963FD" w:rsidP="00DD1E31">
      <w:pPr>
        <w:pStyle w:val="SingleTxtG"/>
        <w:rPr>
          <w:lang w:val="fr-FR"/>
        </w:rPr>
      </w:pPr>
      <w:r w:rsidRPr="003D7E85">
        <w:rPr>
          <w:lang w:val="fr-FR"/>
        </w:rPr>
        <w:t>3.4</w:t>
      </w:r>
      <w:r w:rsidRPr="003D7E85">
        <w:rPr>
          <w:lang w:val="fr-FR"/>
        </w:rPr>
        <w:tab/>
        <w:t xml:space="preserve">S’agissant du déroulement de la garde à vue, en violation de </w:t>
      </w:r>
      <w:r w:rsidR="00853A9E" w:rsidRPr="003D7E85">
        <w:rPr>
          <w:lang w:val="fr-FR"/>
        </w:rPr>
        <w:t>l’article 51 du Code de procédure pénale</w:t>
      </w:r>
      <w:r w:rsidRPr="003D7E85">
        <w:rPr>
          <w:lang w:val="fr-FR"/>
        </w:rPr>
        <w:t>, le procès-verbal d’audition ne mentionne pas la durée des interrogatoires et les repos entre ces interrogatoires, ni ne contient de signature apposée en marge qui détermine l’identité de l’interrogateur. En réalité, l’auteur a été interrogé pendant des périodes ininterrompues pendant des jours et des nuits, sans relâche</w:t>
      </w:r>
      <w:r w:rsidR="003051F5" w:rsidRPr="003D7E85">
        <w:rPr>
          <w:lang w:val="fr-FR"/>
        </w:rPr>
        <w:t xml:space="preserve">, </w:t>
      </w:r>
      <w:r w:rsidRPr="003D7E85">
        <w:rPr>
          <w:lang w:val="fr-FR"/>
        </w:rPr>
        <w:t>sans repos</w:t>
      </w:r>
      <w:r w:rsidR="003051F5" w:rsidRPr="003D7E85">
        <w:rPr>
          <w:lang w:val="fr-FR"/>
        </w:rPr>
        <w:t xml:space="preserve">, sans </w:t>
      </w:r>
      <w:r w:rsidRPr="003D7E85">
        <w:rPr>
          <w:lang w:val="fr-FR"/>
        </w:rPr>
        <w:t xml:space="preserve">sommeil, </w:t>
      </w:r>
      <w:r w:rsidR="003051F5" w:rsidRPr="003D7E85">
        <w:rPr>
          <w:lang w:val="fr-FR"/>
        </w:rPr>
        <w:t xml:space="preserve">et sans </w:t>
      </w:r>
      <w:r w:rsidRPr="003D7E85">
        <w:rPr>
          <w:lang w:val="fr-FR"/>
        </w:rPr>
        <w:t xml:space="preserve">eau </w:t>
      </w:r>
      <w:r w:rsidR="003051F5" w:rsidRPr="003D7E85">
        <w:rPr>
          <w:lang w:val="fr-FR"/>
        </w:rPr>
        <w:t xml:space="preserve">ni </w:t>
      </w:r>
      <w:r w:rsidRPr="003D7E85">
        <w:rPr>
          <w:lang w:val="fr-FR"/>
        </w:rPr>
        <w:t xml:space="preserve">nourriture. L’auteur note aussi que la garde à vue a duré </w:t>
      </w:r>
      <w:r w:rsidR="0052583A" w:rsidRPr="003D7E85">
        <w:rPr>
          <w:lang w:val="fr-FR"/>
        </w:rPr>
        <w:t>vingt jours</w:t>
      </w:r>
      <w:r w:rsidRPr="003D7E85">
        <w:rPr>
          <w:lang w:val="fr-FR"/>
        </w:rPr>
        <w:t xml:space="preserve"> et </w:t>
      </w:r>
      <w:r w:rsidR="008A20D3">
        <w:rPr>
          <w:lang w:val="fr-FR"/>
        </w:rPr>
        <w:t xml:space="preserve">que </w:t>
      </w:r>
      <w:r w:rsidRPr="003D7E85">
        <w:rPr>
          <w:lang w:val="fr-FR"/>
        </w:rPr>
        <w:t xml:space="preserve">sa détention n’a pas été renouvelée après les premières </w:t>
      </w:r>
      <w:r w:rsidR="003051F5" w:rsidRPr="003D7E85">
        <w:rPr>
          <w:lang w:val="fr-FR"/>
        </w:rPr>
        <w:t xml:space="preserve">quarante-huit </w:t>
      </w:r>
      <w:r w:rsidRPr="003D7E85">
        <w:rPr>
          <w:lang w:val="fr-FR"/>
        </w:rPr>
        <w:t xml:space="preserve">heures de sa détention ni par la suite, en violation de l’article 51 du </w:t>
      </w:r>
      <w:r w:rsidR="007F0D68" w:rsidRPr="003D7E85">
        <w:rPr>
          <w:lang w:val="fr-FR"/>
        </w:rPr>
        <w:t xml:space="preserve">Code </w:t>
      </w:r>
      <w:r w:rsidRPr="003D7E85">
        <w:rPr>
          <w:lang w:val="fr-FR"/>
        </w:rPr>
        <w:t xml:space="preserve">de procédure pénale. </w:t>
      </w:r>
      <w:r w:rsidR="00C02EFE" w:rsidRPr="003D7E85">
        <w:rPr>
          <w:lang w:val="fr-FR"/>
        </w:rPr>
        <w:t>À</w:t>
      </w:r>
      <w:r w:rsidR="008A20D3">
        <w:rPr>
          <w:lang w:val="fr-FR"/>
        </w:rPr>
        <w:t> </w:t>
      </w:r>
      <w:r w:rsidRPr="003D7E85">
        <w:rPr>
          <w:lang w:val="fr-FR"/>
        </w:rPr>
        <w:t>l’expiration du délai légal de sa garde à vue initiale</w:t>
      </w:r>
      <w:r w:rsidR="003051F5" w:rsidRPr="003D7E85">
        <w:rPr>
          <w:lang w:val="fr-FR"/>
        </w:rPr>
        <w:t>,</w:t>
      </w:r>
      <w:r w:rsidRPr="003D7E85">
        <w:rPr>
          <w:lang w:val="fr-FR"/>
        </w:rPr>
        <w:t xml:space="preserve"> </w:t>
      </w:r>
      <w:r w:rsidR="000402E3" w:rsidRPr="003D7E85">
        <w:rPr>
          <w:lang w:val="fr-FR"/>
        </w:rPr>
        <w:t xml:space="preserve">quarante-huit </w:t>
      </w:r>
      <w:r w:rsidRPr="003D7E85">
        <w:rPr>
          <w:lang w:val="fr-FR"/>
        </w:rPr>
        <w:t xml:space="preserve">heures après son arrestation, il n’a jamais été présenté devant le Procureur de la République du tribunal de </w:t>
      </w:r>
      <w:r w:rsidR="00853A9E" w:rsidRPr="003D7E85">
        <w:rPr>
          <w:lang w:val="fr-FR"/>
        </w:rPr>
        <w:t>Bir Mourad Raïs</w:t>
      </w:r>
      <w:r w:rsidRPr="003D7E85">
        <w:rPr>
          <w:lang w:val="fr-FR"/>
        </w:rPr>
        <w:t xml:space="preserve">, initialement compétent et destinataire de la procédure d’enquête préliminaire. La prolongation de la garde à vue (jusqu’à huit jours) n’est permise, </w:t>
      </w:r>
      <w:r w:rsidR="004635E9" w:rsidRPr="003D7E85">
        <w:rPr>
          <w:lang w:val="fr-FR"/>
        </w:rPr>
        <w:t>en vertu</w:t>
      </w:r>
      <w:r w:rsidRPr="003D7E85">
        <w:rPr>
          <w:lang w:val="fr-FR"/>
        </w:rPr>
        <w:t xml:space="preserve"> du Code de procédure pénale (art</w:t>
      </w:r>
      <w:r w:rsidR="00884EA8" w:rsidRPr="003D7E85">
        <w:rPr>
          <w:lang w:val="fr-FR"/>
        </w:rPr>
        <w:t>. </w:t>
      </w:r>
      <w:r w:rsidRPr="003D7E85">
        <w:rPr>
          <w:lang w:val="fr-FR"/>
        </w:rPr>
        <w:t xml:space="preserve">51), que sur autorisation écrite du </w:t>
      </w:r>
      <w:r w:rsidR="002928E4" w:rsidRPr="003D7E85">
        <w:rPr>
          <w:lang w:val="fr-FR"/>
        </w:rPr>
        <w:t>p</w:t>
      </w:r>
      <w:r w:rsidRPr="003D7E85">
        <w:rPr>
          <w:lang w:val="fr-FR"/>
        </w:rPr>
        <w:t>rocureur. Or, aucune demande de prolongation n’a été sollicitée dans cette affaire ou</w:t>
      </w:r>
      <w:r w:rsidR="003051F5" w:rsidRPr="003D7E85">
        <w:rPr>
          <w:lang w:val="fr-FR"/>
        </w:rPr>
        <w:t>,</w:t>
      </w:r>
      <w:r w:rsidRPr="003D7E85">
        <w:rPr>
          <w:lang w:val="fr-FR"/>
        </w:rPr>
        <w:t xml:space="preserve"> du moins</w:t>
      </w:r>
      <w:r w:rsidR="003051F5" w:rsidRPr="003D7E85">
        <w:rPr>
          <w:lang w:val="fr-FR"/>
        </w:rPr>
        <w:t>,</w:t>
      </w:r>
      <w:r w:rsidRPr="003D7E85">
        <w:rPr>
          <w:lang w:val="fr-FR"/>
        </w:rPr>
        <w:t xml:space="preserve"> aucune trace de telles demandes de prolongation de la garde à vue ne figure dans le dossier judiciaire. La prétendue prolongation de sa garde à vue a d’ailleurs été contestée par l’auteur à de nombreuses reprises, tant devant le juge d’instruction que la chambre d’accusation de la </w:t>
      </w:r>
      <w:r w:rsidR="00A34935" w:rsidRPr="003D7E85">
        <w:rPr>
          <w:lang w:val="fr-FR"/>
        </w:rPr>
        <w:t>C</w:t>
      </w:r>
      <w:r w:rsidRPr="003D7E85">
        <w:rPr>
          <w:lang w:val="fr-FR"/>
        </w:rPr>
        <w:t xml:space="preserve">our d’Alger, notamment dans un mémoire soumis à l’audience du </w:t>
      </w:r>
      <w:r w:rsidR="00853A9E" w:rsidRPr="003D7E85">
        <w:rPr>
          <w:lang w:val="fr-FR"/>
        </w:rPr>
        <w:t>29 juin 2011</w:t>
      </w:r>
      <w:r w:rsidRPr="003D7E85">
        <w:rPr>
          <w:lang w:val="fr-FR"/>
        </w:rPr>
        <w:t>, s</w:t>
      </w:r>
      <w:r w:rsidRPr="00C95C11">
        <w:rPr>
          <w:lang w:val="fr-FR"/>
        </w:rPr>
        <w:t>ans suite.</w:t>
      </w:r>
    </w:p>
    <w:p w:rsidR="00C542A8" w:rsidRDefault="009963FD" w:rsidP="00DD1E31">
      <w:pPr>
        <w:pStyle w:val="SingleTxtG"/>
        <w:rPr>
          <w:lang w:val="fr-FR"/>
        </w:rPr>
      </w:pPr>
      <w:r w:rsidRPr="00C95C11">
        <w:rPr>
          <w:lang w:val="fr-FR"/>
        </w:rPr>
        <w:t>3.5</w:t>
      </w:r>
      <w:r w:rsidRPr="00C95C11">
        <w:rPr>
          <w:lang w:val="fr-FR"/>
        </w:rPr>
        <w:tab/>
        <w:t xml:space="preserve">Au regard de la loi algérienne, les officiers de police judiciaire du DRS auraient dû informer immédiatement le </w:t>
      </w:r>
      <w:r w:rsidR="009310C8">
        <w:rPr>
          <w:lang w:val="fr-FR"/>
        </w:rPr>
        <w:t>P</w:t>
      </w:r>
      <w:r w:rsidRPr="00C95C11">
        <w:rPr>
          <w:lang w:val="fr-FR"/>
        </w:rPr>
        <w:t>rocureur de la République du tribunal territorialement compétent de l’arrestation de l’auteur. Or, cette information a été transmise au moment de la transmission de l’enquête préliminaire le 6 octobre 2009. La garde à vue et l’enquête préliminaire ont donc été menées en dehors de tout contrôle du parquet. L’auteur note également l’inobservation par la police judiciaire des formes substantielles de procéder en matière d’enquête préliminaire et l’expédition de plusieurs étapes de la procédure en la seule journée du 6 octobre 2009.</w:t>
      </w:r>
    </w:p>
    <w:p w:rsidR="009963FD" w:rsidRPr="00C95C11" w:rsidRDefault="009963FD" w:rsidP="002A0104">
      <w:pPr>
        <w:pStyle w:val="SingleTxtG"/>
        <w:rPr>
          <w:lang w:val="fr-FR"/>
        </w:rPr>
      </w:pPr>
      <w:r w:rsidRPr="00C95C11">
        <w:rPr>
          <w:lang w:val="fr-FR"/>
        </w:rPr>
        <w:lastRenderedPageBreak/>
        <w:t>3.6</w:t>
      </w:r>
      <w:r w:rsidRPr="00C95C11">
        <w:rPr>
          <w:lang w:val="fr-FR"/>
        </w:rPr>
        <w:tab/>
        <w:t xml:space="preserve">L’auteur se réfère également à l’absence de communication avec un conseil pendant sa garde à vue </w:t>
      </w:r>
      <w:r w:rsidR="00D802FE">
        <w:rPr>
          <w:lang w:val="fr-FR"/>
        </w:rPr>
        <w:t xml:space="preserve">et </w:t>
      </w:r>
      <w:r w:rsidRPr="00C95C11">
        <w:rPr>
          <w:lang w:val="fr-FR"/>
        </w:rPr>
        <w:t>lors de son audition par le juge d’instruction</w:t>
      </w:r>
      <w:r w:rsidR="00D802FE">
        <w:rPr>
          <w:lang w:val="fr-FR"/>
        </w:rPr>
        <w:t>,</w:t>
      </w:r>
      <w:r w:rsidRPr="00C95C11">
        <w:rPr>
          <w:lang w:val="fr-FR"/>
        </w:rPr>
        <w:t xml:space="preserve"> le 7 octobre 2009</w:t>
      </w:r>
      <w:r w:rsidR="00D802FE">
        <w:rPr>
          <w:lang w:val="fr-FR"/>
        </w:rPr>
        <w:t>,</w:t>
      </w:r>
      <w:r w:rsidRPr="00C95C11">
        <w:rPr>
          <w:lang w:val="fr-FR"/>
        </w:rPr>
        <w:t xml:space="preserve"> comme l’atteste le procès-verbal de ladite audition. Il n’a pas été informé de la possibilité de faire appel de sa mise en détention provisoire au mépris de l’article 123 </w:t>
      </w:r>
      <w:r w:rsidR="00853A9E" w:rsidRPr="003D7E85">
        <w:rPr>
          <w:i/>
          <w:lang w:val="fr-FR"/>
        </w:rPr>
        <w:t>bis</w:t>
      </w:r>
      <w:r w:rsidRPr="00C95C11">
        <w:rPr>
          <w:lang w:val="fr-FR"/>
        </w:rPr>
        <w:t xml:space="preserve"> du </w:t>
      </w:r>
      <w:r w:rsidR="001B0413" w:rsidRPr="00884EA8">
        <w:rPr>
          <w:lang w:val="fr-FR"/>
        </w:rPr>
        <w:t xml:space="preserve">Code </w:t>
      </w:r>
      <w:r w:rsidRPr="00C95C11">
        <w:rPr>
          <w:lang w:val="fr-FR"/>
        </w:rPr>
        <w:t xml:space="preserve">de procédure pénale. Ce n’est que parce qu’il a ensuite pu avoir recours à des avocats à même de le conseiller qu’il a pu faire appel de cette notification dans les </w:t>
      </w:r>
      <w:r w:rsidR="00D802FE">
        <w:rPr>
          <w:lang w:val="fr-FR"/>
        </w:rPr>
        <w:t>trois</w:t>
      </w:r>
      <w:r w:rsidRPr="00C95C11">
        <w:rPr>
          <w:lang w:val="fr-FR"/>
        </w:rPr>
        <w:t xml:space="preserve"> jours prescrits par la loi. Aucune trace de la transmission d’une telle information par le juge d’instruction ne figure d’ailleurs dans le procès-verbal. Suite à l’ordonnance de transmission des pièces de la procédure au </w:t>
      </w:r>
      <w:r w:rsidR="002928E4">
        <w:rPr>
          <w:lang w:val="fr-FR"/>
        </w:rPr>
        <w:t>P</w:t>
      </w:r>
      <w:r w:rsidRPr="00C95C11">
        <w:rPr>
          <w:lang w:val="fr-FR"/>
        </w:rPr>
        <w:t xml:space="preserve">rocureur général par le juge d’instruction en date du 6 juin 2011, l’auteur, par l’intermédiaire de ses avocats, a déposé auprès de la chambre d’accusation en son audience </w:t>
      </w:r>
      <w:r w:rsidRPr="003D7E85">
        <w:rPr>
          <w:lang w:val="fr-FR"/>
        </w:rPr>
        <w:t xml:space="preserve">du </w:t>
      </w:r>
      <w:r w:rsidR="00853A9E" w:rsidRPr="003D7E85">
        <w:rPr>
          <w:lang w:val="fr-FR"/>
        </w:rPr>
        <w:t>29 juin 2011</w:t>
      </w:r>
      <w:r w:rsidRPr="003D7E85">
        <w:rPr>
          <w:lang w:val="fr-FR"/>
        </w:rPr>
        <w:t xml:space="preserve"> un mémoire dans lequel toutes les violations de la procédure ont été relatées et argumentées, depuis son arrestation jusqu’à la clôture de l’information judiciaire, </w:t>
      </w:r>
      <w:r w:rsidR="00853A9E" w:rsidRPr="003D7E85">
        <w:rPr>
          <w:lang w:val="fr-FR"/>
        </w:rPr>
        <w:t>vingt</w:t>
      </w:r>
      <w:r w:rsidRPr="003D7E85">
        <w:rPr>
          <w:lang w:val="fr-FR"/>
        </w:rPr>
        <w:t xml:space="preserve"> mois</w:t>
      </w:r>
      <w:r w:rsidRPr="00C95C11">
        <w:rPr>
          <w:lang w:val="fr-FR"/>
        </w:rPr>
        <w:t xml:space="preserve"> après son arrestation. Pour tous ces motifs</w:t>
      </w:r>
      <w:r w:rsidR="00D802FE">
        <w:rPr>
          <w:lang w:val="fr-FR"/>
        </w:rPr>
        <w:t>,</w:t>
      </w:r>
      <w:r w:rsidRPr="00C95C11">
        <w:rPr>
          <w:lang w:val="fr-FR"/>
        </w:rPr>
        <w:t xml:space="preserve"> l’auteur considère que l’</w:t>
      </w:r>
      <w:r w:rsidR="00C02EFE" w:rsidRPr="00884EA8">
        <w:rPr>
          <w:lang w:val="fr-FR"/>
        </w:rPr>
        <w:t>État</w:t>
      </w:r>
      <w:r w:rsidRPr="00C95C11">
        <w:rPr>
          <w:lang w:val="fr-FR"/>
        </w:rPr>
        <w:t xml:space="preserve"> partie a violé ses droits au titre de l’article 9 du Pacte.</w:t>
      </w:r>
    </w:p>
    <w:p w:rsidR="009963FD" w:rsidRPr="00C95C11" w:rsidRDefault="009963FD">
      <w:pPr>
        <w:pStyle w:val="SingleTxtG"/>
        <w:rPr>
          <w:lang w:val="fr-FR"/>
        </w:rPr>
      </w:pPr>
      <w:r w:rsidRPr="00C95C11">
        <w:rPr>
          <w:lang w:val="fr-FR"/>
        </w:rPr>
        <w:t>3.7</w:t>
      </w:r>
      <w:r w:rsidRPr="00C95C11">
        <w:rPr>
          <w:lang w:val="fr-FR"/>
        </w:rPr>
        <w:tab/>
        <w:t xml:space="preserve">L’auteur soutient que la procédure pénale a été, à titre essentiel, dirigée à charge contre lui. Dans le cadre de l’affaire </w:t>
      </w:r>
      <w:r w:rsidR="005778A9">
        <w:rPr>
          <w:lang w:val="fr-FR"/>
        </w:rPr>
        <w:t>de l’a</w:t>
      </w:r>
      <w:r w:rsidRPr="00C95C11">
        <w:rPr>
          <w:lang w:val="fr-FR"/>
        </w:rPr>
        <w:t xml:space="preserve">utoroute </w:t>
      </w:r>
      <w:r w:rsidR="005778A9">
        <w:rPr>
          <w:lang w:val="fr-FR"/>
        </w:rPr>
        <w:t>e</w:t>
      </w:r>
      <w:r w:rsidRPr="00C95C11">
        <w:rPr>
          <w:lang w:val="fr-FR"/>
        </w:rPr>
        <w:t>st-</w:t>
      </w:r>
      <w:r w:rsidR="005778A9">
        <w:rPr>
          <w:lang w:val="fr-FR"/>
        </w:rPr>
        <w:t>o</w:t>
      </w:r>
      <w:r w:rsidRPr="00C95C11">
        <w:rPr>
          <w:lang w:val="fr-FR"/>
        </w:rPr>
        <w:t xml:space="preserve">uest tout d’abord, les faits constitutifs du crime de commandement d’association de malfaiteurs prévus aux articles 176 et 177 du </w:t>
      </w:r>
      <w:r w:rsidR="001B0413" w:rsidRPr="00884EA8">
        <w:rPr>
          <w:lang w:val="fr-FR"/>
        </w:rPr>
        <w:t xml:space="preserve">Code </w:t>
      </w:r>
      <w:r w:rsidRPr="00C95C11">
        <w:rPr>
          <w:lang w:val="fr-FR"/>
        </w:rPr>
        <w:t>pénal algérien n’ont pas été réunis et aucune preuve n’a été apportée par le juge d’instruction d’agissements frauduleux de l’auteur. Pour celui-ci, un tel manquement va à l’encontre du principe de la légalité de la peine et des poursuites.</w:t>
      </w:r>
    </w:p>
    <w:p w:rsidR="009963FD" w:rsidRPr="00C95C11" w:rsidRDefault="009963FD" w:rsidP="00714277">
      <w:pPr>
        <w:pStyle w:val="SingleTxtG"/>
        <w:rPr>
          <w:lang w:val="fr-FR"/>
        </w:rPr>
      </w:pPr>
      <w:r w:rsidRPr="00C95C11">
        <w:rPr>
          <w:lang w:val="fr-FR"/>
        </w:rPr>
        <w:t>3.8</w:t>
      </w:r>
      <w:r w:rsidR="00ED044B" w:rsidRPr="00C95C11">
        <w:rPr>
          <w:lang w:val="fr-FR"/>
        </w:rPr>
        <w:tab/>
      </w:r>
      <w:r w:rsidRPr="00C95C11">
        <w:rPr>
          <w:lang w:val="fr-FR"/>
        </w:rPr>
        <w:t>L’auteur invoque également la violation de son droit à la défense par le fait que son ordinateur</w:t>
      </w:r>
      <w:r w:rsidR="00D802FE">
        <w:rPr>
          <w:lang w:val="fr-FR"/>
        </w:rPr>
        <w:t>,</w:t>
      </w:r>
      <w:r w:rsidRPr="00C95C11">
        <w:rPr>
          <w:lang w:val="fr-FR"/>
        </w:rPr>
        <w:t xml:space="preserve"> qui avait été saisi au siège d’une société lui appartenant en Algérie le 28</w:t>
      </w:r>
      <w:r w:rsidR="007F0D68">
        <w:rPr>
          <w:lang w:val="fr-FR"/>
        </w:rPr>
        <w:t> </w:t>
      </w:r>
      <w:r w:rsidRPr="00C95C11">
        <w:rPr>
          <w:lang w:val="fr-FR"/>
        </w:rPr>
        <w:t xml:space="preserve">septembre 2009 (voir </w:t>
      </w:r>
      <w:r w:rsidRPr="009D1B5E">
        <w:rPr>
          <w:i/>
          <w:iCs/>
          <w:lang w:val="fr-FR"/>
        </w:rPr>
        <w:t>supra</w:t>
      </w:r>
      <w:r w:rsidRPr="00C95C11">
        <w:rPr>
          <w:lang w:val="fr-FR"/>
        </w:rPr>
        <w:t xml:space="preserve"> </w:t>
      </w:r>
      <w:r w:rsidR="00853A9E" w:rsidRPr="009D1B5E">
        <w:rPr>
          <w:lang w:val="fr-FR"/>
        </w:rPr>
        <w:t>par. 2.</w:t>
      </w:r>
      <w:r w:rsidR="007D2A2D" w:rsidRPr="009D1B5E">
        <w:rPr>
          <w:lang w:val="fr-FR"/>
        </w:rPr>
        <w:t>7</w:t>
      </w:r>
      <w:r w:rsidRPr="009D1B5E">
        <w:rPr>
          <w:lang w:val="fr-FR"/>
        </w:rPr>
        <w:t>),</w:t>
      </w:r>
      <w:r w:rsidRPr="00C95C11">
        <w:rPr>
          <w:lang w:val="fr-FR"/>
        </w:rPr>
        <w:t xml:space="preserve"> n’a été transmis par les enquêteurs de la police judiciaire au juge d’instruction qu</w:t>
      </w:r>
      <w:r w:rsidRPr="00714277">
        <w:rPr>
          <w:lang w:val="fr-FR"/>
        </w:rPr>
        <w:t xml:space="preserve">e </w:t>
      </w:r>
      <w:r w:rsidR="00853A9E" w:rsidRPr="00714277">
        <w:rPr>
          <w:lang w:val="fr-FR"/>
        </w:rPr>
        <w:t>dix-neuf</w:t>
      </w:r>
      <w:r w:rsidR="00D802FE">
        <w:rPr>
          <w:lang w:val="fr-FR"/>
        </w:rPr>
        <w:t xml:space="preserve"> </w:t>
      </w:r>
      <w:r w:rsidRPr="00C95C11">
        <w:rPr>
          <w:lang w:val="fr-FR"/>
        </w:rPr>
        <w:t>mois après cette perquisition</w:t>
      </w:r>
      <w:r w:rsidR="00D802FE">
        <w:rPr>
          <w:lang w:val="fr-FR"/>
        </w:rPr>
        <w:t>,</w:t>
      </w:r>
      <w:r w:rsidRPr="00C95C11">
        <w:rPr>
          <w:lang w:val="fr-FR"/>
        </w:rPr>
        <w:t xml:space="preserve"> soit le 23</w:t>
      </w:r>
      <w:r w:rsidR="00FD238D">
        <w:rPr>
          <w:lang w:val="fr-FR"/>
        </w:rPr>
        <w:t> </w:t>
      </w:r>
      <w:r w:rsidRPr="00C95C11">
        <w:rPr>
          <w:lang w:val="fr-FR"/>
        </w:rPr>
        <w:t>mai 2011. En violation des principes de la défense</w:t>
      </w:r>
      <w:r w:rsidR="00653C7E">
        <w:rPr>
          <w:lang w:val="fr-FR"/>
        </w:rPr>
        <w:t>,</w:t>
      </w:r>
      <w:r w:rsidRPr="00C95C11">
        <w:rPr>
          <w:lang w:val="fr-FR"/>
        </w:rPr>
        <w:t xml:space="preserve"> le juge d’instruction a utilisé les données de l’ordinateur sans en informer les avocats de l’auteur qui n’en ont été informés que le 1</w:t>
      </w:r>
      <w:r w:rsidRPr="00C95C11">
        <w:rPr>
          <w:vertAlign w:val="superscript"/>
          <w:lang w:val="fr-FR"/>
        </w:rPr>
        <w:t>er</w:t>
      </w:r>
      <w:r w:rsidR="00FD238D">
        <w:rPr>
          <w:vertAlign w:val="superscript"/>
          <w:lang w:val="fr-FR"/>
        </w:rPr>
        <w:t> </w:t>
      </w:r>
      <w:r w:rsidRPr="00C95C11">
        <w:rPr>
          <w:lang w:val="fr-FR"/>
        </w:rPr>
        <w:t>juin 2011 lors de l’audition par le juge d’instruction. En outre, ces données n’ont été utilisées qu’à charge</w:t>
      </w:r>
      <w:r w:rsidR="00653C7E">
        <w:rPr>
          <w:lang w:val="fr-FR"/>
        </w:rPr>
        <w:t>,</w:t>
      </w:r>
      <w:r w:rsidRPr="00C95C11">
        <w:rPr>
          <w:lang w:val="fr-FR"/>
        </w:rPr>
        <w:t xml:space="preserve"> sans que le juge d’instruction ne demande des comptes aux officiers de police judiciaire pour les irrégularités commises lors de la saisie.</w:t>
      </w:r>
    </w:p>
    <w:p w:rsidR="009963FD" w:rsidRPr="00C95C11" w:rsidRDefault="009963FD" w:rsidP="002A0104">
      <w:pPr>
        <w:pStyle w:val="SingleTxtG"/>
        <w:rPr>
          <w:lang w:val="fr-FR"/>
        </w:rPr>
      </w:pPr>
      <w:r w:rsidRPr="00C95C11">
        <w:rPr>
          <w:lang w:val="fr-FR"/>
        </w:rPr>
        <w:t>3.9</w:t>
      </w:r>
      <w:r w:rsidRPr="00C95C11">
        <w:rPr>
          <w:lang w:val="fr-FR"/>
        </w:rPr>
        <w:tab/>
        <w:t>S’agissant de l’arrêt de renvoi par la chambre d’accusation devant le tribunal criminel, arrêt daté du 16</w:t>
      </w:r>
      <w:r w:rsidR="00193AED">
        <w:rPr>
          <w:lang w:val="fr-FR"/>
        </w:rPr>
        <w:t> </w:t>
      </w:r>
      <w:r w:rsidRPr="00C95C11">
        <w:rPr>
          <w:lang w:val="fr-FR"/>
        </w:rPr>
        <w:t>novembre 2011, il n’a été transmis aux avocats de l’auteur que le 30</w:t>
      </w:r>
      <w:r w:rsidR="00FD238D">
        <w:rPr>
          <w:lang w:val="fr-FR"/>
        </w:rPr>
        <w:t> </w:t>
      </w:r>
      <w:r w:rsidRPr="00C95C11">
        <w:rPr>
          <w:lang w:val="fr-FR"/>
        </w:rPr>
        <w:t xml:space="preserve">janvier </w:t>
      </w:r>
      <w:r w:rsidR="007C6E33" w:rsidRPr="00C95C11">
        <w:rPr>
          <w:lang w:val="fr-FR"/>
        </w:rPr>
        <w:t>2012</w:t>
      </w:r>
      <w:r w:rsidRPr="00C95C11">
        <w:rPr>
          <w:lang w:val="fr-FR"/>
        </w:rPr>
        <w:t>.</w:t>
      </w:r>
    </w:p>
    <w:p w:rsidR="009963FD" w:rsidRPr="00C95C11" w:rsidRDefault="009963FD" w:rsidP="002A0104">
      <w:pPr>
        <w:pStyle w:val="SingleTxtG"/>
        <w:rPr>
          <w:lang w:val="fr-FR"/>
        </w:rPr>
      </w:pPr>
      <w:r w:rsidRPr="00C95C11">
        <w:rPr>
          <w:lang w:val="fr-FR"/>
        </w:rPr>
        <w:t>3.10</w:t>
      </w:r>
      <w:r w:rsidRPr="00C95C11">
        <w:rPr>
          <w:lang w:val="fr-FR"/>
        </w:rPr>
        <w:tab/>
        <w:t>Pour illustrer la violation de la présomption d’innocence dans cette affaire, l’auteur évoque notamment l’ordonnance du juge d’instruction du 6</w:t>
      </w:r>
      <w:r w:rsidR="00193AED">
        <w:rPr>
          <w:lang w:val="fr-FR"/>
        </w:rPr>
        <w:t> </w:t>
      </w:r>
      <w:r w:rsidRPr="00C95C11">
        <w:rPr>
          <w:lang w:val="fr-FR"/>
        </w:rPr>
        <w:t xml:space="preserve">juin 2011, ordonnance de renvoi des pièces de la procédure au </w:t>
      </w:r>
      <w:r w:rsidR="002928E4" w:rsidRPr="002928E4">
        <w:rPr>
          <w:lang w:val="fr-FR"/>
        </w:rPr>
        <w:t>P</w:t>
      </w:r>
      <w:r w:rsidRPr="002928E4">
        <w:rPr>
          <w:lang w:val="fr-FR"/>
        </w:rPr>
        <w:t>rocureur</w:t>
      </w:r>
      <w:r w:rsidRPr="00C95C11">
        <w:rPr>
          <w:lang w:val="fr-FR"/>
        </w:rPr>
        <w:t xml:space="preserve"> général qui ne fait que reprendre mot pour mot le rapport d’enquête préliminaire, donc à charge sans considérer les arguments à décharge présentés par ses avocats.</w:t>
      </w:r>
    </w:p>
    <w:p w:rsidR="009963FD" w:rsidRPr="00C95C11" w:rsidRDefault="009963FD" w:rsidP="002A0104">
      <w:pPr>
        <w:pStyle w:val="SingleTxtG"/>
        <w:rPr>
          <w:lang w:val="fr-FR"/>
        </w:rPr>
      </w:pPr>
      <w:r w:rsidRPr="00C95C11">
        <w:rPr>
          <w:lang w:val="fr-FR"/>
        </w:rPr>
        <w:t>3.11</w:t>
      </w:r>
      <w:r w:rsidRPr="00C95C11">
        <w:rPr>
          <w:lang w:val="fr-FR"/>
        </w:rPr>
        <w:tab/>
        <w:t>Pour tous ces motifs, l’auteur se considère également victime d’une violation de l’article 14 du Pacte.</w:t>
      </w:r>
    </w:p>
    <w:p w:rsidR="009963FD" w:rsidRPr="00C95C11" w:rsidRDefault="009963FD" w:rsidP="009963FD">
      <w:pPr>
        <w:autoSpaceDN w:val="0"/>
        <w:spacing w:after="120" w:line="240" w:lineRule="auto"/>
        <w:ind w:left="1134" w:right="1134"/>
        <w:jc w:val="both"/>
        <w:textAlignment w:val="baseline"/>
        <w:rPr>
          <w:kern w:val="3"/>
          <w:lang w:val="fr-FR"/>
        </w:rPr>
      </w:pPr>
      <w:r w:rsidRPr="00C95C11">
        <w:rPr>
          <w:kern w:val="3"/>
          <w:lang w:val="fr-FR"/>
        </w:rPr>
        <w:t>3.12</w:t>
      </w:r>
      <w:r w:rsidRPr="00C95C11">
        <w:rPr>
          <w:kern w:val="3"/>
          <w:lang w:val="fr-FR"/>
        </w:rPr>
        <w:tab/>
        <w:t xml:space="preserve">Pour ce qui est de l’article 12, l’auteur note qu’il a été privé de sa liberté de circulation pendant une durée de </w:t>
      </w:r>
      <w:r w:rsidR="0052583A">
        <w:rPr>
          <w:kern w:val="3"/>
          <w:lang w:val="fr-FR"/>
        </w:rPr>
        <w:t>vingt jours</w:t>
      </w:r>
      <w:r w:rsidRPr="00C95C11">
        <w:rPr>
          <w:kern w:val="3"/>
          <w:lang w:val="fr-FR"/>
        </w:rPr>
        <w:t xml:space="preserve"> (du 17 septembre au 6 octobre 2009) et </w:t>
      </w:r>
      <w:r w:rsidR="00653C7E">
        <w:rPr>
          <w:kern w:val="3"/>
          <w:lang w:val="fr-FR"/>
        </w:rPr>
        <w:t xml:space="preserve">s’est trouvé </w:t>
      </w:r>
      <w:r w:rsidRPr="00C95C11">
        <w:rPr>
          <w:kern w:val="3"/>
          <w:lang w:val="fr-FR"/>
        </w:rPr>
        <w:t>dans l’impossibilité de joindre ses proches.</w:t>
      </w:r>
    </w:p>
    <w:p w:rsidR="009963FD" w:rsidRPr="00C95C11" w:rsidRDefault="009963FD" w:rsidP="00ED044B">
      <w:pPr>
        <w:pStyle w:val="H4G"/>
        <w:rPr>
          <w:lang w:val="fr-FR"/>
        </w:rPr>
      </w:pPr>
      <w:r w:rsidRPr="00C95C11">
        <w:rPr>
          <w:lang w:val="fr-FR"/>
        </w:rPr>
        <w:tab/>
      </w:r>
      <w:r w:rsidRPr="00C95C11">
        <w:rPr>
          <w:lang w:val="fr-FR"/>
        </w:rPr>
        <w:tab/>
        <w:t>Affaire Algérie</w:t>
      </w:r>
      <w:r w:rsidR="009A4E1C">
        <w:rPr>
          <w:lang w:val="fr-FR"/>
        </w:rPr>
        <w:t xml:space="preserve"> </w:t>
      </w:r>
      <w:r w:rsidRPr="00C95C11">
        <w:rPr>
          <w:lang w:val="fr-FR"/>
        </w:rPr>
        <w:t>T</w:t>
      </w:r>
      <w:r w:rsidR="00653C7E">
        <w:rPr>
          <w:lang w:val="fr-FR"/>
        </w:rPr>
        <w:t>é</w:t>
      </w:r>
      <w:r w:rsidRPr="00C95C11">
        <w:rPr>
          <w:lang w:val="fr-FR"/>
        </w:rPr>
        <w:t>l</w:t>
      </w:r>
      <w:r w:rsidR="00653C7E">
        <w:rPr>
          <w:lang w:val="fr-FR"/>
        </w:rPr>
        <w:t>é</w:t>
      </w:r>
      <w:r w:rsidRPr="00C95C11">
        <w:rPr>
          <w:lang w:val="fr-FR"/>
        </w:rPr>
        <w:t>com (Natixis</w:t>
      </w:r>
      <w:r w:rsidR="009A4E1C">
        <w:rPr>
          <w:lang w:val="fr-FR"/>
        </w:rPr>
        <w:t xml:space="preserve"> </w:t>
      </w:r>
      <w:r w:rsidRPr="00C95C11">
        <w:rPr>
          <w:lang w:val="fr-FR"/>
        </w:rPr>
        <w:t>Luxembourg)</w:t>
      </w:r>
    </w:p>
    <w:p w:rsidR="009963FD" w:rsidRPr="00C95C11" w:rsidRDefault="009963FD" w:rsidP="009D1B5E">
      <w:pPr>
        <w:pStyle w:val="SingleTxtG"/>
        <w:rPr>
          <w:lang w:val="fr-FR"/>
        </w:rPr>
      </w:pPr>
      <w:r w:rsidRPr="00C95C11">
        <w:rPr>
          <w:lang w:val="fr-FR"/>
        </w:rPr>
        <w:t>3.13</w:t>
      </w:r>
      <w:r w:rsidRPr="00C95C11">
        <w:rPr>
          <w:lang w:val="fr-FR"/>
        </w:rPr>
        <w:tab/>
        <w:t xml:space="preserve">En outre, dans le cadre de </w:t>
      </w:r>
      <w:r w:rsidR="00DD1E31">
        <w:rPr>
          <w:lang w:val="fr-FR"/>
        </w:rPr>
        <w:t>l</w:t>
      </w:r>
      <w:r w:rsidRPr="00C95C11">
        <w:rPr>
          <w:lang w:val="fr-FR"/>
        </w:rPr>
        <w:t xml:space="preserve">a mise en examen </w:t>
      </w:r>
      <w:r w:rsidRPr="00B61D8B">
        <w:rPr>
          <w:lang w:val="fr-FR"/>
        </w:rPr>
        <w:t xml:space="preserve">annexe </w:t>
      </w:r>
      <w:r w:rsidR="00DD1E31">
        <w:rPr>
          <w:lang w:val="fr-FR"/>
        </w:rPr>
        <w:t xml:space="preserve">de l’auteur </w:t>
      </w:r>
      <w:r w:rsidRPr="00B61D8B">
        <w:rPr>
          <w:lang w:val="fr-FR"/>
        </w:rPr>
        <w:t>(deuxième affaire</w:t>
      </w:r>
      <w:r w:rsidR="00DD1E31">
        <w:rPr>
          <w:lang w:val="fr-FR"/>
        </w:rPr>
        <w:t>,</w:t>
      </w:r>
      <w:r w:rsidRPr="00C95C11">
        <w:rPr>
          <w:lang w:val="fr-FR"/>
        </w:rPr>
        <w:t xml:space="preserve"> dite Algérie T</w:t>
      </w:r>
      <w:r w:rsidR="009A4E1C">
        <w:rPr>
          <w:lang w:val="fr-FR"/>
        </w:rPr>
        <w:t>é</w:t>
      </w:r>
      <w:r w:rsidRPr="00C95C11">
        <w:rPr>
          <w:lang w:val="fr-FR"/>
        </w:rPr>
        <w:t>l</w:t>
      </w:r>
      <w:r w:rsidR="009A4E1C">
        <w:rPr>
          <w:lang w:val="fr-FR"/>
        </w:rPr>
        <w:t>é</w:t>
      </w:r>
      <w:r w:rsidRPr="00C95C11">
        <w:rPr>
          <w:lang w:val="fr-FR"/>
        </w:rPr>
        <w:t>com ou Natixis</w:t>
      </w:r>
      <w:r w:rsidR="009A4E1C">
        <w:rPr>
          <w:lang w:val="fr-FR"/>
        </w:rPr>
        <w:t xml:space="preserve"> </w:t>
      </w:r>
      <w:r w:rsidRPr="00C95C11">
        <w:rPr>
          <w:lang w:val="fr-FR"/>
        </w:rPr>
        <w:t xml:space="preserve">Luxembourg) pour blanchiment d’argent au titre de l’article 389 </w:t>
      </w:r>
      <w:r w:rsidR="00853A9E" w:rsidRPr="003D7E85">
        <w:rPr>
          <w:i/>
          <w:lang w:val="fr-FR"/>
        </w:rPr>
        <w:t>bis</w:t>
      </w:r>
      <w:r w:rsidRPr="00C95C11">
        <w:rPr>
          <w:lang w:val="fr-FR"/>
        </w:rPr>
        <w:t xml:space="preserve"> du </w:t>
      </w:r>
      <w:r w:rsidR="00485FCC" w:rsidRPr="00884EA8">
        <w:rPr>
          <w:lang w:val="fr-FR"/>
        </w:rPr>
        <w:t xml:space="preserve">Code </w:t>
      </w:r>
      <w:r w:rsidRPr="00C95C11">
        <w:rPr>
          <w:lang w:val="fr-FR"/>
        </w:rPr>
        <w:t xml:space="preserve">pénal, le juge d’instruction a, en date du 8 février 2010, décerné une commission rogatoire internationale aux autorités judiciaires luxembourgeoise leur demandant des informations sur les comptes de l’auteur et l’origine des mouvements de ces comptes. En appui de cette demande, le juge d’instruction s’est référé à une note transmise </w:t>
      </w:r>
      <w:r w:rsidRPr="00C95C11">
        <w:rPr>
          <w:lang w:val="fr-FR"/>
        </w:rPr>
        <w:lastRenderedPageBreak/>
        <w:t xml:space="preserve">par la cellule du </w:t>
      </w:r>
      <w:r w:rsidR="008750D7" w:rsidRPr="00C95C11">
        <w:rPr>
          <w:lang w:val="fr-FR"/>
        </w:rPr>
        <w:t>renseignement</w:t>
      </w:r>
      <w:r w:rsidRPr="00C95C11">
        <w:rPr>
          <w:lang w:val="fr-FR"/>
        </w:rPr>
        <w:t xml:space="preserve"> financier luxembourgeois à la cellule de traitement du renseignement financier en Algérie sur des mouvements de fonds méritant attention. Or, les avocats de l’auteur n’ont pas été informés de ces éléments et cette commission rogatoire internationale n’a pas été versée immédiatement au dossier. Les avocats de l’auteur n’ont </w:t>
      </w:r>
      <w:r w:rsidR="00B43486">
        <w:rPr>
          <w:lang w:val="fr-FR"/>
        </w:rPr>
        <w:t xml:space="preserve">donc </w:t>
      </w:r>
      <w:r w:rsidRPr="00C95C11">
        <w:rPr>
          <w:lang w:val="fr-FR"/>
        </w:rPr>
        <w:t xml:space="preserve">pu contester ces actes de procédure qui ont entraîné le gel de ses comptes au Luxembourg, en violation du principe de la défense. L’auteur considère également que </w:t>
      </w:r>
      <w:r w:rsidRPr="00B43486">
        <w:rPr>
          <w:lang w:val="fr-FR"/>
        </w:rPr>
        <w:t>le décernement de</w:t>
      </w:r>
      <w:r w:rsidRPr="00C95C11">
        <w:rPr>
          <w:lang w:val="fr-FR"/>
        </w:rPr>
        <w:t xml:space="preserve"> la deuxième commission rogatoire dans cette affaire est contraire au droit international puisqu’un juge d’instruction ne peut utiliser les informations transmises dans le cadre d’une commission rogatoire pour initier une autre mise en examen et ainsi doublement incriminer l’accusé (voir aussi </w:t>
      </w:r>
      <w:r w:rsidR="00B43486">
        <w:rPr>
          <w:lang w:val="fr-FR"/>
        </w:rPr>
        <w:t>le paragraphe</w:t>
      </w:r>
      <w:r w:rsidRPr="00C95C11">
        <w:rPr>
          <w:lang w:val="fr-FR"/>
        </w:rPr>
        <w:t xml:space="preserve"> </w:t>
      </w:r>
      <w:r w:rsidR="00853A9E" w:rsidRPr="009D1B5E">
        <w:rPr>
          <w:lang w:val="fr-FR"/>
        </w:rPr>
        <w:t>5.1</w:t>
      </w:r>
      <w:r w:rsidR="009D1B5E" w:rsidRPr="009D1B5E">
        <w:rPr>
          <w:lang w:val="fr-FR"/>
        </w:rPr>
        <w:t>6</w:t>
      </w:r>
      <w:r w:rsidR="00853A9E" w:rsidRPr="009D1B5E">
        <w:rPr>
          <w:lang w:val="fr-FR"/>
        </w:rPr>
        <w:t xml:space="preserve"> </w:t>
      </w:r>
      <w:r w:rsidR="00853A9E" w:rsidRPr="009D1B5E">
        <w:rPr>
          <w:i/>
          <w:lang w:val="fr-FR"/>
        </w:rPr>
        <w:t>infra</w:t>
      </w:r>
      <w:r w:rsidRPr="009D1B5E">
        <w:rPr>
          <w:lang w:val="fr-FR"/>
        </w:rPr>
        <w:t>).</w:t>
      </w:r>
    </w:p>
    <w:p w:rsidR="009963FD" w:rsidRPr="00C95C11" w:rsidRDefault="009963FD" w:rsidP="002A0104">
      <w:pPr>
        <w:pStyle w:val="SingleTxtG"/>
        <w:rPr>
          <w:lang w:val="fr-FR"/>
        </w:rPr>
      </w:pPr>
      <w:r w:rsidRPr="00C95C11">
        <w:rPr>
          <w:lang w:val="fr-FR"/>
        </w:rPr>
        <w:t>3.14</w:t>
      </w:r>
      <w:r w:rsidRPr="00C95C11">
        <w:rPr>
          <w:lang w:val="fr-FR"/>
        </w:rPr>
        <w:tab/>
        <w:t>En terme</w:t>
      </w:r>
      <w:r w:rsidR="00E44D30">
        <w:rPr>
          <w:lang w:val="fr-FR"/>
        </w:rPr>
        <w:t>s</w:t>
      </w:r>
      <w:r w:rsidRPr="00C95C11">
        <w:rPr>
          <w:lang w:val="fr-FR"/>
        </w:rPr>
        <w:t xml:space="preserve"> de recours, l’auteur demande notamment qu</w:t>
      </w:r>
      <w:r w:rsidR="00CE01A5">
        <w:rPr>
          <w:lang w:val="fr-FR"/>
        </w:rPr>
        <w:t xml:space="preserve">e </w:t>
      </w:r>
      <w:r w:rsidRPr="00C95C11">
        <w:rPr>
          <w:lang w:val="fr-FR"/>
        </w:rPr>
        <w:t>l’</w:t>
      </w:r>
      <w:r w:rsidR="00C02EFE" w:rsidRPr="00884EA8">
        <w:rPr>
          <w:lang w:val="fr-FR"/>
        </w:rPr>
        <w:t>État</w:t>
      </w:r>
      <w:r w:rsidRPr="00C95C11">
        <w:rPr>
          <w:lang w:val="fr-FR"/>
        </w:rPr>
        <w:t xml:space="preserve"> partie </w:t>
      </w:r>
      <w:r w:rsidR="00CE01A5">
        <w:rPr>
          <w:lang w:val="fr-FR"/>
        </w:rPr>
        <w:t xml:space="preserve">soit requis </w:t>
      </w:r>
      <w:r w:rsidR="00853A9E" w:rsidRPr="003D7E85">
        <w:rPr>
          <w:lang w:val="fr-FR"/>
        </w:rPr>
        <w:t>de m</w:t>
      </w:r>
      <w:r w:rsidRPr="00CE01A5">
        <w:rPr>
          <w:lang w:val="fr-FR"/>
        </w:rPr>
        <w:t>ene</w:t>
      </w:r>
      <w:r w:rsidRPr="00C95C11">
        <w:rPr>
          <w:lang w:val="fr-FR"/>
        </w:rPr>
        <w:t xml:space="preserve">r une enquête approfondie et diligente sur </w:t>
      </w:r>
      <w:r w:rsidR="001A3786">
        <w:rPr>
          <w:lang w:val="fr-FR"/>
        </w:rPr>
        <w:t>l</w:t>
      </w:r>
      <w:r w:rsidRPr="00C95C11">
        <w:rPr>
          <w:lang w:val="fr-FR"/>
        </w:rPr>
        <w:t xml:space="preserve">a détention au secret </w:t>
      </w:r>
      <w:r w:rsidR="001A3786">
        <w:rPr>
          <w:lang w:val="fr-FR"/>
        </w:rPr>
        <w:t xml:space="preserve">de l’auteur </w:t>
      </w:r>
      <w:r w:rsidRPr="00C95C11">
        <w:rPr>
          <w:lang w:val="fr-FR"/>
        </w:rPr>
        <w:t xml:space="preserve">et les traitements </w:t>
      </w:r>
      <w:r w:rsidR="001A3786">
        <w:rPr>
          <w:lang w:val="fr-FR"/>
        </w:rPr>
        <w:t xml:space="preserve">que celui-ci a </w:t>
      </w:r>
      <w:r w:rsidRPr="00C95C11">
        <w:rPr>
          <w:lang w:val="fr-FR"/>
        </w:rPr>
        <w:t>subis, d’engager des poursuites pénales contre les personnes tenues responsables de ces violations, en</w:t>
      </w:r>
      <w:r w:rsidR="002A0104" w:rsidRPr="00C95C11">
        <w:rPr>
          <w:lang w:val="fr-FR"/>
        </w:rPr>
        <w:t xml:space="preserve"> particulier des tortures</w:t>
      </w:r>
      <w:r w:rsidR="001A3786">
        <w:rPr>
          <w:lang w:val="fr-FR"/>
        </w:rPr>
        <w:t>,</w:t>
      </w:r>
      <w:r w:rsidRPr="00C95C11">
        <w:rPr>
          <w:lang w:val="fr-FR"/>
        </w:rPr>
        <w:t xml:space="preserve"> </w:t>
      </w:r>
      <w:r w:rsidR="001A3786">
        <w:rPr>
          <w:lang w:val="fr-FR"/>
        </w:rPr>
        <w:t xml:space="preserve">et </w:t>
      </w:r>
      <w:r w:rsidR="00CE01A5">
        <w:rPr>
          <w:lang w:val="fr-FR"/>
        </w:rPr>
        <w:t xml:space="preserve">de </w:t>
      </w:r>
      <w:r w:rsidRPr="00C95C11">
        <w:rPr>
          <w:lang w:val="fr-FR"/>
        </w:rPr>
        <w:t>dédommage</w:t>
      </w:r>
      <w:r w:rsidR="00CE01A5">
        <w:rPr>
          <w:lang w:val="fr-FR"/>
        </w:rPr>
        <w:t>r</w:t>
      </w:r>
      <w:r w:rsidRPr="00C95C11">
        <w:rPr>
          <w:lang w:val="fr-FR"/>
        </w:rPr>
        <w:t xml:space="preserve"> de manière appropriée </w:t>
      </w:r>
      <w:r w:rsidR="001A3786">
        <w:rPr>
          <w:lang w:val="fr-FR"/>
        </w:rPr>
        <w:t xml:space="preserve">l’auteur </w:t>
      </w:r>
      <w:r w:rsidRPr="00C95C11">
        <w:rPr>
          <w:lang w:val="fr-FR"/>
        </w:rPr>
        <w:t>pour les violations subies.</w:t>
      </w:r>
    </w:p>
    <w:p w:rsidR="009963FD" w:rsidRPr="00C95C11" w:rsidRDefault="009963FD" w:rsidP="00ED044B">
      <w:pPr>
        <w:pStyle w:val="H23G"/>
        <w:rPr>
          <w:lang w:val="fr-FR"/>
        </w:rPr>
      </w:pPr>
      <w:r w:rsidRPr="00C95C11">
        <w:rPr>
          <w:lang w:val="fr-FR"/>
        </w:rPr>
        <w:tab/>
      </w:r>
      <w:r w:rsidRPr="00C95C11">
        <w:rPr>
          <w:lang w:val="fr-FR"/>
        </w:rPr>
        <w:tab/>
        <w:t>Observations de l’</w:t>
      </w:r>
      <w:r w:rsidR="00C02EFE" w:rsidRPr="00884EA8">
        <w:rPr>
          <w:lang w:val="fr-FR"/>
        </w:rPr>
        <w:t>État</w:t>
      </w:r>
      <w:r w:rsidRPr="00C95C11">
        <w:rPr>
          <w:lang w:val="fr-FR"/>
        </w:rPr>
        <w:t xml:space="preserve"> partie sur la recevabilité et le fond</w:t>
      </w:r>
    </w:p>
    <w:p w:rsidR="009963FD" w:rsidRPr="00C95C11" w:rsidRDefault="009963FD" w:rsidP="002A0104">
      <w:pPr>
        <w:pStyle w:val="SingleTxtG"/>
        <w:rPr>
          <w:lang w:val="fr-FR"/>
        </w:rPr>
      </w:pPr>
      <w:r w:rsidRPr="00C95C11">
        <w:rPr>
          <w:lang w:val="fr-FR"/>
        </w:rPr>
        <w:t>4.1</w:t>
      </w:r>
      <w:r w:rsidRPr="00C95C11">
        <w:rPr>
          <w:lang w:val="fr-FR"/>
        </w:rPr>
        <w:tab/>
        <w:t>Le 13 janvier 2014, l’</w:t>
      </w:r>
      <w:r w:rsidR="00C02EFE" w:rsidRPr="00884EA8">
        <w:rPr>
          <w:lang w:val="fr-FR"/>
        </w:rPr>
        <w:t>État</w:t>
      </w:r>
      <w:r w:rsidRPr="00C95C11">
        <w:rPr>
          <w:lang w:val="fr-FR"/>
        </w:rPr>
        <w:t xml:space="preserve"> partie a soumis ses observations su</w:t>
      </w:r>
      <w:r w:rsidR="00ED044B" w:rsidRPr="00C95C11">
        <w:rPr>
          <w:lang w:val="fr-FR"/>
        </w:rPr>
        <w:t>r la recevabilité et le fond.</w:t>
      </w:r>
      <w:r w:rsidRPr="00C95C11">
        <w:rPr>
          <w:lang w:val="fr-FR"/>
        </w:rPr>
        <w:t xml:space="preserve"> S’agissant de la recevabilité, l’</w:t>
      </w:r>
      <w:r w:rsidR="00C02EFE" w:rsidRPr="00884EA8">
        <w:rPr>
          <w:lang w:val="fr-FR"/>
        </w:rPr>
        <w:t>État</w:t>
      </w:r>
      <w:r w:rsidRPr="00C95C11">
        <w:rPr>
          <w:lang w:val="fr-FR"/>
        </w:rPr>
        <w:t xml:space="preserve"> partie considère que l’auteur n’a pas épuisé les voies de recours internes. En vertu de l’article 51 du </w:t>
      </w:r>
      <w:r w:rsidR="000E0CC9" w:rsidRPr="00884EA8">
        <w:rPr>
          <w:lang w:val="fr-FR"/>
        </w:rPr>
        <w:t xml:space="preserve">Code </w:t>
      </w:r>
      <w:r w:rsidRPr="00C95C11">
        <w:rPr>
          <w:lang w:val="fr-FR"/>
        </w:rPr>
        <w:t>de procédure pénale, chaque détenu doit être soumis à un examen médical au moment de son admission dans un lieu de privation de liberté pour s’assurer qu’aucune trace de violence n’est constatée sur la personne concernée. La fiche médicale</w:t>
      </w:r>
      <w:r w:rsidR="00386773">
        <w:rPr>
          <w:lang w:val="fr-FR"/>
        </w:rPr>
        <w:t xml:space="preserve"> </w:t>
      </w:r>
      <w:r w:rsidRPr="00C95C11">
        <w:rPr>
          <w:lang w:val="fr-FR"/>
        </w:rPr>
        <w:t xml:space="preserve">fournie par l’auteur dans sa communication </w:t>
      </w:r>
      <w:r w:rsidR="001A3786">
        <w:rPr>
          <w:lang w:val="fr-FR"/>
        </w:rPr>
        <w:t xml:space="preserve">ne comprend </w:t>
      </w:r>
      <w:r w:rsidR="001A3786" w:rsidRPr="001A3786">
        <w:rPr>
          <w:lang w:val="fr-FR"/>
        </w:rPr>
        <w:t xml:space="preserve">pas de </w:t>
      </w:r>
      <w:r w:rsidRPr="001A3786">
        <w:rPr>
          <w:lang w:val="fr-FR"/>
        </w:rPr>
        <w:t>commentaire</w:t>
      </w:r>
      <w:r w:rsidRPr="00C95C11">
        <w:rPr>
          <w:lang w:val="fr-FR"/>
        </w:rPr>
        <w:t xml:space="preserve"> sur le fait qu’il aurait été victime de torture ou de violence. En outre, l’auteur n’a pas soumis d’allégation de torture lors de sa première audition devant le juge d’instruction. </w:t>
      </w:r>
      <w:r w:rsidR="00853A9E" w:rsidRPr="003D7E85">
        <w:rPr>
          <w:lang w:val="fr-FR"/>
        </w:rPr>
        <w:t>Il n</w:t>
      </w:r>
      <w:r w:rsidR="00827532" w:rsidRPr="003D7E85">
        <w:rPr>
          <w:lang w:val="fr-FR"/>
        </w:rPr>
        <w:t xml:space="preserve">e présentait </w:t>
      </w:r>
      <w:r w:rsidR="00853A9E" w:rsidRPr="003D7E85">
        <w:rPr>
          <w:lang w:val="fr-FR"/>
        </w:rPr>
        <w:t>aucun</w:t>
      </w:r>
      <w:r w:rsidR="00827532" w:rsidRPr="003D7E85">
        <w:rPr>
          <w:lang w:val="fr-FR"/>
        </w:rPr>
        <w:t xml:space="preserve">e trace </w:t>
      </w:r>
      <w:r w:rsidR="00853A9E" w:rsidRPr="003D7E85">
        <w:rPr>
          <w:lang w:val="fr-FR"/>
        </w:rPr>
        <w:t>de violence sur le corps</w:t>
      </w:r>
      <w:r w:rsidR="00827532" w:rsidRPr="002F7EEC">
        <w:rPr>
          <w:lang w:val="fr-FR"/>
        </w:rPr>
        <w:t xml:space="preserve"> </w:t>
      </w:r>
      <w:r w:rsidRPr="002F7EEC">
        <w:rPr>
          <w:lang w:val="fr-FR"/>
        </w:rPr>
        <w:t>lors</w:t>
      </w:r>
      <w:r w:rsidRPr="00C95C11">
        <w:rPr>
          <w:lang w:val="fr-FR"/>
        </w:rPr>
        <w:t xml:space="preserve"> de son admission dans le lieu de détention alors que</w:t>
      </w:r>
      <w:r w:rsidR="003A2EE4">
        <w:rPr>
          <w:lang w:val="fr-FR"/>
        </w:rPr>
        <w:t xml:space="preserve">, </w:t>
      </w:r>
      <w:r w:rsidR="003A2EE4" w:rsidRPr="00C95C11">
        <w:rPr>
          <w:lang w:val="fr-FR"/>
        </w:rPr>
        <w:t>comme mentionné ci-dessus</w:t>
      </w:r>
      <w:r w:rsidR="003A2EE4">
        <w:rPr>
          <w:lang w:val="fr-FR"/>
        </w:rPr>
        <w:t>,</w:t>
      </w:r>
      <w:r w:rsidRPr="00C95C11">
        <w:rPr>
          <w:lang w:val="fr-FR"/>
        </w:rPr>
        <w:t xml:space="preserve"> toute personne admise fait l’objet d’un examen médical. S’agissant de la plainte que l’auteur a soumise au </w:t>
      </w:r>
      <w:r w:rsidR="002928E4" w:rsidRPr="002928E4">
        <w:rPr>
          <w:lang w:val="fr-FR"/>
        </w:rPr>
        <w:t>P</w:t>
      </w:r>
      <w:r w:rsidRPr="002928E4">
        <w:rPr>
          <w:lang w:val="fr-FR"/>
        </w:rPr>
        <w:t>rocu</w:t>
      </w:r>
      <w:r w:rsidRPr="00C95C11">
        <w:rPr>
          <w:lang w:val="fr-FR"/>
        </w:rPr>
        <w:t>reur de la République, une enquête a été menée</w:t>
      </w:r>
      <w:r w:rsidR="003A2EE4">
        <w:rPr>
          <w:lang w:val="fr-FR"/>
        </w:rPr>
        <w:t> ; elle</w:t>
      </w:r>
      <w:r w:rsidRPr="00C95C11">
        <w:rPr>
          <w:lang w:val="fr-FR"/>
        </w:rPr>
        <w:t xml:space="preserve"> a conclu à l’invalidité de la plainte. L’auteur n’a pas fait appel de cette décision.</w:t>
      </w:r>
    </w:p>
    <w:p w:rsidR="009963FD" w:rsidRPr="003D7E85" w:rsidRDefault="009963FD">
      <w:pPr>
        <w:pStyle w:val="SingleTxtG"/>
        <w:rPr>
          <w:lang w:val="fr-FR"/>
        </w:rPr>
      </w:pPr>
      <w:r w:rsidRPr="00C95C11">
        <w:rPr>
          <w:lang w:val="fr-FR"/>
        </w:rPr>
        <w:t>4.2</w:t>
      </w:r>
      <w:r w:rsidRPr="00C95C11">
        <w:rPr>
          <w:lang w:val="fr-FR"/>
        </w:rPr>
        <w:tab/>
        <w:t>Sur le fond, l’</w:t>
      </w:r>
      <w:r w:rsidR="00C02EFE" w:rsidRPr="00884EA8">
        <w:rPr>
          <w:lang w:val="fr-FR"/>
        </w:rPr>
        <w:t>État</w:t>
      </w:r>
      <w:r w:rsidRPr="00C95C11">
        <w:rPr>
          <w:lang w:val="fr-FR"/>
        </w:rPr>
        <w:t xml:space="preserve"> partie note que l’auteur a été arrêté le 28 septembre 2009 et non le 17</w:t>
      </w:r>
      <w:r w:rsidR="00E42B1F">
        <w:rPr>
          <w:lang w:val="fr-FR"/>
        </w:rPr>
        <w:t> </w:t>
      </w:r>
      <w:r w:rsidRPr="00C95C11">
        <w:rPr>
          <w:lang w:val="fr-FR"/>
        </w:rPr>
        <w:t xml:space="preserve">septembre 2009 comme il l’a allégué et qu’il a été présenté devant le </w:t>
      </w:r>
      <w:r w:rsidR="002928E4">
        <w:rPr>
          <w:lang w:val="fr-FR"/>
        </w:rPr>
        <w:t>P</w:t>
      </w:r>
      <w:r w:rsidRPr="00C95C11">
        <w:rPr>
          <w:lang w:val="fr-FR"/>
        </w:rPr>
        <w:t xml:space="preserve">rocureur de la République avec d’autres suspects le 6 octobre 2009. La </w:t>
      </w:r>
      <w:r w:rsidRPr="003D7E85">
        <w:rPr>
          <w:lang w:val="fr-FR"/>
        </w:rPr>
        <w:t xml:space="preserve">détention initiale a duré </w:t>
      </w:r>
      <w:r w:rsidR="004D0428" w:rsidRPr="003D7E85">
        <w:rPr>
          <w:lang w:val="fr-FR"/>
        </w:rPr>
        <w:t>huit</w:t>
      </w:r>
      <w:r w:rsidRPr="003D7E85">
        <w:rPr>
          <w:lang w:val="fr-FR"/>
        </w:rPr>
        <w:t xml:space="preserve"> jours</w:t>
      </w:r>
      <w:r w:rsidRPr="003D7E85">
        <w:rPr>
          <w:color w:val="FF0000"/>
          <w:lang w:val="fr-FR"/>
        </w:rPr>
        <w:t xml:space="preserve"> </w:t>
      </w:r>
      <w:r w:rsidR="00853A9E" w:rsidRPr="003D7E85">
        <w:rPr>
          <w:lang w:val="fr-FR"/>
        </w:rPr>
        <w:t>tel</w:t>
      </w:r>
      <w:r w:rsidRPr="003D7E85">
        <w:rPr>
          <w:lang w:val="fr-FR"/>
        </w:rPr>
        <w:t xml:space="preserve"> qu’autoris</w:t>
      </w:r>
      <w:r w:rsidR="00853A9E" w:rsidRPr="003D7E85">
        <w:rPr>
          <w:lang w:val="fr-FR"/>
        </w:rPr>
        <w:t>é</w:t>
      </w:r>
      <w:r w:rsidRPr="003D7E85">
        <w:rPr>
          <w:lang w:val="fr-FR"/>
        </w:rPr>
        <w:t xml:space="preserve"> par le </w:t>
      </w:r>
      <w:r w:rsidR="001B0413" w:rsidRPr="003D7E85">
        <w:rPr>
          <w:lang w:val="fr-FR"/>
        </w:rPr>
        <w:t xml:space="preserve">Code </w:t>
      </w:r>
      <w:r w:rsidRPr="003D7E85">
        <w:rPr>
          <w:lang w:val="fr-FR"/>
        </w:rPr>
        <w:t xml:space="preserve">de procédure pénale en son </w:t>
      </w:r>
      <w:r w:rsidR="00853A9E" w:rsidRPr="003D7E85">
        <w:rPr>
          <w:lang w:val="fr-FR"/>
        </w:rPr>
        <w:t>article 65</w:t>
      </w:r>
      <w:r w:rsidRPr="003D7E85">
        <w:rPr>
          <w:lang w:val="fr-FR"/>
        </w:rPr>
        <w:t>. La police a obtenu les autorisations nécessaires pour prolonger la détention de l’auteur à trois reprises.</w:t>
      </w:r>
    </w:p>
    <w:p w:rsidR="009963FD" w:rsidRPr="00C95C11" w:rsidRDefault="009963FD" w:rsidP="002A0104">
      <w:pPr>
        <w:pStyle w:val="SingleTxtG"/>
        <w:rPr>
          <w:lang w:val="fr-FR"/>
        </w:rPr>
      </w:pPr>
      <w:r w:rsidRPr="003D7E85">
        <w:rPr>
          <w:lang w:val="fr-FR"/>
        </w:rPr>
        <w:t>4.3</w:t>
      </w:r>
      <w:r w:rsidRPr="003D7E85">
        <w:rPr>
          <w:lang w:val="fr-FR"/>
        </w:rPr>
        <w:tab/>
        <w:t>L’</w:t>
      </w:r>
      <w:r w:rsidR="00C02EFE" w:rsidRPr="003D7E85">
        <w:rPr>
          <w:lang w:val="fr-FR"/>
        </w:rPr>
        <w:t>État</w:t>
      </w:r>
      <w:r w:rsidRPr="003D7E85">
        <w:rPr>
          <w:lang w:val="fr-FR"/>
        </w:rPr>
        <w:t xml:space="preserve"> partie ajoute que l’auteur est poursuivi pour corruption et blanchiment d’argent à l’intérieur et à l’extérieur de l’Algérie. L’affaire est toujours en cours devant les autorités judiciaires algériennes et aucun autre suspect n’a soulevé d</w:t>
      </w:r>
      <w:r w:rsidR="00853A9E" w:rsidRPr="003D7E85">
        <w:rPr>
          <w:lang w:val="fr-FR"/>
        </w:rPr>
        <w:t>’allégation</w:t>
      </w:r>
      <w:r w:rsidRPr="00C95C11">
        <w:rPr>
          <w:lang w:val="fr-FR"/>
        </w:rPr>
        <w:t xml:space="preserve"> de torture devant les autorités de l’</w:t>
      </w:r>
      <w:r w:rsidR="00C02EFE" w:rsidRPr="00884EA8">
        <w:rPr>
          <w:lang w:val="fr-FR"/>
        </w:rPr>
        <w:t>État</w:t>
      </w:r>
      <w:r w:rsidRPr="00C95C11">
        <w:rPr>
          <w:lang w:val="fr-FR"/>
        </w:rPr>
        <w:t xml:space="preserve"> partie alors qu’ils font face aux mêmes accusations. L’</w:t>
      </w:r>
      <w:r w:rsidR="00C02EFE" w:rsidRPr="00884EA8">
        <w:rPr>
          <w:lang w:val="fr-FR"/>
        </w:rPr>
        <w:t>État</w:t>
      </w:r>
      <w:r w:rsidRPr="00C95C11">
        <w:rPr>
          <w:lang w:val="fr-FR"/>
        </w:rPr>
        <w:t xml:space="preserve"> partie soupçonne l’auteur d’utiliser les allégations de torture </w:t>
      </w:r>
      <w:r w:rsidR="00E42B1F">
        <w:rPr>
          <w:lang w:val="fr-FR"/>
        </w:rPr>
        <w:t xml:space="preserve">devant le </w:t>
      </w:r>
      <w:r w:rsidR="00853A9E" w:rsidRPr="003D7E85">
        <w:rPr>
          <w:lang w:val="fr-FR"/>
        </w:rPr>
        <w:t>Comité des droits de l’homme</w:t>
      </w:r>
      <w:r w:rsidRPr="00E42B1F">
        <w:rPr>
          <w:lang w:val="fr-FR"/>
        </w:rPr>
        <w:t xml:space="preserve"> </w:t>
      </w:r>
      <w:r w:rsidR="00E42B1F">
        <w:rPr>
          <w:lang w:val="fr-FR"/>
        </w:rPr>
        <w:t xml:space="preserve">en vue </w:t>
      </w:r>
      <w:r w:rsidRPr="00C95C11">
        <w:rPr>
          <w:lang w:val="fr-FR"/>
        </w:rPr>
        <w:t>d’influencer les futures décisions de justice qui pourraient être prises à son encontre. L’</w:t>
      </w:r>
      <w:r w:rsidR="00C02EFE" w:rsidRPr="00884EA8">
        <w:rPr>
          <w:lang w:val="fr-FR"/>
        </w:rPr>
        <w:t>État</w:t>
      </w:r>
      <w:r w:rsidRPr="00C95C11">
        <w:rPr>
          <w:lang w:val="fr-FR"/>
        </w:rPr>
        <w:t xml:space="preserve"> partie considère donc la communication infondée.</w:t>
      </w:r>
    </w:p>
    <w:p w:rsidR="009963FD" w:rsidRPr="00C95C11" w:rsidRDefault="009963FD" w:rsidP="002A0104">
      <w:pPr>
        <w:pStyle w:val="H23G"/>
        <w:rPr>
          <w:lang w:val="fr-FR"/>
        </w:rPr>
      </w:pPr>
      <w:r w:rsidRPr="00C95C11">
        <w:rPr>
          <w:lang w:val="fr-FR"/>
        </w:rPr>
        <w:tab/>
      </w:r>
      <w:r w:rsidRPr="00C95C11">
        <w:rPr>
          <w:lang w:val="fr-FR"/>
        </w:rPr>
        <w:tab/>
      </w:r>
      <w:r w:rsidRPr="00482CCD">
        <w:rPr>
          <w:lang w:val="fr-FR"/>
        </w:rPr>
        <w:t>Commentaires de l’auteur sur la recevabilité et le fond</w:t>
      </w:r>
    </w:p>
    <w:p w:rsidR="009963FD" w:rsidRPr="00C95C11" w:rsidRDefault="009963FD">
      <w:pPr>
        <w:pStyle w:val="H4G"/>
        <w:rPr>
          <w:lang w:val="fr-FR"/>
        </w:rPr>
      </w:pPr>
      <w:r w:rsidRPr="00C95C11">
        <w:rPr>
          <w:lang w:val="fr-FR"/>
        </w:rPr>
        <w:tab/>
      </w:r>
      <w:r w:rsidR="002A0104" w:rsidRPr="00C95C11">
        <w:rPr>
          <w:lang w:val="fr-FR"/>
        </w:rPr>
        <w:tab/>
      </w:r>
      <w:r w:rsidRPr="00C95C11">
        <w:rPr>
          <w:lang w:val="fr-FR"/>
        </w:rPr>
        <w:t xml:space="preserve">Affaire </w:t>
      </w:r>
      <w:r w:rsidR="005778A9">
        <w:rPr>
          <w:lang w:val="fr-FR"/>
        </w:rPr>
        <w:t>de l’a</w:t>
      </w:r>
      <w:r w:rsidRPr="00C95C11">
        <w:rPr>
          <w:lang w:val="fr-FR"/>
        </w:rPr>
        <w:t xml:space="preserve">utoroute </w:t>
      </w:r>
      <w:r w:rsidR="005778A9">
        <w:rPr>
          <w:lang w:val="fr-FR"/>
        </w:rPr>
        <w:t>e</w:t>
      </w:r>
      <w:r w:rsidRPr="00C95C11">
        <w:rPr>
          <w:lang w:val="fr-FR"/>
        </w:rPr>
        <w:t>st-</w:t>
      </w:r>
      <w:r w:rsidR="005778A9">
        <w:rPr>
          <w:lang w:val="fr-FR"/>
        </w:rPr>
        <w:t>o</w:t>
      </w:r>
      <w:r w:rsidRPr="00C95C11">
        <w:rPr>
          <w:lang w:val="fr-FR"/>
        </w:rPr>
        <w:t>uest</w:t>
      </w:r>
    </w:p>
    <w:p w:rsidR="009963FD" w:rsidRPr="00C95C11" w:rsidRDefault="009963FD" w:rsidP="009D1B5E">
      <w:pPr>
        <w:pStyle w:val="SingleTxtG"/>
        <w:rPr>
          <w:lang w:val="fr-FR"/>
        </w:rPr>
      </w:pPr>
      <w:r w:rsidRPr="00C95C11">
        <w:rPr>
          <w:lang w:val="fr-FR"/>
        </w:rPr>
        <w:t>5.1</w:t>
      </w:r>
      <w:r w:rsidRPr="00C95C11">
        <w:rPr>
          <w:lang w:val="fr-FR"/>
        </w:rPr>
        <w:tab/>
        <w:t xml:space="preserve">Le 27 mars 2014, l’auteur </w:t>
      </w:r>
      <w:r w:rsidR="00E42B1F">
        <w:rPr>
          <w:lang w:val="fr-FR"/>
        </w:rPr>
        <w:t xml:space="preserve">a </w:t>
      </w:r>
      <w:r w:rsidRPr="00C95C11">
        <w:rPr>
          <w:lang w:val="fr-FR"/>
        </w:rPr>
        <w:t>rappel</w:t>
      </w:r>
      <w:r w:rsidR="00E42B1F">
        <w:rPr>
          <w:lang w:val="fr-FR"/>
        </w:rPr>
        <w:t>é</w:t>
      </w:r>
      <w:r w:rsidRPr="00C95C11">
        <w:rPr>
          <w:lang w:val="fr-FR"/>
        </w:rPr>
        <w:t xml:space="preserve"> les faits et ajout</w:t>
      </w:r>
      <w:r w:rsidR="00E42B1F">
        <w:rPr>
          <w:lang w:val="fr-FR"/>
        </w:rPr>
        <w:t>é</w:t>
      </w:r>
      <w:r w:rsidRPr="00C95C11">
        <w:rPr>
          <w:lang w:val="fr-FR"/>
        </w:rPr>
        <w:t xml:space="preserve"> que son arrestation et </w:t>
      </w:r>
      <w:r w:rsidR="00E42B1F">
        <w:rPr>
          <w:lang w:val="fr-FR"/>
        </w:rPr>
        <w:t xml:space="preserve">son </w:t>
      </w:r>
      <w:r w:rsidRPr="00C95C11">
        <w:rPr>
          <w:lang w:val="fr-FR"/>
        </w:rPr>
        <w:t>maintien au secret du 17 septembre au 6 octobre 2009 constitu</w:t>
      </w:r>
      <w:r w:rsidR="00E42B1F">
        <w:rPr>
          <w:lang w:val="fr-FR"/>
        </w:rPr>
        <w:t>aient</w:t>
      </w:r>
      <w:r w:rsidRPr="00C95C11">
        <w:rPr>
          <w:lang w:val="fr-FR"/>
        </w:rPr>
        <w:t xml:space="preserve"> une disparition forcée. Il s’</w:t>
      </w:r>
      <w:r w:rsidR="00E42B1F">
        <w:rPr>
          <w:lang w:val="fr-FR"/>
        </w:rPr>
        <w:t xml:space="preserve">est </w:t>
      </w:r>
      <w:r w:rsidRPr="00C95C11">
        <w:rPr>
          <w:lang w:val="fr-FR"/>
        </w:rPr>
        <w:t>étonn</w:t>
      </w:r>
      <w:r w:rsidR="00E42B1F">
        <w:rPr>
          <w:lang w:val="fr-FR"/>
        </w:rPr>
        <w:t>é</w:t>
      </w:r>
      <w:r w:rsidRPr="00C95C11">
        <w:rPr>
          <w:lang w:val="fr-FR"/>
        </w:rPr>
        <w:t xml:space="preserve"> du caractère laconique et bref des observations de l’</w:t>
      </w:r>
      <w:r w:rsidR="00C02EFE" w:rsidRPr="00884EA8">
        <w:rPr>
          <w:lang w:val="fr-FR"/>
        </w:rPr>
        <w:t>État</w:t>
      </w:r>
      <w:r w:rsidRPr="00C95C11">
        <w:rPr>
          <w:lang w:val="fr-FR"/>
        </w:rPr>
        <w:t xml:space="preserve"> partie qui sont sans proportion avec la gravité des faits allégués. L’</w:t>
      </w:r>
      <w:r w:rsidR="00C02EFE" w:rsidRPr="00884EA8">
        <w:rPr>
          <w:lang w:val="fr-FR"/>
        </w:rPr>
        <w:t>État</w:t>
      </w:r>
      <w:r w:rsidRPr="00C95C11">
        <w:rPr>
          <w:lang w:val="fr-FR"/>
        </w:rPr>
        <w:t xml:space="preserve"> partie s’appuie uniquement sur les documents de la procédure vraisemblablement rédigés par des personnes qui sont </w:t>
      </w:r>
      <w:r w:rsidRPr="00C95C11">
        <w:rPr>
          <w:lang w:val="fr-FR"/>
        </w:rPr>
        <w:lastRenderedPageBreak/>
        <w:t xml:space="preserve">soupçonnées d’avoir participé aux infractions dénoncées et ne produit aucun élément démontrant qu’une quelconque enquête a été diligentée pour faire la lumière sur lesdites allégations. L’auteur cite la jurisprudence du Comité selon laquelle il ressort implicitement </w:t>
      </w:r>
      <w:r w:rsidRPr="003D7E85">
        <w:rPr>
          <w:lang w:val="fr-FR"/>
        </w:rPr>
        <w:t xml:space="preserve">du </w:t>
      </w:r>
      <w:r w:rsidR="00853A9E" w:rsidRPr="003D7E85">
        <w:rPr>
          <w:lang w:val="fr-FR"/>
        </w:rPr>
        <w:t>paragraphe 2 de l’article 4</w:t>
      </w:r>
      <w:r w:rsidRPr="003D7E85">
        <w:rPr>
          <w:lang w:val="fr-FR"/>
        </w:rPr>
        <w:t xml:space="preserve"> du</w:t>
      </w:r>
      <w:r w:rsidRPr="00C95C11">
        <w:rPr>
          <w:lang w:val="fr-FR"/>
        </w:rPr>
        <w:t xml:space="preserve"> </w:t>
      </w:r>
      <w:r w:rsidR="00E42B1F">
        <w:rPr>
          <w:lang w:val="fr-FR"/>
        </w:rPr>
        <w:t>P</w:t>
      </w:r>
      <w:r w:rsidRPr="00C95C11">
        <w:rPr>
          <w:lang w:val="fr-FR"/>
        </w:rPr>
        <w:t>rotocole facultatif que l’</w:t>
      </w:r>
      <w:r w:rsidR="00C02EFE" w:rsidRPr="00884EA8">
        <w:rPr>
          <w:lang w:val="fr-FR"/>
        </w:rPr>
        <w:t>État</w:t>
      </w:r>
      <w:r w:rsidRPr="00C95C11">
        <w:rPr>
          <w:lang w:val="fr-FR"/>
        </w:rPr>
        <w:t xml:space="preserve"> partie est tenu d’enquêter de bonne foi sur toutes les allégations de violation du Pacte portées contre lui. En outre, le Comité peut estimer les allégations de l’auteur fondées si l’</w:t>
      </w:r>
      <w:r w:rsidR="00C02EFE" w:rsidRPr="00884EA8">
        <w:rPr>
          <w:lang w:val="fr-FR"/>
        </w:rPr>
        <w:t>État</w:t>
      </w:r>
      <w:r w:rsidRPr="00C95C11">
        <w:rPr>
          <w:lang w:val="fr-FR"/>
        </w:rPr>
        <w:t xml:space="preserve"> partie ne les réfute pas en apportant des preuves et des explications satisfaisantes</w:t>
      </w:r>
      <w:r w:rsidR="00A615C9" w:rsidRPr="00C95C11">
        <w:rPr>
          <w:rStyle w:val="FootnoteReference"/>
          <w:lang w:val="fr-FR"/>
        </w:rPr>
        <w:footnoteReference w:id="9"/>
      </w:r>
      <w:r w:rsidRPr="00C95C11">
        <w:rPr>
          <w:lang w:val="fr-FR"/>
        </w:rPr>
        <w:t>. Or l’</w:t>
      </w:r>
      <w:r w:rsidR="00C02EFE" w:rsidRPr="00884EA8">
        <w:rPr>
          <w:lang w:val="fr-FR"/>
        </w:rPr>
        <w:t>État</w:t>
      </w:r>
      <w:r w:rsidRPr="00C95C11">
        <w:rPr>
          <w:lang w:val="fr-FR"/>
        </w:rPr>
        <w:t xml:space="preserve"> partie n’a, en l’espèce, apporté aucune preuve ou explication satisfaisante permettant de réfuter les g</w:t>
      </w:r>
      <w:r w:rsidR="00A615C9" w:rsidRPr="00C95C11">
        <w:rPr>
          <w:lang w:val="fr-FR"/>
        </w:rPr>
        <w:t>raves allégations de l‘auteur.</w:t>
      </w:r>
    </w:p>
    <w:p w:rsidR="009963FD" w:rsidRPr="003D7E85" w:rsidRDefault="009963FD" w:rsidP="002A0104">
      <w:pPr>
        <w:pStyle w:val="SingleTxtG"/>
        <w:rPr>
          <w:lang w:val="fr-FR"/>
        </w:rPr>
      </w:pPr>
      <w:r w:rsidRPr="00C95C11">
        <w:rPr>
          <w:lang w:val="fr-FR"/>
        </w:rPr>
        <w:t>5.2</w:t>
      </w:r>
      <w:r w:rsidRPr="00C95C11">
        <w:rPr>
          <w:lang w:val="fr-FR"/>
        </w:rPr>
        <w:tab/>
        <w:t>Selon l’</w:t>
      </w:r>
      <w:r w:rsidR="00C02EFE" w:rsidRPr="00884EA8">
        <w:rPr>
          <w:lang w:val="fr-FR"/>
        </w:rPr>
        <w:t>État</w:t>
      </w:r>
      <w:r w:rsidRPr="00C95C11">
        <w:rPr>
          <w:lang w:val="fr-FR"/>
        </w:rPr>
        <w:t xml:space="preserve"> partie, l’auteur n’aurait pas épuisé les recours internes s’agissant de ses allégations de torture sans toutefois expliquer quel recours était possible contre le classement sans suite par le </w:t>
      </w:r>
      <w:r w:rsidR="002928E4" w:rsidRPr="002928E4">
        <w:rPr>
          <w:lang w:val="fr-FR"/>
        </w:rPr>
        <w:t>P</w:t>
      </w:r>
      <w:r w:rsidRPr="002928E4">
        <w:rPr>
          <w:lang w:val="fr-FR"/>
        </w:rPr>
        <w:t>roc</w:t>
      </w:r>
      <w:r w:rsidRPr="00C95C11">
        <w:rPr>
          <w:lang w:val="fr-FR"/>
        </w:rPr>
        <w:t xml:space="preserve">ureur de sa plainte déposée </w:t>
      </w:r>
      <w:r w:rsidRPr="003D7E85">
        <w:rPr>
          <w:lang w:val="fr-FR"/>
        </w:rPr>
        <w:t xml:space="preserve">le </w:t>
      </w:r>
      <w:r w:rsidR="00853A9E" w:rsidRPr="003D7E85">
        <w:rPr>
          <w:lang w:val="fr-FR"/>
        </w:rPr>
        <w:t>3 novembre 2011</w:t>
      </w:r>
      <w:r w:rsidRPr="003D7E85">
        <w:rPr>
          <w:lang w:val="fr-FR"/>
        </w:rPr>
        <w:t>. L’auteur note que ce classement sans suite est intervenu très rapidement</w:t>
      </w:r>
      <w:r w:rsidR="00E42B1F" w:rsidRPr="003D7E85">
        <w:rPr>
          <w:lang w:val="fr-FR"/>
        </w:rPr>
        <w:t>,</w:t>
      </w:r>
      <w:r w:rsidRPr="003D7E85">
        <w:rPr>
          <w:lang w:val="fr-FR"/>
        </w:rPr>
        <w:t xml:space="preserve"> soit </w:t>
      </w:r>
      <w:r w:rsidR="00E42B1F" w:rsidRPr="003D7E85">
        <w:rPr>
          <w:lang w:val="fr-FR"/>
        </w:rPr>
        <w:t xml:space="preserve">neuf </w:t>
      </w:r>
      <w:r w:rsidRPr="003D7E85">
        <w:rPr>
          <w:lang w:val="fr-FR"/>
        </w:rPr>
        <w:t>jours après le dépôt de la plainte. Outre le fait que cette durée apparaît totalement démesurée eu égard aux investigations exigées par les faits dénoncés, l’auteur considère que l’</w:t>
      </w:r>
      <w:r w:rsidR="00C02EFE" w:rsidRPr="003D7E85">
        <w:rPr>
          <w:lang w:val="fr-FR"/>
        </w:rPr>
        <w:t>État</w:t>
      </w:r>
      <w:r w:rsidRPr="003D7E85">
        <w:rPr>
          <w:lang w:val="fr-FR"/>
        </w:rPr>
        <w:t xml:space="preserve"> partie ne cache ici même pas le fait qu’aucune enquête n’a été diligentée. D’ailleurs, aucun élément relatif à une enquête n’a été fourni par l’</w:t>
      </w:r>
      <w:r w:rsidR="00C02EFE" w:rsidRPr="003D7E85">
        <w:rPr>
          <w:lang w:val="fr-FR"/>
        </w:rPr>
        <w:t>État</w:t>
      </w:r>
      <w:r w:rsidRPr="003D7E85">
        <w:rPr>
          <w:lang w:val="fr-FR"/>
        </w:rPr>
        <w:t xml:space="preserve"> partie. Par ailleurs, la procédure suivie est entachée d’irrégularité puisque </w:t>
      </w:r>
      <w:r w:rsidR="00853A9E" w:rsidRPr="003D7E85">
        <w:rPr>
          <w:lang w:val="fr-FR"/>
        </w:rPr>
        <w:t>selon l’article 207, alinéa 2, du Code de procédure</w:t>
      </w:r>
      <w:r w:rsidRPr="003D7E85">
        <w:rPr>
          <w:lang w:val="fr-FR"/>
        </w:rPr>
        <w:t xml:space="preserve"> algérien, tout acte commis par les services du DRS est de la compétence de la chambre d’accusation d’Alger une fois saisie par le </w:t>
      </w:r>
      <w:r w:rsidR="002928E4" w:rsidRPr="003D7E85">
        <w:rPr>
          <w:lang w:val="fr-FR"/>
        </w:rPr>
        <w:t>p</w:t>
      </w:r>
      <w:r w:rsidRPr="003D7E85">
        <w:rPr>
          <w:lang w:val="fr-FR"/>
        </w:rPr>
        <w:t xml:space="preserve">rocureur général, après avis du </w:t>
      </w:r>
      <w:r w:rsidR="002928E4" w:rsidRPr="003D7E85">
        <w:rPr>
          <w:lang w:val="fr-FR"/>
        </w:rPr>
        <w:t>p</w:t>
      </w:r>
      <w:r w:rsidRPr="003D7E85">
        <w:rPr>
          <w:lang w:val="fr-FR"/>
        </w:rPr>
        <w:t>rocureur militaire territorialement compétent.</w:t>
      </w:r>
    </w:p>
    <w:p w:rsidR="009963FD" w:rsidRPr="003D7E85" w:rsidRDefault="009963FD">
      <w:pPr>
        <w:pStyle w:val="SingleTxtG"/>
        <w:rPr>
          <w:lang w:val="fr-FR"/>
        </w:rPr>
      </w:pPr>
      <w:r w:rsidRPr="003D7E85">
        <w:rPr>
          <w:lang w:val="fr-FR"/>
        </w:rPr>
        <w:t>5.3</w:t>
      </w:r>
      <w:r w:rsidRPr="003D7E85">
        <w:rPr>
          <w:lang w:val="fr-FR"/>
        </w:rPr>
        <w:tab/>
        <w:t xml:space="preserve">S’agissant des recours, conformément aux articles </w:t>
      </w:r>
      <w:r w:rsidR="00853A9E" w:rsidRPr="003D7E85">
        <w:rPr>
          <w:lang w:val="fr-FR"/>
        </w:rPr>
        <w:t>576 et 577 du Code de procédure pénale</w:t>
      </w:r>
      <w:r w:rsidRPr="003D7E85">
        <w:rPr>
          <w:lang w:val="fr-FR"/>
        </w:rPr>
        <w:t xml:space="preserve">, c’est le </w:t>
      </w:r>
      <w:r w:rsidR="002928E4" w:rsidRPr="003D7E85">
        <w:rPr>
          <w:lang w:val="fr-FR"/>
        </w:rPr>
        <w:t>p</w:t>
      </w:r>
      <w:r w:rsidRPr="003D7E85">
        <w:rPr>
          <w:lang w:val="fr-FR"/>
        </w:rPr>
        <w:t xml:space="preserve">rocureur de la République qui transmet la plainte au </w:t>
      </w:r>
      <w:r w:rsidR="002928E4" w:rsidRPr="003D7E85">
        <w:rPr>
          <w:lang w:val="fr-FR"/>
        </w:rPr>
        <w:t>p</w:t>
      </w:r>
      <w:r w:rsidRPr="003D7E85">
        <w:rPr>
          <w:lang w:val="fr-FR"/>
        </w:rPr>
        <w:t xml:space="preserve">rocureur </w:t>
      </w:r>
      <w:r w:rsidR="00096169" w:rsidRPr="003D7E85">
        <w:rPr>
          <w:lang w:val="fr-FR"/>
        </w:rPr>
        <w:t>g</w:t>
      </w:r>
      <w:r w:rsidRPr="003D7E85">
        <w:rPr>
          <w:lang w:val="fr-FR"/>
        </w:rPr>
        <w:t xml:space="preserve">énéral près la </w:t>
      </w:r>
      <w:r w:rsidR="00196FAB" w:rsidRPr="003D7E85">
        <w:rPr>
          <w:lang w:val="fr-FR"/>
        </w:rPr>
        <w:t>c</w:t>
      </w:r>
      <w:r w:rsidRPr="003D7E85">
        <w:rPr>
          <w:lang w:val="fr-FR"/>
        </w:rPr>
        <w:t xml:space="preserve">our d’appel </w:t>
      </w:r>
      <w:r w:rsidR="00853A9E" w:rsidRPr="003D7E85">
        <w:rPr>
          <w:lang w:val="fr-FR"/>
        </w:rPr>
        <w:t>qui</w:t>
      </w:r>
      <w:r w:rsidRPr="003D7E85">
        <w:rPr>
          <w:lang w:val="fr-FR"/>
        </w:rPr>
        <w:t xml:space="preserve"> apprécie l’opportunité des poursuites, auquel cas, le Président de la </w:t>
      </w:r>
      <w:r w:rsidR="00196FAB" w:rsidRPr="003D7E85">
        <w:rPr>
          <w:lang w:val="fr-FR"/>
        </w:rPr>
        <w:t>c</w:t>
      </w:r>
      <w:r w:rsidRPr="003D7E85">
        <w:rPr>
          <w:lang w:val="fr-FR"/>
        </w:rPr>
        <w:t>our ordonne que l’affaire soit instruite par un juge d’instruction. Le classement sans suite ne peut faire l’objet d’un quelconque recours selon le droit algérien.</w:t>
      </w:r>
    </w:p>
    <w:p w:rsidR="009963FD" w:rsidRPr="003D7E85" w:rsidRDefault="009963FD" w:rsidP="002A0104">
      <w:pPr>
        <w:pStyle w:val="SingleTxtG"/>
        <w:rPr>
          <w:lang w:val="fr-FR"/>
        </w:rPr>
      </w:pPr>
      <w:r w:rsidRPr="003D7E85">
        <w:rPr>
          <w:lang w:val="fr-FR"/>
        </w:rPr>
        <w:t>5.4</w:t>
      </w:r>
      <w:r w:rsidRPr="003D7E85">
        <w:rPr>
          <w:lang w:val="fr-FR"/>
        </w:rPr>
        <w:tab/>
        <w:t>La régularité de la garde à vue de l’auteur ne pourra être déterminée qu’en cas d’enquête impartiale sur les circonstances, la date, l’heure et le lieu de son arrestation. L’auteur note qu’il a été dans l’impossibilité de contester sa garde à vue devant le juge d’instruction.</w:t>
      </w:r>
    </w:p>
    <w:p w:rsidR="009963FD" w:rsidRPr="00C95C11" w:rsidRDefault="009963FD" w:rsidP="002A0104">
      <w:pPr>
        <w:pStyle w:val="SingleTxtG"/>
        <w:rPr>
          <w:lang w:val="fr-FR"/>
        </w:rPr>
      </w:pPr>
      <w:r w:rsidRPr="003D7E85">
        <w:rPr>
          <w:lang w:val="fr-FR"/>
        </w:rPr>
        <w:t>5.5</w:t>
      </w:r>
      <w:r w:rsidRPr="003D7E85">
        <w:rPr>
          <w:lang w:val="fr-FR"/>
        </w:rPr>
        <w:tab/>
        <w:t xml:space="preserve">En outre, en violation de l’article </w:t>
      </w:r>
      <w:r w:rsidR="00853A9E" w:rsidRPr="003D7E85">
        <w:rPr>
          <w:lang w:val="fr-FR"/>
        </w:rPr>
        <w:t>40 </w:t>
      </w:r>
      <w:r w:rsidR="00853A9E" w:rsidRPr="003D7E85">
        <w:rPr>
          <w:i/>
          <w:iCs/>
          <w:lang w:val="fr-FR"/>
        </w:rPr>
        <w:t>ter</w:t>
      </w:r>
      <w:r w:rsidR="00853A9E" w:rsidRPr="003D7E85">
        <w:rPr>
          <w:lang w:val="fr-FR"/>
        </w:rPr>
        <w:t xml:space="preserve"> du Code de procédure pénale</w:t>
      </w:r>
      <w:r w:rsidR="00096169" w:rsidRPr="003D7E85">
        <w:rPr>
          <w:lang w:val="fr-FR"/>
        </w:rPr>
        <w:t>,</w:t>
      </w:r>
      <w:r w:rsidRPr="00C95C11">
        <w:rPr>
          <w:lang w:val="fr-FR"/>
        </w:rPr>
        <w:t xml:space="preserve"> qui oblige les agents de la police judiciaire </w:t>
      </w:r>
      <w:r w:rsidR="00096169">
        <w:rPr>
          <w:lang w:val="fr-FR"/>
        </w:rPr>
        <w:t xml:space="preserve">à </w:t>
      </w:r>
      <w:r w:rsidRPr="00C95C11">
        <w:rPr>
          <w:lang w:val="fr-FR"/>
        </w:rPr>
        <w:t xml:space="preserve">aviser immédiatement le </w:t>
      </w:r>
      <w:r w:rsidRPr="002928E4">
        <w:rPr>
          <w:lang w:val="fr-FR"/>
        </w:rPr>
        <w:t xml:space="preserve">procureur de la </w:t>
      </w:r>
      <w:r w:rsidR="00853A9E" w:rsidRPr="003D7E85">
        <w:rPr>
          <w:lang w:val="fr-FR"/>
        </w:rPr>
        <w:t>R</w:t>
      </w:r>
      <w:r w:rsidRPr="00A07014">
        <w:rPr>
          <w:lang w:val="fr-FR"/>
        </w:rPr>
        <w:t>épublique</w:t>
      </w:r>
      <w:r w:rsidRPr="002928E4">
        <w:rPr>
          <w:lang w:val="fr-FR"/>
        </w:rPr>
        <w:t xml:space="preserve"> de</w:t>
      </w:r>
      <w:r w:rsidRPr="00C95C11">
        <w:rPr>
          <w:lang w:val="fr-FR"/>
        </w:rPr>
        <w:t xml:space="preserve"> toute interpellation, les agents de police judiciaire </w:t>
      </w:r>
      <w:r w:rsidR="00853A9E" w:rsidRPr="003D7E85">
        <w:rPr>
          <w:lang w:val="fr-FR"/>
        </w:rPr>
        <w:t>de la sécurité militaire</w:t>
      </w:r>
      <w:r w:rsidRPr="00C95C11">
        <w:rPr>
          <w:lang w:val="fr-FR"/>
        </w:rPr>
        <w:t xml:space="preserve"> n’ont informé celui-ci ni le 28</w:t>
      </w:r>
      <w:r w:rsidR="00096169">
        <w:rPr>
          <w:lang w:val="fr-FR"/>
        </w:rPr>
        <w:t> </w:t>
      </w:r>
      <w:r w:rsidRPr="00C95C11">
        <w:rPr>
          <w:lang w:val="fr-FR"/>
        </w:rPr>
        <w:t>septembre 2009, date de l’arrestation de l’auteur selon l’</w:t>
      </w:r>
      <w:r w:rsidR="00C02EFE" w:rsidRPr="00884EA8">
        <w:rPr>
          <w:lang w:val="fr-FR"/>
        </w:rPr>
        <w:t>État</w:t>
      </w:r>
      <w:r w:rsidRPr="00C95C11">
        <w:rPr>
          <w:lang w:val="fr-FR"/>
        </w:rPr>
        <w:t xml:space="preserve"> partie ni le 17</w:t>
      </w:r>
      <w:r w:rsidR="00C02EFE">
        <w:rPr>
          <w:lang w:val="fr-FR"/>
        </w:rPr>
        <w:t> </w:t>
      </w:r>
      <w:r w:rsidRPr="00C95C11">
        <w:rPr>
          <w:lang w:val="fr-FR"/>
        </w:rPr>
        <w:t xml:space="preserve">septembre 2009, date de son arrestation réelle. C’est ce </w:t>
      </w:r>
      <w:r w:rsidR="00853A9E" w:rsidRPr="003D7E85">
        <w:rPr>
          <w:lang w:val="fr-FR"/>
        </w:rPr>
        <w:t>qui</w:t>
      </w:r>
      <w:r w:rsidRPr="00C95C11">
        <w:rPr>
          <w:lang w:val="fr-FR"/>
        </w:rPr>
        <w:t xml:space="preserve"> ressort du dossier judiciaire de l’auteur.</w:t>
      </w:r>
    </w:p>
    <w:p w:rsidR="009963FD" w:rsidRPr="003D7E85" w:rsidRDefault="009963FD">
      <w:pPr>
        <w:pStyle w:val="SingleTxtG"/>
        <w:rPr>
          <w:lang w:val="fr-FR"/>
        </w:rPr>
      </w:pPr>
      <w:r w:rsidRPr="00C95C11">
        <w:rPr>
          <w:lang w:val="fr-FR"/>
        </w:rPr>
        <w:t>5.6</w:t>
      </w:r>
      <w:r w:rsidRPr="00C95C11">
        <w:rPr>
          <w:lang w:val="fr-FR"/>
        </w:rPr>
        <w:tab/>
        <w:t xml:space="preserve">Lorsqu’une personne est arrêtée et placée en garde à vue, les officiers de la police judiciaire doivent en informer immédiatement le </w:t>
      </w:r>
      <w:r w:rsidRPr="002928E4">
        <w:rPr>
          <w:lang w:val="fr-FR"/>
        </w:rPr>
        <w:t>procureur</w:t>
      </w:r>
      <w:r w:rsidRPr="00C95C11">
        <w:rPr>
          <w:lang w:val="fr-FR"/>
        </w:rPr>
        <w:t xml:space="preserve"> de la République et lui soumettre un rapport sur les motifs de la garde à </w:t>
      </w:r>
      <w:r w:rsidRPr="003D7E85">
        <w:rPr>
          <w:lang w:val="fr-FR"/>
        </w:rPr>
        <w:t>vue (</w:t>
      </w:r>
      <w:r w:rsidR="00853A9E" w:rsidRPr="003D7E85">
        <w:rPr>
          <w:lang w:val="fr-FR"/>
        </w:rPr>
        <w:t>article 51 du Code de procédure</w:t>
      </w:r>
      <w:r w:rsidRPr="003D7E85">
        <w:rPr>
          <w:lang w:val="fr-FR"/>
        </w:rPr>
        <w:t xml:space="preserve"> pénale). Aucun document joint au dossier de l’enquête préliminaire n’atteste de ce que cette exigence a été respectée. Lorsque la garde à vue doit être prolongée au-delà de </w:t>
      </w:r>
      <w:r w:rsidR="004D0428" w:rsidRPr="003D7E85">
        <w:rPr>
          <w:lang w:val="fr-FR"/>
        </w:rPr>
        <w:t xml:space="preserve">quarante-huit </w:t>
      </w:r>
      <w:r w:rsidRPr="003D7E85">
        <w:rPr>
          <w:lang w:val="fr-FR"/>
        </w:rPr>
        <w:t xml:space="preserve">heures, les officiers de police judiciaire doivent présenter la personne arrêtée au procureur, qui l’auditionne, puis décide si sa détention doit être prolongée. Toute prolongation de la garde à vue doit faire l’objet d’une autorisation écrite par le procureur de la République compétent en vertu de </w:t>
      </w:r>
      <w:r w:rsidR="00853A9E" w:rsidRPr="003D7E85">
        <w:rPr>
          <w:lang w:val="fr-FR"/>
        </w:rPr>
        <w:t>l’article 65 du Code de procédure pénale</w:t>
      </w:r>
      <w:r w:rsidRPr="003D7E85">
        <w:rPr>
          <w:lang w:val="fr-FR"/>
        </w:rPr>
        <w:t xml:space="preserve">. En l’espèce, le premier acte de procédure du Procureur de la République date du 6 octobre 2009. Or, </w:t>
      </w:r>
      <w:r w:rsidRPr="003D7E85">
        <w:rPr>
          <w:lang w:val="fr-FR"/>
        </w:rPr>
        <w:lastRenderedPageBreak/>
        <w:t xml:space="preserve">l’ensemble des procédures écrites doivent figurer au dossier de l’enquête préliminaire selon le </w:t>
      </w:r>
      <w:r w:rsidR="001B0413" w:rsidRPr="003D7E85">
        <w:rPr>
          <w:lang w:val="fr-FR"/>
        </w:rPr>
        <w:t xml:space="preserve">Code </w:t>
      </w:r>
      <w:r w:rsidRPr="003D7E85">
        <w:rPr>
          <w:lang w:val="fr-FR"/>
        </w:rPr>
        <w:t>de procédure pénale algérien.</w:t>
      </w:r>
    </w:p>
    <w:p w:rsidR="009963FD" w:rsidRPr="00C95C11" w:rsidRDefault="009963FD" w:rsidP="002A0104">
      <w:pPr>
        <w:pStyle w:val="SingleTxtG"/>
        <w:rPr>
          <w:lang w:val="fr-FR"/>
        </w:rPr>
      </w:pPr>
      <w:r w:rsidRPr="003D7E85">
        <w:rPr>
          <w:lang w:val="fr-FR"/>
        </w:rPr>
        <w:t>5.7</w:t>
      </w:r>
      <w:r w:rsidRPr="003D7E85">
        <w:rPr>
          <w:lang w:val="fr-FR"/>
        </w:rPr>
        <w:tab/>
        <w:t xml:space="preserve">En violation des articles </w:t>
      </w:r>
      <w:r w:rsidR="00853A9E" w:rsidRPr="003D7E85">
        <w:rPr>
          <w:lang w:val="fr-FR"/>
        </w:rPr>
        <w:t>52 et 53 du Code de procédure pénale</w:t>
      </w:r>
      <w:r w:rsidRPr="003D7E85">
        <w:rPr>
          <w:lang w:val="fr-FR"/>
        </w:rPr>
        <w:t>,</w:t>
      </w:r>
      <w:r w:rsidRPr="00C95C11">
        <w:rPr>
          <w:lang w:val="fr-FR"/>
        </w:rPr>
        <w:t xml:space="preserve"> </w:t>
      </w:r>
      <w:r w:rsidR="00413085">
        <w:rPr>
          <w:lang w:val="fr-FR"/>
        </w:rPr>
        <w:t xml:space="preserve">l’auteur </w:t>
      </w:r>
      <w:r w:rsidRPr="00C95C11">
        <w:rPr>
          <w:lang w:val="fr-FR"/>
        </w:rPr>
        <w:t>n</w:t>
      </w:r>
      <w:r w:rsidR="00CC33C6" w:rsidRPr="00C95C11">
        <w:rPr>
          <w:lang w:val="fr-FR"/>
        </w:rPr>
        <w:t>’</w:t>
      </w:r>
      <w:r w:rsidRPr="00C95C11">
        <w:rPr>
          <w:lang w:val="fr-FR"/>
        </w:rPr>
        <w:t xml:space="preserve">a pas été notifié </w:t>
      </w:r>
      <w:r w:rsidR="00413085">
        <w:rPr>
          <w:lang w:val="fr-FR"/>
        </w:rPr>
        <w:t xml:space="preserve">de </w:t>
      </w:r>
      <w:r w:rsidRPr="00C95C11">
        <w:rPr>
          <w:lang w:val="fr-FR"/>
        </w:rPr>
        <w:t xml:space="preserve">la possibilité d’avoir un contact avec sa famille et n’a pas été examiné par un médecin à l’issue de sa garde à vue. En outre, comme mentionné dans la teneur de la plainte, le procès-verbal d’audition </w:t>
      </w:r>
      <w:r w:rsidR="00D96586" w:rsidRPr="00C95C11">
        <w:rPr>
          <w:lang w:val="fr-FR"/>
        </w:rPr>
        <w:t xml:space="preserve">devant </w:t>
      </w:r>
      <w:r w:rsidRPr="00C95C11">
        <w:rPr>
          <w:lang w:val="fr-FR"/>
        </w:rPr>
        <w:t>le juge d</w:t>
      </w:r>
      <w:r w:rsidR="00CC33C6" w:rsidRPr="00C95C11">
        <w:rPr>
          <w:lang w:val="fr-FR"/>
        </w:rPr>
        <w:t>’</w:t>
      </w:r>
      <w:r w:rsidRPr="00C95C11">
        <w:rPr>
          <w:lang w:val="fr-FR"/>
        </w:rPr>
        <w:t xml:space="preserve">instruction ne mentionne pas la durée des interrogatoires </w:t>
      </w:r>
      <w:r w:rsidR="00413085">
        <w:rPr>
          <w:lang w:val="fr-FR"/>
        </w:rPr>
        <w:t xml:space="preserve">ni des </w:t>
      </w:r>
      <w:r w:rsidRPr="00C95C11">
        <w:rPr>
          <w:lang w:val="fr-FR"/>
        </w:rPr>
        <w:t>repos entre ces interrogatoires.</w:t>
      </w:r>
    </w:p>
    <w:p w:rsidR="009963FD" w:rsidRPr="00C95C11" w:rsidRDefault="009963FD" w:rsidP="002A0104">
      <w:pPr>
        <w:pStyle w:val="SingleTxtG"/>
        <w:rPr>
          <w:lang w:val="fr-FR"/>
        </w:rPr>
      </w:pPr>
      <w:r w:rsidRPr="00C95C11">
        <w:rPr>
          <w:lang w:val="fr-FR"/>
        </w:rPr>
        <w:t>5.8</w:t>
      </w:r>
      <w:r w:rsidRPr="00C95C11">
        <w:rPr>
          <w:lang w:val="fr-FR"/>
        </w:rPr>
        <w:tab/>
        <w:t>L’auteur a été auditionné pour la première fois par le juge d’instruction entre minuit et quat</w:t>
      </w:r>
      <w:r w:rsidR="00413085">
        <w:rPr>
          <w:lang w:val="fr-FR"/>
        </w:rPr>
        <w:t>r</w:t>
      </w:r>
      <w:r w:rsidRPr="00C95C11">
        <w:rPr>
          <w:lang w:val="fr-FR"/>
        </w:rPr>
        <w:t xml:space="preserve">e heures du matin, après </w:t>
      </w:r>
      <w:r w:rsidR="0052583A">
        <w:rPr>
          <w:lang w:val="fr-FR"/>
        </w:rPr>
        <w:t>vingt jours</w:t>
      </w:r>
      <w:r w:rsidRPr="00C95C11">
        <w:rPr>
          <w:lang w:val="fr-FR"/>
        </w:rPr>
        <w:t xml:space="preserve"> d’interrogatoire. </w:t>
      </w:r>
      <w:r w:rsidR="00413085">
        <w:rPr>
          <w:lang w:val="fr-FR"/>
        </w:rPr>
        <w:t>Étant d</w:t>
      </w:r>
      <w:r w:rsidRPr="00C95C11">
        <w:rPr>
          <w:lang w:val="fr-FR"/>
        </w:rPr>
        <w:t xml:space="preserve">ans un état d’extrême fatigue et </w:t>
      </w:r>
      <w:r w:rsidR="00413085">
        <w:rPr>
          <w:lang w:val="fr-FR"/>
        </w:rPr>
        <w:t xml:space="preserve">craignant </w:t>
      </w:r>
      <w:r w:rsidRPr="00C95C11">
        <w:rPr>
          <w:lang w:val="fr-FR"/>
        </w:rPr>
        <w:t>de</w:t>
      </w:r>
      <w:r w:rsidR="00413085">
        <w:rPr>
          <w:lang w:val="fr-FR"/>
        </w:rPr>
        <w:t>s</w:t>
      </w:r>
      <w:r w:rsidRPr="00C95C11">
        <w:rPr>
          <w:lang w:val="fr-FR"/>
        </w:rPr>
        <w:t xml:space="preserve"> représailles, l’auteur n’a pas osé soumettre ses allégations de torture à cette occasion.</w:t>
      </w:r>
    </w:p>
    <w:p w:rsidR="009963FD" w:rsidRPr="00C95C11" w:rsidRDefault="009963FD">
      <w:pPr>
        <w:pStyle w:val="SingleTxtG"/>
        <w:rPr>
          <w:lang w:val="fr-FR"/>
        </w:rPr>
      </w:pPr>
      <w:r w:rsidRPr="00C95C11">
        <w:rPr>
          <w:lang w:val="fr-FR"/>
        </w:rPr>
        <w:t>5.9</w:t>
      </w:r>
      <w:r w:rsidRPr="00C95C11">
        <w:rPr>
          <w:lang w:val="fr-FR"/>
        </w:rPr>
        <w:tab/>
        <w:t>L’auteur considère qu’il a été victime d’une disparition forcée</w:t>
      </w:r>
      <w:r w:rsidRPr="00C95C11">
        <w:rPr>
          <w:rStyle w:val="FootnoteReference"/>
          <w:lang w:val="fr-FR"/>
        </w:rPr>
        <w:footnoteReference w:id="10"/>
      </w:r>
      <w:r w:rsidRPr="00C95C11">
        <w:rPr>
          <w:lang w:val="fr-FR"/>
        </w:rPr>
        <w:t xml:space="preserve"> en conformité avec la définition de la déclaration des Nations Unies sur les disparitions forcées. L’auteur a été arrêté le 17 septembre 2009, date sur laquelle l’</w:t>
      </w:r>
      <w:r w:rsidR="003B0EEF" w:rsidRPr="00884EA8">
        <w:rPr>
          <w:lang w:val="fr-FR"/>
        </w:rPr>
        <w:t>État</w:t>
      </w:r>
      <w:r w:rsidRPr="00C95C11">
        <w:rPr>
          <w:lang w:val="fr-FR"/>
        </w:rPr>
        <w:t xml:space="preserve"> partie ne donne aucune explication. Aucune indication de l’heure, de la date et des autorités ayant procédé à l’arrestation ne figure au dossier et le </w:t>
      </w:r>
      <w:r w:rsidR="00413085">
        <w:rPr>
          <w:lang w:val="fr-FR"/>
        </w:rPr>
        <w:t>P</w:t>
      </w:r>
      <w:r w:rsidRPr="00C95C11">
        <w:rPr>
          <w:lang w:val="fr-FR"/>
        </w:rPr>
        <w:t>rocureur de la République qui a dû</w:t>
      </w:r>
      <w:r w:rsidR="00413085">
        <w:rPr>
          <w:lang w:val="fr-FR"/>
        </w:rPr>
        <w:t>,</w:t>
      </w:r>
      <w:r w:rsidRPr="00C95C11">
        <w:rPr>
          <w:lang w:val="fr-FR"/>
        </w:rPr>
        <w:t xml:space="preserve"> en </w:t>
      </w:r>
      <w:r w:rsidRPr="00413085">
        <w:rPr>
          <w:lang w:val="fr-FR"/>
        </w:rPr>
        <w:t>tout</w:t>
      </w:r>
      <w:r w:rsidRPr="00C95C11">
        <w:rPr>
          <w:lang w:val="fr-FR"/>
        </w:rPr>
        <w:t xml:space="preserve"> cas</w:t>
      </w:r>
      <w:r w:rsidR="00413085">
        <w:rPr>
          <w:lang w:val="fr-FR"/>
        </w:rPr>
        <w:t>,</w:t>
      </w:r>
      <w:r w:rsidRPr="00C95C11">
        <w:rPr>
          <w:lang w:val="fr-FR"/>
        </w:rPr>
        <w:t xml:space="preserve"> être informé de la disparition de l’auteur par l’intermédiaire du consulat d’Algérie </w:t>
      </w:r>
      <w:r w:rsidRPr="002C7A0E">
        <w:rPr>
          <w:lang w:val="fr-FR"/>
        </w:rPr>
        <w:t>à Bruxelles (représentant les intérêts algériens au Luxembourg</w:t>
      </w:r>
      <w:r w:rsidRPr="00C95C11">
        <w:rPr>
          <w:lang w:val="fr-FR"/>
        </w:rPr>
        <w:t xml:space="preserve">) alerté par la famille de l’auteur, n’a pas saisi la chambre d’accusation de la </w:t>
      </w:r>
      <w:r w:rsidR="00196FAB">
        <w:rPr>
          <w:lang w:val="fr-FR"/>
        </w:rPr>
        <w:t>c</w:t>
      </w:r>
      <w:r w:rsidRPr="00C95C11">
        <w:rPr>
          <w:lang w:val="fr-FR"/>
        </w:rPr>
        <w:t>our d’appel d’Alger pour s’enquérir du sort de l’auteur. La famille a maintes fois tenté de joindre l’auteur sur son téléphone portable, en vain.</w:t>
      </w:r>
    </w:p>
    <w:p w:rsidR="009963FD" w:rsidRPr="003D7E85" w:rsidRDefault="009963FD">
      <w:pPr>
        <w:pStyle w:val="SingleTxtG"/>
        <w:rPr>
          <w:lang w:val="fr-FR"/>
        </w:rPr>
      </w:pPr>
      <w:r w:rsidRPr="00C95C11">
        <w:rPr>
          <w:lang w:val="fr-FR"/>
        </w:rPr>
        <w:t>5.10</w:t>
      </w:r>
      <w:r w:rsidR="002A0104" w:rsidRPr="00C95C11">
        <w:rPr>
          <w:lang w:val="fr-FR"/>
        </w:rPr>
        <w:tab/>
      </w:r>
      <w:r w:rsidRPr="00C95C11">
        <w:rPr>
          <w:lang w:val="fr-FR"/>
        </w:rPr>
        <w:t>S’agissant de la violation alléguée de l’article 9, l’auteur note que selon l’</w:t>
      </w:r>
      <w:r w:rsidR="003B0EEF" w:rsidRPr="00884EA8">
        <w:rPr>
          <w:lang w:val="fr-FR"/>
        </w:rPr>
        <w:t>État</w:t>
      </w:r>
      <w:r w:rsidRPr="00C95C11">
        <w:rPr>
          <w:lang w:val="fr-FR"/>
        </w:rPr>
        <w:t xml:space="preserve"> partie, le </w:t>
      </w:r>
      <w:r w:rsidR="00413085">
        <w:rPr>
          <w:lang w:val="fr-FR"/>
        </w:rPr>
        <w:t>P</w:t>
      </w:r>
      <w:r w:rsidRPr="00C95C11">
        <w:rPr>
          <w:lang w:val="fr-FR"/>
        </w:rPr>
        <w:t xml:space="preserve">rocureur général aurait directement reçu des officiers de police judiciaire un rapport </w:t>
      </w:r>
      <w:r w:rsidR="00413085">
        <w:rPr>
          <w:lang w:val="fr-FR"/>
        </w:rPr>
        <w:t xml:space="preserve">indiquant </w:t>
      </w:r>
      <w:r w:rsidRPr="00C95C11">
        <w:rPr>
          <w:lang w:val="fr-FR"/>
        </w:rPr>
        <w:t>que l’arrestation de l’auteur aurait eu lieu le 28 septembre</w:t>
      </w:r>
      <w:r w:rsidR="00413085">
        <w:rPr>
          <w:lang w:val="fr-FR"/>
        </w:rPr>
        <w:t>,</w:t>
      </w:r>
      <w:r w:rsidRPr="00C95C11">
        <w:rPr>
          <w:lang w:val="fr-FR"/>
        </w:rPr>
        <w:t xml:space="preserve"> et non le 17</w:t>
      </w:r>
      <w:r w:rsidR="002C7A0E">
        <w:rPr>
          <w:lang w:val="fr-FR"/>
        </w:rPr>
        <w:t> </w:t>
      </w:r>
      <w:r w:rsidRPr="00C95C11">
        <w:rPr>
          <w:lang w:val="fr-FR"/>
        </w:rPr>
        <w:t>septembre 2009 comme l’atteste l’auteur</w:t>
      </w:r>
      <w:r w:rsidR="00413085">
        <w:rPr>
          <w:lang w:val="fr-FR"/>
        </w:rPr>
        <w:t>,</w:t>
      </w:r>
      <w:r w:rsidRPr="00C95C11">
        <w:rPr>
          <w:lang w:val="fr-FR"/>
        </w:rPr>
        <w:t xml:space="preserve"> et que la durée de la garde à vue aurait donc duré </w:t>
      </w:r>
      <w:r w:rsidR="004D0428">
        <w:rPr>
          <w:lang w:val="fr-FR"/>
        </w:rPr>
        <w:t xml:space="preserve">huit </w:t>
      </w:r>
      <w:r w:rsidRPr="00C95C11">
        <w:rPr>
          <w:lang w:val="fr-FR"/>
        </w:rPr>
        <w:t xml:space="preserve">jours et aurait été autorisée par le </w:t>
      </w:r>
      <w:r w:rsidR="00413085" w:rsidRPr="003D7E85">
        <w:rPr>
          <w:lang w:val="fr-FR"/>
        </w:rPr>
        <w:t>P</w:t>
      </w:r>
      <w:r w:rsidRPr="003D7E85">
        <w:rPr>
          <w:lang w:val="fr-FR"/>
        </w:rPr>
        <w:t xml:space="preserve">rocureur de </w:t>
      </w:r>
      <w:r w:rsidR="00853A9E" w:rsidRPr="003D7E85">
        <w:rPr>
          <w:lang w:val="fr-FR"/>
        </w:rPr>
        <w:t>Bir Mourad Raïs</w:t>
      </w:r>
      <w:r w:rsidRPr="003D7E85">
        <w:rPr>
          <w:lang w:val="fr-FR"/>
        </w:rPr>
        <w:t xml:space="preserve"> en conformité avec </w:t>
      </w:r>
      <w:r w:rsidR="00853A9E" w:rsidRPr="003D7E85">
        <w:rPr>
          <w:lang w:val="fr-FR"/>
        </w:rPr>
        <w:t>l’article 65</w:t>
      </w:r>
      <w:r w:rsidRPr="003D7E85">
        <w:rPr>
          <w:lang w:val="fr-FR"/>
        </w:rPr>
        <w:t xml:space="preserve"> du </w:t>
      </w:r>
      <w:r w:rsidR="001B0413" w:rsidRPr="003D7E85">
        <w:rPr>
          <w:lang w:val="fr-FR"/>
        </w:rPr>
        <w:t xml:space="preserve">Code </w:t>
      </w:r>
      <w:r w:rsidRPr="003D7E85">
        <w:rPr>
          <w:lang w:val="fr-FR"/>
        </w:rPr>
        <w:t xml:space="preserve">de procédure pénale. Or, </w:t>
      </w:r>
      <w:r w:rsidR="00413085" w:rsidRPr="003D7E85">
        <w:rPr>
          <w:lang w:val="fr-FR"/>
        </w:rPr>
        <w:t xml:space="preserve">le dossier judiciaire ne comporte </w:t>
      </w:r>
      <w:r w:rsidRPr="003D7E85">
        <w:rPr>
          <w:lang w:val="fr-FR"/>
        </w:rPr>
        <w:t xml:space="preserve">aucun rapport </w:t>
      </w:r>
      <w:r w:rsidR="00A137B3" w:rsidRPr="003D7E85">
        <w:rPr>
          <w:lang w:val="fr-FR"/>
        </w:rPr>
        <w:t xml:space="preserve">ni aucune </w:t>
      </w:r>
      <w:r w:rsidRPr="003D7E85">
        <w:rPr>
          <w:lang w:val="fr-FR"/>
        </w:rPr>
        <w:t xml:space="preserve">trace de ces démarches, en violation des </w:t>
      </w:r>
      <w:r w:rsidR="00853A9E" w:rsidRPr="003D7E85">
        <w:rPr>
          <w:lang w:val="fr-FR"/>
        </w:rPr>
        <w:t xml:space="preserve">articles 68 et 68 </w:t>
      </w:r>
      <w:r w:rsidR="00853A9E" w:rsidRPr="003D7E85">
        <w:rPr>
          <w:i/>
          <w:lang w:val="fr-FR"/>
        </w:rPr>
        <w:t>bis</w:t>
      </w:r>
      <w:r w:rsidR="00853A9E" w:rsidRPr="003D7E85">
        <w:rPr>
          <w:lang w:val="fr-FR"/>
        </w:rPr>
        <w:t xml:space="preserve"> du Code de procédure pénale</w:t>
      </w:r>
      <w:r w:rsidRPr="003D7E85">
        <w:rPr>
          <w:lang w:val="fr-FR"/>
        </w:rPr>
        <w:t xml:space="preserve">. L’auteur note en outre que le rapport sur les motifs de la garde à vue, celui d’une autorisation de la détention par le </w:t>
      </w:r>
      <w:r w:rsidR="00C33A1E" w:rsidRPr="003D7E85">
        <w:rPr>
          <w:lang w:val="fr-FR"/>
        </w:rPr>
        <w:t>P</w:t>
      </w:r>
      <w:r w:rsidRPr="003D7E85">
        <w:rPr>
          <w:lang w:val="fr-FR"/>
        </w:rPr>
        <w:t xml:space="preserve">rocureur de la République et celui sur l’autorisation du </w:t>
      </w:r>
      <w:r w:rsidR="00C33A1E" w:rsidRPr="003D7E85">
        <w:rPr>
          <w:lang w:val="fr-FR"/>
        </w:rPr>
        <w:t>P</w:t>
      </w:r>
      <w:r w:rsidRPr="003D7E85">
        <w:rPr>
          <w:lang w:val="fr-FR"/>
        </w:rPr>
        <w:t>rocureur de la République de prolonger la garde à vue ne figurent pas au dossier, rendant donc la détention de l’auteur arbitraire en violation de l’article 9 du Pacte.</w:t>
      </w:r>
    </w:p>
    <w:p w:rsidR="009963FD" w:rsidRPr="00C95C11" w:rsidRDefault="009963FD">
      <w:pPr>
        <w:autoSpaceDN w:val="0"/>
        <w:spacing w:after="120" w:line="240" w:lineRule="auto"/>
        <w:ind w:left="1134" w:right="1134"/>
        <w:jc w:val="both"/>
        <w:textAlignment w:val="baseline"/>
        <w:rPr>
          <w:kern w:val="3"/>
          <w:lang w:val="fr-FR"/>
        </w:rPr>
      </w:pPr>
      <w:r w:rsidRPr="003D7E85">
        <w:rPr>
          <w:kern w:val="3"/>
          <w:lang w:val="fr-FR"/>
        </w:rPr>
        <w:t>5.11</w:t>
      </w:r>
      <w:r w:rsidR="002A0104" w:rsidRPr="003D7E85">
        <w:rPr>
          <w:kern w:val="3"/>
          <w:lang w:val="fr-FR"/>
        </w:rPr>
        <w:tab/>
      </w:r>
      <w:r w:rsidRPr="003D7E85">
        <w:rPr>
          <w:kern w:val="3"/>
          <w:lang w:val="fr-FR"/>
        </w:rPr>
        <w:t xml:space="preserve">S’agissant de l’article 7, outre la plainte soumise au Procureur </w:t>
      </w:r>
      <w:r w:rsidR="00C33A1E" w:rsidRPr="003D7E85">
        <w:rPr>
          <w:kern w:val="3"/>
          <w:lang w:val="fr-FR"/>
        </w:rPr>
        <w:t>g</w:t>
      </w:r>
      <w:r w:rsidRPr="003D7E85">
        <w:rPr>
          <w:kern w:val="3"/>
          <w:lang w:val="fr-FR"/>
        </w:rPr>
        <w:t xml:space="preserve">énéral le </w:t>
      </w:r>
      <w:r w:rsidR="00853A9E" w:rsidRPr="003D7E85">
        <w:rPr>
          <w:kern w:val="3"/>
          <w:lang w:val="fr-FR"/>
        </w:rPr>
        <w:t>3 novembre 2011</w:t>
      </w:r>
      <w:r w:rsidRPr="003D7E85">
        <w:rPr>
          <w:kern w:val="3"/>
          <w:lang w:val="fr-FR"/>
        </w:rPr>
        <w:t>, l’auteur a</w:t>
      </w:r>
      <w:r w:rsidR="00C33A1E" w:rsidRPr="003D7E85">
        <w:rPr>
          <w:kern w:val="3"/>
          <w:lang w:val="fr-FR"/>
        </w:rPr>
        <w:t>vait</w:t>
      </w:r>
      <w:r w:rsidRPr="003D7E85">
        <w:rPr>
          <w:kern w:val="3"/>
          <w:lang w:val="fr-FR"/>
        </w:rPr>
        <w:t xml:space="preserve"> </w:t>
      </w:r>
      <w:r w:rsidR="00C33A1E" w:rsidRPr="003D7E85">
        <w:rPr>
          <w:kern w:val="3"/>
          <w:lang w:val="fr-FR"/>
        </w:rPr>
        <w:t xml:space="preserve">déjà </w:t>
      </w:r>
      <w:r w:rsidRPr="003D7E85">
        <w:rPr>
          <w:kern w:val="3"/>
          <w:lang w:val="fr-FR"/>
        </w:rPr>
        <w:t>parlé</w:t>
      </w:r>
      <w:r w:rsidR="00C33A1E" w:rsidRPr="003D7E85">
        <w:rPr>
          <w:kern w:val="3"/>
          <w:lang w:val="fr-FR"/>
        </w:rPr>
        <w:t xml:space="preserve">, lors de son audition du </w:t>
      </w:r>
      <w:r w:rsidR="00853A9E" w:rsidRPr="003D7E85">
        <w:rPr>
          <w:kern w:val="3"/>
          <w:lang w:val="fr-FR"/>
        </w:rPr>
        <w:t>17 novembre 2009</w:t>
      </w:r>
      <w:r w:rsidR="00C33A1E" w:rsidRPr="003D7E85">
        <w:rPr>
          <w:kern w:val="3"/>
          <w:lang w:val="fr-FR"/>
        </w:rPr>
        <w:t xml:space="preserve"> devant</w:t>
      </w:r>
      <w:r w:rsidR="00C33A1E" w:rsidRPr="00C95C11">
        <w:rPr>
          <w:kern w:val="3"/>
          <w:lang w:val="fr-FR"/>
        </w:rPr>
        <w:t xml:space="preserve"> le juge d’instruction</w:t>
      </w:r>
      <w:r w:rsidR="00C33A1E">
        <w:rPr>
          <w:kern w:val="3"/>
          <w:lang w:val="fr-FR"/>
        </w:rPr>
        <w:t>,</w:t>
      </w:r>
      <w:r w:rsidRPr="00C95C11">
        <w:rPr>
          <w:kern w:val="3"/>
          <w:lang w:val="fr-FR"/>
        </w:rPr>
        <w:t xml:space="preserve"> d’humiliation durant sa garde à vue, « humiliations au point d’arriver au sentiment qu’il n’était plus un être humain ». Il a aussi mentionné avoir été privé de sommeil, avoir souffert d’un manque d’hygiène et </w:t>
      </w:r>
      <w:r w:rsidR="00C33A1E">
        <w:rPr>
          <w:kern w:val="3"/>
          <w:lang w:val="fr-FR"/>
        </w:rPr>
        <w:t xml:space="preserve">avoir été privé </w:t>
      </w:r>
      <w:r w:rsidRPr="00C95C11">
        <w:rPr>
          <w:kern w:val="3"/>
          <w:lang w:val="fr-FR"/>
        </w:rPr>
        <w:t>de tout contact avec l’extérieur. L’auteur rappelle la jurisprudence du Comité selon laquelle une détention au secret avec privation de tout lien avec l’extérieur constitue en soi une violation de l’article</w:t>
      </w:r>
      <w:r w:rsidR="00C33A1E">
        <w:rPr>
          <w:kern w:val="3"/>
          <w:lang w:val="fr-FR"/>
        </w:rPr>
        <w:t> </w:t>
      </w:r>
      <w:r w:rsidRPr="00C95C11">
        <w:rPr>
          <w:kern w:val="3"/>
          <w:lang w:val="fr-FR"/>
        </w:rPr>
        <w:t>7 du Pacte</w:t>
      </w:r>
      <w:r w:rsidRPr="00C95C11">
        <w:rPr>
          <w:rStyle w:val="FootnoteReference"/>
          <w:lang w:val="fr-FR"/>
        </w:rPr>
        <w:footnoteReference w:id="11"/>
      </w:r>
      <w:r w:rsidRPr="00C95C11">
        <w:rPr>
          <w:kern w:val="3"/>
          <w:lang w:val="fr-FR"/>
        </w:rPr>
        <w:t>.</w:t>
      </w:r>
      <w:r w:rsidR="00ED044B" w:rsidRPr="00C95C11">
        <w:rPr>
          <w:kern w:val="3"/>
          <w:lang w:val="fr-FR"/>
        </w:rPr>
        <w:t xml:space="preserve"> </w:t>
      </w:r>
      <w:r w:rsidRPr="00C95C11">
        <w:rPr>
          <w:kern w:val="3"/>
          <w:lang w:val="fr-FR"/>
        </w:rPr>
        <w:t>Contrairement aux affirmations de l’</w:t>
      </w:r>
      <w:r w:rsidR="003B0EEF" w:rsidRPr="00884EA8">
        <w:rPr>
          <w:kern w:val="3"/>
          <w:lang w:val="fr-FR"/>
        </w:rPr>
        <w:t>État</w:t>
      </w:r>
      <w:r w:rsidRPr="00C95C11">
        <w:rPr>
          <w:kern w:val="3"/>
          <w:lang w:val="fr-FR"/>
        </w:rPr>
        <w:t xml:space="preserve"> partie, d’autres coaccusés dans l’affaire dite de l’autoroute </w:t>
      </w:r>
      <w:r w:rsidR="005778A9">
        <w:rPr>
          <w:kern w:val="3"/>
          <w:lang w:val="fr-FR"/>
        </w:rPr>
        <w:t>e</w:t>
      </w:r>
      <w:r w:rsidRPr="00C95C11">
        <w:rPr>
          <w:kern w:val="3"/>
          <w:lang w:val="fr-FR"/>
        </w:rPr>
        <w:t>st-</w:t>
      </w:r>
      <w:r w:rsidR="005778A9">
        <w:rPr>
          <w:kern w:val="3"/>
          <w:lang w:val="fr-FR"/>
        </w:rPr>
        <w:t>o</w:t>
      </w:r>
      <w:r w:rsidRPr="00C95C11">
        <w:rPr>
          <w:kern w:val="3"/>
          <w:lang w:val="fr-FR"/>
        </w:rPr>
        <w:t xml:space="preserve">uest ont allégué avoir été victimes d’actes de torture, notamment un des coaccusés dans un </w:t>
      </w:r>
      <w:r w:rsidR="004D0428">
        <w:rPr>
          <w:kern w:val="3"/>
          <w:lang w:val="fr-FR"/>
        </w:rPr>
        <w:t>procès-verbal</w:t>
      </w:r>
      <w:r w:rsidRPr="00C95C11">
        <w:rPr>
          <w:kern w:val="3"/>
          <w:lang w:val="fr-FR"/>
        </w:rPr>
        <w:t xml:space="preserve"> d’audition du 18</w:t>
      </w:r>
      <w:r w:rsidR="00C33A1E">
        <w:rPr>
          <w:kern w:val="3"/>
          <w:lang w:val="fr-FR"/>
        </w:rPr>
        <w:t> </w:t>
      </w:r>
      <w:r w:rsidRPr="00C95C11">
        <w:rPr>
          <w:kern w:val="3"/>
          <w:lang w:val="fr-FR"/>
        </w:rPr>
        <w:t>novembre 2009</w:t>
      </w:r>
      <w:r w:rsidRPr="00C95C11">
        <w:rPr>
          <w:rStyle w:val="FootnoteReference"/>
          <w:lang w:val="fr-FR"/>
        </w:rPr>
        <w:footnoteReference w:id="12"/>
      </w:r>
      <w:r w:rsidRPr="00C95C11">
        <w:rPr>
          <w:kern w:val="3"/>
          <w:lang w:val="fr-FR"/>
        </w:rPr>
        <w:t>. Cette allégation erronée de l’</w:t>
      </w:r>
      <w:r w:rsidR="00CB4439" w:rsidRPr="00884EA8">
        <w:rPr>
          <w:kern w:val="3"/>
          <w:lang w:val="fr-FR"/>
        </w:rPr>
        <w:t>État</w:t>
      </w:r>
      <w:r w:rsidRPr="00C95C11">
        <w:rPr>
          <w:kern w:val="3"/>
          <w:lang w:val="fr-FR"/>
        </w:rPr>
        <w:t xml:space="preserve"> partie s’inscrit dans le cadre d’un harcèlement procédural contre l’auteur qui, selon lui, est en lien direct avec la plainte pour torture déposée en 2011.</w:t>
      </w:r>
    </w:p>
    <w:p w:rsidR="009963FD" w:rsidRPr="00C95C11" w:rsidRDefault="002A0104" w:rsidP="009963FD">
      <w:pPr>
        <w:autoSpaceDN w:val="0"/>
        <w:spacing w:after="120" w:line="240" w:lineRule="auto"/>
        <w:ind w:left="1134" w:right="1134"/>
        <w:jc w:val="both"/>
        <w:textAlignment w:val="baseline"/>
        <w:rPr>
          <w:kern w:val="3"/>
          <w:lang w:val="fr-FR"/>
        </w:rPr>
      </w:pPr>
      <w:r w:rsidRPr="00C95C11">
        <w:rPr>
          <w:kern w:val="3"/>
          <w:lang w:val="fr-FR"/>
        </w:rPr>
        <w:lastRenderedPageBreak/>
        <w:t>5.12</w:t>
      </w:r>
      <w:r w:rsidRPr="00C95C11">
        <w:rPr>
          <w:kern w:val="3"/>
          <w:lang w:val="fr-FR"/>
        </w:rPr>
        <w:tab/>
      </w:r>
      <w:r w:rsidR="009963FD" w:rsidRPr="00C95C11">
        <w:rPr>
          <w:kern w:val="3"/>
          <w:lang w:val="fr-FR"/>
        </w:rPr>
        <w:t xml:space="preserve">Par ailleurs, pour se dédouaner des allégations </w:t>
      </w:r>
      <w:r w:rsidR="009963FD" w:rsidRPr="00714277">
        <w:rPr>
          <w:kern w:val="3"/>
          <w:lang w:val="fr-FR"/>
        </w:rPr>
        <w:t>d</w:t>
      </w:r>
      <w:r w:rsidR="00853A9E" w:rsidRPr="003D7E85">
        <w:rPr>
          <w:kern w:val="3"/>
          <w:lang w:val="fr-FR"/>
        </w:rPr>
        <w:t>’acte</w:t>
      </w:r>
      <w:r w:rsidR="00714277" w:rsidRPr="00714277">
        <w:rPr>
          <w:kern w:val="3"/>
          <w:lang w:val="fr-FR"/>
        </w:rPr>
        <w:t>s</w:t>
      </w:r>
      <w:r w:rsidR="009963FD" w:rsidRPr="00C95C11">
        <w:rPr>
          <w:kern w:val="3"/>
          <w:lang w:val="fr-FR"/>
        </w:rPr>
        <w:t xml:space="preserve"> de torture, l’</w:t>
      </w:r>
      <w:r w:rsidR="00CB4439" w:rsidRPr="00884EA8">
        <w:rPr>
          <w:kern w:val="3"/>
          <w:lang w:val="fr-FR"/>
        </w:rPr>
        <w:t>État</w:t>
      </w:r>
      <w:r w:rsidR="009963FD" w:rsidRPr="00C95C11">
        <w:rPr>
          <w:kern w:val="3"/>
          <w:lang w:val="fr-FR"/>
        </w:rPr>
        <w:t xml:space="preserve"> partie s’appuie sur une fiche médicale établie au cours de la garde à vue</w:t>
      </w:r>
      <w:r w:rsidR="009963FD" w:rsidRPr="00C95C11">
        <w:rPr>
          <w:rStyle w:val="FootnoteReference"/>
          <w:lang w:val="fr-FR"/>
        </w:rPr>
        <w:footnoteReference w:id="13"/>
      </w:r>
      <w:r w:rsidR="009963FD" w:rsidRPr="00C95C11">
        <w:rPr>
          <w:kern w:val="3"/>
          <w:lang w:val="fr-FR"/>
        </w:rPr>
        <w:t>. Or, ce document est anonyme et semble donc avoir été rédigé par la police judiciaire elle-même. L’auteur affirme qu’il n’a été examiné par un médecin ni durant sa garde à vue ni à l’issue de celle-ci. En outre, la fiche médicale porte l’en</w:t>
      </w:r>
      <w:r w:rsidR="00C33A1E">
        <w:rPr>
          <w:kern w:val="3"/>
          <w:lang w:val="fr-FR"/>
        </w:rPr>
        <w:t>-</w:t>
      </w:r>
      <w:r w:rsidR="009963FD" w:rsidRPr="00C95C11">
        <w:rPr>
          <w:kern w:val="3"/>
          <w:lang w:val="fr-FR"/>
        </w:rPr>
        <w:t xml:space="preserve">tête du DRS mais </w:t>
      </w:r>
      <w:r w:rsidR="00C33A1E">
        <w:rPr>
          <w:kern w:val="3"/>
          <w:lang w:val="fr-FR"/>
        </w:rPr>
        <w:t>pas de</w:t>
      </w:r>
      <w:r w:rsidR="009963FD" w:rsidRPr="00C95C11">
        <w:rPr>
          <w:kern w:val="3"/>
          <w:lang w:val="fr-FR"/>
        </w:rPr>
        <w:t xml:space="preserve"> cachet officiel </w:t>
      </w:r>
      <w:r w:rsidR="00C33A1E">
        <w:rPr>
          <w:kern w:val="3"/>
          <w:lang w:val="fr-FR"/>
        </w:rPr>
        <w:t xml:space="preserve">ce qui ne </w:t>
      </w:r>
      <w:r w:rsidR="009963FD" w:rsidRPr="00C95C11">
        <w:rPr>
          <w:kern w:val="3"/>
          <w:lang w:val="fr-FR"/>
        </w:rPr>
        <w:t xml:space="preserve">permet pas de savoir de quelle autorité ou </w:t>
      </w:r>
      <w:r w:rsidR="00C33A1E">
        <w:rPr>
          <w:kern w:val="3"/>
          <w:lang w:val="fr-FR"/>
        </w:rPr>
        <w:t xml:space="preserve">de </w:t>
      </w:r>
      <w:r w:rsidR="009963FD" w:rsidRPr="00C95C11">
        <w:rPr>
          <w:kern w:val="3"/>
          <w:lang w:val="fr-FR"/>
        </w:rPr>
        <w:t xml:space="preserve">quel médecin elle émane. L’examen médical aurait dû être ordonné par un médecin indépendant pour </w:t>
      </w:r>
      <w:r w:rsidR="009963FD" w:rsidRPr="002C7A0E">
        <w:rPr>
          <w:kern w:val="3"/>
          <w:lang w:val="fr-FR"/>
        </w:rPr>
        <w:t>s’assurer</w:t>
      </w:r>
      <w:r w:rsidR="009963FD" w:rsidRPr="00C95C11">
        <w:rPr>
          <w:kern w:val="3"/>
          <w:lang w:val="fr-FR"/>
        </w:rPr>
        <w:t xml:space="preserve"> des conditions de sa garde à vue.</w:t>
      </w:r>
    </w:p>
    <w:p w:rsidR="009963FD" w:rsidRPr="00C95C11" w:rsidRDefault="002A0104" w:rsidP="009963FD">
      <w:pPr>
        <w:autoSpaceDN w:val="0"/>
        <w:spacing w:after="120" w:line="240" w:lineRule="auto"/>
        <w:ind w:left="1134" w:right="1134"/>
        <w:jc w:val="both"/>
        <w:textAlignment w:val="baseline"/>
        <w:rPr>
          <w:kern w:val="3"/>
          <w:lang w:val="fr-FR"/>
        </w:rPr>
      </w:pPr>
      <w:r w:rsidRPr="00C95C11">
        <w:rPr>
          <w:kern w:val="3"/>
          <w:lang w:val="fr-FR"/>
        </w:rPr>
        <w:t>5.13</w:t>
      </w:r>
      <w:r w:rsidRPr="00C95C11">
        <w:rPr>
          <w:kern w:val="3"/>
          <w:lang w:val="fr-FR"/>
        </w:rPr>
        <w:tab/>
      </w:r>
      <w:r w:rsidR="009963FD" w:rsidRPr="00C95C11">
        <w:rPr>
          <w:kern w:val="3"/>
          <w:lang w:val="fr-FR"/>
        </w:rPr>
        <w:t xml:space="preserve">L’auteur relève que sa situation n’est pas un cas isolé et </w:t>
      </w:r>
      <w:r w:rsidR="00C33A1E">
        <w:rPr>
          <w:kern w:val="3"/>
          <w:lang w:val="fr-FR"/>
        </w:rPr>
        <w:t xml:space="preserve">qu’il </w:t>
      </w:r>
      <w:r w:rsidR="009963FD" w:rsidRPr="00C95C11">
        <w:rPr>
          <w:kern w:val="3"/>
          <w:lang w:val="fr-FR"/>
        </w:rPr>
        <w:t xml:space="preserve">a été maintes fois reconnu </w:t>
      </w:r>
      <w:r w:rsidR="00C33A1E">
        <w:rPr>
          <w:kern w:val="3"/>
          <w:lang w:val="fr-FR"/>
        </w:rPr>
        <w:t xml:space="preserve">que l’État partie avait </w:t>
      </w:r>
      <w:r w:rsidR="009963FD" w:rsidRPr="00C95C11">
        <w:rPr>
          <w:kern w:val="3"/>
          <w:lang w:val="fr-FR"/>
        </w:rPr>
        <w:t>viol</w:t>
      </w:r>
      <w:r w:rsidR="00C33A1E">
        <w:rPr>
          <w:kern w:val="3"/>
          <w:lang w:val="fr-FR"/>
        </w:rPr>
        <w:t>é</w:t>
      </w:r>
      <w:r w:rsidR="009963FD" w:rsidRPr="00C95C11">
        <w:rPr>
          <w:kern w:val="3"/>
          <w:lang w:val="fr-FR"/>
        </w:rPr>
        <w:t xml:space="preserve"> le Pacte </w:t>
      </w:r>
      <w:r w:rsidR="00C33A1E">
        <w:rPr>
          <w:kern w:val="3"/>
          <w:lang w:val="fr-FR"/>
        </w:rPr>
        <w:t xml:space="preserve">dans </w:t>
      </w:r>
      <w:r w:rsidR="009963FD" w:rsidRPr="00C95C11">
        <w:rPr>
          <w:kern w:val="3"/>
          <w:lang w:val="fr-FR"/>
        </w:rPr>
        <w:t>des cas similaires. Il se réfère à un certain nombre de rapports d’</w:t>
      </w:r>
      <w:r w:rsidR="00C33A1E">
        <w:rPr>
          <w:kern w:val="3"/>
          <w:lang w:val="fr-FR"/>
        </w:rPr>
        <w:t xml:space="preserve">organisations non gouvernementales </w:t>
      </w:r>
      <w:r w:rsidR="009963FD" w:rsidRPr="00C95C11">
        <w:rPr>
          <w:kern w:val="3"/>
          <w:lang w:val="fr-FR"/>
        </w:rPr>
        <w:t xml:space="preserve">internationales dénonçant des cas de disparition forcée, </w:t>
      </w:r>
      <w:r w:rsidR="00C33A1E">
        <w:rPr>
          <w:kern w:val="3"/>
          <w:lang w:val="fr-FR"/>
        </w:rPr>
        <w:t xml:space="preserve">de </w:t>
      </w:r>
      <w:r w:rsidR="009963FD" w:rsidRPr="00C95C11">
        <w:rPr>
          <w:kern w:val="3"/>
          <w:lang w:val="fr-FR"/>
        </w:rPr>
        <w:t xml:space="preserve">détention arbitraire ou </w:t>
      </w:r>
      <w:r w:rsidR="00C33A1E">
        <w:rPr>
          <w:kern w:val="3"/>
          <w:lang w:val="fr-FR"/>
        </w:rPr>
        <w:t xml:space="preserve">de </w:t>
      </w:r>
      <w:r w:rsidR="009963FD" w:rsidRPr="00C95C11">
        <w:rPr>
          <w:kern w:val="3"/>
          <w:lang w:val="fr-FR"/>
        </w:rPr>
        <w:t>torture.</w:t>
      </w:r>
    </w:p>
    <w:p w:rsidR="003B328B" w:rsidRDefault="009963FD" w:rsidP="00DD1E31">
      <w:pPr>
        <w:autoSpaceDN w:val="0"/>
        <w:spacing w:after="120" w:line="240" w:lineRule="auto"/>
        <w:ind w:left="1134" w:right="1134"/>
        <w:jc w:val="both"/>
        <w:textAlignment w:val="baseline"/>
        <w:rPr>
          <w:kern w:val="3"/>
          <w:lang w:val="fr-FR"/>
        </w:rPr>
      </w:pPr>
      <w:r w:rsidRPr="00C95C11">
        <w:rPr>
          <w:kern w:val="3"/>
          <w:lang w:val="fr-FR"/>
        </w:rPr>
        <w:t>5.14</w:t>
      </w:r>
      <w:r w:rsidR="002A0104" w:rsidRPr="00C95C11">
        <w:rPr>
          <w:kern w:val="3"/>
          <w:lang w:val="fr-FR"/>
        </w:rPr>
        <w:tab/>
      </w:r>
      <w:r w:rsidRPr="00C95C11">
        <w:rPr>
          <w:kern w:val="3"/>
          <w:lang w:val="fr-FR"/>
        </w:rPr>
        <w:t>L’auteur considère que le non-respect des règles de procédures judiciaires depuis son arrestation constitue non seulement une violation de l’article</w:t>
      </w:r>
      <w:r w:rsidR="008806EC">
        <w:rPr>
          <w:kern w:val="3"/>
          <w:lang w:val="fr-FR"/>
        </w:rPr>
        <w:t> </w:t>
      </w:r>
      <w:r w:rsidRPr="00C95C11">
        <w:rPr>
          <w:kern w:val="3"/>
          <w:lang w:val="fr-FR"/>
        </w:rPr>
        <w:t>9 mais aussi de l’article</w:t>
      </w:r>
      <w:r w:rsidR="00F36FD9">
        <w:rPr>
          <w:kern w:val="3"/>
          <w:lang w:val="fr-FR"/>
        </w:rPr>
        <w:t> </w:t>
      </w:r>
      <w:r w:rsidRPr="00C95C11">
        <w:rPr>
          <w:kern w:val="3"/>
          <w:lang w:val="fr-FR"/>
        </w:rPr>
        <w:t>14 du Pacte. La pluralité des poursuites pénales contre lui (au nombre de trois) dénote d’un acharnement à son égard.</w:t>
      </w:r>
    </w:p>
    <w:p w:rsidR="009963FD" w:rsidRPr="00C95C11" w:rsidRDefault="003B328B" w:rsidP="003B328B">
      <w:pPr>
        <w:autoSpaceDN w:val="0"/>
        <w:spacing w:after="120" w:line="240" w:lineRule="auto"/>
        <w:ind w:left="1134" w:right="1134"/>
        <w:jc w:val="both"/>
        <w:textAlignment w:val="baseline"/>
        <w:rPr>
          <w:kern w:val="3"/>
          <w:lang w:val="fr-FR"/>
        </w:rPr>
      </w:pPr>
      <w:r w:rsidRPr="00C95C11">
        <w:rPr>
          <w:kern w:val="3"/>
          <w:lang w:val="fr-FR"/>
        </w:rPr>
        <w:t>5.1</w:t>
      </w:r>
      <w:r>
        <w:rPr>
          <w:kern w:val="3"/>
          <w:lang w:val="fr-FR"/>
        </w:rPr>
        <w:t>5</w:t>
      </w:r>
      <w:r w:rsidRPr="00C95C11">
        <w:rPr>
          <w:kern w:val="3"/>
          <w:lang w:val="fr-FR"/>
        </w:rPr>
        <w:tab/>
      </w:r>
      <w:r w:rsidRPr="002F7EEC">
        <w:rPr>
          <w:kern w:val="3"/>
          <w:lang w:val="fr-FR"/>
        </w:rPr>
        <w:t xml:space="preserve">Le </w:t>
      </w:r>
      <w:r w:rsidRPr="003D7E85">
        <w:rPr>
          <w:kern w:val="3"/>
          <w:lang w:val="fr-FR"/>
        </w:rPr>
        <w:t>6 janvier 2016</w:t>
      </w:r>
      <w:r w:rsidRPr="002F7EEC">
        <w:rPr>
          <w:kern w:val="3"/>
          <w:lang w:val="fr-FR"/>
        </w:rPr>
        <w:t>, le</w:t>
      </w:r>
      <w:r w:rsidRPr="00C95C11">
        <w:rPr>
          <w:kern w:val="3"/>
          <w:lang w:val="fr-FR"/>
        </w:rPr>
        <w:t xml:space="preserve"> conseil de l’auteur </w:t>
      </w:r>
      <w:r>
        <w:rPr>
          <w:kern w:val="3"/>
          <w:lang w:val="fr-FR"/>
        </w:rPr>
        <w:t xml:space="preserve">a </w:t>
      </w:r>
      <w:r w:rsidRPr="00C95C11">
        <w:rPr>
          <w:kern w:val="3"/>
          <w:lang w:val="fr-FR"/>
        </w:rPr>
        <w:t>ajout</w:t>
      </w:r>
      <w:r>
        <w:rPr>
          <w:kern w:val="3"/>
          <w:lang w:val="fr-FR"/>
        </w:rPr>
        <w:t>é</w:t>
      </w:r>
      <w:r w:rsidRPr="00C95C11">
        <w:rPr>
          <w:kern w:val="3"/>
          <w:lang w:val="fr-FR"/>
        </w:rPr>
        <w:t xml:space="preserve"> que le procès concernant la première affaire</w:t>
      </w:r>
      <w:r>
        <w:rPr>
          <w:kern w:val="3"/>
          <w:lang w:val="fr-FR"/>
        </w:rPr>
        <w:t>,</w:t>
      </w:r>
      <w:r w:rsidRPr="00C95C11">
        <w:rPr>
          <w:kern w:val="3"/>
          <w:lang w:val="fr-FR"/>
        </w:rPr>
        <w:t xml:space="preserve"> dite de l’autoroute </w:t>
      </w:r>
      <w:r>
        <w:rPr>
          <w:kern w:val="3"/>
          <w:lang w:val="fr-FR"/>
        </w:rPr>
        <w:t>e</w:t>
      </w:r>
      <w:r w:rsidRPr="00C95C11">
        <w:rPr>
          <w:kern w:val="3"/>
          <w:lang w:val="fr-FR"/>
        </w:rPr>
        <w:t>st-</w:t>
      </w:r>
      <w:r>
        <w:rPr>
          <w:kern w:val="3"/>
          <w:lang w:val="fr-FR"/>
        </w:rPr>
        <w:t>o</w:t>
      </w:r>
      <w:r w:rsidRPr="00C95C11">
        <w:rPr>
          <w:kern w:val="3"/>
          <w:lang w:val="fr-FR"/>
        </w:rPr>
        <w:t>uest, s’</w:t>
      </w:r>
      <w:r>
        <w:rPr>
          <w:kern w:val="3"/>
          <w:lang w:val="fr-FR"/>
        </w:rPr>
        <w:t xml:space="preserve">était </w:t>
      </w:r>
      <w:r w:rsidRPr="00C95C11">
        <w:rPr>
          <w:kern w:val="3"/>
          <w:lang w:val="fr-FR"/>
        </w:rPr>
        <w:t xml:space="preserve">ouvert le </w:t>
      </w:r>
      <w:r w:rsidRPr="003D7E85">
        <w:rPr>
          <w:kern w:val="3"/>
          <w:lang w:val="fr-FR"/>
        </w:rPr>
        <w:t>19 avril 2015</w:t>
      </w:r>
      <w:r w:rsidRPr="00C95C11">
        <w:rPr>
          <w:kern w:val="3"/>
          <w:lang w:val="fr-FR"/>
        </w:rPr>
        <w:t xml:space="preserve"> et que </w:t>
      </w:r>
      <w:r w:rsidRPr="003D7E85">
        <w:rPr>
          <w:kern w:val="3"/>
          <w:lang w:val="fr-FR"/>
        </w:rPr>
        <w:t>le 7 mai 2015, le tribunal criminel près la Cour d’Alger avait condamné l’auteur pour trafic d’influence, corruption et blanchiment d’argent à dix ans de prison ferme et à trois millions de dinars d’amende à l’issue d’un procès que l’auteur qualifie d’ubuesque. L’un de ses avocats a demandé à la Cour d’entendre les agents de la DRS qui ont cosigné les procès-verbaux d’aveux de l’auteur, ainsi que le Procureur et le juge d’instruction qui avaient entendu la victime à l’issue des vingt jours de détention arbitraire et le médecin qui était censé l’avoir examiné à la fin de sa garde à vue. Les juges ont refusé d’entendre ces témoins. L’auteur et deux de ses coaccusés ont pourtant dénoncé devant la Cour les tortures subies alors qu’ils étaient entre les mains de la DRS, mais les j</w:t>
      </w:r>
      <w:r w:rsidRPr="00C95C11">
        <w:rPr>
          <w:kern w:val="3"/>
          <w:lang w:val="fr-FR"/>
        </w:rPr>
        <w:t>uges ont refusé de tenir compte de ces allégations. L</w:t>
      </w:r>
      <w:r>
        <w:rPr>
          <w:kern w:val="3"/>
          <w:lang w:val="fr-FR"/>
        </w:rPr>
        <w:t>e 12 mai 2015, l</w:t>
      </w:r>
      <w:r w:rsidRPr="00C95C11">
        <w:rPr>
          <w:kern w:val="3"/>
          <w:lang w:val="fr-FR"/>
        </w:rPr>
        <w:t>’auteur a introduit un recours en cassation qui est en cours</w:t>
      </w:r>
      <w:r w:rsidRPr="00C95C11">
        <w:rPr>
          <w:rStyle w:val="FootnoteReference"/>
          <w:lang w:val="fr-FR"/>
        </w:rPr>
        <w:footnoteReference w:id="14"/>
      </w:r>
      <w:r w:rsidRPr="00C95C11">
        <w:rPr>
          <w:kern w:val="3"/>
          <w:lang w:val="fr-FR"/>
        </w:rPr>
        <w:t>. En attendant, l’auteur multiplie les grèves de la faim pour dénoncer sa détention arbitraire.</w:t>
      </w:r>
    </w:p>
    <w:p w:rsidR="009963FD" w:rsidRPr="00C95C11" w:rsidRDefault="002A0104" w:rsidP="002A0104">
      <w:pPr>
        <w:pStyle w:val="H4G"/>
        <w:rPr>
          <w:lang w:val="fr-FR"/>
        </w:rPr>
      </w:pPr>
      <w:r w:rsidRPr="00C95C11">
        <w:rPr>
          <w:lang w:val="fr-FR"/>
        </w:rPr>
        <w:tab/>
      </w:r>
      <w:r w:rsidRPr="00C95C11">
        <w:rPr>
          <w:lang w:val="fr-FR"/>
        </w:rPr>
        <w:tab/>
      </w:r>
      <w:r w:rsidR="009963FD" w:rsidRPr="002F7EEC">
        <w:rPr>
          <w:lang w:val="fr-FR"/>
        </w:rPr>
        <w:t>Affaire Algérie T</w:t>
      </w:r>
      <w:r w:rsidR="009A4E1C" w:rsidRPr="002F7EEC">
        <w:rPr>
          <w:lang w:val="fr-FR"/>
        </w:rPr>
        <w:t>é</w:t>
      </w:r>
      <w:r w:rsidR="009963FD" w:rsidRPr="002F7EEC">
        <w:rPr>
          <w:lang w:val="fr-FR"/>
        </w:rPr>
        <w:t>l</w:t>
      </w:r>
      <w:r w:rsidR="009A4E1C" w:rsidRPr="002F7EEC">
        <w:rPr>
          <w:lang w:val="fr-FR"/>
        </w:rPr>
        <w:t>é</w:t>
      </w:r>
      <w:r w:rsidR="009963FD" w:rsidRPr="002F7EEC">
        <w:rPr>
          <w:lang w:val="fr-FR"/>
        </w:rPr>
        <w:t>com</w:t>
      </w:r>
      <w:r w:rsidR="009963FD" w:rsidRPr="00C95C11">
        <w:rPr>
          <w:lang w:val="fr-FR"/>
        </w:rPr>
        <w:t xml:space="preserve"> (Natixis</w:t>
      </w:r>
      <w:r w:rsidR="009A4E1C">
        <w:rPr>
          <w:lang w:val="fr-FR"/>
        </w:rPr>
        <w:t xml:space="preserve"> </w:t>
      </w:r>
      <w:r w:rsidR="009963FD" w:rsidRPr="00C95C11">
        <w:rPr>
          <w:lang w:val="fr-FR"/>
        </w:rPr>
        <w:t>Luxembourg)</w:t>
      </w:r>
    </w:p>
    <w:p w:rsidR="009963FD" w:rsidRPr="00C95C11" w:rsidRDefault="009963FD" w:rsidP="003B328B">
      <w:pPr>
        <w:autoSpaceDN w:val="0"/>
        <w:spacing w:after="120" w:line="240" w:lineRule="auto"/>
        <w:ind w:left="1134" w:right="1134"/>
        <w:jc w:val="both"/>
        <w:textAlignment w:val="baseline"/>
        <w:rPr>
          <w:kern w:val="3"/>
          <w:lang w:val="fr-FR"/>
        </w:rPr>
      </w:pPr>
      <w:r w:rsidRPr="00C95C11">
        <w:rPr>
          <w:kern w:val="3"/>
          <w:lang w:val="fr-FR"/>
        </w:rPr>
        <w:t>5.1</w:t>
      </w:r>
      <w:r w:rsidR="003B328B">
        <w:rPr>
          <w:kern w:val="3"/>
          <w:lang w:val="fr-FR"/>
        </w:rPr>
        <w:t>6</w:t>
      </w:r>
      <w:r w:rsidR="002A0104" w:rsidRPr="00C95C11">
        <w:rPr>
          <w:kern w:val="3"/>
          <w:lang w:val="fr-FR"/>
        </w:rPr>
        <w:tab/>
      </w:r>
      <w:r w:rsidRPr="00C95C11">
        <w:rPr>
          <w:kern w:val="3"/>
          <w:lang w:val="fr-FR"/>
        </w:rPr>
        <w:t>Cette affaire est marquée par d’innombrables violations du droit international comme le principe de spécialité, la présomption d’innocence, le non-respect de la double incrimination, la non-rétroactivité d’une loi pénale plus sévère et</w:t>
      </w:r>
      <w:r w:rsidR="00F36FD9">
        <w:rPr>
          <w:kern w:val="3"/>
          <w:lang w:val="fr-FR"/>
        </w:rPr>
        <w:t>,</w:t>
      </w:r>
      <w:r w:rsidRPr="00C95C11">
        <w:rPr>
          <w:kern w:val="3"/>
          <w:lang w:val="fr-FR"/>
        </w:rPr>
        <w:t xml:space="preserve"> de manière générale, les droits de la défense (voir </w:t>
      </w:r>
      <w:r w:rsidR="00853A9E" w:rsidRPr="003D7E85">
        <w:rPr>
          <w:i/>
          <w:kern w:val="3"/>
          <w:lang w:val="fr-FR"/>
        </w:rPr>
        <w:t>supra</w:t>
      </w:r>
      <w:r w:rsidRPr="00C95C11">
        <w:rPr>
          <w:kern w:val="3"/>
          <w:lang w:val="fr-FR"/>
        </w:rPr>
        <w:t xml:space="preserve"> </w:t>
      </w:r>
      <w:r w:rsidR="00F36FD9" w:rsidRPr="009D1B5E">
        <w:rPr>
          <w:kern w:val="3"/>
          <w:lang w:val="fr-FR"/>
        </w:rPr>
        <w:t xml:space="preserve">le paragraphe </w:t>
      </w:r>
      <w:r w:rsidR="00853A9E" w:rsidRPr="009D1B5E">
        <w:rPr>
          <w:kern w:val="3"/>
          <w:lang w:val="fr-FR"/>
        </w:rPr>
        <w:t>3.13</w:t>
      </w:r>
      <w:r w:rsidRPr="00C95C11">
        <w:rPr>
          <w:kern w:val="3"/>
          <w:lang w:val="fr-FR"/>
        </w:rPr>
        <w:t>).</w:t>
      </w:r>
    </w:p>
    <w:p w:rsidR="009963FD" w:rsidRPr="00C95C11" w:rsidRDefault="009963FD" w:rsidP="003B328B">
      <w:pPr>
        <w:autoSpaceDN w:val="0"/>
        <w:spacing w:after="120" w:line="240" w:lineRule="auto"/>
        <w:ind w:left="1134" w:right="1134"/>
        <w:jc w:val="both"/>
        <w:textAlignment w:val="baseline"/>
        <w:rPr>
          <w:kern w:val="3"/>
          <w:lang w:val="fr-FR"/>
        </w:rPr>
      </w:pPr>
      <w:r w:rsidRPr="00C95C11">
        <w:rPr>
          <w:kern w:val="3"/>
          <w:lang w:val="fr-FR"/>
        </w:rPr>
        <w:t>5.1</w:t>
      </w:r>
      <w:r w:rsidR="003B328B">
        <w:rPr>
          <w:kern w:val="3"/>
          <w:lang w:val="fr-FR"/>
        </w:rPr>
        <w:t>7</w:t>
      </w:r>
      <w:r w:rsidR="002A0104" w:rsidRPr="00C95C11">
        <w:rPr>
          <w:kern w:val="3"/>
          <w:lang w:val="fr-FR"/>
        </w:rPr>
        <w:tab/>
      </w:r>
      <w:r w:rsidRPr="00C95C11">
        <w:rPr>
          <w:kern w:val="3"/>
          <w:lang w:val="fr-FR"/>
        </w:rPr>
        <w:t>En outre, le procès dit «</w:t>
      </w:r>
      <w:r w:rsidR="00CB4439">
        <w:rPr>
          <w:kern w:val="3"/>
          <w:lang w:val="fr-FR"/>
        </w:rPr>
        <w:t> </w:t>
      </w:r>
      <w:r w:rsidRPr="00C95C11">
        <w:rPr>
          <w:kern w:val="3"/>
          <w:lang w:val="fr-FR"/>
        </w:rPr>
        <w:t>AlgérieT</w:t>
      </w:r>
      <w:r w:rsidR="009A4E1C">
        <w:rPr>
          <w:kern w:val="3"/>
          <w:lang w:val="fr-FR"/>
        </w:rPr>
        <w:t>é</w:t>
      </w:r>
      <w:r w:rsidRPr="00C95C11">
        <w:rPr>
          <w:kern w:val="3"/>
          <w:lang w:val="fr-FR"/>
        </w:rPr>
        <w:t>l</w:t>
      </w:r>
      <w:r w:rsidR="009A4E1C">
        <w:rPr>
          <w:kern w:val="3"/>
          <w:lang w:val="fr-FR"/>
        </w:rPr>
        <w:t>é</w:t>
      </w:r>
      <w:r w:rsidRPr="00C95C11">
        <w:rPr>
          <w:kern w:val="3"/>
          <w:lang w:val="fr-FR"/>
        </w:rPr>
        <w:t>com</w:t>
      </w:r>
      <w:r w:rsidR="00CB4439">
        <w:rPr>
          <w:kern w:val="3"/>
          <w:lang w:val="fr-FR"/>
        </w:rPr>
        <w:t> </w:t>
      </w:r>
      <w:r w:rsidRPr="00C95C11">
        <w:rPr>
          <w:kern w:val="3"/>
          <w:lang w:val="fr-FR"/>
        </w:rPr>
        <w:t>»</w:t>
      </w:r>
      <w:r w:rsidR="002A0104" w:rsidRPr="00C95C11">
        <w:rPr>
          <w:kern w:val="3"/>
          <w:lang w:val="fr-FR"/>
        </w:rPr>
        <w:t xml:space="preserve"> </w:t>
      </w:r>
      <w:r w:rsidRPr="00C95C11">
        <w:rPr>
          <w:kern w:val="3"/>
          <w:lang w:val="fr-FR"/>
        </w:rPr>
        <w:t xml:space="preserve">ayant abouti à la première condamnation à </w:t>
      </w:r>
      <w:r w:rsidR="009B4ABC">
        <w:rPr>
          <w:kern w:val="3"/>
          <w:lang w:val="fr-FR"/>
        </w:rPr>
        <w:t xml:space="preserve">dix-huit </w:t>
      </w:r>
      <w:r w:rsidRPr="00C95C11">
        <w:rPr>
          <w:kern w:val="3"/>
          <w:lang w:val="fr-FR"/>
        </w:rPr>
        <w:t xml:space="preserve">ans de prison (réduite en appel à </w:t>
      </w:r>
      <w:r w:rsidR="009B4ABC">
        <w:rPr>
          <w:kern w:val="3"/>
          <w:lang w:val="fr-FR"/>
        </w:rPr>
        <w:t xml:space="preserve">quinze </w:t>
      </w:r>
      <w:r w:rsidRPr="00C95C11">
        <w:rPr>
          <w:kern w:val="3"/>
          <w:lang w:val="fr-FR"/>
        </w:rPr>
        <w:t xml:space="preserve">ans puis à </w:t>
      </w:r>
      <w:r w:rsidR="009B4ABC">
        <w:rPr>
          <w:kern w:val="3"/>
          <w:lang w:val="fr-FR"/>
        </w:rPr>
        <w:t xml:space="preserve">douze </w:t>
      </w:r>
      <w:r w:rsidRPr="00C95C11">
        <w:rPr>
          <w:kern w:val="3"/>
          <w:lang w:val="fr-FR"/>
        </w:rPr>
        <w:t xml:space="preserve">ans) a été mené en un temps record pour une condamnation aussi lourde. Le passage de l’avocat à la barre a duré au plus </w:t>
      </w:r>
      <w:r w:rsidR="00DD1E31">
        <w:rPr>
          <w:kern w:val="3"/>
          <w:lang w:val="fr-FR"/>
        </w:rPr>
        <w:t xml:space="preserve">dix </w:t>
      </w:r>
      <w:r w:rsidRPr="00C95C11">
        <w:rPr>
          <w:kern w:val="3"/>
          <w:lang w:val="fr-FR"/>
        </w:rPr>
        <w:t xml:space="preserve">minutes selon les observations des membres de sa famille. Le réquisitoire du procureur a duré une minute se limitant à requérir la peine maximale, soit </w:t>
      </w:r>
      <w:r w:rsidR="009B4ABC">
        <w:rPr>
          <w:kern w:val="3"/>
          <w:lang w:val="fr-FR"/>
        </w:rPr>
        <w:t xml:space="preserve">vingt </w:t>
      </w:r>
      <w:r w:rsidRPr="00C95C11">
        <w:rPr>
          <w:kern w:val="3"/>
          <w:lang w:val="fr-FR"/>
        </w:rPr>
        <w:t>ans de prison. Quant à l’audition des témoins à décharge lors du procès en appel</w:t>
      </w:r>
      <w:r w:rsidR="009B4ABC">
        <w:rPr>
          <w:kern w:val="3"/>
          <w:lang w:val="fr-FR"/>
        </w:rPr>
        <w:t>,</w:t>
      </w:r>
      <w:r w:rsidRPr="00C95C11">
        <w:rPr>
          <w:kern w:val="3"/>
          <w:lang w:val="fr-FR"/>
        </w:rPr>
        <w:t xml:space="preserve"> dont l’arrêt a été rendu </w:t>
      </w:r>
      <w:r w:rsidRPr="003D7E85">
        <w:rPr>
          <w:kern w:val="3"/>
          <w:lang w:val="fr-FR"/>
        </w:rPr>
        <w:t xml:space="preserve">le </w:t>
      </w:r>
      <w:r w:rsidR="00853A9E" w:rsidRPr="003D7E85">
        <w:rPr>
          <w:kern w:val="3"/>
          <w:lang w:val="fr-FR"/>
        </w:rPr>
        <w:t>11 décembre 2012</w:t>
      </w:r>
      <w:r w:rsidRPr="003D7E85">
        <w:rPr>
          <w:kern w:val="3"/>
          <w:lang w:val="fr-FR"/>
        </w:rPr>
        <w:t>, le</w:t>
      </w:r>
      <w:r w:rsidRPr="00C95C11">
        <w:rPr>
          <w:kern w:val="3"/>
          <w:lang w:val="fr-FR"/>
        </w:rPr>
        <w:t xml:space="preserve"> refus d’entendre un témoin important démontre la violation également des droits de l’auteur au titre de l’article</w:t>
      </w:r>
      <w:r w:rsidR="002C7A0E">
        <w:rPr>
          <w:kern w:val="3"/>
          <w:lang w:val="fr-FR"/>
        </w:rPr>
        <w:t> </w:t>
      </w:r>
      <w:r w:rsidRPr="00C95C11">
        <w:rPr>
          <w:kern w:val="3"/>
          <w:lang w:val="fr-FR"/>
        </w:rPr>
        <w:t>14 du Pacte, le juge ayant mentionné que « même si ce Fermine</w:t>
      </w:r>
      <w:r w:rsidRPr="00C95C11">
        <w:rPr>
          <w:rStyle w:val="FootnoteReference"/>
          <w:lang w:val="fr-FR"/>
        </w:rPr>
        <w:footnoteReference w:id="15"/>
      </w:r>
      <w:r w:rsidRPr="00C95C11">
        <w:rPr>
          <w:kern w:val="3"/>
          <w:lang w:val="fr-FR"/>
        </w:rPr>
        <w:t xml:space="preserve"> est dans la salle, je ne l’entendrai pas ». L</w:t>
      </w:r>
      <w:r w:rsidR="00CC33C6" w:rsidRPr="00C95C11">
        <w:rPr>
          <w:kern w:val="3"/>
          <w:lang w:val="fr-FR"/>
        </w:rPr>
        <w:t>’</w:t>
      </w:r>
      <w:r w:rsidRPr="00C95C11">
        <w:rPr>
          <w:kern w:val="3"/>
          <w:lang w:val="fr-FR"/>
        </w:rPr>
        <w:t>auteur n</w:t>
      </w:r>
      <w:r w:rsidR="00CC33C6" w:rsidRPr="00C95C11">
        <w:rPr>
          <w:kern w:val="3"/>
          <w:lang w:val="fr-FR"/>
        </w:rPr>
        <w:t>’</w:t>
      </w:r>
      <w:r w:rsidRPr="00C95C11">
        <w:rPr>
          <w:kern w:val="3"/>
          <w:lang w:val="fr-FR"/>
        </w:rPr>
        <w:t>a donc pas pu faire entendre ses témoins à décharge.</w:t>
      </w:r>
    </w:p>
    <w:p w:rsidR="009963FD" w:rsidRPr="003D7E85" w:rsidRDefault="00950800" w:rsidP="003B328B">
      <w:pPr>
        <w:autoSpaceDN w:val="0"/>
        <w:spacing w:after="120"/>
        <w:ind w:left="1134" w:right="1134"/>
        <w:jc w:val="both"/>
        <w:textAlignment w:val="baseline"/>
        <w:rPr>
          <w:kern w:val="3"/>
          <w:lang w:val="fr-FR"/>
        </w:rPr>
      </w:pPr>
      <w:r w:rsidRPr="00C95C11">
        <w:rPr>
          <w:kern w:val="3"/>
          <w:lang w:val="fr-FR"/>
        </w:rPr>
        <w:lastRenderedPageBreak/>
        <w:t>5.18</w:t>
      </w:r>
      <w:r w:rsidR="009963FD" w:rsidRPr="00C95C11">
        <w:rPr>
          <w:kern w:val="3"/>
          <w:lang w:val="fr-FR"/>
        </w:rPr>
        <w:tab/>
      </w:r>
      <w:r w:rsidR="003B328B">
        <w:rPr>
          <w:kern w:val="3"/>
          <w:lang w:val="fr-FR"/>
        </w:rPr>
        <w:t>Dans l’</w:t>
      </w:r>
      <w:r w:rsidR="009963FD" w:rsidRPr="00C95C11">
        <w:rPr>
          <w:kern w:val="3"/>
          <w:lang w:val="fr-FR"/>
        </w:rPr>
        <w:t>affaire dite Algérie T</w:t>
      </w:r>
      <w:r w:rsidR="009A4E1C">
        <w:rPr>
          <w:kern w:val="3"/>
          <w:lang w:val="fr-FR"/>
        </w:rPr>
        <w:t>é</w:t>
      </w:r>
      <w:r w:rsidR="009963FD" w:rsidRPr="00C95C11">
        <w:rPr>
          <w:kern w:val="3"/>
          <w:lang w:val="fr-FR"/>
        </w:rPr>
        <w:t>l</w:t>
      </w:r>
      <w:r w:rsidR="009A4E1C">
        <w:rPr>
          <w:kern w:val="3"/>
          <w:lang w:val="fr-FR"/>
        </w:rPr>
        <w:t>é</w:t>
      </w:r>
      <w:r w:rsidR="009963FD" w:rsidRPr="00C95C11">
        <w:rPr>
          <w:kern w:val="3"/>
          <w:lang w:val="fr-FR"/>
        </w:rPr>
        <w:t>co</w:t>
      </w:r>
      <w:r w:rsidR="00ED044B" w:rsidRPr="00C95C11">
        <w:rPr>
          <w:kern w:val="3"/>
          <w:lang w:val="fr-FR"/>
        </w:rPr>
        <w:t>m ou Natixis</w:t>
      </w:r>
      <w:r w:rsidR="009A4E1C">
        <w:rPr>
          <w:kern w:val="3"/>
          <w:lang w:val="fr-FR"/>
        </w:rPr>
        <w:t xml:space="preserve"> </w:t>
      </w:r>
      <w:r w:rsidR="00CB4439">
        <w:rPr>
          <w:kern w:val="3"/>
          <w:lang w:val="fr-FR"/>
        </w:rPr>
        <w:t>Luxembourg</w:t>
      </w:r>
      <w:r w:rsidR="009963FD" w:rsidRPr="00C95C11">
        <w:rPr>
          <w:kern w:val="3"/>
          <w:lang w:val="fr-FR"/>
        </w:rPr>
        <w:t xml:space="preserve">, la Cour </w:t>
      </w:r>
      <w:r w:rsidR="009A4E1C">
        <w:rPr>
          <w:kern w:val="3"/>
          <w:lang w:val="fr-FR"/>
        </w:rPr>
        <w:t>s</w:t>
      </w:r>
      <w:r w:rsidR="009963FD" w:rsidRPr="00C95C11">
        <w:rPr>
          <w:kern w:val="3"/>
          <w:lang w:val="fr-FR"/>
        </w:rPr>
        <w:t xml:space="preserve">uprême a rendu un arrêt </w:t>
      </w:r>
      <w:r w:rsidR="009963FD" w:rsidRPr="00987B2B">
        <w:rPr>
          <w:kern w:val="3"/>
          <w:lang w:val="fr-FR"/>
        </w:rPr>
        <w:t>le 19 janvier 2015</w:t>
      </w:r>
      <w:r w:rsidR="009963FD" w:rsidRPr="00C95C11">
        <w:rPr>
          <w:kern w:val="3"/>
          <w:lang w:val="fr-FR"/>
        </w:rPr>
        <w:t xml:space="preserve"> qui cassait l’arrêt d’appel </w:t>
      </w:r>
      <w:r w:rsidR="009963FD" w:rsidRPr="003D7E85">
        <w:rPr>
          <w:kern w:val="3"/>
          <w:lang w:val="fr-FR"/>
        </w:rPr>
        <w:t xml:space="preserve">du </w:t>
      </w:r>
      <w:r w:rsidR="00853A9E" w:rsidRPr="003D7E85">
        <w:rPr>
          <w:kern w:val="3"/>
          <w:lang w:val="fr-FR"/>
        </w:rPr>
        <w:t>11 décembre 2012</w:t>
      </w:r>
      <w:r w:rsidR="009963FD" w:rsidRPr="00C95C11">
        <w:rPr>
          <w:kern w:val="3"/>
          <w:lang w:val="fr-FR"/>
        </w:rPr>
        <w:t xml:space="preserve"> au motif que la loi sur le blanchiment d’argent (infraction qui n’existait pas au moment des faits reprochés en 2003) avait été appliquée rétroactivement et que la prescription était en réalité acquise pour les faits visés. La Cour </w:t>
      </w:r>
      <w:r w:rsidR="006049EA">
        <w:rPr>
          <w:kern w:val="3"/>
          <w:lang w:val="fr-FR"/>
        </w:rPr>
        <w:t>s</w:t>
      </w:r>
      <w:r w:rsidR="009963FD" w:rsidRPr="00C95C11">
        <w:rPr>
          <w:kern w:val="3"/>
          <w:lang w:val="fr-FR"/>
        </w:rPr>
        <w:t xml:space="preserve">uprême a alors renvoyé l’affaire devant la </w:t>
      </w:r>
      <w:r w:rsidR="007527BF">
        <w:rPr>
          <w:kern w:val="3"/>
          <w:lang w:val="fr-FR"/>
        </w:rPr>
        <w:t>c</w:t>
      </w:r>
      <w:r w:rsidR="009963FD" w:rsidRPr="00C95C11">
        <w:rPr>
          <w:kern w:val="3"/>
          <w:lang w:val="fr-FR"/>
        </w:rPr>
        <w:t>our d’</w:t>
      </w:r>
      <w:r w:rsidR="007527BF">
        <w:rPr>
          <w:kern w:val="3"/>
          <w:lang w:val="fr-FR"/>
        </w:rPr>
        <w:t>a</w:t>
      </w:r>
      <w:r w:rsidR="009963FD" w:rsidRPr="00C95C11">
        <w:rPr>
          <w:kern w:val="3"/>
          <w:lang w:val="fr-FR"/>
        </w:rPr>
        <w:t>ppel qui</w:t>
      </w:r>
      <w:r w:rsidR="007527BF">
        <w:rPr>
          <w:kern w:val="3"/>
          <w:lang w:val="fr-FR"/>
        </w:rPr>
        <w:t>,</w:t>
      </w:r>
      <w:r w:rsidR="009963FD" w:rsidRPr="00C95C11">
        <w:rPr>
          <w:kern w:val="3"/>
          <w:lang w:val="fr-FR"/>
        </w:rPr>
        <w:t xml:space="preserve"> après plusieurs renvois à l’été 2015</w:t>
      </w:r>
      <w:r w:rsidR="007527BF">
        <w:rPr>
          <w:kern w:val="3"/>
          <w:lang w:val="fr-FR"/>
        </w:rPr>
        <w:t>,</w:t>
      </w:r>
      <w:r w:rsidR="009963FD" w:rsidRPr="00C95C11">
        <w:rPr>
          <w:kern w:val="3"/>
          <w:lang w:val="fr-FR"/>
        </w:rPr>
        <w:t xml:space="preserve"> a finalement condamné l’auteur à une peine d’emprisonnement ferme de </w:t>
      </w:r>
      <w:r w:rsidR="007527BF">
        <w:rPr>
          <w:kern w:val="3"/>
          <w:lang w:val="fr-FR"/>
        </w:rPr>
        <w:t xml:space="preserve">douze </w:t>
      </w:r>
      <w:r w:rsidR="009963FD" w:rsidRPr="00C95C11">
        <w:rPr>
          <w:kern w:val="3"/>
          <w:lang w:val="fr-FR"/>
        </w:rPr>
        <w:t xml:space="preserve">ans par son arrêt </w:t>
      </w:r>
      <w:r w:rsidR="009963FD" w:rsidRPr="003D7E85">
        <w:rPr>
          <w:kern w:val="3"/>
          <w:lang w:val="fr-FR"/>
        </w:rPr>
        <w:t xml:space="preserve">du </w:t>
      </w:r>
      <w:r w:rsidR="00853A9E" w:rsidRPr="003D7E85">
        <w:rPr>
          <w:kern w:val="3"/>
          <w:lang w:val="fr-FR"/>
        </w:rPr>
        <w:t>22 octobre 2015</w:t>
      </w:r>
      <w:r w:rsidR="009963FD" w:rsidRPr="003D7E85">
        <w:rPr>
          <w:kern w:val="3"/>
          <w:lang w:val="fr-FR"/>
        </w:rPr>
        <w:t>. Celui-ci a formé un recours en cassation contre cet arrêt.</w:t>
      </w:r>
    </w:p>
    <w:p w:rsidR="009963FD" w:rsidRPr="003D7E85" w:rsidRDefault="009963FD" w:rsidP="004D3B38">
      <w:pPr>
        <w:pStyle w:val="H23G"/>
        <w:rPr>
          <w:lang w:val="fr-FR"/>
        </w:rPr>
      </w:pPr>
      <w:r w:rsidRPr="003D7E85">
        <w:rPr>
          <w:lang w:val="fr-FR"/>
        </w:rPr>
        <w:tab/>
      </w:r>
      <w:r w:rsidRPr="003D7E85">
        <w:rPr>
          <w:lang w:val="fr-FR"/>
        </w:rPr>
        <w:tab/>
        <w:t>Délibérations du Comité</w:t>
      </w:r>
    </w:p>
    <w:p w:rsidR="009963FD" w:rsidRPr="003D7E85" w:rsidRDefault="009963FD" w:rsidP="004D3B38">
      <w:pPr>
        <w:pStyle w:val="H4G"/>
        <w:rPr>
          <w:lang w:val="fr-FR"/>
        </w:rPr>
      </w:pPr>
      <w:r w:rsidRPr="003D7E85">
        <w:rPr>
          <w:lang w:val="fr-FR"/>
        </w:rPr>
        <w:tab/>
      </w:r>
      <w:r w:rsidR="004D3B38" w:rsidRPr="003D7E85">
        <w:rPr>
          <w:lang w:val="fr-FR"/>
        </w:rPr>
        <w:tab/>
      </w:r>
      <w:r w:rsidRPr="003D7E85">
        <w:rPr>
          <w:lang w:val="fr-FR"/>
        </w:rPr>
        <w:t>Examen de la recevabilité</w:t>
      </w:r>
    </w:p>
    <w:p w:rsidR="009963FD" w:rsidRPr="003D7E85" w:rsidRDefault="00950800">
      <w:pPr>
        <w:pStyle w:val="SingleTxtG"/>
        <w:rPr>
          <w:lang w:val="fr-FR"/>
        </w:rPr>
      </w:pPr>
      <w:r w:rsidRPr="003D7E85">
        <w:rPr>
          <w:lang w:val="fr-FR"/>
        </w:rPr>
        <w:t>6</w:t>
      </w:r>
      <w:r w:rsidR="009963FD" w:rsidRPr="003D7E85">
        <w:rPr>
          <w:lang w:val="fr-FR"/>
        </w:rPr>
        <w:t>.1</w:t>
      </w:r>
      <w:r w:rsidR="009963FD" w:rsidRPr="003D7E85">
        <w:rPr>
          <w:lang w:val="fr-FR"/>
        </w:rPr>
        <w:tab/>
      </w:r>
      <w:r w:rsidR="00853A9E" w:rsidRPr="003D7E85">
        <w:rPr>
          <w:lang w:val="fr-FR"/>
        </w:rPr>
        <w:t>Avant d’examiner toute plainte soumise dans une communication, le Comité doit, conformément à l’article 93 de son règlement intérieur, déterminer si la communication est recevable en vertu du Protocole facultatif se rapportant au Pacte.</w:t>
      </w:r>
    </w:p>
    <w:p w:rsidR="009963FD" w:rsidRPr="003D7E85" w:rsidRDefault="00853A9E" w:rsidP="00ED044B">
      <w:pPr>
        <w:pStyle w:val="SingleTxtG"/>
        <w:rPr>
          <w:lang w:val="fr-FR"/>
        </w:rPr>
      </w:pPr>
      <w:r w:rsidRPr="003D7E85">
        <w:rPr>
          <w:lang w:val="fr-FR"/>
        </w:rPr>
        <w:t>6.2</w:t>
      </w:r>
      <w:r w:rsidRPr="003D7E85">
        <w:rPr>
          <w:lang w:val="fr-FR"/>
        </w:rPr>
        <w:tab/>
        <w:t>Le Comité s’est assuré, comme il est tenu de le faire conformément au paragraphe 2 a) de l’article 5 du Protocole facultatif, que la même question n’était pas déjà en cours d’examen devant une autre instance internationale d’enquête ou de règlement</w:t>
      </w:r>
      <w:r w:rsidR="009963FD" w:rsidRPr="003D7E85">
        <w:rPr>
          <w:lang w:val="fr-FR"/>
        </w:rPr>
        <w:t>.</w:t>
      </w:r>
    </w:p>
    <w:p w:rsidR="009963FD" w:rsidRPr="00C95C11" w:rsidRDefault="00950800" w:rsidP="00ED044B">
      <w:pPr>
        <w:pStyle w:val="SingleTxtG"/>
        <w:rPr>
          <w:lang w:val="fr-FR"/>
        </w:rPr>
      </w:pPr>
      <w:r w:rsidRPr="003D7E85">
        <w:rPr>
          <w:lang w:val="fr-FR"/>
        </w:rPr>
        <w:t>6</w:t>
      </w:r>
      <w:r w:rsidR="009963FD" w:rsidRPr="003D7E85">
        <w:rPr>
          <w:lang w:val="fr-FR"/>
        </w:rPr>
        <w:t>.3</w:t>
      </w:r>
      <w:r w:rsidR="009963FD" w:rsidRPr="003D7E85">
        <w:rPr>
          <w:lang w:val="fr-FR"/>
        </w:rPr>
        <w:tab/>
        <w:t>En ce qui concerne l’obligation d’épuisement des recours internes, le Comité note que l’</w:t>
      </w:r>
      <w:r w:rsidR="00DE65D4" w:rsidRPr="003D7E85">
        <w:rPr>
          <w:lang w:val="fr-FR"/>
        </w:rPr>
        <w:t>État</w:t>
      </w:r>
      <w:r w:rsidR="009963FD" w:rsidRPr="003D7E85">
        <w:rPr>
          <w:lang w:val="fr-FR"/>
        </w:rPr>
        <w:t xml:space="preserve"> partie a contesté la recevabilité de la communication aux motifs que l’auteur n’a</w:t>
      </w:r>
      <w:r w:rsidR="007527BF" w:rsidRPr="003D7E85">
        <w:rPr>
          <w:lang w:val="fr-FR"/>
        </w:rPr>
        <w:t>vait</w:t>
      </w:r>
      <w:r w:rsidR="009963FD" w:rsidRPr="003D7E85">
        <w:rPr>
          <w:lang w:val="fr-FR"/>
        </w:rPr>
        <w:t xml:space="preserve"> pas allégué avoir été torturé lors de sa première audition par le juge d’instruction le </w:t>
      </w:r>
      <w:r w:rsidR="00853A9E" w:rsidRPr="003D7E85">
        <w:rPr>
          <w:lang w:val="fr-FR"/>
        </w:rPr>
        <w:t>7 octobre 2009</w:t>
      </w:r>
      <w:r w:rsidR="009963FD" w:rsidRPr="003D7E85">
        <w:rPr>
          <w:lang w:val="fr-FR"/>
        </w:rPr>
        <w:t xml:space="preserve"> et qu’il n’a</w:t>
      </w:r>
      <w:r w:rsidR="007527BF" w:rsidRPr="003D7E85">
        <w:rPr>
          <w:lang w:val="fr-FR"/>
        </w:rPr>
        <w:t>vait</w:t>
      </w:r>
      <w:r w:rsidR="009963FD" w:rsidRPr="003D7E85">
        <w:rPr>
          <w:lang w:val="fr-FR"/>
        </w:rPr>
        <w:t xml:space="preserve"> pas fait appel du classement sans suite par le Procureur de sa plainte du </w:t>
      </w:r>
      <w:r w:rsidR="00853A9E" w:rsidRPr="003D7E85">
        <w:rPr>
          <w:lang w:val="fr-FR"/>
        </w:rPr>
        <w:t>3 novembre 2011</w:t>
      </w:r>
      <w:r w:rsidR="009963FD" w:rsidRPr="003D7E85">
        <w:rPr>
          <w:lang w:val="fr-FR"/>
        </w:rPr>
        <w:t>. Il note également qu</w:t>
      </w:r>
      <w:r w:rsidR="009963FD" w:rsidRPr="00C95C11">
        <w:rPr>
          <w:lang w:val="fr-FR"/>
        </w:rPr>
        <w:t>e</w:t>
      </w:r>
      <w:r w:rsidR="007527BF">
        <w:rPr>
          <w:lang w:val="fr-FR"/>
        </w:rPr>
        <w:t>,</w:t>
      </w:r>
      <w:r w:rsidR="009963FD" w:rsidRPr="00C95C11">
        <w:rPr>
          <w:lang w:val="fr-FR"/>
        </w:rPr>
        <w:t xml:space="preserve"> selon l’</w:t>
      </w:r>
      <w:r w:rsidR="00DE65D4" w:rsidRPr="00884EA8">
        <w:rPr>
          <w:lang w:val="fr-FR"/>
        </w:rPr>
        <w:t>État</w:t>
      </w:r>
      <w:r w:rsidR="009963FD" w:rsidRPr="00C95C11">
        <w:rPr>
          <w:lang w:val="fr-FR"/>
        </w:rPr>
        <w:t xml:space="preserve"> partie, l’auteur utiliserait la procédure de communication individuelle devant le Comité pour influencer les procédures judiciaires internes à son encontre qui sont toujours en cours.</w:t>
      </w:r>
    </w:p>
    <w:p w:rsidR="009963FD" w:rsidRPr="003D7E85" w:rsidRDefault="00950800" w:rsidP="004D3B38">
      <w:pPr>
        <w:pStyle w:val="SingleTxtG"/>
        <w:rPr>
          <w:lang w:val="fr-FR"/>
        </w:rPr>
      </w:pPr>
      <w:r w:rsidRPr="00C95C11">
        <w:rPr>
          <w:lang w:val="fr-FR"/>
        </w:rPr>
        <w:t>6</w:t>
      </w:r>
      <w:r w:rsidR="009963FD" w:rsidRPr="00C95C11">
        <w:rPr>
          <w:lang w:val="fr-FR"/>
        </w:rPr>
        <w:t>.4</w:t>
      </w:r>
      <w:r w:rsidR="009963FD" w:rsidRPr="00C95C11">
        <w:rPr>
          <w:lang w:val="fr-FR"/>
        </w:rPr>
        <w:tab/>
        <w:t>Le Comité note les arguments de l’auteur selon lesquels</w:t>
      </w:r>
      <w:r w:rsidR="007527BF">
        <w:rPr>
          <w:lang w:val="fr-FR"/>
        </w:rPr>
        <w:t>, dans l’état où il était,</w:t>
      </w:r>
      <w:r w:rsidR="009963FD" w:rsidRPr="00C95C11">
        <w:rPr>
          <w:lang w:val="fr-FR"/>
        </w:rPr>
        <w:t xml:space="preserve"> il n’a pu dénoncer les actes de torture subis </w:t>
      </w:r>
      <w:r w:rsidR="007527BF">
        <w:rPr>
          <w:lang w:val="fr-FR"/>
        </w:rPr>
        <w:t xml:space="preserve">ni </w:t>
      </w:r>
      <w:r w:rsidR="009963FD" w:rsidRPr="00C95C11">
        <w:rPr>
          <w:lang w:val="fr-FR"/>
        </w:rPr>
        <w:t>les conditions dans lesquelles la première audition a</w:t>
      </w:r>
      <w:r w:rsidR="007527BF">
        <w:rPr>
          <w:lang w:val="fr-FR"/>
        </w:rPr>
        <w:t>vait</w:t>
      </w:r>
      <w:r w:rsidR="009963FD" w:rsidRPr="00C95C11">
        <w:rPr>
          <w:lang w:val="fr-FR"/>
        </w:rPr>
        <w:t xml:space="preserve"> eu lieu, dans la nuit du 6 au 7 octobre 2009</w:t>
      </w:r>
      <w:r w:rsidR="007527BF">
        <w:rPr>
          <w:lang w:val="fr-FR"/>
        </w:rPr>
        <w:t xml:space="preserve">. Le Comité note </w:t>
      </w:r>
      <w:r w:rsidR="009963FD" w:rsidRPr="00C95C11">
        <w:rPr>
          <w:lang w:val="fr-FR"/>
        </w:rPr>
        <w:t>que l’auteur a fait allusion à un tel traitement lors de l’audition par le juge d’i</w:t>
      </w:r>
      <w:r w:rsidR="00ED044B" w:rsidRPr="00C95C11">
        <w:rPr>
          <w:lang w:val="fr-FR"/>
        </w:rPr>
        <w:t xml:space="preserve">nstruction </w:t>
      </w:r>
      <w:r w:rsidR="00ED044B" w:rsidRPr="003D7E85">
        <w:rPr>
          <w:lang w:val="fr-FR"/>
        </w:rPr>
        <w:t xml:space="preserve">du </w:t>
      </w:r>
      <w:r w:rsidR="00853A9E" w:rsidRPr="003D7E85">
        <w:rPr>
          <w:lang w:val="fr-FR"/>
        </w:rPr>
        <w:t>17 novembre 2009</w:t>
      </w:r>
      <w:r w:rsidR="00ED044B" w:rsidRPr="003D7E85">
        <w:rPr>
          <w:lang w:val="fr-FR"/>
        </w:rPr>
        <w:t>.</w:t>
      </w:r>
    </w:p>
    <w:p w:rsidR="009963FD" w:rsidRPr="00C95C11" w:rsidRDefault="00950800" w:rsidP="004D3B38">
      <w:pPr>
        <w:pStyle w:val="SingleTxtG"/>
        <w:rPr>
          <w:lang w:val="fr-FR"/>
        </w:rPr>
      </w:pPr>
      <w:r w:rsidRPr="003D7E85">
        <w:rPr>
          <w:lang w:val="fr-FR"/>
        </w:rPr>
        <w:t>6</w:t>
      </w:r>
      <w:r w:rsidR="009963FD" w:rsidRPr="003D7E85">
        <w:rPr>
          <w:lang w:val="fr-FR"/>
        </w:rPr>
        <w:t>.5</w:t>
      </w:r>
      <w:r w:rsidR="009963FD" w:rsidRPr="003D7E85">
        <w:rPr>
          <w:lang w:val="fr-FR"/>
        </w:rPr>
        <w:tab/>
        <w:t>Le Comité note qu</w:t>
      </w:r>
      <w:r w:rsidR="00CC33C6" w:rsidRPr="003D7E85">
        <w:rPr>
          <w:lang w:val="fr-FR"/>
        </w:rPr>
        <w:t>’</w:t>
      </w:r>
      <w:r w:rsidR="009963FD" w:rsidRPr="003D7E85">
        <w:rPr>
          <w:lang w:val="fr-FR"/>
        </w:rPr>
        <w:t>en l</w:t>
      </w:r>
      <w:r w:rsidR="00CC33C6" w:rsidRPr="003D7E85">
        <w:rPr>
          <w:lang w:val="fr-FR"/>
        </w:rPr>
        <w:t>’</w:t>
      </w:r>
      <w:r w:rsidR="009963FD" w:rsidRPr="003D7E85">
        <w:rPr>
          <w:lang w:val="fr-FR"/>
        </w:rPr>
        <w:t>espèce l</w:t>
      </w:r>
      <w:r w:rsidR="00CC33C6" w:rsidRPr="003D7E85">
        <w:rPr>
          <w:lang w:val="fr-FR"/>
        </w:rPr>
        <w:t>’</w:t>
      </w:r>
      <w:r w:rsidR="009963FD" w:rsidRPr="003D7E85">
        <w:rPr>
          <w:lang w:val="fr-FR"/>
        </w:rPr>
        <w:t>auteur a dénoncé</w:t>
      </w:r>
      <w:r w:rsidR="00276D0A" w:rsidRPr="003D7E85">
        <w:rPr>
          <w:lang w:val="fr-FR"/>
        </w:rPr>
        <w:t xml:space="preserve"> </w:t>
      </w:r>
      <w:r w:rsidR="009963FD" w:rsidRPr="003D7E85">
        <w:rPr>
          <w:lang w:val="fr-FR"/>
        </w:rPr>
        <w:t>le traitement qu’il aurait subi en détention non seulement au juge d</w:t>
      </w:r>
      <w:r w:rsidR="00CC33C6" w:rsidRPr="003D7E85">
        <w:rPr>
          <w:lang w:val="fr-FR"/>
        </w:rPr>
        <w:t>’</w:t>
      </w:r>
      <w:r w:rsidR="009963FD" w:rsidRPr="003D7E85">
        <w:rPr>
          <w:lang w:val="fr-FR"/>
        </w:rPr>
        <w:t>instruction</w:t>
      </w:r>
      <w:r w:rsidR="00276D0A" w:rsidRPr="003D7E85">
        <w:rPr>
          <w:lang w:val="fr-FR"/>
        </w:rPr>
        <w:t>,</w:t>
      </w:r>
      <w:r w:rsidR="009963FD" w:rsidRPr="003D7E85">
        <w:rPr>
          <w:lang w:val="fr-FR"/>
        </w:rPr>
        <w:t xml:space="preserve"> le </w:t>
      </w:r>
      <w:r w:rsidR="00853A9E" w:rsidRPr="003D7E85">
        <w:rPr>
          <w:lang w:val="fr-FR"/>
        </w:rPr>
        <w:t>17 novembre 2009</w:t>
      </w:r>
      <w:r w:rsidR="00276D0A" w:rsidRPr="003D7E85">
        <w:rPr>
          <w:lang w:val="fr-FR"/>
        </w:rPr>
        <w:t>,</w:t>
      </w:r>
      <w:r w:rsidR="009963FD" w:rsidRPr="003D7E85">
        <w:rPr>
          <w:lang w:val="fr-FR"/>
        </w:rPr>
        <w:t xml:space="preserve"> mais aussi formellement par plainte écrite au Procureur </w:t>
      </w:r>
      <w:r w:rsidR="007527BF" w:rsidRPr="003D7E85">
        <w:rPr>
          <w:lang w:val="fr-FR"/>
        </w:rPr>
        <w:t>g</w:t>
      </w:r>
      <w:r w:rsidR="009963FD" w:rsidRPr="003D7E85">
        <w:rPr>
          <w:lang w:val="fr-FR"/>
        </w:rPr>
        <w:t xml:space="preserve">énéral </w:t>
      </w:r>
      <w:r w:rsidR="00E44D30" w:rsidRPr="003D7E85">
        <w:rPr>
          <w:lang w:val="fr-FR"/>
        </w:rPr>
        <w:t xml:space="preserve">le </w:t>
      </w:r>
      <w:r w:rsidR="00853A9E" w:rsidRPr="003D7E85">
        <w:rPr>
          <w:lang w:val="fr-FR"/>
        </w:rPr>
        <w:t>3 novembre 2011</w:t>
      </w:r>
      <w:r w:rsidR="009963FD" w:rsidRPr="003D7E85">
        <w:rPr>
          <w:lang w:val="fr-FR"/>
        </w:rPr>
        <w:t>. Le Comité note que l</w:t>
      </w:r>
      <w:r w:rsidR="00CC33C6" w:rsidRPr="003D7E85">
        <w:rPr>
          <w:lang w:val="fr-FR"/>
        </w:rPr>
        <w:t>’</w:t>
      </w:r>
      <w:r w:rsidR="00DE65D4" w:rsidRPr="003D7E85">
        <w:rPr>
          <w:lang w:val="fr-FR"/>
        </w:rPr>
        <w:t>État</w:t>
      </w:r>
      <w:r w:rsidR="009963FD" w:rsidRPr="003D7E85">
        <w:rPr>
          <w:lang w:val="fr-FR"/>
        </w:rPr>
        <w:t xml:space="preserve"> partie se contente d</w:t>
      </w:r>
      <w:r w:rsidR="00CC33C6" w:rsidRPr="003D7E85">
        <w:rPr>
          <w:lang w:val="fr-FR"/>
        </w:rPr>
        <w:t>’</w:t>
      </w:r>
      <w:r w:rsidR="009963FD" w:rsidRPr="003D7E85">
        <w:rPr>
          <w:lang w:val="fr-FR"/>
        </w:rPr>
        <w:t>indiquer qu</w:t>
      </w:r>
      <w:r w:rsidR="00CC33C6" w:rsidRPr="003D7E85">
        <w:rPr>
          <w:lang w:val="fr-FR"/>
        </w:rPr>
        <w:t>’</w:t>
      </w:r>
      <w:r w:rsidR="009963FD" w:rsidRPr="003D7E85">
        <w:rPr>
          <w:lang w:val="fr-FR"/>
        </w:rPr>
        <w:t xml:space="preserve">un recours contre le classement sans suite </w:t>
      </w:r>
      <w:r w:rsidR="00987B2B" w:rsidRPr="003D7E85">
        <w:rPr>
          <w:lang w:val="fr-FR"/>
        </w:rPr>
        <w:t xml:space="preserve">par le </w:t>
      </w:r>
      <w:r w:rsidR="009963FD" w:rsidRPr="003D7E85">
        <w:rPr>
          <w:lang w:val="fr-FR"/>
        </w:rPr>
        <w:t>Procureur de la République dix jours après la plainte aurait pu être déposé sans toutefois démontrer comment un tel recours aurait pu être soumis au regard du droit algérien. En l</w:t>
      </w:r>
      <w:r w:rsidR="00CC33C6" w:rsidRPr="003D7E85">
        <w:rPr>
          <w:lang w:val="fr-FR"/>
        </w:rPr>
        <w:t>’</w:t>
      </w:r>
      <w:r w:rsidR="009963FD" w:rsidRPr="003D7E85">
        <w:rPr>
          <w:lang w:val="fr-FR"/>
        </w:rPr>
        <w:t>absence d</w:t>
      </w:r>
      <w:r w:rsidR="00CC33C6" w:rsidRPr="003D7E85">
        <w:rPr>
          <w:lang w:val="fr-FR"/>
        </w:rPr>
        <w:t>’</w:t>
      </w:r>
      <w:r w:rsidR="009963FD" w:rsidRPr="003D7E85">
        <w:rPr>
          <w:lang w:val="fr-FR"/>
        </w:rPr>
        <w:t>information supplémentaire de l</w:t>
      </w:r>
      <w:r w:rsidR="00CC33C6" w:rsidRPr="003D7E85">
        <w:rPr>
          <w:lang w:val="fr-FR"/>
        </w:rPr>
        <w:t>’</w:t>
      </w:r>
      <w:r w:rsidR="00DE65D4" w:rsidRPr="003D7E85">
        <w:rPr>
          <w:lang w:val="fr-FR"/>
        </w:rPr>
        <w:t>État</w:t>
      </w:r>
      <w:r w:rsidR="009963FD" w:rsidRPr="003D7E85">
        <w:rPr>
          <w:lang w:val="fr-FR"/>
        </w:rPr>
        <w:t xml:space="preserve"> partie et compte tenu des nombreuses occasions données aux autorités de l</w:t>
      </w:r>
      <w:r w:rsidR="00CC33C6" w:rsidRPr="003D7E85">
        <w:rPr>
          <w:lang w:val="fr-FR"/>
        </w:rPr>
        <w:t>’</w:t>
      </w:r>
      <w:r w:rsidR="00DE65D4" w:rsidRPr="003D7E85">
        <w:rPr>
          <w:lang w:val="fr-FR"/>
        </w:rPr>
        <w:t>État</w:t>
      </w:r>
      <w:r w:rsidR="009963FD" w:rsidRPr="003D7E85">
        <w:rPr>
          <w:lang w:val="fr-FR"/>
        </w:rPr>
        <w:t xml:space="preserve"> partie </w:t>
      </w:r>
      <w:r w:rsidR="00276D0A" w:rsidRPr="003D7E85">
        <w:rPr>
          <w:lang w:val="fr-FR"/>
        </w:rPr>
        <w:t xml:space="preserve">de </w:t>
      </w:r>
      <w:r w:rsidR="009963FD" w:rsidRPr="003D7E85">
        <w:rPr>
          <w:lang w:val="fr-FR"/>
        </w:rPr>
        <w:t>mener une enquête prompte et impartiale sur les allégations soumises par l</w:t>
      </w:r>
      <w:r w:rsidR="00CC33C6" w:rsidRPr="003D7E85">
        <w:rPr>
          <w:lang w:val="fr-FR"/>
        </w:rPr>
        <w:t>’</w:t>
      </w:r>
      <w:r w:rsidR="009963FD" w:rsidRPr="003D7E85">
        <w:rPr>
          <w:lang w:val="fr-FR"/>
        </w:rPr>
        <w:t xml:space="preserve">auteur, le Comité considère qu’il </w:t>
      </w:r>
      <w:r w:rsidR="00320B25" w:rsidRPr="003D7E85">
        <w:rPr>
          <w:lang w:val="fr-FR"/>
        </w:rPr>
        <w:t>n’est pas empêché</w:t>
      </w:r>
      <w:r w:rsidR="009963FD" w:rsidRPr="003D7E85">
        <w:rPr>
          <w:lang w:val="fr-FR"/>
        </w:rPr>
        <w:t xml:space="preserve">, au titre du </w:t>
      </w:r>
      <w:r w:rsidR="00853A9E" w:rsidRPr="003D7E85">
        <w:rPr>
          <w:lang w:val="fr-FR"/>
        </w:rPr>
        <w:t>paragraphe 2 b) de l’article 5 du</w:t>
      </w:r>
      <w:r w:rsidR="009963FD" w:rsidRPr="003D7E85">
        <w:rPr>
          <w:lang w:val="fr-FR"/>
        </w:rPr>
        <w:t xml:space="preserve"> Protocole facultatif</w:t>
      </w:r>
      <w:r w:rsidR="009963FD" w:rsidRPr="00C95C11">
        <w:rPr>
          <w:lang w:val="fr-FR"/>
        </w:rPr>
        <w:t>, d</w:t>
      </w:r>
      <w:r w:rsidR="00CC33C6" w:rsidRPr="00C95C11">
        <w:rPr>
          <w:lang w:val="fr-FR"/>
        </w:rPr>
        <w:t>’</w:t>
      </w:r>
      <w:r w:rsidR="009963FD" w:rsidRPr="00C95C11">
        <w:rPr>
          <w:lang w:val="fr-FR"/>
        </w:rPr>
        <w:t>examiner les allégations de l</w:t>
      </w:r>
      <w:r w:rsidR="00CC33C6" w:rsidRPr="00C95C11">
        <w:rPr>
          <w:lang w:val="fr-FR"/>
        </w:rPr>
        <w:t>’</w:t>
      </w:r>
      <w:r w:rsidR="009963FD" w:rsidRPr="00C95C11">
        <w:rPr>
          <w:lang w:val="fr-FR"/>
        </w:rPr>
        <w:t>auteur au titre de l</w:t>
      </w:r>
      <w:r w:rsidR="00CC33C6" w:rsidRPr="00C95C11">
        <w:rPr>
          <w:lang w:val="fr-FR"/>
        </w:rPr>
        <w:t>’</w:t>
      </w:r>
      <w:r w:rsidR="009963FD" w:rsidRPr="00C95C11">
        <w:rPr>
          <w:lang w:val="fr-FR"/>
        </w:rPr>
        <w:t>article</w:t>
      </w:r>
      <w:r w:rsidR="008806EC">
        <w:rPr>
          <w:lang w:val="fr-FR"/>
        </w:rPr>
        <w:t> </w:t>
      </w:r>
      <w:r w:rsidR="009963FD" w:rsidRPr="00C95C11">
        <w:rPr>
          <w:lang w:val="fr-FR"/>
        </w:rPr>
        <w:t xml:space="preserve">7 </w:t>
      </w:r>
      <w:r w:rsidR="00276D0A">
        <w:rPr>
          <w:lang w:val="fr-FR"/>
        </w:rPr>
        <w:t xml:space="preserve">lu </w:t>
      </w:r>
      <w:r w:rsidR="009963FD" w:rsidRPr="00C95C11">
        <w:rPr>
          <w:lang w:val="fr-FR"/>
        </w:rPr>
        <w:t>seul et conjointement avec l</w:t>
      </w:r>
      <w:r w:rsidR="00CC33C6" w:rsidRPr="00C95C11">
        <w:rPr>
          <w:lang w:val="fr-FR"/>
        </w:rPr>
        <w:t>’</w:t>
      </w:r>
      <w:r w:rsidR="009963FD" w:rsidRPr="00C95C11">
        <w:rPr>
          <w:lang w:val="fr-FR"/>
        </w:rPr>
        <w:t>article</w:t>
      </w:r>
      <w:r w:rsidR="008806EC">
        <w:rPr>
          <w:lang w:val="fr-FR"/>
        </w:rPr>
        <w:t> </w:t>
      </w:r>
      <w:r w:rsidR="009963FD" w:rsidRPr="00C95C11">
        <w:rPr>
          <w:lang w:val="fr-FR"/>
        </w:rPr>
        <w:t>2, paragraphe</w:t>
      </w:r>
      <w:r w:rsidR="008806EC">
        <w:rPr>
          <w:lang w:val="fr-FR"/>
        </w:rPr>
        <w:t> </w:t>
      </w:r>
      <w:r w:rsidR="009963FD" w:rsidRPr="00C95C11">
        <w:rPr>
          <w:lang w:val="fr-FR"/>
        </w:rPr>
        <w:t>3</w:t>
      </w:r>
      <w:r w:rsidR="00276D0A">
        <w:rPr>
          <w:lang w:val="fr-FR"/>
        </w:rPr>
        <w:t>,</w:t>
      </w:r>
      <w:r w:rsidR="009963FD" w:rsidRPr="00C95C11">
        <w:rPr>
          <w:lang w:val="fr-FR"/>
        </w:rPr>
        <w:t xml:space="preserve"> du Pacte.</w:t>
      </w:r>
    </w:p>
    <w:p w:rsidR="009963FD" w:rsidRPr="00C95C11" w:rsidRDefault="00950800" w:rsidP="002F7EEC">
      <w:pPr>
        <w:pStyle w:val="SingleTxtG"/>
        <w:rPr>
          <w:lang w:val="fr-FR"/>
        </w:rPr>
      </w:pPr>
      <w:r w:rsidRPr="00884EA8">
        <w:rPr>
          <w:lang w:val="fr-FR"/>
        </w:rPr>
        <w:t>6</w:t>
      </w:r>
      <w:r w:rsidR="009963FD" w:rsidRPr="00884EA8">
        <w:rPr>
          <w:lang w:val="fr-FR"/>
        </w:rPr>
        <w:t>.6</w:t>
      </w:r>
      <w:r w:rsidR="009963FD" w:rsidRPr="00884EA8">
        <w:rPr>
          <w:lang w:val="fr-FR"/>
        </w:rPr>
        <w:tab/>
        <w:t>Le Comité note l</w:t>
      </w:r>
      <w:r w:rsidR="00CC33C6" w:rsidRPr="00884EA8">
        <w:rPr>
          <w:lang w:val="fr-FR"/>
        </w:rPr>
        <w:t>’</w:t>
      </w:r>
      <w:r w:rsidR="009963FD" w:rsidRPr="00884EA8">
        <w:rPr>
          <w:lang w:val="fr-FR"/>
        </w:rPr>
        <w:t>allégation de l</w:t>
      </w:r>
      <w:r w:rsidR="00CC33C6" w:rsidRPr="00884EA8">
        <w:rPr>
          <w:lang w:val="fr-FR"/>
        </w:rPr>
        <w:t>’</w:t>
      </w:r>
      <w:r w:rsidR="009963FD" w:rsidRPr="00884EA8">
        <w:rPr>
          <w:lang w:val="fr-FR"/>
        </w:rPr>
        <w:t>auteur au titre de l</w:t>
      </w:r>
      <w:r w:rsidR="00CC33C6" w:rsidRPr="00884EA8">
        <w:rPr>
          <w:lang w:val="fr-FR"/>
        </w:rPr>
        <w:t>’</w:t>
      </w:r>
      <w:r w:rsidR="009963FD" w:rsidRPr="00884EA8">
        <w:rPr>
          <w:lang w:val="fr-FR"/>
        </w:rPr>
        <w:t>article</w:t>
      </w:r>
      <w:r w:rsidR="008806EC">
        <w:rPr>
          <w:lang w:val="fr-FR"/>
        </w:rPr>
        <w:t> </w:t>
      </w:r>
      <w:r w:rsidR="009963FD" w:rsidRPr="00884EA8">
        <w:rPr>
          <w:lang w:val="fr-FR"/>
        </w:rPr>
        <w:t xml:space="preserve">9 </w:t>
      </w:r>
      <w:r w:rsidR="00A16FA8">
        <w:rPr>
          <w:lang w:val="fr-FR"/>
        </w:rPr>
        <w:t xml:space="preserve">du Pacte </w:t>
      </w:r>
      <w:r w:rsidR="009963FD" w:rsidRPr="00884EA8">
        <w:rPr>
          <w:lang w:val="fr-FR"/>
        </w:rPr>
        <w:t>en vertu de laquelle son arrestation et sa détention d</w:t>
      </w:r>
      <w:r w:rsidR="00CC33C6" w:rsidRPr="00884EA8">
        <w:rPr>
          <w:lang w:val="fr-FR"/>
        </w:rPr>
        <w:t>’</w:t>
      </w:r>
      <w:r w:rsidR="009963FD" w:rsidRPr="00884EA8">
        <w:rPr>
          <w:lang w:val="fr-FR"/>
        </w:rPr>
        <w:t>abord au secret puis en détention provisoire seraient arbitraires. Le Comité note que ces allégations ont été soumises aux autorités, tout d</w:t>
      </w:r>
      <w:r w:rsidR="00CC33C6" w:rsidRPr="00884EA8">
        <w:rPr>
          <w:lang w:val="fr-FR"/>
        </w:rPr>
        <w:t>’</w:t>
      </w:r>
      <w:r w:rsidR="009963FD" w:rsidRPr="00884EA8">
        <w:rPr>
          <w:lang w:val="fr-FR"/>
        </w:rPr>
        <w:t xml:space="preserve">abord </w:t>
      </w:r>
      <w:r w:rsidR="00A16FA8">
        <w:rPr>
          <w:lang w:val="fr-FR"/>
        </w:rPr>
        <w:t xml:space="preserve">au </w:t>
      </w:r>
      <w:r w:rsidR="009963FD" w:rsidRPr="00884EA8">
        <w:rPr>
          <w:lang w:val="fr-FR"/>
        </w:rPr>
        <w:t>juge d</w:t>
      </w:r>
      <w:r w:rsidR="00CC33C6" w:rsidRPr="00884EA8">
        <w:rPr>
          <w:lang w:val="fr-FR"/>
        </w:rPr>
        <w:t>’</w:t>
      </w:r>
      <w:r w:rsidR="009963FD" w:rsidRPr="00884EA8">
        <w:rPr>
          <w:lang w:val="fr-FR"/>
        </w:rPr>
        <w:t xml:space="preserve">instruction puis </w:t>
      </w:r>
      <w:r w:rsidR="00A16FA8">
        <w:rPr>
          <w:lang w:val="fr-FR"/>
        </w:rPr>
        <w:t xml:space="preserve">au </w:t>
      </w:r>
      <w:r w:rsidR="009963FD" w:rsidRPr="00884EA8">
        <w:rPr>
          <w:lang w:val="fr-FR"/>
        </w:rPr>
        <w:t xml:space="preserve">Procureur de la République, mais aussi </w:t>
      </w:r>
      <w:r w:rsidR="00A16FA8">
        <w:rPr>
          <w:lang w:val="fr-FR"/>
        </w:rPr>
        <w:t xml:space="preserve">à </w:t>
      </w:r>
      <w:r w:rsidR="009963FD" w:rsidRPr="003D7E85">
        <w:rPr>
          <w:lang w:val="fr-FR"/>
        </w:rPr>
        <w:t xml:space="preserve">la </w:t>
      </w:r>
      <w:r w:rsidR="00853A9E" w:rsidRPr="003D7E85">
        <w:rPr>
          <w:lang w:val="fr-FR"/>
        </w:rPr>
        <w:t>chambr</w:t>
      </w:r>
      <w:r w:rsidR="009963FD" w:rsidRPr="003D7E85">
        <w:rPr>
          <w:lang w:val="fr-FR"/>
        </w:rPr>
        <w:t>e d</w:t>
      </w:r>
      <w:r w:rsidR="00CC33C6" w:rsidRPr="003D7E85">
        <w:rPr>
          <w:lang w:val="fr-FR"/>
        </w:rPr>
        <w:t>’</w:t>
      </w:r>
      <w:r w:rsidR="009963FD" w:rsidRPr="003D7E85">
        <w:rPr>
          <w:lang w:val="fr-FR"/>
        </w:rPr>
        <w:t xml:space="preserve">accusation et enfin </w:t>
      </w:r>
      <w:r w:rsidR="00A16FA8" w:rsidRPr="003D7E85">
        <w:rPr>
          <w:lang w:val="fr-FR"/>
        </w:rPr>
        <w:t xml:space="preserve">aux </w:t>
      </w:r>
      <w:r w:rsidR="009963FD" w:rsidRPr="003D7E85">
        <w:rPr>
          <w:lang w:val="fr-FR"/>
        </w:rPr>
        <w:t>tribunaux judiciaires sans qu</w:t>
      </w:r>
      <w:r w:rsidR="00CC33C6" w:rsidRPr="003D7E85">
        <w:rPr>
          <w:lang w:val="fr-FR"/>
        </w:rPr>
        <w:t>’</w:t>
      </w:r>
      <w:r w:rsidR="009963FD" w:rsidRPr="003D7E85">
        <w:rPr>
          <w:lang w:val="fr-FR"/>
        </w:rPr>
        <w:t>aucune enquête ne semble avoir à ce jour été diligentée. Le Comité note en outre que cette arrestation a eu lieu dans le cadre de l</w:t>
      </w:r>
      <w:r w:rsidR="00CC33C6" w:rsidRPr="003D7E85">
        <w:rPr>
          <w:lang w:val="fr-FR"/>
        </w:rPr>
        <w:t>’</w:t>
      </w:r>
      <w:r w:rsidR="009963FD" w:rsidRPr="003D7E85">
        <w:rPr>
          <w:lang w:val="fr-FR"/>
        </w:rPr>
        <w:t xml:space="preserve">affaire </w:t>
      </w:r>
      <w:r w:rsidR="005778A9" w:rsidRPr="003D7E85">
        <w:rPr>
          <w:lang w:val="fr-FR"/>
        </w:rPr>
        <w:t>de l’a</w:t>
      </w:r>
      <w:r w:rsidR="009963FD" w:rsidRPr="003D7E85">
        <w:rPr>
          <w:lang w:val="fr-FR"/>
        </w:rPr>
        <w:t xml:space="preserve">utoroute </w:t>
      </w:r>
      <w:r w:rsidR="005778A9" w:rsidRPr="003D7E85">
        <w:rPr>
          <w:lang w:val="fr-FR"/>
        </w:rPr>
        <w:t>e</w:t>
      </w:r>
      <w:r w:rsidR="009963FD" w:rsidRPr="003D7E85">
        <w:rPr>
          <w:lang w:val="fr-FR"/>
        </w:rPr>
        <w:t>st-</w:t>
      </w:r>
      <w:r w:rsidR="005778A9" w:rsidRPr="003D7E85">
        <w:rPr>
          <w:lang w:val="fr-FR"/>
        </w:rPr>
        <w:t>o</w:t>
      </w:r>
      <w:r w:rsidR="009963FD" w:rsidRPr="003D7E85">
        <w:rPr>
          <w:lang w:val="fr-FR"/>
        </w:rPr>
        <w:t xml:space="preserve">uest pour laquelle un arrêt a été rendu le </w:t>
      </w:r>
      <w:r w:rsidR="00853A9E" w:rsidRPr="003D7E85">
        <w:rPr>
          <w:lang w:val="fr-FR"/>
        </w:rPr>
        <w:t>7 mai 2015</w:t>
      </w:r>
      <w:r w:rsidR="009963FD" w:rsidRPr="003D7E85">
        <w:rPr>
          <w:lang w:val="fr-FR"/>
        </w:rPr>
        <w:t>, arrêt uniquement susceptible d</w:t>
      </w:r>
      <w:r w:rsidR="00CC33C6" w:rsidRPr="003D7E85">
        <w:rPr>
          <w:lang w:val="fr-FR"/>
        </w:rPr>
        <w:t>’</w:t>
      </w:r>
      <w:r w:rsidR="009963FD" w:rsidRPr="003D7E85">
        <w:rPr>
          <w:lang w:val="fr-FR"/>
        </w:rPr>
        <w:t>un recours en cassation et sans que l</w:t>
      </w:r>
      <w:r w:rsidR="00CC33C6" w:rsidRPr="003D7E85">
        <w:rPr>
          <w:lang w:val="fr-FR"/>
        </w:rPr>
        <w:t>’</w:t>
      </w:r>
      <w:r w:rsidR="009963FD" w:rsidRPr="003D7E85">
        <w:rPr>
          <w:lang w:val="fr-FR"/>
        </w:rPr>
        <w:t>allégation d</w:t>
      </w:r>
      <w:r w:rsidR="00CC33C6" w:rsidRPr="003D7E85">
        <w:rPr>
          <w:lang w:val="fr-FR"/>
        </w:rPr>
        <w:t>’</w:t>
      </w:r>
      <w:r w:rsidR="009963FD" w:rsidRPr="003D7E85">
        <w:rPr>
          <w:lang w:val="fr-FR"/>
        </w:rPr>
        <w:t>arrestation</w:t>
      </w:r>
      <w:r w:rsidR="009963FD" w:rsidRPr="00884EA8">
        <w:rPr>
          <w:lang w:val="fr-FR"/>
        </w:rPr>
        <w:t xml:space="preserve"> arbitraire n</w:t>
      </w:r>
      <w:r w:rsidR="00CC33C6" w:rsidRPr="00884EA8">
        <w:rPr>
          <w:lang w:val="fr-FR"/>
        </w:rPr>
        <w:t>’</w:t>
      </w:r>
      <w:r w:rsidR="009963FD" w:rsidRPr="00884EA8">
        <w:rPr>
          <w:lang w:val="fr-FR"/>
        </w:rPr>
        <w:t>ait fait l</w:t>
      </w:r>
      <w:r w:rsidR="00CC33C6" w:rsidRPr="00884EA8">
        <w:rPr>
          <w:lang w:val="fr-FR"/>
        </w:rPr>
        <w:t>’</w:t>
      </w:r>
      <w:r w:rsidR="009963FD" w:rsidRPr="00884EA8">
        <w:rPr>
          <w:lang w:val="fr-FR"/>
        </w:rPr>
        <w:t>objet d</w:t>
      </w:r>
      <w:r w:rsidR="00CC33C6" w:rsidRPr="00884EA8">
        <w:rPr>
          <w:lang w:val="fr-FR"/>
        </w:rPr>
        <w:t>’</w:t>
      </w:r>
      <w:r w:rsidR="009963FD" w:rsidRPr="00884EA8">
        <w:rPr>
          <w:lang w:val="fr-FR"/>
        </w:rPr>
        <w:t xml:space="preserve">une enquête prompte et impartiale. Le Comité constate que </w:t>
      </w:r>
      <w:r w:rsidR="009963FD" w:rsidRPr="00884EA8">
        <w:rPr>
          <w:lang w:val="fr-FR"/>
        </w:rPr>
        <w:lastRenderedPageBreak/>
        <w:t>l</w:t>
      </w:r>
      <w:r w:rsidR="00CC33C6" w:rsidRPr="00884EA8">
        <w:rPr>
          <w:lang w:val="fr-FR"/>
        </w:rPr>
        <w:t>’</w:t>
      </w:r>
      <w:r w:rsidR="00DE65D4" w:rsidRPr="00884EA8">
        <w:rPr>
          <w:lang w:val="fr-FR"/>
        </w:rPr>
        <w:t>État</w:t>
      </w:r>
      <w:r w:rsidR="009963FD" w:rsidRPr="00884EA8">
        <w:rPr>
          <w:lang w:val="fr-FR"/>
        </w:rPr>
        <w:t xml:space="preserve"> partie n</w:t>
      </w:r>
      <w:r w:rsidR="00CC33C6" w:rsidRPr="00884EA8">
        <w:rPr>
          <w:lang w:val="fr-FR"/>
        </w:rPr>
        <w:t>’</w:t>
      </w:r>
      <w:r w:rsidR="009963FD" w:rsidRPr="00884EA8">
        <w:rPr>
          <w:lang w:val="fr-FR"/>
        </w:rPr>
        <w:t>a pas réfuté ces allégations ni apporté une quelconque explication sur cette absence d</w:t>
      </w:r>
      <w:r w:rsidR="00CC33C6" w:rsidRPr="00884EA8">
        <w:rPr>
          <w:lang w:val="fr-FR"/>
        </w:rPr>
        <w:t>’</w:t>
      </w:r>
      <w:r w:rsidR="009963FD" w:rsidRPr="00884EA8">
        <w:rPr>
          <w:lang w:val="fr-FR"/>
        </w:rPr>
        <w:t xml:space="preserve">enquête. Le Comité considère </w:t>
      </w:r>
      <w:r w:rsidR="009963FD" w:rsidRPr="002F7EEC">
        <w:rPr>
          <w:lang w:val="fr-FR"/>
        </w:rPr>
        <w:t>qu</w:t>
      </w:r>
      <w:r w:rsidR="002F7EEC" w:rsidRPr="002F7EEC">
        <w:rPr>
          <w:lang w:val="fr-FR"/>
        </w:rPr>
        <w:t>’il s’agit d’un délai déraisonnable puisque,</w:t>
      </w:r>
      <w:r w:rsidR="009963FD" w:rsidRPr="002F7EEC">
        <w:rPr>
          <w:lang w:val="fr-FR"/>
        </w:rPr>
        <w:t xml:space="preserve"> </w:t>
      </w:r>
      <w:r w:rsidR="006049EA" w:rsidRPr="002F7EEC">
        <w:rPr>
          <w:lang w:val="fr-FR"/>
        </w:rPr>
        <w:t xml:space="preserve">sept </w:t>
      </w:r>
      <w:r w:rsidR="009963FD" w:rsidRPr="002F7EEC">
        <w:rPr>
          <w:lang w:val="fr-FR"/>
        </w:rPr>
        <w:t xml:space="preserve">ans après les faits allégués, </w:t>
      </w:r>
      <w:r w:rsidR="002F7EEC" w:rsidRPr="002F7EEC">
        <w:rPr>
          <w:lang w:val="fr-FR"/>
        </w:rPr>
        <w:t xml:space="preserve">aucune </w:t>
      </w:r>
      <w:r w:rsidR="00853A9E" w:rsidRPr="003D7E85">
        <w:rPr>
          <w:lang w:val="fr-FR"/>
        </w:rPr>
        <w:t xml:space="preserve">enquête </w:t>
      </w:r>
      <w:r w:rsidR="002F7EEC" w:rsidRPr="003D7E85">
        <w:rPr>
          <w:lang w:val="fr-FR"/>
        </w:rPr>
        <w:t xml:space="preserve">n’a été ouverte </w:t>
      </w:r>
      <w:r w:rsidR="00853A9E" w:rsidRPr="003D7E85">
        <w:rPr>
          <w:lang w:val="fr-FR"/>
        </w:rPr>
        <w:t>sur la présumée arrestation arbitraire et la détention au secret de l’auteur</w:t>
      </w:r>
      <w:r w:rsidR="009963FD" w:rsidRPr="002F7EEC">
        <w:rPr>
          <w:lang w:val="fr-FR"/>
        </w:rPr>
        <w:t>. Le</w:t>
      </w:r>
      <w:r w:rsidR="009963FD" w:rsidRPr="00884EA8">
        <w:rPr>
          <w:lang w:val="fr-FR"/>
        </w:rPr>
        <w:t xml:space="preserve"> </w:t>
      </w:r>
      <w:r w:rsidR="001E3147" w:rsidRPr="00C95C11">
        <w:rPr>
          <w:lang w:val="fr-FR"/>
        </w:rPr>
        <w:t>Comité considère qu’il n’est pas empêché, au titre du paragraphe 2 b) de l</w:t>
      </w:r>
      <w:r w:rsidR="00CC33C6" w:rsidRPr="00C95C11">
        <w:rPr>
          <w:lang w:val="fr-FR"/>
        </w:rPr>
        <w:t>’</w:t>
      </w:r>
      <w:r w:rsidR="001E3147" w:rsidRPr="00C95C11">
        <w:rPr>
          <w:lang w:val="fr-FR"/>
        </w:rPr>
        <w:t>article 5 du Protocole facultatif, d</w:t>
      </w:r>
      <w:r w:rsidR="00CC33C6" w:rsidRPr="00C95C11">
        <w:rPr>
          <w:lang w:val="fr-FR"/>
        </w:rPr>
        <w:t>’</w:t>
      </w:r>
      <w:r w:rsidR="001E3147" w:rsidRPr="00C95C11">
        <w:rPr>
          <w:lang w:val="fr-FR"/>
        </w:rPr>
        <w:t>examiner les allégations de l</w:t>
      </w:r>
      <w:r w:rsidR="00CC33C6" w:rsidRPr="00C95C11">
        <w:rPr>
          <w:lang w:val="fr-FR"/>
        </w:rPr>
        <w:t>’</w:t>
      </w:r>
      <w:r w:rsidR="001E3147" w:rsidRPr="00C95C11">
        <w:rPr>
          <w:lang w:val="fr-FR"/>
        </w:rPr>
        <w:t xml:space="preserve">auteur au titre de </w:t>
      </w:r>
      <w:r w:rsidR="009963FD" w:rsidRPr="00884EA8">
        <w:rPr>
          <w:lang w:val="fr-FR"/>
        </w:rPr>
        <w:t>l</w:t>
      </w:r>
      <w:r w:rsidR="00CC33C6" w:rsidRPr="00884EA8">
        <w:rPr>
          <w:lang w:val="fr-FR"/>
        </w:rPr>
        <w:t>’</w:t>
      </w:r>
      <w:r w:rsidR="009963FD" w:rsidRPr="00884EA8">
        <w:rPr>
          <w:lang w:val="fr-FR"/>
        </w:rPr>
        <w:t>article</w:t>
      </w:r>
      <w:r w:rsidR="008806EC">
        <w:rPr>
          <w:lang w:val="fr-FR"/>
        </w:rPr>
        <w:t> </w:t>
      </w:r>
      <w:r w:rsidR="009963FD" w:rsidRPr="00884EA8">
        <w:rPr>
          <w:lang w:val="fr-FR"/>
        </w:rPr>
        <w:t>9 du Pacte</w:t>
      </w:r>
      <w:r w:rsidR="001E3147" w:rsidRPr="00884EA8">
        <w:rPr>
          <w:lang w:val="fr-FR"/>
        </w:rPr>
        <w:t>,</w:t>
      </w:r>
      <w:r w:rsidR="009963FD" w:rsidRPr="00884EA8">
        <w:rPr>
          <w:lang w:val="fr-FR"/>
        </w:rPr>
        <w:t xml:space="preserve"> seul et lu conjointement avec l</w:t>
      </w:r>
      <w:r w:rsidR="00CC33C6" w:rsidRPr="00884EA8">
        <w:rPr>
          <w:lang w:val="fr-FR"/>
        </w:rPr>
        <w:t>’</w:t>
      </w:r>
      <w:r w:rsidR="009963FD" w:rsidRPr="00884EA8">
        <w:rPr>
          <w:lang w:val="fr-FR"/>
        </w:rPr>
        <w:t>article</w:t>
      </w:r>
      <w:r w:rsidR="008806EC">
        <w:rPr>
          <w:lang w:val="fr-FR"/>
        </w:rPr>
        <w:t> </w:t>
      </w:r>
      <w:r w:rsidR="009963FD" w:rsidRPr="00884EA8">
        <w:rPr>
          <w:lang w:val="fr-FR"/>
        </w:rPr>
        <w:t>2, paragraphe 3</w:t>
      </w:r>
      <w:r w:rsidR="001E3147" w:rsidRPr="00884EA8">
        <w:rPr>
          <w:lang w:val="fr-FR"/>
        </w:rPr>
        <w:t>.</w:t>
      </w:r>
    </w:p>
    <w:p w:rsidR="00DF2BE1" w:rsidRPr="00C95C11" w:rsidRDefault="00950800">
      <w:pPr>
        <w:pStyle w:val="SingleTxtG"/>
        <w:rPr>
          <w:lang w:val="fr-FR"/>
        </w:rPr>
      </w:pPr>
      <w:r w:rsidRPr="00C95C11">
        <w:rPr>
          <w:lang w:val="fr-FR"/>
        </w:rPr>
        <w:t>6</w:t>
      </w:r>
      <w:r w:rsidR="00A615C9" w:rsidRPr="00C95C11">
        <w:rPr>
          <w:lang w:val="fr-FR"/>
        </w:rPr>
        <w:t>.7</w:t>
      </w:r>
      <w:r w:rsidR="00A615C9" w:rsidRPr="00C95C11">
        <w:rPr>
          <w:lang w:val="fr-FR"/>
        </w:rPr>
        <w:tab/>
        <w:t>S</w:t>
      </w:r>
      <w:r w:rsidR="00CC33C6" w:rsidRPr="00C95C11">
        <w:rPr>
          <w:lang w:val="fr-FR"/>
        </w:rPr>
        <w:t>’</w:t>
      </w:r>
      <w:r w:rsidR="00A615C9" w:rsidRPr="00C95C11">
        <w:rPr>
          <w:lang w:val="fr-FR"/>
        </w:rPr>
        <w:t>agissant des allégations de l</w:t>
      </w:r>
      <w:r w:rsidR="00CC33C6" w:rsidRPr="00C95C11">
        <w:rPr>
          <w:lang w:val="fr-FR"/>
        </w:rPr>
        <w:t>’</w:t>
      </w:r>
      <w:r w:rsidR="00A615C9" w:rsidRPr="00C95C11">
        <w:rPr>
          <w:lang w:val="fr-FR"/>
        </w:rPr>
        <w:t>auteur au titre de l</w:t>
      </w:r>
      <w:r w:rsidR="00CC33C6" w:rsidRPr="00C95C11">
        <w:rPr>
          <w:lang w:val="fr-FR"/>
        </w:rPr>
        <w:t>’</w:t>
      </w:r>
      <w:r w:rsidR="00A615C9" w:rsidRPr="00C95C11">
        <w:rPr>
          <w:lang w:val="fr-FR"/>
        </w:rPr>
        <w:t>article 14 du Pacte, le Comité note l</w:t>
      </w:r>
      <w:r w:rsidR="00CC33C6" w:rsidRPr="00C95C11">
        <w:rPr>
          <w:lang w:val="fr-FR"/>
        </w:rPr>
        <w:t>’</w:t>
      </w:r>
      <w:r w:rsidR="00A615C9" w:rsidRPr="00C95C11">
        <w:rPr>
          <w:lang w:val="fr-FR"/>
        </w:rPr>
        <w:t>argument de l</w:t>
      </w:r>
      <w:r w:rsidR="00CC33C6" w:rsidRPr="00C95C11">
        <w:rPr>
          <w:lang w:val="fr-FR"/>
        </w:rPr>
        <w:t>’</w:t>
      </w:r>
      <w:r w:rsidR="00DE65D4" w:rsidRPr="00884EA8">
        <w:rPr>
          <w:lang w:val="fr-FR"/>
        </w:rPr>
        <w:t>État</w:t>
      </w:r>
      <w:r w:rsidR="00A615C9" w:rsidRPr="00C95C11">
        <w:rPr>
          <w:lang w:val="fr-FR"/>
        </w:rPr>
        <w:t xml:space="preserve"> partie selon lequel le procès judiciaire étant en cours, il y a ici absence d</w:t>
      </w:r>
      <w:r w:rsidR="00CC33C6" w:rsidRPr="00C95C11">
        <w:rPr>
          <w:lang w:val="fr-FR"/>
        </w:rPr>
        <w:t>’</w:t>
      </w:r>
      <w:r w:rsidR="00A615C9" w:rsidRPr="00C95C11">
        <w:rPr>
          <w:lang w:val="fr-FR"/>
        </w:rPr>
        <w:t>épuisement des recours internes. Tout d</w:t>
      </w:r>
      <w:r w:rsidR="00CC33C6" w:rsidRPr="00C95C11">
        <w:rPr>
          <w:lang w:val="fr-FR"/>
        </w:rPr>
        <w:t>’</w:t>
      </w:r>
      <w:r w:rsidR="00A615C9" w:rsidRPr="00C95C11">
        <w:rPr>
          <w:lang w:val="fr-FR"/>
        </w:rPr>
        <w:t>abord, la première affaire</w:t>
      </w:r>
      <w:r w:rsidR="00595F2E">
        <w:rPr>
          <w:lang w:val="fr-FR"/>
        </w:rPr>
        <w:t>,</w:t>
      </w:r>
      <w:r w:rsidR="00A615C9" w:rsidRPr="00C95C11">
        <w:rPr>
          <w:lang w:val="fr-FR"/>
        </w:rPr>
        <w:t xml:space="preserve"> dite de l</w:t>
      </w:r>
      <w:r w:rsidR="00CC33C6" w:rsidRPr="00C95C11">
        <w:rPr>
          <w:lang w:val="fr-FR"/>
        </w:rPr>
        <w:t>’</w:t>
      </w:r>
      <w:r w:rsidR="00A615C9" w:rsidRPr="00C95C11">
        <w:rPr>
          <w:lang w:val="fr-FR"/>
        </w:rPr>
        <w:t xml:space="preserve">autoroute </w:t>
      </w:r>
      <w:r w:rsidR="005778A9">
        <w:rPr>
          <w:lang w:val="fr-FR"/>
        </w:rPr>
        <w:t>e</w:t>
      </w:r>
      <w:r w:rsidR="00A615C9" w:rsidRPr="00C95C11">
        <w:rPr>
          <w:lang w:val="fr-FR"/>
        </w:rPr>
        <w:t>st-</w:t>
      </w:r>
      <w:r w:rsidR="005778A9">
        <w:rPr>
          <w:lang w:val="fr-FR"/>
        </w:rPr>
        <w:t>o</w:t>
      </w:r>
      <w:r w:rsidR="00A615C9" w:rsidRPr="00C95C11">
        <w:rPr>
          <w:lang w:val="fr-FR"/>
        </w:rPr>
        <w:t>uest</w:t>
      </w:r>
      <w:r w:rsidR="00595F2E">
        <w:rPr>
          <w:lang w:val="fr-FR"/>
        </w:rPr>
        <w:t>,</w:t>
      </w:r>
      <w:r w:rsidR="00A615C9" w:rsidRPr="00C95C11">
        <w:rPr>
          <w:lang w:val="fr-FR"/>
        </w:rPr>
        <w:t xml:space="preserve"> a été tranchée par le tribunal criminel </w:t>
      </w:r>
      <w:r w:rsidR="00A615C9" w:rsidRPr="003D7E85">
        <w:rPr>
          <w:lang w:val="fr-FR"/>
        </w:rPr>
        <w:t xml:space="preserve">le </w:t>
      </w:r>
      <w:r w:rsidR="00853A9E" w:rsidRPr="003D7E85">
        <w:rPr>
          <w:lang w:val="fr-FR"/>
        </w:rPr>
        <w:t>7 mai 2015</w:t>
      </w:r>
      <w:r w:rsidR="00A615C9" w:rsidRPr="003D7E85">
        <w:rPr>
          <w:lang w:val="fr-FR"/>
        </w:rPr>
        <w:t xml:space="preserve"> s</w:t>
      </w:r>
      <w:r w:rsidR="00CC33C6" w:rsidRPr="003D7E85">
        <w:rPr>
          <w:lang w:val="fr-FR"/>
        </w:rPr>
        <w:t>’</w:t>
      </w:r>
      <w:r w:rsidR="00A615C9" w:rsidRPr="003D7E85">
        <w:rPr>
          <w:lang w:val="fr-FR"/>
        </w:rPr>
        <w:t>agissant</w:t>
      </w:r>
      <w:r w:rsidR="00A615C9" w:rsidRPr="00C95C11">
        <w:rPr>
          <w:lang w:val="fr-FR"/>
        </w:rPr>
        <w:t xml:space="preserve"> de l</w:t>
      </w:r>
      <w:r w:rsidR="00CC33C6" w:rsidRPr="00C95C11">
        <w:rPr>
          <w:lang w:val="fr-FR"/>
        </w:rPr>
        <w:t>’</w:t>
      </w:r>
      <w:r w:rsidR="00A615C9" w:rsidRPr="00C95C11">
        <w:rPr>
          <w:lang w:val="fr-FR"/>
        </w:rPr>
        <w:t>adjudication en fait mais un pourvoi en cassation est en cours. Le Comité considère donc qu</w:t>
      </w:r>
      <w:r w:rsidR="00CC33C6" w:rsidRPr="00C95C11">
        <w:rPr>
          <w:lang w:val="fr-FR"/>
        </w:rPr>
        <w:t>’</w:t>
      </w:r>
      <w:r w:rsidR="00A615C9" w:rsidRPr="00C95C11">
        <w:rPr>
          <w:lang w:val="fr-FR"/>
        </w:rPr>
        <w:t>il est à ce stade empêché d</w:t>
      </w:r>
      <w:r w:rsidR="00CC33C6" w:rsidRPr="00C95C11">
        <w:rPr>
          <w:lang w:val="fr-FR"/>
        </w:rPr>
        <w:t>’</w:t>
      </w:r>
      <w:r w:rsidR="00A615C9" w:rsidRPr="00C95C11">
        <w:rPr>
          <w:lang w:val="fr-FR"/>
        </w:rPr>
        <w:t>examiner les allégations soumises par l</w:t>
      </w:r>
      <w:r w:rsidR="00CC33C6" w:rsidRPr="00C95C11">
        <w:rPr>
          <w:lang w:val="fr-FR"/>
        </w:rPr>
        <w:t>’</w:t>
      </w:r>
      <w:r w:rsidR="00A615C9" w:rsidRPr="00C95C11">
        <w:rPr>
          <w:lang w:val="fr-FR"/>
        </w:rPr>
        <w:t>auteur au titre de l</w:t>
      </w:r>
      <w:r w:rsidR="00CC33C6" w:rsidRPr="00C95C11">
        <w:rPr>
          <w:lang w:val="fr-FR"/>
        </w:rPr>
        <w:t>’</w:t>
      </w:r>
      <w:r w:rsidR="00A615C9" w:rsidRPr="00C95C11">
        <w:rPr>
          <w:lang w:val="fr-FR"/>
        </w:rPr>
        <w:t>article</w:t>
      </w:r>
      <w:r w:rsidR="00A16FA8">
        <w:rPr>
          <w:lang w:val="fr-FR"/>
        </w:rPr>
        <w:t> </w:t>
      </w:r>
      <w:r w:rsidR="00A615C9" w:rsidRPr="00C95C11">
        <w:rPr>
          <w:lang w:val="fr-FR"/>
        </w:rPr>
        <w:t>14 dans le cadre de l</w:t>
      </w:r>
      <w:r w:rsidR="00CC33C6" w:rsidRPr="00C95C11">
        <w:rPr>
          <w:lang w:val="fr-FR"/>
        </w:rPr>
        <w:t>’</w:t>
      </w:r>
      <w:r w:rsidR="00A615C9" w:rsidRPr="00C95C11">
        <w:rPr>
          <w:lang w:val="fr-FR"/>
        </w:rPr>
        <w:t xml:space="preserve">affaire </w:t>
      </w:r>
      <w:r w:rsidR="005778A9">
        <w:rPr>
          <w:lang w:val="fr-FR"/>
        </w:rPr>
        <w:t>de l’</w:t>
      </w:r>
      <w:r w:rsidR="00A615C9" w:rsidRPr="00C95C11">
        <w:rPr>
          <w:lang w:val="fr-FR"/>
        </w:rPr>
        <w:t xml:space="preserve">autoroute </w:t>
      </w:r>
      <w:r w:rsidR="005778A9">
        <w:rPr>
          <w:lang w:val="fr-FR"/>
        </w:rPr>
        <w:t>e</w:t>
      </w:r>
      <w:r w:rsidR="00A615C9" w:rsidRPr="00C95C11">
        <w:rPr>
          <w:lang w:val="fr-FR"/>
        </w:rPr>
        <w:t>st-</w:t>
      </w:r>
      <w:r w:rsidR="005778A9">
        <w:rPr>
          <w:lang w:val="fr-FR"/>
        </w:rPr>
        <w:t>o</w:t>
      </w:r>
      <w:r w:rsidR="00A615C9" w:rsidRPr="00C95C11">
        <w:rPr>
          <w:lang w:val="fr-FR"/>
        </w:rPr>
        <w:t>uest.</w:t>
      </w:r>
    </w:p>
    <w:p w:rsidR="009963FD" w:rsidRPr="00C95C11" w:rsidRDefault="00950800">
      <w:pPr>
        <w:autoSpaceDN w:val="0"/>
        <w:spacing w:after="120"/>
        <w:ind w:left="1134" w:right="1134"/>
        <w:jc w:val="both"/>
        <w:textAlignment w:val="baseline"/>
        <w:rPr>
          <w:kern w:val="3"/>
          <w:lang w:val="fr-FR"/>
        </w:rPr>
      </w:pPr>
      <w:r w:rsidRPr="00884EA8">
        <w:rPr>
          <w:kern w:val="3"/>
          <w:lang w:val="fr-FR"/>
        </w:rPr>
        <w:t>6</w:t>
      </w:r>
      <w:r w:rsidR="009963FD" w:rsidRPr="00884EA8">
        <w:rPr>
          <w:kern w:val="3"/>
          <w:lang w:val="fr-FR"/>
        </w:rPr>
        <w:t>.8</w:t>
      </w:r>
      <w:r w:rsidR="009963FD" w:rsidRPr="00884EA8">
        <w:rPr>
          <w:kern w:val="3"/>
          <w:lang w:val="fr-FR"/>
        </w:rPr>
        <w:tab/>
        <w:t>S</w:t>
      </w:r>
      <w:r w:rsidR="00CC33C6" w:rsidRPr="00884EA8">
        <w:rPr>
          <w:kern w:val="3"/>
          <w:lang w:val="fr-FR"/>
        </w:rPr>
        <w:t>’</w:t>
      </w:r>
      <w:r w:rsidR="009963FD" w:rsidRPr="00884EA8">
        <w:rPr>
          <w:kern w:val="3"/>
          <w:lang w:val="fr-FR"/>
        </w:rPr>
        <w:t>agissant des allégations relatives à l</w:t>
      </w:r>
      <w:r w:rsidR="00CC33C6" w:rsidRPr="00884EA8">
        <w:rPr>
          <w:kern w:val="3"/>
          <w:lang w:val="fr-FR"/>
        </w:rPr>
        <w:t>’</w:t>
      </w:r>
      <w:r w:rsidR="009963FD" w:rsidRPr="00884EA8">
        <w:rPr>
          <w:kern w:val="3"/>
          <w:lang w:val="fr-FR"/>
        </w:rPr>
        <w:t>article 14 dans le cadre de l</w:t>
      </w:r>
      <w:r w:rsidR="00CC33C6" w:rsidRPr="00884EA8">
        <w:rPr>
          <w:kern w:val="3"/>
          <w:lang w:val="fr-FR"/>
        </w:rPr>
        <w:t>’</w:t>
      </w:r>
      <w:r w:rsidR="009963FD" w:rsidRPr="00884EA8">
        <w:rPr>
          <w:kern w:val="3"/>
          <w:lang w:val="fr-FR"/>
        </w:rPr>
        <w:t>affaire Algérie T</w:t>
      </w:r>
      <w:r w:rsidR="009A4E1C">
        <w:rPr>
          <w:kern w:val="3"/>
          <w:lang w:val="fr-FR"/>
        </w:rPr>
        <w:t>é</w:t>
      </w:r>
      <w:r w:rsidR="009963FD" w:rsidRPr="00884EA8">
        <w:rPr>
          <w:kern w:val="3"/>
          <w:lang w:val="fr-FR"/>
        </w:rPr>
        <w:t>l</w:t>
      </w:r>
      <w:r w:rsidR="009A4E1C">
        <w:rPr>
          <w:kern w:val="3"/>
          <w:lang w:val="fr-FR"/>
        </w:rPr>
        <w:t>é</w:t>
      </w:r>
      <w:r w:rsidR="009963FD" w:rsidRPr="00884EA8">
        <w:rPr>
          <w:kern w:val="3"/>
          <w:lang w:val="fr-FR"/>
        </w:rPr>
        <w:t>com, le Comité note que l</w:t>
      </w:r>
      <w:r w:rsidR="00CC33C6" w:rsidRPr="00884EA8">
        <w:rPr>
          <w:kern w:val="3"/>
          <w:lang w:val="fr-FR"/>
        </w:rPr>
        <w:t>’</w:t>
      </w:r>
      <w:r w:rsidR="009963FD" w:rsidRPr="00884EA8">
        <w:rPr>
          <w:kern w:val="3"/>
          <w:lang w:val="fr-FR"/>
        </w:rPr>
        <w:t xml:space="preserve">auteur a finalement été condamné par la </w:t>
      </w:r>
      <w:r w:rsidR="00196FAB">
        <w:rPr>
          <w:kern w:val="3"/>
          <w:lang w:val="fr-FR"/>
        </w:rPr>
        <w:t>c</w:t>
      </w:r>
      <w:r w:rsidR="009963FD" w:rsidRPr="00884EA8">
        <w:rPr>
          <w:kern w:val="3"/>
          <w:lang w:val="fr-FR"/>
        </w:rPr>
        <w:t>our d</w:t>
      </w:r>
      <w:r w:rsidR="00CC33C6" w:rsidRPr="00884EA8">
        <w:rPr>
          <w:kern w:val="3"/>
          <w:lang w:val="fr-FR"/>
        </w:rPr>
        <w:t>’</w:t>
      </w:r>
      <w:r w:rsidR="009963FD" w:rsidRPr="00884EA8">
        <w:rPr>
          <w:kern w:val="3"/>
          <w:lang w:val="fr-FR"/>
        </w:rPr>
        <w:t xml:space="preserve">appel à </w:t>
      </w:r>
      <w:r w:rsidR="00A16FA8">
        <w:rPr>
          <w:kern w:val="3"/>
          <w:lang w:val="fr-FR"/>
        </w:rPr>
        <w:t xml:space="preserve">douze </w:t>
      </w:r>
      <w:r w:rsidR="009963FD" w:rsidRPr="00884EA8">
        <w:rPr>
          <w:kern w:val="3"/>
          <w:lang w:val="fr-FR"/>
        </w:rPr>
        <w:t>ans d</w:t>
      </w:r>
      <w:r w:rsidR="00CC33C6" w:rsidRPr="00884EA8">
        <w:rPr>
          <w:kern w:val="3"/>
          <w:lang w:val="fr-FR"/>
        </w:rPr>
        <w:t>’</w:t>
      </w:r>
      <w:r w:rsidR="009963FD" w:rsidRPr="00884EA8">
        <w:rPr>
          <w:kern w:val="3"/>
          <w:lang w:val="fr-FR"/>
        </w:rPr>
        <w:t xml:space="preserve">emprisonnement le </w:t>
      </w:r>
      <w:r w:rsidR="00853A9E" w:rsidRPr="003D7E85">
        <w:rPr>
          <w:kern w:val="3"/>
          <w:lang w:val="fr-FR"/>
        </w:rPr>
        <w:t>22 octobre 2015</w:t>
      </w:r>
      <w:r w:rsidR="009963FD" w:rsidRPr="00884EA8">
        <w:rPr>
          <w:kern w:val="3"/>
          <w:lang w:val="fr-FR"/>
        </w:rPr>
        <w:t xml:space="preserve"> et qu’un recours en cassation a été introduit. Le Comité considère donc qu</w:t>
      </w:r>
      <w:r w:rsidR="00CC33C6" w:rsidRPr="00884EA8">
        <w:rPr>
          <w:kern w:val="3"/>
          <w:lang w:val="fr-FR"/>
        </w:rPr>
        <w:t>’</w:t>
      </w:r>
      <w:r w:rsidR="009963FD" w:rsidRPr="00884EA8">
        <w:rPr>
          <w:kern w:val="3"/>
          <w:lang w:val="fr-FR"/>
        </w:rPr>
        <w:t>il est également empêché d</w:t>
      </w:r>
      <w:r w:rsidR="00CC33C6" w:rsidRPr="00884EA8">
        <w:rPr>
          <w:kern w:val="3"/>
          <w:lang w:val="fr-FR"/>
        </w:rPr>
        <w:t>’</w:t>
      </w:r>
      <w:r w:rsidR="009963FD" w:rsidRPr="00884EA8">
        <w:rPr>
          <w:kern w:val="3"/>
          <w:lang w:val="fr-FR"/>
        </w:rPr>
        <w:t>examiner les allégations soumises par l</w:t>
      </w:r>
      <w:r w:rsidR="00CC33C6" w:rsidRPr="00884EA8">
        <w:rPr>
          <w:kern w:val="3"/>
          <w:lang w:val="fr-FR"/>
        </w:rPr>
        <w:t>’</w:t>
      </w:r>
      <w:r w:rsidR="009963FD" w:rsidRPr="00884EA8">
        <w:rPr>
          <w:kern w:val="3"/>
          <w:lang w:val="fr-FR"/>
        </w:rPr>
        <w:t>auteur au titre de l</w:t>
      </w:r>
      <w:r w:rsidR="00CC33C6" w:rsidRPr="00884EA8">
        <w:rPr>
          <w:kern w:val="3"/>
          <w:lang w:val="fr-FR"/>
        </w:rPr>
        <w:t>’</w:t>
      </w:r>
      <w:r w:rsidR="009963FD" w:rsidRPr="00884EA8">
        <w:rPr>
          <w:kern w:val="3"/>
          <w:lang w:val="fr-FR"/>
        </w:rPr>
        <w:t>article</w:t>
      </w:r>
      <w:r w:rsidR="00A16FA8">
        <w:rPr>
          <w:kern w:val="3"/>
          <w:lang w:val="fr-FR"/>
        </w:rPr>
        <w:t> </w:t>
      </w:r>
      <w:r w:rsidR="009963FD" w:rsidRPr="00884EA8">
        <w:rPr>
          <w:kern w:val="3"/>
          <w:lang w:val="fr-FR"/>
        </w:rPr>
        <w:t>14 dans le cadre de l</w:t>
      </w:r>
      <w:r w:rsidR="00CC33C6" w:rsidRPr="00884EA8">
        <w:rPr>
          <w:kern w:val="3"/>
          <w:lang w:val="fr-FR"/>
        </w:rPr>
        <w:t>’</w:t>
      </w:r>
      <w:r w:rsidR="009963FD" w:rsidRPr="00884EA8">
        <w:rPr>
          <w:kern w:val="3"/>
          <w:lang w:val="fr-FR"/>
        </w:rPr>
        <w:t xml:space="preserve">affaire </w:t>
      </w:r>
      <w:r w:rsidR="00A16FA8">
        <w:rPr>
          <w:kern w:val="3"/>
          <w:lang w:val="fr-FR"/>
        </w:rPr>
        <w:t xml:space="preserve">de </w:t>
      </w:r>
      <w:r w:rsidR="009963FD" w:rsidRPr="00884EA8">
        <w:rPr>
          <w:kern w:val="3"/>
          <w:lang w:val="fr-FR"/>
        </w:rPr>
        <w:t>la communication Algérie</w:t>
      </w:r>
      <w:r w:rsidR="009A4E1C">
        <w:rPr>
          <w:kern w:val="3"/>
          <w:lang w:val="fr-FR"/>
        </w:rPr>
        <w:t xml:space="preserve"> </w:t>
      </w:r>
      <w:r w:rsidR="009963FD" w:rsidRPr="00884EA8">
        <w:rPr>
          <w:kern w:val="3"/>
          <w:lang w:val="fr-FR"/>
        </w:rPr>
        <w:t>T</w:t>
      </w:r>
      <w:r w:rsidR="009A4E1C">
        <w:rPr>
          <w:kern w:val="3"/>
          <w:lang w:val="fr-FR"/>
        </w:rPr>
        <w:t>é</w:t>
      </w:r>
      <w:r w:rsidR="009963FD" w:rsidRPr="00884EA8">
        <w:rPr>
          <w:kern w:val="3"/>
          <w:lang w:val="fr-FR"/>
        </w:rPr>
        <w:t>l</w:t>
      </w:r>
      <w:r w:rsidR="009A4E1C">
        <w:rPr>
          <w:kern w:val="3"/>
          <w:lang w:val="fr-FR"/>
        </w:rPr>
        <w:t>é</w:t>
      </w:r>
      <w:r w:rsidR="009963FD" w:rsidRPr="00884EA8">
        <w:rPr>
          <w:kern w:val="3"/>
          <w:lang w:val="fr-FR"/>
        </w:rPr>
        <w:t>com, et ce, au titre du paragraphe 2</w:t>
      </w:r>
      <w:r w:rsidR="008806EC">
        <w:rPr>
          <w:kern w:val="3"/>
          <w:lang w:val="fr-FR"/>
        </w:rPr>
        <w:t> </w:t>
      </w:r>
      <w:r w:rsidR="009963FD" w:rsidRPr="00884EA8">
        <w:rPr>
          <w:kern w:val="3"/>
          <w:lang w:val="fr-FR"/>
        </w:rPr>
        <w:t>b) de l’article</w:t>
      </w:r>
      <w:r w:rsidR="00A16FA8">
        <w:rPr>
          <w:kern w:val="3"/>
          <w:lang w:val="fr-FR"/>
        </w:rPr>
        <w:t> </w:t>
      </w:r>
      <w:r w:rsidR="009963FD" w:rsidRPr="00884EA8">
        <w:rPr>
          <w:kern w:val="3"/>
          <w:lang w:val="fr-FR"/>
        </w:rPr>
        <w:t xml:space="preserve">5 du Protocole facultatif. </w:t>
      </w:r>
    </w:p>
    <w:p w:rsidR="009963FD" w:rsidRPr="00C95C11" w:rsidRDefault="00950800" w:rsidP="004D3B38">
      <w:pPr>
        <w:pStyle w:val="SingleTxtG"/>
        <w:rPr>
          <w:lang w:val="fr-FR"/>
        </w:rPr>
      </w:pPr>
      <w:r w:rsidRPr="00884EA8">
        <w:rPr>
          <w:lang w:val="fr-FR"/>
        </w:rPr>
        <w:t>6</w:t>
      </w:r>
      <w:r w:rsidR="009963FD" w:rsidRPr="00884EA8">
        <w:rPr>
          <w:lang w:val="fr-FR"/>
        </w:rPr>
        <w:t>.9</w:t>
      </w:r>
      <w:r w:rsidR="009963FD" w:rsidRPr="00884EA8">
        <w:rPr>
          <w:lang w:val="fr-FR"/>
        </w:rPr>
        <w:tab/>
        <w:t>Le Comité note que les allégations soumises par l</w:t>
      </w:r>
      <w:r w:rsidR="00CC33C6" w:rsidRPr="00884EA8">
        <w:rPr>
          <w:lang w:val="fr-FR"/>
        </w:rPr>
        <w:t>’</w:t>
      </w:r>
      <w:r w:rsidR="009963FD" w:rsidRPr="00884EA8">
        <w:rPr>
          <w:lang w:val="fr-FR"/>
        </w:rPr>
        <w:t xml:space="preserve">auteur au titre </w:t>
      </w:r>
      <w:r w:rsidR="00320B25" w:rsidRPr="00884EA8">
        <w:rPr>
          <w:lang w:val="fr-FR"/>
        </w:rPr>
        <w:t>de l’article</w:t>
      </w:r>
      <w:r w:rsidR="004C5685">
        <w:rPr>
          <w:lang w:val="fr-FR"/>
        </w:rPr>
        <w:t> </w:t>
      </w:r>
      <w:r w:rsidR="009963FD" w:rsidRPr="00884EA8">
        <w:rPr>
          <w:lang w:val="fr-FR"/>
        </w:rPr>
        <w:t>12 du Pacte n</w:t>
      </w:r>
      <w:r w:rsidR="00CC33C6" w:rsidRPr="00884EA8">
        <w:rPr>
          <w:lang w:val="fr-FR"/>
        </w:rPr>
        <w:t>’</w:t>
      </w:r>
      <w:r w:rsidR="009963FD" w:rsidRPr="00884EA8">
        <w:rPr>
          <w:lang w:val="fr-FR"/>
        </w:rPr>
        <w:t>ont pas été suffisamment étayées. Le Comité déclare cette partie de la communication irrecevable au titre de l</w:t>
      </w:r>
      <w:r w:rsidR="00CC33C6" w:rsidRPr="00884EA8">
        <w:rPr>
          <w:lang w:val="fr-FR"/>
        </w:rPr>
        <w:t>’</w:t>
      </w:r>
      <w:r w:rsidR="009963FD" w:rsidRPr="00884EA8">
        <w:rPr>
          <w:lang w:val="fr-FR"/>
        </w:rPr>
        <w:t>article 2 du Protocole facultatif.</w:t>
      </w:r>
    </w:p>
    <w:p w:rsidR="009963FD" w:rsidRPr="00C95C11" w:rsidRDefault="00950800" w:rsidP="009963FD">
      <w:pPr>
        <w:autoSpaceDN w:val="0"/>
        <w:spacing w:after="120"/>
        <w:ind w:left="1134" w:right="1134"/>
        <w:jc w:val="both"/>
        <w:textAlignment w:val="baseline"/>
        <w:rPr>
          <w:kern w:val="3"/>
          <w:lang w:val="fr-FR"/>
        </w:rPr>
      </w:pPr>
      <w:r w:rsidRPr="00884EA8">
        <w:rPr>
          <w:kern w:val="3"/>
          <w:lang w:val="fr-FR"/>
        </w:rPr>
        <w:t>6</w:t>
      </w:r>
      <w:r w:rsidR="009963FD" w:rsidRPr="00884EA8">
        <w:rPr>
          <w:kern w:val="3"/>
          <w:lang w:val="fr-FR"/>
        </w:rPr>
        <w:t>.1</w:t>
      </w:r>
      <w:r w:rsidR="00320B25" w:rsidRPr="00884EA8">
        <w:rPr>
          <w:kern w:val="3"/>
          <w:lang w:val="fr-FR"/>
        </w:rPr>
        <w:t>0</w:t>
      </w:r>
      <w:r w:rsidR="004D3B38" w:rsidRPr="00884EA8">
        <w:rPr>
          <w:kern w:val="3"/>
          <w:lang w:val="fr-FR"/>
        </w:rPr>
        <w:tab/>
      </w:r>
      <w:r w:rsidR="009963FD" w:rsidRPr="00884EA8">
        <w:rPr>
          <w:kern w:val="3"/>
          <w:lang w:val="fr-FR"/>
        </w:rPr>
        <w:t>Le Comité déclare la communication recevable en ce qu</w:t>
      </w:r>
      <w:r w:rsidR="00CC33C6" w:rsidRPr="00884EA8">
        <w:rPr>
          <w:kern w:val="3"/>
          <w:lang w:val="fr-FR"/>
        </w:rPr>
        <w:t>’</w:t>
      </w:r>
      <w:r w:rsidR="009963FD" w:rsidRPr="00884EA8">
        <w:rPr>
          <w:kern w:val="3"/>
          <w:lang w:val="fr-FR"/>
        </w:rPr>
        <w:t>elle soulève des questions au titre des articles 7 et 9, lus seuls et conjointement avec l’article 2, paragraphe 3</w:t>
      </w:r>
      <w:r w:rsidR="00320B25" w:rsidRPr="00884EA8">
        <w:rPr>
          <w:kern w:val="3"/>
          <w:lang w:val="fr-FR"/>
        </w:rPr>
        <w:t>, ainsi qu’au titre de l’article 10</w:t>
      </w:r>
      <w:r w:rsidR="009963FD" w:rsidRPr="00884EA8">
        <w:rPr>
          <w:kern w:val="3"/>
          <w:lang w:val="fr-FR"/>
        </w:rPr>
        <w:t xml:space="preserve"> du Pacte et procède à son examen sur le fond.</w:t>
      </w:r>
    </w:p>
    <w:p w:rsidR="009963FD" w:rsidRPr="00C95C11" w:rsidRDefault="009963FD" w:rsidP="004D3B38">
      <w:pPr>
        <w:pStyle w:val="H4G"/>
        <w:rPr>
          <w:lang w:val="fr-FR"/>
        </w:rPr>
      </w:pPr>
      <w:r w:rsidRPr="00C95C11">
        <w:rPr>
          <w:lang w:val="fr-FR"/>
        </w:rPr>
        <w:tab/>
      </w:r>
      <w:r w:rsidRPr="00C95C11">
        <w:rPr>
          <w:lang w:val="fr-FR"/>
        </w:rPr>
        <w:tab/>
        <w:t>Examen au fond</w:t>
      </w:r>
    </w:p>
    <w:p w:rsidR="009963FD" w:rsidRPr="00C95C11" w:rsidRDefault="00950800" w:rsidP="004D3B38">
      <w:pPr>
        <w:pStyle w:val="SingleTxtG"/>
        <w:rPr>
          <w:lang w:val="fr-FR"/>
        </w:rPr>
      </w:pPr>
      <w:r w:rsidRPr="00C95C11">
        <w:rPr>
          <w:iCs/>
          <w:lang w:val="fr-FR"/>
        </w:rPr>
        <w:t>7</w:t>
      </w:r>
      <w:r w:rsidR="009963FD" w:rsidRPr="00C95C11">
        <w:rPr>
          <w:iCs/>
          <w:lang w:val="fr-FR"/>
        </w:rPr>
        <w:t>.1</w:t>
      </w:r>
      <w:r w:rsidR="009963FD" w:rsidRPr="00C95C11">
        <w:rPr>
          <w:iCs/>
          <w:lang w:val="fr-FR"/>
        </w:rPr>
        <w:tab/>
      </w:r>
      <w:r w:rsidR="009963FD" w:rsidRPr="00C95C11">
        <w:rPr>
          <w:lang w:val="fr-FR"/>
        </w:rPr>
        <w:t xml:space="preserve">Le </w:t>
      </w:r>
      <w:r w:rsidR="00853A9E" w:rsidRPr="003D7E85">
        <w:rPr>
          <w:lang w:val="fr-FR"/>
        </w:rPr>
        <w:t xml:space="preserve">Comité </w:t>
      </w:r>
      <w:r w:rsidR="009963FD" w:rsidRPr="00C95C11">
        <w:rPr>
          <w:lang w:val="fr-FR"/>
        </w:rPr>
        <w:t>a examiné la présente communication à la lumière de toutes les informations portées à sa connaissance, conformément au paragraphe 1 de l’article 5 du Protocole facultatif.</w:t>
      </w:r>
    </w:p>
    <w:p w:rsidR="009963FD" w:rsidRPr="00C95C11" w:rsidRDefault="00950800" w:rsidP="009963FD">
      <w:pPr>
        <w:autoSpaceDN w:val="0"/>
        <w:spacing w:after="120"/>
        <w:ind w:left="1134" w:right="1134"/>
        <w:jc w:val="both"/>
        <w:textAlignment w:val="baseline"/>
        <w:rPr>
          <w:kern w:val="3"/>
          <w:lang w:val="fr-FR"/>
        </w:rPr>
      </w:pPr>
      <w:r w:rsidRPr="00C95C11">
        <w:rPr>
          <w:kern w:val="3"/>
          <w:lang w:val="fr-FR"/>
        </w:rPr>
        <w:t>7</w:t>
      </w:r>
      <w:r w:rsidR="009963FD" w:rsidRPr="00C95C11">
        <w:rPr>
          <w:kern w:val="3"/>
          <w:lang w:val="fr-FR"/>
        </w:rPr>
        <w:t>.2</w:t>
      </w:r>
      <w:r w:rsidR="009963FD" w:rsidRPr="00C95C11">
        <w:rPr>
          <w:kern w:val="3"/>
          <w:lang w:val="fr-FR"/>
        </w:rPr>
        <w:tab/>
        <w:t>S’agissant du bien</w:t>
      </w:r>
      <w:r w:rsidR="00320B25" w:rsidRPr="00C95C11">
        <w:rPr>
          <w:kern w:val="3"/>
          <w:lang w:val="fr-FR"/>
        </w:rPr>
        <w:t>-</w:t>
      </w:r>
      <w:r w:rsidR="009963FD" w:rsidRPr="00C95C11">
        <w:rPr>
          <w:kern w:val="3"/>
          <w:lang w:val="fr-FR"/>
        </w:rPr>
        <w:t>fondé des allégations de l’auteur, le Comité rappelle</w:t>
      </w:r>
      <w:r w:rsidR="009963FD" w:rsidRPr="00C95C11">
        <w:rPr>
          <w:rStyle w:val="FootnoteReference"/>
          <w:lang w:val="fr-FR"/>
        </w:rPr>
        <w:footnoteReference w:id="16"/>
      </w:r>
      <w:r w:rsidR="009963FD" w:rsidRPr="00C95C11">
        <w:rPr>
          <w:kern w:val="3"/>
          <w:lang w:val="fr-FR"/>
        </w:rPr>
        <w:t xml:space="preserve"> que la charge de la preuve de ces allégations n’incombe pas uniquement à l’auteur d’une communication, d’autant plus que l’auteur et l’État partie n’ont pas toujours un accès égal aux éléments de preuve et que souvent seul l’État partie dispose des renseignements nécessaires. Il ressort implicitement du paragraphe 2 de l’article 4 du Protocole facultatif que l’État partie est tenu d’enquêter de bonne foi sur toutes les allégations de violations du Pacte portées contre lui et ses représentants et de transmettre au Comité les renseignements qu’il détient. Dans les cas où l’auteur a communiqué à l’État partie des allégations corroborées par des témoignages sérieux et où tout éclaircissement supplémentaire dépend de renseignements que l’État partie est seul à détenir, le Comité peut estimer ces allégations </w:t>
      </w:r>
      <w:r w:rsidR="009963FD" w:rsidRPr="00C95C11">
        <w:rPr>
          <w:kern w:val="3"/>
          <w:lang w:val="fr-FR"/>
        </w:rPr>
        <w:lastRenderedPageBreak/>
        <w:t>fondées si l’État partie ne les réfute pas en apportant des preuves et des explications satisfaisantes.</w:t>
      </w:r>
    </w:p>
    <w:p w:rsidR="009963FD" w:rsidRPr="00C95C11" w:rsidRDefault="00950800">
      <w:pPr>
        <w:autoSpaceDN w:val="0"/>
        <w:spacing w:after="120"/>
        <w:ind w:left="1134" w:right="1134"/>
        <w:jc w:val="both"/>
        <w:textAlignment w:val="baseline"/>
        <w:rPr>
          <w:kern w:val="3"/>
          <w:lang w:val="fr-FR"/>
        </w:rPr>
      </w:pPr>
      <w:r w:rsidRPr="00C95C11">
        <w:rPr>
          <w:kern w:val="3"/>
          <w:lang w:val="fr-FR"/>
        </w:rPr>
        <w:t>7</w:t>
      </w:r>
      <w:r w:rsidR="009963FD" w:rsidRPr="00C95C11">
        <w:rPr>
          <w:kern w:val="3"/>
          <w:lang w:val="fr-FR"/>
        </w:rPr>
        <w:t>.3</w:t>
      </w:r>
      <w:r w:rsidR="009963FD" w:rsidRPr="00C95C11">
        <w:rPr>
          <w:kern w:val="3"/>
          <w:lang w:val="fr-FR"/>
        </w:rPr>
        <w:tab/>
        <w:t>Le Comité a pris note des griefs de l’auteur au titre de l’article 7 du Pacte</w:t>
      </w:r>
      <w:r w:rsidR="00427E72" w:rsidRPr="00C95C11">
        <w:rPr>
          <w:kern w:val="3"/>
          <w:lang w:val="fr-FR"/>
        </w:rPr>
        <w:t>. L</w:t>
      </w:r>
      <w:r w:rsidR="00427E72" w:rsidRPr="00C95C11">
        <w:rPr>
          <w:kern w:val="2"/>
          <w:lang w:val="fr-FR"/>
        </w:rPr>
        <w:t xml:space="preserve">e Comité reconnaît le degré de souffrance qu’implique une détention pour une durée indéfinie, sans contact avec le monde extérieur. Il rappelle </w:t>
      </w:r>
      <w:r w:rsidR="00427E72" w:rsidRPr="003D7E85">
        <w:rPr>
          <w:kern w:val="2"/>
          <w:lang w:val="fr-FR"/>
        </w:rPr>
        <w:t xml:space="preserve">son </w:t>
      </w:r>
      <w:r w:rsidR="00853A9E" w:rsidRPr="003D7E85">
        <w:rPr>
          <w:kern w:val="2"/>
          <w:lang w:val="fr-FR"/>
        </w:rPr>
        <w:t xml:space="preserve">observation générale </w:t>
      </w:r>
      <w:r w:rsidR="00853A9E" w:rsidRPr="003D7E85">
        <w:rPr>
          <w:rFonts w:eastAsia="MS Mincho"/>
          <w:kern w:val="2"/>
          <w:lang w:val="fr-FR"/>
        </w:rPr>
        <w:t>n</w:t>
      </w:r>
      <w:r w:rsidR="00853A9E" w:rsidRPr="003D7E85">
        <w:rPr>
          <w:rFonts w:eastAsia="MS Mincho"/>
          <w:kern w:val="2"/>
          <w:vertAlign w:val="superscript"/>
          <w:lang w:val="fr-FR"/>
        </w:rPr>
        <w:t>o</w:t>
      </w:r>
      <w:r w:rsidR="00853A9E" w:rsidRPr="003D7E85">
        <w:rPr>
          <w:rFonts w:eastAsia="MS Mincho"/>
          <w:kern w:val="2"/>
          <w:lang w:val="fr-FR"/>
        </w:rPr>
        <w:t> </w:t>
      </w:r>
      <w:r w:rsidR="00853A9E" w:rsidRPr="003D7E85">
        <w:rPr>
          <w:kern w:val="2"/>
          <w:lang w:val="fr-FR"/>
        </w:rPr>
        <w:t>20 (1992) sur l’interdiction de la torture et des peines ou traitements cruels, inhumains ou dégradants</w:t>
      </w:r>
      <w:r w:rsidR="00427E72" w:rsidRPr="003D7E85">
        <w:rPr>
          <w:kern w:val="2"/>
          <w:lang w:val="fr-FR"/>
        </w:rPr>
        <w:t xml:space="preserve">, dans laquelle il recommande aux États parties de prendre des dispositions interdisant la détention au secret. Il observe que </w:t>
      </w:r>
      <w:r w:rsidR="00991A80" w:rsidRPr="003D7E85">
        <w:rPr>
          <w:kern w:val="2"/>
          <w:lang w:val="fr-FR"/>
        </w:rPr>
        <w:t>l’auteur</w:t>
      </w:r>
      <w:r w:rsidR="00CC33C6" w:rsidRPr="003D7E85">
        <w:rPr>
          <w:kern w:val="2"/>
          <w:lang w:val="fr-FR"/>
        </w:rPr>
        <w:t xml:space="preserve"> </w:t>
      </w:r>
      <w:r w:rsidR="00427E72" w:rsidRPr="003D7E85">
        <w:rPr>
          <w:kern w:val="2"/>
          <w:lang w:val="fr-FR"/>
        </w:rPr>
        <w:t xml:space="preserve">a été détenu au secret durant </w:t>
      </w:r>
      <w:r w:rsidR="0052583A" w:rsidRPr="003D7E85">
        <w:rPr>
          <w:kern w:val="2"/>
          <w:lang w:val="fr-FR"/>
        </w:rPr>
        <w:t>vingt jours</w:t>
      </w:r>
      <w:r w:rsidR="00427E72" w:rsidRPr="003D7E85">
        <w:rPr>
          <w:kern w:val="2"/>
          <w:lang w:val="fr-FR"/>
        </w:rPr>
        <w:t>, période durant laquelle il a été maintenu à l’isolement et privé de tout contact avec sa famille, un médecin ou un avocat. Le Comité relève en outre les allégations de l’auteur</w:t>
      </w:r>
      <w:r w:rsidR="00427E72" w:rsidRPr="003D7E85">
        <w:rPr>
          <w:kern w:val="3"/>
          <w:lang w:val="fr-FR"/>
        </w:rPr>
        <w:t xml:space="preserve"> selon lesquelles</w:t>
      </w:r>
      <w:r w:rsidR="009963FD" w:rsidRPr="003D7E85">
        <w:rPr>
          <w:kern w:val="3"/>
          <w:lang w:val="fr-FR"/>
        </w:rPr>
        <w:t xml:space="preserve"> </w:t>
      </w:r>
      <w:r w:rsidR="00427E72" w:rsidRPr="003D7E85">
        <w:rPr>
          <w:kern w:val="3"/>
          <w:lang w:val="fr-FR"/>
        </w:rPr>
        <w:t>il a subi des tortures durant</w:t>
      </w:r>
      <w:r w:rsidR="009963FD" w:rsidRPr="003D7E85">
        <w:rPr>
          <w:kern w:val="3"/>
          <w:lang w:val="fr-FR"/>
        </w:rPr>
        <w:t xml:space="preserve"> sa détention au secret du </w:t>
      </w:r>
      <w:r w:rsidR="00853A9E" w:rsidRPr="003D7E85">
        <w:rPr>
          <w:kern w:val="3"/>
          <w:lang w:val="fr-FR"/>
        </w:rPr>
        <w:t>17 septembre au 6 octobre 2009.</w:t>
      </w:r>
      <w:r w:rsidR="009963FD" w:rsidRPr="003D7E85">
        <w:rPr>
          <w:kern w:val="3"/>
          <w:lang w:val="fr-FR"/>
        </w:rPr>
        <w:t xml:space="preserve"> Il note les allégations selon lesquelles </w:t>
      </w:r>
      <w:r w:rsidR="00771F50" w:rsidRPr="003D7E85">
        <w:rPr>
          <w:kern w:val="3"/>
          <w:lang w:val="fr-FR"/>
        </w:rPr>
        <w:t xml:space="preserve">l’auteur </w:t>
      </w:r>
      <w:r w:rsidR="009963FD" w:rsidRPr="003D7E85">
        <w:rPr>
          <w:kern w:val="3"/>
          <w:lang w:val="fr-FR"/>
        </w:rPr>
        <w:t xml:space="preserve">a été </w:t>
      </w:r>
      <w:r w:rsidR="00991A80" w:rsidRPr="003D7E85">
        <w:rPr>
          <w:kern w:val="3"/>
          <w:lang w:val="fr-FR"/>
        </w:rPr>
        <w:t xml:space="preserve">soumis </w:t>
      </w:r>
      <w:r w:rsidR="009963FD" w:rsidRPr="003D7E85">
        <w:rPr>
          <w:kern w:val="3"/>
          <w:lang w:val="fr-FR"/>
        </w:rPr>
        <w:t xml:space="preserve">par les agents du DRS </w:t>
      </w:r>
      <w:r w:rsidR="00991A80" w:rsidRPr="003D7E85">
        <w:rPr>
          <w:kern w:val="3"/>
          <w:lang w:val="fr-FR"/>
        </w:rPr>
        <w:t>à</w:t>
      </w:r>
      <w:r w:rsidR="009963FD" w:rsidRPr="003D7E85">
        <w:rPr>
          <w:kern w:val="3"/>
          <w:lang w:val="fr-FR"/>
        </w:rPr>
        <w:t xml:space="preserve"> cinq à six interrogatoires par jour</w:t>
      </w:r>
      <w:r w:rsidR="00991A80" w:rsidRPr="003D7E85">
        <w:rPr>
          <w:kern w:val="3"/>
          <w:lang w:val="fr-FR"/>
        </w:rPr>
        <w:t>, au cours desq</w:t>
      </w:r>
      <w:r w:rsidR="00991A80" w:rsidRPr="00C95C11">
        <w:rPr>
          <w:kern w:val="3"/>
          <w:lang w:val="fr-FR"/>
        </w:rPr>
        <w:t>uels</w:t>
      </w:r>
      <w:r w:rsidR="009963FD" w:rsidRPr="00C95C11">
        <w:rPr>
          <w:kern w:val="3"/>
          <w:lang w:val="fr-FR"/>
        </w:rPr>
        <w:t xml:space="preserve"> il était systématiquement victime de gifles, </w:t>
      </w:r>
      <w:r w:rsidR="00771F50">
        <w:rPr>
          <w:kern w:val="3"/>
          <w:lang w:val="fr-FR"/>
        </w:rPr>
        <w:t xml:space="preserve">de </w:t>
      </w:r>
      <w:r w:rsidR="009963FD" w:rsidRPr="00C95C11">
        <w:rPr>
          <w:kern w:val="3"/>
          <w:lang w:val="fr-FR"/>
        </w:rPr>
        <w:t xml:space="preserve">coups de pied, </w:t>
      </w:r>
      <w:r w:rsidR="00771F50">
        <w:rPr>
          <w:kern w:val="3"/>
          <w:lang w:val="fr-FR"/>
        </w:rPr>
        <w:t xml:space="preserve">de </w:t>
      </w:r>
      <w:r w:rsidR="009963FD" w:rsidRPr="00C95C11">
        <w:rPr>
          <w:kern w:val="3"/>
          <w:lang w:val="fr-FR"/>
        </w:rPr>
        <w:t xml:space="preserve">coups de poing, d’étranglement et de crachats ; </w:t>
      </w:r>
      <w:r w:rsidR="00771F50">
        <w:rPr>
          <w:kern w:val="3"/>
          <w:lang w:val="fr-FR"/>
        </w:rPr>
        <w:t xml:space="preserve">et a été </w:t>
      </w:r>
      <w:r w:rsidR="009963FD" w:rsidRPr="00C95C11">
        <w:rPr>
          <w:kern w:val="3"/>
          <w:lang w:val="fr-FR"/>
        </w:rPr>
        <w:t>forcé de se déshabiller à plusieurs reprises par les agents du DRS qui lui ont uriné dessus au moment où il d</w:t>
      </w:r>
      <w:r w:rsidR="004D3B38" w:rsidRPr="00C95C11">
        <w:rPr>
          <w:kern w:val="3"/>
          <w:lang w:val="fr-FR"/>
        </w:rPr>
        <w:t xml:space="preserve">emandait à prendre une douche. </w:t>
      </w:r>
      <w:r w:rsidR="009963FD" w:rsidRPr="00C95C11">
        <w:rPr>
          <w:kern w:val="3"/>
          <w:lang w:val="fr-FR"/>
        </w:rPr>
        <w:t>Le Comité note que l</w:t>
      </w:r>
      <w:r w:rsidR="00CC33C6" w:rsidRPr="00C95C11">
        <w:rPr>
          <w:kern w:val="3"/>
          <w:lang w:val="fr-FR"/>
        </w:rPr>
        <w:t>’</w:t>
      </w:r>
      <w:r w:rsidR="00071AFB" w:rsidRPr="00884EA8">
        <w:rPr>
          <w:kern w:val="3"/>
          <w:lang w:val="fr-FR"/>
        </w:rPr>
        <w:t>État</w:t>
      </w:r>
      <w:r w:rsidR="009963FD" w:rsidRPr="00C95C11">
        <w:rPr>
          <w:kern w:val="3"/>
          <w:lang w:val="fr-FR"/>
        </w:rPr>
        <w:t xml:space="preserve"> partie s</w:t>
      </w:r>
      <w:r w:rsidR="00CC33C6" w:rsidRPr="00C95C11">
        <w:rPr>
          <w:kern w:val="3"/>
          <w:lang w:val="fr-FR"/>
        </w:rPr>
        <w:t>’</w:t>
      </w:r>
      <w:r w:rsidR="009963FD" w:rsidRPr="00C95C11">
        <w:rPr>
          <w:kern w:val="3"/>
          <w:lang w:val="fr-FR"/>
        </w:rPr>
        <w:t>est contenté de nier ces allégations prétextant qu</w:t>
      </w:r>
      <w:r w:rsidR="00CC33C6" w:rsidRPr="00C95C11">
        <w:rPr>
          <w:kern w:val="3"/>
          <w:lang w:val="fr-FR"/>
        </w:rPr>
        <w:t>’</w:t>
      </w:r>
      <w:r w:rsidR="009963FD" w:rsidRPr="00C95C11">
        <w:rPr>
          <w:kern w:val="3"/>
          <w:lang w:val="fr-FR"/>
        </w:rPr>
        <w:t>elles n</w:t>
      </w:r>
      <w:r w:rsidR="00CC33C6" w:rsidRPr="00C95C11">
        <w:rPr>
          <w:kern w:val="3"/>
          <w:lang w:val="fr-FR"/>
        </w:rPr>
        <w:t>’</w:t>
      </w:r>
      <w:r w:rsidR="009963FD" w:rsidRPr="00C95C11">
        <w:rPr>
          <w:kern w:val="3"/>
          <w:lang w:val="fr-FR"/>
        </w:rPr>
        <w:t>auraient été revendiquées que par l</w:t>
      </w:r>
      <w:r w:rsidR="00CC33C6" w:rsidRPr="00C95C11">
        <w:rPr>
          <w:kern w:val="3"/>
          <w:lang w:val="fr-FR"/>
        </w:rPr>
        <w:t>’</w:t>
      </w:r>
      <w:r w:rsidR="009963FD" w:rsidRPr="00C95C11">
        <w:rPr>
          <w:kern w:val="3"/>
          <w:lang w:val="fr-FR"/>
        </w:rPr>
        <w:t>auteur</w:t>
      </w:r>
      <w:r w:rsidR="00F675CC">
        <w:rPr>
          <w:kern w:val="3"/>
          <w:lang w:val="fr-FR"/>
        </w:rPr>
        <w:t>,</w:t>
      </w:r>
      <w:r w:rsidR="009963FD" w:rsidRPr="00C95C11">
        <w:rPr>
          <w:kern w:val="3"/>
          <w:lang w:val="fr-FR"/>
        </w:rPr>
        <w:t xml:space="preserve"> alors que le procès-verbal de l</w:t>
      </w:r>
      <w:r w:rsidR="00CC33C6" w:rsidRPr="00C95C11">
        <w:rPr>
          <w:kern w:val="3"/>
          <w:lang w:val="fr-FR"/>
        </w:rPr>
        <w:t>’</w:t>
      </w:r>
      <w:r w:rsidR="009963FD" w:rsidRPr="00C95C11">
        <w:rPr>
          <w:kern w:val="3"/>
          <w:lang w:val="fr-FR"/>
        </w:rPr>
        <w:t>audition par le juge d</w:t>
      </w:r>
      <w:r w:rsidR="00CC33C6" w:rsidRPr="00C95C11">
        <w:rPr>
          <w:kern w:val="3"/>
          <w:lang w:val="fr-FR"/>
        </w:rPr>
        <w:t>’</w:t>
      </w:r>
      <w:r w:rsidR="009963FD" w:rsidRPr="00C95C11">
        <w:rPr>
          <w:kern w:val="3"/>
          <w:lang w:val="fr-FR"/>
        </w:rPr>
        <w:t xml:space="preserve">instruction </w:t>
      </w:r>
      <w:r w:rsidR="009963FD" w:rsidRPr="00A34935">
        <w:rPr>
          <w:kern w:val="3"/>
          <w:lang w:val="fr-FR"/>
        </w:rPr>
        <w:t>d</w:t>
      </w:r>
      <w:r w:rsidR="00CC33C6" w:rsidRPr="00A34935">
        <w:rPr>
          <w:kern w:val="3"/>
          <w:lang w:val="fr-FR"/>
        </w:rPr>
        <w:t>’</w:t>
      </w:r>
      <w:r w:rsidR="009963FD" w:rsidRPr="00A34935">
        <w:rPr>
          <w:kern w:val="3"/>
          <w:lang w:val="fr-FR"/>
        </w:rPr>
        <w:t>un coaccusé</w:t>
      </w:r>
      <w:r w:rsidR="00F675CC" w:rsidRPr="00A34935">
        <w:rPr>
          <w:kern w:val="3"/>
          <w:lang w:val="fr-FR"/>
        </w:rPr>
        <w:t>,</w:t>
      </w:r>
      <w:r w:rsidR="009963FD" w:rsidRPr="00C95C11">
        <w:rPr>
          <w:kern w:val="3"/>
          <w:lang w:val="fr-FR"/>
        </w:rPr>
        <w:t xml:space="preserve"> le 18</w:t>
      </w:r>
      <w:r w:rsidR="00771F50">
        <w:rPr>
          <w:kern w:val="3"/>
          <w:lang w:val="fr-FR"/>
        </w:rPr>
        <w:t> </w:t>
      </w:r>
      <w:r w:rsidR="009963FD" w:rsidRPr="00C95C11">
        <w:rPr>
          <w:kern w:val="3"/>
          <w:lang w:val="fr-FR"/>
        </w:rPr>
        <w:t>novembre 2009</w:t>
      </w:r>
      <w:r w:rsidR="00F675CC">
        <w:rPr>
          <w:kern w:val="3"/>
          <w:lang w:val="fr-FR"/>
        </w:rPr>
        <w:t>,</w:t>
      </w:r>
      <w:r w:rsidR="009963FD" w:rsidRPr="00C95C11">
        <w:rPr>
          <w:kern w:val="3"/>
          <w:lang w:val="fr-FR"/>
        </w:rPr>
        <w:t xml:space="preserve"> fait état d</w:t>
      </w:r>
      <w:r w:rsidR="00CC33C6" w:rsidRPr="00C95C11">
        <w:rPr>
          <w:kern w:val="3"/>
          <w:lang w:val="fr-FR"/>
        </w:rPr>
        <w:t>’</w:t>
      </w:r>
      <w:r w:rsidR="009963FD" w:rsidRPr="00C95C11">
        <w:rPr>
          <w:kern w:val="3"/>
          <w:lang w:val="fr-FR"/>
        </w:rPr>
        <w:t xml:space="preserve">allégations similaires. </w:t>
      </w:r>
      <w:r w:rsidR="00991A80" w:rsidRPr="00C95C11">
        <w:rPr>
          <w:kern w:val="3"/>
          <w:lang w:val="fr-FR"/>
        </w:rPr>
        <w:t>Le Comité relève en outre</w:t>
      </w:r>
      <w:r w:rsidR="00016EDA" w:rsidRPr="00C95C11">
        <w:rPr>
          <w:kern w:val="3"/>
          <w:lang w:val="fr-FR"/>
        </w:rPr>
        <w:t xml:space="preserve"> que l’auteur a dénoncé les actes de torture auxquels il a été exposé à de nombreuses reprises au cours de la procédure. </w:t>
      </w:r>
      <w:r w:rsidR="009963FD" w:rsidRPr="00C95C11">
        <w:rPr>
          <w:kern w:val="3"/>
          <w:lang w:val="fr-FR"/>
        </w:rPr>
        <w:t>En l</w:t>
      </w:r>
      <w:r w:rsidR="00CC33C6" w:rsidRPr="00C95C11">
        <w:rPr>
          <w:kern w:val="3"/>
          <w:lang w:val="fr-FR"/>
        </w:rPr>
        <w:t>’</w:t>
      </w:r>
      <w:r w:rsidR="009963FD" w:rsidRPr="00C95C11">
        <w:rPr>
          <w:kern w:val="3"/>
          <w:lang w:val="fr-FR"/>
        </w:rPr>
        <w:t>absence d’enquête sur ces allégations ou d</w:t>
      </w:r>
      <w:r w:rsidR="00CC33C6" w:rsidRPr="00C95C11">
        <w:rPr>
          <w:kern w:val="3"/>
          <w:lang w:val="fr-FR"/>
        </w:rPr>
        <w:t>’</w:t>
      </w:r>
      <w:r w:rsidR="009963FD" w:rsidRPr="00C95C11">
        <w:rPr>
          <w:kern w:val="3"/>
          <w:lang w:val="fr-FR"/>
        </w:rPr>
        <w:t xml:space="preserve">élément </w:t>
      </w:r>
      <w:r w:rsidR="00016EDA" w:rsidRPr="00C95C11">
        <w:rPr>
          <w:kern w:val="3"/>
          <w:lang w:val="fr-FR"/>
        </w:rPr>
        <w:t xml:space="preserve">concluant, </w:t>
      </w:r>
      <w:r w:rsidR="009963FD" w:rsidRPr="00C95C11">
        <w:rPr>
          <w:kern w:val="3"/>
          <w:lang w:val="fr-FR"/>
        </w:rPr>
        <w:t>autre qu</w:t>
      </w:r>
      <w:r w:rsidR="00CC33C6" w:rsidRPr="00C95C11">
        <w:rPr>
          <w:kern w:val="3"/>
          <w:lang w:val="fr-FR"/>
        </w:rPr>
        <w:t>’</w:t>
      </w:r>
      <w:r w:rsidR="009963FD" w:rsidRPr="00C95C11">
        <w:rPr>
          <w:kern w:val="3"/>
          <w:lang w:val="fr-FR"/>
        </w:rPr>
        <w:t>une fiche médicale qui ne permet pas d</w:t>
      </w:r>
      <w:r w:rsidR="00CC33C6" w:rsidRPr="00C95C11">
        <w:rPr>
          <w:kern w:val="3"/>
          <w:lang w:val="fr-FR"/>
        </w:rPr>
        <w:t>’</w:t>
      </w:r>
      <w:r w:rsidR="009963FD" w:rsidRPr="00C95C11">
        <w:rPr>
          <w:kern w:val="3"/>
          <w:lang w:val="fr-FR"/>
        </w:rPr>
        <w:t>indiquer qu</w:t>
      </w:r>
      <w:r w:rsidR="00CC33C6" w:rsidRPr="00C95C11">
        <w:rPr>
          <w:kern w:val="3"/>
          <w:lang w:val="fr-FR"/>
        </w:rPr>
        <w:t>’</w:t>
      </w:r>
      <w:r w:rsidR="009963FD" w:rsidRPr="00C95C11">
        <w:rPr>
          <w:kern w:val="3"/>
          <w:lang w:val="fr-FR"/>
        </w:rPr>
        <w:t>un examen médical approfondi de l</w:t>
      </w:r>
      <w:r w:rsidR="00CC33C6" w:rsidRPr="00C95C11">
        <w:rPr>
          <w:kern w:val="3"/>
          <w:lang w:val="fr-FR"/>
        </w:rPr>
        <w:t>’</w:t>
      </w:r>
      <w:r w:rsidR="009963FD" w:rsidRPr="00C95C11">
        <w:rPr>
          <w:kern w:val="3"/>
          <w:lang w:val="fr-FR"/>
        </w:rPr>
        <w:t>auteur a été effectué à l</w:t>
      </w:r>
      <w:r w:rsidR="00CC33C6" w:rsidRPr="00C95C11">
        <w:rPr>
          <w:kern w:val="3"/>
          <w:lang w:val="fr-FR"/>
        </w:rPr>
        <w:t>’</w:t>
      </w:r>
      <w:r w:rsidR="009963FD" w:rsidRPr="00C95C11">
        <w:rPr>
          <w:kern w:val="3"/>
          <w:lang w:val="fr-FR"/>
        </w:rPr>
        <w:t>issue de sa garde à vue,</w:t>
      </w:r>
      <w:r w:rsidR="00016EDA" w:rsidRPr="00C95C11">
        <w:rPr>
          <w:kern w:val="3"/>
          <w:lang w:val="fr-FR"/>
        </w:rPr>
        <w:t xml:space="preserve"> et dont la valeur probante a été remise en question par l’auteur,</w:t>
      </w:r>
      <w:r w:rsidR="009963FD" w:rsidRPr="00C95C11">
        <w:rPr>
          <w:kern w:val="3"/>
          <w:lang w:val="fr-FR"/>
        </w:rPr>
        <w:t xml:space="preserve"> le Comité </w:t>
      </w:r>
      <w:r w:rsidR="00427E72" w:rsidRPr="00C95C11">
        <w:rPr>
          <w:kern w:val="3"/>
          <w:lang w:val="fr-FR"/>
        </w:rPr>
        <w:t>conclut à une</w:t>
      </w:r>
      <w:r w:rsidR="009963FD" w:rsidRPr="00C95C11">
        <w:rPr>
          <w:kern w:val="3"/>
          <w:lang w:val="fr-FR"/>
        </w:rPr>
        <w:t xml:space="preserve"> violation </w:t>
      </w:r>
      <w:r w:rsidR="00427E72" w:rsidRPr="00C95C11">
        <w:rPr>
          <w:kern w:val="3"/>
          <w:lang w:val="fr-FR"/>
        </w:rPr>
        <w:t>de l’article</w:t>
      </w:r>
      <w:r w:rsidR="00F675CC">
        <w:rPr>
          <w:kern w:val="3"/>
          <w:lang w:val="fr-FR"/>
        </w:rPr>
        <w:t> </w:t>
      </w:r>
      <w:r w:rsidR="00427E72" w:rsidRPr="00C95C11">
        <w:rPr>
          <w:kern w:val="3"/>
          <w:lang w:val="fr-FR"/>
        </w:rPr>
        <w:t>7 par l’</w:t>
      </w:r>
      <w:r w:rsidR="00071AFB" w:rsidRPr="00884EA8">
        <w:rPr>
          <w:kern w:val="3"/>
          <w:lang w:val="fr-FR"/>
        </w:rPr>
        <w:t>État</w:t>
      </w:r>
      <w:r w:rsidR="00427E72" w:rsidRPr="00C95C11">
        <w:rPr>
          <w:kern w:val="3"/>
          <w:lang w:val="fr-FR"/>
        </w:rPr>
        <w:t xml:space="preserve"> partie, </w:t>
      </w:r>
      <w:r w:rsidR="009963FD" w:rsidRPr="00C95C11">
        <w:rPr>
          <w:kern w:val="3"/>
          <w:lang w:val="fr-FR"/>
        </w:rPr>
        <w:t>lu</w:t>
      </w:r>
      <w:r w:rsidR="00427E72" w:rsidRPr="00C95C11">
        <w:rPr>
          <w:kern w:val="3"/>
          <w:lang w:val="fr-FR"/>
        </w:rPr>
        <w:t xml:space="preserve"> seul et</w:t>
      </w:r>
      <w:r w:rsidR="009963FD" w:rsidRPr="00C95C11">
        <w:rPr>
          <w:kern w:val="3"/>
          <w:lang w:val="fr-FR"/>
        </w:rPr>
        <w:t xml:space="preserve"> conjointement avec l’article 2, paragraphe 3</w:t>
      </w:r>
      <w:r w:rsidR="00F675CC">
        <w:rPr>
          <w:kern w:val="3"/>
          <w:lang w:val="fr-FR"/>
        </w:rPr>
        <w:t>,</w:t>
      </w:r>
      <w:r w:rsidR="009963FD" w:rsidRPr="00C95C11">
        <w:rPr>
          <w:kern w:val="3"/>
          <w:lang w:val="fr-FR"/>
        </w:rPr>
        <w:t xml:space="preserve"> du Pacte.</w:t>
      </w:r>
    </w:p>
    <w:p w:rsidR="00320B25" w:rsidRPr="00C95C11" w:rsidRDefault="00950800" w:rsidP="009963FD">
      <w:pPr>
        <w:autoSpaceDN w:val="0"/>
        <w:spacing w:after="120"/>
        <w:ind w:left="1134" w:right="1134"/>
        <w:jc w:val="both"/>
        <w:textAlignment w:val="baseline"/>
        <w:rPr>
          <w:kern w:val="3"/>
          <w:lang w:val="fr-FR"/>
        </w:rPr>
      </w:pPr>
      <w:r w:rsidRPr="00C95C11">
        <w:rPr>
          <w:kern w:val="3"/>
          <w:lang w:val="fr-FR"/>
        </w:rPr>
        <w:t>7</w:t>
      </w:r>
      <w:r w:rsidR="00320B25" w:rsidRPr="00C95C11">
        <w:rPr>
          <w:kern w:val="3"/>
          <w:lang w:val="fr-FR"/>
        </w:rPr>
        <w:t>.4</w:t>
      </w:r>
      <w:r w:rsidR="00320B25" w:rsidRPr="00C95C11">
        <w:rPr>
          <w:kern w:val="3"/>
          <w:lang w:val="fr-FR"/>
        </w:rPr>
        <w:tab/>
        <w:t>Ayant constaté une violation de l’article 7, le Comité décide de ne pas examiner séparément le grief tiré de l’article 10 du Pacte.</w:t>
      </w:r>
    </w:p>
    <w:p w:rsidR="009963FD" w:rsidRPr="00C95C11" w:rsidRDefault="00950800" w:rsidP="00D94C15">
      <w:pPr>
        <w:pStyle w:val="SingleTxtG"/>
        <w:rPr>
          <w:lang w:val="fr-FR"/>
        </w:rPr>
      </w:pPr>
      <w:r w:rsidRPr="00C95C11">
        <w:rPr>
          <w:lang w:val="fr-FR"/>
        </w:rPr>
        <w:t>7</w:t>
      </w:r>
      <w:r w:rsidR="009963FD" w:rsidRPr="00C95C11">
        <w:rPr>
          <w:lang w:val="fr-FR"/>
        </w:rPr>
        <w:t>.</w:t>
      </w:r>
      <w:r w:rsidR="00320B25" w:rsidRPr="00C95C11">
        <w:rPr>
          <w:lang w:val="fr-FR"/>
        </w:rPr>
        <w:t>5</w:t>
      </w:r>
      <w:r w:rsidR="009963FD" w:rsidRPr="00C95C11">
        <w:rPr>
          <w:lang w:val="fr-FR"/>
        </w:rPr>
        <w:tab/>
        <w:t>En ce qui concerne l’article 9, le Comité prend note des allégations de l’auteur selon lesquelles il aurait été arrêté le 17</w:t>
      </w:r>
      <w:r w:rsidR="00F675CC">
        <w:rPr>
          <w:lang w:val="fr-FR"/>
        </w:rPr>
        <w:t> </w:t>
      </w:r>
      <w:r w:rsidR="009963FD" w:rsidRPr="00C95C11">
        <w:rPr>
          <w:lang w:val="fr-FR"/>
        </w:rPr>
        <w:t>septembre 2009 et détenu au secret sans contact avec l</w:t>
      </w:r>
      <w:r w:rsidR="00CC33C6" w:rsidRPr="00C95C11">
        <w:rPr>
          <w:lang w:val="fr-FR"/>
        </w:rPr>
        <w:t>’</w:t>
      </w:r>
      <w:r w:rsidR="009963FD" w:rsidRPr="00C95C11">
        <w:rPr>
          <w:lang w:val="fr-FR"/>
        </w:rPr>
        <w:t xml:space="preserve">extérieur et notamment </w:t>
      </w:r>
      <w:r w:rsidR="00F675CC">
        <w:rPr>
          <w:lang w:val="fr-FR"/>
        </w:rPr>
        <w:t xml:space="preserve">sans contact </w:t>
      </w:r>
      <w:r w:rsidR="009963FD" w:rsidRPr="00C95C11">
        <w:rPr>
          <w:lang w:val="fr-FR"/>
        </w:rPr>
        <w:t>avec un avocat ou sa famille, et que sa détention dans un lieu inconnu aurait échappé au contrôle du parquet tel que l</w:t>
      </w:r>
      <w:r w:rsidR="00CC33C6" w:rsidRPr="00C95C11">
        <w:rPr>
          <w:lang w:val="fr-FR"/>
        </w:rPr>
        <w:t>’</w:t>
      </w:r>
      <w:r w:rsidR="009963FD" w:rsidRPr="00C95C11">
        <w:rPr>
          <w:lang w:val="fr-FR"/>
        </w:rPr>
        <w:t>atteste l</w:t>
      </w:r>
      <w:r w:rsidR="00CC33C6" w:rsidRPr="00C95C11">
        <w:rPr>
          <w:lang w:val="fr-FR"/>
        </w:rPr>
        <w:t>’</w:t>
      </w:r>
      <w:r w:rsidR="009963FD" w:rsidRPr="00C95C11">
        <w:rPr>
          <w:lang w:val="fr-FR"/>
        </w:rPr>
        <w:t>absence de tout acte du Procureur de la République avant le 6</w:t>
      </w:r>
      <w:r w:rsidR="00F675CC">
        <w:rPr>
          <w:lang w:val="fr-FR"/>
        </w:rPr>
        <w:t> </w:t>
      </w:r>
      <w:r w:rsidR="009963FD" w:rsidRPr="00C95C11">
        <w:rPr>
          <w:lang w:val="fr-FR"/>
        </w:rPr>
        <w:t>octobre</w:t>
      </w:r>
      <w:r w:rsidRPr="00C95C11">
        <w:rPr>
          <w:lang w:val="fr-FR"/>
        </w:rPr>
        <w:t xml:space="preserve"> 2009</w:t>
      </w:r>
      <w:r w:rsidR="009963FD" w:rsidRPr="00C95C11">
        <w:rPr>
          <w:lang w:val="fr-FR"/>
        </w:rPr>
        <w:t>, date de la fin de sa garde à vue. Le Comité note que</w:t>
      </w:r>
      <w:r w:rsidR="00F675CC">
        <w:rPr>
          <w:lang w:val="fr-FR"/>
        </w:rPr>
        <w:t>,</w:t>
      </w:r>
      <w:r w:rsidR="009963FD" w:rsidRPr="00C95C11">
        <w:rPr>
          <w:lang w:val="fr-FR"/>
        </w:rPr>
        <w:t xml:space="preserve"> selon l</w:t>
      </w:r>
      <w:r w:rsidR="00CC33C6" w:rsidRPr="00C95C11">
        <w:rPr>
          <w:lang w:val="fr-FR"/>
        </w:rPr>
        <w:t>’</w:t>
      </w:r>
      <w:r w:rsidR="009963FD" w:rsidRPr="00C95C11">
        <w:rPr>
          <w:lang w:val="fr-FR"/>
        </w:rPr>
        <w:t>auteur</w:t>
      </w:r>
      <w:r w:rsidR="00F675CC">
        <w:rPr>
          <w:lang w:val="fr-FR"/>
        </w:rPr>
        <w:t>,</w:t>
      </w:r>
      <w:r w:rsidR="009963FD" w:rsidRPr="00C95C11">
        <w:rPr>
          <w:lang w:val="fr-FR"/>
        </w:rPr>
        <w:t xml:space="preserve"> ni les motifs de la garde à vue, ni </w:t>
      </w:r>
      <w:r w:rsidR="00D94C15">
        <w:rPr>
          <w:lang w:val="fr-FR"/>
        </w:rPr>
        <w:t>l’</w:t>
      </w:r>
      <w:r w:rsidR="009963FD" w:rsidRPr="00C95C11">
        <w:rPr>
          <w:lang w:val="fr-FR"/>
        </w:rPr>
        <w:t xml:space="preserve">autorisation de la détention par le </w:t>
      </w:r>
      <w:r w:rsidR="00F675CC">
        <w:rPr>
          <w:lang w:val="fr-FR"/>
        </w:rPr>
        <w:t>P</w:t>
      </w:r>
      <w:r w:rsidR="009963FD" w:rsidRPr="00C95C11">
        <w:rPr>
          <w:lang w:val="fr-FR"/>
        </w:rPr>
        <w:t xml:space="preserve">rocureur de la République ni l’autorisation du </w:t>
      </w:r>
      <w:r w:rsidR="00F675CC">
        <w:rPr>
          <w:lang w:val="fr-FR"/>
        </w:rPr>
        <w:t>P</w:t>
      </w:r>
      <w:r w:rsidR="009963FD" w:rsidRPr="00C95C11">
        <w:rPr>
          <w:lang w:val="fr-FR"/>
        </w:rPr>
        <w:t>rocureur de la République de prolonger la garde à vue ne figurent au dossier</w:t>
      </w:r>
      <w:r w:rsidR="00F675CC">
        <w:rPr>
          <w:lang w:val="fr-FR"/>
        </w:rPr>
        <w:t>,</w:t>
      </w:r>
      <w:r w:rsidR="009963FD" w:rsidRPr="00C95C11">
        <w:rPr>
          <w:lang w:val="fr-FR"/>
        </w:rPr>
        <w:t xml:space="preserve"> ce qui témoigne de l</w:t>
      </w:r>
      <w:r w:rsidR="00CC33C6" w:rsidRPr="00C95C11">
        <w:rPr>
          <w:lang w:val="fr-FR"/>
        </w:rPr>
        <w:t>’</w:t>
      </w:r>
      <w:r w:rsidR="009963FD" w:rsidRPr="00C95C11">
        <w:rPr>
          <w:lang w:val="fr-FR"/>
        </w:rPr>
        <w:t>arbitraire de l</w:t>
      </w:r>
      <w:r w:rsidR="00CC33C6" w:rsidRPr="00C95C11">
        <w:rPr>
          <w:lang w:val="fr-FR"/>
        </w:rPr>
        <w:t>’</w:t>
      </w:r>
      <w:r w:rsidR="009963FD" w:rsidRPr="00C95C11">
        <w:rPr>
          <w:lang w:val="fr-FR"/>
        </w:rPr>
        <w:t xml:space="preserve">arrestation et </w:t>
      </w:r>
      <w:r w:rsidR="00F675CC">
        <w:rPr>
          <w:lang w:val="fr-FR"/>
        </w:rPr>
        <w:t xml:space="preserve">de </w:t>
      </w:r>
      <w:r w:rsidR="009963FD" w:rsidRPr="00C95C11">
        <w:rPr>
          <w:lang w:val="fr-FR"/>
        </w:rPr>
        <w:t>la détention de l</w:t>
      </w:r>
      <w:r w:rsidR="00CC33C6" w:rsidRPr="00C95C11">
        <w:rPr>
          <w:lang w:val="fr-FR"/>
        </w:rPr>
        <w:t>’</w:t>
      </w:r>
      <w:r w:rsidR="009963FD" w:rsidRPr="00C95C11">
        <w:rPr>
          <w:lang w:val="fr-FR"/>
        </w:rPr>
        <w:t>auteur. Le Comité note également l’absence d’enquête par l’</w:t>
      </w:r>
      <w:r w:rsidR="00071AFB" w:rsidRPr="00884EA8">
        <w:rPr>
          <w:lang w:val="fr-FR"/>
        </w:rPr>
        <w:t>État</w:t>
      </w:r>
      <w:r w:rsidR="009963FD" w:rsidRPr="00C95C11">
        <w:rPr>
          <w:lang w:val="fr-FR"/>
        </w:rPr>
        <w:t xml:space="preserve"> partie sur la présumée arrestation arbitraire et la détention au secret de l</w:t>
      </w:r>
      <w:r w:rsidR="00CC33C6" w:rsidRPr="00C95C11">
        <w:rPr>
          <w:lang w:val="fr-FR"/>
        </w:rPr>
        <w:t>’</w:t>
      </w:r>
      <w:r w:rsidR="009963FD" w:rsidRPr="00C95C11">
        <w:rPr>
          <w:lang w:val="fr-FR"/>
        </w:rPr>
        <w:t>auteur, malgré les plaintes soumises par celui-ci</w:t>
      </w:r>
      <w:r w:rsidR="009963FD" w:rsidRPr="00C95C11">
        <w:rPr>
          <w:color w:val="FF0000"/>
          <w:lang w:val="fr-FR"/>
        </w:rPr>
        <w:t>.</w:t>
      </w:r>
      <w:r w:rsidR="009963FD" w:rsidRPr="00C95C11">
        <w:rPr>
          <w:lang w:val="fr-FR"/>
        </w:rPr>
        <w:t xml:space="preserve"> Le Comité considère qu</w:t>
      </w:r>
      <w:r w:rsidR="00CC33C6" w:rsidRPr="00C95C11">
        <w:rPr>
          <w:lang w:val="fr-FR"/>
        </w:rPr>
        <w:t>’</w:t>
      </w:r>
      <w:r w:rsidR="009963FD" w:rsidRPr="00C95C11">
        <w:rPr>
          <w:lang w:val="fr-FR"/>
        </w:rPr>
        <w:t>en l</w:t>
      </w:r>
      <w:r w:rsidR="00CC33C6" w:rsidRPr="00C95C11">
        <w:rPr>
          <w:lang w:val="fr-FR"/>
        </w:rPr>
        <w:t>’</w:t>
      </w:r>
      <w:r w:rsidR="009963FD" w:rsidRPr="00C95C11">
        <w:rPr>
          <w:lang w:val="fr-FR"/>
        </w:rPr>
        <w:t>absence d</w:t>
      </w:r>
      <w:r w:rsidR="00CC33C6" w:rsidRPr="00C95C11">
        <w:rPr>
          <w:lang w:val="fr-FR"/>
        </w:rPr>
        <w:t>’</w:t>
      </w:r>
      <w:r w:rsidR="009963FD" w:rsidRPr="00C95C11">
        <w:rPr>
          <w:lang w:val="fr-FR"/>
        </w:rPr>
        <w:t>une quelconque explication de l</w:t>
      </w:r>
      <w:r w:rsidR="00CC33C6" w:rsidRPr="00C95C11">
        <w:rPr>
          <w:lang w:val="fr-FR"/>
        </w:rPr>
        <w:t>’</w:t>
      </w:r>
      <w:r w:rsidR="00071AFB" w:rsidRPr="00884EA8">
        <w:rPr>
          <w:lang w:val="fr-FR"/>
        </w:rPr>
        <w:t>État</w:t>
      </w:r>
      <w:r w:rsidR="009963FD" w:rsidRPr="00C95C11">
        <w:rPr>
          <w:lang w:val="fr-FR"/>
        </w:rPr>
        <w:t xml:space="preserve"> partie sur l</w:t>
      </w:r>
      <w:r w:rsidR="00CC33C6" w:rsidRPr="00C95C11">
        <w:rPr>
          <w:lang w:val="fr-FR"/>
        </w:rPr>
        <w:t>’</w:t>
      </w:r>
      <w:r w:rsidR="009963FD" w:rsidRPr="00C95C11">
        <w:rPr>
          <w:lang w:val="fr-FR"/>
        </w:rPr>
        <w:t>absence de pièces au dossier judiciaire renseign</w:t>
      </w:r>
      <w:r w:rsidR="00534B23">
        <w:rPr>
          <w:lang w:val="fr-FR"/>
        </w:rPr>
        <w:t>ant</w:t>
      </w:r>
      <w:r w:rsidR="009963FD" w:rsidRPr="00C95C11">
        <w:rPr>
          <w:lang w:val="fr-FR"/>
        </w:rPr>
        <w:t xml:space="preserve"> sur la date exacte de l</w:t>
      </w:r>
      <w:r w:rsidR="00CC33C6" w:rsidRPr="00C95C11">
        <w:rPr>
          <w:lang w:val="fr-FR"/>
        </w:rPr>
        <w:t>’</w:t>
      </w:r>
      <w:r w:rsidR="009963FD" w:rsidRPr="00C95C11">
        <w:rPr>
          <w:lang w:val="fr-FR"/>
        </w:rPr>
        <w:t>arrestation de l</w:t>
      </w:r>
      <w:r w:rsidR="00CC33C6" w:rsidRPr="00C95C11">
        <w:rPr>
          <w:lang w:val="fr-FR"/>
        </w:rPr>
        <w:t>’</w:t>
      </w:r>
      <w:r w:rsidR="009963FD" w:rsidRPr="00C95C11">
        <w:rPr>
          <w:lang w:val="fr-FR"/>
        </w:rPr>
        <w:t xml:space="preserve">auteur, les motifs de son arrestation et la légalité de sa détention, </w:t>
      </w:r>
      <w:r w:rsidR="00534B23">
        <w:rPr>
          <w:lang w:val="fr-FR"/>
        </w:rPr>
        <w:t xml:space="preserve">et en </w:t>
      </w:r>
      <w:r w:rsidR="009963FD" w:rsidRPr="00C95C11">
        <w:rPr>
          <w:lang w:val="fr-FR"/>
        </w:rPr>
        <w:t>l’absence de toute enquête sur ces allégations, l’</w:t>
      </w:r>
      <w:r w:rsidR="00C86FF1" w:rsidRPr="00884EA8">
        <w:rPr>
          <w:lang w:val="fr-FR"/>
        </w:rPr>
        <w:t>État</w:t>
      </w:r>
      <w:r w:rsidR="009963FD" w:rsidRPr="00C95C11">
        <w:rPr>
          <w:lang w:val="fr-FR"/>
        </w:rPr>
        <w:t xml:space="preserve"> partie a violé l</w:t>
      </w:r>
      <w:r w:rsidR="00CC33C6" w:rsidRPr="00C95C11">
        <w:rPr>
          <w:lang w:val="fr-FR"/>
        </w:rPr>
        <w:t>’</w:t>
      </w:r>
      <w:r w:rsidR="009963FD" w:rsidRPr="00C95C11">
        <w:rPr>
          <w:lang w:val="fr-FR"/>
        </w:rPr>
        <w:t>article 9</w:t>
      </w:r>
      <w:r w:rsidR="00534B23">
        <w:rPr>
          <w:lang w:val="fr-FR"/>
        </w:rPr>
        <w:t>, lu</w:t>
      </w:r>
      <w:r w:rsidR="009963FD" w:rsidRPr="00C95C11">
        <w:rPr>
          <w:lang w:val="fr-FR"/>
        </w:rPr>
        <w:t xml:space="preserve"> seul et conjointement avec l’article</w:t>
      </w:r>
      <w:r w:rsidR="00534B23">
        <w:rPr>
          <w:lang w:val="fr-FR"/>
        </w:rPr>
        <w:t> </w:t>
      </w:r>
      <w:r w:rsidR="009963FD" w:rsidRPr="00C95C11">
        <w:rPr>
          <w:lang w:val="fr-FR"/>
        </w:rPr>
        <w:t>2, paragraphe</w:t>
      </w:r>
      <w:r w:rsidR="00534B23">
        <w:rPr>
          <w:lang w:val="fr-FR"/>
        </w:rPr>
        <w:t> </w:t>
      </w:r>
      <w:r w:rsidR="009963FD" w:rsidRPr="00C95C11">
        <w:rPr>
          <w:lang w:val="fr-FR"/>
        </w:rPr>
        <w:t>3</w:t>
      </w:r>
      <w:r w:rsidR="00534B23">
        <w:rPr>
          <w:lang w:val="fr-FR"/>
        </w:rPr>
        <w:t>,</w:t>
      </w:r>
      <w:r w:rsidR="009963FD" w:rsidRPr="00C95C11">
        <w:rPr>
          <w:lang w:val="fr-FR"/>
        </w:rPr>
        <w:t xml:space="preserve"> du Pacte.</w:t>
      </w:r>
    </w:p>
    <w:p w:rsidR="00773753" w:rsidRPr="003D7E85" w:rsidRDefault="00950800">
      <w:pPr>
        <w:pStyle w:val="SingleTxtG"/>
        <w:rPr>
          <w:lang w:val="fr-FR"/>
        </w:rPr>
      </w:pPr>
      <w:r w:rsidRPr="00C95C11">
        <w:rPr>
          <w:lang w:val="fr-FR"/>
        </w:rPr>
        <w:t>8</w:t>
      </w:r>
      <w:r w:rsidR="009963FD" w:rsidRPr="00C95C11">
        <w:rPr>
          <w:lang w:val="fr-FR"/>
        </w:rPr>
        <w:t>.</w:t>
      </w:r>
      <w:r w:rsidR="009963FD" w:rsidRPr="00C95C11">
        <w:rPr>
          <w:lang w:val="fr-FR"/>
        </w:rPr>
        <w:tab/>
      </w:r>
      <w:r w:rsidR="00853A9E" w:rsidRPr="003D7E85">
        <w:rPr>
          <w:lang w:val="fr-FR"/>
        </w:rPr>
        <w:t>Le Comité, agissant en vertu du paragraphe 4 de l’article 5 du Protocole facultatif, constate que les faits dont il est saisi font apparaître une violation des articles</w:t>
      </w:r>
      <w:r w:rsidR="00534B23" w:rsidRPr="003D7E85">
        <w:rPr>
          <w:lang w:val="fr-FR"/>
        </w:rPr>
        <w:t> </w:t>
      </w:r>
      <w:r w:rsidR="00853A9E" w:rsidRPr="003D7E85">
        <w:rPr>
          <w:lang w:val="fr-FR"/>
        </w:rPr>
        <w:t>7 et 9 du Pacte, lus seuls et conjointement avec l’article 2, paragraphe 3</w:t>
      </w:r>
      <w:r w:rsidR="00534B23" w:rsidRPr="003D7E85">
        <w:rPr>
          <w:lang w:val="fr-FR"/>
        </w:rPr>
        <w:t>,</w:t>
      </w:r>
      <w:r w:rsidR="00853A9E" w:rsidRPr="003D7E85">
        <w:rPr>
          <w:lang w:val="fr-FR"/>
        </w:rPr>
        <w:t xml:space="preserve"> du Pacte.</w:t>
      </w:r>
    </w:p>
    <w:p w:rsidR="009963FD" w:rsidRPr="003D7E85" w:rsidRDefault="00853A9E">
      <w:pPr>
        <w:pStyle w:val="SingleTxtG"/>
        <w:rPr>
          <w:lang w:val="fr-FR"/>
        </w:rPr>
      </w:pPr>
      <w:r w:rsidRPr="003D7E85">
        <w:rPr>
          <w:lang w:val="fr-FR"/>
        </w:rPr>
        <w:t>9.</w:t>
      </w:r>
      <w:r w:rsidRPr="003D7E85">
        <w:rPr>
          <w:lang w:val="fr-FR"/>
        </w:rPr>
        <w:tab/>
        <w:t>Conformément au paragraphe 3 a) de l’article 2 du Pacte, l’État partie est tenu d’assurer à l’auteur un recours utile. L</w:t>
      </w:r>
      <w:r w:rsidR="001625AD">
        <w:rPr>
          <w:lang w:val="fr-FR"/>
        </w:rPr>
        <w:t>’</w:t>
      </w:r>
      <w:r w:rsidRPr="003D7E85">
        <w:rPr>
          <w:lang w:val="fr-FR"/>
        </w:rPr>
        <w:t xml:space="preserve">État partie a donc l’obligation d’accorder réparation aux personnes dont les droits reconnus par le Pacte ont été violés. En l’espèce, l’État partie est tenu, notamment, de conduire une enquête complète et effective sur les faits, en poursuivant et en punissant les responsables et en accordant à l’auteur des mesures de </w:t>
      </w:r>
      <w:r w:rsidRPr="003D7E85">
        <w:rPr>
          <w:lang w:val="fr-FR"/>
        </w:rPr>
        <w:lastRenderedPageBreak/>
        <w:t>satisfaction appropriées. Il est également tenu de veiller à ce que des violations analogues ne se reproduisent pas.</w:t>
      </w:r>
    </w:p>
    <w:p w:rsidR="00DF3BF1" w:rsidRPr="00C95C11" w:rsidRDefault="00853A9E" w:rsidP="001625AD">
      <w:pPr>
        <w:pStyle w:val="SingleTxtG"/>
        <w:rPr>
          <w:lang w:val="fr-FR"/>
        </w:rPr>
      </w:pPr>
      <w:proofErr w:type="gramStart"/>
      <w:r w:rsidRPr="003D7E85">
        <w:rPr>
          <w:lang w:val="fr-FR"/>
        </w:rPr>
        <w:t>10.</w:t>
      </w:r>
      <w:r w:rsidRPr="003D7E85">
        <w:rPr>
          <w:lang w:val="fr-FR"/>
        </w:rPr>
        <w:tab/>
        <w:t>Étant donné qu’en adhérant au Protocole facultatif l’État partie a reconnu que le Comité avait compétence pour déterminer s’il y avait eu ou non violation du Pacte et que, conformément à l’article 2 du Pacte, il s’est engagé à garantir à tous les individus se trouvant sur son territoire et relevant de sa juridiction les droits reconnus dans le Pacte et à assurer un recours utile et exécutoire lorsqu’une violation a été établie, le Comité souhaite recevoir de l’État partie, dans un délai de cent quatre-vingts jours, des renseignements sur les mesures prises pour donner effet aux présentes constatations.</w:t>
      </w:r>
      <w:proofErr w:type="gramEnd"/>
      <w:r w:rsidRPr="003D7E85">
        <w:rPr>
          <w:lang w:val="fr-FR"/>
        </w:rPr>
        <w:t xml:space="preserve"> L’État partie est invité en</w:t>
      </w:r>
      <w:r w:rsidR="001625AD">
        <w:rPr>
          <w:lang w:val="fr-FR"/>
        </w:rPr>
        <w:t> </w:t>
      </w:r>
      <w:r w:rsidRPr="003D7E85">
        <w:rPr>
          <w:lang w:val="fr-FR"/>
        </w:rPr>
        <w:t>outre à rendre publiques les constatations du Comité, à les faire traduire dans la langue officielle de l’État partie et à les diffuser largement</w:t>
      </w:r>
      <w:r w:rsidR="009963FD" w:rsidRPr="003D7E85">
        <w:rPr>
          <w:lang w:val="fr-FR"/>
        </w:rPr>
        <w:t>.</w:t>
      </w:r>
    </w:p>
    <w:p w:rsidR="00F848AC" w:rsidRPr="00C95C11" w:rsidRDefault="00F848AC" w:rsidP="00ED044B">
      <w:pPr>
        <w:pStyle w:val="SingleTxtG"/>
        <w:rPr>
          <w:lang w:val="fr-FR"/>
        </w:rPr>
        <w:sectPr w:rsidR="00F848AC" w:rsidRPr="00C95C11" w:rsidSect="00C95C1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pPr>
    </w:p>
    <w:p w:rsidR="00853A9E" w:rsidRDefault="00853A9E" w:rsidP="003D7E85">
      <w:pPr>
        <w:pStyle w:val="HChG"/>
        <w:rPr>
          <w:lang w:val="fr-FR"/>
        </w:rPr>
      </w:pPr>
      <w:r w:rsidRPr="003D7E85">
        <w:rPr>
          <w:lang w:val="fr-FR"/>
        </w:rPr>
        <w:lastRenderedPageBreak/>
        <w:t>Annexe</w:t>
      </w:r>
    </w:p>
    <w:p w:rsidR="00F848AC" w:rsidRPr="00884EA8" w:rsidRDefault="00F848AC" w:rsidP="009D1B5E">
      <w:pPr>
        <w:pStyle w:val="HChG"/>
        <w:rPr>
          <w:lang w:val="fr-FR"/>
        </w:rPr>
      </w:pPr>
      <w:r w:rsidRPr="00884EA8">
        <w:rPr>
          <w:lang w:val="fr-FR"/>
        </w:rPr>
        <w:tab/>
      </w:r>
      <w:r w:rsidRPr="00884EA8">
        <w:rPr>
          <w:lang w:val="fr-FR"/>
        </w:rPr>
        <w:tab/>
        <w:t xml:space="preserve">Opinion </w:t>
      </w:r>
      <w:r w:rsidR="00534B23">
        <w:rPr>
          <w:lang w:val="fr-FR"/>
        </w:rPr>
        <w:t>individuelle</w:t>
      </w:r>
      <w:r w:rsidRPr="00884EA8">
        <w:rPr>
          <w:lang w:val="fr-FR"/>
        </w:rPr>
        <w:t xml:space="preserve"> (concordante) </w:t>
      </w:r>
      <w:r w:rsidR="00853A9E" w:rsidRPr="003D7E85">
        <w:rPr>
          <w:lang w:val="fr-FR"/>
        </w:rPr>
        <w:t>d’</w:t>
      </w:r>
      <w:r w:rsidRPr="00884EA8">
        <w:rPr>
          <w:lang w:val="fr-FR"/>
        </w:rPr>
        <w:t>Olivier de Frouville, Yadh Ben Achour, Mauro Politi et V</w:t>
      </w:r>
      <w:r w:rsidR="00A911F6">
        <w:rPr>
          <w:lang w:val="fr-FR"/>
        </w:rPr>
        <w:t>í</w:t>
      </w:r>
      <w:r w:rsidRPr="00884EA8">
        <w:rPr>
          <w:lang w:val="fr-FR"/>
        </w:rPr>
        <w:t xml:space="preserve">ctor </w:t>
      </w:r>
      <w:r w:rsidR="00A911F6">
        <w:rPr>
          <w:lang w:val="fr-FR"/>
        </w:rPr>
        <w:t xml:space="preserve">Manuel </w:t>
      </w:r>
      <w:r w:rsidRPr="00884EA8">
        <w:rPr>
          <w:lang w:val="fr-FR"/>
        </w:rPr>
        <w:t>Rodr</w:t>
      </w:r>
      <w:r w:rsidR="00A911F6">
        <w:rPr>
          <w:lang w:val="fr-FR"/>
        </w:rPr>
        <w:t>í</w:t>
      </w:r>
      <w:r w:rsidRPr="00884EA8">
        <w:rPr>
          <w:lang w:val="fr-FR"/>
        </w:rPr>
        <w:t>guez-Rescia</w:t>
      </w:r>
    </w:p>
    <w:p w:rsidR="00F848AC" w:rsidRPr="00C95C11" w:rsidRDefault="00F848AC" w:rsidP="00F848AC">
      <w:pPr>
        <w:spacing w:after="120"/>
        <w:ind w:left="1134" w:right="1134"/>
        <w:jc w:val="both"/>
        <w:rPr>
          <w:lang w:val="fr-FR"/>
        </w:rPr>
      </w:pPr>
      <w:r w:rsidRPr="00C95C11">
        <w:rPr>
          <w:lang w:val="fr-FR"/>
        </w:rPr>
        <w:t>1.</w:t>
      </w:r>
      <w:r w:rsidRPr="00C95C11">
        <w:rPr>
          <w:lang w:val="fr-FR"/>
        </w:rPr>
        <w:tab/>
        <w:t>Nous sommes en accord avec la conclusion du Comité selon laquelle la détention au secret subie par l’auteur pendant une durée de vingt jours a violé les articles 7 et 9 du Pacte, lus seuls et conjointement avec l’article 2, paragraphe 3</w:t>
      </w:r>
      <w:r w:rsidR="00534B23">
        <w:rPr>
          <w:lang w:val="fr-FR"/>
        </w:rPr>
        <w:t>,</w:t>
      </w:r>
      <w:r w:rsidRPr="00C95C11">
        <w:rPr>
          <w:lang w:val="fr-FR"/>
        </w:rPr>
        <w:t xml:space="preserve"> du Pacte. Toutefois, pour les raisons qui ont été développées dans une autre opinion individuelle</w:t>
      </w:r>
      <w:r w:rsidRPr="00C95C11">
        <w:rPr>
          <w:rStyle w:val="FootnoteReference"/>
          <w:lang w:val="fr-FR"/>
        </w:rPr>
        <w:footnoteReference w:id="17"/>
      </w:r>
      <w:r w:rsidRPr="00C95C11">
        <w:rPr>
          <w:lang w:val="fr-FR"/>
        </w:rPr>
        <w:t>, nous estimons qu’une telle détention au secret soustrait la personne à la protection de la loi et constitue un déni du droit à la reconnaissance en tous lieux de la personnalité juridique de la victime, en violation de l’article 16 du Pacte.</w:t>
      </w:r>
    </w:p>
    <w:p w:rsidR="00F848AC" w:rsidRPr="00C95C11" w:rsidRDefault="00F848AC">
      <w:pPr>
        <w:spacing w:after="120"/>
        <w:ind w:left="1134" w:right="1134"/>
        <w:jc w:val="both"/>
        <w:rPr>
          <w:lang w:val="fr-FR"/>
        </w:rPr>
      </w:pPr>
      <w:r w:rsidRPr="00C95C11">
        <w:rPr>
          <w:lang w:val="fr-FR"/>
        </w:rPr>
        <w:t>2.</w:t>
      </w:r>
      <w:r w:rsidRPr="00C95C11">
        <w:rPr>
          <w:lang w:val="fr-FR"/>
        </w:rPr>
        <w:tab/>
        <w:t xml:space="preserve">L’auteur n’a pas soulevé explicitement ce grief et le Comité a choisi de ne pas le soulever d’office, tout </w:t>
      </w:r>
      <w:r w:rsidRPr="003D7E85">
        <w:rPr>
          <w:lang w:val="fr-FR"/>
        </w:rPr>
        <w:t>en reprenant sa jurisprudence aux termes de laquelle le Comité « </w:t>
      </w:r>
      <w:r w:rsidR="00853A9E" w:rsidRPr="003D7E85">
        <w:rPr>
          <w:lang w:val="fr-FR"/>
        </w:rPr>
        <w:t>reconnaît le degré de souffrance qu’implique une détention pour une durée indéfinie, sans contact avec le monde extérieur</w:t>
      </w:r>
      <w:r w:rsidRPr="003D7E85">
        <w:rPr>
          <w:lang w:val="fr-FR"/>
        </w:rPr>
        <w:t> »</w:t>
      </w:r>
      <w:r w:rsidRPr="003D7E85">
        <w:rPr>
          <w:rStyle w:val="FootnoteReference"/>
          <w:lang w:val="fr-FR"/>
        </w:rPr>
        <w:footnoteReference w:id="18"/>
      </w:r>
      <w:r w:rsidRPr="003D7E85">
        <w:rPr>
          <w:lang w:val="fr-FR"/>
        </w:rPr>
        <w:t>.</w:t>
      </w:r>
      <w:r w:rsidRPr="00C95C11">
        <w:rPr>
          <w:lang w:val="fr-FR"/>
        </w:rPr>
        <w:t xml:space="preserve"> Nous observons toutefois que l’auteur a qualifié le traitement qu’il a subi de « disparition forcée » (</w:t>
      </w:r>
      <w:r w:rsidR="00853A9E" w:rsidRPr="009D1B5E">
        <w:rPr>
          <w:lang w:val="fr-FR"/>
        </w:rPr>
        <w:t>par. 5.1 et 5.9</w:t>
      </w:r>
      <w:r w:rsidRPr="00C95C11">
        <w:rPr>
          <w:lang w:val="fr-FR"/>
        </w:rPr>
        <w:t>). Or</w:t>
      </w:r>
      <w:r w:rsidR="00534B23">
        <w:rPr>
          <w:lang w:val="fr-FR"/>
        </w:rPr>
        <w:t>,</w:t>
      </w:r>
      <w:r w:rsidRPr="00C95C11">
        <w:rPr>
          <w:lang w:val="fr-FR"/>
        </w:rPr>
        <w:t xml:space="preserve"> il est de l’essence de la disparition forcée de soustraire la victime à la protection de la loi et de nier son droit à la reconnaissance en tous lieux de sa personnalité juridique</w:t>
      </w:r>
      <w:r w:rsidRPr="00C95C11">
        <w:rPr>
          <w:rStyle w:val="FootnoteReference"/>
          <w:lang w:val="fr-FR"/>
        </w:rPr>
        <w:footnoteReference w:id="19"/>
      </w:r>
      <w:r w:rsidRPr="00C95C11">
        <w:rPr>
          <w:lang w:val="fr-FR"/>
        </w:rPr>
        <w:t>. Le grief fondé sur l’article</w:t>
      </w:r>
      <w:r w:rsidR="00534B23">
        <w:rPr>
          <w:lang w:val="fr-FR"/>
        </w:rPr>
        <w:t> </w:t>
      </w:r>
      <w:r w:rsidRPr="00C95C11">
        <w:rPr>
          <w:lang w:val="fr-FR"/>
        </w:rPr>
        <w:t>16 était donc implicite dans l’argumentation de l’auteur et nous estimons que le Comité aurait dû soulever ce moyen d’office et en constater la violation, compte tenu de l’importance du droit visé et de son caractère absolument intangible.</w:t>
      </w:r>
    </w:p>
    <w:p w:rsidR="004D3B38" w:rsidRPr="00C95C11" w:rsidRDefault="004D3B38" w:rsidP="004D3B38">
      <w:pPr>
        <w:pStyle w:val="SingleTxtG"/>
        <w:spacing w:before="240" w:after="0"/>
        <w:jc w:val="center"/>
        <w:rPr>
          <w:u w:val="single"/>
          <w:lang w:val="fr-FR"/>
        </w:rPr>
      </w:pPr>
      <w:r w:rsidRPr="00C95C11">
        <w:rPr>
          <w:u w:val="single"/>
          <w:lang w:val="fr-FR"/>
        </w:rPr>
        <w:tab/>
      </w:r>
      <w:r w:rsidRPr="00C95C11">
        <w:rPr>
          <w:u w:val="single"/>
          <w:lang w:val="fr-FR"/>
        </w:rPr>
        <w:tab/>
      </w:r>
      <w:r w:rsidRPr="00C95C11">
        <w:rPr>
          <w:u w:val="single"/>
          <w:lang w:val="fr-FR"/>
        </w:rPr>
        <w:tab/>
      </w:r>
    </w:p>
    <w:sectPr w:rsidR="004D3B38" w:rsidRPr="00C95C11" w:rsidSect="003D7E85">
      <w:footnotePr>
        <w:numFmt w:val="lowerLetter"/>
        <w:numRestart w:val="eachSect"/>
      </w:footnotePr>
      <w:endnotePr>
        <w:numFmt w:val="decimal"/>
      </w:endnotePr>
      <w:pgSz w:w="11907" w:h="16840" w:code="9"/>
      <w:pgMar w:top="1701" w:right="1134" w:bottom="2268" w:left="1134" w:header="1134" w:footer="1411"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79E28B" w15:done="0"/>
  <w15:commentEx w15:paraId="26CAC0E7" w15:done="0"/>
  <w15:commentEx w15:paraId="7A7D5947" w15:done="0"/>
  <w15:commentEx w15:paraId="5D17CBA3" w15:done="0"/>
  <w15:commentEx w15:paraId="61BADF74" w15:done="0"/>
  <w15:commentEx w15:paraId="591B49EB" w15:done="0"/>
  <w15:commentEx w15:paraId="06EFA1FA" w15:done="0"/>
  <w15:commentEx w15:paraId="3225B2FC" w15:done="0"/>
  <w15:commentEx w15:paraId="6B504C1B" w15:done="0"/>
  <w15:commentEx w15:paraId="02848A7E" w15:done="0"/>
  <w15:commentEx w15:paraId="31C1BFC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E69" w:rsidRDefault="00C86E69"/>
  </w:endnote>
  <w:endnote w:type="continuationSeparator" w:id="0">
    <w:p w:rsidR="00C86E69" w:rsidRDefault="00C86E69"/>
  </w:endnote>
  <w:endnote w:type="continuationNotice" w:id="1">
    <w:p w:rsidR="00C86E69" w:rsidRDefault="00C86E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Grande">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A8" w:rsidRPr="009963FD" w:rsidRDefault="00853A9E" w:rsidP="009963FD">
    <w:pPr>
      <w:pStyle w:val="Footer"/>
      <w:tabs>
        <w:tab w:val="right" w:pos="9638"/>
      </w:tabs>
    </w:pPr>
    <w:r w:rsidRPr="009963FD">
      <w:rPr>
        <w:b/>
        <w:sz w:val="18"/>
      </w:rPr>
      <w:fldChar w:fldCharType="begin"/>
    </w:r>
    <w:r w:rsidR="00A16FA8" w:rsidRPr="009963FD">
      <w:rPr>
        <w:b/>
        <w:sz w:val="18"/>
      </w:rPr>
      <w:instrText xml:space="preserve"> PAGE  \* MERGEFORMAT </w:instrText>
    </w:r>
    <w:r w:rsidRPr="009963FD">
      <w:rPr>
        <w:b/>
        <w:sz w:val="18"/>
      </w:rPr>
      <w:fldChar w:fldCharType="separate"/>
    </w:r>
    <w:r w:rsidR="005E5239">
      <w:rPr>
        <w:b/>
        <w:noProof/>
        <w:sz w:val="18"/>
      </w:rPr>
      <w:t>14</w:t>
    </w:r>
    <w:r w:rsidRPr="009963FD">
      <w:rPr>
        <w:b/>
        <w:sz w:val="18"/>
      </w:rPr>
      <w:fldChar w:fldCharType="end"/>
    </w:r>
    <w:r w:rsidR="00A16FA8">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A8" w:rsidRPr="009963FD" w:rsidRDefault="00A16FA8" w:rsidP="009963FD">
    <w:pPr>
      <w:pStyle w:val="Footer"/>
      <w:tabs>
        <w:tab w:val="right" w:pos="9638"/>
      </w:tabs>
      <w:rPr>
        <w:b/>
        <w:sz w:val="18"/>
      </w:rPr>
    </w:pPr>
    <w:r>
      <w:tab/>
    </w:r>
    <w:r w:rsidR="00853A9E" w:rsidRPr="009963FD">
      <w:rPr>
        <w:b/>
        <w:sz w:val="18"/>
      </w:rPr>
      <w:fldChar w:fldCharType="begin"/>
    </w:r>
    <w:r w:rsidRPr="009963FD">
      <w:rPr>
        <w:b/>
        <w:sz w:val="18"/>
      </w:rPr>
      <w:instrText xml:space="preserve"> PAGE  \* MERGEFORMAT </w:instrText>
    </w:r>
    <w:r w:rsidR="00853A9E" w:rsidRPr="009963FD">
      <w:rPr>
        <w:b/>
        <w:sz w:val="18"/>
      </w:rPr>
      <w:fldChar w:fldCharType="separate"/>
    </w:r>
    <w:r w:rsidR="005E5239">
      <w:rPr>
        <w:b/>
        <w:noProof/>
        <w:sz w:val="18"/>
      </w:rPr>
      <w:t>15</w:t>
    </w:r>
    <w:r w:rsidR="00853A9E" w:rsidRPr="009963F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3D" w:rsidRPr="00E5743D" w:rsidRDefault="00E5743D" w:rsidP="00E5743D">
    <w:pPr>
      <w:pStyle w:val="Footer"/>
      <w:spacing w:before="120"/>
      <w:rPr>
        <w:sz w:val="20"/>
      </w:rPr>
    </w:pPr>
    <w:r>
      <w:rPr>
        <w:sz w:val="20"/>
      </w:rPr>
      <w:t>GE.16-</w:t>
    </w:r>
    <w:proofErr w:type="gramStart"/>
    <w:r>
      <w:rPr>
        <w:sz w:val="20"/>
      </w:rPr>
      <w:t>07656  (</w:t>
    </w:r>
    <w:proofErr w:type="gramEnd"/>
    <w:r>
      <w:rPr>
        <w:sz w:val="20"/>
      </w:rPr>
      <w:t>F)</w:t>
    </w:r>
    <w:r>
      <w:rPr>
        <w:sz w:val="20"/>
      </w:rPr>
      <w:br/>
    </w:r>
    <w:r w:rsidRPr="00E5743D">
      <w:rPr>
        <w:rFonts w:ascii="C39T30Lfz" w:hAnsi="C39T30Lfz"/>
        <w:sz w:val="56"/>
      </w:rPr>
      <w:t></w:t>
    </w:r>
    <w:r w:rsidRPr="00E5743D">
      <w:rPr>
        <w:rFonts w:ascii="C39T30Lfz" w:hAnsi="C39T30Lfz"/>
        <w:sz w:val="56"/>
      </w:rPr>
      <w:t></w:t>
    </w:r>
    <w:r w:rsidRPr="00E5743D">
      <w:rPr>
        <w:rFonts w:ascii="C39T30Lfz" w:hAnsi="C39T30Lfz"/>
        <w:sz w:val="56"/>
      </w:rPr>
      <w:t></w:t>
    </w:r>
    <w:r w:rsidRPr="00E5743D">
      <w:rPr>
        <w:rFonts w:ascii="C39T30Lfz" w:hAnsi="C39T30Lfz"/>
        <w:sz w:val="56"/>
      </w:rPr>
      <w:t></w:t>
    </w:r>
    <w:r w:rsidRPr="00E5743D">
      <w:rPr>
        <w:rFonts w:ascii="C39T30Lfz" w:hAnsi="C39T30Lfz"/>
        <w:sz w:val="56"/>
      </w:rPr>
      <w:t></w:t>
    </w:r>
    <w:r w:rsidRPr="00E5743D">
      <w:rPr>
        <w:rFonts w:ascii="C39T30Lfz" w:hAnsi="C39T30Lfz"/>
        <w:sz w:val="56"/>
      </w:rPr>
      <w:t></w:t>
    </w:r>
    <w:r w:rsidRPr="00E5743D">
      <w:rPr>
        <w:rFonts w:ascii="C39T30Lfz" w:hAnsi="C39T30Lfz"/>
        <w:sz w:val="56"/>
      </w:rPr>
      <w:t></w:t>
    </w:r>
    <w:r w:rsidRPr="00E5743D">
      <w:rPr>
        <w:rFonts w:ascii="C39T30Lfz" w:hAnsi="C39T30Lfz"/>
        <w:sz w:val="56"/>
      </w:rPr>
      <w:t></w:t>
    </w:r>
    <w:r w:rsidRPr="00E5743D">
      <w:rPr>
        <w:rFonts w:ascii="C39T30Lfz" w:hAnsi="C39T30Lfz"/>
        <w:sz w:val="56"/>
      </w:rPr>
      <w:t></w:t>
    </w:r>
    <w:r w:rsidRPr="00E5743D">
      <w:rPr>
        <w:rFonts w:ascii="C39T30Lfz" w:hAnsi="C39T30Lfz"/>
        <w:noProof/>
        <w:sz w:val="56"/>
        <w:lang w:val="en-GB" w:eastAsia="en-GB"/>
      </w:rPr>
      <w:drawing>
        <wp:anchor distT="0" distB="0" distL="114300" distR="114300" simplePos="0" relativeHeight="251660288" behindDoc="0" locked="0" layoutInCell="1" allowOverlap="0" wp14:anchorId="05B87EB4" wp14:editId="11E17EB5">
          <wp:simplePos x="0" y="0"/>
          <wp:positionH relativeFrom="margin">
            <wp:posOffset>4320540</wp:posOffset>
          </wp:positionH>
          <wp:positionV relativeFrom="margin">
            <wp:posOffset>8281035</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GB" w:eastAsia="en-GB"/>
      </w:rPr>
      <w:drawing>
        <wp:anchor distT="0" distB="0" distL="114300" distR="114300" simplePos="0" relativeHeight="251658240" behindDoc="0" locked="0" layoutInCell="1" allowOverlap="1">
          <wp:simplePos x="0" y="0"/>
          <wp:positionH relativeFrom="margin">
            <wp:posOffset>5489575</wp:posOffset>
          </wp:positionH>
          <wp:positionV relativeFrom="margin">
            <wp:posOffset>8027670</wp:posOffset>
          </wp:positionV>
          <wp:extent cx="635330" cy="635330"/>
          <wp:effectExtent l="0" t="0" r="0" b="0"/>
          <wp:wrapNone/>
          <wp:docPr id="1" name="Image 1" descr="http://undocs.org/m2/QRCode.ashx?DS=CCPR/C/116/D/2297/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6/D/2297/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5330" cy="635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E69" w:rsidRPr="00D27D5E" w:rsidRDefault="00C86E69" w:rsidP="00D27D5E">
      <w:pPr>
        <w:tabs>
          <w:tab w:val="right" w:pos="2155"/>
        </w:tabs>
        <w:spacing w:after="80"/>
        <w:ind w:left="680"/>
        <w:rPr>
          <w:u w:val="single"/>
        </w:rPr>
      </w:pPr>
      <w:r>
        <w:rPr>
          <w:u w:val="single"/>
        </w:rPr>
        <w:tab/>
      </w:r>
    </w:p>
  </w:footnote>
  <w:footnote w:type="continuationSeparator" w:id="0">
    <w:p w:rsidR="00C86E69" w:rsidRPr="00091505" w:rsidRDefault="00C86E69" w:rsidP="00091505">
      <w:pPr>
        <w:tabs>
          <w:tab w:val="right" w:pos="2155"/>
        </w:tabs>
        <w:spacing w:after="80"/>
        <w:ind w:left="680"/>
        <w:rPr>
          <w:u w:val="single"/>
        </w:rPr>
      </w:pPr>
      <w:r w:rsidRPr="00091505">
        <w:rPr>
          <w:u w:val="single"/>
        </w:rPr>
        <w:tab/>
      </w:r>
    </w:p>
  </w:footnote>
  <w:footnote w:type="continuationNotice" w:id="1">
    <w:p w:rsidR="00C86E69" w:rsidRDefault="00C86E69"/>
  </w:footnote>
  <w:footnote w:id="2">
    <w:p w:rsidR="00A16FA8" w:rsidRPr="003D7E85" w:rsidRDefault="00853A9E" w:rsidP="00620D9F">
      <w:pPr>
        <w:pStyle w:val="FootnoteText"/>
        <w:rPr>
          <w:szCs w:val="18"/>
          <w:lang w:val="fr-FR"/>
        </w:rPr>
      </w:pPr>
      <w:r w:rsidRPr="003D7E85">
        <w:rPr>
          <w:rStyle w:val="FootnoteReference"/>
          <w:sz w:val="20"/>
          <w:vertAlign w:val="baseline"/>
          <w:lang w:val="fr-FR"/>
        </w:rPr>
        <w:tab/>
        <w:t>*</w:t>
      </w:r>
      <w:r w:rsidRPr="003D7E85">
        <w:rPr>
          <w:rStyle w:val="FootnoteReference"/>
          <w:sz w:val="20"/>
          <w:vertAlign w:val="baseline"/>
          <w:lang w:val="fr-FR"/>
        </w:rPr>
        <w:tab/>
      </w:r>
      <w:r w:rsidR="00A16FA8" w:rsidRPr="00C95C11">
        <w:rPr>
          <w:szCs w:val="18"/>
          <w:lang w:val="fr-FR"/>
        </w:rPr>
        <w:t xml:space="preserve">Adoptées par le Comité à </w:t>
      </w:r>
      <w:r w:rsidR="00A16FA8" w:rsidRPr="003D7E85">
        <w:rPr>
          <w:szCs w:val="18"/>
          <w:lang w:val="fr-FR"/>
        </w:rPr>
        <w:t xml:space="preserve">sa </w:t>
      </w:r>
      <w:r w:rsidRPr="003D7E85">
        <w:rPr>
          <w:szCs w:val="18"/>
          <w:lang w:val="fr-FR"/>
        </w:rPr>
        <w:t>116</w:t>
      </w:r>
      <w:r w:rsidRPr="003D7E85">
        <w:rPr>
          <w:szCs w:val="18"/>
          <w:vertAlign w:val="superscript"/>
          <w:lang w:val="fr-FR"/>
        </w:rPr>
        <w:t>e</w:t>
      </w:r>
      <w:r w:rsidRPr="003D7E85">
        <w:rPr>
          <w:szCs w:val="18"/>
          <w:lang w:val="fr-FR"/>
        </w:rPr>
        <w:t xml:space="preserve"> session (7-31 mars 2016</w:t>
      </w:r>
      <w:r w:rsidR="00A16FA8" w:rsidRPr="003D7E85">
        <w:rPr>
          <w:szCs w:val="18"/>
          <w:lang w:val="fr-FR"/>
        </w:rPr>
        <w:t>).</w:t>
      </w:r>
    </w:p>
  </w:footnote>
  <w:footnote w:id="3">
    <w:p w:rsidR="00A16FA8" w:rsidRPr="003D7E85" w:rsidRDefault="00A16FA8">
      <w:pPr>
        <w:pStyle w:val="FootnoteText"/>
        <w:rPr>
          <w:bCs/>
          <w:szCs w:val="18"/>
          <w:lang w:val="fr-FR"/>
        </w:rPr>
      </w:pPr>
      <w:r w:rsidRPr="003D7E85">
        <w:rPr>
          <w:rStyle w:val="FootnoteReference"/>
          <w:szCs w:val="18"/>
          <w:lang w:val="fr-FR"/>
        </w:rPr>
        <w:tab/>
      </w:r>
      <w:r w:rsidRPr="003D7E85">
        <w:rPr>
          <w:rStyle w:val="FootnoteReference"/>
          <w:sz w:val="20"/>
          <w:vertAlign w:val="baseline"/>
          <w:lang w:val="fr-FR"/>
        </w:rPr>
        <w:t>**</w:t>
      </w:r>
      <w:r w:rsidRPr="003D7E85">
        <w:rPr>
          <w:szCs w:val="18"/>
          <w:lang w:val="fr-FR"/>
        </w:rPr>
        <w:tab/>
      </w:r>
      <w:r w:rsidR="00853A9E" w:rsidRPr="003D7E85">
        <w:rPr>
          <w:szCs w:val="18"/>
          <w:lang w:val="fr-FR"/>
        </w:rPr>
        <w:t>Les membres du Comité dont le nom suit ont participé à l’examen de la communication : Yadh Ben Achour, Sarah Cleveland, Olivier de Frouville, Yuji Iwasawa, Ivana Jelić, Duncan Laki Muhumuza, Mauro Politi, Sir Nigel Rodley, Víctor Manuel Rodríguez-Rescia, Anja Seibert-Fohr, Yuval Shany, Konstantine Vardzelashvili et Margo Waterval. Conformément à l’article 90 du règlement intérieur du Comité, Lazhari Bouzid, membre du Comité, n’a pas pris part à l’examen de la communication</w:t>
      </w:r>
      <w:r w:rsidRPr="003D7E85">
        <w:rPr>
          <w:szCs w:val="18"/>
          <w:lang w:val="fr-FR"/>
        </w:rPr>
        <w:t>.</w:t>
      </w:r>
      <w:r w:rsidRPr="003D7E85">
        <w:rPr>
          <w:bCs/>
          <w:szCs w:val="18"/>
          <w:lang w:val="fr-FR"/>
        </w:rPr>
        <w:t xml:space="preserve"> </w:t>
      </w:r>
    </w:p>
    <w:p w:rsidR="00A16FA8" w:rsidRPr="00C95C11" w:rsidRDefault="00A16FA8">
      <w:pPr>
        <w:pStyle w:val="FootnoteText"/>
        <w:rPr>
          <w:szCs w:val="18"/>
          <w:lang w:val="fr-FR"/>
        </w:rPr>
      </w:pPr>
      <w:r w:rsidRPr="003D7E85">
        <w:rPr>
          <w:bCs/>
          <w:szCs w:val="18"/>
          <w:lang w:val="fr-FR"/>
        </w:rPr>
        <w:tab/>
      </w:r>
      <w:r w:rsidRPr="003D7E85">
        <w:rPr>
          <w:bCs/>
          <w:szCs w:val="18"/>
          <w:lang w:val="fr-FR"/>
        </w:rPr>
        <w:tab/>
        <w:t xml:space="preserve">Le texte </w:t>
      </w:r>
      <w:r w:rsidR="00853A9E" w:rsidRPr="003D7E85">
        <w:rPr>
          <w:bCs/>
          <w:szCs w:val="18"/>
          <w:lang w:val="fr-FR"/>
        </w:rPr>
        <w:t>d’une opinion individuelle (concordante) signée d’Olivier de Frouville, Yadh Ben Achour, Mauro Politi et Víctor Manuel Rodríguez-Rescia</w:t>
      </w:r>
      <w:r w:rsidR="00853A9E" w:rsidRPr="003D7E85">
        <w:rPr>
          <w:szCs w:val="18"/>
          <w:lang w:val="fr-FR"/>
        </w:rPr>
        <w:t>, est joint aux présentes constatations</w:t>
      </w:r>
      <w:r w:rsidRPr="003D7E85">
        <w:rPr>
          <w:szCs w:val="18"/>
          <w:lang w:val="fr-FR"/>
        </w:rPr>
        <w:t>.</w:t>
      </w:r>
    </w:p>
  </w:footnote>
  <w:footnote w:id="4">
    <w:p w:rsidR="00A16FA8" w:rsidRPr="00C95C11" w:rsidRDefault="00A16FA8">
      <w:pPr>
        <w:pStyle w:val="FootnoteText"/>
        <w:rPr>
          <w:szCs w:val="18"/>
          <w:lang w:val="fr-FR"/>
        </w:rPr>
      </w:pPr>
      <w:r w:rsidRPr="00C95C11">
        <w:rPr>
          <w:szCs w:val="18"/>
          <w:lang w:val="fr-FR"/>
        </w:rPr>
        <w:tab/>
      </w:r>
      <w:r w:rsidRPr="00C95C11">
        <w:rPr>
          <w:rStyle w:val="FootnoteReference"/>
          <w:szCs w:val="18"/>
          <w:lang w:val="fr-FR"/>
        </w:rPr>
        <w:footnoteRef/>
      </w:r>
      <w:r w:rsidRPr="00C95C11">
        <w:rPr>
          <w:szCs w:val="18"/>
          <w:lang w:val="fr-FR"/>
        </w:rPr>
        <w:tab/>
      </w:r>
      <w:r w:rsidRPr="00A34935">
        <w:rPr>
          <w:szCs w:val="18"/>
          <w:lang w:val="fr-FR"/>
        </w:rPr>
        <w:t xml:space="preserve">L’auteur </w:t>
      </w:r>
      <w:r w:rsidR="00853A9E" w:rsidRPr="003D7E85">
        <w:rPr>
          <w:szCs w:val="18"/>
          <w:lang w:val="fr-FR"/>
        </w:rPr>
        <w:t xml:space="preserve">a </w:t>
      </w:r>
      <w:r w:rsidRPr="00A34935">
        <w:rPr>
          <w:szCs w:val="18"/>
          <w:lang w:val="fr-FR"/>
        </w:rPr>
        <w:t>ajout</w:t>
      </w:r>
      <w:r w:rsidR="00853A9E" w:rsidRPr="003D7E85">
        <w:rPr>
          <w:szCs w:val="18"/>
          <w:lang w:val="fr-FR"/>
        </w:rPr>
        <w:t>é</w:t>
      </w:r>
      <w:r w:rsidRPr="00A34935">
        <w:rPr>
          <w:szCs w:val="18"/>
          <w:lang w:val="fr-FR"/>
        </w:rPr>
        <w:t xml:space="preserve"> cette</w:t>
      </w:r>
      <w:r w:rsidRPr="00C95C11">
        <w:rPr>
          <w:szCs w:val="18"/>
          <w:lang w:val="fr-FR"/>
        </w:rPr>
        <w:t xml:space="preserve"> </w:t>
      </w:r>
      <w:r w:rsidR="00853A9E" w:rsidRPr="002F7EEC">
        <w:rPr>
          <w:szCs w:val="18"/>
          <w:lang w:val="fr-FR"/>
        </w:rPr>
        <w:t xml:space="preserve">allégation </w:t>
      </w:r>
      <w:r w:rsidR="00CE01A5" w:rsidRPr="003D7E85">
        <w:rPr>
          <w:szCs w:val="18"/>
          <w:lang w:val="fr-FR"/>
        </w:rPr>
        <w:t xml:space="preserve">de violation </w:t>
      </w:r>
      <w:r w:rsidR="00853A9E" w:rsidRPr="002F7EEC">
        <w:rPr>
          <w:szCs w:val="18"/>
          <w:lang w:val="fr-FR"/>
        </w:rPr>
        <w:t>de l’article</w:t>
      </w:r>
      <w:r w:rsidRPr="002F7EEC">
        <w:rPr>
          <w:szCs w:val="18"/>
          <w:lang w:val="fr-FR"/>
        </w:rPr>
        <w:t xml:space="preserve"> 2,</w:t>
      </w:r>
      <w:r w:rsidRPr="00C95C11">
        <w:rPr>
          <w:szCs w:val="18"/>
          <w:lang w:val="fr-FR"/>
        </w:rPr>
        <w:t xml:space="preserve"> paragraphe 3</w:t>
      </w:r>
      <w:r>
        <w:rPr>
          <w:szCs w:val="18"/>
          <w:lang w:val="fr-FR"/>
        </w:rPr>
        <w:t>,</w:t>
      </w:r>
      <w:r w:rsidRPr="00C95C11">
        <w:rPr>
          <w:szCs w:val="18"/>
          <w:lang w:val="fr-FR"/>
        </w:rPr>
        <w:t xml:space="preserve"> </w:t>
      </w:r>
      <w:r w:rsidR="007F5F0C" w:rsidRPr="00CE01A5">
        <w:rPr>
          <w:szCs w:val="18"/>
          <w:lang w:val="fr-FR"/>
        </w:rPr>
        <w:t>dans</w:t>
      </w:r>
      <w:r w:rsidRPr="00C95C11">
        <w:rPr>
          <w:szCs w:val="18"/>
          <w:lang w:val="fr-FR"/>
        </w:rPr>
        <w:t xml:space="preserve"> ses commentaires datés </w:t>
      </w:r>
      <w:r w:rsidR="00853A9E" w:rsidRPr="003D7E85">
        <w:rPr>
          <w:szCs w:val="18"/>
          <w:lang w:val="fr-FR"/>
        </w:rPr>
        <w:t>du 27 mars 2014</w:t>
      </w:r>
      <w:r w:rsidRPr="00C95C11">
        <w:rPr>
          <w:szCs w:val="18"/>
          <w:lang w:val="fr-FR"/>
        </w:rPr>
        <w:t>.</w:t>
      </w:r>
    </w:p>
  </w:footnote>
  <w:footnote w:id="5">
    <w:p w:rsidR="00A16FA8" w:rsidRPr="00C95C11" w:rsidRDefault="00A16FA8">
      <w:pPr>
        <w:pStyle w:val="FootnoteText"/>
        <w:rPr>
          <w:szCs w:val="18"/>
          <w:lang w:val="fr-FR"/>
        </w:rPr>
      </w:pPr>
      <w:r w:rsidRPr="00C95C11">
        <w:rPr>
          <w:szCs w:val="18"/>
          <w:lang w:val="fr-FR"/>
        </w:rPr>
        <w:tab/>
      </w:r>
      <w:r w:rsidRPr="00C95C11">
        <w:rPr>
          <w:rStyle w:val="FootnoteReference"/>
          <w:szCs w:val="18"/>
          <w:lang w:val="fr-FR"/>
        </w:rPr>
        <w:footnoteRef/>
      </w:r>
      <w:r w:rsidRPr="00C95C11">
        <w:rPr>
          <w:szCs w:val="18"/>
          <w:lang w:val="fr-FR"/>
        </w:rPr>
        <w:tab/>
        <w:t>Le présent rappel des faits se base sur la communication initiale, les soumissions ultérieures et les annexes soumises par l’auteur.</w:t>
      </w:r>
    </w:p>
  </w:footnote>
  <w:footnote w:id="6">
    <w:p w:rsidR="00A16FA8" w:rsidRPr="00C95C11" w:rsidRDefault="00A16FA8">
      <w:pPr>
        <w:pStyle w:val="FootnoteText"/>
        <w:rPr>
          <w:szCs w:val="18"/>
          <w:lang w:val="fr-FR"/>
        </w:rPr>
      </w:pPr>
      <w:r w:rsidRPr="00C95C11">
        <w:rPr>
          <w:szCs w:val="18"/>
          <w:lang w:val="fr-FR"/>
        </w:rPr>
        <w:tab/>
      </w:r>
      <w:r w:rsidRPr="00C95C11">
        <w:rPr>
          <w:rStyle w:val="FootnoteReference"/>
          <w:szCs w:val="18"/>
          <w:lang w:val="fr-FR"/>
        </w:rPr>
        <w:footnoteRef/>
      </w:r>
      <w:r w:rsidRPr="00C95C11">
        <w:rPr>
          <w:szCs w:val="18"/>
          <w:lang w:val="fr-FR"/>
        </w:rPr>
        <w:tab/>
        <w:t>Lettre datée du 29 septembre 2009.</w:t>
      </w:r>
    </w:p>
  </w:footnote>
  <w:footnote w:id="7">
    <w:p w:rsidR="00A16FA8" w:rsidRPr="00C95C11" w:rsidRDefault="00A16FA8">
      <w:pPr>
        <w:pStyle w:val="FootnoteText"/>
        <w:rPr>
          <w:szCs w:val="18"/>
          <w:lang w:val="fr-FR"/>
        </w:rPr>
      </w:pPr>
      <w:r w:rsidRPr="00C95C11">
        <w:rPr>
          <w:szCs w:val="18"/>
          <w:lang w:val="fr-FR"/>
        </w:rPr>
        <w:tab/>
      </w:r>
      <w:r w:rsidRPr="00C95C11">
        <w:rPr>
          <w:rStyle w:val="FootnoteReference"/>
          <w:szCs w:val="18"/>
          <w:lang w:val="fr-FR"/>
        </w:rPr>
        <w:footnoteRef/>
      </w:r>
      <w:r w:rsidRPr="00C95C11">
        <w:rPr>
          <w:szCs w:val="18"/>
          <w:lang w:val="fr-FR"/>
        </w:rPr>
        <w:tab/>
        <w:t>Une copie du procès-verbal a été fournie par l’auteur.</w:t>
      </w:r>
    </w:p>
  </w:footnote>
  <w:footnote w:id="8">
    <w:p w:rsidR="00A16FA8" w:rsidRPr="00C95C11" w:rsidRDefault="00A16FA8">
      <w:pPr>
        <w:pStyle w:val="FootnoteText"/>
        <w:rPr>
          <w:szCs w:val="18"/>
          <w:lang w:val="fr-FR"/>
        </w:rPr>
      </w:pPr>
      <w:r w:rsidRPr="00C95C11">
        <w:rPr>
          <w:szCs w:val="18"/>
          <w:lang w:val="fr-FR"/>
        </w:rPr>
        <w:tab/>
      </w:r>
      <w:r w:rsidRPr="00C95C11">
        <w:rPr>
          <w:rStyle w:val="FootnoteReference"/>
          <w:szCs w:val="18"/>
          <w:lang w:val="fr-FR"/>
        </w:rPr>
        <w:footnoteRef/>
      </w:r>
      <w:r w:rsidRPr="00C95C11">
        <w:rPr>
          <w:szCs w:val="18"/>
          <w:lang w:val="fr-FR"/>
        </w:rPr>
        <w:tab/>
        <w:t xml:space="preserve">Au moment de l’examen de la communication par le Comité, la Cour </w:t>
      </w:r>
      <w:r>
        <w:rPr>
          <w:szCs w:val="18"/>
          <w:lang w:val="fr-FR"/>
        </w:rPr>
        <w:t>s</w:t>
      </w:r>
      <w:r w:rsidRPr="00C95C11">
        <w:rPr>
          <w:szCs w:val="18"/>
          <w:lang w:val="fr-FR"/>
        </w:rPr>
        <w:t xml:space="preserve">uprême a cassé l’arrêt de la </w:t>
      </w:r>
      <w:r>
        <w:rPr>
          <w:szCs w:val="18"/>
          <w:lang w:val="fr-FR"/>
        </w:rPr>
        <w:t>c</w:t>
      </w:r>
      <w:r w:rsidRPr="00C95C11">
        <w:rPr>
          <w:szCs w:val="18"/>
          <w:lang w:val="fr-FR"/>
        </w:rPr>
        <w:t xml:space="preserve">our d’appel </w:t>
      </w:r>
      <w:r w:rsidR="007F5F0C" w:rsidRPr="007D2A2D">
        <w:rPr>
          <w:szCs w:val="18"/>
          <w:lang w:val="fr-FR"/>
        </w:rPr>
        <w:t>en janvier 2015</w:t>
      </w:r>
      <w:r w:rsidRPr="00C95C11">
        <w:rPr>
          <w:szCs w:val="18"/>
          <w:lang w:val="fr-FR"/>
        </w:rPr>
        <w:t xml:space="preserve"> au motif que la loi avait été appliquée rétroactivement et que la prescription était en réalité acquise pour les faits visés. La Cour a renvoyé l’affaire devant le juge du fond. </w:t>
      </w:r>
      <w:r w:rsidRPr="003D7E85">
        <w:rPr>
          <w:szCs w:val="18"/>
          <w:lang w:val="fr-FR"/>
        </w:rPr>
        <w:t xml:space="preserve">Le </w:t>
      </w:r>
      <w:r w:rsidR="00853A9E" w:rsidRPr="003D7E85">
        <w:rPr>
          <w:szCs w:val="18"/>
          <w:lang w:val="fr-FR"/>
        </w:rPr>
        <w:t>22 octobre 2015</w:t>
      </w:r>
      <w:r w:rsidRPr="003D7E85">
        <w:rPr>
          <w:szCs w:val="18"/>
          <w:lang w:val="fr-FR"/>
        </w:rPr>
        <w:t>,</w:t>
      </w:r>
      <w:r w:rsidRPr="00C95C11">
        <w:rPr>
          <w:szCs w:val="18"/>
          <w:lang w:val="fr-FR"/>
        </w:rPr>
        <w:t xml:space="preserve"> la </w:t>
      </w:r>
      <w:r>
        <w:rPr>
          <w:szCs w:val="18"/>
          <w:lang w:val="fr-FR"/>
        </w:rPr>
        <w:t>c</w:t>
      </w:r>
      <w:r w:rsidRPr="00C95C11">
        <w:rPr>
          <w:szCs w:val="18"/>
          <w:lang w:val="fr-FR"/>
        </w:rPr>
        <w:t xml:space="preserve">our d’appel </w:t>
      </w:r>
      <w:r w:rsidR="00A21A6A">
        <w:rPr>
          <w:szCs w:val="18"/>
          <w:lang w:val="fr-FR"/>
        </w:rPr>
        <w:t xml:space="preserve">a </w:t>
      </w:r>
      <w:r w:rsidRPr="00C95C11">
        <w:rPr>
          <w:szCs w:val="18"/>
          <w:lang w:val="fr-FR"/>
        </w:rPr>
        <w:t>décid</w:t>
      </w:r>
      <w:r w:rsidR="00A21A6A">
        <w:rPr>
          <w:szCs w:val="18"/>
          <w:lang w:val="fr-FR"/>
        </w:rPr>
        <w:t>é</w:t>
      </w:r>
      <w:r w:rsidRPr="00C95C11">
        <w:rPr>
          <w:szCs w:val="18"/>
          <w:lang w:val="fr-FR"/>
        </w:rPr>
        <w:t xml:space="preserve"> de confirmer la condamnation de l’auteur, la</w:t>
      </w:r>
      <w:r>
        <w:rPr>
          <w:szCs w:val="18"/>
          <w:lang w:val="fr-FR"/>
        </w:rPr>
        <w:t> </w:t>
      </w:r>
      <w:r w:rsidRPr="00C95C11">
        <w:rPr>
          <w:szCs w:val="18"/>
          <w:lang w:val="fr-FR"/>
        </w:rPr>
        <w:t xml:space="preserve">réduisant néanmoins à </w:t>
      </w:r>
      <w:r w:rsidR="00A21A6A">
        <w:rPr>
          <w:szCs w:val="18"/>
          <w:lang w:val="fr-FR"/>
        </w:rPr>
        <w:t>douze</w:t>
      </w:r>
      <w:r w:rsidRPr="00C95C11">
        <w:rPr>
          <w:szCs w:val="18"/>
          <w:lang w:val="fr-FR"/>
        </w:rPr>
        <w:t xml:space="preserve"> ans.</w:t>
      </w:r>
    </w:p>
  </w:footnote>
  <w:footnote w:id="9">
    <w:p w:rsidR="00A16FA8" w:rsidRPr="00C95C11" w:rsidRDefault="00A16FA8">
      <w:pPr>
        <w:pStyle w:val="FootnoteText"/>
        <w:widowControl w:val="0"/>
        <w:tabs>
          <w:tab w:val="clear" w:pos="1021"/>
          <w:tab w:val="right" w:pos="1020"/>
        </w:tabs>
        <w:rPr>
          <w:szCs w:val="18"/>
          <w:lang w:val="fr-FR"/>
        </w:rPr>
      </w:pPr>
      <w:r w:rsidRPr="00C95C11">
        <w:rPr>
          <w:szCs w:val="18"/>
          <w:lang w:val="fr-FR"/>
        </w:rPr>
        <w:tab/>
      </w:r>
      <w:r w:rsidRPr="00C95C11">
        <w:rPr>
          <w:rStyle w:val="FootnoteReference"/>
          <w:szCs w:val="18"/>
          <w:lang w:val="fr-FR"/>
        </w:rPr>
        <w:footnoteRef/>
      </w:r>
      <w:r w:rsidRPr="00C95C11">
        <w:rPr>
          <w:szCs w:val="18"/>
          <w:lang w:val="fr-FR"/>
        </w:rPr>
        <w:tab/>
        <w:t>Voir</w:t>
      </w:r>
      <w:r>
        <w:rPr>
          <w:szCs w:val="18"/>
          <w:lang w:val="fr-FR"/>
        </w:rPr>
        <w:t>, par exemple</w:t>
      </w:r>
      <w:r w:rsidRPr="003D7E85">
        <w:rPr>
          <w:szCs w:val="18"/>
          <w:lang w:val="fr-FR"/>
        </w:rPr>
        <w:t xml:space="preserve">, </w:t>
      </w:r>
      <w:r w:rsidR="00853A9E" w:rsidRPr="003D7E85">
        <w:rPr>
          <w:szCs w:val="18"/>
          <w:lang w:val="fr-FR"/>
        </w:rPr>
        <w:t>la communication n</w:t>
      </w:r>
      <w:r w:rsidR="00853A9E" w:rsidRPr="003D7E85">
        <w:rPr>
          <w:szCs w:val="18"/>
          <w:vertAlign w:val="superscript"/>
          <w:lang w:val="fr-FR"/>
        </w:rPr>
        <w:t>o</w:t>
      </w:r>
      <w:r w:rsidR="00853A9E" w:rsidRPr="003D7E85">
        <w:rPr>
          <w:szCs w:val="18"/>
          <w:lang w:val="fr-FR"/>
        </w:rPr>
        <w:t xml:space="preserve"> 1297/2004, </w:t>
      </w:r>
      <w:r w:rsidR="00853A9E" w:rsidRPr="003D7E85">
        <w:rPr>
          <w:i/>
          <w:iCs/>
          <w:szCs w:val="18"/>
          <w:lang w:val="fr-FR"/>
        </w:rPr>
        <w:t>Medjnoune</w:t>
      </w:r>
      <w:r w:rsidR="00853A9E" w:rsidRPr="003D7E85">
        <w:rPr>
          <w:szCs w:val="18"/>
          <w:lang w:val="fr-FR"/>
        </w:rPr>
        <w:t xml:space="preserve"> </w:t>
      </w:r>
      <w:r w:rsidR="00853A9E" w:rsidRPr="003D7E85">
        <w:rPr>
          <w:i/>
          <w:szCs w:val="18"/>
          <w:lang w:val="fr-FR"/>
        </w:rPr>
        <w:t>c</w:t>
      </w:r>
      <w:r w:rsidR="00853A9E" w:rsidRPr="003D7E85">
        <w:rPr>
          <w:szCs w:val="18"/>
          <w:lang w:val="fr-FR"/>
        </w:rPr>
        <w:t xml:space="preserve">. </w:t>
      </w:r>
      <w:r w:rsidR="00853A9E" w:rsidRPr="003D7E85">
        <w:rPr>
          <w:i/>
          <w:iCs/>
          <w:szCs w:val="18"/>
          <w:lang w:val="fr-FR"/>
        </w:rPr>
        <w:t>Algérie</w:t>
      </w:r>
      <w:r w:rsidR="00853A9E" w:rsidRPr="003D7E85">
        <w:rPr>
          <w:szCs w:val="18"/>
          <w:lang w:val="fr-FR"/>
        </w:rPr>
        <w:t>, constatations adoptées le 14 juillet 2006, par.</w:t>
      </w:r>
      <w:r w:rsidR="008806EC" w:rsidRPr="003D7E85">
        <w:rPr>
          <w:szCs w:val="18"/>
          <w:lang w:val="fr-FR"/>
        </w:rPr>
        <w:t> </w:t>
      </w:r>
      <w:r w:rsidR="00853A9E" w:rsidRPr="003D7E85">
        <w:rPr>
          <w:szCs w:val="18"/>
          <w:lang w:val="fr-FR"/>
        </w:rPr>
        <w:t>8.3</w:t>
      </w:r>
      <w:r w:rsidRPr="003D7E85">
        <w:rPr>
          <w:szCs w:val="18"/>
          <w:lang w:val="fr-FR"/>
        </w:rPr>
        <w:t>.</w:t>
      </w:r>
    </w:p>
  </w:footnote>
  <w:footnote w:id="10">
    <w:p w:rsidR="00A16FA8" w:rsidRPr="00C95C11" w:rsidRDefault="00A16FA8">
      <w:pPr>
        <w:pStyle w:val="FootnoteText"/>
        <w:widowControl w:val="0"/>
        <w:tabs>
          <w:tab w:val="clear" w:pos="1021"/>
          <w:tab w:val="right" w:pos="1020"/>
        </w:tabs>
        <w:rPr>
          <w:szCs w:val="18"/>
          <w:lang w:val="fr-FR"/>
        </w:rPr>
      </w:pPr>
      <w:r w:rsidRPr="00C95C11">
        <w:rPr>
          <w:szCs w:val="18"/>
          <w:lang w:val="fr-FR"/>
        </w:rPr>
        <w:tab/>
      </w:r>
      <w:r w:rsidRPr="00C95C11">
        <w:rPr>
          <w:rStyle w:val="FootnoteReference"/>
          <w:szCs w:val="18"/>
          <w:lang w:val="fr-FR"/>
        </w:rPr>
        <w:footnoteRef/>
      </w:r>
      <w:r w:rsidRPr="00C95C11">
        <w:rPr>
          <w:szCs w:val="18"/>
          <w:lang w:val="fr-FR"/>
        </w:rPr>
        <w:tab/>
        <w:t xml:space="preserve">L’auteur ne </w:t>
      </w:r>
      <w:r w:rsidRPr="00C95C11">
        <w:rPr>
          <w:rStyle w:val="FootnoteTextChar"/>
          <w:rFonts w:eastAsia="LucidaGrande"/>
          <w:szCs w:val="18"/>
          <w:lang w:val="fr-FR"/>
        </w:rPr>
        <w:t>cite</w:t>
      </w:r>
      <w:r w:rsidRPr="00C95C11">
        <w:rPr>
          <w:szCs w:val="18"/>
          <w:lang w:val="fr-FR"/>
        </w:rPr>
        <w:t xml:space="preserve"> pas d’article spécifique du Pacte.</w:t>
      </w:r>
    </w:p>
  </w:footnote>
  <w:footnote w:id="11">
    <w:p w:rsidR="00A16FA8" w:rsidRPr="00C95C11" w:rsidRDefault="00A16FA8">
      <w:pPr>
        <w:pStyle w:val="FootnoteText"/>
        <w:widowControl w:val="0"/>
        <w:tabs>
          <w:tab w:val="clear" w:pos="1021"/>
          <w:tab w:val="right" w:pos="1020"/>
        </w:tabs>
        <w:rPr>
          <w:szCs w:val="18"/>
          <w:lang w:val="fr-FR"/>
        </w:rPr>
      </w:pPr>
      <w:r w:rsidRPr="00C95C11">
        <w:rPr>
          <w:szCs w:val="18"/>
          <w:lang w:val="fr-FR"/>
        </w:rPr>
        <w:tab/>
      </w:r>
      <w:r w:rsidRPr="00C95C11">
        <w:rPr>
          <w:rStyle w:val="FootnoteReference"/>
          <w:szCs w:val="18"/>
          <w:lang w:val="fr-FR"/>
        </w:rPr>
        <w:footnoteRef/>
      </w:r>
      <w:r w:rsidRPr="00C95C11">
        <w:rPr>
          <w:szCs w:val="18"/>
          <w:lang w:val="fr-FR"/>
        </w:rPr>
        <w:tab/>
      </w:r>
      <w:r w:rsidRPr="003D7E85">
        <w:rPr>
          <w:szCs w:val="18"/>
          <w:lang w:val="fr-FR"/>
        </w:rPr>
        <w:t xml:space="preserve">Voir </w:t>
      </w:r>
      <w:r w:rsidR="00853A9E" w:rsidRPr="003D7E85">
        <w:rPr>
          <w:rStyle w:val="FootnoteTextChar"/>
          <w:rFonts w:eastAsia="LucidaGrande"/>
          <w:i/>
          <w:iCs/>
          <w:szCs w:val="18"/>
          <w:lang w:val="fr-FR"/>
        </w:rPr>
        <w:t>Medjnoune</w:t>
      </w:r>
      <w:r w:rsidR="00853A9E" w:rsidRPr="003D7E85">
        <w:rPr>
          <w:szCs w:val="18"/>
          <w:lang w:val="fr-FR"/>
        </w:rPr>
        <w:t xml:space="preserve"> </w:t>
      </w:r>
      <w:r w:rsidR="00853A9E" w:rsidRPr="003D7E85">
        <w:rPr>
          <w:i/>
          <w:szCs w:val="18"/>
          <w:lang w:val="fr-FR"/>
        </w:rPr>
        <w:t>c</w:t>
      </w:r>
      <w:r w:rsidR="00853A9E" w:rsidRPr="003D7E85">
        <w:rPr>
          <w:szCs w:val="18"/>
          <w:lang w:val="fr-FR"/>
        </w:rPr>
        <w:t xml:space="preserve">. </w:t>
      </w:r>
      <w:r w:rsidR="00853A9E" w:rsidRPr="003D7E85">
        <w:rPr>
          <w:i/>
          <w:iCs/>
          <w:szCs w:val="18"/>
          <w:lang w:val="fr-FR"/>
        </w:rPr>
        <w:t>Algérie</w:t>
      </w:r>
      <w:r w:rsidRPr="003D7E85">
        <w:rPr>
          <w:szCs w:val="18"/>
          <w:lang w:val="fr-FR"/>
        </w:rPr>
        <w:t>, par</w:t>
      </w:r>
      <w:r w:rsidRPr="00C95C11">
        <w:rPr>
          <w:szCs w:val="18"/>
          <w:lang w:val="fr-FR"/>
        </w:rPr>
        <w:t>. 8.4.</w:t>
      </w:r>
    </w:p>
  </w:footnote>
  <w:footnote w:id="12">
    <w:p w:rsidR="00A16FA8" w:rsidRPr="00C95C11" w:rsidRDefault="00A16FA8">
      <w:pPr>
        <w:pStyle w:val="FootnoteText"/>
        <w:widowControl w:val="0"/>
        <w:tabs>
          <w:tab w:val="clear" w:pos="1021"/>
          <w:tab w:val="right" w:pos="1020"/>
        </w:tabs>
        <w:rPr>
          <w:szCs w:val="18"/>
          <w:lang w:val="fr-FR"/>
        </w:rPr>
      </w:pPr>
      <w:r w:rsidRPr="00C95C11">
        <w:rPr>
          <w:szCs w:val="18"/>
          <w:lang w:val="fr-FR"/>
        </w:rPr>
        <w:tab/>
      </w:r>
      <w:r w:rsidRPr="00C95C11">
        <w:rPr>
          <w:rStyle w:val="FootnoteReference"/>
          <w:szCs w:val="18"/>
          <w:lang w:val="fr-FR"/>
        </w:rPr>
        <w:footnoteRef/>
      </w:r>
      <w:r w:rsidRPr="00C95C11">
        <w:rPr>
          <w:szCs w:val="18"/>
          <w:lang w:val="fr-FR"/>
        </w:rPr>
        <w:tab/>
        <w:t xml:space="preserve">Dans </w:t>
      </w:r>
      <w:r w:rsidRPr="00C95C11">
        <w:rPr>
          <w:rStyle w:val="FootnoteTextChar"/>
          <w:rFonts w:eastAsia="LucidaGrande"/>
          <w:szCs w:val="18"/>
          <w:lang w:val="fr-FR"/>
        </w:rPr>
        <w:t>le</w:t>
      </w:r>
      <w:r w:rsidRPr="00C95C11">
        <w:rPr>
          <w:szCs w:val="18"/>
          <w:lang w:val="fr-FR"/>
        </w:rPr>
        <w:t xml:space="preserve"> procès-verbal de l’audition d’un coaccusé de l’auteur daté du 18</w:t>
      </w:r>
      <w:r w:rsidR="008806EC">
        <w:rPr>
          <w:szCs w:val="18"/>
          <w:lang w:val="fr-FR"/>
        </w:rPr>
        <w:t> </w:t>
      </w:r>
      <w:r w:rsidRPr="00C95C11">
        <w:rPr>
          <w:szCs w:val="18"/>
          <w:lang w:val="fr-FR"/>
        </w:rPr>
        <w:t>novembre 2009, il est fait mention d’allégations de mauvais traitement</w:t>
      </w:r>
      <w:r w:rsidR="008806EC">
        <w:rPr>
          <w:szCs w:val="18"/>
          <w:lang w:val="fr-FR"/>
        </w:rPr>
        <w:t>s</w:t>
      </w:r>
      <w:r w:rsidRPr="00C95C11">
        <w:rPr>
          <w:szCs w:val="18"/>
          <w:lang w:val="fr-FR"/>
        </w:rPr>
        <w:t xml:space="preserve"> qu’aurait subis ledit coaccusé en détention </w:t>
      </w:r>
      <w:r w:rsidR="008806EC">
        <w:rPr>
          <w:szCs w:val="18"/>
          <w:lang w:val="fr-FR"/>
        </w:rPr>
        <w:t>(a</w:t>
      </w:r>
      <w:r w:rsidRPr="00C95C11">
        <w:rPr>
          <w:szCs w:val="18"/>
          <w:lang w:val="fr-FR"/>
        </w:rPr>
        <w:t>nnexe</w:t>
      </w:r>
      <w:r w:rsidR="008806EC">
        <w:rPr>
          <w:szCs w:val="18"/>
          <w:lang w:val="fr-FR"/>
        </w:rPr>
        <w:t> </w:t>
      </w:r>
      <w:r w:rsidRPr="00C95C11">
        <w:rPr>
          <w:szCs w:val="18"/>
          <w:lang w:val="fr-FR"/>
        </w:rPr>
        <w:t>12 de la communication initiale</w:t>
      </w:r>
      <w:r w:rsidR="008806EC">
        <w:rPr>
          <w:szCs w:val="18"/>
          <w:lang w:val="fr-FR"/>
        </w:rPr>
        <w:t>).</w:t>
      </w:r>
    </w:p>
  </w:footnote>
  <w:footnote w:id="13">
    <w:p w:rsidR="00A16FA8" w:rsidRPr="00C95C11" w:rsidRDefault="00A16FA8">
      <w:pPr>
        <w:pStyle w:val="FootnoteText"/>
        <w:widowControl w:val="0"/>
        <w:tabs>
          <w:tab w:val="clear" w:pos="1021"/>
          <w:tab w:val="right" w:pos="1020"/>
        </w:tabs>
        <w:rPr>
          <w:szCs w:val="18"/>
          <w:lang w:val="fr-FR"/>
        </w:rPr>
      </w:pPr>
      <w:r w:rsidRPr="00C95C11">
        <w:rPr>
          <w:szCs w:val="18"/>
          <w:lang w:val="fr-FR"/>
        </w:rPr>
        <w:tab/>
      </w:r>
      <w:r w:rsidRPr="00C95C11">
        <w:rPr>
          <w:rStyle w:val="FootnoteReference"/>
          <w:szCs w:val="18"/>
          <w:lang w:val="fr-FR"/>
        </w:rPr>
        <w:footnoteRef/>
      </w:r>
      <w:r w:rsidRPr="00C95C11">
        <w:rPr>
          <w:szCs w:val="18"/>
          <w:lang w:val="fr-FR"/>
        </w:rPr>
        <w:tab/>
        <w:t>Annexe 14 de la communication initiale.</w:t>
      </w:r>
    </w:p>
  </w:footnote>
  <w:footnote w:id="14">
    <w:p w:rsidR="003B328B" w:rsidRPr="00C95C11" w:rsidRDefault="003B328B" w:rsidP="003B328B">
      <w:pPr>
        <w:pStyle w:val="FootnoteText"/>
        <w:widowControl w:val="0"/>
        <w:tabs>
          <w:tab w:val="clear" w:pos="1021"/>
          <w:tab w:val="right" w:pos="1020"/>
        </w:tabs>
        <w:rPr>
          <w:szCs w:val="18"/>
          <w:lang w:val="fr-FR"/>
        </w:rPr>
      </w:pPr>
      <w:r w:rsidRPr="00C95C11">
        <w:rPr>
          <w:szCs w:val="18"/>
          <w:lang w:val="fr-FR"/>
        </w:rPr>
        <w:tab/>
      </w:r>
      <w:r w:rsidRPr="00C95C11">
        <w:rPr>
          <w:rStyle w:val="FootnoteReference"/>
          <w:szCs w:val="18"/>
          <w:lang w:val="fr-FR"/>
        </w:rPr>
        <w:footnoteRef/>
      </w:r>
      <w:r w:rsidRPr="00C95C11">
        <w:rPr>
          <w:szCs w:val="18"/>
          <w:lang w:val="fr-FR"/>
        </w:rPr>
        <w:tab/>
        <w:t>Il s’agit d’une affaire criminelle pour laquelle l’auteur ne dispose pas d’un appel mais uniquement d’un recours en cassation et donc en droit et non en faits.</w:t>
      </w:r>
    </w:p>
  </w:footnote>
  <w:footnote w:id="15">
    <w:p w:rsidR="00A16FA8" w:rsidRPr="00C95C11" w:rsidRDefault="00A16FA8">
      <w:pPr>
        <w:pStyle w:val="FootnoteText"/>
        <w:widowControl w:val="0"/>
        <w:tabs>
          <w:tab w:val="clear" w:pos="1021"/>
          <w:tab w:val="right" w:pos="1020"/>
        </w:tabs>
        <w:rPr>
          <w:szCs w:val="18"/>
          <w:lang w:val="fr-FR"/>
        </w:rPr>
      </w:pPr>
      <w:r w:rsidRPr="00C95C11">
        <w:rPr>
          <w:szCs w:val="18"/>
          <w:lang w:val="fr-FR"/>
        </w:rPr>
        <w:tab/>
      </w:r>
      <w:r w:rsidRPr="00C95C11">
        <w:rPr>
          <w:rStyle w:val="FootnoteReference"/>
          <w:szCs w:val="18"/>
          <w:lang w:val="fr-FR"/>
        </w:rPr>
        <w:footnoteRef/>
      </w:r>
      <w:r w:rsidRPr="00C95C11">
        <w:rPr>
          <w:szCs w:val="18"/>
          <w:lang w:val="fr-FR"/>
        </w:rPr>
        <w:tab/>
        <w:t>Nom du témoin, représentant de la banque Natixis.</w:t>
      </w:r>
    </w:p>
  </w:footnote>
  <w:footnote w:id="16">
    <w:p w:rsidR="00A16FA8" w:rsidRPr="00C95C11" w:rsidRDefault="00A16FA8">
      <w:pPr>
        <w:pStyle w:val="FootnoteText"/>
        <w:widowControl w:val="0"/>
        <w:tabs>
          <w:tab w:val="clear" w:pos="1021"/>
          <w:tab w:val="right" w:pos="1020"/>
        </w:tabs>
        <w:rPr>
          <w:szCs w:val="18"/>
          <w:lang w:val="fr-FR"/>
        </w:rPr>
      </w:pPr>
      <w:r w:rsidRPr="00C95C11">
        <w:rPr>
          <w:rStyle w:val="FootnoteTextChar"/>
          <w:rFonts w:eastAsia="LucidaGrande"/>
          <w:szCs w:val="18"/>
          <w:lang w:val="fr-FR"/>
        </w:rPr>
        <w:tab/>
      </w:r>
      <w:r w:rsidRPr="00C95C11">
        <w:rPr>
          <w:rStyle w:val="FootnoteReference"/>
          <w:szCs w:val="18"/>
          <w:lang w:val="fr-FR"/>
        </w:rPr>
        <w:footnoteRef/>
      </w:r>
      <w:r w:rsidRPr="00C95C11">
        <w:rPr>
          <w:rStyle w:val="FootnoteTextChar"/>
          <w:rFonts w:eastAsia="LucidaGrande"/>
          <w:szCs w:val="18"/>
          <w:lang w:val="fr-FR"/>
        </w:rPr>
        <w:tab/>
        <w:t>Communications</w:t>
      </w:r>
      <w:r w:rsidRPr="00C95C11">
        <w:rPr>
          <w:szCs w:val="18"/>
          <w:lang w:val="fr-FR"/>
        </w:rPr>
        <w:t xml:space="preserve"> </w:t>
      </w:r>
      <w:r w:rsidRPr="003D7E85">
        <w:rPr>
          <w:szCs w:val="18"/>
          <w:lang w:val="fr-FR"/>
        </w:rPr>
        <w:t>n</w:t>
      </w:r>
      <w:r w:rsidRPr="003D7E85">
        <w:rPr>
          <w:szCs w:val="18"/>
          <w:vertAlign w:val="superscript"/>
          <w:lang w:val="fr-FR"/>
        </w:rPr>
        <w:t>o</w:t>
      </w:r>
      <w:r w:rsidRPr="003D7E85">
        <w:rPr>
          <w:szCs w:val="18"/>
          <w:lang w:val="fr-FR"/>
        </w:rPr>
        <w:t> </w:t>
      </w:r>
      <w:r w:rsidR="00853A9E" w:rsidRPr="003D7E85">
        <w:rPr>
          <w:szCs w:val="18"/>
          <w:lang w:val="fr-FR"/>
        </w:rPr>
        <w:t xml:space="preserve">146/1983, </w:t>
      </w:r>
      <w:r w:rsidR="00853A9E" w:rsidRPr="003D7E85">
        <w:rPr>
          <w:i/>
          <w:iCs/>
          <w:szCs w:val="18"/>
          <w:lang w:val="fr-FR"/>
        </w:rPr>
        <w:t>Baboeram-Adhin et consorts</w:t>
      </w:r>
      <w:r w:rsidR="00853A9E" w:rsidRPr="003D7E85">
        <w:rPr>
          <w:szCs w:val="18"/>
          <w:lang w:val="fr-FR"/>
        </w:rPr>
        <w:t xml:space="preserve"> </w:t>
      </w:r>
      <w:r w:rsidR="00853A9E" w:rsidRPr="003D7E85">
        <w:rPr>
          <w:i/>
          <w:iCs/>
          <w:szCs w:val="18"/>
          <w:lang w:val="fr-FR"/>
        </w:rPr>
        <w:t>c.</w:t>
      </w:r>
      <w:r w:rsidR="00853A9E" w:rsidRPr="003D7E85">
        <w:rPr>
          <w:szCs w:val="18"/>
          <w:lang w:val="fr-FR"/>
        </w:rPr>
        <w:t xml:space="preserve"> </w:t>
      </w:r>
      <w:r w:rsidR="00853A9E" w:rsidRPr="003D7E85">
        <w:rPr>
          <w:i/>
          <w:iCs/>
          <w:szCs w:val="18"/>
          <w:lang w:val="fr-FR"/>
        </w:rPr>
        <w:t>Suriname</w:t>
      </w:r>
      <w:r w:rsidRPr="003D7E85">
        <w:rPr>
          <w:szCs w:val="18"/>
          <w:lang w:val="fr-FR"/>
        </w:rPr>
        <w:t xml:space="preserve">, </w:t>
      </w:r>
      <w:r w:rsidR="00853A9E" w:rsidRPr="003D7E85">
        <w:rPr>
          <w:szCs w:val="18"/>
          <w:lang w:val="fr-FR"/>
        </w:rPr>
        <w:t>constatations adoptées le 4 avril 1985</w:t>
      </w:r>
      <w:r w:rsidRPr="003D7E85">
        <w:rPr>
          <w:szCs w:val="18"/>
          <w:lang w:val="fr-FR"/>
        </w:rPr>
        <w:t xml:space="preserve">, par. 14.2 ; </w:t>
      </w:r>
      <w:r w:rsidR="00853A9E" w:rsidRPr="003D7E85">
        <w:rPr>
          <w:szCs w:val="18"/>
          <w:lang w:val="fr-FR"/>
        </w:rPr>
        <w:t>n</w:t>
      </w:r>
      <w:r w:rsidR="00853A9E" w:rsidRPr="003D7E85">
        <w:rPr>
          <w:szCs w:val="18"/>
          <w:vertAlign w:val="superscript"/>
          <w:lang w:val="fr-FR"/>
        </w:rPr>
        <w:t>o</w:t>
      </w:r>
      <w:r w:rsidR="00853A9E" w:rsidRPr="003D7E85">
        <w:rPr>
          <w:szCs w:val="18"/>
          <w:lang w:val="fr-FR"/>
        </w:rPr>
        <w:t xml:space="preserve"> 139/1983, </w:t>
      </w:r>
      <w:r w:rsidR="00853A9E" w:rsidRPr="003D7E85">
        <w:rPr>
          <w:i/>
          <w:iCs/>
          <w:szCs w:val="18"/>
          <w:lang w:val="fr-FR"/>
        </w:rPr>
        <w:t>Conteris</w:t>
      </w:r>
      <w:r w:rsidR="00853A9E" w:rsidRPr="003D7E85">
        <w:rPr>
          <w:szCs w:val="18"/>
          <w:lang w:val="fr-FR"/>
        </w:rPr>
        <w:t xml:space="preserve"> </w:t>
      </w:r>
      <w:r w:rsidR="00853A9E" w:rsidRPr="003D7E85">
        <w:rPr>
          <w:i/>
          <w:iCs/>
          <w:szCs w:val="18"/>
          <w:lang w:val="fr-FR"/>
        </w:rPr>
        <w:t>c.</w:t>
      </w:r>
      <w:r w:rsidR="00853A9E" w:rsidRPr="003D7E85">
        <w:rPr>
          <w:szCs w:val="18"/>
          <w:lang w:val="fr-FR"/>
        </w:rPr>
        <w:t xml:space="preserve"> </w:t>
      </w:r>
      <w:r w:rsidR="00853A9E" w:rsidRPr="003D7E85">
        <w:rPr>
          <w:i/>
          <w:iCs/>
          <w:szCs w:val="18"/>
          <w:lang w:val="fr-FR"/>
        </w:rPr>
        <w:t>Uruguay</w:t>
      </w:r>
      <w:r w:rsidR="00853A9E" w:rsidRPr="003D7E85">
        <w:rPr>
          <w:szCs w:val="18"/>
          <w:lang w:val="fr-FR"/>
        </w:rPr>
        <w:t>, constatations adoptées le 17 juillet 1985</w:t>
      </w:r>
      <w:r w:rsidRPr="003D7E85">
        <w:rPr>
          <w:szCs w:val="18"/>
          <w:lang w:val="fr-FR"/>
        </w:rPr>
        <w:t xml:space="preserve">, par. 7.2 ; </w:t>
      </w:r>
      <w:r w:rsidR="00853A9E" w:rsidRPr="003D7E85">
        <w:rPr>
          <w:szCs w:val="18"/>
          <w:lang w:val="fr-FR"/>
        </w:rPr>
        <w:t>n</w:t>
      </w:r>
      <w:r w:rsidR="00853A9E" w:rsidRPr="003D7E85">
        <w:rPr>
          <w:szCs w:val="18"/>
          <w:vertAlign w:val="superscript"/>
          <w:lang w:val="fr-FR"/>
        </w:rPr>
        <w:t>o</w:t>
      </w:r>
      <w:r w:rsidR="00853A9E" w:rsidRPr="003D7E85">
        <w:rPr>
          <w:szCs w:val="18"/>
          <w:lang w:val="fr-FR"/>
        </w:rPr>
        <w:t xml:space="preserve"> 202/1986, </w:t>
      </w:r>
      <w:r w:rsidR="00853A9E" w:rsidRPr="003D7E85">
        <w:rPr>
          <w:i/>
          <w:iCs/>
          <w:szCs w:val="18"/>
          <w:lang w:val="fr-FR"/>
        </w:rPr>
        <w:t>Graciela Ato del Avellanal</w:t>
      </w:r>
      <w:r w:rsidR="00853A9E" w:rsidRPr="003D7E85">
        <w:rPr>
          <w:szCs w:val="18"/>
          <w:lang w:val="fr-FR"/>
        </w:rPr>
        <w:t xml:space="preserve"> </w:t>
      </w:r>
      <w:r w:rsidR="00853A9E" w:rsidRPr="003D7E85">
        <w:rPr>
          <w:i/>
          <w:iCs/>
          <w:szCs w:val="18"/>
          <w:lang w:val="fr-FR"/>
        </w:rPr>
        <w:t>c.</w:t>
      </w:r>
      <w:r w:rsidR="00853A9E" w:rsidRPr="003D7E85">
        <w:rPr>
          <w:szCs w:val="18"/>
          <w:lang w:val="fr-FR"/>
        </w:rPr>
        <w:t xml:space="preserve"> </w:t>
      </w:r>
      <w:r w:rsidR="00853A9E" w:rsidRPr="003D7E85">
        <w:rPr>
          <w:i/>
          <w:iCs/>
          <w:szCs w:val="18"/>
          <w:lang w:val="fr-FR"/>
        </w:rPr>
        <w:t>Pérou</w:t>
      </w:r>
      <w:r w:rsidR="00853A9E" w:rsidRPr="003D7E85">
        <w:rPr>
          <w:szCs w:val="18"/>
          <w:lang w:val="fr-FR"/>
        </w:rPr>
        <w:t>, constatations adoptées le 28 octobre 1988</w:t>
      </w:r>
      <w:r w:rsidRPr="003D7E85">
        <w:rPr>
          <w:szCs w:val="18"/>
          <w:lang w:val="fr-FR"/>
        </w:rPr>
        <w:t xml:space="preserve">, par. 9.2 ; </w:t>
      </w:r>
      <w:r w:rsidR="00853A9E" w:rsidRPr="003D7E85">
        <w:rPr>
          <w:szCs w:val="18"/>
          <w:lang w:val="fr-FR"/>
        </w:rPr>
        <w:t>n</w:t>
      </w:r>
      <w:r w:rsidR="00853A9E" w:rsidRPr="003D7E85">
        <w:rPr>
          <w:szCs w:val="18"/>
          <w:vertAlign w:val="superscript"/>
          <w:lang w:val="fr-FR"/>
        </w:rPr>
        <w:t>o</w:t>
      </w:r>
      <w:r w:rsidR="00853A9E" w:rsidRPr="003D7E85">
        <w:rPr>
          <w:szCs w:val="18"/>
          <w:lang w:val="fr-FR"/>
        </w:rPr>
        <w:t xml:space="preserve"> 30/1978, </w:t>
      </w:r>
      <w:r w:rsidR="00853A9E" w:rsidRPr="003D7E85">
        <w:rPr>
          <w:i/>
          <w:iCs/>
          <w:szCs w:val="18"/>
          <w:lang w:val="fr-FR"/>
        </w:rPr>
        <w:t>Bleier</w:t>
      </w:r>
      <w:r w:rsidR="00853A9E" w:rsidRPr="003D7E85">
        <w:rPr>
          <w:szCs w:val="18"/>
          <w:lang w:val="fr-FR"/>
        </w:rPr>
        <w:t xml:space="preserve"> </w:t>
      </w:r>
      <w:r w:rsidR="00853A9E" w:rsidRPr="003D7E85">
        <w:rPr>
          <w:i/>
          <w:iCs/>
          <w:szCs w:val="18"/>
          <w:lang w:val="fr-FR"/>
        </w:rPr>
        <w:t>c.</w:t>
      </w:r>
      <w:r w:rsidR="00853A9E" w:rsidRPr="003D7E85">
        <w:rPr>
          <w:szCs w:val="18"/>
          <w:lang w:val="fr-FR"/>
        </w:rPr>
        <w:t xml:space="preserve"> </w:t>
      </w:r>
      <w:r w:rsidR="00853A9E" w:rsidRPr="003D7E85">
        <w:rPr>
          <w:i/>
          <w:iCs/>
          <w:szCs w:val="18"/>
          <w:lang w:val="fr-FR"/>
        </w:rPr>
        <w:t>Uruguay</w:t>
      </w:r>
      <w:r w:rsidR="00853A9E" w:rsidRPr="003D7E85">
        <w:rPr>
          <w:szCs w:val="18"/>
          <w:lang w:val="fr-FR"/>
        </w:rPr>
        <w:t>, constatations adoptées le 29 mars 1982</w:t>
      </w:r>
      <w:r w:rsidRPr="003D7E85">
        <w:rPr>
          <w:szCs w:val="18"/>
          <w:lang w:val="fr-FR"/>
        </w:rPr>
        <w:t xml:space="preserve">, </w:t>
      </w:r>
      <w:r w:rsidR="00853A9E" w:rsidRPr="003D7E85">
        <w:rPr>
          <w:szCs w:val="18"/>
          <w:lang w:val="fr-FR"/>
        </w:rPr>
        <w:t>par. 13.3</w:t>
      </w:r>
      <w:r w:rsidRPr="003D7E85">
        <w:rPr>
          <w:szCs w:val="18"/>
          <w:lang w:val="fr-FR"/>
        </w:rPr>
        <w:t xml:space="preserve"> ; </w:t>
      </w:r>
      <w:r w:rsidR="00853A9E" w:rsidRPr="003D7E85">
        <w:rPr>
          <w:szCs w:val="18"/>
          <w:lang w:val="fr-FR"/>
        </w:rPr>
        <w:t>n</w:t>
      </w:r>
      <w:r w:rsidR="00853A9E" w:rsidRPr="003D7E85">
        <w:rPr>
          <w:szCs w:val="18"/>
          <w:vertAlign w:val="superscript"/>
          <w:lang w:val="fr-FR"/>
        </w:rPr>
        <w:t>o</w:t>
      </w:r>
      <w:r w:rsidR="00853A9E" w:rsidRPr="003D7E85">
        <w:rPr>
          <w:szCs w:val="18"/>
          <w:lang w:val="fr-FR"/>
        </w:rPr>
        <w:t xml:space="preserve"> 107/1981, </w:t>
      </w:r>
      <w:r w:rsidR="00853A9E" w:rsidRPr="003D7E85">
        <w:rPr>
          <w:i/>
          <w:iCs/>
          <w:color w:val="000000"/>
          <w:lang w:val="fr-FR"/>
        </w:rPr>
        <w:t>Maria del Carmen Almeida de Quinteros</w:t>
      </w:r>
      <w:r w:rsidR="00853A9E" w:rsidRPr="003D7E85">
        <w:rPr>
          <w:szCs w:val="18"/>
          <w:lang w:val="fr-FR"/>
        </w:rPr>
        <w:t xml:space="preserve"> </w:t>
      </w:r>
      <w:r w:rsidR="00853A9E" w:rsidRPr="003D7E85">
        <w:rPr>
          <w:i/>
          <w:iCs/>
          <w:szCs w:val="18"/>
          <w:lang w:val="fr-FR"/>
        </w:rPr>
        <w:t>c.</w:t>
      </w:r>
      <w:r w:rsidR="00853A9E" w:rsidRPr="003D7E85">
        <w:rPr>
          <w:szCs w:val="18"/>
          <w:lang w:val="fr-FR"/>
        </w:rPr>
        <w:t xml:space="preserve"> </w:t>
      </w:r>
      <w:r w:rsidR="00853A9E" w:rsidRPr="003D7E85">
        <w:rPr>
          <w:i/>
          <w:iCs/>
          <w:szCs w:val="18"/>
          <w:lang w:val="fr-FR"/>
        </w:rPr>
        <w:t>Uruguay</w:t>
      </w:r>
      <w:r w:rsidR="00853A9E" w:rsidRPr="003D7E85">
        <w:rPr>
          <w:szCs w:val="18"/>
          <w:lang w:val="fr-FR"/>
        </w:rPr>
        <w:t>, constatations adoptées le 21 juillet 1983</w:t>
      </w:r>
      <w:r w:rsidRPr="003D7E85">
        <w:rPr>
          <w:szCs w:val="18"/>
          <w:lang w:val="fr-FR"/>
        </w:rPr>
        <w:t xml:space="preserve">, par. 11 ; </w:t>
      </w:r>
      <w:r w:rsidR="00853A9E" w:rsidRPr="003D7E85">
        <w:rPr>
          <w:szCs w:val="18"/>
          <w:lang w:val="fr-FR"/>
        </w:rPr>
        <w:t>n</w:t>
      </w:r>
      <w:r w:rsidR="00853A9E" w:rsidRPr="003D7E85">
        <w:rPr>
          <w:szCs w:val="18"/>
          <w:vertAlign w:val="superscript"/>
          <w:lang w:val="fr-FR"/>
        </w:rPr>
        <w:t>o</w:t>
      </w:r>
      <w:r w:rsidR="00853A9E" w:rsidRPr="003D7E85">
        <w:rPr>
          <w:szCs w:val="18"/>
          <w:lang w:val="fr-FR"/>
        </w:rPr>
        <w:t xml:space="preserve"> 992/2001, </w:t>
      </w:r>
      <w:r w:rsidR="00853A9E" w:rsidRPr="003D7E85">
        <w:rPr>
          <w:i/>
          <w:iCs/>
          <w:szCs w:val="18"/>
          <w:lang w:val="fr-FR"/>
        </w:rPr>
        <w:t>Bousroual</w:t>
      </w:r>
      <w:r w:rsidR="00853A9E" w:rsidRPr="003D7E85">
        <w:rPr>
          <w:szCs w:val="18"/>
          <w:lang w:val="fr-FR"/>
        </w:rPr>
        <w:t xml:space="preserve"> </w:t>
      </w:r>
      <w:r w:rsidR="00853A9E" w:rsidRPr="003D7E85">
        <w:rPr>
          <w:i/>
          <w:iCs/>
          <w:szCs w:val="18"/>
          <w:lang w:val="fr-FR"/>
        </w:rPr>
        <w:t>c.</w:t>
      </w:r>
      <w:r w:rsidR="00853A9E" w:rsidRPr="003D7E85">
        <w:rPr>
          <w:szCs w:val="18"/>
          <w:lang w:val="fr-FR"/>
        </w:rPr>
        <w:t xml:space="preserve"> </w:t>
      </w:r>
      <w:r w:rsidR="00853A9E" w:rsidRPr="003D7E85">
        <w:rPr>
          <w:i/>
          <w:iCs/>
          <w:szCs w:val="18"/>
          <w:lang w:val="fr-FR"/>
        </w:rPr>
        <w:t>Algérie</w:t>
      </w:r>
      <w:r w:rsidR="00853A9E" w:rsidRPr="003D7E85">
        <w:rPr>
          <w:szCs w:val="18"/>
          <w:lang w:val="fr-FR"/>
        </w:rPr>
        <w:t>, constatations adoptées le 30 mars 2006</w:t>
      </w:r>
      <w:r w:rsidRPr="003D7E85">
        <w:rPr>
          <w:szCs w:val="18"/>
          <w:lang w:val="fr-FR"/>
        </w:rPr>
        <w:t xml:space="preserve">, </w:t>
      </w:r>
      <w:r w:rsidR="00853A9E" w:rsidRPr="003D7E85">
        <w:rPr>
          <w:szCs w:val="18"/>
          <w:lang w:val="fr-FR"/>
        </w:rPr>
        <w:t>par. 9.4</w:t>
      </w:r>
      <w:r w:rsidRPr="003D7E85">
        <w:rPr>
          <w:szCs w:val="18"/>
          <w:lang w:val="fr-FR"/>
        </w:rPr>
        <w:t>.</w:t>
      </w:r>
    </w:p>
  </w:footnote>
  <w:footnote w:id="17">
    <w:p w:rsidR="00A16FA8" w:rsidRPr="003D7E85" w:rsidRDefault="00A16FA8">
      <w:pPr>
        <w:pStyle w:val="FootnoteText"/>
        <w:rPr>
          <w:szCs w:val="18"/>
          <w:lang w:val="fr-FR"/>
        </w:rPr>
      </w:pPr>
      <w:r w:rsidRPr="00C95C11">
        <w:rPr>
          <w:szCs w:val="18"/>
          <w:lang w:val="fr-FR"/>
        </w:rPr>
        <w:tab/>
      </w:r>
      <w:r w:rsidRPr="00C95C11">
        <w:rPr>
          <w:rStyle w:val="FootnoteReference"/>
          <w:szCs w:val="18"/>
          <w:lang w:val="fr-FR"/>
        </w:rPr>
        <w:footnoteRef/>
      </w:r>
      <w:r w:rsidRPr="00C95C11">
        <w:rPr>
          <w:szCs w:val="18"/>
          <w:lang w:val="fr-FR"/>
        </w:rPr>
        <w:tab/>
      </w:r>
      <w:r w:rsidRPr="003D7E85">
        <w:rPr>
          <w:szCs w:val="18"/>
          <w:lang w:val="fr-FR"/>
        </w:rPr>
        <w:t xml:space="preserve">Voir </w:t>
      </w:r>
      <w:r w:rsidR="00853A9E" w:rsidRPr="003D7E85">
        <w:rPr>
          <w:szCs w:val="18"/>
          <w:lang w:val="fr-FR"/>
        </w:rPr>
        <w:t>l’opinion individuelle (partiellement dissidente) d’Olivier de Frouville, Yadh Ben Achour et Mauro Politi jointe aux constatations</w:t>
      </w:r>
      <w:r w:rsidRPr="003D7E85">
        <w:rPr>
          <w:szCs w:val="18"/>
          <w:lang w:val="fr-FR"/>
        </w:rPr>
        <w:t xml:space="preserve"> du Comité dans l’affaire </w:t>
      </w:r>
      <w:r w:rsidR="00853A9E" w:rsidRPr="003D7E85">
        <w:rPr>
          <w:i/>
          <w:szCs w:val="18"/>
          <w:lang w:val="fr-FR"/>
        </w:rPr>
        <w:t>Lumbala Tshidika c. République démocratique du Congo</w:t>
      </w:r>
      <w:r w:rsidRPr="003D7E85">
        <w:rPr>
          <w:szCs w:val="18"/>
          <w:lang w:val="fr-FR"/>
        </w:rPr>
        <w:t xml:space="preserve">, communication n° 2214/2012, </w:t>
      </w:r>
      <w:r w:rsidR="00853A9E" w:rsidRPr="003D7E85">
        <w:rPr>
          <w:szCs w:val="18"/>
          <w:lang w:val="fr-FR"/>
        </w:rPr>
        <w:t>constatations adoptées le 5 novembre 2015</w:t>
      </w:r>
      <w:r w:rsidRPr="003D7E85">
        <w:rPr>
          <w:szCs w:val="18"/>
          <w:lang w:val="fr-FR"/>
        </w:rPr>
        <w:t>.</w:t>
      </w:r>
    </w:p>
  </w:footnote>
  <w:footnote w:id="18">
    <w:p w:rsidR="00A16FA8" w:rsidRPr="003D7E85" w:rsidRDefault="00A16FA8">
      <w:pPr>
        <w:pStyle w:val="FootnoteText"/>
        <w:rPr>
          <w:szCs w:val="18"/>
          <w:lang w:val="fr-FR"/>
        </w:rPr>
      </w:pPr>
      <w:r w:rsidRPr="003D7E85">
        <w:rPr>
          <w:szCs w:val="18"/>
          <w:lang w:val="fr-FR"/>
        </w:rPr>
        <w:tab/>
      </w:r>
      <w:r w:rsidRPr="003D7E85">
        <w:rPr>
          <w:rStyle w:val="FootnoteReference"/>
          <w:szCs w:val="18"/>
          <w:lang w:val="fr-FR"/>
        </w:rPr>
        <w:footnoteRef/>
      </w:r>
      <w:r w:rsidRPr="003D7E85">
        <w:rPr>
          <w:szCs w:val="18"/>
          <w:lang w:val="fr-FR"/>
        </w:rPr>
        <w:tab/>
        <w:t xml:space="preserve">Voir notamment les constatations du Comité dans </w:t>
      </w:r>
      <w:r w:rsidR="00853A9E" w:rsidRPr="003D7E85">
        <w:rPr>
          <w:szCs w:val="18"/>
          <w:lang w:val="fr-FR"/>
        </w:rPr>
        <w:t xml:space="preserve">l’affaire </w:t>
      </w:r>
      <w:r w:rsidR="00853A9E" w:rsidRPr="003D7E85">
        <w:rPr>
          <w:i/>
          <w:szCs w:val="18"/>
          <w:lang w:val="fr-FR"/>
        </w:rPr>
        <w:t>Aboufaied c. Libye</w:t>
      </w:r>
      <w:r w:rsidR="00853A9E" w:rsidRPr="003D7E85">
        <w:rPr>
          <w:szCs w:val="18"/>
          <w:lang w:val="fr-FR"/>
        </w:rPr>
        <w:t>, communication n° 1782/2008, constatations adoptées le 21 mars 2012</w:t>
      </w:r>
      <w:r w:rsidR="00690293" w:rsidRPr="003D7E85">
        <w:rPr>
          <w:szCs w:val="18"/>
          <w:lang w:val="fr-FR"/>
        </w:rPr>
        <w:t xml:space="preserve">, </w:t>
      </w:r>
      <w:r w:rsidR="00853A9E" w:rsidRPr="003D7E85">
        <w:rPr>
          <w:szCs w:val="18"/>
          <w:lang w:val="fr-FR"/>
        </w:rPr>
        <w:t>par. 7.2</w:t>
      </w:r>
      <w:r w:rsidRPr="003D7E85">
        <w:rPr>
          <w:szCs w:val="18"/>
          <w:lang w:val="fr-FR"/>
        </w:rPr>
        <w:t>.</w:t>
      </w:r>
    </w:p>
  </w:footnote>
  <w:footnote w:id="19">
    <w:p w:rsidR="00A16FA8" w:rsidRPr="00C95C11" w:rsidRDefault="00A16FA8" w:rsidP="001625AD">
      <w:pPr>
        <w:pStyle w:val="FootnoteText"/>
        <w:rPr>
          <w:szCs w:val="18"/>
          <w:lang w:val="fr-FR"/>
        </w:rPr>
      </w:pPr>
      <w:r w:rsidRPr="003D7E85">
        <w:rPr>
          <w:szCs w:val="18"/>
          <w:lang w:val="fr-FR"/>
        </w:rPr>
        <w:tab/>
      </w:r>
      <w:r w:rsidRPr="003D7E85">
        <w:rPr>
          <w:rStyle w:val="FootnoteReference"/>
          <w:szCs w:val="18"/>
          <w:lang w:val="fr-FR"/>
        </w:rPr>
        <w:footnoteRef/>
      </w:r>
      <w:r w:rsidRPr="003D7E85">
        <w:rPr>
          <w:szCs w:val="18"/>
          <w:lang w:val="fr-FR"/>
        </w:rPr>
        <w:tab/>
        <w:t xml:space="preserve">Voir </w:t>
      </w:r>
      <w:r w:rsidR="00853A9E" w:rsidRPr="003D7E85">
        <w:rPr>
          <w:szCs w:val="18"/>
          <w:lang w:val="fr-FR"/>
        </w:rPr>
        <w:t>notamment l’observation générale du Groupe de travail sur les disparitions forcées ou involontaires</w:t>
      </w:r>
      <w:r w:rsidR="00853A9E" w:rsidRPr="003D7E85">
        <w:rPr>
          <w:color w:val="FF0000"/>
          <w:szCs w:val="18"/>
          <w:lang w:val="fr-FR"/>
        </w:rPr>
        <w:t xml:space="preserve"> </w:t>
      </w:r>
      <w:r w:rsidR="00853A9E" w:rsidRPr="003D7E85">
        <w:rPr>
          <w:szCs w:val="18"/>
          <w:lang w:val="fr-FR"/>
        </w:rPr>
        <w:t xml:space="preserve">qui qualifie les disparitions de « violation </w:t>
      </w:r>
      <w:r w:rsidR="00853A9E" w:rsidRPr="003D7E85">
        <w:rPr>
          <w:bCs/>
          <w:szCs w:val="18"/>
          <w:lang w:val="fr-FR"/>
        </w:rPr>
        <w:t>typique</w:t>
      </w:r>
      <w:r w:rsidR="00853A9E" w:rsidRPr="003D7E85">
        <w:rPr>
          <w:szCs w:val="18"/>
          <w:lang w:val="fr-FR"/>
        </w:rPr>
        <w:t xml:space="preserve"> du droit à la reconnaissance de la personnalité juridique » (A/HRC/19/58/Rev.1, par. 42</w:t>
      </w:r>
      <w:r w:rsidRPr="003D7E85">
        <w:rPr>
          <w:szCs w:val="18"/>
          <w:lang w:val="fr-FR"/>
        </w:rPr>
        <w:t xml:space="preserve">), le </w:t>
      </w:r>
      <w:r w:rsidR="00853A9E" w:rsidRPr="003D7E85">
        <w:rPr>
          <w:szCs w:val="18"/>
          <w:lang w:val="fr-FR"/>
        </w:rPr>
        <w:t>paragraphe 2 de l’article premier</w:t>
      </w:r>
      <w:r w:rsidRPr="003D7E85">
        <w:rPr>
          <w:szCs w:val="18"/>
          <w:lang w:val="fr-FR"/>
        </w:rPr>
        <w:t xml:space="preserve"> de la </w:t>
      </w:r>
      <w:r w:rsidR="00853A9E" w:rsidRPr="003D7E85">
        <w:rPr>
          <w:szCs w:val="18"/>
          <w:lang w:val="fr-FR"/>
        </w:rPr>
        <w:t>Déclaration des Nations Unies sur la protection de toutes les personnes contre les disparitions forcées</w:t>
      </w:r>
      <w:r w:rsidRPr="003D7E85">
        <w:rPr>
          <w:szCs w:val="18"/>
          <w:lang w:val="fr-FR"/>
        </w:rPr>
        <w:t xml:space="preserve"> et l’article 2 de la </w:t>
      </w:r>
      <w:r w:rsidR="00853A9E" w:rsidRPr="003D7E85">
        <w:rPr>
          <w:szCs w:val="18"/>
          <w:lang w:val="fr-FR"/>
        </w:rPr>
        <w:t>Convention internationale pour la protection de toutes les personnes contre les disparitions forcées</w:t>
      </w:r>
      <w:r w:rsidRPr="003D7E85">
        <w:rPr>
          <w:szCs w:val="18"/>
          <w:lang w:val="fr-FR"/>
        </w:rPr>
        <w:t xml:space="preserve">. Sur le plan régional, voir notamment l’arrêt de la </w:t>
      </w:r>
      <w:r w:rsidR="00853A9E" w:rsidRPr="003D7E85">
        <w:rPr>
          <w:szCs w:val="18"/>
          <w:lang w:val="fr-FR"/>
        </w:rPr>
        <w:t xml:space="preserve">Cour interaméricaine des droits de l’homme dans l’affaire </w:t>
      </w:r>
      <w:r w:rsidR="00853A9E" w:rsidRPr="003D7E85">
        <w:rPr>
          <w:i/>
          <w:szCs w:val="18"/>
          <w:lang w:val="fr-FR"/>
        </w:rPr>
        <w:t>Anzualdo Castro c. Pérou</w:t>
      </w:r>
      <w:r w:rsidR="00853A9E" w:rsidRPr="003D7E85">
        <w:rPr>
          <w:szCs w:val="18"/>
          <w:lang w:val="fr-FR"/>
        </w:rPr>
        <w:t>, arrêt du 22 septembre 2009, série C, n° 202</w:t>
      </w:r>
      <w:r w:rsidRPr="003D7E85">
        <w:rPr>
          <w:szCs w:val="18"/>
          <w:lang w:val="fr-FR"/>
        </w:rPr>
        <w:t>, par.</w:t>
      </w:r>
      <w:r w:rsidR="001625AD">
        <w:rPr>
          <w:szCs w:val="18"/>
          <w:lang w:val="fr-FR"/>
        </w:rPr>
        <w:t> </w:t>
      </w:r>
      <w:r w:rsidRPr="003D7E85">
        <w:rPr>
          <w:szCs w:val="18"/>
          <w:lang w:val="fr-FR"/>
        </w:rPr>
        <w:t>90 et 91.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A8" w:rsidRPr="009963FD" w:rsidRDefault="00A16FA8">
    <w:pPr>
      <w:pStyle w:val="Header"/>
    </w:pPr>
    <w:r>
      <w:t>CCPR/C/116/D/2297/2013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A8" w:rsidRPr="009963FD" w:rsidRDefault="00A16FA8" w:rsidP="009963FD">
    <w:pPr>
      <w:pStyle w:val="Header"/>
      <w:jc w:val="right"/>
    </w:pPr>
    <w:r>
      <w:t>CCPR/C/116/D/2297/2013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43D" w:rsidRDefault="00E574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830450A"/>
    <w:lvl w:ilvl="0">
      <w:start w:val="1"/>
      <w:numFmt w:val="decimal"/>
      <w:lvlText w:val="%1."/>
      <w:lvlJc w:val="left"/>
      <w:pPr>
        <w:tabs>
          <w:tab w:val="num" w:pos="643"/>
        </w:tabs>
        <w:ind w:left="643" w:hanging="360"/>
      </w:pPr>
    </w:lvl>
  </w:abstractNum>
  <w:abstractNum w:abstractNumId="1">
    <w:nsid w:val="FFFFFF88"/>
    <w:multiLevelType w:val="singleLevel"/>
    <w:tmpl w:val="88A49648"/>
    <w:lvl w:ilvl="0">
      <w:start w:val="1"/>
      <w:numFmt w:val="decimal"/>
      <w:lvlText w:val="%1."/>
      <w:lvlJc w:val="left"/>
      <w:pPr>
        <w:tabs>
          <w:tab w:val="num" w:pos="360"/>
        </w:tabs>
        <w:ind w:left="36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3"/>
  </w:num>
  <w:num w:numId="2">
    <w:abstractNumId w:val="2"/>
  </w:num>
  <w:num w:numId="3">
    <w:abstractNumId w:val="1"/>
  </w:num>
  <w:num w:numId="4">
    <w:abstractNumId w:val="0"/>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 Compagnion">
    <w15:presenceInfo w15:providerId="None" w15:userId="V. Compagn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FD"/>
    <w:rsid w:val="00001A98"/>
    <w:rsid w:val="00001D96"/>
    <w:rsid w:val="00016AC5"/>
    <w:rsid w:val="00016EDA"/>
    <w:rsid w:val="00024B3B"/>
    <w:rsid w:val="000402E3"/>
    <w:rsid w:val="00071AFB"/>
    <w:rsid w:val="0007252C"/>
    <w:rsid w:val="000856B7"/>
    <w:rsid w:val="00087D4D"/>
    <w:rsid w:val="00091505"/>
    <w:rsid w:val="0009185B"/>
    <w:rsid w:val="00096169"/>
    <w:rsid w:val="000A147A"/>
    <w:rsid w:val="000C6714"/>
    <w:rsid w:val="000D606E"/>
    <w:rsid w:val="000E0CC9"/>
    <w:rsid w:val="000F41F2"/>
    <w:rsid w:val="000F5D59"/>
    <w:rsid w:val="00112B3E"/>
    <w:rsid w:val="00132860"/>
    <w:rsid w:val="00135CB4"/>
    <w:rsid w:val="0014166A"/>
    <w:rsid w:val="00157EE4"/>
    <w:rsid w:val="00160540"/>
    <w:rsid w:val="001625AD"/>
    <w:rsid w:val="00164D46"/>
    <w:rsid w:val="001654ED"/>
    <w:rsid w:val="00192EEB"/>
    <w:rsid w:val="00193AED"/>
    <w:rsid w:val="00196FAB"/>
    <w:rsid w:val="001A20FB"/>
    <w:rsid w:val="001A3786"/>
    <w:rsid w:val="001B0413"/>
    <w:rsid w:val="001B102E"/>
    <w:rsid w:val="001C3080"/>
    <w:rsid w:val="001D7350"/>
    <w:rsid w:val="001D7F8A"/>
    <w:rsid w:val="001E3147"/>
    <w:rsid w:val="001E3FEB"/>
    <w:rsid w:val="001E4A02"/>
    <w:rsid w:val="001E7CC0"/>
    <w:rsid w:val="001F172E"/>
    <w:rsid w:val="001F25C4"/>
    <w:rsid w:val="001F5C2F"/>
    <w:rsid w:val="00225A8C"/>
    <w:rsid w:val="00254054"/>
    <w:rsid w:val="002659F1"/>
    <w:rsid w:val="00273E69"/>
    <w:rsid w:val="00276D0A"/>
    <w:rsid w:val="00280E8A"/>
    <w:rsid w:val="00287E79"/>
    <w:rsid w:val="002928E4"/>
    <w:rsid w:val="002928F9"/>
    <w:rsid w:val="002A0104"/>
    <w:rsid w:val="002A2A52"/>
    <w:rsid w:val="002A4CEB"/>
    <w:rsid w:val="002A5D07"/>
    <w:rsid w:val="002B5601"/>
    <w:rsid w:val="002B5C38"/>
    <w:rsid w:val="002C5919"/>
    <w:rsid w:val="002C654A"/>
    <w:rsid w:val="002C7A0E"/>
    <w:rsid w:val="002C7DBA"/>
    <w:rsid w:val="002E0222"/>
    <w:rsid w:val="002E1A7F"/>
    <w:rsid w:val="002E264E"/>
    <w:rsid w:val="002F7EEC"/>
    <w:rsid w:val="00301476"/>
    <w:rsid w:val="003016B7"/>
    <w:rsid w:val="003051F5"/>
    <w:rsid w:val="003118BE"/>
    <w:rsid w:val="00315F64"/>
    <w:rsid w:val="00320B25"/>
    <w:rsid w:val="00321369"/>
    <w:rsid w:val="00327DE0"/>
    <w:rsid w:val="003377AB"/>
    <w:rsid w:val="003502E2"/>
    <w:rsid w:val="003515AA"/>
    <w:rsid w:val="00366F5B"/>
    <w:rsid w:val="00372796"/>
    <w:rsid w:val="00374106"/>
    <w:rsid w:val="003779C4"/>
    <w:rsid w:val="003821DD"/>
    <w:rsid w:val="00384B10"/>
    <w:rsid w:val="00386773"/>
    <w:rsid w:val="003976D5"/>
    <w:rsid w:val="003A2EE4"/>
    <w:rsid w:val="003B0EEF"/>
    <w:rsid w:val="003B328B"/>
    <w:rsid w:val="003D6C68"/>
    <w:rsid w:val="003D7E85"/>
    <w:rsid w:val="004046D7"/>
    <w:rsid w:val="00413085"/>
    <w:rsid w:val="00413931"/>
    <w:rsid w:val="004155EE"/>
    <w:rsid w:val="004159D0"/>
    <w:rsid w:val="004174D3"/>
    <w:rsid w:val="00427E72"/>
    <w:rsid w:val="00427F7C"/>
    <w:rsid w:val="00446658"/>
    <w:rsid w:val="004466C6"/>
    <w:rsid w:val="00447F0E"/>
    <w:rsid w:val="00463570"/>
    <w:rsid w:val="004635E9"/>
    <w:rsid w:val="00464EEE"/>
    <w:rsid w:val="00475930"/>
    <w:rsid w:val="00482CCD"/>
    <w:rsid w:val="00485FCC"/>
    <w:rsid w:val="004946FC"/>
    <w:rsid w:val="004C2940"/>
    <w:rsid w:val="004C5685"/>
    <w:rsid w:val="004D0428"/>
    <w:rsid w:val="004D3B38"/>
    <w:rsid w:val="004E5561"/>
    <w:rsid w:val="00500FD6"/>
    <w:rsid w:val="00514F6A"/>
    <w:rsid w:val="00521D8B"/>
    <w:rsid w:val="0052583A"/>
    <w:rsid w:val="00534B23"/>
    <w:rsid w:val="00542FDF"/>
    <w:rsid w:val="00543D5E"/>
    <w:rsid w:val="005445FA"/>
    <w:rsid w:val="00567343"/>
    <w:rsid w:val="00571F41"/>
    <w:rsid w:val="005778A9"/>
    <w:rsid w:val="00591FF3"/>
    <w:rsid w:val="00595F2E"/>
    <w:rsid w:val="005D3207"/>
    <w:rsid w:val="005D4D77"/>
    <w:rsid w:val="005E5239"/>
    <w:rsid w:val="005E5D1F"/>
    <w:rsid w:val="006011BF"/>
    <w:rsid w:val="006049EA"/>
    <w:rsid w:val="00605724"/>
    <w:rsid w:val="006116AC"/>
    <w:rsid w:val="00611D43"/>
    <w:rsid w:val="00612D48"/>
    <w:rsid w:val="00616B45"/>
    <w:rsid w:val="00620D9F"/>
    <w:rsid w:val="00630D9B"/>
    <w:rsid w:val="00631953"/>
    <w:rsid w:val="006323D1"/>
    <w:rsid w:val="006439EC"/>
    <w:rsid w:val="00653C7E"/>
    <w:rsid w:val="006649DC"/>
    <w:rsid w:val="00664C9B"/>
    <w:rsid w:val="00677FD1"/>
    <w:rsid w:val="00690293"/>
    <w:rsid w:val="00697ACA"/>
    <w:rsid w:val="006B4590"/>
    <w:rsid w:val="006C340C"/>
    <w:rsid w:val="006E5DA5"/>
    <w:rsid w:val="006F3D5F"/>
    <w:rsid w:val="0070347C"/>
    <w:rsid w:val="00714277"/>
    <w:rsid w:val="0071451B"/>
    <w:rsid w:val="00717046"/>
    <w:rsid w:val="007176C1"/>
    <w:rsid w:val="00725DC9"/>
    <w:rsid w:val="00735AFC"/>
    <w:rsid w:val="00737DEE"/>
    <w:rsid w:val="007527BF"/>
    <w:rsid w:val="00752FBB"/>
    <w:rsid w:val="007718A1"/>
    <w:rsid w:val="00771F50"/>
    <w:rsid w:val="00773753"/>
    <w:rsid w:val="00775D99"/>
    <w:rsid w:val="00777506"/>
    <w:rsid w:val="00780AD2"/>
    <w:rsid w:val="00796940"/>
    <w:rsid w:val="007A0E16"/>
    <w:rsid w:val="007C6E33"/>
    <w:rsid w:val="007C7846"/>
    <w:rsid w:val="007D2A2D"/>
    <w:rsid w:val="007E0BC9"/>
    <w:rsid w:val="007E5A4A"/>
    <w:rsid w:val="007F0D68"/>
    <w:rsid w:val="007F55CB"/>
    <w:rsid w:val="007F5F0C"/>
    <w:rsid w:val="00813514"/>
    <w:rsid w:val="008257C3"/>
    <w:rsid w:val="00827532"/>
    <w:rsid w:val="00831ADF"/>
    <w:rsid w:val="008345E5"/>
    <w:rsid w:val="00844750"/>
    <w:rsid w:val="00853A9E"/>
    <w:rsid w:val="00857A23"/>
    <w:rsid w:val="00873B3C"/>
    <w:rsid w:val="0087486C"/>
    <w:rsid w:val="008750D7"/>
    <w:rsid w:val="008806EC"/>
    <w:rsid w:val="00883BA3"/>
    <w:rsid w:val="00884EA8"/>
    <w:rsid w:val="00892241"/>
    <w:rsid w:val="008A1655"/>
    <w:rsid w:val="008A20D3"/>
    <w:rsid w:val="008A2FDA"/>
    <w:rsid w:val="008A39ED"/>
    <w:rsid w:val="008B44C4"/>
    <w:rsid w:val="008D1394"/>
    <w:rsid w:val="008D7155"/>
    <w:rsid w:val="008E7FAE"/>
    <w:rsid w:val="008F53ED"/>
    <w:rsid w:val="00911BF7"/>
    <w:rsid w:val="00923C9E"/>
    <w:rsid w:val="00924A46"/>
    <w:rsid w:val="009310C8"/>
    <w:rsid w:val="00940D8A"/>
    <w:rsid w:val="00943FFD"/>
    <w:rsid w:val="00945C31"/>
    <w:rsid w:val="009503E5"/>
    <w:rsid w:val="00950800"/>
    <w:rsid w:val="009611FF"/>
    <w:rsid w:val="00977EC8"/>
    <w:rsid w:val="00987B2B"/>
    <w:rsid w:val="00991A80"/>
    <w:rsid w:val="0099245A"/>
    <w:rsid w:val="00993DE6"/>
    <w:rsid w:val="009963FD"/>
    <w:rsid w:val="009A4E1C"/>
    <w:rsid w:val="009B28FF"/>
    <w:rsid w:val="009B4ABC"/>
    <w:rsid w:val="009B78EA"/>
    <w:rsid w:val="009D1B5E"/>
    <w:rsid w:val="009D3A8C"/>
    <w:rsid w:val="009D6A30"/>
    <w:rsid w:val="009E7956"/>
    <w:rsid w:val="00A00202"/>
    <w:rsid w:val="00A07014"/>
    <w:rsid w:val="00A137B3"/>
    <w:rsid w:val="00A16FA8"/>
    <w:rsid w:val="00A21A6A"/>
    <w:rsid w:val="00A228B4"/>
    <w:rsid w:val="00A2492E"/>
    <w:rsid w:val="00A34935"/>
    <w:rsid w:val="00A615C9"/>
    <w:rsid w:val="00A63E83"/>
    <w:rsid w:val="00A720C2"/>
    <w:rsid w:val="00A743A7"/>
    <w:rsid w:val="00A76084"/>
    <w:rsid w:val="00A911F6"/>
    <w:rsid w:val="00A96C9E"/>
    <w:rsid w:val="00AA1693"/>
    <w:rsid w:val="00AA3390"/>
    <w:rsid w:val="00AB51C8"/>
    <w:rsid w:val="00AC67A1"/>
    <w:rsid w:val="00AC7977"/>
    <w:rsid w:val="00AE352C"/>
    <w:rsid w:val="00AF1CE8"/>
    <w:rsid w:val="00B157F8"/>
    <w:rsid w:val="00B32E2D"/>
    <w:rsid w:val="00B43486"/>
    <w:rsid w:val="00B45512"/>
    <w:rsid w:val="00B61990"/>
    <w:rsid w:val="00B61D8B"/>
    <w:rsid w:val="00B742A1"/>
    <w:rsid w:val="00B76946"/>
    <w:rsid w:val="00B8117F"/>
    <w:rsid w:val="00B93051"/>
    <w:rsid w:val="00BC1324"/>
    <w:rsid w:val="00BC18DE"/>
    <w:rsid w:val="00BF0556"/>
    <w:rsid w:val="00BF6980"/>
    <w:rsid w:val="00C02EFE"/>
    <w:rsid w:val="00C06CD2"/>
    <w:rsid w:val="00C12459"/>
    <w:rsid w:val="00C16C72"/>
    <w:rsid w:val="00C261F8"/>
    <w:rsid w:val="00C33100"/>
    <w:rsid w:val="00C33A1E"/>
    <w:rsid w:val="00C4083C"/>
    <w:rsid w:val="00C542A8"/>
    <w:rsid w:val="00C86E69"/>
    <w:rsid w:val="00C86FF1"/>
    <w:rsid w:val="00C95C11"/>
    <w:rsid w:val="00CA6A02"/>
    <w:rsid w:val="00CB4439"/>
    <w:rsid w:val="00CB5A09"/>
    <w:rsid w:val="00CC22A4"/>
    <w:rsid w:val="00CC2748"/>
    <w:rsid w:val="00CC33C6"/>
    <w:rsid w:val="00CD1A71"/>
    <w:rsid w:val="00CD1FBB"/>
    <w:rsid w:val="00CD6373"/>
    <w:rsid w:val="00CE01A5"/>
    <w:rsid w:val="00CE7882"/>
    <w:rsid w:val="00CF3FF8"/>
    <w:rsid w:val="00CF5128"/>
    <w:rsid w:val="00D016B5"/>
    <w:rsid w:val="00D034F1"/>
    <w:rsid w:val="00D23B28"/>
    <w:rsid w:val="00D275C3"/>
    <w:rsid w:val="00D27D5E"/>
    <w:rsid w:val="00D35B2D"/>
    <w:rsid w:val="00D5036A"/>
    <w:rsid w:val="00D56D65"/>
    <w:rsid w:val="00D802FE"/>
    <w:rsid w:val="00D86BD1"/>
    <w:rsid w:val="00D94C15"/>
    <w:rsid w:val="00D96586"/>
    <w:rsid w:val="00DC0BE2"/>
    <w:rsid w:val="00DC1BA9"/>
    <w:rsid w:val="00DC58AC"/>
    <w:rsid w:val="00DC7642"/>
    <w:rsid w:val="00DD1E31"/>
    <w:rsid w:val="00DD7ECD"/>
    <w:rsid w:val="00DE65D4"/>
    <w:rsid w:val="00DE6D90"/>
    <w:rsid w:val="00DF002F"/>
    <w:rsid w:val="00DF2BE1"/>
    <w:rsid w:val="00DF3BF1"/>
    <w:rsid w:val="00E0244D"/>
    <w:rsid w:val="00E03DE1"/>
    <w:rsid w:val="00E067F2"/>
    <w:rsid w:val="00E144C5"/>
    <w:rsid w:val="00E32FE4"/>
    <w:rsid w:val="00E368FF"/>
    <w:rsid w:val="00E42B1F"/>
    <w:rsid w:val="00E44D30"/>
    <w:rsid w:val="00E46AF5"/>
    <w:rsid w:val="00E5743D"/>
    <w:rsid w:val="00E8007E"/>
    <w:rsid w:val="00E81E94"/>
    <w:rsid w:val="00E82607"/>
    <w:rsid w:val="00E91257"/>
    <w:rsid w:val="00E928CF"/>
    <w:rsid w:val="00EC06FA"/>
    <w:rsid w:val="00EC3E41"/>
    <w:rsid w:val="00ED044B"/>
    <w:rsid w:val="00EE3148"/>
    <w:rsid w:val="00F33865"/>
    <w:rsid w:val="00F3675A"/>
    <w:rsid w:val="00F36FD9"/>
    <w:rsid w:val="00F47407"/>
    <w:rsid w:val="00F479C6"/>
    <w:rsid w:val="00F530D0"/>
    <w:rsid w:val="00F64C1B"/>
    <w:rsid w:val="00F67392"/>
    <w:rsid w:val="00F675CC"/>
    <w:rsid w:val="00F71286"/>
    <w:rsid w:val="00F74C94"/>
    <w:rsid w:val="00F76F53"/>
    <w:rsid w:val="00F80601"/>
    <w:rsid w:val="00F848AC"/>
    <w:rsid w:val="00F874B8"/>
    <w:rsid w:val="00FA5A79"/>
    <w:rsid w:val="00FB0BFE"/>
    <w:rsid w:val="00FB37E2"/>
    <w:rsid w:val="00FB4C51"/>
    <w:rsid w:val="00FD238D"/>
    <w:rsid w:val="00FE3A28"/>
    <w:rsid w:val="00FF1DBD"/>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ED"/>
    <w:pPr>
      <w:suppressAutoHyphens/>
      <w:spacing w:line="240" w:lineRule="atLeast"/>
    </w:pPr>
    <w:rPr>
      <w:lang w:val="fr-CH"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qFormat/>
    <w:rsid w:val="00CC33C6"/>
    <w:rPr>
      <w:rFonts w:ascii="Times New Roman" w:hAnsi="Times New Roman"/>
      <w:sz w:val="18"/>
      <w:vertAlign w:val="superscript"/>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C33C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
    <w:name w:val="Footnote"/>
    <w:basedOn w:val="Normal"/>
    <w:rsid w:val="009963FD"/>
    <w:pPr>
      <w:suppressLineNumbers/>
      <w:autoSpaceDN w:val="0"/>
      <w:ind w:left="339" w:hanging="339"/>
      <w:textAlignment w:val="baseline"/>
    </w:pPr>
    <w:rPr>
      <w:kern w:val="3"/>
    </w:rPr>
  </w:style>
  <w:style w:type="character" w:customStyle="1" w:styleId="FootnoteTextChar">
    <w:name w:val="Footnote Text Char"/>
    <w:aliases w:val="5_G Char"/>
    <w:link w:val="FootnoteText"/>
    <w:rsid w:val="009963FD"/>
    <w:rPr>
      <w:rFonts w:eastAsia="SimSun"/>
      <w:sz w:val="18"/>
      <w:lang w:val="en-US" w:eastAsia="zh-CN"/>
    </w:rPr>
  </w:style>
  <w:style w:type="paragraph" w:styleId="BalloonText">
    <w:name w:val="Balloon Text"/>
    <w:basedOn w:val="Normal"/>
    <w:link w:val="BalloonTextChar"/>
    <w:rsid w:val="003118B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18BE"/>
    <w:rPr>
      <w:rFonts w:ascii="Tahoma" w:hAnsi="Tahoma" w:cs="Tahoma"/>
      <w:sz w:val="16"/>
      <w:szCs w:val="16"/>
      <w:lang w:val="fr-CH" w:eastAsia="en-US"/>
    </w:rPr>
  </w:style>
  <w:style w:type="character" w:styleId="CommentReference">
    <w:name w:val="annotation reference"/>
    <w:basedOn w:val="DefaultParagraphFont"/>
    <w:rsid w:val="00E32FE4"/>
    <w:rPr>
      <w:sz w:val="16"/>
      <w:szCs w:val="16"/>
    </w:rPr>
  </w:style>
  <w:style w:type="paragraph" w:styleId="CommentText">
    <w:name w:val="annotation text"/>
    <w:basedOn w:val="Normal"/>
    <w:link w:val="CommentTextChar"/>
    <w:rsid w:val="00E32FE4"/>
    <w:pPr>
      <w:spacing w:line="240" w:lineRule="auto"/>
    </w:pPr>
  </w:style>
  <w:style w:type="character" w:customStyle="1" w:styleId="CommentTextChar">
    <w:name w:val="Comment Text Char"/>
    <w:basedOn w:val="DefaultParagraphFont"/>
    <w:link w:val="CommentText"/>
    <w:rsid w:val="00E32FE4"/>
    <w:rPr>
      <w:lang w:val="fr-CH" w:eastAsia="en-US"/>
    </w:rPr>
  </w:style>
  <w:style w:type="paragraph" w:styleId="CommentSubject">
    <w:name w:val="annotation subject"/>
    <w:basedOn w:val="CommentText"/>
    <w:next w:val="CommentText"/>
    <w:link w:val="CommentSubjectChar"/>
    <w:rsid w:val="00E32FE4"/>
    <w:rPr>
      <w:b/>
      <w:bCs/>
    </w:rPr>
  </w:style>
  <w:style w:type="character" w:customStyle="1" w:styleId="CommentSubjectChar">
    <w:name w:val="Comment Subject Char"/>
    <w:basedOn w:val="CommentTextChar"/>
    <w:link w:val="CommentSubject"/>
    <w:rsid w:val="00E32FE4"/>
    <w:rPr>
      <w:b/>
      <w:bCs/>
      <w:lang w:val="fr-CH" w:eastAsia="en-US"/>
    </w:rPr>
  </w:style>
  <w:style w:type="character" w:styleId="Emphasis">
    <w:name w:val="Emphasis"/>
    <w:basedOn w:val="DefaultParagraphFont"/>
    <w:uiPriority w:val="20"/>
    <w:qFormat/>
    <w:rsid w:val="00463570"/>
    <w:rPr>
      <w:b/>
      <w:bCs/>
      <w:i w:val="0"/>
      <w:iCs w:val="0"/>
    </w:rPr>
  </w:style>
  <w:style w:type="character" w:customStyle="1" w:styleId="st1">
    <w:name w:val="st1"/>
    <w:basedOn w:val="DefaultParagraphFont"/>
    <w:rsid w:val="00463570"/>
  </w:style>
  <w:style w:type="paragraph" w:customStyle="1" w:styleId="H1">
    <w:name w:val="_ H_1"/>
    <w:basedOn w:val="Normal"/>
    <w:next w:val="Normal"/>
    <w:qFormat/>
    <w:rsid w:val="00940D8A"/>
    <w:pPr>
      <w:keepNext/>
      <w:keepLines/>
      <w:spacing w:line="270" w:lineRule="exact"/>
      <w:outlineLvl w:val="0"/>
    </w:pPr>
    <w:rPr>
      <w:rFonts w:eastAsiaTheme="minorHAnsi"/>
      <w:b/>
      <w:spacing w:val="4"/>
      <w:w w:val="103"/>
      <w:kern w:val="14"/>
      <w:sz w:val="24"/>
      <w:szCs w:val="22"/>
      <w:lang w:val="fr-CA"/>
    </w:rPr>
  </w:style>
  <w:style w:type="paragraph" w:styleId="Revision">
    <w:name w:val="Revision"/>
    <w:hidden/>
    <w:uiPriority w:val="99"/>
    <w:semiHidden/>
    <w:rsid w:val="00FD238D"/>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3ED"/>
    <w:pPr>
      <w:suppressAutoHyphens/>
      <w:spacing w:line="240" w:lineRule="atLeast"/>
    </w:pPr>
    <w:rPr>
      <w:lang w:val="fr-CH" w:eastAsia="en-US"/>
    </w:rPr>
  </w:style>
  <w:style w:type="paragraph" w:styleId="Heading1">
    <w:name w:val="heading 1"/>
    <w:aliases w:val="Table_G"/>
    <w:basedOn w:val="SingleTxtG"/>
    <w:next w:val="SingleTxtG"/>
    <w:qFormat/>
    <w:rsid w:val="00B93051"/>
    <w:pPr>
      <w:keepNext/>
      <w:keepLines/>
      <w:spacing w:after="0" w:line="240" w:lineRule="auto"/>
      <w:ind w:right="0"/>
      <w:jc w:val="left"/>
      <w:outlineLvl w:val="0"/>
    </w:pPr>
  </w:style>
  <w:style w:type="paragraph" w:styleId="Heading2">
    <w:name w:val="heading 2"/>
    <w:basedOn w:val="Normal"/>
    <w:next w:val="Normal"/>
    <w:qFormat/>
    <w:rsid w:val="008F53ED"/>
    <w:pPr>
      <w:outlineLvl w:val="1"/>
    </w:pPr>
  </w:style>
  <w:style w:type="paragraph" w:styleId="Heading3">
    <w:name w:val="heading 3"/>
    <w:basedOn w:val="Normal"/>
    <w:next w:val="Normal"/>
    <w:qFormat/>
    <w:rsid w:val="008F53ED"/>
    <w:pPr>
      <w:outlineLvl w:val="2"/>
    </w:pPr>
  </w:style>
  <w:style w:type="paragraph" w:styleId="Heading4">
    <w:name w:val="heading 4"/>
    <w:basedOn w:val="Normal"/>
    <w:next w:val="Normal"/>
    <w:qFormat/>
    <w:rsid w:val="008F53ED"/>
    <w:pPr>
      <w:outlineLvl w:val="3"/>
    </w:pPr>
  </w:style>
  <w:style w:type="paragraph" w:styleId="Heading5">
    <w:name w:val="heading 5"/>
    <w:basedOn w:val="Normal"/>
    <w:next w:val="Normal"/>
    <w:qFormat/>
    <w:rsid w:val="008F53ED"/>
    <w:pPr>
      <w:outlineLvl w:val="4"/>
    </w:pPr>
  </w:style>
  <w:style w:type="paragraph" w:styleId="Heading6">
    <w:name w:val="heading 6"/>
    <w:basedOn w:val="Normal"/>
    <w:next w:val="Normal"/>
    <w:qFormat/>
    <w:rsid w:val="008F53ED"/>
    <w:pPr>
      <w:outlineLvl w:val="5"/>
    </w:pPr>
  </w:style>
  <w:style w:type="paragraph" w:styleId="Heading7">
    <w:name w:val="heading 7"/>
    <w:basedOn w:val="Normal"/>
    <w:next w:val="Normal"/>
    <w:qFormat/>
    <w:rsid w:val="008F53ED"/>
    <w:pPr>
      <w:outlineLvl w:val="6"/>
    </w:pPr>
  </w:style>
  <w:style w:type="paragraph" w:styleId="Heading8">
    <w:name w:val="heading 8"/>
    <w:basedOn w:val="Normal"/>
    <w:next w:val="Normal"/>
    <w:qFormat/>
    <w:rsid w:val="008F53ED"/>
    <w:pPr>
      <w:outlineLvl w:val="7"/>
    </w:pPr>
  </w:style>
  <w:style w:type="paragraph" w:styleId="Heading9">
    <w:name w:val="heading 9"/>
    <w:basedOn w:val="Normal"/>
    <w:next w:val="Normal"/>
    <w:qFormat/>
    <w:rsid w:val="008F53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F53E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F53E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F53E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F53E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F53E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F53E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F53ED"/>
    <w:pPr>
      <w:spacing w:after="120"/>
      <w:ind w:left="1134" w:right="1134"/>
      <w:jc w:val="both"/>
    </w:pPr>
  </w:style>
  <w:style w:type="paragraph" w:customStyle="1" w:styleId="SLG">
    <w:name w:val="__S_L_G"/>
    <w:basedOn w:val="Normal"/>
    <w:next w:val="Normal"/>
    <w:rsid w:val="008F53ED"/>
    <w:pPr>
      <w:keepNext/>
      <w:keepLines/>
      <w:spacing w:before="240" w:after="240" w:line="580" w:lineRule="exact"/>
      <w:ind w:left="1134" w:right="1134"/>
    </w:pPr>
    <w:rPr>
      <w:b/>
      <w:sz w:val="56"/>
    </w:rPr>
  </w:style>
  <w:style w:type="paragraph" w:customStyle="1" w:styleId="SMG">
    <w:name w:val="__S_M_G"/>
    <w:basedOn w:val="Normal"/>
    <w:next w:val="Normal"/>
    <w:rsid w:val="008F53ED"/>
    <w:pPr>
      <w:keepNext/>
      <w:keepLines/>
      <w:spacing w:before="240" w:after="240" w:line="420" w:lineRule="exact"/>
      <w:ind w:left="1134" w:right="1134"/>
    </w:pPr>
    <w:rPr>
      <w:b/>
      <w:sz w:val="40"/>
    </w:rPr>
  </w:style>
  <w:style w:type="paragraph" w:customStyle="1" w:styleId="SSG">
    <w:name w:val="__S_S_G"/>
    <w:basedOn w:val="Normal"/>
    <w:next w:val="Normal"/>
    <w:rsid w:val="008F53ED"/>
    <w:pPr>
      <w:keepNext/>
      <w:keepLines/>
      <w:spacing w:before="240" w:after="240" w:line="300" w:lineRule="exact"/>
      <w:ind w:left="1134" w:right="1134"/>
    </w:pPr>
    <w:rPr>
      <w:b/>
      <w:sz w:val="28"/>
    </w:rPr>
  </w:style>
  <w:style w:type="paragraph" w:customStyle="1" w:styleId="XLargeG">
    <w:name w:val="__XLarge_G"/>
    <w:basedOn w:val="Normal"/>
    <w:next w:val="Normal"/>
    <w:rsid w:val="008F53ED"/>
    <w:pPr>
      <w:keepNext/>
      <w:keepLines/>
      <w:spacing w:before="240" w:after="240" w:line="420" w:lineRule="exact"/>
      <w:ind w:left="1134" w:right="1134"/>
    </w:pPr>
    <w:rPr>
      <w:b/>
      <w:sz w:val="40"/>
    </w:rPr>
  </w:style>
  <w:style w:type="paragraph" w:customStyle="1" w:styleId="Bullet1G">
    <w:name w:val="_Bullet 1_G"/>
    <w:basedOn w:val="Normal"/>
    <w:rsid w:val="008F53ED"/>
    <w:pPr>
      <w:numPr>
        <w:numId w:val="1"/>
      </w:numPr>
      <w:spacing w:after="120"/>
      <w:ind w:right="1134"/>
      <w:jc w:val="both"/>
    </w:pPr>
  </w:style>
  <w:style w:type="paragraph" w:customStyle="1" w:styleId="Bullet2G">
    <w:name w:val="_Bullet 2_G"/>
    <w:basedOn w:val="Normal"/>
    <w:rsid w:val="008F53ED"/>
    <w:pPr>
      <w:numPr>
        <w:numId w:val="2"/>
      </w:numPr>
      <w:spacing w:after="120"/>
      <w:ind w:right="1134"/>
      <w:jc w:val="both"/>
    </w:pPr>
  </w:style>
  <w:style w:type="character" w:styleId="FootnoteReference">
    <w:name w:val="footnote reference"/>
    <w:aliases w:val="4_G"/>
    <w:qFormat/>
    <w:rsid w:val="00CC33C6"/>
    <w:rPr>
      <w:rFonts w:ascii="Times New Roman" w:hAnsi="Times New Roman"/>
      <w:sz w:val="18"/>
      <w:vertAlign w:val="superscript"/>
    </w:rPr>
  </w:style>
  <w:style w:type="character" w:styleId="EndnoteReference">
    <w:name w:val="endnote reference"/>
    <w:aliases w:val="1_G"/>
    <w:basedOn w:val="FootnoteReference"/>
    <w:rsid w:val="008F53ED"/>
    <w:rPr>
      <w:rFonts w:ascii="Times New Roman" w:hAnsi="Times New Roman"/>
      <w:sz w:val="18"/>
      <w:vertAlign w:val="superscript"/>
      <w:lang w:val="fr-CH"/>
    </w:rPr>
  </w:style>
  <w:style w:type="paragraph" w:styleId="Header">
    <w:name w:val="header"/>
    <w:aliases w:val="6_G"/>
    <w:basedOn w:val="Normal"/>
    <w:next w:val="Normal"/>
    <w:rsid w:val="008F53ED"/>
    <w:pPr>
      <w:pBdr>
        <w:bottom w:val="single" w:sz="4" w:space="4" w:color="auto"/>
      </w:pBdr>
      <w:spacing w:line="240" w:lineRule="auto"/>
    </w:pPr>
    <w:rPr>
      <w:b/>
      <w:sz w:val="18"/>
    </w:rPr>
  </w:style>
  <w:style w:type="paragraph" w:styleId="FootnoteText">
    <w:name w:val="footnote text"/>
    <w:aliases w:val="5_G"/>
    <w:basedOn w:val="Normal"/>
    <w:link w:val="FootnoteTextChar"/>
    <w:qFormat/>
    <w:rsid w:val="00CC33C6"/>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8F53ED"/>
  </w:style>
  <w:style w:type="character" w:styleId="PageNumber">
    <w:name w:val="page number"/>
    <w:aliases w:val="7_G"/>
    <w:rsid w:val="008F53ED"/>
    <w:rPr>
      <w:rFonts w:ascii="Times New Roman" w:hAnsi="Times New Roman"/>
      <w:b/>
      <w:sz w:val="18"/>
      <w:lang w:val="fr-CH"/>
    </w:rPr>
  </w:style>
  <w:style w:type="paragraph" w:styleId="Footer">
    <w:name w:val="footer"/>
    <w:aliases w:val="3_G"/>
    <w:basedOn w:val="Normal"/>
    <w:next w:val="Normal"/>
    <w:rsid w:val="008F53ED"/>
    <w:pPr>
      <w:spacing w:line="240" w:lineRule="auto"/>
    </w:pPr>
    <w:rPr>
      <w:sz w:val="16"/>
    </w:rPr>
  </w:style>
  <w:style w:type="character" w:styleId="Hyperlink">
    <w:name w:val="Hyperlink"/>
    <w:semiHidden/>
    <w:rsid w:val="00366F5B"/>
    <w:rPr>
      <w:color w:val="auto"/>
      <w:u w:val="none"/>
    </w:rPr>
  </w:style>
  <w:style w:type="character" w:styleId="FollowedHyperlink">
    <w:name w:val="FollowedHyperlink"/>
    <w:semiHidden/>
    <w:rsid w:val="00366F5B"/>
    <w:rPr>
      <w:color w:val="auto"/>
      <w:u w:val="none"/>
    </w:rPr>
  </w:style>
  <w:style w:type="table" w:styleId="TableGrid">
    <w:name w:val="Table Grid"/>
    <w:basedOn w:val="TableNormal"/>
    <w:semiHidden/>
    <w:rsid w:val="00024B3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Footnote">
    <w:name w:val="Footnote"/>
    <w:basedOn w:val="Normal"/>
    <w:rsid w:val="009963FD"/>
    <w:pPr>
      <w:suppressLineNumbers/>
      <w:autoSpaceDN w:val="0"/>
      <w:ind w:left="339" w:hanging="339"/>
      <w:textAlignment w:val="baseline"/>
    </w:pPr>
    <w:rPr>
      <w:kern w:val="3"/>
    </w:rPr>
  </w:style>
  <w:style w:type="character" w:customStyle="1" w:styleId="FootnoteTextChar">
    <w:name w:val="Footnote Text Char"/>
    <w:aliases w:val="5_G Char"/>
    <w:link w:val="FootnoteText"/>
    <w:rsid w:val="009963FD"/>
    <w:rPr>
      <w:rFonts w:eastAsia="SimSun"/>
      <w:sz w:val="18"/>
      <w:lang w:val="en-US" w:eastAsia="zh-CN"/>
    </w:rPr>
  </w:style>
  <w:style w:type="paragraph" w:styleId="BalloonText">
    <w:name w:val="Balloon Text"/>
    <w:basedOn w:val="Normal"/>
    <w:link w:val="BalloonTextChar"/>
    <w:rsid w:val="003118B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18BE"/>
    <w:rPr>
      <w:rFonts w:ascii="Tahoma" w:hAnsi="Tahoma" w:cs="Tahoma"/>
      <w:sz w:val="16"/>
      <w:szCs w:val="16"/>
      <w:lang w:val="fr-CH" w:eastAsia="en-US"/>
    </w:rPr>
  </w:style>
  <w:style w:type="character" w:styleId="CommentReference">
    <w:name w:val="annotation reference"/>
    <w:basedOn w:val="DefaultParagraphFont"/>
    <w:rsid w:val="00E32FE4"/>
    <w:rPr>
      <w:sz w:val="16"/>
      <w:szCs w:val="16"/>
    </w:rPr>
  </w:style>
  <w:style w:type="paragraph" w:styleId="CommentText">
    <w:name w:val="annotation text"/>
    <w:basedOn w:val="Normal"/>
    <w:link w:val="CommentTextChar"/>
    <w:rsid w:val="00E32FE4"/>
    <w:pPr>
      <w:spacing w:line="240" w:lineRule="auto"/>
    </w:pPr>
  </w:style>
  <w:style w:type="character" w:customStyle="1" w:styleId="CommentTextChar">
    <w:name w:val="Comment Text Char"/>
    <w:basedOn w:val="DefaultParagraphFont"/>
    <w:link w:val="CommentText"/>
    <w:rsid w:val="00E32FE4"/>
    <w:rPr>
      <w:lang w:val="fr-CH" w:eastAsia="en-US"/>
    </w:rPr>
  </w:style>
  <w:style w:type="paragraph" w:styleId="CommentSubject">
    <w:name w:val="annotation subject"/>
    <w:basedOn w:val="CommentText"/>
    <w:next w:val="CommentText"/>
    <w:link w:val="CommentSubjectChar"/>
    <w:rsid w:val="00E32FE4"/>
    <w:rPr>
      <w:b/>
      <w:bCs/>
    </w:rPr>
  </w:style>
  <w:style w:type="character" w:customStyle="1" w:styleId="CommentSubjectChar">
    <w:name w:val="Comment Subject Char"/>
    <w:basedOn w:val="CommentTextChar"/>
    <w:link w:val="CommentSubject"/>
    <w:rsid w:val="00E32FE4"/>
    <w:rPr>
      <w:b/>
      <w:bCs/>
      <w:lang w:val="fr-CH" w:eastAsia="en-US"/>
    </w:rPr>
  </w:style>
  <w:style w:type="character" w:styleId="Emphasis">
    <w:name w:val="Emphasis"/>
    <w:basedOn w:val="DefaultParagraphFont"/>
    <w:uiPriority w:val="20"/>
    <w:qFormat/>
    <w:rsid w:val="00463570"/>
    <w:rPr>
      <w:b/>
      <w:bCs/>
      <w:i w:val="0"/>
      <w:iCs w:val="0"/>
    </w:rPr>
  </w:style>
  <w:style w:type="character" w:customStyle="1" w:styleId="st1">
    <w:name w:val="st1"/>
    <w:basedOn w:val="DefaultParagraphFont"/>
    <w:rsid w:val="00463570"/>
  </w:style>
  <w:style w:type="paragraph" w:customStyle="1" w:styleId="H1">
    <w:name w:val="_ H_1"/>
    <w:basedOn w:val="Normal"/>
    <w:next w:val="Normal"/>
    <w:qFormat/>
    <w:rsid w:val="00940D8A"/>
    <w:pPr>
      <w:keepNext/>
      <w:keepLines/>
      <w:spacing w:line="270" w:lineRule="exact"/>
      <w:outlineLvl w:val="0"/>
    </w:pPr>
    <w:rPr>
      <w:rFonts w:eastAsiaTheme="minorHAnsi"/>
      <w:b/>
      <w:spacing w:val="4"/>
      <w:w w:val="103"/>
      <w:kern w:val="14"/>
      <w:sz w:val="24"/>
      <w:szCs w:val="22"/>
      <w:lang w:val="fr-CA"/>
    </w:rPr>
  </w:style>
  <w:style w:type="paragraph" w:styleId="Revision">
    <w:name w:val="Revision"/>
    <w:hidden/>
    <w:uiPriority w:val="99"/>
    <w:semiHidden/>
    <w:rsid w:val="00FD238D"/>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77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18AF2-24BF-481D-BD31-C9DC724E2D68}"/>
</file>

<file path=customXml/itemProps2.xml><?xml version="1.0" encoding="utf-8"?>
<ds:datastoreItem xmlns:ds="http://schemas.openxmlformats.org/officeDocument/2006/customXml" ds:itemID="{5B72B807-A1F6-4EDE-A34B-5AED553CE924}"/>
</file>

<file path=customXml/itemProps3.xml><?xml version="1.0" encoding="utf-8"?>
<ds:datastoreItem xmlns:ds="http://schemas.openxmlformats.org/officeDocument/2006/customXml" ds:itemID="{6881891D-AC6D-4C8C-87D7-882A2959C1C2}"/>
</file>

<file path=customXml/itemProps4.xml><?xml version="1.0" encoding="utf-8"?>
<ds:datastoreItem xmlns:ds="http://schemas.openxmlformats.org/officeDocument/2006/customXml" ds:itemID="{217B6AD6-BDBA-44F3-9AB2-702FFF4D9728}"/>
</file>

<file path=docProps/app.xml><?xml version="1.0" encoding="utf-8"?>
<Properties xmlns="http://schemas.openxmlformats.org/officeDocument/2006/extended-properties" xmlns:vt="http://schemas.openxmlformats.org/officeDocument/2006/docPropsVTypes">
  <Template>CCPR_F.dotm</Template>
  <TotalTime>0</TotalTime>
  <Pages>15</Pages>
  <Words>7428</Words>
  <Characters>42345</Characters>
  <Application>Microsoft Office Word</Application>
  <DocSecurity>0</DocSecurity>
  <Lines>352</Lines>
  <Paragraphs>99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CCPR/C/116/D/2297/2013</vt:lpstr>
      <vt:lpstr>Nations Unies</vt:lpstr>
    </vt:vector>
  </TitlesOfParts>
  <Company>CSD</Company>
  <LinksUpToDate>false</LinksUpToDate>
  <CharactersWithSpaces>49674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CCPR/C/116/D/2297/2013</dc:title>
  <dc:creator>Viktoria Saprykina-Houdemer</dc:creator>
  <cp:lastModifiedBy>Viktoria Saprykina-Houdemer</cp:lastModifiedBy>
  <cp:revision>2</cp:revision>
  <cp:lastPrinted>2016-05-13T09:48:00Z</cp:lastPrinted>
  <dcterms:created xsi:type="dcterms:W3CDTF">2016-06-07T12:12:00Z</dcterms:created>
  <dcterms:modified xsi:type="dcterms:W3CDTF">2016-06-07T12:12:00Z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