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265CB85" w14:textId="77777777" w:rsidTr="00F603F4">
        <w:trPr>
          <w:cantSplit/>
          <w:trHeight w:hRule="exact" w:val="851"/>
        </w:trPr>
        <w:tc>
          <w:tcPr>
            <w:tcW w:w="1276" w:type="dxa"/>
            <w:tcBorders>
              <w:bottom w:val="single" w:sz="4" w:space="0" w:color="auto"/>
            </w:tcBorders>
            <w:vAlign w:val="bottom"/>
          </w:tcPr>
          <w:p w14:paraId="63ACEED4"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7C532F27" w14:textId="02C50C52" w:rsidR="00165C15" w:rsidRPr="0036554A" w:rsidRDefault="00165C15" w:rsidP="00F603F4">
            <w:pPr>
              <w:spacing w:after="80" w:line="300" w:lineRule="exact"/>
              <w:rPr>
                <w:b/>
                <w:sz w:val="24"/>
                <w:szCs w:val="24"/>
                <w:lang w:val="es-ES"/>
              </w:rPr>
            </w:pPr>
          </w:p>
        </w:tc>
        <w:tc>
          <w:tcPr>
            <w:tcW w:w="6095" w:type="dxa"/>
            <w:gridSpan w:val="2"/>
            <w:tcBorders>
              <w:bottom w:val="single" w:sz="4" w:space="0" w:color="auto"/>
            </w:tcBorders>
            <w:vAlign w:val="bottom"/>
          </w:tcPr>
          <w:p w14:paraId="1E44D9D7" w14:textId="277F562B" w:rsidR="00165C15" w:rsidRPr="00BD4985" w:rsidRDefault="00BD4985" w:rsidP="00AF5C75">
            <w:pPr>
              <w:suppressAutoHyphens w:val="0"/>
              <w:jc w:val="right"/>
              <w:rPr>
                <w:lang w:val="es-ES"/>
              </w:rPr>
            </w:pPr>
            <w:r w:rsidRPr="00BD4985">
              <w:rPr>
                <w:sz w:val="40"/>
                <w:lang w:val="es-ES"/>
              </w:rPr>
              <w:t>CCPR</w:t>
            </w:r>
            <w:r>
              <w:rPr>
                <w:lang w:val="es-ES"/>
              </w:rPr>
              <w:t>/C/132/D/2844/2016</w:t>
            </w:r>
          </w:p>
        </w:tc>
      </w:tr>
      <w:tr w:rsidR="0036554A" w:rsidRPr="00AF5C75" w14:paraId="7E4EA89C" w14:textId="77777777" w:rsidTr="0059704E">
        <w:trPr>
          <w:cantSplit/>
          <w:trHeight w:hRule="exact" w:val="1992"/>
        </w:trPr>
        <w:tc>
          <w:tcPr>
            <w:tcW w:w="1276" w:type="dxa"/>
            <w:tcBorders>
              <w:top w:val="single" w:sz="4" w:space="0" w:color="auto"/>
              <w:bottom w:val="single" w:sz="12" w:space="0" w:color="auto"/>
            </w:tcBorders>
          </w:tcPr>
          <w:p w14:paraId="263D92EC" w14:textId="4AB5C96D" w:rsidR="00165C15" w:rsidRPr="0036554A" w:rsidRDefault="00165C15" w:rsidP="00F603F4">
            <w:pPr>
              <w:spacing w:before="120"/>
              <w:rPr>
                <w:lang w:val="es-ES"/>
              </w:rPr>
            </w:pPr>
          </w:p>
        </w:tc>
        <w:tc>
          <w:tcPr>
            <w:tcW w:w="5528" w:type="dxa"/>
            <w:gridSpan w:val="2"/>
            <w:tcBorders>
              <w:top w:val="single" w:sz="4" w:space="0" w:color="auto"/>
              <w:bottom w:val="single" w:sz="12" w:space="0" w:color="auto"/>
            </w:tcBorders>
          </w:tcPr>
          <w:p w14:paraId="233A26E7" w14:textId="037627F8" w:rsidR="009A72BD" w:rsidRPr="007B1BCB" w:rsidRDefault="007B3E93" w:rsidP="007B3E93">
            <w:pPr>
              <w:spacing w:before="120" w:line="380" w:lineRule="exact"/>
              <w:rPr>
                <w:sz w:val="34"/>
                <w:lang w:val="es-ES"/>
              </w:rPr>
            </w:pPr>
            <w:proofErr w:type="spellStart"/>
            <w:r>
              <w:rPr>
                <w:b/>
                <w:sz w:val="34"/>
              </w:rPr>
              <w:t>Vers</w:t>
            </w:r>
            <w:r w:rsidR="009A72BD">
              <w:rPr>
                <w:b/>
                <w:sz w:val="34"/>
              </w:rPr>
              <w:t>ión</w:t>
            </w:r>
            <w:proofErr w:type="spellEnd"/>
            <w:r w:rsidR="009A72BD">
              <w:rPr>
                <w:b/>
                <w:sz w:val="34"/>
              </w:rPr>
              <w:t xml:space="preserve"> </w:t>
            </w:r>
            <w:proofErr w:type="spellStart"/>
            <w:r w:rsidR="009A72BD">
              <w:rPr>
                <w:b/>
                <w:sz w:val="34"/>
              </w:rPr>
              <w:t>avanzada</w:t>
            </w:r>
            <w:proofErr w:type="spellEnd"/>
            <w:r w:rsidR="009A72BD">
              <w:rPr>
                <w:b/>
                <w:sz w:val="34"/>
              </w:rPr>
              <w:t xml:space="preserve"> sin </w:t>
            </w:r>
            <w:proofErr w:type="spellStart"/>
            <w:r w:rsidR="009A72BD">
              <w:rPr>
                <w:b/>
                <w:sz w:val="34"/>
              </w:rPr>
              <w:t>editar</w:t>
            </w:r>
            <w:proofErr w:type="spellEnd"/>
          </w:p>
        </w:tc>
        <w:tc>
          <w:tcPr>
            <w:tcW w:w="2835" w:type="dxa"/>
            <w:tcBorders>
              <w:top w:val="single" w:sz="4" w:space="0" w:color="auto"/>
              <w:bottom w:val="single" w:sz="12" w:space="0" w:color="auto"/>
            </w:tcBorders>
          </w:tcPr>
          <w:p w14:paraId="08F3241E" w14:textId="70DEDE70"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r w:rsidRPr="0036554A">
              <w:rPr>
                <w:lang w:val="es-ES"/>
              </w:rPr>
              <w:t xml:space="preserve">. </w:t>
            </w:r>
            <w:r w:rsidR="00AF5C75">
              <w:rPr>
                <w:lang w:val="es-ES"/>
              </w:rPr>
              <w:t>general</w:t>
            </w:r>
          </w:p>
          <w:p w14:paraId="72BD4F37" w14:textId="4A73C2E1" w:rsidR="006A31AE" w:rsidRPr="0036554A" w:rsidRDefault="00782704" w:rsidP="00C21564">
            <w:pPr>
              <w:suppressAutoHyphens w:val="0"/>
              <w:rPr>
                <w:lang w:val="es-ES"/>
              </w:rPr>
            </w:pPr>
            <w:r>
              <w:rPr>
                <w:lang w:val="es-ES"/>
              </w:rPr>
              <w:t>2</w:t>
            </w:r>
            <w:r w:rsidR="00C21564">
              <w:rPr>
                <w:lang w:val="es-ES"/>
              </w:rPr>
              <w:t>5</w:t>
            </w:r>
            <w:r w:rsidR="00B62725">
              <w:rPr>
                <w:lang w:val="es-ES"/>
              </w:rPr>
              <w:t xml:space="preserve"> </w:t>
            </w:r>
            <w:r w:rsidR="00820057">
              <w:rPr>
                <w:lang w:val="es-ES"/>
              </w:rPr>
              <w:t xml:space="preserve">de </w:t>
            </w:r>
            <w:r w:rsidRPr="00782704">
              <w:rPr>
                <w:lang w:val="es-ES"/>
              </w:rPr>
              <w:t xml:space="preserve">agosto </w:t>
            </w:r>
            <w:r>
              <w:rPr>
                <w:lang w:val="es-ES"/>
              </w:rPr>
              <w:t>de</w:t>
            </w:r>
            <w:r w:rsidR="00820057">
              <w:rPr>
                <w:lang w:val="es-ES"/>
              </w:rPr>
              <w:t xml:space="preserve"> 2021</w:t>
            </w:r>
          </w:p>
          <w:p w14:paraId="6394D349" w14:textId="77777777" w:rsidR="006A31AE" w:rsidRPr="00280BCD" w:rsidRDefault="006A31AE" w:rsidP="00F603F4">
            <w:pPr>
              <w:suppressAutoHyphens w:val="0"/>
              <w:rPr>
                <w:lang w:val="es-ES"/>
              </w:rPr>
            </w:pPr>
          </w:p>
          <w:p w14:paraId="5F7A7D58" w14:textId="77777777" w:rsidR="006A31AE" w:rsidRDefault="006A31AE" w:rsidP="003A3F12">
            <w:pPr>
              <w:suppressAutoHyphens w:val="0"/>
              <w:rPr>
                <w:lang w:val="es-ES"/>
              </w:rPr>
            </w:pPr>
            <w:r w:rsidRPr="0036554A">
              <w:rPr>
                <w:lang w:val="es-ES"/>
              </w:rPr>
              <w:t xml:space="preserve">Original: </w:t>
            </w:r>
            <w:r w:rsidR="003A3F12" w:rsidRPr="0036554A">
              <w:rPr>
                <w:lang w:val="es-ES"/>
              </w:rPr>
              <w:t>español</w:t>
            </w:r>
          </w:p>
          <w:p w14:paraId="79279366" w14:textId="6F11BDC6" w:rsidR="00F43229" w:rsidRPr="0036554A" w:rsidRDefault="00F43229" w:rsidP="003A3F12">
            <w:pPr>
              <w:suppressAutoHyphens w:val="0"/>
              <w:rPr>
                <w:lang w:val="es-ES"/>
              </w:rPr>
            </w:pPr>
          </w:p>
        </w:tc>
      </w:tr>
    </w:tbl>
    <w:p w14:paraId="7EBA9928" w14:textId="77777777" w:rsidR="00CF5683" w:rsidRPr="00D9227D" w:rsidRDefault="00CF5683" w:rsidP="00CF5683">
      <w:pPr>
        <w:spacing w:before="120"/>
        <w:rPr>
          <w:b/>
          <w:bCs/>
          <w:sz w:val="24"/>
          <w:lang w:val="es-ES"/>
        </w:rPr>
      </w:pPr>
      <w:r w:rsidRPr="00D9227D">
        <w:rPr>
          <w:b/>
          <w:bCs/>
          <w:sz w:val="24"/>
          <w:lang w:val="es-ES"/>
        </w:rPr>
        <w:t>Comité de Derechos Humanos</w:t>
      </w:r>
    </w:p>
    <w:p w14:paraId="18522BA2" w14:textId="3A894090" w:rsidR="006A31AE" w:rsidRPr="007B3E93" w:rsidRDefault="006A31AE" w:rsidP="00782704">
      <w:pPr>
        <w:pStyle w:val="HChG"/>
        <w:rPr>
          <w:lang w:val="es-ES"/>
        </w:rPr>
      </w:pPr>
      <w:r w:rsidRPr="0036554A">
        <w:rPr>
          <w:lang w:val="es-ES"/>
        </w:rPr>
        <w:tab/>
      </w:r>
      <w:r w:rsidRPr="0036554A">
        <w:rPr>
          <w:lang w:val="es-ES"/>
        </w:rPr>
        <w:tab/>
      </w:r>
      <w:r w:rsidR="00AF5C75" w:rsidRPr="007B3E93">
        <w:rPr>
          <w:lang w:val="es-ES"/>
        </w:rPr>
        <w:t xml:space="preserve">Dictamen aprobado por el Comité a tenor del artículo 5, párrafo 4, del Protocolo Facultativo, respecto de la </w:t>
      </w:r>
      <w:r w:rsidR="00F40CA5" w:rsidRPr="007B3E93">
        <w:rPr>
          <w:lang w:val="es-ES"/>
        </w:rPr>
        <w:t>Comunicación</w:t>
      </w:r>
      <w:r w:rsidRPr="007B3E93">
        <w:rPr>
          <w:lang w:val="es-ES"/>
        </w:rPr>
        <w:t xml:space="preserve"> </w:t>
      </w:r>
      <w:r w:rsidR="0063191B" w:rsidRPr="007B3E93">
        <w:rPr>
          <w:lang w:val="es-ES"/>
        </w:rPr>
        <w:t>n</w:t>
      </w:r>
      <w:r w:rsidR="0036554A" w:rsidRPr="007B3E93">
        <w:rPr>
          <w:lang w:val="es-ES"/>
        </w:rPr>
        <w:t>úm</w:t>
      </w:r>
      <w:r w:rsidRPr="007B3E93">
        <w:rPr>
          <w:lang w:val="es-ES"/>
        </w:rPr>
        <w:t xml:space="preserve">. </w:t>
      </w:r>
      <w:r w:rsidR="007F000F" w:rsidRPr="007B3E93">
        <w:rPr>
          <w:lang w:val="es-ES"/>
        </w:rPr>
        <w:t>2</w:t>
      </w:r>
      <w:r w:rsidR="00F43229" w:rsidRPr="007B3E93">
        <w:rPr>
          <w:lang w:val="es-ES"/>
        </w:rPr>
        <w:t>844</w:t>
      </w:r>
      <w:r w:rsidRPr="007B3E93">
        <w:rPr>
          <w:lang w:val="es-ES"/>
        </w:rPr>
        <w:t>/</w:t>
      </w:r>
      <w:r w:rsidR="000D4558" w:rsidRPr="007B3E93">
        <w:rPr>
          <w:lang w:val="es-ES"/>
        </w:rPr>
        <w:t>2016</w:t>
      </w:r>
      <w:r w:rsidR="00AF5C75" w:rsidRPr="007B3E93">
        <w:rPr>
          <w:rStyle w:val="FootnoteReference"/>
          <w:sz w:val="28"/>
          <w:vertAlign w:val="baseline"/>
          <w:lang w:val="es-ES"/>
        </w:rPr>
        <w:footnoteReference w:customMarkFollows="1" w:id="1"/>
        <w:t>*</w:t>
      </w:r>
      <w:r w:rsidR="00782704" w:rsidRPr="007B3E93">
        <w:rPr>
          <w:vertAlign w:val="superscript"/>
          <w:lang w:val="es-ES"/>
        </w:rPr>
        <w:t>,</w:t>
      </w:r>
      <w:r w:rsidR="00782704" w:rsidRPr="007B3E93">
        <w:rPr>
          <w:rStyle w:val="FootnoteReference"/>
          <w:sz w:val="28"/>
          <w:vertAlign w:val="baseline"/>
          <w:lang w:val="es-ES"/>
        </w:rPr>
        <w:footnoteReference w:customMarkFollows="1" w:id="2"/>
        <w:t>**</w:t>
      </w:r>
      <w:r w:rsidR="00782704" w:rsidRPr="007B3E93">
        <w:rPr>
          <w:vertAlign w:val="superscript"/>
          <w:lang w:val="es-ES"/>
        </w:rPr>
        <w:t>,</w:t>
      </w:r>
      <w:r w:rsidR="00782704" w:rsidRPr="007B3E93">
        <w:rPr>
          <w:lang w:val="es-ES"/>
        </w:rPr>
        <w:t xml:space="preserve"> </w:t>
      </w:r>
      <w:r w:rsidR="00782704" w:rsidRPr="007B3E93">
        <w:rPr>
          <w:rStyle w:val="FootnoteReference"/>
          <w:sz w:val="28"/>
          <w:vertAlign w:val="baseline"/>
          <w:lang w:val="es-ES"/>
        </w:rPr>
        <w:footnoteReference w:customMarkFollows="1" w:id="3"/>
        <w:t>***</w:t>
      </w:r>
    </w:p>
    <w:p w14:paraId="2360AF22" w14:textId="705EAF5F" w:rsidR="006A31AE" w:rsidRPr="0036554A" w:rsidRDefault="006A31AE" w:rsidP="00782704">
      <w:pPr>
        <w:pStyle w:val="H1G"/>
        <w:rPr>
          <w:rFonts w:eastAsia="MS Mincho"/>
          <w:lang w:val="es-ES"/>
        </w:rPr>
      </w:pPr>
      <w:r w:rsidRPr="0036554A">
        <w:rPr>
          <w:rFonts w:eastAsia="MS Mincho"/>
          <w:lang w:val="es-ES"/>
        </w:rPr>
        <w:tab/>
      </w:r>
      <w:r w:rsidRPr="0036554A">
        <w:rPr>
          <w:rFonts w:eastAsia="MS Mincho"/>
          <w:lang w:val="es-ES"/>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36554A" w:rsidRPr="007B3E93" w14:paraId="0ED50540" w14:textId="77777777" w:rsidTr="0063191B">
        <w:tc>
          <w:tcPr>
            <w:tcW w:w="2694" w:type="dxa"/>
          </w:tcPr>
          <w:p w14:paraId="4F2B778E" w14:textId="77777777" w:rsidR="006A31AE" w:rsidRPr="0036554A" w:rsidRDefault="0013341D" w:rsidP="0013341D">
            <w:pPr>
              <w:pStyle w:val="SingleTxtG"/>
              <w:ind w:left="0" w:right="0"/>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4110" w:type="dxa"/>
          </w:tcPr>
          <w:p w14:paraId="51965202" w14:textId="19EB10FF" w:rsidR="006A31AE" w:rsidRPr="00A20521" w:rsidRDefault="00F43229" w:rsidP="0063191B">
            <w:pPr>
              <w:pStyle w:val="SingleTxtG"/>
              <w:ind w:left="0" w:right="0"/>
              <w:jc w:val="left"/>
              <w:rPr>
                <w:lang w:val="es-ES"/>
              </w:rPr>
            </w:pPr>
            <w:r>
              <w:rPr>
                <w:lang w:val="es-ES"/>
              </w:rPr>
              <w:t>Baltasar Garzón</w:t>
            </w:r>
            <w:r w:rsidR="0001523F">
              <w:rPr>
                <w:lang w:val="es-ES"/>
              </w:rPr>
              <w:t xml:space="preserve"> (representado por Helen </w:t>
            </w:r>
            <w:proofErr w:type="spellStart"/>
            <w:r w:rsidR="0001523F">
              <w:rPr>
                <w:lang w:val="es-ES"/>
              </w:rPr>
              <w:t>Duffy</w:t>
            </w:r>
            <w:proofErr w:type="spellEnd"/>
            <w:r w:rsidR="0001523F">
              <w:rPr>
                <w:lang w:val="es-ES"/>
              </w:rPr>
              <w:t>)</w:t>
            </w:r>
          </w:p>
        </w:tc>
      </w:tr>
      <w:tr w:rsidR="0036554A" w:rsidRPr="00F43229" w14:paraId="1E10AE66" w14:textId="77777777" w:rsidTr="0063191B">
        <w:tc>
          <w:tcPr>
            <w:tcW w:w="2694" w:type="dxa"/>
          </w:tcPr>
          <w:p w14:paraId="1D3718A8" w14:textId="77777777" w:rsidR="006A31AE" w:rsidRPr="0036554A" w:rsidRDefault="0013341D" w:rsidP="005553FD">
            <w:pPr>
              <w:pStyle w:val="SingleTxtG"/>
              <w:ind w:left="0" w:right="0"/>
              <w:jc w:val="left"/>
              <w:rPr>
                <w:i/>
                <w:lang w:val="es-ES"/>
              </w:rPr>
            </w:pPr>
            <w:r w:rsidRPr="0036554A">
              <w:rPr>
                <w:i/>
                <w:iCs/>
                <w:lang w:val="es-ES_tradnl"/>
              </w:rPr>
              <w:t>Presunta</w:t>
            </w:r>
            <w:r w:rsidR="0035576C">
              <w:rPr>
                <w:i/>
                <w:iCs/>
                <w:lang w:val="es-ES_tradnl"/>
              </w:rPr>
              <w:t>s</w:t>
            </w:r>
            <w:r w:rsidRPr="0036554A">
              <w:rPr>
                <w:i/>
                <w:iCs/>
                <w:lang w:val="es-ES_tradnl"/>
              </w:rPr>
              <w:t xml:space="preserve"> víctima</w:t>
            </w:r>
            <w:r w:rsidR="0035576C">
              <w:rPr>
                <w:i/>
                <w:iCs/>
                <w:lang w:val="es-ES_tradnl"/>
              </w:rPr>
              <w:t>s</w:t>
            </w:r>
            <w:r w:rsidR="006A31AE" w:rsidRPr="0036554A">
              <w:rPr>
                <w:i/>
                <w:lang w:val="es-ES"/>
              </w:rPr>
              <w:t>:</w:t>
            </w:r>
          </w:p>
        </w:tc>
        <w:tc>
          <w:tcPr>
            <w:tcW w:w="4110" w:type="dxa"/>
          </w:tcPr>
          <w:p w14:paraId="65B9A58B" w14:textId="77777777" w:rsidR="006A31AE" w:rsidRPr="00A20521" w:rsidRDefault="00F43229" w:rsidP="0063191B">
            <w:pPr>
              <w:pStyle w:val="SingleTxtG"/>
              <w:ind w:left="0" w:right="0"/>
              <w:jc w:val="left"/>
              <w:rPr>
                <w:lang w:val="es-ES"/>
              </w:rPr>
            </w:pPr>
            <w:r>
              <w:rPr>
                <w:lang w:val="es-ES"/>
              </w:rPr>
              <w:t>El autor</w:t>
            </w:r>
          </w:p>
        </w:tc>
      </w:tr>
      <w:tr w:rsidR="0036554A" w:rsidRPr="0036554A" w14:paraId="5BC88109" w14:textId="77777777" w:rsidTr="0063191B">
        <w:tc>
          <w:tcPr>
            <w:tcW w:w="2694" w:type="dxa"/>
          </w:tcPr>
          <w:p w14:paraId="00FF3DEC" w14:textId="77777777"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4110" w:type="dxa"/>
          </w:tcPr>
          <w:p w14:paraId="5AF7496B" w14:textId="77777777" w:rsidR="006A31AE" w:rsidRPr="0036554A" w:rsidRDefault="00F43229" w:rsidP="0063191B">
            <w:pPr>
              <w:pStyle w:val="SingleTxtG"/>
              <w:ind w:left="0" w:right="0"/>
              <w:jc w:val="left"/>
              <w:rPr>
                <w:lang w:val="es-ES"/>
              </w:rPr>
            </w:pPr>
            <w:r>
              <w:rPr>
                <w:lang w:val="es-ES_tradnl"/>
              </w:rPr>
              <w:t>España</w:t>
            </w:r>
          </w:p>
        </w:tc>
      </w:tr>
      <w:tr w:rsidR="0036554A" w:rsidRPr="007B3E93" w14:paraId="77F69FF5" w14:textId="77777777" w:rsidTr="0063191B">
        <w:tc>
          <w:tcPr>
            <w:tcW w:w="2694" w:type="dxa"/>
          </w:tcPr>
          <w:p w14:paraId="360B228B" w14:textId="77777777"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4110" w:type="dxa"/>
          </w:tcPr>
          <w:p w14:paraId="6438F407" w14:textId="0D57532E" w:rsidR="006A31AE" w:rsidRPr="0036554A" w:rsidRDefault="00F43229" w:rsidP="0063191B">
            <w:pPr>
              <w:spacing w:after="120"/>
              <w:rPr>
                <w:lang w:val="es-ES"/>
              </w:rPr>
            </w:pPr>
            <w:r>
              <w:rPr>
                <w:lang w:val="es-ES"/>
              </w:rPr>
              <w:t>31 de enero de 2016</w:t>
            </w:r>
            <w:r w:rsidR="004D34AB">
              <w:rPr>
                <w:lang w:val="es-ES"/>
              </w:rPr>
              <w:t xml:space="preserve"> (presentación inicial)</w:t>
            </w:r>
          </w:p>
        </w:tc>
      </w:tr>
      <w:tr w:rsidR="0036554A" w:rsidRPr="007B3E93" w14:paraId="26C079A7" w14:textId="77777777" w:rsidTr="0063191B">
        <w:tc>
          <w:tcPr>
            <w:tcW w:w="2694" w:type="dxa"/>
          </w:tcPr>
          <w:p w14:paraId="4B637E07" w14:textId="77777777" w:rsidR="006A31AE" w:rsidRPr="0036554A" w:rsidRDefault="00756097" w:rsidP="005553FD">
            <w:pPr>
              <w:pStyle w:val="SingleTxtG"/>
              <w:ind w:left="0" w:right="0"/>
              <w:jc w:val="left"/>
              <w:rPr>
                <w:i/>
                <w:lang w:val="es-ES"/>
              </w:rPr>
            </w:pPr>
            <w:r w:rsidRPr="0036554A">
              <w:rPr>
                <w:i/>
                <w:lang w:val="es-ES"/>
              </w:rPr>
              <w:t>Referencias</w:t>
            </w:r>
            <w:r w:rsidR="006A31AE" w:rsidRPr="0036554A">
              <w:rPr>
                <w:i/>
                <w:lang w:val="es-ES"/>
              </w:rPr>
              <w:t>:</w:t>
            </w:r>
          </w:p>
        </w:tc>
        <w:tc>
          <w:tcPr>
            <w:tcW w:w="4110" w:type="dxa"/>
          </w:tcPr>
          <w:p w14:paraId="42E6AE7B" w14:textId="77777777" w:rsidR="006A31AE" w:rsidRPr="00AB6E49" w:rsidRDefault="00EC5141" w:rsidP="0063191B">
            <w:pPr>
              <w:pStyle w:val="SingleTxtG"/>
              <w:ind w:left="0" w:right="0"/>
              <w:jc w:val="left"/>
              <w:rPr>
                <w:lang w:val="es-ES"/>
              </w:rPr>
            </w:pPr>
            <w:r w:rsidRPr="00AB6E49">
              <w:rPr>
                <w:lang w:val="es-ES"/>
              </w:rPr>
              <w:t>Decisión del Relator Esp</w:t>
            </w:r>
            <w:r w:rsidR="00875C05">
              <w:rPr>
                <w:lang w:val="es-ES"/>
              </w:rPr>
              <w:t>ecial con arreglo al artículo 92</w:t>
            </w:r>
            <w:r w:rsidR="00AB6E49">
              <w:rPr>
                <w:lang w:val="es-ES"/>
              </w:rPr>
              <w:t xml:space="preserve"> del </w:t>
            </w:r>
            <w:r w:rsidRPr="00AB6E49">
              <w:rPr>
                <w:lang w:val="es-ES"/>
              </w:rPr>
              <w:t>reglamento, transmitida al Estado parte el</w:t>
            </w:r>
            <w:r w:rsidR="0036554A" w:rsidRPr="00AB6E49">
              <w:rPr>
                <w:lang w:val="es-ES"/>
              </w:rPr>
              <w:t xml:space="preserve"> </w:t>
            </w:r>
            <w:r w:rsidR="002A330A">
              <w:rPr>
                <w:lang w:val="es-ES"/>
              </w:rPr>
              <w:t>1 de noviembre de 2016</w:t>
            </w:r>
            <w:r w:rsidR="00E03BB2" w:rsidRPr="00AB6E49">
              <w:rPr>
                <w:lang w:val="es-ES"/>
              </w:rPr>
              <w:t xml:space="preserve"> </w:t>
            </w:r>
            <w:r w:rsidRPr="00AB6E49">
              <w:rPr>
                <w:lang w:val="es-ES"/>
              </w:rPr>
              <w:t>(no se publicó como documento)</w:t>
            </w:r>
          </w:p>
        </w:tc>
      </w:tr>
      <w:tr w:rsidR="0036554A" w:rsidRPr="00B47898" w14:paraId="34DA070A" w14:textId="77777777" w:rsidTr="0063191B">
        <w:tc>
          <w:tcPr>
            <w:tcW w:w="2694" w:type="dxa"/>
          </w:tcPr>
          <w:p w14:paraId="4107D4C2" w14:textId="749C265F" w:rsidR="006A31AE" w:rsidRPr="00BD4599" w:rsidRDefault="00512402" w:rsidP="00CB231E">
            <w:pPr>
              <w:pStyle w:val="SingleTxtG"/>
              <w:ind w:left="0" w:right="0"/>
              <w:jc w:val="left"/>
              <w:rPr>
                <w:i/>
                <w:lang w:val="es-ES"/>
              </w:rPr>
            </w:pPr>
            <w:r w:rsidRPr="00BD4599">
              <w:rPr>
                <w:i/>
                <w:iCs/>
                <w:lang w:val="es-ES_tradnl"/>
              </w:rPr>
              <w:t xml:space="preserve">Fecha de adopción </w:t>
            </w:r>
            <w:r w:rsidR="0063191B">
              <w:rPr>
                <w:i/>
                <w:iCs/>
                <w:lang w:val="es-ES_tradnl"/>
              </w:rPr>
              <w:br/>
            </w:r>
            <w:r w:rsidRPr="00BD4599">
              <w:rPr>
                <w:i/>
                <w:iCs/>
                <w:lang w:val="es-ES_tradnl"/>
              </w:rPr>
              <w:t>de</w:t>
            </w:r>
            <w:r w:rsidR="00CB231E">
              <w:rPr>
                <w:i/>
                <w:iCs/>
                <w:lang w:val="es-ES_tradnl"/>
              </w:rPr>
              <w:t>l dictamen:</w:t>
            </w:r>
          </w:p>
        </w:tc>
        <w:tc>
          <w:tcPr>
            <w:tcW w:w="4110" w:type="dxa"/>
            <w:vAlign w:val="bottom"/>
          </w:tcPr>
          <w:p w14:paraId="6479EF31" w14:textId="50099C00" w:rsidR="006A31AE" w:rsidRPr="00BD4599" w:rsidRDefault="006E3808" w:rsidP="0063191B">
            <w:pPr>
              <w:pStyle w:val="SingleTxtG"/>
              <w:ind w:left="0" w:right="0"/>
              <w:jc w:val="left"/>
              <w:rPr>
                <w:lang w:val="es-ES"/>
              </w:rPr>
            </w:pPr>
            <w:r>
              <w:rPr>
                <w:lang w:val="es-ES"/>
              </w:rPr>
              <w:t xml:space="preserve">13 </w:t>
            </w:r>
            <w:r w:rsidR="00944E7A" w:rsidRPr="00BD4599">
              <w:rPr>
                <w:lang w:val="es-ES"/>
              </w:rPr>
              <w:t>de</w:t>
            </w:r>
            <w:r w:rsidR="00F43229">
              <w:rPr>
                <w:lang w:val="es-ES"/>
              </w:rPr>
              <w:t xml:space="preserve"> </w:t>
            </w:r>
            <w:r w:rsidR="00820057">
              <w:rPr>
                <w:lang w:val="es-ES"/>
              </w:rPr>
              <w:t>julio de 2021</w:t>
            </w:r>
          </w:p>
        </w:tc>
      </w:tr>
      <w:tr w:rsidR="0036554A" w:rsidRPr="007B3E93" w14:paraId="1EC5794B" w14:textId="77777777" w:rsidTr="0063191B">
        <w:tc>
          <w:tcPr>
            <w:tcW w:w="2694" w:type="dxa"/>
          </w:tcPr>
          <w:p w14:paraId="2B4CD51D" w14:textId="77777777" w:rsidR="006A31AE" w:rsidRPr="0075740B" w:rsidRDefault="00512402" w:rsidP="005553FD">
            <w:pPr>
              <w:pStyle w:val="SingleTxtG"/>
              <w:ind w:left="0" w:right="0"/>
              <w:jc w:val="left"/>
              <w:rPr>
                <w:i/>
                <w:lang w:val="es-ES"/>
              </w:rPr>
            </w:pPr>
            <w:r w:rsidRPr="0075740B">
              <w:rPr>
                <w:i/>
                <w:iCs/>
                <w:lang w:val="es-ES"/>
              </w:rPr>
              <w:t>Asunto</w:t>
            </w:r>
            <w:r w:rsidR="006A31AE" w:rsidRPr="0075740B">
              <w:rPr>
                <w:i/>
                <w:iCs/>
                <w:lang w:val="es-ES"/>
              </w:rPr>
              <w:t>:</w:t>
            </w:r>
          </w:p>
        </w:tc>
        <w:tc>
          <w:tcPr>
            <w:tcW w:w="4110" w:type="dxa"/>
          </w:tcPr>
          <w:p w14:paraId="3D988224" w14:textId="77777777" w:rsidR="006A31AE" w:rsidRPr="0075740B" w:rsidRDefault="00A54886" w:rsidP="0063191B">
            <w:pPr>
              <w:spacing w:after="120"/>
              <w:rPr>
                <w:lang w:val="es-ES"/>
              </w:rPr>
            </w:pPr>
            <w:r>
              <w:rPr>
                <w:lang w:val="es-ES"/>
              </w:rPr>
              <w:t>Procesamiento de juez por prevaricación</w:t>
            </w:r>
          </w:p>
        </w:tc>
      </w:tr>
      <w:tr w:rsidR="0036554A" w:rsidRPr="007B3E93" w14:paraId="74AEC133" w14:textId="77777777" w:rsidTr="0063191B">
        <w:tc>
          <w:tcPr>
            <w:tcW w:w="2694" w:type="dxa"/>
          </w:tcPr>
          <w:p w14:paraId="18CB0066" w14:textId="77777777" w:rsidR="006A31AE" w:rsidRPr="0075740B" w:rsidRDefault="00512402" w:rsidP="005553FD">
            <w:pPr>
              <w:pStyle w:val="SingleTxtG"/>
              <w:ind w:left="0" w:right="0"/>
              <w:jc w:val="left"/>
              <w:rPr>
                <w:i/>
                <w:iCs/>
                <w:lang w:val="es-ES"/>
              </w:rPr>
            </w:pPr>
            <w:r w:rsidRPr="0075740B">
              <w:rPr>
                <w:i/>
                <w:iCs/>
                <w:lang w:val="es-ES"/>
              </w:rPr>
              <w:t>Cuestiones de procedimiento</w:t>
            </w:r>
            <w:r w:rsidR="006A31AE" w:rsidRPr="0075740B">
              <w:rPr>
                <w:i/>
                <w:lang w:val="es-ES"/>
              </w:rPr>
              <w:t>:</w:t>
            </w:r>
          </w:p>
        </w:tc>
        <w:tc>
          <w:tcPr>
            <w:tcW w:w="4110" w:type="dxa"/>
          </w:tcPr>
          <w:p w14:paraId="3EDB0DD7" w14:textId="1BB28D1C" w:rsidR="006A31AE" w:rsidRPr="0075740B" w:rsidRDefault="0075740B" w:rsidP="00AF5C75">
            <w:pPr>
              <w:pStyle w:val="SingleTxtG"/>
              <w:ind w:left="0" w:right="0"/>
              <w:jc w:val="left"/>
              <w:rPr>
                <w:lang w:val="es-ES"/>
              </w:rPr>
            </w:pPr>
            <w:proofErr w:type="spellStart"/>
            <w:r w:rsidRPr="0075740B">
              <w:rPr>
                <w:lang w:val="es-ES_tradnl"/>
              </w:rPr>
              <w:t>Condici</w:t>
            </w:r>
            <w:r w:rsidRPr="0075740B">
              <w:rPr>
                <w:lang w:val="es-ES"/>
              </w:rPr>
              <w:t>ón</w:t>
            </w:r>
            <w:proofErr w:type="spellEnd"/>
            <w:r w:rsidRPr="0075740B">
              <w:rPr>
                <w:lang w:val="es-ES"/>
              </w:rPr>
              <w:t xml:space="preserve"> de víctima, </w:t>
            </w:r>
            <w:r w:rsidR="004E0517">
              <w:rPr>
                <w:lang w:val="es-ES"/>
              </w:rPr>
              <w:t xml:space="preserve">competencia </w:t>
            </w:r>
            <w:proofErr w:type="spellStart"/>
            <w:r w:rsidR="004E0517" w:rsidRPr="0063191B">
              <w:rPr>
                <w:i/>
                <w:lang w:val="es-ES"/>
              </w:rPr>
              <w:t>ratione</w:t>
            </w:r>
            <w:proofErr w:type="spellEnd"/>
            <w:r w:rsidR="004E0517" w:rsidRPr="0063191B">
              <w:rPr>
                <w:i/>
                <w:lang w:val="es-ES"/>
              </w:rPr>
              <w:t xml:space="preserve"> </w:t>
            </w:r>
            <w:proofErr w:type="spellStart"/>
            <w:r w:rsidR="004E0517" w:rsidRPr="0063191B">
              <w:rPr>
                <w:i/>
                <w:lang w:val="es-ES"/>
              </w:rPr>
              <w:t>temporis</w:t>
            </w:r>
            <w:proofErr w:type="spellEnd"/>
            <w:r w:rsidR="004E0517">
              <w:rPr>
                <w:lang w:val="es-ES"/>
              </w:rPr>
              <w:t xml:space="preserve">, </w:t>
            </w:r>
            <w:r w:rsidR="00F81F10">
              <w:rPr>
                <w:lang w:val="es-ES"/>
              </w:rPr>
              <w:t xml:space="preserve">competencia </w:t>
            </w:r>
            <w:proofErr w:type="spellStart"/>
            <w:r w:rsidR="00F81F10" w:rsidRPr="0063191B">
              <w:rPr>
                <w:i/>
                <w:lang w:val="es-ES"/>
              </w:rPr>
              <w:t>ratione</w:t>
            </w:r>
            <w:proofErr w:type="spellEnd"/>
            <w:r w:rsidR="00F81F10" w:rsidRPr="0063191B">
              <w:rPr>
                <w:i/>
                <w:lang w:val="es-ES"/>
              </w:rPr>
              <w:t xml:space="preserve"> </w:t>
            </w:r>
            <w:proofErr w:type="spellStart"/>
            <w:r w:rsidR="00F81F10" w:rsidRPr="0063191B">
              <w:rPr>
                <w:i/>
                <w:lang w:val="es-ES"/>
              </w:rPr>
              <w:t>materiae</w:t>
            </w:r>
            <w:proofErr w:type="spellEnd"/>
            <w:r w:rsidR="00F81F10">
              <w:rPr>
                <w:lang w:val="es-ES"/>
              </w:rPr>
              <w:t xml:space="preserve">, otro procedimiento de examen; </w:t>
            </w:r>
            <w:r w:rsidR="004E0517">
              <w:rPr>
                <w:lang w:val="es-ES"/>
              </w:rPr>
              <w:t>agotamiento de recursos internos</w:t>
            </w:r>
            <w:r w:rsidR="00634FCE">
              <w:rPr>
                <w:lang w:val="es-ES"/>
              </w:rPr>
              <w:t>, fundamentación de</w:t>
            </w:r>
            <w:r w:rsidR="00DC1DA9">
              <w:rPr>
                <w:lang w:val="es-ES"/>
              </w:rPr>
              <w:t xml:space="preserve"> </w:t>
            </w:r>
            <w:r w:rsidR="00634FCE">
              <w:rPr>
                <w:lang w:val="es-ES"/>
              </w:rPr>
              <w:t>l</w:t>
            </w:r>
            <w:r w:rsidR="00DC1DA9">
              <w:rPr>
                <w:lang w:val="es-ES"/>
              </w:rPr>
              <w:t>a</w:t>
            </w:r>
            <w:r w:rsidR="00634FCE">
              <w:rPr>
                <w:lang w:val="es-ES"/>
              </w:rPr>
              <w:t xml:space="preserve"> queja</w:t>
            </w:r>
          </w:p>
        </w:tc>
      </w:tr>
      <w:tr w:rsidR="0036554A" w:rsidRPr="007B3E93" w14:paraId="1CD9880B" w14:textId="77777777" w:rsidTr="0063191B">
        <w:tc>
          <w:tcPr>
            <w:tcW w:w="2694" w:type="dxa"/>
          </w:tcPr>
          <w:p w14:paraId="6F36C865" w14:textId="77777777" w:rsidR="006A31AE" w:rsidRPr="004F6C76" w:rsidRDefault="00512402" w:rsidP="005553FD">
            <w:pPr>
              <w:pStyle w:val="SingleTxtG"/>
              <w:keepNext/>
              <w:ind w:left="0" w:right="0"/>
              <w:jc w:val="left"/>
              <w:rPr>
                <w:i/>
                <w:iCs/>
                <w:lang w:val="es-ES"/>
              </w:rPr>
            </w:pPr>
            <w:r w:rsidRPr="004F6C76">
              <w:rPr>
                <w:i/>
                <w:iCs/>
                <w:lang w:val="es-ES"/>
              </w:rPr>
              <w:t>Cuestiones de fondo</w:t>
            </w:r>
            <w:r w:rsidR="006A31AE" w:rsidRPr="004F6C76">
              <w:rPr>
                <w:i/>
                <w:iCs/>
                <w:lang w:val="es-ES"/>
              </w:rPr>
              <w:t>:</w:t>
            </w:r>
          </w:p>
        </w:tc>
        <w:tc>
          <w:tcPr>
            <w:tcW w:w="4110" w:type="dxa"/>
          </w:tcPr>
          <w:p w14:paraId="23B2C919" w14:textId="77777777" w:rsidR="006A31AE" w:rsidRPr="004F6C76" w:rsidRDefault="00634FCE" w:rsidP="0063191B">
            <w:pPr>
              <w:keepNext/>
              <w:spacing w:after="120"/>
              <w:rPr>
                <w:lang w:val="es-ES_tradnl"/>
              </w:rPr>
            </w:pPr>
            <w:r>
              <w:rPr>
                <w:lang w:val="es-ES"/>
              </w:rPr>
              <w:t>Debido proceso/juicio justo</w:t>
            </w:r>
            <w:r w:rsidR="0061787F" w:rsidRPr="0061787F">
              <w:rPr>
                <w:lang w:val="es-ES"/>
              </w:rPr>
              <w:t xml:space="preserve">; </w:t>
            </w:r>
            <w:r>
              <w:rPr>
                <w:lang w:val="es-ES"/>
              </w:rPr>
              <w:t xml:space="preserve">presunción de inocencia; derecho a la revisión de la condena y la pena; </w:t>
            </w:r>
            <w:proofErr w:type="spellStart"/>
            <w:r w:rsidR="0061787F" w:rsidRPr="0063191B">
              <w:rPr>
                <w:i/>
                <w:lang w:val="es-ES"/>
              </w:rPr>
              <w:t>nullum</w:t>
            </w:r>
            <w:proofErr w:type="spellEnd"/>
            <w:r w:rsidR="0061787F" w:rsidRPr="0063191B">
              <w:rPr>
                <w:i/>
                <w:lang w:val="es-ES"/>
              </w:rPr>
              <w:t xml:space="preserve"> crimen</w:t>
            </w:r>
            <w:r w:rsidR="0061787F">
              <w:rPr>
                <w:lang w:val="es-ES"/>
              </w:rPr>
              <w:t xml:space="preserve">; </w:t>
            </w:r>
            <w:r>
              <w:rPr>
                <w:lang w:val="es-ES"/>
              </w:rPr>
              <w:t>injerencia ilegal</w:t>
            </w:r>
            <w:r w:rsidR="00FE6AF5">
              <w:rPr>
                <w:lang w:val="es-ES"/>
              </w:rPr>
              <w:t>; discriminación</w:t>
            </w:r>
            <w:r w:rsidR="002818D1" w:rsidRPr="004F6C76">
              <w:rPr>
                <w:lang w:val="es-ES"/>
              </w:rPr>
              <w:t>.</w:t>
            </w:r>
          </w:p>
        </w:tc>
      </w:tr>
      <w:tr w:rsidR="0036554A" w:rsidRPr="004D34AB" w14:paraId="60463600" w14:textId="77777777" w:rsidTr="0063191B">
        <w:tc>
          <w:tcPr>
            <w:tcW w:w="2694" w:type="dxa"/>
          </w:tcPr>
          <w:p w14:paraId="6044DE2B" w14:textId="77777777" w:rsidR="006A31AE" w:rsidRPr="004F6C76" w:rsidRDefault="00512402" w:rsidP="005553FD">
            <w:pPr>
              <w:pStyle w:val="SingleTxtG"/>
              <w:ind w:left="0" w:right="0"/>
              <w:jc w:val="left"/>
              <w:rPr>
                <w:i/>
                <w:iCs/>
                <w:lang w:val="es-ES"/>
              </w:rPr>
            </w:pPr>
            <w:r w:rsidRPr="004F6C76">
              <w:rPr>
                <w:i/>
                <w:iCs/>
                <w:lang w:val="es-ES_tradnl"/>
              </w:rPr>
              <w:t>Artículos del Pacto</w:t>
            </w:r>
            <w:r w:rsidR="006A31AE" w:rsidRPr="004F6C76">
              <w:rPr>
                <w:i/>
                <w:lang w:val="es-ES"/>
              </w:rPr>
              <w:t>:</w:t>
            </w:r>
          </w:p>
        </w:tc>
        <w:tc>
          <w:tcPr>
            <w:tcW w:w="4110" w:type="dxa"/>
          </w:tcPr>
          <w:p w14:paraId="4D0BFF19" w14:textId="02530696" w:rsidR="006A31AE" w:rsidRPr="004F6C76" w:rsidRDefault="00FE6AF5" w:rsidP="0063191B">
            <w:pPr>
              <w:pStyle w:val="SingleTxtG"/>
              <w:ind w:left="0" w:right="0"/>
              <w:jc w:val="left"/>
              <w:rPr>
                <w:lang w:val="es-ES"/>
              </w:rPr>
            </w:pPr>
            <w:proofErr w:type="gramStart"/>
            <w:r w:rsidRPr="00F43229">
              <w:rPr>
                <w:rFonts w:eastAsia="Calibri"/>
                <w:lang w:val="es-ES_tradnl"/>
              </w:rPr>
              <w:t>2</w:t>
            </w:r>
            <w:r w:rsidR="004D34AB">
              <w:rPr>
                <w:rFonts w:eastAsia="Calibri"/>
                <w:lang w:val="es-ES_tradnl"/>
              </w:rPr>
              <w:t>,párr.</w:t>
            </w:r>
            <w:proofErr w:type="gramEnd"/>
            <w:r w:rsidR="004D34AB">
              <w:rPr>
                <w:rFonts w:eastAsia="Calibri"/>
                <w:lang w:val="es-ES_tradnl"/>
              </w:rPr>
              <w:t xml:space="preserve"> </w:t>
            </w:r>
            <w:r w:rsidRPr="00F43229">
              <w:rPr>
                <w:rFonts w:eastAsia="Calibri"/>
                <w:lang w:val="es-ES_tradnl"/>
              </w:rPr>
              <w:t>3)</w:t>
            </w:r>
            <w:r w:rsidR="004D34AB">
              <w:rPr>
                <w:rFonts w:eastAsia="Calibri"/>
                <w:lang w:val="es-ES_tradnl"/>
              </w:rPr>
              <w:t>;</w:t>
            </w:r>
            <w:r w:rsidRPr="00F43229">
              <w:rPr>
                <w:rFonts w:eastAsia="Calibri"/>
                <w:lang w:val="es-ES_tradnl"/>
              </w:rPr>
              <w:t xml:space="preserve"> 14</w:t>
            </w:r>
            <w:r w:rsidR="004D34AB">
              <w:rPr>
                <w:rFonts w:eastAsia="Calibri"/>
                <w:lang w:val="es-ES_tradnl"/>
              </w:rPr>
              <w:t xml:space="preserve">, </w:t>
            </w:r>
            <w:proofErr w:type="spellStart"/>
            <w:r w:rsidR="004D34AB">
              <w:rPr>
                <w:rFonts w:eastAsia="Calibri"/>
                <w:lang w:val="es-ES_tradnl"/>
              </w:rPr>
              <w:t>párrs</w:t>
            </w:r>
            <w:proofErr w:type="spellEnd"/>
            <w:r w:rsidR="004D34AB">
              <w:rPr>
                <w:rFonts w:eastAsia="Calibri"/>
                <w:lang w:val="es-ES_tradnl"/>
              </w:rPr>
              <w:t xml:space="preserve">. </w:t>
            </w:r>
            <w:r w:rsidRPr="00F43229">
              <w:rPr>
                <w:rFonts w:eastAsia="Calibri"/>
                <w:lang w:val="es-ES_tradnl"/>
              </w:rPr>
              <w:t>1</w:t>
            </w:r>
            <w:r w:rsidR="008B5C1B">
              <w:rPr>
                <w:rFonts w:eastAsia="Calibri"/>
                <w:lang w:val="es-ES_tradnl"/>
              </w:rPr>
              <w:t xml:space="preserve">, 2, 3 y </w:t>
            </w:r>
            <w:r w:rsidRPr="00F43229">
              <w:rPr>
                <w:rFonts w:eastAsia="Calibri"/>
                <w:lang w:val="es-ES_tradnl"/>
              </w:rPr>
              <w:t>5</w:t>
            </w:r>
            <w:r w:rsidR="004D34AB">
              <w:rPr>
                <w:rFonts w:eastAsia="Calibri"/>
                <w:lang w:val="es-ES_tradnl"/>
              </w:rPr>
              <w:t>;</w:t>
            </w:r>
            <w:r w:rsidRPr="00F43229">
              <w:rPr>
                <w:rFonts w:eastAsia="Calibri"/>
                <w:lang w:val="es-ES_tradnl"/>
              </w:rPr>
              <w:t xml:space="preserve"> </w:t>
            </w:r>
            <w:r w:rsidR="00057D98">
              <w:rPr>
                <w:rFonts w:eastAsia="Calibri"/>
                <w:lang w:val="es-ES_tradnl"/>
              </w:rPr>
              <w:t>15</w:t>
            </w:r>
            <w:r w:rsidR="004D34AB">
              <w:rPr>
                <w:rFonts w:eastAsia="Calibri"/>
                <w:lang w:val="es-ES_tradnl"/>
              </w:rPr>
              <w:t>;</w:t>
            </w:r>
            <w:r w:rsidR="00057D98">
              <w:rPr>
                <w:rFonts w:eastAsia="Calibri"/>
                <w:lang w:val="es-ES_tradnl"/>
              </w:rPr>
              <w:t xml:space="preserve"> </w:t>
            </w:r>
            <w:r w:rsidRPr="00F43229">
              <w:rPr>
                <w:rFonts w:eastAsia="Calibri"/>
                <w:lang w:val="es-ES_tradnl"/>
              </w:rPr>
              <w:t>17</w:t>
            </w:r>
            <w:r w:rsidR="004D34AB">
              <w:rPr>
                <w:rFonts w:eastAsia="Calibri"/>
                <w:lang w:val="es-ES_tradnl"/>
              </w:rPr>
              <w:t>;</w:t>
            </w:r>
            <w:r w:rsidRPr="00F43229">
              <w:rPr>
                <w:rFonts w:eastAsia="Calibri"/>
                <w:lang w:val="es-ES_tradnl"/>
              </w:rPr>
              <w:t xml:space="preserve"> 19 y 26</w:t>
            </w:r>
          </w:p>
        </w:tc>
      </w:tr>
      <w:tr w:rsidR="0036554A" w:rsidRPr="004D34AB" w14:paraId="05540732" w14:textId="77777777" w:rsidTr="0063191B">
        <w:tc>
          <w:tcPr>
            <w:tcW w:w="2694" w:type="dxa"/>
          </w:tcPr>
          <w:p w14:paraId="009288A1" w14:textId="77777777" w:rsidR="006A31AE" w:rsidRPr="009D13E8" w:rsidRDefault="00F907E8" w:rsidP="005553FD">
            <w:pPr>
              <w:pStyle w:val="SingleTxtG"/>
              <w:ind w:left="0" w:right="0"/>
              <w:jc w:val="left"/>
              <w:rPr>
                <w:i/>
                <w:iCs/>
                <w:lang w:val="es-ES"/>
              </w:rPr>
            </w:pPr>
            <w:r w:rsidRPr="009D13E8">
              <w:rPr>
                <w:i/>
                <w:iCs/>
                <w:lang w:val="es-ES_tradnl"/>
              </w:rPr>
              <w:t>Artículos del Protocolo Facultativo</w:t>
            </w:r>
            <w:r w:rsidR="006A31AE" w:rsidRPr="009D13E8">
              <w:rPr>
                <w:i/>
                <w:iCs/>
                <w:lang w:val="es-ES"/>
              </w:rPr>
              <w:t>:</w:t>
            </w:r>
          </w:p>
        </w:tc>
        <w:tc>
          <w:tcPr>
            <w:tcW w:w="4110" w:type="dxa"/>
          </w:tcPr>
          <w:p w14:paraId="109027D0" w14:textId="4949EFA5" w:rsidR="006A31AE" w:rsidRPr="009D13E8" w:rsidRDefault="007E0406" w:rsidP="004D34AB">
            <w:pPr>
              <w:pStyle w:val="SingleTxtG"/>
              <w:ind w:left="0" w:right="0"/>
              <w:jc w:val="left"/>
              <w:rPr>
                <w:lang w:val="es-ES"/>
              </w:rPr>
            </w:pPr>
            <w:r>
              <w:rPr>
                <w:lang w:val="es-ES"/>
              </w:rPr>
              <w:t>1</w:t>
            </w:r>
            <w:r w:rsidR="004D34AB">
              <w:rPr>
                <w:lang w:val="es-ES"/>
              </w:rPr>
              <w:t>;</w:t>
            </w:r>
            <w:r>
              <w:rPr>
                <w:lang w:val="es-ES"/>
              </w:rPr>
              <w:t xml:space="preserve"> </w:t>
            </w:r>
            <w:r w:rsidR="004E0517">
              <w:rPr>
                <w:lang w:val="es-ES"/>
              </w:rPr>
              <w:t>2</w:t>
            </w:r>
            <w:r w:rsidR="004D34AB">
              <w:rPr>
                <w:lang w:val="es-ES"/>
              </w:rPr>
              <w:t>;</w:t>
            </w:r>
            <w:r w:rsidR="00F81F10">
              <w:rPr>
                <w:lang w:val="es-ES"/>
              </w:rPr>
              <w:t xml:space="preserve"> 3</w:t>
            </w:r>
            <w:r w:rsidR="004D34AB">
              <w:rPr>
                <w:lang w:val="es-ES"/>
              </w:rPr>
              <w:t>;</w:t>
            </w:r>
            <w:r w:rsidR="00F81F10">
              <w:rPr>
                <w:lang w:val="es-ES"/>
              </w:rPr>
              <w:t xml:space="preserve"> 5</w:t>
            </w:r>
            <w:r w:rsidR="004D34AB">
              <w:rPr>
                <w:lang w:val="es-ES"/>
              </w:rPr>
              <w:t xml:space="preserve">, </w:t>
            </w:r>
            <w:proofErr w:type="spellStart"/>
            <w:r w:rsidR="004D34AB">
              <w:rPr>
                <w:lang w:val="es-ES"/>
              </w:rPr>
              <w:t>párrs</w:t>
            </w:r>
            <w:proofErr w:type="spellEnd"/>
            <w:r w:rsidR="004D34AB">
              <w:rPr>
                <w:lang w:val="es-ES"/>
              </w:rPr>
              <w:t xml:space="preserve">. </w:t>
            </w:r>
            <w:r w:rsidR="00F81F10">
              <w:rPr>
                <w:lang w:val="es-ES"/>
              </w:rPr>
              <w:t>2 (a)</w:t>
            </w:r>
            <w:r w:rsidR="00C42EF5">
              <w:rPr>
                <w:lang w:val="es-ES"/>
              </w:rPr>
              <w:t xml:space="preserve"> </w:t>
            </w:r>
            <w:r w:rsidR="00DC1DA9">
              <w:rPr>
                <w:lang w:val="es-ES"/>
              </w:rPr>
              <w:t>y 2(b)</w:t>
            </w:r>
          </w:p>
        </w:tc>
      </w:tr>
    </w:tbl>
    <w:p w14:paraId="1A965D07" w14:textId="0278B19D" w:rsidR="00AB46A3" w:rsidRDefault="0063191B" w:rsidP="0063191B">
      <w:pPr>
        <w:pStyle w:val="SingleTxtG"/>
        <w:rPr>
          <w:lang w:val="es-ES"/>
        </w:rPr>
      </w:pPr>
      <w:r>
        <w:rPr>
          <w:lang w:val="es-ES"/>
        </w:rPr>
        <w:t>1.1</w:t>
      </w:r>
      <w:r>
        <w:rPr>
          <w:lang w:val="es-ES"/>
        </w:rPr>
        <w:tab/>
      </w:r>
      <w:r w:rsidR="00F43229" w:rsidRPr="00F43229">
        <w:rPr>
          <w:rFonts w:eastAsia="Calibri"/>
          <w:lang w:val="es-ES_tradnl"/>
        </w:rPr>
        <w:t xml:space="preserve">El autor de la comunicación es el Sr. Baltasar Garzón, ciudadano español </w:t>
      </w:r>
      <w:r w:rsidR="00C646D0">
        <w:rPr>
          <w:rFonts w:eastAsia="Calibri"/>
          <w:lang w:val="es-ES_tradnl"/>
        </w:rPr>
        <w:t>nacido en 1955</w:t>
      </w:r>
      <w:r w:rsidR="00F43229" w:rsidRPr="00F43229">
        <w:rPr>
          <w:rFonts w:eastAsia="Calibri"/>
          <w:lang w:val="es-ES_tradnl"/>
        </w:rPr>
        <w:t xml:space="preserve">. </w:t>
      </w:r>
      <w:r w:rsidR="00F43229">
        <w:rPr>
          <w:rFonts w:eastAsia="Calibri"/>
          <w:lang w:val="es-ES_tradnl"/>
        </w:rPr>
        <w:t>A</w:t>
      </w:r>
      <w:r w:rsidR="00F43229" w:rsidRPr="00F43229">
        <w:rPr>
          <w:rFonts w:eastAsia="Calibri"/>
          <w:lang w:val="es-ES_tradnl"/>
        </w:rPr>
        <w:t xml:space="preserve">lega </w:t>
      </w:r>
      <w:r w:rsidR="0029621F">
        <w:rPr>
          <w:rFonts w:eastAsia="Calibri"/>
          <w:lang w:val="es-ES_tradnl"/>
        </w:rPr>
        <w:t>que el Estado parte violó</w:t>
      </w:r>
      <w:r w:rsidR="00F43229" w:rsidRPr="00F43229">
        <w:rPr>
          <w:rFonts w:eastAsia="Calibri"/>
          <w:lang w:val="es-ES_tradnl"/>
        </w:rPr>
        <w:t xml:space="preserve"> sus derechos </w:t>
      </w:r>
      <w:r w:rsidR="0029621F">
        <w:rPr>
          <w:rFonts w:eastAsia="Calibri"/>
          <w:lang w:val="es-ES_tradnl"/>
        </w:rPr>
        <w:t>reconocidos</w:t>
      </w:r>
      <w:r w:rsidR="00F43229" w:rsidRPr="00F43229">
        <w:rPr>
          <w:rFonts w:eastAsia="Calibri"/>
          <w:lang w:val="es-ES_tradnl"/>
        </w:rPr>
        <w:t xml:space="preserve"> en los artículos 2</w:t>
      </w:r>
      <w:r w:rsidR="00C969C5">
        <w:rPr>
          <w:rFonts w:eastAsia="Calibri"/>
          <w:lang w:val="es-ES_tradnl"/>
        </w:rPr>
        <w:t>, párrafo 3</w:t>
      </w:r>
      <w:r w:rsidR="007F1660">
        <w:rPr>
          <w:rFonts w:eastAsia="Calibri"/>
          <w:lang w:val="es-ES_tradnl"/>
        </w:rPr>
        <w:t>;</w:t>
      </w:r>
      <w:r w:rsidR="00F43229" w:rsidRPr="00F43229">
        <w:rPr>
          <w:rFonts w:eastAsia="Calibri"/>
          <w:lang w:val="es-ES_tradnl"/>
        </w:rPr>
        <w:t xml:space="preserve"> 14</w:t>
      </w:r>
      <w:r w:rsidR="007F1660">
        <w:rPr>
          <w:rFonts w:eastAsia="Calibri"/>
          <w:lang w:val="es-ES_tradnl"/>
        </w:rPr>
        <w:t xml:space="preserve">, párrafos 1, 2, 3 y 5; </w:t>
      </w:r>
      <w:r w:rsidR="00057D98">
        <w:rPr>
          <w:rFonts w:eastAsia="Calibri"/>
          <w:lang w:val="es-ES_tradnl"/>
        </w:rPr>
        <w:t>15</w:t>
      </w:r>
      <w:r w:rsidR="00057D98">
        <w:rPr>
          <w:rFonts w:eastAsia="Calibri"/>
          <w:lang w:val="es-ES"/>
        </w:rPr>
        <w:t xml:space="preserve">; </w:t>
      </w:r>
      <w:r w:rsidR="00F43229" w:rsidRPr="00F43229">
        <w:rPr>
          <w:rFonts w:eastAsia="Calibri"/>
          <w:lang w:val="es-ES_tradnl"/>
        </w:rPr>
        <w:t>17</w:t>
      </w:r>
      <w:r w:rsidR="007F1660">
        <w:rPr>
          <w:rFonts w:eastAsia="Calibri"/>
          <w:lang w:val="es-ES_tradnl"/>
        </w:rPr>
        <w:t xml:space="preserve">; </w:t>
      </w:r>
      <w:r w:rsidR="00C969C5">
        <w:rPr>
          <w:rFonts w:eastAsia="Calibri"/>
          <w:lang w:val="es-ES_tradnl"/>
        </w:rPr>
        <w:t>19 y 26 del Pacto</w:t>
      </w:r>
      <w:r w:rsidR="00F43229" w:rsidRPr="00F43229">
        <w:rPr>
          <w:rFonts w:eastAsia="Calibri"/>
          <w:lang w:val="es-ES_tradnl"/>
        </w:rPr>
        <w:t xml:space="preserve">. </w:t>
      </w:r>
      <w:r w:rsidR="00CB1491" w:rsidRPr="00025907">
        <w:rPr>
          <w:lang w:val="es-ES"/>
        </w:rPr>
        <w:t>El Protocolo Facultativo entró en vigor para</w:t>
      </w:r>
      <w:r w:rsidR="00DE79CF">
        <w:rPr>
          <w:lang w:val="es-ES"/>
        </w:rPr>
        <w:t xml:space="preserve"> el Estado parte</w:t>
      </w:r>
      <w:r w:rsidR="00D170F2">
        <w:rPr>
          <w:lang w:val="es-ES"/>
        </w:rPr>
        <w:t xml:space="preserve"> el 2</w:t>
      </w:r>
      <w:r w:rsidR="00644F1C">
        <w:rPr>
          <w:lang w:val="es-ES"/>
        </w:rPr>
        <w:t>5</w:t>
      </w:r>
      <w:r w:rsidR="00D170F2">
        <w:rPr>
          <w:lang w:val="es-ES"/>
        </w:rPr>
        <w:t xml:space="preserve"> de abril de 1985</w:t>
      </w:r>
      <w:r w:rsidR="00CB1491" w:rsidRPr="00025907">
        <w:rPr>
          <w:lang w:val="es-ES"/>
        </w:rPr>
        <w:t>.</w:t>
      </w:r>
      <w:r w:rsidR="00F43229" w:rsidRPr="00F43229">
        <w:rPr>
          <w:sz w:val="22"/>
          <w:szCs w:val="22"/>
          <w:lang w:val="es-ES"/>
        </w:rPr>
        <w:t xml:space="preserve"> </w:t>
      </w:r>
      <w:r w:rsidR="00F43229" w:rsidRPr="00F43229">
        <w:rPr>
          <w:lang w:val="es-ES"/>
        </w:rPr>
        <w:t>El autor está representado.</w:t>
      </w:r>
    </w:p>
    <w:p w14:paraId="53022823" w14:textId="6C47D46D" w:rsidR="00441288" w:rsidRDefault="0063191B" w:rsidP="0063191B">
      <w:pPr>
        <w:pStyle w:val="SingleTxtG"/>
        <w:rPr>
          <w:lang w:val="es-ES"/>
        </w:rPr>
      </w:pPr>
      <w:r>
        <w:rPr>
          <w:lang w:val="es-ES"/>
        </w:rPr>
        <w:lastRenderedPageBreak/>
        <w:t>1.2</w:t>
      </w:r>
      <w:r>
        <w:rPr>
          <w:lang w:val="es-ES"/>
        </w:rPr>
        <w:tab/>
      </w:r>
      <w:r w:rsidR="00F43229" w:rsidRPr="00934137">
        <w:rPr>
          <w:color w:val="000000"/>
          <w:lang w:val="es-ES"/>
        </w:rPr>
        <w:t>El autor ejerció como juez en el Estado parte durante 31 años</w:t>
      </w:r>
      <w:r w:rsidR="00DC1B5A">
        <w:rPr>
          <w:color w:val="000000"/>
          <w:lang w:val="es-ES"/>
        </w:rPr>
        <w:t>,</w:t>
      </w:r>
      <w:r w:rsidR="00C33E98">
        <w:rPr>
          <w:color w:val="000000"/>
          <w:lang w:val="es-ES"/>
        </w:rPr>
        <w:t xml:space="preserve"> 22 de</w:t>
      </w:r>
      <w:r w:rsidR="00DC1B5A">
        <w:rPr>
          <w:color w:val="000000"/>
          <w:lang w:val="es-ES"/>
        </w:rPr>
        <w:t xml:space="preserve"> los cuales</w:t>
      </w:r>
      <w:r w:rsidR="00C33E98">
        <w:rPr>
          <w:color w:val="000000"/>
          <w:lang w:val="es-ES"/>
        </w:rPr>
        <w:t xml:space="preserve"> </w:t>
      </w:r>
      <w:r w:rsidR="00DC1B5A">
        <w:rPr>
          <w:color w:val="000000"/>
          <w:lang w:val="es-ES"/>
        </w:rPr>
        <w:t>se desempeñó</w:t>
      </w:r>
      <w:r w:rsidR="00C33E98">
        <w:rPr>
          <w:color w:val="000000"/>
          <w:lang w:val="es-ES"/>
        </w:rPr>
        <w:t xml:space="preserve"> como </w:t>
      </w:r>
      <w:r w:rsidR="00F43229" w:rsidRPr="00934137">
        <w:rPr>
          <w:color w:val="000000"/>
          <w:lang w:val="es-ES"/>
        </w:rPr>
        <w:t xml:space="preserve">magistrado </w:t>
      </w:r>
      <w:r w:rsidR="009D1706">
        <w:rPr>
          <w:color w:val="000000"/>
          <w:lang w:val="es-ES"/>
        </w:rPr>
        <w:t xml:space="preserve">titular </w:t>
      </w:r>
      <w:r w:rsidR="00F43229" w:rsidRPr="00934137">
        <w:rPr>
          <w:color w:val="000000"/>
          <w:lang w:val="es-ES"/>
        </w:rPr>
        <w:t>del Juzgado Central de Instrucción N</w:t>
      </w:r>
      <w:r w:rsidR="00424BE4">
        <w:rPr>
          <w:color w:val="000000"/>
          <w:lang w:val="es-ES"/>
        </w:rPr>
        <w:t>úm</w:t>
      </w:r>
      <w:r w:rsidR="00F43229" w:rsidRPr="00934137">
        <w:rPr>
          <w:color w:val="000000"/>
          <w:lang w:val="es-ES"/>
        </w:rPr>
        <w:t>. 5 de la Audiencia Nacional. E</w:t>
      </w:r>
      <w:r w:rsidR="00E152A1">
        <w:rPr>
          <w:color w:val="000000"/>
          <w:lang w:val="es-ES"/>
        </w:rPr>
        <w:t xml:space="preserve">n esa capacidad, </w:t>
      </w:r>
      <w:r w:rsidR="00F43229" w:rsidRPr="00934137">
        <w:rPr>
          <w:color w:val="000000"/>
          <w:lang w:val="es-ES"/>
        </w:rPr>
        <w:t>estuvo a cargo</w:t>
      </w:r>
      <w:r w:rsidR="00E152A1">
        <w:rPr>
          <w:color w:val="000000"/>
          <w:lang w:val="es-ES"/>
        </w:rPr>
        <w:t xml:space="preserve"> </w:t>
      </w:r>
      <w:r w:rsidR="00F43229" w:rsidRPr="00934137">
        <w:rPr>
          <w:color w:val="000000"/>
          <w:lang w:val="es-ES"/>
        </w:rPr>
        <w:t xml:space="preserve">de las investigaciones </w:t>
      </w:r>
      <w:r w:rsidR="006F39D0">
        <w:rPr>
          <w:color w:val="000000"/>
          <w:lang w:val="es-ES"/>
        </w:rPr>
        <w:t xml:space="preserve">en dos casos </w:t>
      </w:r>
      <w:r w:rsidR="00195DDD">
        <w:rPr>
          <w:color w:val="000000"/>
          <w:lang w:val="es-ES"/>
        </w:rPr>
        <w:t>de</w:t>
      </w:r>
      <w:r w:rsidR="006F39D0">
        <w:rPr>
          <w:color w:val="000000"/>
          <w:lang w:val="es-ES"/>
        </w:rPr>
        <w:t xml:space="preserve"> </w:t>
      </w:r>
      <w:r w:rsidR="00DC3119">
        <w:rPr>
          <w:color w:val="000000"/>
          <w:lang w:val="es-ES"/>
        </w:rPr>
        <w:t xml:space="preserve">gran </w:t>
      </w:r>
      <w:r w:rsidR="006F39D0">
        <w:rPr>
          <w:color w:val="000000"/>
          <w:lang w:val="es-ES"/>
        </w:rPr>
        <w:t>relevancia política</w:t>
      </w:r>
      <w:r w:rsidR="008E2C3C">
        <w:rPr>
          <w:color w:val="000000"/>
          <w:lang w:val="es-ES"/>
        </w:rPr>
        <w:t xml:space="preserve"> a nivel nacional</w:t>
      </w:r>
      <w:r w:rsidR="006F39D0">
        <w:rPr>
          <w:color w:val="000000"/>
          <w:lang w:val="es-ES"/>
        </w:rPr>
        <w:t xml:space="preserve">, a saber, </w:t>
      </w:r>
      <w:r w:rsidR="00F43229" w:rsidRPr="00934137">
        <w:rPr>
          <w:color w:val="000000"/>
          <w:lang w:val="es-ES"/>
        </w:rPr>
        <w:t xml:space="preserve">un caso por delitos de lesa humanidad </w:t>
      </w:r>
      <w:r w:rsidR="003A431B">
        <w:rPr>
          <w:color w:val="000000"/>
          <w:lang w:val="es-ES"/>
        </w:rPr>
        <w:t xml:space="preserve">cometidos </w:t>
      </w:r>
      <w:r w:rsidR="00F43229" w:rsidRPr="00934137">
        <w:rPr>
          <w:color w:val="000000"/>
          <w:lang w:val="es-ES"/>
        </w:rPr>
        <w:t xml:space="preserve">durante </w:t>
      </w:r>
      <w:r w:rsidR="003A431B">
        <w:rPr>
          <w:color w:val="000000"/>
          <w:lang w:val="es-ES"/>
        </w:rPr>
        <w:t xml:space="preserve">la dictadura </w:t>
      </w:r>
      <w:r w:rsidR="00D95361">
        <w:rPr>
          <w:color w:val="000000"/>
          <w:lang w:val="es-ES"/>
        </w:rPr>
        <w:t>franquista</w:t>
      </w:r>
      <w:r w:rsidR="00491716">
        <w:rPr>
          <w:color w:val="000000"/>
          <w:lang w:val="es-ES"/>
        </w:rPr>
        <w:t xml:space="preserve"> (</w:t>
      </w:r>
      <w:r w:rsidR="00491716" w:rsidRPr="00934137">
        <w:rPr>
          <w:color w:val="000000"/>
          <w:lang w:val="es-ES"/>
        </w:rPr>
        <w:t>“</w:t>
      </w:r>
      <w:r w:rsidR="00491716">
        <w:rPr>
          <w:color w:val="000000"/>
          <w:lang w:val="es-ES"/>
        </w:rPr>
        <w:t>caso Franquismo</w:t>
      </w:r>
      <w:r w:rsidR="00491716" w:rsidRPr="00934137">
        <w:rPr>
          <w:color w:val="000000"/>
          <w:lang w:val="es-ES"/>
        </w:rPr>
        <w:t>”</w:t>
      </w:r>
      <w:r w:rsidR="00491716">
        <w:rPr>
          <w:color w:val="000000"/>
          <w:lang w:val="es-ES"/>
        </w:rPr>
        <w:t>)</w:t>
      </w:r>
      <w:r w:rsidR="006F39D0">
        <w:rPr>
          <w:color w:val="000000"/>
          <w:lang w:val="es-ES"/>
        </w:rPr>
        <w:t xml:space="preserve"> y</w:t>
      </w:r>
      <w:r w:rsidR="00F43229" w:rsidRPr="00934137">
        <w:rPr>
          <w:color w:val="000000"/>
          <w:lang w:val="es-ES"/>
        </w:rPr>
        <w:t xml:space="preserve"> un caso de corrupción en </w:t>
      </w:r>
      <w:r w:rsidR="003D54B2">
        <w:rPr>
          <w:color w:val="000000"/>
          <w:lang w:val="es-ES"/>
        </w:rPr>
        <w:t xml:space="preserve">el </w:t>
      </w:r>
      <w:r w:rsidR="00F43229" w:rsidRPr="00934137">
        <w:rPr>
          <w:color w:val="000000"/>
          <w:lang w:val="es-ES"/>
        </w:rPr>
        <w:t>partido político</w:t>
      </w:r>
      <w:r w:rsidR="003D54B2">
        <w:rPr>
          <w:color w:val="000000"/>
          <w:lang w:val="es-ES"/>
        </w:rPr>
        <w:t xml:space="preserve"> denominado “Partido Popular”</w:t>
      </w:r>
      <w:r w:rsidR="00F43229" w:rsidRPr="00934137">
        <w:rPr>
          <w:color w:val="000000"/>
          <w:lang w:val="es-ES"/>
        </w:rPr>
        <w:t xml:space="preserve"> (“caso </w:t>
      </w:r>
      <w:proofErr w:type="spellStart"/>
      <w:r w:rsidR="00F43229" w:rsidRPr="00934137">
        <w:rPr>
          <w:color w:val="000000"/>
          <w:lang w:val="es-ES"/>
        </w:rPr>
        <w:t>Gürtel</w:t>
      </w:r>
      <w:proofErr w:type="spellEnd"/>
      <w:r w:rsidR="00F43229" w:rsidRPr="00934137">
        <w:rPr>
          <w:color w:val="000000"/>
          <w:lang w:val="es-ES"/>
        </w:rPr>
        <w:t xml:space="preserve">”). </w:t>
      </w:r>
      <w:r w:rsidR="000571C0">
        <w:rPr>
          <w:color w:val="000000"/>
          <w:lang w:val="es-ES"/>
        </w:rPr>
        <w:t>Como resultado de sus investigaciones en los dos casos señalados</w:t>
      </w:r>
      <w:r w:rsidR="00F43229" w:rsidRPr="00934137">
        <w:rPr>
          <w:color w:val="000000"/>
          <w:lang w:val="es-ES"/>
        </w:rPr>
        <w:t>, personas y entidades afectadas</w:t>
      </w:r>
      <w:r w:rsidR="00DC3119">
        <w:rPr>
          <w:color w:val="000000"/>
          <w:lang w:val="es-ES"/>
        </w:rPr>
        <w:t xml:space="preserve"> por dichas investigaciones</w:t>
      </w:r>
      <w:r w:rsidR="00F43229" w:rsidRPr="00934137">
        <w:rPr>
          <w:color w:val="000000"/>
          <w:lang w:val="es-ES"/>
        </w:rPr>
        <w:t xml:space="preserve"> </w:t>
      </w:r>
      <w:r w:rsidR="000571C0">
        <w:rPr>
          <w:color w:val="000000"/>
          <w:lang w:val="es-ES"/>
        </w:rPr>
        <w:t>presentaron</w:t>
      </w:r>
      <w:r w:rsidR="00F43229" w:rsidRPr="00934137">
        <w:rPr>
          <w:color w:val="000000"/>
          <w:lang w:val="es-ES"/>
        </w:rPr>
        <w:t xml:space="preserve"> </w:t>
      </w:r>
      <w:r w:rsidR="00270288">
        <w:rPr>
          <w:color w:val="000000"/>
          <w:lang w:val="es-ES"/>
        </w:rPr>
        <w:t xml:space="preserve">sendas </w:t>
      </w:r>
      <w:r w:rsidR="00F43229" w:rsidRPr="00934137">
        <w:rPr>
          <w:color w:val="000000"/>
          <w:lang w:val="es-ES"/>
        </w:rPr>
        <w:t xml:space="preserve">querellas contra </w:t>
      </w:r>
      <w:r w:rsidR="007D5E71">
        <w:rPr>
          <w:color w:val="000000"/>
          <w:lang w:val="es-ES"/>
        </w:rPr>
        <w:t>el autor</w:t>
      </w:r>
      <w:r w:rsidR="00F43229" w:rsidRPr="00934137">
        <w:rPr>
          <w:color w:val="000000"/>
          <w:lang w:val="es-ES"/>
        </w:rPr>
        <w:t xml:space="preserve"> por</w:t>
      </w:r>
      <w:r w:rsidR="009C003D">
        <w:rPr>
          <w:color w:val="000000"/>
          <w:lang w:val="es-ES"/>
        </w:rPr>
        <w:t xml:space="preserve"> prevaricación</w:t>
      </w:r>
      <w:r w:rsidR="00BD4A89">
        <w:rPr>
          <w:color w:val="000000"/>
          <w:lang w:val="es-ES"/>
        </w:rPr>
        <w:t>.</w:t>
      </w:r>
      <w:r w:rsidR="00F43229" w:rsidRPr="00934137">
        <w:rPr>
          <w:color w:val="000000"/>
          <w:lang w:val="es-ES"/>
        </w:rPr>
        <w:t xml:space="preserve"> </w:t>
      </w:r>
      <w:r w:rsidR="00820057" w:rsidRPr="00934137">
        <w:rPr>
          <w:color w:val="000000"/>
          <w:lang w:val="es-ES_tradnl"/>
        </w:rPr>
        <w:t xml:space="preserve">El autor alega que fue víctima de </w:t>
      </w:r>
      <w:r w:rsidR="00820057">
        <w:rPr>
          <w:color w:val="000000"/>
          <w:lang w:val="es-ES_tradnl"/>
        </w:rPr>
        <w:t xml:space="preserve">persecución y </w:t>
      </w:r>
      <w:r w:rsidR="00820057" w:rsidRPr="00934137">
        <w:rPr>
          <w:color w:val="000000"/>
          <w:lang w:val="es-ES_tradnl"/>
        </w:rPr>
        <w:t xml:space="preserve">represalias </w:t>
      </w:r>
      <w:r w:rsidR="00820057">
        <w:rPr>
          <w:color w:val="000000"/>
          <w:lang w:val="es-ES"/>
        </w:rPr>
        <w:t xml:space="preserve">por su investigación </w:t>
      </w:r>
      <w:r w:rsidR="00F9593B">
        <w:rPr>
          <w:color w:val="000000"/>
          <w:lang w:val="es-ES"/>
        </w:rPr>
        <w:t xml:space="preserve">en </w:t>
      </w:r>
      <w:r w:rsidR="00197FC3">
        <w:rPr>
          <w:color w:val="000000"/>
          <w:lang w:val="es-ES"/>
        </w:rPr>
        <w:t>ambos casos</w:t>
      </w:r>
      <w:r w:rsidR="00820057" w:rsidRPr="00934137">
        <w:rPr>
          <w:color w:val="000000"/>
          <w:lang w:val="es-ES"/>
        </w:rPr>
        <w:t xml:space="preserve">. </w:t>
      </w:r>
      <w:r w:rsidR="008E2C3C">
        <w:rPr>
          <w:color w:val="000000"/>
          <w:lang w:val="es-ES_tradnl"/>
        </w:rPr>
        <w:t>Sostiene</w:t>
      </w:r>
      <w:r w:rsidR="00820057">
        <w:rPr>
          <w:color w:val="000000"/>
          <w:lang w:val="es-ES_tradnl"/>
        </w:rPr>
        <w:t xml:space="preserve"> que los tribunales que le juzgaron carecieron de imparcialidad, en violación del artículo 14</w:t>
      </w:r>
      <w:r w:rsidR="00197FC3">
        <w:rPr>
          <w:color w:val="000000"/>
          <w:lang w:val="es-ES_tradnl"/>
        </w:rPr>
        <w:t xml:space="preserve">, párrafo </w:t>
      </w:r>
      <w:r w:rsidR="00820057">
        <w:rPr>
          <w:color w:val="000000"/>
          <w:lang w:val="es-ES_tradnl"/>
        </w:rPr>
        <w:t>1 del Pacto</w:t>
      </w:r>
      <w:r w:rsidR="00996446">
        <w:rPr>
          <w:color w:val="000000"/>
          <w:lang w:val="es-ES_tradnl"/>
        </w:rPr>
        <w:t xml:space="preserve">; </w:t>
      </w:r>
      <w:r w:rsidR="00820057">
        <w:rPr>
          <w:color w:val="000000"/>
          <w:lang w:val="es-ES_tradnl"/>
        </w:rPr>
        <w:t xml:space="preserve">que se violó su derecho a la presunción de inocencia </w:t>
      </w:r>
      <w:r w:rsidR="008E2C3C">
        <w:rPr>
          <w:color w:val="000000"/>
          <w:lang w:val="es-ES_tradnl"/>
        </w:rPr>
        <w:t>reconocido</w:t>
      </w:r>
      <w:r w:rsidR="00820057">
        <w:rPr>
          <w:color w:val="000000"/>
          <w:lang w:val="es-ES_tradnl"/>
        </w:rPr>
        <w:t xml:space="preserve"> por el artículo 14</w:t>
      </w:r>
      <w:r w:rsidR="00197FC3">
        <w:rPr>
          <w:color w:val="000000"/>
          <w:lang w:val="es-ES_tradnl"/>
        </w:rPr>
        <w:t>, párrafo 2</w:t>
      </w:r>
      <w:r w:rsidR="00820057">
        <w:rPr>
          <w:color w:val="000000"/>
          <w:lang w:val="es-ES_tradnl"/>
        </w:rPr>
        <w:t xml:space="preserve"> del Pacto ya que </w:t>
      </w:r>
      <w:r w:rsidR="00820057" w:rsidRPr="00934137">
        <w:rPr>
          <w:color w:val="000000"/>
          <w:lang w:val="es-ES_tradnl"/>
        </w:rPr>
        <w:t>fue suspendido</w:t>
      </w:r>
      <w:r w:rsidR="00996446">
        <w:rPr>
          <w:color w:val="000000"/>
          <w:lang w:val="es-ES_tradnl"/>
        </w:rPr>
        <w:t xml:space="preserve"> </w:t>
      </w:r>
      <w:r w:rsidR="00820057" w:rsidRPr="00934137">
        <w:rPr>
          <w:color w:val="000000"/>
          <w:lang w:val="es-ES_tradnl"/>
        </w:rPr>
        <w:t>a raíz de las acusaciones presentadas en su contra en el caso Franquismo</w:t>
      </w:r>
      <w:r w:rsidR="00820057">
        <w:rPr>
          <w:color w:val="000000"/>
          <w:lang w:val="es-ES_tradnl"/>
        </w:rPr>
        <w:t xml:space="preserve"> antes de establecerse su culpabilidad</w:t>
      </w:r>
      <w:r w:rsidR="00996446">
        <w:rPr>
          <w:color w:val="000000"/>
          <w:lang w:val="es-ES_tradnl"/>
        </w:rPr>
        <w:t>; que</w:t>
      </w:r>
      <w:r w:rsidR="00820057" w:rsidRPr="00934137">
        <w:rPr>
          <w:color w:val="000000"/>
          <w:lang w:val="es-ES_tradnl"/>
        </w:rPr>
        <w:t xml:space="preserve"> el T</w:t>
      </w:r>
      <w:r w:rsidR="00820057">
        <w:rPr>
          <w:color w:val="000000"/>
          <w:lang w:val="es-ES_tradnl"/>
        </w:rPr>
        <w:t xml:space="preserve">ribunal </w:t>
      </w:r>
      <w:r w:rsidR="00820057" w:rsidRPr="00934137">
        <w:rPr>
          <w:color w:val="000000"/>
          <w:lang w:val="es-ES_tradnl"/>
        </w:rPr>
        <w:t>S</w:t>
      </w:r>
      <w:r w:rsidR="00820057">
        <w:rPr>
          <w:color w:val="000000"/>
          <w:lang w:val="es-ES_tradnl"/>
        </w:rPr>
        <w:t>upremo</w:t>
      </w:r>
      <w:r w:rsidR="00820057" w:rsidRPr="00934137">
        <w:rPr>
          <w:color w:val="000000"/>
          <w:lang w:val="es-ES_tradnl"/>
        </w:rPr>
        <w:t xml:space="preserve"> le denegó la oportunidad de presentar pruebas de gran relevancia </w:t>
      </w:r>
      <w:r w:rsidR="00820057">
        <w:rPr>
          <w:color w:val="000000"/>
          <w:lang w:val="es-ES_tradnl"/>
        </w:rPr>
        <w:t>en los procesos en su contra</w:t>
      </w:r>
      <w:r w:rsidR="00820057" w:rsidRPr="00934137">
        <w:rPr>
          <w:color w:val="000000"/>
          <w:lang w:val="es-ES_tradnl"/>
        </w:rPr>
        <w:t>, en violación</w:t>
      </w:r>
      <w:r w:rsidR="00197FC3">
        <w:rPr>
          <w:color w:val="000000"/>
          <w:lang w:val="es-ES_tradnl"/>
        </w:rPr>
        <w:t xml:space="preserve"> del artículo 14, párrafo 3</w:t>
      </w:r>
      <w:r w:rsidR="00820057">
        <w:rPr>
          <w:color w:val="000000"/>
          <w:lang w:val="es-ES_tradnl"/>
        </w:rPr>
        <w:t xml:space="preserve"> del Pacto</w:t>
      </w:r>
      <w:r w:rsidR="00996446">
        <w:rPr>
          <w:color w:val="000000"/>
          <w:lang w:val="es-ES_tradnl"/>
        </w:rPr>
        <w:t>; y que</w:t>
      </w:r>
      <w:r w:rsidR="00820057" w:rsidRPr="00934137">
        <w:rPr>
          <w:color w:val="000000"/>
          <w:lang w:val="es-ES_tradnl"/>
        </w:rPr>
        <w:t xml:space="preserve"> no tuvo oportunid</w:t>
      </w:r>
      <w:r w:rsidR="00820057">
        <w:rPr>
          <w:color w:val="000000"/>
          <w:lang w:val="es-ES_tradnl"/>
        </w:rPr>
        <w:t>ad de apelar su</w:t>
      </w:r>
      <w:r w:rsidR="00820057" w:rsidRPr="00934137">
        <w:rPr>
          <w:color w:val="000000"/>
          <w:lang w:val="es-ES_tradnl"/>
        </w:rPr>
        <w:t xml:space="preserve"> condena </w:t>
      </w:r>
      <w:r w:rsidR="00820057">
        <w:rPr>
          <w:color w:val="000000"/>
          <w:lang w:val="es-ES_tradnl"/>
        </w:rPr>
        <w:t xml:space="preserve">en el caso </w:t>
      </w:r>
      <w:proofErr w:type="spellStart"/>
      <w:r w:rsidR="00820057">
        <w:rPr>
          <w:color w:val="000000"/>
          <w:lang w:val="es-ES_tradnl"/>
        </w:rPr>
        <w:t>Gürtel</w:t>
      </w:r>
      <w:proofErr w:type="spellEnd"/>
      <w:r w:rsidR="00820057" w:rsidRPr="00934137">
        <w:rPr>
          <w:color w:val="000000"/>
          <w:lang w:val="es-ES_tradnl"/>
        </w:rPr>
        <w:t xml:space="preserve"> ya que la misma fue impuesta por el Tribunal Supremo</w:t>
      </w:r>
      <w:r w:rsidR="00820057">
        <w:rPr>
          <w:color w:val="000000"/>
          <w:lang w:val="es-ES_tradnl"/>
        </w:rPr>
        <w:t xml:space="preserve"> por su condición de aforad</w:t>
      </w:r>
      <w:r w:rsidR="00197FC3">
        <w:rPr>
          <w:color w:val="000000"/>
          <w:lang w:val="es-ES_tradnl"/>
        </w:rPr>
        <w:t xml:space="preserve">o, en violación del artículo 14, párrafo </w:t>
      </w:r>
      <w:r w:rsidR="00820057">
        <w:rPr>
          <w:color w:val="000000"/>
          <w:lang w:val="es-ES_tradnl"/>
        </w:rPr>
        <w:t>5 del Pacto</w:t>
      </w:r>
      <w:r w:rsidR="00820057" w:rsidRPr="00934137">
        <w:rPr>
          <w:color w:val="000000"/>
          <w:lang w:val="es-ES_tradnl"/>
        </w:rPr>
        <w:t>.</w:t>
      </w:r>
      <w:r w:rsidR="00820057" w:rsidRPr="00820057">
        <w:rPr>
          <w:color w:val="000000"/>
          <w:lang w:val="es-ES_tradnl"/>
        </w:rPr>
        <w:t xml:space="preserve"> </w:t>
      </w:r>
      <w:r w:rsidR="00820057">
        <w:rPr>
          <w:color w:val="000000"/>
          <w:lang w:val="es-ES_tradnl"/>
        </w:rPr>
        <w:t>El autor alega que fue procesado en dos ocasiones por un delito de prevaricación</w:t>
      </w:r>
      <w:r w:rsidR="00820057" w:rsidRPr="00934137">
        <w:rPr>
          <w:color w:val="000000"/>
          <w:lang w:val="es-ES_tradnl"/>
        </w:rPr>
        <w:t xml:space="preserve"> </w:t>
      </w:r>
      <w:r w:rsidR="00820057">
        <w:rPr>
          <w:color w:val="000000"/>
          <w:lang w:val="es-ES_tradnl"/>
        </w:rPr>
        <w:t xml:space="preserve">con base en una interpretación de ese delito radicalmente apartada de la jurisprudencia del Tribunal Supremo, </w:t>
      </w:r>
      <w:r w:rsidR="00197FC3">
        <w:rPr>
          <w:color w:val="000000"/>
          <w:lang w:val="es-ES_tradnl"/>
        </w:rPr>
        <w:t xml:space="preserve">en violación del </w:t>
      </w:r>
      <w:r w:rsidR="00820057" w:rsidRPr="00934137">
        <w:rPr>
          <w:color w:val="000000"/>
          <w:lang w:val="es-ES_tradnl"/>
        </w:rPr>
        <w:t>artículo 15 del Pacto.</w:t>
      </w:r>
      <w:r w:rsidR="00820057" w:rsidRPr="00820057">
        <w:rPr>
          <w:color w:val="000000"/>
          <w:lang w:val="es-ES_tradnl"/>
        </w:rPr>
        <w:t xml:space="preserve"> </w:t>
      </w:r>
      <w:r w:rsidR="00820057">
        <w:rPr>
          <w:color w:val="000000"/>
          <w:lang w:val="es-ES_tradnl"/>
        </w:rPr>
        <w:t xml:space="preserve">El autor sostiene </w:t>
      </w:r>
      <w:r w:rsidR="00996446">
        <w:rPr>
          <w:color w:val="000000"/>
          <w:lang w:val="es-ES_tradnl"/>
        </w:rPr>
        <w:t xml:space="preserve">asimismo </w:t>
      </w:r>
      <w:r w:rsidR="00820057">
        <w:rPr>
          <w:color w:val="000000"/>
          <w:lang w:val="es-ES_tradnl"/>
        </w:rPr>
        <w:t xml:space="preserve">que </w:t>
      </w:r>
      <w:r w:rsidR="00831F94">
        <w:rPr>
          <w:color w:val="000000"/>
          <w:lang w:val="es-ES_tradnl"/>
        </w:rPr>
        <w:t xml:space="preserve">el procesamiento penal en su contra, </w:t>
      </w:r>
      <w:r w:rsidR="008E2C3C">
        <w:rPr>
          <w:color w:val="000000"/>
          <w:lang w:val="es-ES_tradnl"/>
        </w:rPr>
        <w:t xml:space="preserve">su suspensión como juez </w:t>
      </w:r>
      <w:r w:rsidR="00831F94">
        <w:rPr>
          <w:color w:val="000000"/>
          <w:lang w:val="es-ES_tradnl"/>
        </w:rPr>
        <w:t xml:space="preserve">y su condena en el caso </w:t>
      </w:r>
      <w:proofErr w:type="spellStart"/>
      <w:r w:rsidR="00831F94">
        <w:rPr>
          <w:color w:val="000000"/>
          <w:lang w:val="es-ES_tradnl"/>
        </w:rPr>
        <w:t>Gürtel</w:t>
      </w:r>
      <w:proofErr w:type="spellEnd"/>
      <w:r w:rsidR="00831F94">
        <w:rPr>
          <w:color w:val="000000"/>
          <w:lang w:val="es-ES_tradnl"/>
        </w:rPr>
        <w:t xml:space="preserve"> </w:t>
      </w:r>
      <w:r w:rsidR="00996446">
        <w:rPr>
          <w:color w:val="000000"/>
          <w:lang w:val="es-ES_tradnl"/>
        </w:rPr>
        <w:t>viol</w:t>
      </w:r>
      <w:r w:rsidR="00831F94">
        <w:rPr>
          <w:color w:val="000000"/>
          <w:lang w:val="es-ES_tradnl"/>
        </w:rPr>
        <w:t>ar</w:t>
      </w:r>
      <w:r w:rsidR="000B1870">
        <w:rPr>
          <w:color w:val="000000"/>
          <w:lang w:val="es-ES_tradnl"/>
        </w:rPr>
        <w:t>o</w:t>
      </w:r>
      <w:r w:rsidR="00831F94">
        <w:rPr>
          <w:color w:val="000000"/>
          <w:lang w:val="es-ES_tradnl"/>
        </w:rPr>
        <w:t xml:space="preserve">n </w:t>
      </w:r>
      <w:r w:rsidR="00996446">
        <w:rPr>
          <w:color w:val="000000"/>
          <w:lang w:val="es-ES_tradnl"/>
        </w:rPr>
        <w:t>los artículos 17, 19 y</w:t>
      </w:r>
      <w:r w:rsidR="00441288">
        <w:rPr>
          <w:color w:val="000000"/>
          <w:lang w:val="es-ES_tradnl"/>
        </w:rPr>
        <w:t xml:space="preserve"> 26 del Pacto</w:t>
      </w:r>
      <w:r w:rsidR="00996446">
        <w:rPr>
          <w:color w:val="000000"/>
          <w:lang w:val="es-ES_tradnl"/>
        </w:rPr>
        <w:t>.</w:t>
      </w:r>
      <w:r w:rsidR="00441288">
        <w:rPr>
          <w:color w:val="000000"/>
          <w:lang w:val="es-ES_tradnl"/>
        </w:rPr>
        <w:t xml:space="preserve"> </w:t>
      </w:r>
      <w:r w:rsidR="00197FC3">
        <w:rPr>
          <w:color w:val="000000"/>
          <w:lang w:val="es-ES_tradnl"/>
        </w:rPr>
        <w:t>Por último, alega que</w:t>
      </w:r>
      <w:r w:rsidR="008E2C3C">
        <w:rPr>
          <w:color w:val="000000"/>
          <w:lang w:val="es-ES_tradnl"/>
        </w:rPr>
        <w:t xml:space="preserve"> </w:t>
      </w:r>
      <w:r w:rsidR="00441288" w:rsidRPr="00934137">
        <w:rPr>
          <w:color w:val="000000"/>
          <w:lang w:val="es-ES_tradnl"/>
        </w:rPr>
        <w:t xml:space="preserve">no contó con </w:t>
      </w:r>
      <w:r w:rsidR="00441288">
        <w:rPr>
          <w:color w:val="000000"/>
          <w:lang w:val="es-ES_tradnl"/>
        </w:rPr>
        <w:t xml:space="preserve">un </w:t>
      </w:r>
      <w:r w:rsidR="00441288" w:rsidRPr="00934137">
        <w:rPr>
          <w:color w:val="000000"/>
          <w:lang w:val="es-ES_tradnl"/>
        </w:rPr>
        <w:t>recurso efectivo para subsanar las violaciones alegadas en su comunicación</w:t>
      </w:r>
      <w:r w:rsidR="00441288">
        <w:rPr>
          <w:color w:val="000000"/>
          <w:lang w:val="es-ES_tradnl"/>
        </w:rPr>
        <w:t xml:space="preserve"> y que permitiera interrumpir los procesos en su contra, en</w:t>
      </w:r>
      <w:r w:rsidR="00197FC3">
        <w:rPr>
          <w:lang w:val="es-ES"/>
        </w:rPr>
        <w:t xml:space="preserve"> violación del artículo 2, párrafo </w:t>
      </w:r>
      <w:r w:rsidR="00441288" w:rsidRPr="00934137">
        <w:rPr>
          <w:lang w:val="es-ES"/>
        </w:rPr>
        <w:t xml:space="preserve">3 del Pacto. </w:t>
      </w:r>
    </w:p>
    <w:p w14:paraId="73A7F72A" w14:textId="1AAD58E7" w:rsidR="00441288" w:rsidRDefault="0063191B" w:rsidP="0063191B">
      <w:pPr>
        <w:pStyle w:val="SingleTxtG"/>
        <w:rPr>
          <w:lang w:val="es-ES"/>
        </w:rPr>
      </w:pPr>
      <w:r>
        <w:rPr>
          <w:lang w:val="es-ES"/>
        </w:rPr>
        <w:t>1.3</w:t>
      </w:r>
      <w:r>
        <w:rPr>
          <w:lang w:val="es-ES"/>
        </w:rPr>
        <w:tab/>
      </w:r>
      <w:r w:rsidR="00441288">
        <w:rPr>
          <w:lang w:val="es-ES"/>
        </w:rPr>
        <w:t>El 4 de abril de 2018,</w:t>
      </w:r>
      <w:r w:rsidR="0042797B">
        <w:rPr>
          <w:lang w:val="es-ES"/>
        </w:rPr>
        <w:t xml:space="preserve"> el</w:t>
      </w:r>
      <w:r w:rsidR="00441288">
        <w:rPr>
          <w:lang w:val="es-ES"/>
        </w:rPr>
        <w:t xml:space="preserve"> Relator especial sobre nuevas comunicaciones y medidas provisionales, actuando en nombre del Comité, </w:t>
      </w:r>
      <w:r w:rsidR="003E0FCD">
        <w:rPr>
          <w:lang w:val="es-ES"/>
        </w:rPr>
        <w:t xml:space="preserve">decidió </w:t>
      </w:r>
      <w:r w:rsidR="00441288">
        <w:rPr>
          <w:lang w:val="es-ES"/>
        </w:rPr>
        <w:t>examinar la cuestión de la admisibilidad de la comunicación de forma separada del fondo.</w:t>
      </w:r>
      <w:r w:rsidR="00694C1F">
        <w:rPr>
          <w:lang w:val="es-ES"/>
        </w:rPr>
        <w:t xml:space="preserve"> </w:t>
      </w:r>
    </w:p>
    <w:p w14:paraId="782EB829" w14:textId="3061CC10" w:rsidR="00441288" w:rsidRPr="00D8371E" w:rsidRDefault="0063191B" w:rsidP="0063191B">
      <w:pPr>
        <w:pStyle w:val="SingleTxtG"/>
        <w:rPr>
          <w:lang w:val="es-ES"/>
        </w:rPr>
      </w:pPr>
      <w:r w:rsidRPr="00D8371E">
        <w:rPr>
          <w:lang w:val="es-ES"/>
        </w:rPr>
        <w:t>1.4</w:t>
      </w:r>
      <w:r w:rsidRPr="00D8371E">
        <w:rPr>
          <w:lang w:val="es-ES"/>
        </w:rPr>
        <w:tab/>
      </w:r>
      <w:r w:rsidR="00441288">
        <w:rPr>
          <w:lang w:val="es-ES"/>
        </w:rPr>
        <w:t xml:space="preserve">El 31 de octubre de 2019, el Comité, actuando </w:t>
      </w:r>
      <w:r w:rsidR="00441288" w:rsidRPr="00B725ED">
        <w:rPr>
          <w:lang w:val="es-ES"/>
        </w:rPr>
        <w:t>de conformidad con el artículo 4, párrafo 2, del Protocolo Facultativo</w:t>
      </w:r>
      <w:r w:rsidR="00441288">
        <w:rPr>
          <w:lang w:val="es-ES"/>
        </w:rPr>
        <w:t xml:space="preserve"> y el artículo 101, párrafo 2 de su reglamento, determinó q</w:t>
      </w:r>
      <w:r w:rsidR="00197FC3">
        <w:rPr>
          <w:lang w:val="es-ES"/>
        </w:rPr>
        <w:t>ue la comunicación era admisible</w:t>
      </w:r>
      <w:r w:rsidR="00441288">
        <w:rPr>
          <w:lang w:val="es-ES"/>
        </w:rPr>
        <w:t>.</w:t>
      </w:r>
      <w:r w:rsidR="00441288" w:rsidRPr="00441288">
        <w:rPr>
          <w:lang w:val="es-ES"/>
        </w:rPr>
        <w:t xml:space="preserve"> </w:t>
      </w:r>
      <w:r w:rsidR="00441288">
        <w:rPr>
          <w:lang w:val="es-ES"/>
        </w:rPr>
        <w:t xml:space="preserve">El Comité consideró que el autor había fundamentado suficientemente, a los efectos de la admisibilidad, sus quejas relativas a: a) la arbitrariedad de los procesos penales </w:t>
      </w:r>
      <w:r w:rsidR="003E0FCD">
        <w:rPr>
          <w:lang w:val="es-ES"/>
        </w:rPr>
        <w:t xml:space="preserve">por su labor judicial </w:t>
      </w:r>
      <w:r w:rsidR="00441288">
        <w:rPr>
          <w:lang w:val="es-ES"/>
        </w:rPr>
        <w:t xml:space="preserve">en los casos Franquismo y </w:t>
      </w:r>
      <w:proofErr w:type="spellStart"/>
      <w:r w:rsidR="00441288">
        <w:rPr>
          <w:lang w:val="es-ES_tradnl" w:eastAsia="es-ES"/>
        </w:rPr>
        <w:t>Gürtel</w:t>
      </w:r>
      <w:proofErr w:type="spellEnd"/>
      <w:r w:rsidR="00441288">
        <w:rPr>
          <w:lang w:val="es-ES_tradnl" w:eastAsia="es-ES"/>
        </w:rPr>
        <w:t xml:space="preserve">; b) </w:t>
      </w:r>
      <w:r w:rsidR="00441288">
        <w:rPr>
          <w:lang w:val="es-ES"/>
        </w:rPr>
        <w:t xml:space="preserve">la falta de imparcialidad de los jueces que lo condenaron en el caso </w:t>
      </w:r>
      <w:proofErr w:type="spellStart"/>
      <w:r w:rsidR="00441288">
        <w:rPr>
          <w:lang w:val="es-ES_tradnl" w:eastAsia="es-ES"/>
        </w:rPr>
        <w:t>Gürtel</w:t>
      </w:r>
      <w:proofErr w:type="spellEnd"/>
      <w:r w:rsidR="00441288">
        <w:rPr>
          <w:lang w:val="es-ES_tradnl" w:eastAsia="es-ES"/>
        </w:rPr>
        <w:t xml:space="preserve"> y que habían instruido dicha causa y adoptado decisiones relevantes que concluían la existencia de indicios de prevaricación</w:t>
      </w:r>
      <w:r>
        <w:rPr>
          <w:lang w:val="es-ES_tradnl" w:eastAsia="es-ES"/>
        </w:rPr>
        <w:t>;</w:t>
      </w:r>
      <w:r w:rsidR="00441288">
        <w:rPr>
          <w:lang w:val="es-ES_tradnl" w:eastAsia="es-ES"/>
        </w:rPr>
        <w:t xml:space="preserve"> c) la no recusación de cuatro de los jueces en el caso Franquismo, decidida por los propios jueces objeto de la recusación</w:t>
      </w:r>
      <w:r>
        <w:rPr>
          <w:lang w:val="es-ES_tradnl" w:eastAsia="es-ES"/>
        </w:rPr>
        <w:t>;</w:t>
      </w:r>
      <w:r w:rsidR="00441288">
        <w:rPr>
          <w:lang w:val="es-ES_tradnl" w:eastAsia="es-ES"/>
        </w:rPr>
        <w:t xml:space="preserve"> d) su condena por el Tribunal Supremo sin posibilidad de apelación</w:t>
      </w:r>
      <w:r>
        <w:rPr>
          <w:lang w:val="es-ES_tradnl" w:eastAsia="es-ES"/>
        </w:rPr>
        <w:t>;</w:t>
      </w:r>
      <w:r w:rsidR="00441288">
        <w:rPr>
          <w:lang w:val="es-ES_tradnl" w:eastAsia="es-ES"/>
        </w:rPr>
        <w:t xml:space="preserve"> y e) su condena con base en una interpretación imprevisible de la figura penal de prevaricación en el caso </w:t>
      </w:r>
      <w:proofErr w:type="spellStart"/>
      <w:r w:rsidR="00441288">
        <w:rPr>
          <w:lang w:val="es-ES_tradnl" w:eastAsia="es-ES"/>
        </w:rPr>
        <w:t>Gürtel</w:t>
      </w:r>
      <w:proofErr w:type="spellEnd"/>
      <w:r w:rsidR="00441288">
        <w:rPr>
          <w:lang w:val="es-ES_tradnl" w:eastAsia="es-ES"/>
        </w:rPr>
        <w:t>.</w:t>
      </w:r>
      <w:r w:rsidR="00330F5B">
        <w:rPr>
          <w:lang w:val="es-ES_tradnl" w:eastAsia="es-ES"/>
        </w:rPr>
        <w:t xml:space="preserve"> </w:t>
      </w:r>
      <w:r w:rsidR="00AD29B1">
        <w:rPr>
          <w:lang w:val="es-ES_tradnl" w:eastAsia="es-ES"/>
        </w:rPr>
        <w:t>El Comité solicitó a las partes presentar información con relación al fondo de las quejas basadas en los artículos 14, párrafos 1 y 5, y 15 del Pacto. Para mayor información sobre los hechos, la queja, las observaciones y comentarios de las partes relativas a la admisibilidad de la comunicación, y la decisión del Comité sobre la admisibilidad, sírvanse referirse a la decisión de admisibilidad</w:t>
      </w:r>
      <w:r w:rsidR="00744DAA">
        <w:rPr>
          <w:lang w:val="es-ES_tradnl" w:eastAsia="es-ES"/>
        </w:rPr>
        <w:t xml:space="preserve"> (</w:t>
      </w:r>
      <w:r w:rsidR="00AD29B1" w:rsidRPr="00AD29B1">
        <w:rPr>
          <w:lang w:val="es-ES"/>
        </w:rPr>
        <w:t>CCPR</w:t>
      </w:r>
      <w:r w:rsidR="00AD29B1" w:rsidRPr="0036554A">
        <w:rPr>
          <w:lang w:val="es-ES"/>
        </w:rPr>
        <w:t>/C/</w:t>
      </w:r>
      <w:r w:rsidR="00AD29B1">
        <w:rPr>
          <w:lang w:val="es-ES"/>
        </w:rPr>
        <w:t>127</w:t>
      </w:r>
      <w:r w:rsidR="00AD29B1" w:rsidRPr="0036554A">
        <w:rPr>
          <w:lang w:val="es-ES"/>
        </w:rPr>
        <w:t>/D/</w:t>
      </w:r>
      <w:r w:rsidR="00AD29B1">
        <w:rPr>
          <w:lang w:val="es-ES"/>
        </w:rPr>
        <w:t>2844</w:t>
      </w:r>
      <w:r w:rsidR="00AD29B1" w:rsidRPr="0036554A">
        <w:rPr>
          <w:lang w:val="es-ES"/>
        </w:rPr>
        <w:t>/</w:t>
      </w:r>
      <w:r w:rsidR="00AD29B1">
        <w:rPr>
          <w:lang w:val="es-ES"/>
        </w:rPr>
        <w:t>2016).</w:t>
      </w:r>
      <w:r w:rsidR="00AD29B1">
        <w:rPr>
          <w:lang w:val="es-ES_tradnl" w:eastAsia="es-ES"/>
        </w:rPr>
        <w:t xml:space="preserve"> </w:t>
      </w:r>
    </w:p>
    <w:p w14:paraId="60A17C44" w14:textId="273D59C6" w:rsidR="00873F3A" w:rsidRDefault="00CF5683" w:rsidP="00CF5683">
      <w:pPr>
        <w:pStyle w:val="H23G"/>
        <w:rPr>
          <w:rFonts w:eastAsia="Calibri"/>
          <w:lang w:val="es-ES_tradnl"/>
        </w:rPr>
      </w:pPr>
      <w:r>
        <w:rPr>
          <w:rFonts w:eastAsia="Calibri"/>
          <w:lang w:val="es-ES_tradnl"/>
        </w:rPr>
        <w:tab/>
      </w:r>
      <w:r>
        <w:rPr>
          <w:rFonts w:eastAsia="Calibri"/>
          <w:lang w:val="es-ES_tradnl"/>
        </w:rPr>
        <w:tab/>
      </w:r>
      <w:r w:rsidR="00820057">
        <w:rPr>
          <w:rFonts w:eastAsia="Calibri"/>
          <w:lang w:val="es-ES_tradnl"/>
        </w:rPr>
        <w:t>Observaciones del Estado parte sobre el fondo</w:t>
      </w:r>
    </w:p>
    <w:p w14:paraId="05096D6E" w14:textId="5AF8B1AB" w:rsidR="00D139E2" w:rsidRDefault="00441288" w:rsidP="00B84695">
      <w:pPr>
        <w:pStyle w:val="SingleTxtG"/>
        <w:rPr>
          <w:color w:val="000000"/>
          <w:lang w:val="es-ES"/>
        </w:rPr>
      </w:pPr>
      <w:r>
        <w:rPr>
          <w:color w:val="000000"/>
          <w:lang w:val="es-ES_tradnl"/>
        </w:rPr>
        <w:t>2</w:t>
      </w:r>
      <w:r w:rsidR="00FD425F">
        <w:rPr>
          <w:color w:val="000000"/>
          <w:lang w:val="es-ES_tradnl"/>
        </w:rPr>
        <w:t>.1</w:t>
      </w:r>
      <w:r w:rsidR="00D139E2" w:rsidRPr="00651F1B">
        <w:rPr>
          <w:color w:val="000000"/>
          <w:lang w:val="es-ES_tradnl"/>
        </w:rPr>
        <w:tab/>
        <w:t>E</w:t>
      </w:r>
      <w:r w:rsidR="001A1E12">
        <w:rPr>
          <w:color w:val="000000"/>
          <w:lang w:val="es-ES_tradnl"/>
        </w:rPr>
        <w:t>n sus observaciones de</w:t>
      </w:r>
      <w:r w:rsidR="00AE16AA">
        <w:rPr>
          <w:color w:val="000000"/>
          <w:lang w:val="es-ES_tradnl"/>
        </w:rPr>
        <w:t xml:space="preserve"> 31 de julio de 2020</w:t>
      </w:r>
      <w:r w:rsidR="001A1E12">
        <w:rPr>
          <w:color w:val="000000"/>
          <w:lang w:val="es-ES_tradnl"/>
        </w:rPr>
        <w:t xml:space="preserve">, </w:t>
      </w:r>
      <w:r w:rsidR="00B84695">
        <w:rPr>
          <w:color w:val="000000"/>
          <w:lang w:val="es-ES_tradnl"/>
        </w:rPr>
        <w:t xml:space="preserve">el </w:t>
      </w:r>
      <w:r w:rsidR="00D139E2" w:rsidRPr="00651F1B">
        <w:rPr>
          <w:color w:val="000000"/>
          <w:lang w:val="es-ES"/>
        </w:rPr>
        <w:t xml:space="preserve">Estado parte </w:t>
      </w:r>
      <w:r w:rsidR="00AE16AA">
        <w:rPr>
          <w:color w:val="000000"/>
          <w:lang w:val="es-ES"/>
        </w:rPr>
        <w:t xml:space="preserve">reitera los argumentos sobre la inadmisibilidad de la queja por haber sido considerada por el Tribunal Europeo de Derechos Humanos. </w:t>
      </w:r>
    </w:p>
    <w:p w14:paraId="4AB55E3C" w14:textId="32DE51D6" w:rsidR="00AE16AA" w:rsidRDefault="00AE16AA" w:rsidP="00B84695">
      <w:pPr>
        <w:pStyle w:val="SingleTxtG"/>
        <w:rPr>
          <w:color w:val="000000"/>
          <w:lang w:val="es-ES"/>
        </w:rPr>
      </w:pPr>
      <w:r>
        <w:rPr>
          <w:color w:val="000000"/>
          <w:lang w:val="es-ES"/>
        </w:rPr>
        <w:t>2.2</w:t>
      </w:r>
      <w:r>
        <w:rPr>
          <w:color w:val="000000"/>
          <w:lang w:val="es-ES"/>
        </w:rPr>
        <w:tab/>
        <w:t xml:space="preserve">Sobre el fondo, el Estado parte </w:t>
      </w:r>
      <w:r w:rsidR="00D4427A">
        <w:rPr>
          <w:color w:val="000000"/>
          <w:lang w:val="es-ES"/>
        </w:rPr>
        <w:t>señala</w:t>
      </w:r>
      <w:r>
        <w:rPr>
          <w:color w:val="000000"/>
          <w:lang w:val="es-ES"/>
        </w:rPr>
        <w:t xml:space="preserve"> que tanto en </w:t>
      </w:r>
      <w:r w:rsidR="0021070D">
        <w:rPr>
          <w:color w:val="000000"/>
          <w:lang w:val="es-ES"/>
        </w:rPr>
        <w:t xml:space="preserve">procesos por </w:t>
      </w:r>
      <w:r>
        <w:rPr>
          <w:color w:val="000000"/>
          <w:lang w:val="es-ES"/>
        </w:rPr>
        <w:t xml:space="preserve">el caso Franquismo como el caso </w:t>
      </w:r>
      <w:proofErr w:type="spellStart"/>
      <w:r>
        <w:rPr>
          <w:color w:val="000000"/>
          <w:lang w:val="es-ES"/>
        </w:rPr>
        <w:t>Gürtel</w:t>
      </w:r>
      <w:proofErr w:type="spellEnd"/>
      <w:r>
        <w:rPr>
          <w:color w:val="000000"/>
          <w:lang w:val="es-ES"/>
        </w:rPr>
        <w:t xml:space="preserve">, el autor solicitó la recusación de cinco de los magistrados de cada sala </w:t>
      </w:r>
      <w:r w:rsidR="00383E7B">
        <w:rPr>
          <w:color w:val="000000"/>
          <w:lang w:val="es-ES"/>
        </w:rPr>
        <w:t xml:space="preserve">con motivo de que dichos magistrados habían </w:t>
      </w:r>
      <w:r>
        <w:rPr>
          <w:color w:val="000000"/>
          <w:lang w:val="es-ES"/>
        </w:rPr>
        <w:t>realizado actuaciones de instrucción, y que ambas solicitudes de recusación fueron aceptadas por una sala especial del Tribunal Supremo establecida a tal efecto</w:t>
      </w:r>
      <w:r w:rsidR="00383E7B">
        <w:rPr>
          <w:color w:val="000000"/>
          <w:lang w:val="es-ES"/>
        </w:rPr>
        <w:t>, siendo los jueces recusados apartados de los casos</w:t>
      </w:r>
      <w:r>
        <w:rPr>
          <w:rStyle w:val="FootnoteReference"/>
          <w:color w:val="000000"/>
          <w:lang w:val="es-ES"/>
        </w:rPr>
        <w:footnoteReference w:id="4"/>
      </w:r>
      <w:r>
        <w:rPr>
          <w:color w:val="000000"/>
          <w:lang w:val="es-ES"/>
        </w:rPr>
        <w:t>.</w:t>
      </w:r>
    </w:p>
    <w:p w14:paraId="6571FC77" w14:textId="176EEF5F" w:rsidR="00BC542F" w:rsidRDefault="00383E7B" w:rsidP="00B84695">
      <w:pPr>
        <w:pStyle w:val="SingleTxtG"/>
        <w:rPr>
          <w:color w:val="000000"/>
          <w:lang w:val="es-ES"/>
        </w:rPr>
      </w:pPr>
      <w:r>
        <w:rPr>
          <w:color w:val="000000"/>
          <w:lang w:val="es-ES"/>
        </w:rPr>
        <w:lastRenderedPageBreak/>
        <w:t>2.3</w:t>
      </w:r>
      <w:r>
        <w:rPr>
          <w:color w:val="000000"/>
          <w:lang w:val="es-ES"/>
        </w:rPr>
        <w:tab/>
        <w:t>En cuanto a la queja del autor basada en el artículo 15 del Pacto</w:t>
      </w:r>
      <w:r w:rsidR="00BC542F">
        <w:rPr>
          <w:color w:val="000000"/>
          <w:lang w:val="es-ES"/>
        </w:rPr>
        <w:t>, el Estado parte hace notar que no se discute la interpretación de la tipificación del delito de prevaricación contenida en el artículo 446 del Código Penal sino la aplicación del artículo 51 (2) de la Ley Orgánica General Penitenciaria (LOGP) realizada por el autor como fundamento de su decisión de ordenar la interceptación de comunicaciones entre imputados y abogados</w:t>
      </w:r>
      <w:r w:rsidR="00197FC3">
        <w:rPr>
          <w:color w:val="000000"/>
          <w:lang w:val="es-ES"/>
        </w:rPr>
        <w:t xml:space="preserve"> en el caso </w:t>
      </w:r>
      <w:proofErr w:type="spellStart"/>
      <w:r w:rsidR="00197FC3">
        <w:rPr>
          <w:color w:val="000000"/>
          <w:lang w:val="es-ES"/>
        </w:rPr>
        <w:t>Gürtel</w:t>
      </w:r>
      <w:proofErr w:type="spellEnd"/>
      <w:r w:rsidR="00BC542F">
        <w:rPr>
          <w:color w:val="000000"/>
          <w:lang w:val="es-ES"/>
        </w:rPr>
        <w:t>. Dicho artículo dispone:</w:t>
      </w:r>
    </w:p>
    <w:p w14:paraId="79A200B5" w14:textId="35E06588" w:rsidR="00BC542F" w:rsidRPr="000558DB" w:rsidRDefault="00BC542F" w:rsidP="00ED60FD">
      <w:pPr>
        <w:pStyle w:val="SingleTxtG"/>
        <w:ind w:left="1701"/>
        <w:rPr>
          <w:i/>
          <w:iCs/>
          <w:lang w:val="es-ES"/>
        </w:rPr>
      </w:pPr>
      <w:r w:rsidRPr="000558DB">
        <w:rPr>
          <w:i/>
          <w:iCs/>
          <w:lang w:val="es-ES"/>
        </w:rPr>
        <w:t>2. Las comunicaciones de los internos con el Abogado defensor o con el Abogado expresamente llamado en relación con asuntos penales y con los Procuradores que los representen, se celebrarán en departamentos apropiados y no podrán ser suspendidas o intervenidas salvo por orden de la autoridad judicial y en los supuestos de terrorismo.</w:t>
      </w:r>
    </w:p>
    <w:p w14:paraId="17BA4895" w14:textId="3AB7734D" w:rsidR="00383E7B" w:rsidRDefault="00BC542F" w:rsidP="00BC542F">
      <w:pPr>
        <w:pStyle w:val="SingleTxtG"/>
        <w:rPr>
          <w:color w:val="000000"/>
          <w:lang w:val="es-ES"/>
        </w:rPr>
      </w:pPr>
      <w:r>
        <w:rPr>
          <w:iCs/>
          <w:lang w:val="es-ES"/>
        </w:rPr>
        <w:t>2.4</w:t>
      </w:r>
      <w:r>
        <w:rPr>
          <w:iCs/>
          <w:lang w:val="es-ES"/>
        </w:rPr>
        <w:tab/>
      </w:r>
      <w:r>
        <w:rPr>
          <w:color w:val="000000"/>
          <w:lang w:val="es-ES"/>
        </w:rPr>
        <w:t>El Estado parte señala que, a diferencia de lo afirmado por el autor, desde 1994, la interpretación del artículo 51 (2) de la LOGP ha sido fijada por el Tribunal Constitucional mediante sentencia 183/1994, de 20 de junio</w:t>
      </w:r>
      <w:r w:rsidR="0063191B">
        <w:rPr>
          <w:rStyle w:val="FootnoteReference"/>
          <w:color w:val="000000"/>
          <w:lang w:val="es-ES"/>
        </w:rPr>
        <w:footnoteReference w:id="5"/>
      </w:r>
      <w:r w:rsidR="0063191B">
        <w:rPr>
          <w:color w:val="000000"/>
          <w:lang w:val="es-ES"/>
        </w:rPr>
        <w:t>.</w:t>
      </w:r>
      <w:r>
        <w:rPr>
          <w:color w:val="000000"/>
          <w:lang w:val="es-ES"/>
        </w:rPr>
        <w:t xml:space="preserve"> </w:t>
      </w:r>
      <w:r w:rsidR="00CA6C14">
        <w:rPr>
          <w:color w:val="000000"/>
          <w:lang w:val="es-ES"/>
        </w:rPr>
        <w:t>Este Tribunal ha entendid</w:t>
      </w:r>
      <w:r w:rsidR="00197FC3">
        <w:rPr>
          <w:color w:val="000000"/>
          <w:lang w:val="es-ES"/>
        </w:rPr>
        <w:t>o</w:t>
      </w:r>
      <w:r w:rsidR="00CA6C14">
        <w:rPr>
          <w:color w:val="000000"/>
          <w:lang w:val="es-ES"/>
        </w:rPr>
        <w:t xml:space="preserve"> que las condiciones establecidas por el artículo 51 (2) era cumulativas, es decir, que las intervenciones podían justificarse solamente en casos de terrorismo y mediante autorización judicial motivada. </w:t>
      </w:r>
      <w:r>
        <w:rPr>
          <w:color w:val="000000"/>
          <w:lang w:val="es-ES"/>
        </w:rPr>
        <w:t>Esta interpretación ha sido seguida asimismo por el Tribunal Supremo en su sentencia de 6 de marzo de 1995</w:t>
      </w:r>
      <w:r w:rsidR="00CA6C14">
        <w:rPr>
          <w:color w:val="000000"/>
          <w:lang w:val="es-ES"/>
        </w:rPr>
        <w:t xml:space="preserve">. Por tanto, desde 1994 existe una interpretación clara y previsible del artículo 51 (2). El Estado parte mantiene que el autor, a sabiendas, aplicó dicho artículo a un supuesto ajeno al terrorismo y sin motivar su decisión. El Estado parte recuerda que los dos autos dictados por el autor el 19 de febrero y el 20 de marzo de 2020 permitían la grabación de todas las comunicaciones orales entre los internos y cualquier abogado, sin señalar la existencia de ningún indicio de actuación criminal respecto de los abogados en cuestión. </w:t>
      </w:r>
    </w:p>
    <w:p w14:paraId="3BF3C441" w14:textId="04265753" w:rsidR="00E02650" w:rsidRDefault="00E02650" w:rsidP="00BC542F">
      <w:pPr>
        <w:pStyle w:val="SingleTxtG"/>
        <w:rPr>
          <w:color w:val="000000"/>
          <w:lang w:val="es-ES"/>
        </w:rPr>
      </w:pPr>
      <w:r>
        <w:rPr>
          <w:color w:val="000000"/>
          <w:lang w:val="es-ES"/>
        </w:rPr>
        <w:t>2.5</w:t>
      </w:r>
      <w:r>
        <w:rPr>
          <w:color w:val="000000"/>
          <w:lang w:val="es-ES"/>
        </w:rPr>
        <w:tab/>
        <w:t>En cuanto a la queja del autor basada en el artículo 14, párrafo 5 del Pacto, y relacionada con la condena del autor por la máxima instancia judicial sin posibilidad de revisión del fallo condenatorio y la pena, el Estado parte señala que la atribución d</w:t>
      </w:r>
      <w:r w:rsidR="0031788A">
        <w:rPr>
          <w:color w:val="000000"/>
          <w:lang w:val="es-ES"/>
        </w:rPr>
        <w:t>e competencia a la Sala II del T</w:t>
      </w:r>
      <w:r>
        <w:rPr>
          <w:color w:val="000000"/>
          <w:lang w:val="es-ES"/>
        </w:rPr>
        <w:t>ribunal Supremo para enjuiciar casos de responsabilidad penal de jueces constituye una garantía de las personas afor</w:t>
      </w:r>
      <w:r w:rsidR="0031788A">
        <w:rPr>
          <w:color w:val="000000"/>
          <w:lang w:val="es-ES"/>
        </w:rPr>
        <w:t>adas. Según lo afirmado por el T</w:t>
      </w:r>
      <w:r>
        <w:rPr>
          <w:color w:val="000000"/>
          <w:lang w:val="es-ES"/>
        </w:rPr>
        <w:t xml:space="preserve">ribunal Constitucional en su sentencia 51/1985, </w:t>
      </w:r>
      <w:r w:rsidR="0031788A">
        <w:rPr>
          <w:color w:val="000000"/>
          <w:lang w:val="es-ES"/>
        </w:rPr>
        <w:t>“</w:t>
      </w:r>
      <w:r>
        <w:rPr>
          <w:color w:val="000000"/>
          <w:lang w:val="es-ES"/>
        </w:rPr>
        <w:t xml:space="preserve">el privilegio del fuero </w:t>
      </w:r>
      <w:r w:rsidR="0031788A">
        <w:rPr>
          <w:color w:val="000000"/>
          <w:lang w:val="es-ES"/>
        </w:rPr>
        <w:t>equilibra</w:t>
      </w:r>
      <w:r>
        <w:rPr>
          <w:color w:val="000000"/>
          <w:lang w:val="es-ES"/>
        </w:rPr>
        <w:t xml:space="preserve"> la inexistencia de una doble instancia, </w:t>
      </w:r>
      <w:proofErr w:type="gramStart"/>
      <w:r>
        <w:rPr>
          <w:color w:val="000000"/>
          <w:lang w:val="es-ES"/>
        </w:rPr>
        <w:t>que</w:t>
      </w:r>
      <w:proofErr w:type="gramEnd"/>
      <w:r>
        <w:rPr>
          <w:color w:val="000000"/>
          <w:lang w:val="es-ES"/>
        </w:rPr>
        <w:t xml:space="preserve"> si bien es una de las garantías del proceso, ha de ser matizada en los casos en que el enjuiciamiento se confía directamente al supremo juez</w:t>
      </w:r>
      <w:r w:rsidR="0031788A">
        <w:rPr>
          <w:color w:val="000000"/>
          <w:lang w:val="es-ES"/>
        </w:rPr>
        <w:t>”</w:t>
      </w:r>
      <w:r>
        <w:rPr>
          <w:color w:val="000000"/>
          <w:lang w:val="es-ES"/>
        </w:rPr>
        <w:t xml:space="preserve">. El Estado parte </w:t>
      </w:r>
      <w:r w:rsidR="00477D12">
        <w:rPr>
          <w:color w:val="000000"/>
          <w:lang w:val="es-ES"/>
        </w:rPr>
        <w:t>sostiene</w:t>
      </w:r>
      <w:r>
        <w:rPr>
          <w:color w:val="000000"/>
          <w:lang w:val="es-ES"/>
        </w:rPr>
        <w:t xml:space="preserve"> que el artículo 14, párrafo 5 del Pacto no establece la necesidad de dos instancias, sino de una revisión por un tribunal superior. Señala que</w:t>
      </w:r>
      <w:r w:rsidR="0031788A">
        <w:rPr>
          <w:color w:val="000000"/>
          <w:lang w:val="es-ES"/>
        </w:rPr>
        <w:t xml:space="preserve"> el artículo 2(2) d</w:t>
      </w:r>
      <w:r>
        <w:rPr>
          <w:color w:val="000000"/>
          <w:lang w:val="es-ES"/>
        </w:rPr>
        <w:t xml:space="preserve">el </w:t>
      </w:r>
      <w:r w:rsidR="0031788A">
        <w:rPr>
          <w:color w:val="000000"/>
          <w:lang w:val="es-ES"/>
        </w:rPr>
        <w:t xml:space="preserve">Protocolo </w:t>
      </w:r>
      <w:r w:rsidR="0063191B">
        <w:rPr>
          <w:color w:val="000000"/>
          <w:lang w:val="es-ES"/>
        </w:rPr>
        <w:t>núm.</w:t>
      </w:r>
      <w:r w:rsidR="0031788A">
        <w:rPr>
          <w:color w:val="000000"/>
          <w:lang w:val="es-ES"/>
        </w:rPr>
        <w:t xml:space="preserve"> 7 al </w:t>
      </w:r>
      <w:r>
        <w:rPr>
          <w:color w:val="000000"/>
          <w:lang w:val="es-ES"/>
        </w:rPr>
        <w:t>Conve</w:t>
      </w:r>
      <w:r w:rsidR="0031788A">
        <w:rPr>
          <w:color w:val="000000"/>
          <w:lang w:val="es-ES"/>
        </w:rPr>
        <w:t>nio Europeo de Derechos Humanos</w:t>
      </w:r>
      <w:r>
        <w:rPr>
          <w:color w:val="000000"/>
          <w:lang w:val="es-ES"/>
        </w:rPr>
        <w:t xml:space="preserve"> establece que no habrá el derecho de revisión por instancia superior en los delitos menores definidos por </w:t>
      </w:r>
      <w:r w:rsidR="0031788A">
        <w:rPr>
          <w:color w:val="000000"/>
          <w:lang w:val="es-ES"/>
        </w:rPr>
        <w:t xml:space="preserve">la ley ni tampoco en caso de </w:t>
      </w:r>
      <w:r>
        <w:rPr>
          <w:color w:val="000000"/>
          <w:lang w:val="es-ES"/>
        </w:rPr>
        <w:t>condena en segunda instancia</w:t>
      </w:r>
      <w:r w:rsidR="004F1E0B">
        <w:rPr>
          <w:color w:val="000000"/>
          <w:lang w:val="es-ES"/>
        </w:rPr>
        <w:t>, o en casos de condena en primera instancia por el tribunal superior</w:t>
      </w:r>
      <w:r>
        <w:rPr>
          <w:color w:val="000000"/>
          <w:lang w:val="es-ES"/>
        </w:rPr>
        <w:t>. El Estado parte señala que el doble grado de jurisdicción significa que un tribunal o jurisdicción superior revisa lo decidido por uno inferior</w:t>
      </w:r>
      <w:r w:rsidR="00C176E1">
        <w:rPr>
          <w:color w:val="000000"/>
          <w:lang w:val="es-ES"/>
        </w:rPr>
        <w:t xml:space="preserve"> y aleja el posible error judicial en la condena</w:t>
      </w:r>
      <w:r>
        <w:rPr>
          <w:color w:val="000000"/>
          <w:lang w:val="es-ES"/>
        </w:rPr>
        <w:t xml:space="preserve">, pero si un individuo es juzgado en primera instancia por la más alta jurisdicción, no puede haber un doble grado por no existir una jurisdicción superior, no siendo entonces aplicable el artículo 14, párrafo 5 del Pacto. </w:t>
      </w:r>
      <w:r w:rsidR="001C48DB">
        <w:rPr>
          <w:color w:val="000000"/>
          <w:lang w:val="es-ES"/>
        </w:rPr>
        <w:t>Añade que la imposibilidad de un doble grado de jurisdicción como consecuencia del enjuiciamiento por el más alto Tribunal de personas que ocupan importantes cargos públicos es una realidad en muchos Estados.</w:t>
      </w:r>
    </w:p>
    <w:p w14:paraId="2AC353B5" w14:textId="591D281B" w:rsidR="009A1A0B" w:rsidRDefault="00E02650" w:rsidP="00BC542F">
      <w:pPr>
        <w:pStyle w:val="SingleTxtG"/>
        <w:rPr>
          <w:color w:val="000000"/>
          <w:lang w:val="es-ES"/>
        </w:rPr>
      </w:pPr>
      <w:r>
        <w:rPr>
          <w:color w:val="000000"/>
          <w:lang w:val="es-ES"/>
        </w:rPr>
        <w:t>2.6</w:t>
      </w:r>
      <w:r>
        <w:rPr>
          <w:color w:val="000000"/>
          <w:lang w:val="es-ES"/>
        </w:rPr>
        <w:tab/>
        <w:t>En relación con la pretendida arbitrariedad de los procesos penales seguidos contra el autor, el Estado parte considera que esta queja se refiere a la valoración de los hechos y las pruebas y la aplicación de la legislación interna realizada por los tribunales nacionales</w:t>
      </w:r>
      <w:r w:rsidR="0063191B">
        <w:rPr>
          <w:rStyle w:val="FootnoteReference"/>
          <w:color w:val="000000"/>
          <w:lang w:val="es-ES"/>
        </w:rPr>
        <w:footnoteReference w:id="6"/>
      </w:r>
      <w:r w:rsidR="0063191B">
        <w:rPr>
          <w:color w:val="000000"/>
          <w:lang w:val="es-ES"/>
        </w:rPr>
        <w:t>.</w:t>
      </w:r>
      <w:r>
        <w:rPr>
          <w:color w:val="000000"/>
          <w:lang w:val="es-ES"/>
        </w:rPr>
        <w:t xml:space="preserve"> </w:t>
      </w:r>
    </w:p>
    <w:p w14:paraId="3BCC8A7B" w14:textId="4DF0BE2E" w:rsidR="0042518E" w:rsidRDefault="009A1A0B" w:rsidP="00BC542F">
      <w:pPr>
        <w:pStyle w:val="SingleTxtG"/>
        <w:rPr>
          <w:color w:val="000000"/>
          <w:lang w:val="es-ES"/>
        </w:rPr>
      </w:pPr>
      <w:r>
        <w:rPr>
          <w:color w:val="000000"/>
          <w:lang w:val="es-ES"/>
        </w:rPr>
        <w:t>2.7</w:t>
      </w:r>
      <w:r>
        <w:rPr>
          <w:color w:val="000000"/>
          <w:lang w:val="es-ES"/>
        </w:rPr>
        <w:tab/>
      </w:r>
      <w:r w:rsidR="00E02650">
        <w:rPr>
          <w:color w:val="000000"/>
          <w:lang w:val="es-ES"/>
        </w:rPr>
        <w:t xml:space="preserve">En </w:t>
      </w:r>
      <w:r>
        <w:rPr>
          <w:color w:val="000000"/>
          <w:lang w:val="es-ES"/>
        </w:rPr>
        <w:t xml:space="preserve">relación con </w:t>
      </w:r>
      <w:r w:rsidR="00E02650">
        <w:rPr>
          <w:color w:val="000000"/>
          <w:lang w:val="es-ES"/>
        </w:rPr>
        <w:t xml:space="preserve">el caso Franquismo, el Estado parte señala como hechos indiscutidos que el autor dictó </w:t>
      </w:r>
      <w:r w:rsidR="00CC14DD">
        <w:rPr>
          <w:color w:val="000000"/>
          <w:lang w:val="es-ES"/>
        </w:rPr>
        <w:t xml:space="preserve">las resoluciones </w:t>
      </w:r>
      <w:r w:rsidR="006C53CD">
        <w:rPr>
          <w:color w:val="000000"/>
          <w:lang w:val="es-ES"/>
        </w:rPr>
        <w:t>por las que se instruyeron procesos por prevaricación</w:t>
      </w:r>
      <w:r w:rsidR="00CC14DD">
        <w:rPr>
          <w:color w:val="000000"/>
          <w:lang w:val="es-ES"/>
        </w:rPr>
        <w:t>,</w:t>
      </w:r>
      <w:r w:rsidR="00BA5D38">
        <w:rPr>
          <w:color w:val="000000"/>
          <w:lang w:val="es-ES"/>
        </w:rPr>
        <w:t xml:space="preserve"> </w:t>
      </w:r>
      <w:r w:rsidR="00891737">
        <w:rPr>
          <w:color w:val="000000"/>
          <w:lang w:val="es-ES"/>
        </w:rPr>
        <w:t xml:space="preserve">y que, conforme a la legislación española, no era posible abrir el proceso penal, según lo señaló el Ministerio fiscal en su informe de 29 de enero de 2008. En dicho informe, se señaló que </w:t>
      </w:r>
      <w:r w:rsidR="00891737">
        <w:rPr>
          <w:color w:val="000000"/>
          <w:lang w:val="es-ES"/>
        </w:rPr>
        <w:lastRenderedPageBreak/>
        <w:t xml:space="preserve">“la imprescriptibilidad no se aplica a los hechos denunciados, en razón a que estos solo pueden ser calificados como delitos comunes de acuerdo con los tipos penales contemplados en el Código penal de la época, y en la medida que la ley penal no puede ser de aplicación retroactiva.” Asimismo, </w:t>
      </w:r>
      <w:r w:rsidR="00D75781">
        <w:rPr>
          <w:color w:val="000000"/>
          <w:lang w:val="es-ES"/>
        </w:rPr>
        <w:t xml:space="preserve">el informe señaló que </w:t>
      </w:r>
      <w:r w:rsidR="00891737">
        <w:rPr>
          <w:color w:val="000000"/>
          <w:lang w:val="es-ES"/>
        </w:rPr>
        <w:t xml:space="preserve">la Ley de amnistía de 1977 </w:t>
      </w:r>
      <w:r w:rsidR="00125F18">
        <w:rPr>
          <w:color w:val="000000"/>
          <w:lang w:val="es-ES"/>
        </w:rPr>
        <w:t xml:space="preserve">era aplicable a los hechos </w:t>
      </w:r>
      <w:r w:rsidR="00891737">
        <w:rPr>
          <w:color w:val="000000"/>
          <w:lang w:val="es-ES"/>
        </w:rPr>
        <w:t xml:space="preserve">por tratarse de delitos comunes. </w:t>
      </w:r>
      <w:r w:rsidR="00D75781">
        <w:rPr>
          <w:color w:val="000000"/>
          <w:lang w:val="es-ES"/>
        </w:rPr>
        <w:t xml:space="preserve">En su sentencia de 27 de febrero de 2012, el Tribunal Supremo </w:t>
      </w:r>
      <w:r w:rsidR="00A95DC5">
        <w:rPr>
          <w:color w:val="000000"/>
          <w:lang w:val="es-ES"/>
        </w:rPr>
        <w:t xml:space="preserve">señaló </w:t>
      </w:r>
      <w:r w:rsidR="00D75781">
        <w:rPr>
          <w:color w:val="000000"/>
          <w:lang w:val="es-ES"/>
        </w:rPr>
        <w:t>que, e</w:t>
      </w:r>
      <w:r w:rsidR="00125F18">
        <w:rPr>
          <w:color w:val="000000"/>
          <w:lang w:val="es-ES"/>
        </w:rPr>
        <w:t>n su</w:t>
      </w:r>
      <w:r w:rsidR="00891737">
        <w:rPr>
          <w:color w:val="000000"/>
          <w:lang w:val="es-ES"/>
        </w:rPr>
        <w:t xml:space="preserve"> auto de 16 de oc</w:t>
      </w:r>
      <w:r w:rsidR="00A95DC5">
        <w:rPr>
          <w:color w:val="000000"/>
          <w:lang w:val="es-ES"/>
        </w:rPr>
        <w:t>tubre de 2008, el autor, si bien no llegó a calificar los hechos como delito contra la humanidad, los calificó</w:t>
      </w:r>
      <w:r w:rsidR="00891737">
        <w:rPr>
          <w:color w:val="000000"/>
          <w:lang w:val="es-ES"/>
        </w:rPr>
        <w:t xml:space="preserve"> como “delito permanente de detención ilegal sin ofrecer razón del paradero de la víctima en el marco de crímenes contra la humanidad”. Según el </w:t>
      </w:r>
      <w:r w:rsidR="00A95DC5">
        <w:rPr>
          <w:color w:val="000000"/>
          <w:lang w:val="es-ES"/>
        </w:rPr>
        <w:t>Tribunal Supremo</w:t>
      </w:r>
      <w:r w:rsidR="00891737">
        <w:rPr>
          <w:color w:val="000000"/>
          <w:lang w:val="es-ES"/>
        </w:rPr>
        <w:t xml:space="preserve">, </w:t>
      </w:r>
      <w:r w:rsidR="00A95DC5">
        <w:rPr>
          <w:color w:val="000000"/>
          <w:lang w:val="es-ES"/>
        </w:rPr>
        <w:t>“</w:t>
      </w:r>
      <w:r w:rsidR="00891737">
        <w:rPr>
          <w:color w:val="000000"/>
          <w:lang w:val="es-ES"/>
        </w:rPr>
        <w:t>con esta afirmación el autor pretendía salvar los problemas de retroactividad, de imprescriptibilidad y de prohibición de la amnistía</w:t>
      </w:r>
      <w:r w:rsidR="00A95DC5">
        <w:rPr>
          <w:color w:val="000000"/>
          <w:lang w:val="es-ES"/>
        </w:rPr>
        <w:t>”</w:t>
      </w:r>
      <w:r w:rsidR="00891737">
        <w:rPr>
          <w:color w:val="000000"/>
          <w:lang w:val="es-ES"/>
        </w:rPr>
        <w:t xml:space="preserve">. </w:t>
      </w:r>
      <w:r w:rsidR="00A95DC5">
        <w:rPr>
          <w:color w:val="000000"/>
          <w:lang w:val="es-ES"/>
        </w:rPr>
        <w:t>El Tribunal Supremo señaló asimismo que</w:t>
      </w:r>
      <w:r w:rsidR="00891737">
        <w:rPr>
          <w:color w:val="000000"/>
          <w:lang w:val="es-ES"/>
        </w:rPr>
        <w:t xml:space="preserve"> </w:t>
      </w:r>
      <w:r w:rsidR="0051265E">
        <w:rPr>
          <w:color w:val="000000"/>
          <w:lang w:val="es-ES"/>
        </w:rPr>
        <w:t>la normativa</w:t>
      </w:r>
      <w:r w:rsidR="00891737">
        <w:rPr>
          <w:color w:val="000000"/>
          <w:lang w:val="es-ES"/>
        </w:rPr>
        <w:t xml:space="preserve"> que conformaba la legalidad penal internacional no estaba vigente al tiempo de la comisión de los hechos investigados por el autor.</w:t>
      </w:r>
      <w:r w:rsidR="00125F18">
        <w:rPr>
          <w:color w:val="000000"/>
          <w:lang w:val="es-ES"/>
        </w:rPr>
        <w:t xml:space="preserve"> Señala asimismo que el </w:t>
      </w:r>
      <w:r w:rsidR="0051265E">
        <w:rPr>
          <w:color w:val="000000"/>
          <w:lang w:val="es-ES"/>
        </w:rPr>
        <w:t xml:space="preserve">autor interpretó en su auto de 16 de octubre de 2008 que, dada la naturaleza de delito permanente </w:t>
      </w:r>
      <w:r w:rsidR="00A95DC5">
        <w:rPr>
          <w:color w:val="000000"/>
          <w:lang w:val="es-ES"/>
        </w:rPr>
        <w:t>d</w:t>
      </w:r>
      <w:r w:rsidR="0051265E">
        <w:rPr>
          <w:color w:val="000000"/>
          <w:lang w:val="es-ES"/>
        </w:rPr>
        <w:t>el delito de detención ilegal sin dar razón del p</w:t>
      </w:r>
      <w:r w:rsidR="00A95DC5">
        <w:rPr>
          <w:color w:val="000000"/>
          <w:lang w:val="es-ES"/>
        </w:rPr>
        <w:t>aradero, dich</w:t>
      </w:r>
      <w:r w:rsidR="0051265E">
        <w:rPr>
          <w:color w:val="000000"/>
          <w:lang w:val="es-ES"/>
        </w:rPr>
        <w:t xml:space="preserve">os delitos </w:t>
      </w:r>
      <w:r w:rsidR="00A95DC5">
        <w:rPr>
          <w:color w:val="000000"/>
          <w:lang w:val="es-ES"/>
        </w:rPr>
        <w:t>eran im</w:t>
      </w:r>
      <w:r w:rsidR="0051265E">
        <w:rPr>
          <w:color w:val="000000"/>
          <w:lang w:val="es-ES"/>
        </w:rPr>
        <w:t>prescriptibles de acuerdo con la normativa internacional, incluido el artículo 1 de la Convención sobre imprescriptibilidad de los Crímenes de Guerra y de los Crímenes de lesa humanidad y el artículo 8 de la Convención para la protección de todas las personas contra las desapariciones forzadas. Sin embargo, este tipo penal no estaba previsto como tipo agravado de la detención ilegal al inicio del periodo objeto de la instrucción judicial. Este tipo, que estaba previsto en el Código penal de 1928, desapareció en 1932 para volver a figurar en 1944. Por otra parte, el Estado parte sostiene que no es lógico argumentar que un detenido ilegalmente en 1936 cuyos restos no han sido hallados en 2006 pueda seguir detenido más allá del plazo máximo de prescripción</w:t>
      </w:r>
      <w:r w:rsidR="006B316B">
        <w:rPr>
          <w:color w:val="000000"/>
          <w:lang w:val="es-ES"/>
        </w:rPr>
        <w:t xml:space="preserve"> previsto en el Código penal</w:t>
      </w:r>
      <w:r w:rsidR="0051265E">
        <w:rPr>
          <w:color w:val="000000"/>
          <w:lang w:val="es-ES"/>
        </w:rPr>
        <w:t xml:space="preserve">, que es de 20 años. </w:t>
      </w:r>
      <w:r w:rsidR="006B316B">
        <w:rPr>
          <w:color w:val="000000"/>
          <w:lang w:val="es-ES"/>
        </w:rPr>
        <w:t xml:space="preserve">El Estado parte señala que </w:t>
      </w:r>
      <w:r w:rsidR="00C867D4">
        <w:rPr>
          <w:color w:val="000000"/>
          <w:lang w:val="es-ES"/>
        </w:rPr>
        <w:t xml:space="preserve">el derecho de las víctimas a un recurso efectivo es solo exigible para violaciones sufridas después de la entrada en vigor del Pacto para el Estado parte, de conformidad con el principio de legalidad. </w:t>
      </w:r>
    </w:p>
    <w:p w14:paraId="448B8583" w14:textId="06474092" w:rsidR="00E02650" w:rsidRDefault="0042518E" w:rsidP="00BC542F">
      <w:pPr>
        <w:pStyle w:val="SingleTxtG"/>
        <w:rPr>
          <w:color w:val="000000"/>
          <w:lang w:val="es-ES"/>
        </w:rPr>
      </w:pPr>
      <w:r>
        <w:rPr>
          <w:color w:val="000000"/>
          <w:lang w:val="es-ES"/>
        </w:rPr>
        <w:t>2.8</w:t>
      </w:r>
      <w:r>
        <w:rPr>
          <w:color w:val="000000"/>
          <w:lang w:val="es-ES"/>
        </w:rPr>
        <w:tab/>
      </w:r>
      <w:r w:rsidR="00C867D4">
        <w:rPr>
          <w:color w:val="000000"/>
          <w:lang w:val="es-ES"/>
        </w:rPr>
        <w:t xml:space="preserve">El Estado parte </w:t>
      </w:r>
      <w:r w:rsidR="00A95DC5">
        <w:rPr>
          <w:color w:val="000000"/>
          <w:lang w:val="es-ES"/>
        </w:rPr>
        <w:t>sostiene</w:t>
      </w:r>
      <w:r w:rsidR="00C867D4">
        <w:rPr>
          <w:color w:val="000000"/>
          <w:lang w:val="es-ES"/>
        </w:rPr>
        <w:t xml:space="preserve"> que no se puede </w:t>
      </w:r>
      <w:r w:rsidR="00844F9B">
        <w:rPr>
          <w:color w:val="000000"/>
          <w:lang w:val="es-ES"/>
        </w:rPr>
        <w:t>establecer</w:t>
      </w:r>
      <w:r w:rsidR="00C867D4">
        <w:rPr>
          <w:color w:val="000000"/>
          <w:lang w:val="es-ES"/>
        </w:rPr>
        <w:t xml:space="preserve"> que la apertura de un proceso penal contra el autor por la causa Franquismo</w:t>
      </w:r>
      <w:r w:rsidR="006B316B">
        <w:rPr>
          <w:color w:val="000000"/>
          <w:lang w:val="es-ES"/>
        </w:rPr>
        <w:t xml:space="preserve"> </w:t>
      </w:r>
      <w:r w:rsidR="00C867D4">
        <w:rPr>
          <w:color w:val="000000"/>
          <w:lang w:val="es-ES"/>
        </w:rPr>
        <w:t>fuera arbitraria ya que la actuación del autor “chocaba frontalmente con cuestiones básicas de un Estado de Derecho”</w:t>
      </w:r>
      <w:r w:rsidR="0063191B">
        <w:rPr>
          <w:color w:val="000000"/>
          <w:lang w:val="es-ES"/>
        </w:rPr>
        <w:t>.</w:t>
      </w:r>
      <w:r w:rsidR="00C867D4">
        <w:rPr>
          <w:color w:val="000000"/>
          <w:lang w:val="es-ES"/>
        </w:rPr>
        <w:t xml:space="preserve"> </w:t>
      </w:r>
      <w:r w:rsidR="00463485">
        <w:rPr>
          <w:color w:val="000000"/>
          <w:lang w:val="es-ES"/>
        </w:rPr>
        <w:t xml:space="preserve">En este sentido, la sentencia absolutoria del autor por esta causa consideró que la interpretación del derecho realizada por el autor fue errónea, </w:t>
      </w:r>
      <w:r w:rsidR="00A95DC5">
        <w:rPr>
          <w:color w:val="000000"/>
          <w:lang w:val="es-ES"/>
        </w:rPr>
        <w:t>si bien</w:t>
      </w:r>
      <w:r w:rsidR="00463485">
        <w:rPr>
          <w:color w:val="000000"/>
          <w:lang w:val="es-ES"/>
        </w:rPr>
        <w:t xml:space="preserve"> no alcanzó</w:t>
      </w:r>
      <w:r w:rsidR="00D16C6E">
        <w:rPr>
          <w:color w:val="000000"/>
          <w:lang w:val="es-ES"/>
        </w:rPr>
        <w:t xml:space="preserve"> la característica del delito de prevaricación.</w:t>
      </w:r>
      <w:r w:rsidR="009A1A0B">
        <w:rPr>
          <w:color w:val="000000"/>
          <w:lang w:val="es-ES"/>
        </w:rPr>
        <w:t xml:space="preserve"> El Estado parte </w:t>
      </w:r>
      <w:r w:rsidR="00A95DC5">
        <w:rPr>
          <w:color w:val="000000"/>
          <w:lang w:val="es-ES"/>
        </w:rPr>
        <w:t>señala</w:t>
      </w:r>
      <w:r w:rsidR="009A1A0B">
        <w:rPr>
          <w:color w:val="000000"/>
          <w:lang w:val="es-ES"/>
        </w:rPr>
        <w:t xml:space="preserve"> que en el proceso contra </w:t>
      </w:r>
      <w:r w:rsidR="00A95DC5">
        <w:rPr>
          <w:color w:val="000000"/>
          <w:lang w:val="es-ES"/>
        </w:rPr>
        <w:t>el autor por el caso Franquismo</w:t>
      </w:r>
      <w:r w:rsidR="009A1A0B">
        <w:rPr>
          <w:color w:val="000000"/>
          <w:lang w:val="es-ES"/>
        </w:rPr>
        <w:t xml:space="preserve"> se diferenciaron las dos partes del proceso </w:t>
      </w:r>
      <w:r w:rsidR="0063191B">
        <w:rPr>
          <w:color w:val="000000"/>
          <w:lang w:val="es-ES"/>
        </w:rPr>
        <w:t>—</w:t>
      </w:r>
      <w:r w:rsidR="009A1A0B">
        <w:rPr>
          <w:color w:val="000000"/>
          <w:lang w:val="es-ES"/>
        </w:rPr>
        <w:t>instrucción y enjuiciamiento</w:t>
      </w:r>
      <w:r w:rsidR="0063191B">
        <w:rPr>
          <w:color w:val="000000"/>
          <w:lang w:val="es-ES"/>
        </w:rPr>
        <w:t>—</w:t>
      </w:r>
      <w:r w:rsidR="009A1A0B">
        <w:rPr>
          <w:color w:val="000000"/>
          <w:lang w:val="es-ES"/>
        </w:rPr>
        <w:t>, se admitió la recusación de aquellos magistrados que habían resuelto cuestiones vinculadas en la fase de instrucción, y al final, el tribunal sentenciador absolvió al autor, sin que pueda apreciarse arbitrariedad o denegación de justicia por no haberse archivado la querella presentada contra el autor dado que los autos dictados por el autor eran claramente contrarios a la legislación vigente y los principios básicos del derecho, en particular en lo que se refiere a los principios de prescripción e irretroactividad. El Estado parte añade que</w:t>
      </w:r>
      <w:r w:rsidR="007522EB">
        <w:rPr>
          <w:color w:val="000000"/>
          <w:lang w:val="es-ES"/>
        </w:rPr>
        <w:t xml:space="preserve"> sigue realizando actuaciones de protección y reparación a las víctimas de la Guerra Civil y la Dictadura</w:t>
      </w:r>
      <w:r w:rsidR="0063191B">
        <w:rPr>
          <w:rStyle w:val="FootnoteReference"/>
          <w:color w:val="000000"/>
          <w:lang w:val="es-ES"/>
        </w:rPr>
        <w:footnoteReference w:id="7"/>
      </w:r>
      <w:r w:rsidR="0063191B">
        <w:rPr>
          <w:color w:val="000000"/>
          <w:lang w:val="es-ES"/>
        </w:rPr>
        <w:t>.</w:t>
      </w:r>
    </w:p>
    <w:p w14:paraId="7314C7C4" w14:textId="7994FF67" w:rsidR="009A1A0B" w:rsidRPr="00651F1B" w:rsidRDefault="009A1A0B" w:rsidP="00BC542F">
      <w:pPr>
        <w:pStyle w:val="SingleTxtG"/>
        <w:rPr>
          <w:color w:val="000000"/>
          <w:lang w:val="es-ES"/>
        </w:rPr>
      </w:pPr>
      <w:r>
        <w:rPr>
          <w:color w:val="000000"/>
          <w:lang w:val="es-ES"/>
        </w:rPr>
        <w:t>2.</w:t>
      </w:r>
      <w:r w:rsidR="0042518E">
        <w:rPr>
          <w:color w:val="000000"/>
          <w:lang w:val="es-ES"/>
        </w:rPr>
        <w:t>9</w:t>
      </w:r>
      <w:r>
        <w:rPr>
          <w:color w:val="000000"/>
          <w:lang w:val="es-ES"/>
        </w:rPr>
        <w:tab/>
      </w:r>
      <w:r w:rsidR="00C51AF4">
        <w:rPr>
          <w:color w:val="000000"/>
          <w:lang w:val="es-ES"/>
        </w:rPr>
        <w:t xml:space="preserve">Respecto al caso </w:t>
      </w:r>
      <w:proofErr w:type="spellStart"/>
      <w:r w:rsidR="00C51AF4">
        <w:rPr>
          <w:color w:val="000000"/>
          <w:lang w:val="es-ES"/>
        </w:rPr>
        <w:t>Gürtel</w:t>
      </w:r>
      <w:proofErr w:type="spellEnd"/>
      <w:r w:rsidR="00C51AF4">
        <w:rPr>
          <w:color w:val="000000"/>
          <w:lang w:val="es-ES"/>
        </w:rPr>
        <w:t>, el Estado parte sostiene que tampoco existen argumentos que justifiquen la existencia de parcialidad</w:t>
      </w:r>
      <w:r w:rsidR="00844F9B">
        <w:rPr>
          <w:color w:val="000000"/>
          <w:lang w:val="es-ES"/>
        </w:rPr>
        <w:t xml:space="preserve"> el tribunal sentenciador</w:t>
      </w:r>
      <w:r w:rsidR="00C51AF4">
        <w:rPr>
          <w:color w:val="000000"/>
          <w:lang w:val="es-ES"/>
        </w:rPr>
        <w:t xml:space="preserve">. El Estado parte recuerda que se admitió la recusación de los magistrados que habían participado indirectamente en la instrucción del caso, y que los argumentos relativos a la interpretación del artículo 51 (2) de la LOGP son aplicables también a ese caso. El Estado parte señala que el autor no ha negado haber dictado dos resoluciones que permitían la interceptación de comunicaciones orales entre presos y sus abogados, que dichas resoluciones no mencionaban indicio alguno de criminalidad de los abogados, y que se aplicaban a todos los abogados con carácter general. </w:t>
      </w:r>
      <w:r w:rsidR="00C51AF4">
        <w:rPr>
          <w:color w:val="000000"/>
          <w:lang w:val="es-ES"/>
        </w:rPr>
        <w:lastRenderedPageBreak/>
        <w:t>En consecuencia, no puede apreciarse arbitrar</w:t>
      </w:r>
      <w:r w:rsidR="00F628B5">
        <w:rPr>
          <w:color w:val="000000"/>
          <w:lang w:val="es-ES"/>
        </w:rPr>
        <w:t>iedad ni denegación de justicia en el proceso penal del autor.</w:t>
      </w:r>
    </w:p>
    <w:p w14:paraId="3FB5172B" w14:textId="5754D0A1" w:rsidR="004726C0" w:rsidRPr="004726C0" w:rsidRDefault="00CF5683" w:rsidP="00CF5683">
      <w:pPr>
        <w:pStyle w:val="H23G"/>
        <w:rPr>
          <w:lang w:val="es-ES_tradnl"/>
        </w:rPr>
      </w:pPr>
      <w:r>
        <w:rPr>
          <w:lang w:val="es-ES_tradnl"/>
        </w:rPr>
        <w:tab/>
      </w:r>
      <w:r>
        <w:rPr>
          <w:lang w:val="es-ES_tradnl"/>
        </w:rPr>
        <w:tab/>
      </w:r>
      <w:r w:rsidR="004726C0" w:rsidRPr="004726C0">
        <w:rPr>
          <w:lang w:val="es-ES_tradnl"/>
        </w:rPr>
        <w:t xml:space="preserve">Comentarios </w:t>
      </w:r>
      <w:r w:rsidR="00D8371E">
        <w:rPr>
          <w:lang w:val="es-ES_tradnl"/>
        </w:rPr>
        <w:t>del autor</w:t>
      </w:r>
      <w:r w:rsidR="004726C0" w:rsidRPr="004726C0">
        <w:rPr>
          <w:lang w:val="es-ES_tradnl"/>
        </w:rPr>
        <w:t xml:space="preserve"> sobr</w:t>
      </w:r>
      <w:r w:rsidR="003F611F">
        <w:rPr>
          <w:lang w:val="es-ES_tradnl"/>
        </w:rPr>
        <w:t>e las observaciones del Estado</w:t>
      </w:r>
      <w:r w:rsidR="00EB6B65">
        <w:rPr>
          <w:lang w:val="es-ES_tradnl"/>
        </w:rPr>
        <w:t xml:space="preserve"> parte</w:t>
      </w:r>
      <w:r w:rsidR="00627685">
        <w:rPr>
          <w:lang w:val="es-ES_tradnl"/>
        </w:rPr>
        <w:t xml:space="preserve"> sobre el fondo</w:t>
      </w:r>
    </w:p>
    <w:p w14:paraId="21469E99" w14:textId="69F72B0E" w:rsidR="00627685" w:rsidRDefault="00627685" w:rsidP="00627685">
      <w:pPr>
        <w:pStyle w:val="SingleTxtG"/>
        <w:keepNext/>
        <w:rPr>
          <w:color w:val="000000"/>
          <w:lang w:val="es-ES_tradnl"/>
        </w:rPr>
      </w:pPr>
      <w:r>
        <w:rPr>
          <w:color w:val="000000"/>
          <w:lang w:val="es-ES_tradnl"/>
        </w:rPr>
        <w:t>3</w:t>
      </w:r>
      <w:r w:rsidR="004726C0" w:rsidRPr="00B3537C">
        <w:rPr>
          <w:color w:val="000000"/>
          <w:lang w:val="es-ES_tradnl"/>
        </w:rPr>
        <w:t>.1</w:t>
      </w:r>
      <w:r w:rsidR="00A21AD7" w:rsidRPr="00B3537C">
        <w:rPr>
          <w:color w:val="000000"/>
          <w:lang w:val="es-ES"/>
        </w:rPr>
        <w:tab/>
        <w:t>E</w:t>
      </w:r>
      <w:r w:rsidR="004120C3">
        <w:rPr>
          <w:color w:val="000000"/>
          <w:lang w:val="es-ES"/>
        </w:rPr>
        <w:t>n sus comentarios de</w:t>
      </w:r>
      <w:r w:rsidR="00C51AF4">
        <w:rPr>
          <w:color w:val="000000"/>
          <w:lang w:val="es-ES"/>
        </w:rPr>
        <w:t xml:space="preserve"> 12 de octubre de 2020</w:t>
      </w:r>
      <w:r w:rsidR="004120C3">
        <w:rPr>
          <w:color w:val="000000"/>
          <w:lang w:val="es-ES"/>
        </w:rPr>
        <w:t>, e</w:t>
      </w:r>
      <w:r w:rsidR="00A21AD7" w:rsidRPr="00B3537C">
        <w:rPr>
          <w:color w:val="000000"/>
          <w:lang w:val="es-ES"/>
        </w:rPr>
        <w:t xml:space="preserve">l </w:t>
      </w:r>
      <w:r w:rsidR="00A21AD7" w:rsidRPr="00B3537C">
        <w:rPr>
          <w:color w:val="000000"/>
          <w:lang w:val="es-ES_tradnl"/>
        </w:rPr>
        <w:t xml:space="preserve">autor </w:t>
      </w:r>
      <w:r w:rsidR="00D97E6B">
        <w:rPr>
          <w:color w:val="000000"/>
          <w:lang w:val="es-ES_tradnl"/>
        </w:rPr>
        <w:t>sostiene que vio su carrera judicial truncada tras ser sometido a múltiples procesos penales sucedidos simultáneamente. La única base de estos procesos era la interpretación de la ley realizada por el autor en ejercicio de su función judicial y la única prueba para sustentarlos fueron las resoluciones judiciales emitidas por el autor en los procesos que instruía. Hace notar que el Estad</w:t>
      </w:r>
      <w:r w:rsidR="00844F9B">
        <w:rPr>
          <w:color w:val="000000"/>
          <w:lang w:val="es-ES_tradnl"/>
        </w:rPr>
        <w:t>o parte no ha negado nada de lo</w:t>
      </w:r>
      <w:r w:rsidR="00D97E6B">
        <w:rPr>
          <w:color w:val="000000"/>
          <w:lang w:val="es-ES_tradnl"/>
        </w:rPr>
        <w:t xml:space="preserve"> anterior, y que el uso del derecho penal para confrontar lo que se consideran “errores” en la interpretación del derecho constituye una afrenta a la independencia judicial.</w:t>
      </w:r>
    </w:p>
    <w:p w14:paraId="3D89E2DB" w14:textId="0046D019" w:rsidR="00D97E6B" w:rsidRDefault="00D97E6B" w:rsidP="00627685">
      <w:pPr>
        <w:pStyle w:val="SingleTxtG"/>
        <w:keepNext/>
        <w:rPr>
          <w:color w:val="000000"/>
          <w:lang w:val="es-ES_tradnl"/>
        </w:rPr>
      </w:pPr>
      <w:r>
        <w:rPr>
          <w:color w:val="000000"/>
          <w:lang w:val="es-ES_tradnl"/>
        </w:rPr>
        <w:t>3.2</w:t>
      </w:r>
      <w:r>
        <w:rPr>
          <w:color w:val="000000"/>
          <w:lang w:val="es-ES_tradnl"/>
        </w:rPr>
        <w:tab/>
        <w:t>El autor sostiene que</w:t>
      </w:r>
      <w:r w:rsidR="00C66D8D">
        <w:rPr>
          <w:color w:val="000000"/>
          <w:lang w:val="es-ES_tradnl"/>
        </w:rPr>
        <w:t>, según lo reconoce el propio Comité en su decisión de admisibilidad (párrafo 8.3), la mera decisión de proceder con una acusación penal contra un juez puede suponer una arbitrariedad bajo los estándares del Pacto. Si bien dicha arbitrariedad debe ser clara y flagrante, el autor sostiene que la acusación penal en su contra por interpretaciones razonables y razonadas de la ley claramente encaja con dichos parámetros.</w:t>
      </w:r>
      <w:r>
        <w:rPr>
          <w:color w:val="000000"/>
          <w:lang w:val="es-ES_tradnl"/>
        </w:rPr>
        <w:t xml:space="preserve"> </w:t>
      </w:r>
      <w:r w:rsidR="00C66D8D">
        <w:rPr>
          <w:color w:val="000000"/>
          <w:lang w:val="es-ES_tradnl"/>
        </w:rPr>
        <w:t xml:space="preserve">A diferencia de lo argumentado por el Estado parte, la actuación del Comité en el presente asunto no equivale </w:t>
      </w:r>
      <w:r w:rsidR="00844F9B">
        <w:rPr>
          <w:color w:val="000000"/>
          <w:lang w:val="es-ES_tradnl"/>
        </w:rPr>
        <w:t xml:space="preserve">a una cuarta instancia ni </w:t>
      </w:r>
      <w:r w:rsidR="006C53CD">
        <w:rPr>
          <w:color w:val="000000"/>
          <w:lang w:val="es-ES_tradnl"/>
        </w:rPr>
        <w:t>guarda ninguna relación</w:t>
      </w:r>
      <w:r w:rsidR="00C66D8D">
        <w:rPr>
          <w:color w:val="000000"/>
          <w:lang w:val="es-ES_tradnl"/>
        </w:rPr>
        <w:t xml:space="preserve"> con la valoración de la prueba. </w:t>
      </w:r>
    </w:p>
    <w:p w14:paraId="1D7BFD11" w14:textId="622AB0D8" w:rsidR="00C66D8D" w:rsidRDefault="00C66D8D" w:rsidP="00627685">
      <w:pPr>
        <w:pStyle w:val="SingleTxtG"/>
        <w:keepNext/>
        <w:rPr>
          <w:color w:val="000000"/>
          <w:lang w:val="es-ES_tradnl"/>
        </w:rPr>
      </w:pPr>
      <w:r>
        <w:rPr>
          <w:color w:val="000000"/>
          <w:lang w:val="es-ES_tradnl"/>
        </w:rPr>
        <w:t>3.3</w:t>
      </w:r>
      <w:r>
        <w:rPr>
          <w:color w:val="000000"/>
          <w:lang w:val="es-ES_tradnl"/>
        </w:rPr>
        <w:tab/>
        <w:t xml:space="preserve">El autor señala la necesidad de prohibir el procesamiento penal </w:t>
      </w:r>
      <w:r w:rsidR="00C74F18">
        <w:rPr>
          <w:color w:val="000000"/>
          <w:lang w:val="es-ES_tradnl"/>
        </w:rPr>
        <w:t xml:space="preserve">de </w:t>
      </w:r>
      <w:r>
        <w:rPr>
          <w:color w:val="000000"/>
          <w:lang w:val="es-ES_tradnl"/>
        </w:rPr>
        <w:t>jueces por ejercer sus labores judiciales de buena fe</w:t>
      </w:r>
      <w:r w:rsidR="00C74F18">
        <w:rPr>
          <w:color w:val="000000"/>
          <w:lang w:val="es-ES_tradnl"/>
        </w:rPr>
        <w:t xml:space="preserve">, y recuerda </w:t>
      </w:r>
      <w:r w:rsidR="00C31353">
        <w:rPr>
          <w:color w:val="000000"/>
          <w:lang w:val="es-ES_tradnl"/>
        </w:rPr>
        <w:t>que la posibilidad de que los j</w:t>
      </w:r>
      <w:r w:rsidR="00C74F18">
        <w:rPr>
          <w:color w:val="000000"/>
          <w:lang w:val="es-ES_tradnl"/>
        </w:rPr>
        <w:t>u</w:t>
      </w:r>
      <w:r w:rsidR="00C31353">
        <w:rPr>
          <w:color w:val="000000"/>
          <w:lang w:val="es-ES_tradnl"/>
        </w:rPr>
        <w:t>e</w:t>
      </w:r>
      <w:r w:rsidR="00C74F18">
        <w:rPr>
          <w:color w:val="000000"/>
          <w:lang w:val="es-ES_tradnl"/>
        </w:rPr>
        <w:t>ces sean som</w:t>
      </w:r>
      <w:r w:rsidR="00C31353">
        <w:rPr>
          <w:color w:val="000000"/>
          <w:lang w:val="es-ES_tradnl"/>
        </w:rPr>
        <w:t>etidos a sanciones disciplinaria</w:t>
      </w:r>
      <w:r w:rsidR="00C74F18">
        <w:rPr>
          <w:color w:val="000000"/>
          <w:lang w:val="es-ES_tradnl"/>
        </w:rPr>
        <w:t>s e incluso penales por el contenido de sus resoluciones ha sido considerado como “incompatible con los requisitos de independencia judicial”</w:t>
      </w:r>
      <w:r w:rsidR="00C31353">
        <w:rPr>
          <w:rStyle w:val="FootnoteReference"/>
          <w:color w:val="000000"/>
          <w:lang w:val="es-ES_tradnl"/>
        </w:rPr>
        <w:footnoteReference w:id="8"/>
      </w:r>
      <w:r>
        <w:rPr>
          <w:color w:val="000000"/>
          <w:lang w:val="es-ES_tradnl"/>
        </w:rPr>
        <w:t xml:space="preserve">. La interpretación del derecho constituye la esencia de la función jurisdiccional, incluso en aquellos asuntos más controvertidos que pueden entrañar distintas interpretaciones, como en los casos Franquismo y </w:t>
      </w:r>
      <w:proofErr w:type="spellStart"/>
      <w:r>
        <w:rPr>
          <w:color w:val="000000"/>
          <w:lang w:val="es-ES_tradnl"/>
        </w:rPr>
        <w:t>Gürtel</w:t>
      </w:r>
      <w:proofErr w:type="spellEnd"/>
      <w:r>
        <w:rPr>
          <w:color w:val="000000"/>
          <w:lang w:val="es-ES_tradnl"/>
        </w:rPr>
        <w:t xml:space="preserve">. </w:t>
      </w:r>
      <w:r w:rsidR="00C74F18">
        <w:rPr>
          <w:color w:val="000000"/>
          <w:lang w:val="es-ES_tradnl"/>
        </w:rPr>
        <w:t>Las diferencias de criterio, o incluso errores judiciales, no pueden acarrear la aplicación del derecho penal contra los jueces. Para enmendar posibles errores</w:t>
      </w:r>
      <w:r w:rsidR="00DD4850">
        <w:rPr>
          <w:color w:val="000000"/>
          <w:lang w:val="es-ES_tradnl"/>
        </w:rPr>
        <w:t xml:space="preserve"> de interpretación</w:t>
      </w:r>
      <w:r w:rsidR="00C74F18">
        <w:rPr>
          <w:color w:val="000000"/>
          <w:lang w:val="es-ES_tradnl"/>
        </w:rPr>
        <w:t xml:space="preserve"> existe todo un sistema de recursos judiciales que pueden permitir que otro tribunal revise el razonamiento del juez </w:t>
      </w:r>
      <w:r w:rsidR="00C74F18" w:rsidRPr="0097045B">
        <w:rPr>
          <w:i/>
          <w:color w:val="000000"/>
          <w:lang w:val="es-ES_tradnl"/>
        </w:rPr>
        <w:t>a quo.</w:t>
      </w:r>
      <w:r w:rsidR="00C74F18">
        <w:rPr>
          <w:color w:val="000000"/>
          <w:lang w:val="es-ES_tradnl"/>
        </w:rPr>
        <w:t xml:space="preserve"> El autor hace notar que </w:t>
      </w:r>
      <w:r w:rsidR="006C53CD">
        <w:rPr>
          <w:color w:val="000000"/>
          <w:lang w:val="es-ES_tradnl"/>
        </w:rPr>
        <w:t xml:space="preserve">las </w:t>
      </w:r>
      <w:r w:rsidR="00C74F18">
        <w:rPr>
          <w:color w:val="000000"/>
          <w:lang w:val="es-ES_tradnl"/>
        </w:rPr>
        <w:t xml:space="preserve">resoluciones </w:t>
      </w:r>
      <w:r w:rsidR="007164BA">
        <w:rPr>
          <w:color w:val="000000"/>
          <w:lang w:val="es-ES_tradnl"/>
        </w:rPr>
        <w:t xml:space="preserve">por él dictadas </w:t>
      </w:r>
      <w:r w:rsidR="00C74F18">
        <w:rPr>
          <w:color w:val="000000"/>
          <w:lang w:val="es-ES_tradnl"/>
        </w:rPr>
        <w:t>fueron ulteriormente apeladas y revocadas</w:t>
      </w:r>
      <w:r w:rsidR="00D874F0">
        <w:rPr>
          <w:color w:val="000000"/>
          <w:lang w:val="es-ES_tradnl"/>
        </w:rPr>
        <w:t xml:space="preserve"> en el marco del proceso por el caso Franquismo</w:t>
      </w:r>
      <w:r w:rsidR="00C74F18">
        <w:rPr>
          <w:color w:val="000000"/>
          <w:lang w:val="es-ES_tradnl"/>
        </w:rPr>
        <w:t>, lo cual debi</w:t>
      </w:r>
      <w:r w:rsidR="00E13C1B">
        <w:rPr>
          <w:color w:val="000000"/>
          <w:lang w:val="es-ES_tradnl"/>
        </w:rPr>
        <w:t>ó de haber puesto fin al asunto</w:t>
      </w:r>
      <w:r w:rsidR="00EE14F9">
        <w:rPr>
          <w:rStyle w:val="FootnoteReference"/>
          <w:color w:val="000000"/>
          <w:lang w:val="es-ES_tradnl"/>
        </w:rPr>
        <w:footnoteReference w:id="9"/>
      </w:r>
      <w:r w:rsidR="00844F9B">
        <w:rPr>
          <w:color w:val="000000"/>
          <w:lang w:val="es-ES_tradnl"/>
        </w:rPr>
        <w:t>.</w:t>
      </w:r>
      <w:r w:rsidR="00C74F18">
        <w:rPr>
          <w:color w:val="000000"/>
          <w:lang w:val="es-ES_tradnl"/>
        </w:rPr>
        <w:t xml:space="preserve"> Reconoce que, en casos extremos de conducta contraria a los principios deontológicos, los jueces pueden ser sometidos a un régimen disciplinario. </w:t>
      </w:r>
      <w:r w:rsidR="00DD4850">
        <w:rPr>
          <w:color w:val="000000"/>
          <w:lang w:val="es-ES_tradnl"/>
        </w:rPr>
        <w:t xml:space="preserve">Asimismo, se podría admitir el enjuiciamiento de un juez bajo las circunstancias más excepcionales y con estricto apego a las garantías del juicio justo, incluido el derecho a apelar. </w:t>
      </w:r>
      <w:r w:rsidR="00C74F18">
        <w:rPr>
          <w:color w:val="000000"/>
          <w:lang w:val="es-ES_tradnl"/>
        </w:rPr>
        <w:t xml:space="preserve">Sin embargo, en el presente caso, el Estado parte no </w:t>
      </w:r>
      <w:r w:rsidR="00DD4850">
        <w:rPr>
          <w:color w:val="000000"/>
          <w:lang w:val="es-ES_tradnl"/>
        </w:rPr>
        <w:t>explica</w:t>
      </w:r>
      <w:r w:rsidR="00C74F18">
        <w:rPr>
          <w:color w:val="000000"/>
          <w:lang w:val="es-ES_tradnl"/>
        </w:rPr>
        <w:t xml:space="preserve"> en qué medida</w:t>
      </w:r>
      <w:r w:rsidR="00DD4850">
        <w:rPr>
          <w:color w:val="000000"/>
          <w:lang w:val="es-ES_tradnl"/>
        </w:rPr>
        <w:t xml:space="preserve"> </w:t>
      </w:r>
      <w:r w:rsidR="00C74F18">
        <w:rPr>
          <w:color w:val="000000"/>
          <w:lang w:val="es-ES_tradnl"/>
        </w:rPr>
        <w:t>era necesario o justificado recurr</w:t>
      </w:r>
      <w:r w:rsidR="00E13C1B">
        <w:rPr>
          <w:color w:val="000000"/>
          <w:lang w:val="es-ES_tradnl"/>
        </w:rPr>
        <w:t>ir a la vía penal</w:t>
      </w:r>
      <w:r w:rsidR="00DD4850">
        <w:rPr>
          <w:rStyle w:val="FootnoteReference"/>
          <w:color w:val="000000"/>
          <w:lang w:val="es-ES_tradnl"/>
        </w:rPr>
        <w:footnoteReference w:id="10"/>
      </w:r>
      <w:r w:rsidR="00E13C1B">
        <w:rPr>
          <w:color w:val="000000"/>
          <w:lang w:val="es-ES_tradnl"/>
        </w:rPr>
        <w:t>.</w:t>
      </w:r>
      <w:r w:rsidR="00D217B4" w:rsidRPr="00D217B4">
        <w:rPr>
          <w:lang w:val="es-ES"/>
        </w:rPr>
        <w:t xml:space="preserve"> </w:t>
      </w:r>
      <w:r w:rsidR="00D217B4">
        <w:rPr>
          <w:lang w:val="es-ES"/>
        </w:rPr>
        <w:t>Como</w:t>
      </w:r>
      <w:r w:rsidR="00D217B4">
        <w:rPr>
          <w:color w:val="000000"/>
          <w:lang w:val="es-ES_tradnl"/>
        </w:rPr>
        <w:t xml:space="preserve"> se destaca en la carta abierta de 80 organizaciones no gubernamentales de derechos humanos, “la coincidencia temporal de tres casos distintos [Franquismo, </w:t>
      </w:r>
      <w:proofErr w:type="spellStart"/>
      <w:r w:rsidR="00D217B4">
        <w:rPr>
          <w:color w:val="000000"/>
          <w:lang w:val="es-ES_tradnl"/>
        </w:rPr>
        <w:t>Gürtel</w:t>
      </w:r>
      <w:proofErr w:type="spellEnd"/>
      <w:r w:rsidR="00D217B4">
        <w:rPr>
          <w:color w:val="000000"/>
          <w:lang w:val="es-ES_tradnl"/>
        </w:rPr>
        <w:t xml:space="preserve"> y Santander</w:t>
      </w:r>
      <w:r w:rsidR="00844F9B">
        <w:rPr>
          <w:rStyle w:val="FootnoteReference"/>
          <w:color w:val="000000"/>
          <w:lang w:val="es-ES_tradnl"/>
        </w:rPr>
        <w:footnoteReference w:id="11"/>
      </w:r>
      <w:r w:rsidR="00D217B4">
        <w:rPr>
          <w:color w:val="000000"/>
          <w:lang w:val="es-ES_tradnl"/>
        </w:rPr>
        <w:t xml:space="preserve">] contra </w:t>
      </w:r>
      <w:r w:rsidR="006C53CD">
        <w:rPr>
          <w:color w:val="000000"/>
          <w:lang w:val="es-ES_tradnl"/>
        </w:rPr>
        <w:t>[el autor]</w:t>
      </w:r>
      <w:r w:rsidR="00D217B4">
        <w:rPr>
          <w:color w:val="000000"/>
          <w:lang w:val="es-ES_tradnl"/>
        </w:rPr>
        <w:t>, así como el origen de las demandas, son una prueba de acoso judicial […]”</w:t>
      </w:r>
      <w:r w:rsidR="006C53CD">
        <w:rPr>
          <w:rStyle w:val="FootnoteReference"/>
          <w:color w:val="000000"/>
          <w:lang w:val="es-ES_tradnl"/>
        </w:rPr>
        <w:footnoteReference w:id="12"/>
      </w:r>
      <w:r w:rsidR="0063191B">
        <w:rPr>
          <w:color w:val="000000"/>
          <w:lang w:val="es-ES_tradnl"/>
        </w:rPr>
        <w:t>.</w:t>
      </w:r>
    </w:p>
    <w:p w14:paraId="698E1A2A" w14:textId="304AB789" w:rsidR="00D217B4" w:rsidRDefault="00D217B4" w:rsidP="00CF5683">
      <w:pPr>
        <w:pStyle w:val="SingleTxtG"/>
        <w:rPr>
          <w:lang w:val="es-ES_tradnl"/>
        </w:rPr>
      </w:pPr>
      <w:r>
        <w:rPr>
          <w:lang w:val="es-ES_tradnl"/>
        </w:rPr>
        <w:t>3.4</w:t>
      </w:r>
      <w:r>
        <w:rPr>
          <w:lang w:val="es-ES_tradnl"/>
        </w:rPr>
        <w:tab/>
        <w:t xml:space="preserve">El autor hace notar que la acusación por prevaricación en el caso Franquismo se basó en su </w:t>
      </w:r>
      <w:r w:rsidR="00EE14F9">
        <w:rPr>
          <w:lang w:val="es-ES_tradnl"/>
        </w:rPr>
        <w:t xml:space="preserve">decisión razonable y razonada que contenía una </w:t>
      </w:r>
      <w:r>
        <w:rPr>
          <w:lang w:val="es-ES_tradnl"/>
        </w:rPr>
        <w:t>interpretación armonizada de los crímenes de lesa humanidad bajo derecho español a la luz del derecho internacional de los derechos humanos. Dada la profunda crítica internacional a la Ley de A</w:t>
      </w:r>
      <w:r w:rsidR="00844F9B">
        <w:rPr>
          <w:lang w:val="es-ES_tradnl"/>
        </w:rPr>
        <w:t>mnistía española y a la inactividad del E</w:t>
      </w:r>
      <w:r>
        <w:rPr>
          <w:lang w:val="es-ES_tradnl"/>
        </w:rPr>
        <w:t xml:space="preserve">stado parte a la hora de investigar y enjuiciar los crímenes cometidos durante el Franquismo, resulta inverosímil que el Estado parte justifique el procesamiento </w:t>
      </w:r>
      <w:r>
        <w:rPr>
          <w:lang w:val="es-ES_tradnl"/>
        </w:rPr>
        <w:lastRenderedPageBreak/>
        <w:t xml:space="preserve">del autor en razón de una errónea interpretación del derecho aplicable a crímenes de tal gravedad. Señala que su </w:t>
      </w:r>
      <w:r w:rsidRPr="00FD425F">
        <w:rPr>
          <w:lang w:val="es-ES"/>
        </w:rPr>
        <w:t>interpretación</w:t>
      </w:r>
      <w:r>
        <w:rPr>
          <w:lang w:val="es-ES_tradnl"/>
        </w:rPr>
        <w:t xml:space="preserve"> ha sido utilizada y validada por otros jueces y autoridades de derecho internacional, lo cual demuestra que, como mínimo, se trataba de una posición discutible. Ello se evidencia, en particular, por los tres votos particulares emitidos por el tribunal sentenciador, quienes estimaron que la interpretación del autor era acertada. </w:t>
      </w:r>
      <w:r w:rsidR="00EE14F9">
        <w:rPr>
          <w:lang w:val="es-ES_tradnl"/>
        </w:rPr>
        <w:t xml:space="preserve">El autor señala que el proceso en su contra por el caso Franquismo no debió haberse iniciado ni continuado porque no había </w:t>
      </w:r>
      <w:r w:rsidR="006C53CD" w:rsidRPr="0097045B">
        <w:rPr>
          <w:i/>
          <w:lang w:val="es-ES_tradnl"/>
        </w:rPr>
        <w:t>prima facie</w:t>
      </w:r>
      <w:r w:rsidR="006C53CD">
        <w:rPr>
          <w:lang w:val="es-ES_tradnl"/>
        </w:rPr>
        <w:t xml:space="preserve"> </w:t>
      </w:r>
      <w:r w:rsidR="00EE14F9">
        <w:rPr>
          <w:lang w:val="es-ES_tradnl"/>
        </w:rPr>
        <w:t>indicios de actividad criminal. La incoación de un proceso penal, independientemente de que terminara en absolución, tuvo profundos efectos sobre</w:t>
      </w:r>
      <w:r w:rsidR="004F1E0B">
        <w:rPr>
          <w:lang w:val="es-ES_tradnl"/>
        </w:rPr>
        <w:t xml:space="preserve"> su reputación y carrera</w:t>
      </w:r>
      <w:r w:rsidR="00EE14F9">
        <w:rPr>
          <w:lang w:val="es-ES_tradnl"/>
        </w:rPr>
        <w:t xml:space="preserve"> y provocó un </w:t>
      </w:r>
      <w:r w:rsidR="00EE14F9" w:rsidRPr="0063191B">
        <w:rPr>
          <w:i/>
          <w:lang w:val="es-ES_tradnl"/>
        </w:rPr>
        <w:t>“</w:t>
      </w:r>
      <w:proofErr w:type="spellStart"/>
      <w:r w:rsidR="00EE14F9" w:rsidRPr="0063191B">
        <w:rPr>
          <w:i/>
          <w:lang w:val="es-ES_tradnl"/>
        </w:rPr>
        <w:t>chilling</w:t>
      </w:r>
      <w:proofErr w:type="spellEnd"/>
      <w:r w:rsidR="00EE14F9" w:rsidRPr="0063191B">
        <w:rPr>
          <w:i/>
          <w:lang w:val="es-ES_tradnl"/>
        </w:rPr>
        <w:t xml:space="preserve"> </w:t>
      </w:r>
      <w:proofErr w:type="spellStart"/>
      <w:r w:rsidR="00EE14F9" w:rsidRPr="0063191B">
        <w:rPr>
          <w:i/>
          <w:lang w:val="es-ES_tradnl"/>
        </w:rPr>
        <w:t>effect</w:t>
      </w:r>
      <w:proofErr w:type="spellEnd"/>
      <w:r w:rsidR="00EE14F9" w:rsidRPr="0063191B">
        <w:rPr>
          <w:i/>
          <w:lang w:val="es-ES_tradnl"/>
        </w:rPr>
        <w:t>”</w:t>
      </w:r>
      <w:r w:rsidR="00EE14F9">
        <w:rPr>
          <w:lang w:val="es-ES_tradnl"/>
        </w:rPr>
        <w:t xml:space="preserve"> en otros jueces y </w:t>
      </w:r>
      <w:r w:rsidR="004F1E0B">
        <w:rPr>
          <w:lang w:val="es-ES_tradnl"/>
        </w:rPr>
        <w:t xml:space="preserve">en las </w:t>
      </w:r>
      <w:r w:rsidR="00EE14F9">
        <w:rPr>
          <w:lang w:val="es-ES_tradnl"/>
        </w:rPr>
        <w:t>víctimas</w:t>
      </w:r>
      <w:r w:rsidR="004F1E0B">
        <w:rPr>
          <w:lang w:val="es-ES_tradnl"/>
        </w:rPr>
        <w:t xml:space="preserve"> de la dictadura</w:t>
      </w:r>
      <w:r w:rsidR="00EE14F9">
        <w:rPr>
          <w:lang w:val="es-ES_tradnl"/>
        </w:rPr>
        <w:t>.</w:t>
      </w:r>
      <w:r>
        <w:rPr>
          <w:lang w:val="es-ES_tradnl"/>
        </w:rPr>
        <w:t xml:space="preserve"> </w:t>
      </w:r>
      <w:r w:rsidR="00EE14F9">
        <w:rPr>
          <w:lang w:val="es-ES_tradnl"/>
        </w:rPr>
        <w:t xml:space="preserve">Añade que los avances en materia de memoria histórica son cuestionables y en todo caso irrelevantes para el presente caso. Por todo lo anterior, </w:t>
      </w:r>
      <w:r w:rsidR="004F1E0B">
        <w:rPr>
          <w:lang w:val="es-ES_tradnl"/>
        </w:rPr>
        <w:t xml:space="preserve">el autor sostiene que </w:t>
      </w:r>
      <w:r w:rsidR="00EE14F9">
        <w:rPr>
          <w:lang w:val="es-ES_tradnl"/>
        </w:rPr>
        <w:t>la apertura del proceso penal por prevaricación fue inherentemente arbitraria.</w:t>
      </w:r>
    </w:p>
    <w:p w14:paraId="2BF630E6" w14:textId="0E6D5DA2" w:rsidR="00EE14F9" w:rsidRPr="005D6551" w:rsidRDefault="00EE14F9" w:rsidP="0063191B">
      <w:pPr>
        <w:pStyle w:val="SingleTxtG"/>
        <w:rPr>
          <w:lang w:val="es-ES_tradnl"/>
        </w:rPr>
      </w:pPr>
      <w:r w:rsidRPr="005D6551">
        <w:rPr>
          <w:lang w:val="es-ES"/>
        </w:rPr>
        <w:t>3.</w:t>
      </w:r>
      <w:r w:rsidR="00DD5A85" w:rsidRPr="005D6551">
        <w:rPr>
          <w:lang w:val="es-ES"/>
        </w:rPr>
        <w:t>5</w:t>
      </w:r>
      <w:r w:rsidRPr="005D6551">
        <w:rPr>
          <w:lang w:val="es-ES"/>
        </w:rPr>
        <w:tab/>
      </w:r>
      <w:r w:rsidRPr="0063191B">
        <w:rPr>
          <w:lang w:val="es-ES_tradnl"/>
        </w:rPr>
        <w:t>El autor mantiene que otro indicio de la arbitrariedad y fal</w:t>
      </w:r>
      <w:r w:rsidR="00DD5A85" w:rsidRPr="0063191B">
        <w:rPr>
          <w:lang w:val="es-ES_tradnl"/>
        </w:rPr>
        <w:t>ta de imparcialidad en el caso F</w:t>
      </w:r>
      <w:r w:rsidRPr="0063191B">
        <w:rPr>
          <w:lang w:val="es-ES_tradnl"/>
        </w:rPr>
        <w:t xml:space="preserve">ranquismo </w:t>
      </w:r>
      <w:r w:rsidR="006C53CD" w:rsidRPr="0063191B">
        <w:rPr>
          <w:lang w:val="es-ES_tradnl"/>
        </w:rPr>
        <w:t xml:space="preserve">es </w:t>
      </w:r>
      <w:r w:rsidRPr="0063191B">
        <w:rPr>
          <w:lang w:val="es-ES_tradnl"/>
        </w:rPr>
        <w:t xml:space="preserve">el hecho </w:t>
      </w:r>
      <w:r w:rsidR="006C53CD" w:rsidRPr="0063191B">
        <w:rPr>
          <w:lang w:val="es-ES_tradnl"/>
        </w:rPr>
        <w:t xml:space="preserve">de </w:t>
      </w:r>
      <w:r w:rsidRPr="0063191B">
        <w:rPr>
          <w:lang w:val="es-ES_tradnl"/>
        </w:rPr>
        <w:t xml:space="preserve">que el juez </w:t>
      </w:r>
      <w:r w:rsidR="00DD5A85" w:rsidRPr="0063191B">
        <w:rPr>
          <w:lang w:val="es-ES_tradnl"/>
        </w:rPr>
        <w:t>instructor</w:t>
      </w:r>
      <w:r w:rsidRPr="0063191B">
        <w:rPr>
          <w:lang w:val="es-ES_tradnl"/>
        </w:rPr>
        <w:t xml:space="preserve"> asistiera activamente a las organizaciones de extrema derecha que formaron la acusación particular para asegurar que se pudiera </w:t>
      </w:r>
      <w:r w:rsidR="00DD5A85" w:rsidRPr="0063191B">
        <w:rPr>
          <w:lang w:val="es-ES_tradnl"/>
        </w:rPr>
        <w:t>iniciar</w:t>
      </w:r>
      <w:r w:rsidRPr="0063191B">
        <w:rPr>
          <w:lang w:val="es-ES_tradnl"/>
        </w:rPr>
        <w:t xml:space="preserve"> y continuar el proceso</w:t>
      </w:r>
      <w:r w:rsidR="00075CB6" w:rsidRPr="0063191B">
        <w:rPr>
          <w:rStyle w:val="FootnoteReference"/>
          <w:sz w:val="20"/>
          <w:lang w:val="es-ES_tradnl"/>
        </w:rPr>
        <w:footnoteReference w:id="13"/>
      </w:r>
      <w:r w:rsidR="00DD5A85" w:rsidRPr="0063191B">
        <w:rPr>
          <w:lang w:val="es-ES_tradnl"/>
        </w:rPr>
        <w:t xml:space="preserve">, en contra del criterio del Ministerio Fiscal. Señala que la Fiscalía intervino en varias ocasiones para sostener que la postura del autor no podía considerarse jurídicamente indefendible o irracional, máxime cuando tres magistrados del Pleno de la Sala de lo Penal de la Audiencia Nacional y algunos juzgados locales habían seguido la misma interpretación. Añade que se le impuso un excesivo </w:t>
      </w:r>
      <w:proofErr w:type="spellStart"/>
      <w:r w:rsidR="00DD5A85" w:rsidRPr="0063191B">
        <w:rPr>
          <w:lang w:val="es-ES_tradnl"/>
        </w:rPr>
        <w:t>onus</w:t>
      </w:r>
      <w:proofErr w:type="spellEnd"/>
      <w:r w:rsidR="00DD5A85" w:rsidRPr="0063191B">
        <w:rPr>
          <w:lang w:val="es-ES_tradnl"/>
        </w:rPr>
        <w:t>, invirtiéndose la carga de la prueba sobre el acusado, y que la Sala le denegó todas las oportunidades para presentar pruebas que demostraran su inocencia, siendo denegadas con insuficiente motivación. Tal y como advirtió el Ministerio Fiscal al solicitar el archivo del caso por prevaricación, “se hacía un uso del derecho penal para imputar a alguien por ser quien era”</w:t>
      </w:r>
      <w:r w:rsidR="0063191B" w:rsidRPr="00FD425F">
        <w:rPr>
          <w:rStyle w:val="FootnoteReference"/>
          <w:sz w:val="20"/>
        </w:rPr>
        <w:footnoteReference w:id="14"/>
      </w:r>
      <w:r w:rsidR="0063191B" w:rsidRPr="005D6551">
        <w:rPr>
          <w:lang w:val="es-ES_tradnl"/>
        </w:rPr>
        <w:t>.</w:t>
      </w:r>
      <w:r w:rsidR="00DD5A85" w:rsidRPr="005D6551">
        <w:rPr>
          <w:vertAlign w:val="superscript"/>
          <w:lang w:val="es-ES_tradnl"/>
        </w:rPr>
        <w:t xml:space="preserve"> </w:t>
      </w:r>
    </w:p>
    <w:p w14:paraId="2359D701" w14:textId="5377AAA0" w:rsidR="00A50CDB" w:rsidRDefault="00A50CDB" w:rsidP="00FD425F">
      <w:pPr>
        <w:pStyle w:val="SingleTxtG"/>
        <w:rPr>
          <w:lang w:val="es-ES_tradnl"/>
        </w:rPr>
      </w:pPr>
      <w:r w:rsidRPr="005D6551">
        <w:rPr>
          <w:lang w:val="es-ES"/>
        </w:rPr>
        <w:t>3.6</w:t>
      </w:r>
      <w:r w:rsidRPr="005D6551">
        <w:rPr>
          <w:lang w:val="es-ES"/>
        </w:rPr>
        <w:tab/>
      </w:r>
      <w:r>
        <w:rPr>
          <w:lang w:val="es-ES_tradnl"/>
        </w:rPr>
        <w:t xml:space="preserve">En cuanto a la arbitrariedad del proceso penal contra el autor por el caso </w:t>
      </w:r>
      <w:proofErr w:type="spellStart"/>
      <w:r>
        <w:rPr>
          <w:lang w:val="es-ES_tradnl"/>
        </w:rPr>
        <w:t>Gürtel</w:t>
      </w:r>
      <w:proofErr w:type="spellEnd"/>
      <w:r>
        <w:rPr>
          <w:lang w:val="es-ES_tradnl"/>
        </w:rPr>
        <w:t xml:space="preserve">, el autor sostiene que la resolución objeto de reproche concernía su decisión de ordenar la interceptación de las comunicaciones telefónicas solicitadas por la Policía entre los acusados que se encontraban en </w:t>
      </w:r>
      <w:r w:rsidR="0023019B">
        <w:rPr>
          <w:lang w:val="es-ES_tradnl"/>
        </w:rPr>
        <w:t>p</w:t>
      </w:r>
      <w:r>
        <w:rPr>
          <w:lang w:val="es-ES_tradnl"/>
        </w:rPr>
        <w:t xml:space="preserve">risión preventiva y otras personas, incluidos los abogados. Tales diligencias se ordenaron por tiempo limitado, bajo indicios de involucramiento de los abogados en los delitos objeto de investigación y explícitamente previniendo la protección del derecho a la defensa de los acusados. A diferencia de lo mantenido por el Estado parte, el autor señala que ni la ley ni la jurisprudencia españolas ofrecían una solución clara al tema de la intercepción de comunicaciones. Añade que, si su decisión hubiera sido errónea o insuficientemente motivada, el remedio apropiado hubiera sido, de nuevo, revisarla en apelación, sin que sea justificable la extraordinaria, desproporcionada y arbitraria decisión </w:t>
      </w:r>
      <w:r w:rsidRPr="009A51CF">
        <w:rPr>
          <w:lang w:val="es-ES_tradnl"/>
        </w:rPr>
        <w:t xml:space="preserve">de incoar un segundo proceso penal por prevaricación judicial en su contra, siendo el resultado la condena e inhabilitación del cargo por 11 años. </w:t>
      </w:r>
      <w:r w:rsidR="008F5AC3" w:rsidRPr="009A51CF">
        <w:rPr>
          <w:lang w:val="es-ES_tradnl"/>
        </w:rPr>
        <w:t xml:space="preserve">El autor sostiene que existían distintas posiciones en torno a la interpretación </w:t>
      </w:r>
      <w:r w:rsidR="000443A9" w:rsidRPr="009A51CF">
        <w:rPr>
          <w:lang w:val="es-ES_tradnl"/>
        </w:rPr>
        <w:t xml:space="preserve">de comunicaciones prevista por </w:t>
      </w:r>
      <w:r w:rsidR="008F5AC3" w:rsidRPr="009A51CF">
        <w:rPr>
          <w:lang w:val="es-ES_tradnl"/>
        </w:rPr>
        <w:t>el artículo 14 (1) de la LOGP y que su posición fue razonable. Añade que la intervención de las comunicaciones estuvo avalada en todo momento por el Ministerio Fiscal, y que la decisión fue prorrogada por el juez de instrucción que tomó el relevo al autor cuando le fueron remitidas las diligencias. En consecuencia, la conducta del autor no revistió el flagrante y absurdo carácter, manifiestamente contrario a la legalidad, que requiere la prevaricación.</w:t>
      </w:r>
    </w:p>
    <w:p w14:paraId="3433413B" w14:textId="0F5DED1A" w:rsidR="00DD5A85" w:rsidRDefault="00DD5A85" w:rsidP="00FD425F">
      <w:pPr>
        <w:pStyle w:val="SingleTxtG"/>
        <w:rPr>
          <w:color w:val="000000"/>
          <w:lang w:val="es-ES_tradnl"/>
        </w:rPr>
      </w:pPr>
      <w:r>
        <w:rPr>
          <w:color w:val="000000"/>
          <w:lang w:val="es-ES_tradnl"/>
        </w:rPr>
        <w:t>3.</w:t>
      </w:r>
      <w:r w:rsidR="008F5AC3">
        <w:rPr>
          <w:color w:val="000000"/>
          <w:lang w:val="es-ES_tradnl"/>
        </w:rPr>
        <w:t>7</w:t>
      </w:r>
      <w:r>
        <w:rPr>
          <w:color w:val="000000"/>
          <w:lang w:val="es-ES_tradnl"/>
        </w:rPr>
        <w:tab/>
        <w:t>El autor sostiene que la imparcialidad de la Sala sentenciadora fue comprometida por el papel superpuesto de diferentes jueces en los tres procesos entablados en su contra.</w:t>
      </w:r>
      <w:r w:rsidR="00121358">
        <w:rPr>
          <w:color w:val="000000"/>
          <w:lang w:val="es-ES_tradnl"/>
        </w:rPr>
        <w:t xml:space="preserve"> </w:t>
      </w:r>
      <w:r>
        <w:rPr>
          <w:color w:val="000000"/>
          <w:lang w:val="es-ES_tradnl"/>
        </w:rPr>
        <w:t xml:space="preserve">En el juicio oral del Franquismo, que tuvo lugar cinco días después de que se celebrase el relativo al caso </w:t>
      </w:r>
      <w:proofErr w:type="spellStart"/>
      <w:r>
        <w:rPr>
          <w:color w:val="000000"/>
          <w:lang w:val="es-ES_tradnl"/>
        </w:rPr>
        <w:t>Gürtel</w:t>
      </w:r>
      <w:proofErr w:type="spellEnd"/>
      <w:r>
        <w:rPr>
          <w:color w:val="000000"/>
          <w:lang w:val="es-ES_tradnl"/>
        </w:rPr>
        <w:t>, dos de los magistrados</w:t>
      </w:r>
      <w:r w:rsidR="00121358">
        <w:rPr>
          <w:color w:val="000000"/>
          <w:lang w:val="es-ES_tradnl"/>
        </w:rPr>
        <w:t xml:space="preserve"> </w:t>
      </w:r>
      <w:r w:rsidR="00D12AE6">
        <w:rPr>
          <w:color w:val="000000"/>
          <w:lang w:val="es-ES_tradnl"/>
        </w:rPr>
        <w:t>L.</w:t>
      </w:r>
      <w:r w:rsidR="0063191B">
        <w:rPr>
          <w:color w:val="000000"/>
          <w:lang w:val="es-ES_tradnl"/>
        </w:rPr>
        <w:t xml:space="preserve"> </w:t>
      </w:r>
      <w:r w:rsidR="00121358">
        <w:rPr>
          <w:color w:val="000000"/>
          <w:lang w:val="es-ES_tradnl"/>
        </w:rPr>
        <w:t xml:space="preserve">V. y </w:t>
      </w:r>
      <w:r w:rsidR="00D12AE6">
        <w:rPr>
          <w:color w:val="000000"/>
          <w:lang w:val="es-ES_tradnl"/>
        </w:rPr>
        <w:t>M.</w:t>
      </w:r>
      <w:r w:rsidR="0063191B">
        <w:rPr>
          <w:color w:val="000000"/>
          <w:lang w:val="es-ES_tradnl"/>
        </w:rPr>
        <w:t xml:space="preserve"> </w:t>
      </w:r>
      <w:r w:rsidR="00121358">
        <w:rPr>
          <w:color w:val="000000"/>
          <w:lang w:val="es-ES_tradnl"/>
        </w:rPr>
        <w:t>M.,</w:t>
      </w:r>
      <w:r>
        <w:rPr>
          <w:color w:val="000000"/>
          <w:lang w:val="es-ES_tradnl"/>
        </w:rPr>
        <w:t xml:space="preserve"> que componían la Sala Segunda habían sido a su vez enjuiciadores del caso </w:t>
      </w:r>
      <w:proofErr w:type="spellStart"/>
      <w:r>
        <w:rPr>
          <w:color w:val="000000"/>
          <w:lang w:val="es-ES_tradnl"/>
        </w:rPr>
        <w:t>Gürtel</w:t>
      </w:r>
      <w:proofErr w:type="spellEnd"/>
      <w:r w:rsidR="00D12AE6">
        <w:rPr>
          <w:rStyle w:val="FootnoteReference"/>
          <w:color w:val="000000"/>
          <w:lang w:val="es-ES_tradnl"/>
        </w:rPr>
        <w:footnoteReference w:id="15"/>
      </w:r>
      <w:r>
        <w:rPr>
          <w:color w:val="000000"/>
          <w:lang w:val="es-ES_tradnl"/>
        </w:rPr>
        <w:t xml:space="preserve">, </w:t>
      </w:r>
      <w:r w:rsidR="00121358">
        <w:rPr>
          <w:color w:val="000000"/>
          <w:lang w:val="es-ES_tradnl"/>
        </w:rPr>
        <w:t>y</w:t>
      </w:r>
      <w:r>
        <w:rPr>
          <w:color w:val="000000"/>
          <w:lang w:val="es-ES_tradnl"/>
        </w:rPr>
        <w:t xml:space="preserve"> otros dos habían instruido el caso Santander. </w:t>
      </w:r>
      <w:r w:rsidR="00121358">
        <w:rPr>
          <w:color w:val="000000"/>
          <w:lang w:val="es-ES_tradnl"/>
        </w:rPr>
        <w:t>La solicitud del autor de</w:t>
      </w:r>
      <w:r>
        <w:rPr>
          <w:color w:val="000000"/>
          <w:lang w:val="es-ES_tradnl"/>
        </w:rPr>
        <w:t xml:space="preserve"> recusaci</w:t>
      </w:r>
      <w:r w:rsidR="00121358">
        <w:rPr>
          <w:color w:val="000000"/>
          <w:lang w:val="es-ES_tradnl"/>
        </w:rPr>
        <w:t xml:space="preserve">ón de los magistrados </w:t>
      </w:r>
      <w:r w:rsidR="002B36B0">
        <w:rPr>
          <w:color w:val="000000"/>
          <w:lang w:val="es-ES_tradnl"/>
        </w:rPr>
        <w:t>L.</w:t>
      </w:r>
      <w:r w:rsidR="0063191B">
        <w:rPr>
          <w:color w:val="000000"/>
          <w:lang w:val="es-ES_tradnl"/>
        </w:rPr>
        <w:t xml:space="preserve"> </w:t>
      </w:r>
      <w:r w:rsidR="00121358">
        <w:rPr>
          <w:color w:val="000000"/>
          <w:lang w:val="es-ES_tradnl"/>
        </w:rPr>
        <w:t xml:space="preserve">V. y </w:t>
      </w:r>
      <w:r w:rsidR="002B36B0">
        <w:rPr>
          <w:color w:val="000000"/>
          <w:lang w:val="es-ES_tradnl"/>
        </w:rPr>
        <w:t>M.</w:t>
      </w:r>
      <w:r w:rsidR="0063191B">
        <w:rPr>
          <w:color w:val="000000"/>
          <w:lang w:val="es-ES_tradnl"/>
        </w:rPr>
        <w:t xml:space="preserve"> </w:t>
      </w:r>
      <w:r w:rsidR="00121358">
        <w:rPr>
          <w:color w:val="000000"/>
          <w:lang w:val="es-ES_tradnl"/>
        </w:rPr>
        <w:t>M. fue rechazada por el Tribunal Supremo. El autor señala que</w:t>
      </w:r>
      <w:r>
        <w:rPr>
          <w:color w:val="000000"/>
          <w:lang w:val="es-ES_tradnl"/>
        </w:rPr>
        <w:t xml:space="preserve"> </w:t>
      </w:r>
      <w:r w:rsidR="002B36B0">
        <w:rPr>
          <w:color w:val="000000"/>
          <w:lang w:val="es-ES_tradnl"/>
        </w:rPr>
        <w:t xml:space="preserve">el </w:t>
      </w:r>
      <w:r>
        <w:rPr>
          <w:color w:val="000000"/>
          <w:lang w:val="es-ES_tradnl"/>
        </w:rPr>
        <w:t xml:space="preserve">flagrante cruce de jueces instructores y enjuiciadores en las tres causas, sucedidas de forma tan próxima en el tiempo y contra un mismo acusado, pone en entredicho la independencia e imparcialidad de la Sala, tanto en el caso Franquismo como </w:t>
      </w:r>
      <w:proofErr w:type="spellStart"/>
      <w:r>
        <w:rPr>
          <w:color w:val="000000"/>
          <w:lang w:val="es-ES_tradnl"/>
        </w:rPr>
        <w:t>Gürtel</w:t>
      </w:r>
      <w:proofErr w:type="spellEnd"/>
      <w:r>
        <w:rPr>
          <w:color w:val="000000"/>
          <w:lang w:val="es-ES_tradnl"/>
        </w:rPr>
        <w:t>.</w:t>
      </w:r>
    </w:p>
    <w:p w14:paraId="38D35CA9" w14:textId="27BCB8F0" w:rsidR="00121358" w:rsidRDefault="00121358" w:rsidP="00FD425F">
      <w:pPr>
        <w:pStyle w:val="SingleTxtG"/>
        <w:rPr>
          <w:color w:val="000000"/>
          <w:lang w:val="es-ES_tradnl"/>
        </w:rPr>
      </w:pPr>
      <w:r>
        <w:rPr>
          <w:color w:val="000000"/>
          <w:lang w:val="es-ES_tradnl"/>
        </w:rPr>
        <w:lastRenderedPageBreak/>
        <w:t>3.8</w:t>
      </w:r>
      <w:r>
        <w:rPr>
          <w:color w:val="000000"/>
          <w:lang w:val="es-ES_tradnl"/>
        </w:rPr>
        <w:tab/>
        <w:t xml:space="preserve">En cuanto a la negación de la doble instancia penal, el autor se opone al razonamiento del Estado parte en cuanto a la existencia de mayores garantías procesales por el mero hecho de ser enjuiciado por el Tribunal Supremo, lo cual no </w:t>
      </w:r>
      <w:r w:rsidR="00E94BC4">
        <w:rPr>
          <w:color w:val="000000"/>
          <w:lang w:val="es-ES_tradnl"/>
        </w:rPr>
        <w:t>puede justificar</w:t>
      </w:r>
      <w:r>
        <w:rPr>
          <w:color w:val="000000"/>
          <w:lang w:val="es-ES_tradnl"/>
        </w:rPr>
        <w:t xml:space="preserve"> suprimir su derecho a recurrir la condena</w:t>
      </w:r>
      <w:r>
        <w:rPr>
          <w:rStyle w:val="FootnoteReference"/>
          <w:color w:val="000000"/>
          <w:lang w:val="es-ES_tradnl"/>
        </w:rPr>
        <w:footnoteReference w:id="16"/>
      </w:r>
      <w:r>
        <w:rPr>
          <w:color w:val="000000"/>
          <w:lang w:val="es-ES_tradnl"/>
        </w:rPr>
        <w:t>. Por otra parte, señala que el recurso de amparo ante el Tribunal Constitucional no puede suplir en ningún caso la segunda instancia penal</w:t>
      </w:r>
      <w:r w:rsidR="00A20C19">
        <w:rPr>
          <w:color w:val="000000"/>
          <w:lang w:val="es-ES_tradnl"/>
        </w:rPr>
        <w:t xml:space="preserve"> por no ser un recurso que permita una revisión de la </w:t>
      </w:r>
      <w:r w:rsidR="008F7583">
        <w:rPr>
          <w:color w:val="000000"/>
          <w:lang w:val="es-ES_tradnl"/>
        </w:rPr>
        <w:t>sentencia</w:t>
      </w:r>
      <w:r w:rsidR="00A20C19">
        <w:rPr>
          <w:color w:val="000000"/>
          <w:lang w:val="es-ES_tradnl"/>
        </w:rPr>
        <w:t xml:space="preserve"> y de la condena como lo exige el Pacto, y no permite evaluar hechos o revisar sentencias dictadas por tribunales internos</w:t>
      </w:r>
      <w:r w:rsidR="00A20C19">
        <w:rPr>
          <w:rStyle w:val="FootnoteReference"/>
          <w:color w:val="000000"/>
          <w:lang w:val="es-ES_tradnl"/>
        </w:rPr>
        <w:footnoteReference w:id="17"/>
      </w:r>
      <w:r>
        <w:rPr>
          <w:color w:val="000000"/>
          <w:lang w:val="es-ES_tradnl"/>
        </w:rPr>
        <w:t xml:space="preserve">. </w:t>
      </w:r>
      <w:r w:rsidR="00CA7256">
        <w:rPr>
          <w:color w:val="000000"/>
          <w:lang w:val="es-ES_tradnl"/>
        </w:rPr>
        <w:t>Del mismo modo, el propio Tribunal Constitucional ha afirmado que “no es una segunda instancia, ni una instancia de revisión o casación”</w:t>
      </w:r>
      <w:r w:rsidR="00CA7256">
        <w:rPr>
          <w:rStyle w:val="FootnoteReference"/>
          <w:color w:val="000000"/>
          <w:lang w:val="es-ES_tradnl"/>
        </w:rPr>
        <w:footnoteReference w:id="18"/>
      </w:r>
      <w:r w:rsidR="00CA7256">
        <w:rPr>
          <w:color w:val="000000"/>
          <w:lang w:val="es-ES_tradnl"/>
        </w:rPr>
        <w:t xml:space="preserve">. </w:t>
      </w:r>
      <w:r w:rsidR="008F7583">
        <w:rPr>
          <w:color w:val="000000"/>
          <w:lang w:val="es-ES_tradnl"/>
        </w:rPr>
        <w:t>El autor s</w:t>
      </w:r>
      <w:r w:rsidR="00A20C19">
        <w:rPr>
          <w:color w:val="000000"/>
          <w:lang w:val="es-ES_tradnl"/>
        </w:rPr>
        <w:t>eñala que</w:t>
      </w:r>
      <w:r w:rsidR="00EC617E">
        <w:rPr>
          <w:color w:val="000000"/>
          <w:lang w:val="es-ES_tradnl"/>
        </w:rPr>
        <w:t>, en todo caso,</w:t>
      </w:r>
      <w:r w:rsidR="00A20C19">
        <w:rPr>
          <w:color w:val="000000"/>
          <w:lang w:val="es-ES_tradnl"/>
        </w:rPr>
        <w:t xml:space="preserve"> presentó un recurso de amparo en relación con el caso </w:t>
      </w:r>
      <w:proofErr w:type="spellStart"/>
      <w:r w:rsidR="00A20C19">
        <w:rPr>
          <w:color w:val="000000"/>
          <w:lang w:val="es-ES_tradnl"/>
        </w:rPr>
        <w:t>Gürtel</w:t>
      </w:r>
      <w:proofErr w:type="spellEnd"/>
      <w:r w:rsidR="00A20C19">
        <w:rPr>
          <w:color w:val="000000"/>
          <w:lang w:val="es-ES_tradnl"/>
        </w:rPr>
        <w:t xml:space="preserve">, el cual resultó inadmitido por no considerar que quedaran afectados sus derechos constitucionales. </w:t>
      </w:r>
      <w:r w:rsidR="008F7583">
        <w:rPr>
          <w:color w:val="000000"/>
          <w:lang w:val="es-ES_tradnl"/>
        </w:rPr>
        <w:t>Sostiene la importancia de la doble instancia en casos de prevaricación dada la especial gravedad y profundas consecuencias para la carrera judicial y para el Estado de Derecho en su conjunto.</w:t>
      </w:r>
    </w:p>
    <w:p w14:paraId="012B3835" w14:textId="5E1CE141" w:rsidR="008633E8" w:rsidRDefault="008F7583" w:rsidP="00FD425F">
      <w:pPr>
        <w:pStyle w:val="SingleTxtG"/>
        <w:rPr>
          <w:color w:val="000000"/>
          <w:lang w:val="es-ES_tradnl"/>
        </w:rPr>
      </w:pPr>
      <w:r>
        <w:rPr>
          <w:color w:val="000000"/>
          <w:lang w:val="es-ES_tradnl"/>
        </w:rPr>
        <w:t>3.9</w:t>
      </w:r>
      <w:r>
        <w:rPr>
          <w:color w:val="000000"/>
          <w:lang w:val="es-ES_tradnl"/>
        </w:rPr>
        <w:tab/>
      </w:r>
      <w:r w:rsidR="005D2D77">
        <w:rPr>
          <w:color w:val="000000"/>
          <w:lang w:val="es-ES_tradnl"/>
        </w:rPr>
        <w:t xml:space="preserve">El autor sostiene que la interpretación del delito de prevaricación para enjuiciar y sancionar </w:t>
      </w:r>
      <w:r w:rsidR="00E94BC4">
        <w:rPr>
          <w:color w:val="000000"/>
          <w:lang w:val="es-ES_tradnl"/>
        </w:rPr>
        <w:t>a</w:t>
      </w:r>
      <w:r w:rsidR="005D2D77">
        <w:rPr>
          <w:color w:val="000000"/>
          <w:lang w:val="es-ES_tradnl"/>
        </w:rPr>
        <w:t xml:space="preserve">l autor por sus decisiones judiciales </w:t>
      </w:r>
      <w:r w:rsidR="008633E8">
        <w:rPr>
          <w:color w:val="000000"/>
          <w:lang w:val="es-ES_tradnl"/>
        </w:rPr>
        <w:t xml:space="preserve">en el caso </w:t>
      </w:r>
      <w:proofErr w:type="spellStart"/>
      <w:r w:rsidR="008633E8">
        <w:rPr>
          <w:color w:val="000000"/>
          <w:lang w:val="es-ES_tradnl"/>
        </w:rPr>
        <w:t>Gürtel</w:t>
      </w:r>
      <w:proofErr w:type="spellEnd"/>
      <w:r w:rsidR="008633E8">
        <w:rPr>
          <w:color w:val="000000"/>
          <w:lang w:val="es-ES_tradnl"/>
        </w:rPr>
        <w:t xml:space="preserve"> </w:t>
      </w:r>
      <w:r w:rsidR="005D2D77">
        <w:rPr>
          <w:color w:val="000000"/>
          <w:lang w:val="es-ES_tradnl"/>
        </w:rPr>
        <w:t xml:space="preserve">fue una aplicación </w:t>
      </w:r>
      <w:r w:rsidR="008633E8">
        <w:rPr>
          <w:color w:val="000000"/>
          <w:lang w:val="es-ES_tradnl"/>
        </w:rPr>
        <w:t>im</w:t>
      </w:r>
      <w:r w:rsidR="005D2D77">
        <w:rPr>
          <w:color w:val="000000"/>
          <w:lang w:val="es-ES_tradnl"/>
        </w:rPr>
        <w:t>previsible de dicha norma penal y contraria el principio de legalidad del artículo 15 del Pacto. En contra de lo argumentado por el Estado parte, el autor hace notar que no se trata de valorar el modo en que se aplicó del artículo 51 (2) de la LOGP sino de analizar si la figura penal de la prevaricación, prevista por el artículo 446 del Código Penal</w:t>
      </w:r>
      <w:r w:rsidR="005452CB">
        <w:rPr>
          <w:rStyle w:val="FootnoteReference"/>
          <w:color w:val="000000"/>
          <w:lang w:val="es-ES_tradnl"/>
        </w:rPr>
        <w:footnoteReference w:id="19"/>
      </w:r>
      <w:r w:rsidR="005D2D77">
        <w:rPr>
          <w:color w:val="000000"/>
          <w:lang w:val="es-ES_tradnl"/>
        </w:rPr>
        <w:t xml:space="preserve"> y </w:t>
      </w:r>
      <w:r w:rsidR="00EC617E">
        <w:rPr>
          <w:color w:val="000000"/>
          <w:lang w:val="es-ES_tradnl"/>
        </w:rPr>
        <w:t>la</w:t>
      </w:r>
      <w:r w:rsidR="005D2D77">
        <w:rPr>
          <w:color w:val="000000"/>
          <w:lang w:val="es-ES_tradnl"/>
        </w:rPr>
        <w:t xml:space="preserve"> interpretación </w:t>
      </w:r>
      <w:r w:rsidR="00EC617E">
        <w:rPr>
          <w:color w:val="000000"/>
          <w:lang w:val="es-ES_tradnl"/>
        </w:rPr>
        <w:t xml:space="preserve">de esta figura </w:t>
      </w:r>
      <w:r w:rsidR="005D2D77">
        <w:rPr>
          <w:color w:val="000000"/>
          <w:lang w:val="es-ES_tradnl"/>
        </w:rPr>
        <w:t>en los procesos contra el autor cumplieron con los requisitos de legalidad. Señala que el artículo 15 del Pacto exige que la conducta castigada se encuentre suficientemente definida como delito bajo el derecho penal, con claridad sobre los elementos objetivos y subjetivos, para que sea interpretada y aplicada de manera previsible al caso concreto. El autor hace notar que la jurisprudencia española ha requerido una especial antijuridicidad de la conducta objetiva prevista en el artículo 446, requiriéndose que esta sea “flagrante y clamorosa”, “clara y manifiestamente contraria a la ley” o “esperpéntica”, siendo esta antijuridicidad apreciable incluso por alguien lego en derecho</w:t>
      </w:r>
      <w:r w:rsidR="0063191B">
        <w:rPr>
          <w:rStyle w:val="FootnoteReference"/>
          <w:color w:val="000000"/>
          <w:lang w:val="es-ES_tradnl"/>
        </w:rPr>
        <w:footnoteReference w:id="20"/>
      </w:r>
      <w:r w:rsidR="0063191B">
        <w:rPr>
          <w:color w:val="000000"/>
          <w:lang w:val="es-ES_tradnl"/>
        </w:rPr>
        <w:t>.</w:t>
      </w:r>
      <w:r w:rsidR="005D2D77">
        <w:rPr>
          <w:color w:val="000000"/>
          <w:lang w:val="es-ES_tradnl"/>
        </w:rPr>
        <w:t xml:space="preserve"> El autor sostiene que los autos de 19 de febrero de 2009 y 20 de marzo de 2009, por los que</w:t>
      </w:r>
      <w:r w:rsidR="008633E8">
        <w:rPr>
          <w:color w:val="000000"/>
          <w:lang w:val="es-ES_tradnl"/>
        </w:rPr>
        <w:t xml:space="preserve"> solicitó la interceptación de comunicaciones y por los que</w:t>
      </w:r>
      <w:r w:rsidR="005D2D77">
        <w:rPr>
          <w:color w:val="000000"/>
          <w:lang w:val="es-ES_tradnl"/>
        </w:rPr>
        <w:t xml:space="preserve"> fue condenado por prevaricación, carecen de ese elemento antijurídico. Señala que existían </w:t>
      </w:r>
      <w:r w:rsidR="00E13C1B">
        <w:rPr>
          <w:color w:val="000000"/>
          <w:lang w:val="es-ES_tradnl"/>
        </w:rPr>
        <w:t xml:space="preserve">en la jurisprudencia española </w:t>
      </w:r>
      <w:r w:rsidR="005D2D77">
        <w:rPr>
          <w:color w:val="000000"/>
          <w:lang w:val="es-ES_tradnl"/>
        </w:rPr>
        <w:t>divergencias interpretativas sobre el alcance y excepciones a la protección de la confidencialidad de las comunicaciones</w:t>
      </w:r>
      <w:r w:rsidR="0023019B">
        <w:rPr>
          <w:color w:val="000000"/>
          <w:lang w:val="es-ES_tradnl"/>
        </w:rPr>
        <w:t xml:space="preserve"> y que la Ley Orgánica </w:t>
      </w:r>
      <w:r w:rsidR="0063191B">
        <w:rPr>
          <w:color w:val="000000"/>
          <w:lang w:val="es-ES_tradnl"/>
        </w:rPr>
        <w:t xml:space="preserve">núm. </w:t>
      </w:r>
      <w:r w:rsidR="0023019B">
        <w:rPr>
          <w:color w:val="000000"/>
          <w:lang w:val="es-ES_tradnl"/>
        </w:rPr>
        <w:t>13/2015, de 5 de octubre, de modificación de la Ley de Enjuiciamiento Criminal española, confirmó la aproximación del autor sobre esta cuestión</w:t>
      </w:r>
      <w:r w:rsidR="0023019B">
        <w:rPr>
          <w:rStyle w:val="FootnoteReference"/>
          <w:color w:val="000000"/>
          <w:lang w:val="es-ES_tradnl"/>
        </w:rPr>
        <w:footnoteReference w:id="21"/>
      </w:r>
      <w:r w:rsidR="0023019B">
        <w:rPr>
          <w:color w:val="000000"/>
          <w:lang w:val="es-ES_tradnl"/>
        </w:rPr>
        <w:t xml:space="preserve">. </w:t>
      </w:r>
      <w:r w:rsidR="006D713E">
        <w:rPr>
          <w:color w:val="000000"/>
          <w:lang w:val="es-ES_tradnl"/>
        </w:rPr>
        <w:t xml:space="preserve">Asimismo, el Tribunal Europeo </w:t>
      </w:r>
      <w:r w:rsidR="00EC617E">
        <w:rPr>
          <w:color w:val="000000"/>
          <w:lang w:val="es-ES_tradnl"/>
        </w:rPr>
        <w:t xml:space="preserve">de Derechos Humanos </w:t>
      </w:r>
      <w:r w:rsidR="006D713E">
        <w:rPr>
          <w:color w:val="000000"/>
          <w:lang w:val="es-ES_tradnl"/>
        </w:rPr>
        <w:t>ha reconocido la validez de las restricciones a las comunicaciones entre abogado e imputado siempre que se cumpla con un fin legítimo y necesario en una sociedad democrática</w:t>
      </w:r>
      <w:r w:rsidR="00EC617E">
        <w:rPr>
          <w:color w:val="000000"/>
          <w:lang w:val="es-ES_tradnl"/>
        </w:rPr>
        <w:t>,</w:t>
      </w:r>
      <w:r w:rsidR="006D713E">
        <w:rPr>
          <w:color w:val="000000"/>
          <w:lang w:val="es-ES_tradnl"/>
        </w:rPr>
        <w:t xml:space="preserve"> sin limitarlo a los delitos de </w:t>
      </w:r>
      <w:r w:rsidR="006D713E">
        <w:rPr>
          <w:color w:val="000000"/>
          <w:lang w:val="es-ES_tradnl"/>
        </w:rPr>
        <w:lastRenderedPageBreak/>
        <w:t>terrorismo</w:t>
      </w:r>
      <w:r w:rsidR="006D713E">
        <w:rPr>
          <w:rStyle w:val="FootnoteReference"/>
          <w:color w:val="000000"/>
          <w:lang w:val="es-ES_tradnl"/>
        </w:rPr>
        <w:footnoteReference w:id="22"/>
      </w:r>
      <w:r w:rsidR="006D713E">
        <w:rPr>
          <w:color w:val="000000"/>
          <w:lang w:val="es-ES_tradnl"/>
        </w:rPr>
        <w:t xml:space="preserve">. </w:t>
      </w:r>
      <w:r w:rsidR="0023019B">
        <w:rPr>
          <w:color w:val="000000"/>
          <w:lang w:val="es-ES_tradnl"/>
        </w:rPr>
        <w:t xml:space="preserve">Insiste en que el Ministerio </w:t>
      </w:r>
      <w:r w:rsidR="009B3711">
        <w:rPr>
          <w:color w:val="000000"/>
          <w:lang w:val="es-ES_tradnl"/>
        </w:rPr>
        <w:t>Fiscal</w:t>
      </w:r>
      <w:r w:rsidR="0023019B">
        <w:rPr>
          <w:color w:val="000000"/>
          <w:lang w:val="es-ES_tradnl"/>
        </w:rPr>
        <w:t xml:space="preserve"> avaló </w:t>
      </w:r>
      <w:r w:rsidR="00EC617E">
        <w:rPr>
          <w:color w:val="000000"/>
          <w:lang w:val="es-ES_tradnl"/>
        </w:rPr>
        <w:t>la decisión del autor de interceptar las comunicaciones</w:t>
      </w:r>
      <w:r w:rsidR="0023019B">
        <w:rPr>
          <w:color w:val="000000"/>
          <w:lang w:val="es-ES_tradnl"/>
        </w:rPr>
        <w:t xml:space="preserve"> y</w:t>
      </w:r>
      <w:r w:rsidR="00EC617E">
        <w:rPr>
          <w:color w:val="000000"/>
          <w:lang w:val="es-ES_tradnl"/>
        </w:rPr>
        <w:t xml:space="preserve"> que</w:t>
      </w:r>
      <w:r w:rsidR="0023019B">
        <w:rPr>
          <w:color w:val="000000"/>
          <w:lang w:val="es-ES_tradnl"/>
        </w:rPr>
        <w:t xml:space="preserve"> el juez que sustituyó </w:t>
      </w:r>
      <w:r w:rsidR="00EC617E">
        <w:rPr>
          <w:color w:val="000000"/>
          <w:lang w:val="es-ES_tradnl"/>
        </w:rPr>
        <w:t xml:space="preserve">al autor tras su suspensión </w:t>
      </w:r>
      <w:r w:rsidR="0023019B">
        <w:rPr>
          <w:color w:val="000000"/>
          <w:lang w:val="es-ES_tradnl"/>
        </w:rPr>
        <w:t>renovó</w:t>
      </w:r>
      <w:r w:rsidR="00EC617E">
        <w:rPr>
          <w:color w:val="000000"/>
          <w:lang w:val="es-ES_tradnl"/>
        </w:rPr>
        <w:t xml:space="preserve"> dicha decisión</w:t>
      </w:r>
      <w:r w:rsidR="0023019B">
        <w:rPr>
          <w:color w:val="000000"/>
          <w:lang w:val="es-ES_tradnl"/>
        </w:rPr>
        <w:t xml:space="preserve">, sin que se viera sometido a un proceso por prevaricación y sin que el Estado parte haya justificado esta diferencia de trato. </w:t>
      </w:r>
      <w:r w:rsidR="00921687">
        <w:rPr>
          <w:color w:val="000000"/>
          <w:lang w:val="es-ES_tradnl"/>
        </w:rPr>
        <w:t xml:space="preserve">Lo anterior demuestra que, cuanto menos, el razonamiento del autor no alcanzó el estándar de conducta flagrante o manifiestamente contraria a derecho que requiere el delito de prevaricación judicial. Asimismo, no concurrió el elemento subjetivo requerido por el tipo penal de la prevaricación, a saber, el ánimo deliberado de faltar a la justicia, lo cual viene demostrado por el hecho de que en los autos </w:t>
      </w:r>
      <w:r w:rsidR="00EC617E">
        <w:rPr>
          <w:color w:val="000000"/>
          <w:lang w:val="es-ES_tradnl"/>
        </w:rPr>
        <w:t>el autor estableció</w:t>
      </w:r>
      <w:r w:rsidR="00921687">
        <w:rPr>
          <w:color w:val="000000"/>
          <w:lang w:val="es-ES_tradnl"/>
        </w:rPr>
        <w:t xml:space="preserve"> prerrogativas para preservar el derecho a la defensa y </w:t>
      </w:r>
      <w:r w:rsidR="00EC617E">
        <w:rPr>
          <w:color w:val="000000"/>
          <w:lang w:val="es-ES_tradnl"/>
        </w:rPr>
        <w:t>excluyó</w:t>
      </w:r>
      <w:r w:rsidR="00921687">
        <w:rPr>
          <w:color w:val="000000"/>
          <w:lang w:val="es-ES_tradnl"/>
        </w:rPr>
        <w:t xml:space="preserve"> de la pieza de investigación las transcripciones relativas a la estrategia de defensa. </w:t>
      </w:r>
      <w:r w:rsidR="00850151">
        <w:rPr>
          <w:color w:val="000000"/>
          <w:lang w:val="es-ES_tradnl"/>
        </w:rPr>
        <w:t xml:space="preserve">La interceptación fue delimitada, proporcional y justificada por el tipo delictivo que se investigaba y el carácter de organización criminal que presuntamente ostentaban los afectados. </w:t>
      </w:r>
      <w:r w:rsidR="008633E8">
        <w:rPr>
          <w:color w:val="000000"/>
          <w:lang w:val="es-ES_tradnl"/>
        </w:rPr>
        <w:t>El autor s</w:t>
      </w:r>
      <w:r w:rsidR="00850151">
        <w:rPr>
          <w:color w:val="000000"/>
          <w:lang w:val="es-ES_tradnl"/>
        </w:rPr>
        <w:t>ostiene que el giro interpretativo realizado por la Sala Segunda del Tribunal Supremo en la sentencia condenatoria contra el autor se hizo con motivo de la persona que se enjuiciaba y no de sus acciones</w:t>
      </w:r>
      <w:r w:rsidR="00EC617E">
        <w:rPr>
          <w:color w:val="000000"/>
          <w:lang w:val="es-ES_tradnl"/>
        </w:rPr>
        <w:t xml:space="preserve">. </w:t>
      </w:r>
    </w:p>
    <w:p w14:paraId="6FA72589" w14:textId="7D72C6BE" w:rsidR="008F7583" w:rsidRDefault="008633E8" w:rsidP="00FD425F">
      <w:pPr>
        <w:pStyle w:val="SingleTxtG"/>
        <w:rPr>
          <w:color w:val="000000"/>
          <w:lang w:val="es-ES_tradnl"/>
        </w:rPr>
      </w:pPr>
      <w:r>
        <w:rPr>
          <w:color w:val="000000"/>
          <w:lang w:val="es-ES_tradnl"/>
        </w:rPr>
        <w:t>3.10</w:t>
      </w:r>
      <w:r>
        <w:rPr>
          <w:color w:val="000000"/>
          <w:lang w:val="es-ES_tradnl"/>
        </w:rPr>
        <w:tab/>
        <w:t>El autor sostiene</w:t>
      </w:r>
      <w:r w:rsidR="00EC617E">
        <w:rPr>
          <w:color w:val="000000"/>
          <w:lang w:val="es-ES_tradnl"/>
        </w:rPr>
        <w:t xml:space="preserve"> que la dicción del artí</w:t>
      </w:r>
      <w:r w:rsidR="00850151">
        <w:rPr>
          <w:color w:val="000000"/>
          <w:lang w:val="es-ES_tradnl"/>
        </w:rPr>
        <w:t>culo 446 del Código Penal es en sí misma ambigua a imprevisible en su aplicación, vulnerando el principio de legalidad. Recuerda que los Principios Básicos sobre la Independencia del Poder Judicial admiten únicamente la suspensión o inhabilitación de un juez por estrictas razones de incapacidad o de comportamiento que los haga impropios para cumplir con sus funciones</w:t>
      </w:r>
      <w:r w:rsidR="00B906CD">
        <w:rPr>
          <w:rStyle w:val="FootnoteReference"/>
          <w:color w:val="000000"/>
          <w:lang w:val="es-ES_tradnl"/>
        </w:rPr>
        <w:footnoteReference w:id="23"/>
      </w:r>
      <w:r w:rsidR="007869AB">
        <w:rPr>
          <w:color w:val="000000"/>
          <w:lang w:val="es-ES_tradnl"/>
        </w:rPr>
        <w:t xml:space="preserve"> y que el propio Comité ha considerado que no podrán ser apartados o sancionados por errores judiciales o por mostrarse en desacuerdo con una determinada interpretación de la ley</w:t>
      </w:r>
      <w:r w:rsidR="007869AB">
        <w:rPr>
          <w:rStyle w:val="FootnoteReference"/>
          <w:color w:val="000000"/>
          <w:lang w:val="es-ES_tradnl"/>
        </w:rPr>
        <w:footnoteReference w:id="24"/>
      </w:r>
      <w:r w:rsidR="00850151">
        <w:rPr>
          <w:color w:val="000000"/>
          <w:lang w:val="es-ES_tradnl"/>
        </w:rPr>
        <w:t>.</w:t>
      </w:r>
      <w:r w:rsidR="007869AB">
        <w:rPr>
          <w:color w:val="000000"/>
          <w:lang w:val="es-ES_tradnl"/>
        </w:rPr>
        <w:t xml:space="preserve"> El autor insiste que no se discute el mayor </w:t>
      </w:r>
      <w:r w:rsidR="00B50665">
        <w:rPr>
          <w:color w:val="000000"/>
          <w:lang w:val="es-ES_tradnl"/>
        </w:rPr>
        <w:t xml:space="preserve">o menor acierto en la interpretación de la legislación interna sino el haber sido procesado penalmente por su labor interpretativa. </w:t>
      </w:r>
    </w:p>
    <w:p w14:paraId="06867A56" w14:textId="02C728CC" w:rsidR="00BF26BB" w:rsidRPr="00B3537C" w:rsidRDefault="00BF26BB" w:rsidP="00FD425F">
      <w:pPr>
        <w:pStyle w:val="SingleTxtG"/>
        <w:rPr>
          <w:color w:val="000000"/>
          <w:lang w:val="es-ES_tradnl"/>
        </w:rPr>
      </w:pPr>
      <w:r>
        <w:rPr>
          <w:color w:val="000000"/>
          <w:lang w:val="es-ES_tradnl"/>
        </w:rPr>
        <w:t>3.1</w:t>
      </w:r>
      <w:r w:rsidR="008633E8">
        <w:rPr>
          <w:color w:val="000000"/>
          <w:lang w:val="es-ES_tradnl"/>
        </w:rPr>
        <w:t>1</w:t>
      </w:r>
      <w:r>
        <w:rPr>
          <w:color w:val="000000"/>
          <w:lang w:val="es-ES_tradnl"/>
        </w:rPr>
        <w:tab/>
        <w:t xml:space="preserve">El 20 de octubre de 2020, el autor adjunta el </w:t>
      </w:r>
      <w:r w:rsidR="005915B7">
        <w:rPr>
          <w:color w:val="000000"/>
          <w:lang w:val="es-ES_tradnl"/>
        </w:rPr>
        <w:t>i</w:t>
      </w:r>
      <w:r>
        <w:rPr>
          <w:color w:val="000000"/>
          <w:lang w:val="es-ES_tradnl"/>
        </w:rPr>
        <w:t>nforme del Relator Especial sobre la Independencia de los Abogados y Magistrados</w:t>
      </w:r>
      <w:r w:rsidR="00BB4890">
        <w:rPr>
          <w:color w:val="000000"/>
          <w:lang w:val="es-ES_tradnl"/>
        </w:rPr>
        <w:t>, de 17 de julio de 2020</w:t>
      </w:r>
      <w:r w:rsidR="00BB4890">
        <w:rPr>
          <w:rStyle w:val="FootnoteReference"/>
          <w:color w:val="000000"/>
          <w:lang w:val="es-ES_tradnl"/>
        </w:rPr>
        <w:footnoteReference w:id="25"/>
      </w:r>
      <w:r w:rsidR="00BB4890">
        <w:rPr>
          <w:color w:val="000000"/>
          <w:lang w:val="es-ES_tradnl"/>
        </w:rPr>
        <w:t>.</w:t>
      </w:r>
    </w:p>
    <w:p w14:paraId="6391D097" w14:textId="4B8CEB90" w:rsidR="005103BB" w:rsidRPr="005103BB" w:rsidRDefault="00CF5683" w:rsidP="00CF5683">
      <w:pPr>
        <w:pStyle w:val="H23G"/>
        <w:rPr>
          <w:lang w:val="es-ES"/>
        </w:rPr>
      </w:pPr>
      <w:r>
        <w:rPr>
          <w:lang w:val="es-ES"/>
        </w:rPr>
        <w:tab/>
      </w:r>
      <w:r>
        <w:rPr>
          <w:lang w:val="es-ES"/>
        </w:rPr>
        <w:tab/>
      </w:r>
      <w:r w:rsidR="00C51AF4">
        <w:rPr>
          <w:lang w:val="es-ES"/>
        </w:rPr>
        <w:t>Dúplica del Estado parte</w:t>
      </w:r>
    </w:p>
    <w:p w14:paraId="6BFC29A4" w14:textId="5A678F34" w:rsidR="005103BB" w:rsidRDefault="00627685" w:rsidP="005C2425">
      <w:pPr>
        <w:pStyle w:val="SingleTxtG"/>
        <w:spacing w:after="240"/>
        <w:rPr>
          <w:color w:val="000000"/>
          <w:lang w:val="es-ES"/>
        </w:rPr>
      </w:pPr>
      <w:r>
        <w:rPr>
          <w:color w:val="000000"/>
          <w:lang w:val="es-ES"/>
        </w:rPr>
        <w:t>4</w:t>
      </w:r>
      <w:r w:rsidR="00FD425F">
        <w:rPr>
          <w:color w:val="000000"/>
          <w:lang w:val="es-ES"/>
        </w:rPr>
        <w:t>.</w:t>
      </w:r>
      <w:r w:rsidR="005103BB">
        <w:rPr>
          <w:color w:val="000000"/>
          <w:lang w:val="es-ES"/>
        </w:rPr>
        <w:tab/>
      </w:r>
      <w:r w:rsidR="009C5CD6">
        <w:rPr>
          <w:color w:val="000000"/>
          <w:lang w:val="es-ES"/>
        </w:rPr>
        <w:t xml:space="preserve">En sus observaciones de 15 de enero de 2021, el Estado parte hace notar que </w:t>
      </w:r>
      <w:r w:rsidR="00312FB2">
        <w:rPr>
          <w:color w:val="000000"/>
          <w:lang w:val="es-ES"/>
        </w:rPr>
        <w:t>el informe del Relator Especial sobre la Independencia de los Abogados y Magistrados citado por el autor se refiere a la cuestión de la responsabilidad disciplinaria de los magistrados y no la responsabilidad penal</w:t>
      </w:r>
      <w:r w:rsidR="00512FE0">
        <w:rPr>
          <w:color w:val="000000"/>
          <w:lang w:val="es-ES"/>
        </w:rPr>
        <w:t xml:space="preserve">, siendo el </w:t>
      </w:r>
      <w:r w:rsidR="005915B7">
        <w:rPr>
          <w:color w:val="000000"/>
          <w:lang w:val="es-ES"/>
        </w:rPr>
        <w:t xml:space="preserve">anterior informe, de 28 de abril de 2014 </w:t>
      </w:r>
      <w:r w:rsidR="00512FE0">
        <w:rPr>
          <w:color w:val="000000"/>
          <w:lang w:val="es-ES"/>
        </w:rPr>
        <w:t>(A/HRC/26/32)</w:t>
      </w:r>
      <w:r w:rsidR="005915B7">
        <w:rPr>
          <w:color w:val="000000"/>
          <w:lang w:val="es-ES"/>
        </w:rPr>
        <w:t>,</w:t>
      </w:r>
      <w:r w:rsidR="00512FE0">
        <w:rPr>
          <w:color w:val="000000"/>
          <w:lang w:val="es-ES"/>
        </w:rPr>
        <w:t xml:space="preserve"> el que define la rendición de cuentas judiciales y su ámbito de responsabilidad penal</w:t>
      </w:r>
      <w:r w:rsidR="00312FB2">
        <w:rPr>
          <w:color w:val="000000"/>
          <w:lang w:val="es-ES"/>
        </w:rPr>
        <w:t>.</w:t>
      </w:r>
      <w:r w:rsidR="00512FE0">
        <w:rPr>
          <w:color w:val="000000"/>
          <w:lang w:val="es-ES"/>
        </w:rPr>
        <w:t xml:space="preserve"> En este informe se señala que </w:t>
      </w:r>
      <w:r w:rsidR="005915B7">
        <w:rPr>
          <w:color w:val="000000"/>
          <w:lang w:val="es-ES"/>
        </w:rPr>
        <w:t>“</w:t>
      </w:r>
      <w:r w:rsidR="00512FE0">
        <w:rPr>
          <w:color w:val="000000"/>
          <w:lang w:val="es-ES"/>
        </w:rPr>
        <w:t>el requisito de independencia e imparcialidad no existe en beneficio de los propios jueces y fiscales sino de los usuarios de los tribunales como parte de su derecho inalienable a un ju</w:t>
      </w:r>
      <w:r w:rsidR="004C5C33">
        <w:rPr>
          <w:color w:val="000000"/>
          <w:lang w:val="es-ES"/>
        </w:rPr>
        <w:t>icio imparcial</w:t>
      </w:r>
      <w:r w:rsidR="00512FE0">
        <w:rPr>
          <w:color w:val="000000"/>
          <w:lang w:val="es-ES"/>
        </w:rPr>
        <w:t>”</w:t>
      </w:r>
      <w:r w:rsidR="004C5C33">
        <w:rPr>
          <w:color w:val="000000"/>
          <w:lang w:val="es-ES"/>
        </w:rPr>
        <w:t xml:space="preserve"> </w:t>
      </w:r>
      <w:r w:rsidR="00645C5D">
        <w:rPr>
          <w:color w:val="000000"/>
          <w:lang w:val="es-ES"/>
        </w:rPr>
        <w:t xml:space="preserve">(párr. 23) </w:t>
      </w:r>
      <w:r w:rsidR="004C5C33">
        <w:rPr>
          <w:color w:val="000000"/>
          <w:lang w:val="es-ES"/>
        </w:rPr>
        <w:t>y que “Si bien es importante que los operadores de justicia tengan cierto grado de inmunidad penal en el ejercicio de sus funciones profesionales para protegerlos de enjuiciamientos injustificados, la inmunidad nunca debería aplicarse a los casos de delitos graves, incluidas las acusaciones de corrupción. La inmunidad judicial tiene que ser limita</w:t>
      </w:r>
      <w:r w:rsidR="00E94BC4">
        <w:rPr>
          <w:color w:val="000000"/>
          <w:lang w:val="es-ES"/>
        </w:rPr>
        <w:t>da</w:t>
      </w:r>
      <w:r w:rsidR="004C5C33">
        <w:rPr>
          <w:color w:val="000000"/>
          <w:lang w:val="es-ES"/>
        </w:rPr>
        <w:t xml:space="preserve"> y cumplir con su propósito de proteger la independencia de los profesionales de la justicia; la inmunidad total solo serviría para fomentar la desconfianza de los ciudadanos respecto del sistema de justicia en su conjunto”</w:t>
      </w:r>
      <w:r w:rsidR="00645C5D">
        <w:rPr>
          <w:color w:val="000000"/>
          <w:lang w:val="es-ES"/>
        </w:rPr>
        <w:t xml:space="preserve"> (párr. 52)</w:t>
      </w:r>
      <w:r w:rsidR="004C5C33">
        <w:rPr>
          <w:color w:val="000000"/>
          <w:lang w:val="es-ES"/>
        </w:rPr>
        <w:t>.</w:t>
      </w:r>
      <w:r w:rsidR="00312FB2">
        <w:rPr>
          <w:color w:val="000000"/>
          <w:lang w:val="es-ES"/>
        </w:rPr>
        <w:t xml:space="preserve"> El Estado parte recuerda que el autor</w:t>
      </w:r>
      <w:r w:rsidR="00512FE0">
        <w:rPr>
          <w:color w:val="000000"/>
          <w:lang w:val="es-ES"/>
        </w:rPr>
        <w:t xml:space="preserve"> no fue condenado por haber dictado </w:t>
      </w:r>
      <w:r w:rsidR="00312FB2">
        <w:rPr>
          <w:color w:val="000000"/>
          <w:lang w:val="es-ES"/>
        </w:rPr>
        <w:t>una resolución “injusta”</w:t>
      </w:r>
      <w:r w:rsidR="00512FE0">
        <w:rPr>
          <w:color w:val="000000"/>
          <w:lang w:val="es-ES"/>
        </w:rPr>
        <w:t xml:space="preserve"> en sentido genérico sino por haber interceptado las comunicaciones entre un abogado y su cliente</w:t>
      </w:r>
      <w:r w:rsidR="00312FB2">
        <w:rPr>
          <w:color w:val="000000"/>
          <w:lang w:val="es-ES"/>
        </w:rPr>
        <w:t>, a sabiendas de su inconstitucionalidad e ilegalidad.</w:t>
      </w:r>
      <w:r w:rsidR="00512FE0">
        <w:rPr>
          <w:color w:val="000000"/>
          <w:lang w:val="es-ES"/>
        </w:rPr>
        <w:t xml:space="preserve"> En este sentido, el Estado parte sostiene </w:t>
      </w:r>
      <w:r w:rsidR="00512FE0">
        <w:rPr>
          <w:color w:val="000000"/>
          <w:lang w:val="es-ES"/>
        </w:rPr>
        <w:lastRenderedPageBreak/>
        <w:t xml:space="preserve">que </w:t>
      </w:r>
      <w:r w:rsidR="00523D00">
        <w:rPr>
          <w:color w:val="000000"/>
          <w:lang w:val="es-ES"/>
        </w:rPr>
        <w:t xml:space="preserve">el autor fue objeto de una sanción penal por la comisión de delitos muy graves y que </w:t>
      </w:r>
      <w:r w:rsidR="00512FE0">
        <w:rPr>
          <w:color w:val="000000"/>
          <w:lang w:val="es-ES"/>
        </w:rPr>
        <w:t>su actuación vulneró el artículo 14, párrafo 3b) del Pacto que invoca en su defensa</w:t>
      </w:r>
      <w:r w:rsidR="0063191B">
        <w:rPr>
          <w:rStyle w:val="FootnoteReference"/>
          <w:color w:val="000000"/>
          <w:lang w:val="es-ES"/>
        </w:rPr>
        <w:footnoteReference w:id="26"/>
      </w:r>
      <w:r w:rsidR="0063191B">
        <w:rPr>
          <w:color w:val="000000"/>
          <w:lang w:val="es-ES"/>
        </w:rPr>
        <w:t>.</w:t>
      </w:r>
      <w:r w:rsidR="00512FE0">
        <w:rPr>
          <w:color w:val="000000"/>
          <w:lang w:val="es-ES"/>
        </w:rPr>
        <w:t xml:space="preserve"> </w:t>
      </w:r>
    </w:p>
    <w:p w14:paraId="0E4A4894" w14:textId="49F3AE20" w:rsidR="0059040B" w:rsidRPr="0059040B" w:rsidRDefault="00CF5683" w:rsidP="00CF5683">
      <w:pPr>
        <w:pStyle w:val="H23G"/>
        <w:rPr>
          <w:lang w:val="es-ES_tradnl" w:eastAsia="es-ES"/>
        </w:rPr>
      </w:pPr>
      <w:r>
        <w:rPr>
          <w:lang w:val="es-ES_tradnl" w:eastAsia="es-ES"/>
        </w:rPr>
        <w:tab/>
      </w:r>
      <w:r>
        <w:rPr>
          <w:lang w:val="es-ES_tradnl" w:eastAsia="es-ES"/>
        </w:rPr>
        <w:tab/>
      </w:r>
      <w:r w:rsidR="0059040B" w:rsidRPr="0059040B">
        <w:rPr>
          <w:lang w:val="es-ES_tradnl" w:eastAsia="es-ES"/>
        </w:rPr>
        <w:t>Deliberaciones del Comité</w:t>
      </w:r>
    </w:p>
    <w:p w14:paraId="52CF0BB7" w14:textId="06E59DA6" w:rsidR="0059040B" w:rsidRPr="00CF443F" w:rsidRDefault="00697802" w:rsidP="00697802">
      <w:pPr>
        <w:pStyle w:val="H4G"/>
        <w:rPr>
          <w:lang w:val="es-ES_tradnl" w:eastAsia="es-ES"/>
        </w:rPr>
      </w:pPr>
      <w:r>
        <w:rPr>
          <w:lang w:val="es-ES_tradnl" w:eastAsia="es-ES"/>
        </w:rPr>
        <w:tab/>
      </w:r>
      <w:r>
        <w:rPr>
          <w:lang w:val="es-ES_tradnl" w:eastAsia="es-ES"/>
        </w:rPr>
        <w:tab/>
      </w:r>
      <w:r w:rsidR="00CF443F" w:rsidRPr="00CF443F">
        <w:rPr>
          <w:lang w:val="es-ES_tradnl" w:eastAsia="es-ES"/>
        </w:rPr>
        <w:t>Examen de</w:t>
      </w:r>
      <w:r w:rsidR="00627685">
        <w:rPr>
          <w:lang w:val="es-ES_tradnl" w:eastAsia="es-ES"/>
        </w:rPr>
        <w:t>l fondo</w:t>
      </w:r>
    </w:p>
    <w:p w14:paraId="346A4A43" w14:textId="14FA60F8" w:rsidR="00645C5D" w:rsidRPr="00645C5D" w:rsidRDefault="00C51AF4" w:rsidP="00645C5D">
      <w:pPr>
        <w:pStyle w:val="SingleTxtG"/>
        <w:rPr>
          <w:lang w:val="es-PY" w:eastAsia="es-ES"/>
        </w:rPr>
      </w:pPr>
      <w:r>
        <w:rPr>
          <w:lang w:val="es-ES_tradnl" w:eastAsia="es-ES"/>
        </w:rPr>
        <w:t>5.1</w:t>
      </w:r>
      <w:r w:rsidR="00645C5D">
        <w:rPr>
          <w:lang w:val="es-PY" w:eastAsia="es-ES"/>
        </w:rPr>
        <w:tab/>
      </w:r>
      <w:r w:rsidR="00645C5D" w:rsidRPr="00645C5D">
        <w:rPr>
          <w:lang w:val="es-PY" w:eastAsia="es-ES"/>
        </w:rPr>
        <w:t>El Comité ha examinado la presente comunicación teniendo en cuenta toda la información que le han facilitado las partes, de conformidad con lo dispuesto en el artículo 5, párrafo 1, del Protocolo Facultativo.</w:t>
      </w:r>
    </w:p>
    <w:p w14:paraId="2E776210" w14:textId="24C12E1F" w:rsidR="0081779C" w:rsidRDefault="00BF3C68" w:rsidP="00627685">
      <w:pPr>
        <w:pStyle w:val="SingleTxtG"/>
        <w:rPr>
          <w:color w:val="000000"/>
          <w:lang w:val="es-PY"/>
        </w:rPr>
      </w:pPr>
      <w:r>
        <w:rPr>
          <w:color w:val="000000"/>
          <w:lang w:val="es-PY"/>
        </w:rPr>
        <w:t>5.2</w:t>
      </w:r>
      <w:r>
        <w:rPr>
          <w:color w:val="000000"/>
          <w:lang w:val="es-PY"/>
        </w:rPr>
        <w:tab/>
      </w:r>
      <w:r w:rsidR="00D14F75">
        <w:rPr>
          <w:color w:val="000000"/>
          <w:lang w:val="es-PY"/>
        </w:rPr>
        <w:t>El Comité toma nota</w:t>
      </w:r>
      <w:r w:rsidR="00B82C00">
        <w:rPr>
          <w:color w:val="000000"/>
          <w:lang w:val="es-PY"/>
        </w:rPr>
        <w:t>, en primer lugar,</w:t>
      </w:r>
      <w:r w:rsidR="00D14F75">
        <w:rPr>
          <w:color w:val="000000"/>
          <w:lang w:val="es-PY"/>
        </w:rPr>
        <w:t xml:space="preserve"> de </w:t>
      </w:r>
      <w:r w:rsidR="0081779C">
        <w:rPr>
          <w:color w:val="000000"/>
          <w:lang w:val="es-PY"/>
        </w:rPr>
        <w:t>la queja</w:t>
      </w:r>
      <w:r w:rsidR="00D14F75">
        <w:rPr>
          <w:color w:val="000000"/>
          <w:lang w:val="es-PY"/>
        </w:rPr>
        <w:t xml:space="preserve"> del autor </w:t>
      </w:r>
      <w:r w:rsidR="00A06088">
        <w:rPr>
          <w:color w:val="000000"/>
          <w:lang w:val="es-PY"/>
        </w:rPr>
        <w:t>basada en</w:t>
      </w:r>
      <w:r w:rsidR="0081779C">
        <w:rPr>
          <w:color w:val="000000"/>
          <w:lang w:val="es-PY"/>
        </w:rPr>
        <w:t xml:space="preserve"> el artículo 14, p</w:t>
      </w:r>
      <w:r w:rsidR="004F7972">
        <w:rPr>
          <w:color w:val="000000"/>
          <w:lang w:val="es-PY"/>
        </w:rPr>
        <w:t>árrafo 1 del Pacto</w:t>
      </w:r>
      <w:r w:rsidR="0081779C">
        <w:rPr>
          <w:color w:val="000000"/>
          <w:lang w:val="es-PY"/>
        </w:rPr>
        <w:t xml:space="preserve"> </w:t>
      </w:r>
      <w:r w:rsidR="00A06088">
        <w:rPr>
          <w:color w:val="000000"/>
          <w:lang w:val="es-PY"/>
        </w:rPr>
        <w:t>y relacionada con la arbitrariedad de los procesos penales seguidos en su contra</w:t>
      </w:r>
      <w:r w:rsidR="0081779C">
        <w:rPr>
          <w:color w:val="000000"/>
          <w:lang w:val="es-PY"/>
        </w:rPr>
        <w:t xml:space="preserve"> en </w:t>
      </w:r>
      <w:r w:rsidR="00A06088">
        <w:rPr>
          <w:color w:val="000000"/>
          <w:lang w:val="es-PY"/>
        </w:rPr>
        <w:t xml:space="preserve">el marco de </w:t>
      </w:r>
      <w:r w:rsidR="0081779C">
        <w:rPr>
          <w:color w:val="000000"/>
          <w:lang w:val="es-PY"/>
        </w:rPr>
        <w:t xml:space="preserve">los casos Franquismo y </w:t>
      </w:r>
      <w:proofErr w:type="spellStart"/>
      <w:r w:rsidR="0081779C">
        <w:rPr>
          <w:color w:val="000000"/>
          <w:lang w:val="es-PY"/>
        </w:rPr>
        <w:t>G</w:t>
      </w:r>
      <w:r w:rsidR="004F7972">
        <w:rPr>
          <w:color w:val="000000"/>
          <w:lang w:val="es-PY"/>
        </w:rPr>
        <w:t>ürtel</w:t>
      </w:r>
      <w:proofErr w:type="spellEnd"/>
      <w:r w:rsidR="0021070D">
        <w:rPr>
          <w:color w:val="000000"/>
          <w:lang w:val="es-PY"/>
        </w:rPr>
        <w:t>,</w:t>
      </w:r>
      <w:r w:rsidR="004F7972">
        <w:rPr>
          <w:color w:val="000000"/>
          <w:lang w:val="es-PY"/>
        </w:rPr>
        <w:t xml:space="preserve"> </w:t>
      </w:r>
      <w:r w:rsidR="00A06088">
        <w:rPr>
          <w:color w:val="000000"/>
          <w:lang w:val="es-PY"/>
        </w:rPr>
        <w:t>y con la falta</w:t>
      </w:r>
      <w:r w:rsidR="004F7972">
        <w:rPr>
          <w:color w:val="000000"/>
          <w:lang w:val="es-PY"/>
        </w:rPr>
        <w:t xml:space="preserve"> de </w:t>
      </w:r>
      <w:r w:rsidR="00A06088">
        <w:rPr>
          <w:color w:val="000000"/>
          <w:lang w:val="es-PY"/>
        </w:rPr>
        <w:t xml:space="preserve">independencia </w:t>
      </w:r>
      <w:r w:rsidR="00D2745A">
        <w:rPr>
          <w:color w:val="000000"/>
          <w:lang w:val="es-PY"/>
        </w:rPr>
        <w:t xml:space="preserve">e imparcialidad </w:t>
      </w:r>
      <w:r w:rsidR="00A06088">
        <w:rPr>
          <w:color w:val="000000"/>
          <w:lang w:val="es-PY"/>
        </w:rPr>
        <w:t>de los tribunales sentenciadores</w:t>
      </w:r>
      <w:r w:rsidR="004F7972">
        <w:rPr>
          <w:color w:val="000000"/>
          <w:lang w:val="es-PY"/>
        </w:rPr>
        <w:t>.</w:t>
      </w:r>
    </w:p>
    <w:p w14:paraId="755A2105" w14:textId="10269ECB" w:rsidR="004C41C4" w:rsidRDefault="0081779C" w:rsidP="008447A9">
      <w:pPr>
        <w:pStyle w:val="SingleTxtG"/>
        <w:rPr>
          <w:color w:val="000000"/>
          <w:lang w:val="es-ES_tradnl"/>
        </w:rPr>
      </w:pPr>
      <w:r>
        <w:rPr>
          <w:color w:val="000000"/>
          <w:lang w:val="es-PY"/>
        </w:rPr>
        <w:t>5.3</w:t>
      </w:r>
      <w:r>
        <w:rPr>
          <w:color w:val="000000"/>
          <w:lang w:val="es-PY"/>
        </w:rPr>
        <w:tab/>
      </w:r>
      <w:r w:rsidR="00C45645">
        <w:rPr>
          <w:color w:val="000000"/>
          <w:lang w:val="es-PY"/>
        </w:rPr>
        <w:t>En</w:t>
      </w:r>
      <w:r>
        <w:rPr>
          <w:color w:val="000000"/>
          <w:lang w:val="es-PY"/>
        </w:rPr>
        <w:t xml:space="preserve"> relación con la alegada arbitrariedad de los</w:t>
      </w:r>
      <w:r w:rsidR="004F7972">
        <w:rPr>
          <w:color w:val="000000"/>
          <w:lang w:val="es-PY"/>
        </w:rPr>
        <w:t xml:space="preserve"> </w:t>
      </w:r>
      <w:r w:rsidR="00A06088">
        <w:rPr>
          <w:color w:val="000000"/>
          <w:lang w:val="es-PY"/>
        </w:rPr>
        <w:t>procesos</w:t>
      </w:r>
      <w:r>
        <w:rPr>
          <w:color w:val="000000"/>
          <w:lang w:val="es-PY"/>
        </w:rPr>
        <w:t xml:space="preserve">, el Comité </w:t>
      </w:r>
      <w:r w:rsidR="008447A9">
        <w:rPr>
          <w:color w:val="000000"/>
          <w:lang w:val="es-PY"/>
        </w:rPr>
        <w:t xml:space="preserve">está llamado a determinar si el </w:t>
      </w:r>
      <w:r w:rsidR="00EB3BA5">
        <w:rPr>
          <w:color w:val="000000"/>
          <w:lang w:val="es-PY"/>
        </w:rPr>
        <w:t>tribunal que enjuició al autor por delitos de prevaricación</w:t>
      </w:r>
      <w:r w:rsidR="008447A9">
        <w:rPr>
          <w:color w:val="000000"/>
          <w:lang w:val="es-PY"/>
        </w:rPr>
        <w:t xml:space="preserve"> ofreció las garantías suficientes para ser considerado un tribunal independiente</w:t>
      </w:r>
      <w:r w:rsidR="008A6924">
        <w:rPr>
          <w:rStyle w:val="FootnoteReference"/>
          <w:color w:val="000000"/>
          <w:lang w:val="es-PY"/>
        </w:rPr>
        <w:footnoteReference w:id="27"/>
      </w:r>
      <w:r w:rsidR="004C41C4">
        <w:rPr>
          <w:color w:val="000000"/>
          <w:lang w:val="es-PY"/>
        </w:rPr>
        <w:t xml:space="preserve"> en el sentido del artículo 14, párrafo 1.</w:t>
      </w:r>
      <w:r w:rsidR="008447A9">
        <w:rPr>
          <w:color w:val="000000"/>
          <w:lang w:val="es-PY"/>
        </w:rPr>
        <w:t xml:space="preserve"> El Comité </w:t>
      </w:r>
      <w:r>
        <w:rPr>
          <w:color w:val="000000"/>
          <w:lang w:val="es-PY"/>
        </w:rPr>
        <w:t>toma nota de las alegaciones del autor según las cuales la</w:t>
      </w:r>
      <w:r>
        <w:rPr>
          <w:color w:val="000000"/>
          <w:lang w:val="es-ES_tradnl"/>
        </w:rPr>
        <w:t xml:space="preserve"> única base </w:t>
      </w:r>
      <w:r w:rsidR="0021070D">
        <w:rPr>
          <w:color w:val="000000"/>
          <w:lang w:val="es-ES_tradnl"/>
        </w:rPr>
        <w:t xml:space="preserve">para </w:t>
      </w:r>
      <w:r w:rsidR="00EB3BA5">
        <w:rPr>
          <w:color w:val="000000"/>
          <w:lang w:val="es-ES_tradnl"/>
        </w:rPr>
        <w:t xml:space="preserve">las decisiones de </w:t>
      </w:r>
      <w:r w:rsidR="0021070D">
        <w:rPr>
          <w:color w:val="000000"/>
          <w:lang w:val="es-ES_tradnl"/>
        </w:rPr>
        <w:t>abrir dichos procesos</w:t>
      </w:r>
      <w:r w:rsidR="004F7972">
        <w:rPr>
          <w:color w:val="000000"/>
          <w:lang w:val="es-ES_tradnl"/>
        </w:rPr>
        <w:t xml:space="preserve"> fue</w:t>
      </w:r>
      <w:r>
        <w:rPr>
          <w:color w:val="000000"/>
          <w:lang w:val="es-ES_tradnl"/>
        </w:rPr>
        <w:t xml:space="preserve"> la interpretación de la ley realizada por el autor en el ejercicio de su función judicial en los casos Franquismo y </w:t>
      </w:r>
      <w:proofErr w:type="spellStart"/>
      <w:r>
        <w:rPr>
          <w:color w:val="000000"/>
          <w:lang w:val="es-ES_tradnl"/>
        </w:rPr>
        <w:t>Gürtel</w:t>
      </w:r>
      <w:proofErr w:type="spellEnd"/>
      <w:r>
        <w:rPr>
          <w:color w:val="000000"/>
          <w:lang w:val="es-ES_tradnl"/>
        </w:rPr>
        <w:t xml:space="preserve">. </w:t>
      </w:r>
    </w:p>
    <w:p w14:paraId="64C761CC" w14:textId="26C44AA8" w:rsidR="00EB3BA5" w:rsidRDefault="004C41C4" w:rsidP="00EB3BA5">
      <w:pPr>
        <w:pStyle w:val="SingleTxtG"/>
        <w:rPr>
          <w:color w:val="000000"/>
          <w:lang w:val="es-ES"/>
        </w:rPr>
      </w:pPr>
      <w:r>
        <w:rPr>
          <w:color w:val="000000"/>
          <w:lang w:val="es-ES_tradnl"/>
        </w:rPr>
        <w:t>5.4</w:t>
      </w:r>
      <w:r>
        <w:rPr>
          <w:color w:val="000000"/>
          <w:lang w:val="es-ES_tradnl"/>
        </w:rPr>
        <w:tab/>
      </w:r>
      <w:r w:rsidR="00EB3BA5">
        <w:rPr>
          <w:color w:val="000000"/>
          <w:lang w:val="es-ES"/>
        </w:rPr>
        <w:t xml:space="preserve">El Comité recuerda su </w:t>
      </w:r>
      <w:r w:rsidR="0063191B">
        <w:rPr>
          <w:color w:val="000000"/>
          <w:lang w:val="es-ES"/>
        </w:rPr>
        <w:t>o</w:t>
      </w:r>
      <w:r w:rsidR="00EB3BA5">
        <w:rPr>
          <w:color w:val="000000"/>
          <w:lang w:val="es-ES"/>
        </w:rPr>
        <w:t xml:space="preserve">bservación </w:t>
      </w:r>
      <w:r w:rsidR="0063191B">
        <w:rPr>
          <w:color w:val="000000"/>
          <w:lang w:val="es-ES"/>
        </w:rPr>
        <w:t>g</w:t>
      </w:r>
      <w:r w:rsidR="00EB3BA5">
        <w:rPr>
          <w:color w:val="000000"/>
          <w:lang w:val="es-ES"/>
        </w:rPr>
        <w:t xml:space="preserve">eneral </w:t>
      </w:r>
      <w:r w:rsidR="0063191B">
        <w:rPr>
          <w:color w:val="000000"/>
          <w:lang w:val="es-ES"/>
        </w:rPr>
        <w:t>núm.</w:t>
      </w:r>
      <w:r w:rsidR="00EB3BA5">
        <w:rPr>
          <w:color w:val="000000"/>
          <w:lang w:val="es-ES"/>
        </w:rPr>
        <w:t xml:space="preserve"> 32 en el sentido de que “los Estados deben adoptar medidas concretas que garanticen la independencia del poder judicial, y proteger a los jueces de toda forma de influencia política en la adopción de decisiones por medio de la Constitución o la aprobación de leyes que establezcan procedimientos claros y criterios objetivos para el nombramiento, la remuneración, el mandato, la promoción, la suspensión y la destitución, y las sanciones disciplinarias en relación con los miembros de la judicatura”</w:t>
      </w:r>
      <w:r w:rsidR="0063191B">
        <w:rPr>
          <w:rStyle w:val="FootnoteReference"/>
          <w:color w:val="000000"/>
          <w:lang w:val="es-ES"/>
        </w:rPr>
        <w:footnoteReference w:id="28"/>
      </w:r>
      <w:r w:rsidR="0063191B">
        <w:rPr>
          <w:color w:val="000000"/>
          <w:lang w:val="es-ES"/>
        </w:rPr>
        <w:t>.</w:t>
      </w:r>
      <w:r w:rsidR="00EB3BA5">
        <w:rPr>
          <w:color w:val="000000"/>
          <w:lang w:val="es-ES"/>
        </w:rPr>
        <w:t xml:space="preserve"> Recuerda asimismo que “los jueces podrán ser destituidos únicamente por razones graves de mala conducta o incompetencia, de conformidad con procedimientos equitativos que garanticen la objetividad y la imparcialidad establecidos en la Constitución o en la ley”</w:t>
      </w:r>
      <w:r w:rsidR="0063191B">
        <w:rPr>
          <w:rStyle w:val="FootnoteReference"/>
          <w:color w:val="000000"/>
          <w:lang w:val="es-ES"/>
        </w:rPr>
        <w:footnoteReference w:id="29"/>
      </w:r>
      <w:r w:rsidR="0063191B">
        <w:rPr>
          <w:color w:val="000000"/>
          <w:lang w:val="es-ES"/>
        </w:rPr>
        <w:t>.</w:t>
      </w:r>
      <w:r w:rsidR="00EB3BA5">
        <w:rPr>
          <w:color w:val="000000"/>
          <w:lang w:val="es-ES"/>
        </w:rPr>
        <w:t xml:space="preserve"> En el mismo sentido, los Principios Básicos sobre la Independencia de la Judicatura establecen que “[l]</w:t>
      </w:r>
      <w:r w:rsidR="00EB3BA5" w:rsidRPr="00C834A5">
        <w:rPr>
          <w:color w:val="000000"/>
          <w:lang w:val="es-ES"/>
        </w:rPr>
        <w:t>os jueces sólo podrán ser suspendidos o separados de sus cargos por incapacidad o comportamiento que los inhabilite para seguir desempeñando sus funciones</w:t>
      </w:r>
      <w:r w:rsidR="00EB3BA5">
        <w:rPr>
          <w:color w:val="000000"/>
          <w:lang w:val="es-ES"/>
        </w:rPr>
        <w:t>”</w:t>
      </w:r>
      <w:r w:rsidR="00EB3BA5">
        <w:rPr>
          <w:rStyle w:val="FootnoteReference"/>
          <w:color w:val="000000"/>
          <w:lang w:val="es-ES"/>
        </w:rPr>
        <w:footnoteReference w:id="30"/>
      </w:r>
    </w:p>
    <w:p w14:paraId="4FFFABCC" w14:textId="493C2A21" w:rsidR="00EB3BA5" w:rsidRDefault="00EB3BA5" w:rsidP="00EB3BA5">
      <w:pPr>
        <w:pStyle w:val="SingleTxtG"/>
        <w:rPr>
          <w:color w:val="000000"/>
          <w:lang w:val="es-ES"/>
        </w:rPr>
      </w:pPr>
      <w:r>
        <w:rPr>
          <w:color w:val="000000"/>
          <w:lang w:val="es-ES"/>
        </w:rPr>
        <w:t>5.5</w:t>
      </w:r>
      <w:r>
        <w:rPr>
          <w:color w:val="000000"/>
          <w:lang w:val="es-ES"/>
        </w:rPr>
        <w:tab/>
      </w:r>
      <w:r w:rsidRPr="00003488">
        <w:rPr>
          <w:color w:val="000000"/>
          <w:lang w:val="es-ES"/>
        </w:rPr>
        <w:t>El Comité considera que el principio de independencia judicial, garantía imprescindible para el libre desempeño de la función judicial, requiere que el juez</w:t>
      </w:r>
      <w:r w:rsidR="00D874F0">
        <w:rPr>
          <w:color w:val="000000"/>
          <w:lang w:val="es-ES"/>
        </w:rPr>
        <w:t>, así como el fiscal,</w:t>
      </w:r>
      <w:r w:rsidRPr="00003488">
        <w:rPr>
          <w:color w:val="000000"/>
          <w:lang w:val="es-ES"/>
        </w:rPr>
        <w:t xml:space="preserve"> pueda interpretar y aplicar la ley, y evaluar los hechos y pruebas libremente sin ser objeto de intimidaciones, obstrucciones o interferencias en el ejercicio de su función</w:t>
      </w:r>
      <w:r w:rsidR="00D874F0">
        <w:rPr>
          <w:color w:val="000000"/>
          <w:lang w:val="es-ES"/>
        </w:rPr>
        <w:t xml:space="preserve">. </w:t>
      </w:r>
      <w:r w:rsidR="00370A2B" w:rsidRPr="00003488">
        <w:rPr>
          <w:rStyle w:val="FootnoteReference"/>
          <w:color w:val="000000"/>
          <w:lang w:val="es-ES"/>
        </w:rPr>
        <w:footnoteReference w:id="31"/>
      </w:r>
      <w:r w:rsidR="00D874F0">
        <w:rPr>
          <w:color w:val="000000"/>
          <w:lang w:val="es-ES"/>
        </w:rPr>
        <w:t xml:space="preserve">El juez no debe estar sujeto a acciones penales o disciplinarias </w:t>
      </w:r>
      <w:r w:rsidR="0016494D">
        <w:rPr>
          <w:color w:val="000000"/>
          <w:lang w:val="es-ES"/>
        </w:rPr>
        <w:t>basadas</w:t>
      </w:r>
      <w:r w:rsidR="00D874F0">
        <w:rPr>
          <w:color w:val="000000"/>
          <w:lang w:val="es-ES"/>
        </w:rPr>
        <w:t xml:space="preserve"> </w:t>
      </w:r>
      <w:r w:rsidRPr="00003488">
        <w:rPr>
          <w:color w:val="000000"/>
          <w:lang w:val="es-ES"/>
        </w:rPr>
        <w:t xml:space="preserve">en el </w:t>
      </w:r>
      <w:r w:rsidR="0016494D">
        <w:rPr>
          <w:color w:val="000000"/>
          <w:lang w:val="es-ES"/>
        </w:rPr>
        <w:t xml:space="preserve">contenido de sus </w:t>
      </w:r>
      <w:proofErr w:type="gramStart"/>
      <w:r w:rsidR="0016494D">
        <w:rPr>
          <w:color w:val="000000"/>
          <w:lang w:val="es-ES"/>
        </w:rPr>
        <w:t xml:space="preserve">decisiones </w:t>
      </w:r>
      <w:r w:rsidR="00D874F0">
        <w:rPr>
          <w:color w:val="000000"/>
          <w:lang w:val="es-ES"/>
        </w:rPr>
        <w:t>,</w:t>
      </w:r>
      <w:proofErr w:type="gramEnd"/>
      <w:r w:rsidR="00D874F0">
        <w:rPr>
          <w:color w:val="000000"/>
          <w:lang w:val="es-ES"/>
        </w:rPr>
        <w:t xml:space="preserve"> excepto en los supuestos de delito grave, corrupción, mala conducta o </w:t>
      </w:r>
      <w:r w:rsidR="0016494D">
        <w:rPr>
          <w:color w:val="000000"/>
          <w:lang w:val="es-ES"/>
        </w:rPr>
        <w:t xml:space="preserve">incompetencia que lo haga inapto para el cargo, y conforme a procedimientos que respeten </w:t>
      </w:r>
      <w:r w:rsidR="0016494D">
        <w:rPr>
          <w:color w:val="000000"/>
          <w:lang w:val="es-ES"/>
        </w:rPr>
        <w:lastRenderedPageBreak/>
        <w:t>las garantías de</w:t>
      </w:r>
      <w:r w:rsidR="00370A2B">
        <w:rPr>
          <w:color w:val="000000"/>
          <w:lang w:val="es-ES"/>
        </w:rPr>
        <w:t>l</w:t>
      </w:r>
      <w:r w:rsidR="0016494D">
        <w:rPr>
          <w:color w:val="000000"/>
          <w:lang w:val="es-ES"/>
        </w:rPr>
        <w:t xml:space="preserve"> juicio justo. Los errores judiciales debieran corregirse</w:t>
      </w:r>
      <w:r w:rsidR="00370A2B">
        <w:rPr>
          <w:color w:val="000000"/>
          <w:lang w:val="es-ES"/>
        </w:rPr>
        <w:t xml:space="preserve"> mediante la revisión de la decisión por un tribunal superior.</w:t>
      </w:r>
      <w:r w:rsidR="00370A2B">
        <w:rPr>
          <w:rStyle w:val="FootnoteReference"/>
          <w:color w:val="000000"/>
          <w:lang w:val="es-ES"/>
        </w:rPr>
        <w:footnoteReference w:id="32"/>
      </w:r>
      <w:r w:rsidR="0016494D">
        <w:rPr>
          <w:color w:val="000000"/>
          <w:lang w:val="es-ES"/>
        </w:rPr>
        <w:t xml:space="preserve"> </w:t>
      </w:r>
    </w:p>
    <w:p w14:paraId="4FA33070" w14:textId="723D129C" w:rsidR="004C41C4" w:rsidRDefault="00EB3BA5" w:rsidP="008447A9">
      <w:pPr>
        <w:pStyle w:val="SingleTxtG"/>
        <w:rPr>
          <w:color w:val="000000"/>
          <w:lang w:val="es-ES"/>
        </w:rPr>
      </w:pPr>
      <w:r>
        <w:rPr>
          <w:color w:val="000000"/>
          <w:lang w:val="es-PY"/>
        </w:rPr>
        <w:t>5.6</w:t>
      </w:r>
      <w:r>
        <w:rPr>
          <w:color w:val="000000"/>
          <w:lang w:val="es-PY"/>
        </w:rPr>
        <w:tab/>
      </w:r>
      <w:r w:rsidR="00C45645">
        <w:rPr>
          <w:color w:val="000000"/>
          <w:lang w:val="es-PY"/>
        </w:rPr>
        <w:t>El Comité observa que, en</w:t>
      </w:r>
      <w:r w:rsidR="007164BA">
        <w:rPr>
          <w:color w:val="000000"/>
          <w:lang w:val="es-PY"/>
        </w:rPr>
        <w:t xml:space="preserve"> el </w:t>
      </w:r>
      <w:r w:rsidR="0021070D">
        <w:rPr>
          <w:color w:val="000000"/>
          <w:lang w:val="es-PY"/>
        </w:rPr>
        <w:t xml:space="preserve">proceso por el </w:t>
      </w:r>
      <w:r w:rsidR="007164BA">
        <w:rPr>
          <w:color w:val="000000"/>
          <w:lang w:val="es-PY"/>
        </w:rPr>
        <w:t xml:space="preserve">caso Franquismo, el autor fue </w:t>
      </w:r>
      <w:r w:rsidR="0021070D">
        <w:rPr>
          <w:color w:val="000000"/>
          <w:lang w:val="es-PY"/>
        </w:rPr>
        <w:t>enjuiciado</w:t>
      </w:r>
      <w:r>
        <w:rPr>
          <w:color w:val="000000"/>
          <w:lang w:val="es-PY"/>
        </w:rPr>
        <w:t>, suspendido de sus funciones</w:t>
      </w:r>
      <w:r w:rsidR="007164BA">
        <w:rPr>
          <w:color w:val="000000"/>
          <w:lang w:val="es-PY"/>
        </w:rPr>
        <w:t xml:space="preserve"> </w:t>
      </w:r>
      <w:r w:rsidR="004253F3">
        <w:rPr>
          <w:color w:val="000000"/>
          <w:lang w:val="es-PY"/>
        </w:rPr>
        <w:t>y finalmente absuelto de un delito de</w:t>
      </w:r>
      <w:r w:rsidR="007164BA">
        <w:rPr>
          <w:color w:val="000000"/>
          <w:lang w:val="es-PY"/>
        </w:rPr>
        <w:t xml:space="preserve"> prevaricación por haber </w:t>
      </w:r>
      <w:r w:rsidR="00FC6ABA">
        <w:rPr>
          <w:color w:val="000000"/>
          <w:lang w:val="es-PY"/>
        </w:rPr>
        <w:t xml:space="preserve">establecido </w:t>
      </w:r>
      <w:r w:rsidR="004253F3">
        <w:rPr>
          <w:color w:val="000000"/>
          <w:lang w:val="es-PY"/>
        </w:rPr>
        <w:t>su</w:t>
      </w:r>
      <w:r w:rsidR="00FC6ABA">
        <w:rPr>
          <w:color w:val="000000"/>
          <w:lang w:val="es-PY"/>
        </w:rPr>
        <w:t xml:space="preserve"> competencia</w:t>
      </w:r>
      <w:r w:rsidR="004253F3">
        <w:rPr>
          <w:color w:val="000000"/>
          <w:lang w:val="es-PY"/>
        </w:rPr>
        <w:t>, como juez instructor</w:t>
      </w:r>
      <w:r w:rsidR="00FC6ABA">
        <w:rPr>
          <w:color w:val="000000"/>
          <w:lang w:val="es-PY"/>
        </w:rPr>
        <w:t xml:space="preserve"> de la Audiencia Nacional</w:t>
      </w:r>
      <w:r w:rsidR="004253F3">
        <w:rPr>
          <w:color w:val="000000"/>
          <w:lang w:val="es-PY"/>
        </w:rPr>
        <w:t>,</w:t>
      </w:r>
      <w:r w:rsidR="00FC6ABA">
        <w:rPr>
          <w:color w:val="000000"/>
          <w:lang w:val="es-PY"/>
        </w:rPr>
        <w:t xml:space="preserve"> para </w:t>
      </w:r>
      <w:r w:rsidR="0021070D">
        <w:rPr>
          <w:color w:val="000000"/>
          <w:lang w:val="es-PY"/>
        </w:rPr>
        <w:t xml:space="preserve">investigar </w:t>
      </w:r>
      <w:r w:rsidR="00FC6ABA">
        <w:rPr>
          <w:color w:val="000000"/>
          <w:lang w:val="es-PY"/>
        </w:rPr>
        <w:t>alegados casos de desapariciones forzadas cometidas durante</w:t>
      </w:r>
      <w:r w:rsidR="007164BA">
        <w:rPr>
          <w:color w:val="000000"/>
          <w:lang w:val="es-PY"/>
        </w:rPr>
        <w:t xml:space="preserve"> el periodo de la Guerra Civil y el Franquismo, que el autor calificó de </w:t>
      </w:r>
      <w:r w:rsidR="00FC6ABA">
        <w:rPr>
          <w:color w:val="000000"/>
          <w:lang w:val="es-PY"/>
        </w:rPr>
        <w:t>“</w:t>
      </w:r>
      <w:r w:rsidR="00FC6ABA">
        <w:rPr>
          <w:color w:val="000000"/>
          <w:lang w:val="es-ES"/>
        </w:rPr>
        <w:t xml:space="preserve">delito permanente de detención ilegal sin ofrecer razón del paradero de la víctima en el marco de crímenes contra la humanidad”, considerando que eran imprescriptibles a la luz del derecho internacional de los derechos humanos. El Comité toma nota, por otra parte, del argumento del Estado parte en el sentido </w:t>
      </w:r>
      <w:r w:rsidR="00C45645">
        <w:rPr>
          <w:color w:val="000000"/>
          <w:lang w:val="es-ES"/>
        </w:rPr>
        <w:t xml:space="preserve">de </w:t>
      </w:r>
      <w:r w:rsidR="00FC6ABA">
        <w:rPr>
          <w:color w:val="000000"/>
          <w:lang w:val="es-ES"/>
        </w:rPr>
        <w:t xml:space="preserve">que no puede determinarse que la apertura de un proceso penal contra el autor </w:t>
      </w:r>
      <w:r w:rsidR="004253F3">
        <w:rPr>
          <w:color w:val="000000"/>
          <w:lang w:val="es-ES"/>
        </w:rPr>
        <w:t xml:space="preserve">por el caso Franquismo </w:t>
      </w:r>
      <w:r w:rsidR="00FC6ABA">
        <w:rPr>
          <w:color w:val="000000"/>
          <w:lang w:val="es-ES"/>
        </w:rPr>
        <w:t xml:space="preserve">fuera arbitraria ya que, según entendió el Tribunal Supremo en su sentencia de </w:t>
      </w:r>
      <w:r w:rsidR="004253F3">
        <w:rPr>
          <w:color w:val="000000"/>
          <w:lang w:val="es-ES"/>
        </w:rPr>
        <w:t>27 de febrero de 2012</w:t>
      </w:r>
      <w:r w:rsidR="00FC6ABA">
        <w:rPr>
          <w:color w:val="000000"/>
          <w:lang w:val="es-ES"/>
        </w:rPr>
        <w:t>, la interpretación del autor, si bien no alcanzó las característi</w:t>
      </w:r>
      <w:r w:rsidR="004253F3">
        <w:rPr>
          <w:color w:val="000000"/>
          <w:lang w:val="es-ES"/>
        </w:rPr>
        <w:t xml:space="preserve">cas del delito de prevaricación (ver párr. 2.8), fue errónea. Según el Estado parte, </w:t>
      </w:r>
      <w:r w:rsidR="00B82C00">
        <w:rPr>
          <w:color w:val="000000"/>
          <w:lang w:val="es-ES"/>
        </w:rPr>
        <w:t>los hechos denunciados en el caso Franquismo eran delitos comunes según la normativa vigente al momento de cometerse y</w:t>
      </w:r>
      <w:r w:rsidR="00C45645">
        <w:rPr>
          <w:color w:val="000000"/>
          <w:lang w:val="es-ES"/>
        </w:rPr>
        <w:t>,</w:t>
      </w:r>
      <w:r w:rsidR="00B82C00">
        <w:rPr>
          <w:color w:val="000000"/>
          <w:lang w:val="es-ES"/>
        </w:rPr>
        <w:t xml:space="preserve"> por tanto, sujetos a prescripción y a amnistía, de conformidad con la legislación nacional. Asimismo, el derecho de las víctimas a un recurso efectivo sería solo exigible para violaciones sufridas después de la entrada en vigor del Pacto para el Estado parte.</w:t>
      </w:r>
      <w:r w:rsidR="004253F3">
        <w:rPr>
          <w:color w:val="000000"/>
          <w:lang w:val="es-ES"/>
        </w:rPr>
        <w:t xml:space="preserve"> </w:t>
      </w:r>
    </w:p>
    <w:p w14:paraId="0B2F5CA4" w14:textId="2DD132CA" w:rsidR="0086060F" w:rsidRPr="0086060F" w:rsidRDefault="004C41C4" w:rsidP="0086060F">
      <w:pPr>
        <w:pStyle w:val="SingleTxtG"/>
        <w:rPr>
          <w:color w:val="000000"/>
          <w:lang w:val="es-ES"/>
        </w:rPr>
      </w:pPr>
      <w:r>
        <w:rPr>
          <w:color w:val="000000"/>
          <w:lang w:val="es-ES"/>
        </w:rPr>
        <w:t>5.</w:t>
      </w:r>
      <w:r w:rsidR="00EB3BA5">
        <w:rPr>
          <w:color w:val="000000"/>
          <w:lang w:val="es-ES"/>
        </w:rPr>
        <w:t>7</w:t>
      </w:r>
      <w:r>
        <w:rPr>
          <w:color w:val="000000"/>
          <w:lang w:val="es-ES"/>
        </w:rPr>
        <w:tab/>
      </w:r>
      <w:r w:rsidR="003326D4">
        <w:rPr>
          <w:color w:val="000000"/>
          <w:lang w:val="es-ES"/>
        </w:rPr>
        <w:t xml:space="preserve">Sin entrar en un análisis detallado de la interpretación normativa realizada por el autor en </w:t>
      </w:r>
      <w:r w:rsidR="00C5092F">
        <w:rPr>
          <w:color w:val="000000"/>
          <w:lang w:val="es-ES"/>
        </w:rPr>
        <w:t>el caso Franquismo,</w:t>
      </w:r>
      <w:r w:rsidR="003326D4">
        <w:rPr>
          <w:color w:val="000000"/>
          <w:lang w:val="es-ES"/>
        </w:rPr>
        <w:t xml:space="preserve"> ni de la mayor o menor idoneidad de sus decisiones </w:t>
      </w:r>
      <w:r w:rsidR="002C04D8">
        <w:rPr>
          <w:color w:val="000000"/>
          <w:lang w:val="es-ES"/>
        </w:rPr>
        <w:t>o</w:t>
      </w:r>
      <w:r w:rsidR="003326D4">
        <w:rPr>
          <w:color w:val="000000"/>
          <w:lang w:val="es-ES"/>
        </w:rPr>
        <w:t xml:space="preserve"> de la doctrina judicial </w:t>
      </w:r>
      <w:r w:rsidR="00BB2710">
        <w:rPr>
          <w:color w:val="000000"/>
          <w:lang w:val="es-ES"/>
        </w:rPr>
        <w:t xml:space="preserve">nacional </w:t>
      </w:r>
      <w:r w:rsidR="003326D4">
        <w:rPr>
          <w:color w:val="000000"/>
          <w:lang w:val="es-ES"/>
        </w:rPr>
        <w:t>predominante en</w:t>
      </w:r>
      <w:r w:rsidR="00AF4A2E">
        <w:rPr>
          <w:color w:val="000000"/>
          <w:lang w:val="es-ES"/>
        </w:rPr>
        <w:t xml:space="preserve"> </w:t>
      </w:r>
      <w:r w:rsidR="003326D4">
        <w:rPr>
          <w:color w:val="000000"/>
          <w:lang w:val="es-ES"/>
        </w:rPr>
        <w:t xml:space="preserve">torno a la calificación de los delitos cometidos durante la Guerra Civil y Franquismo, el Comité observa </w:t>
      </w:r>
      <w:r w:rsidR="002C04D8">
        <w:rPr>
          <w:color w:val="000000"/>
          <w:lang w:val="es-ES"/>
        </w:rPr>
        <w:t>como hechos in</w:t>
      </w:r>
      <w:r w:rsidR="0081630A">
        <w:rPr>
          <w:color w:val="000000"/>
          <w:lang w:val="es-ES"/>
        </w:rPr>
        <w:t>discutido</w:t>
      </w:r>
      <w:r w:rsidR="002C04D8">
        <w:rPr>
          <w:color w:val="000000"/>
          <w:lang w:val="es-ES"/>
        </w:rPr>
        <w:t>s que</w:t>
      </w:r>
      <w:r w:rsidR="003326D4">
        <w:rPr>
          <w:color w:val="000000"/>
          <w:lang w:val="es-ES"/>
        </w:rPr>
        <w:t xml:space="preserve"> </w:t>
      </w:r>
      <w:r w:rsidR="002C04D8">
        <w:rPr>
          <w:color w:val="000000"/>
          <w:lang w:val="es-ES"/>
        </w:rPr>
        <w:t xml:space="preserve">el autor adoptó decisiones motivadas por las que asumía competencia para investigar los hechos </w:t>
      </w:r>
      <w:r w:rsidR="0081630A">
        <w:rPr>
          <w:color w:val="000000"/>
          <w:lang w:val="es-ES"/>
        </w:rPr>
        <w:t>denunciados</w:t>
      </w:r>
      <w:r w:rsidR="002C04D8">
        <w:rPr>
          <w:color w:val="000000"/>
          <w:lang w:val="es-ES"/>
        </w:rPr>
        <w:t xml:space="preserve">, y que su posición </w:t>
      </w:r>
      <w:r w:rsidR="00BB2710">
        <w:rPr>
          <w:color w:val="000000"/>
          <w:lang w:val="es-ES"/>
        </w:rPr>
        <w:t xml:space="preserve">no </w:t>
      </w:r>
      <w:r w:rsidR="0042797B">
        <w:rPr>
          <w:color w:val="000000"/>
          <w:lang w:val="es-ES"/>
        </w:rPr>
        <w:t>fue</w:t>
      </w:r>
      <w:r w:rsidR="00BB2710">
        <w:rPr>
          <w:color w:val="000000"/>
          <w:lang w:val="es-ES"/>
        </w:rPr>
        <w:t xml:space="preserve"> aislada, </w:t>
      </w:r>
      <w:r w:rsidR="00E3772C">
        <w:rPr>
          <w:color w:val="000000"/>
          <w:lang w:val="es-ES"/>
        </w:rPr>
        <w:t>sino que</w:t>
      </w:r>
      <w:r w:rsidR="00BB2710">
        <w:rPr>
          <w:color w:val="000000"/>
          <w:lang w:val="es-ES"/>
        </w:rPr>
        <w:t xml:space="preserve"> </w:t>
      </w:r>
      <w:r w:rsidR="002C04D8">
        <w:rPr>
          <w:color w:val="000000"/>
          <w:lang w:val="es-ES"/>
        </w:rPr>
        <w:t>fue avalada por tres magistrados del Pleno de la Sala Penal de la Audiencia Nacional y varios juzgados locales</w:t>
      </w:r>
      <w:r w:rsidR="00C5092F">
        <w:rPr>
          <w:color w:val="000000"/>
          <w:lang w:val="es-ES"/>
        </w:rPr>
        <w:t xml:space="preserve">, según hizo constar el Ministerio </w:t>
      </w:r>
      <w:r w:rsidR="009B3711">
        <w:rPr>
          <w:color w:val="000000"/>
          <w:lang w:val="es-ES"/>
        </w:rPr>
        <w:t>Fiscal</w:t>
      </w:r>
      <w:r w:rsidR="00C5092F">
        <w:rPr>
          <w:color w:val="000000"/>
          <w:lang w:val="es-ES"/>
        </w:rPr>
        <w:t xml:space="preserve"> en su oposición al procesamiento del autor por prevaricación</w:t>
      </w:r>
      <w:r w:rsidR="002C04D8">
        <w:rPr>
          <w:color w:val="000000"/>
          <w:lang w:val="es-ES"/>
        </w:rPr>
        <w:t xml:space="preserve"> (ver párr. 3.5 supra). El Comité co</w:t>
      </w:r>
      <w:r w:rsidR="00C5092F">
        <w:rPr>
          <w:color w:val="000000"/>
          <w:lang w:val="es-ES"/>
        </w:rPr>
        <w:t>nsidera que, a la luz de lo anterior, las decisiones del autor constituían cuanto menos una interpretación jurídica plausible</w:t>
      </w:r>
      <w:r w:rsidR="00626B57">
        <w:rPr>
          <w:rStyle w:val="FootnoteReference"/>
          <w:color w:val="000000"/>
          <w:lang w:val="es-ES"/>
        </w:rPr>
        <w:footnoteReference w:id="33"/>
      </w:r>
      <w:r w:rsidR="00C5092F">
        <w:rPr>
          <w:color w:val="000000"/>
          <w:lang w:val="es-ES"/>
        </w:rPr>
        <w:t xml:space="preserve">, cuya mayor o menor idoneidad fue revisada en apelación, sin que </w:t>
      </w:r>
      <w:r w:rsidR="0081630A">
        <w:rPr>
          <w:color w:val="000000"/>
          <w:lang w:val="es-ES"/>
        </w:rPr>
        <w:t>se desprenda que su decisión en el caso Franquismo pudiera</w:t>
      </w:r>
      <w:r w:rsidR="00C5092F">
        <w:rPr>
          <w:color w:val="000000"/>
          <w:lang w:val="es-ES"/>
        </w:rPr>
        <w:t xml:space="preserve"> </w:t>
      </w:r>
      <w:r w:rsidR="00EB3BA5">
        <w:rPr>
          <w:color w:val="000000"/>
          <w:lang w:val="es-ES"/>
        </w:rPr>
        <w:t xml:space="preserve">constituir una mala conducta o incompetencia que pudiera justificar </w:t>
      </w:r>
      <w:r w:rsidR="00C5092F">
        <w:rPr>
          <w:color w:val="000000"/>
          <w:lang w:val="es-ES"/>
        </w:rPr>
        <w:t>su incapacidad para el desempeño de sus funciones</w:t>
      </w:r>
      <w:r w:rsidR="00EB3BA5">
        <w:rPr>
          <w:color w:val="000000"/>
          <w:lang w:val="es-ES"/>
        </w:rPr>
        <w:t xml:space="preserve"> en el sentido de la </w:t>
      </w:r>
      <w:r w:rsidR="0063191B">
        <w:rPr>
          <w:color w:val="000000"/>
          <w:lang w:val="es-ES"/>
        </w:rPr>
        <w:t>o</w:t>
      </w:r>
      <w:r w:rsidR="00EB3BA5">
        <w:rPr>
          <w:color w:val="000000"/>
          <w:lang w:val="es-ES"/>
        </w:rPr>
        <w:t xml:space="preserve">bservación </w:t>
      </w:r>
      <w:r w:rsidR="0063191B">
        <w:rPr>
          <w:color w:val="000000"/>
          <w:lang w:val="es-ES"/>
        </w:rPr>
        <w:t>g</w:t>
      </w:r>
      <w:r w:rsidR="00EB3BA5">
        <w:rPr>
          <w:color w:val="000000"/>
          <w:lang w:val="es-ES"/>
        </w:rPr>
        <w:t xml:space="preserve">eneral </w:t>
      </w:r>
      <w:r w:rsidR="0063191B">
        <w:rPr>
          <w:lang w:val="es-ES"/>
        </w:rPr>
        <w:t xml:space="preserve">núm. </w:t>
      </w:r>
      <w:r w:rsidR="000B1870">
        <w:rPr>
          <w:color w:val="000000"/>
          <w:lang w:val="es-ES"/>
        </w:rPr>
        <w:t xml:space="preserve">32 </w:t>
      </w:r>
      <w:r w:rsidR="00EB3BA5">
        <w:rPr>
          <w:color w:val="000000"/>
          <w:lang w:val="es-ES"/>
        </w:rPr>
        <w:t>del Comité</w:t>
      </w:r>
      <w:r w:rsidR="000B1870">
        <w:rPr>
          <w:rStyle w:val="FootnoteReference"/>
          <w:color w:val="000000"/>
          <w:lang w:val="es-ES"/>
        </w:rPr>
        <w:footnoteReference w:id="34"/>
      </w:r>
      <w:r w:rsidR="0086060F">
        <w:rPr>
          <w:color w:val="000000"/>
          <w:lang w:val="es-ES"/>
        </w:rPr>
        <w:t xml:space="preserve"> </w:t>
      </w:r>
      <w:r w:rsidR="00C5092F">
        <w:rPr>
          <w:color w:val="000000"/>
          <w:lang w:val="es-ES"/>
        </w:rPr>
        <w:t xml:space="preserve">. </w:t>
      </w:r>
      <w:r w:rsidR="000B1870">
        <w:rPr>
          <w:color w:val="000000"/>
          <w:lang w:val="es-ES"/>
        </w:rPr>
        <w:t>En este sentido</w:t>
      </w:r>
      <w:r w:rsidR="0086060F">
        <w:rPr>
          <w:color w:val="000000"/>
          <w:lang w:val="es-ES"/>
        </w:rPr>
        <w:t xml:space="preserve">, </w:t>
      </w:r>
      <w:r w:rsidR="0086060F" w:rsidRPr="0086060F">
        <w:rPr>
          <w:color w:val="000000"/>
          <w:lang w:val="es-ES"/>
        </w:rPr>
        <w:t xml:space="preserve">la sentencia del Tribunal Supremo 101/2012, de 27 de febrero, absolutoria por el caso Franquismo, </w:t>
      </w:r>
      <w:r w:rsidR="0042797B">
        <w:rPr>
          <w:color w:val="000000"/>
          <w:lang w:val="es-ES"/>
        </w:rPr>
        <w:t>subrayó</w:t>
      </w:r>
      <w:r w:rsidR="0086060F">
        <w:rPr>
          <w:color w:val="000000"/>
          <w:lang w:val="es-ES"/>
        </w:rPr>
        <w:t xml:space="preserve"> </w:t>
      </w:r>
      <w:r w:rsidR="0086060F" w:rsidRPr="0086060F">
        <w:rPr>
          <w:color w:val="000000"/>
          <w:lang w:val="es-ES"/>
        </w:rPr>
        <w:t>que el error del autor “había sido corregido en vía jurisdiccional por el Pleno de la Sala de lo Penal de la Audiencia Nacional”.</w:t>
      </w:r>
    </w:p>
    <w:p w14:paraId="3752D3CE" w14:textId="099EC643" w:rsidR="002C04D8" w:rsidRPr="00833C8B" w:rsidRDefault="00C5092F" w:rsidP="00EA4CF1">
      <w:pPr>
        <w:pStyle w:val="SingleTxtG"/>
        <w:rPr>
          <w:bCs/>
          <w:lang w:val="es-ES"/>
        </w:rPr>
      </w:pPr>
      <w:r w:rsidRPr="0081630A">
        <w:rPr>
          <w:color w:val="000000"/>
          <w:lang w:val="es-ES"/>
        </w:rPr>
        <w:t>5.</w:t>
      </w:r>
      <w:r w:rsidR="00EB3BA5">
        <w:rPr>
          <w:color w:val="000000"/>
          <w:lang w:val="es-ES"/>
        </w:rPr>
        <w:t>8</w:t>
      </w:r>
      <w:r w:rsidRPr="0081630A">
        <w:rPr>
          <w:color w:val="000000"/>
          <w:lang w:val="es-ES"/>
        </w:rPr>
        <w:tab/>
      </w:r>
      <w:r w:rsidR="00F628B5" w:rsidRPr="0081630A">
        <w:rPr>
          <w:color w:val="000000"/>
          <w:lang w:val="es-ES"/>
        </w:rPr>
        <w:t xml:space="preserve">En cuanto al caso </w:t>
      </w:r>
      <w:proofErr w:type="spellStart"/>
      <w:r w:rsidR="00F628B5" w:rsidRPr="0081630A">
        <w:rPr>
          <w:color w:val="000000"/>
          <w:lang w:val="es-ES"/>
        </w:rPr>
        <w:t>Gürtel</w:t>
      </w:r>
      <w:proofErr w:type="spellEnd"/>
      <w:r w:rsidR="00F628B5" w:rsidRPr="0081630A">
        <w:rPr>
          <w:color w:val="000000"/>
          <w:lang w:val="es-ES"/>
        </w:rPr>
        <w:t xml:space="preserve">, </w:t>
      </w:r>
      <w:r w:rsidR="00EB3BA5">
        <w:rPr>
          <w:color w:val="000000"/>
          <w:lang w:val="es-ES"/>
        </w:rPr>
        <w:t xml:space="preserve">el Comité observa que el autor fue condenado por un delito de prevaricación </w:t>
      </w:r>
      <w:r w:rsidR="0063191B">
        <w:rPr>
          <w:color w:val="000000"/>
          <w:lang w:val="es-ES"/>
        </w:rPr>
        <w:t>—</w:t>
      </w:r>
      <w:r w:rsidR="00EB3BA5">
        <w:rPr>
          <w:color w:val="000000"/>
          <w:lang w:val="es-ES"/>
        </w:rPr>
        <w:t xml:space="preserve">por haber ordenado la interceptación de las comunicaciones orales de presos imputados con sus abogados. Sin embargo, </w:t>
      </w:r>
      <w:r w:rsidR="00E44FA4" w:rsidRPr="0081630A">
        <w:rPr>
          <w:color w:val="000000"/>
          <w:lang w:val="es-ES"/>
        </w:rPr>
        <w:t xml:space="preserve">el Comité </w:t>
      </w:r>
      <w:r w:rsidR="009B3711" w:rsidRPr="0081630A">
        <w:rPr>
          <w:color w:val="000000"/>
          <w:lang w:val="es-ES"/>
        </w:rPr>
        <w:t xml:space="preserve">toma nota de las alegaciones del autor de que sus resoluciones </w:t>
      </w:r>
      <w:r w:rsidR="0081630A" w:rsidRPr="0081630A">
        <w:rPr>
          <w:color w:val="000000"/>
          <w:lang w:val="es-ES"/>
        </w:rPr>
        <w:t xml:space="preserve">solicitando la interceptación de comunicaciones </w:t>
      </w:r>
      <w:r w:rsidR="009B3711" w:rsidRPr="0081630A">
        <w:rPr>
          <w:color w:val="000000"/>
          <w:lang w:val="es-ES"/>
        </w:rPr>
        <w:t>fueron dictadas a petición de la Policía y con el aval del Ministerio Fiscal</w:t>
      </w:r>
      <w:r w:rsidR="002F26BF">
        <w:rPr>
          <w:color w:val="000000"/>
          <w:lang w:val="es-ES"/>
        </w:rPr>
        <w:t xml:space="preserve"> (párr</w:t>
      </w:r>
      <w:r w:rsidR="000B1870">
        <w:rPr>
          <w:color w:val="000000"/>
          <w:lang w:val="es-ES"/>
        </w:rPr>
        <w:t>.</w:t>
      </w:r>
      <w:r w:rsidR="002F26BF">
        <w:rPr>
          <w:color w:val="000000"/>
          <w:lang w:val="es-ES"/>
        </w:rPr>
        <w:t xml:space="preserve"> 3.6</w:t>
      </w:r>
      <w:r w:rsidR="000B1870">
        <w:rPr>
          <w:color w:val="000000"/>
          <w:lang w:val="es-ES"/>
        </w:rPr>
        <w:t xml:space="preserve"> </w:t>
      </w:r>
      <w:r w:rsidR="000B1870" w:rsidRPr="00224590">
        <w:rPr>
          <w:i/>
          <w:color w:val="000000"/>
          <w:lang w:val="es-ES"/>
        </w:rPr>
        <w:t>supra</w:t>
      </w:r>
      <w:r w:rsidR="002F26BF">
        <w:rPr>
          <w:color w:val="000000"/>
          <w:lang w:val="es-ES"/>
        </w:rPr>
        <w:t>)</w:t>
      </w:r>
      <w:r w:rsidR="009B3711" w:rsidRPr="0081630A">
        <w:rPr>
          <w:color w:val="000000"/>
          <w:lang w:val="es-ES"/>
        </w:rPr>
        <w:t xml:space="preserve">, sobre la base de indicios de actividad delictiva </w:t>
      </w:r>
      <w:r w:rsidR="0081630A" w:rsidRPr="0081630A">
        <w:rPr>
          <w:color w:val="000000"/>
          <w:lang w:val="es-ES"/>
        </w:rPr>
        <w:t xml:space="preserve">por parte </w:t>
      </w:r>
      <w:r w:rsidR="009B3711" w:rsidRPr="0081630A">
        <w:rPr>
          <w:color w:val="000000"/>
          <w:lang w:val="es-ES"/>
        </w:rPr>
        <w:t>de los abogados</w:t>
      </w:r>
      <w:r w:rsidR="0081630A" w:rsidRPr="0081630A">
        <w:rPr>
          <w:color w:val="000000"/>
          <w:lang w:val="es-ES"/>
        </w:rPr>
        <w:t xml:space="preserve"> de la defensa</w:t>
      </w:r>
      <w:r w:rsidR="009B3711" w:rsidRPr="0081630A">
        <w:rPr>
          <w:color w:val="000000"/>
          <w:lang w:val="es-ES"/>
        </w:rPr>
        <w:t>, fue limitada en el tiempo</w:t>
      </w:r>
      <w:r w:rsidR="002F26BF">
        <w:rPr>
          <w:color w:val="000000"/>
          <w:lang w:val="es-ES"/>
        </w:rPr>
        <w:t>,</w:t>
      </w:r>
      <w:r w:rsidR="009B3711" w:rsidRPr="0081630A">
        <w:rPr>
          <w:color w:val="000000"/>
          <w:lang w:val="es-ES"/>
        </w:rPr>
        <w:t xml:space="preserve"> se descartaron las </w:t>
      </w:r>
      <w:r w:rsidR="004651F8">
        <w:rPr>
          <w:color w:val="000000"/>
          <w:lang w:val="es-ES"/>
        </w:rPr>
        <w:t>transcripciones relativas a la estrategia de defensa,</w:t>
      </w:r>
      <w:r w:rsidR="009B3711" w:rsidRPr="0081630A">
        <w:rPr>
          <w:color w:val="000000"/>
          <w:lang w:val="es-ES"/>
        </w:rPr>
        <w:t xml:space="preserve"> y que fue prorrog</w:t>
      </w:r>
      <w:r w:rsidR="0081630A" w:rsidRPr="0081630A">
        <w:rPr>
          <w:color w:val="000000"/>
          <w:lang w:val="es-ES"/>
        </w:rPr>
        <w:t>ada por el juez que remplazó</w:t>
      </w:r>
      <w:r w:rsidR="009B3711" w:rsidRPr="0081630A">
        <w:rPr>
          <w:color w:val="000000"/>
          <w:lang w:val="es-ES"/>
        </w:rPr>
        <w:t xml:space="preserve"> </w:t>
      </w:r>
      <w:r w:rsidR="0081630A" w:rsidRPr="0081630A">
        <w:rPr>
          <w:color w:val="000000"/>
          <w:lang w:val="es-ES"/>
        </w:rPr>
        <w:t xml:space="preserve">al autor tras su </w:t>
      </w:r>
      <w:r w:rsidR="0081630A" w:rsidRPr="004651F8">
        <w:rPr>
          <w:color w:val="000000"/>
          <w:lang w:val="es-ES"/>
        </w:rPr>
        <w:t>remoción</w:t>
      </w:r>
      <w:r w:rsidR="00952120">
        <w:rPr>
          <w:color w:val="000000"/>
          <w:lang w:val="es-ES"/>
        </w:rPr>
        <w:t xml:space="preserve"> (</w:t>
      </w:r>
      <w:r w:rsidR="000B1870">
        <w:rPr>
          <w:color w:val="000000"/>
          <w:lang w:val="es-ES"/>
        </w:rPr>
        <w:t>párr.</w:t>
      </w:r>
      <w:r w:rsidR="00952120">
        <w:rPr>
          <w:color w:val="000000"/>
          <w:lang w:val="es-ES"/>
        </w:rPr>
        <w:t xml:space="preserve"> 2.21</w:t>
      </w:r>
      <w:r w:rsidR="000B1870">
        <w:rPr>
          <w:color w:val="000000"/>
          <w:lang w:val="es-ES"/>
        </w:rPr>
        <w:t xml:space="preserve"> y</w:t>
      </w:r>
      <w:r w:rsidR="00952120">
        <w:rPr>
          <w:color w:val="000000"/>
          <w:lang w:val="es-ES"/>
        </w:rPr>
        <w:t xml:space="preserve"> 2.22 de la decisión de admisibilidad)</w:t>
      </w:r>
      <w:r w:rsidR="009B3711" w:rsidRPr="004651F8">
        <w:rPr>
          <w:color w:val="000000"/>
          <w:lang w:val="es-ES"/>
        </w:rPr>
        <w:t>.</w:t>
      </w:r>
      <w:r w:rsidR="009B3711">
        <w:rPr>
          <w:color w:val="000000"/>
          <w:lang w:val="es-ES"/>
        </w:rPr>
        <w:t xml:space="preserve"> El Estado parte ha argumentado que</w:t>
      </w:r>
      <w:r w:rsidR="00F628B5">
        <w:rPr>
          <w:color w:val="000000"/>
          <w:lang w:val="es-ES"/>
        </w:rPr>
        <w:t xml:space="preserve"> las resoluciones del autor se refirieron a todos los abogados en términos generales y no indicaron las pruebas indiciarias existentes, y que se basaron en una interpretación errónea de la legislación vigente en la materia, a saber, el artículo 51(2) de la LOGP</w:t>
      </w:r>
      <w:r w:rsidR="002F26BF">
        <w:rPr>
          <w:color w:val="000000"/>
          <w:lang w:val="es-ES"/>
        </w:rPr>
        <w:t xml:space="preserve"> (párr</w:t>
      </w:r>
      <w:r w:rsidR="000B1870">
        <w:rPr>
          <w:color w:val="000000"/>
          <w:lang w:val="es-ES"/>
        </w:rPr>
        <w:t>.</w:t>
      </w:r>
      <w:r w:rsidR="002F26BF">
        <w:rPr>
          <w:color w:val="000000"/>
          <w:lang w:val="es-ES"/>
        </w:rPr>
        <w:t xml:space="preserve"> </w:t>
      </w:r>
      <w:r w:rsidR="00C56235">
        <w:rPr>
          <w:color w:val="000000"/>
          <w:lang w:val="es-ES"/>
        </w:rPr>
        <w:t>2.4</w:t>
      </w:r>
      <w:r w:rsidR="000B1870">
        <w:rPr>
          <w:color w:val="000000"/>
          <w:lang w:val="es-ES"/>
        </w:rPr>
        <w:t xml:space="preserve"> y</w:t>
      </w:r>
      <w:r w:rsidR="00C56235">
        <w:rPr>
          <w:color w:val="000000"/>
          <w:lang w:val="es-ES"/>
        </w:rPr>
        <w:t xml:space="preserve"> </w:t>
      </w:r>
      <w:r w:rsidR="002F26BF">
        <w:rPr>
          <w:color w:val="000000"/>
          <w:lang w:val="es-ES"/>
        </w:rPr>
        <w:t>2.9</w:t>
      </w:r>
      <w:r w:rsidR="000B1870">
        <w:rPr>
          <w:color w:val="000000"/>
          <w:lang w:val="es-ES"/>
        </w:rPr>
        <w:t xml:space="preserve"> </w:t>
      </w:r>
      <w:r w:rsidR="000B1870" w:rsidRPr="00224590">
        <w:rPr>
          <w:i/>
          <w:color w:val="000000"/>
          <w:lang w:val="es-ES"/>
        </w:rPr>
        <w:t>supra</w:t>
      </w:r>
      <w:r w:rsidR="002F26BF">
        <w:rPr>
          <w:color w:val="000000"/>
          <w:lang w:val="es-ES"/>
        </w:rPr>
        <w:t>)</w:t>
      </w:r>
      <w:r w:rsidR="00F628B5">
        <w:rPr>
          <w:color w:val="000000"/>
          <w:lang w:val="es-ES"/>
        </w:rPr>
        <w:t>. Esta última cuestión ha sido</w:t>
      </w:r>
      <w:r w:rsidR="00053669">
        <w:rPr>
          <w:color w:val="000000"/>
          <w:lang w:val="es-ES"/>
        </w:rPr>
        <w:t xml:space="preserve"> todavía</w:t>
      </w:r>
      <w:r w:rsidR="00F628B5">
        <w:rPr>
          <w:color w:val="000000"/>
          <w:lang w:val="es-ES"/>
        </w:rPr>
        <w:t xml:space="preserve"> d</w:t>
      </w:r>
      <w:r w:rsidR="0081630A">
        <w:rPr>
          <w:color w:val="000000"/>
          <w:lang w:val="es-ES"/>
        </w:rPr>
        <w:t>iscutida</w:t>
      </w:r>
      <w:r w:rsidR="00F628B5">
        <w:rPr>
          <w:color w:val="000000"/>
          <w:lang w:val="es-ES"/>
        </w:rPr>
        <w:t xml:space="preserve"> por el autor</w:t>
      </w:r>
      <w:r w:rsidR="0081630A">
        <w:rPr>
          <w:color w:val="000000"/>
          <w:lang w:val="es-ES"/>
        </w:rPr>
        <w:t>, quien ha señalado la falta de uniformidad de la jurisprudencia entorno al alcance del artículo 51(2)</w:t>
      </w:r>
      <w:r w:rsidR="00952120">
        <w:rPr>
          <w:color w:val="000000"/>
          <w:lang w:val="es-ES"/>
        </w:rPr>
        <w:t xml:space="preserve"> </w:t>
      </w:r>
      <w:r w:rsidR="00F628B5">
        <w:rPr>
          <w:color w:val="000000"/>
          <w:lang w:val="es-ES"/>
        </w:rPr>
        <w:t>.</w:t>
      </w:r>
      <w:r w:rsidR="00AF5C75">
        <w:rPr>
          <w:rStyle w:val="FootnoteReference"/>
          <w:color w:val="000000"/>
          <w:lang w:val="es-ES"/>
        </w:rPr>
        <w:footnoteReference w:id="35"/>
      </w:r>
      <w:r w:rsidR="00F628B5">
        <w:rPr>
          <w:color w:val="000000"/>
          <w:lang w:val="es-ES"/>
        </w:rPr>
        <w:t xml:space="preserve"> </w:t>
      </w:r>
      <w:r w:rsidR="00370A2B">
        <w:rPr>
          <w:color w:val="000000"/>
          <w:lang w:val="es-ES"/>
        </w:rPr>
        <w:t xml:space="preserve">El Comité observa, en este sentido, que la sentencia del </w:t>
      </w:r>
      <w:r w:rsidR="00370A2B">
        <w:rPr>
          <w:color w:val="000000"/>
          <w:lang w:val="es-ES"/>
        </w:rPr>
        <w:lastRenderedPageBreak/>
        <w:t xml:space="preserve">Tribunal Supremo de 9 de febrero de 2012 </w:t>
      </w:r>
      <w:r w:rsidR="00370A2B">
        <w:rPr>
          <w:lang w:val="es-ES"/>
        </w:rPr>
        <w:t xml:space="preserve">que condenó al autor en el proceso por el caso </w:t>
      </w:r>
      <w:proofErr w:type="spellStart"/>
      <w:r w:rsidR="00370A2B">
        <w:rPr>
          <w:lang w:val="es-ES"/>
        </w:rPr>
        <w:t>Gürtel</w:t>
      </w:r>
      <w:proofErr w:type="spellEnd"/>
      <w:r w:rsidR="00370A2B">
        <w:rPr>
          <w:lang w:val="es-ES"/>
        </w:rPr>
        <w:t xml:space="preserve">, examinó extensamente la evolución de la jurisprudencia nacional entorno </w:t>
      </w:r>
      <w:r w:rsidR="00187628">
        <w:rPr>
          <w:lang w:val="es-ES"/>
        </w:rPr>
        <w:t>a dicha provisión, evidenciando que dicha jurisprudencia no había sido uniforme, sino que había cambiado significativamente a lo largo de los años.</w:t>
      </w:r>
      <w:r w:rsidR="00370A2B" w:rsidRPr="005D6551">
        <w:rPr>
          <w:lang w:val="es-ES"/>
        </w:rPr>
        <w:t xml:space="preserve"> </w:t>
      </w:r>
      <w:r w:rsidR="00F628B5" w:rsidRPr="009524E1">
        <w:rPr>
          <w:color w:val="000000"/>
          <w:lang w:val="es-ES"/>
        </w:rPr>
        <w:t xml:space="preserve">Sin entrar </w:t>
      </w:r>
      <w:r w:rsidR="0081630A" w:rsidRPr="009524E1">
        <w:rPr>
          <w:color w:val="000000"/>
          <w:lang w:val="es-ES"/>
        </w:rPr>
        <w:t xml:space="preserve">a examinar </w:t>
      </w:r>
      <w:r w:rsidR="00F628B5" w:rsidRPr="009524E1">
        <w:rPr>
          <w:color w:val="000000"/>
          <w:lang w:val="es-ES"/>
        </w:rPr>
        <w:t xml:space="preserve">la idoneidad de las resoluciones dictadas por el autor o </w:t>
      </w:r>
      <w:r w:rsidR="0081630A" w:rsidRPr="009524E1">
        <w:rPr>
          <w:color w:val="000000"/>
          <w:lang w:val="es-ES"/>
        </w:rPr>
        <w:t>en</w:t>
      </w:r>
      <w:r w:rsidR="00F628B5" w:rsidRPr="009524E1">
        <w:rPr>
          <w:color w:val="000000"/>
          <w:lang w:val="es-ES"/>
        </w:rPr>
        <w:t xml:space="preserve"> la interpretación del artículo 51 (2) de la LOGP en el caso </w:t>
      </w:r>
      <w:proofErr w:type="spellStart"/>
      <w:r w:rsidR="00F628B5" w:rsidRPr="009524E1">
        <w:rPr>
          <w:color w:val="000000"/>
          <w:lang w:val="es-ES"/>
        </w:rPr>
        <w:t>Gürtel</w:t>
      </w:r>
      <w:proofErr w:type="spellEnd"/>
      <w:r w:rsidR="00F628B5" w:rsidRPr="009524E1">
        <w:rPr>
          <w:color w:val="000000"/>
          <w:lang w:val="es-ES"/>
        </w:rPr>
        <w:t>,</w:t>
      </w:r>
      <w:r w:rsidR="00F628B5">
        <w:rPr>
          <w:color w:val="000000"/>
          <w:lang w:val="es-ES"/>
        </w:rPr>
        <w:t xml:space="preserve"> el Comité observa que las referencias aportadas por las partes evidencian que la </w:t>
      </w:r>
      <w:r w:rsidR="00187628">
        <w:rPr>
          <w:color w:val="000000"/>
          <w:lang w:val="es-ES"/>
        </w:rPr>
        <w:t xml:space="preserve">interpretación </w:t>
      </w:r>
      <w:r w:rsidR="006D6A0E">
        <w:rPr>
          <w:color w:val="000000"/>
          <w:lang w:val="es-ES"/>
        </w:rPr>
        <w:t>d</w:t>
      </w:r>
      <w:r w:rsidR="00F628B5">
        <w:rPr>
          <w:color w:val="000000"/>
          <w:lang w:val="es-ES"/>
        </w:rPr>
        <w:t>el autor</w:t>
      </w:r>
      <w:r w:rsidR="006D6A0E">
        <w:rPr>
          <w:color w:val="000000"/>
          <w:lang w:val="es-ES"/>
        </w:rPr>
        <w:t xml:space="preserve">, </w:t>
      </w:r>
      <w:r w:rsidR="00E5112A">
        <w:rPr>
          <w:color w:val="000000"/>
          <w:lang w:val="es-ES"/>
        </w:rPr>
        <w:t xml:space="preserve">con la </w:t>
      </w:r>
      <w:r w:rsidR="001D6A45">
        <w:rPr>
          <w:color w:val="000000"/>
          <w:lang w:val="es-ES"/>
        </w:rPr>
        <w:t xml:space="preserve">que </w:t>
      </w:r>
      <w:r w:rsidR="00E5112A">
        <w:rPr>
          <w:color w:val="000000"/>
          <w:lang w:val="es-ES"/>
        </w:rPr>
        <w:t>concordar</w:t>
      </w:r>
      <w:r w:rsidR="000B1870">
        <w:rPr>
          <w:color w:val="000000"/>
          <w:lang w:val="es-ES"/>
        </w:rPr>
        <w:t>o</w:t>
      </w:r>
      <w:r w:rsidR="00E5112A">
        <w:rPr>
          <w:color w:val="000000"/>
          <w:lang w:val="es-ES"/>
        </w:rPr>
        <w:t xml:space="preserve">n otros jueces y el Ministerio Fiscal, </w:t>
      </w:r>
      <w:r w:rsidR="006D6A0E">
        <w:rPr>
          <w:color w:val="000000"/>
          <w:lang w:val="es-ES"/>
        </w:rPr>
        <w:t>aún en el supuesto de haber sido errónea, según lo señalado por el Estado parte,</w:t>
      </w:r>
      <w:r w:rsidR="00F628B5">
        <w:rPr>
          <w:color w:val="000000"/>
          <w:lang w:val="es-ES"/>
        </w:rPr>
        <w:t xml:space="preserve"> no </w:t>
      </w:r>
      <w:r w:rsidR="009524E1">
        <w:rPr>
          <w:color w:val="000000"/>
          <w:lang w:val="es-ES"/>
        </w:rPr>
        <w:t>constituyó</w:t>
      </w:r>
      <w:r w:rsidR="00F628B5">
        <w:rPr>
          <w:color w:val="000000"/>
          <w:lang w:val="es-ES"/>
        </w:rPr>
        <w:t xml:space="preserve"> una conducta o incompetencia grave </w:t>
      </w:r>
      <w:r w:rsidR="009524E1">
        <w:rPr>
          <w:color w:val="000000"/>
          <w:lang w:val="es-ES"/>
        </w:rPr>
        <w:t>que pudiera</w:t>
      </w:r>
      <w:r w:rsidR="00F628B5">
        <w:rPr>
          <w:color w:val="000000"/>
          <w:lang w:val="es-ES"/>
        </w:rPr>
        <w:t xml:space="preserve"> justificar su</w:t>
      </w:r>
      <w:r w:rsidR="00D2745A">
        <w:rPr>
          <w:color w:val="000000"/>
          <w:lang w:val="es-ES"/>
        </w:rPr>
        <w:t xml:space="preserve"> condena penal, resultando en la </w:t>
      </w:r>
      <w:r w:rsidR="00053669">
        <w:rPr>
          <w:color w:val="000000"/>
          <w:lang w:val="es-ES"/>
        </w:rPr>
        <w:t>pérdida definitiva de su cargo,</w:t>
      </w:r>
      <w:r w:rsidR="008E5D7E">
        <w:rPr>
          <w:color w:val="000000"/>
          <w:lang w:val="es-ES"/>
        </w:rPr>
        <w:t xml:space="preserve"> </w:t>
      </w:r>
      <w:r w:rsidR="000B1870">
        <w:rPr>
          <w:color w:val="000000"/>
          <w:lang w:val="es-ES"/>
        </w:rPr>
        <w:t xml:space="preserve">sino </w:t>
      </w:r>
      <w:r w:rsidR="008E5D7E">
        <w:rPr>
          <w:color w:val="000000"/>
          <w:lang w:val="es-ES"/>
        </w:rPr>
        <w:t>más bien una posible interpretación de las disposiciones legales aplicables</w:t>
      </w:r>
      <w:r w:rsidR="00F628B5">
        <w:rPr>
          <w:color w:val="000000"/>
          <w:lang w:val="es-ES"/>
        </w:rPr>
        <w:t xml:space="preserve">. </w:t>
      </w:r>
      <w:r w:rsidR="00EA4CF1">
        <w:rPr>
          <w:bCs/>
          <w:lang w:val="es-ES"/>
        </w:rPr>
        <w:t>E</w:t>
      </w:r>
      <w:r w:rsidR="00174034" w:rsidRPr="005D6551">
        <w:rPr>
          <w:bCs/>
          <w:lang w:val="es-ES"/>
        </w:rPr>
        <w:t>l Comité toma nota de que el Ministerio Fiscal</w:t>
      </w:r>
      <w:r w:rsidR="00033302">
        <w:rPr>
          <w:bCs/>
          <w:lang w:val="es-ES"/>
        </w:rPr>
        <w:t xml:space="preserve"> </w:t>
      </w:r>
      <w:r w:rsidR="00174034">
        <w:rPr>
          <w:bCs/>
          <w:lang w:val="es-ES"/>
        </w:rPr>
        <w:t xml:space="preserve">sostuvo que no cabía la aplicación del artículo 446 del Código Penal en el marco de los procesos por el caso Franquismo y </w:t>
      </w:r>
      <w:proofErr w:type="spellStart"/>
      <w:r w:rsidR="00174034">
        <w:rPr>
          <w:bCs/>
          <w:lang w:val="es-ES"/>
        </w:rPr>
        <w:t>Gürtel</w:t>
      </w:r>
      <w:proofErr w:type="spellEnd"/>
      <w:r w:rsidR="00174034">
        <w:rPr>
          <w:bCs/>
          <w:lang w:val="es-ES"/>
        </w:rPr>
        <w:t xml:space="preserve">, y </w:t>
      </w:r>
      <w:proofErr w:type="gramStart"/>
      <w:r w:rsidR="00174034">
        <w:rPr>
          <w:bCs/>
          <w:lang w:val="es-ES"/>
        </w:rPr>
        <w:t>que</w:t>
      </w:r>
      <w:proofErr w:type="gramEnd"/>
      <w:r w:rsidR="00174034">
        <w:rPr>
          <w:bCs/>
          <w:lang w:val="es-ES"/>
        </w:rPr>
        <w:t xml:space="preserve"> en éste último, sostuvo que la interpretación realizada por el autor del artículo 51(2) de la Ley General Penitenciaria había sido correcta</w:t>
      </w:r>
      <w:r w:rsidR="00187628" w:rsidRPr="005D6551">
        <w:rPr>
          <w:bCs/>
          <w:lang w:val="es-ES"/>
        </w:rPr>
        <w:t xml:space="preserve">. </w:t>
      </w:r>
      <w:r w:rsidR="002A40FC">
        <w:rPr>
          <w:color w:val="000000"/>
          <w:lang w:val="es-ES"/>
        </w:rPr>
        <w:t>El Comité observa asimismo que</w:t>
      </w:r>
      <w:r w:rsidR="008E5D7E">
        <w:rPr>
          <w:color w:val="000000"/>
          <w:lang w:val="es-ES"/>
        </w:rPr>
        <w:t xml:space="preserve"> </w:t>
      </w:r>
      <w:r w:rsidR="008E5D7E" w:rsidRPr="008E5D7E">
        <w:rPr>
          <w:color w:val="000000"/>
          <w:lang w:val="es-ES"/>
        </w:rPr>
        <w:t xml:space="preserve">la sentencia </w:t>
      </w:r>
      <w:r w:rsidR="002F59B4">
        <w:rPr>
          <w:color w:val="000000"/>
          <w:lang w:val="es-ES"/>
        </w:rPr>
        <w:t xml:space="preserve">posteriormente </w:t>
      </w:r>
      <w:r w:rsidR="008E5D7E" w:rsidRPr="008E5D7E">
        <w:rPr>
          <w:color w:val="000000"/>
          <w:lang w:val="es-ES"/>
        </w:rPr>
        <w:t xml:space="preserve">adoptada por la Audiencia Nacional el 17 de mayo de 2018 en el caso </w:t>
      </w:r>
      <w:proofErr w:type="spellStart"/>
      <w:r w:rsidR="008E5D7E" w:rsidRPr="008E5D7E">
        <w:rPr>
          <w:color w:val="000000"/>
          <w:lang w:val="es-ES_tradnl"/>
        </w:rPr>
        <w:t>Gürtel</w:t>
      </w:r>
      <w:proofErr w:type="spellEnd"/>
      <w:r w:rsidR="008E5D7E" w:rsidRPr="008E5D7E">
        <w:rPr>
          <w:color w:val="000000"/>
          <w:lang w:val="es-ES_tradnl"/>
        </w:rPr>
        <w:t xml:space="preserve">, </w:t>
      </w:r>
      <w:r w:rsidR="008E5D7E" w:rsidRPr="008E5D7E">
        <w:rPr>
          <w:color w:val="000000"/>
          <w:lang w:val="es-ES"/>
        </w:rPr>
        <w:t>basada en el artículo 118 (4) de la nueva Ley de Enjuiciamiento Criminal</w:t>
      </w:r>
      <w:r w:rsidR="008E5D7E">
        <w:rPr>
          <w:color w:val="000000"/>
          <w:lang w:val="es-ES"/>
        </w:rPr>
        <w:t>,</w:t>
      </w:r>
      <w:r w:rsidR="008E5D7E" w:rsidRPr="008E5D7E">
        <w:rPr>
          <w:color w:val="000000"/>
          <w:lang w:val="es-ES"/>
        </w:rPr>
        <w:t xml:space="preserve"> confirmando la existencia de un plan de corrupción masiva del Partido Popular y condenando a 29 acusados a penas de prisión de hasta 51 años</w:t>
      </w:r>
      <w:r w:rsidR="008E5D7E">
        <w:rPr>
          <w:color w:val="000000"/>
          <w:lang w:val="es-ES"/>
        </w:rPr>
        <w:t>,</w:t>
      </w:r>
      <w:r w:rsidR="008E5D7E" w:rsidRPr="008E5D7E">
        <w:rPr>
          <w:color w:val="000000"/>
          <w:lang w:val="es-ES"/>
        </w:rPr>
        <w:t xml:space="preserve"> señal</w:t>
      </w:r>
      <w:r w:rsidR="00053669">
        <w:rPr>
          <w:color w:val="000000"/>
          <w:lang w:val="es-ES"/>
        </w:rPr>
        <w:t>ó</w:t>
      </w:r>
      <w:r w:rsidR="008E5D7E" w:rsidRPr="008E5D7E">
        <w:rPr>
          <w:color w:val="000000"/>
          <w:lang w:val="es-ES"/>
        </w:rPr>
        <w:t xml:space="preserve"> que el autor purgó las transcripciones que pudieran violar el derecho de defensa</w:t>
      </w:r>
      <w:r w:rsidR="008E5D7E">
        <w:rPr>
          <w:color w:val="000000"/>
          <w:lang w:val="es-ES"/>
        </w:rPr>
        <w:t xml:space="preserve"> (párr</w:t>
      </w:r>
      <w:r w:rsidR="000B1870">
        <w:rPr>
          <w:color w:val="000000"/>
          <w:lang w:val="es-ES"/>
        </w:rPr>
        <w:t>.</w:t>
      </w:r>
      <w:r w:rsidR="008E5D7E">
        <w:rPr>
          <w:color w:val="000000"/>
          <w:lang w:val="es-ES"/>
        </w:rPr>
        <w:t xml:space="preserve"> </w:t>
      </w:r>
      <w:r w:rsidR="00F35642">
        <w:rPr>
          <w:color w:val="000000"/>
          <w:lang w:val="es-ES"/>
        </w:rPr>
        <w:t xml:space="preserve">6.1 de la decisión de admisibilidad). </w:t>
      </w:r>
      <w:r w:rsidR="002A40FC">
        <w:rPr>
          <w:color w:val="000000"/>
          <w:lang w:val="es-ES"/>
        </w:rPr>
        <w:t>Asimismo, l</w:t>
      </w:r>
      <w:r w:rsidR="00F35642">
        <w:rPr>
          <w:color w:val="000000"/>
          <w:lang w:val="es-ES"/>
        </w:rPr>
        <w:t xml:space="preserve">a </w:t>
      </w:r>
      <w:r w:rsidR="00F35642" w:rsidRPr="00F35642">
        <w:rPr>
          <w:color w:val="000000"/>
          <w:lang w:val="es-ES"/>
        </w:rPr>
        <w:t>sentencia del Tribunal Supremo de 6 de febrero de 2019 rechaz</w:t>
      </w:r>
      <w:r w:rsidR="00053669">
        <w:rPr>
          <w:color w:val="000000"/>
          <w:lang w:val="es-ES"/>
        </w:rPr>
        <w:t>ó</w:t>
      </w:r>
      <w:r w:rsidR="00F35642" w:rsidRPr="00F35642">
        <w:rPr>
          <w:color w:val="000000"/>
          <w:lang w:val="es-ES"/>
        </w:rPr>
        <w:t xml:space="preserve"> una querella por prevaricación presentada contra un juez por la intervención de comunicaciones considera</w:t>
      </w:r>
      <w:r w:rsidR="00F35642">
        <w:rPr>
          <w:color w:val="000000"/>
          <w:lang w:val="es-ES"/>
        </w:rPr>
        <w:t>ndo</w:t>
      </w:r>
      <w:r w:rsidR="00F35642" w:rsidRPr="00F35642">
        <w:rPr>
          <w:color w:val="000000"/>
          <w:lang w:val="es-ES"/>
        </w:rPr>
        <w:t xml:space="preserve"> que la intercepción de llamadas no puede constituir prevaricación</w:t>
      </w:r>
      <w:r w:rsidR="00F35642">
        <w:rPr>
          <w:color w:val="000000"/>
          <w:lang w:val="es-ES"/>
        </w:rPr>
        <w:t xml:space="preserve"> (párr</w:t>
      </w:r>
      <w:r w:rsidR="000B1870">
        <w:rPr>
          <w:color w:val="000000"/>
          <w:lang w:val="es-ES"/>
        </w:rPr>
        <w:t>.</w:t>
      </w:r>
      <w:r w:rsidR="00F35642">
        <w:rPr>
          <w:color w:val="000000"/>
          <w:lang w:val="es-ES"/>
        </w:rPr>
        <w:t xml:space="preserve"> 6.2 de la decisión de admisibilidad).</w:t>
      </w:r>
    </w:p>
    <w:p w14:paraId="19552976" w14:textId="53BB926E" w:rsidR="003326D4" w:rsidRDefault="00E44FA4" w:rsidP="00627685">
      <w:pPr>
        <w:pStyle w:val="SingleTxtG"/>
        <w:rPr>
          <w:lang w:val="es-ES_tradnl"/>
        </w:rPr>
      </w:pPr>
      <w:r>
        <w:rPr>
          <w:color w:val="000000"/>
          <w:lang w:val="es-ES"/>
        </w:rPr>
        <w:t>5.</w:t>
      </w:r>
      <w:r w:rsidR="00EB3BA5">
        <w:rPr>
          <w:color w:val="000000"/>
          <w:lang w:val="es-ES"/>
        </w:rPr>
        <w:t>9</w:t>
      </w:r>
      <w:r>
        <w:rPr>
          <w:color w:val="000000"/>
          <w:lang w:val="es-ES"/>
        </w:rPr>
        <w:tab/>
        <w:t xml:space="preserve">En cuanto a la alegada imparcialidad de los </w:t>
      </w:r>
      <w:r w:rsidR="00252397">
        <w:rPr>
          <w:color w:val="000000"/>
          <w:lang w:val="es-ES"/>
        </w:rPr>
        <w:t>tribunales enjuiciadores, el Comité toma nota de</w:t>
      </w:r>
      <w:r w:rsidR="00AF5C75">
        <w:rPr>
          <w:color w:val="000000"/>
          <w:lang w:val="es-ES"/>
        </w:rPr>
        <w:t xml:space="preserve"> que</w:t>
      </w:r>
      <w:r w:rsidR="006D6A0E">
        <w:rPr>
          <w:color w:val="000000"/>
          <w:lang w:val="es-ES"/>
        </w:rPr>
        <w:t>, según lo manifestado por el Estado parte,</w:t>
      </w:r>
      <w:r w:rsidR="00252397">
        <w:rPr>
          <w:color w:val="000000"/>
          <w:lang w:val="es-ES"/>
        </w:rPr>
        <w:t xml:space="preserve"> cinco de los magistrados que participaron en ambos procesos fueron recusados a petición del autor</w:t>
      </w:r>
      <w:r w:rsidR="009524E1">
        <w:rPr>
          <w:color w:val="000000"/>
          <w:lang w:val="es-ES"/>
        </w:rPr>
        <w:t xml:space="preserve"> y ap</w:t>
      </w:r>
      <w:r w:rsidR="00697CF8">
        <w:rPr>
          <w:color w:val="000000"/>
          <w:lang w:val="es-ES"/>
        </w:rPr>
        <w:t>a</w:t>
      </w:r>
      <w:r w:rsidR="009524E1">
        <w:rPr>
          <w:color w:val="000000"/>
          <w:lang w:val="es-ES"/>
        </w:rPr>
        <w:t>rtados de los procesos</w:t>
      </w:r>
      <w:r w:rsidR="00252397">
        <w:rPr>
          <w:color w:val="000000"/>
          <w:lang w:val="es-ES"/>
        </w:rPr>
        <w:t xml:space="preserve">. </w:t>
      </w:r>
      <w:r w:rsidR="005B6E46">
        <w:rPr>
          <w:color w:val="000000"/>
          <w:lang w:val="es-ES"/>
        </w:rPr>
        <w:t xml:space="preserve">Sin embargo, el Comité toma nota de </w:t>
      </w:r>
      <w:r w:rsidR="00252397">
        <w:rPr>
          <w:color w:val="000000"/>
          <w:lang w:val="es-ES"/>
        </w:rPr>
        <w:t>las alegaciones del autor</w:t>
      </w:r>
      <w:r w:rsidR="005B6E46">
        <w:rPr>
          <w:color w:val="000000"/>
          <w:lang w:val="es-ES"/>
        </w:rPr>
        <w:t xml:space="preserve">, no </w:t>
      </w:r>
      <w:r w:rsidR="00E137EC">
        <w:rPr>
          <w:color w:val="000000"/>
          <w:lang w:val="es-ES"/>
        </w:rPr>
        <w:t>refutadas</w:t>
      </w:r>
      <w:r w:rsidR="005B6E46">
        <w:rPr>
          <w:color w:val="000000"/>
          <w:lang w:val="es-ES"/>
        </w:rPr>
        <w:t xml:space="preserve"> por el Estado parte,</w:t>
      </w:r>
      <w:r w:rsidR="00252397">
        <w:rPr>
          <w:color w:val="000000"/>
          <w:lang w:val="es-ES"/>
        </w:rPr>
        <w:t xml:space="preserve"> en el sentido de que dos de los magistrados que lo condenaron en el caso </w:t>
      </w:r>
      <w:proofErr w:type="spellStart"/>
      <w:r w:rsidR="00252397">
        <w:rPr>
          <w:color w:val="000000"/>
          <w:lang w:val="es-ES"/>
        </w:rPr>
        <w:t>Gürtel</w:t>
      </w:r>
      <w:proofErr w:type="spellEnd"/>
      <w:r w:rsidR="00252397">
        <w:rPr>
          <w:color w:val="000000"/>
          <w:lang w:val="es-ES"/>
        </w:rPr>
        <w:t xml:space="preserve"> lo habían asimismo enjuiciado en el caso Franquismo, </w:t>
      </w:r>
      <w:r w:rsidR="005B6E46">
        <w:rPr>
          <w:color w:val="000000"/>
          <w:lang w:val="es-ES"/>
        </w:rPr>
        <w:t>y que</w:t>
      </w:r>
      <w:r w:rsidR="00252397">
        <w:rPr>
          <w:color w:val="000000"/>
          <w:lang w:val="es-ES"/>
        </w:rPr>
        <w:t xml:space="preserve"> los juicios orales por ambas causas tuvieron lugar con cinco días de diferencia</w:t>
      </w:r>
      <w:r w:rsidR="00F35642">
        <w:rPr>
          <w:color w:val="000000"/>
          <w:lang w:val="es-ES"/>
        </w:rPr>
        <w:t xml:space="preserve"> (párr</w:t>
      </w:r>
      <w:r w:rsidR="000B1870">
        <w:rPr>
          <w:color w:val="000000"/>
          <w:lang w:val="es-ES"/>
        </w:rPr>
        <w:t>.</w:t>
      </w:r>
      <w:r w:rsidR="00F35642">
        <w:rPr>
          <w:color w:val="000000"/>
          <w:lang w:val="es-ES"/>
        </w:rPr>
        <w:t xml:space="preserve"> 3.7</w:t>
      </w:r>
      <w:r w:rsidR="000B1870">
        <w:rPr>
          <w:color w:val="000000"/>
          <w:lang w:val="es-ES"/>
        </w:rPr>
        <w:t xml:space="preserve"> </w:t>
      </w:r>
      <w:r w:rsidR="000B1870" w:rsidRPr="00224590">
        <w:rPr>
          <w:i/>
          <w:color w:val="000000"/>
          <w:lang w:val="es-ES"/>
        </w:rPr>
        <w:t>supra</w:t>
      </w:r>
      <w:r w:rsidR="00F35642">
        <w:rPr>
          <w:color w:val="000000"/>
          <w:lang w:val="es-ES"/>
        </w:rPr>
        <w:t>)</w:t>
      </w:r>
      <w:r w:rsidR="00252397">
        <w:rPr>
          <w:color w:val="000000"/>
          <w:lang w:val="es-ES"/>
        </w:rPr>
        <w:t xml:space="preserve">. </w:t>
      </w:r>
      <w:r w:rsidR="00A31865">
        <w:rPr>
          <w:color w:val="000000"/>
          <w:lang w:val="es-ES"/>
        </w:rPr>
        <w:t xml:space="preserve">Estos procesos han sido </w:t>
      </w:r>
      <w:r w:rsidR="002A40FC">
        <w:rPr>
          <w:color w:val="000000"/>
          <w:lang w:val="es-ES"/>
        </w:rPr>
        <w:t>tramitados</w:t>
      </w:r>
      <w:r w:rsidR="00A31865">
        <w:rPr>
          <w:color w:val="000000"/>
          <w:lang w:val="es-ES"/>
        </w:rPr>
        <w:t xml:space="preserve"> </w:t>
      </w:r>
      <w:r w:rsidR="002A40FC">
        <w:rPr>
          <w:color w:val="000000"/>
          <w:lang w:val="es-ES"/>
        </w:rPr>
        <w:t>simultáneamente</w:t>
      </w:r>
      <w:r w:rsidR="00A31865">
        <w:rPr>
          <w:color w:val="000000"/>
          <w:lang w:val="es-ES"/>
        </w:rPr>
        <w:t xml:space="preserve"> contra un mismo acusado, </w:t>
      </w:r>
      <w:r w:rsidR="00744DAA">
        <w:rPr>
          <w:color w:val="000000"/>
          <w:lang w:val="es-ES"/>
        </w:rPr>
        <w:t xml:space="preserve">el autor, </w:t>
      </w:r>
      <w:r w:rsidR="00A31865">
        <w:rPr>
          <w:color w:val="000000"/>
          <w:lang w:val="es-ES"/>
        </w:rPr>
        <w:t xml:space="preserve">y sus sentencias han sido </w:t>
      </w:r>
      <w:r w:rsidR="00AF5C75">
        <w:rPr>
          <w:color w:val="000000"/>
          <w:lang w:val="es-ES"/>
        </w:rPr>
        <w:t>dictadas</w:t>
      </w:r>
      <w:r w:rsidR="00A31865">
        <w:rPr>
          <w:color w:val="000000"/>
          <w:lang w:val="es-ES"/>
        </w:rPr>
        <w:t xml:space="preserve"> con 18 días de intervalo. </w:t>
      </w:r>
      <w:r w:rsidR="005B6E46" w:rsidRPr="009524E1">
        <w:rPr>
          <w:color w:val="000000"/>
          <w:lang w:val="es-ES"/>
        </w:rPr>
        <w:t xml:space="preserve">Si bien el autor solicitó la recusación de ambos magistrados, dicha solicitud </w:t>
      </w:r>
      <w:r w:rsidR="00BC06EC">
        <w:rPr>
          <w:color w:val="000000"/>
          <w:lang w:val="es-ES"/>
        </w:rPr>
        <w:t xml:space="preserve">fue </w:t>
      </w:r>
      <w:r w:rsidR="005B6E46" w:rsidRPr="009524E1">
        <w:rPr>
          <w:color w:val="000000"/>
          <w:lang w:val="es-ES"/>
        </w:rPr>
        <w:t>rechazada</w:t>
      </w:r>
      <w:r w:rsidR="00E137EC" w:rsidRPr="009524E1">
        <w:rPr>
          <w:color w:val="000000"/>
          <w:lang w:val="es-ES"/>
        </w:rPr>
        <w:t xml:space="preserve"> por el Tribunal Supremo</w:t>
      </w:r>
      <w:r w:rsidR="005B6E46" w:rsidRPr="009524E1">
        <w:rPr>
          <w:color w:val="000000"/>
          <w:lang w:val="es-ES"/>
        </w:rPr>
        <w:t>.</w:t>
      </w:r>
      <w:r w:rsidR="005B6E46">
        <w:rPr>
          <w:color w:val="000000"/>
          <w:lang w:val="es-ES"/>
        </w:rPr>
        <w:t xml:space="preserve"> El Comité observa asimismo que el Estado parte no ha refutado la alegación d</w:t>
      </w:r>
      <w:r w:rsidR="00252397">
        <w:rPr>
          <w:lang w:val="es-ES_tradnl"/>
        </w:rPr>
        <w:t xml:space="preserve">el autor </w:t>
      </w:r>
      <w:r w:rsidR="005B6E46">
        <w:rPr>
          <w:lang w:val="es-ES_tradnl"/>
        </w:rPr>
        <w:t>según la cual</w:t>
      </w:r>
      <w:r w:rsidR="00252397">
        <w:rPr>
          <w:lang w:val="es-ES_tradnl"/>
        </w:rPr>
        <w:t xml:space="preserve"> </w:t>
      </w:r>
      <w:r w:rsidR="005B6E46">
        <w:rPr>
          <w:lang w:val="es-ES_tradnl"/>
        </w:rPr>
        <w:t xml:space="preserve">uno de </w:t>
      </w:r>
      <w:r w:rsidR="00E137EC">
        <w:rPr>
          <w:lang w:val="es-ES_tradnl"/>
        </w:rPr>
        <w:t>ellos</w:t>
      </w:r>
      <w:r w:rsidR="005B6E46">
        <w:rPr>
          <w:lang w:val="es-ES_tradnl"/>
        </w:rPr>
        <w:t xml:space="preserve">, quien fue </w:t>
      </w:r>
      <w:r w:rsidR="00252397">
        <w:rPr>
          <w:lang w:val="es-ES_tradnl"/>
        </w:rPr>
        <w:t>el juez instructor principal en el caso Franquismo, L.</w:t>
      </w:r>
      <w:r w:rsidR="00DE733C">
        <w:rPr>
          <w:lang w:val="es-ES_tradnl"/>
        </w:rPr>
        <w:t xml:space="preserve"> </w:t>
      </w:r>
      <w:r w:rsidR="00252397">
        <w:rPr>
          <w:lang w:val="es-ES_tradnl"/>
        </w:rPr>
        <w:t xml:space="preserve">V., </w:t>
      </w:r>
      <w:r w:rsidR="005B6E46">
        <w:rPr>
          <w:lang w:val="es-ES_tradnl"/>
        </w:rPr>
        <w:t>habría mostrado su falta de imparcialidad a lo largo del proceso</w:t>
      </w:r>
      <w:r w:rsidR="002F59B4">
        <w:rPr>
          <w:lang w:val="es-ES_tradnl"/>
        </w:rPr>
        <w:t xml:space="preserve"> por el caso</w:t>
      </w:r>
      <w:r w:rsidR="005B6E46">
        <w:rPr>
          <w:lang w:val="es-ES_tradnl"/>
        </w:rPr>
        <w:t xml:space="preserve">, </w:t>
      </w:r>
      <w:r w:rsidR="00252397">
        <w:rPr>
          <w:lang w:val="es-ES_tradnl"/>
        </w:rPr>
        <w:t>en particular, mediante su repetida asistencia a los demandantes en la modificación de sus escritos de acusación contra el autor</w:t>
      </w:r>
      <w:r w:rsidR="005D6188">
        <w:rPr>
          <w:lang w:val="es-ES_tradnl"/>
        </w:rPr>
        <w:t xml:space="preserve"> (párr. 3.5)</w:t>
      </w:r>
      <w:r w:rsidR="00252397" w:rsidRPr="00934137">
        <w:rPr>
          <w:lang w:val="es-ES_tradnl"/>
        </w:rPr>
        <w:t xml:space="preserve">. </w:t>
      </w:r>
    </w:p>
    <w:p w14:paraId="7AC9C62D" w14:textId="09DB44B7" w:rsidR="00D87911" w:rsidRPr="00C834A5" w:rsidRDefault="00D87911" w:rsidP="00627685">
      <w:pPr>
        <w:pStyle w:val="SingleTxtG"/>
        <w:rPr>
          <w:color w:val="000000"/>
          <w:lang w:val="es-ES"/>
        </w:rPr>
      </w:pPr>
      <w:r>
        <w:rPr>
          <w:lang w:val="es-ES_tradnl"/>
        </w:rPr>
        <w:t>5.</w:t>
      </w:r>
      <w:r w:rsidR="00F62A3B">
        <w:rPr>
          <w:lang w:val="es-ES_tradnl"/>
        </w:rPr>
        <w:t>10</w:t>
      </w:r>
      <w:r>
        <w:rPr>
          <w:lang w:val="es-ES_tradnl"/>
        </w:rPr>
        <w:tab/>
        <w:t xml:space="preserve">El Comité recuerda que </w:t>
      </w:r>
      <w:r w:rsidR="002633D2">
        <w:rPr>
          <w:lang w:val="es-ES_tradnl"/>
        </w:rPr>
        <w:t>“</w:t>
      </w:r>
      <w:r>
        <w:rPr>
          <w:lang w:val="es-ES_tradnl"/>
        </w:rPr>
        <w:t>el requisito de la imparcialidad</w:t>
      </w:r>
      <w:r w:rsidR="002633D2">
        <w:rPr>
          <w:lang w:val="es-ES_tradnl"/>
        </w:rPr>
        <w:t xml:space="preserve"> tiene dos aspectos. En primer lugar, los jueces no deben permitir que su fallo esté influenciado por ses</w:t>
      </w:r>
      <w:r w:rsidR="000B681A">
        <w:rPr>
          <w:lang w:val="es-ES_tradnl"/>
        </w:rPr>
        <w:t>g</w:t>
      </w:r>
      <w:r w:rsidR="002633D2">
        <w:rPr>
          <w:lang w:val="es-ES_tradnl"/>
        </w:rPr>
        <w:t>os o perjuicios personales, ni tener ideas preconcebidas en cuanto al asunto sometido a su estudio (…) En segundo lugar, el tribunal también debe parecer imparcial a un observador razonable. Por ejemplo, normalmente no puede ser considerado imparcial un juicio afectado por la participación de un juez que, conforme a los estatutos internos, debería haber sido recusado”</w:t>
      </w:r>
      <w:r w:rsidR="002633D2">
        <w:rPr>
          <w:rStyle w:val="FootnoteReference"/>
          <w:lang w:val="es-ES_tradnl"/>
        </w:rPr>
        <w:footnoteReference w:id="36"/>
      </w:r>
      <w:r w:rsidR="00DE733C">
        <w:rPr>
          <w:lang w:val="es-ES_tradnl"/>
        </w:rPr>
        <w:t>.</w:t>
      </w:r>
      <w:r w:rsidR="00E137EC">
        <w:rPr>
          <w:lang w:val="es-ES_tradnl"/>
        </w:rPr>
        <w:t xml:space="preserve"> </w:t>
      </w:r>
      <w:r w:rsidR="004F7972">
        <w:rPr>
          <w:lang w:val="es-ES_tradnl"/>
        </w:rPr>
        <w:t>El Comité considera que, con base a la información proporcionada por el autor, las dudas de este sobre la imparcialidad de</w:t>
      </w:r>
      <w:r w:rsidR="002F59B4">
        <w:rPr>
          <w:lang w:val="es-ES_tradnl"/>
        </w:rPr>
        <w:t xml:space="preserve"> los</w:t>
      </w:r>
      <w:r w:rsidR="004F7972">
        <w:rPr>
          <w:lang w:val="es-ES_tradnl"/>
        </w:rPr>
        <w:t xml:space="preserve"> tribunal</w:t>
      </w:r>
      <w:r w:rsidR="002F59B4">
        <w:rPr>
          <w:lang w:val="es-ES_tradnl"/>
        </w:rPr>
        <w:t>es sentenciadores</w:t>
      </w:r>
      <w:r w:rsidR="004F7972">
        <w:rPr>
          <w:lang w:val="es-ES_tradnl"/>
        </w:rPr>
        <w:t xml:space="preserve"> se encuentran objetivamente justificadas y que no se puede concluir, en consecuencia, que dicho</w:t>
      </w:r>
      <w:r w:rsidR="002F59B4">
        <w:rPr>
          <w:lang w:val="es-ES_tradnl"/>
        </w:rPr>
        <w:t>s</w:t>
      </w:r>
      <w:r w:rsidR="004F7972">
        <w:rPr>
          <w:lang w:val="es-ES_tradnl"/>
        </w:rPr>
        <w:t xml:space="preserve"> tribunal</w:t>
      </w:r>
      <w:r w:rsidR="002F59B4">
        <w:rPr>
          <w:lang w:val="es-ES_tradnl"/>
        </w:rPr>
        <w:t>es</w:t>
      </w:r>
      <w:r w:rsidR="004F7972">
        <w:rPr>
          <w:lang w:val="es-ES_tradnl"/>
        </w:rPr>
        <w:t xml:space="preserve"> gozara</w:t>
      </w:r>
      <w:r w:rsidR="002F59B4">
        <w:rPr>
          <w:lang w:val="es-ES_tradnl"/>
        </w:rPr>
        <w:t>n</w:t>
      </w:r>
      <w:r w:rsidR="005D6188">
        <w:rPr>
          <w:lang w:val="es-ES_tradnl"/>
        </w:rPr>
        <w:t>, a un observador razonable,</w:t>
      </w:r>
      <w:r w:rsidR="004F7972">
        <w:rPr>
          <w:lang w:val="es-ES_tradnl"/>
        </w:rPr>
        <w:t xml:space="preserve"> de la </w:t>
      </w:r>
      <w:r w:rsidR="005D6188">
        <w:rPr>
          <w:lang w:val="es-ES_tradnl"/>
        </w:rPr>
        <w:t xml:space="preserve">apariencia de </w:t>
      </w:r>
      <w:r w:rsidR="004F7972">
        <w:rPr>
          <w:lang w:val="es-ES_tradnl"/>
        </w:rPr>
        <w:t>imparcialidad necesaria</w:t>
      </w:r>
      <w:r w:rsidR="009524E1">
        <w:rPr>
          <w:lang w:val="es-ES_tradnl"/>
        </w:rPr>
        <w:t xml:space="preserve"> para su enjuiciamiento</w:t>
      </w:r>
      <w:r w:rsidR="0063191B">
        <w:rPr>
          <w:rStyle w:val="FootnoteReference"/>
          <w:lang w:val="es-ES_tradnl"/>
        </w:rPr>
        <w:footnoteReference w:id="37"/>
      </w:r>
      <w:r w:rsidR="0063191B">
        <w:rPr>
          <w:lang w:val="es-ES_tradnl"/>
        </w:rPr>
        <w:t>.</w:t>
      </w:r>
    </w:p>
    <w:p w14:paraId="0643FF9D" w14:textId="70D2D473" w:rsidR="00D14F75" w:rsidRPr="002F59B4" w:rsidRDefault="00C44FED" w:rsidP="00627685">
      <w:pPr>
        <w:pStyle w:val="SingleTxtG"/>
        <w:rPr>
          <w:lang w:val="es-ES"/>
        </w:rPr>
      </w:pPr>
      <w:r>
        <w:rPr>
          <w:lang w:val="es-ES"/>
        </w:rPr>
        <w:t>5.</w:t>
      </w:r>
      <w:r w:rsidR="00EF1D42">
        <w:rPr>
          <w:lang w:val="es-ES"/>
        </w:rPr>
        <w:t>1</w:t>
      </w:r>
      <w:r w:rsidR="00F62A3B">
        <w:rPr>
          <w:lang w:val="es-ES"/>
        </w:rPr>
        <w:t>1</w:t>
      </w:r>
      <w:r w:rsidR="00E137EC">
        <w:rPr>
          <w:lang w:val="es-ES"/>
        </w:rPr>
        <w:tab/>
        <w:t xml:space="preserve">A la luz de toda la información anterior, </w:t>
      </w:r>
      <w:r w:rsidR="00E5112A">
        <w:rPr>
          <w:lang w:val="es-ES"/>
        </w:rPr>
        <w:t xml:space="preserve">y </w:t>
      </w:r>
      <w:r w:rsidR="000116D6">
        <w:rPr>
          <w:lang w:val="es-ES"/>
        </w:rPr>
        <w:t xml:space="preserve">de </w:t>
      </w:r>
      <w:r w:rsidR="00E5112A">
        <w:rPr>
          <w:lang w:val="es-ES"/>
        </w:rPr>
        <w:t xml:space="preserve">las dudas sobre </w:t>
      </w:r>
      <w:r w:rsidR="000116D6">
        <w:rPr>
          <w:lang w:val="es-ES"/>
        </w:rPr>
        <w:t xml:space="preserve">la posible </w:t>
      </w:r>
      <w:r w:rsidR="00E5112A">
        <w:rPr>
          <w:lang w:val="es-ES"/>
        </w:rPr>
        <w:t xml:space="preserve">parcialidad de algunos de los jueces intervinientes, </w:t>
      </w:r>
      <w:r w:rsidR="00E137EC">
        <w:rPr>
          <w:lang w:val="es-ES"/>
        </w:rPr>
        <w:t xml:space="preserve">el Comité </w:t>
      </w:r>
      <w:r w:rsidR="00E5112A">
        <w:rPr>
          <w:lang w:val="es-ES"/>
        </w:rPr>
        <w:t xml:space="preserve">no puede concluir </w:t>
      </w:r>
      <w:r w:rsidR="00E137EC">
        <w:rPr>
          <w:lang w:val="es-ES"/>
        </w:rPr>
        <w:t>que el autor tuvo acceso a un tribunal</w:t>
      </w:r>
      <w:r w:rsidR="002F59B4">
        <w:rPr>
          <w:lang w:val="es-ES"/>
        </w:rPr>
        <w:t xml:space="preserve"> independiente e</w:t>
      </w:r>
      <w:r w:rsidR="00E137EC">
        <w:rPr>
          <w:lang w:val="es-ES"/>
        </w:rPr>
        <w:t xml:space="preserve"> </w:t>
      </w:r>
      <w:r w:rsidR="00E137EC" w:rsidRPr="002F59B4">
        <w:rPr>
          <w:lang w:val="es-ES"/>
        </w:rPr>
        <w:t>imparcial en los procesos seguidos en</w:t>
      </w:r>
      <w:r w:rsidR="002B67C8" w:rsidRPr="002F59B4">
        <w:rPr>
          <w:lang w:val="es-ES"/>
        </w:rPr>
        <w:t xml:space="preserve"> su contra en el marco de lo</w:t>
      </w:r>
      <w:r w:rsidR="00E137EC" w:rsidRPr="002F59B4">
        <w:rPr>
          <w:lang w:val="es-ES"/>
        </w:rPr>
        <w:t>s ca</w:t>
      </w:r>
      <w:r w:rsidR="002B67C8" w:rsidRPr="002F59B4">
        <w:rPr>
          <w:lang w:val="es-ES"/>
        </w:rPr>
        <w:t xml:space="preserve">sos Franquismo y </w:t>
      </w:r>
      <w:proofErr w:type="spellStart"/>
      <w:r w:rsidR="002B67C8" w:rsidRPr="002F59B4">
        <w:rPr>
          <w:lang w:val="es-ES"/>
        </w:rPr>
        <w:t>Gürtel</w:t>
      </w:r>
      <w:proofErr w:type="spellEnd"/>
      <w:r w:rsidR="002B67C8" w:rsidRPr="002F59B4">
        <w:rPr>
          <w:lang w:val="es-ES"/>
        </w:rPr>
        <w:t xml:space="preserve">, </w:t>
      </w:r>
      <w:r w:rsidR="002F59B4">
        <w:rPr>
          <w:lang w:val="es-ES"/>
        </w:rPr>
        <w:t xml:space="preserve">que finalmente resultó en su condena </w:t>
      </w:r>
      <w:r w:rsidR="00D2745A">
        <w:rPr>
          <w:lang w:val="es-ES"/>
        </w:rPr>
        <w:t>penal</w:t>
      </w:r>
      <w:r w:rsidR="00D32048">
        <w:rPr>
          <w:lang w:val="es-ES"/>
        </w:rPr>
        <w:t xml:space="preserve"> y </w:t>
      </w:r>
      <w:r w:rsidR="00D2745A">
        <w:rPr>
          <w:lang w:val="es-ES"/>
        </w:rPr>
        <w:t xml:space="preserve">en la </w:t>
      </w:r>
      <w:r w:rsidR="00D32048">
        <w:rPr>
          <w:lang w:val="es-ES"/>
        </w:rPr>
        <w:t xml:space="preserve">consiguiente </w:t>
      </w:r>
      <w:r w:rsidR="00D2745A">
        <w:rPr>
          <w:lang w:val="es-ES"/>
        </w:rPr>
        <w:t xml:space="preserve">pérdida definitiva de su </w:t>
      </w:r>
      <w:proofErr w:type="gramStart"/>
      <w:r w:rsidR="00D2745A">
        <w:rPr>
          <w:lang w:val="es-ES"/>
        </w:rPr>
        <w:t>cargo.</w:t>
      </w:r>
      <w:r w:rsidR="002F59B4">
        <w:rPr>
          <w:lang w:val="es-ES"/>
        </w:rPr>
        <w:t>.</w:t>
      </w:r>
      <w:proofErr w:type="gramEnd"/>
      <w:r w:rsidR="002F59B4" w:rsidRPr="005D6551">
        <w:rPr>
          <w:lang w:val="es-ES"/>
        </w:rPr>
        <w:t xml:space="preserve"> En consecuencia, el Comit</w:t>
      </w:r>
      <w:r w:rsidR="002F59B4">
        <w:rPr>
          <w:lang w:val="es-ES"/>
        </w:rPr>
        <w:t xml:space="preserve">é considera que </w:t>
      </w:r>
      <w:r w:rsidR="003D4981">
        <w:rPr>
          <w:lang w:val="es-ES"/>
        </w:rPr>
        <w:t xml:space="preserve">se violaron los derechos del autor basados en </w:t>
      </w:r>
      <w:r w:rsidR="002B67C8" w:rsidRPr="002F59B4">
        <w:rPr>
          <w:lang w:val="es-ES"/>
        </w:rPr>
        <w:t xml:space="preserve">el artículo 14, párrafo 1 del Pacto. </w:t>
      </w:r>
    </w:p>
    <w:p w14:paraId="592E1342" w14:textId="18E1A2E8" w:rsidR="002B67C8" w:rsidRDefault="002B67C8" w:rsidP="00627685">
      <w:pPr>
        <w:pStyle w:val="SingleTxtG"/>
        <w:rPr>
          <w:rFonts w:eastAsia="Times New Roman"/>
          <w:lang w:val="es-ES" w:eastAsia="es-ES"/>
        </w:rPr>
      </w:pPr>
      <w:r>
        <w:rPr>
          <w:lang w:val="es-ES"/>
        </w:rPr>
        <w:lastRenderedPageBreak/>
        <w:t>5.1</w:t>
      </w:r>
      <w:r w:rsidR="00F62A3B">
        <w:rPr>
          <w:lang w:val="es-ES"/>
        </w:rPr>
        <w:t>2</w:t>
      </w:r>
      <w:r>
        <w:rPr>
          <w:lang w:val="es-ES"/>
        </w:rPr>
        <w:tab/>
        <w:t xml:space="preserve">En cuanto a la queja del autor basada en el artículo 14, párrafo 5 del Pacto y relacionada con su condena por el Tribunal Supremo en el procedimiento </w:t>
      </w:r>
      <w:proofErr w:type="spellStart"/>
      <w:r>
        <w:rPr>
          <w:lang w:val="es-ES"/>
        </w:rPr>
        <w:t>Gürtel</w:t>
      </w:r>
      <w:proofErr w:type="spellEnd"/>
      <w:r>
        <w:rPr>
          <w:lang w:val="es-ES"/>
        </w:rPr>
        <w:t xml:space="preserve"> sin posibilidad de apelación, el</w:t>
      </w:r>
      <w:r w:rsidRPr="00926DFE">
        <w:rPr>
          <w:lang w:val="es-PY" w:eastAsia="es-ES"/>
        </w:rPr>
        <w:t xml:space="preserve"> Comité recuerda que el artículo 14, párrafo 5, del Pacto establece que una persona declarada culpable de un delito tiene derecho a que el fallo condenatorio y la pena que se le haya impuesto sean sometidos a un tribunal superior, conforme a lo prescrito por la ley. El Comité recuerda que la expresión “conforme a lo prescrito por la ley” no tiene la intención de dejar la existencia misma del derecho a la revisión a la discreción de los Estados partes. Si bien la legislación de un Estado parte puede disponer en ciertas ocasiones que una persona</w:t>
      </w:r>
      <w:r w:rsidR="009524E1">
        <w:rPr>
          <w:lang w:val="es-PY" w:eastAsia="es-ES"/>
        </w:rPr>
        <w:t>,</w:t>
      </w:r>
      <w:r w:rsidRPr="00926DFE">
        <w:rPr>
          <w:lang w:val="es-PY" w:eastAsia="es-ES"/>
        </w:rPr>
        <w:t xml:space="preserve"> en razón de su cargo</w:t>
      </w:r>
      <w:r w:rsidR="009524E1">
        <w:rPr>
          <w:lang w:val="es-PY" w:eastAsia="es-ES"/>
        </w:rPr>
        <w:t>,</w:t>
      </w:r>
      <w:r w:rsidRPr="00926DFE">
        <w:rPr>
          <w:lang w:val="es-PY" w:eastAsia="es-ES"/>
        </w:rPr>
        <w:t xml:space="preserve"> sea juzgada por un tribunal de mayor jerarquía que el que naturalmente correspondería, esta circunstancia no puede por sí sola menoscabar el derecho del acusado a la revisión de su sen</w:t>
      </w:r>
      <w:r w:rsidR="009524E1">
        <w:rPr>
          <w:lang w:val="es-PY" w:eastAsia="es-ES"/>
        </w:rPr>
        <w:t>tencia y condena</w:t>
      </w:r>
      <w:r w:rsidRPr="00926DFE">
        <w:rPr>
          <w:sz w:val="18"/>
          <w:vertAlign w:val="superscript"/>
          <w:lang w:val="es-PY" w:eastAsia="es-ES"/>
        </w:rPr>
        <w:footnoteReference w:id="38"/>
      </w:r>
      <w:r w:rsidR="00056433">
        <w:rPr>
          <w:lang w:val="es-PY" w:eastAsia="es-ES"/>
        </w:rPr>
        <w:t xml:space="preserve"> y</w:t>
      </w:r>
      <w:r w:rsidR="00056433">
        <w:rPr>
          <w:rFonts w:eastAsia="Times New Roman"/>
          <w:lang w:val="es-ES_tradnl" w:eastAsia="es-ES"/>
        </w:rPr>
        <w:t xml:space="preserve">a que </w:t>
      </w:r>
      <w:r w:rsidR="00056433" w:rsidRPr="00056433">
        <w:rPr>
          <w:rFonts w:eastAsia="Times New Roman"/>
          <w:lang w:val="es-ES" w:eastAsia="es-ES"/>
        </w:rPr>
        <w:t>la ausencia de todo derecho a revisión por un tribunal superior no queda compensada por el hecho de haber sido juzgado por el tribunal de mayor jerarquía del Estado parte; por el contrario, tal sistema es incompatible con el Pacto, a menos que el Estado parte interesado haya formulado una reserva a ese efecto</w:t>
      </w:r>
      <w:r w:rsidR="00056433" w:rsidRPr="00056433">
        <w:rPr>
          <w:rFonts w:eastAsia="Times New Roman"/>
          <w:sz w:val="18"/>
          <w:vertAlign w:val="superscript"/>
          <w:lang w:val="es-ES" w:eastAsia="es-ES"/>
        </w:rPr>
        <w:footnoteReference w:id="39"/>
      </w:r>
      <w:r w:rsidR="00056433" w:rsidRPr="00056433">
        <w:rPr>
          <w:rFonts w:eastAsia="Times New Roman"/>
          <w:lang w:val="es-ES" w:eastAsia="es-ES"/>
        </w:rPr>
        <w:t>.</w:t>
      </w:r>
      <w:r w:rsidR="00A64480">
        <w:rPr>
          <w:rFonts w:eastAsia="Times New Roman"/>
          <w:lang w:val="es-ES" w:eastAsia="es-ES"/>
        </w:rPr>
        <w:t xml:space="preserve"> Teniendo en cuenta que el autor fue condenado penalmente por el Tribunal Supremo sin posibilidad de revisión del fallo condenatorio y de la pena, el Comité concluye que se violó su derecho reconocido por el artículo 14, párrafo 5 del Pacto.</w:t>
      </w:r>
    </w:p>
    <w:p w14:paraId="269206B4" w14:textId="6B4FEB22" w:rsidR="00C171FA" w:rsidRDefault="00A64480" w:rsidP="00627685">
      <w:pPr>
        <w:pStyle w:val="SingleTxtG"/>
        <w:rPr>
          <w:rFonts w:eastAsia="Times New Roman"/>
          <w:lang w:val="es-ES" w:eastAsia="es-ES"/>
        </w:rPr>
      </w:pPr>
      <w:r>
        <w:rPr>
          <w:rFonts w:eastAsia="Times New Roman"/>
          <w:lang w:val="es-ES" w:eastAsia="es-ES"/>
        </w:rPr>
        <w:t>5.1</w:t>
      </w:r>
      <w:r w:rsidR="00F62A3B">
        <w:rPr>
          <w:rFonts w:eastAsia="Times New Roman"/>
          <w:lang w:val="es-ES" w:eastAsia="es-ES"/>
        </w:rPr>
        <w:t>3</w:t>
      </w:r>
      <w:r>
        <w:rPr>
          <w:rFonts w:eastAsia="Times New Roman"/>
          <w:lang w:val="es-ES" w:eastAsia="es-ES"/>
        </w:rPr>
        <w:tab/>
        <w:t xml:space="preserve">Por último, el Comité debe determinar si la condena del autor en el caso </w:t>
      </w:r>
      <w:proofErr w:type="spellStart"/>
      <w:r>
        <w:rPr>
          <w:rFonts w:eastAsia="Times New Roman"/>
          <w:lang w:val="es-ES" w:eastAsia="es-ES"/>
        </w:rPr>
        <w:t>Gürtel</w:t>
      </w:r>
      <w:proofErr w:type="spellEnd"/>
      <w:r>
        <w:rPr>
          <w:rFonts w:eastAsia="Times New Roman"/>
          <w:lang w:val="es-ES" w:eastAsia="es-ES"/>
        </w:rPr>
        <w:t xml:space="preserve"> con base a una interpretación supuestamente imprevisible de la figura penal de la prevaricación constituyó una violación del artículo 15</w:t>
      </w:r>
      <w:r w:rsidR="009524E1">
        <w:rPr>
          <w:rFonts w:eastAsia="Times New Roman"/>
          <w:lang w:val="es-ES" w:eastAsia="es-ES"/>
        </w:rPr>
        <w:t>, párrafo 1</w:t>
      </w:r>
      <w:r>
        <w:rPr>
          <w:rFonts w:eastAsia="Times New Roman"/>
          <w:lang w:val="es-ES" w:eastAsia="es-ES"/>
        </w:rPr>
        <w:t xml:space="preserve"> del Pacto. </w:t>
      </w:r>
      <w:r w:rsidR="00DA4165">
        <w:rPr>
          <w:rFonts w:eastAsia="Times New Roman"/>
          <w:lang w:val="es-ES" w:eastAsia="es-ES"/>
        </w:rPr>
        <w:t xml:space="preserve">El Comité toma nota de las alegaciones del autor de que la aplicación del delito de prevaricación contemplado en el artículo 446 del Código Penal para sancionar su conducta por sus decisiones judiciales en el caso </w:t>
      </w:r>
      <w:proofErr w:type="spellStart"/>
      <w:r w:rsidR="00DA4165">
        <w:rPr>
          <w:rFonts w:eastAsia="Times New Roman"/>
          <w:lang w:val="es-ES" w:eastAsia="es-ES"/>
        </w:rPr>
        <w:t>Gürtel</w:t>
      </w:r>
      <w:proofErr w:type="spellEnd"/>
      <w:r w:rsidR="00DA4165">
        <w:rPr>
          <w:rFonts w:eastAsia="Times New Roman"/>
          <w:lang w:val="es-ES" w:eastAsia="es-ES"/>
        </w:rPr>
        <w:t xml:space="preserve"> fue contraria a los principios de legalidad y previsibilidad porque dicha figura penal requiere que la conducta </w:t>
      </w:r>
      <w:r w:rsidR="0097045B">
        <w:rPr>
          <w:rFonts w:eastAsia="Times New Roman"/>
          <w:lang w:val="es-ES" w:eastAsia="es-ES"/>
        </w:rPr>
        <w:t xml:space="preserve">típica </w:t>
      </w:r>
      <w:r w:rsidR="00DA4165">
        <w:rPr>
          <w:rFonts w:eastAsia="Times New Roman"/>
          <w:lang w:val="es-ES" w:eastAsia="es-ES"/>
        </w:rPr>
        <w:t>sea especialmente antijurídica</w:t>
      </w:r>
      <w:r w:rsidR="0097045B">
        <w:rPr>
          <w:rFonts w:eastAsia="Times New Roman"/>
          <w:lang w:val="es-ES" w:eastAsia="es-ES"/>
        </w:rPr>
        <w:t xml:space="preserve"> -</w:t>
      </w:r>
      <w:r w:rsidR="005452CB">
        <w:rPr>
          <w:rFonts w:eastAsia="Times New Roman"/>
          <w:lang w:val="es-ES" w:eastAsia="es-ES"/>
        </w:rPr>
        <w:t xml:space="preserve"> conducta flagrante o manifiestamente contraria a derecho</w:t>
      </w:r>
      <w:r w:rsidR="0097045B">
        <w:rPr>
          <w:rFonts w:eastAsia="Times New Roman"/>
          <w:lang w:val="es-ES" w:eastAsia="es-ES"/>
        </w:rPr>
        <w:t>-</w:t>
      </w:r>
      <w:r w:rsidR="005452CB">
        <w:rPr>
          <w:rFonts w:eastAsia="Times New Roman"/>
          <w:lang w:val="es-ES" w:eastAsia="es-ES"/>
        </w:rPr>
        <w:t xml:space="preserve">, y </w:t>
      </w:r>
      <w:r w:rsidR="0097045B">
        <w:rPr>
          <w:rFonts w:eastAsia="Times New Roman"/>
          <w:lang w:val="es-ES" w:eastAsia="es-ES"/>
        </w:rPr>
        <w:t>culpable</w:t>
      </w:r>
      <w:r w:rsidR="005452CB">
        <w:rPr>
          <w:rFonts w:eastAsia="Times New Roman"/>
          <w:lang w:val="es-ES" w:eastAsia="es-ES"/>
        </w:rPr>
        <w:t xml:space="preserve"> </w:t>
      </w:r>
      <w:r w:rsidR="0097045B">
        <w:rPr>
          <w:rFonts w:eastAsia="Times New Roman"/>
          <w:lang w:val="es-ES" w:eastAsia="es-ES"/>
        </w:rPr>
        <w:t xml:space="preserve">–concurriendo el </w:t>
      </w:r>
      <w:r w:rsidR="005452CB">
        <w:rPr>
          <w:rFonts w:eastAsia="Times New Roman"/>
          <w:lang w:val="es-ES" w:eastAsia="es-ES"/>
        </w:rPr>
        <w:t>ánimo de faltar a la justicia</w:t>
      </w:r>
      <w:r w:rsidR="0097045B">
        <w:rPr>
          <w:rFonts w:eastAsia="Times New Roman"/>
          <w:lang w:val="es-ES" w:eastAsia="es-ES"/>
        </w:rPr>
        <w:t>-</w:t>
      </w:r>
      <w:r w:rsidR="00DA4165">
        <w:rPr>
          <w:rFonts w:eastAsia="Times New Roman"/>
          <w:lang w:val="es-ES" w:eastAsia="es-ES"/>
        </w:rPr>
        <w:t xml:space="preserve">. </w:t>
      </w:r>
      <w:r w:rsidR="009524E1">
        <w:rPr>
          <w:rFonts w:eastAsia="Times New Roman"/>
          <w:lang w:val="es-ES" w:eastAsia="es-ES"/>
        </w:rPr>
        <w:t xml:space="preserve">Según el autor, </w:t>
      </w:r>
      <w:r w:rsidR="00765DC7">
        <w:rPr>
          <w:rFonts w:eastAsia="Times New Roman"/>
          <w:lang w:val="es-ES" w:eastAsia="es-ES"/>
        </w:rPr>
        <w:t xml:space="preserve">la propia descripción del tipo penal de la prevaricación contenida en el artículo 446 del Código Penal es en sí misma ambigua e imprevisible. </w:t>
      </w:r>
    </w:p>
    <w:p w14:paraId="05CB6441" w14:textId="4775E7F6" w:rsidR="003D4981" w:rsidRPr="00C97D67" w:rsidRDefault="00C171FA" w:rsidP="00C97D67">
      <w:pPr>
        <w:pStyle w:val="SingleTxtG"/>
        <w:rPr>
          <w:lang w:val="es-ES"/>
        </w:rPr>
      </w:pPr>
      <w:r>
        <w:rPr>
          <w:rFonts w:eastAsia="Times New Roman"/>
          <w:lang w:val="es-ES" w:eastAsia="es-ES"/>
        </w:rPr>
        <w:t>5.1</w:t>
      </w:r>
      <w:r w:rsidR="00F62A3B">
        <w:rPr>
          <w:rFonts w:eastAsia="Times New Roman"/>
          <w:lang w:val="es-ES" w:eastAsia="es-ES"/>
        </w:rPr>
        <w:t>4</w:t>
      </w:r>
      <w:r>
        <w:rPr>
          <w:rFonts w:eastAsia="Times New Roman"/>
          <w:lang w:val="es-ES" w:eastAsia="es-ES"/>
        </w:rPr>
        <w:tab/>
      </w:r>
      <w:r w:rsidR="00BE6B3A">
        <w:rPr>
          <w:rFonts w:eastAsia="Times New Roman"/>
          <w:lang w:val="es-ES" w:eastAsia="es-ES"/>
        </w:rPr>
        <w:t xml:space="preserve">El Comité considera que la </w:t>
      </w:r>
      <w:r w:rsidR="00BE6B3A">
        <w:rPr>
          <w:lang w:val="es-ES_tradnl"/>
        </w:rPr>
        <w:t>naturaleza específica de cualquier violación del párrafo 1 del artículo 15 del Pacto le exige que examine si la interpretación y aplicación de la legislación penal pertinente por los tribunales nacionales en una causa determinada parece poner de manifiesto una violación de la prohibición de imponer un castigo con carácter retroactivo o un castigo no basado en el derecho</w:t>
      </w:r>
      <w:r w:rsidR="0063191B">
        <w:rPr>
          <w:rStyle w:val="FootnoteReference"/>
          <w:lang w:val="es-ES_tradnl"/>
        </w:rPr>
        <w:footnoteReference w:id="40"/>
      </w:r>
      <w:r w:rsidR="0063191B">
        <w:rPr>
          <w:lang w:val="es-ES_tradnl"/>
        </w:rPr>
        <w:t>.</w:t>
      </w:r>
      <w:r w:rsidR="009524E1">
        <w:rPr>
          <w:lang w:val="es-ES_tradnl"/>
        </w:rPr>
        <w:t xml:space="preserve"> </w:t>
      </w:r>
      <w:r w:rsidR="003D4981" w:rsidRPr="00C97D67">
        <w:rPr>
          <w:lang w:val="es-ES"/>
        </w:rPr>
        <w:t>En este sentido, el Comité puede examinar si un delito se encuentra “suficientemente definido”</w:t>
      </w:r>
      <w:r w:rsidR="003D4981" w:rsidRPr="005D6551">
        <w:rPr>
          <w:vertAlign w:val="superscript"/>
        </w:rPr>
        <w:footnoteReference w:id="41"/>
      </w:r>
      <w:r w:rsidR="003D4981" w:rsidRPr="00C97D67">
        <w:rPr>
          <w:lang w:val="es-ES"/>
        </w:rPr>
        <w:t xml:space="preserve"> a los efectos de cumplir con el principio de legalid</w:t>
      </w:r>
      <w:r w:rsidR="00C97D67" w:rsidRPr="00C97D67">
        <w:rPr>
          <w:lang w:val="es-ES"/>
        </w:rPr>
        <w:t>a</w:t>
      </w:r>
      <w:r w:rsidR="003D4981" w:rsidRPr="00C97D67">
        <w:rPr>
          <w:lang w:val="es-ES"/>
        </w:rPr>
        <w:t>d, como “</w:t>
      </w:r>
      <w:r w:rsidR="00C97D67" w:rsidRPr="005D6551">
        <w:rPr>
          <w:lang w:val="es-ES"/>
        </w:rPr>
        <w:t>requisito de que la responsabilidad penal y la pena vengan determinadas exclusivamente por disposiciones claras y concretas de la ley en vigor y aplicable en el momento de cometerse el acto o la</w:t>
      </w:r>
      <w:r w:rsidR="00C97D67">
        <w:rPr>
          <w:lang w:val="es-ES"/>
        </w:rPr>
        <w:t xml:space="preserve"> </w:t>
      </w:r>
      <w:r w:rsidR="00C97D67" w:rsidRPr="005D6551">
        <w:rPr>
          <w:lang w:val="es-ES"/>
        </w:rPr>
        <w:t>omisión</w:t>
      </w:r>
      <w:r w:rsidR="003D4981" w:rsidRPr="00C97D67">
        <w:rPr>
          <w:lang w:val="es-ES"/>
        </w:rPr>
        <w:t>”</w:t>
      </w:r>
      <w:r w:rsidR="003D4981" w:rsidRPr="005D6551">
        <w:rPr>
          <w:vertAlign w:val="superscript"/>
        </w:rPr>
        <w:footnoteReference w:id="42"/>
      </w:r>
      <w:r w:rsidR="003D4981" w:rsidRPr="00C97D67">
        <w:rPr>
          <w:lang w:val="es-ES"/>
        </w:rPr>
        <w:t xml:space="preserve">. </w:t>
      </w:r>
      <w:r w:rsidR="00C97D67" w:rsidRPr="00C97D67">
        <w:rPr>
          <w:lang w:val="es-ES"/>
        </w:rPr>
        <w:t>Todo de</w:t>
      </w:r>
      <w:r w:rsidR="00C97D67" w:rsidRPr="005D6551">
        <w:rPr>
          <w:lang w:val="es-ES"/>
        </w:rPr>
        <w:t>lito debe estar claramente contemplado por la legislación nacional y ser previsible para los imputados.</w:t>
      </w:r>
    </w:p>
    <w:p w14:paraId="0BBE077C" w14:textId="22AF1BF5" w:rsidR="00FC73B1" w:rsidRPr="005D6551" w:rsidRDefault="00C97D67" w:rsidP="00627685">
      <w:pPr>
        <w:pStyle w:val="SingleTxtG"/>
        <w:rPr>
          <w:lang w:val="es-ES"/>
        </w:rPr>
      </w:pPr>
      <w:r>
        <w:rPr>
          <w:lang w:val="es-ES"/>
        </w:rPr>
        <w:t>5.15</w:t>
      </w:r>
      <w:r>
        <w:rPr>
          <w:lang w:val="es-ES"/>
        </w:rPr>
        <w:tab/>
      </w:r>
      <w:r w:rsidR="00FC73B1" w:rsidRPr="00224590">
        <w:rPr>
          <w:lang w:val="es-ES"/>
        </w:rPr>
        <w:t xml:space="preserve">El Comité recuerda </w:t>
      </w:r>
      <w:r>
        <w:rPr>
          <w:lang w:val="es-ES"/>
        </w:rPr>
        <w:t xml:space="preserve">asimismo </w:t>
      </w:r>
      <w:r w:rsidR="00FC73B1" w:rsidRPr="00224590">
        <w:rPr>
          <w:lang w:val="es-ES"/>
        </w:rPr>
        <w:t>su jurisprudencia con arreglo a la cual incumbe a los tribunales de los Estados partes evaluar los hechos y las pruebas en cada caso particular, o la aplicación de la legislación interna, a menos que se demuestre que esa evaluación o aplicación fue claramente arbitraria o equivalió a error manifiesto o denegación de justicia.</w:t>
      </w:r>
      <w:r w:rsidR="002A40FC" w:rsidRPr="002A40FC">
        <w:rPr>
          <w:rStyle w:val="FootnoteReference"/>
          <w:lang w:val="es-ES"/>
        </w:rPr>
        <w:t xml:space="preserve"> </w:t>
      </w:r>
      <w:r w:rsidR="002A40FC" w:rsidRPr="0067606F">
        <w:rPr>
          <w:rStyle w:val="FootnoteReference"/>
          <w:lang w:val="es-ES"/>
        </w:rPr>
        <w:footnoteReference w:id="43"/>
      </w:r>
      <w:r w:rsidR="003D4981" w:rsidRPr="005D6551">
        <w:rPr>
          <w:lang w:val="es-ES"/>
        </w:rPr>
        <w:t xml:space="preserve"> </w:t>
      </w:r>
    </w:p>
    <w:p w14:paraId="36D91AC8" w14:textId="571C7309" w:rsidR="00FC73B1" w:rsidRPr="005D6551" w:rsidRDefault="00FC73B1" w:rsidP="00627685">
      <w:pPr>
        <w:pStyle w:val="SingleTxtG"/>
        <w:rPr>
          <w:lang w:val="es-ES"/>
        </w:rPr>
      </w:pPr>
      <w:r>
        <w:rPr>
          <w:lang w:val="es-ES_tradnl"/>
        </w:rPr>
        <w:t>5.</w:t>
      </w:r>
      <w:r w:rsidR="00C97D67">
        <w:rPr>
          <w:lang w:val="es-ES_tradnl"/>
        </w:rPr>
        <w:t>16</w:t>
      </w:r>
      <w:r w:rsidR="00224590">
        <w:rPr>
          <w:lang w:val="es-ES_tradnl"/>
        </w:rPr>
        <w:tab/>
      </w:r>
      <w:r w:rsidR="009524E1">
        <w:rPr>
          <w:lang w:val="es-ES_tradnl"/>
        </w:rPr>
        <w:t>El Comité o</w:t>
      </w:r>
      <w:r w:rsidR="00B62D0F">
        <w:rPr>
          <w:lang w:val="es-ES_tradnl"/>
        </w:rPr>
        <w:t>bserva</w:t>
      </w:r>
      <w:r>
        <w:rPr>
          <w:lang w:val="es-ES_tradnl"/>
        </w:rPr>
        <w:t>, al respecto,</w:t>
      </w:r>
      <w:r w:rsidR="00B62D0F">
        <w:rPr>
          <w:lang w:val="es-ES_tradnl"/>
        </w:rPr>
        <w:t xml:space="preserve"> que el artículo 446 del Código Penal </w:t>
      </w:r>
      <w:r w:rsidR="00C0300A">
        <w:rPr>
          <w:lang w:val="es-ES_tradnl"/>
        </w:rPr>
        <w:t>castiga el delito de prevaricación con penas de hasta cuatro años de privación de libertad al juez que dictare</w:t>
      </w:r>
      <w:r w:rsidR="00B62D0F">
        <w:rPr>
          <w:lang w:val="es-ES_tradnl"/>
        </w:rPr>
        <w:t xml:space="preserve"> </w:t>
      </w:r>
      <w:r w:rsidR="001C2CC6">
        <w:rPr>
          <w:lang w:val="es-ES_tradnl"/>
        </w:rPr>
        <w:t>“</w:t>
      </w:r>
      <w:r w:rsidR="00C0300A">
        <w:rPr>
          <w:lang w:val="es-ES_tradnl"/>
        </w:rPr>
        <w:t xml:space="preserve">sentencia o resolución </w:t>
      </w:r>
      <w:r w:rsidR="00B62D0F">
        <w:rPr>
          <w:lang w:val="es-ES_tradnl"/>
        </w:rPr>
        <w:t>injusta</w:t>
      </w:r>
      <w:r w:rsidR="001C2CC6">
        <w:rPr>
          <w:lang w:val="es-ES_tradnl"/>
        </w:rPr>
        <w:t>”</w:t>
      </w:r>
      <w:r w:rsidR="00B62D0F">
        <w:rPr>
          <w:lang w:val="es-ES_tradnl"/>
        </w:rPr>
        <w:t>, sin definir el alcance de dicho término</w:t>
      </w:r>
      <w:r w:rsidR="0063191B">
        <w:rPr>
          <w:lang w:val="es-ES_tradnl"/>
        </w:rPr>
        <w:t>.</w:t>
      </w:r>
      <w:r w:rsidR="00B62D0F">
        <w:rPr>
          <w:lang w:val="es-ES_tradnl"/>
        </w:rPr>
        <w:t xml:space="preserve"> </w:t>
      </w:r>
      <w:r w:rsidR="00C97D67" w:rsidRPr="00C97D67">
        <w:rPr>
          <w:lang w:val="es-ES_tradnl"/>
        </w:rPr>
        <w:t>El Estado parte ha señalado que la cuesti</w:t>
      </w:r>
      <w:r w:rsidR="00C97D67" w:rsidRPr="005D6551">
        <w:rPr>
          <w:lang w:val="es-ES_tradnl"/>
        </w:rPr>
        <w:t xml:space="preserve">ón en el proceso </w:t>
      </w:r>
      <w:r w:rsidR="00C97D67">
        <w:rPr>
          <w:lang w:val="es-ES_tradnl"/>
        </w:rPr>
        <w:t xml:space="preserve">contra el autor </w:t>
      </w:r>
      <w:r w:rsidR="00C97D67" w:rsidRPr="005D6551">
        <w:rPr>
          <w:lang w:val="es-ES_tradnl"/>
        </w:rPr>
        <w:t xml:space="preserve">por el caso </w:t>
      </w:r>
      <w:proofErr w:type="spellStart"/>
      <w:r w:rsidR="00C97D67" w:rsidRPr="005D6551">
        <w:rPr>
          <w:lang w:val="es-ES_tradnl"/>
        </w:rPr>
        <w:t>Gürtel</w:t>
      </w:r>
      <w:proofErr w:type="spellEnd"/>
      <w:r w:rsidR="00C97D67" w:rsidRPr="005D6551">
        <w:rPr>
          <w:lang w:val="es-ES_tradnl"/>
        </w:rPr>
        <w:t xml:space="preserve"> no </w:t>
      </w:r>
      <w:r w:rsidR="00C97D67">
        <w:rPr>
          <w:lang w:val="es-ES_tradnl"/>
        </w:rPr>
        <w:t xml:space="preserve">es </w:t>
      </w:r>
      <w:r w:rsidR="00C97D67" w:rsidRPr="005D6551">
        <w:rPr>
          <w:lang w:val="es-ES_tradnl"/>
        </w:rPr>
        <w:t xml:space="preserve">la interpretación del delito de prevaricación definido en el artículo 446 del Código Penal </w:t>
      </w:r>
      <w:r w:rsidR="00C97D67">
        <w:rPr>
          <w:lang w:val="es-ES_tradnl"/>
        </w:rPr>
        <w:t>sino la interpretación realizada por el autor del artículo 51</w:t>
      </w:r>
      <w:r w:rsidR="00C97D67" w:rsidRPr="005D6551">
        <w:rPr>
          <w:lang w:val="es-ES_tradnl"/>
        </w:rPr>
        <w:t xml:space="preserve"> (2) </w:t>
      </w:r>
      <w:r w:rsidR="00C97D67">
        <w:rPr>
          <w:lang w:val="es-ES_tradnl"/>
        </w:rPr>
        <w:t xml:space="preserve">de la Ley General Penitenciaria, que regula la </w:t>
      </w:r>
      <w:r w:rsidR="00C97D67">
        <w:rPr>
          <w:lang w:val="es-ES_tradnl"/>
        </w:rPr>
        <w:lastRenderedPageBreak/>
        <w:t>interferencia de comunicaciones</w:t>
      </w:r>
      <w:r w:rsidR="00C97D67" w:rsidRPr="005D6551">
        <w:rPr>
          <w:lang w:val="es-ES_tradnl"/>
        </w:rPr>
        <w:t>. Sin embargo, el Comité observa que la sentencia de 9 de febrero de 2012 condenó al autor con base al artículo 446 del Código Penal, por entender que éste hab</w:t>
      </w:r>
      <w:r w:rsidR="00C97D67">
        <w:rPr>
          <w:lang w:val="es-ES_tradnl"/>
        </w:rPr>
        <w:t xml:space="preserve">ía realizado una interpretación errónea </w:t>
      </w:r>
      <w:r w:rsidR="007D1546">
        <w:rPr>
          <w:lang w:val="es-ES_tradnl"/>
        </w:rPr>
        <w:t>del artículo regulador</w:t>
      </w:r>
      <w:r w:rsidR="00C97D67">
        <w:rPr>
          <w:lang w:val="es-ES_tradnl"/>
        </w:rPr>
        <w:t xml:space="preserve"> de la intercepción de comunicaciones</w:t>
      </w:r>
      <w:r w:rsidR="00C97D67" w:rsidRPr="005D6551">
        <w:rPr>
          <w:lang w:val="es-ES_tradnl"/>
        </w:rPr>
        <w:t xml:space="preserve">. </w:t>
      </w:r>
      <w:r w:rsidR="00B62D0F">
        <w:rPr>
          <w:lang w:val="es-ES_tradnl"/>
        </w:rPr>
        <w:t>El Comité toma nota de que, seg</w:t>
      </w:r>
      <w:r w:rsidR="00C0300A">
        <w:rPr>
          <w:lang w:val="es-ES_tradnl"/>
        </w:rPr>
        <w:t xml:space="preserve">ún lo afirmado por el autor, </w:t>
      </w:r>
      <w:r w:rsidR="007D1546">
        <w:rPr>
          <w:lang w:val="es-ES_tradnl"/>
        </w:rPr>
        <w:t xml:space="preserve">el </w:t>
      </w:r>
      <w:r w:rsidR="00C0300A">
        <w:rPr>
          <w:lang w:val="es-ES_tradnl"/>
        </w:rPr>
        <w:t>delito</w:t>
      </w:r>
      <w:r w:rsidR="007D1546">
        <w:rPr>
          <w:lang w:val="es-ES_tradnl"/>
        </w:rPr>
        <w:t xml:space="preserve"> de prevaricación</w:t>
      </w:r>
      <w:r w:rsidR="00C0300A">
        <w:rPr>
          <w:lang w:val="es-ES_tradnl"/>
        </w:rPr>
        <w:t xml:space="preserve"> se ha</w:t>
      </w:r>
      <w:r w:rsidR="0021070D">
        <w:rPr>
          <w:lang w:val="es-ES_tradnl"/>
        </w:rPr>
        <w:t>bía</w:t>
      </w:r>
      <w:r w:rsidR="00C0300A">
        <w:rPr>
          <w:lang w:val="es-ES_tradnl"/>
        </w:rPr>
        <w:t xml:space="preserve"> venido interpretando judicialmente de manera </w:t>
      </w:r>
      <w:r w:rsidR="00CB4B92">
        <w:rPr>
          <w:lang w:val="es-ES_tradnl"/>
        </w:rPr>
        <w:t xml:space="preserve">limitada </w:t>
      </w:r>
      <w:r w:rsidR="00C0300A">
        <w:rPr>
          <w:lang w:val="es-ES_tradnl"/>
        </w:rPr>
        <w:t>a conductas especialmente antijurídicas</w:t>
      </w:r>
      <w:r w:rsidR="0097045B">
        <w:rPr>
          <w:lang w:val="es-ES_tradnl"/>
        </w:rPr>
        <w:t xml:space="preserve"> y culpables</w:t>
      </w:r>
      <w:r w:rsidR="007D1546">
        <w:rPr>
          <w:lang w:val="es-ES_tradnl"/>
        </w:rPr>
        <w:t xml:space="preserve">, a </w:t>
      </w:r>
      <w:proofErr w:type="gramStart"/>
      <w:r w:rsidR="007D1546">
        <w:rPr>
          <w:lang w:val="es-ES_tradnl"/>
        </w:rPr>
        <w:t>saber</w:t>
      </w:r>
      <w:proofErr w:type="gramEnd"/>
      <w:r w:rsidR="007D1546">
        <w:rPr>
          <w:lang w:val="es-ES_tradnl"/>
        </w:rPr>
        <w:t xml:space="preserve"> </w:t>
      </w:r>
      <w:r w:rsidR="007D1546">
        <w:rPr>
          <w:lang w:val="es-ES"/>
        </w:rPr>
        <w:t>aquéllas</w:t>
      </w:r>
      <w:r w:rsidR="007D1546" w:rsidRPr="005D6551">
        <w:rPr>
          <w:lang w:val="es-ES"/>
        </w:rPr>
        <w:t xml:space="preserve"> “flagrant</w:t>
      </w:r>
      <w:r w:rsidR="007D1546">
        <w:rPr>
          <w:lang w:val="es-ES"/>
        </w:rPr>
        <w:t>es</w:t>
      </w:r>
      <w:r w:rsidR="007D1546" w:rsidRPr="005D6551">
        <w:rPr>
          <w:lang w:val="es-ES"/>
        </w:rPr>
        <w:t xml:space="preserve">”, </w:t>
      </w:r>
      <w:r w:rsidR="007D1546" w:rsidRPr="007D1546">
        <w:rPr>
          <w:bCs/>
          <w:lang w:val="es-ES"/>
        </w:rPr>
        <w:t>“manif</w:t>
      </w:r>
      <w:r w:rsidR="007D1546">
        <w:rPr>
          <w:bCs/>
          <w:lang w:val="es-ES"/>
        </w:rPr>
        <w:t>i</w:t>
      </w:r>
      <w:r w:rsidR="007D1546" w:rsidRPr="007D1546">
        <w:rPr>
          <w:bCs/>
          <w:lang w:val="es-ES"/>
        </w:rPr>
        <w:t>est</w:t>
      </w:r>
      <w:r w:rsidR="007D1546">
        <w:rPr>
          <w:bCs/>
          <w:lang w:val="es-ES"/>
        </w:rPr>
        <w:t>amente</w:t>
      </w:r>
      <w:r w:rsidR="007D1546" w:rsidRPr="007D1546">
        <w:rPr>
          <w:bCs/>
          <w:lang w:val="es-ES"/>
        </w:rPr>
        <w:t xml:space="preserve"> il</w:t>
      </w:r>
      <w:r w:rsidR="007D1546" w:rsidRPr="005D6551">
        <w:rPr>
          <w:bCs/>
          <w:lang w:val="es-ES"/>
        </w:rPr>
        <w:t>egal</w:t>
      </w:r>
      <w:r w:rsidR="007D1546">
        <w:rPr>
          <w:bCs/>
          <w:lang w:val="es-ES"/>
        </w:rPr>
        <w:t>es</w:t>
      </w:r>
      <w:r w:rsidR="007D1546" w:rsidRPr="005D6551">
        <w:rPr>
          <w:lang w:val="es-ES"/>
        </w:rPr>
        <w:t xml:space="preserve">” </w:t>
      </w:r>
      <w:r w:rsidR="007D1546">
        <w:rPr>
          <w:lang w:val="es-ES"/>
        </w:rPr>
        <w:t>y</w:t>
      </w:r>
      <w:r w:rsidR="007D1546" w:rsidRPr="005D6551">
        <w:rPr>
          <w:lang w:val="es-ES"/>
        </w:rPr>
        <w:t xml:space="preserve"> “</w:t>
      </w:r>
      <w:r w:rsidR="007D1546" w:rsidRPr="005D6551">
        <w:rPr>
          <w:bCs/>
          <w:lang w:val="es-ES"/>
        </w:rPr>
        <w:t>absurd</w:t>
      </w:r>
      <w:r w:rsidR="007D1546">
        <w:rPr>
          <w:bCs/>
          <w:lang w:val="es-ES"/>
        </w:rPr>
        <w:t>as</w:t>
      </w:r>
      <w:r w:rsidR="007D1546" w:rsidRPr="007D1546">
        <w:rPr>
          <w:lang w:val="es-ES"/>
        </w:rPr>
        <w:t>”, cuya antijuridicidad pudiera ser apreciada incluso por una persona</w:t>
      </w:r>
      <w:r w:rsidR="007D1546">
        <w:rPr>
          <w:lang w:val="es-ES"/>
        </w:rPr>
        <w:t xml:space="preserve"> lega en derecho</w:t>
      </w:r>
      <w:r w:rsidR="007D1546" w:rsidRPr="007D1546">
        <w:rPr>
          <w:lang w:val="es-ES"/>
        </w:rPr>
        <w:t xml:space="preserve"> </w:t>
      </w:r>
      <w:r w:rsidR="00C0300A">
        <w:rPr>
          <w:lang w:val="es-ES_tradnl"/>
        </w:rPr>
        <w:t xml:space="preserve">(párr. 3.9 </w:t>
      </w:r>
      <w:r w:rsidR="00C0300A" w:rsidRPr="00C0300A">
        <w:rPr>
          <w:i/>
          <w:lang w:val="es-ES_tradnl"/>
        </w:rPr>
        <w:t>supra</w:t>
      </w:r>
      <w:r w:rsidR="005B1551">
        <w:rPr>
          <w:iCs/>
          <w:lang w:val="es-ES_tradnl"/>
        </w:rPr>
        <w:t xml:space="preserve">; </w:t>
      </w:r>
      <w:r w:rsidR="000B1870">
        <w:rPr>
          <w:iCs/>
          <w:lang w:val="es-ES_tradnl"/>
        </w:rPr>
        <w:t xml:space="preserve">y </w:t>
      </w:r>
      <w:r w:rsidR="005B1551">
        <w:rPr>
          <w:iCs/>
          <w:lang w:val="es-ES_tradnl"/>
        </w:rPr>
        <w:t xml:space="preserve">párr. </w:t>
      </w:r>
      <w:r w:rsidR="00CC53E6">
        <w:rPr>
          <w:iCs/>
          <w:lang w:val="es-ES_tradnl"/>
        </w:rPr>
        <w:t>2</w:t>
      </w:r>
      <w:r w:rsidR="00BF17BA">
        <w:rPr>
          <w:iCs/>
          <w:lang w:val="es-ES_tradnl"/>
        </w:rPr>
        <w:t>.</w:t>
      </w:r>
      <w:r w:rsidR="00CC53E6">
        <w:rPr>
          <w:iCs/>
          <w:lang w:val="es-ES_tradnl"/>
        </w:rPr>
        <w:t xml:space="preserve">12, </w:t>
      </w:r>
      <w:r w:rsidR="00BF17BA">
        <w:rPr>
          <w:iCs/>
          <w:lang w:val="es-ES_tradnl"/>
        </w:rPr>
        <w:t xml:space="preserve">2.13, 2.14, </w:t>
      </w:r>
      <w:r w:rsidR="005B1551">
        <w:rPr>
          <w:iCs/>
          <w:lang w:val="es-ES_tradnl"/>
        </w:rPr>
        <w:t>2.23, 2.24 de la decisión de admisibilidad</w:t>
      </w:r>
      <w:r w:rsidR="00C0300A">
        <w:rPr>
          <w:lang w:val="es-ES_tradnl"/>
        </w:rPr>
        <w:t xml:space="preserve">). </w:t>
      </w:r>
      <w:r w:rsidR="005B1551">
        <w:rPr>
          <w:lang w:val="es-ES_tradnl"/>
        </w:rPr>
        <w:t xml:space="preserve">El Ministerio Fiscal consideró </w:t>
      </w:r>
      <w:r w:rsidR="00CC53E6">
        <w:rPr>
          <w:lang w:val="es-ES_tradnl"/>
        </w:rPr>
        <w:t xml:space="preserve">también </w:t>
      </w:r>
      <w:r w:rsidR="005B1551">
        <w:rPr>
          <w:lang w:val="es-ES_tradnl"/>
        </w:rPr>
        <w:t xml:space="preserve">que </w:t>
      </w:r>
      <w:r w:rsidR="005B1551" w:rsidRPr="005B1551">
        <w:rPr>
          <w:lang w:val="es-ES"/>
        </w:rPr>
        <w:t xml:space="preserve">la interpretación </w:t>
      </w:r>
      <w:r w:rsidR="005B1551">
        <w:rPr>
          <w:lang w:val="es-ES"/>
        </w:rPr>
        <w:t xml:space="preserve">del autor </w:t>
      </w:r>
      <w:r w:rsidR="005B1551" w:rsidRPr="005B1551">
        <w:rPr>
          <w:lang w:val="es-ES"/>
        </w:rPr>
        <w:t>del artículo 51(2) de la Ley General Penitenciaria fue correcta</w:t>
      </w:r>
      <w:r w:rsidR="005B1551">
        <w:rPr>
          <w:lang w:val="es-ES"/>
        </w:rPr>
        <w:t xml:space="preserve"> (párr. </w:t>
      </w:r>
      <w:r w:rsidR="00BF17BA">
        <w:rPr>
          <w:lang w:val="es-ES"/>
        </w:rPr>
        <w:t xml:space="preserve">2.13, 2.14, </w:t>
      </w:r>
      <w:r w:rsidR="005B1551">
        <w:rPr>
          <w:lang w:val="es-ES"/>
        </w:rPr>
        <w:t>2.26 de la decisión de admisibilidad)</w:t>
      </w:r>
      <w:r w:rsidR="00CC53E6">
        <w:rPr>
          <w:lang w:val="es-ES"/>
        </w:rPr>
        <w:t xml:space="preserve">. </w:t>
      </w:r>
      <w:r w:rsidR="0075072A">
        <w:rPr>
          <w:lang w:val="es-ES"/>
        </w:rPr>
        <w:t>Por otra parte, s</w:t>
      </w:r>
      <w:r w:rsidR="00BF17BA">
        <w:rPr>
          <w:lang w:val="es-ES"/>
        </w:rPr>
        <w:t>egún información del autor</w:t>
      </w:r>
      <w:r w:rsidR="0075072A">
        <w:rPr>
          <w:lang w:val="es-ES"/>
        </w:rPr>
        <w:t xml:space="preserve"> (párr. 2.27 de la decisión de admisibilidad)</w:t>
      </w:r>
      <w:r w:rsidR="00BF17BA">
        <w:rPr>
          <w:lang w:val="es-ES"/>
        </w:rPr>
        <w:t xml:space="preserve">, no </w:t>
      </w:r>
      <w:r w:rsidR="00DE16A8">
        <w:rPr>
          <w:lang w:val="es-ES"/>
        </w:rPr>
        <w:t>refutada</w:t>
      </w:r>
      <w:r w:rsidR="00BF17BA">
        <w:rPr>
          <w:lang w:val="es-ES"/>
        </w:rPr>
        <w:t xml:space="preserve"> por el Estado parte, </w:t>
      </w:r>
      <w:r w:rsidR="00BF17BA" w:rsidRPr="00BF17BA">
        <w:rPr>
          <w:lang w:val="es-ES"/>
        </w:rPr>
        <w:t xml:space="preserve">el juez del Tribunal Superior de Justicia de Madrid, que sustituyó al autor en la instrucción del caso </w:t>
      </w:r>
      <w:proofErr w:type="spellStart"/>
      <w:r w:rsidR="00BF17BA" w:rsidRPr="00BF17BA">
        <w:rPr>
          <w:lang w:val="es-ES"/>
        </w:rPr>
        <w:t>Gürtel</w:t>
      </w:r>
      <w:proofErr w:type="spellEnd"/>
      <w:r w:rsidR="0075072A">
        <w:rPr>
          <w:lang w:val="es-ES"/>
        </w:rPr>
        <w:t>,</w:t>
      </w:r>
      <w:r w:rsidR="00BF17BA" w:rsidRPr="00BF17BA">
        <w:rPr>
          <w:lang w:val="es-ES"/>
        </w:rPr>
        <w:t xml:space="preserve"> prorrog</w:t>
      </w:r>
      <w:r w:rsidR="00BF17BA">
        <w:rPr>
          <w:lang w:val="es-ES"/>
        </w:rPr>
        <w:t>ó</w:t>
      </w:r>
      <w:r w:rsidR="00BF17BA" w:rsidRPr="00BF17BA">
        <w:rPr>
          <w:lang w:val="es-ES"/>
        </w:rPr>
        <w:t xml:space="preserve"> e </w:t>
      </w:r>
      <w:r w:rsidR="00BF17BA">
        <w:rPr>
          <w:lang w:val="es-ES"/>
        </w:rPr>
        <w:t xml:space="preserve">incluso </w:t>
      </w:r>
      <w:r w:rsidR="00BF17BA" w:rsidRPr="00BF17BA">
        <w:rPr>
          <w:lang w:val="es-ES"/>
        </w:rPr>
        <w:t>ampli</w:t>
      </w:r>
      <w:r w:rsidR="00BF17BA">
        <w:rPr>
          <w:lang w:val="es-ES"/>
        </w:rPr>
        <w:t>ó</w:t>
      </w:r>
      <w:r w:rsidR="00BF17BA" w:rsidRPr="00BF17BA">
        <w:rPr>
          <w:lang w:val="es-ES"/>
        </w:rPr>
        <w:t xml:space="preserve"> </w:t>
      </w:r>
      <w:r w:rsidR="0075072A" w:rsidRPr="0075072A">
        <w:rPr>
          <w:lang w:val="es-ES"/>
        </w:rPr>
        <w:t>la intervención de las comunicaciones de los imputados</w:t>
      </w:r>
      <w:r w:rsidR="00DE16A8">
        <w:rPr>
          <w:lang w:val="es-ES"/>
        </w:rPr>
        <w:t>, habiendo</w:t>
      </w:r>
      <w:r w:rsidR="00BF17BA" w:rsidRPr="00BF17BA">
        <w:rPr>
          <w:lang w:val="es-ES"/>
        </w:rPr>
        <w:t xml:space="preserve"> </w:t>
      </w:r>
      <w:r w:rsidR="0075072A">
        <w:rPr>
          <w:lang w:val="es-ES"/>
        </w:rPr>
        <w:t xml:space="preserve">también </w:t>
      </w:r>
      <w:r w:rsidR="00BF17BA" w:rsidRPr="00BF17BA">
        <w:rPr>
          <w:lang w:val="es-ES"/>
        </w:rPr>
        <w:t>sentencias dictadas en los últimos años en las que se revocaron intervenciones telefónicas sin consecuencias</w:t>
      </w:r>
      <w:r w:rsidR="0075072A">
        <w:rPr>
          <w:lang w:val="es-ES"/>
        </w:rPr>
        <w:t xml:space="preserve">, </w:t>
      </w:r>
      <w:r w:rsidR="00774BB0" w:rsidRPr="00224590">
        <w:rPr>
          <w:i/>
          <w:iCs/>
          <w:lang w:val="es-ES"/>
        </w:rPr>
        <w:t>máxime</w:t>
      </w:r>
      <w:r w:rsidR="0075072A">
        <w:rPr>
          <w:lang w:val="es-ES"/>
        </w:rPr>
        <w:t xml:space="preserve"> penales,</w:t>
      </w:r>
      <w:r w:rsidR="00BF17BA" w:rsidRPr="00BF17BA">
        <w:rPr>
          <w:lang w:val="es-ES"/>
        </w:rPr>
        <w:t xml:space="preserve"> para los jueces instructores en las mismas</w:t>
      </w:r>
      <w:r w:rsidR="0075072A">
        <w:rPr>
          <w:lang w:val="es-ES"/>
        </w:rPr>
        <w:t>.</w:t>
      </w:r>
      <w:r w:rsidR="007D1546" w:rsidRPr="005D6551">
        <w:rPr>
          <w:lang w:val="es-ES"/>
        </w:rPr>
        <w:t xml:space="preserve"> </w:t>
      </w:r>
      <w:r w:rsidR="007D1546" w:rsidRPr="00773702">
        <w:rPr>
          <w:lang w:val="es-ES"/>
        </w:rPr>
        <w:t xml:space="preserve">El Comité observa, por </w:t>
      </w:r>
      <w:r w:rsidR="00773702" w:rsidRPr="00773702">
        <w:rPr>
          <w:lang w:val="es-ES"/>
        </w:rPr>
        <w:t>último</w:t>
      </w:r>
      <w:r w:rsidR="007D1546" w:rsidRPr="005D6551">
        <w:rPr>
          <w:lang w:val="es-ES"/>
        </w:rPr>
        <w:t xml:space="preserve">, que el artículo 118(4) </w:t>
      </w:r>
      <w:r w:rsidR="007D1546" w:rsidRPr="00773702">
        <w:rPr>
          <w:color w:val="000000"/>
          <w:lang w:val="es-ES"/>
        </w:rPr>
        <w:t>de la nueva Ley de Enjuiciamiento Criminal</w:t>
      </w:r>
      <w:r w:rsidR="00773702" w:rsidRPr="00773702">
        <w:rPr>
          <w:color w:val="000000"/>
          <w:lang w:val="es-ES"/>
        </w:rPr>
        <w:t xml:space="preserve"> de 2015 confirm</w:t>
      </w:r>
      <w:r w:rsidR="00773702" w:rsidRPr="005D6551">
        <w:rPr>
          <w:color w:val="000000"/>
          <w:lang w:val="es-ES"/>
        </w:rPr>
        <w:t xml:space="preserve">ó la posición del autor al permitir </w:t>
      </w:r>
      <w:r w:rsidR="00773702" w:rsidRPr="00773702">
        <w:rPr>
          <w:color w:val="000000"/>
          <w:lang w:val="es-ES"/>
        </w:rPr>
        <w:t>excepciones</w:t>
      </w:r>
      <w:r w:rsidR="00773702" w:rsidRPr="005D6551">
        <w:rPr>
          <w:color w:val="000000"/>
          <w:lang w:val="es-ES"/>
        </w:rPr>
        <w:t xml:space="preserve"> a la confidencialidad de las comunicaciones </w:t>
      </w:r>
      <w:r w:rsidR="007D1546" w:rsidRPr="005D6551">
        <w:rPr>
          <w:bCs/>
          <w:lang w:val="es-ES"/>
        </w:rPr>
        <w:t>“</w:t>
      </w:r>
      <w:r w:rsidR="00773702">
        <w:rPr>
          <w:lang w:val="es-ES_tradnl"/>
        </w:rPr>
        <w:t>cuando se constate la existencia de indicios objetivos de la participación el abogado en el hecho delictivo investigado o de su implicación junto con el investigado o encausado en la comisión e otra infracción penal</w:t>
      </w:r>
      <w:r w:rsidR="007D1546" w:rsidRPr="005D6551">
        <w:rPr>
          <w:bCs/>
          <w:lang w:val="es-ES"/>
        </w:rPr>
        <w:t>”.</w:t>
      </w:r>
    </w:p>
    <w:p w14:paraId="58634AEF" w14:textId="028A13FB" w:rsidR="00A64480" w:rsidRPr="00645C5D" w:rsidRDefault="00224590" w:rsidP="00224590">
      <w:pPr>
        <w:pStyle w:val="SingleTxtG"/>
        <w:rPr>
          <w:color w:val="000000"/>
          <w:lang w:val="es-PY"/>
        </w:rPr>
      </w:pPr>
      <w:r>
        <w:rPr>
          <w:lang w:val="es-ES_tradnl"/>
        </w:rPr>
        <w:t>5.</w:t>
      </w:r>
      <w:r w:rsidR="00C97D67">
        <w:rPr>
          <w:lang w:val="es-ES_tradnl"/>
        </w:rPr>
        <w:t>17</w:t>
      </w:r>
      <w:r>
        <w:rPr>
          <w:lang w:val="es-ES_tradnl"/>
        </w:rPr>
        <w:tab/>
      </w:r>
      <w:r w:rsidR="009524E1">
        <w:rPr>
          <w:lang w:val="es-ES_tradnl"/>
        </w:rPr>
        <w:t>Habiendo co</w:t>
      </w:r>
      <w:r w:rsidR="00FC40DF">
        <w:rPr>
          <w:lang w:val="es-ES_tradnl"/>
        </w:rPr>
        <w:t>nsiderado</w:t>
      </w:r>
      <w:r w:rsidR="0075072A">
        <w:rPr>
          <w:lang w:val="es-ES_tradnl"/>
        </w:rPr>
        <w:t>, a la luz de toda esta información,</w:t>
      </w:r>
      <w:r w:rsidR="009524E1">
        <w:rPr>
          <w:lang w:val="es-ES_tradnl"/>
        </w:rPr>
        <w:t xml:space="preserve"> el actuar del autor en el marco del caso </w:t>
      </w:r>
      <w:proofErr w:type="spellStart"/>
      <w:r w:rsidR="009524E1">
        <w:rPr>
          <w:lang w:val="es-ES_tradnl"/>
        </w:rPr>
        <w:t>Gürtel</w:t>
      </w:r>
      <w:proofErr w:type="spellEnd"/>
      <w:r w:rsidR="0075072A">
        <w:rPr>
          <w:lang w:val="es-ES_tradnl"/>
        </w:rPr>
        <w:t>, el Comité no pude llegar a la conclusión de que</w:t>
      </w:r>
      <w:r w:rsidR="009524E1">
        <w:rPr>
          <w:lang w:val="es-ES_tradnl"/>
        </w:rPr>
        <w:t xml:space="preserve"> </w:t>
      </w:r>
      <w:r w:rsidR="00FC40DF">
        <w:rPr>
          <w:lang w:val="es-ES_tradnl"/>
        </w:rPr>
        <w:t xml:space="preserve">su interpretación de la legislación nacional </w:t>
      </w:r>
      <w:r w:rsidR="001D1FD9">
        <w:rPr>
          <w:color w:val="000000"/>
          <w:lang w:val="es-ES"/>
        </w:rPr>
        <w:t>constituyó una conducta o incompetencia grave que pudiera justificar</w:t>
      </w:r>
      <w:r w:rsidR="00D2745A">
        <w:rPr>
          <w:color w:val="000000"/>
          <w:lang w:val="es-ES"/>
        </w:rPr>
        <w:t xml:space="preserve"> su condena penal, resultando en la pérdida definitiva de su cargo</w:t>
      </w:r>
      <w:r w:rsidR="00EE1731">
        <w:rPr>
          <w:lang w:val="es-ES_tradnl"/>
        </w:rPr>
        <w:t>.</w:t>
      </w:r>
      <w:r w:rsidR="000464DC">
        <w:rPr>
          <w:lang w:val="es-ES_tradnl"/>
        </w:rPr>
        <w:t xml:space="preserve"> </w:t>
      </w:r>
      <w:r w:rsidR="00EE1731">
        <w:rPr>
          <w:lang w:val="es-ES_tradnl"/>
        </w:rPr>
        <w:t xml:space="preserve">Asimismo, el Comité considera que la condena del autor </w:t>
      </w:r>
      <w:r w:rsidR="00EE1731" w:rsidRPr="00EE1731">
        <w:rPr>
          <w:lang w:val="es-ES"/>
        </w:rPr>
        <w:t xml:space="preserve">fue arbitraria </w:t>
      </w:r>
      <w:r w:rsidR="00773702">
        <w:rPr>
          <w:lang w:val="es-ES"/>
        </w:rPr>
        <w:t xml:space="preserve">e imprevisible al </w:t>
      </w:r>
      <w:r w:rsidR="00DE16A8">
        <w:rPr>
          <w:lang w:val="es-ES"/>
        </w:rPr>
        <w:t>no</w:t>
      </w:r>
      <w:r w:rsidR="00773702">
        <w:rPr>
          <w:lang w:val="es-ES"/>
        </w:rPr>
        <w:t xml:space="preserve"> estar</w:t>
      </w:r>
      <w:r w:rsidR="00DE16A8">
        <w:rPr>
          <w:lang w:val="es-ES"/>
        </w:rPr>
        <w:t xml:space="preserve"> basada en </w:t>
      </w:r>
      <w:r w:rsidR="00773702">
        <w:rPr>
          <w:lang w:val="es-ES"/>
        </w:rPr>
        <w:t xml:space="preserve">provisiones </w:t>
      </w:r>
      <w:r w:rsidR="00DE16A8">
        <w:rPr>
          <w:lang w:val="es-ES"/>
        </w:rPr>
        <w:t>suficientemente expl</w:t>
      </w:r>
      <w:r w:rsidR="00E3772C">
        <w:rPr>
          <w:lang w:val="es-ES"/>
        </w:rPr>
        <w:t>í</w:t>
      </w:r>
      <w:r w:rsidR="00DE16A8">
        <w:rPr>
          <w:lang w:val="es-ES"/>
        </w:rPr>
        <w:t>cit</w:t>
      </w:r>
      <w:r w:rsidR="00773702">
        <w:rPr>
          <w:lang w:val="es-ES"/>
        </w:rPr>
        <w:t>as, claras y precisas</w:t>
      </w:r>
      <w:r w:rsidR="00DE16A8">
        <w:rPr>
          <w:lang w:val="es-ES"/>
        </w:rPr>
        <w:t xml:space="preserve"> </w:t>
      </w:r>
      <w:r w:rsidR="00773702">
        <w:rPr>
          <w:lang w:val="es-ES"/>
        </w:rPr>
        <w:t>que definan</w:t>
      </w:r>
      <w:r w:rsidR="00DE16A8">
        <w:rPr>
          <w:lang w:val="es-ES"/>
        </w:rPr>
        <w:t xml:space="preserve"> con exactitud la conducta prohibida</w:t>
      </w:r>
      <w:r w:rsidR="001D1FD9">
        <w:rPr>
          <w:lang w:val="es-ES_tradnl"/>
        </w:rPr>
        <w:t>, en violación del artículo 15, párrafo 1 del Pacto</w:t>
      </w:r>
      <w:r w:rsidR="00FC40DF">
        <w:rPr>
          <w:lang w:val="es-ES_tradnl"/>
        </w:rPr>
        <w:t>.</w:t>
      </w:r>
    </w:p>
    <w:p w14:paraId="23A92F2A" w14:textId="76FF009A" w:rsidR="006333EF" w:rsidRDefault="002277CD" w:rsidP="002277CD">
      <w:pPr>
        <w:pStyle w:val="SingleTxtG"/>
        <w:rPr>
          <w:lang w:val="es-PY"/>
        </w:rPr>
      </w:pPr>
      <w:r>
        <w:rPr>
          <w:lang w:val="es-PY"/>
        </w:rPr>
        <w:t>6</w:t>
      </w:r>
      <w:r w:rsidRPr="008A6434">
        <w:rPr>
          <w:lang w:val="es-PY"/>
        </w:rPr>
        <w:t>.</w:t>
      </w:r>
      <w:r w:rsidRPr="008A6434">
        <w:rPr>
          <w:lang w:val="es-PY"/>
        </w:rPr>
        <w:tab/>
        <w:t>El Comité, actuando en virtud del artículo 5 párrafo 4, del Protocolo Facultativo, dictamina que la información que tiene ante sí pone de manifiesto que el Estado parte ha infringido los artículo</w:t>
      </w:r>
      <w:r>
        <w:rPr>
          <w:lang w:val="es-PY"/>
        </w:rPr>
        <w:t>s</w:t>
      </w:r>
      <w:r w:rsidR="00FC40DF">
        <w:rPr>
          <w:lang w:val="es-PY"/>
        </w:rPr>
        <w:t xml:space="preserve"> 14, párrafos 1 y 5, y 15 del Pacto. </w:t>
      </w:r>
    </w:p>
    <w:p w14:paraId="0AE5553E" w14:textId="4C054E03" w:rsidR="002277CD" w:rsidRPr="008A6434" w:rsidRDefault="002277CD" w:rsidP="002277CD">
      <w:pPr>
        <w:pStyle w:val="SingleTxtG"/>
        <w:rPr>
          <w:lang w:val="es-PY"/>
        </w:rPr>
      </w:pPr>
      <w:r>
        <w:rPr>
          <w:lang w:val="es-PY"/>
        </w:rPr>
        <w:t>7</w:t>
      </w:r>
      <w:r w:rsidRPr="008A6434">
        <w:rPr>
          <w:lang w:val="es-PY"/>
        </w:rPr>
        <w:t>.</w:t>
      </w:r>
      <w:r w:rsidRPr="008A6434">
        <w:rPr>
          <w:lang w:val="es-PY"/>
        </w:rPr>
        <w:tab/>
        <w:t xml:space="preserve">De conformidad con el artículo 2, párrafo 3, inciso a, del Pacto, el Estado parte tiene la obligación de proporcionar </w:t>
      </w:r>
      <w:r>
        <w:rPr>
          <w:lang w:val="es-PY"/>
        </w:rPr>
        <w:t>al autor</w:t>
      </w:r>
      <w:r w:rsidRPr="008A6434">
        <w:rPr>
          <w:lang w:val="es-PY"/>
        </w:rPr>
        <w:t xml:space="preserve"> un recurso efectivo</w:t>
      </w:r>
      <w:r w:rsidR="0097045B">
        <w:rPr>
          <w:lang w:val="es-PY"/>
        </w:rPr>
        <w:t>.</w:t>
      </w:r>
      <w:r w:rsidR="0097045B" w:rsidRPr="0097045B">
        <w:rPr>
          <w:lang w:val="es-ES_tradnl"/>
        </w:rPr>
        <w:t xml:space="preserve"> </w:t>
      </w:r>
      <w:r w:rsidR="0097045B">
        <w:rPr>
          <w:lang w:val="es-ES_tradnl"/>
        </w:rPr>
        <w:t xml:space="preserve">Ello requiere una reparación integral a los individuos cuyos derechos hayan sido violados. </w:t>
      </w:r>
      <w:r w:rsidR="00773702">
        <w:rPr>
          <w:lang w:val="es-ES_tradnl"/>
        </w:rPr>
        <w:t>En consecuencia</w:t>
      </w:r>
      <w:r w:rsidR="0097045B">
        <w:rPr>
          <w:lang w:val="es-ES_tradnl"/>
        </w:rPr>
        <w:t xml:space="preserve">, el Estado parte </w:t>
      </w:r>
      <w:r w:rsidR="00773702">
        <w:rPr>
          <w:lang w:val="es-ES_tradnl"/>
        </w:rPr>
        <w:t xml:space="preserve">tiene la obligación, inter </w:t>
      </w:r>
      <w:proofErr w:type="spellStart"/>
      <w:r w:rsidR="00773702">
        <w:rPr>
          <w:lang w:val="es-ES_tradnl"/>
        </w:rPr>
        <w:t>alia</w:t>
      </w:r>
      <w:proofErr w:type="spellEnd"/>
      <w:r w:rsidR="00773702">
        <w:rPr>
          <w:lang w:val="es-ES_tradnl"/>
        </w:rPr>
        <w:t xml:space="preserve">, de borrar los antecedentes penales del autor y de </w:t>
      </w:r>
      <w:proofErr w:type="gramStart"/>
      <w:r w:rsidR="00773702">
        <w:rPr>
          <w:lang w:val="es-ES_tradnl"/>
        </w:rPr>
        <w:t xml:space="preserve">proporcionarle </w:t>
      </w:r>
      <w:r w:rsidR="004D63BD">
        <w:rPr>
          <w:lang w:val="es-PY"/>
        </w:rPr>
        <w:t xml:space="preserve"> una</w:t>
      </w:r>
      <w:proofErr w:type="gramEnd"/>
      <w:r w:rsidR="004D63BD">
        <w:rPr>
          <w:lang w:val="es-PY"/>
        </w:rPr>
        <w:t xml:space="preserve"> compensación adecuada por el daño sufrido.</w:t>
      </w:r>
      <w:r w:rsidRPr="008A6434">
        <w:rPr>
          <w:lang w:val="es-PY"/>
        </w:rPr>
        <w:t xml:space="preserve"> El Estado parte tiene también la obligación de adoptar medidas para evitar que se cometan </w:t>
      </w:r>
      <w:r>
        <w:rPr>
          <w:lang w:val="es-PY"/>
        </w:rPr>
        <w:t xml:space="preserve">violaciones </w:t>
      </w:r>
      <w:r w:rsidRPr="008A6434">
        <w:rPr>
          <w:lang w:val="es-PY"/>
        </w:rPr>
        <w:t>semejantes en el futuro</w:t>
      </w:r>
      <w:r w:rsidR="000464DC">
        <w:rPr>
          <w:lang w:val="es-PY"/>
        </w:rPr>
        <w:t>.</w:t>
      </w:r>
      <w:r w:rsidR="00EE1731">
        <w:rPr>
          <w:lang w:val="es-PY"/>
        </w:rPr>
        <w:t xml:space="preserve"> </w:t>
      </w:r>
    </w:p>
    <w:p w14:paraId="1D36B29D" w14:textId="77777777" w:rsidR="00273022" w:rsidRDefault="002277CD" w:rsidP="00273022">
      <w:pPr>
        <w:pStyle w:val="SingleTxtG"/>
        <w:rPr>
          <w:lang w:val="es-PY"/>
        </w:rPr>
        <w:sectPr w:rsidR="00273022" w:rsidSect="007827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pPr>
      <w:r>
        <w:rPr>
          <w:lang w:val="es-PY"/>
        </w:rPr>
        <w:t>8</w:t>
      </w:r>
      <w:r w:rsidRPr="008A6434">
        <w:rPr>
          <w:lang w:val="es-PY"/>
        </w:rPr>
        <w:t>.</w:t>
      </w:r>
      <w:r w:rsidRPr="008A6434">
        <w:rPr>
          <w:lang w:val="es-PY"/>
        </w:rPr>
        <w:tab/>
        <w:t>Teniendo presente que, por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presente dictamen</w:t>
      </w:r>
      <w:r w:rsidR="004D63BD">
        <w:rPr>
          <w:lang w:val="es-PY"/>
        </w:rPr>
        <w:t>, así como la decisión de admisibilidad del Comité,</w:t>
      </w:r>
      <w:r w:rsidRPr="008A6434">
        <w:rPr>
          <w:lang w:val="es-PY"/>
        </w:rPr>
        <w:t xml:space="preserve"> y que le</w:t>
      </w:r>
      <w:r w:rsidR="004D63BD">
        <w:rPr>
          <w:lang w:val="es-PY"/>
        </w:rPr>
        <w:t>s</w:t>
      </w:r>
      <w:r w:rsidRPr="008A6434">
        <w:rPr>
          <w:lang w:val="es-PY"/>
        </w:rPr>
        <w:t xml:space="preserve"> dé amplia difusión.</w:t>
      </w:r>
    </w:p>
    <w:p w14:paraId="5A7D1FDA" w14:textId="4A017FA1" w:rsidR="00273022" w:rsidRDefault="00782704" w:rsidP="00782704">
      <w:pPr>
        <w:pStyle w:val="H1G"/>
        <w:rPr>
          <w:iCs/>
          <w:lang w:val="es-ES"/>
        </w:rPr>
      </w:pPr>
      <w:r>
        <w:rPr>
          <w:lang w:val="es-PY"/>
        </w:rPr>
        <w:lastRenderedPageBreak/>
        <w:tab/>
      </w:r>
      <w:r>
        <w:rPr>
          <w:lang w:val="es-PY"/>
        </w:rPr>
        <w:tab/>
      </w:r>
      <w:r w:rsidR="00273022">
        <w:rPr>
          <w:lang w:val="es-PY"/>
        </w:rPr>
        <w:t xml:space="preserve">Anexo I: </w:t>
      </w:r>
      <w:r w:rsidR="00273022" w:rsidRPr="00833C8B">
        <w:rPr>
          <w:lang w:val="es-PY"/>
        </w:rPr>
        <w:t xml:space="preserve">Opinión conjunta (concurrente) de los miembros </w:t>
      </w:r>
      <w:proofErr w:type="spellStart"/>
      <w:r w:rsidR="00273022" w:rsidRPr="00833C8B">
        <w:rPr>
          <w:iCs/>
          <w:lang w:val="es-ES"/>
        </w:rPr>
        <w:t>Gentian</w:t>
      </w:r>
      <w:proofErr w:type="spellEnd"/>
      <w:r w:rsidR="00273022" w:rsidRPr="00833C8B">
        <w:rPr>
          <w:iCs/>
          <w:lang w:val="es-ES"/>
        </w:rPr>
        <w:t xml:space="preserve"> </w:t>
      </w:r>
      <w:proofErr w:type="spellStart"/>
      <w:r w:rsidR="00273022" w:rsidRPr="00833C8B">
        <w:rPr>
          <w:iCs/>
          <w:lang w:val="es-ES"/>
        </w:rPr>
        <w:t>Zyberi</w:t>
      </w:r>
      <w:proofErr w:type="spellEnd"/>
      <w:r w:rsidR="00273022" w:rsidRPr="00833C8B">
        <w:rPr>
          <w:iCs/>
          <w:lang w:val="es-ES"/>
        </w:rPr>
        <w:t xml:space="preserve"> y Hernán Quezada Cabrera</w:t>
      </w:r>
    </w:p>
    <w:p w14:paraId="4A735553" w14:textId="50ABA120" w:rsidR="00915D4D" w:rsidRPr="005A78DA" w:rsidRDefault="00915D4D" w:rsidP="00915D4D">
      <w:pPr>
        <w:pStyle w:val="SingleTxtG"/>
      </w:pPr>
      <w:r>
        <w:t>1.</w:t>
      </w:r>
      <w:r>
        <w:tab/>
      </w:r>
      <w:r w:rsidRPr="005A78DA">
        <w:t xml:space="preserve">While </w:t>
      </w:r>
      <w:r>
        <w:t>we are</w:t>
      </w:r>
      <w:r w:rsidRPr="005A78DA">
        <w:t xml:space="preserve"> agreed with the Committee concerning the findings of violations by the State party of article 14 (1) and (5) and article 15 of the Covenant, </w:t>
      </w:r>
      <w:r>
        <w:t>our</w:t>
      </w:r>
      <w:r w:rsidRPr="005A78DA">
        <w:t xml:space="preserve"> concurring opinion relates to the remedy part</w:t>
      </w:r>
      <w:r>
        <w:t xml:space="preserve">, which the Committee has limited to </w:t>
      </w:r>
      <w:r w:rsidRPr="005A78DA">
        <w:t>expung</w:t>
      </w:r>
      <w:r>
        <w:t>ing</w:t>
      </w:r>
      <w:r w:rsidRPr="005A78DA">
        <w:t xml:space="preserve"> the author’s criminal record</w:t>
      </w:r>
      <w:r>
        <w:t>,</w:t>
      </w:r>
      <w:r w:rsidRPr="005A78DA">
        <w:t xml:space="preserve"> </w:t>
      </w:r>
      <w:r>
        <w:t>alongside</w:t>
      </w:r>
      <w:r w:rsidRPr="005A78DA">
        <w:t xml:space="preserve"> </w:t>
      </w:r>
      <w:r>
        <w:t xml:space="preserve">providing </w:t>
      </w:r>
      <w:r w:rsidRPr="005A78DA">
        <w:t>adequate compensation</w:t>
      </w:r>
      <w:r>
        <w:t xml:space="preserve"> and ensuring non-repetition</w:t>
      </w:r>
      <w:r w:rsidRPr="005A78DA">
        <w:t>.</w:t>
      </w:r>
      <w:r>
        <w:rPr>
          <w:rStyle w:val="FootnoteReference"/>
          <w:sz w:val="24"/>
          <w:szCs w:val="24"/>
        </w:rPr>
        <w:footnoteReference w:id="44"/>
      </w:r>
    </w:p>
    <w:p w14:paraId="3BDD090C" w14:textId="12AE38AB" w:rsidR="00915D4D" w:rsidRDefault="00915D4D" w:rsidP="00915D4D">
      <w:pPr>
        <w:pStyle w:val="SingleTxtG"/>
      </w:pPr>
      <w:r>
        <w:t>2.</w:t>
      </w:r>
      <w:r>
        <w:tab/>
      </w:r>
      <w:r>
        <w:t xml:space="preserve">The circumspect remedy indicated by the Committee stands in contrast with its findings in paragraphs 5.8, 5.11 and 5.17, where it notes among others that the author’s actions </w:t>
      </w:r>
      <w:r w:rsidRPr="00694553">
        <w:t xml:space="preserve">did not constitute serious misconduct or incompetence such as would justify his criminal conviction and sanction </w:t>
      </w:r>
      <w:r>
        <w:t xml:space="preserve">removing him from his post and </w:t>
      </w:r>
      <w:r w:rsidRPr="00694553">
        <w:t>disbarring him from office</w:t>
      </w:r>
      <w:r>
        <w:t xml:space="preserve"> for 11 years.</w:t>
      </w:r>
    </w:p>
    <w:p w14:paraId="0130ACBE" w14:textId="3ADAB4DD" w:rsidR="00915D4D" w:rsidRDefault="00915D4D" w:rsidP="00915D4D">
      <w:pPr>
        <w:pStyle w:val="SingleTxtG"/>
      </w:pPr>
      <w:r>
        <w:t>3.</w:t>
      </w:r>
      <w:r>
        <w:tab/>
      </w:r>
      <w:r>
        <w:t xml:space="preserve">In its </w:t>
      </w:r>
      <w:r w:rsidRPr="007A777C">
        <w:t>Guidelines on measures of reparation under the Optional Protocol</w:t>
      </w:r>
      <w:r>
        <w:t xml:space="preserve">, the Committee has indicated that while it advises </w:t>
      </w:r>
      <w:r w:rsidRPr="007A777C">
        <w:t>authors to include in their submissions an indication of the types of reparation that they are seeking</w:t>
      </w:r>
      <w:r>
        <w:t xml:space="preserve"> and State parties </w:t>
      </w:r>
      <w:r w:rsidRPr="007A777C">
        <w:t>are then requested to comment specifically on that aspect of the authors’ submissions</w:t>
      </w:r>
      <w:r>
        <w:t>, t</w:t>
      </w:r>
      <w:r w:rsidRPr="007A777C">
        <w:t>he information provided by the authors and the States parties in that regard is used by the Committee for reference only; the Committee is not obligated or limited by it.</w:t>
      </w:r>
      <w:r>
        <w:rPr>
          <w:rStyle w:val="FootnoteReference"/>
          <w:sz w:val="24"/>
          <w:szCs w:val="24"/>
        </w:rPr>
        <w:footnoteReference w:id="45"/>
      </w:r>
      <w:r>
        <w:t xml:space="preserve"> When it comes to different forms of reparations, restitution is usually the preferred form, where and when possible.</w:t>
      </w:r>
      <w:r>
        <w:rPr>
          <w:rStyle w:val="FootnoteReference"/>
          <w:sz w:val="24"/>
          <w:szCs w:val="24"/>
        </w:rPr>
        <w:footnoteReference w:id="46"/>
      </w:r>
      <w:r>
        <w:t xml:space="preserve"> This is reflected in the Guidelines, where the Committee notes that it “</w:t>
      </w:r>
      <w:r w:rsidRPr="007A777C">
        <w:t>requests that States parties provide for measures of restitution with a view to restoring rights that have been violated. Such measures may include, for example, the victim’s reinstatement in employment that was lost as a result of the violation committed.</w:t>
      </w:r>
      <w:r>
        <w:t>”</w:t>
      </w:r>
      <w:r>
        <w:rPr>
          <w:rStyle w:val="FootnoteReference"/>
          <w:sz w:val="24"/>
          <w:szCs w:val="24"/>
        </w:rPr>
        <w:footnoteReference w:id="47"/>
      </w:r>
      <w:r>
        <w:t xml:space="preserve"> </w:t>
      </w:r>
    </w:p>
    <w:p w14:paraId="368A21AD" w14:textId="4BFD6BF0" w:rsidR="00915D4D" w:rsidRPr="00915D4D" w:rsidRDefault="00915D4D" w:rsidP="00915D4D">
      <w:pPr>
        <w:pStyle w:val="SingleTxtG"/>
        <w:rPr>
          <w:lang w:val="es-ES"/>
        </w:rPr>
      </w:pPr>
      <w:r>
        <w:t>4.</w:t>
      </w:r>
      <w:r>
        <w:tab/>
      </w:r>
      <w:r w:rsidRPr="009C6269">
        <w:t>In this case, while the remedy indicated by the Committee with respect to the author might implicitly pave the way for his restitution to the office, the Committee should have been explicit</w:t>
      </w:r>
      <w:r>
        <w:t xml:space="preserve"> </w:t>
      </w:r>
      <w:r w:rsidRPr="005A78DA">
        <w:t xml:space="preserve">in </w:t>
      </w:r>
      <w:r>
        <w:t xml:space="preserve">emphasizing full restitution, by indicating that </w:t>
      </w:r>
      <w:r w:rsidRPr="00BD5180">
        <w:t>the State party  is obligated to,</w:t>
      </w:r>
      <w:r>
        <w:t xml:space="preserve"> inter alia, </w:t>
      </w:r>
      <w:r w:rsidRPr="00BD5180">
        <w:t xml:space="preserve">annul the sanction imposed, </w:t>
      </w:r>
      <w:r>
        <w:t>expunge the author’</w:t>
      </w:r>
      <w:r w:rsidRPr="00BD5180">
        <w:t xml:space="preserve">s criminal record, </w:t>
      </w:r>
      <w:r>
        <w:t>reinstate</w:t>
      </w:r>
      <w:r w:rsidRPr="00BD5180">
        <w:t xml:space="preserve"> </w:t>
      </w:r>
      <w:r>
        <w:t xml:space="preserve">the author </w:t>
      </w:r>
      <w:r w:rsidRPr="00BD5180">
        <w:t xml:space="preserve">to the office he held before his sanctioning and disbarment if </w:t>
      </w:r>
      <w:r>
        <w:t>he</w:t>
      </w:r>
      <w:r w:rsidRPr="00BD5180">
        <w:t xml:space="preserve"> so </w:t>
      </w:r>
      <w:r>
        <w:t xml:space="preserve">requests, </w:t>
      </w:r>
      <w:r w:rsidRPr="00BD5180">
        <w:t>and to provide him with adequate compensation for the damage suffered</w:t>
      </w:r>
      <w:r>
        <w:t>.</w:t>
      </w:r>
    </w:p>
    <w:p w14:paraId="0D3BE09D" w14:textId="77777777" w:rsidR="00273022" w:rsidRPr="00833C8B" w:rsidRDefault="00273022" w:rsidP="00273022">
      <w:pPr>
        <w:spacing w:line="276" w:lineRule="auto"/>
        <w:jc w:val="both"/>
        <w:rPr>
          <w:iCs/>
          <w:lang w:val="es-ES"/>
        </w:rPr>
      </w:pPr>
    </w:p>
    <w:p w14:paraId="759A3893" w14:textId="175AED05" w:rsidR="00273022" w:rsidRPr="00915D4D" w:rsidRDefault="00273022" w:rsidP="00915D4D">
      <w:pPr>
        <w:pStyle w:val="SingleTxtG"/>
        <w:sectPr w:rsidR="00273022" w:rsidRPr="00915D4D" w:rsidSect="00782704">
          <w:footnotePr>
            <w:numRestart w:val="eachSect"/>
          </w:footnotePr>
          <w:endnotePr>
            <w:numFmt w:val="decimal"/>
          </w:endnotePr>
          <w:pgSz w:w="11907" w:h="16840" w:code="9"/>
          <w:pgMar w:top="1417" w:right="1134" w:bottom="1134" w:left="1134" w:header="850" w:footer="567" w:gutter="0"/>
          <w:cols w:space="720"/>
          <w:docGrid w:linePitch="272"/>
        </w:sectPr>
      </w:pPr>
    </w:p>
    <w:p w14:paraId="56FF9AA3" w14:textId="461F6C0F" w:rsidR="00273022" w:rsidRPr="00833C8B" w:rsidRDefault="00782704" w:rsidP="00782704">
      <w:pPr>
        <w:pStyle w:val="H1G"/>
        <w:rPr>
          <w:lang w:val="es-ES"/>
        </w:rPr>
      </w:pPr>
      <w:r w:rsidRPr="007B3E93">
        <w:lastRenderedPageBreak/>
        <w:tab/>
      </w:r>
      <w:r w:rsidRPr="007B3E93">
        <w:tab/>
      </w:r>
      <w:r w:rsidR="00273022">
        <w:rPr>
          <w:lang w:val="es-ES"/>
        </w:rPr>
        <w:t xml:space="preserve">Anexo II: </w:t>
      </w:r>
      <w:r w:rsidR="00273022" w:rsidRPr="00833C8B">
        <w:rPr>
          <w:lang w:val="es-ES"/>
        </w:rPr>
        <w:t xml:space="preserve">Opinión individual del miembro José Santos </w:t>
      </w:r>
      <w:proofErr w:type="spellStart"/>
      <w:r w:rsidR="00273022" w:rsidRPr="00833C8B">
        <w:rPr>
          <w:lang w:val="es-ES"/>
        </w:rPr>
        <w:t>Pais</w:t>
      </w:r>
      <w:proofErr w:type="spellEnd"/>
      <w:r w:rsidR="00273022" w:rsidRPr="00833C8B">
        <w:rPr>
          <w:lang w:val="es-ES"/>
        </w:rPr>
        <w:t xml:space="preserve"> (concurrente)</w:t>
      </w:r>
    </w:p>
    <w:p w14:paraId="26DC3D8D" w14:textId="5CF5569F" w:rsidR="00273022" w:rsidRPr="007B3E93" w:rsidRDefault="00273022" w:rsidP="00782704">
      <w:pPr>
        <w:pStyle w:val="SingleTxtG"/>
        <w:rPr>
          <w:rFonts w:eastAsia="Times New Roman"/>
          <w:lang w:eastAsia="es-ES"/>
        </w:rPr>
      </w:pPr>
      <w:r>
        <w:t>1</w:t>
      </w:r>
      <w:r w:rsidRPr="007B3E93">
        <w:rPr>
          <w:rFonts w:eastAsia="Times New Roman"/>
          <w:lang w:eastAsia="es-ES"/>
        </w:rPr>
        <w:t>.</w:t>
      </w:r>
      <w:r w:rsidRPr="007B3E93">
        <w:rPr>
          <w:rFonts w:eastAsia="Times New Roman"/>
          <w:lang w:eastAsia="es-ES"/>
        </w:rPr>
        <w:tab/>
        <w:t xml:space="preserve">I fully agree with the Committee’s Views. Two of the three proceedings against the author, the Franco regime and </w:t>
      </w:r>
      <w:proofErr w:type="spellStart"/>
      <w:r w:rsidRPr="007B3E93">
        <w:rPr>
          <w:rFonts w:eastAsia="Times New Roman"/>
          <w:lang w:eastAsia="es-ES"/>
        </w:rPr>
        <w:t>Gürtel</w:t>
      </w:r>
      <w:proofErr w:type="spellEnd"/>
      <w:r w:rsidRPr="007B3E93">
        <w:rPr>
          <w:rFonts w:eastAsia="Times New Roman"/>
          <w:lang w:eastAsia="es-ES"/>
        </w:rPr>
        <w:t xml:space="preserve"> cases, have clear political connotations. In neither of these cases did the Public Prosecution institute criminal proceedings against the author. Instead, private plaintiffs (organizations of extreme right in the Franco regime case, a lawyer of one of the defendants in the </w:t>
      </w:r>
      <w:proofErr w:type="spellStart"/>
      <w:r w:rsidRPr="007B3E93">
        <w:rPr>
          <w:rFonts w:eastAsia="Times New Roman"/>
          <w:lang w:eastAsia="es-ES"/>
        </w:rPr>
        <w:t>Gürtel</w:t>
      </w:r>
      <w:proofErr w:type="spellEnd"/>
      <w:r w:rsidRPr="007B3E93">
        <w:rPr>
          <w:rFonts w:eastAsia="Times New Roman"/>
          <w:lang w:eastAsia="es-ES"/>
        </w:rPr>
        <w:t xml:space="preserve"> case) pressed charges. Both proceedings were conducted simultaneously and resulted in sentences issued only 18 days apart.</w:t>
      </w:r>
    </w:p>
    <w:p w14:paraId="6A3217FF" w14:textId="78292D53" w:rsidR="00273022" w:rsidRPr="007B3E93" w:rsidRDefault="00273022" w:rsidP="00782704">
      <w:pPr>
        <w:pStyle w:val="SingleTxtG"/>
        <w:rPr>
          <w:rFonts w:eastAsia="Times New Roman"/>
          <w:lang w:eastAsia="es-ES"/>
        </w:rPr>
      </w:pPr>
      <w:r w:rsidRPr="007B3E93">
        <w:rPr>
          <w:rFonts w:eastAsia="Times New Roman"/>
          <w:lang w:eastAsia="es-ES"/>
        </w:rPr>
        <w:t>2.</w:t>
      </w:r>
      <w:r w:rsidRPr="007B3E93">
        <w:rPr>
          <w:rFonts w:eastAsia="Times New Roman"/>
          <w:lang w:eastAsia="es-ES"/>
        </w:rPr>
        <w:tab/>
        <w:t>In the Franco regime case, the author adopted a reasoned decision assuming jurisdiction. His decision was supported by 3 judges of the National High Court and some local courts. The author’s decision was therefore at least a plausible legal interpretation, as recognized by the Public Prosecution, the appropriateness of which was reviewed on appeal.  Ultimately, the Supreme Court judgment of 27 February 2012 acquitted the author of wilful abuse of power.</w:t>
      </w:r>
    </w:p>
    <w:p w14:paraId="1ECF804F" w14:textId="70146371" w:rsidR="00273022" w:rsidRPr="007B3E93" w:rsidRDefault="00273022" w:rsidP="00782704">
      <w:pPr>
        <w:pStyle w:val="SingleTxtG"/>
        <w:rPr>
          <w:rFonts w:eastAsia="Times New Roman"/>
          <w:lang w:eastAsia="es-ES"/>
        </w:rPr>
      </w:pPr>
      <w:r w:rsidRPr="007B3E93">
        <w:rPr>
          <w:rFonts w:eastAsia="Times New Roman"/>
          <w:lang w:eastAsia="es-ES"/>
        </w:rPr>
        <w:t>3.</w:t>
      </w:r>
      <w:r w:rsidRPr="007B3E93">
        <w:rPr>
          <w:rFonts w:eastAsia="Times New Roman"/>
          <w:lang w:eastAsia="es-ES"/>
        </w:rPr>
        <w:tab/>
        <w:t xml:space="preserve">In the </w:t>
      </w:r>
      <w:proofErr w:type="spellStart"/>
      <w:r w:rsidRPr="007B3E93">
        <w:rPr>
          <w:rFonts w:eastAsia="Times New Roman"/>
          <w:lang w:eastAsia="es-ES"/>
        </w:rPr>
        <w:t>Gürtel</w:t>
      </w:r>
      <w:proofErr w:type="spellEnd"/>
      <w:r w:rsidRPr="007B3E93">
        <w:rPr>
          <w:rFonts w:eastAsia="Times New Roman"/>
          <w:lang w:eastAsia="es-ES"/>
        </w:rPr>
        <w:t xml:space="preserve"> case, the author’s decision to intercept communications was requested by the police and the Public Prosecution and later extended and even expanded by the judge who replaced the author upon his removal. The Public Prosecution considered that the author’s interpretation of article 51 (2) of the General Prisons Act was correct and article 118 (4) of the new Criminal Procedure Act (2015) later confirmed the author’s interpretation. In the ruling by the National High Court of May 2018, it was also stated that the author had purged transcripts potentially violating the right of defence. Finally, the Supreme Court, in a ruling of February 2019, had considered that interception of communication did not constitute wilful abuse of power. Therefore, the author’s interpretation was at least plausible. In light of this and of justified doubts about possible bias of some judges, the author did not have access to an independent and impartial tribunal in the Franco regime and </w:t>
      </w:r>
      <w:proofErr w:type="spellStart"/>
      <w:r w:rsidRPr="007B3E93">
        <w:rPr>
          <w:rFonts w:eastAsia="Times New Roman"/>
          <w:lang w:eastAsia="es-ES"/>
        </w:rPr>
        <w:t>Gürtel</w:t>
      </w:r>
      <w:proofErr w:type="spellEnd"/>
      <w:r w:rsidRPr="007B3E93">
        <w:rPr>
          <w:rFonts w:eastAsia="Times New Roman"/>
          <w:lang w:eastAsia="es-ES"/>
        </w:rPr>
        <w:t xml:space="preserve"> cases.</w:t>
      </w:r>
    </w:p>
    <w:p w14:paraId="197A150B" w14:textId="1FB3FA21" w:rsidR="00273022" w:rsidRPr="007B3E93" w:rsidRDefault="00273022" w:rsidP="00782704">
      <w:pPr>
        <w:pStyle w:val="SingleTxtG"/>
        <w:rPr>
          <w:rFonts w:eastAsia="Times New Roman"/>
          <w:lang w:eastAsia="es-ES"/>
        </w:rPr>
      </w:pPr>
      <w:r w:rsidRPr="007B3E93">
        <w:rPr>
          <w:rFonts w:eastAsia="Times New Roman"/>
          <w:lang w:eastAsia="es-ES"/>
        </w:rPr>
        <w:t>4.</w:t>
      </w:r>
      <w:r w:rsidRPr="007B3E93">
        <w:rPr>
          <w:rFonts w:eastAsia="Times New Roman"/>
          <w:lang w:eastAsia="es-ES"/>
        </w:rPr>
        <w:tab/>
        <w:t xml:space="preserve">The author was criminally convicted on first and last instance in the </w:t>
      </w:r>
      <w:proofErr w:type="spellStart"/>
      <w:r w:rsidRPr="007B3E93">
        <w:rPr>
          <w:rFonts w:eastAsia="Times New Roman"/>
          <w:lang w:eastAsia="es-ES"/>
        </w:rPr>
        <w:t>Gürtel</w:t>
      </w:r>
      <w:proofErr w:type="spellEnd"/>
      <w:r w:rsidRPr="007B3E93">
        <w:rPr>
          <w:rFonts w:eastAsia="Times New Roman"/>
          <w:lang w:eastAsia="es-ES"/>
        </w:rPr>
        <w:t xml:space="preserve"> case. Being convicted by the Supreme Court does not necessarily exclude possibilities for review: by another criminal chamber, by the plenary of criminal chambers or by the plenary of the court. </w:t>
      </w:r>
    </w:p>
    <w:p w14:paraId="7B85FF44" w14:textId="3BAAED83" w:rsidR="00273022" w:rsidRPr="007B3E93" w:rsidRDefault="00273022" w:rsidP="00782704">
      <w:pPr>
        <w:pStyle w:val="SingleTxtG"/>
        <w:rPr>
          <w:rFonts w:eastAsia="Times New Roman"/>
          <w:lang w:eastAsia="es-ES"/>
        </w:rPr>
      </w:pPr>
      <w:r w:rsidRPr="007B3E93">
        <w:rPr>
          <w:rFonts w:eastAsia="Times New Roman"/>
          <w:lang w:eastAsia="es-ES"/>
        </w:rPr>
        <w:t>5.</w:t>
      </w:r>
      <w:r w:rsidRPr="007B3E93">
        <w:rPr>
          <w:rFonts w:eastAsia="Times New Roman"/>
          <w:lang w:eastAsia="es-ES"/>
        </w:rPr>
        <w:tab/>
        <w:t xml:space="preserve">The State party has not produced any judgements convicting a judge in a similar context. Article 446 is unclear (“unjust sentence or decision”), insufficiently defined and not respecting the principle of legality. Moreover, the interpretation by the Supreme Court of said provision was unforeseeable and isolated, since there have been rulings in recent years annulling orders for wiretapping without there being consequences, let alone criminal charges, for the judges concerned. Consequently, the author’s interpretation of domestic law did not constitute serious misconduct or incompetence that would justify his criminal conviction and disbarring him from office. Moreover, his was not an unlawful and culpable conduct, namely, “flagrant”, “manifestly unlawful” and “absurd”, the unlawfulness or which could be appreciated by even laypersons. </w:t>
      </w:r>
    </w:p>
    <w:p w14:paraId="5806E69B" w14:textId="40D0D45F" w:rsidR="004D7EEC" w:rsidRPr="007B3E93" w:rsidRDefault="00273022" w:rsidP="00782704">
      <w:pPr>
        <w:pStyle w:val="SingleTxtG"/>
        <w:rPr>
          <w:lang w:val="es-ES"/>
        </w:rPr>
      </w:pPr>
      <w:r w:rsidRPr="007B3E93">
        <w:rPr>
          <w:rFonts w:eastAsia="Times New Roman"/>
          <w:lang w:eastAsia="es-ES"/>
        </w:rPr>
        <w:t xml:space="preserve">The author failed to request specific remedies, rather contesting the proceedings and main assumptions by the sentencing court that led to his conviction. </w:t>
      </w:r>
      <w:r w:rsidRPr="00782704">
        <w:rPr>
          <w:rFonts w:eastAsia="Times New Roman"/>
          <w:lang w:val="es-ES" w:eastAsia="es-ES"/>
        </w:rPr>
        <w:t xml:space="preserve">Remedies in para 7 are </w:t>
      </w:r>
      <w:proofErr w:type="spellStart"/>
      <w:r w:rsidRPr="00782704">
        <w:rPr>
          <w:rFonts w:eastAsia="Times New Roman"/>
          <w:lang w:val="es-ES" w:eastAsia="es-ES"/>
        </w:rPr>
        <w:t>therefore</w:t>
      </w:r>
      <w:proofErr w:type="spellEnd"/>
      <w:r w:rsidRPr="00782704">
        <w:rPr>
          <w:rFonts w:eastAsia="Times New Roman"/>
          <w:lang w:val="es-ES" w:eastAsia="es-ES"/>
        </w:rPr>
        <w:t xml:space="preserve"> </w:t>
      </w:r>
      <w:proofErr w:type="spellStart"/>
      <w:r w:rsidRPr="00782704">
        <w:rPr>
          <w:rFonts w:eastAsia="Times New Roman"/>
          <w:lang w:val="es-ES" w:eastAsia="es-ES"/>
        </w:rPr>
        <w:t>consistent</w:t>
      </w:r>
      <w:proofErr w:type="spellEnd"/>
      <w:r w:rsidRPr="00782704">
        <w:rPr>
          <w:rFonts w:eastAsia="Times New Roman"/>
          <w:lang w:val="es-ES" w:eastAsia="es-ES"/>
        </w:rPr>
        <w:t xml:space="preserve"> </w:t>
      </w:r>
      <w:proofErr w:type="spellStart"/>
      <w:r w:rsidRPr="00782704">
        <w:rPr>
          <w:rFonts w:eastAsia="Times New Roman"/>
          <w:lang w:val="es-ES" w:eastAsia="es-ES"/>
        </w:rPr>
        <w:t>with</w:t>
      </w:r>
      <w:proofErr w:type="spellEnd"/>
      <w:r w:rsidRPr="00782704">
        <w:rPr>
          <w:rFonts w:eastAsia="Times New Roman"/>
          <w:lang w:val="es-ES" w:eastAsia="es-ES"/>
        </w:rPr>
        <w:t xml:space="preserve"> </w:t>
      </w:r>
      <w:proofErr w:type="spellStart"/>
      <w:r w:rsidRPr="00782704">
        <w:rPr>
          <w:rFonts w:eastAsia="Times New Roman"/>
          <w:lang w:val="es-ES" w:eastAsia="es-ES"/>
        </w:rPr>
        <w:t>his</w:t>
      </w:r>
      <w:proofErr w:type="spellEnd"/>
      <w:r w:rsidRPr="00782704">
        <w:rPr>
          <w:rFonts w:eastAsia="Times New Roman"/>
          <w:lang w:val="es-ES" w:eastAsia="es-ES"/>
        </w:rPr>
        <w:t xml:space="preserve"> </w:t>
      </w:r>
      <w:proofErr w:type="spellStart"/>
      <w:r w:rsidRPr="00782704">
        <w:rPr>
          <w:rFonts w:eastAsia="Times New Roman"/>
          <w:lang w:val="es-ES" w:eastAsia="es-ES"/>
        </w:rPr>
        <w:t>claims</w:t>
      </w:r>
      <w:proofErr w:type="spellEnd"/>
      <w:r w:rsidRPr="007B3E93">
        <w:rPr>
          <w:lang w:val="es-ES"/>
        </w:rPr>
        <w:t>.</w:t>
      </w:r>
    </w:p>
    <w:p w14:paraId="19389A41" w14:textId="77777777" w:rsidR="00273022" w:rsidRPr="007B3E93" w:rsidRDefault="00273022" w:rsidP="00273022">
      <w:pPr>
        <w:pStyle w:val="ListParagraph"/>
        <w:suppressAutoHyphens w:val="0"/>
        <w:spacing w:after="200" w:line="276" w:lineRule="auto"/>
        <w:contextualSpacing w:val="0"/>
        <w:jc w:val="both"/>
        <w:rPr>
          <w:rFonts w:eastAsia="SimSun"/>
          <w:lang w:val="es-ES" w:eastAsia="zh-CN"/>
        </w:rPr>
        <w:sectPr w:rsidR="00273022" w:rsidRPr="007B3E93" w:rsidSect="00782704">
          <w:endnotePr>
            <w:numFmt w:val="decimal"/>
          </w:endnotePr>
          <w:pgSz w:w="11907" w:h="16840" w:code="9"/>
          <w:pgMar w:top="1417" w:right="1134" w:bottom="1134" w:left="1134" w:header="850" w:footer="567" w:gutter="0"/>
          <w:cols w:space="720"/>
          <w:docGrid w:linePitch="272"/>
        </w:sectPr>
      </w:pPr>
    </w:p>
    <w:p w14:paraId="5563290F" w14:textId="6AF5AC0C" w:rsidR="00273022" w:rsidRPr="00833C8B" w:rsidRDefault="00782704" w:rsidP="00782704">
      <w:pPr>
        <w:pStyle w:val="H1G"/>
        <w:rPr>
          <w:lang w:val="es-ES"/>
        </w:rPr>
      </w:pPr>
      <w:r>
        <w:rPr>
          <w:lang w:val="es-ES"/>
        </w:rPr>
        <w:lastRenderedPageBreak/>
        <w:tab/>
      </w:r>
      <w:r>
        <w:rPr>
          <w:lang w:val="es-ES"/>
        </w:rPr>
        <w:tab/>
      </w:r>
      <w:r w:rsidR="00273022">
        <w:rPr>
          <w:lang w:val="es-ES"/>
        </w:rPr>
        <w:t xml:space="preserve">Anexo III: </w:t>
      </w:r>
      <w:r w:rsidR="00273022" w:rsidRPr="00833C8B">
        <w:rPr>
          <w:lang w:val="es-ES"/>
        </w:rPr>
        <w:t xml:space="preserve">Opinión individual de la miembro </w:t>
      </w:r>
      <w:proofErr w:type="spellStart"/>
      <w:r w:rsidR="00273022" w:rsidRPr="00833C8B">
        <w:rPr>
          <w:lang w:val="es-ES"/>
        </w:rPr>
        <w:t>Vasilka</w:t>
      </w:r>
      <w:proofErr w:type="spellEnd"/>
      <w:r w:rsidR="00273022" w:rsidRPr="00833C8B">
        <w:rPr>
          <w:lang w:val="es-ES"/>
        </w:rPr>
        <w:t xml:space="preserve"> </w:t>
      </w:r>
      <w:proofErr w:type="spellStart"/>
      <w:r w:rsidR="00273022" w:rsidRPr="00833C8B">
        <w:rPr>
          <w:lang w:val="es-ES"/>
        </w:rPr>
        <w:t>Sancin</w:t>
      </w:r>
      <w:proofErr w:type="spellEnd"/>
      <w:r w:rsidR="00273022">
        <w:rPr>
          <w:lang w:val="es-ES"/>
        </w:rPr>
        <w:t xml:space="preserve"> (parcialmente concordante, parcialmente discorde)</w:t>
      </w:r>
    </w:p>
    <w:p w14:paraId="582B0F98" w14:textId="18FCB413" w:rsidR="00273022" w:rsidRPr="007B3E93" w:rsidRDefault="00273022" w:rsidP="00782704">
      <w:pPr>
        <w:pStyle w:val="SingleTxtG"/>
      </w:pPr>
      <w:r w:rsidRPr="00782704">
        <w:t>1</w:t>
      </w:r>
      <w:r w:rsidRPr="007B3E93">
        <w:t>.</w:t>
      </w:r>
      <w:r w:rsidRPr="007B3E93">
        <w:tab/>
        <w:t xml:space="preserve">I fully join the majority in finding that the author’s rights under article 14(1) of the Covenant were violated due to the lack of access to an independent and impartial tribunal in the proceedings against him, resulting in a criminal conviction and other sanctions (para 5.11), and in finding that the author’s right to have his conviction and sentence reviewed under Article 14(5) of the Covenant were violated in the </w:t>
      </w:r>
      <w:proofErr w:type="spellStart"/>
      <w:r w:rsidRPr="007B3E93">
        <w:t>Gürtel</w:t>
      </w:r>
      <w:proofErr w:type="spellEnd"/>
      <w:r w:rsidRPr="007B3E93">
        <w:t xml:space="preserve"> case (para. 5.12). However, I cannot join the majority in its finding that the author’s conviction and the ensuing consequences demonstrate a violation of article 15(1) of the Covenant due to a lack of “sufficiently explicit, clear and precise provisions that define unequivocally the prohibited conduct in the present case” (para. 5.17), as I find the author’s submissions and domestic courts’ decisions on the one hand and the majority’s views on the other hand, internally inconsistent.</w:t>
      </w:r>
    </w:p>
    <w:p w14:paraId="070230AF" w14:textId="1C280802" w:rsidR="00273022" w:rsidRPr="00782704" w:rsidRDefault="00273022" w:rsidP="00782704">
      <w:pPr>
        <w:pStyle w:val="SingleTxtG"/>
      </w:pPr>
      <w:r w:rsidRPr="00782704">
        <w:t>2.</w:t>
      </w:r>
      <w:r w:rsidRPr="00782704">
        <w:tab/>
        <w:t>In my view, in order to comply with the principle of legality under article 15(1) of the Covenant, it is not only the wording of a criminal law provision, such as article 446 of the Spanish Criminal Code, that is decisive in establishing whether a criminal offence is sufficiently explicit, clear and precise. Rather, it is the wording of a particular provision and its judicial interpretation that should be assessed for said qualities. The principle of legality mandates that a criminal offense is foreseeable, meaning that a particular provision of a criminal code, read together with its judicial interpretation, must be such to enable individuals to act accordingly at the relevant time when the offence is alleged to have occurred.</w:t>
      </w:r>
    </w:p>
    <w:p w14:paraId="26702358" w14:textId="56827ADC" w:rsidR="00273022" w:rsidRDefault="00273022" w:rsidP="00782704">
      <w:pPr>
        <w:pStyle w:val="SingleTxtG"/>
      </w:pPr>
      <w:r w:rsidRPr="00782704">
        <w:t>3.</w:t>
      </w:r>
      <w:r w:rsidRPr="00782704">
        <w:tab/>
        <w:t>This is particularly true in the present case, as the criminal offence concerns the conduct of judges, who can and should be aware of the case law interpreting and further defining the scope of a particular provision. The author himself pointed to decisions of the Supreme Court that had further clarified the content of article 446 – “a judicial decision is “unfair” within the meaning of article 446 of the Criminal Code when it is objectively and manifestly devoid of legal grounds, that is, when it manifestly runs counter to the law or is unlawful; cannot be explained reasonably; and/or leads to a situation that lacks any reasonable explanation” (para. 2.12 of the decision on admissibility), which was also accepted by the majority (para. 5.16). The criminal offence (which includes the interpretation of the Spanish courts) as such was clear at the relevant time and the individuals concerned (judges) could not have been unaware of its content. Therefore, article 446 of the Spanish Criminal Code, as interpreted by Spanish courts, and its application in the present case, in my view, do not demonstrate a violation of Article 15(1) of the Covenant, but rather demonstrate arbitrariness in its application in the author’s case, due to the lack of courts’ impartiality, for which the Committee found a violation of article 14(1).</w:t>
      </w:r>
    </w:p>
    <w:p w14:paraId="66B02D0D" w14:textId="537EB23C" w:rsidR="00273022" w:rsidRPr="00273022" w:rsidRDefault="00273022" w:rsidP="00273022">
      <w:pPr>
        <w:pStyle w:val="ListParagraph"/>
        <w:spacing w:before="240"/>
        <w:ind w:left="1134" w:right="1134"/>
        <w:contextualSpacing w:val="0"/>
        <w:jc w:val="center"/>
        <w:rPr>
          <w:rFonts w:eastAsia="SimSun"/>
          <w:u w:val="single"/>
          <w:lang w:eastAsia="zh-CN"/>
        </w:rPr>
      </w:pPr>
      <w:r>
        <w:rPr>
          <w:u w:val="single"/>
        </w:rPr>
        <w:tab/>
      </w:r>
      <w:r>
        <w:rPr>
          <w:u w:val="single"/>
        </w:rPr>
        <w:tab/>
      </w:r>
      <w:r>
        <w:rPr>
          <w:u w:val="single"/>
        </w:rPr>
        <w:tab/>
      </w:r>
    </w:p>
    <w:sectPr w:rsidR="00273022" w:rsidRPr="00273022" w:rsidSect="00F603F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22FBF" w14:textId="77777777" w:rsidR="00BF4BE0" w:rsidRPr="00B903E5" w:rsidRDefault="00BF4BE0" w:rsidP="00B903E5">
      <w:pPr>
        <w:pStyle w:val="Footer"/>
      </w:pPr>
    </w:p>
  </w:endnote>
  <w:endnote w:type="continuationSeparator" w:id="0">
    <w:p w14:paraId="3CA1CDAC" w14:textId="77777777" w:rsidR="00BF4BE0" w:rsidRPr="00B903E5" w:rsidRDefault="00BF4BE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55B6" w14:textId="378B6BD8" w:rsidR="00C0300A" w:rsidRPr="006A31AE" w:rsidRDefault="00C0300A"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915D4D">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7505" w14:textId="259B2CBC" w:rsidR="00C0300A" w:rsidRPr="006A31AE" w:rsidRDefault="00C0300A"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915D4D">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89CD" w14:textId="2FAFC1ED" w:rsidR="00C0300A" w:rsidRPr="00BD4985" w:rsidRDefault="00C0300A" w:rsidP="00BD4985">
    <w:pPr>
      <w:pStyle w:val="Footer"/>
      <w:tabs>
        <w:tab w:val="left" w:pos="6520"/>
        <w:tab w:val="right" w:pos="9638"/>
      </w:tabs>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EB69" w14:textId="77777777" w:rsidR="00BF4BE0" w:rsidRPr="00B903E5" w:rsidRDefault="00BF4BE0" w:rsidP="00B903E5">
      <w:pPr>
        <w:tabs>
          <w:tab w:val="right" w:pos="2155"/>
        </w:tabs>
        <w:spacing w:after="80" w:line="240" w:lineRule="auto"/>
        <w:ind w:left="680"/>
      </w:pPr>
      <w:r>
        <w:rPr>
          <w:u w:val="single"/>
        </w:rPr>
        <w:tab/>
      </w:r>
    </w:p>
  </w:footnote>
  <w:footnote w:type="continuationSeparator" w:id="0">
    <w:p w14:paraId="2D35997F" w14:textId="77777777" w:rsidR="00BF4BE0" w:rsidRPr="00B903E5" w:rsidRDefault="00BF4BE0" w:rsidP="00B903E5">
      <w:pPr>
        <w:tabs>
          <w:tab w:val="right" w:pos="2155"/>
        </w:tabs>
        <w:spacing w:after="80" w:line="240" w:lineRule="auto"/>
        <w:ind w:left="680"/>
      </w:pPr>
      <w:r>
        <w:rPr>
          <w:u w:val="single"/>
        </w:rPr>
        <w:tab/>
      </w:r>
    </w:p>
  </w:footnote>
  <w:footnote w:id="1">
    <w:p w14:paraId="258BB3DE" w14:textId="5800F1AC" w:rsidR="00AF5C75" w:rsidRPr="007D38F2" w:rsidRDefault="00AF5C75" w:rsidP="00AF5C75">
      <w:pPr>
        <w:pStyle w:val="FootnoteText"/>
        <w:rPr>
          <w:szCs w:val="18"/>
          <w:lang w:val="es-ES"/>
        </w:rPr>
      </w:pPr>
      <w:r w:rsidRPr="0063191B">
        <w:rPr>
          <w:rStyle w:val="FootnoteReference"/>
          <w:sz w:val="20"/>
          <w:lang w:val="es-ES"/>
        </w:rPr>
        <w:tab/>
      </w:r>
      <w:r w:rsidRPr="0063191B">
        <w:rPr>
          <w:rStyle w:val="FootnoteReference"/>
          <w:sz w:val="20"/>
          <w:vertAlign w:val="baseline"/>
          <w:lang w:val="es-ES"/>
        </w:rPr>
        <w:t>*</w:t>
      </w:r>
      <w:r w:rsidRPr="0063191B">
        <w:rPr>
          <w:rStyle w:val="FootnoteReference"/>
          <w:sz w:val="20"/>
          <w:vertAlign w:val="baseline"/>
          <w:lang w:val="es-ES"/>
        </w:rPr>
        <w:tab/>
      </w:r>
      <w:r>
        <w:rPr>
          <w:szCs w:val="18"/>
          <w:lang w:val="es-ES"/>
        </w:rPr>
        <w:t>Adoptado en el 132º periodo de sesiones (23 de junio a 28 de julio de 2021).</w:t>
      </w:r>
    </w:p>
  </w:footnote>
  <w:footnote w:id="2">
    <w:p w14:paraId="3E7E9C2B" w14:textId="77777777" w:rsidR="00782704" w:rsidRPr="007D38F2" w:rsidRDefault="00782704" w:rsidP="00782704">
      <w:pPr>
        <w:pStyle w:val="FootnoteText"/>
        <w:rPr>
          <w:szCs w:val="18"/>
          <w:lang w:val="es-ES"/>
        </w:rPr>
      </w:pPr>
      <w:r w:rsidRPr="007D38F2">
        <w:rPr>
          <w:szCs w:val="18"/>
          <w:lang w:val="es-ES"/>
        </w:rPr>
        <w:tab/>
      </w:r>
      <w:r w:rsidRPr="0063191B">
        <w:rPr>
          <w:rStyle w:val="FootnoteReference"/>
          <w:sz w:val="20"/>
          <w:vertAlign w:val="baseline"/>
          <w:lang w:val="es-ES"/>
        </w:rPr>
        <w:t>**</w:t>
      </w:r>
      <w:r w:rsidRPr="007D38F2">
        <w:rPr>
          <w:rStyle w:val="FootnoteReference"/>
          <w:szCs w:val="18"/>
          <w:vertAlign w:val="baseline"/>
          <w:lang w:val="es-ES"/>
        </w:rPr>
        <w:tab/>
      </w:r>
      <w:r w:rsidRPr="00833C8B">
        <w:rPr>
          <w:szCs w:val="18"/>
          <w:lang w:val="es-ES"/>
        </w:rPr>
        <w:t xml:space="preserve">Participaron en el examen de la comunicación los siguientes miembros del Comité: </w:t>
      </w:r>
      <w:r w:rsidRPr="00DA2C96">
        <w:rPr>
          <w:lang w:val="es-ES_tradnl"/>
        </w:rPr>
        <w:t xml:space="preserve">Tania María </w:t>
      </w:r>
      <w:proofErr w:type="spellStart"/>
      <w:r w:rsidRPr="00DA2C96">
        <w:rPr>
          <w:lang w:val="es-ES_tradnl"/>
        </w:rPr>
        <w:t>Abdo</w:t>
      </w:r>
      <w:proofErr w:type="spellEnd"/>
      <w:r w:rsidRPr="00DA2C96">
        <w:rPr>
          <w:lang w:val="es-ES_tradnl"/>
        </w:rPr>
        <w:t xml:space="preserve"> </w:t>
      </w:r>
      <w:proofErr w:type="spellStart"/>
      <w:r w:rsidRPr="00DA2C96">
        <w:rPr>
          <w:lang w:val="es-ES_tradnl"/>
        </w:rPr>
        <w:t>Rocholl</w:t>
      </w:r>
      <w:proofErr w:type="spellEnd"/>
      <w:r w:rsidRPr="00DA2C96">
        <w:rPr>
          <w:lang w:val="es-ES_tradnl"/>
        </w:rPr>
        <w:t xml:space="preserve">, </w:t>
      </w:r>
      <w:proofErr w:type="spellStart"/>
      <w:r w:rsidRPr="00DA2C96">
        <w:rPr>
          <w:lang w:val="es-ES_tradnl"/>
        </w:rPr>
        <w:t>Yadh</w:t>
      </w:r>
      <w:proofErr w:type="spellEnd"/>
      <w:r w:rsidRPr="00DA2C96">
        <w:rPr>
          <w:lang w:val="es-ES_tradnl"/>
        </w:rPr>
        <w:t xml:space="preserve"> Ben </w:t>
      </w:r>
      <w:proofErr w:type="spellStart"/>
      <w:r w:rsidRPr="00DA2C96">
        <w:rPr>
          <w:lang w:val="es-ES_tradnl"/>
        </w:rPr>
        <w:t>Achour</w:t>
      </w:r>
      <w:proofErr w:type="spellEnd"/>
      <w:r w:rsidRPr="00DA2C96">
        <w:rPr>
          <w:lang w:val="es-ES_tradnl"/>
        </w:rPr>
        <w:t xml:space="preserve">, </w:t>
      </w:r>
      <w:proofErr w:type="spellStart"/>
      <w:r>
        <w:rPr>
          <w:lang w:val="es-ES_tradnl"/>
        </w:rPr>
        <w:t>Arif</w:t>
      </w:r>
      <w:proofErr w:type="spellEnd"/>
      <w:r>
        <w:rPr>
          <w:lang w:val="es-ES_tradnl"/>
        </w:rPr>
        <w:t xml:space="preserve"> </w:t>
      </w:r>
      <w:proofErr w:type="spellStart"/>
      <w:r>
        <w:rPr>
          <w:lang w:val="es-ES_tradnl"/>
        </w:rPr>
        <w:t>Bulkan</w:t>
      </w:r>
      <w:proofErr w:type="spellEnd"/>
      <w:r>
        <w:rPr>
          <w:lang w:val="es-ES_tradnl"/>
        </w:rPr>
        <w:t xml:space="preserve">, </w:t>
      </w:r>
      <w:proofErr w:type="spellStart"/>
      <w:r w:rsidRPr="0072103C">
        <w:rPr>
          <w:lang w:val="es-ES"/>
        </w:rPr>
        <w:t>Wafaa</w:t>
      </w:r>
      <w:proofErr w:type="spellEnd"/>
      <w:r w:rsidRPr="0072103C">
        <w:rPr>
          <w:lang w:val="es-ES"/>
        </w:rPr>
        <w:t xml:space="preserve"> </w:t>
      </w:r>
      <w:proofErr w:type="spellStart"/>
      <w:r w:rsidRPr="0072103C">
        <w:rPr>
          <w:lang w:val="es-ES"/>
        </w:rPr>
        <w:t>Ashraf</w:t>
      </w:r>
      <w:proofErr w:type="spellEnd"/>
      <w:r w:rsidRPr="0072103C">
        <w:rPr>
          <w:lang w:val="es-ES"/>
        </w:rPr>
        <w:t xml:space="preserve"> </w:t>
      </w:r>
      <w:proofErr w:type="spellStart"/>
      <w:r w:rsidRPr="0072103C">
        <w:rPr>
          <w:lang w:val="es-ES"/>
        </w:rPr>
        <w:t>Moharram</w:t>
      </w:r>
      <w:proofErr w:type="spellEnd"/>
      <w:r w:rsidRPr="00DA2C96">
        <w:rPr>
          <w:lang w:val="es-ES_tradnl"/>
        </w:rPr>
        <w:t xml:space="preserve"> Ahmed </w:t>
      </w:r>
      <w:proofErr w:type="spellStart"/>
      <w:r>
        <w:rPr>
          <w:lang w:val="es-ES_tradnl"/>
        </w:rPr>
        <w:t>Bassim</w:t>
      </w:r>
      <w:proofErr w:type="spellEnd"/>
      <w:r w:rsidRPr="00833C8B">
        <w:rPr>
          <w:lang w:val="es-ES"/>
        </w:rPr>
        <w:t xml:space="preserve">, </w:t>
      </w:r>
      <w:proofErr w:type="spellStart"/>
      <w:r w:rsidRPr="00833C8B">
        <w:rPr>
          <w:lang w:val="es-ES"/>
        </w:rPr>
        <w:t>Mahjoub</w:t>
      </w:r>
      <w:proofErr w:type="spellEnd"/>
      <w:r>
        <w:rPr>
          <w:lang w:val="es-ES"/>
        </w:rPr>
        <w:t xml:space="preserve"> El </w:t>
      </w:r>
      <w:proofErr w:type="spellStart"/>
      <w:r>
        <w:rPr>
          <w:lang w:val="es-ES"/>
        </w:rPr>
        <w:t>Haiba</w:t>
      </w:r>
      <w:proofErr w:type="spellEnd"/>
      <w:r w:rsidRPr="00DA2C96">
        <w:rPr>
          <w:lang w:val="es-ES_tradnl"/>
        </w:rPr>
        <w:t xml:space="preserve">, </w:t>
      </w:r>
      <w:proofErr w:type="spellStart"/>
      <w:r w:rsidRPr="00DA2C96">
        <w:rPr>
          <w:lang w:val="es-ES_tradnl"/>
        </w:rPr>
        <w:t>Shuichi</w:t>
      </w:r>
      <w:proofErr w:type="spellEnd"/>
      <w:r w:rsidRPr="00DA2C96">
        <w:rPr>
          <w:lang w:val="es-ES_tradnl"/>
        </w:rPr>
        <w:t xml:space="preserve"> </w:t>
      </w:r>
      <w:proofErr w:type="spellStart"/>
      <w:r w:rsidRPr="00DA2C96">
        <w:rPr>
          <w:lang w:val="es-ES_tradnl"/>
        </w:rPr>
        <w:t>Furuya</w:t>
      </w:r>
      <w:proofErr w:type="spellEnd"/>
      <w:r w:rsidRPr="00DA2C96">
        <w:rPr>
          <w:lang w:val="es-ES_tradnl"/>
        </w:rPr>
        <w:t xml:space="preserve">, </w:t>
      </w:r>
      <w:proofErr w:type="spellStart"/>
      <w:r w:rsidRPr="0072103C">
        <w:rPr>
          <w:color w:val="000000"/>
          <w:lang w:val="es-ES"/>
        </w:rPr>
        <w:t>Kobauyah</w:t>
      </w:r>
      <w:proofErr w:type="spellEnd"/>
      <w:r w:rsidRPr="0072103C">
        <w:rPr>
          <w:color w:val="000000"/>
          <w:lang w:val="es-ES"/>
        </w:rPr>
        <w:t xml:space="preserve"> </w:t>
      </w:r>
      <w:proofErr w:type="spellStart"/>
      <w:r>
        <w:rPr>
          <w:color w:val="000000"/>
          <w:lang w:val="es-ES"/>
        </w:rPr>
        <w:t>T</w:t>
      </w:r>
      <w:r w:rsidRPr="0072103C">
        <w:rPr>
          <w:color w:val="000000"/>
          <w:lang w:val="es-ES"/>
        </w:rPr>
        <w:t>chamdja</w:t>
      </w:r>
      <w:proofErr w:type="spellEnd"/>
      <w:r w:rsidRPr="00DA2C96">
        <w:rPr>
          <w:lang w:val="es-ES_tradnl"/>
        </w:rPr>
        <w:t xml:space="preserve"> </w:t>
      </w:r>
      <w:proofErr w:type="spellStart"/>
      <w:r>
        <w:rPr>
          <w:color w:val="000000"/>
          <w:lang w:val="es-ES"/>
        </w:rPr>
        <w:t>K</w:t>
      </w:r>
      <w:r w:rsidRPr="006E3808">
        <w:rPr>
          <w:color w:val="000000"/>
          <w:lang w:val="es-ES"/>
        </w:rPr>
        <w:t>patcha</w:t>
      </w:r>
      <w:proofErr w:type="spellEnd"/>
      <w:r w:rsidRPr="00833C8B">
        <w:rPr>
          <w:color w:val="000000"/>
          <w:lang w:val="es-ES"/>
        </w:rPr>
        <w:t xml:space="preserve">, </w:t>
      </w:r>
      <w:r w:rsidRPr="00DA2C96">
        <w:rPr>
          <w:lang w:val="es-ES_tradnl"/>
        </w:rPr>
        <w:t xml:space="preserve">Duncan </w:t>
      </w:r>
      <w:proofErr w:type="spellStart"/>
      <w:r w:rsidRPr="00DA2C96">
        <w:rPr>
          <w:lang w:val="es-ES_tradnl"/>
        </w:rPr>
        <w:t>Laki</w:t>
      </w:r>
      <w:proofErr w:type="spellEnd"/>
      <w:r w:rsidRPr="00DA2C96">
        <w:rPr>
          <w:lang w:val="es-ES_tradnl"/>
        </w:rPr>
        <w:t xml:space="preserve"> </w:t>
      </w:r>
      <w:proofErr w:type="spellStart"/>
      <w:r w:rsidRPr="00DA2C96">
        <w:rPr>
          <w:lang w:val="es-ES_tradnl"/>
        </w:rPr>
        <w:t>Muhumuza</w:t>
      </w:r>
      <w:proofErr w:type="spellEnd"/>
      <w:r w:rsidRPr="00DA2C96">
        <w:rPr>
          <w:lang w:val="es-ES_tradnl"/>
        </w:rPr>
        <w:t xml:space="preserve">, </w:t>
      </w:r>
      <w:proofErr w:type="spellStart"/>
      <w:r w:rsidRPr="00DA2C96">
        <w:rPr>
          <w:lang w:val="es-ES_tradnl"/>
        </w:rPr>
        <w:t>Photini</w:t>
      </w:r>
      <w:proofErr w:type="spellEnd"/>
      <w:r w:rsidRPr="00DA2C96">
        <w:rPr>
          <w:lang w:val="es-ES_tradnl"/>
        </w:rPr>
        <w:t xml:space="preserve"> </w:t>
      </w:r>
      <w:proofErr w:type="spellStart"/>
      <w:r w:rsidRPr="00DA2C96">
        <w:rPr>
          <w:lang w:val="es-ES_tradnl"/>
        </w:rPr>
        <w:t>Pazartzis</w:t>
      </w:r>
      <w:proofErr w:type="spellEnd"/>
      <w:r w:rsidRPr="00DA2C96">
        <w:rPr>
          <w:lang w:val="es-ES_tradnl"/>
        </w:rPr>
        <w:t xml:space="preserve">, Hernán Quezada, </w:t>
      </w:r>
      <w:proofErr w:type="spellStart"/>
      <w:r w:rsidRPr="00DA2C96">
        <w:rPr>
          <w:lang w:val="es-ES_tradnl"/>
        </w:rPr>
        <w:t>Vasilka</w:t>
      </w:r>
      <w:proofErr w:type="spellEnd"/>
      <w:r w:rsidRPr="00DA2C96">
        <w:rPr>
          <w:lang w:val="es-ES_tradnl"/>
        </w:rPr>
        <w:t xml:space="preserve"> </w:t>
      </w:r>
      <w:proofErr w:type="spellStart"/>
      <w:r w:rsidRPr="00DA2C96">
        <w:rPr>
          <w:lang w:val="es-ES_tradnl"/>
        </w:rPr>
        <w:t>Sancin</w:t>
      </w:r>
      <w:proofErr w:type="spellEnd"/>
      <w:r w:rsidRPr="00DA2C96">
        <w:rPr>
          <w:lang w:val="es-ES_tradnl"/>
        </w:rPr>
        <w:t xml:space="preserve">, José Manuel Santos </w:t>
      </w:r>
      <w:proofErr w:type="spellStart"/>
      <w:r w:rsidRPr="00DA2C96">
        <w:rPr>
          <w:lang w:val="es-ES_tradnl"/>
        </w:rPr>
        <w:t>Pais</w:t>
      </w:r>
      <w:proofErr w:type="spellEnd"/>
      <w:r w:rsidRPr="00DA2C96">
        <w:rPr>
          <w:lang w:val="es-ES_tradnl"/>
        </w:rPr>
        <w:t xml:space="preserve">, Hélène </w:t>
      </w:r>
      <w:proofErr w:type="spellStart"/>
      <w:r w:rsidRPr="00DA2C96">
        <w:rPr>
          <w:lang w:val="es-ES_tradnl"/>
        </w:rPr>
        <w:t>Tigroudja</w:t>
      </w:r>
      <w:proofErr w:type="spellEnd"/>
      <w:r w:rsidRPr="00DA2C96">
        <w:rPr>
          <w:lang w:val="es-ES_tradnl"/>
        </w:rPr>
        <w:t xml:space="preserve">, </w:t>
      </w:r>
      <w:proofErr w:type="spellStart"/>
      <w:r w:rsidRPr="00833C8B">
        <w:rPr>
          <w:lang w:val="es-ES"/>
        </w:rPr>
        <w:t>Imeru</w:t>
      </w:r>
      <w:proofErr w:type="spellEnd"/>
      <w:r w:rsidRPr="00833C8B">
        <w:rPr>
          <w:lang w:val="es-ES"/>
        </w:rPr>
        <w:t xml:space="preserve"> </w:t>
      </w:r>
      <w:proofErr w:type="spellStart"/>
      <w:r w:rsidRPr="00833C8B">
        <w:rPr>
          <w:lang w:val="es-ES"/>
        </w:rPr>
        <w:t>Tamerat</w:t>
      </w:r>
      <w:proofErr w:type="spellEnd"/>
      <w:r w:rsidRPr="00DA2C96">
        <w:rPr>
          <w:lang w:val="es-ES_tradnl"/>
        </w:rPr>
        <w:t xml:space="preserve"> </w:t>
      </w:r>
      <w:proofErr w:type="spellStart"/>
      <w:r>
        <w:rPr>
          <w:lang w:val="es-ES"/>
        </w:rPr>
        <w:t>Yigezu</w:t>
      </w:r>
      <w:proofErr w:type="spellEnd"/>
      <w:r>
        <w:rPr>
          <w:lang w:val="es-ES"/>
        </w:rPr>
        <w:t xml:space="preserve"> </w:t>
      </w:r>
      <w:r w:rsidRPr="00DA2C96">
        <w:rPr>
          <w:lang w:val="es-ES_tradnl"/>
        </w:rPr>
        <w:t xml:space="preserve">y </w:t>
      </w:r>
      <w:proofErr w:type="spellStart"/>
      <w:r w:rsidRPr="00DA2C96">
        <w:rPr>
          <w:lang w:val="es-ES_tradnl"/>
        </w:rPr>
        <w:t>Gentian</w:t>
      </w:r>
      <w:proofErr w:type="spellEnd"/>
      <w:r w:rsidRPr="00DA2C96">
        <w:rPr>
          <w:lang w:val="es-ES_tradnl"/>
        </w:rPr>
        <w:t xml:space="preserve"> </w:t>
      </w:r>
      <w:proofErr w:type="spellStart"/>
      <w:r w:rsidRPr="00DA2C96">
        <w:rPr>
          <w:lang w:val="es-ES_tradnl"/>
        </w:rPr>
        <w:t>Zyberi</w:t>
      </w:r>
      <w:proofErr w:type="spellEnd"/>
      <w:r w:rsidRPr="009D1011">
        <w:rPr>
          <w:lang w:val="es-ES_tradnl"/>
        </w:rPr>
        <w:t>.</w:t>
      </w:r>
      <w:r>
        <w:rPr>
          <w:lang w:val="es-ES_tradnl"/>
        </w:rPr>
        <w:t xml:space="preserve"> De conformidad con la regla 108 del reglamento interno del Comité, el miembro Carlos Gómez Martínez no participó en el examen de la </w:t>
      </w:r>
      <w:proofErr w:type="gramStart"/>
      <w:r>
        <w:rPr>
          <w:lang w:val="es-ES_tradnl"/>
        </w:rPr>
        <w:t>comunicación..</w:t>
      </w:r>
      <w:proofErr w:type="gramEnd"/>
    </w:p>
  </w:footnote>
  <w:footnote w:id="3">
    <w:p w14:paraId="1A39FEE1" w14:textId="77777777" w:rsidR="00782704" w:rsidRPr="005D6551" w:rsidRDefault="00782704" w:rsidP="00782704">
      <w:pPr>
        <w:pStyle w:val="FootnoteText"/>
        <w:rPr>
          <w:lang w:val="es-ES"/>
        </w:rPr>
      </w:pPr>
      <w:r w:rsidRPr="005D6551">
        <w:rPr>
          <w:rStyle w:val="FootnoteReference"/>
          <w:lang w:val="es-ES"/>
        </w:rPr>
        <w:tab/>
      </w:r>
      <w:r w:rsidRPr="005D6551">
        <w:rPr>
          <w:rStyle w:val="FootnoteReference"/>
          <w:sz w:val="20"/>
          <w:vertAlign w:val="baseline"/>
          <w:lang w:val="es-ES"/>
        </w:rPr>
        <w:t>***</w:t>
      </w:r>
      <w:r w:rsidRPr="005D6551">
        <w:rPr>
          <w:rStyle w:val="FootnoteReference"/>
          <w:sz w:val="20"/>
          <w:vertAlign w:val="baseline"/>
          <w:lang w:val="es-ES"/>
        </w:rPr>
        <w:tab/>
      </w:r>
      <w:r w:rsidRPr="00833C8B">
        <w:rPr>
          <w:szCs w:val="18"/>
          <w:lang w:val="es-ES"/>
        </w:rPr>
        <w:t xml:space="preserve">Se adjuntan las opiniones individuales de los miembros </w:t>
      </w:r>
      <w:proofErr w:type="spellStart"/>
      <w:r w:rsidRPr="00833C8B">
        <w:rPr>
          <w:szCs w:val="18"/>
          <w:lang w:val="es-ES"/>
        </w:rPr>
        <w:t>Vasilka</w:t>
      </w:r>
      <w:proofErr w:type="spellEnd"/>
      <w:r w:rsidRPr="00833C8B">
        <w:rPr>
          <w:szCs w:val="18"/>
          <w:lang w:val="es-ES"/>
        </w:rPr>
        <w:t xml:space="preserve"> </w:t>
      </w:r>
      <w:proofErr w:type="spellStart"/>
      <w:r w:rsidRPr="00833C8B">
        <w:rPr>
          <w:szCs w:val="18"/>
          <w:lang w:val="es-ES"/>
        </w:rPr>
        <w:t>Sancin</w:t>
      </w:r>
      <w:proofErr w:type="spellEnd"/>
      <w:r w:rsidRPr="00833C8B">
        <w:rPr>
          <w:szCs w:val="18"/>
          <w:lang w:val="es-ES"/>
        </w:rPr>
        <w:t xml:space="preserve">, </w:t>
      </w:r>
      <w:r w:rsidRPr="0072103C">
        <w:rPr>
          <w:szCs w:val="18"/>
          <w:lang w:val="es-ES"/>
        </w:rPr>
        <w:t xml:space="preserve">José </w:t>
      </w:r>
      <w:r>
        <w:rPr>
          <w:szCs w:val="18"/>
          <w:lang w:val="es-ES"/>
        </w:rPr>
        <w:t xml:space="preserve">Manuel </w:t>
      </w:r>
      <w:r w:rsidRPr="0072103C">
        <w:rPr>
          <w:szCs w:val="18"/>
          <w:lang w:val="es-ES"/>
        </w:rPr>
        <w:t xml:space="preserve">Santos </w:t>
      </w:r>
      <w:proofErr w:type="spellStart"/>
      <w:r w:rsidRPr="0072103C">
        <w:rPr>
          <w:szCs w:val="18"/>
          <w:lang w:val="es-ES"/>
        </w:rPr>
        <w:t>Pais</w:t>
      </w:r>
      <w:proofErr w:type="spellEnd"/>
      <w:r>
        <w:rPr>
          <w:szCs w:val="18"/>
          <w:lang w:val="es-ES"/>
        </w:rPr>
        <w:t xml:space="preserve">, </w:t>
      </w:r>
      <w:proofErr w:type="spellStart"/>
      <w:r w:rsidRPr="00833C8B">
        <w:rPr>
          <w:szCs w:val="18"/>
          <w:lang w:val="es-ES"/>
        </w:rPr>
        <w:t>Gentian</w:t>
      </w:r>
      <w:proofErr w:type="spellEnd"/>
      <w:r w:rsidRPr="00833C8B">
        <w:rPr>
          <w:szCs w:val="18"/>
          <w:lang w:val="es-ES"/>
        </w:rPr>
        <w:t xml:space="preserve"> </w:t>
      </w:r>
      <w:proofErr w:type="spellStart"/>
      <w:r w:rsidRPr="00833C8B">
        <w:rPr>
          <w:szCs w:val="18"/>
          <w:lang w:val="es-ES"/>
        </w:rPr>
        <w:t>Zyberi</w:t>
      </w:r>
      <w:proofErr w:type="spellEnd"/>
      <w:r w:rsidRPr="00833C8B">
        <w:rPr>
          <w:szCs w:val="18"/>
          <w:lang w:val="es-ES"/>
        </w:rPr>
        <w:t xml:space="preserve"> </w:t>
      </w:r>
      <w:r>
        <w:rPr>
          <w:szCs w:val="18"/>
          <w:lang w:val="es-ES"/>
        </w:rPr>
        <w:t xml:space="preserve">y </w:t>
      </w:r>
      <w:r w:rsidRPr="00833C8B">
        <w:rPr>
          <w:szCs w:val="18"/>
          <w:lang w:val="es-ES"/>
        </w:rPr>
        <w:t xml:space="preserve">Hernán Quezada. </w:t>
      </w:r>
    </w:p>
  </w:footnote>
  <w:footnote w:id="4">
    <w:p w14:paraId="3B33A60F" w14:textId="00C1CA55" w:rsidR="00C0300A" w:rsidRPr="00AE16AA" w:rsidRDefault="00C0300A" w:rsidP="00CF5683">
      <w:pPr>
        <w:pStyle w:val="FootnoteText"/>
        <w:rPr>
          <w:lang w:val="es-ES"/>
        </w:rPr>
      </w:pPr>
      <w:r>
        <w:rPr>
          <w:lang w:val="es-ES"/>
        </w:rPr>
        <w:tab/>
      </w:r>
      <w:r>
        <w:rPr>
          <w:rStyle w:val="FootnoteReference"/>
        </w:rPr>
        <w:footnoteRef/>
      </w:r>
      <w:r w:rsidR="00CF5683">
        <w:rPr>
          <w:lang w:val="es-ES"/>
        </w:rPr>
        <w:tab/>
      </w:r>
      <w:r w:rsidRPr="00AE16AA">
        <w:rPr>
          <w:lang w:val="es-ES"/>
        </w:rPr>
        <w:t xml:space="preserve"> El Estado parte </w:t>
      </w:r>
      <w:r w:rsidRPr="00FD425F">
        <w:rPr>
          <w:lang w:val="es-ES"/>
        </w:rPr>
        <w:t>hace</w:t>
      </w:r>
      <w:r w:rsidRPr="00AE16AA">
        <w:rPr>
          <w:lang w:val="es-ES"/>
        </w:rPr>
        <w:t xml:space="preserve"> notar que, de conformidad con el art</w:t>
      </w:r>
      <w:r>
        <w:rPr>
          <w:lang w:val="es-ES"/>
        </w:rPr>
        <w:t>ículo 61 de la Ley Orgánica del Poder Judicial integrada, “una sala formada por el Presidente del Tribunal Supremo, los Presidentes de Sala y el Magistrado más antiguo y el más moderno de cada una de ellas conocerá (…) de los incidentes de recusación de (…) los magistrados de una Sala”</w:t>
      </w:r>
      <w:r w:rsidR="0063191B">
        <w:rPr>
          <w:lang w:val="es-ES"/>
        </w:rPr>
        <w:t>.</w:t>
      </w:r>
    </w:p>
  </w:footnote>
  <w:footnote w:id="5">
    <w:p w14:paraId="557BC6D9" w14:textId="77777777" w:rsidR="0063191B" w:rsidRPr="00BC542F" w:rsidRDefault="0063191B" w:rsidP="00CF5683">
      <w:pPr>
        <w:pStyle w:val="FootnoteText"/>
        <w:rPr>
          <w:lang w:val="es-ES"/>
        </w:rPr>
      </w:pPr>
      <w:r>
        <w:rPr>
          <w:lang w:val="es-ES"/>
        </w:rPr>
        <w:tab/>
      </w:r>
      <w:r>
        <w:rPr>
          <w:rStyle w:val="FootnoteReference"/>
        </w:rPr>
        <w:footnoteRef/>
      </w:r>
      <w:r w:rsidRPr="00BC542F">
        <w:rPr>
          <w:lang w:val="es-ES"/>
        </w:rPr>
        <w:t xml:space="preserve"> </w:t>
      </w:r>
      <w:r>
        <w:rPr>
          <w:lang w:val="es-ES"/>
        </w:rPr>
        <w:tab/>
      </w:r>
      <w:r w:rsidRPr="00BC542F">
        <w:rPr>
          <w:lang w:val="es-ES"/>
        </w:rPr>
        <w:t xml:space="preserve">El </w:t>
      </w:r>
      <w:r>
        <w:rPr>
          <w:lang w:val="es-ES"/>
        </w:rPr>
        <w:t xml:space="preserve">Estado parte cita las </w:t>
      </w:r>
      <w:r w:rsidRPr="00FD425F">
        <w:rPr>
          <w:lang w:val="es-ES"/>
        </w:rPr>
        <w:t>sentencias</w:t>
      </w:r>
      <w:r>
        <w:rPr>
          <w:lang w:val="es-ES"/>
        </w:rPr>
        <w:t xml:space="preserve"> STC 175/1997, de 27 de octubre, STC 58/1998, de 16 de marzo, y STC 141/1999, de 22 de junio.</w:t>
      </w:r>
    </w:p>
  </w:footnote>
  <w:footnote w:id="6">
    <w:p w14:paraId="0F340129" w14:textId="197ADF9A" w:rsidR="0063191B" w:rsidRPr="00865374" w:rsidRDefault="0063191B" w:rsidP="00CF5683">
      <w:pPr>
        <w:pStyle w:val="FootnoteText"/>
        <w:rPr>
          <w:lang w:val="es-ES"/>
        </w:rPr>
      </w:pPr>
      <w:r>
        <w:rPr>
          <w:lang w:val="es-ES"/>
        </w:rPr>
        <w:tab/>
      </w:r>
      <w:r>
        <w:rPr>
          <w:rStyle w:val="FootnoteReference"/>
        </w:rPr>
        <w:footnoteRef/>
      </w:r>
      <w:r w:rsidRPr="00865374">
        <w:rPr>
          <w:lang w:val="es-ES"/>
        </w:rPr>
        <w:t xml:space="preserve"> </w:t>
      </w:r>
      <w:r>
        <w:rPr>
          <w:lang w:val="es-ES"/>
        </w:rPr>
        <w:tab/>
      </w:r>
      <w:r w:rsidRPr="00865374">
        <w:rPr>
          <w:lang w:val="es-ES"/>
        </w:rPr>
        <w:t>El Estado parte cita la decisi</w:t>
      </w:r>
      <w:r>
        <w:rPr>
          <w:lang w:val="es-ES"/>
        </w:rPr>
        <w:t xml:space="preserve">ón del Comité en </w:t>
      </w:r>
      <w:r w:rsidRPr="00865374">
        <w:rPr>
          <w:i/>
          <w:lang w:val="es-ES"/>
        </w:rPr>
        <w:t xml:space="preserve">X c Países Bajos </w:t>
      </w:r>
      <w:r>
        <w:rPr>
          <w:lang w:val="es-ES"/>
        </w:rPr>
        <w:t xml:space="preserve">(CCPR/C/117/D/2729/2016) y </w:t>
      </w:r>
      <w:r w:rsidRPr="00865374">
        <w:rPr>
          <w:i/>
          <w:lang w:val="es-ES"/>
        </w:rPr>
        <w:t>J.</w:t>
      </w:r>
      <w:r>
        <w:rPr>
          <w:i/>
          <w:lang w:val="es-ES"/>
        </w:rPr>
        <w:t> </w:t>
      </w:r>
      <w:r w:rsidRPr="00865374">
        <w:rPr>
          <w:i/>
          <w:lang w:val="es-ES"/>
        </w:rPr>
        <w:t>P.</w:t>
      </w:r>
      <w:r>
        <w:rPr>
          <w:i/>
          <w:lang w:val="es-ES"/>
        </w:rPr>
        <w:t> </w:t>
      </w:r>
      <w:r w:rsidRPr="00865374">
        <w:rPr>
          <w:i/>
          <w:lang w:val="es-ES"/>
        </w:rPr>
        <w:t>D.</w:t>
      </w:r>
      <w:r>
        <w:rPr>
          <w:i/>
          <w:lang w:val="es-ES"/>
        </w:rPr>
        <w:t> </w:t>
      </w:r>
      <w:r w:rsidRPr="00865374">
        <w:rPr>
          <w:i/>
          <w:lang w:val="es-ES"/>
        </w:rPr>
        <w:t>c Francia</w:t>
      </w:r>
      <w:r>
        <w:rPr>
          <w:lang w:val="es-ES"/>
        </w:rPr>
        <w:t xml:space="preserve"> (CCPR/C/115/D/2621/2015).</w:t>
      </w:r>
      <w:r w:rsidRPr="00865374">
        <w:rPr>
          <w:lang w:val="es-ES"/>
        </w:rPr>
        <w:t xml:space="preserve"> </w:t>
      </w:r>
    </w:p>
  </w:footnote>
  <w:footnote w:id="7">
    <w:p w14:paraId="700C932E" w14:textId="77777777" w:rsidR="0063191B" w:rsidRPr="007522EB" w:rsidRDefault="0063191B" w:rsidP="00CF5683">
      <w:pPr>
        <w:pStyle w:val="FootnoteText"/>
        <w:rPr>
          <w:lang w:val="es-ES"/>
        </w:rPr>
      </w:pPr>
      <w:r>
        <w:rPr>
          <w:lang w:val="es-ES"/>
        </w:rPr>
        <w:tab/>
      </w:r>
      <w:r>
        <w:rPr>
          <w:rStyle w:val="FootnoteReference"/>
        </w:rPr>
        <w:footnoteRef/>
      </w:r>
      <w:r>
        <w:rPr>
          <w:lang w:val="es-ES"/>
        </w:rPr>
        <w:tab/>
      </w:r>
      <w:r w:rsidRPr="007522EB">
        <w:rPr>
          <w:lang w:val="es-ES"/>
        </w:rPr>
        <w:t xml:space="preserve"> En este sentido, el Estado parte se refiere a varias iniciativas en curso, incluida la reforma de la Ley de la Memoria Hist</w:t>
      </w:r>
      <w:r>
        <w:rPr>
          <w:lang w:val="es-ES"/>
        </w:rPr>
        <w:t xml:space="preserve">órica, el desarrollo de un Registro nacional de personas desaparecidas, la creación de unidades especializadas para la investigación de denuncias de violaciones graves de derechos humanos y la </w:t>
      </w:r>
      <w:r w:rsidRPr="00FD425F">
        <w:rPr>
          <w:lang w:val="es-ES"/>
        </w:rPr>
        <w:t>elaboración</w:t>
      </w:r>
      <w:r>
        <w:rPr>
          <w:lang w:val="es-ES"/>
        </w:rPr>
        <w:t xml:space="preserve"> de un protocolo para la recolección e identificación de restos mortales, el acceso público a archivos estatales, militares y de la Iglesia Católica en relación a todas las personas desaparecidas durante la Guerra Civil y la dictadura franquista, el diseño de programas educativos sobre violaciones de derechos humanos cometidas durante dicho periodo, y la exhumación de los restos de Francisco Franco del Valle de los Caídos.</w:t>
      </w:r>
    </w:p>
  </w:footnote>
  <w:footnote w:id="8">
    <w:p w14:paraId="41844B59" w14:textId="0D32EE09" w:rsidR="00C0300A" w:rsidRPr="00C31353" w:rsidRDefault="00C0300A" w:rsidP="00CF5683">
      <w:pPr>
        <w:pStyle w:val="FootnoteText"/>
        <w:rPr>
          <w:lang w:val="es-ES"/>
        </w:rPr>
      </w:pPr>
      <w:r>
        <w:rPr>
          <w:lang w:val="es-ES"/>
        </w:rPr>
        <w:tab/>
      </w:r>
      <w:r>
        <w:rPr>
          <w:rStyle w:val="FootnoteReference"/>
        </w:rPr>
        <w:footnoteRef/>
      </w:r>
      <w:r w:rsidRPr="00C31353">
        <w:rPr>
          <w:lang w:val="es-ES"/>
        </w:rPr>
        <w:t xml:space="preserve"> </w:t>
      </w:r>
      <w:r w:rsidR="00CF5683">
        <w:rPr>
          <w:lang w:val="es-ES"/>
        </w:rPr>
        <w:tab/>
      </w:r>
      <w:r w:rsidRPr="00C31353">
        <w:rPr>
          <w:lang w:val="es-ES"/>
        </w:rPr>
        <w:t>El autor cita la senten</w:t>
      </w:r>
      <w:r>
        <w:rPr>
          <w:lang w:val="es-ES"/>
        </w:rPr>
        <w:t xml:space="preserve">cia del Tribunal de Justicia de </w:t>
      </w:r>
      <w:r w:rsidRPr="00C31353">
        <w:rPr>
          <w:lang w:val="es-ES"/>
        </w:rPr>
        <w:t>la Uni</w:t>
      </w:r>
      <w:r>
        <w:rPr>
          <w:lang w:val="es-ES"/>
        </w:rPr>
        <w:t>ón Europea, Gran Sala, Asunto C-619/18, Comisión Europea c República de Polonia, de 24 de junio de 2019.</w:t>
      </w:r>
    </w:p>
  </w:footnote>
  <w:footnote w:id="9">
    <w:p w14:paraId="22CFA804" w14:textId="3C315513" w:rsidR="00C0300A" w:rsidRPr="00EE14F9" w:rsidRDefault="00C0300A" w:rsidP="00CF5683">
      <w:pPr>
        <w:pStyle w:val="FootnoteText"/>
        <w:rPr>
          <w:lang w:val="es-ES"/>
        </w:rPr>
      </w:pPr>
      <w:r>
        <w:rPr>
          <w:lang w:val="es-ES"/>
        </w:rPr>
        <w:tab/>
      </w:r>
      <w:r>
        <w:rPr>
          <w:rStyle w:val="FootnoteReference"/>
        </w:rPr>
        <w:footnoteRef/>
      </w:r>
      <w:r w:rsidRPr="00EE14F9">
        <w:rPr>
          <w:lang w:val="es-ES"/>
        </w:rPr>
        <w:t xml:space="preserve"> </w:t>
      </w:r>
      <w:r w:rsidR="00CF5683">
        <w:rPr>
          <w:lang w:val="es-ES"/>
        </w:rPr>
        <w:tab/>
      </w:r>
      <w:r w:rsidRPr="00EE14F9">
        <w:rPr>
          <w:lang w:val="es-ES"/>
        </w:rPr>
        <w:t xml:space="preserve">El autor se refiere a </w:t>
      </w:r>
      <w:bookmarkStart w:id="0" w:name="_Hlk71645619"/>
      <w:r w:rsidRPr="00EE14F9">
        <w:rPr>
          <w:lang w:val="es-ES"/>
        </w:rPr>
        <w:t>la sentencia del Tribunal Supremo 101/2012, de 27 de febrero,</w:t>
      </w:r>
      <w:r>
        <w:rPr>
          <w:lang w:val="es-ES"/>
        </w:rPr>
        <w:t xml:space="preserve"> absolutoria por el caso Franquismo, en el </w:t>
      </w:r>
      <w:r w:rsidRPr="00FD425F">
        <w:rPr>
          <w:lang w:val="es-ES"/>
        </w:rPr>
        <w:t>sentido</w:t>
      </w:r>
      <w:r>
        <w:rPr>
          <w:lang w:val="es-ES"/>
        </w:rPr>
        <w:t xml:space="preserve"> que el error del autor “había sido corregido en vía jurisdiccional por el Pleno de la Sala de lo Penal de la Audiencia Nacional”.</w:t>
      </w:r>
    </w:p>
    <w:bookmarkEnd w:id="0"/>
  </w:footnote>
  <w:footnote w:id="10">
    <w:p w14:paraId="54D7B365" w14:textId="257BBDE7" w:rsidR="00C0300A" w:rsidRPr="00DD4850" w:rsidRDefault="00C0300A" w:rsidP="00CF5683">
      <w:pPr>
        <w:pStyle w:val="FootnoteText"/>
        <w:rPr>
          <w:lang w:val="es-ES"/>
        </w:rPr>
      </w:pPr>
      <w:r>
        <w:rPr>
          <w:lang w:val="es-ES"/>
        </w:rPr>
        <w:tab/>
      </w:r>
      <w:r>
        <w:rPr>
          <w:rStyle w:val="FootnoteReference"/>
        </w:rPr>
        <w:footnoteRef/>
      </w:r>
      <w:r w:rsidRPr="00DD4850">
        <w:rPr>
          <w:lang w:val="es-ES"/>
        </w:rPr>
        <w:t xml:space="preserve"> </w:t>
      </w:r>
      <w:r w:rsidR="00CF5683">
        <w:rPr>
          <w:lang w:val="es-ES"/>
        </w:rPr>
        <w:tab/>
      </w:r>
      <w:r w:rsidR="00477D12">
        <w:rPr>
          <w:lang w:val="es-ES_tradnl"/>
        </w:rPr>
        <w:t>Federación Internacional de Derechos Humanos</w:t>
      </w:r>
      <w:r>
        <w:rPr>
          <w:lang w:val="es-ES_tradnl"/>
        </w:rPr>
        <w:t xml:space="preserve">, Carta abierta al </w:t>
      </w:r>
      <w:r w:rsidRPr="00FD425F">
        <w:rPr>
          <w:lang w:val="es-ES"/>
        </w:rPr>
        <w:t>gobierno</w:t>
      </w:r>
      <w:r>
        <w:rPr>
          <w:lang w:val="es-ES_tradnl"/>
        </w:rPr>
        <w:t xml:space="preserve"> y al poder judicial español, de 20 de febrero de 2012.</w:t>
      </w:r>
    </w:p>
  </w:footnote>
  <w:footnote w:id="11">
    <w:p w14:paraId="5F591312" w14:textId="45070F8F" w:rsidR="00C0300A" w:rsidRPr="00844F9B" w:rsidRDefault="00C0300A" w:rsidP="00CF5683">
      <w:pPr>
        <w:pStyle w:val="FootnoteText"/>
        <w:rPr>
          <w:lang w:val="es-ES"/>
        </w:rPr>
      </w:pPr>
      <w:r w:rsidRPr="004253F3">
        <w:rPr>
          <w:lang w:val="es-ES"/>
        </w:rPr>
        <w:tab/>
      </w:r>
      <w:r>
        <w:rPr>
          <w:rStyle w:val="FootnoteReference"/>
        </w:rPr>
        <w:footnoteRef/>
      </w:r>
      <w:r w:rsidRPr="00844F9B">
        <w:rPr>
          <w:lang w:val="es-ES"/>
        </w:rPr>
        <w:t xml:space="preserve"> </w:t>
      </w:r>
      <w:r w:rsidR="00CF5683">
        <w:rPr>
          <w:lang w:val="es-ES"/>
        </w:rPr>
        <w:tab/>
      </w:r>
      <w:r w:rsidRPr="00844F9B">
        <w:rPr>
          <w:lang w:val="es-ES"/>
        </w:rPr>
        <w:t xml:space="preserve">Para mayor </w:t>
      </w:r>
      <w:r w:rsidRPr="00FD425F">
        <w:rPr>
          <w:lang w:val="es-ES"/>
        </w:rPr>
        <w:t>información</w:t>
      </w:r>
      <w:r w:rsidRPr="00844F9B">
        <w:rPr>
          <w:lang w:val="es-ES"/>
        </w:rPr>
        <w:t xml:space="preserve"> sobre la causa contra el autor por el proceso Santander, ver decisi</w:t>
      </w:r>
      <w:r>
        <w:rPr>
          <w:lang w:val="es-ES"/>
        </w:rPr>
        <w:t>ón de admisibilidad del Comité, párr. 2.31 a 2.41.</w:t>
      </w:r>
    </w:p>
  </w:footnote>
  <w:footnote w:id="12">
    <w:p w14:paraId="3ED32F87" w14:textId="57A4174C" w:rsidR="006C53CD" w:rsidRPr="0097045B" w:rsidRDefault="006C53CD" w:rsidP="00CF5683">
      <w:pPr>
        <w:pStyle w:val="FootnoteText"/>
        <w:rPr>
          <w:lang w:val="es-ES"/>
        </w:rPr>
      </w:pPr>
      <w:r w:rsidRPr="00224590">
        <w:rPr>
          <w:lang w:val="es-ES"/>
        </w:rPr>
        <w:tab/>
      </w:r>
      <w:r>
        <w:rPr>
          <w:rStyle w:val="FootnoteReference"/>
        </w:rPr>
        <w:footnoteRef/>
      </w:r>
      <w:r w:rsidRPr="0097045B">
        <w:rPr>
          <w:lang w:val="es-ES"/>
        </w:rPr>
        <w:t xml:space="preserve"> </w:t>
      </w:r>
      <w:r w:rsidR="00CF5683">
        <w:rPr>
          <w:lang w:val="es-ES"/>
        </w:rPr>
        <w:tab/>
      </w:r>
      <w:r w:rsidRPr="0097045B">
        <w:rPr>
          <w:lang w:val="es-ES"/>
        </w:rPr>
        <w:t>Carta abierta al Gobierno y al poder judicial espa</w:t>
      </w:r>
      <w:r>
        <w:rPr>
          <w:lang w:val="es-ES"/>
        </w:rPr>
        <w:t xml:space="preserve">ñol, de 20 de febrero de 2012, firmada por 80 organizaciones no </w:t>
      </w:r>
      <w:r w:rsidRPr="00FD425F">
        <w:rPr>
          <w:lang w:val="es-ES"/>
        </w:rPr>
        <w:t>gubernamentales</w:t>
      </w:r>
      <w:r>
        <w:rPr>
          <w:lang w:val="es-ES"/>
        </w:rPr>
        <w:t xml:space="preserve"> internacionales y nacionales.</w:t>
      </w:r>
    </w:p>
  </w:footnote>
  <w:footnote w:id="13">
    <w:p w14:paraId="69545311" w14:textId="3CD5CFFF" w:rsidR="00C0300A" w:rsidRPr="00075CB6" w:rsidRDefault="00C0300A">
      <w:pPr>
        <w:pStyle w:val="FootnoteText"/>
        <w:rPr>
          <w:lang w:val="es-ES"/>
        </w:rPr>
      </w:pPr>
      <w:r>
        <w:rPr>
          <w:lang w:val="es-ES"/>
        </w:rPr>
        <w:tab/>
      </w:r>
      <w:r>
        <w:rPr>
          <w:rStyle w:val="FootnoteReference"/>
        </w:rPr>
        <w:footnoteRef/>
      </w:r>
      <w:r w:rsidRPr="00075CB6">
        <w:rPr>
          <w:lang w:val="es-ES"/>
        </w:rPr>
        <w:t xml:space="preserve"> </w:t>
      </w:r>
      <w:r w:rsidR="00CF5683">
        <w:rPr>
          <w:lang w:val="es-ES"/>
        </w:rPr>
        <w:tab/>
      </w:r>
      <w:r w:rsidRPr="00075CB6">
        <w:rPr>
          <w:lang w:val="es-ES"/>
        </w:rPr>
        <w:t xml:space="preserve">Ver decisión de admisibilidad, párr. </w:t>
      </w:r>
      <w:r>
        <w:rPr>
          <w:lang w:val="es-ES"/>
        </w:rPr>
        <w:t>2.15.</w:t>
      </w:r>
    </w:p>
  </w:footnote>
  <w:footnote w:id="14">
    <w:p w14:paraId="3B56DD1C" w14:textId="77777777" w:rsidR="0063191B" w:rsidRPr="0097045B" w:rsidRDefault="0063191B" w:rsidP="00CF5683">
      <w:pPr>
        <w:pStyle w:val="FootnoteText"/>
        <w:rPr>
          <w:lang w:val="es-ES"/>
        </w:rPr>
      </w:pPr>
      <w:r>
        <w:rPr>
          <w:lang w:val="es-ES"/>
        </w:rPr>
        <w:tab/>
      </w:r>
      <w:r>
        <w:rPr>
          <w:rStyle w:val="FootnoteReference"/>
        </w:rPr>
        <w:footnoteRef/>
      </w:r>
      <w:r w:rsidRPr="0097045B">
        <w:rPr>
          <w:lang w:val="es-ES"/>
        </w:rPr>
        <w:t xml:space="preserve"> </w:t>
      </w:r>
      <w:r>
        <w:rPr>
          <w:lang w:val="es-ES"/>
        </w:rPr>
        <w:tab/>
      </w:r>
      <w:r w:rsidRPr="0097045B">
        <w:rPr>
          <w:lang w:val="es-ES"/>
        </w:rPr>
        <w:t xml:space="preserve">Párr. 2.13 de la </w:t>
      </w:r>
      <w:r w:rsidRPr="00FD425F">
        <w:rPr>
          <w:lang w:val="es-ES"/>
        </w:rPr>
        <w:t>decisión</w:t>
      </w:r>
      <w:r w:rsidRPr="0097045B">
        <w:rPr>
          <w:lang w:val="es-ES"/>
        </w:rPr>
        <w:t xml:space="preserve"> de admisibilidad del Comité.</w:t>
      </w:r>
    </w:p>
  </w:footnote>
  <w:footnote w:id="15">
    <w:p w14:paraId="19A0E176" w14:textId="670DF2FB" w:rsidR="00C0300A" w:rsidRPr="00D12AE6" w:rsidRDefault="00C0300A">
      <w:pPr>
        <w:pStyle w:val="FootnoteText"/>
        <w:rPr>
          <w:lang w:val="es-ES"/>
        </w:rPr>
      </w:pPr>
      <w:r>
        <w:rPr>
          <w:lang w:val="es-ES"/>
        </w:rPr>
        <w:tab/>
      </w:r>
      <w:r>
        <w:rPr>
          <w:rStyle w:val="FootnoteReference"/>
        </w:rPr>
        <w:footnoteRef/>
      </w:r>
      <w:r w:rsidRPr="00D12AE6">
        <w:rPr>
          <w:lang w:val="es-ES"/>
        </w:rPr>
        <w:t xml:space="preserve"> </w:t>
      </w:r>
      <w:r w:rsidR="00CF5683">
        <w:rPr>
          <w:lang w:val="es-ES"/>
        </w:rPr>
        <w:tab/>
      </w:r>
      <w:r w:rsidRPr="00D12AE6">
        <w:rPr>
          <w:lang w:val="es-ES"/>
        </w:rPr>
        <w:t>Véase decisión de admisibilidad</w:t>
      </w:r>
      <w:r w:rsidR="00EA4CF1">
        <w:rPr>
          <w:lang w:val="es-ES"/>
        </w:rPr>
        <w:t>,</w:t>
      </w:r>
      <w:r w:rsidRPr="00D12AE6">
        <w:rPr>
          <w:lang w:val="es-ES"/>
        </w:rPr>
        <w:t xml:space="preserve"> párr. </w:t>
      </w:r>
      <w:r>
        <w:rPr>
          <w:lang w:val="es-ES"/>
        </w:rPr>
        <w:t>2.29.</w:t>
      </w:r>
    </w:p>
  </w:footnote>
  <w:footnote w:id="16">
    <w:p w14:paraId="4DF07C4F" w14:textId="6273A20C" w:rsidR="00C0300A" w:rsidRPr="00121358" w:rsidRDefault="00C0300A" w:rsidP="00CF5683">
      <w:pPr>
        <w:pStyle w:val="FootnoteText"/>
        <w:rPr>
          <w:lang w:val="es-ES"/>
        </w:rPr>
      </w:pPr>
      <w:r>
        <w:rPr>
          <w:lang w:val="es-ES"/>
        </w:rPr>
        <w:tab/>
      </w:r>
      <w:r>
        <w:rPr>
          <w:rStyle w:val="FootnoteReference"/>
        </w:rPr>
        <w:footnoteRef/>
      </w:r>
      <w:r w:rsidRPr="00121358">
        <w:rPr>
          <w:lang w:val="es-ES"/>
        </w:rPr>
        <w:t xml:space="preserve"> </w:t>
      </w:r>
      <w:r w:rsidR="00CF5683">
        <w:rPr>
          <w:lang w:val="es-ES"/>
        </w:rPr>
        <w:tab/>
      </w:r>
      <w:r w:rsidRPr="00121358">
        <w:rPr>
          <w:lang w:val="es-ES"/>
        </w:rPr>
        <w:t xml:space="preserve">El autor cita la </w:t>
      </w:r>
      <w:r w:rsidR="007C463A">
        <w:rPr>
          <w:lang w:val="es-ES"/>
        </w:rPr>
        <w:t>o</w:t>
      </w:r>
      <w:r w:rsidRPr="00FD425F">
        <w:rPr>
          <w:lang w:val="es-ES"/>
        </w:rPr>
        <w:t>bservación</w:t>
      </w:r>
      <w:r w:rsidRPr="00121358">
        <w:rPr>
          <w:lang w:val="es-ES"/>
        </w:rPr>
        <w:t xml:space="preserve"> </w:t>
      </w:r>
      <w:r w:rsidR="007C463A">
        <w:rPr>
          <w:lang w:val="es-ES"/>
        </w:rPr>
        <w:t>g</w:t>
      </w:r>
      <w:r w:rsidRPr="00121358">
        <w:rPr>
          <w:lang w:val="es-ES"/>
        </w:rPr>
        <w:t xml:space="preserve">eneral </w:t>
      </w:r>
      <w:r w:rsidR="007C463A">
        <w:rPr>
          <w:lang w:val="es-ES"/>
        </w:rPr>
        <w:t>n</w:t>
      </w:r>
      <w:r>
        <w:rPr>
          <w:lang w:val="es-ES"/>
        </w:rPr>
        <w:t xml:space="preserve">úm. 32 del Comité, párr. 47, así como los dictámenes del Comité en </w:t>
      </w:r>
      <w:r w:rsidRPr="00121358">
        <w:rPr>
          <w:i/>
          <w:lang w:val="es-ES"/>
        </w:rPr>
        <w:t xml:space="preserve">Terrón c España </w:t>
      </w:r>
      <w:r>
        <w:rPr>
          <w:lang w:val="es-ES"/>
        </w:rPr>
        <w:t xml:space="preserve">(CCPR/C/82/D/1073/2002), párr. 7.4, y </w:t>
      </w:r>
      <w:proofErr w:type="spellStart"/>
      <w:r w:rsidRPr="00121358">
        <w:rPr>
          <w:i/>
          <w:lang w:val="es-ES"/>
        </w:rPr>
        <w:t>Capellades</w:t>
      </w:r>
      <w:proofErr w:type="spellEnd"/>
      <w:r w:rsidRPr="00121358">
        <w:rPr>
          <w:i/>
          <w:lang w:val="es-ES"/>
        </w:rPr>
        <w:t xml:space="preserve"> c España</w:t>
      </w:r>
      <w:r>
        <w:rPr>
          <w:lang w:val="es-ES"/>
        </w:rPr>
        <w:t xml:space="preserve"> (CCPR/C/87/D/1211/2003), párr. 7.</w:t>
      </w:r>
    </w:p>
  </w:footnote>
  <w:footnote w:id="17">
    <w:p w14:paraId="6F38AC84" w14:textId="53376B69" w:rsidR="00C0300A" w:rsidRPr="00A20C19" w:rsidRDefault="00C0300A" w:rsidP="00CF5683">
      <w:pPr>
        <w:pStyle w:val="FootnoteText"/>
        <w:rPr>
          <w:lang w:val="es-ES"/>
        </w:rPr>
      </w:pPr>
      <w:r>
        <w:rPr>
          <w:lang w:val="es-ES"/>
        </w:rPr>
        <w:tab/>
      </w:r>
      <w:r>
        <w:rPr>
          <w:rStyle w:val="FootnoteReference"/>
        </w:rPr>
        <w:footnoteRef/>
      </w:r>
      <w:r w:rsidRPr="00A20C19">
        <w:rPr>
          <w:lang w:val="es-ES"/>
        </w:rPr>
        <w:t xml:space="preserve"> </w:t>
      </w:r>
      <w:r w:rsidR="00CF5683">
        <w:rPr>
          <w:lang w:val="es-ES"/>
        </w:rPr>
        <w:tab/>
      </w:r>
      <w:r w:rsidRPr="00A20C19">
        <w:rPr>
          <w:lang w:val="es-ES"/>
        </w:rPr>
        <w:t xml:space="preserve">El autor cita los dictámenes del Comité en los casos </w:t>
      </w:r>
      <w:r w:rsidRPr="00121358">
        <w:rPr>
          <w:i/>
          <w:lang w:val="es-ES"/>
        </w:rPr>
        <w:t>Terrón c España</w:t>
      </w:r>
      <w:r>
        <w:rPr>
          <w:i/>
          <w:lang w:val="es-ES"/>
        </w:rPr>
        <w:t xml:space="preserve">, </w:t>
      </w:r>
      <w:proofErr w:type="spellStart"/>
      <w:r>
        <w:rPr>
          <w:i/>
          <w:lang w:val="es-ES"/>
        </w:rPr>
        <w:t>op</w:t>
      </w:r>
      <w:proofErr w:type="spellEnd"/>
      <w:r>
        <w:rPr>
          <w:i/>
          <w:lang w:val="es-ES"/>
        </w:rPr>
        <w:t>.</w:t>
      </w:r>
      <w:r w:rsidR="00037773">
        <w:rPr>
          <w:i/>
          <w:lang w:val="es-ES"/>
        </w:rPr>
        <w:t xml:space="preserve"> </w:t>
      </w:r>
      <w:r>
        <w:rPr>
          <w:i/>
          <w:lang w:val="es-ES"/>
        </w:rPr>
        <w:t xml:space="preserve">cit., </w:t>
      </w:r>
      <w:r w:rsidRPr="00A20C19">
        <w:rPr>
          <w:lang w:val="es-ES"/>
        </w:rPr>
        <w:t>párr. 6.5, y</w:t>
      </w:r>
      <w:r>
        <w:rPr>
          <w:i/>
          <w:lang w:val="es-ES"/>
        </w:rPr>
        <w:t xml:space="preserve"> J.</w:t>
      </w:r>
      <w:r w:rsidR="0063191B">
        <w:rPr>
          <w:i/>
          <w:lang w:val="es-ES"/>
        </w:rPr>
        <w:t xml:space="preserve"> </w:t>
      </w:r>
      <w:r>
        <w:rPr>
          <w:i/>
          <w:lang w:val="es-ES"/>
        </w:rPr>
        <w:t>J.</w:t>
      </w:r>
      <w:r w:rsidR="0063191B">
        <w:rPr>
          <w:i/>
          <w:lang w:val="es-ES"/>
        </w:rPr>
        <w:t xml:space="preserve"> </w:t>
      </w:r>
      <w:r>
        <w:rPr>
          <w:i/>
          <w:lang w:val="es-ES"/>
        </w:rPr>
        <w:t>U.</w:t>
      </w:r>
      <w:r w:rsidR="0063191B">
        <w:rPr>
          <w:i/>
          <w:lang w:val="es-ES"/>
        </w:rPr>
        <w:t xml:space="preserve"> </w:t>
      </w:r>
      <w:r>
        <w:rPr>
          <w:i/>
          <w:lang w:val="es-ES"/>
        </w:rPr>
        <w:t xml:space="preserve">B. c España </w:t>
      </w:r>
      <w:r>
        <w:rPr>
          <w:lang w:val="es-ES"/>
        </w:rPr>
        <w:t>(CCPR/C/106/D/1892/2009), párr. 7.3.</w:t>
      </w:r>
    </w:p>
  </w:footnote>
  <w:footnote w:id="18">
    <w:p w14:paraId="67406B72" w14:textId="09EE95E1" w:rsidR="00C0300A" w:rsidRPr="00CA7256" w:rsidRDefault="00C0300A">
      <w:pPr>
        <w:pStyle w:val="FootnoteText"/>
        <w:rPr>
          <w:lang w:val="es-ES"/>
        </w:rPr>
      </w:pPr>
      <w:r>
        <w:rPr>
          <w:lang w:val="es-ES"/>
        </w:rPr>
        <w:tab/>
      </w:r>
      <w:r>
        <w:rPr>
          <w:rStyle w:val="FootnoteReference"/>
        </w:rPr>
        <w:footnoteRef/>
      </w:r>
      <w:r w:rsidRPr="00CA7256">
        <w:rPr>
          <w:lang w:val="es-ES"/>
        </w:rPr>
        <w:t xml:space="preserve"> </w:t>
      </w:r>
      <w:r w:rsidR="00CF5683">
        <w:rPr>
          <w:lang w:val="es-ES"/>
        </w:rPr>
        <w:tab/>
      </w:r>
      <w:r w:rsidRPr="00CA7256">
        <w:rPr>
          <w:lang w:val="es-ES"/>
        </w:rPr>
        <w:t xml:space="preserve">El autor </w:t>
      </w:r>
      <w:r>
        <w:rPr>
          <w:lang w:val="es-ES"/>
        </w:rPr>
        <w:t>c</w:t>
      </w:r>
      <w:r w:rsidRPr="00CA7256">
        <w:rPr>
          <w:lang w:val="es-ES"/>
        </w:rPr>
        <w:t xml:space="preserve">ita la sentencia del </w:t>
      </w:r>
      <w:r>
        <w:rPr>
          <w:lang w:val="es-ES"/>
        </w:rPr>
        <w:t xml:space="preserve">Pleno del </w:t>
      </w:r>
      <w:r w:rsidRPr="00CA7256">
        <w:rPr>
          <w:lang w:val="es-ES"/>
        </w:rPr>
        <w:t xml:space="preserve">Tribunal Constitucional 114/1995, de 6 de julio. </w:t>
      </w:r>
    </w:p>
  </w:footnote>
  <w:footnote w:id="19">
    <w:p w14:paraId="536BBD9D" w14:textId="1D3973E1" w:rsidR="00C0300A" w:rsidRPr="005452CB" w:rsidRDefault="00C0300A" w:rsidP="00CF5683">
      <w:pPr>
        <w:pStyle w:val="FootnoteText"/>
        <w:rPr>
          <w:lang w:val="es-ES"/>
        </w:rPr>
      </w:pPr>
      <w:r>
        <w:rPr>
          <w:lang w:val="es-ES"/>
        </w:rPr>
        <w:tab/>
      </w:r>
      <w:r>
        <w:rPr>
          <w:rStyle w:val="FootnoteReference"/>
        </w:rPr>
        <w:footnoteRef/>
      </w:r>
      <w:r w:rsidRPr="005452CB">
        <w:rPr>
          <w:lang w:val="es-ES"/>
        </w:rPr>
        <w:t xml:space="preserve"> </w:t>
      </w:r>
      <w:r w:rsidR="00CF5683">
        <w:rPr>
          <w:lang w:val="es-ES"/>
        </w:rPr>
        <w:tab/>
      </w:r>
      <w:r w:rsidRPr="005452CB">
        <w:rPr>
          <w:lang w:val="es-ES"/>
        </w:rPr>
        <w:t>Dicho artículo dispone que “</w:t>
      </w:r>
      <w:r w:rsidRPr="00A92459">
        <w:rPr>
          <w:lang w:val="es-ES"/>
        </w:rPr>
        <w:t xml:space="preserve">El juez o magistrado que, a sabiendas, dictare sentencia o resolución injusta será castigado: 1.º Con la pena de prisión de uno a cuatro años si se trata de sentencia injusta contra el reo en causa criminal por delito </w:t>
      </w:r>
      <w:r w:rsidRPr="00FD425F">
        <w:rPr>
          <w:lang w:val="es-ES"/>
        </w:rPr>
        <w:t>grave</w:t>
      </w:r>
      <w:r w:rsidRPr="00A92459">
        <w:rPr>
          <w:lang w:val="es-ES"/>
        </w:rPr>
        <w:t xml:space="preserve"> o menos grave y la sentencia no hubiera llegado a ejecutarse, y con la misma pena en su mitad superior y multa de doce a veinticuatro meses si se ha ejecutado. En ambos casos se impondrá, además, la pena de inhabilitación absoluta por tiempo de diez a veinte años. 2.º Con la pena de multa de seis a doce meses e inhabilitación especial para empleo o cargo público </w:t>
      </w:r>
      <w:r w:rsidRPr="00FD425F">
        <w:rPr>
          <w:lang w:val="es-ES"/>
        </w:rPr>
        <w:t>por</w:t>
      </w:r>
      <w:r w:rsidRPr="00A92459">
        <w:rPr>
          <w:lang w:val="es-ES"/>
        </w:rPr>
        <w:t xml:space="preserve"> tiempo de seis a diez años, si se tratara de una sentencia injusta contra el reo dictada en proceso por delito leve. 3.º Con la pena de multa de doce a veinticuatro meses e inhabilitación especial para empleo o cargo público por tiempo de diez a veinte años, cuando dictara cualquier otra sentencia o resolución injustas</w:t>
      </w:r>
      <w:r>
        <w:rPr>
          <w:lang w:val="es-ES"/>
        </w:rPr>
        <w:t>”</w:t>
      </w:r>
      <w:r w:rsidR="0063191B">
        <w:rPr>
          <w:lang w:val="es-ES"/>
        </w:rPr>
        <w:t>.</w:t>
      </w:r>
    </w:p>
  </w:footnote>
  <w:footnote w:id="20">
    <w:p w14:paraId="4274174D" w14:textId="77777777" w:rsidR="0063191B" w:rsidRPr="005D2D77" w:rsidRDefault="0063191B">
      <w:pPr>
        <w:pStyle w:val="FootnoteText"/>
        <w:rPr>
          <w:lang w:val="es-ES"/>
        </w:rPr>
      </w:pPr>
      <w:r>
        <w:rPr>
          <w:lang w:val="es-ES"/>
        </w:rPr>
        <w:tab/>
      </w:r>
      <w:r>
        <w:rPr>
          <w:rStyle w:val="FootnoteReference"/>
        </w:rPr>
        <w:footnoteRef/>
      </w:r>
      <w:r w:rsidRPr="005D2D77">
        <w:rPr>
          <w:lang w:val="es-ES"/>
        </w:rPr>
        <w:t xml:space="preserve"> </w:t>
      </w:r>
      <w:r>
        <w:rPr>
          <w:lang w:val="es-ES"/>
        </w:rPr>
        <w:tab/>
      </w:r>
      <w:r w:rsidRPr="005D2D77">
        <w:rPr>
          <w:lang w:val="es-ES"/>
        </w:rPr>
        <w:t>El autor cita varias sentencias del Tribunal Supremo espa</w:t>
      </w:r>
      <w:r>
        <w:rPr>
          <w:lang w:val="es-ES"/>
        </w:rPr>
        <w:t>ñol en este sentido.</w:t>
      </w:r>
    </w:p>
  </w:footnote>
  <w:footnote w:id="21">
    <w:p w14:paraId="5BFB91C1" w14:textId="1C515354" w:rsidR="00C0300A" w:rsidRPr="0023019B" w:rsidRDefault="00C0300A" w:rsidP="00CF5683">
      <w:pPr>
        <w:pStyle w:val="FootnoteText"/>
        <w:rPr>
          <w:lang w:val="es-ES"/>
        </w:rPr>
      </w:pPr>
      <w:r>
        <w:rPr>
          <w:lang w:val="es-ES"/>
        </w:rPr>
        <w:tab/>
      </w:r>
      <w:r>
        <w:rPr>
          <w:rStyle w:val="FootnoteReference"/>
        </w:rPr>
        <w:footnoteRef/>
      </w:r>
      <w:r w:rsidR="00CF5683">
        <w:rPr>
          <w:lang w:val="es-ES"/>
        </w:rPr>
        <w:tab/>
      </w:r>
      <w:r w:rsidRPr="0023019B">
        <w:rPr>
          <w:lang w:val="es-ES"/>
        </w:rPr>
        <w:t xml:space="preserve"> </w:t>
      </w:r>
      <w:r>
        <w:rPr>
          <w:lang w:val="es-ES_tradnl"/>
        </w:rPr>
        <w:t>El artículo 118 (4) de esta Ley admite como excepción a la confidencialidad de las comunicaciones “cuando se constate la existencia de indicios objetivos de la participación el abogado en el hecho delictivo investigado o de su implicación junto con el investigado o encausado en la comisión e otra infracción penal”.</w:t>
      </w:r>
    </w:p>
  </w:footnote>
  <w:footnote w:id="22">
    <w:p w14:paraId="1A35D95E" w14:textId="4E9E8CBA" w:rsidR="00C0300A" w:rsidRPr="006D713E" w:rsidRDefault="00C0300A" w:rsidP="00CF5683">
      <w:pPr>
        <w:pStyle w:val="FootnoteText"/>
        <w:rPr>
          <w:lang w:val="es-ES"/>
        </w:rPr>
      </w:pPr>
      <w:r>
        <w:rPr>
          <w:lang w:val="es-ES"/>
        </w:rPr>
        <w:tab/>
      </w:r>
      <w:r>
        <w:rPr>
          <w:rStyle w:val="FootnoteReference"/>
        </w:rPr>
        <w:footnoteRef/>
      </w:r>
      <w:r w:rsidRPr="006D713E">
        <w:rPr>
          <w:lang w:val="es-ES"/>
        </w:rPr>
        <w:t xml:space="preserve"> </w:t>
      </w:r>
      <w:r w:rsidR="00CF5683">
        <w:rPr>
          <w:lang w:val="es-ES"/>
        </w:rPr>
        <w:tab/>
      </w:r>
      <w:r w:rsidRPr="006D713E">
        <w:rPr>
          <w:lang w:val="es-ES"/>
        </w:rPr>
        <w:t xml:space="preserve">El autor cita las sentencias del TEDH en </w:t>
      </w:r>
      <w:proofErr w:type="spellStart"/>
      <w:r w:rsidRPr="00850151">
        <w:rPr>
          <w:i/>
          <w:lang w:val="es-ES"/>
        </w:rPr>
        <w:t>Foxley</w:t>
      </w:r>
      <w:proofErr w:type="spellEnd"/>
      <w:r w:rsidRPr="00850151">
        <w:rPr>
          <w:i/>
          <w:lang w:val="es-ES"/>
        </w:rPr>
        <w:t xml:space="preserve"> c Reino Unido</w:t>
      </w:r>
      <w:r w:rsidRPr="006D713E">
        <w:rPr>
          <w:lang w:val="es-ES"/>
        </w:rPr>
        <w:t xml:space="preserve"> (demanda 33274/96), de 20 de junio</w:t>
      </w:r>
      <w:r w:rsidR="0083325D">
        <w:rPr>
          <w:lang w:val="es-ES"/>
        </w:rPr>
        <w:t xml:space="preserve"> 2000</w:t>
      </w:r>
      <w:r w:rsidRPr="006D713E">
        <w:rPr>
          <w:lang w:val="es-ES"/>
        </w:rPr>
        <w:t xml:space="preserve">, y </w:t>
      </w:r>
      <w:proofErr w:type="spellStart"/>
      <w:r w:rsidRPr="00850151">
        <w:rPr>
          <w:i/>
          <w:lang w:val="es-ES"/>
        </w:rPr>
        <w:t>Marcello</w:t>
      </w:r>
      <w:proofErr w:type="spellEnd"/>
      <w:r w:rsidRPr="00850151">
        <w:rPr>
          <w:i/>
          <w:lang w:val="es-ES"/>
        </w:rPr>
        <w:t xml:space="preserve"> Viola c </w:t>
      </w:r>
      <w:r w:rsidRPr="00FD425F">
        <w:rPr>
          <w:lang w:val="es-ES"/>
        </w:rPr>
        <w:t>Italia</w:t>
      </w:r>
      <w:r w:rsidRPr="006D713E">
        <w:rPr>
          <w:lang w:val="es-ES"/>
        </w:rPr>
        <w:t xml:space="preserve"> (demanda 45106/04), de 5 de octubre</w:t>
      </w:r>
      <w:r w:rsidR="0083325D">
        <w:rPr>
          <w:lang w:val="es-ES"/>
        </w:rPr>
        <w:t xml:space="preserve"> 2006</w:t>
      </w:r>
      <w:r w:rsidRPr="006D713E">
        <w:rPr>
          <w:lang w:val="es-ES"/>
        </w:rPr>
        <w:t>.</w:t>
      </w:r>
    </w:p>
  </w:footnote>
  <w:footnote w:id="23">
    <w:p w14:paraId="00B31354" w14:textId="5699954A" w:rsidR="00C0300A" w:rsidRPr="00197FC3" w:rsidRDefault="00C0300A">
      <w:pPr>
        <w:pStyle w:val="FootnoteText"/>
        <w:rPr>
          <w:lang w:val="es-ES"/>
        </w:rPr>
      </w:pPr>
      <w:r w:rsidRPr="00197FC3">
        <w:rPr>
          <w:lang w:val="es-ES"/>
        </w:rPr>
        <w:tab/>
      </w:r>
      <w:r>
        <w:rPr>
          <w:rStyle w:val="FootnoteReference"/>
        </w:rPr>
        <w:footnoteRef/>
      </w:r>
      <w:r w:rsidRPr="00197FC3">
        <w:rPr>
          <w:lang w:val="es-ES"/>
        </w:rPr>
        <w:t xml:space="preserve"> </w:t>
      </w:r>
      <w:r w:rsidR="00CF5683">
        <w:rPr>
          <w:lang w:val="es-ES"/>
        </w:rPr>
        <w:tab/>
      </w:r>
      <w:r w:rsidRPr="00197FC3">
        <w:rPr>
          <w:lang w:val="es-ES"/>
        </w:rPr>
        <w:t>Principios 18 y 19.</w:t>
      </w:r>
    </w:p>
  </w:footnote>
  <w:footnote w:id="24">
    <w:p w14:paraId="5F1C5B1C" w14:textId="3C74F347" w:rsidR="00C0300A" w:rsidRPr="00FD425F" w:rsidRDefault="00C0300A" w:rsidP="00CF5683">
      <w:pPr>
        <w:pStyle w:val="FootnoteText"/>
        <w:rPr>
          <w:lang w:val="es-ES"/>
        </w:rPr>
      </w:pPr>
      <w:r>
        <w:rPr>
          <w:lang w:val="es-ES"/>
        </w:rPr>
        <w:tab/>
      </w:r>
      <w:r>
        <w:rPr>
          <w:rStyle w:val="FootnoteReference"/>
        </w:rPr>
        <w:footnoteRef/>
      </w:r>
      <w:r w:rsidRPr="007869AB">
        <w:rPr>
          <w:lang w:val="es-ES"/>
        </w:rPr>
        <w:t xml:space="preserve"> </w:t>
      </w:r>
      <w:r w:rsidR="00CF5683">
        <w:rPr>
          <w:lang w:val="es-ES"/>
        </w:rPr>
        <w:tab/>
      </w:r>
      <w:r w:rsidRPr="007869AB">
        <w:rPr>
          <w:lang w:val="es-ES"/>
        </w:rPr>
        <w:t xml:space="preserve">Comité de Derechos Humanos, Observaciones finales sobre </w:t>
      </w:r>
      <w:r w:rsidRPr="000443A9">
        <w:rPr>
          <w:lang w:val="es-ES"/>
        </w:rPr>
        <w:t>el segundo informe periódico de</w:t>
      </w:r>
      <w:r>
        <w:rPr>
          <w:lang w:val="es-ES"/>
        </w:rPr>
        <w:t xml:space="preserve"> Vietnam (CCPR/CO/75/VNM).</w:t>
      </w:r>
    </w:p>
  </w:footnote>
  <w:footnote w:id="25">
    <w:p w14:paraId="0491D93F" w14:textId="507ABEF7" w:rsidR="00C0300A" w:rsidRPr="00BB4890" w:rsidRDefault="00C0300A" w:rsidP="00CF5683">
      <w:pPr>
        <w:pStyle w:val="FootnoteText"/>
        <w:rPr>
          <w:lang w:val="es-ES"/>
        </w:rPr>
      </w:pPr>
      <w:r w:rsidRPr="00197FC3">
        <w:rPr>
          <w:lang w:val="es-ES"/>
        </w:rPr>
        <w:tab/>
      </w:r>
      <w:r>
        <w:rPr>
          <w:rStyle w:val="FootnoteReference"/>
        </w:rPr>
        <w:footnoteRef/>
      </w:r>
      <w:r w:rsidRPr="00BB4890">
        <w:rPr>
          <w:lang w:val="es-ES"/>
        </w:rPr>
        <w:t xml:space="preserve"> </w:t>
      </w:r>
      <w:r w:rsidR="00CF5683">
        <w:rPr>
          <w:lang w:val="es-ES"/>
        </w:rPr>
        <w:tab/>
      </w:r>
      <w:r w:rsidRPr="00BB4890">
        <w:rPr>
          <w:lang w:val="es-ES"/>
        </w:rPr>
        <w:t xml:space="preserve">Informe del Relator </w:t>
      </w:r>
      <w:r w:rsidRPr="00FD425F">
        <w:rPr>
          <w:lang w:val="es-ES"/>
        </w:rPr>
        <w:t>Especial</w:t>
      </w:r>
      <w:r w:rsidRPr="00BB4890">
        <w:rPr>
          <w:lang w:val="es-ES"/>
        </w:rPr>
        <w:t xml:space="preserve"> sobre la independencia de los magistrados y abogados, Diego Garc</w:t>
      </w:r>
      <w:r>
        <w:rPr>
          <w:lang w:val="es-ES"/>
        </w:rPr>
        <w:t>ía Sayán, de conformidad con lo dispuesto en la resolución 35/11 del Consejo de Derechos Humanos (</w:t>
      </w:r>
      <w:r w:rsidRPr="00BB4890">
        <w:rPr>
          <w:lang w:val="es-ES"/>
        </w:rPr>
        <w:t>A/75/172</w:t>
      </w:r>
      <w:r>
        <w:rPr>
          <w:lang w:val="es-ES"/>
        </w:rPr>
        <w:t>).</w:t>
      </w:r>
    </w:p>
  </w:footnote>
  <w:footnote w:id="26">
    <w:p w14:paraId="4C7C5F79" w14:textId="485F7561" w:rsidR="0063191B" w:rsidRPr="00512FE0" w:rsidRDefault="0063191B" w:rsidP="00697802">
      <w:pPr>
        <w:pStyle w:val="FootnoteText"/>
        <w:rPr>
          <w:lang w:val="es-ES"/>
        </w:rPr>
      </w:pPr>
      <w:r>
        <w:rPr>
          <w:lang w:val="es-ES"/>
        </w:rPr>
        <w:tab/>
      </w:r>
      <w:r>
        <w:rPr>
          <w:rStyle w:val="FootnoteReference"/>
        </w:rPr>
        <w:footnoteRef/>
      </w:r>
      <w:r w:rsidRPr="00512FE0">
        <w:rPr>
          <w:lang w:val="es-ES"/>
        </w:rPr>
        <w:t xml:space="preserve"> </w:t>
      </w:r>
      <w:r>
        <w:rPr>
          <w:lang w:val="es-ES"/>
        </w:rPr>
        <w:tab/>
      </w:r>
      <w:r w:rsidRPr="00512FE0">
        <w:rPr>
          <w:lang w:val="es-ES"/>
        </w:rPr>
        <w:t xml:space="preserve">El Estado </w:t>
      </w:r>
      <w:r w:rsidRPr="00FD425F">
        <w:rPr>
          <w:lang w:val="es-ES"/>
        </w:rPr>
        <w:t>parte</w:t>
      </w:r>
      <w:r w:rsidRPr="00512FE0">
        <w:rPr>
          <w:lang w:val="es-ES"/>
        </w:rPr>
        <w:t xml:space="preserve"> cita la </w:t>
      </w:r>
      <w:r>
        <w:rPr>
          <w:lang w:val="es-ES"/>
        </w:rPr>
        <w:t>o</w:t>
      </w:r>
      <w:r w:rsidRPr="00512FE0">
        <w:rPr>
          <w:lang w:val="es-ES"/>
        </w:rPr>
        <w:t>bservaci</w:t>
      </w:r>
      <w:r>
        <w:rPr>
          <w:lang w:val="es-ES"/>
        </w:rPr>
        <w:t>ón general núm.</w:t>
      </w:r>
      <w:r w:rsidRPr="00765DC7">
        <w:rPr>
          <w:lang w:val="es-ES"/>
        </w:rPr>
        <w:t xml:space="preserve"> </w:t>
      </w:r>
      <w:r>
        <w:rPr>
          <w:lang w:val="es-ES"/>
        </w:rPr>
        <w:t>32 del Comité, que señala que los abogados deben poder reunirse con sus clientes en privado y comunicarse con los acusados en condiciones que garanticen plenamente el carácter confidencial de sus comunicaciones.</w:t>
      </w:r>
    </w:p>
  </w:footnote>
  <w:footnote w:id="27">
    <w:p w14:paraId="7CFDA4A5" w14:textId="3CEF9AF1" w:rsidR="008A6924" w:rsidRPr="008A6924" w:rsidRDefault="008A6924" w:rsidP="00697802">
      <w:pPr>
        <w:pStyle w:val="FootnoteText"/>
        <w:rPr>
          <w:lang w:val="es-ES"/>
        </w:rPr>
      </w:pPr>
      <w:r w:rsidRPr="00224590">
        <w:rPr>
          <w:lang w:val="es-ES"/>
        </w:rPr>
        <w:tab/>
      </w:r>
      <w:r>
        <w:rPr>
          <w:rStyle w:val="FootnoteReference"/>
        </w:rPr>
        <w:footnoteRef/>
      </w:r>
      <w:r w:rsidRPr="008A6924">
        <w:rPr>
          <w:lang w:val="es-ES"/>
        </w:rPr>
        <w:t xml:space="preserve"> </w:t>
      </w:r>
      <w:r w:rsidR="00697802">
        <w:rPr>
          <w:lang w:val="es-ES"/>
        </w:rPr>
        <w:tab/>
      </w:r>
      <w:r w:rsidRPr="008A6924">
        <w:rPr>
          <w:lang w:val="es-ES"/>
        </w:rPr>
        <w:t xml:space="preserve">Véase, en este sentido, </w:t>
      </w:r>
      <w:r w:rsidRPr="00C5092F">
        <w:rPr>
          <w:lang w:val="es-ES"/>
        </w:rPr>
        <w:t xml:space="preserve">la sentencia de la Corte Interamericana en el caso </w:t>
      </w:r>
      <w:proofErr w:type="spellStart"/>
      <w:r w:rsidRPr="00C5092F">
        <w:rPr>
          <w:i/>
          <w:lang w:val="es-ES"/>
        </w:rPr>
        <w:t>Apitz</w:t>
      </w:r>
      <w:proofErr w:type="spellEnd"/>
      <w:r w:rsidRPr="00C5092F">
        <w:rPr>
          <w:i/>
          <w:lang w:val="es-ES"/>
        </w:rPr>
        <w:t xml:space="preserve"> Barbera y otros c Venezuela</w:t>
      </w:r>
      <w:r>
        <w:rPr>
          <w:lang w:val="es-ES"/>
        </w:rPr>
        <w:t>, párr. 137.</w:t>
      </w:r>
    </w:p>
  </w:footnote>
  <w:footnote w:id="28">
    <w:p w14:paraId="51B08BFE" w14:textId="07BE8A05" w:rsidR="0063191B" w:rsidRPr="00B16771" w:rsidRDefault="0063191B" w:rsidP="00697802">
      <w:pPr>
        <w:pStyle w:val="FootnoteText"/>
        <w:rPr>
          <w:lang w:val="es-ES"/>
        </w:rPr>
      </w:pPr>
      <w:r>
        <w:rPr>
          <w:lang w:val="es-ES"/>
        </w:rPr>
        <w:tab/>
      </w:r>
      <w:r>
        <w:rPr>
          <w:rStyle w:val="FootnoteReference"/>
        </w:rPr>
        <w:footnoteRef/>
      </w:r>
      <w:r w:rsidRPr="00B16771">
        <w:rPr>
          <w:lang w:val="es-ES"/>
        </w:rPr>
        <w:t xml:space="preserve"> </w:t>
      </w:r>
      <w:r>
        <w:rPr>
          <w:lang w:val="es-ES"/>
        </w:rPr>
        <w:tab/>
      </w:r>
      <w:r w:rsidRPr="00FD425F">
        <w:rPr>
          <w:lang w:val="es-ES"/>
        </w:rPr>
        <w:t>Observación</w:t>
      </w:r>
      <w:r w:rsidRPr="00B16771">
        <w:rPr>
          <w:lang w:val="es-ES"/>
        </w:rPr>
        <w:t xml:space="preserve"> </w:t>
      </w:r>
      <w:r>
        <w:rPr>
          <w:lang w:val="es-ES"/>
        </w:rPr>
        <w:t>g</w:t>
      </w:r>
      <w:r w:rsidRPr="00B16771">
        <w:rPr>
          <w:lang w:val="es-ES"/>
        </w:rPr>
        <w:t xml:space="preserve">eneral </w:t>
      </w:r>
      <w:r>
        <w:rPr>
          <w:lang w:val="es-ES"/>
        </w:rPr>
        <w:t xml:space="preserve">núm. </w:t>
      </w:r>
      <w:r w:rsidRPr="00B16771">
        <w:rPr>
          <w:lang w:val="es-ES"/>
        </w:rPr>
        <w:t>32</w:t>
      </w:r>
      <w:r>
        <w:rPr>
          <w:lang w:val="es-ES"/>
        </w:rPr>
        <w:t xml:space="preserve"> (CCPR/C/GC/32), párr. 19.</w:t>
      </w:r>
      <w:r w:rsidRPr="00B16771">
        <w:rPr>
          <w:lang w:val="es-ES"/>
        </w:rPr>
        <w:t xml:space="preserve"> </w:t>
      </w:r>
    </w:p>
  </w:footnote>
  <w:footnote w:id="29">
    <w:p w14:paraId="48FAA600" w14:textId="299A188A" w:rsidR="0063191B" w:rsidRPr="0097045B" w:rsidRDefault="0063191B" w:rsidP="00EB3BA5">
      <w:pPr>
        <w:pStyle w:val="FootnoteText"/>
        <w:rPr>
          <w:lang w:val="es-ES"/>
        </w:rPr>
      </w:pPr>
      <w:r w:rsidRPr="0097045B">
        <w:rPr>
          <w:lang w:val="es-ES"/>
        </w:rPr>
        <w:tab/>
      </w:r>
      <w:r>
        <w:rPr>
          <w:rStyle w:val="FootnoteReference"/>
        </w:rPr>
        <w:footnoteRef/>
      </w:r>
      <w:r w:rsidRPr="0097045B">
        <w:rPr>
          <w:lang w:val="es-ES"/>
        </w:rPr>
        <w:t xml:space="preserve"> </w:t>
      </w:r>
      <w:r>
        <w:rPr>
          <w:lang w:val="es-ES"/>
        </w:rPr>
        <w:tab/>
      </w:r>
      <w:r w:rsidRPr="0097045B">
        <w:rPr>
          <w:lang w:val="es-ES"/>
        </w:rPr>
        <w:t xml:space="preserve">Observación </w:t>
      </w:r>
      <w:r>
        <w:rPr>
          <w:lang w:val="es-ES"/>
        </w:rPr>
        <w:t>g</w:t>
      </w:r>
      <w:r w:rsidRPr="0097045B">
        <w:rPr>
          <w:lang w:val="es-ES"/>
        </w:rPr>
        <w:t xml:space="preserve">eneral </w:t>
      </w:r>
      <w:r>
        <w:rPr>
          <w:lang w:val="es-ES"/>
        </w:rPr>
        <w:t xml:space="preserve">núm. 32, párr. </w:t>
      </w:r>
      <w:r w:rsidRPr="0097045B">
        <w:rPr>
          <w:lang w:val="es-ES"/>
        </w:rPr>
        <w:t>20.</w:t>
      </w:r>
    </w:p>
  </w:footnote>
  <w:footnote w:id="30">
    <w:p w14:paraId="43C6480D" w14:textId="283A7DE8" w:rsidR="00EB3BA5" w:rsidRPr="0097045B" w:rsidRDefault="00EB3BA5" w:rsidP="00EB3BA5">
      <w:pPr>
        <w:pStyle w:val="FootnoteText"/>
        <w:rPr>
          <w:lang w:val="es-ES"/>
        </w:rPr>
      </w:pPr>
      <w:r w:rsidRPr="0097045B">
        <w:rPr>
          <w:lang w:val="es-ES"/>
        </w:rPr>
        <w:tab/>
      </w:r>
      <w:r>
        <w:rPr>
          <w:rStyle w:val="FootnoteReference"/>
        </w:rPr>
        <w:footnoteRef/>
      </w:r>
      <w:r w:rsidRPr="0097045B">
        <w:rPr>
          <w:lang w:val="es-ES"/>
        </w:rPr>
        <w:t xml:space="preserve"> </w:t>
      </w:r>
      <w:r w:rsidR="00697802">
        <w:rPr>
          <w:lang w:val="es-ES"/>
        </w:rPr>
        <w:tab/>
      </w:r>
      <w:r w:rsidRPr="0097045B">
        <w:rPr>
          <w:lang w:val="es-ES"/>
        </w:rPr>
        <w:t>Principio 18.</w:t>
      </w:r>
    </w:p>
  </w:footnote>
  <w:footnote w:id="31">
    <w:p w14:paraId="22589C89" w14:textId="043288D5" w:rsidR="00370A2B" w:rsidRPr="004A434A" w:rsidRDefault="00370A2B" w:rsidP="00370A2B">
      <w:pPr>
        <w:pStyle w:val="FootnoteText"/>
        <w:jc w:val="both"/>
        <w:rPr>
          <w:color w:val="000000"/>
          <w:lang w:val="es-ES"/>
        </w:rPr>
      </w:pPr>
      <w:r w:rsidRPr="0097045B">
        <w:rPr>
          <w:lang w:val="es-ES"/>
        </w:rPr>
        <w:tab/>
      </w:r>
      <w:r>
        <w:rPr>
          <w:rStyle w:val="FootnoteReference"/>
        </w:rPr>
        <w:footnoteRef/>
      </w:r>
      <w:r>
        <w:rPr>
          <w:lang w:val="es-ES"/>
        </w:rPr>
        <w:t xml:space="preserve"> </w:t>
      </w:r>
      <w:r>
        <w:rPr>
          <w:lang w:val="es-ES"/>
        </w:rPr>
        <w:tab/>
        <w:t>Ver, en este sentido, el Informe del Relator Especial sobre la independencia de los magistrados y abogados, Diego García Sayán, de conformidad con lo dispuesto en la resolución 35/11, del Consejo de Derechos Humanos, según el cual “</w:t>
      </w:r>
      <w:r w:rsidRPr="004A434A">
        <w:rPr>
          <w:color w:val="000000"/>
          <w:lang w:val="es-ES"/>
        </w:rPr>
        <w:t>La inmunidad judicial deriva del principio de independencia judicial y tiene por objeto proteger a los jueces de toda forma de intimidación, obstrucciones, hostigamiento o interferencias indebidas en el ejercicio de su función profesional. Si no tuvieran algún grado de inmunidad, podría recurrirse a la interposición de acciones civiles o penales como forma de coacción o represalia para socavar la adopción de decisiones imparciales e independientes, desviando recursos y tiempo de los tribunales que podría utilizar en la ejecución de sus funciones habituales.</w:t>
      </w:r>
      <w:r>
        <w:rPr>
          <w:lang w:val="es-ES"/>
        </w:rPr>
        <w:t>” (A/75/172), párr. 44.</w:t>
      </w:r>
      <w:r w:rsidRPr="004A434A">
        <w:rPr>
          <w:color w:val="000000"/>
          <w:lang w:val="es-ES"/>
        </w:rPr>
        <w:t xml:space="preserve"> </w:t>
      </w:r>
    </w:p>
  </w:footnote>
  <w:footnote w:id="32">
    <w:p w14:paraId="458AC9EC" w14:textId="4BCB1022" w:rsidR="00370A2B" w:rsidRPr="005D6551" w:rsidRDefault="00370A2B" w:rsidP="005D6551">
      <w:pPr>
        <w:pStyle w:val="FootnoteText"/>
        <w:jc w:val="both"/>
        <w:rPr>
          <w:lang w:val="es-ES"/>
        </w:rPr>
      </w:pPr>
      <w:r>
        <w:rPr>
          <w:lang w:val="es-ES"/>
        </w:rPr>
        <w:tab/>
      </w:r>
      <w:r>
        <w:rPr>
          <w:rStyle w:val="FootnoteReference"/>
        </w:rPr>
        <w:footnoteRef/>
      </w:r>
      <w:r w:rsidRPr="005D6551">
        <w:rPr>
          <w:lang w:val="es-ES"/>
        </w:rPr>
        <w:t xml:space="preserve"> </w:t>
      </w:r>
      <w:r w:rsidR="00782704">
        <w:rPr>
          <w:lang w:val="es-ES"/>
        </w:rPr>
        <w:tab/>
      </w:r>
      <w:r>
        <w:rPr>
          <w:lang w:val="es-ES"/>
        </w:rPr>
        <w:t xml:space="preserve">Ver, en este sentido, la </w:t>
      </w:r>
      <w:r w:rsidRPr="00C5092F">
        <w:rPr>
          <w:lang w:val="es-ES"/>
        </w:rPr>
        <w:t xml:space="preserve">sentencia de la Corte Interamericana en el caso </w:t>
      </w:r>
      <w:proofErr w:type="spellStart"/>
      <w:r w:rsidRPr="00C5092F">
        <w:rPr>
          <w:i/>
          <w:lang w:val="es-ES"/>
        </w:rPr>
        <w:t>Apitz</w:t>
      </w:r>
      <w:proofErr w:type="spellEnd"/>
      <w:r w:rsidRPr="00C5092F">
        <w:rPr>
          <w:i/>
          <w:lang w:val="es-ES"/>
        </w:rPr>
        <w:t xml:space="preserve"> Barbera y otros c Venezuela</w:t>
      </w:r>
      <w:r>
        <w:rPr>
          <w:lang w:val="es-ES"/>
        </w:rPr>
        <w:t>, párr. 79. La Corte toma nota del argumento de la Comisión en el sentido de que “</w:t>
      </w:r>
      <w:r w:rsidRPr="000D01EA">
        <w:rPr>
          <w:lang w:val="es-ES"/>
        </w:rPr>
        <w:t>la destitución por error judicial inexcusable […] resulta contraria al principio de independencia judicial pues atenta contra la garantía de fallar libremente en derecho”</w:t>
      </w:r>
      <w:r>
        <w:rPr>
          <w:lang w:val="es-ES"/>
        </w:rPr>
        <w:t xml:space="preserve">. </w:t>
      </w:r>
      <w:proofErr w:type="gramStart"/>
      <w:r>
        <w:rPr>
          <w:lang w:val="es-ES"/>
        </w:rPr>
        <w:t>Ver</w:t>
      </w:r>
      <w:proofErr w:type="gramEnd"/>
      <w:r>
        <w:rPr>
          <w:lang w:val="es-ES"/>
        </w:rPr>
        <w:t xml:space="preserve"> asimismo, el Informe del Relator Especial sobre la independencia de los magistrados y abogados, </w:t>
      </w:r>
      <w:proofErr w:type="spellStart"/>
      <w:r>
        <w:rPr>
          <w:lang w:val="es-ES"/>
        </w:rPr>
        <w:t>op.cit</w:t>
      </w:r>
      <w:proofErr w:type="spellEnd"/>
      <w:r>
        <w:rPr>
          <w:lang w:val="es-ES"/>
        </w:rPr>
        <w:t>, párr. 89.</w:t>
      </w:r>
    </w:p>
  </w:footnote>
  <w:footnote w:id="33">
    <w:p w14:paraId="005F1576" w14:textId="7C4B43ED" w:rsidR="00C0300A" w:rsidRPr="00C5092F" w:rsidRDefault="00C0300A" w:rsidP="00626B57">
      <w:pPr>
        <w:pStyle w:val="FootnoteText"/>
        <w:jc w:val="both"/>
        <w:rPr>
          <w:lang w:val="es-ES"/>
        </w:rPr>
      </w:pPr>
      <w:r>
        <w:rPr>
          <w:lang w:val="es-ES"/>
        </w:rPr>
        <w:tab/>
      </w:r>
      <w:r>
        <w:rPr>
          <w:rStyle w:val="FootnoteReference"/>
        </w:rPr>
        <w:footnoteRef/>
      </w:r>
      <w:r w:rsidR="008A6924">
        <w:rPr>
          <w:lang w:val="es-ES"/>
        </w:rPr>
        <w:t xml:space="preserve"> </w:t>
      </w:r>
      <w:r w:rsidR="00697802">
        <w:rPr>
          <w:lang w:val="es-ES"/>
        </w:rPr>
        <w:tab/>
      </w:r>
      <w:proofErr w:type="spellStart"/>
      <w:r w:rsidR="000D01EA" w:rsidRPr="000D01EA">
        <w:rPr>
          <w:i/>
          <w:lang w:val="es-ES"/>
        </w:rPr>
        <w:t>Ibid</w:t>
      </w:r>
      <w:proofErr w:type="spellEnd"/>
      <w:r w:rsidR="0063191B">
        <w:rPr>
          <w:i/>
          <w:lang w:val="es-ES"/>
        </w:rPr>
        <w:t>.</w:t>
      </w:r>
      <w:r>
        <w:rPr>
          <w:lang w:val="es-ES"/>
        </w:rPr>
        <w:t>, párr. 90.</w:t>
      </w:r>
    </w:p>
  </w:footnote>
  <w:footnote w:id="34">
    <w:p w14:paraId="4AF4D71C" w14:textId="2C8EF10E" w:rsidR="000B1870" w:rsidRPr="00224590" w:rsidRDefault="000B1870" w:rsidP="00697802">
      <w:pPr>
        <w:pStyle w:val="FootnoteText"/>
        <w:rPr>
          <w:lang w:val="es-ES"/>
        </w:rPr>
      </w:pPr>
      <w:r>
        <w:rPr>
          <w:lang w:val="es-ES"/>
        </w:rPr>
        <w:tab/>
      </w:r>
      <w:r>
        <w:rPr>
          <w:rStyle w:val="FootnoteReference"/>
        </w:rPr>
        <w:footnoteRef/>
      </w:r>
      <w:r w:rsidRPr="00224590">
        <w:rPr>
          <w:lang w:val="es-ES"/>
        </w:rPr>
        <w:t xml:space="preserve"> </w:t>
      </w:r>
      <w:r w:rsidR="00697802">
        <w:rPr>
          <w:lang w:val="es-ES"/>
        </w:rPr>
        <w:tab/>
      </w:r>
      <w:r w:rsidR="00AF5C75">
        <w:rPr>
          <w:lang w:val="es-ES"/>
        </w:rPr>
        <w:t>O</w:t>
      </w:r>
      <w:r w:rsidRPr="00224590">
        <w:rPr>
          <w:lang w:val="es-ES"/>
        </w:rPr>
        <w:t xml:space="preserve">bservación </w:t>
      </w:r>
      <w:r w:rsidR="00DE733C">
        <w:rPr>
          <w:lang w:val="es-ES"/>
        </w:rPr>
        <w:t>g</w:t>
      </w:r>
      <w:r w:rsidRPr="00224590">
        <w:rPr>
          <w:lang w:val="es-ES"/>
        </w:rPr>
        <w:t xml:space="preserve">eneral </w:t>
      </w:r>
      <w:r w:rsidR="00DE733C">
        <w:rPr>
          <w:lang w:val="es-ES"/>
        </w:rPr>
        <w:t xml:space="preserve">núm. </w:t>
      </w:r>
      <w:r>
        <w:rPr>
          <w:color w:val="000000"/>
          <w:lang w:val="es-ES"/>
        </w:rPr>
        <w:t>32</w:t>
      </w:r>
      <w:r w:rsidR="00AF5C75">
        <w:rPr>
          <w:color w:val="000000"/>
          <w:lang w:val="es-ES"/>
        </w:rPr>
        <w:t xml:space="preserve">, </w:t>
      </w:r>
      <w:r w:rsidR="00EA4CF1">
        <w:rPr>
          <w:color w:val="000000"/>
          <w:lang w:val="es-ES"/>
        </w:rPr>
        <w:t>párr.</w:t>
      </w:r>
      <w:r w:rsidR="00AF5C75">
        <w:rPr>
          <w:color w:val="000000"/>
          <w:lang w:val="es-ES"/>
        </w:rPr>
        <w:t xml:space="preserve"> 19 y 20</w:t>
      </w:r>
      <w:r>
        <w:rPr>
          <w:color w:val="000000"/>
          <w:lang w:val="es-ES"/>
        </w:rPr>
        <w:t>.</w:t>
      </w:r>
    </w:p>
  </w:footnote>
  <w:footnote w:id="35">
    <w:p w14:paraId="21B847BF" w14:textId="533856D3" w:rsidR="00AF5C75" w:rsidRPr="00833C8B" w:rsidRDefault="00AF5C75">
      <w:pPr>
        <w:pStyle w:val="FootnoteText"/>
        <w:rPr>
          <w:lang w:val="es-ES"/>
        </w:rPr>
      </w:pPr>
      <w:r>
        <w:rPr>
          <w:lang w:val="es-ES"/>
        </w:rPr>
        <w:tab/>
      </w:r>
      <w:r>
        <w:rPr>
          <w:rStyle w:val="FootnoteReference"/>
        </w:rPr>
        <w:footnoteRef/>
      </w:r>
      <w:r w:rsidRPr="00833C8B">
        <w:rPr>
          <w:lang w:val="es-ES"/>
        </w:rPr>
        <w:t xml:space="preserve"> </w:t>
      </w:r>
      <w:r w:rsidR="00273022">
        <w:rPr>
          <w:lang w:val="es-ES"/>
        </w:rPr>
        <w:tab/>
      </w:r>
      <w:r w:rsidR="00EA4CF1">
        <w:rPr>
          <w:color w:val="000000"/>
          <w:lang w:val="es-ES"/>
        </w:rPr>
        <w:t>Ver p</w:t>
      </w:r>
      <w:r>
        <w:rPr>
          <w:color w:val="000000"/>
          <w:lang w:val="es-ES"/>
        </w:rPr>
        <w:t xml:space="preserve">árr. 3.6 </w:t>
      </w:r>
      <w:r w:rsidRPr="00224590">
        <w:rPr>
          <w:i/>
          <w:color w:val="000000"/>
          <w:lang w:val="es-ES"/>
        </w:rPr>
        <w:t>supra</w:t>
      </w:r>
      <w:r>
        <w:rPr>
          <w:color w:val="000000"/>
          <w:lang w:val="es-ES"/>
        </w:rPr>
        <w:t>; y párr. 2.23 y 2.24 de la decisión de admisibilidad.</w:t>
      </w:r>
    </w:p>
  </w:footnote>
  <w:footnote w:id="36">
    <w:p w14:paraId="786A7A65" w14:textId="4EAF87FC" w:rsidR="00C0300A" w:rsidRPr="0097045B" w:rsidRDefault="00C0300A">
      <w:pPr>
        <w:pStyle w:val="FootnoteText"/>
        <w:rPr>
          <w:lang w:val="es-ES"/>
        </w:rPr>
      </w:pPr>
      <w:r w:rsidRPr="0097045B">
        <w:rPr>
          <w:lang w:val="es-ES"/>
        </w:rPr>
        <w:tab/>
      </w:r>
      <w:r>
        <w:rPr>
          <w:rStyle w:val="FootnoteReference"/>
        </w:rPr>
        <w:footnoteRef/>
      </w:r>
      <w:r w:rsidRPr="0097045B">
        <w:rPr>
          <w:lang w:val="es-ES"/>
        </w:rPr>
        <w:t xml:space="preserve"> </w:t>
      </w:r>
      <w:r w:rsidR="00697802">
        <w:rPr>
          <w:lang w:val="es-ES"/>
        </w:rPr>
        <w:tab/>
      </w:r>
      <w:r w:rsidRPr="0097045B">
        <w:rPr>
          <w:lang w:val="es-ES"/>
        </w:rPr>
        <w:t xml:space="preserve">Observación </w:t>
      </w:r>
      <w:r w:rsidR="000464DC">
        <w:rPr>
          <w:lang w:val="es-ES"/>
        </w:rPr>
        <w:t>g</w:t>
      </w:r>
      <w:r w:rsidRPr="0097045B">
        <w:rPr>
          <w:lang w:val="es-ES"/>
        </w:rPr>
        <w:t xml:space="preserve">eneral </w:t>
      </w:r>
      <w:r w:rsidR="000464DC">
        <w:rPr>
          <w:lang w:val="es-ES"/>
        </w:rPr>
        <w:t xml:space="preserve">núm. </w:t>
      </w:r>
      <w:r w:rsidRPr="0097045B">
        <w:rPr>
          <w:lang w:val="es-ES"/>
        </w:rPr>
        <w:t>32, párr. 21.</w:t>
      </w:r>
    </w:p>
  </w:footnote>
  <w:footnote w:id="37">
    <w:p w14:paraId="08CDDCB5" w14:textId="77777777" w:rsidR="0063191B" w:rsidRPr="004F7972" w:rsidRDefault="0063191B" w:rsidP="00697802">
      <w:pPr>
        <w:pStyle w:val="FootnoteText"/>
        <w:rPr>
          <w:lang w:val="es-ES"/>
        </w:rPr>
      </w:pPr>
      <w:r>
        <w:rPr>
          <w:lang w:val="es-ES"/>
        </w:rPr>
        <w:tab/>
      </w:r>
      <w:r>
        <w:rPr>
          <w:rStyle w:val="FootnoteReference"/>
        </w:rPr>
        <w:footnoteRef/>
      </w:r>
      <w:r w:rsidRPr="004F7972">
        <w:rPr>
          <w:lang w:val="es-ES"/>
        </w:rPr>
        <w:t xml:space="preserve"> </w:t>
      </w:r>
      <w:r>
        <w:rPr>
          <w:lang w:val="es-ES"/>
        </w:rPr>
        <w:tab/>
      </w:r>
      <w:r w:rsidRPr="004F7972">
        <w:rPr>
          <w:lang w:val="es-ES"/>
        </w:rPr>
        <w:t xml:space="preserve">Ver, en este sentido, el dictamen del Comité en el caso </w:t>
      </w:r>
      <w:r w:rsidRPr="004F7972">
        <w:rPr>
          <w:i/>
          <w:lang w:val="es-ES"/>
        </w:rPr>
        <w:t xml:space="preserve">Lagunas </w:t>
      </w:r>
      <w:proofErr w:type="spellStart"/>
      <w:r w:rsidRPr="004F7972">
        <w:rPr>
          <w:i/>
          <w:lang w:val="es-ES"/>
        </w:rPr>
        <w:t>Castedo</w:t>
      </w:r>
      <w:proofErr w:type="spellEnd"/>
      <w:r w:rsidRPr="004F7972">
        <w:rPr>
          <w:i/>
          <w:lang w:val="es-ES"/>
        </w:rPr>
        <w:t xml:space="preserve"> c España</w:t>
      </w:r>
      <w:r>
        <w:rPr>
          <w:lang w:val="es-ES"/>
        </w:rPr>
        <w:t xml:space="preserve"> (CCPR/C/94/1122/2002), párr. 9.8.</w:t>
      </w:r>
    </w:p>
  </w:footnote>
  <w:footnote w:id="38">
    <w:p w14:paraId="373625B9" w14:textId="5F943E2D" w:rsidR="00C0300A" w:rsidRPr="000B7871" w:rsidRDefault="00C0300A" w:rsidP="00697802">
      <w:pPr>
        <w:pStyle w:val="FootnoteText"/>
        <w:rPr>
          <w:lang w:val="es-ES"/>
        </w:rPr>
      </w:pPr>
      <w:r>
        <w:rPr>
          <w:lang w:val="es-ES"/>
        </w:rPr>
        <w:tab/>
      </w:r>
      <w:r>
        <w:rPr>
          <w:rStyle w:val="FootnoteReference"/>
        </w:rPr>
        <w:footnoteRef/>
      </w:r>
      <w:r w:rsidRPr="009538C5">
        <w:rPr>
          <w:lang w:val="es-ES"/>
        </w:rPr>
        <w:t xml:space="preserve"> </w:t>
      </w:r>
      <w:r w:rsidR="00697802">
        <w:rPr>
          <w:lang w:val="es-ES"/>
        </w:rPr>
        <w:tab/>
      </w:r>
      <w:r w:rsidRPr="0024604C">
        <w:rPr>
          <w:lang w:val="es-ES"/>
        </w:rPr>
        <w:t xml:space="preserve">Véase </w:t>
      </w:r>
      <w:r w:rsidRPr="007768F1">
        <w:rPr>
          <w:i/>
          <w:lang w:val="es-ES"/>
        </w:rPr>
        <w:t xml:space="preserve">Jesús </w:t>
      </w:r>
      <w:r w:rsidRPr="0024604C">
        <w:rPr>
          <w:i/>
          <w:lang w:val="es-ES"/>
        </w:rPr>
        <w:t xml:space="preserve">Terrón c. </w:t>
      </w:r>
      <w:r w:rsidRPr="00FD425F">
        <w:rPr>
          <w:lang w:val="es-ES"/>
        </w:rPr>
        <w:t>España</w:t>
      </w:r>
      <w:r w:rsidRPr="009538C5">
        <w:rPr>
          <w:lang w:val="es-ES"/>
        </w:rPr>
        <w:t xml:space="preserve"> (CCPR/C/82/D/1073/2002), párr. 7.4. Véase también la observación general núm. 32, </w:t>
      </w:r>
      <w:proofErr w:type="spellStart"/>
      <w:r w:rsidRPr="009538C5">
        <w:rPr>
          <w:lang w:val="es-ES"/>
        </w:rPr>
        <w:t>párrs</w:t>
      </w:r>
      <w:proofErr w:type="spellEnd"/>
      <w:r w:rsidRPr="009538C5">
        <w:rPr>
          <w:lang w:val="es-ES"/>
        </w:rPr>
        <w:t xml:space="preserve">. </w:t>
      </w:r>
      <w:r w:rsidRPr="000B7871">
        <w:rPr>
          <w:lang w:val="es-ES"/>
        </w:rPr>
        <w:t>45 a 47.</w:t>
      </w:r>
      <w:r w:rsidRPr="004130F7">
        <w:rPr>
          <w:lang w:val="es-ES"/>
        </w:rPr>
        <w:t xml:space="preserve"> </w:t>
      </w:r>
      <w:r w:rsidRPr="007768F1">
        <w:rPr>
          <w:i/>
          <w:lang w:val="es-ES"/>
        </w:rPr>
        <w:t>Alberto Velásquez Echeverri</w:t>
      </w:r>
      <w:r w:rsidRPr="0024604C">
        <w:rPr>
          <w:lang w:val="es-ES"/>
        </w:rPr>
        <w:t xml:space="preserve"> </w:t>
      </w:r>
      <w:r w:rsidR="008A3EB1" w:rsidRPr="0097045B">
        <w:rPr>
          <w:i/>
          <w:lang w:val="es-ES"/>
        </w:rPr>
        <w:t>c. Colombia</w:t>
      </w:r>
      <w:r w:rsidR="008A3EB1">
        <w:rPr>
          <w:lang w:val="es-ES"/>
        </w:rPr>
        <w:t xml:space="preserve"> </w:t>
      </w:r>
      <w:r w:rsidRPr="0024604C">
        <w:rPr>
          <w:lang w:val="es-ES"/>
        </w:rPr>
        <w:t>(CCPR/C/129/D/2931/2017), párr. 9.4</w:t>
      </w:r>
      <w:r w:rsidR="00927A6D">
        <w:rPr>
          <w:lang w:val="es-ES"/>
        </w:rPr>
        <w:t>.</w:t>
      </w:r>
    </w:p>
  </w:footnote>
  <w:footnote w:id="39">
    <w:p w14:paraId="086A66F4" w14:textId="10207416" w:rsidR="00C0300A" w:rsidRPr="00A64480" w:rsidRDefault="00C0300A" w:rsidP="00056433">
      <w:pPr>
        <w:pStyle w:val="FootnoteText"/>
        <w:widowControl w:val="0"/>
        <w:tabs>
          <w:tab w:val="clear" w:pos="1021"/>
          <w:tab w:val="right" w:pos="1020"/>
        </w:tabs>
        <w:rPr>
          <w:lang w:val="es-ES"/>
        </w:rPr>
      </w:pPr>
      <w:r w:rsidRPr="0097045B">
        <w:rPr>
          <w:lang w:val="es-ES"/>
        </w:rPr>
        <w:tab/>
      </w:r>
      <w:r>
        <w:rPr>
          <w:rStyle w:val="FootnoteReference"/>
        </w:rPr>
        <w:footnoteRef/>
      </w:r>
      <w:r>
        <w:rPr>
          <w:lang w:val="es-ES"/>
        </w:rPr>
        <w:t xml:space="preserve"> </w:t>
      </w:r>
      <w:r w:rsidR="00697802">
        <w:rPr>
          <w:lang w:val="es-ES"/>
        </w:rPr>
        <w:tab/>
      </w:r>
      <w:r w:rsidRPr="00A64480">
        <w:rPr>
          <w:lang w:val="es-ES"/>
        </w:rPr>
        <w:t xml:space="preserve">Ibíd., párr. 47. </w:t>
      </w:r>
      <w:r>
        <w:rPr>
          <w:lang w:val="es-ES"/>
        </w:rPr>
        <w:t xml:space="preserve">Ver asimismo </w:t>
      </w:r>
      <w:proofErr w:type="spellStart"/>
      <w:r w:rsidRPr="00A64480">
        <w:rPr>
          <w:i/>
          <w:lang w:val="es-ES"/>
        </w:rPr>
        <w:t>Scarano</w:t>
      </w:r>
      <w:proofErr w:type="spellEnd"/>
      <w:r w:rsidRPr="00A64480">
        <w:rPr>
          <w:i/>
          <w:lang w:val="es-ES"/>
        </w:rPr>
        <w:t xml:space="preserve"> </w:t>
      </w:r>
      <w:proofErr w:type="spellStart"/>
      <w:r w:rsidRPr="00A64480">
        <w:rPr>
          <w:i/>
          <w:lang w:val="es-ES"/>
        </w:rPr>
        <w:t>Spiso</w:t>
      </w:r>
      <w:proofErr w:type="spellEnd"/>
      <w:r w:rsidRPr="00A64480">
        <w:rPr>
          <w:i/>
          <w:lang w:val="es-ES"/>
        </w:rPr>
        <w:t xml:space="preserve"> c</w:t>
      </w:r>
      <w:r w:rsidR="00926DDA">
        <w:rPr>
          <w:i/>
          <w:lang w:val="es-ES"/>
        </w:rPr>
        <w:t>.</w:t>
      </w:r>
      <w:r w:rsidRPr="00A64480">
        <w:rPr>
          <w:i/>
          <w:lang w:val="es-ES"/>
        </w:rPr>
        <w:t xml:space="preserve"> Venezuela</w:t>
      </w:r>
      <w:r>
        <w:rPr>
          <w:lang w:val="es-ES"/>
        </w:rPr>
        <w:t xml:space="preserve"> (CCPR/C/</w:t>
      </w:r>
      <w:r w:rsidRPr="00A64480">
        <w:rPr>
          <w:lang w:val="es-ES"/>
        </w:rPr>
        <w:t>119/D/2481/2014</w:t>
      </w:r>
      <w:r>
        <w:rPr>
          <w:lang w:val="es-ES"/>
        </w:rPr>
        <w:t>), párr. 7.11.</w:t>
      </w:r>
    </w:p>
  </w:footnote>
  <w:footnote w:id="40">
    <w:p w14:paraId="5D718568" w14:textId="77777777" w:rsidR="0063191B" w:rsidRPr="0097045B" w:rsidRDefault="0063191B">
      <w:pPr>
        <w:pStyle w:val="FootnoteText"/>
        <w:rPr>
          <w:lang w:val="es-ES"/>
        </w:rPr>
      </w:pPr>
      <w:r w:rsidRPr="0097045B">
        <w:rPr>
          <w:lang w:val="es-ES"/>
        </w:rPr>
        <w:tab/>
      </w:r>
      <w:r>
        <w:rPr>
          <w:rStyle w:val="FootnoteReference"/>
        </w:rPr>
        <w:footnoteRef/>
      </w:r>
      <w:r w:rsidRPr="0097045B">
        <w:rPr>
          <w:lang w:val="es-ES"/>
        </w:rPr>
        <w:t xml:space="preserve"> </w:t>
      </w:r>
      <w:r>
        <w:rPr>
          <w:lang w:val="es-ES"/>
        </w:rPr>
        <w:tab/>
      </w:r>
      <w:proofErr w:type="spellStart"/>
      <w:r w:rsidRPr="0097045B">
        <w:rPr>
          <w:i/>
          <w:lang w:val="es-ES"/>
        </w:rPr>
        <w:t>Baumgarten</w:t>
      </w:r>
      <w:proofErr w:type="spellEnd"/>
      <w:r w:rsidRPr="0097045B">
        <w:rPr>
          <w:i/>
          <w:lang w:val="es-ES"/>
        </w:rPr>
        <w:t xml:space="preserve"> c. Alemania</w:t>
      </w:r>
      <w:r w:rsidRPr="0097045B">
        <w:rPr>
          <w:lang w:val="es-ES"/>
        </w:rPr>
        <w:t xml:space="preserve"> (CCPR/C/78/D/960/2000), párr. 9.3.</w:t>
      </w:r>
    </w:p>
  </w:footnote>
  <w:footnote w:id="41">
    <w:p w14:paraId="4835BAC1" w14:textId="164ABEFE" w:rsidR="003D4981" w:rsidRPr="005D6551" w:rsidRDefault="00927A6D" w:rsidP="005D6551">
      <w:pPr>
        <w:pStyle w:val="FootnoteText"/>
        <w:rPr>
          <w:lang w:val="es-ES"/>
        </w:rPr>
      </w:pPr>
      <w:r>
        <w:rPr>
          <w:lang w:val="es-ES"/>
        </w:rPr>
        <w:tab/>
      </w:r>
      <w:r w:rsidR="003D4981">
        <w:rPr>
          <w:rStyle w:val="FootnoteReference"/>
        </w:rPr>
        <w:footnoteRef/>
      </w:r>
      <w:r>
        <w:rPr>
          <w:lang w:val="es-ES"/>
        </w:rPr>
        <w:tab/>
      </w:r>
      <w:proofErr w:type="spellStart"/>
      <w:r w:rsidR="003D4981" w:rsidRPr="005D6551">
        <w:rPr>
          <w:lang w:val="es-ES"/>
        </w:rPr>
        <w:t>Ibid</w:t>
      </w:r>
      <w:proofErr w:type="spellEnd"/>
      <w:r w:rsidR="003D4981" w:rsidRPr="005D6551">
        <w:rPr>
          <w:lang w:val="es-ES"/>
        </w:rPr>
        <w:t>, párr. 9.3.</w:t>
      </w:r>
    </w:p>
  </w:footnote>
  <w:footnote w:id="42">
    <w:p w14:paraId="504A5B53" w14:textId="4C8DDBCE" w:rsidR="003D4981" w:rsidRPr="004A434A" w:rsidRDefault="00927A6D" w:rsidP="005D6551">
      <w:pPr>
        <w:pStyle w:val="FootnoteText"/>
        <w:rPr>
          <w:lang w:val="es-ES"/>
        </w:rPr>
      </w:pPr>
      <w:r>
        <w:rPr>
          <w:lang w:val="es-ES"/>
        </w:rPr>
        <w:tab/>
      </w:r>
      <w:r w:rsidR="003D4981">
        <w:rPr>
          <w:rStyle w:val="FootnoteReference"/>
        </w:rPr>
        <w:footnoteRef/>
      </w:r>
      <w:r>
        <w:rPr>
          <w:lang w:val="es-ES"/>
        </w:rPr>
        <w:tab/>
      </w:r>
      <w:r w:rsidR="003D4981" w:rsidRPr="004A434A">
        <w:rPr>
          <w:lang w:val="es-ES"/>
        </w:rPr>
        <w:t>Observación general No. 29: estados de emergencia (artículo 4) (</w:t>
      </w:r>
      <w:r w:rsidR="003D4981" w:rsidRPr="004A434A">
        <w:fldChar w:fldCharType="begin"/>
      </w:r>
      <w:r w:rsidR="003D4981" w:rsidRPr="004A434A">
        <w:rPr>
          <w:lang w:val="es-ES"/>
        </w:rPr>
        <w:instrText xml:space="preserve"> FILLIN "Symbol" \* MERGEFORMAT </w:instrText>
      </w:r>
      <w:r w:rsidR="003D4981" w:rsidRPr="004A434A">
        <w:fldChar w:fldCharType="separate"/>
      </w:r>
      <w:r w:rsidR="003D4981" w:rsidRPr="004A434A">
        <w:rPr>
          <w:lang w:val="es-ES"/>
        </w:rPr>
        <w:t>CCPR/C/21/Rev.1/Add.11</w:t>
      </w:r>
      <w:r w:rsidR="003D4981" w:rsidRPr="004A434A">
        <w:fldChar w:fldCharType="end"/>
      </w:r>
      <w:r w:rsidR="003D4981" w:rsidRPr="004A434A">
        <w:rPr>
          <w:lang w:val="es-ES"/>
        </w:rPr>
        <w:t>), párr. 7.</w:t>
      </w:r>
    </w:p>
  </w:footnote>
  <w:footnote w:id="43">
    <w:p w14:paraId="70D8682D" w14:textId="3AA337F3" w:rsidR="002A40FC" w:rsidRPr="007B3E93" w:rsidRDefault="002A40FC" w:rsidP="00697802">
      <w:pPr>
        <w:pStyle w:val="FootnoteText"/>
      </w:pPr>
      <w:r w:rsidRPr="0067606F">
        <w:rPr>
          <w:lang w:val="es-ES"/>
        </w:rPr>
        <w:tab/>
      </w:r>
      <w:r w:rsidRPr="0067606F">
        <w:rPr>
          <w:rStyle w:val="FootnoteReference"/>
        </w:rPr>
        <w:footnoteRef/>
      </w:r>
      <w:r w:rsidRPr="0067606F">
        <w:rPr>
          <w:lang w:val="es-ES"/>
        </w:rPr>
        <w:tab/>
      </w:r>
      <w:r w:rsidR="00C97D67">
        <w:rPr>
          <w:i/>
          <w:iCs/>
          <w:lang w:val="es-ES"/>
        </w:rPr>
        <w:t xml:space="preserve">Ver, entre otros, </w:t>
      </w:r>
      <w:proofErr w:type="spellStart"/>
      <w:r w:rsidRPr="0067606F">
        <w:rPr>
          <w:i/>
          <w:iCs/>
          <w:lang w:val="es-ES"/>
        </w:rPr>
        <w:t>Schedko</w:t>
      </w:r>
      <w:proofErr w:type="spellEnd"/>
      <w:r w:rsidRPr="0067606F">
        <w:rPr>
          <w:i/>
          <w:iCs/>
          <w:lang w:val="es-ES"/>
        </w:rPr>
        <w:t xml:space="preserve"> c. </w:t>
      </w:r>
      <w:proofErr w:type="spellStart"/>
      <w:r w:rsidRPr="0067606F">
        <w:rPr>
          <w:i/>
          <w:iCs/>
          <w:lang w:val="es-ES"/>
        </w:rPr>
        <w:t>Belarús</w:t>
      </w:r>
      <w:proofErr w:type="spellEnd"/>
      <w:r w:rsidRPr="0067606F">
        <w:rPr>
          <w:lang w:val="es-ES"/>
        </w:rPr>
        <w:t xml:space="preserve"> (CCPR/C/77/D/886/1999), párr. </w:t>
      </w:r>
      <w:r w:rsidRPr="007B3E93">
        <w:t>9.3</w:t>
      </w:r>
      <w:r w:rsidR="00C97D67" w:rsidRPr="007B3E93">
        <w:t>.</w:t>
      </w:r>
    </w:p>
  </w:footnote>
  <w:footnote w:id="44">
    <w:p w14:paraId="69ECC6A4" w14:textId="6BCB5EBA" w:rsidR="00915D4D" w:rsidRPr="004C3353" w:rsidRDefault="00915D4D" w:rsidP="00915D4D">
      <w:pPr>
        <w:pStyle w:val="FootnoteText"/>
      </w:pPr>
      <w:r>
        <w:tab/>
      </w:r>
      <w:r w:rsidRPr="004C3353">
        <w:rPr>
          <w:rStyle w:val="FootnoteReference"/>
        </w:rPr>
        <w:footnoteRef/>
      </w:r>
      <w:r w:rsidRPr="004C3353">
        <w:t xml:space="preserve"> </w:t>
      </w:r>
      <w:r>
        <w:tab/>
      </w:r>
      <w:r w:rsidRPr="004C3353">
        <w:t xml:space="preserve">See </w:t>
      </w:r>
      <w:r w:rsidRPr="00915D4D">
        <w:t>para</w:t>
      </w:r>
      <w:r w:rsidRPr="004C3353">
        <w:t>. 7.</w:t>
      </w:r>
    </w:p>
  </w:footnote>
  <w:footnote w:id="45">
    <w:p w14:paraId="3B8D6276" w14:textId="5ED8A03B" w:rsidR="00915D4D" w:rsidRPr="004C3353" w:rsidRDefault="00915D4D" w:rsidP="00915D4D">
      <w:pPr>
        <w:pStyle w:val="FootnoteText"/>
      </w:pPr>
      <w:r>
        <w:tab/>
      </w:r>
      <w:r w:rsidRPr="004C3353">
        <w:rPr>
          <w:rStyle w:val="FootnoteReference"/>
        </w:rPr>
        <w:footnoteRef/>
      </w:r>
      <w:r w:rsidRPr="004C3353">
        <w:t xml:space="preserve"> </w:t>
      </w:r>
      <w:r>
        <w:tab/>
      </w:r>
      <w:r w:rsidRPr="004C3353">
        <w:t xml:space="preserve">Guidelines on measures of </w:t>
      </w:r>
      <w:r w:rsidRPr="00915D4D">
        <w:t>reparation</w:t>
      </w:r>
      <w:r w:rsidRPr="004C3353">
        <w:t xml:space="preserve"> under the Optional Protocol to the International Covenant on Civil and Political Rights, UN Doc. CCPR/C/158, 30 November 2016, para. 4 (Guidelines on measures of reparations).</w:t>
      </w:r>
    </w:p>
  </w:footnote>
  <w:footnote w:id="46">
    <w:p w14:paraId="3A071D63" w14:textId="7EDC610C" w:rsidR="00915D4D" w:rsidRPr="004C3353" w:rsidRDefault="00915D4D" w:rsidP="00915D4D">
      <w:pPr>
        <w:pStyle w:val="FootnoteText"/>
      </w:pPr>
      <w:r>
        <w:tab/>
      </w:r>
      <w:r w:rsidRPr="004C3353">
        <w:rPr>
          <w:rStyle w:val="FootnoteReference"/>
        </w:rPr>
        <w:footnoteRef/>
      </w:r>
      <w:r w:rsidRPr="004C3353">
        <w:t xml:space="preserve"> </w:t>
      </w:r>
      <w:r>
        <w:tab/>
      </w:r>
      <w:r w:rsidRPr="004C3353">
        <w:t xml:space="preserve">See UN General Assembly, Basic Principles and Guidelines on the Right to a Remedy and Reparation for Victims of Gross </w:t>
      </w:r>
      <w:r w:rsidRPr="00915D4D">
        <w:t>Violati</w:t>
      </w:r>
      <w:bookmarkStart w:id="1" w:name="_GoBack"/>
      <w:bookmarkEnd w:id="1"/>
      <w:r w:rsidRPr="00915D4D">
        <w:t>ons</w:t>
      </w:r>
      <w:r w:rsidRPr="004C3353">
        <w:t xml:space="preserve"> of International Human Rights Law and Serious Violations of International Humanitarian Law, UN Doc. A/RES/60/147, adopted on 16 December 2005, para. 19.</w:t>
      </w:r>
    </w:p>
  </w:footnote>
  <w:footnote w:id="47">
    <w:p w14:paraId="3DFF349C" w14:textId="2422BD1A" w:rsidR="00915D4D" w:rsidRPr="004C3353" w:rsidRDefault="00915D4D" w:rsidP="00915D4D">
      <w:pPr>
        <w:pStyle w:val="FootnoteText"/>
      </w:pPr>
      <w:r>
        <w:tab/>
      </w:r>
      <w:r w:rsidRPr="004C3353">
        <w:rPr>
          <w:rStyle w:val="FootnoteReference"/>
        </w:rPr>
        <w:footnoteRef/>
      </w:r>
      <w:r w:rsidRPr="004C3353">
        <w:t xml:space="preserve"> </w:t>
      </w:r>
      <w:r>
        <w:tab/>
      </w:r>
      <w:r w:rsidRPr="004C3353">
        <w:t>Guidelines on measures of reparations, para.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BF48" w14:textId="5CBB71C1" w:rsidR="00782704" w:rsidRPr="007B3E93" w:rsidRDefault="00782704" w:rsidP="00782704">
    <w:pPr>
      <w:pStyle w:val="Header"/>
      <w:rPr>
        <w:lang w:val="es-ES"/>
      </w:rPr>
    </w:pPr>
    <w:r w:rsidRPr="007B3E93">
      <w:rPr>
        <w:lang w:val="es-ES"/>
      </w:rPr>
      <w:t>CCPR/C/132/D/</w:t>
    </w:r>
    <w:r>
      <w:rPr>
        <w:lang w:val="es-ES"/>
      </w:rPr>
      <w:t>2844/2016</w:t>
    </w:r>
    <w:r w:rsidR="007B3E93" w:rsidRPr="007B3E93">
      <w:rPr>
        <w:b w:val="0"/>
        <w:sz w:val="34"/>
        <w:lang w:val="es-ES"/>
      </w:rPr>
      <w:t xml:space="preserve"> </w:t>
    </w:r>
    <w:r w:rsidR="007B3E93" w:rsidRPr="007B3E93">
      <w:rPr>
        <w:sz w:val="20"/>
        <w:lang w:val="es-ES"/>
      </w:rPr>
      <w:t>Versión avanzada sin editar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EB5A" w14:textId="0ACF2927" w:rsidR="00C0300A" w:rsidRPr="007B3E93" w:rsidRDefault="007B3E93" w:rsidP="006A31AE">
    <w:pPr>
      <w:pStyle w:val="Header"/>
      <w:jc w:val="right"/>
      <w:rPr>
        <w:lang w:val="es-ES"/>
      </w:rPr>
    </w:pPr>
    <w:r w:rsidRPr="007B3E93">
      <w:rPr>
        <w:sz w:val="20"/>
        <w:lang w:val="es-ES"/>
      </w:rPr>
      <w:t>Versión avanzada sin editar</w:t>
    </w:r>
    <w:r w:rsidRPr="007B3E93">
      <w:rPr>
        <w:lang w:val="es-ES"/>
      </w:rPr>
      <w:t xml:space="preserve"> </w:t>
    </w:r>
    <w:r w:rsidR="00C0300A" w:rsidRPr="007B3E93">
      <w:rPr>
        <w:lang w:val="es-ES"/>
      </w:rPr>
      <w:t>CCPR/C/132/D/</w:t>
    </w:r>
    <w:r w:rsidR="00C0300A">
      <w:rPr>
        <w:lang w:val="es-ES"/>
      </w:rPr>
      <w:t>2844/2016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75477DC"/>
    <w:multiLevelType w:val="hybridMultilevel"/>
    <w:tmpl w:val="01D6E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C1357"/>
    <w:multiLevelType w:val="hybridMultilevel"/>
    <w:tmpl w:val="9C1AFA9E"/>
    <w:lvl w:ilvl="0" w:tplc="18D4D3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C21CF"/>
    <w:multiLevelType w:val="multilevel"/>
    <w:tmpl w:val="588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6EE2CD8"/>
    <w:multiLevelType w:val="multilevel"/>
    <w:tmpl w:val="0654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F3749E"/>
    <w:multiLevelType w:val="multilevel"/>
    <w:tmpl w:val="2C508734"/>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6F4E5CB5"/>
    <w:multiLevelType w:val="hybridMultilevel"/>
    <w:tmpl w:val="11D6C346"/>
    <w:lvl w:ilvl="0" w:tplc="C8063E12">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0"/>
  </w:num>
  <w:num w:numId="4">
    <w:abstractNumId w:val="13"/>
  </w:num>
  <w:num w:numId="5">
    <w:abstractNumId w:val="14"/>
  </w:num>
  <w:num w:numId="6">
    <w:abstractNumId w:val="20"/>
  </w:num>
  <w:num w:numId="7">
    <w:abstractNumId w:val="3"/>
  </w:num>
  <w:num w:numId="8">
    <w:abstractNumId w:val="16"/>
  </w:num>
  <w:num w:numId="9">
    <w:abstractNumId w:val="2"/>
  </w:num>
  <w:num w:numId="10">
    <w:abstractNumId w:val="11"/>
  </w:num>
  <w:num w:numId="11">
    <w:abstractNumId w:val="17"/>
  </w:num>
  <w:num w:numId="12">
    <w:abstractNumId w:val="18"/>
  </w:num>
  <w:num w:numId="13">
    <w:abstractNumId w:val="5"/>
  </w:num>
  <w:num w:numId="14">
    <w:abstractNumId w:val="1"/>
  </w:num>
  <w:num w:numId="15">
    <w:abstractNumId w:val="8"/>
  </w:num>
  <w:num w:numId="16">
    <w:abstractNumId w:val="12"/>
    <w:lvlOverride w:ilvl="0">
      <w:startOverride w:val="1"/>
    </w:lvlOverride>
  </w:num>
  <w:num w:numId="17">
    <w:abstractNumId w:val="12"/>
    <w:lvlOverride w:ilvl="0">
      <w:startOverride w:val="2"/>
    </w:lvlOverride>
  </w:num>
  <w:num w:numId="18">
    <w:abstractNumId w:val="12"/>
    <w:lvlOverride w:ilvl="0">
      <w:startOverride w:val="3"/>
    </w:lvlOverride>
  </w:num>
  <w:num w:numId="19">
    <w:abstractNumId w:val="10"/>
  </w:num>
  <w:num w:numId="20">
    <w:abstractNumId w:val="15"/>
  </w:num>
  <w:num w:numId="21">
    <w:abstractNumId w:val="7"/>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s-EC" w:vendorID="64" w:dllVersion="6" w:nlCheck="1" w:checkStyle="0"/>
  <w:activeWritingStyle w:appName="MSWord" w:lang="es-PY"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PY"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EC" w:vendorID="64" w:dllVersion="131078" w:nlCheck="1" w:checkStyle="0"/>
  <w:activeWritingStyle w:appName="MSWord" w:lang="es-PY"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1543"/>
    <w:rsid w:val="00001C7C"/>
    <w:rsid w:val="0000200E"/>
    <w:rsid w:val="00002271"/>
    <w:rsid w:val="00002350"/>
    <w:rsid w:val="0000254F"/>
    <w:rsid w:val="00002CEA"/>
    <w:rsid w:val="00003488"/>
    <w:rsid w:val="000036BF"/>
    <w:rsid w:val="00004D5C"/>
    <w:rsid w:val="00004ECE"/>
    <w:rsid w:val="00005FCE"/>
    <w:rsid w:val="00006C3A"/>
    <w:rsid w:val="00007053"/>
    <w:rsid w:val="000071B2"/>
    <w:rsid w:val="0000793D"/>
    <w:rsid w:val="0000794F"/>
    <w:rsid w:val="00010864"/>
    <w:rsid w:val="000116D6"/>
    <w:rsid w:val="0001276F"/>
    <w:rsid w:val="00012F9E"/>
    <w:rsid w:val="000132B3"/>
    <w:rsid w:val="00013301"/>
    <w:rsid w:val="000135E6"/>
    <w:rsid w:val="00014522"/>
    <w:rsid w:val="0001523F"/>
    <w:rsid w:val="000153A9"/>
    <w:rsid w:val="00015773"/>
    <w:rsid w:val="000158F1"/>
    <w:rsid w:val="00015D00"/>
    <w:rsid w:val="00015FA2"/>
    <w:rsid w:val="0001700A"/>
    <w:rsid w:val="000170F4"/>
    <w:rsid w:val="00017187"/>
    <w:rsid w:val="00017691"/>
    <w:rsid w:val="000203E2"/>
    <w:rsid w:val="000203F9"/>
    <w:rsid w:val="00021B64"/>
    <w:rsid w:val="00022206"/>
    <w:rsid w:val="00022411"/>
    <w:rsid w:val="00023008"/>
    <w:rsid w:val="000233AA"/>
    <w:rsid w:val="000238CC"/>
    <w:rsid w:val="00023A6D"/>
    <w:rsid w:val="00024A1B"/>
    <w:rsid w:val="00024E11"/>
    <w:rsid w:val="00024F11"/>
    <w:rsid w:val="00024F99"/>
    <w:rsid w:val="00025907"/>
    <w:rsid w:val="00025A87"/>
    <w:rsid w:val="00025B8E"/>
    <w:rsid w:val="0002643B"/>
    <w:rsid w:val="00026686"/>
    <w:rsid w:val="00026720"/>
    <w:rsid w:val="00026DE3"/>
    <w:rsid w:val="00027074"/>
    <w:rsid w:val="0002788D"/>
    <w:rsid w:val="00030035"/>
    <w:rsid w:val="00030866"/>
    <w:rsid w:val="00030FE5"/>
    <w:rsid w:val="00031010"/>
    <w:rsid w:val="000310F6"/>
    <w:rsid w:val="00031369"/>
    <w:rsid w:val="00031586"/>
    <w:rsid w:val="00031DA2"/>
    <w:rsid w:val="0003208A"/>
    <w:rsid w:val="00033302"/>
    <w:rsid w:val="00033A5B"/>
    <w:rsid w:val="00033B1E"/>
    <w:rsid w:val="000340A1"/>
    <w:rsid w:val="000343BA"/>
    <w:rsid w:val="000345AF"/>
    <w:rsid w:val="00034661"/>
    <w:rsid w:val="00034D8C"/>
    <w:rsid w:val="0003517E"/>
    <w:rsid w:val="00035ABE"/>
    <w:rsid w:val="0003618D"/>
    <w:rsid w:val="00036BBD"/>
    <w:rsid w:val="00037728"/>
    <w:rsid w:val="00037773"/>
    <w:rsid w:val="000378BF"/>
    <w:rsid w:val="00037972"/>
    <w:rsid w:val="00037AFC"/>
    <w:rsid w:val="00037C71"/>
    <w:rsid w:val="00037C77"/>
    <w:rsid w:val="0004036D"/>
    <w:rsid w:val="0004068E"/>
    <w:rsid w:val="00040BA7"/>
    <w:rsid w:val="000412BB"/>
    <w:rsid w:val="000419FF"/>
    <w:rsid w:val="0004254F"/>
    <w:rsid w:val="00042F1C"/>
    <w:rsid w:val="000438CD"/>
    <w:rsid w:val="00043A06"/>
    <w:rsid w:val="000440E7"/>
    <w:rsid w:val="000443A9"/>
    <w:rsid w:val="000453E1"/>
    <w:rsid w:val="00045ECB"/>
    <w:rsid w:val="000463A4"/>
    <w:rsid w:val="000463C5"/>
    <w:rsid w:val="000463E0"/>
    <w:rsid w:val="000464DC"/>
    <w:rsid w:val="00046582"/>
    <w:rsid w:val="0004688B"/>
    <w:rsid w:val="00046961"/>
    <w:rsid w:val="00046E92"/>
    <w:rsid w:val="00046FA7"/>
    <w:rsid w:val="000470B6"/>
    <w:rsid w:val="000479ED"/>
    <w:rsid w:val="00047ED7"/>
    <w:rsid w:val="00047F56"/>
    <w:rsid w:val="000507DE"/>
    <w:rsid w:val="000507ED"/>
    <w:rsid w:val="00050BB6"/>
    <w:rsid w:val="00050C06"/>
    <w:rsid w:val="00050EE3"/>
    <w:rsid w:val="000515FB"/>
    <w:rsid w:val="00051AEB"/>
    <w:rsid w:val="00052467"/>
    <w:rsid w:val="000526D3"/>
    <w:rsid w:val="00052A2D"/>
    <w:rsid w:val="0005307B"/>
    <w:rsid w:val="00053198"/>
    <w:rsid w:val="00053289"/>
    <w:rsid w:val="00053669"/>
    <w:rsid w:val="00053D04"/>
    <w:rsid w:val="00054434"/>
    <w:rsid w:val="00054730"/>
    <w:rsid w:val="00054A02"/>
    <w:rsid w:val="000551FF"/>
    <w:rsid w:val="00055752"/>
    <w:rsid w:val="000558DB"/>
    <w:rsid w:val="00055AD5"/>
    <w:rsid w:val="00056433"/>
    <w:rsid w:val="00056763"/>
    <w:rsid w:val="00056920"/>
    <w:rsid w:val="00056DF2"/>
    <w:rsid w:val="000571C0"/>
    <w:rsid w:val="000573C4"/>
    <w:rsid w:val="00057B67"/>
    <w:rsid w:val="00057D98"/>
    <w:rsid w:val="000603F9"/>
    <w:rsid w:val="00060735"/>
    <w:rsid w:val="000607A6"/>
    <w:rsid w:val="00060B38"/>
    <w:rsid w:val="00060F16"/>
    <w:rsid w:val="00061604"/>
    <w:rsid w:val="000618DC"/>
    <w:rsid w:val="00061F37"/>
    <w:rsid w:val="00062C81"/>
    <w:rsid w:val="00062ED9"/>
    <w:rsid w:val="00062FA6"/>
    <w:rsid w:val="000635F3"/>
    <w:rsid w:val="00063630"/>
    <w:rsid w:val="000637C9"/>
    <w:rsid w:val="00063907"/>
    <w:rsid w:val="00063A78"/>
    <w:rsid w:val="000641C0"/>
    <w:rsid w:val="000648FC"/>
    <w:rsid w:val="0006523D"/>
    <w:rsid w:val="000654C0"/>
    <w:rsid w:val="0006570C"/>
    <w:rsid w:val="00065A5C"/>
    <w:rsid w:val="00065AA5"/>
    <w:rsid w:val="00065FFD"/>
    <w:rsid w:val="000665AA"/>
    <w:rsid w:val="00066863"/>
    <w:rsid w:val="00066AB3"/>
    <w:rsid w:val="00066C53"/>
    <w:rsid w:val="0006754C"/>
    <w:rsid w:val="00067583"/>
    <w:rsid w:val="000677A3"/>
    <w:rsid w:val="00067E6C"/>
    <w:rsid w:val="000704DC"/>
    <w:rsid w:val="00070922"/>
    <w:rsid w:val="00071360"/>
    <w:rsid w:val="00071389"/>
    <w:rsid w:val="00071C94"/>
    <w:rsid w:val="00071D8B"/>
    <w:rsid w:val="00071F9A"/>
    <w:rsid w:val="00072C84"/>
    <w:rsid w:val="00072D08"/>
    <w:rsid w:val="00072F62"/>
    <w:rsid w:val="00073A1F"/>
    <w:rsid w:val="000755CB"/>
    <w:rsid w:val="00075A87"/>
    <w:rsid w:val="00075CB6"/>
    <w:rsid w:val="00076109"/>
    <w:rsid w:val="000765B7"/>
    <w:rsid w:val="00076B5B"/>
    <w:rsid w:val="00076F2E"/>
    <w:rsid w:val="00077180"/>
    <w:rsid w:val="0007741F"/>
    <w:rsid w:val="00077611"/>
    <w:rsid w:val="00077B89"/>
    <w:rsid w:val="00080C36"/>
    <w:rsid w:val="00080EAB"/>
    <w:rsid w:val="00081788"/>
    <w:rsid w:val="000818E7"/>
    <w:rsid w:val="00081F5F"/>
    <w:rsid w:val="00082195"/>
    <w:rsid w:val="00082434"/>
    <w:rsid w:val="00082A1E"/>
    <w:rsid w:val="00082ED8"/>
    <w:rsid w:val="00083082"/>
    <w:rsid w:val="00083121"/>
    <w:rsid w:val="00083177"/>
    <w:rsid w:val="000833F3"/>
    <w:rsid w:val="000836BD"/>
    <w:rsid w:val="00083E34"/>
    <w:rsid w:val="000840DA"/>
    <w:rsid w:val="000843D2"/>
    <w:rsid w:val="00084411"/>
    <w:rsid w:val="00085402"/>
    <w:rsid w:val="00086501"/>
    <w:rsid w:val="00086693"/>
    <w:rsid w:val="00086F42"/>
    <w:rsid w:val="00087254"/>
    <w:rsid w:val="0008731B"/>
    <w:rsid w:val="000874E4"/>
    <w:rsid w:val="00087B75"/>
    <w:rsid w:val="000900B5"/>
    <w:rsid w:val="000900F5"/>
    <w:rsid w:val="000908C8"/>
    <w:rsid w:val="00090AC2"/>
    <w:rsid w:val="0009110C"/>
    <w:rsid w:val="0009188D"/>
    <w:rsid w:val="00091BA6"/>
    <w:rsid w:val="00091BD9"/>
    <w:rsid w:val="000936D7"/>
    <w:rsid w:val="00093D87"/>
    <w:rsid w:val="00094067"/>
    <w:rsid w:val="00094134"/>
    <w:rsid w:val="00094CC6"/>
    <w:rsid w:val="00095492"/>
    <w:rsid w:val="000955C1"/>
    <w:rsid w:val="00095626"/>
    <w:rsid w:val="0009568E"/>
    <w:rsid w:val="00095B2D"/>
    <w:rsid w:val="00095F43"/>
    <w:rsid w:val="0009611C"/>
    <w:rsid w:val="0009611E"/>
    <w:rsid w:val="00096473"/>
    <w:rsid w:val="00096620"/>
    <w:rsid w:val="00096CD8"/>
    <w:rsid w:val="00096CE5"/>
    <w:rsid w:val="00097F79"/>
    <w:rsid w:val="000A0052"/>
    <w:rsid w:val="000A00AC"/>
    <w:rsid w:val="000A01D2"/>
    <w:rsid w:val="000A0AE9"/>
    <w:rsid w:val="000A0E37"/>
    <w:rsid w:val="000A14EE"/>
    <w:rsid w:val="000A1593"/>
    <w:rsid w:val="000A1A07"/>
    <w:rsid w:val="000A1FF3"/>
    <w:rsid w:val="000A27BD"/>
    <w:rsid w:val="000A2FB2"/>
    <w:rsid w:val="000A30EE"/>
    <w:rsid w:val="000A318A"/>
    <w:rsid w:val="000A31E2"/>
    <w:rsid w:val="000A3B6E"/>
    <w:rsid w:val="000A3BC9"/>
    <w:rsid w:val="000A4862"/>
    <w:rsid w:val="000A50B4"/>
    <w:rsid w:val="000A5194"/>
    <w:rsid w:val="000A52BE"/>
    <w:rsid w:val="000A682B"/>
    <w:rsid w:val="000A71C0"/>
    <w:rsid w:val="000A72F2"/>
    <w:rsid w:val="000B1614"/>
    <w:rsid w:val="000B16D2"/>
    <w:rsid w:val="000B1870"/>
    <w:rsid w:val="000B23E2"/>
    <w:rsid w:val="000B278C"/>
    <w:rsid w:val="000B28B4"/>
    <w:rsid w:val="000B2C1F"/>
    <w:rsid w:val="000B323F"/>
    <w:rsid w:val="000B33CD"/>
    <w:rsid w:val="000B38F4"/>
    <w:rsid w:val="000B3B7C"/>
    <w:rsid w:val="000B3EA7"/>
    <w:rsid w:val="000B474D"/>
    <w:rsid w:val="000B4BF6"/>
    <w:rsid w:val="000B50B5"/>
    <w:rsid w:val="000B5BAF"/>
    <w:rsid w:val="000B5CD1"/>
    <w:rsid w:val="000B5F9D"/>
    <w:rsid w:val="000B61FD"/>
    <w:rsid w:val="000B647D"/>
    <w:rsid w:val="000B681A"/>
    <w:rsid w:val="000B68B7"/>
    <w:rsid w:val="000B6904"/>
    <w:rsid w:val="000B695D"/>
    <w:rsid w:val="000B70D6"/>
    <w:rsid w:val="000B73F7"/>
    <w:rsid w:val="000B7433"/>
    <w:rsid w:val="000B75A5"/>
    <w:rsid w:val="000B7678"/>
    <w:rsid w:val="000B778C"/>
    <w:rsid w:val="000B7964"/>
    <w:rsid w:val="000B7CAC"/>
    <w:rsid w:val="000B7FDA"/>
    <w:rsid w:val="000C0C3E"/>
    <w:rsid w:val="000C0D94"/>
    <w:rsid w:val="000C133E"/>
    <w:rsid w:val="000C13C1"/>
    <w:rsid w:val="000C15E0"/>
    <w:rsid w:val="000C1866"/>
    <w:rsid w:val="000C1D18"/>
    <w:rsid w:val="000C2A27"/>
    <w:rsid w:val="000C30CC"/>
    <w:rsid w:val="000C3719"/>
    <w:rsid w:val="000C394E"/>
    <w:rsid w:val="000C3BA7"/>
    <w:rsid w:val="000C3F2F"/>
    <w:rsid w:val="000C4380"/>
    <w:rsid w:val="000C4F55"/>
    <w:rsid w:val="000C50F9"/>
    <w:rsid w:val="000C5133"/>
    <w:rsid w:val="000C51F9"/>
    <w:rsid w:val="000C5356"/>
    <w:rsid w:val="000C5B18"/>
    <w:rsid w:val="000C5C02"/>
    <w:rsid w:val="000C5E0C"/>
    <w:rsid w:val="000C62E5"/>
    <w:rsid w:val="000C7201"/>
    <w:rsid w:val="000C7386"/>
    <w:rsid w:val="000C7AB8"/>
    <w:rsid w:val="000C7E18"/>
    <w:rsid w:val="000D000F"/>
    <w:rsid w:val="000D01EA"/>
    <w:rsid w:val="000D0579"/>
    <w:rsid w:val="000D083B"/>
    <w:rsid w:val="000D0B21"/>
    <w:rsid w:val="000D12DA"/>
    <w:rsid w:val="000D1D2D"/>
    <w:rsid w:val="000D2556"/>
    <w:rsid w:val="000D2821"/>
    <w:rsid w:val="000D3883"/>
    <w:rsid w:val="000D3B9E"/>
    <w:rsid w:val="000D4140"/>
    <w:rsid w:val="000D4558"/>
    <w:rsid w:val="000D471F"/>
    <w:rsid w:val="000D49F2"/>
    <w:rsid w:val="000D528A"/>
    <w:rsid w:val="000D5DFB"/>
    <w:rsid w:val="000D61F9"/>
    <w:rsid w:val="000D6317"/>
    <w:rsid w:val="000D762C"/>
    <w:rsid w:val="000D7D92"/>
    <w:rsid w:val="000E02A6"/>
    <w:rsid w:val="000E0661"/>
    <w:rsid w:val="000E09DF"/>
    <w:rsid w:val="000E0B5D"/>
    <w:rsid w:val="000E0B78"/>
    <w:rsid w:val="000E2206"/>
    <w:rsid w:val="000E24D4"/>
    <w:rsid w:val="000E299F"/>
    <w:rsid w:val="000E3191"/>
    <w:rsid w:val="000E372B"/>
    <w:rsid w:val="000E37A1"/>
    <w:rsid w:val="000E4359"/>
    <w:rsid w:val="000E48C0"/>
    <w:rsid w:val="000E4C37"/>
    <w:rsid w:val="000E53D5"/>
    <w:rsid w:val="000E563D"/>
    <w:rsid w:val="000E59FA"/>
    <w:rsid w:val="000E6510"/>
    <w:rsid w:val="000E6B10"/>
    <w:rsid w:val="000E6BF2"/>
    <w:rsid w:val="000E6D5B"/>
    <w:rsid w:val="000E6E03"/>
    <w:rsid w:val="000E6FF4"/>
    <w:rsid w:val="000E71DC"/>
    <w:rsid w:val="000E773C"/>
    <w:rsid w:val="000E79A1"/>
    <w:rsid w:val="000F00DE"/>
    <w:rsid w:val="000F0805"/>
    <w:rsid w:val="000F0A92"/>
    <w:rsid w:val="000F100E"/>
    <w:rsid w:val="000F149C"/>
    <w:rsid w:val="000F197F"/>
    <w:rsid w:val="000F1D75"/>
    <w:rsid w:val="000F2984"/>
    <w:rsid w:val="000F2D5E"/>
    <w:rsid w:val="000F2EE3"/>
    <w:rsid w:val="000F46FA"/>
    <w:rsid w:val="000F494A"/>
    <w:rsid w:val="000F4C79"/>
    <w:rsid w:val="000F4E64"/>
    <w:rsid w:val="000F4FDA"/>
    <w:rsid w:val="000F5558"/>
    <w:rsid w:val="000F5E2D"/>
    <w:rsid w:val="000F6642"/>
    <w:rsid w:val="000F6FF7"/>
    <w:rsid w:val="000F76B9"/>
    <w:rsid w:val="000F7BDC"/>
    <w:rsid w:val="00100229"/>
    <w:rsid w:val="00100946"/>
    <w:rsid w:val="0010180F"/>
    <w:rsid w:val="00101A08"/>
    <w:rsid w:val="0010350F"/>
    <w:rsid w:val="00103F7B"/>
    <w:rsid w:val="00103F9C"/>
    <w:rsid w:val="00104346"/>
    <w:rsid w:val="001045ED"/>
    <w:rsid w:val="00104ECA"/>
    <w:rsid w:val="0010502C"/>
    <w:rsid w:val="00105030"/>
    <w:rsid w:val="00105604"/>
    <w:rsid w:val="00105A57"/>
    <w:rsid w:val="00105B19"/>
    <w:rsid w:val="00105D56"/>
    <w:rsid w:val="001060C3"/>
    <w:rsid w:val="00106B51"/>
    <w:rsid w:val="00107C0A"/>
    <w:rsid w:val="00110C9B"/>
    <w:rsid w:val="00110E62"/>
    <w:rsid w:val="00110F30"/>
    <w:rsid w:val="00111791"/>
    <w:rsid w:val="00111C57"/>
    <w:rsid w:val="00111E9E"/>
    <w:rsid w:val="00112469"/>
    <w:rsid w:val="00112A5A"/>
    <w:rsid w:val="00112CD0"/>
    <w:rsid w:val="00112EB1"/>
    <w:rsid w:val="00113785"/>
    <w:rsid w:val="00113806"/>
    <w:rsid w:val="00113D11"/>
    <w:rsid w:val="001146E2"/>
    <w:rsid w:val="00114BAE"/>
    <w:rsid w:val="00114E1C"/>
    <w:rsid w:val="00114ED4"/>
    <w:rsid w:val="00115217"/>
    <w:rsid w:val="0011550F"/>
    <w:rsid w:val="001156B8"/>
    <w:rsid w:val="00115A87"/>
    <w:rsid w:val="00115EA3"/>
    <w:rsid w:val="00116CC6"/>
    <w:rsid w:val="0011774E"/>
    <w:rsid w:val="00117928"/>
    <w:rsid w:val="00117A8E"/>
    <w:rsid w:val="001202B4"/>
    <w:rsid w:val="00120366"/>
    <w:rsid w:val="00120716"/>
    <w:rsid w:val="001208CD"/>
    <w:rsid w:val="001209A8"/>
    <w:rsid w:val="00120CAC"/>
    <w:rsid w:val="00120D47"/>
    <w:rsid w:val="00121264"/>
    <w:rsid w:val="00121358"/>
    <w:rsid w:val="00121F2A"/>
    <w:rsid w:val="00122732"/>
    <w:rsid w:val="00122A15"/>
    <w:rsid w:val="001239AE"/>
    <w:rsid w:val="00124683"/>
    <w:rsid w:val="001246A8"/>
    <w:rsid w:val="00124BC8"/>
    <w:rsid w:val="00125894"/>
    <w:rsid w:val="00125BA6"/>
    <w:rsid w:val="00125BBA"/>
    <w:rsid w:val="00125D5B"/>
    <w:rsid w:val="00125F18"/>
    <w:rsid w:val="001267A0"/>
    <w:rsid w:val="00126E49"/>
    <w:rsid w:val="00127AA7"/>
    <w:rsid w:val="001309DA"/>
    <w:rsid w:val="00130E7B"/>
    <w:rsid w:val="00131161"/>
    <w:rsid w:val="0013150C"/>
    <w:rsid w:val="00131AB6"/>
    <w:rsid w:val="00131D7A"/>
    <w:rsid w:val="00132B0B"/>
    <w:rsid w:val="00132BA7"/>
    <w:rsid w:val="001330AA"/>
    <w:rsid w:val="001331EB"/>
    <w:rsid w:val="0013321E"/>
    <w:rsid w:val="0013341D"/>
    <w:rsid w:val="001337BE"/>
    <w:rsid w:val="001338CD"/>
    <w:rsid w:val="00133A8C"/>
    <w:rsid w:val="0013481A"/>
    <w:rsid w:val="00134E28"/>
    <w:rsid w:val="00134E3D"/>
    <w:rsid w:val="0013514C"/>
    <w:rsid w:val="0013581C"/>
    <w:rsid w:val="0013691F"/>
    <w:rsid w:val="00136C70"/>
    <w:rsid w:val="001401FA"/>
    <w:rsid w:val="0014091B"/>
    <w:rsid w:val="00140C73"/>
    <w:rsid w:val="001410D0"/>
    <w:rsid w:val="00141151"/>
    <w:rsid w:val="0014240C"/>
    <w:rsid w:val="00143089"/>
    <w:rsid w:val="0014371C"/>
    <w:rsid w:val="00143737"/>
    <w:rsid w:val="00143F50"/>
    <w:rsid w:val="00144551"/>
    <w:rsid w:val="001453BF"/>
    <w:rsid w:val="0014563F"/>
    <w:rsid w:val="00145C89"/>
    <w:rsid w:val="00146122"/>
    <w:rsid w:val="00146AA2"/>
    <w:rsid w:val="0014723D"/>
    <w:rsid w:val="001479EC"/>
    <w:rsid w:val="001501A5"/>
    <w:rsid w:val="00150DEF"/>
    <w:rsid w:val="00150F93"/>
    <w:rsid w:val="00151328"/>
    <w:rsid w:val="0015132B"/>
    <w:rsid w:val="001513EE"/>
    <w:rsid w:val="00151691"/>
    <w:rsid w:val="0015188F"/>
    <w:rsid w:val="00151D27"/>
    <w:rsid w:val="00151E91"/>
    <w:rsid w:val="00152860"/>
    <w:rsid w:val="001528E3"/>
    <w:rsid w:val="0015296D"/>
    <w:rsid w:val="00152CDA"/>
    <w:rsid w:val="0015340D"/>
    <w:rsid w:val="001537F7"/>
    <w:rsid w:val="00153970"/>
    <w:rsid w:val="001542F6"/>
    <w:rsid w:val="00154DFB"/>
    <w:rsid w:val="001550B3"/>
    <w:rsid w:val="001552BB"/>
    <w:rsid w:val="00155625"/>
    <w:rsid w:val="001557B4"/>
    <w:rsid w:val="00155A2C"/>
    <w:rsid w:val="00156202"/>
    <w:rsid w:val="0015621E"/>
    <w:rsid w:val="001564D9"/>
    <w:rsid w:val="00156B20"/>
    <w:rsid w:val="001571C0"/>
    <w:rsid w:val="00157438"/>
    <w:rsid w:val="0015772C"/>
    <w:rsid w:val="00157981"/>
    <w:rsid w:val="00157D2B"/>
    <w:rsid w:val="001600EF"/>
    <w:rsid w:val="0016028E"/>
    <w:rsid w:val="00160545"/>
    <w:rsid w:val="00160BF2"/>
    <w:rsid w:val="00161E2F"/>
    <w:rsid w:val="001635DE"/>
    <w:rsid w:val="001636A4"/>
    <w:rsid w:val="0016494D"/>
    <w:rsid w:val="00164A89"/>
    <w:rsid w:val="00164A8E"/>
    <w:rsid w:val="00165158"/>
    <w:rsid w:val="0016583B"/>
    <w:rsid w:val="00165BC3"/>
    <w:rsid w:val="00165C15"/>
    <w:rsid w:val="00166134"/>
    <w:rsid w:val="0016636A"/>
    <w:rsid w:val="00166BBE"/>
    <w:rsid w:val="00166F81"/>
    <w:rsid w:val="00167251"/>
    <w:rsid w:val="00167744"/>
    <w:rsid w:val="00167F4C"/>
    <w:rsid w:val="00170594"/>
    <w:rsid w:val="001705BB"/>
    <w:rsid w:val="00171878"/>
    <w:rsid w:val="00172406"/>
    <w:rsid w:val="00173893"/>
    <w:rsid w:val="001738EB"/>
    <w:rsid w:val="00173CF5"/>
    <w:rsid w:val="00173ECF"/>
    <w:rsid w:val="00174034"/>
    <w:rsid w:val="001744DF"/>
    <w:rsid w:val="00174CA1"/>
    <w:rsid w:val="00175193"/>
    <w:rsid w:val="00175258"/>
    <w:rsid w:val="001755FD"/>
    <w:rsid w:val="001756EE"/>
    <w:rsid w:val="00175908"/>
    <w:rsid w:val="00175D34"/>
    <w:rsid w:val="0017609F"/>
    <w:rsid w:val="001760FE"/>
    <w:rsid w:val="001761EC"/>
    <w:rsid w:val="0017629E"/>
    <w:rsid w:val="0017729A"/>
    <w:rsid w:val="00177BCC"/>
    <w:rsid w:val="00177E57"/>
    <w:rsid w:val="00177F2B"/>
    <w:rsid w:val="00180641"/>
    <w:rsid w:val="00180862"/>
    <w:rsid w:val="00180E8B"/>
    <w:rsid w:val="00181540"/>
    <w:rsid w:val="00182028"/>
    <w:rsid w:val="001821CE"/>
    <w:rsid w:val="001824AB"/>
    <w:rsid w:val="00182F44"/>
    <w:rsid w:val="0018340C"/>
    <w:rsid w:val="00183525"/>
    <w:rsid w:val="001836E1"/>
    <w:rsid w:val="00183B06"/>
    <w:rsid w:val="00184187"/>
    <w:rsid w:val="00184287"/>
    <w:rsid w:val="001849F0"/>
    <w:rsid w:val="00184B3C"/>
    <w:rsid w:val="00185676"/>
    <w:rsid w:val="00185881"/>
    <w:rsid w:val="001863C0"/>
    <w:rsid w:val="001864B7"/>
    <w:rsid w:val="00186750"/>
    <w:rsid w:val="0018700A"/>
    <w:rsid w:val="0018723E"/>
    <w:rsid w:val="001873E9"/>
    <w:rsid w:val="00187628"/>
    <w:rsid w:val="001876BC"/>
    <w:rsid w:val="00187B35"/>
    <w:rsid w:val="0019095C"/>
    <w:rsid w:val="00191B6F"/>
    <w:rsid w:val="00192605"/>
    <w:rsid w:val="001926EE"/>
    <w:rsid w:val="00192AD0"/>
    <w:rsid w:val="00192DAF"/>
    <w:rsid w:val="001934E4"/>
    <w:rsid w:val="001939A6"/>
    <w:rsid w:val="00194735"/>
    <w:rsid w:val="001947B3"/>
    <w:rsid w:val="001947D8"/>
    <w:rsid w:val="00194B5E"/>
    <w:rsid w:val="0019505F"/>
    <w:rsid w:val="00195175"/>
    <w:rsid w:val="00195B85"/>
    <w:rsid w:val="00195BDB"/>
    <w:rsid w:val="00195DDD"/>
    <w:rsid w:val="0019658B"/>
    <w:rsid w:val="001966FD"/>
    <w:rsid w:val="00196B2A"/>
    <w:rsid w:val="00196C8C"/>
    <w:rsid w:val="001975AA"/>
    <w:rsid w:val="001978D0"/>
    <w:rsid w:val="001979B2"/>
    <w:rsid w:val="00197C03"/>
    <w:rsid w:val="00197E27"/>
    <w:rsid w:val="00197FC3"/>
    <w:rsid w:val="001A06D1"/>
    <w:rsid w:val="001A0819"/>
    <w:rsid w:val="001A08B5"/>
    <w:rsid w:val="001A0A15"/>
    <w:rsid w:val="001A0BB0"/>
    <w:rsid w:val="001A0C3D"/>
    <w:rsid w:val="001A1E12"/>
    <w:rsid w:val="001A243A"/>
    <w:rsid w:val="001A2535"/>
    <w:rsid w:val="001A25AA"/>
    <w:rsid w:val="001A27B2"/>
    <w:rsid w:val="001A3363"/>
    <w:rsid w:val="001A3F69"/>
    <w:rsid w:val="001A418A"/>
    <w:rsid w:val="001A4280"/>
    <w:rsid w:val="001A438C"/>
    <w:rsid w:val="001A543E"/>
    <w:rsid w:val="001A551B"/>
    <w:rsid w:val="001A5F09"/>
    <w:rsid w:val="001A67A2"/>
    <w:rsid w:val="001A6B4F"/>
    <w:rsid w:val="001A6E11"/>
    <w:rsid w:val="001A709B"/>
    <w:rsid w:val="001A79AF"/>
    <w:rsid w:val="001A7B8D"/>
    <w:rsid w:val="001A7E92"/>
    <w:rsid w:val="001B0047"/>
    <w:rsid w:val="001B0AA3"/>
    <w:rsid w:val="001B0BA6"/>
    <w:rsid w:val="001B0C55"/>
    <w:rsid w:val="001B0E8A"/>
    <w:rsid w:val="001B0FB4"/>
    <w:rsid w:val="001B1228"/>
    <w:rsid w:val="001B292D"/>
    <w:rsid w:val="001B2CC3"/>
    <w:rsid w:val="001B311D"/>
    <w:rsid w:val="001B32C0"/>
    <w:rsid w:val="001B33C0"/>
    <w:rsid w:val="001B359A"/>
    <w:rsid w:val="001B3923"/>
    <w:rsid w:val="001B3B38"/>
    <w:rsid w:val="001B3D71"/>
    <w:rsid w:val="001B4257"/>
    <w:rsid w:val="001B4660"/>
    <w:rsid w:val="001B497B"/>
    <w:rsid w:val="001B4E60"/>
    <w:rsid w:val="001B4EA0"/>
    <w:rsid w:val="001B4F26"/>
    <w:rsid w:val="001B534F"/>
    <w:rsid w:val="001B5390"/>
    <w:rsid w:val="001B55EF"/>
    <w:rsid w:val="001B6DE6"/>
    <w:rsid w:val="001B7885"/>
    <w:rsid w:val="001C0112"/>
    <w:rsid w:val="001C0193"/>
    <w:rsid w:val="001C0400"/>
    <w:rsid w:val="001C0959"/>
    <w:rsid w:val="001C1BA6"/>
    <w:rsid w:val="001C233C"/>
    <w:rsid w:val="001C245B"/>
    <w:rsid w:val="001C2561"/>
    <w:rsid w:val="001C27E6"/>
    <w:rsid w:val="001C2CC6"/>
    <w:rsid w:val="001C2E2D"/>
    <w:rsid w:val="001C30BE"/>
    <w:rsid w:val="001C32FD"/>
    <w:rsid w:val="001C3FEB"/>
    <w:rsid w:val="001C41EA"/>
    <w:rsid w:val="001C445C"/>
    <w:rsid w:val="001C48DB"/>
    <w:rsid w:val="001C51D0"/>
    <w:rsid w:val="001C526B"/>
    <w:rsid w:val="001C5429"/>
    <w:rsid w:val="001C57DA"/>
    <w:rsid w:val="001C5B38"/>
    <w:rsid w:val="001C6C85"/>
    <w:rsid w:val="001C6E04"/>
    <w:rsid w:val="001C7131"/>
    <w:rsid w:val="001C7517"/>
    <w:rsid w:val="001C7C93"/>
    <w:rsid w:val="001D04EE"/>
    <w:rsid w:val="001D0E27"/>
    <w:rsid w:val="001D1557"/>
    <w:rsid w:val="001D199C"/>
    <w:rsid w:val="001D19B3"/>
    <w:rsid w:val="001D19CF"/>
    <w:rsid w:val="001D1A1C"/>
    <w:rsid w:val="001D1FD9"/>
    <w:rsid w:val="001D2011"/>
    <w:rsid w:val="001D2E12"/>
    <w:rsid w:val="001D3697"/>
    <w:rsid w:val="001D413F"/>
    <w:rsid w:val="001D42DA"/>
    <w:rsid w:val="001D4759"/>
    <w:rsid w:val="001D47E5"/>
    <w:rsid w:val="001D4DDA"/>
    <w:rsid w:val="001D51AB"/>
    <w:rsid w:val="001D5C2B"/>
    <w:rsid w:val="001D6481"/>
    <w:rsid w:val="001D6A45"/>
    <w:rsid w:val="001D78F7"/>
    <w:rsid w:val="001D7D50"/>
    <w:rsid w:val="001D7EB5"/>
    <w:rsid w:val="001E00AC"/>
    <w:rsid w:val="001E0582"/>
    <w:rsid w:val="001E08F3"/>
    <w:rsid w:val="001E0CE1"/>
    <w:rsid w:val="001E11A3"/>
    <w:rsid w:val="001E126D"/>
    <w:rsid w:val="001E1548"/>
    <w:rsid w:val="001E1837"/>
    <w:rsid w:val="001E1924"/>
    <w:rsid w:val="001E1CCD"/>
    <w:rsid w:val="001E1CCF"/>
    <w:rsid w:val="001E247B"/>
    <w:rsid w:val="001E2645"/>
    <w:rsid w:val="001E26B3"/>
    <w:rsid w:val="001E2D15"/>
    <w:rsid w:val="001E2F6D"/>
    <w:rsid w:val="001E33A0"/>
    <w:rsid w:val="001E3521"/>
    <w:rsid w:val="001E3C98"/>
    <w:rsid w:val="001E3DB9"/>
    <w:rsid w:val="001E431E"/>
    <w:rsid w:val="001E46B5"/>
    <w:rsid w:val="001E595A"/>
    <w:rsid w:val="001E649C"/>
    <w:rsid w:val="001E64AE"/>
    <w:rsid w:val="001E669E"/>
    <w:rsid w:val="001E6E29"/>
    <w:rsid w:val="001E6E7D"/>
    <w:rsid w:val="001E6F79"/>
    <w:rsid w:val="001E791F"/>
    <w:rsid w:val="001F02D8"/>
    <w:rsid w:val="001F0654"/>
    <w:rsid w:val="001F0720"/>
    <w:rsid w:val="001F0E15"/>
    <w:rsid w:val="001F0FF5"/>
    <w:rsid w:val="001F11D7"/>
    <w:rsid w:val="001F1E4F"/>
    <w:rsid w:val="001F22E9"/>
    <w:rsid w:val="001F2ACE"/>
    <w:rsid w:val="001F34D2"/>
    <w:rsid w:val="001F3929"/>
    <w:rsid w:val="001F3AB6"/>
    <w:rsid w:val="001F447E"/>
    <w:rsid w:val="001F4739"/>
    <w:rsid w:val="001F47FD"/>
    <w:rsid w:val="001F4916"/>
    <w:rsid w:val="001F4DBC"/>
    <w:rsid w:val="001F528E"/>
    <w:rsid w:val="001F545C"/>
    <w:rsid w:val="001F559B"/>
    <w:rsid w:val="001F56F5"/>
    <w:rsid w:val="001F5AEF"/>
    <w:rsid w:val="001F67D3"/>
    <w:rsid w:val="001F7575"/>
    <w:rsid w:val="001F7711"/>
    <w:rsid w:val="001F7959"/>
    <w:rsid w:val="00200046"/>
    <w:rsid w:val="00200CDD"/>
    <w:rsid w:val="002012B4"/>
    <w:rsid w:val="00201765"/>
    <w:rsid w:val="0020211A"/>
    <w:rsid w:val="0020246C"/>
    <w:rsid w:val="002024BF"/>
    <w:rsid w:val="00202B4C"/>
    <w:rsid w:val="00202F8C"/>
    <w:rsid w:val="00203262"/>
    <w:rsid w:val="00203508"/>
    <w:rsid w:val="00203F2F"/>
    <w:rsid w:val="00204493"/>
    <w:rsid w:val="002046C0"/>
    <w:rsid w:val="00204AC2"/>
    <w:rsid w:val="00204AD3"/>
    <w:rsid w:val="00204B4E"/>
    <w:rsid w:val="00204B55"/>
    <w:rsid w:val="00204D1A"/>
    <w:rsid w:val="0020517A"/>
    <w:rsid w:val="00205492"/>
    <w:rsid w:val="002054B6"/>
    <w:rsid w:val="00205759"/>
    <w:rsid w:val="00205818"/>
    <w:rsid w:val="00205C0B"/>
    <w:rsid w:val="002060F0"/>
    <w:rsid w:val="00206435"/>
    <w:rsid w:val="00207799"/>
    <w:rsid w:val="00207CDF"/>
    <w:rsid w:val="0021070D"/>
    <w:rsid w:val="00211E16"/>
    <w:rsid w:val="00212046"/>
    <w:rsid w:val="00212BBF"/>
    <w:rsid w:val="00213480"/>
    <w:rsid w:val="00213E4C"/>
    <w:rsid w:val="00214749"/>
    <w:rsid w:val="00215B68"/>
    <w:rsid w:val="00216C6F"/>
    <w:rsid w:val="00217218"/>
    <w:rsid w:val="00217382"/>
    <w:rsid w:val="002175CD"/>
    <w:rsid w:val="002175D6"/>
    <w:rsid w:val="00217F27"/>
    <w:rsid w:val="00220097"/>
    <w:rsid w:val="002204DC"/>
    <w:rsid w:val="00220A9F"/>
    <w:rsid w:val="002218BD"/>
    <w:rsid w:val="00221E6D"/>
    <w:rsid w:val="0022201C"/>
    <w:rsid w:val="00222022"/>
    <w:rsid w:val="00222666"/>
    <w:rsid w:val="00222940"/>
    <w:rsid w:val="00223101"/>
    <w:rsid w:val="00223288"/>
    <w:rsid w:val="00223EA2"/>
    <w:rsid w:val="00224302"/>
    <w:rsid w:val="00224590"/>
    <w:rsid w:val="00224D54"/>
    <w:rsid w:val="002254B7"/>
    <w:rsid w:val="0022582E"/>
    <w:rsid w:val="00226925"/>
    <w:rsid w:val="00226B2E"/>
    <w:rsid w:val="00226ECD"/>
    <w:rsid w:val="0022728F"/>
    <w:rsid w:val="00227400"/>
    <w:rsid w:val="00227531"/>
    <w:rsid w:val="002277CD"/>
    <w:rsid w:val="00227829"/>
    <w:rsid w:val="00227A81"/>
    <w:rsid w:val="00227C80"/>
    <w:rsid w:val="00227CCB"/>
    <w:rsid w:val="0023019B"/>
    <w:rsid w:val="00230231"/>
    <w:rsid w:val="00230C6B"/>
    <w:rsid w:val="00230FAB"/>
    <w:rsid w:val="00231B56"/>
    <w:rsid w:val="00231C65"/>
    <w:rsid w:val="00231FD1"/>
    <w:rsid w:val="002328E7"/>
    <w:rsid w:val="00232D7A"/>
    <w:rsid w:val="00232F71"/>
    <w:rsid w:val="002336EB"/>
    <w:rsid w:val="0023402C"/>
    <w:rsid w:val="0023440A"/>
    <w:rsid w:val="00234716"/>
    <w:rsid w:val="0023492B"/>
    <w:rsid w:val="00234CD2"/>
    <w:rsid w:val="002351A7"/>
    <w:rsid w:val="002356CC"/>
    <w:rsid w:val="002357A3"/>
    <w:rsid w:val="002359C1"/>
    <w:rsid w:val="00235D72"/>
    <w:rsid w:val="00236D8F"/>
    <w:rsid w:val="00236EF2"/>
    <w:rsid w:val="00237227"/>
    <w:rsid w:val="0023759C"/>
    <w:rsid w:val="00237698"/>
    <w:rsid w:val="00237A9C"/>
    <w:rsid w:val="002400D7"/>
    <w:rsid w:val="00240186"/>
    <w:rsid w:val="0024062F"/>
    <w:rsid w:val="002406FF"/>
    <w:rsid w:val="002407AA"/>
    <w:rsid w:val="002409E3"/>
    <w:rsid w:val="00240BBD"/>
    <w:rsid w:val="00241834"/>
    <w:rsid w:val="002427FB"/>
    <w:rsid w:val="00243863"/>
    <w:rsid w:val="00243CCD"/>
    <w:rsid w:val="00244617"/>
    <w:rsid w:val="00245650"/>
    <w:rsid w:val="00245F7B"/>
    <w:rsid w:val="002464E2"/>
    <w:rsid w:val="00246B78"/>
    <w:rsid w:val="00247D3F"/>
    <w:rsid w:val="00247E2C"/>
    <w:rsid w:val="002508FE"/>
    <w:rsid w:val="002512E7"/>
    <w:rsid w:val="002518BC"/>
    <w:rsid w:val="00252187"/>
    <w:rsid w:val="002522E7"/>
    <w:rsid w:val="00252397"/>
    <w:rsid w:val="002523D3"/>
    <w:rsid w:val="00252A21"/>
    <w:rsid w:val="00252C65"/>
    <w:rsid w:val="00253219"/>
    <w:rsid w:val="00253445"/>
    <w:rsid w:val="002535C0"/>
    <w:rsid w:val="0025393D"/>
    <w:rsid w:val="00254234"/>
    <w:rsid w:val="002547EE"/>
    <w:rsid w:val="00255DB6"/>
    <w:rsid w:val="00255F5F"/>
    <w:rsid w:val="002563EE"/>
    <w:rsid w:val="0025715B"/>
    <w:rsid w:val="0025758D"/>
    <w:rsid w:val="00257839"/>
    <w:rsid w:val="00257AD5"/>
    <w:rsid w:val="00261597"/>
    <w:rsid w:val="00261D42"/>
    <w:rsid w:val="00261E8A"/>
    <w:rsid w:val="002621C0"/>
    <w:rsid w:val="0026270D"/>
    <w:rsid w:val="0026278A"/>
    <w:rsid w:val="00262F94"/>
    <w:rsid w:val="002631F1"/>
    <w:rsid w:val="002633D2"/>
    <w:rsid w:val="002633FD"/>
    <w:rsid w:val="0026395F"/>
    <w:rsid w:val="002639C4"/>
    <w:rsid w:val="00263AE1"/>
    <w:rsid w:val="00263CEC"/>
    <w:rsid w:val="00264192"/>
    <w:rsid w:val="002647B6"/>
    <w:rsid w:val="00264B4E"/>
    <w:rsid w:val="00264C49"/>
    <w:rsid w:val="00264C4C"/>
    <w:rsid w:val="002654D2"/>
    <w:rsid w:val="00265E1D"/>
    <w:rsid w:val="00266298"/>
    <w:rsid w:val="0026670A"/>
    <w:rsid w:val="00266D4F"/>
    <w:rsid w:val="00266DA4"/>
    <w:rsid w:val="00266DF2"/>
    <w:rsid w:val="00267CEC"/>
    <w:rsid w:val="00270288"/>
    <w:rsid w:val="002706D2"/>
    <w:rsid w:val="00271598"/>
    <w:rsid w:val="0027242B"/>
    <w:rsid w:val="002727F2"/>
    <w:rsid w:val="00273022"/>
    <w:rsid w:val="002738B9"/>
    <w:rsid w:val="00274B98"/>
    <w:rsid w:val="00274CEB"/>
    <w:rsid w:val="002752A9"/>
    <w:rsid w:val="00275CDD"/>
    <w:rsid w:val="00275FCB"/>
    <w:rsid w:val="0027669E"/>
    <w:rsid w:val="002767E3"/>
    <w:rsid w:val="00276D47"/>
    <w:rsid w:val="00276F08"/>
    <w:rsid w:val="0027707C"/>
    <w:rsid w:val="00277147"/>
    <w:rsid w:val="00277388"/>
    <w:rsid w:val="00277613"/>
    <w:rsid w:val="00277871"/>
    <w:rsid w:val="00277892"/>
    <w:rsid w:val="00277AAB"/>
    <w:rsid w:val="00277DD0"/>
    <w:rsid w:val="00280176"/>
    <w:rsid w:val="002802CA"/>
    <w:rsid w:val="0028071E"/>
    <w:rsid w:val="00280BC7"/>
    <w:rsid w:val="00280BCD"/>
    <w:rsid w:val="00281482"/>
    <w:rsid w:val="002818D1"/>
    <w:rsid w:val="00281935"/>
    <w:rsid w:val="00281C91"/>
    <w:rsid w:val="00281DAD"/>
    <w:rsid w:val="00282A0D"/>
    <w:rsid w:val="00282A84"/>
    <w:rsid w:val="00282B08"/>
    <w:rsid w:val="002837F0"/>
    <w:rsid w:val="00283A73"/>
    <w:rsid w:val="00283D3A"/>
    <w:rsid w:val="002845C3"/>
    <w:rsid w:val="00284A30"/>
    <w:rsid w:val="0028528B"/>
    <w:rsid w:val="00285583"/>
    <w:rsid w:val="00285A16"/>
    <w:rsid w:val="00286CF7"/>
    <w:rsid w:val="0028701A"/>
    <w:rsid w:val="00287032"/>
    <w:rsid w:val="00287D7E"/>
    <w:rsid w:val="00287F60"/>
    <w:rsid w:val="00290216"/>
    <w:rsid w:val="002911B7"/>
    <w:rsid w:val="002912C7"/>
    <w:rsid w:val="00291734"/>
    <w:rsid w:val="00291F41"/>
    <w:rsid w:val="0029207B"/>
    <w:rsid w:val="00292DFD"/>
    <w:rsid w:val="0029300F"/>
    <w:rsid w:val="00293081"/>
    <w:rsid w:val="00293142"/>
    <w:rsid w:val="002938F2"/>
    <w:rsid w:val="00293ABB"/>
    <w:rsid w:val="00294147"/>
    <w:rsid w:val="00294442"/>
    <w:rsid w:val="002946BE"/>
    <w:rsid w:val="002946FF"/>
    <w:rsid w:val="00294CBE"/>
    <w:rsid w:val="00294CCF"/>
    <w:rsid w:val="0029621F"/>
    <w:rsid w:val="00296E9B"/>
    <w:rsid w:val="00296F21"/>
    <w:rsid w:val="00297B71"/>
    <w:rsid w:val="002A0722"/>
    <w:rsid w:val="002A0D44"/>
    <w:rsid w:val="002A147F"/>
    <w:rsid w:val="002A1545"/>
    <w:rsid w:val="002A1579"/>
    <w:rsid w:val="002A1771"/>
    <w:rsid w:val="002A18E3"/>
    <w:rsid w:val="002A19BE"/>
    <w:rsid w:val="002A1B08"/>
    <w:rsid w:val="002A1ECD"/>
    <w:rsid w:val="002A202E"/>
    <w:rsid w:val="002A24C4"/>
    <w:rsid w:val="002A29E6"/>
    <w:rsid w:val="002A2F45"/>
    <w:rsid w:val="002A330A"/>
    <w:rsid w:val="002A33EE"/>
    <w:rsid w:val="002A39A7"/>
    <w:rsid w:val="002A3B24"/>
    <w:rsid w:val="002A3BC3"/>
    <w:rsid w:val="002A3BF8"/>
    <w:rsid w:val="002A3F7D"/>
    <w:rsid w:val="002A40FC"/>
    <w:rsid w:val="002A4803"/>
    <w:rsid w:val="002A4C3E"/>
    <w:rsid w:val="002A54E0"/>
    <w:rsid w:val="002A5D70"/>
    <w:rsid w:val="002A5E50"/>
    <w:rsid w:val="002A6BE5"/>
    <w:rsid w:val="002A7515"/>
    <w:rsid w:val="002A784E"/>
    <w:rsid w:val="002A7B5D"/>
    <w:rsid w:val="002A7DB2"/>
    <w:rsid w:val="002B01E1"/>
    <w:rsid w:val="002B048A"/>
    <w:rsid w:val="002B095F"/>
    <w:rsid w:val="002B0965"/>
    <w:rsid w:val="002B1488"/>
    <w:rsid w:val="002B1A07"/>
    <w:rsid w:val="002B1FCE"/>
    <w:rsid w:val="002B221F"/>
    <w:rsid w:val="002B22F5"/>
    <w:rsid w:val="002B23D4"/>
    <w:rsid w:val="002B285E"/>
    <w:rsid w:val="002B29EB"/>
    <w:rsid w:val="002B2AE4"/>
    <w:rsid w:val="002B309C"/>
    <w:rsid w:val="002B351B"/>
    <w:rsid w:val="002B36B0"/>
    <w:rsid w:val="002B38ED"/>
    <w:rsid w:val="002B41C8"/>
    <w:rsid w:val="002B466D"/>
    <w:rsid w:val="002B4965"/>
    <w:rsid w:val="002B4A18"/>
    <w:rsid w:val="002B4C49"/>
    <w:rsid w:val="002B53F1"/>
    <w:rsid w:val="002B5512"/>
    <w:rsid w:val="002B5914"/>
    <w:rsid w:val="002B5B42"/>
    <w:rsid w:val="002B5D91"/>
    <w:rsid w:val="002B64B8"/>
    <w:rsid w:val="002B6625"/>
    <w:rsid w:val="002B67C8"/>
    <w:rsid w:val="002B6DAC"/>
    <w:rsid w:val="002B7404"/>
    <w:rsid w:val="002B756C"/>
    <w:rsid w:val="002B77DB"/>
    <w:rsid w:val="002B7AF5"/>
    <w:rsid w:val="002C03F2"/>
    <w:rsid w:val="002C04D8"/>
    <w:rsid w:val="002C07DE"/>
    <w:rsid w:val="002C07EA"/>
    <w:rsid w:val="002C0A83"/>
    <w:rsid w:val="002C0C02"/>
    <w:rsid w:val="002C0CF1"/>
    <w:rsid w:val="002C0EA9"/>
    <w:rsid w:val="002C10A4"/>
    <w:rsid w:val="002C1268"/>
    <w:rsid w:val="002C1CEB"/>
    <w:rsid w:val="002C1E72"/>
    <w:rsid w:val="002C26A4"/>
    <w:rsid w:val="002C27BB"/>
    <w:rsid w:val="002C2878"/>
    <w:rsid w:val="002C2B0F"/>
    <w:rsid w:val="002C3255"/>
    <w:rsid w:val="002C34EB"/>
    <w:rsid w:val="002C38D4"/>
    <w:rsid w:val="002C3CE5"/>
    <w:rsid w:val="002C3E7D"/>
    <w:rsid w:val="002C4E16"/>
    <w:rsid w:val="002C5E84"/>
    <w:rsid w:val="002C658E"/>
    <w:rsid w:val="002C690E"/>
    <w:rsid w:val="002C7660"/>
    <w:rsid w:val="002C76BA"/>
    <w:rsid w:val="002C7ADB"/>
    <w:rsid w:val="002D008E"/>
    <w:rsid w:val="002D0981"/>
    <w:rsid w:val="002D1809"/>
    <w:rsid w:val="002D1C16"/>
    <w:rsid w:val="002D1C32"/>
    <w:rsid w:val="002D23A5"/>
    <w:rsid w:val="002D27D8"/>
    <w:rsid w:val="002D2963"/>
    <w:rsid w:val="002D2BCD"/>
    <w:rsid w:val="002D30E4"/>
    <w:rsid w:val="002D39FB"/>
    <w:rsid w:val="002D4212"/>
    <w:rsid w:val="002D448A"/>
    <w:rsid w:val="002D491F"/>
    <w:rsid w:val="002D4A34"/>
    <w:rsid w:val="002D5A8B"/>
    <w:rsid w:val="002D5D7C"/>
    <w:rsid w:val="002D5DCB"/>
    <w:rsid w:val="002D67BA"/>
    <w:rsid w:val="002D6C2A"/>
    <w:rsid w:val="002D6C53"/>
    <w:rsid w:val="002D6C5C"/>
    <w:rsid w:val="002D6D3D"/>
    <w:rsid w:val="002D6D54"/>
    <w:rsid w:val="002D71DC"/>
    <w:rsid w:val="002D7383"/>
    <w:rsid w:val="002D7B0B"/>
    <w:rsid w:val="002D7C8B"/>
    <w:rsid w:val="002E0209"/>
    <w:rsid w:val="002E02F9"/>
    <w:rsid w:val="002E0563"/>
    <w:rsid w:val="002E13CD"/>
    <w:rsid w:val="002E1A97"/>
    <w:rsid w:val="002E1C3F"/>
    <w:rsid w:val="002E2239"/>
    <w:rsid w:val="002E33DD"/>
    <w:rsid w:val="002E3693"/>
    <w:rsid w:val="002E37B3"/>
    <w:rsid w:val="002E3B5C"/>
    <w:rsid w:val="002E44EF"/>
    <w:rsid w:val="002E4871"/>
    <w:rsid w:val="002E49F5"/>
    <w:rsid w:val="002E51EE"/>
    <w:rsid w:val="002E52FD"/>
    <w:rsid w:val="002E5C41"/>
    <w:rsid w:val="002E5F86"/>
    <w:rsid w:val="002E6222"/>
    <w:rsid w:val="002E64E4"/>
    <w:rsid w:val="002E6EC3"/>
    <w:rsid w:val="002E7B24"/>
    <w:rsid w:val="002F0062"/>
    <w:rsid w:val="002F018E"/>
    <w:rsid w:val="002F0255"/>
    <w:rsid w:val="002F066A"/>
    <w:rsid w:val="002F0717"/>
    <w:rsid w:val="002F164D"/>
    <w:rsid w:val="002F20F8"/>
    <w:rsid w:val="002F26BF"/>
    <w:rsid w:val="002F2805"/>
    <w:rsid w:val="002F2A6B"/>
    <w:rsid w:val="002F2DBD"/>
    <w:rsid w:val="002F30CF"/>
    <w:rsid w:val="002F36F8"/>
    <w:rsid w:val="002F395C"/>
    <w:rsid w:val="002F3CE4"/>
    <w:rsid w:val="002F443E"/>
    <w:rsid w:val="002F4666"/>
    <w:rsid w:val="002F5595"/>
    <w:rsid w:val="002F5892"/>
    <w:rsid w:val="002F59B4"/>
    <w:rsid w:val="002F5F57"/>
    <w:rsid w:val="002F6258"/>
    <w:rsid w:val="002F6653"/>
    <w:rsid w:val="002F69F6"/>
    <w:rsid w:val="002F6B37"/>
    <w:rsid w:val="002F7176"/>
    <w:rsid w:val="002F7177"/>
    <w:rsid w:val="002F784F"/>
    <w:rsid w:val="002F7A5C"/>
    <w:rsid w:val="0030196A"/>
    <w:rsid w:val="00301D01"/>
    <w:rsid w:val="00302225"/>
    <w:rsid w:val="003025C3"/>
    <w:rsid w:val="003025D2"/>
    <w:rsid w:val="00303560"/>
    <w:rsid w:val="00303BC2"/>
    <w:rsid w:val="00303EB7"/>
    <w:rsid w:val="00304834"/>
    <w:rsid w:val="00305031"/>
    <w:rsid w:val="00305103"/>
    <w:rsid w:val="00305318"/>
    <w:rsid w:val="0030570D"/>
    <w:rsid w:val="00305CD5"/>
    <w:rsid w:val="00306349"/>
    <w:rsid w:val="0030642F"/>
    <w:rsid w:val="00306847"/>
    <w:rsid w:val="00306F00"/>
    <w:rsid w:val="003074E8"/>
    <w:rsid w:val="00307B54"/>
    <w:rsid w:val="0031029C"/>
    <w:rsid w:val="0031032F"/>
    <w:rsid w:val="00310F1F"/>
    <w:rsid w:val="00311224"/>
    <w:rsid w:val="00311334"/>
    <w:rsid w:val="00311A6F"/>
    <w:rsid w:val="00311B38"/>
    <w:rsid w:val="00312746"/>
    <w:rsid w:val="00312CFF"/>
    <w:rsid w:val="00312FB2"/>
    <w:rsid w:val="00313629"/>
    <w:rsid w:val="003138C2"/>
    <w:rsid w:val="00313ADD"/>
    <w:rsid w:val="00313B87"/>
    <w:rsid w:val="00314064"/>
    <w:rsid w:val="00314275"/>
    <w:rsid w:val="00314281"/>
    <w:rsid w:val="00314545"/>
    <w:rsid w:val="00314D40"/>
    <w:rsid w:val="003150EC"/>
    <w:rsid w:val="0031532E"/>
    <w:rsid w:val="00315DF0"/>
    <w:rsid w:val="00316280"/>
    <w:rsid w:val="00316D8A"/>
    <w:rsid w:val="00316E2F"/>
    <w:rsid w:val="0031788A"/>
    <w:rsid w:val="00317D27"/>
    <w:rsid w:val="00320736"/>
    <w:rsid w:val="003208A0"/>
    <w:rsid w:val="00320E04"/>
    <w:rsid w:val="003215D9"/>
    <w:rsid w:val="00321794"/>
    <w:rsid w:val="003223E4"/>
    <w:rsid w:val="003226D0"/>
    <w:rsid w:val="00322776"/>
    <w:rsid w:val="003234BD"/>
    <w:rsid w:val="00323538"/>
    <w:rsid w:val="0032396B"/>
    <w:rsid w:val="00323997"/>
    <w:rsid w:val="00323B25"/>
    <w:rsid w:val="0032423D"/>
    <w:rsid w:val="003244EE"/>
    <w:rsid w:val="00324B18"/>
    <w:rsid w:val="0032554D"/>
    <w:rsid w:val="00326010"/>
    <w:rsid w:val="003261AC"/>
    <w:rsid w:val="0032663F"/>
    <w:rsid w:val="0032698C"/>
    <w:rsid w:val="00326F32"/>
    <w:rsid w:val="003277D6"/>
    <w:rsid w:val="00330889"/>
    <w:rsid w:val="00330D43"/>
    <w:rsid w:val="00330F5B"/>
    <w:rsid w:val="00331048"/>
    <w:rsid w:val="003326D4"/>
    <w:rsid w:val="003329A7"/>
    <w:rsid w:val="00332BAD"/>
    <w:rsid w:val="00332DED"/>
    <w:rsid w:val="00332E74"/>
    <w:rsid w:val="00333022"/>
    <w:rsid w:val="0033342E"/>
    <w:rsid w:val="00333621"/>
    <w:rsid w:val="00333887"/>
    <w:rsid w:val="00333FF3"/>
    <w:rsid w:val="00334611"/>
    <w:rsid w:val="00334630"/>
    <w:rsid w:val="00334F6A"/>
    <w:rsid w:val="0033509D"/>
    <w:rsid w:val="0033536E"/>
    <w:rsid w:val="00335754"/>
    <w:rsid w:val="00335890"/>
    <w:rsid w:val="00336043"/>
    <w:rsid w:val="0033647F"/>
    <w:rsid w:val="003365A2"/>
    <w:rsid w:val="00336CCE"/>
    <w:rsid w:val="003401FB"/>
    <w:rsid w:val="0034044A"/>
    <w:rsid w:val="003411C7"/>
    <w:rsid w:val="0034143B"/>
    <w:rsid w:val="00341A3B"/>
    <w:rsid w:val="00341F53"/>
    <w:rsid w:val="00341F85"/>
    <w:rsid w:val="003429BA"/>
    <w:rsid w:val="00342AC8"/>
    <w:rsid w:val="003437ED"/>
    <w:rsid w:val="00343B01"/>
    <w:rsid w:val="0034429A"/>
    <w:rsid w:val="00344703"/>
    <w:rsid w:val="00344DF9"/>
    <w:rsid w:val="00344E2B"/>
    <w:rsid w:val="00345380"/>
    <w:rsid w:val="00345613"/>
    <w:rsid w:val="0034580E"/>
    <w:rsid w:val="00345A4E"/>
    <w:rsid w:val="00345EAF"/>
    <w:rsid w:val="00345EB1"/>
    <w:rsid w:val="003463A7"/>
    <w:rsid w:val="00346AD9"/>
    <w:rsid w:val="00346D57"/>
    <w:rsid w:val="00346DE2"/>
    <w:rsid w:val="0034706D"/>
    <w:rsid w:val="00350104"/>
    <w:rsid w:val="0035092E"/>
    <w:rsid w:val="00351175"/>
    <w:rsid w:val="0035130F"/>
    <w:rsid w:val="00351412"/>
    <w:rsid w:val="00351B2C"/>
    <w:rsid w:val="00351C84"/>
    <w:rsid w:val="00351CF1"/>
    <w:rsid w:val="00352470"/>
    <w:rsid w:val="0035264A"/>
    <w:rsid w:val="00352AFC"/>
    <w:rsid w:val="00352D49"/>
    <w:rsid w:val="003531AA"/>
    <w:rsid w:val="0035382F"/>
    <w:rsid w:val="00354859"/>
    <w:rsid w:val="00354D3E"/>
    <w:rsid w:val="003550E1"/>
    <w:rsid w:val="0035576C"/>
    <w:rsid w:val="00355842"/>
    <w:rsid w:val="00355CD3"/>
    <w:rsid w:val="00355EAD"/>
    <w:rsid w:val="00355FFC"/>
    <w:rsid w:val="00356640"/>
    <w:rsid w:val="0035697E"/>
    <w:rsid w:val="00356D20"/>
    <w:rsid w:val="00356DDE"/>
    <w:rsid w:val="003577E0"/>
    <w:rsid w:val="00357E0E"/>
    <w:rsid w:val="00357F2E"/>
    <w:rsid w:val="003600FB"/>
    <w:rsid w:val="00360F77"/>
    <w:rsid w:val="003611C7"/>
    <w:rsid w:val="003614B9"/>
    <w:rsid w:val="00361BB6"/>
    <w:rsid w:val="00361C28"/>
    <w:rsid w:val="00363285"/>
    <w:rsid w:val="003637EC"/>
    <w:rsid w:val="00364403"/>
    <w:rsid w:val="00365101"/>
    <w:rsid w:val="0036554A"/>
    <w:rsid w:val="00366363"/>
    <w:rsid w:val="0036730C"/>
    <w:rsid w:val="0036771F"/>
    <w:rsid w:val="00367A67"/>
    <w:rsid w:val="00367C1A"/>
    <w:rsid w:val="00367DC0"/>
    <w:rsid w:val="00370A2B"/>
    <w:rsid w:val="00370A3A"/>
    <w:rsid w:val="00370E47"/>
    <w:rsid w:val="003714BF"/>
    <w:rsid w:val="003717C4"/>
    <w:rsid w:val="00371837"/>
    <w:rsid w:val="00371895"/>
    <w:rsid w:val="00371FAC"/>
    <w:rsid w:val="0037244C"/>
    <w:rsid w:val="003724BB"/>
    <w:rsid w:val="0037262F"/>
    <w:rsid w:val="00372E4C"/>
    <w:rsid w:val="00373142"/>
    <w:rsid w:val="0037316D"/>
    <w:rsid w:val="00373440"/>
    <w:rsid w:val="00373ADE"/>
    <w:rsid w:val="003746CA"/>
    <w:rsid w:val="0037486F"/>
    <w:rsid w:val="00374F5A"/>
    <w:rsid w:val="0037588E"/>
    <w:rsid w:val="00375BE8"/>
    <w:rsid w:val="00375CC0"/>
    <w:rsid w:val="0037714C"/>
    <w:rsid w:val="0037794A"/>
    <w:rsid w:val="00380896"/>
    <w:rsid w:val="00380A48"/>
    <w:rsid w:val="00381335"/>
    <w:rsid w:val="00381CDD"/>
    <w:rsid w:val="00381E58"/>
    <w:rsid w:val="00382595"/>
    <w:rsid w:val="0038266B"/>
    <w:rsid w:val="00382C55"/>
    <w:rsid w:val="00383E7B"/>
    <w:rsid w:val="0038402C"/>
    <w:rsid w:val="00384102"/>
    <w:rsid w:val="003844CA"/>
    <w:rsid w:val="00384F6F"/>
    <w:rsid w:val="0038537E"/>
    <w:rsid w:val="00385F04"/>
    <w:rsid w:val="003863E4"/>
    <w:rsid w:val="003867BB"/>
    <w:rsid w:val="00386D43"/>
    <w:rsid w:val="00387428"/>
    <w:rsid w:val="00387E40"/>
    <w:rsid w:val="00390411"/>
    <w:rsid w:val="003905D2"/>
    <w:rsid w:val="00390A76"/>
    <w:rsid w:val="00391F8E"/>
    <w:rsid w:val="00392657"/>
    <w:rsid w:val="00392835"/>
    <w:rsid w:val="003929B8"/>
    <w:rsid w:val="00392A0E"/>
    <w:rsid w:val="00392CED"/>
    <w:rsid w:val="0039330A"/>
    <w:rsid w:val="00393C1A"/>
    <w:rsid w:val="00395608"/>
    <w:rsid w:val="0039617D"/>
    <w:rsid w:val="0039651E"/>
    <w:rsid w:val="00396794"/>
    <w:rsid w:val="003968AA"/>
    <w:rsid w:val="0039765B"/>
    <w:rsid w:val="0039781E"/>
    <w:rsid w:val="003978FB"/>
    <w:rsid w:val="00397939"/>
    <w:rsid w:val="00397DA6"/>
    <w:rsid w:val="003A0766"/>
    <w:rsid w:val="003A1863"/>
    <w:rsid w:val="003A186B"/>
    <w:rsid w:val="003A1980"/>
    <w:rsid w:val="003A2765"/>
    <w:rsid w:val="003A2954"/>
    <w:rsid w:val="003A2CFF"/>
    <w:rsid w:val="003A2D03"/>
    <w:rsid w:val="003A2EB5"/>
    <w:rsid w:val="003A316C"/>
    <w:rsid w:val="003A3F12"/>
    <w:rsid w:val="003A431B"/>
    <w:rsid w:val="003A4388"/>
    <w:rsid w:val="003A46B9"/>
    <w:rsid w:val="003A4700"/>
    <w:rsid w:val="003A5A1A"/>
    <w:rsid w:val="003A5D58"/>
    <w:rsid w:val="003A61E2"/>
    <w:rsid w:val="003A64D0"/>
    <w:rsid w:val="003A6789"/>
    <w:rsid w:val="003A6E7F"/>
    <w:rsid w:val="003A6EA0"/>
    <w:rsid w:val="003A7F6F"/>
    <w:rsid w:val="003B0F8B"/>
    <w:rsid w:val="003B195F"/>
    <w:rsid w:val="003B228F"/>
    <w:rsid w:val="003B2341"/>
    <w:rsid w:val="003B277A"/>
    <w:rsid w:val="003B2B13"/>
    <w:rsid w:val="003B2C2F"/>
    <w:rsid w:val="003B3233"/>
    <w:rsid w:val="003B3869"/>
    <w:rsid w:val="003B3F04"/>
    <w:rsid w:val="003B4550"/>
    <w:rsid w:val="003B4CA4"/>
    <w:rsid w:val="003B53D9"/>
    <w:rsid w:val="003B540C"/>
    <w:rsid w:val="003B5482"/>
    <w:rsid w:val="003B5CD3"/>
    <w:rsid w:val="003B5FB1"/>
    <w:rsid w:val="003B6110"/>
    <w:rsid w:val="003B67E2"/>
    <w:rsid w:val="003B6DFD"/>
    <w:rsid w:val="003B7AED"/>
    <w:rsid w:val="003B7E5D"/>
    <w:rsid w:val="003C0347"/>
    <w:rsid w:val="003C0A3B"/>
    <w:rsid w:val="003C2364"/>
    <w:rsid w:val="003C28F3"/>
    <w:rsid w:val="003C2E78"/>
    <w:rsid w:val="003C328B"/>
    <w:rsid w:val="003C33AF"/>
    <w:rsid w:val="003C346F"/>
    <w:rsid w:val="003C3478"/>
    <w:rsid w:val="003C3565"/>
    <w:rsid w:val="003C3611"/>
    <w:rsid w:val="003C36AB"/>
    <w:rsid w:val="003C3C51"/>
    <w:rsid w:val="003C407C"/>
    <w:rsid w:val="003C44DF"/>
    <w:rsid w:val="003C4A0C"/>
    <w:rsid w:val="003C5A4C"/>
    <w:rsid w:val="003C6DB5"/>
    <w:rsid w:val="003C79E0"/>
    <w:rsid w:val="003D0884"/>
    <w:rsid w:val="003D0C34"/>
    <w:rsid w:val="003D1DEA"/>
    <w:rsid w:val="003D2084"/>
    <w:rsid w:val="003D22B9"/>
    <w:rsid w:val="003D23F1"/>
    <w:rsid w:val="003D23F8"/>
    <w:rsid w:val="003D2E5D"/>
    <w:rsid w:val="003D3045"/>
    <w:rsid w:val="003D3137"/>
    <w:rsid w:val="003D3A70"/>
    <w:rsid w:val="003D3AF5"/>
    <w:rsid w:val="003D3CA4"/>
    <w:rsid w:val="003D4458"/>
    <w:rsid w:val="003D4981"/>
    <w:rsid w:val="003D4D1A"/>
    <w:rsid w:val="003D5217"/>
    <w:rsid w:val="003D53A1"/>
    <w:rsid w:val="003D54B2"/>
    <w:rsid w:val="003D564C"/>
    <w:rsid w:val="003D56D0"/>
    <w:rsid w:val="003D5C0F"/>
    <w:rsid w:val="003D5F3A"/>
    <w:rsid w:val="003D5F55"/>
    <w:rsid w:val="003D63E7"/>
    <w:rsid w:val="003D64AB"/>
    <w:rsid w:val="003D67CC"/>
    <w:rsid w:val="003D6F7F"/>
    <w:rsid w:val="003D7435"/>
    <w:rsid w:val="003D7B23"/>
    <w:rsid w:val="003D7B34"/>
    <w:rsid w:val="003E0FCD"/>
    <w:rsid w:val="003E1064"/>
    <w:rsid w:val="003E106D"/>
    <w:rsid w:val="003E10AC"/>
    <w:rsid w:val="003E1E5A"/>
    <w:rsid w:val="003E2028"/>
    <w:rsid w:val="003E23E5"/>
    <w:rsid w:val="003E2627"/>
    <w:rsid w:val="003E3403"/>
    <w:rsid w:val="003E3F3E"/>
    <w:rsid w:val="003E4041"/>
    <w:rsid w:val="003E42A3"/>
    <w:rsid w:val="003E4B5B"/>
    <w:rsid w:val="003E4CB2"/>
    <w:rsid w:val="003E515C"/>
    <w:rsid w:val="003E558C"/>
    <w:rsid w:val="003E5A15"/>
    <w:rsid w:val="003E606A"/>
    <w:rsid w:val="003E61DD"/>
    <w:rsid w:val="003E6893"/>
    <w:rsid w:val="003E7726"/>
    <w:rsid w:val="003E77B3"/>
    <w:rsid w:val="003E7B12"/>
    <w:rsid w:val="003F00C6"/>
    <w:rsid w:val="003F08FB"/>
    <w:rsid w:val="003F0970"/>
    <w:rsid w:val="003F0D72"/>
    <w:rsid w:val="003F15FE"/>
    <w:rsid w:val="003F2471"/>
    <w:rsid w:val="003F26A9"/>
    <w:rsid w:val="003F2812"/>
    <w:rsid w:val="003F2AD7"/>
    <w:rsid w:val="003F2E71"/>
    <w:rsid w:val="003F329F"/>
    <w:rsid w:val="003F3A4F"/>
    <w:rsid w:val="003F3F3E"/>
    <w:rsid w:val="003F454E"/>
    <w:rsid w:val="003F5B99"/>
    <w:rsid w:val="003F5D5D"/>
    <w:rsid w:val="003F611F"/>
    <w:rsid w:val="003F642D"/>
    <w:rsid w:val="003F667E"/>
    <w:rsid w:val="003F691D"/>
    <w:rsid w:val="003F6E1C"/>
    <w:rsid w:val="003F6F91"/>
    <w:rsid w:val="003F7215"/>
    <w:rsid w:val="003F73EF"/>
    <w:rsid w:val="003F7989"/>
    <w:rsid w:val="003F7DFA"/>
    <w:rsid w:val="004005C1"/>
    <w:rsid w:val="004006BF"/>
    <w:rsid w:val="00400837"/>
    <w:rsid w:val="00400AED"/>
    <w:rsid w:val="00400C67"/>
    <w:rsid w:val="00401119"/>
    <w:rsid w:val="00401D7F"/>
    <w:rsid w:val="00401F19"/>
    <w:rsid w:val="004027A8"/>
    <w:rsid w:val="00402AAF"/>
    <w:rsid w:val="00403918"/>
    <w:rsid w:val="00405724"/>
    <w:rsid w:val="00405F40"/>
    <w:rsid w:val="004062E2"/>
    <w:rsid w:val="00406838"/>
    <w:rsid w:val="00406A4C"/>
    <w:rsid w:val="00406C7E"/>
    <w:rsid w:val="00407219"/>
    <w:rsid w:val="004075BF"/>
    <w:rsid w:val="00407700"/>
    <w:rsid w:val="00407B18"/>
    <w:rsid w:val="004104B0"/>
    <w:rsid w:val="00411672"/>
    <w:rsid w:val="0041183E"/>
    <w:rsid w:val="00411F78"/>
    <w:rsid w:val="00411FC6"/>
    <w:rsid w:val="004120C3"/>
    <w:rsid w:val="00412AE6"/>
    <w:rsid w:val="0041315A"/>
    <w:rsid w:val="00413293"/>
    <w:rsid w:val="004144DD"/>
    <w:rsid w:val="004146EB"/>
    <w:rsid w:val="00414904"/>
    <w:rsid w:val="004151D9"/>
    <w:rsid w:val="00416346"/>
    <w:rsid w:val="00416642"/>
    <w:rsid w:val="00416A3F"/>
    <w:rsid w:val="00417532"/>
    <w:rsid w:val="00417D6E"/>
    <w:rsid w:val="00417FDD"/>
    <w:rsid w:val="0042098E"/>
    <w:rsid w:val="00420F17"/>
    <w:rsid w:val="0042165A"/>
    <w:rsid w:val="00421A72"/>
    <w:rsid w:val="00422114"/>
    <w:rsid w:val="00422AE9"/>
    <w:rsid w:val="00423EFD"/>
    <w:rsid w:val="004240AA"/>
    <w:rsid w:val="0042453E"/>
    <w:rsid w:val="00424875"/>
    <w:rsid w:val="00424984"/>
    <w:rsid w:val="00424BE4"/>
    <w:rsid w:val="00424E06"/>
    <w:rsid w:val="0042518E"/>
    <w:rsid w:val="004253F3"/>
    <w:rsid w:val="00426455"/>
    <w:rsid w:val="00426630"/>
    <w:rsid w:val="004266B3"/>
    <w:rsid w:val="004268ED"/>
    <w:rsid w:val="00427462"/>
    <w:rsid w:val="0042797B"/>
    <w:rsid w:val="00427A9E"/>
    <w:rsid w:val="00427F9B"/>
    <w:rsid w:val="004301BC"/>
    <w:rsid w:val="0043042B"/>
    <w:rsid w:val="004304CE"/>
    <w:rsid w:val="004305ED"/>
    <w:rsid w:val="00430F3A"/>
    <w:rsid w:val="00431785"/>
    <w:rsid w:val="00431899"/>
    <w:rsid w:val="00431939"/>
    <w:rsid w:val="00431D20"/>
    <w:rsid w:val="00432D59"/>
    <w:rsid w:val="004333AF"/>
    <w:rsid w:val="004333B4"/>
    <w:rsid w:val="00433591"/>
    <w:rsid w:val="00433D1E"/>
    <w:rsid w:val="004340AB"/>
    <w:rsid w:val="004341D9"/>
    <w:rsid w:val="0043420A"/>
    <w:rsid w:val="00434ECA"/>
    <w:rsid w:val="00435288"/>
    <w:rsid w:val="004354F0"/>
    <w:rsid w:val="00435B83"/>
    <w:rsid w:val="00436BD4"/>
    <w:rsid w:val="00436FA3"/>
    <w:rsid w:val="004373C0"/>
    <w:rsid w:val="00437D54"/>
    <w:rsid w:val="00437D7F"/>
    <w:rsid w:val="00440081"/>
    <w:rsid w:val="004406AF"/>
    <w:rsid w:val="004406D3"/>
    <w:rsid w:val="00440731"/>
    <w:rsid w:val="00441288"/>
    <w:rsid w:val="004418AF"/>
    <w:rsid w:val="00441D07"/>
    <w:rsid w:val="00442018"/>
    <w:rsid w:val="00442126"/>
    <w:rsid w:val="004423DD"/>
    <w:rsid w:val="004426DB"/>
    <w:rsid w:val="00442BF6"/>
    <w:rsid w:val="00442F95"/>
    <w:rsid w:val="00443227"/>
    <w:rsid w:val="004446B8"/>
    <w:rsid w:val="004454A7"/>
    <w:rsid w:val="004456EC"/>
    <w:rsid w:val="00445921"/>
    <w:rsid w:val="00445C5B"/>
    <w:rsid w:val="0044657A"/>
    <w:rsid w:val="00446A3C"/>
    <w:rsid w:val="00447255"/>
    <w:rsid w:val="00447272"/>
    <w:rsid w:val="00447964"/>
    <w:rsid w:val="004502ED"/>
    <w:rsid w:val="00450A16"/>
    <w:rsid w:val="00450AE6"/>
    <w:rsid w:val="00450DD4"/>
    <w:rsid w:val="004510DA"/>
    <w:rsid w:val="004511DA"/>
    <w:rsid w:val="00451239"/>
    <w:rsid w:val="00451272"/>
    <w:rsid w:val="00451532"/>
    <w:rsid w:val="004519C2"/>
    <w:rsid w:val="00451D2E"/>
    <w:rsid w:val="00452102"/>
    <w:rsid w:val="004523C1"/>
    <w:rsid w:val="00452C5C"/>
    <w:rsid w:val="004531B4"/>
    <w:rsid w:val="004536E0"/>
    <w:rsid w:val="0045374A"/>
    <w:rsid w:val="00453D9E"/>
    <w:rsid w:val="0045491A"/>
    <w:rsid w:val="00454BC8"/>
    <w:rsid w:val="0045548E"/>
    <w:rsid w:val="00455FF4"/>
    <w:rsid w:val="00456116"/>
    <w:rsid w:val="00456B7F"/>
    <w:rsid w:val="00456EE4"/>
    <w:rsid w:val="004573D2"/>
    <w:rsid w:val="0045753C"/>
    <w:rsid w:val="004575BD"/>
    <w:rsid w:val="0045767C"/>
    <w:rsid w:val="00457748"/>
    <w:rsid w:val="00457A52"/>
    <w:rsid w:val="004603C7"/>
    <w:rsid w:val="0046040F"/>
    <w:rsid w:val="0046070A"/>
    <w:rsid w:val="0046071C"/>
    <w:rsid w:val="00461253"/>
    <w:rsid w:val="0046154A"/>
    <w:rsid w:val="004617F1"/>
    <w:rsid w:val="00461B8D"/>
    <w:rsid w:val="00461D42"/>
    <w:rsid w:val="0046224C"/>
    <w:rsid w:val="004626A4"/>
    <w:rsid w:val="004633C0"/>
    <w:rsid w:val="00463485"/>
    <w:rsid w:val="0046353A"/>
    <w:rsid w:val="004637E0"/>
    <w:rsid w:val="00464277"/>
    <w:rsid w:val="00464A7F"/>
    <w:rsid w:val="00464B86"/>
    <w:rsid w:val="00464C09"/>
    <w:rsid w:val="00464EEE"/>
    <w:rsid w:val="004651F8"/>
    <w:rsid w:val="004652F7"/>
    <w:rsid w:val="004655CE"/>
    <w:rsid w:val="00465781"/>
    <w:rsid w:val="00465B54"/>
    <w:rsid w:val="00465B78"/>
    <w:rsid w:val="00466699"/>
    <w:rsid w:val="0046696D"/>
    <w:rsid w:val="00466F5A"/>
    <w:rsid w:val="00466F8D"/>
    <w:rsid w:val="0046745C"/>
    <w:rsid w:val="00467470"/>
    <w:rsid w:val="00467A1D"/>
    <w:rsid w:val="00467E28"/>
    <w:rsid w:val="004701AD"/>
    <w:rsid w:val="00470AAD"/>
    <w:rsid w:val="00471DF1"/>
    <w:rsid w:val="00471F0C"/>
    <w:rsid w:val="004726C0"/>
    <w:rsid w:val="00472FDA"/>
    <w:rsid w:val="00473296"/>
    <w:rsid w:val="00473458"/>
    <w:rsid w:val="004736B2"/>
    <w:rsid w:val="00473857"/>
    <w:rsid w:val="00473D1B"/>
    <w:rsid w:val="00474326"/>
    <w:rsid w:val="004749B7"/>
    <w:rsid w:val="00474E77"/>
    <w:rsid w:val="004751FA"/>
    <w:rsid w:val="00475554"/>
    <w:rsid w:val="00475927"/>
    <w:rsid w:val="0047664F"/>
    <w:rsid w:val="00476694"/>
    <w:rsid w:val="00477079"/>
    <w:rsid w:val="0047779E"/>
    <w:rsid w:val="00477B73"/>
    <w:rsid w:val="00477D12"/>
    <w:rsid w:val="00477EDA"/>
    <w:rsid w:val="004804BD"/>
    <w:rsid w:val="00480843"/>
    <w:rsid w:val="00480930"/>
    <w:rsid w:val="00481246"/>
    <w:rsid w:val="004814B7"/>
    <w:rsid w:val="00481521"/>
    <w:rsid w:val="004818BD"/>
    <w:rsid w:val="00481D0B"/>
    <w:rsid w:val="00482BC5"/>
    <w:rsid w:val="00482F86"/>
    <w:rsid w:val="0048364F"/>
    <w:rsid w:val="00483765"/>
    <w:rsid w:val="0048472B"/>
    <w:rsid w:val="00484D30"/>
    <w:rsid w:val="00485165"/>
    <w:rsid w:val="00485330"/>
    <w:rsid w:val="0048577C"/>
    <w:rsid w:val="00485A8B"/>
    <w:rsid w:val="00486805"/>
    <w:rsid w:val="004905FA"/>
    <w:rsid w:val="004909FF"/>
    <w:rsid w:val="0049135B"/>
    <w:rsid w:val="00491716"/>
    <w:rsid w:val="00491DAD"/>
    <w:rsid w:val="00491FA9"/>
    <w:rsid w:val="00492702"/>
    <w:rsid w:val="004928D0"/>
    <w:rsid w:val="00492A2E"/>
    <w:rsid w:val="00492D25"/>
    <w:rsid w:val="00492FDF"/>
    <w:rsid w:val="00493591"/>
    <w:rsid w:val="00493B73"/>
    <w:rsid w:val="00493FC2"/>
    <w:rsid w:val="00494A57"/>
    <w:rsid w:val="00494BD6"/>
    <w:rsid w:val="0049550B"/>
    <w:rsid w:val="00495777"/>
    <w:rsid w:val="00495AF0"/>
    <w:rsid w:val="00495C41"/>
    <w:rsid w:val="00496397"/>
    <w:rsid w:val="00496723"/>
    <w:rsid w:val="00496759"/>
    <w:rsid w:val="00496B91"/>
    <w:rsid w:val="004A008B"/>
    <w:rsid w:val="004A1130"/>
    <w:rsid w:val="004A171E"/>
    <w:rsid w:val="004A1DF8"/>
    <w:rsid w:val="004A2BA0"/>
    <w:rsid w:val="004A2F6C"/>
    <w:rsid w:val="004A3B6B"/>
    <w:rsid w:val="004A464C"/>
    <w:rsid w:val="004A4694"/>
    <w:rsid w:val="004A524C"/>
    <w:rsid w:val="004A5337"/>
    <w:rsid w:val="004A539F"/>
    <w:rsid w:val="004A5F1A"/>
    <w:rsid w:val="004A6BAA"/>
    <w:rsid w:val="004A6CCC"/>
    <w:rsid w:val="004A6F7A"/>
    <w:rsid w:val="004A72F6"/>
    <w:rsid w:val="004B0670"/>
    <w:rsid w:val="004B068F"/>
    <w:rsid w:val="004B14BB"/>
    <w:rsid w:val="004B14C7"/>
    <w:rsid w:val="004B2394"/>
    <w:rsid w:val="004B2419"/>
    <w:rsid w:val="004B282A"/>
    <w:rsid w:val="004B2B8E"/>
    <w:rsid w:val="004B2DB6"/>
    <w:rsid w:val="004B2E86"/>
    <w:rsid w:val="004B3163"/>
    <w:rsid w:val="004B362B"/>
    <w:rsid w:val="004B385A"/>
    <w:rsid w:val="004B3A87"/>
    <w:rsid w:val="004B48F9"/>
    <w:rsid w:val="004B4A08"/>
    <w:rsid w:val="004B4CCF"/>
    <w:rsid w:val="004B5348"/>
    <w:rsid w:val="004B566B"/>
    <w:rsid w:val="004B5DB6"/>
    <w:rsid w:val="004B7160"/>
    <w:rsid w:val="004B7544"/>
    <w:rsid w:val="004B762B"/>
    <w:rsid w:val="004B7F9B"/>
    <w:rsid w:val="004C0435"/>
    <w:rsid w:val="004C0FEE"/>
    <w:rsid w:val="004C10D9"/>
    <w:rsid w:val="004C163E"/>
    <w:rsid w:val="004C19E4"/>
    <w:rsid w:val="004C1C73"/>
    <w:rsid w:val="004C1CEE"/>
    <w:rsid w:val="004C219A"/>
    <w:rsid w:val="004C245F"/>
    <w:rsid w:val="004C2CF2"/>
    <w:rsid w:val="004C41C4"/>
    <w:rsid w:val="004C44A8"/>
    <w:rsid w:val="004C565B"/>
    <w:rsid w:val="004C5C33"/>
    <w:rsid w:val="004C5EAD"/>
    <w:rsid w:val="004C6011"/>
    <w:rsid w:val="004C641F"/>
    <w:rsid w:val="004C683C"/>
    <w:rsid w:val="004C7B8A"/>
    <w:rsid w:val="004D0370"/>
    <w:rsid w:val="004D0724"/>
    <w:rsid w:val="004D07A3"/>
    <w:rsid w:val="004D07EC"/>
    <w:rsid w:val="004D19DC"/>
    <w:rsid w:val="004D1AF8"/>
    <w:rsid w:val="004D2527"/>
    <w:rsid w:val="004D2AAA"/>
    <w:rsid w:val="004D300F"/>
    <w:rsid w:val="004D34AB"/>
    <w:rsid w:val="004D4355"/>
    <w:rsid w:val="004D4459"/>
    <w:rsid w:val="004D4491"/>
    <w:rsid w:val="004D530B"/>
    <w:rsid w:val="004D549A"/>
    <w:rsid w:val="004D5616"/>
    <w:rsid w:val="004D574F"/>
    <w:rsid w:val="004D5F50"/>
    <w:rsid w:val="004D6282"/>
    <w:rsid w:val="004D63BD"/>
    <w:rsid w:val="004D6638"/>
    <w:rsid w:val="004D6973"/>
    <w:rsid w:val="004D72E6"/>
    <w:rsid w:val="004D744C"/>
    <w:rsid w:val="004D77AB"/>
    <w:rsid w:val="004D791A"/>
    <w:rsid w:val="004D7EEC"/>
    <w:rsid w:val="004E0234"/>
    <w:rsid w:val="004E04B7"/>
    <w:rsid w:val="004E0517"/>
    <w:rsid w:val="004E08C3"/>
    <w:rsid w:val="004E0903"/>
    <w:rsid w:val="004E0EF7"/>
    <w:rsid w:val="004E0F4F"/>
    <w:rsid w:val="004E1A2C"/>
    <w:rsid w:val="004E1A88"/>
    <w:rsid w:val="004E30D0"/>
    <w:rsid w:val="004E3997"/>
    <w:rsid w:val="004E3A0B"/>
    <w:rsid w:val="004E3C71"/>
    <w:rsid w:val="004E4A24"/>
    <w:rsid w:val="004E4D92"/>
    <w:rsid w:val="004E4E74"/>
    <w:rsid w:val="004E5955"/>
    <w:rsid w:val="004E5B60"/>
    <w:rsid w:val="004E5D2C"/>
    <w:rsid w:val="004E6060"/>
    <w:rsid w:val="004E6079"/>
    <w:rsid w:val="004E6260"/>
    <w:rsid w:val="004E7222"/>
    <w:rsid w:val="004E7426"/>
    <w:rsid w:val="004E7693"/>
    <w:rsid w:val="004E7AEA"/>
    <w:rsid w:val="004E7E8E"/>
    <w:rsid w:val="004E7EC0"/>
    <w:rsid w:val="004F0082"/>
    <w:rsid w:val="004F0D80"/>
    <w:rsid w:val="004F0E30"/>
    <w:rsid w:val="004F1022"/>
    <w:rsid w:val="004F1BBF"/>
    <w:rsid w:val="004F1E0B"/>
    <w:rsid w:val="004F358F"/>
    <w:rsid w:val="004F3737"/>
    <w:rsid w:val="004F39BE"/>
    <w:rsid w:val="004F3BB1"/>
    <w:rsid w:val="004F47E8"/>
    <w:rsid w:val="004F5B0D"/>
    <w:rsid w:val="004F6222"/>
    <w:rsid w:val="004F6516"/>
    <w:rsid w:val="004F6BAC"/>
    <w:rsid w:val="004F6C76"/>
    <w:rsid w:val="004F6D41"/>
    <w:rsid w:val="004F6D50"/>
    <w:rsid w:val="004F6D9C"/>
    <w:rsid w:val="004F7553"/>
    <w:rsid w:val="004F76A8"/>
    <w:rsid w:val="004F7972"/>
    <w:rsid w:val="0050064D"/>
    <w:rsid w:val="00500D6E"/>
    <w:rsid w:val="005011B0"/>
    <w:rsid w:val="005019A1"/>
    <w:rsid w:val="00502151"/>
    <w:rsid w:val="005024B7"/>
    <w:rsid w:val="00502515"/>
    <w:rsid w:val="005027FA"/>
    <w:rsid w:val="005028DF"/>
    <w:rsid w:val="00503D9D"/>
    <w:rsid w:val="005042C2"/>
    <w:rsid w:val="00504484"/>
    <w:rsid w:val="005044AB"/>
    <w:rsid w:val="00504771"/>
    <w:rsid w:val="00504C0C"/>
    <w:rsid w:val="00504E68"/>
    <w:rsid w:val="00505878"/>
    <w:rsid w:val="00505ED0"/>
    <w:rsid w:val="00505F6E"/>
    <w:rsid w:val="00506A79"/>
    <w:rsid w:val="005103BB"/>
    <w:rsid w:val="00510AB1"/>
    <w:rsid w:val="00510AD9"/>
    <w:rsid w:val="00510B35"/>
    <w:rsid w:val="00510C85"/>
    <w:rsid w:val="00510EBF"/>
    <w:rsid w:val="00511729"/>
    <w:rsid w:val="00511DF0"/>
    <w:rsid w:val="00511F79"/>
    <w:rsid w:val="00512184"/>
    <w:rsid w:val="00512402"/>
    <w:rsid w:val="0051265E"/>
    <w:rsid w:val="00512FE0"/>
    <w:rsid w:val="0051364F"/>
    <w:rsid w:val="00513967"/>
    <w:rsid w:val="0051463A"/>
    <w:rsid w:val="005152C2"/>
    <w:rsid w:val="0051532A"/>
    <w:rsid w:val="0051548F"/>
    <w:rsid w:val="00515E5D"/>
    <w:rsid w:val="005167BD"/>
    <w:rsid w:val="00516BD2"/>
    <w:rsid w:val="00516E3F"/>
    <w:rsid w:val="00516ECB"/>
    <w:rsid w:val="005175C1"/>
    <w:rsid w:val="005177E3"/>
    <w:rsid w:val="005179D8"/>
    <w:rsid w:val="00520FF2"/>
    <w:rsid w:val="005212BF"/>
    <w:rsid w:val="00521E87"/>
    <w:rsid w:val="005221C5"/>
    <w:rsid w:val="0052254C"/>
    <w:rsid w:val="005235F3"/>
    <w:rsid w:val="00523D00"/>
    <w:rsid w:val="00523E47"/>
    <w:rsid w:val="00523EF9"/>
    <w:rsid w:val="00524109"/>
    <w:rsid w:val="00524EB0"/>
    <w:rsid w:val="00524F44"/>
    <w:rsid w:val="0052533A"/>
    <w:rsid w:val="00525346"/>
    <w:rsid w:val="00525A36"/>
    <w:rsid w:val="00526997"/>
    <w:rsid w:val="00527B1B"/>
    <w:rsid w:val="00527F27"/>
    <w:rsid w:val="0053000C"/>
    <w:rsid w:val="0053047A"/>
    <w:rsid w:val="005307CA"/>
    <w:rsid w:val="005309F6"/>
    <w:rsid w:val="005311B8"/>
    <w:rsid w:val="00531425"/>
    <w:rsid w:val="00531861"/>
    <w:rsid w:val="0053188C"/>
    <w:rsid w:val="00531D7F"/>
    <w:rsid w:val="00531E3C"/>
    <w:rsid w:val="00532065"/>
    <w:rsid w:val="00532490"/>
    <w:rsid w:val="0053263C"/>
    <w:rsid w:val="00533438"/>
    <w:rsid w:val="00533BE7"/>
    <w:rsid w:val="00533D7B"/>
    <w:rsid w:val="005341A9"/>
    <w:rsid w:val="00534453"/>
    <w:rsid w:val="00534DBE"/>
    <w:rsid w:val="00534DDB"/>
    <w:rsid w:val="005352B0"/>
    <w:rsid w:val="0053583A"/>
    <w:rsid w:val="00535C4E"/>
    <w:rsid w:val="005362B0"/>
    <w:rsid w:val="00536762"/>
    <w:rsid w:val="00536E89"/>
    <w:rsid w:val="0053785A"/>
    <w:rsid w:val="00537935"/>
    <w:rsid w:val="00537D61"/>
    <w:rsid w:val="00537F5E"/>
    <w:rsid w:val="005402E2"/>
    <w:rsid w:val="0054037E"/>
    <w:rsid w:val="00541800"/>
    <w:rsid w:val="0054290B"/>
    <w:rsid w:val="005434EA"/>
    <w:rsid w:val="00544753"/>
    <w:rsid w:val="00544A7E"/>
    <w:rsid w:val="005452CB"/>
    <w:rsid w:val="00545587"/>
    <w:rsid w:val="00545921"/>
    <w:rsid w:val="00545E95"/>
    <w:rsid w:val="005462EA"/>
    <w:rsid w:val="00546706"/>
    <w:rsid w:val="00550041"/>
    <w:rsid w:val="0055040B"/>
    <w:rsid w:val="0055091E"/>
    <w:rsid w:val="00551781"/>
    <w:rsid w:val="00551884"/>
    <w:rsid w:val="00551B74"/>
    <w:rsid w:val="00551BF2"/>
    <w:rsid w:val="00551DDC"/>
    <w:rsid w:val="00551DF9"/>
    <w:rsid w:val="00552046"/>
    <w:rsid w:val="00552EC7"/>
    <w:rsid w:val="00553034"/>
    <w:rsid w:val="005533E4"/>
    <w:rsid w:val="00553D84"/>
    <w:rsid w:val="00553F4D"/>
    <w:rsid w:val="005540EF"/>
    <w:rsid w:val="005548D9"/>
    <w:rsid w:val="005553FD"/>
    <w:rsid w:val="005558D8"/>
    <w:rsid w:val="00555CB7"/>
    <w:rsid w:val="005560AF"/>
    <w:rsid w:val="00557D3A"/>
    <w:rsid w:val="00557E55"/>
    <w:rsid w:val="00557E6B"/>
    <w:rsid w:val="00560042"/>
    <w:rsid w:val="00560389"/>
    <w:rsid w:val="005610D0"/>
    <w:rsid w:val="0056172F"/>
    <w:rsid w:val="00562A1E"/>
    <w:rsid w:val="00562DDD"/>
    <w:rsid w:val="00563A33"/>
    <w:rsid w:val="00563B95"/>
    <w:rsid w:val="00563CAD"/>
    <w:rsid w:val="005641AE"/>
    <w:rsid w:val="00564374"/>
    <w:rsid w:val="005645E1"/>
    <w:rsid w:val="005651BA"/>
    <w:rsid w:val="0056578B"/>
    <w:rsid w:val="00565A5E"/>
    <w:rsid w:val="00565BE8"/>
    <w:rsid w:val="00565D99"/>
    <w:rsid w:val="005668F1"/>
    <w:rsid w:val="00566AAF"/>
    <w:rsid w:val="00566CB8"/>
    <w:rsid w:val="00566EC8"/>
    <w:rsid w:val="00567BD8"/>
    <w:rsid w:val="00570392"/>
    <w:rsid w:val="005705C4"/>
    <w:rsid w:val="00570CC0"/>
    <w:rsid w:val="00570D81"/>
    <w:rsid w:val="00570E34"/>
    <w:rsid w:val="00571006"/>
    <w:rsid w:val="005711DA"/>
    <w:rsid w:val="00571FB5"/>
    <w:rsid w:val="0057396D"/>
    <w:rsid w:val="00573BF0"/>
    <w:rsid w:val="00573D96"/>
    <w:rsid w:val="00573F20"/>
    <w:rsid w:val="0057603B"/>
    <w:rsid w:val="00576AB7"/>
    <w:rsid w:val="00576B0C"/>
    <w:rsid w:val="00576F95"/>
    <w:rsid w:val="0057723A"/>
    <w:rsid w:val="00577329"/>
    <w:rsid w:val="00577F86"/>
    <w:rsid w:val="00577FA2"/>
    <w:rsid w:val="00580609"/>
    <w:rsid w:val="0058164D"/>
    <w:rsid w:val="005816F5"/>
    <w:rsid w:val="00581798"/>
    <w:rsid w:val="00581DA9"/>
    <w:rsid w:val="00581E59"/>
    <w:rsid w:val="00581F47"/>
    <w:rsid w:val="005822A4"/>
    <w:rsid w:val="0058259E"/>
    <w:rsid w:val="0058341D"/>
    <w:rsid w:val="00583644"/>
    <w:rsid w:val="005846DB"/>
    <w:rsid w:val="00584E3F"/>
    <w:rsid w:val="00585107"/>
    <w:rsid w:val="0058536E"/>
    <w:rsid w:val="0058571F"/>
    <w:rsid w:val="00585F31"/>
    <w:rsid w:val="0058623A"/>
    <w:rsid w:val="0058640A"/>
    <w:rsid w:val="0058685D"/>
    <w:rsid w:val="005872A1"/>
    <w:rsid w:val="00587CC1"/>
    <w:rsid w:val="00587FAC"/>
    <w:rsid w:val="005901BE"/>
    <w:rsid w:val="00590379"/>
    <w:rsid w:val="0059040B"/>
    <w:rsid w:val="00590472"/>
    <w:rsid w:val="005906AC"/>
    <w:rsid w:val="00590744"/>
    <w:rsid w:val="00590CE4"/>
    <w:rsid w:val="005911B7"/>
    <w:rsid w:val="005913B7"/>
    <w:rsid w:val="00591466"/>
    <w:rsid w:val="005915B7"/>
    <w:rsid w:val="005917B9"/>
    <w:rsid w:val="005924AA"/>
    <w:rsid w:val="0059265F"/>
    <w:rsid w:val="00592CF5"/>
    <w:rsid w:val="00592DB5"/>
    <w:rsid w:val="00592E04"/>
    <w:rsid w:val="00593543"/>
    <w:rsid w:val="00593A3F"/>
    <w:rsid w:val="00594065"/>
    <w:rsid w:val="00594131"/>
    <w:rsid w:val="0059426A"/>
    <w:rsid w:val="005943E4"/>
    <w:rsid w:val="00594C1E"/>
    <w:rsid w:val="00594D75"/>
    <w:rsid w:val="00594DD1"/>
    <w:rsid w:val="00595636"/>
    <w:rsid w:val="00595BDE"/>
    <w:rsid w:val="00595EDA"/>
    <w:rsid w:val="00595F04"/>
    <w:rsid w:val="00596F2C"/>
    <w:rsid w:val="00596F94"/>
    <w:rsid w:val="0059704E"/>
    <w:rsid w:val="005974CF"/>
    <w:rsid w:val="0059763E"/>
    <w:rsid w:val="005976F4"/>
    <w:rsid w:val="00597A50"/>
    <w:rsid w:val="005A06C8"/>
    <w:rsid w:val="005A0BD7"/>
    <w:rsid w:val="005A1190"/>
    <w:rsid w:val="005A152D"/>
    <w:rsid w:val="005A1E5F"/>
    <w:rsid w:val="005A26DE"/>
    <w:rsid w:val="005A3869"/>
    <w:rsid w:val="005A41A9"/>
    <w:rsid w:val="005A45DB"/>
    <w:rsid w:val="005A4C36"/>
    <w:rsid w:val="005A4D58"/>
    <w:rsid w:val="005A4FFF"/>
    <w:rsid w:val="005A508E"/>
    <w:rsid w:val="005A5428"/>
    <w:rsid w:val="005A5680"/>
    <w:rsid w:val="005A5697"/>
    <w:rsid w:val="005A58B6"/>
    <w:rsid w:val="005A5F5E"/>
    <w:rsid w:val="005A5FFA"/>
    <w:rsid w:val="005A7D8A"/>
    <w:rsid w:val="005B005D"/>
    <w:rsid w:val="005B02AC"/>
    <w:rsid w:val="005B04C3"/>
    <w:rsid w:val="005B055E"/>
    <w:rsid w:val="005B09EF"/>
    <w:rsid w:val="005B0D59"/>
    <w:rsid w:val="005B1551"/>
    <w:rsid w:val="005B1D59"/>
    <w:rsid w:val="005B2BC0"/>
    <w:rsid w:val="005B3527"/>
    <w:rsid w:val="005B3D70"/>
    <w:rsid w:val="005B4228"/>
    <w:rsid w:val="005B43C1"/>
    <w:rsid w:val="005B43CE"/>
    <w:rsid w:val="005B499B"/>
    <w:rsid w:val="005B51E0"/>
    <w:rsid w:val="005B55EA"/>
    <w:rsid w:val="005B5AD0"/>
    <w:rsid w:val="005B5BFF"/>
    <w:rsid w:val="005B5FFF"/>
    <w:rsid w:val="005B6330"/>
    <w:rsid w:val="005B6536"/>
    <w:rsid w:val="005B68B6"/>
    <w:rsid w:val="005B6C47"/>
    <w:rsid w:val="005B6D97"/>
    <w:rsid w:val="005B6E46"/>
    <w:rsid w:val="005B6E7E"/>
    <w:rsid w:val="005C0AF7"/>
    <w:rsid w:val="005C0D1E"/>
    <w:rsid w:val="005C1501"/>
    <w:rsid w:val="005C1709"/>
    <w:rsid w:val="005C1AE7"/>
    <w:rsid w:val="005C1C90"/>
    <w:rsid w:val="005C233A"/>
    <w:rsid w:val="005C23E3"/>
    <w:rsid w:val="005C2425"/>
    <w:rsid w:val="005C24A5"/>
    <w:rsid w:val="005C2529"/>
    <w:rsid w:val="005C2EE5"/>
    <w:rsid w:val="005C33D2"/>
    <w:rsid w:val="005C38E4"/>
    <w:rsid w:val="005C3973"/>
    <w:rsid w:val="005C3BD3"/>
    <w:rsid w:val="005C41B2"/>
    <w:rsid w:val="005C421E"/>
    <w:rsid w:val="005C427B"/>
    <w:rsid w:val="005C5828"/>
    <w:rsid w:val="005C5AE2"/>
    <w:rsid w:val="005C5F81"/>
    <w:rsid w:val="005C60CE"/>
    <w:rsid w:val="005C621A"/>
    <w:rsid w:val="005C67EE"/>
    <w:rsid w:val="005C68C2"/>
    <w:rsid w:val="005C69A2"/>
    <w:rsid w:val="005C6C4F"/>
    <w:rsid w:val="005C7536"/>
    <w:rsid w:val="005C7613"/>
    <w:rsid w:val="005C785E"/>
    <w:rsid w:val="005C7965"/>
    <w:rsid w:val="005C7AD0"/>
    <w:rsid w:val="005D11D5"/>
    <w:rsid w:val="005D16F1"/>
    <w:rsid w:val="005D1A47"/>
    <w:rsid w:val="005D1BED"/>
    <w:rsid w:val="005D1C4A"/>
    <w:rsid w:val="005D1CAD"/>
    <w:rsid w:val="005D24D0"/>
    <w:rsid w:val="005D291A"/>
    <w:rsid w:val="005D2D77"/>
    <w:rsid w:val="005D3574"/>
    <w:rsid w:val="005D512C"/>
    <w:rsid w:val="005D5142"/>
    <w:rsid w:val="005D5389"/>
    <w:rsid w:val="005D59E5"/>
    <w:rsid w:val="005D5DBA"/>
    <w:rsid w:val="005D6188"/>
    <w:rsid w:val="005D6551"/>
    <w:rsid w:val="005D6FA1"/>
    <w:rsid w:val="005D7538"/>
    <w:rsid w:val="005D7607"/>
    <w:rsid w:val="005E00E7"/>
    <w:rsid w:val="005E05FA"/>
    <w:rsid w:val="005E0752"/>
    <w:rsid w:val="005E07F1"/>
    <w:rsid w:val="005E0C5C"/>
    <w:rsid w:val="005E0DB7"/>
    <w:rsid w:val="005E15C0"/>
    <w:rsid w:val="005E1B43"/>
    <w:rsid w:val="005E1B5A"/>
    <w:rsid w:val="005E2556"/>
    <w:rsid w:val="005E388C"/>
    <w:rsid w:val="005E4EEE"/>
    <w:rsid w:val="005E5450"/>
    <w:rsid w:val="005E5BE0"/>
    <w:rsid w:val="005E6756"/>
    <w:rsid w:val="005E67B4"/>
    <w:rsid w:val="005E69EB"/>
    <w:rsid w:val="005E6C5D"/>
    <w:rsid w:val="005E7EBD"/>
    <w:rsid w:val="005F017C"/>
    <w:rsid w:val="005F02AC"/>
    <w:rsid w:val="005F0476"/>
    <w:rsid w:val="005F04DD"/>
    <w:rsid w:val="005F1242"/>
    <w:rsid w:val="005F1260"/>
    <w:rsid w:val="005F1607"/>
    <w:rsid w:val="005F1914"/>
    <w:rsid w:val="005F22F1"/>
    <w:rsid w:val="005F3694"/>
    <w:rsid w:val="005F3850"/>
    <w:rsid w:val="005F3A90"/>
    <w:rsid w:val="005F3DCB"/>
    <w:rsid w:val="005F49B4"/>
    <w:rsid w:val="005F4AAD"/>
    <w:rsid w:val="005F4C89"/>
    <w:rsid w:val="005F4D17"/>
    <w:rsid w:val="005F4D28"/>
    <w:rsid w:val="005F5173"/>
    <w:rsid w:val="005F6300"/>
    <w:rsid w:val="005F645E"/>
    <w:rsid w:val="005F68F5"/>
    <w:rsid w:val="005F697D"/>
    <w:rsid w:val="005F6A59"/>
    <w:rsid w:val="005F6CD8"/>
    <w:rsid w:val="005F6D4D"/>
    <w:rsid w:val="005F7234"/>
    <w:rsid w:val="005F7C55"/>
    <w:rsid w:val="00600A22"/>
    <w:rsid w:val="00600B1A"/>
    <w:rsid w:val="006011B7"/>
    <w:rsid w:val="006014A2"/>
    <w:rsid w:val="00601831"/>
    <w:rsid w:val="00601A2C"/>
    <w:rsid w:val="00601BB4"/>
    <w:rsid w:val="00601BD6"/>
    <w:rsid w:val="00602E2E"/>
    <w:rsid w:val="00602FBD"/>
    <w:rsid w:val="00603361"/>
    <w:rsid w:val="006036F8"/>
    <w:rsid w:val="0060411D"/>
    <w:rsid w:val="00604120"/>
    <w:rsid w:val="00604314"/>
    <w:rsid w:val="00604C1C"/>
    <w:rsid w:val="00604E90"/>
    <w:rsid w:val="006052AE"/>
    <w:rsid w:val="00605EEE"/>
    <w:rsid w:val="00605F0E"/>
    <w:rsid w:val="00606097"/>
    <w:rsid w:val="0060615D"/>
    <w:rsid w:val="006066C0"/>
    <w:rsid w:val="006068C0"/>
    <w:rsid w:val="00607020"/>
    <w:rsid w:val="0060703C"/>
    <w:rsid w:val="00607182"/>
    <w:rsid w:val="006073D5"/>
    <w:rsid w:val="0060749A"/>
    <w:rsid w:val="00607F71"/>
    <w:rsid w:val="00610559"/>
    <w:rsid w:val="00610A52"/>
    <w:rsid w:val="006123D4"/>
    <w:rsid w:val="006125A7"/>
    <w:rsid w:val="00613374"/>
    <w:rsid w:val="0061358C"/>
    <w:rsid w:val="006136B1"/>
    <w:rsid w:val="00614431"/>
    <w:rsid w:val="00614542"/>
    <w:rsid w:val="00614657"/>
    <w:rsid w:val="006148B0"/>
    <w:rsid w:val="00614990"/>
    <w:rsid w:val="00614C8E"/>
    <w:rsid w:val="00614EE4"/>
    <w:rsid w:val="0061596A"/>
    <w:rsid w:val="00615D99"/>
    <w:rsid w:val="00616237"/>
    <w:rsid w:val="00616ED5"/>
    <w:rsid w:val="00616FC9"/>
    <w:rsid w:val="006172AF"/>
    <w:rsid w:val="006173E0"/>
    <w:rsid w:val="0061750E"/>
    <w:rsid w:val="0061787F"/>
    <w:rsid w:val="00617AAB"/>
    <w:rsid w:val="00620220"/>
    <w:rsid w:val="006203BD"/>
    <w:rsid w:val="006204A9"/>
    <w:rsid w:val="00620C33"/>
    <w:rsid w:val="00620D35"/>
    <w:rsid w:val="0062132D"/>
    <w:rsid w:val="0062198C"/>
    <w:rsid w:val="00621D6B"/>
    <w:rsid w:val="006221B1"/>
    <w:rsid w:val="00622674"/>
    <w:rsid w:val="006236AE"/>
    <w:rsid w:val="00623B92"/>
    <w:rsid w:val="00623DC5"/>
    <w:rsid w:val="00623F45"/>
    <w:rsid w:val="00625005"/>
    <w:rsid w:val="00625340"/>
    <w:rsid w:val="00625753"/>
    <w:rsid w:val="00625BBC"/>
    <w:rsid w:val="00626713"/>
    <w:rsid w:val="00626B57"/>
    <w:rsid w:val="00627043"/>
    <w:rsid w:val="00627685"/>
    <w:rsid w:val="00630000"/>
    <w:rsid w:val="006302A7"/>
    <w:rsid w:val="006303D4"/>
    <w:rsid w:val="00630971"/>
    <w:rsid w:val="0063098E"/>
    <w:rsid w:val="006312D3"/>
    <w:rsid w:val="006313C7"/>
    <w:rsid w:val="0063191B"/>
    <w:rsid w:val="00631BA0"/>
    <w:rsid w:val="0063204E"/>
    <w:rsid w:val="006323DC"/>
    <w:rsid w:val="00632434"/>
    <w:rsid w:val="006328B7"/>
    <w:rsid w:val="006333C4"/>
    <w:rsid w:val="006333EF"/>
    <w:rsid w:val="0063369D"/>
    <w:rsid w:val="006336B0"/>
    <w:rsid w:val="006338F6"/>
    <w:rsid w:val="00634110"/>
    <w:rsid w:val="00634741"/>
    <w:rsid w:val="00634CD8"/>
    <w:rsid w:val="00634EF8"/>
    <w:rsid w:val="00634FCE"/>
    <w:rsid w:val="00635477"/>
    <w:rsid w:val="006354A3"/>
    <w:rsid w:val="0063606A"/>
    <w:rsid w:val="006368D2"/>
    <w:rsid w:val="00636EEB"/>
    <w:rsid w:val="00637959"/>
    <w:rsid w:val="00640022"/>
    <w:rsid w:val="006400E6"/>
    <w:rsid w:val="006415ED"/>
    <w:rsid w:val="0064162B"/>
    <w:rsid w:val="00641B0C"/>
    <w:rsid w:val="00641C32"/>
    <w:rsid w:val="00642928"/>
    <w:rsid w:val="006432CB"/>
    <w:rsid w:val="0064398A"/>
    <w:rsid w:val="00643D30"/>
    <w:rsid w:val="00644407"/>
    <w:rsid w:val="00644721"/>
    <w:rsid w:val="00644F1C"/>
    <w:rsid w:val="0064572A"/>
    <w:rsid w:val="0064590A"/>
    <w:rsid w:val="00645997"/>
    <w:rsid w:val="00645C5D"/>
    <w:rsid w:val="00645CEA"/>
    <w:rsid w:val="00646132"/>
    <w:rsid w:val="00646662"/>
    <w:rsid w:val="00647DB0"/>
    <w:rsid w:val="00647F65"/>
    <w:rsid w:val="006500C6"/>
    <w:rsid w:val="00650B22"/>
    <w:rsid w:val="00650B53"/>
    <w:rsid w:val="00651081"/>
    <w:rsid w:val="0065153C"/>
    <w:rsid w:val="006519F4"/>
    <w:rsid w:val="00651F1B"/>
    <w:rsid w:val="00652840"/>
    <w:rsid w:val="006529E0"/>
    <w:rsid w:val="0065352E"/>
    <w:rsid w:val="006536C7"/>
    <w:rsid w:val="00654D99"/>
    <w:rsid w:val="00654F5E"/>
    <w:rsid w:val="00655501"/>
    <w:rsid w:val="0065566B"/>
    <w:rsid w:val="00655868"/>
    <w:rsid w:val="00656220"/>
    <w:rsid w:val="00656DFB"/>
    <w:rsid w:val="0065748B"/>
    <w:rsid w:val="00657C81"/>
    <w:rsid w:val="00657DF3"/>
    <w:rsid w:val="0066068F"/>
    <w:rsid w:val="0066090A"/>
    <w:rsid w:val="00660B47"/>
    <w:rsid w:val="0066100F"/>
    <w:rsid w:val="00661558"/>
    <w:rsid w:val="00661B6D"/>
    <w:rsid w:val="00661D5D"/>
    <w:rsid w:val="0066235A"/>
    <w:rsid w:val="00662428"/>
    <w:rsid w:val="00662740"/>
    <w:rsid w:val="00662B45"/>
    <w:rsid w:val="00662DCC"/>
    <w:rsid w:val="00662DD9"/>
    <w:rsid w:val="00663491"/>
    <w:rsid w:val="0066396D"/>
    <w:rsid w:val="00664539"/>
    <w:rsid w:val="00664FBF"/>
    <w:rsid w:val="00665703"/>
    <w:rsid w:val="00665774"/>
    <w:rsid w:val="00665E03"/>
    <w:rsid w:val="006667BC"/>
    <w:rsid w:val="006667D1"/>
    <w:rsid w:val="00666965"/>
    <w:rsid w:val="0066726F"/>
    <w:rsid w:val="00667A94"/>
    <w:rsid w:val="00667EDE"/>
    <w:rsid w:val="00670174"/>
    <w:rsid w:val="006710E4"/>
    <w:rsid w:val="006711CA"/>
    <w:rsid w:val="006713C1"/>
    <w:rsid w:val="00671529"/>
    <w:rsid w:val="00672D42"/>
    <w:rsid w:val="00673A47"/>
    <w:rsid w:val="00673A6C"/>
    <w:rsid w:val="006745BB"/>
    <w:rsid w:val="00674787"/>
    <w:rsid w:val="006749B7"/>
    <w:rsid w:val="0067516A"/>
    <w:rsid w:val="006755DF"/>
    <w:rsid w:val="00675F31"/>
    <w:rsid w:val="0067654C"/>
    <w:rsid w:val="00676836"/>
    <w:rsid w:val="00676B8D"/>
    <w:rsid w:val="00676E07"/>
    <w:rsid w:val="00677B5B"/>
    <w:rsid w:val="00677EFE"/>
    <w:rsid w:val="0068053D"/>
    <w:rsid w:val="00680CAD"/>
    <w:rsid w:val="00681B77"/>
    <w:rsid w:val="00681CF1"/>
    <w:rsid w:val="00682496"/>
    <w:rsid w:val="006825B3"/>
    <w:rsid w:val="006828F6"/>
    <w:rsid w:val="00682DE9"/>
    <w:rsid w:val="00683700"/>
    <w:rsid w:val="00683D33"/>
    <w:rsid w:val="00683D80"/>
    <w:rsid w:val="00684121"/>
    <w:rsid w:val="0068424B"/>
    <w:rsid w:val="00684A13"/>
    <w:rsid w:val="00684A5D"/>
    <w:rsid w:val="00684D41"/>
    <w:rsid w:val="00684DA2"/>
    <w:rsid w:val="00685096"/>
    <w:rsid w:val="00685FFB"/>
    <w:rsid w:val="00686179"/>
    <w:rsid w:val="006865BD"/>
    <w:rsid w:val="006867D9"/>
    <w:rsid w:val="0068682C"/>
    <w:rsid w:val="00686998"/>
    <w:rsid w:val="00686DF6"/>
    <w:rsid w:val="00686E53"/>
    <w:rsid w:val="0068702A"/>
    <w:rsid w:val="00687033"/>
    <w:rsid w:val="00687400"/>
    <w:rsid w:val="00687678"/>
    <w:rsid w:val="0069111E"/>
    <w:rsid w:val="00691C34"/>
    <w:rsid w:val="006923F6"/>
    <w:rsid w:val="0069318F"/>
    <w:rsid w:val="006932FD"/>
    <w:rsid w:val="00693908"/>
    <w:rsid w:val="00693C00"/>
    <w:rsid w:val="00694B45"/>
    <w:rsid w:val="00694BB7"/>
    <w:rsid w:val="00694C1F"/>
    <w:rsid w:val="00695280"/>
    <w:rsid w:val="00695285"/>
    <w:rsid w:val="006958FE"/>
    <w:rsid w:val="00695EE5"/>
    <w:rsid w:val="00696737"/>
    <w:rsid w:val="00696B89"/>
    <w:rsid w:val="00697416"/>
    <w:rsid w:val="00697802"/>
    <w:rsid w:val="00697CF8"/>
    <w:rsid w:val="00697DFD"/>
    <w:rsid w:val="006A028F"/>
    <w:rsid w:val="006A0466"/>
    <w:rsid w:val="006A06FC"/>
    <w:rsid w:val="006A0AE1"/>
    <w:rsid w:val="006A0BFA"/>
    <w:rsid w:val="006A16F5"/>
    <w:rsid w:val="006A1723"/>
    <w:rsid w:val="006A1B36"/>
    <w:rsid w:val="006A1FB7"/>
    <w:rsid w:val="006A1FDA"/>
    <w:rsid w:val="006A20D5"/>
    <w:rsid w:val="006A2473"/>
    <w:rsid w:val="006A2B9C"/>
    <w:rsid w:val="006A2BCF"/>
    <w:rsid w:val="006A2BE9"/>
    <w:rsid w:val="006A31AE"/>
    <w:rsid w:val="006A3333"/>
    <w:rsid w:val="006A35AF"/>
    <w:rsid w:val="006A3749"/>
    <w:rsid w:val="006A3C57"/>
    <w:rsid w:val="006A3C7E"/>
    <w:rsid w:val="006A4E58"/>
    <w:rsid w:val="006A52F2"/>
    <w:rsid w:val="006A5323"/>
    <w:rsid w:val="006A588E"/>
    <w:rsid w:val="006A5D9B"/>
    <w:rsid w:val="006A5DFD"/>
    <w:rsid w:val="006A5EED"/>
    <w:rsid w:val="006A66B2"/>
    <w:rsid w:val="006A6ACD"/>
    <w:rsid w:val="006A6D97"/>
    <w:rsid w:val="006A7522"/>
    <w:rsid w:val="006A762C"/>
    <w:rsid w:val="006A788D"/>
    <w:rsid w:val="006A7958"/>
    <w:rsid w:val="006A79F9"/>
    <w:rsid w:val="006B0862"/>
    <w:rsid w:val="006B0972"/>
    <w:rsid w:val="006B118D"/>
    <w:rsid w:val="006B123A"/>
    <w:rsid w:val="006B14FF"/>
    <w:rsid w:val="006B163A"/>
    <w:rsid w:val="006B1EE1"/>
    <w:rsid w:val="006B2621"/>
    <w:rsid w:val="006B316B"/>
    <w:rsid w:val="006B3952"/>
    <w:rsid w:val="006B4117"/>
    <w:rsid w:val="006B4160"/>
    <w:rsid w:val="006B48DB"/>
    <w:rsid w:val="006B512E"/>
    <w:rsid w:val="006B5543"/>
    <w:rsid w:val="006B622C"/>
    <w:rsid w:val="006B6C5E"/>
    <w:rsid w:val="006B7E92"/>
    <w:rsid w:val="006B7F55"/>
    <w:rsid w:val="006C09A3"/>
    <w:rsid w:val="006C0D02"/>
    <w:rsid w:val="006C0DAC"/>
    <w:rsid w:val="006C1080"/>
    <w:rsid w:val="006C1F59"/>
    <w:rsid w:val="006C205B"/>
    <w:rsid w:val="006C2C4C"/>
    <w:rsid w:val="006C2F74"/>
    <w:rsid w:val="006C39F6"/>
    <w:rsid w:val="006C3C0C"/>
    <w:rsid w:val="006C3CD1"/>
    <w:rsid w:val="006C4482"/>
    <w:rsid w:val="006C4C08"/>
    <w:rsid w:val="006C53CD"/>
    <w:rsid w:val="006C5A3A"/>
    <w:rsid w:val="006C5BC4"/>
    <w:rsid w:val="006C6152"/>
    <w:rsid w:val="006C63F1"/>
    <w:rsid w:val="006C647F"/>
    <w:rsid w:val="006C68C1"/>
    <w:rsid w:val="006C7828"/>
    <w:rsid w:val="006C7932"/>
    <w:rsid w:val="006C7C00"/>
    <w:rsid w:val="006D00A2"/>
    <w:rsid w:val="006D043B"/>
    <w:rsid w:val="006D19D9"/>
    <w:rsid w:val="006D2397"/>
    <w:rsid w:val="006D27D5"/>
    <w:rsid w:val="006D2A43"/>
    <w:rsid w:val="006D2E98"/>
    <w:rsid w:val="006D30BE"/>
    <w:rsid w:val="006D361E"/>
    <w:rsid w:val="006D3779"/>
    <w:rsid w:val="006D3BAD"/>
    <w:rsid w:val="006D49B3"/>
    <w:rsid w:val="006D4BC1"/>
    <w:rsid w:val="006D4D1E"/>
    <w:rsid w:val="006D5119"/>
    <w:rsid w:val="006D51B7"/>
    <w:rsid w:val="006D52C8"/>
    <w:rsid w:val="006D5DA3"/>
    <w:rsid w:val="006D640B"/>
    <w:rsid w:val="006D6A0E"/>
    <w:rsid w:val="006D6C0B"/>
    <w:rsid w:val="006D6E95"/>
    <w:rsid w:val="006D700B"/>
    <w:rsid w:val="006D713E"/>
    <w:rsid w:val="006D7314"/>
    <w:rsid w:val="006D74C8"/>
    <w:rsid w:val="006D7551"/>
    <w:rsid w:val="006E0815"/>
    <w:rsid w:val="006E0879"/>
    <w:rsid w:val="006E12E7"/>
    <w:rsid w:val="006E134A"/>
    <w:rsid w:val="006E1CC5"/>
    <w:rsid w:val="006E214A"/>
    <w:rsid w:val="006E263B"/>
    <w:rsid w:val="006E2C74"/>
    <w:rsid w:val="006E2E63"/>
    <w:rsid w:val="006E3065"/>
    <w:rsid w:val="006E335B"/>
    <w:rsid w:val="006E3808"/>
    <w:rsid w:val="006E3E96"/>
    <w:rsid w:val="006E4784"/>
    <w:rsid w:val="006E4A34"/>
    <w:rsid w:val="006E5424"/>
    <w:rsid w:val="006E647A"/>
    <w:rsid w:val="006E6DCF"/>
    <w:rsid w:val="006E75EE"/>
    <w:rsid w:val="006E7D09"/>
    <w:rsid w:val="006E7F0F"/>
    <w:rsid w:val="006F039C"/>
    <w:rsid w:val="006F0B47"/>
    <w:rsid w:val="006F0C19"/>
    <w:rsid w:val="006F0C8D"/>
    <w:rsid w:val="006F1051"/>
    <w:rsid w:val="006F1A7D"/>
    <w:rsid w:val="006F1DE8"/>
    <w:rsid w:val="006F1F5A"/>
    <w:rsid w:val="006F20F9"/>
    <w:rsid w:val="006F23F5"/>
    <w:rsid w:val="006F2493"/>
    <w:rsid w:val="006F289E"/>
    <w:rsid w:val="006F3689"/>
    <w:rsid w:val="006F3727"/>
    <w:rsid w:val="006F39D0"/>
    <w:rsid w:val="006F39D7"/>
    <w:rsid w:val="006F3CAE"/>
    <w:rsid w:val="006F3DE2"/>
    <w:rsid w:val="006F4488"/>
    <w:rsid w:val="006F455A"/>
    <w:rsid w:val="006F49FC"/>
    <w:rsid w:val="006F4A24"/>
    <w:rsid w:val="006F4B76"/>
    <w:rsid w:val="006F5BD0"/>
    <w:rsid w:val="006F66D4"/>
    <w:rsid w:val="006F6C59"/>
    <w:rsid w:val="006F6E6F"/>
    <w:rsid w:val="006F7492"/>
    <w:rsid w:val="006F76A2"/>
    <w:rsid w:val="006F7E65"/>
    <w:rsid w:val="00700184"/>
    <w:rsid w:val="00700264"/>
    <w:rsid w:val="007006FC"/>
    <w:rsid w:val="00700B53"/>
    <w:rsid w:val="00700BD1"/>
    <w:rsid w:val="00701295"/>
    <w:rsid w:val="00701866"/>
    <w:rsid w:val="007019F1"/>
    <w:rsid w:val="00701B0F"/>
    <w:rsid w:val="00701C9D"/>
    <w:rsid w:val="0070216C"/>
    <w:rsid w:val="0070398C"/>
    <w:rsid w:val="00703A61"/>
    <w:rsid w:val="00703AC1"/>
    <w:rsid w:val="00703CB6"/>
    <w:rsid w:val="0070403F"/>
    <w:rsid w:val="00705E0F"/>
    <w:rsid w:val="00706609"/>
    <w:rsid w:val="00707778"/>
    <w:rsid w:val="00707A90"/>
    <w:rsid w:val="0071020C"/>
    <w:rsid w:val="0071035F"/>
    <w:rsid w:val="007106E3"/>
    <w:rsid w:val="007114B8"/>
    <w:rsid w:val="0071150A"/>
    <w:rsid w:val="00711F20"/>
    <w:rsid w:val="00712476"/>
    <w:rsid w:val="007125CE"/>
    <w:rsid w:val="00712EFE"/>
    <w:rsid w:val="00713306"/>
    <w:rsid w:val="0071453A"/>
    <w:rsid w:val="00714A1A"/>
    <w:rsid w:val="00715295"/>
    <w:rsid w:val="007155F9"/>
    <w:rsid w:val="00716314"/>
    <w:rsid w:val="007164BA"/>
    <w:rsid w:val="00716748"/>
    <w:rsid w:val="0071763E"/>
    <w:rsid w:val="00717940"/>
    <w:rsid w:val="00717AE5"/>
    <w:rsid w:val="00717E56"/>
    <w:rsid w:val="00720E07"/>
    <w:rsid w:val="00720FEA"/>
    <w:rsid w:val="00721E62"/>
    <w:rsid w:val="00721EDA"/>
    <w:rsid w:val="0072218E"/>
    <w:rsid w:val="007223F5"/>
    <w:rsid w:val="00722C91"/>
    <w:rsid w:val="0072399C"/>
    <w:rsid w:val="00724222"/>
    <w:rsid w:val="0072440B"/>
    <w:rsid w:val="0072594D"/>
    <w:rsid w:val="00726438"/>
    <w:rsid w:val="007265F5"/>
    <w:rsid w:val="007268F9"/>
    <w:rsid w:val="00727B65"/>
    <w:rsid w:val="00727F78"/>
    <w:rsid w:val="007300B3"/>
    <w:rsid w:val="007301AF"/>
    <w:rsid w:val="00730574"/>
    <w:rsid w:val="007305DC"/>
    <w:rsid w:val="007310D5"/>
    <w:rsid w:val="007313E4"/>
    <w:rsid w:val="0073190D"/>
    <w:rsid w:val="00732151"/>
    <w:rsid w:val="00732524"/>
    <w:rsid w:val="007326B7"/>
    <w:rsid w:val="00732D1E"/>
    <w:rsid w:val="00733204"/>
    <w:rsid w:val="00733C4E"/>
    <w:rsid w:val="00733D31"/>
    <w:rsid w:val="00733D6C"/>
    <w:rsid w:val="00734560"/>
    <w:rsid w:val="00734D5C"/>
    <w:rsid w:val="0073534C"/>
    <w:rsid w:val="00735723"/>
    <w:rsid w:val="00736306"/>
    <w:rsid w:val="00736371"/>
    <w:rsid w:val="007364A6"/>
    <w:rsid w:val="0073703F"/>
    <w:rsid w:val="007370A8"/>
    <w:rsid w:val="0073726F"/>
    <w:rsid w:val="007375BE"/>
    <w:rsid w:val="00737C73"/>
    <w:rsid w:val="00737DDB"/>
    <w:rsid w:val="007403A0"/>
    <w:rsid w:val="007404A3"/>
    <w:rsid w:val="00740557"/>
    <w:rsid w:val="00740FC4"/>
    <w:rsid w:val="007416F6"/>
    <w:rsid w:val="00741D73"/>
    <w:rsid w:val="00742076"/>
    <w:rsid w:val="007425D3"/>
    <w:rsid w:val="00743C70"/>
    <w:rsid w:val="00743E09"/>
    <w:rsid w:val="00743F2B"/>
    <w:rsid w:val="00743FB1"/>
    <w:rsid w:val="00744765"/>
    <w:rsid w:val="00744A76"/>
    <w:rsid w:val="00744DAA"/>
    <w:rsid w:val="00745157"/>
    <w:rsid w:val="00745792"/>
    <w:rsid w:val="00745B65"/>
    <w:rsid w:val="0074609A"/>
    <w:rsid w:val="00746120"/>
    <w:rsid w:val="00746A82"/>
    <w:rsid w:val="00747490"/>
    <w:rsid w:val="0075006C"/>
    <w:rsid w:val="00750423"/>
    <w:rsid w:val="0075072A"/>
    <w:rsid w:val="007507C4"/>
    <w:rsid w:val="007507E7"/>
    <w:rsid w:val="0075087E"/>
    <w:rsid w:val="00751432"/>
    <w:rsid w:val="0075159A"/>
    <w:rsid w:val="00751749"/>
    <w:rsid w:val="007519BF"/>
    <w:rsid w:val="00752074"/>
    <w:rsid w:val="00752097"/>
    <w:rsid w:val="007522EB"/>
    <w:rsid w:val="00752648"/>
    <w:rsid w:val="0075290C"/>
    <w:rsid w:val="00752D59"/>
    <w:rsid w:val="00752F6A"/>
    <w:rsid w:val="00752FC2"/>
    <w:rsid w:val="007537E3"/>
    <w:rsid w:val="00753B4F"/>
    <w:rsid w:val="0075400C"/>
    <w:rsid w:val="00754239"/>
    <w:rsid w:val="007544B5"/>
    <w:rsid w:val="00754A4E"/>
    <w:rsid w:val="00754DA1"/>
    <w:rsid w:val="00754FEA"/>
    <w:rsid w:val="007550A2"/>
    <w:rsid w:val="00755B3F"/>
    <w:rsid w:val="00755BCD"/>
    <w:rsid w:val="00756091"/>
    <w:rsid w:val="00756097"/>
    <w:rsid w:val="00756986"/>
    <w:rsid w:val="00756C1C"/>
    <w:rsid w:val="00756C8A"/>
    <w:rsid w:val="00756EAA"/>
    <w:rsid w:val="0075710E"/>
    <w:rsid w:val="0075740B"/>
    <w:rsid w:val="00757508"/>
    <w:rsid w:val="0075790B"/>
    <w:rsid w:val="007605A4"/>
    <w:rsid w:val="0076088B"/>
    <w:rsid w:val="007608FB"/>
    <w:rsid w:val="00760923"/>
    <w:rsid w:val="00760A05"/>
    <w:rsid w:val="00760C54"/>
    <w:rsid w:val="00761317"/>
    <w:rsid w:val="0076143B"/>
    <w:rsid w:val="00761E0D"/>
    <w:rsid w:val="00761E1F"/>
    <w:rsid w:val="0076213A"/>
    <w:rsid w:val="00762289"/>
    <w:rsid w:val="0076232D"/>
    <w:rsid w:val="007625C5"/>
    <w:rsid w:val="00762F04"/>
    <w:rsid w:val="00763398"/>
    <w:rsid w:val="00763557"/>
    <w:rsid w:val="00763DD3"/>
    <w:rsid w:val="007642E9"/>
    <w:rsid w:val="007644F8"/>
    <w:rsid w:val="00764FB3"/>
    <w:rsid w:val="00765BDD"/>
    <w:rsid w:val="00765DC7"/>
    <w:rsid w:val="00765FD5"/>
    <w:rsid w:val="007664AE"/>
    <w:rsid w:val="007666A2"/>
    <w:rsid w:val="00766ED7"/>
    <w:rsid w:val="007678D0"/>
    <w:rsid w:val="00767A65"/>
    <w:rsid w:val="00767B84"/>
    <w:rsid w:val="00770077"/>
    <w:rsid w:val="00770298"/>
    <w:rsid w:val="007706D3"/>
    <w:rsid w:val="00771351"/>
    <w:rsid w:val="00771AFB"/>
    <w:rsid w:val="00771FAA"/>
    <w:rsid w:val="007721BA"/>
    <w:rsid w:val="007730CE"/>
    <w:rsid w:val="00773252"/>
    <w:rsid w:val="00773423"/>
    <w:rsid w:val="00773702"/>
    <w:rsid w:val="00773707"/>
    <w:rsid w:val="00774289"/>
    <w:rsid w:val="00774688"/>
    <w:rsid w:val="00774792"/>
    <w:rsid w:val="00774BB0"/>
    <w:rsid w:val="00774FAC"/>
    <w:rsid w:val="00775119"/>
    <w:rsid w:val="007751D1"/>
    <w:rsid w:val="0077536D"/>
    <w:rsid w:val="0077569D"/>
    <w:rsid w:val="00775E58"/>
    <w:rsid w:val="00776D62"/>
    <w:rsid w:val="007777A2"/>
    <w:rsid w:val="007802BB"/>
    <w:rsid w:val="00780F96"/>
    <w:rsid w:val="00780FF3"/>
    <w:rsid w:val="0078224A"/>
    <w:rsid w:val="00782704"/>
    <w:rsid w:val="00782AD0"/>
    <w:rsid w:val="00782CAD"/>
    <w:rsid w:val="00782FBD"/>
    <w:rsid w:val="00782FEA"/>
    <w:rsid w:val="0078333A"/>
    <w:rsid w:val="00784A3E"/>
    <w:rsid w:val="00785A39"/>
    <w:rsid w:val="00785A64"/>
    <w:rsid w:val="007864D1"/>
    <w:rsid w:val="007865EA"/>
    <w:rsid w:val="0078683F"/>
    <w:rsid w:val="007869AB"/>
    <w:rsid w:val="00786E31"/>
    <w:rsid w:val="00786ED6"/>
    <w:rsid w:val="00787045"/>
    <w:rsid w:val="007870B0"/>
    <w:rsid w:val="007873D9"/>
    <w:rsid w:val="00790640"/>
    <w:rsid w:val="0079145D"/>
    <w:rsid w:val="00791AD4"/>
    <w:rsid w:val="00791BB9"/>
    <w:rsid w:val="0079200E"/>
    <w:rsid w:val="00792A14"/>
    <w:rsid w:val="00792B9D"/>
    <w:rsid w:val="00792EF9"/>
    <w:rsid w:val="007931EF"/>
    <w:rsid w:val="00793493"/>
    <w:rsid w:val="00793FE0"/>
    <w:rsid w:val="007940D1"/>
    <w:rsid w:val="00794580"/>
    <w:rsid w:val="00794EFC"/>
    <w:rsid w:val="0079511C"/>
    <w:rsid w:val="007956CA"/>
    <w:rsid w:val="00795B8C"/>
    <w:rsid w:val="00796131"/>
    <w:rsid w:val="00796591"/>
    <w:rsid w:val="007965AE"/>
    <w:rsid w:val="00796EC9"/>
    <w:rsid w:val="0079742C"/>
    <w:rsid w:val="007976F6"/>
    <w:rsid w:val="00797768"/>
    <w:rsid w:val="007978E7"/>
    <w:rsid w:val="007A026E"/>
    <w:rsid w:val="007A07ED"/>
    <w:rsid w:val="007A10A9"/>
    <w:rsid w:val="007A1337"/>
    <w:rsid w:val="007A160A"/>
    <w:rsid w:val="007A2D1B"/>
    <w:rsid w:val="007A2E9C"/>
    <w:rsid w:val="007A2EF4"/>
    <w:rsid w:val="007A2F9F"/>
    <w:rsid w:val="007A31DD"/>
    <w:rsid w:val="007A331F"/>
    <w:rsid w:val="007A33D3"/>
    <w:rsid w:val="007A3E4D"/>
    <w:rsid w:val="007A4D05"/>
    <w:rsid w:val="007A5230"/>
    <w:rsid w:val="007A6016"/>
    <w:rsid w:val="007A65B4"/>
    <w:rsid w:val="007A6B38"/>
    <w:rsid w:val="007A6B4F"/>
    <w:rsid w:val="007A709E"/>
    <w:rsid w:val="007A76CA"/>
    <w:rsid w:val="007A7CF8"/>
    <w:rsid w:val="007A7D18"/>
    <w:rsid w:val="007A7FCD"/>
    <w:rsid w:val="007B0416"/>
    <w:rsid w:val="007B0887"/>
    <w:rsid w:val="007B0C9D"/>
    <w:rsid w:val="007B1370"/>
    <w:rsid w:val="007B1BCB"/>
    <w:rsid w:val="007B204A"/>
    <w:rsid w:val="007B242F"/>
    <w:rsid w:val="007B2434"/>
    <w:rsid w:val="007B2CA9"/>
    <w:rsid w:val="007B2D17"/>
    <w:rsid w:val="007B368B"/>
    <w:rsid w:val="007B3E93"/>
    <w:rsid w:val="007B4415"/>
    <w:rsid w:val="007B4449"/>
    <w:rsid w:val="007B459B"/>
    <w:rsid w:val="007B45E2"/>
    <w:rsid w:val="007B46A0"/>
    <w:rsid w:val="007B514D"/>
    <w:rsid w:val="007B51EE"/>
    <w:rsid w:val="007B585C"/>
    <w:rsid w:val="007B60AF"/>
    <w:rsid w:val="007B639D"/>
    <w:rsid w:val="007B6AEA"/>
    <w:rsid w:val="007B6EFF"/>
    <w:rsid w:val="007B6F9E"/>
    <w:rsid w:val="007B7311"/>
    <w:rsid w:val="007B7674"/>
    <w:rsid w:val="007C0AA6"/>
    <w:rsid w:val="007C0BB6"/>
    <w:rsid w:val="007C0BEB"/>
    <w:rsid w:val="007C160E"/>
    <w:rsid w:val="007C1A2D"/>
    <w:rsid w:val="007C1B7A"/>
    <w:rsid w:val="007C1F74"/>
    <w:rsid w:val="007C1F8B"/>
    <w:rsid w:val="007C20EB"/>
    <w:rsid w:val="007C2E7D"/>
    <w:rsid w:val="007C2FC7"/>
    <w:rsid w:val="007C34F0"/>
    <w:rsid w:val="007C37F4"/>
    <w:rsid w:val="007C463A"/>
    <w:rsid w:val="007C4E49"/>
    <w:rsid w:val="007C5112"/>
    <w:rsid w:val="007C52B0"/>
    <w:rsid w:val="007C58B6"/>
    <w:rsid w:val="007C61CA"/>
    <w:rsid w:val="007C6672"/>
    <w:rsid w:val="007C6B60"/>
    <w:rsid w:val="007C70E4"/>
    <w:rsid w:val="007C7981"/>
    <w:rsid w:val="007C7A14"/>
    <w:rsid w:val="007D00CA"/>
    <w:rsid w:val="007D0192"/>
    <w:rsid w:val="007D0704"/>
    <w:rsid w:val="007D0DDF"/>
    <w:rsid w:val="007D10C6"/>
    <w:rsid w:val="007D1546"/>
    <w:rsid w:val="007D1D40"/>
    <w:rsid w:val="007D2B5B"/>
    <w:rsid w:val="007D2BFF"/>
    <w:rsid w:val="007D2CC0"/>
    <w:rsid w:val="007D31D8"/>
    <w:rsid w:val="007D38F2"/>
    <w:rsid w:val="007D3F43"/>
    <w:rsid w:val="007D43A9"/>
    <w:rsid w:val="007D43B9"/>
    <w:rsid w:val="007D4556"/>
    <w:rsid w:val="007D46C3"/>
    <w:rsid w:val="007D4C16"/>
    <w:rsid w:val="007D4E9A"/>
    <w:rsid w:val="007D4EA6"/>
    <w:rsid w:val="007D50C0"/>
    <w:rsid w:val="007D5E71"/>
    <w:rsid w:val="007D63B7"/>
    <w:rsid w:val="007D63EE"/>
    <w:rsid w:val="007D6624"/>
    <w:rsid w:val="007D676C"/>
    <w:rsid w:val="007D73F5"/>
    <w:rsid w:val="007D742A"/>
    <w:rsid w:val="007D760E"/>
    <w:rsid w:val="007D780D"/>
    <w:rsid w:val="007D78BF"/>
    <w:rsid w:val="007E0406"/>
    <w:rsid w:val="007E082A"/>
    <w:rsid w:val="007E1229"/>
    <w:rsid w:val="007E125F"/>
    <w:rsid w:val="007E1441"/>
    <w:rsid w:val="007E1BF5"/>
    <w:rsid w:val="007E1C85"/>
    <w:rsid w:val="007E1E3A"/>
    <w:rsid w:val="007E24FA"/>
    <w:rsid w:val="007E26D6"/>
    <w:rsid w:val="007E298F"/>
    <w:rsid w:val="007E2E53"/>
    <w:rsid w:val="007E306F"/>
    <w:rsid w:val="007E3976"/>
    <w:rsid w:val="007E3AEE"/>
    <w:rsid w:val="007E3FF0"/>
    <w:rsid w:val="007E4C8F"/>
    <w:rsid w:val="007E4C95"/>
    <w:rsid w:val="007E53DF"/>
    <w:rsid w:val="007E5758"/>
    <w:rsid w:val="007E5D0F"/>
    <w:rsid w:val="007E6950"/>
    <w:rsid w:val="007E6B60"/>
    <w:rsid w:val="007E6CDB"/>
    <w:rsid w:val="007F000F"/>
    <w:rsid w:val="007F003A"/>
    <w:rsid w:val="007F0063"/>
    <w:rsid w:val="007F00C4"/>
    <w:rsid w:val="007F06EB"/>
    <w:rsid w:val="007F0CC2"/>
    <w:rsid w:val="007F1446"/>
    <w:rsid w:val="007F1512"/>
    <w:rsid w:val="007F15C7"/>
    <w:rsid w:val="007F1660"/>
    <w:rsid w:val="007F16A9"/>
    <w:rsid w:val="007F1AEA"/>
    <w:rsid w:val="007F1C97"/>
    <w:rsid w:val="007F1EB1"/>
    <w:rsid w:val="007F2CEF"/>
    <w:rsid w:val="007F2F29"/>
    <w:rsid w:val="007F3BED"/>
    <w:rsid w:val="007F4462"/>
    <w:rsid w:val="007F4AED"/>
    <w:rsid w:val="007F55D5"/>
    <w:rsid w:val="007F5CA5"/>
    <w:rsid w:val="007F61A8"/>
    <w:rsid w:val="007F62DB"/>
    <w:rsid w:val="007F6C99"/>
    <w:rsid w:val="007F6CA7"/>
    <w:rsid w:val="007F70F5"/>
    <w:rsid w:val="007F72DB"/>
    <w:rsid w:val="007F73ED"/>
    <w:rsid w:val="007F7B30"/>
    <w:rsid w:val="00800564"/>
    <w:rsid w:val="008008EF"/>
    <w:rsid w:val="00800B57"/>
    <w:rsid w:val="008014CB"/>
    <w:rsid w:val="00801974"/>
    <w:rsid w:val="00801BFA"/>
    <w:rsid w:val="0080250D"/>
    <w:rsid w:val="00802857"/>
    <w:rsid w:val="00802945"/>
    <w:rsid w:val="00802C15"/>
    <w:rsid w:val="008037C8"/>
    <w:rsid w:val="0080396E"/>
    <w:rsid w:val="00803E6A"/>
    <w:rsid w:val="00804508"/>
    <w:rsid w:val="00804B90"/>
    <w:rsid w:val="00804D00"/>
    <w:rsid w:val="008056FD"/>
    <w:rsid w:val="008059C2"/>
    <w:rsid w:val="00805E91"/>
    <w:rsid w:val="00806319"/>
    <w:rsid w:val="00806BA5"/>
    <w:rsid w:val="00807E93"/>
    <w:rsid w:val="008106C1"/>
    <w:rsid w:val="00810827"/>
    <w:rsid w:val="00812280"/>
    <w:rsid w:val="00812B51"/>
    <w:rsid w:val="00812E4E"/>
    <w:rsid w:val="00812F93"/>
    <w:rsid w:val="0081362B"/>
    <w:rsid w:val="00814852"/>
    <w:rsid w:val="008149E1"/>
    <w:rsid w:val="00814ED8"/>
    <w:rsid w:val="00815510"/>
    <w:rsid w:val="008157AF"/>
    <w:rsid w:val="008158F3"/>
    <w:rsid w:val="00815C76"/>
    <w:rsid w:val="00815CA1"/>
    <w:rsid w:val="008160B8"/>
    <w:rsid w:val="0081610B"/>
    <w:rsid w:val="0081630A"/>
    <w:rsid w:val="008164B4"/>
    <w:rsid w:val="008164CC"/>
    <w:rsid w:val="00816E1D"/>
    <w:rsid w:val="008171A2"/>
    <w:rsid w:val="008176E2"/>
    <w:rsid w:val="0081779C"/>
    <w:rsid w:val="008177EA"/>
    <w:rsid w:val="00817B4E"/>
    <w:rsid w:val="00817E57"/>
    <w:rsid w:val="00820057"/>
    <w:rsid w:val="008201CA"/>
    <w:rsid w:val="00820C6D"/>
    <w:rsid w:val="00820E31"/>
    <w:rsid w:val="00821273"/>
    <w:rsid w:val="008217EA"/>
    <w:rsid w:val="00821C6A"/>
    <w:rsid w:val="008227DF"/>
    <w:rsid w:val="00822909"/>
    <w:rsid w:val="00822B12"/>
    <w:rsid w:val="00823109"/>
    <w:rsid w:val="00823237"/>
    <w:rsid w:val="00823614"/>
    <w:rsid w:val="00824A2E"/>
    <w:rsid w:val="00824BA9"/>
    <w:rsid w:val="00825668"/>
    <w:rsid w:val="008258E6"/>
    <w:rsid w:val="00825DA5"/>
    <w:rsid w:val="00826054"/>
    <w:rsid w:val="008269F8"/>
    <w:rsid w:val="00826C36"/>
    <w:rsid w:val="00826C81"/>
    <w:rsid w:val="00827266"/>
    <w:rsid w:val="008273DC"/>
    <w:rsid w:val="00827588"/>
    <w:rsid w:val="00827633"/>
    <w:rsid w:val="00827B06"/>
    <w:rsid w:val="0083094C"/>
    <w:rsid w:val="0083117E"/>
    <w:rsid w:val="00831334"/>
    <w:rsid w:val="0083166F"/>
    <w:rsid w:val="00831A7A"/>
    <w:rsid w:val="00831CB5"/>
    <w:rsid w:val="00831D3E"/>
    <w:rsid w:val="00831F94"/>
    <w:rsid w:val="008324BD"/>
    <w:rsid w:val="008325F0"/>
    <w:rsid w:val="00832605"/>
    <w:rsid w:val="0083325D"/>
    <w:rsid w:val="00833460"/>
    <w:rsid w:val="00833C8B"/>
    <w:rsid w:val="00833CCB"/>
    <w:rsid w:val="00833CD6"/>
    <w:rsid w:val="00834183"/>
    <w:rsid w:val="00834B84"/>
    <w:rsid w:val="008352B7"/>
    <w:rsid w:val="0083546A"/>
    <w:rsid w:val="00835B21"/>
    <w:rsid w:val="00835E44"/>
    <w:rsid w:val="008360F4"/>
    <w:rsid w:val="00837D1E"/>
    <w:rsid w:val="0084029C"/>
    <w:rsid w:val="00840314"/>
    <w:rsid w:val="008409FA"/>
    <w:rsid w:val="00840F84"/>
    <w:rsid w:val="00840FED"/>
    <w:rsid w:val="008411B6"/>
    <w:rsid w:val="00841237"/>
    <w:rsid w:val="00841ABF"/>
    <w:rsid w:val="00841EBE"/>
    <w:rsid w:val="00842A9E"/>
    <w:rsid w:val="00843946"/>
    <w:rsid w:val="008447A9"/>
    <w:rsid w:val="00844990"/>
    <w:rsid w:val="00844B59"/>
    <w:rsid w:val="00844CB2"/>
    <w:rsid w:val="00844F9B"/>
    <w:rsid w:val="00844FAF"/>
    <w:rsid w:val="00845DF1"/>
    <w:rsid w:val="008461F1"/>
    <w:rsid w:val="00846421"/>
    <w:rsid w:val="0084669A"/>
    <w:rsid w:val="008471B2"/>
    <w:rsid w:val="008472E7"/>
    <w:rsid w:val="008473F2"/>
    <w:rsid w:val="00847BF2"/>
    <w:rsid w:val="00847CCA"/>
    <w:rsid w:val="00847DDB"/>
    <w:rsid w:val="00847E81"/>
    <w:rsid w:val="00847FFA"/>
    <w:rsid w:val="00850151"/>
    <w:rsid w:val="008502ED"/>
    <w:rsid w:val="00850690"/>
    <w:rsid w:val="00851100"/>
    <w:rsid w:val="0085123A"/>
    <w:rsid w:val="00851DC2"/>
    <w:rsid w:val="008522F1"/>
    <w:rsid w:val="0085384B"/>
    <w:rsid w:val="008543BD"/>
    <w:rsid w:val="0085472F"/>
    <w:rsid w:val="00854761"/>
    <w:rsid w:val="00854A27"/>
    <w:rsid w:val="00854C66"/>
    <w:rsid w:val="008553DD"/>
    <w:rsid w:val="008554A3"/>
    <w:rsid w:val="008556DF"/>
    <w:rsid w:val="0085571C"/>
    <w:rsid w:val="00855B53"/>
    <w:rsid w:val="00855B90"/>
    <w:rsid w:val="00855DB0"/>
    <w:rsid w:val="00855F7E"/>
    <w:rsid w:val="008562B2"/>
    <w:rsid w:val="008565D5"/>
    <w:rsid w:val="00856798"/>
    <w:rsid w:val="00856EC0"/>
    <w:rsid w:val="0085753E"/>
    <w:rsid w:val="008579F8"/>
    <w:rsid w:val="00857D89"/>
    <w:rsid w:val="0086060F"/>
    <w:rsid w:val="0086090D"/>
    <w:rsid w:val="00860E17"/>
    <w:rsid w:val="00861600"/>
    <w:rsid w:val="00861791"/>
    <w:rsid w:val="00861914"/>
    <w:rsid w:val="00862538"/>
    <w:rsid w:val="008625A8"/>
    <w:rsid w:val="008633E8"/>
    <w:rsid w:val="008638F2"/>
    <w:rsid w:val="00863F87"/>
    <w:rsid w:val="008648C9"/>
    <w:rsid w:val="00864AFB"/>
    <w:rsid w:val="00864FAC"/>
    <w:rsid w:val="00865374"/>
    <w:rsid w:val="0086591B"/>
    <w:rsid w:val="00865BEA"/>
    <w:rsid w:val="00865CE0"/>
    <w:rsid w:val="0086744D"/>
    <w:rsid w:val="00867B94"/>
    <w:rsid w:val="00867C6E"/>
    <w:rsid w:val="00870279"/>
    <w:rsid w:val="0087080D"/>
    <w:rsid w:val="00870BF6"/>
    <w:rsid w:val="00870E37"/>
    <w:rsid w:val="00871633"/>
    <w:rsid w:val="0087202D"/>
    <w:rsid w:val="00872114"/>
    <w:rsid w:val="0087256B"/>
    <w:rsid w:val="008729C8"/>
    <w:rsid w:val="00872B16"/>
    <w:rsid w:val="00872E9D"/>
    <w:rsid w:val="00873686"/>
    <w:rsid w:val="00873CBB"/>
    <w:rsid w:val="00873EB6"/>
    <w:rsid w:val="00873F3A"/>
    <w:rsid w:val="00874077"/>
    <w:rsid w:val="00874080"/>
    <w:rsid w:val="008741F5"/>
    <w:rsid w:val="0087423A"/>
    <w:rsid w:val="008748DA"/>
    <w:rsid w:val="008751AA"/>
    <w:rsid w:val="00875A69"/>
    <w:rsid w:val="00875A83"/>
    <w:rsid w:val="00875C05"/>
    <w:rsid w:val="00875CCD"/>
    <w:rsid w:val="008761BC"/>
    <w:rsid w:val="008764C6"/>
    <w:rsid w:val="00876D50"/>
    <w:rsid w:val="00877018"/>
    <w:rsid w:val="00877B58"/>
    <w:rsid w:val="00880D25"/>
    <w:rsid w:val="008814AB"/>
    <w:rsid w:val="00881B5C"/>
    <w:rsid w:val="00881EE7"/>
    <w:rsid w:val="008823D0"/>
    <w:rsid w:val="008827E6"/>
    <w:rsid w:val="0088286D"/>
    <w:rsid w:val="00882D58"/>
    <w:rsid w:val="008833E0"/>
    <w:rsid w:val="0088380B"/>
    <w:rsid w:val="0088381A"/>
    <w:rsid w:val="00883E24"/>
    <w:rsid w:val="00884231"/>
    <w:rsid w:val="00884286"/>
    <w:rsid w:val="00884A03"/>
    <w:rsid w:val="00884EED"/>
    <w:rsid w:val="00885843"/>
    <w:rsid w:val="008858F7"/>
    <w:rsid w:val="00885A71"/>
    <w:rsid w:val="0089043A"/>
    <w:rsid w:val="0089079F"/>
    <w:rsid w:val="008908BF"/>
    <w:rsid w:val="00890B60"/>
    <w:rsid w:val="00890C7C"/>
    <w:rsid w:val="008914B0"/>
    <w:rsid w:val="008916B6"/>
    <w:rsid w:val="00891737"/>
    <w:rsid w:val="00891CC2"/>
    <w:rsid w:val="00891DB4"/>
    <w:rsid w:val="00891F91"/>
    <w:rsid w:val="00892B56"/>
    <w:rsid w:val="00892D66"/>
    <w:rsid w:val="00892D83"/>
    <w:rsid w:val="00892E84"/>
    <w:rsid w:val="00893773"/>
    <w:rsid w:val="00893872"/>
    <w:rsid w:val="0089388F"/>
    <w:rsid w:val="00893C54"/>
    <w:rsid w:val="00893D4B"/>
    <w:rsid w:val="00893DDC"/>
    <w:rsid w:val="00893EA8"/>
    <w:rsid w:val="00894E76"/>
    <w:rsid w:val="00895BA9"/>
    <w:rsid w:val="00895E46"/>
    <w:rsid w:val="008960E0"/>
    <w:rsid w:val="008962DC"/>
    <w:rsid w:val="00896922"/>
    <w:rsid w:val="00896C9E"/>
    <w:rsid w:val="00896CDE"/>
    <w:rsid w:val="008A04BA"/>
    <w:rsid w:val="008A0682"/>
    <w:rsid w:val="008A1244"/>
    <w:rsid w:val="008A1FD0"/>
    <w:rsid w:val="008A2C4E"/>
    <w:rsid w:val="008A2D51"/>
    <w:rsid w:val="008A335B"/>
    <w:rsid w:val="008A3B55"/>
    <w:rsid w:val="008A3D78"/>
    <w:rsid w:val="008A3EB1"/>
    <w:rsid w:val="008A4094"/>
    <w:rsid w:val="008A4382"/>
    <w:rsid w:val="008A532C"/>
    <w:rsid w:val="008A5DF4"/>
    <w:rsid w:val="008A64BE"/>
    <w:rsid w:val="008A6924"/>
    <w:rsid w:val="008A6C6B"/>
    <w:rsid w:val="008A6E0A"/>
    <w:rsid w:val="008A7087"/>
    <w:rsid w:val="008B039D"/>
    <w:rsid w:val="008B0649"/>
    <w:rsid w:val="008B06C1"/>
    <w:rsid w:val="008B0A05"/>
    <w:rsid w:val="008B151F"/>
    <w:rsid w:val="008B1AC1"/>
    <w:rsid w:val="008B1AD0"/>
    <w:rsid w:val="008B2141"/>
    <w:rsid w:val="008B22F1"/>
    <w:rsid w:val="008B256A"/>
    <w:rsid w:val="008B2EFC"/>
    <w:rsid w:val="008B4249"/>
    <w:rsid w:val="008B4954"/>
    <w:rsid w:val="008B573C"/>
    <w:rsid w:val="008B5C1B"/>
    <w:rsid w:val="008B6364"/>
    <w:rsid w:val="008B6913"/>
    <w:rsid w:val="008B6AC3"/>
    <w:rsid w:val="008B6CC8"/>
    <w:rsid w:val="008B720E"/>
    <w:rsid w:val="008B7351"/>
    <w:rsid w:val="008B7386"/>
    <w:rsid w:val="008B74B6"/>
    <w:rsid w:val="008B753C"/>
    <w:rsid w:val="008B756A"/>
    <w:rsid w:val="008B7C28"/>
    <w:rsid w:val="008B7D7D"/>
    <w:rsid w:val="008C0ACC"/>
    <w:rsid w:val="008C131C"/>
    <w:rsid w:val="008C1B34"/>
    <w:rsid w:val="008C243A"/>
    <w:rsid w:val="008C3A4F"/>
    <w:rsid w:val="008C3CEA"/>
    <w:rsid w:val="008C4B9D"/>
    <w:rsid w:val="008C4D19"/>
    <w:rsid w:val="008C5400"/>
    <w:rsid w:val="008C56C8"/>
    <w:rsid w:val="008C594B"/>
    <w:rsid w:val="008C6365"/>
    <w:rsid w:val="008C68CC"/>
    <w:rsid w:val="008C6BCE"/>
    <w:rsid w:val="008C73C9"/>
    <w:rsid w:val="008C776C"/>
    <w:rsid w:val="008C7A92"/>
    <w:rsid w:val="008C7B5F"/>
    <w:rsid w:val="008D01FB"/>
    <w:rsid w:val="008D0903"/>
    <w:rsid w:val="008D0B34"/>
    <w:rsid w:val="008D131D"/>
    <w:rsid w:val="008D143E"/>
    <w:rsid w:val="008D14A1"/>
    <w:rsid w:val="008D1713"/>
    <w:rsid w:val="008D1793"/>
    <w:rsid w:val="008D20F2"/>
    <w:rsid w:val="008D2163"/>
    <w:rsid w:val="008D3279"/>
    <w:rsid w:val="008D3335"/>
    <w:rsid w:val="008D3450"/>
    <w:rsid w:val="008D3730"/>
    <w:rsid w:val="008D3A21"/>
    <w:rsid w:val="008D3F24"/>
    <w:rsid w:val="008D44A2"/>
    <w:rsid w:val="008D4599"/>
    <w:rsid w:val="008D4619"/>
    <w:rsid w:val="008D4BD7"/>
    <w:rsid w:val="008D4C69"/>
    <w:rsid w:val="008D4EAF"/>
    <w:rsid w:val="008D5108"/>
    <w:rsid w:val="008D5C88"/>
    <w:rsid w:val="008D5D66"/>
    <w:rsid w:val="008D6244"/>
    <w:rsid w:val="008D62E7"/>
    <w:rsid w:val="008D6333"/>
    <w:rsid w:val="008D646B"/>
    <w:rsid w:val="008D7EE9"/>
    <w:rsid w:val="008E040E"/>
    <w:rsid w:val="008E09C0"/>
    <w:rsid w:val="008E0E93"/>
    <w:rsid w:val="008E13E2"/>
    <w:rsid w:val="008E2A64"/>
    <w:rsid w:val="008E2C3C"/>
    <w:rsid w:val="008E3CB6"/>
    <w:rsid w:val="008E4325"/>
    <w:rsid w:val="008E45E4"/>
    <w:rsid w:val="008E4DEA"/>
    <w:rsid w:val="008E5A66"/>
    <w:rsid w:val="008E5D7E"/>
    <w:rsid w:val="008E5DF4"/>
    <w:rsid w:val="008E6907"/>
    <w:rsid w:val="008E6971"/>
    <w:rsid w:val="008E6B8C"/>
    <w:rsid w:val="008E6C68"/>
    <w:rsid w:val="008E726A"/>
    <w:rsid w:val="008E7801"/>
    <w:rsid w:val="008E7BBE"/>
    <w:rsid w:val="008F091D"/>
    <w:rsid w:val="008F0CA6"/>
    <w:rsid w:val="008F108B"/>
    <w:rsid w:val="008F114A"/>
    <w:rsid w:val="008F134D"/>
    <w:rsid w:val="008F181F"/>
    <w:rsid w:val="008F1EB6"/>
    <w:rsid w:val="008F204F"/>
    <w:rsid w:val="008F2719"/>
    <w:rsid w:val="008F2E40"/>
    <w:rsid w:val="008F3110"/>
    <w:rsid w:val="008F3149"/>
    <w:rsid w:val="008F3ECF"/>
    <w:rsid w:val="008F4682"/>
    <w:rsid w:val="008F46DE"/>
    <w:rsid w:val="008F4EA3"/>
    <w:rsid w:val="008F51D3"/>
    <w:rsid w:val="008F5712"/>
    <w:rsid w:val="008F5AC3"/>
    <w:rsid w:val="008F65C4"/>
    <w:rsid w:val="008F70D2"/>
    <w:rsid w:val="008F7583"/>
    <w:rsid w:val="008F7E08"/>
    <w:rsid w:val="00900011"/>
    <w:rsid w:val="009004E6"/>
    <w:rsid w:val="009008D0"/>
    <w:rsid w:val="00900CD4"/>
    <w:rsid w:val="00900EAE"/>
    <w:rsid w:val="009010FD"/>
    <w:rsid w:val="00901C72"/>
    <w:rsid w:val="00901DE1"/>
    <w:rsid w:val="009023F7"/>
    <w:rsid w:val="0090260D"/>
    <w:rsid w:val="009026E5"/>
    <w:rsid w:val="0090276E"/>
    <w:rsid w:val="00902E9D"/>
    <w:rsid w:val="00903080"/>
    <w:rsid w:val="0090336C"/>
    <w:rsid w:val="00903B7F"/>
    <w:rsid w:val="00903DFE"/>
    <w:rsid w:val="00904A8A"/>
    <w:rsid w:val="00905990"/>
    <w:rsid w:val="00905A91"/>
    <w:rsid w:val="00906066"/>
    <w:rsid w:val="009063B2"/>
    <w:rsid w:val="009065AE"/>
    <w:rsid w:val="0090684C"/>
    <w:rsid w:val="00906C29"/>
    <w:rsid w:val="009070DE"/>
    <w:rsid w:val="009079BC"/>
    <w:rsid w:val="00907A72"/>
    <w:rsid w:val="00907FD9"/>
    <w:rsid w:val="009101B2"/>
    <w:rsid w:val="00910392"/>
    <w:rsid w:val="00910D1A"/>
    <w:rsid w:val="0091187E"/>
    <w:rsid w:val="00911C8F"/>
    <w:rsid w:val="0091205E"/>
    <w:rsid w:val="009122A4"/>
    <w:rsid w:val="00912828"/>
    <w:rsid w:val="009134B7"/>
    <w:rsid w:val="009137F3"/>
    <w:rsid w:val="00913A72"/>
    <w:rsid w:val="00913FC5"/>
    <w:rsid w:val="009141B2"/>
    <w:rsid w:val="00914F7D"/>
    <w:rsid w:val="0091509A"/>
    <w:rsid w:val="0091559D"/>
    <w:rsid w:val="00915D4D"/>
    <w:rsid w:val="009166DA"/>
    <w:rsid w:val="009168B3"/>
    <w:rsid w:val="00916944"/>
    <w:rsid w:val="0091779E"/>
    <w:rsid w:val="00917986"/>
    <w:rsid w:val="00917D15"/>
    <w:rsid w:val="00917E30"/>
    <w:rsid w:val="00920245"/>
    <w:rsid w:val="009203BE"/>
    <w:rsid w:val="00921687"/>
    <w:rsid w:val="00921AA4"/>
    <w:rsid w:val="009223C5"/>
    <w:rsid w:val="00922404"/>
    <w:rsid w:val="00922E70"/>
    <w:rsid w:val="00922FA5"/>
    <w:rsid w:val="00923A12"/>
    <w:rsid w:val="0092442B"/>
    <w:rsid w:val="009246D0"/>
    <w:rsid w:val="00924D01"/>
    <w:rsid w:val="009250AB"/>
    <w:rsid w:val="00925130"/>
    <w:rsid w:val="0092600C"/>
    <w:rsid w:val="00926B6D"/>
    <w:rsid w:val="00926DD8"/>
    <w:rsid w:val="00926DDA"/>
    <w:rsid w:val="00927410"/>
    <w:rsid w:val="0092771A"/>
    <w:rsid w:val="00927A6D"/>
    <w:rsid w:val="00927EC2"/>
    <w:rsid w:val="009300B8"/>
    <w:rsid w:val="00930CA8"/>
    <w:rsid w:val="00930E80"/>
    <w:rsid w:val="009310CF"/>
    <w:rsid w:val="00931710"/>
    <w:rsid w:val="00931A18"/>
    <w:rsid w:val="00931C02"/>
    <w:rsid w:val="0093211F"/>
    <w:rsid w:val="0093217D"/>
    <w:rsid w:val="00932259"/>
    <w:rsid w:val="009334B0"/>
    <w:rsid w:val="009336F5"/>
    <w:rsid w:val="00933F94"/>
    <w:rsid w:val="00934137"/>
    <w:rsid w:val="009343FE"/>
    <w:rsid w:val="00934F95"/>
    <w:rsid w:val="009351BD"/>
    <w:rsid w:val="00935804"/>
    <w:rsid w:val="00935F40"/>
    <w:rsid w:val="0093637E"/>
    <w:rsid w:val="00937D67"/>
    <w:rsid w:val="00937FA9"/>
    <w:rsid w:val="00940006"/>
    <w:rsid w:val="00940373"/>
    <w:rsid w:val="0094092F"/>
    <w:rsid w:val="00940A32"/>
    <w:rsid w:val="00940CDF"/>
    <w:rsid w:val="00940F46"/>
    <w:rsid w:val="00940FB8"/>
    <w:rsid w:val="009411B4"/>
    <w:rsid w:val="00941349"/>
    <w:rsid w:val="009415E8"/>
    <w:rsid w:val="00941616"/>
    <w:rsid w:val="00941671"/>
    <w:rsid w:val="009421B4"/>
    <w:rsid w:val="009425C0"/>
    <w:rsid w:val="009426A8"/>
    <w:rsid w:val="0094296C"/>
    <w:rsid w:val="00942E63"/>
    <w:rsid w:val="00942F7F"/>
    <w:rsid w:val="00943340"/>
    <w:rsid w:val="009436B4"/>
    <w:rsid w:val="00943BC5"/>
    <w:rsid w:val="00944E7A"/>
    <w:rsid w:val="00945460"/>
    <w:rsid w:val="00945F8D"/>
    <w:rsid w:val="0094657F"/>
    <w:rsid w:val="00946CCF"/>
    <w:rsid w:val="00946F1D"/>
    <w:rsid w:val="00947456"/>
    <w:rsid w:val="00947AFA"/>
    <w:rsid w:val="00947F99"/>
    <w:rsid w:val="0095011D"/>
    <w:rsid w:val="009502D1"/>
    <w:rsid w:val="0095095E"/>
    <w:rsid w:val="00950A25"/>
    <w:rsid w:val="00950A8F"/>
    <w:rsid w:val="00951182"/>
    <w:rsid w:val="0095135A"/>
    <w:rsid w:val="009513DE"/>
    <w:rsid w:val="00951440"/>
    <w:rsid w:val="0095167B"/>
    <w:rsid w:val="009519E3"/>
    <w:rsid w:val="00952120"/>
    <w:rsid w:val="00952364"/>
    <w:rsid w:val="009524E1"/>
    <w:rsid w:val="009527B6"/>
    <w:rsid w:val="00952F5C"/>
    <w:rsid w:val="0095303D"/>
    <w:rsid w:val="00953270"/>
    <w:rsid w:val="009532BF"/>
    <w:rsid w:val="009537B5"/>
    <w:rsid w:val="009537D0"/>
    <w:rsid w:val="0095383E"/>
    <w:rsid w:val="00953E70"/>
    <w:rsid w:val="00953E77"/>
    <w:rsid w:val="00954302"/>
    <w:rsid w:val="00954784"/>
    <w:rsid w:val="00954ADD"/>
    <w:rsid w:val="00954B1C"/>
    <w:rsid w:val="00954CF8"/>
    <w:rsid w:val="00955093"/>
    <w:rsid w:val="00955972"/>
    <w:rsid w:val="00955B82"/>
    <w:rsid w:val="00955C07"/>
    <w:rsid w:val="00956D4D"/>
    <w:rsid w:val="00956F55"/>
    <w:rsid w:val="0095729E"/>
    <w:rsid w:val="009572FB"/>
    <w:rsid w:val="00957D83"/>
    <w:rsid w:val="009601A4"/>
    <w:rsid w:val="00960372"/>
    <w:rsid w:val="009605A3"/>
    <w:rsid w:val="00960616"/>
    <w:rsid w:val="009608D5"/>
    <w:rsid w:val="00960FB8"/>
    <w:rsid w:val="009619E2"/>
    <w:rsid w:val="00962629"/>
    <w:rsid w:val="00962754"/>
    <w:rsid w:val="009627AD"/>
    <w:rsid w:val="00962C06"/>
    <w:rsid w:val="00962CEB"/>
    <w:rsid w:val="00962E7F"/>
    <w:rsid w:val="00963725"/>
    <w:rsid w:val="00963907"/>
    <w:rsid w:val="0096395C"/>
    <w:rsid w:val="00964041"/>
    <w:rsid w:val="00964267"/>
    <w:rsid w:val="00964410"/>
    <w:rsid w:val="00964D24"/>
    <w:rsid w:val="009651C4"/>
    <w:rsid w:val="009659F2"/>
    <w:rsid w:val="0096629A"/>
    <w:rsid w:val="00966520"/>
    <w:rsid w:val="009666F4"/>
    <w:rsid w:val="00966BA7"/>
    <w:rsid w:val="00966E82"/>
    <w:rsid w:val="009672B5"/>
    <w:rsid w:val="0096764D"/>
    <w:rsid w:val="00967A83"/>
    <w:rsid w:val="0097045B"/>
    <w:rsid w:val="0097062A"/>
    <w:rsid w:val="009717CB"/>
    <w:rsid w:val="0097220F"/>
    <w:rsid w:val="00972482"/>
    <w:rsid w:val="00972502"/>
    <w:rsid w:val="009726D4"/>
    <w:rsid w:val="0097279B"/>
    <w:rsid w:val="00973899"/>
    <w:rsid w:val="009738ED"/>
    <w:rsid w:val="009741E2"/>
    <w:rsid w:val="009742DD"/>
    <w:rsid w:val="00974AD1"/>
    <w:rsid w:val="00974CB4"/>
    <w:rsid w:val="0097551E"/>
    <w:rsid w:val="00975818"/>
    <w:rsid w:val="009758CC"/>
    <w:rsid w:val="009763F1"/>
    <w:rsid w:val="009764F0"/>
    <w:rsid w:val="00976911"/>
    <w:rsid w:val="00976ECF"/>
    <w:rsid w:val="00980345"/>
    <w:rsid w:val="0098045F"/>
    <w:rsid w:val="0098076F"/>
    <w:rsid w:val="00981408"/>
    <w:rsid w:val="00981689"/>
    <w:rsid w:val="009818C9"/>
    <w:rsid w:val="009818CA"/>
    <w:rsid w:val="00981C85"/>
    <w:rsid w:val="009823B0"/>
    <w:rsid w:val="009828FA"/>
    <w:rsid w:val="009829B1"/>
    <w:rsid w:val="00982B2F"/>
    <w:rsid w:val="00982CA8"/>
    <w:rsid w:val="00982E59"/>
    <w:rsid w:val="009845D5"/>
    <w:rsid w:val="00984732"/>
    <w:rsid w:val="00984C89"/>
    <w:rsid w:val="009850D1"/>
    <w:rsid w:val="009853E9"/>
    <w:rsid w:val="009863F6"/>
    <w:rsid w:val="009869D2"/>
    <w:rsid w:val="00986E41"/>
    <w:rsid w:val="0098782C"/>
    <w:rsid w:val="00987968"/>
    <w:rsid w:val="00987D2E"/>
    <w:rsid w:val="00990196"/>
    <w:rsid w:val="00990746"/>
    <w:rsid w:val="009908C3"/>
    <w:rsid w:val="00990DCB"/>
    <w:rsid w:val="00990EC2"/>
    <w:rsid w:val="00991211"/>
    <w:rsid w:val="0099124C"/>
    <w:rsid w:val="00991485"/>
    <w:rsid w:val="009915A2"/>
    <w:rsid w:val="009916E1"/>
    <w:rsid w:val="0099184D"/>
    <w:rsid w:val="00991CEE"/>
    <w:rsid w:val="009923AA"/>
    <w:rsid w:val="0099311D"/>
    <w:rsid w:val="00993335"/>
    <w:rsid w:val="00993394"/>
    <w:rsid w:val="009939A5"/>
    <w:rsid w:val="009939F8"/>
    <w:rsid w:val="00993C6B"/>
    <w:rsid w:val="009944ED"/>
    <w:rsid w:val="0099495E"/>
    <w:rsid w:val="009949E0"/>
    <w:rsid w:val="00995298"/>
    <w:rsid w:val="00995972"/>
    <w:rsid w:val="00995A7E"/>
    <w:rsid w:val="009963CF"/>
    <w:rsid w:val="00996446"/>
    <w:rsid w:val="00996C0F"/>
    <w:rsid w:val="009972EE"/>
    <w:rsid w:val="009973BD"/>
    <w:rsid w:val="00997949"/>
    <w:rsid w:val="00997D8D"/>
    <w:rsid w:val="009A060C"/>
    <w:rsid w:val="009A0625"/>
    <w:rsid w:val="009A0900"/>
    <w:rsid w:val="009A101A"/>
    <w:rsid w:val="009A19EC"/>
    <w:rsid w:val="009A1A0B"/>
    <w:rsid w:val="009A20D0"/>
    <w:rsid w:val="009A34E6"/>
    <w:rsid w:val="009A372B"/>
    <w:rsid w:val="009A38E3"/>
    <w:rsid w:val="009A3D49"/>
    <w:rsid w:val="009A409F"/>
    <w:rsid w:val="009A4856"/>
    <w:rsid w:val="009A4879"/>
    <w:rsid w:val="009A4DCB"/>
    <w:rsid w:val="009A4EFA"/>
    <w:rsid w:val="009A5039"/>
    <w:rsid w:val="009A505D"/>
    <w:rsid w:val="009A51CF"/>
    <w:rsid w:val="009A5261"/>
    <w:rsid w:val="009A5319"/>
    <w:rsid w:val="009A534F"/>
    <w:rsid w:val="009A617F"/>
    <w:rsid w:val="009A627E"/>
    <w:rsid w:val="009A6FA4"/>
    <w:rsid w:val="009A703C"/>
    <w:rsid w:val="009A7227"/>
    <w:rsid w:val="009A72BD"/>
    <w:rsid w:val="009A78FB"/>
    <w:rsid w:val="009A7B84"/>
    <w:rsid w:val="009B015D"/>
    <w:rsid w:val="009B03FA"/>
    <w:rsid w:val="009B08E5"/>
    <w:rsid w:val="009B0CA9"/>
    <w:rsid w:val="009B1370"/>
    <w:rsid w:val="009B1860"/>
    <w:rsid w:val="009B1C2F"/>
    <w:rsid w:val="009B2B62"/>
    <w:rsid w:val="009B31D5"/>
    <w:rsid w:val="009B368A"/>
    <w:rsid w:val="009B3711"/>
    <w:rsid w:val="009B39F0"/>
    <w:rsid w:val="009B3C19"/>
    <w:rsid w:val="009B3D96"/>
    <w:rsid w:val="009B4BB3"/>
    <w:rsid w:val="009B4D62"/>
    <w:rsid w:val="009B5230"/>
    <w:rsid w:val="009B551E"/>
    <w:rsid w:val="009B566D"/>
    <w:rsid w:val="009B57DE"/>
    <w:rsid w:val="009B593B"/>
    <w:rsid w:val="009B5A63"/>
    <w:rsid w:val="009B63CC"/>
    <w:rsid w:val="009B6C36"/>
    <w:rsid w:val="009B6CC0"/>
    <w:rsid w:val="009B6D06"/>
    <w:rsid w:val="009B6F31"/>
    <w:rsid w:val="009B7864"/>
    <w:rsid w:val="009B7AE6"/>
    <w:rsid w:val="009B7E8F"/>
    <w:rsid w:val="009C003D"/>
    <w:rsid w:val="009C09E1"/>
    <w:rsid w:val="009C0B12"/>
    <w:rsid w:val="009C0C4E"/>
    <w:rsid w:val="009C1428"/>
    <w:rsid w:val="009C194E"/>
    <w:rsid w:val="009C1A35"/>
    <w:rsid w:val="009C1B70"/>
    <w:rsid w:val="009C1F26"/>
    <w:rsid w:val="009C1F53"/>
    <w:rsid w:val="009C243F"/>
    <w:rsid w:val="009C2744"/>
    <w:rsid w:val="009C28BA"/>
    <w:rsid w:val="009C29CF"/>
    <w:rsid w:val="009C36AF"/>
    <w:rsid w:val="009C39D4"/>
    <w:rsid w:val="009C3C57"/>
    <w:rsid w:val="009C3E56"/>
    <w:rsid w:val="009C418A"/>
    <w:rsid w:val="009C4456"/>
    <w:rsid w:val="009C4EDA"/>
    <w:rsid w:val="009C593C"/>
    <w:rsid w:val="009C5BA2"/>
    <w:rsid w:val="009C5C4C"/>
    <w:rsid w:val="009C5CD6"/>
    <w:rsid w:val="009C62C9"/>
    <w:rsid w:val="009C62CD"/>
    <w:rsid w:val="009C67B2"/>
    <w:rsid w:val="009C6CC6"/>
    <w:rsid w:val="009C6F50"/>
    <w:rsid w:val="009C748C"/>
    <w:rsid w:val="009C7DA2"/>
    <w:rsid w:val="009D0139"/>
    <w:rsid w:val="009D09DA"/>
    <w:rsid w:val="009D120A"/>
    <w:rsid w:val="009D13E8"/>
    <w:rsid w:val="009D1706"/>
    <w:rsid w:val="009D1B43"/>
    <w:rsid w:val="009D1C34"/>
    <w:rsid w:val="009D1F87"/>
    <w:rsid w:val="009D27B9"/>
    <w:rsid w:val="009D282E"/>
    <w:rsid w:val="009D29EA"/>
    <w:rsid w:val="009D2AE2"/>
    <w:rsid w:val="009D2DEE"/>
    <w:rsid w:val="009D3265"/>
    <w:rsid w:val="009D3648"/>
    <w:rsid w:val="009D38C0"/>
    <w:rsid w:val="009D3952"/>
    <w:rsid w:val="009D3CC9"/>
    <w:rsid w:val="009D4E82"/>
    <w:rsid w:val="009D599F"/>
    <w:rsid w:val="009D6517"/>
    <w:rsid w:val="009D67FB"/>
    <w:rsid w:val="009D68F7"/>
    <w:rsid w:val="009D6CDB"/>
    <w:rsid w:val="009D7371"/>
    <w:rsid w:val="009D79D8"/>
    <w:rsid w:val="009D7FAA"/>
    <w:rsid w:val="009E01A0"/>
    <w:rsid w:val="009E051B"/>
    <w:rsid w:val="009E0565"/>
    <w:rsid w:val="009E0FBC"/>
    <w:rsid w:val="009E17B0"/>
    <w:rsid w:val="009E2055"/>
    <w:rsid w:val="009E35F9"/>
    <w:rsid w:val="009E3628"/>
    <w:rsid w:val="009E38B7"/>
    <w:rsid w:val="009E42CD"/>
    <w:rsid w:val="009E442A"/>
    <w:rsid w:val="009E4C65"/>
    <w:rsid w:val="009E4F66"/>
    <w:rsid w:val="009E4F7D"/>
    <w:rsid w:val="009E50DC"/>
    <w:rsid w:val="009E558C"/>
    <w:rsid w:val="009E5AEC"/>
    <w:rsid w:val="009E7200"/>
    <w:rsid w:val="009E7951"/>
    <w:rsid w:val="009F1155"/>
    <w:rsid w:val="009F129E"/>
    <w:rsid w:val="009F1FF2"/>
    <w:rsid w:val="009F2377"/>
    <w:rsid w:val="009F3272"/>
    <w:rsid w:val="009F398A"/>
    <w:rsid w:val="009F3CF5"/>
    <w:rsid w:val="009F4143"/>
    <w:rsid w:val="009F42B4"/>
    <w:rsid w:val="009F4554"/>
    <w:rsid w:val="009F4652"/>
    <w:rsid w:val="009F4D6F"/>
    <w:rsid w:val="009F4E93"/>
    <w:rsid w:val="009F5CDC"/>
    <w:rsid w:val="009F639A"/>
    <w:rsid w:val="009F654C"/>
    <w:rsid w:val="009F656C"/>
    <w:rsid w:val="009F678B"/>
    <w:rsid w:val="009F6F96"/>
    <w:rsid w:val="009F750D"/>
    <w:rsid w:val="009F7A59"/>
    <w:rsid w:val="00A000D1"/>
    <w:rsid w:val="00A00D3A"/>
    <w:rsid w:val="00A01089"/>
    <w:rsid w:val="00A016CF"/>
    <w:rsid w:val="00A016DB"/>
    <w:rsid w:val="00A017F6"/>
    <w:rsid w:val="00A02402"/>
    <w:rsid w:val="00A028CF"/>
    <w:rsid w:val="00A02ACB"/>
    <w:rsid w:val="00A02CC0"/>
    <w:rsid w:val="00A03142"/>
    <w:rsid w:val="00A032C2"/>
    <w:rsid w:val="00A03F2E"/>
    <w:rsid w:val="00A03FF7"/>
    <w:rsid w:val="00A04349"/>
    <w:rsid w:val="00A043FD"/>
    <w:rsid w:val="00A04431"/>
    <w:rsid w:val="00A04618"/>
    <w:rsid w:val="00A047BF"/>
    <w:rsid w:val="00A04933"/>
    <w:rsid w:val="00A04E75"/>
    <w:rsid w:val="00A05473"/>
    <w:rsid w:val="00A054D1"/>
    <w:rsid w:val="00A05962"/>
    <w:rsid w:val="00A05B13"/>
    <w:rsid w:val="00A05CF1"/>
    <w:rsid w:val="00A06088"/>
    <w:rsid w:val="00A071AB"/>
    <w:rsid w:val="00A07473"/>
    <w:rsid w:val="00A07D3D"/>
    <w:rsid w:val="00A07F36"/>
    <w:rsid w:val="00A11466"/>
    <w:rsid w:val="00A1162F"/>
    <w:rsid w:val="00A11A9E"/>
    <w:rsid w:val="00A11E52"/>
    <w:rsid w:val="00A12A9E"/>
    <w:rsid w:val="00A12D74"/>
    <w:rsid w:val="00A130D1"/>
    <w:rsid w:val="00A1311B"/>
    <w:rsid w:val="00A132D1"/>
    <w:rsid w:val="00A137FC"/>
    <w:rsid w:val="00A13E11"/>
    <w:rsid w:val="00A13E84"/>
    <w:rsid w:val="00A14592"/>
    <w:rsid w:val="00A1493C"/>
    <w:rsid w:val="00A14ABA"/>
    <w:rsid w:val="00A1649C"/>
    <w:rsid w:val="00A16991"/>
    <w:rsid w:val="00A17292"/>
    <w:rsid w:val="00A20479"/>
    <w:rsid w:val="00A20521"/>
    <w:rsid w:val="00A20C19"/>
    <w:rsid w:val="00A20C25"/>
    <w:rsid w:val="00A2116D"/>
    <w:rsid w:val="00A212B5"/>
    <w:rsid w:val="00A21307"/>
    <w:rsid w:val="00A21AD7"/>
    <w:rsid w:val="00A21F88"/>
    <w:rsid w:val="00A22334"/>
    <w:rsid w:val="00A22638"/>
    <w:rsid w:val="00A228FB"/>
    <w:rsid w:val="00A23203"/>
    <w:rsid w:val="00A23459"/>
    <w:rsid w:val="00A23FE2"/>
    <w:rsid w:val="00A240CF"/>
    <w:rsid w:val="00A24537"/>
    <w:rsid w:val="00A25089"/>
    <w:rsid w:val="00A250DE"/>
    <w:rsid w:val="00A252F6"/>
    <w:rsid w:val="00A255AD"/>
    <w:rsid w:val="00A25601"/>
    <w:rsid w:val="00A2635D"/>
    <w:rsid w:val="00A2670E"/>
    <w:rsid w:val="00A270D5"/>
    <w:rsid w:val="00A271CB"/>
    <w:rsid w:val="00A2737F"/>
    <w:rsid w:val="00A27D3D"/>
    <w:rsid w:val="00A3018F"/>
    <w:rsid w:val="00A30352"/>
    <w:rsid w:val="00A30F7D"/>
    <w:rsid w:val="00A316B0"/>
    <w:rsid w:val="00A317EB"/>
    <w:rsid w:val="00A31865"/>
    <w:rsid w:val="00A31972"/>
    <w:rsid w:val="00A3250E"/>
    <w:rsid w:val="00A32FE9"/>
    <w:rsid w:val="00A3327D"/>
    <w:rsid w:val="00A33925"/>
    <w:rsid w:val="00A33A3C"/>
    <w:rsid w:val="00A33D86"/>
    <w:rsid w:val="00A34618"/>
    <w:rsid w:val="00A34C75"/>
    <w:rsid w:val="00A34C93"/>
    <w:rsid w:val="00A34FDC"/>
    <w:rsid w:val="00A3526A"/>
    <w:rsid w:val="00A36755"/>
    <w:rsid w:val="00A37881"/>
    <w:rsid w:val="00A4005A"/>
    <w:rsid w:val="00A40131"/>
    <w:rsid w:val="00A4034F"/>
    <w:rsid w:val="00A40CF8"/>
    <w:rsid w:val="00A4117C"/>
    <w:rsid w:val="00A4230D"/>
    <w:rsid w:val="00A42364"/>
    <w:rsid w:val="00A4269A"/>
    <w:rsid w:val="00A426AC"/>
    <w:rsid w:val="00A43A68"/>
    <w:rsid w:val="00A445BA"/>
    <w:rsid w:val="00A44C0D"/>
    <w:rsid w:val="00A451AD"/>
    <w:rsid w:val="00A454B2"/>
    <w:rsid w:val="00A466BC"/>
    <w:rsid w:val="00A46BF6"/>
    <w:rsid w:val="00A46C6A"/>
    <w:rsid w:val="00A46FB2"/>
    <w:rsid w:val="00A473A0"/>
    <w:rsid w:val="00A476A8"/>
    <w:rsid w:val="00A50C53"/>
    <w:rsid w:val="00A50CDB"/>
    <w:rsid w:val="00A50D41"/>
    <w:rsid w:val="00A50E32"/>
    <w:rsid w:val="00A515B2"/>
    <w:rsid w:val="00A515F5"/>
    <w:rsid w:val="00A516B8"/>
    <w:rsid w:val="00A51957"/>
    <w:rsid w:val="00A519A7"/>
    <w:rsid w:val="00A5228D"/>
    <w:rsid w:val="00A525E0"/>
    <w:rsid w:val="00A5265A"/>
    <w:rsid w:val="00A52A9B"/>
    <w:rsid w:val="00A52B71"/>
    <w:rsid w:val="00A52D8A"/>
    <w:rsid w:val="00A52E0F"/>
    <w:rsid w:val="00A531AB"/>
    <w:rsid w:val="00A53599"/>
    <w:rsid w:val="00A536F2"/>
    <w:rsid w:val="00A537EB"/>
    <w:rsid w:val="00A53843"/>
    <w:rsid w:val="00A53CEE"/>
    <w:rsid w:val="00A54512"/>
    <w:rsid w:val="00A547A6"/>
    <w:rsid w:val="00A54886"/>
    <w:rsid w:val="00A54A9C"/>
    <w:rsid w:val="00A54C2E"/>
    <w:rsid w:val="00A55A6E"/>
    <w:rsid w:val="00A55EDE"/>
    <w:rsid w:val="00A561A7"/>
    <w:rsid w:val="00A56275"/>
    <w:rsid w:val="00A563D5"/>
    <w:rsid w:val="00A57393"/>
    <w:rsid w:val="00A57BF3"/>
    <w:rsid w:val="00A57C62"/>
    <w:rsid w:val="00A57E91"/>
    <w:rsid w:val="00A57EEC"/>
    <w:rsid w:val="00A57F6F"/>
    <w:rsid w:val="00A602BA"/>
    <w:rsid w:val="00A6035C"/>
    <w:rsid w:val="00A605C8"/>
    <w:rsid w:val="00A60953"/>
    <w:rsid w:val="00A6122C"/>
    <w:rsid w:val="00A61640"/>
    <w:rsid w:val="00A616D2"/>
    <w:rsid w:val="00A61B23"/>
    <w:rsid w:val="00A61C6C"/>
    <w:rsid w:val="00A620F6"/>
    <w:rsid w:val="00A62264"/>
    <w:rsid w:val="00A62592"/>
    <w:rsid w:val="00A62D9A"/>
    <w:rsid w:val="00A634B0"/>
    <w:rsid w:val="00A634CE"/>
    <w:rsid w:val="00A64255"/>
    <w:rsid w:val="00A64389"/>
    <w:rsid w:val="00A64480"/>
    <w:rsid w:val="00A6487F"/>
    <w:rsid w:val="00A64A8F"/>
    <w:rsid w:val="00A64F64"/>
    <w:rsid w:val="00A65660"/>
    <w:rsid w:val="00A657D9"/>
    <w:rsid w:val="00A66113"/>
    <w:rsid w:val="00A66582"/>
    <w:rsid w:val="00A66667"/>
    <w:rsid w:val="00A668C5"/>
    <w:rsid w:val="00A66EFC"/>
    <w:rsid w:val="00A67097"/>
    <w:rsid w:val="00A70063"/>
    <w:rsid w:val="00A701E4"/>
    <w:rsid w:val="00A707DC"/>
    <w:rsid w:val="00A70967"/>
    <w:rsid w:val="00A70AE9"/>
    <w:rsid w:val="00A70D83"/>
    <w:rsid w:val="00A7159F"/>
    <w:rsid w:val="00A71848"/>
    <w:rsid w:val="00A71CBD"/>
    <w:rsid w:val="00A72333"/>
    <w:rsid w:val="00A7272E"/>
    <w:rsid w:val="00A72A1B"/>
    <w:rsid w:val="00A72D92"/>
    <w:rsid w:val="00A73098"/>
    <w:rsid w:val="00A73478"/>
    <w:rsid w:val="00A73DEA"/>
    <w:rsid w:val="00A74091"/>
    <w:rsid w:val="00A750E2"/>
    <w:rsid w:val="00A75A75"/>
    <w:rsid w:val="00A75B3A"/>
    <w:rsid w:val="00A76280"/>
    <w:rsid w:val="00A763F0"/>
    <w:rsid w:val="00A7671D"/>
    <w:rsid w:val="00A775CF"/>
    <w:rsid w:val="00A804F3"/>
    <w:rsid w:val="00A80756"/>
    <w:rsid w:val="00A80B65"/>
    <w:rsid w:val="00A80DE8"/>
    <w:rsid w:val="00A81130"/>
    <w:rsid w:val="00A8185B"/>
    <w:rsid w:val="00A824F2"/>
    <w:rsid w:val="00A82C7F"/>
    <w:rsid w:val="00A82D8F"/>
    <w:rsid w:val="00A8350B"/>
    <w:rsid w:val="00A84386"/>
    <w:rsid w:val="00A8492A"/>
    <w:rsid w:val="00A8566B"/>
    <w:rsid w:val="00A85B60"/>
    <w:rsid w:val="00A85FE7"/>
    <w:rsid w:val="00A86124"/>
    <w:rsid w:val="00A861BC"/>
    <w:rsid w:val="00A8622E"/>
    <w:rsid w:val="00A86445"/>
    <w:rsid w:val="00A86446"/>
    <w:rsid w:val="00A8693A"/>
    <w:rsid w:val="00A86E57"/>
    <w:rsid w:val="00A872DD"/>
    <w:rsid w:val="00A8766B"/>
    <w:rsid w:val="00A87C8B"/>
    <w:rsid w:val="00A9016A"/>
    <w:rsid w:val="00A901B2"/>
    <w:rsid w:val="00A90C36"/>
    <w:rsid w:val="00A90F82"/>
    <w:rsid w:val="00A914F2"/>
    <w:rsid w:val="00A9234C"/>
    <w:rsid w:val="00A92B2C"/>
    <w:rsid w:val="00A92C6E"/>
    <w:rsid w:val="00A93C35"/>
    <w:rsid w:val="00A942FD"/>
    <w:rsid w:val="00A944D6"/>
    <w:rsid w:val="00A947BC"/>
    <w:rsid w:val="00A948F8"/>
    <w:rsid w:val="00A950BA"/>
    <w:rsid w:val="00A95483"/>
    <w:rsid w:val="00A9563E"/>
    <w:rsid w:val="00A95A79"/>
    <w:rsid w:val="00A95DC5"/>
    <w:rsid w:val="00A96DAF"/>
    <w:rsid w:val="00A972E2"/>
    <w:rsid w:val="00AA05C7"/>
    <w:rsid w:val="00AA0669"/>
    <w:rsid w:val="00AA0856"/>
    <w:rsid w:val="00AA08BA"/>
    <w:rsid w:val="00AA0BD7"/>
    <w:rsid w:val="00AA0E7B"/>
    <w:rsid w:val="00AA1454"/>
    <w:rsid w:val="00AA183E"/>
    <w:rsid w:val="00AA1B38"/>
    <w:rsid w:val="00AA2060"/>
    <w:rsid w:val="00AA2638"/>
    <w:rsid w:val="00AA26AC"/>
    <w:rsid w:val="00AA28CC"/>
    <w:rsid w:val="00AA2908"/>
    <w:rsid w:val="00AA2929"/>
    <w:rsid w:val="00AA2D01"/>
    <w:rsid w:val="00AA30B3"/>
    <w:rsid w:val="00AA4464"/>
    <w:rsid w:val="00AA446F"/>
    <w:rsid w:val="00AA48CB"/>
    <w:rsid w:val="00AA506C"/>
    <w:rsid w:val="00AA5957"/>
    <w:rsid w:val="00AA5C91"/>
    <w:rsid w:val="00AA5CA5"/>
    <w:rsid w:val="00AA5FAF"/>
    <w:rsid w:val="00AA625E"/>
    <w:rsid w:val="00AA63BD"/>
    <w:rsid w:val="00AA6778"/>
    <w:rsid w:val="00AA69AD"/>
    <w:rsid w:val="00AA6EDD"/>
    <w:rsid w:val="00AA6FC0"/>
    <w:rsid w:val="00AA79A4"/>
    <w:rsid w:val="00AA7E01"/>
    <w:rsid w:val="00AB0FD4"/>
    <w:rsid w:val="00AB12C1"/>
    <w:rsid w:val="00AB2B18"/>
    <w:rsid w:val="00AB2CB7"/>
    <w:rsid w:val="00AB3AC1"/>
    <w:rsid w:val="00AB3B56"/>
    <w:rsid w:val="00AB3DC6"/>
    <w:rsid w:val="00AB405A"/>
    <w:rsid w:val="00AB40B3"/>
    <w:rsid w:val="00AB4130"/>
    <w:rsid w:val="00AB41CE"/>
    <w:rsid w:val="00AB46A3"/>
    <w:rsid w:val="00AB48B7"/>
    <w:rsid w:val="00AB496C"/>
    <w:rsid w:val="00AB4FF5"/>
    <w:rsid w:val="00AB5463"/>
    <w:rsid w:val="00AB5C5E"/>
    <w:rsid w:val="00AB603E"/>
    <w:rsid w:val="00AB6388"/>
    <w:rsid w:val="00AB67D6"/>
    <w:rsid w:val="00AB6E49"/>
    <w:rsid w:val="00AB6EE5"/>
    <w:rsid w:val="00AB7352"/>
    <w:rsid w:val="00AC0424"/>
    <w:rsid w:val="00AC1421"/>
    <w:rsid w:val="00AC1AE0"/>
    <w:rsid w:val="00AC1F3E"/>
    <w:rsid w:val="00AC26AB"/>
    <w:rsid w:val="00AC2911"/>
    <w:rsid w:val="00AC2E54"/>
    <w:rsid w:val="00AC30B5"/>
    <w:rsid w:val="00AC3A78"/>
    <w:rsid w:val="00AC4A33"/>
    <w:rsid w:val="00AC5069"/>
    <w:rsid w:val="00AC5079"/>
    <w:rsid w:val="00AC588C"/>
    <w:rsid w:val="00AC5A6B"/>
    <w:rsid w:val="00AC60B5"/>
    <w:rsid w:val="00AC661C"/>
    <w:rsid w:val="00AC68E3"/>
    <w:rsid w:val="00AC69C1"/>
    <w:rsid w:val="00AC6C2A"/>
    <w:rsid w:val="00AC6F4B"/>
    <w:rsid w:val="00AC75DB"/>
    <w:rsid w:val="00AC781C"/>
    <w:rsid w:val="00AD07AA"/>
    <w:rsid w:val="00AD0F95"/>
    <w:rsid w:val="00AD1024"/>
    <w:rsid w:val="00AD16C5"/>
    <w:rsid w:val="00AD2066"/>
    <w:rsid w:val="00AD28DB"/>
    <w:rsid w:val="00AD29B1"/>
    <w:rsid w:val="00AD2FD3"/>
    <w:rsid w:val="00AD3000"/>
    <w:rsid w:val="00AD3644"/>
    <w:rsid w:val="00AD3753"/>
    <w:rsid w:val="00AD3980"/>
    <w:rsid w:val="00AD39D2"/>
    <w:rsid w:val="00AD48F3"/>
    <w:rsid w:val="00AD4AC1"/>
    <w:rsid w:val="00AD5073"/>
    <w:rsid w:val="00AD54BD"/>
    <w:rsid w:val="00AD5732"/>
    <w:rsid w:val="00AD5B03"/>
    <w:rsid w:val="00AD5C4F"/>
    <w:rsid w:val="00AD5D43"/>
    <w:rsid w:val="00AD6170"/>
    <w:rsid w:val="00AD6DD3"/>
    <w:rsid w:val="00AD718F"/>
    <w:rsid w:val="00AD74BB"/>
    <w:rsid w:val="00AD7D96"/>
    <w:rsid w:val="00AD7EFB"/>
    <w:rsid w:val="00AE06F8"/>
    <w:rsid w:val="00AE0C01"/>
    <w:rsid w:val="00AE1080"/>
    <w:rsid w:val="00AE14C3"/>
    <w:rsid w:val="00AE14F8"/>
    <w:rsid w:val="00AE16AA"/>
    <w:rsid w:val="00AE1C92"/>
    <w:rsid w:val="00AE1D76"/>
    <w:rsid w:val="00AE1E32"/>
    <w:rsid w:val="00AE28D7"/>
    <w:rsid w:val="00AE2A34"/>
    <w:rsid w:val="00AE337B"/>
    <w:rsid w:val="00AE3561"/>
    <w:rsid w:val="00AE38ED"/>
    <w:rsid w:val="00AE3A01"/>
    <w:rsid w:val="00AE3F6A"/>
    <w:rsid w:val="00AE439C"/>
    <w:rsid w:val="00AE4CE0"/>
    <w:rsid w:val="00AE54E1"/>
    <w:rsid w:val="00AE593D"/>
    <w:rsid w:val="00AE65AF"/>
    <w:rsid w:val="00AE6993"/>
    <w:rsid w:val="00AE74E2"/>
    <w:rsid w:val="00AF0144"/>
    <w:rsid w:val="00AF02D1"/>
    <w:rsid w:val="00AF051A"/>
    <w:rsid w:val="00AF0791"/>
    <w:rsid w:val="00AF08F3"/>
    <w:rsid w:val="00AF09FE"/>
    <w:rsid w:val="00AF0BE9"/>
    <w:rsid w:val="00AF0CB4"/>
    <w:rsid w:val="00AF1371"/>
    <w:rsid w:val="00AF1B24"/>
    <w:rsid w:val="00AF1D03"/>
    <w:rsid w:val="00AF229B"/>
    <w:rsid w:val="00AF3048"/>
    <w:rsid w:val="00AF332E"/>
    <w:rsid w:val="00AF35BD"/>
    <w:rsid w:val="00AF3856"/>
    <w:rsid w:val="00AF3C4A"/>
    <w:rsid w:val="00AF3DE3"/>
    <w:rsid w:val="00AF49EC"/>
    <w:rsid w:val="00AF4A2E"/>
    <w:rsid w:val="00AF4B95"/>
    <w:rsid w:val="00AF5974"/>
    <w:rsid w:val="00AF5C75"/>
    <w:rsid w:val="00AF5CED"/>
    <w:rsid w:val="00AF5DE4"/>
    <w:rsid w:val="00AF5EC1"/>
    <w:rsid w:val="00AF633F"/>
    <w:rsid w:val="00AF69C0"/>
    <w:rsid w:val="00AF6A23"/>
    <w:rsid w:val="00AF7AC4"/>
    <w:rsid w:val="00B00E68"/>
    <w:rsid w:val="00B0178F"/>
    <w:rsid w:val="00B0212D"/>
    <w:rsid w:val="00B02916"/>
    <w:rsid w:val="00B02D1C"/>
    <w:rsid w:val="00B0338E"/>
    <w:rsid w:val="00B03671"/>
    <w:rsid w:val="00B036B4"/>
    <w:rsid w:val="00B039E0"/>
    <w:rsid w:val="00B04706"/>
    <w:rsid w:val="00B0473F"/>
    <w:rsid w:val="00B04B10"/>
    <w:rsid w:val="00B04B5A"/>
    <w:rsid w:val="00B0505E"/>
    <w:rsid w:val="00B05BB4"/>
    <w:rsid w:val="00B05FBE"/>
    <w:rsid w:val="00B06045"/>
    <w:rsid w:val="00B06DCC"/>
    <w:rsid w:val="00B07117"/>
    <w:rsid w:val="00B076F6"/>
    <w:rsid w:val="00B104F5"/>
    <w:rsid w:val="00B107E2"/>
    <w:rsid w:val="00B11186"/>
    <w:rsid w:val="00B112B0"/>
    <w:rsid w:val="00B11A5A"/>
    <w:rsid w:val="00B12138"/>
    <w:rsid w:val="00B1225F"/>
    <w:rsid w:val="00B12699"/>
    <w:rsid w:val="00B1269D"/>
    <w:rsid w:val="00B126D0"/>
    <w:rsid w:val="00B12AA5"/>
    <w:rsid w:val="00B12AF7"/>
    <w:rsid w:val="00B13804"/>
    <w:rsid w:val="00B13840"/>
    <w:rsid w:val="00B13D48"/>
    <w:rsid w:val="00B14D6D"/>
    <w:rsid w:val="00B15226"/>
    <w:rsid w:val="00B15804"/>
    <w:rsid w:val="00B15E90"/>
    <w:rsid w:val="00B162E6"/>
    <w:rsid w:val="00B16305"/>
    <w:rsid w:val="00B1630B"/>
    <w:rsid w:val="00B165E0"/>
    <w:rsid w:val="00B16771"/>
    <w:rsid w:val="00B16BAE"/>
    <w:rsid w:val="00B176DB"/>
    <w:rsid w:val="00B20744"/>
    <w:rsid w:val="00B208F2"/>
    <w:rsid w:val="00B20AA9"/>
    <w:rsid w:val="00B212EB"/>
    <w:rsid w:val="00B2132E"/>
    <w:rsid w:val="00B215AC"/>
    <w:rsid w:val="00B218DD"/>
    <w:rsid w:val="00B21E8D"/>
    <w:rsid w:val="00B22020"/>
    <w:rsid w:val="00B22246"/>
    <w:rsid w:val="00B22B3B"/>
    <w:rsid w:val="00B236DA"/>
    <w:rsid w:val="00B23BB2"/>
    <w:rsid w:val="00B241BC"/>
    <w:rsid w:val="00B243DD"/>
    <w:rsid w:val="00B24750"/>
    <w:rsid w:val="00B24AD6"/>
    <w:rsid w:val="00B25993"/>
    <w:rsid w:val="00B259D3"/>
    <w:rsid w:val="00B25A0B"/>
    <w:rsid w:val="00B25DB5"/>
    <w:rsid w:val="00B26BA1"/>
    <w:rsid w:val="00B26C65"/>
    <w:rsid w:val="00B27038"/>
    <w:rsid w:val="00B27070"/>
    <w:rsid w:val="00B2797A"/>
    <w:rsid w:val="00B3002E"/>
    <w:rsid w:val="00B30511"/>
    <w:rsid w:val="00B306E9"/>
    <w:rsid w:val="00B30D1C"/>
    <w:rsid w:val="00B30DEB"/>
    <w:rsid w:val="00B30EDF"/>
    <w:rsid w:val="00B310B9"/>
    <w:rsid w:val="00B31299"/>
    <w:rsid w:val="00B31514"/>
    <w:rsid w:val="00B31763"/>
    <w:rsid w:val="00B31823"/>
    <w:rsid w:val="00B31E50"/>
    <w:rsid w:val="00B3283E"/>
    <w:rsid w:val="00B33503"/>
    <w:rsid w:val="00B3441D"/>
    <w:rsid w:val="00B345A4"/>
    <w:rsid w:val="00B346AD"/>
    <w:rsid w:val="00B346D9"/>
    <w:rsid w:val="00B34F62"/>
    <w:rsid w:val="00B3537C"/>
    <w:rsid w:val="00B35DB8"/>
    <w:rsid w:val="00B35E08"/>
    <w:rsid w:val="00B3604A"/>
    <w:rsid w:val="00B36095"/>
    <w:rsid w:val="00B36336"/>
    <w:rsid w:val="00B3740C"/>
    <w:rsid w:val="00B37712"/>
    <w:rsid w:val="00B4041B"/>
    <w:rsid w:val="00B404CE"/>
    <w:rsid w:val="00B414CA"/>
    <w:rsid w:val="00B416A9"/>
    <w:rsid w:val="00B421EB"/>
    <w:rsid w:val="00B42533"/>
    <w:rsid w:val="00B42880"/>
    <w:rsid w:val="00B428E3"/>
    <w:rsid w:val="00B429EA"/>
    <w:rsid w:val="00B43212"/>
    <w:rsid w:val="00B4327F"/>
    <w:rsid w:val="00B433F9"/>
    <w:rsid w:val="00B43512"/>
    <w:rsid w:val="00B43678"/>
    <w:rsid w:val="00B437D0"/>
    <w:rsid w:val="00B439BA"/>
    <w:rsid w:val="00B44330"/>
    <w:rsid w:val="00B443D5"/>
    <w:rsid w:val="00B44940"/>
    <w:rsid w:val="00B45250"/>
    <w:rsid w:val="00B45A1D"/>
    <w:rsid w:val="00B45CC6"/>
    <w:rsid w:val="00B45EDC"/>
    <w:rsid w:val="00B461D4"/>
    <w:rsid w:val="00B46328"/>
    <w:rsid w:val="00B4737E"/>
    <w:rsid w:val="00B4787D"/>
    <w:rsid w:val="00B47898"/>
    <w:rsid w:val="00B503A2"/>
    <w:rsid w:val="00B50665"/>
    <w:rsid w:val="00B51248"/>
    <w:rsid w:val="00B51784"/>
    <w:rsid w:val="00B518DA"/>
    <w:rsid w:val="00B519F0"/>
    <w:rsid w:val="00B51A64"/>
    <w:rsid w:val="00B51EA5"/>
    <w:rsid w:val="00B52F4E"/>
    <w:rsid w:val="00B53D1D"/>
    <w:rsid w:val="00B54BBD"/>
    <w:rsid w:val="00B55118"/>
    <w:rsid w:val="00B55597"/>
    <w:rsid w:val="00B55691"/>
    <w:rsid w:val="00B558E0"/>
    <w:rsid w:val="00B55AF8"/>
    <w:rsid w:val="00B55BFF"/>
    <w:rsid w:val="00B55EC0"/>
    <w:rsid w:val="00B56336"/>
    <w:rsid w:val="00B56856"/>
    <w:rsid w:val="00B56877"/>
    <w:rsid w:val="00B568CF"/>
    <w:rsid w:val="00B56914"/>
    <w:rsid w:val="00B56EFF"/>
    <w:rsid w:val="00B5729E"/>
    <w:rsid w:val="00B573BB"/>
    <w:rsid w:val="00B57C36"/>
    <w:rsid w:val="00B60131"/>
    <w:rsid w:val="00B60595"/>
    <w:rsid w:val="00B605DC"/>
    <w:rsid w:val="00B607B9"/>
    <w:rsid w:val="00B60E4B"/>
    <w:rsid w:val="00B62725"/>
    <w:rsid w:val="00B628F5"/>
    <w:rsid w:val="00B62A64"/>
    <w:rsid w:val="00B62D0F"/>
    <w:rsid w:val="00B63FB5"/>
    <w:rsid w:val="00B64028"/>
    <w:rsid w:val="00B641EF"/>
    <w:rsid w:val="00B64943"/>
    <w:rsid w:val="00B64978"/>
    <w:rsid w:val="00B64AEF"/>
    <w:rsid w:val="00B6570F"/>
    <w:rsid w:val="00B65D9A"/>
    <w:rsid w:val="00B662DF"/>
    <w:rsid w:val="00B66789"/>
    <w:rsid w:val="00B66FCE"/>
    <w:rsid w:val="00B670D3"/>
    <w:rsid w:val="00B6716D"/>
    <w:rsid w:val="00B70066"/>
    <w:rsid w:val="00B700B1"/>
    <w:rsid w:val="00B7059D"/>
    <w:rsid w:val="00B70772"/>
    <w:rsid w:val="00B70C35"/>
    <w:rsid w:val="00B70D36"/>
    <w:rsid w:val="00B70EFC"/>
    <w:rsid w:val="00B70FAF"/>
    <w:rsid w:val="00B71527"/>
    <w:rsid w:val="00B718ED"/>
    <w:rsid w:val="00B7194F"/>
    <w:rsid w:val="00B71D26"/>
    <w:rsid w:val="00B72298"/>
    <w:rsid w:val="00B7242C"/>
    <w:rsid w:val="00B725ED"/>
    <w:rsid w:val="00B72679"/>
    <w:rsid w:val="00B72A1B"/>
    <w:rsid w:val="00B72ADA"/>
    <w:rsid w:val="00B72FD5"/>
    <w:rsid w:val="00B73524"/>
    <w:rsid w:val="00B73803"/>
    <w:rsid w:val="00B73AFA"/>
    <w:rsid w:val="00B73DF0"/>
    <w:rsid w:val="00B74608"/>
    <w:rsid w:val="00B746DC"/>
    <w:rsid w:val="00B74E70"/>
    <w:rsid w:val="00B75069"/>
    <w:rsid w:val="00B754A1"/>
    <w:rsid w:val="00B76040"/>
    <w:rsid w:val="00B76118"/>
    <w:rsid w:val="00B76361"/>
    <w:rsid w:val="00B765DB"/>
    <w:rsid w:val="00B76845"/>
    <w:rsid w:val="00B76CD1"/>
    <w:rsid w:val="00B771E9"/>
    <w:rsid w:val="00B7743A"/>
    <w:rsid w:val="00B7787D"/>
    <w:rsid w:val="00B805D2"/>
    <w:rsid w:val="00B809AC"/>
    <w:rsid w:val="00B80DE1"/>
    <w:rsid w:val="00B80E68"/>
    <w:rsid w:val="00B8190E"/>
    <w:rsid w:val="00B81C78"/>
    <w:rsid w:val="00B81D05"/>
    <w:rsid w:val="00B82C00"/>
    <w:rsid w:val="00B82FB4"/>
    <w:rsid w:val="00B83398"/>
    <w:rsid w:val="00B834DF"/>
    <w:rsid w:val="00B83991"/>
    <w:rsid w:val="00B83CC4"/>
    <w:rsid w:val="00B84695"/>
    <w:rsid w:val="00B8483B"/>
    <w:rsid w:val="00B849FE"/>
    <w:rsid w:val="00B85C50"/>
    <w:rsid w:val="00B85C8E"/>
    <w:rsid w:val="00B85F97"/>
    <w:rsid w:val="00B86286"/>
    <w:rsid w:val="00B862CE"/>
    <w:rsid w:val="00B86752"/>
    <w:rsid w:val="00B868A2"/>
    <w:rsid w:val="00B86C44"/>
    <w:rsid w:val="00B877FC"/>
    <w:rsid w:val="00B9000A"/>
    <w:rsid w:val="00B9000D"/>
    <w:rsid w:val="00B90120"/>
    <w:rsid w:val="00B903E5"/>
    <w:rsid w:val="00B906CD"/>
    <w:rsid w:val="00B91945"/>
    <w:rsid w:val="00B91A08"/>
    <w:rsid w:val="00B91AA3"/>
    <w:rsid w:val="00B91D85"/>
    <w:rsid w:val="00B91ED5"/>
    <w:rsid w:val="00B92593"/>
    <w:rsid w:val="00B92C25"/>
    <w:rsid w:val="00B93082"/>
    <w:rsid w:val="00B931F5"/>
    <w:rsid w:val="00B93558"/>
    <w:rsid w:val="00B947D9"/>
    <w:rsid w:val="00B95016"/>
    <w:rsid w:val="00B9519F"/>
    <w:rsid w:val="00B9564D"/>
    <w:rsid w:val="00B95840"/>
    <w:rsid w:val="00B961C7"/>
    <w:rsid w:val="00B972AE"/>
    <w:rsid w:val="00B97377"/>
    <w:rsid w:val="00B974A0"/>
    <w:rsid w:val="00B97D01"/>
    <w:rsid w:val="00B97F79"/>
    <w:rsid w:val="00BA08E8"/>
    <w:rsid w:val="00BA0911"/>
    <w:rsid w:val="00BA1118"/>
    <w:rsid w:val="00BA1843"/>
    <w:rsid w:val="00BA19D4"/>
    <w:rsid w:val="00BA1FEF"/>
    <w:rsid w:val="00BA20FE"/>
    <w:rsid w:val="00BA242D"/>
    <w:rsid w:val="00BA2916"/>
    <w:rsid w:val="00BA2934"/>
    <w:rsid w:val="00BA2BEE"/>
    <w:rsid w:val="00BA3120"/>
    <w:rsid w:val="00BA35EB"/>
    <w:rsid w:val="00BA367C"/>
    <w:rsid w:val="00BA418E"/>
    <w:rsid w:val="00BA43F7"/>
    <w:rsid w:val="00BA45B5"/>
    <w:rsid w:val="00BA4A63"/>
    <w:rsid w:val="00BA4F0A"/>
    <w:rsid w:val="00BA502F"/>
    <w:rsid w:val="00BA5859"/>
    <w:rsid w:val="00BA5C3B"/>
    <w:rsid w:val="00BA5D38"/>
    <w:rsid w:val="00BA65D8"/>
    <w:rsid w:val="00BA6E42"/>
    <w:rsid w:val="00BA6EED"/>
    <w:rsid w:val="00BA740C"/>
    <w:rsid w:val="00BA78BC"/>
    <w:rsid w:val="00BA7D4B"/>
    <w:rsid w:val="00BB08F9"/>
    <w:rsid w:val="00BB0AFD"/>
    <w:rsid w:val="00BB0D37"/>
    <w:rsid w:val="00BB1270"/>
    <w:rsid w:val="00BB1F81"/>
    <w:rsid w:val="00BB21A0"/>
    <w:rsid w:val="00BB2469"/>
    <w:rsid w:val="00BB2710"/>
    <w:rsid w:val="00BB2BB7"/>
    <w:rsid w:val="00BB2E74"/>
    <w:rsid w:val="00BB2FAE"/>
    <w:rsid w:val="00BB32BB"/>
    <w:rsid w:val="00BB39B7"/>
    <w:rsid w:val="00BB3AF1"/>
    <w:rsid w:val="00BB438D"/>
    <w:rsid w:val="00BB4890"/>
    <w:rsid w:val="00BB4B44"/>
    <w:rsid w:val="00BB4D37"/>
    <w:rsid w:val="00BB4DDF"/>
    <w:rsid w:val="00BB4ECE"/>
    <w:rsid w:val="00BB4FA3"/>
    <w:rsid w:val="00BB55A9"/>
    <w:rsid w:val="00BB57E0"/>
    <w:rsid w:val="00BB5DA3"/>
    <w:rsid w:val="00BB5E65"/>
    <w:rsid w:val="00BB616D"/>
    <w:rsid w:val="00BB6241"/>
    <w:rsid w:val="00BB692F"/>
    <w:rsid w:val="00BB6DB3"/>
    <w:rsid w:val="00BB6FA8"/>
    <w:rsid w:val="00BB7B14"/>
    <w:rsid w:val="00BB7C8C"/>
    <w:rsid w:val="00BB7F23"/>
    <w:rsid w:val="00BC00BD"/>
    <w:rsid w:val="00BC04CA"/>
    <w:rsid w:val="00BC06D6"/>
    <w:rsid w:val="00BC06EC"/>
    <w:rsid w:val="00BC08B5"/>
    <w:rsid w:val="00BC165C"/>
    <w:rsid w:val="00BC1BF8"/>
    <w:rsid w:val="00BC1F3E"/>
    <w:rsid w:val="00BC2010"/>
    <w:rsid w:val="00BC21AB"/>
    <w:rsid w:val="00BC23F2"/>
    <w:rsid w:val="00BC3476"/>
    <w:rsid w:val="00BC3C86"/>
    <w:rsid w:val="00BC3EDD"/>
    <w:rsid w:val="00BC3F91"/>
    <w:rsid w:val="00BC4263"/>
    <w:rsid w:val="00BC4827"/>
    <w:rsid w:val="00BC4F3B"/>
    <w:rsid w:val="00BC522B"/>
    <w:rsid w:val="00BC542F"/>
    <w:rsid w:val="00BC580E"/>
    <w:rsid w:val="00BC5C37"/>
    <w:rsid w:val="00BC60C6"/>
    <w:rsid w:val="00BC6144"/>
    <w:rsid w:val="00BC6370"/>
    <w:rsid w:val="00BC6C63"/>
    <w:rsid w:val="00BC6FDD"/>
    <w:rsid w:val="00BC7371"/>
    <w:rsid w:val="00BC73AF"/>
    <w:rsid w:val="00BC7BC3"/>
    <w:rsid w:val="00BC7E25"/>
    <w:rsid w:val="00BD02D7"/>
    <w:rsid w:val="00BD040E"/>
    <w:rsid w:val="00BD044F"/>
    <w:rsid w:val="00BD0653"/>
    <w:rsid w:val="00BD08AA"/>
    <w:rsid w:val="00BD1125"/>
    <w:rsid w:val="00BD1C4B"/>
    <w:rsid w:val="00BD29D2"/>
    <w:rsid w:val="00BD2A29"/>
    <w:rsid w:val="00BD2DAB"/>
    <w:rsid w:val="00BD3641"/>
    <w:rsid w:val="00BD4112"/>
    <w:rsid w:val="00BD4599"/>
    <w:rsid w:val="00BD4985"/>
    <w:rsid w:val="00BD4A89"/>
    <w:rsid w:val="00BD4F4E"/>
    <w:rsid w:val="00BD5131"/>
    <w:rsid w:val="00BD5357"/>
    <w:rsid w:val="00BD583C"/>
    <w:rsid w:val="00BD5E85"/>
    <w:rsid w:val="00BD636E"/>
    <w:rsid w:val="00BD6562"/>
    <w:rsid w:val="00BD6CA9"/>
    <w:rsid w:val="00BD7069"/>
    <w:rsid w:val="00BD7398"/>
    <w:rsid w:val="00BD7CD2"/>
    <w:rsid w:val="00BE03BE"/>
    <w:rsid w:val="00BE03F2"/>
    <w:rsid w:val="00BE0614"/>
    <w:rsid w:val="00BE0743"/>
    <w:rsid w:val="00BE1506"/>
    <w:rsid w:val="00BE15C5"/>
    <w:rsid w:val="00BE174E"/>
    <w:rsid w:val="00BE1DCC"/>
    <w:rsid w:val="00BE1E49"/>
    <w:rsid w:val="00BE2091"/>
    <w:rsid w:val="00BE26AF"/>
    <w:rsid w:val="00BE26B6"/>
    <w:rsid w:val="00BE2764"/>
    <w:rsid w:val="00BE2E31"/>
    <w:rsid w:val="00BE2E4C"/>
    <w:rsid w:val="00BE3AA7"/>
    <w:rsid w:val="00BE404A"/>
    <w:rsid w:val="00BE4961"/>
    <w:rsid w:val="00BE4B15"/>
    <w:rsid w:val="00BE5231"/>
    <w:rsid w:val="00BE5450"/>
    <w:rsid w:val="00BE56BC"/>
    <w:rsid w:val="00BE588D"/>
    <w:rsid w:val="00BE5DF7"/>
    <w:rsid w:val="00BE5F46"/>
    <w:rsid w:val="00BE6B3A"/>
    <w:rsid w:val="00BE71A6"/>
    <w:rsid w:val="00BE7454"/>
    <w:rsid w:val="00BE7694"/>
    <w:rsid w:val="00BE7C6C"/>
    <w:rsid w:val="00BE7CE4"/>
    <w:rsid w:val="00BF0475"/>
    <w:rsid w:val="00BF0A82"/>
    <w:rsid w:val="00BF1151"/>
    <w:rsid w:val="00BF17BA"/>
    <w:rsid w:val="00BF1838"/>
    <w:rsid w:val="00BF1E2A"/>
    <w:rsid w:val="00BF24B9"/>
    <w:rsid w:val="00BF26BB"/>
    <w:rsid w:val="00BF285B"/>
    <w:rsid w:val="00BF376C"/>
    <w:rsid w:val="00BF39AC"/>
    <w:rsid w:val="00BF3A9F"/>
    <w:rsid w:val="00BF3BD2"/>
    <w:rsid w:val="00BF3C68"/>
    <w:rsid w:val="00BF431A"/>
    <w:rsid w:val="00BF43C1"/>
    <w:rsid w:val="00BF4A8E"/>
    <w:rsid w:val="00BF4BE0"/>
    <w:rsid w:val="00BF5244"/>
    <w:rsid w:val="00BF544C"/>
    <w:rsid w:val="00BF61F4"/>
    <w:rsid w:val="00BF68DA"/>
    <w:rsid w:val="00BF7770"/>
    <w:rsid w:val="00C001AF"/>
    <w:rsid w:val="00C01192"/>
    <w:rsid w:val="00C01885"/>
    <w:rsid w:val="00C02014"/>
    <w:rsid w:val="00C0300A"/>
    <w:rsid w:val="00C0310F"/>
    <w:rsid w:val="00C031BB"/>
    <w:rsid w:val="00C03214"/>
    <w:rsid w:val="00C033B1"/>
    <w:rsid w:val="00C035DB"/>
    <w:rsid w:val="00C0444D"/>
    <w:rsid w:val="00C04BB5"/>
    <w:rsid w:val="00C052E4"/>
    <w:rsid w:val="00C05423"/>
    <w:rsid w:val="00C0584E"/>
    <w:rsid w:val="00C05893"/>
    <w:rsid w:val="00C067CE"/>
    <w:rsid w:val="00C1004C"/>
    <w:rsid w:val="00C10743"/>
    <w:rsid w:val="00C107E8"/>
    <w:rsid w:val="00C109B5"/>
    <w:rsid w:val="00C109E1"/>
    <w:rsid w:val="00C10B96"/>
    <w:rsid w:val="00C10BA6"/>
    <w:rsid w:val="00C10C3F"/>
    <w:rsid w:val="00C10EA8"/>
    <w:rsid w:val="00C116B1"/>
    <w:rsid w:val="00C11B91"/>
    <w:rsid w:val="00C12A52"/>
    <w:rsid w:val="00C12CDA"/>
    <w:rsid w:val="00C12F6C"/>
    <w:rsid w:val="00C130B1"/>
    <w:rsid w:val="00C152D1"/>
    <w:rsid w:val="00C153A9"/>
    <w:rsid w:val="00C16CD0"/>
    <w:rsid w:val="00C1704B"/>
    <w:rsid w:val="00C171FA"/>
    <w:rsid w:val="00C17666"/>
    <w:rsid w:val="00C176E1"/>
    <w:rsid w:val="00C17C0F"/>
    <w:rsid w:val="00C2008B"/>
    <w:rsid w:val="00C20128"/>
    <w:rsid w:val="00C20272"/>
    <w:rsid w:val="00C20416"/>
    <w:rsid w:val="00C206D6"/>
    <w:rsid w:val="00C20CA0"/>
    <w:rsid w:val="00C20D82"/>
    <w:rsid w:val="00C20F9C"/>
    <w:rsid w:val="00C21406"/>
    <w:rsid w:val="00C21564"/>
    <w:rsid w:val="00C21D14"/>
    <w:rsid w:val="00C2210D"/>
    <w:rsid w:val="00C22A21"/>
    <w:rsid w:val="00C23798"/>
    <w:rsid w:val="00C23978"/>
    <w:rsid w:val="00C2486F"/>
    <w:rsid w:val="00C24CD3"/>
    <w:rsid w:val="00C24CDA"/>
    <w:rsid w:val="00C2589B"/>
    <w:rsid w:val="00C25A60"/>
    <w:rsid w:val="00C25F54"/>
    <w:rsid w:val="00C260C0"/>
    <w:rsid w:val="00C27119"/>
    <w:rsid w:val="00C27613"/>
    <w:rsid w:val="00C2762D"/>
    <w:rsid w:val="00C2765A"/>
    <w:rsid w:val="00C27673"/>
    <w:rsid w:val="00C27949"/>
    <w:rsid w:val="00C27FE9"/>
    <w:rsid w:val="00C30277"/>
    <w:rsid w:val="00C303EA"/>
    <w:rsid w:val="00C304EA"/>
    <w:rsid w:val="00C31353"/>
    <w:rsid w:val="00C319CE"/>
    <w:rsid w:val="00C32042"/>
    <w:rsid w:val="00C32824"/>
    <w:rsid w:val="00C32E97"/>
    <w:rsid w:val="00C33DF5"/>
    <w:rsid w:val="00C33E98"/>
    <w:rsid w:val="00C340F6"/>
    <w:rsid w:val="00C34564"/>
    <w:rsid w:val="00C35383"/>
    <w:rsid w:val="00C3557E"/>
    <w:rsid w:val="00C35A27"/>
    <w:rsid w:val="00C35DDA"/>
    <w:rsid w:val="00C3642B"/>
    <w:rsid w:val="00C36AA9"/>
    <w:rsid w:val="00C37331"/>
    <w:rsid w:val="00C376D4"/>
    <w:rsid w:val="00C40B75"/>
    <w:rsid w:val="00C40E88"/>
    <w:rsid w:val="00C413EB"/>
    <w:rsid w:val="00C4193A"/>
    <w:rsid w:val="00C41CC1"/>
    <w:rsid w:val="00C42457"/>
    <w:rsid w:val="00C42544"/>
    <w:rsid w:val="00C426A2"/>
    <w:rsid w:val="00C42839"/>
    <w:rsid w:val="00C4286B"/>
    <w:rsid w:val="00C42DBA"/>
    <w:rsid w:val="00C42EF5"/>
    <w:rsid w:val="00C434A3"/>
    <w:rsid w:val="00C44282"/>
    <w:rsid w:val="00C44BDE"/>
    <w:rsid w:val="00C44DC0"/>
    <w:rsid w:val="00C44FED"/>
    <w:rsid w:val="00C453F3"/>
    <w:rsid w:val="00C45439"/>
    <w:rsid w:val="00C4553E"/>
    <w:rsid w:val="00C45645"/>
    <w:rsid w:val="00C45F63"/>
    <w:rsid w:val="00C46AC0"/>
    <w:rsid w:val="00C46DBA"/>
    <w:rsid w:val="00C46F40"/>
    <w:rsid w:val="00C472C1"/>
    <w:rsid w:val="00C4749B"/>
    <w:rsid w:val="00C478AB"/>
    <w:rsid w:val="00C47CE0"/>
    <w:rsid w:val="00C47E45"/>
    <w:rsid w:val="00C50108"/>
    <w:rsid w:val="00C50139"/>
    <w:rsid w:val="00C50292"/>
    <w:rsid w:val="00C50641"/>
    <w:rsid w:val="00C5081D"/>
    <w:rsid w:val="00C5092F"/>
    <w:rsid w:val="00C509AA"/>
    <w:rsid w:val="00C509CE"/>
    <w:rsid w:val="00C50BD5"/>
    <w:rsid w:val="00C50CA1"/>
    <w:rsid w:val="00C50E82"/>
    <w:rsid w:val="00C5139E"/>
    <w:rsid w:val="00C51497"/>
    <w:rsid w:val="00C51509"/>
    <w:rsid w:val="00C51936"/>
    <w:rsid w:val="00C51A39"/>
    <w:rsid w:val="00C51AF4"/>
    <w:rsid w:val="00C51D18"/>
    <w:rsid w:val="00C51E58"/>
    <w:rsid w:val="00C52D25"/>
    <w:rsid w:val="00C52FC9"/>
    <w:rsid w:val="00C532F3"/>
    <w:rsid w:val="00C53461"/>
    <w:rsid w:val="00C5375D"/>
    <w:rsid w:val="00C538E4"/>
    <w:rsid w:val="00C53919"/>
    <w:rsid w:val="00C53B41"/>
    <w:rsid w:val="00C53D3A"/>
    <w:rsid w:val="00C5484F"/>
    <w:rsid w:val="00C54D1C"/>
    <w:rsid w:val="00C55AC2"/>
    <w:rsid w:val="00C55ED1"/>
    <w:rsid w:val="00C5609E"/>
    <w:rsid w:val="00C56235"/>
    <w:rsid w:val="00C56319"/>
    <w:rsid w:val="00C563A8"/>
    <w:rsid w:val="00C564C6"/>
    <w:rsid w:val="00C56770"/>
    <w:rsid w:val="00C57861"/>
    <w:rsid w:val="00C57869"/>
    <w:rsid w:val="00C60796"/>
    <w:rsid w:val="00C6101B"/>
    <w:rsid w:val="00C610B6"/>
    <w:rsid w:val="00C611B3"/>
    <w:rsid w:val="00C61466"/>
    <w:rsid w:val="00C61FA0"/>
    <w:rsid w:val="00C622A1"/>
    <w:rsid w:val="00C624AC"/>
    <w:rsid w:val="00C624C0"/>
    <w:rsid w:val="00C62679"/>
    <w:rsid w:val="00C631A4"/>
    <w:rsid w:val="00C63276"/>
    <w:rsid w:val="00C63D01"/>
    <w:rsid w:val="00C63D0E"/>
    <w:rsid w:val="00C646D0"/>
    <w:rsid w:val="00C64988"/>
    <w:rsid w:val="00C64F00"/>
    <w:rsid w:val="00C650CF"/>
    <w:rsid w:val="00C6553D"/>
    <w:rsid w:val="00C65C4E"/>
    <w:rsid w:val="00C661BE"/>
    <w:rsid w:val="00C665BA"/>
    <w:rsid w:val="00C668AC"/>
    <w:rsid w:val="00C66D8D"/>
    <w:rsid w:val="00C67CAC"/>
    <w:rsid w:val="00C70191"/>
    <w:rsid w:val="00C7035A"/>
    <w:rsid w:val="00C7063D"/>
    <w:rsid w:val="00C706D0"/>
    <w:rsid w:val="00C70887"/>
    <w:rsid w:val="00C71B43"/>
    <w:rsid w:val="00C71F5E"/>
    <w:rsid w:val="00C72DB8"/>
    <w:rsid w:val="00C740BA"/>
    <w:rsid w:val="00C743A4"/>
    <w:rsid w:val="00C74F18"/>
    <w:rsid w:val="00C76075"/>
    <w:rsid w:val="00C7679B"/>
    <w:rsid w:val="00C7695C"/>
    <w:rsid w:val="00C771DF"/>
    <w:rsid w:val="00C77216"/>
    <w:rsid w:val="00C80931"/>
    <w:rsid w:val="00C81443"/>
    <w:rsid w:val="00C815DD"/>
    <w:rsid w:val="00C81C6C"/>
    <w:rsid w:val="00C81CDB"/>
    <w:rsid w:val="00C81EB6"/>
    <w:rsid w:val="00C82052"/>
    <w:rsid w:val="00C82752"/>
    <w:rsid w:val="00C8295F"/>
    <w:rsid w:val="00C82E13"/>
    <w:rsid w:val="00C8331A"/>
    <w:rsid w:val="00C834A5"/>
    <w:rsid w:val="00C8370F"/>
    <w:rsid w:val="00C84098"/>
    <w:rsid w:val="00C84EFA"/>
    <w:rsid w:val="00C85093"/>
    <w:rsid w:val="00C85272"/>
    <w:rsid w:val="00C856FA"/>
    <w:rsid w:val="00C85B8D"/>
    <w:rsid w:val="00C85DF0"/>
    <w:rsid w:val="00C867D4"/>
    <w:rsid w:val="00C86B26"/>
    <w:rsid w:val="00C874E0"/>
    <w:rsid w:val="00C87782"/>
    <w:rsid w:val="00C878BC"/>
    <w:rsid w:val="00C87F09"/>
    <w:rsid w:val="00C90475"/>
    <w:rsid w:val="00C908D8"/>
    <w:rsid w:val="00C91ABF"/>
    <w:rsid w:val="00C91B3E"/>
    <w:rsid w:val="00C9284D"/>
    <w:rsid w:val="00C92C13"/>
    <w:rsid w:val="00C93305"/>
    <w:rsid w:val="00C934D0"/>
    <w:rsid w:val="00C93CB7"/>
    <w:rsid w:val="00C942A1"/>
    <w:rsid w:val="00C94560"/>
    <w:rsid w:val="00C94EAE"/>
    <w:rsid w:val="00C94F22"/>
    <w:rsid w:val="00C94F41"/>
    <w:rsid w:val="00C95165"/>
    <w:rsid w:val="00C95367"/>
    <w:rsid w:val="00C95523"/>
    <w:rsid w:val="00C956A5"/>
    <w:rsid w:val="00C95C54"/>
    <w:rsid w:val="00C969C5"/>
    <w:rsid w:val="00C972D0"/>
    <w:rsid w:val="00C97A00"/>
    <w:rsid w:val="00C97B24"/>
    <w:rsid w:val="00C97D67"/>
    <w:rsid w:val="00CA048B"/>
    <w:rsid w:val="00CA048C"/>
    <w:rsid w:val="00CA13DB"/>
    <w:rsid w:val="00CA1F43"/>
    <w:rsid w:val="00CA22EC"/>
    <w:rsid w:val="00CA23DF"/>
    <w:rsid w:val="00CA23F7"/>
    <w:rsid w:val="00CA25D4"/>
    <w:rsid w:val="00CA37EC"/>
    <w:rsid w:val="00CA3836"/>
    <w:rsid w:val="00CA408B"/>
    <w:rsid w:val="00CA4365"/>
    <w:rsid w:val="00CA511B"/>
    <w:rsid w:val="00CA575A"/>
    <w:rsid w:val="00CA5830"/>
    <w:rsid w:val="00CA5DE7"/>
    <w:rsid w:val="00CA678B"/>
    <w:rsid w:val="00CA67E3"/>
    <w:rsid w:val="00CA6AB1"/>
    <w:rsid w:val="00CA6C14"/>
    <w:rsid w:val="00CA6DFA"/>
    <w:rsid w:val="00CA6E30"/>
    <w:rsid w:val="00CA7067"/>
    <w:rsid w:val="00CA7199"/>
    <w:rsid w:val="00CA7256"/>
    <w:rsid w:val="00CA7357"/>
    <w:rsid w:val="00CA74BD"/>
    <w:rsid w:val="00CA7B31"/>
    <w:rsid w:val="00CA7FED"/>
    <w:rsid w:val="00CB0200"/>
    <w:rsid w:val="00CB132B"/>
    <w:rsid w:val="00CB1491"/>
    <w:rsid w:val="00CB1819"/>
    <w:rsid w:val="00CB19A2"/>
    <w:rsid w:val="00CB22F3"/>
    <w:rsid w:val="00CB231E"/>
    <w:rsid w:val="00CB2E47"/>
    <w:rsid w:val="00CB39E7"/>
    <w:rsid w:val="00CB45F3"/>
    <w:rsid w:val="00CB470F"/>
    <w:rsid w:val="00CB4B92"/>
    <w:rsid w:val="00CB570F"/>
    <w:rsid w:val="00CB5954"/>
    <w:rsid w:val="00CB5E63"/>
    <w:rsid w:val="00CB6FBB"/>
    <w:rsid w:val="00CB753A"/>
    <w:rsid w:val="00CB7600"/>
    <w:rsid w:val="00CC0267"/>
    <w:rsid w:val="00CC1195"/>
    <w:rsid w:val="00CC14DD"/>
    <w:rsid w:val="00CC15D4"/>
    <w:rsid w:val="00CC1AFA"/>
    <w:rsid w:val="00CC1D54"/>
    <w:rsid w:val="00CC2125"/>
    <w:rsid w:val="00CC23B8"/>
    <w:rsid w:val="00CC2683"/>
    <w:rsid w:val="00CC2875"/>
    <w:rsid w:val="00CC2B4A"/>
    <w:rsid w:val="00CC2FA0"/>
    <w:rsid w:val="00CC36DA"/>
    <w:rsid w:val="00CC4554"/>
    <w:rsid w:val="00CC45E1"/>
    <w:rsid w:val="00CC46B5"/>
    <w:rsid w:val="00CC53E6"/>
    <w:rsid w:val="00CC5FEB"/>
    <w:rsid w:val="00CC62FF"/>
    <w:rsid w:val="00CC6392"/>
    <w:rsid w:val="00CC63AE"/>
    <w:rsid w:val="00CC6565"/>
    <w:rsid w:val="00CC6EAA"/>
    <w:rsid w:val="00CC746A"/>
    <w:rsid w:val="00CC77BA"/>
    <w:rsid w:val="00CC77CC"/>
    <w:rsid w:val="00CD042D"/>
    <w:rsid w:val="00CD0B8D"/>
    <w:rsid w:val="00CD0EB7"/>
    <w:rsid w:val="00CD0F70"/>
    <w:rsid w:val="00CD1894"/>
    <w:rsid w:val="00CD18EC"/>
    <w:rsid w:val="00CD2269"/>
    <w:rsid w:val="00CD226F"/>
    <w:rsid w:val="00CD22D9"/>
    <w:rsid w:val="00CD2595"/>
    <w:rsid w:val="00CD266B"/>
    <w:rsid w:val="00CD2A8E"/>
    <w:rsid w:val="00CD2C15"/>
    <w:rsid w:val="00CD2CFA"/>
    <w:rsid w:val="00CD310A"/>
    <w:rsid w:val="00CD3137"/>
    <w:rsid w:val="00CD362E"/>
    <w:rsid w:val="00CD484B"/>
    <w:rsid w:val="00CD4D97"/>
    <w:rsid w:val="00CD4FEF"/>
    <w:rsid w:val="00CD5993"/>
    <w:rsid w:val="00CD5B09"/>
    <w:rsid w:val="00CD5F90"/>
    <w:rsid w:val="00CD5FE1"/>
    <w:rsid w:val="00CD6283"/>
    <w:rsid w:val="00CD631C"/>
    <w:rsid w:val="00CD762B"/>
    <w:rsid w:val="00CD7986"/>
    <w:rsid w:val="00CD7F9F"/>
    <w:rsid w:val="00CE050C"/>
    <w:rsid w:val="00CE06A9"/>
    <w:rsid w:val="00CE0E23"/>
    <w:rsid w:val="00CE119E"/>
    <w:rsid w:val="00CE12C0"/>
    <w:rsid w:val="00CE1353"/>
    <w:rsid w:val="00CE175E"/>
    <w:rsid w:val="00CE198C"/>
    <w:rsid w:val="00CE21C9"/>
    <w:rsid w:val="00CE2311"/>
    <w:rsid w:val="00CE23BF"/>
    <w:rsid w:val="00CE43BC"/>
    <w:rsid w:val="00CE43C9"/>
    <w:rsid w:val="00CE4576"/>
    <w:rsid w:val="00CE4A2C"/>
    <w:rsid w:val="00CE4AB9"/>
    <w:rsid w:val="00CE4CD8"/>
    <w:rsid w:val="00CE4E84"/>
    <w:rsid w:val="00CE5C14"/>
    <w:rsid w:val="00CE611F"/>
    <w:rsid w:val="00CE650F"/>
    <w:rsid w:val="00CE65A6"/>
    <w:rsid w:val="00CE7DC7"/>
    <w:rsid w:val="00CF0E9C"/>
    <w:rsid w:val="00CF154A"/>
    <w:rsid w:val="00CF160C"/>
    <w:rsid w:val="00CF190E"/>
    <w:rsid w:val="00CF2245"/>
    <w:rsid w:val="00CF23BA"/>
    <w:rsid w:val="00CF29A9"/>
    <w:rsid w:val="00CF330A"/>
    <w:rsid w:val="00CF36CC"/>
    <w:rsid w:val="00CF3A3E"/>
    <w:rsid w:val="00CF3DC3"/>
    <w:rsid w:val="00CF443F"/>
    <w:rsid w:val="00CF4661"/>
    <w:rsid w:val="00CF46F3"/>
    <w:rsid w:val="00CF4AB0"/>
    <w:rsid w:val="00CF4F78"/>
    <w:rsid w:val="00CF53F1"/>
    <w:rsid w:val="00CF564E"/>
    <w:rsid w:val="00CF5683"/>
    <w:rsid w:val="00CF57AB"/>
    <w:rsid w:val="00CF5C24"/>
    <w:rsid w:val="00CF61AD"/>
    <w:rsid w:val="00CF653C"/>
    <w:rsid w:val="00CF67A4"/>
    <w:rsid w:val="00CF685B"/>
    <w:rsid w:val="00CF6BC2"/>
    <w:rsid w:val="00CF6FB7"/>
    <w:rsid w:val="00CF7078"/>
    <w:rsid w:val="00CF76A1"/>
    <w:rsid w:val="00CF78ED"/>
    <w:rsid w:val="00CF7C88"/>
    <w:rsid w:val="00CF7CB3"/>
    <w:rsid w:val="00D002D6"/>
    <w:rsid w:val="00D00504"/>
    <w:rsid w:val="00D00C6D"/>
    <w:rsid w:val="00D00F6B"/>
    <w:rsid w:val="00D011B2"/>
    <w:rsid w:val="00D0125A"/>
    <w:rsid w:val="00D016DE"/>
    <w:rsid w:val="00D01A79"/>
    <w:rsid w:val="00D02002"/>
    <w:rsid w:val="00D02048"/>
    <w:rsid w:val="00D020DF"/>
    <w:rsid w:val="00D0221D"/>
    <w:rsid w:val="00D0227C"/>
    <w:rsid w:val="00D022EE"/>
    <w:rsid w:val="00D02389"/>
    <w:rsid w:val="00D02C70"/>
    <w:rsid w:val="00D02CFC"/>
    <w:rsid w:val="00D02E7B"/>
    <w:rsid w:val="00D02E89"/>
    <w:rsid w:val="00D032D0"/>
    <w:rsid w:val="00D03BC7"/>
    <w:rsid w:val="00D04E91"/>
    <w:rsid w:val="00D05D04"/>
    <w:rsid w:val="00D05FB9"/>
    <w:rsid w:val="00D06AD7"/>
    <w:rsid w:val="00D06DFF"/>
    <w:rsid w:val="00D06FFE"/>
    <w:rsid w:val="00D07473"/>
    <w:rsid w:val="00D07E6C"/>
    <w:rsid w:val="00D10019"/>
    <w:rsid w:val="00D10165"/>
    <w:rsid w:val="00D1033C"/>
    <w:rsid w:val="00D10604"/>
    <w:rsid w:val="00D10818"/>
    <w:rsid w:val="00D109B3"/>
    <w:rsid w:val="00D11CA8"/>
    <w:rsid w:val="00D11FE6"/>
    <w:rsid w:val="00D1289D"/>
    <w:rsid w:val="00D12926"/>
    <w:rsid w:val="00D12AE6"/>
    <w:rsid w:val="00D139E2"/>
    <w:rsid w:val="00D13E09"/>
    <w:rsid w:val="00D1427E"/>
    <w:rsid w:val="00D14549"/>
    <w:rsid w:val="00D148B6"/>
    <w:rsid w:val="00D14F75"/>
    <w:rsid w:val="00D14FF3"/>
    <w:rsid w:val="00D155E4"/>
    <w:rsid w:val="00D156C9"/>
    <w:rsid w:val="00D157A4"/>
    <w:rsid w:val="00D15F3C"/>
    <w:rsid w:val="00D16C6E"/>
    <w:rsid w:val="00D170F2"/>
    <w:rsid w:val="00D1724E"/>
    <w:rsid w:val="00D1751A"/>
    <w:rsid w:val="00D17556"/>
    <w:rsid w:val="00D178B4"/>
    <w:rsid w:val="00D17BCC"/>
    <w:rsid w:val="00D201A2"/>
    <w:rsid w:val="00D20414"/>
    <w:rsid w:val="00D20912"/>
    <w:rsid w:val="00D20DD6"/>
    <w:rsid w:val="00D211B0"/>
    <w:rsid w:val="00D211E2"/>
    <w:rsid w:val="00D213DD"/>
    <w:rsid w:val="00D21662"/>
    <w:rsid w:val="00D217B4"/>
    <w:rsid w:val="00D2224D"/>
    <w:rsid w:val="00D222CE"/>
    <w:rsid w:val="00D222FC"/>
    <w:rsid w:val="00D22438"/>
    <w:rsid w:val="00D22826"/>
    <w:rsid w:val="00D22B91"/>
    <w:rsid w:val="00D22BF1"/>
    <w:rsid w:val="00D22C4D"/>
    <w:rsid w:val="00D23386"/>
    <w:rsid w:val="00D23C95"/>
    <w:rsid w:val="00D23CEF"/>
    <w:rsid w:val="00D243F9"/>
    <w:rsid w:val="00D24437"/>
    <w:rsid w:val="00D247BF"/>
    <w:rsid w:val="00D2519F"/>
    <w:rsid w:val="00D253AB"/>
    <w:rsid w:val="00D25653"/>
    <w:rsid w:val="00D25B6D"/>
    <w:rsid w:val="00D26B76"/>
    <w:rsid w:val="00D2712C"/>
    <w:rsid w:val="00D2745A"/>
    <w:rsid w:val="00D3117F"/>
    <w:rsid w:val="00D315DF"/>
    <w:rsid w:val="00D31A99"/>
    <w:rsid w:val="00D31C9A"/>
    <w:rsid w:val="00D32048"/>
    <w:rsid w:val="00D3225B"/>
    <w:rsid w:val="00D32A53"/>
    <w:rsid w:val="00D32C2C"/>
    <w:rsid w:val="00D331B3"/>
    <w:rsid w:val="00D33A1E"/>
    <w:rsid w:val="00D33E76"/>
    <w:rsid w:val="00D33FDB"/>
    <w:rsid w:val="00D34513"/>
    <w:rsid w:val="00D34C0F"/>
    <w:rsid w:val="00D35555"/>
    <w:rsid w:val="00D35B54"/>
    <w:rsid w:val="00D35C54"/>
    <w:rsid w:val="00D361D3"/>
    <w:rsid w:val="00D3710F"/>
    <w:rsid w:val="00D37560"/>
    <w:rsid w:val="00D37833"/>
    <w:rsid w:val="00D37888"/>
    <w:rsid w:val="00D37CA6"/>
    <w:rsid w:val="00D4053A"/>
    <w:rsid w:val="00D40E2F"/>
    <w:rsid w:val="00D414D7"/>
    <w:rsid w:val="00D41996"/>
    <w:rsid w:val="00D41B46"/>
    <w:rsid w:val="00D4228B"/>
    <w:rsid w:val="00D4312B"/>
    <w:rsid w:val="00D4340C"/>
    <w:rsid w:val="00D437A4"/>
    <w:rsid w:val="00D43918"/>
    <w:rsid w:val="00D4427A"/>
    <w:rsid w:val="00D444E4"/>
    <w:rsid w:val="00D44EA2"/>
    <w:rsid w:val="00D45036"/>
    <w:rsid w:val="00D45BA2"/>
    <w:rsid w:val="00D45C66"/>
    <w:rsid w:val="00D4600D"/>
    <w:rsid w:val="00D46331"/>
    <w:rsid w:val="00D469AA"/>
    <w:rsid w:val="00D46A34"/>
    <w:rsid w:val="00D47464"/>
    <w:rsid w:val="00D47911"/>
    <w:rsid w:val="00D47F8A"/>
    <w:rsid w:val="00D50BBC"/>
    <w:rsid w:val="00D51358"/>
    <w:rsid w:val="00D5148C"/>
    <w:rsid w:val="00D5159F"/>
    <w:rsid w:val="00D516A3"/>
    <w:rsid w:val="00D52068"/>
    <w:rsid w:val="00D52237"/>
    <w:rsid w:val="00D52C55"/>
    <w:rsid w:val="00D5332C"/>
    <w:rsid w:val="00D53676"/>
    <w:rsid w:val="00D53EAA"/>
    <w:rsid w:val="00D53F5F"/>
    <w:rsid w:val="00D54135"/>
    <w:rsid w:val="00D54159"/>
    <w:rsid w:val="00D542D0"/>
    <w:rsid w:val="00D54B6B"/>
    <w:rsid w:val="00D5560B"/>
    <w:rsid w:val="00D559B7"/>
    <w:rsid w:val="00D56C6B"/>
    <w:rsid w:val="00D56D04"/>
    <w:rsid w:val="00D57AF1"/>
    <w:rsid w:val="00D57B66"/>
    <w:rsid w:val="00D610D0"/>
    <w:rsid w:val="00D6167D"/>
    <w:rsid w:val="00D61AAD"/>
    <w:rsid w:val="00D61EC8"/>
    <w:rsid w:val="00D62B28"/>
    <w:rsid w:val="00D62E7F"/>
    <w:rsid w:val="00D6330A"/>
    <w:rsid w:val="00D63F54"/>
    <w:rsid w:val="00D642A8"/>
    <w:rsid w:val="00D64FA1"/>
    <w:rsid w:val="00D6536A"/>
    <w:rsid w:val="00D65A85"/>
    <w:rsid w:val="00D6656C"/>
    <w:rsid w:val="00D666E2"/>
    <w:rsid w:val="00D66D91"/>
    <w:rsid w:val="00D67170"/>
    <w:rsid w:val="00D67985"/>
    <w:rsid w:val="00D67F4B"/>
    <w:rsid w:val="00D70571"/>
    <w:rsid w:val="00D705F5"/>
    <w:rsid w:val="00D7097A"/>
    <w:rsid w:val="00D70F56"/>
    <w:rsid w:val="00D715AF"/>
    <w:rsid w:val="00D71B49"/>
    <w:rsid w:val="00D72DA3"/>
    <w:rsid w:val="00D731CE"/>
    <w:rsid w:val="00D735AB"/>
    <w:rsid w:val="00D73805"/>
    <w:rsid w:val="00D73A30"/>
    <w:rsid w:val="00D74229"/>
    <w:rsid w:val="00D748A0"/>
    <w:rsid w:val="00D749BB"/>
    <w:rsid w:val="00D74E0C"/>
    <w:rsid w:val="00D75010"/>
    <w:rsid w:val="00D75230"/>
    <w:rsid w:val="00D752A7"/>
    <w:rsid w:val="00D75361"/>
    <w:rsid w:val="00D75634"/>
    <w:rsid w:val="00D75652"/>
    <w:rsid w:val="00D75781"/>
    <w:rsid w:val="00D75784"/>
    <w:rsid w:val="00D75C7B"/>
    <w:rsid w:val="00D75E44"/>
    <w:rsid w:val="00D761EB"/>
    <w:rsid w:val="00D767D3"/>
    <w:rsid w:val="00D76C54"/>
    <w:rsid w:val="00D7763B"/>
    <w:rsid w:val="00D779FD"/>
    <w:rsid w:val="00D77A37"/>
    <w:rsid w:val="00D77E14"/>
    <w:rsid w:val="00D800A9"/>
    <w:rsid w:val="00D804AD"/>
    <w:rsid w:val="00D808D9"/>
    <w:rsid w:val="00D80E2B"/>
    <w:rsid w:val="00D80E80"/>
    <w:rsid w:val="00D81196"/>
    <w:rsid w:val="00D81AFE"/>
    <w:rsid w:val="00D81EA4"/>
    <w:rsid w:val="00D833BB"/>
    <w:rsid w:val="00D8371E"/>
    <w:rsid w:val="00D83A66"/>
    <w:rsid w:val="00D83C9D"/>
    <w:rsid w:val="00D83E6A"/>
    <w:rsid w:val="00D83FB2"/>
    <w:rsid w:val="00D8403B"/>
    <w:rsid w:val="00D84098"/>
    <w:rsid w:val="00D84354"/>
    <w:rsid w:val="00D847DD"/>
    <w:rsid w:val="00D849D4"/>
    <w:rsid w:val="00D84B7B"/>
    <w:rsid w:val="00D854B8"/>
    <w:rsid w:val="00D85527"/>
    <w:rsid w:val="00D857A8"/>
    <w:rsid w:val="00D85B42"/>
    <w:rsid w:val="00D85BF7"/>
    <w:rsid w:val="00D85E81"/>
    <w:rsid w:val="00D85EF4"/>
    <w:rsid w:val="00D86449"/>
    <w:rsid w:val="00D865F4"/>
    <w:rsid w:val="00D866C8"/>
    <w:rsid w:val="00D86D8E"/>
    <w:rsid w:val="00D870F2"/>
    <w:rsid w:val="00D873BF"/>
    <w:rsid w:val="00D873C3"/>
    <w:rsid w:val="00D874F0"/>
    <w:rsid w:val="00D8783A"/>
    <w:rsid w:val="00D87911"/>
    <w:rsid w:val="00D879D5"/>
    <w:rsid w:val="00D901CB"/>
    <w:rsid w:val="00D906EA"/>
    <w:rsid w:val="00D90907"/>
    <w:rsid w:val="00D91037"/>
    <w:rsid w:val="00D910DC"/>
    <w:rsid w:val="00D91E75"/>
    <w:rsid w:val="00D92A11"/>
    <w:rsid w:val="00D92E93"/>
    <w:rsid w:val="00D93F8E"/>
    <w:rsid w:val="00D9426D"/>
    <w:rsid w:val="00D943C5"/>
    <w:rsid w:val="00D94CA2"/>
    <w:rsid w:val="00D94EEF"/>
    <w:rsid w:val="00D9505A"/>
    <w:rsid w:val="00D95361"/>
    <w:rsid w:val="00D9542D"/>
    <w:rsid w:val="00D95EDA"/>
    <w:rsid w:val="00D95F29"/>
    <w:rsid w:val="00D965A5"/>
    <w:rsid w:val="00D965AC"/>
    <w:rsid w:val="00D967AB"/>
    <w:rsid w:val="00D97E6B"/>
    <w:rsid w:val="00DA0957"/>
    <w:rsid w:val="00DA0DE1"/>
    <w:rsid w:val="00DA17F3"/>
    <w:rsid w:val="00DA1C18"/>
    <w:rsid w:val="00DA1CA2"/>
    <w:rsid w:val="00DA22F5"/>
    <w:rsid w:val="00DA26B9"/>
    <w:rsid w:val="00DA324D"/>
    <w:rsid w:val="00DA3938"/>
    <w:rsid w:val="00DA411C"/>
    <w:rsid w:val="00DA4165"/>
    <w:rsid w:val="00DA4735"/>
    <w:rsid w:val="00DA4A9D"/>
    <w:rsid w:val="00DA4C2E"/>
    <w:rsid w:val="00DA501C"/>
    <w:rsid w:val="00DA54E9"/>
    <w:rsid w:val="00DA5CB5"/>
    <w:rsid w:val="00DA67B7"/>
    <w:rsid w:val="00DA6E42"/>
    <w:rsid w:val="00DA7460"/>
    <w:rsid w:val="00DA792F"/>
    <w:rsid w:val="00DA7A55"/>
    <w:rsid w:val="00DA7BA8"/>
    <w:rsid w:val="00DB0112"/>
    <w:rsid w:val="00DB0310"/>
    <w:rsid w:val="00DB0724"/>
    <w:rsid w:val="00DB149A"/>
    <w:rsid w:val="00DB1B36"/>
    <w:rsid w:val="00DB1F55"/>
    <w:rsid w:val="00DB1FA4"/>
    <w:rsid w:val="00DB20BF"/>
    <w:rsid w:val="00DB2542"/>
    <w:rsid w:val="00DB2A7D"/>
    <w:rsid w:val="00DB4287"/>
    <w:rsid w:val="00DB470C"/>
    <w:rsid w:val="00DB473C"/>
    <w:rsid w:val="00DB4C95"/>
    <w:rsid w:val="00DB50A6"/>
    <w:rsid w:val="00DB5ED4"/>
    <w:rsid w:val="00DB5F4D"/>
    <w:rsid w:val="00DB643C"/>
    <w:rsid w:val="00DB6DC4"/>
    <w:rsid w:val="00DC07E5"/>
    <w:rsid w:val="00DC150A"/>
    <w:rsid w:val="00DC1712"/>
    <w:rsid w:val="00DC19AB"/>
    <w:rsid w:val="00DC19D5"/>
    <w:rsid w:val="00DC1B5A"/>
    <w:rsid w:val="00DC1DA9"/>
    <w:rsid w:val="00DC2390"/>
    <w:rsid w:val="00DC2877"/>
    <w:rsid w:val="00DC2A67"/>
    <w:rsid w:val="00DC3042"/>
    <w:rsid w:val="00DC3119"/>
    <w:rsid w:val="00DC3353"/>
    <w:rsid w:val="00DC33ED"/>
    <w:rsid w:val="00DC349C"/>
    <w:rsid w:val="00DC36B0"/>
    <w:rsid w:val="00DC373F"/>
    <w:rsid w:val="00DC3753"/>
    <w:rsid w:val="00DC3C21"/>
    <w:rsid w:val="00DC49C5"/>
    <w:rsid w:val="00DC4B31"/>
    <w:rsid w:val="00DC4E73"/>
    <w:rsid w:val="00DC598D"/>
    <w:rsid w:val="00DC5EA2"/>
    <w:rsid w:val="00DC5EC2"/>
    <w:rsid w:val="00DC5F86"/>
    <w:rsid w:val="00DC66F9"/>
    <w:rsid w:val="00DC74EB"/>
    <w:rsid w:val="00DC7D16"/>
    <w:rsid w:val="00DC7D8B"/>
    <w:rsid w:val="00DC7D93"/>
    <w:rsid w:val="00DC7DF3"/>
    <w:rsid w:val="00DC7E9D"/>
    <w:rsid w:val="00DD0316"/>
    <w:rsid w:val="00DD0AC3"/>
    <w:rsid w:val="00DD0BB7"/>
    <w:rsid w:val="00DD12C4"/>
    <w:rsid w:val="00DD14AC"/>
    <w:rsid w:val="00DD19F9"/>
    <w:rsid w:val="00DD1B56"/>
    <w:rsid w:val="00DD2004"/>
    <w:rsid w:val="00DD21FE"/>
    <w:rsid w:val="00DD271E"/>
    <w:rsid w:val="00DD2855"/>
    <w:rsid w:val="00DD29CE"/>
    <w:rsid w:val="00DD3985"/>
    <w:rsid w:val="00DD3B4A"/>
    <w:rsid w:val="00DD3CA2"/>
    <w:rsid w:val="00DD3D0C"/>
    <w:rsid w:val="00DD426B"/>
    <w:rsid w:val="00DD4850"/>
    <w:rsid w:val="00DD4F65"/>
    <w:rsid w:val="00DD51E3"/>
    <w:rsid w:val="00DD5A85"/>
    <w:rsid w:val="00DD5FD0"/>
    <w:rsid w:val="00DD62EB"/>
    <w:rsid w:val="00DD70DA"/>
    <w:rsid w:val="00DD77D8"/>
    <w:rsid w:val="00DD792D"/>
    <w:rsid w:val="00DD7B66"/>
    <w:rsid w:val="00DD7D1F"/>
    <w:rsid w:val="00DE06F8"/>
    <w:rsid w:val="00DE0830"/>
    <w:rsid w:val="00DE084D"/>
    <w:rsid w:val="00DE08BD"/>
    <w:rsid w:val="00DE0D2F"/>
    <w:rsid w:val="00DE12E0"/>
    <w:rsid w:val="00DE16A8"/>
    <w:rsid w:val="00DE1B67"/>
    <w:rsid w:val="00DE1F5D"/>
    <w:rsid w:val="00DE242F"/>
    <w:rsid w:val="00DE2BD6"/>
    <w:rsid w:val="00DE31AE"/>
    <w:rsid w:val="00DE3C4D"/>
    <w:rsid w:val="00DE4FBC"/>
    <w:rsid w:val="00DE521E"/>
    <w:rsid w:val="00DE53D5"/>
    <w:rsid w:val="00DE5E8B"/>
    <w:rsid w:val="00DE704C"/>
    <w:rsid w:val="00DE730B"/>
    <w:rsid w:val="00DE733C"/>
    <w:rsid w:val="00DE7395"/>
    <w:rsid w:val="00DE78FE"/>
    <w:rsid w:val="00DE79CF"/>
    <w:rsid w:val="00DE7AD0"/>
    <w:rsid w:val="00DE7B8B"/>
    <w:rsid w:val="00DE7CA6"/>
    <w:rsid w:val="00DE7D54"/>
    <w:rsid w:val="00DF018B"/>
    <w:rsid w:val="00DF0306"/>
    <w:rsid w:val="00DF0AC9"/>
    <w:rsid w:val="00DF1165"/>
    <w:rsid w:val="00DF1D77"/>
    <w:rsid w:val="00DF2558"/>
    <w:rsid w:val="00DF2C30"/>
    <w:rsid w:val="00DF2FE6"/>
    <w:rsid w:val="00DF3411"/>
    <w:rsid w:val="00DF365A"/>
    <w:rsid w:val="00DF3B41"/>
    <w:rsid w:val="00DF4391"/>
    <w:rsid w:val="00DF48E5"/>
    <w:rsid w:val="00DF4C3C"/>
    <w:rsid w:val="00DF4CD2"/>
    <w:rsid w:val="00DF4EE6"/>
    <w:rsid w:val="00DF5C41"/>
    <w:rsid w:val="00DF6AFD"/>
    <w:rsid w:val="00DF70E1"/>
    <w:rsid w:val="00DF7944"/>
    <w:rsid w:val="00DF7A52"/>
    <w:rsid w:val="00E005CB"/>
    <w:rsid w:val="00E00636"/>
    <w:rsid w:val="00E00653"/>
    <w:rsid w:val="00E00C11"/>
    <w:rsid w:val="00E00EBE"/>
    <w:rsid w:val="00E013FD"/>
    <w:rsid w:val="00E019F1"/>
    <w:rsid w:val="00E0254F"/>
    <w:rsid w:val="00E02635"/>
    <w:rsid w:val="00E02650"/>
    <w:rsid w:val="00E02C24"/>
    <w:rsid w:val="00E02C2B"/>
    <w:rsid w:val="00E02F3E"/>
    <w:rsid w:val="00E03086"/>
    <w:rsid w:val="00E03285"/>
    <w:rsid w:val="00E035FF"/>
    <w:rsid w:val="00E038EE"/>
    <w:rsid w:val="00E03AE8"/>
    <w:rsid w:val="00E03BB2"/>
    <w:rsid w:val="00E042D2"/>
    <w:rsid w:val="00E04536"/>
    <w:rsid w:val="00E046E5"/>
    <w:rsid w:val="00E04E84"/>
    <w:rsid w:val="00E05245"/>
    <w:rsid w:val="00E0550B"/>
    <w:rsid w:val="00E058FB"/>
    <w:rsid w:val="00E05967"/>
    <w:rsid w:val="00E05970"/>
    <w:rsid w:val="00E05B72"/>
    <w:rsid w:val="00E064CB"/>
    <w:rsid w:val="00E06551"/>
    <w:rsid w:val="00E0685B"/>
    <w:rsid w:val="00E06C8B"/>
    <w:rsid w:val="00E06E3A"/>
    <w:rsid w:val="00E06FAB"/>
    <w:rsid w:val="00E07803"/>
    <w:rsid w:val="00E1105C"/>
    <w:rsid w:val="00E112B6"/>
    <w:rsid w:val="00E11559"/>
    <w:rsid w:val="00E118C4"/>
    <w:rsid w:val="00E11C1A"/>
    <w:rsid w:val="00E11E9B"/>
    <w:rsid w:val="00E11F09"/>
    <w:rsid w:val="00E12012"/>
    <w:rsid w:val="00E120DE"/>
    <w:rsid w:val="00E12118"/>
    <w:rsid w:val="00E128BA"/>
    <w:rsid w:val="00E134E8"/>
    <w:rsid w:val="00E137EC"/>
    <w:rsid w:val="00E13A9F"/>
    <w:rsid w:val="00E13C1B"/>
    <w:rsid w:val="00E13CE4"/>
    <w:rsid w:val="00E147ED"/>
    <w:rsid w:val="00E14866"/>
    <w:rsid w:val="00E14BDE"/>
    <w:rsid w:val="00E14EA9"/>
    <w:rsid w:val="00E14F1A"/>
    <w:rsid w:val="00E152A1"/>
    <w:rsid w:val="00E15316"/>
    <w:rsid w:val="00E15651"/>
    <w:rsid w:val="00E1599B"/>
    <w:rsid w:val="00E15CFA"/>
    <w:rsid w:val="00E1600E"/>
    <w:rsid w:val="00E16062"/>
    <w:rsid w:val="00E164CC"/>
    <w:rsid w:val="00E1677F"/>
    <w:rsid w:val="00E17A6D"/>
    <w:rsid w:val="00E20095"/>
    <w:rsid w:val="00E203DF"/>
    <w:rsid w:val="00E20EC5"/>
    <w:rsid w:val="00E21231"/>
    <w:rsid w:val="00E21651"/>
    <w:rsid w:val="00E21C6D"/>
    <w:rsid w:val="00E22670"/>
    <w:rsid w:val="00E226CD"/>
    <w:rsid w:val="00E22BC3"/>
    <w:rsid w:val="00E23725"/>
    <w:rsid w:val="00E2415B"/>
    <w:rsid w:val="00E25201"/>
    <w:rsid w:val="00E2559D"/>
    <w:rsid w:val="00E26530"/>
    <w:rsid w:val="00E267CB"/>
    <w:rsid w:val="00E26C1C"/>
    <w:rsid w:val="00E26C6E"/>
    <w:rsid w:val="00E26E09"/>
    <w:rsid w:val="00E2706E"/>
    <w:rsid w:val="00E272A9"/>
    <w:rsid w:val="00E30B39"/>
    <w:rsid w:val="00E31952"/>
    <w:rsid w:val="00E31962"/>
    <w:rsid w:val="00E3204D"/>
    <w:rsid w:val="00E32906"/>
    <w:rsid w:val="00E32D21"/>
    <w:rsid w:val="00E331AF"/>
    <w:rsid w:val="00E3384E"/>
    <w:rsid w:val="00E34087"/>
    <w:rsid w:val="00E34550"/>
    <w:rsid w:val="00E34836"/>
    <w:rsid w:val="00E34CE8"/>
    <w:rsid w:val="00E3500E"/>
    <w:rsid w:val="00E35A5D"/>
    <w:rsid w:val="00E35D65"/>
    <w:rsid w:val="00E360EC"/>
    <w:rsid w:val="00E36197"/>
    <w:rsid w:val="00E36784"/>
    <w:rsid w:val="00E36C5A"/>
    <w:rsid w:val="00E3772C"/>
    <w:rsid w:val="00E379E9"/>
    <w:rsid w:val="00E37B40"/>
    <w:rsid w:val="00E37DD3"/>
    <w:rsid w:val="00E37FF7"/>
    <w:rsid w:val="00E40341"/>
    <w:rsid w:val="00E406AC"/>
    <w:rsid w:val="00E40C46"/>
    <w:rsid w:val="00E40EBE"/>
    <w:rsid w:val="00E40ED6"/>
    <w:rsid w:val="00E41BE1"/>
    <w:rsid w:val="00E41F5D"/>
    <w:rsid w:val="00E42483"/>
    <w:rsid w:val="00E4295D"/>
    <w:rsid w:val="00E43A06"/>
    <w:rsid w:val="00E43A54"/>
    <w:rsid w:val="00E44BC1"/>
    <w:rsid w:val="00E44DF9"/>
    <w:rsid w:val="00E44FA4"/>
    <w:rsid w:val="00E4534C"/>
    <w:rsid w:val="00E4580F"/>
    <w:rsid w:val="00E45B66"/>
    <w:rsid w:val="00E45C68"/>
    <w:rsid w:val="00E45CA2"/>
    <w:rsid w:val="00E46122"/>
    <w:rsid w:val="00E46AE6"/>
    <w:rsid w:val="00E474F3"/>
    <w:rsid w:val="00E47936"/>
    <w:rsid w:val="00E47BF8"/>
    <w:rsid w:val="00E50401"/>
    <w:rsid w:val="00E51073"/>
    <w:rsid w:val="00E5112A"/>
    <w:rsid w:val="00E514F3"/>
    <w:rsid w:val="00E518EA"/>
    <w:rsid w:val="00E51C00"/>
    <w:rsid w:val="00E5381B"/>
    <w:rsid w:val="00E54D62"/>
    <w:rsid w:val="00E554D1"/>
    <w:rsid w:val="00E55B3E"/>
    <w:rsid w:val="00E5606F"/>
    <w:rsid w:val="00E565DB"/>
    <w:rsid w:val="00E57111"/>
    <w:rsid w:val="00E5765D"/>
    <w:rsid w:val="00E579FB"/>
    <w:rsid w:val="00E600FB"/>
    <w:rsid w:val="00E60560"/>
    <w:rsid w:val="00E608B5"/>
    <w:rsid w:val="00E60DCC"/>
    <w:rsid w:val="00E617E4"/>
    <w:rsid w:val="00E61810"/>
    <w:rsid w:val="00E61A86"/>
    <w:rsid w:val="00E62120"/>
    <w:rsid w:val="00E6213A"/>
    <w:rsid w:val="00E627B3"/>
    <w:rsid w:val="00E62BB6"/>
    <w:rsid w:val="00E62CDA"/>
    <w:rsid w:val="00E62FAA"/>
    <w:rsid w:val="00E63812"/>
    <w:rsid w:val="00E63F5C"/>
    <w:rsid w:val="00E640D1"/>
    <w:rsid w:val="00E643D1"/>
    <w:rsid w:val="00E64F23"/>
    <w:rsid w:val="00E655C5"/>
    <w:rsid w:val="00E657FB"/>
    <w:rsid w:val="00E65981"/>
    <w:rsid w:val="00E65CD5"/>
    <w:rsid w:val="00E65DD6"/>
    <w:rsid w:val="00E66012"/>
    <w:rsid w:val="00E660AE"/>
    <w:rsid w:val="00E6619D"/>
    <w:rsid w:val="00E66428"/>
    <w:rsid w:val="00E66B05"/>
    <w:rsid w:val="00E66C60"/>
    <w:rsid w:val="00E67627"/>
    <w:rsid w:val="00E67F0F"/>
    <w:rsid w:val="00E67F8A"/>
    <w:rsid w:val="00E7003C"/>
    <w:rsid w:val="00E70195"/>
    <w:rsid w:val="00E708A1"/>
    <w:rsid w:val="00E71727"/>
    <w:rsid w:val="00E71C24"/>
    <w:rsid w:val="00E720E0"/>
    <w:rsid w:val="00E72291"/>
    <w:rsid w:val="00E724FC"/>
    <w:rsid w:val="00E73788"/>
    <w:rsid w:val="00E74131"/>
    <w:rsid w:val="00E74801"/>
    <w:rsid w:val="00E74E0C"/>
    <w:rsid w:val="00E75200"/>
    <w:rsid w:val="00E75813"/>
    <w:rsid w:val="00E75E5F"/>
    <w:rsid w:val="00E75F14"/>
    <w:rsid w:val="00E76A28"/>
    <w:rsid w:val="00E771F5"/>
    <w:rsid w:val="00E7773D"/>
    <w:rsid w:val="00E778BB"/>
    <w:rsid w:val="00E77966"/>
    <w:rsid w:val="00E77D00"/>
    <w:rsid w:val="00E8085F"/>
    <w:rsid w:val="00E80D93"/>
    <w:rsid w:val="00E80E17"/>
    <w:rsid w:val="00E80EE8"/>
    <w:rsid w:val="00E819B3"/>
    <w:rsid w:val="00E81B79"/>
    <w:rsid w:val="00E8200E"/>
    <w:rsid w:val="00E820E8"/>
    <w:rsid w:val="00E826CF"/>
    <w:rsid w:val="00E8307A"/>
    <w:rsid w:val="00E832B3"/>
    <w:rsid w:val="00E836D2"/>
    <w:rsid w:val="00E83C58"/>
    <w:rsid w:val="00E83D2C"/>
    <w:rsid w:val="00E83F73"/>
    <w:rsid w:val="00E84036"/>
    <w:rsid w:val="00E8472D"/>
    <w:rsid w:val="00E85396"/>
    <w:rsid w:val="00E857F1"/>
    <w:rsid w:val="00E865F9"/>
    <w:rsid w:val="00E869C9"/>
    <w:rsid w:val="00E86E1C"/>
    <w:rsid w:val="00E86FB5"/>
    <w:rsid w:val="00E87690"/>
    <w:rsid w:val="00E90BA5"/>
    <w:rsid w:val="00E90BB3"/>
    <w:rsid w:val="00E919E1"/>
    <w:rsid w:val="00E92592"/>
    <w:rsid w:val="00E927D5"/>
    <w:rsid w:val="00E92C18"/>
    <w:rsid w:val="00E92DB6"/>
    <w:rsid w:val="00E92DFF"/>
    <w:rsid w:val="00E92E8D"/>
    <w:rsid w:val="00E9322C"/>
    <w:rsid w:val="00E936F6"/>
    <w:rsid w:val="00E93899"/>
    <w:rsid w:val="00E93E63"/>
    <w:rsid w:val="00E94BC4"/>
    <w:rsid w:val="00E96157"/>
    <w:rsid w:val="00E962FD"/>
    <w:rsid w:val="00E97289"/>
    <w:rsid w:val="00E977DE"/>
    <w:rsid w:val="00E97E53"/>
    <w:rsid w:val="00E97E98"/>
    <w:rsid w:val="00EA0CDD"/>
    <w:rsid w:val="00EA0CE0"/>
    <w:rsid w:val="00EA0CE4"/>
    <w:rsid w:val="00EA27B3"/>
    <w:rsid w:val="00EA2F07"/>
    <w:rsid w:val="00EA304A"/>
    <w:rsid w:val="00EA3CB1"/>
    <w:rsid w:val="00EA3D6E"/>
    <w:rsid w:val="00EA4047"/>
    <w:rsid w:val="00EA49E8"/>
    <w:rsid w:val="00EA4CF1"/>
    <w:rsid w:val="00EA4DB2"/>
    <w:rsid w:val="00EA4F34"/>
    <w:rsid w:val="00EA5004"/>
    <w:rsid w:val="00EA553D"/>
    <w:rsid w:val="00EA575A"/>
    <w:rsid w:val="00EA57A4"/>
    <w:rsid w:val="00EA5808"/>
    <w:rsid w:val="00EA69DB"/>
    <w:rsid w:val="00EA6D4B"/>
    <w:rsid w:val="00EA7319"/>
    <w:rsid w:val="00EA752D"/>
    <w:rsid w:val="00EA796F"/>
    <w:rsid w:val="00EA7CAC"/>
    <w:rsid w:val="00EB092A"/>
    <w:rsid w:val="00EB1B19"/>
    <w:rsid w:val="00EB1CB7"/>
    <w:rsid w:val="00EB1F2D"/>
    <w:rsid w:val="00EB1F57"/>
    <w:rsid w:val="00EB2756"/>
    <w:rsid w:val="00EB31F7"/>
    <w:rsid w:val="00EB3BA5"/>
    <w:rsid w:val="00EB443B"/>
    <w:rsid w:val="00EB45C0"/>
    <w:rsid w:val="00EB4D66"/>
    <w:rsid w:val="00EB52DB"/>
    <w:rsid w:val="00EB5CDF"/>
    <w:rsid w:val="00EB6315"/>
    <w:rsid w:val="00EB65F5"/>
    <w:rsid w:val="00EB6B65"/>
    <w:rsid w:val="00EB6D46"/>
    <w:rsid w:val="00EB7B5F"/>
    <w:rsid w:val="00EC008A"/>
    <w:rsid w:val="00EC0610"/>
    <w:rsid w:val="00EC0B7C"/>
    <w:rsid w:val="00EC0E8D"/>
    <w:rsid w:val="00EC0EA3"/>
    <w:rsid w:val="00EC10EC"/>
    <w:rsid w:val="00EC11BD"/>
    <w:rsid w:val="00EC143A"/>
    <w:rsid w:val="00EC1768"/>
    <w:rsid w:val="00EC295A"/>
    <w:rsid w:val="00EC2FFD"/>
    <w:rsid w:val="00EC32A8"/>
    <w:rsid w:val="00EC35B9"/>
    <w:rsid w:val="00EC3CFE"/>
    <w:rsid w:val="00EC4381"/>
    <w:rsid w:val="00EC4525"/>
    <w:rsid w:val="00EC4C4F"/>
    <w:rsid w:val="00EC50F0"/>
    <w:rsid w:val="00EC5141"/>
    <w:rsid w:val="00EC5537"/>
    <w:rsid w:val="00EC5CFA"/>
    <w:rsid w:val="00EC5F42"/>
    <w:rsid w:val="00EC615A"/>
    <w:rsid w:val="00EC617E"/>
    <w:rsid w:val="00EC6286"/>
    <w:rsid w:val="00EC62BB"/>
    <w:rsid w:val="00EC6763"/>
    <w:rsid w:val="00EC794F"/>
    <w:rsid w:val="00EC7E40"/>
    <w:rsid w:val="00EC7F03"/>
    <w:rsid w:val="00ED0124"/>
    <w:rsid w:val="00ED0261"/>
    <w:rsid w:val="00ED0FA0"/>
    <w:rsid w:val="00ED127A"/>
    <w:rsid w:val="00ED34AD"/>
    <w:rsid w:val="00ED4328"/>
    <w:rsid w:val="00ED44B7"/>
    <w:rsid w:val="00ED4869"/>
    <w:rsid w:val="00ED48D5"/>
    <w:rsid w:val="00ED49EE"/>
    <w:rsid w:val="00ED4A2F"/>
    <w:rsid w:val="00ED4D46"/>
    <w:rsid w:val="00ED4D7A"/>
    <w:rsid w:val="00ED50C0"/>
    <w:rsid w:val="00ED5409"/>
    <w:rsid w:val="00ED579F"/>
    <w:rsid w:val="00ED58B7"/>
    <w:rsid w:val="00ED591E"/>
    <w:rsid w:val="00ED60FD"/>
    <w:rsid w:val="00ED6B21"/>
    <w:rsid w:val="00ED6BE8"/>
    <w:rsid w:val="00ED6C48"/>
    <w:rsid w:val="00ED7308"/>
    <w:rsid w:val="00ED7459"/>
    <w:rsid w:val="00ED781B"/>
    <w:rsid w:val="00ED7B5C"/>
    <w:rsid w:val="00ED7B73"/>
    <w:rsid w:val="00EE00CB"/>
    <w:rsid w:val="00EE00F2"/>
    <w:rsid w:val="00EE04E3"/>
    <w:rsid w:val="00EE14F9"/>
    <w:rsid w:val="00EE1731"/>
    <w:rsid w:val="00EE1819"/>
    <w:rsid w:val="00EE1906"/>
    <w:rsid w:val="00EE24D8"/>
    <w:rsid w:val="00EE25C1"/>
    <w:rsid w:val="00EE29AB"/>
    <w:rsid w:val="00EE2E10"/>
    <w:rsid w:val="00EE3094"/>
    <w:rsid w:val="00EE331A"/>
    <w:rsid w:val="00EE39D7"/>
    <w:rsid w:val="00EE3B49"/>
    <w:rsid w:val="00EE44B8"/>
    <w:rsid w:val="00EE4E3A"/>
    <w:rsid w:val="00EE4E6F"/>
    <w:rsid w:val="00EE51CB"/>
    <w:rsid w:val="00EE5288"/>
    <w:rsid w:val="00EE52DB"/>
    <w:rsid w:val="00EE5ACA"/>
    <w:rsid w:val="00EE5ADC"/>
    <w:rsid w:val="00EE66A5"/>
    <w:rsid w:val="00EE7AF0"/>
    <w:rsid w:val="00EF07A3"/>
    <w:rsid w:val="00EF0A39"/>
    <w:rsid w:val="00EF0C07"/>
    <w:rsid w:val="00EF0C36"/>
    <w:rsid w:val="00EF0C6C"/>
    <w:rsid w:val="00EF11F7"/>
    <w:rsid w:val="00EF1410"/>
    <w:rsid w:val="00EF15A2"/>
    <w:rsid w:val="00EF17CA"/>
    <w:rsid w:val="00EF1814"/>
    <w:rsid w:val="00EF1D42"/>
    <w:rsid w:val="00EF2434"/>
    <w:rsid w:val="00EF2662"/>
    <w:rsid w:val="00EF2925"/>
    <w:rsid w:val="00EF3055"/>
    <w:rsid w:val="00EF30A8"/>
    <w:rsid w:val="00EF33E5"/>
    <w:rsid w:val="00EF3B74"/>
    <w:rsid w:val="00EF4274"/>
    <w:rsid w:val="00EF4282"/>
    <w:rsid w:val="00EF4B11"/>
    <w:rsid w:val="00EF4D49"/>
    <w:rsid w:val="00EF5344"/>
    <w:rsid w:val="00EF5D3E"/>
    <w:rsid w:val="00EF6475"/>
    <w:rsid w:val="00EF651F"/>
    <w:rsid w:val="00EF74F5"/>
    <w:rsid w:val="00EF75C0"/>
    <w:rsid w:val="00EF7AAA"/>
    <w:rsid w:val="00EF7ACA"/>
    <w:rsid w:val="00F0141B"/>
    <w:rsid w:val="00F01581"/>
    <w:rsid w:val="00F0169A"/>
    <w:rsid w:val="00F01B1F"/>
    <w:rsid w:val="00F02B94"/>
    <w:rsid w:val="00F0300B"/>
    <w:rsid w:val="00F04A59"/>
    <w:rsid w:val="00F04DD1"/>
    <w:rsid w:val="00F062FC"/>
    <w:rsid w:val="00F0693D"/>
    <w:rsid w:val="00F06C35"/>
    <w:rsid w:val="00F0761C"/>
    <w:rsid w:val="00F07978"/>
    <w:rsid w:val="00F1098A"/>
    <w:rsid w:val="00F10DFB"/>
    <w:rsid w:val="00F10F08"/>
    <w:rsid w:val="00F10FEC"/>
    <w:rsid w:val="00F110AE"/>
    <w:rsid w:val="00F111E3"/>
    <w:rsid w:val="00F113A7"/>
    <w:rsid w:val="00F11492"/>
    <w:rsid w:val="00F1164A"/>
    <w:rsid w:val="00F11C36"/>
    <w:rsid w:val="00F121FE"/>
    <w:rsid w:val="00F122CF"/>
    <w:rsid w:val="00F12609"/>
    <w:rsid w:val="00F1266A"/>
    <w:rsid w:val="00F1272D"/>
    <w:rsid w:val="00F1285D"/>
    <w:rsid w:val="00F1287E"/>
    <w:rsid w:val="00F12883"/>
    <w:rsid w:val="00F13818"/>
    <w:rsid w:val="00F13819"/>
    <w:rsid w:val="00F13A35"/>
    <w:rsid w:val="00F13BBB"/>
    <w:rsid w:val="00F14E90"/>
    <w:rsid w:val="00F156B1"/>
    <w:rsid w:val="00F15A45"/>
    <w:rsid w:val="00F165FD"/>
    <w:rsid w:val="00F1780A"/>
    <w:rsid w:val="00F17C8C"/>
    <w:rsid w:val="00F20000"/>
    <w:rsid w:val="00F20019"/>
    <w:rsid w:val="00F2016C"/>
    <w:rsid w:val="00F2026F"/>
    <w:rsid w:val="00F20AC1"/>
    <w:rsid w:val="00F21401"/>
    <w:rsid w:val="00F214AA"/>
    <w:rsid w:val="00F21603"/>
    <w:rsid w:val="00F21B2B"/>
    <w:rsid w:val="00F22696"/>
    <w:rsid w:val="00F22BE4"/>
    <w:rsid w:val="00F22D99"/>
    <w:rsid w:val="00F237F5"/>
    <w:rsid w:val="00F23C7A"/>
    <w:rsid w:val="00F23F24"/>
    <w:rsid w:val="00F24040"/>
    <w:rsid w:val="00F2408A"/>
    <w:rsid w:val="00F24120"/>
    <w:rsid w:val="00F246E3"/>
    <w:rsid w:val="00F24895"/>
    <w:rsid w:val="00F249AF"/>
    <w:rsid w:val="00F24AE8"/>
    <w:rsid w:val="00F24EBD"/>
    <w:rsid w:val="00F25199"/>
    <w:rsid w:val="00F25A40"/>
    <w:rsid w:val="00F25D44"/>
    <w:rsid w:val="00F25DF6"/>
    <w:rsid w:val="00F2613C"/>
    <w:rsid w:val="00F26577"/>
    <w:rsid w:val="00F2691D"/>
    <w:rsid w:val="00F2694E"/>
    <w:rsid w:val="00F26C42"/>
    <w:rsid w:val="00F26E30"/>
    <w:rsid w:val="00F300B3"/>
    <w:rsid w:val="00F300C5"/>
    <w:rsid w:val="00F30277"/>
    <w:rsid w:val="00F302A3"/>
    <w:rsid w:val="00F307FA"/>
    <w:rsid w:val="00F3080D"/>
    <w:rsid w:val="00F30C36"/>
    <w:rsid w:val="00F31A2E"/>
    <w:rsid w:val="00F31B0E"/>
    <w:rsid w:val="00F31F05"/>
    <w:rsid w:val="00F3257B"/>
    <w:rsid w:val="00F327A5"/>
    <w:rsid w:val="00F329A7"/>
    <w:rsid w:val="00F331C3"/>
    <w:rsid w:val="00F343ED"/>
    <w:rsid w:val="00F344D1"/>
    <w:rsid w:val="00F34612"/>
    <w:rsid w:val="00F34795"/>
    <w:rsid w:val="00F34A6D"/>
    <w:rsid w:val="00F34AB7"/>
    <w:rsid w:val="00F35153"/>
    <w:rsid w:val="00F351CA"/>
    <w:rsid w:val="00F354A6"/>
    <w:rsid w:val="00F35642"/>
    <w:rsid w:val="00F35737"/>
    <w:rsid w:val="00F36181"/>
    <w:rsid w:val="00F3740C"/>
    <w:rsid w:val="00F40497"/>
    <w:rsid w:val="00F40CA5"/>
    <w:rsid w:val="00F40EC7"/>
    <w:rsid w:val="00F41100"/>
    <w:rsid w:val="00F41256"/>
    <w:rsid w:val="00F4144E"/>
    <w:rsid w:val="00F4180A"/>
    <w:rsid w:val="00F41F0F"/>
    <w:rsid w:val="00F42335"/>
    <w:rsid w:val="00F423AE"/>
    <w:rsid w:val="00F42B66"/>
    <w:rsid w:val="00F43229"/>
    <w:rsid w:val="00F43436"/>
    <w:rsid w:val="00F4370F"/>
    <w:rsid w:val="00F43F26"/>
    <w:rsid w:val="00F4422C"/>
    <w:rsid w:val="00F44549"/>
    <w:rsid w:val="00F449B5"/>
    <w:rsid w:val="00F44A0B"/>
    <w:rsid w:val="00F44BC7"/>
    <w:rsid w:val="00F44D77"/>
    <w:rsid w:val="00F4520D"/>
    <w:rsid w:val="00F454B9"/>
    <w:rsid w:val="00F45532"/>
    <w:rsid w:val="00F45571"/>
    <w:rsid w:val="00F456B1"/>
    <w:rsid w:val="00F456EB"/>
    <w:rsid w:val="00F45F3F"/>
    <w:rsid w:val="00F46523"/>
    <w:rsid w:val="00F46CB9"/>
    <w:rsid w:val="00F46DF5"/>
    <w:rsid w:val="00F477D6"/>
    <w:rsid w:val="00F47AFA"/>
    <w:rsid w:val="00F47E17"/>
    <w:rsid w:val="00F50222"/>
    <w:rsid w:val="00F50241"/>
    <w:rsid w:val="00F50914"/>
    <w:rsid w:val="00F50C59"/>
    <w:rsid w:val="00F50ECD"/>
    <w:rsid w:val="00F51215"/>
    <w:rsid w:val="00F51D53"/>
    <w:rsid w:val="00F5208F"/>
    <w:rsid w:val="00F532FD"/>
    <w:rsid w:val="00F533B8"/>
    <w:rsid w:val="00F53475"/>
    <w:rsid w:val="00F53621"/>
    <w:rsid w:val="00F53D1A"/>
    <w:rsid w:val="00F53D8A"/>
    <w:rsid w:val="00F54062"/>
    <w:rsid w:val="00F549A5"/>
    <w:rsid w:val="00F54CE9"/>
    <w:rsid w:val="00F553F6"/>
    <w:rsid w:val="00F55B80"/>
    <w:rsid w:val="00F5632A"/>
    <w:rsid w:val="00F56A03"/>
    <w:rsid w:val="00F576AF"/>
    <w:rsid w:val="00F57839"/>
    <w:rsid w:val="00F603EF"/>
    <w:rsid w:val="00F603F4"/>
    <w:rsid w:val="00F604F1"/>
    <w:rsid w:val="00F61126"/>
    <w:rsid w:val="00F61975"/>
    <w:rsid w:val="00F61D4A"/>
    <w:rsid w:val="00F628B5"/>
    <w:rsid w:val="00F629C7"/>
    <w:rsid w:val="00F62A3B"/>
    <w:rsid w:val="00F63C31"/>
    <w:rsid w:val="00F642F0"/>
    <w:rsid w:val="00F64397"/>
    <w:rsid w:val="00F649A7"/>
    <w:rsid w:val="00F64FF7"/>
    <w:rsid w:val="00F6591A"/>
    <w:rsid w:val="00F65F5D"/>
    <w:rsid w:val="00F66123"/>
    <w:rsid w:val="00F663F7"/>
    <w:rsid w:val="00F6753D"/>
    <w:rsid w:val="00F679FB"/>
    <w:rsid w:val="00F67D1D"/>
    <w:rsid w:val="00F70153"/>
    <w:rsid w:val="00F71D14"/>
    <w:rsid w:val="00F71E55"/>
    <w:rsid w:val="00F71F16"/>
    <w:rsid w:val="00F720F0"/>
    <w:rsid w:val="00F7218D"/>
    <w:rsid w:val="00F74020"/>
    <w:rsid w:val="00F74DF9"/>
    <w:rsid w:val="00F74E0B"/>
    <w:rsid w:val="00F7581F"/>
    <w:rsid w:val="00F7636F"/>
    <w:rsid w:val="00F7658A"/>
    <w:rsid w:val="00F7663C"/>
    <w:rsid w:val="00F766DB"/>
    <w:rsid w:val="00F76AAF"/>
    <w:rsid w:val="00F76C6A"/>
    <w:rsid w:val="00F773F8"/>
    <w:rsid w:val="00F77EC3"/>
    <w:rsid w:val="00F80289"/>
    <w:rsid w:val="00F803E2"/>
    <w:rsid w:val="00F806A4"/>
    <w:rsid w:val="00F8118E"/>
    <w:rsid w:val="00F816C4"/>
    <w:rsid w:val="00F81F10"/>
    <w:rsid w:val="00F82020"/>
    <w:rsid w:val="00F82056"/>
    <w:rsid w:val="00F82349"/>
    <w:rsid w:val="00F829BF"/>
    <w:rsid w:val="00F82A6A"/>
    <w:rsid w:val="00F82C95"/>
    <w:rsid w:val="00F830C6"/>
    <w:rsid w:val="00F839AB"/>
    <w:rsid w:val="00F83BEB"/>
    <w:rsid w:val="00F83C7C"/>
    <w:rsid w:val="00F847BC"/>
    <w:rsid w:val="00F84AF1"/>
    <w:rsid w:val="00F84B55"/>
    <w:rsid w:val="00F8512B"/>
    <w:rsid w:val="00F8550E"/>
    <w:rsid w:val="00F857B2"/>
    <w:rsid w:val="00F86437"/>
    <w:rsid w:val="00F8699D"/>
    <w:rsid w:val="00F86A3A"/>
    <w:rsid w:val="00F86A4A"/>
    <w:rsid w:val="00F87040"/>
    <w:rsid w:val="00F877F0"/>
    <w:rsid w:val="00F87CC5"/>
    <w:rsid w:val="00F87ECC"/>
    <w:rsid w:val="00F87F01"/>
    <w:rsid w:val="00F87F8F"/>
    <w:rsid w:val="00F900B1"/>
    <w:rsid w:val="00F907E8"/>
    <w:rsid w:val="00F90E42"/>
    <w:rsid w:val="00F911A5"/>
    <w:rsid w:val="00F914B8"/>
    <w:rsid w:val="00F91C5E"/>
    <w:rsid w:val="00F91DF4"/>
    <w:rsid w:val="00F9231B"/>
    <w:rsid w:val="00F924A9"/>
    <w:rsid w:val="00F92718"/>
    <w:rsid w:val="00F936F5"/>
    <w:rsid w:val="00F938A2"/>
    <w:rsid w:val="00F938EC"/>
    <w:rsid w:val="00F939B5"/>
    <w:rsid w:val="00F939E0"/>
    <w:rsid w:val="00F93E5B"/>
    <w:rsid w:val="00F94370"/>
    <w:rsid w:val="00F94511"/>
    <w:rsid w:val="00F94C48"/>
    <w:rsid w:val="00F94FAF"/>
    <w:rsid w:val="00F958F8"/>
    <w:rsid w:val="00F9593B"/>
    <w:rsid w:val="00F95D5D"/>
    <w:rsid w:val="00F95FCE"/>
    <w:rsid w:val="00F96744"/>
    <w:rsid w:val="00F969AA"/>
    <w:rsid w:val="00F96C4A"/>
    <w:rsid w:val="00F96E8C"/>
    <w:rsid w:val="00F96EE5"/>
    <w:rsid w:val="00F96EF6"/>
    <w:rsid w:val="00F970CB"/>
    <w:rsid w:val="00F970EA"/>
    <w:rsid w:val="00F9796B"/>
    <w:rsid w:val="00FA048D"/>
    <w:rsid w:val="00FA0623"/>
    <w:rsid w:val="00FA0E3E"/>
    <w:rsid w:val="00FA14D2"/>
    <w:rsid w:val="00FA1842"/>
    <w:rsid w:val="00FA1B60"/>
    <w:rsid w:val="00FA1E3E"/>
    <w:rsid w:val="00FA214A"/>
    <w:rsid w:val="00FA2E56"/>
    <w:rsid w:val="00FA30C3"/>
    <w:rsid w:val="00FA3AE5"/>
    <w:rsid w:val="00FA44F7"/>
    <w:rsid w:val="00FA46B1"/>
    <w:rsid w:val="00FA4CC3"/>
    <w:rsid w:val="00FA4D53"/>
    <w:rsid w:val="00FA5DFC"/>
    <w:rsid w:val="00FA6340"/>
    <w:rsid w:val="00FA6869"/>
    <w:rsid w:val="00FA6AD8"/>
    <w:rsid w:val="00FA7140"/>
    <w:rsid w:val="00FA7AF9"/>
    <w:rsid w:val="00FB0406"/>
    <w:rsid w:val="00FB05F0"/>
    <w:rsid w:val="00FB07E1"/>
    <w:rsid w:val="00FB148F"/>
    <w:rsid w:val="00FB177B"/>
    <w:rsid w:val="00FB2613"/>
    <w:rsid w:val="00FB287A"/>
    <w:rsid w:val="00FB3492"/>
    <w:rsid w:val="00FB3751"/>
    <w:rsid w:val="00FB37AD"/>
    <w:rsid w:val="00FB3C6E"/>
    <w:rsid w:val="00FB3D9C"/>
    <w:rsid w:val="00FB3EDD"/>
    <w:rsid w:val="00FB465D"/>
    <w:rsid w:val="00FB4C8C"/>
    <w:rsid w:val="00FB4EEC"/>
    <w:rsid w:val="00FB513F"/>
    <w:rsid w:val="00FB5257"/>
    <w:rsid w:val="00FB57C4"/>
    <w:rsid w:val="00FB5D9B"/>
    <w:rsid w:val="00FB5E9E"/>
    <w:rsid w:val="00FB5F29"/>
    <w:rsid w:val="00FB5FE5"/>
    <w:rsid w:val="00FB6177"/>
    <w:rsid w:val="00FB64AB"/>
    <w:rsid w:val="00FB6CF6"/>
    <w:rsid w:val="00FB74E2"/>
    <w:rsid w:val="00FB7C0A"/>
    <w:rsid w:val="00FC0341"/>
    <w:rsid w:val="00FC14C0"/>
    <w:rsid w:val="00FC19F9"/>
    <w:rsid w:val="00FC2064"/>
    <w:rsid w:val="00FC299F"/>
    <w:rsid w:val="00FC3123"/>
    <w:rsid w:val="00FC32F0"/>
    <w:rsid w:val="00FC34B0"/>
    <w:rsid w:val="00FC358B"/>
    <w:rsid w:val="00FC38F1"/>
    <w:rsid w:val="00FC4069"/>
    <w:rsid w:val="00FC40DF"/>
    <w:rsid w:val="00FC4267"/>
    <w:rsid w:val="00FC543A"/>
    <w:rsid w:val="00FC54CC"/>
    <w:rsid w:val="00FC56E0"/>
    <w:rsid w:val="00FC638A"/>
    <w:rsid w:val="00FC67B0"/>
    <w:rsid w:val="00FC6ABA"/>
    <w:rsid w:val="00FC6FC7"/>
    <w:rsid w:val="00FC71B8"/>
    <w:rsid w:val="00FC73B1"/>
    <w:rsid w:val="00FC7525"/>
    <w:rsid w:val="00FC7C52"/>
    <w:rsid w:val="00FD14F2"/>
    <w:rsid w:val="00FD19B4"/>
    <w:rsid w:val="00FD1E9D"/>
    <w:rsid w:val="00FD2122"/>
    <w:rsid w:val="00FD25EC"/>
    <w:rsid w:val="00FD2F71"/>
    <w:rsid w:val="00FD353D"/>
    <w:rsid w:val="00FD39B6"/>
    <w:rsid w:val="00FD39D8"/>
    <w:rsid w:val="00FD3E2C"/>
    <w:rsid w:val="00FD425F"/>
    <w:rsid w:val="00FD43D9"/>
    <w:rsid w:val="00FD4674"/>
    <w:rsid w:val="00FD4C0D"/>
    <w:rsid w:val="00FD4EA8"/>
    <w:rsid w:val="00FD5047"/>
    <w:rsid w:val="00FD5449"/>
    <w:rsid w:val="00FD56F5"/>
    <w:rsid w:val="00FD61AB"/>
    <w:rsid w:val="00FE01B3"/>
    <w:rsid w:val="00FE037D"/>
    <w:rsid w:val="00FE0395"/>
    <w:rsid w:val="00FE064B"/>
    <w:rsid w:val="00FE074D"/>
    <w:rsid w:val="00FE07FC"/>
    <w:rsid w:val="00FE08AD"/>
    <w:rsid w:val="00FE0AE9"/>
    <w:rsid w:val="00FE18D0"/>
    <w:rsid w:val="00FE1A1B"/>
    <w:rsid w:val="00FE2AAC"/>
    <w:rsid w:val="00FE2D25"/>
    <w:rsid w:val="00FE3260"/>
    <w:rsid w:val="00FE32DB"/>
    <w:rsid w:val="00FE3346"/>
    <w:rsid w:val="00FE38D4"/>
    <w:rsid w:val="00FE4514"/>
    <w:rsid w:val="00FE4BC8"/>
    <w:rsid w:val="00FE55F7"/>
    <w:rsid w:val="00FE5DEB"/>
    <w:rsid w:val="00FE6491"/>
    <w:rsid w:val="00FE6A0D"/>
    <w:rsid w:val="00FE6AF5"/>
    <w:rsid w:val="00FE6B46"/>
    <w:rsid w:val="00FE71AC"/>
    <w:rsid w:val="00FE75BF"/>
    <w:rsid w:val="00FF03ED"/>
    <w:rsid w:val="00FF0AAC"/>
    <w:rsid w:val="00FF11B1"/>
    <w:rsid w:val="00FF26A9"/>
    <w:rsid w:val="00FF2A22"/>
    <w:rsid w:val="00FF2A6B"/>
    <w:rsid w:val="00FF2F59"/>
    <w:rsid w:val="00FF357E"/>
    <w:rsid w:val="00FF391D"/>
    <w:rsid w:val="00FF3A75"/>
    <w:rsid w:val="00FF3E3F"/>
    <w:rsid w:val="00FF49D8"/>
    <w:rsid w:val="00FF4C80"/>
    <w:rsid w:val="00FF4E27"/>
    <w:rsid w:val="00FF5728"/>
    <w:rsid w:val="00FF5A0D"/>
    <w:rsid w:val="00FF5C59"/>
    <w:rsid w:val="00FF6306"/>
    <w:rsid w:val="00FF6A0B"/>
    <w:rsid w:val="00FF6DD8"/>
    <w:rsid w:val="00FF70B0"/>
    <w:rsid w:val="00FF73BA"/>
    <w:rsid w:val="00FF7B76"/>
    <w:rsid w:val="00FF7BA0"/>
    <w:rsid w:val="00FF7D78"/>
    <w:rsid w:val="00FF7EE1"/>
    <w:rsid w:val="00FF7F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23DD7"/>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fn"/>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
    <w:link w:val="4G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qFormat/>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semiHidden/>
    <w:unhideWhenUsed/>
    <w:rsid w:val="0092600C"/>
    <w:pPr>
      <w:spacing w:line="240" w:lineRule="auto"/>
    </w:pPr>
  </w:style>
  <w:style w:type="character" w:customStyle="1" w:styleId="CommentTextChar">
    <w:name w:val="Comment Text Char"/>
    <w:basedOn w:val="DefaultParagraphFont"/>
    <w:link w:val="CommentText"/>
    <w:uiPriority w:val="99"/>
    <w:semiHidden/>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C24A5"/>
    <w:rPr>
      <w:color w:val="0000FF" w:themeColor="hyperlink"/>
      <w:u w:val="single"/>
    </w:rPr>
  </w:style>
  <w:style w:type="paragraph" w:styleId="NormalWeb">
    <w:name w:val="Normal (Web)"/>
    <w:basedOn w:val="Normal"/>
    <w:uiPriority w:val="99"/>
    <w:unhideWhenUsed/>
    <w:rsid w:val="00FD61AB"/>
    <w:pPr>
      <w:suppressAutoHyphens w:val="0"/>
      <w:spacing w:before="100" w:beforeAutospacing="1" w:after="100" w:afterAutospacing="1" w:line="240" w:lineRule="auto"/>
    </w:pPr>
    <w:rPr>
      <w:sz w:val="24"/>
      <w:szCs w:val="24"/>
      <w:lang w:val="en-US"/>
    </w:rPr>
  </w:style>
  <w:style w:type="character" w:styleId="Emphasis">
    <w:name w:val="Emphasis"/>
    <w:basedOn w:val="DefaultParagraphFont"/>
    <w:uiPriority w:val="20"/>
    <w:qFormat/>
    <w:rsid w:val="003E4B5B"/>
    <w:rPr>
      <w:i/>
      <w:iCs/>
    </w:rPr>
  </w:style>
  <w:style w:type="paragraph" w:customStyle="1" w:styleId="an">
    <w:name w:val="an"/>
    <w:basedOn w:val="Normal"/>
    <w:rsid w:val="003E4B5B"/>
    <w:pPr>
      <w:suppressAutoHyphens w:val="0"/>
      <w:spacing w:before="100" w:beforeAutospacing="1" w:after="100" w:afterAutospacing="1" w:line="240" w:lineRule="auto"/>
    </w:pPr>
    <w:rPr>
      <w:sz w:val="24"/>
      <w:szCs w:val="24"/>
      <w:lang w:val="en-US"/>
    </w:rPr>
  </w:style>
  <w:style w:type="paragraph" w:customStyle="1" w:styleId="list-group-item">
    <w:name w:val="list-group-item"/>
    <w:basedOn w:val="Normal"/>
    <w:rsid w:val="003E4B5B"/>
    <w:pPr>
      <w:suppressAutoHyphens w:val="0"/>
      <w:spacing w:before="100" w:beforeAutospacing="1" w:after="100" w:afterAutospacing="1" w:line="240" w:lineRule="auto"/>
    </w:pPr>
    <w:rPr>
      <w:sz w:val="24"/>
      <w:szCs w:val="24"/>
      <w:lang w:val="en-US"/>
    </w:rPr>
  </w:style>
  <w:style w:type="character" w:styleId="Strong">
    <w:name w:val="Strong"/>
    <w:basedOn w:val="DefaultParagraphFont"/>
    <w:uiPriority w:val="22"/>
    <w:qFormat/>
    <w:rsid w:val="0091509A"/>
    <w:rPr>
      <w:b/>
      <w:bCs/>
    </w:rPr>
  </w:style>
  <w:style w:type="character" w:customStyle="1" w:styleId="xs7d2086b4">
    <w:name w:val="x_s7d2086b4"/>
    <w:basedOn w:val="DefaultParagraphFont"/>
    <w:rsid w:val="007A31DD"/>
  </w:style>
  <w:style w:type="character" w:customStyle="1" w:styleId="xs6b621b36">
    <w:name w:val="x_s6b621b36"/>
    <w:basedOn w:val="DefaultParagraphFont"/>
    <w:rsid w:val="007A31DD"/>
  </w:style>
  <w:style w:type="paragraph" w:customStyle="1" w:styleId="Default">
    <w:name w:val="Default"/>
    <w:rsid w:val="008653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2A40FC"/>
    <w:pPr>
      <w:suppressAutoHyphens w:val="0"/>
      <w:spacing w:line="240" w:lineRule="auto"/>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45745845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01575365">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70329464">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195074690">
      <w:bodyDiv w:val="1"/>
      <w:marLeft w:val="0"/>
      <w:marRight w:val="0"/>
      <w:marTop w:val="0"/>
      <w:marBottom w:val="0"/>
      <w:divBdr>
        <w:top w:val="none" w:sz="0" w:space="0" w:color="auto"/>
        <w:left w:val="none" w:sz="0" w:space="0" w:color="auto"/>
        <w:bottom w:val="none" w:sz="0" w:space="0" w:color="auto"/>
        <w:right w:val="none" w:sz="0" w:space="0" w:color="auto"/>
      </w:divBdr>
    </w:div>
    <w:div w:id="1199860166">
      <w:bodyDiv w:val="1"/>
      <w:marLeft w:val="0"/>
      <w:marRight w:val="0"/>
      <w:marTop w:val="0"/>
      <w:marBottom w:val="0"/>
      <w:divBdr>
        <w:top w:val="none" w:sz="0" w:space="0" w:color="auto"/>
        <w:left w:val="none" w:sz="0" w:space="0" w:color="auto"/>
        <w:bottom w:val="none" w:sz="0" w:space="0" w:color="auto"/>
        <w:right w:val="none" w:sz="0" w:space="0" w:color="auto"/>
      </w:divBdr>
    </w:div>
    <w:div w:id="140471636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54137388">
      <w:bodyDiv w:val="1"/>
      <w:marLeft w:val="0"/>
      <w:marRight w:val="0"/>
      <w:marTop w:val="0"/>
      <w:marBottom w:val="0"/>
      <w:divBdr>
        <w:top w:val="none" w:sz="0" w:space="0" w:color="auto"/>
        <w:left w:val="none" w:sz="0" w:space="0" w:color="auto"/>
        <w:bottom w:val="none" w:sz="0" w:space="0" w:color="auto"/>
        <w:right w:val="none" w:sz="0" w:space="0" w:color="auto"/>
      </w:divBdr>
    </w:div>
    <w:div w:id="1677809291">
      <w:bodyDiv w:val="1"/>
      <w:marLeft w:val="0"/>
      <w:marRight w:val="0"/>
      <w:marTop w:val="0"/>
      <w:marBottom w:val="0"/>
      <w:divBdr>
        <w:top w:val="none" w:sz="0" w:space="0" w:color="auto"/>
        <w:left w:val="none" w:sz="0" w:space="0" w:color="auto"/>
        <w:bottom w:val="none" w:sz="0" w:space="0" w:color="auto"/>
        <w:right w:val="none" w:sz="0" w:space="0" w:color="auto"/>
      </w:divBdr>
    </w:div>
    <w:div w:id="191647767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B0F9-E8D7-4F7A-AD4B-0D6979FC0F13}"/>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5A30D-BC5A-40EC-9866-3FF5019E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8887</Words>
  <Characters>50660</Characters>
  <Application>Microsoft Office Word</Application>
  <DocSecurity>0</DocSecurity>
  <Lines>422</Lines>
  <Paragraphs>118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CCPR/C/132/DR/2844/2016</vt:lpstr>
      <vt:lpstr>CCPR/C/132/DR/2844/2016</vt:lpstr>
      <vt:lpstr>CCPR/C/WG/132/DR/2844/2016</vt:lpstr>
    </vt:vector>
  </TitlesOfParts>
  <Company>DCM</Company>
  <LinksUpToDate>false</LinksUpToDate>
  <CharactersWithSpaces>59429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CCPR/C/132/DR/2844/2016</dc:title>
  <dc:subject>CCPR</dc:subject>
  <dc:creator>Giltsoff</dc:creator>
  <cp:keywords/>
  <cp:lastModifiedBy>Mohamed Abdelazim</cp:lastModifiedBy>
  <cp:revision>5</cp:revision>
  <cp:lastPrinted>2021-08-25T16:40:00Z</cp:lastPrinted>
  <dcterms:created xsi:type="dcterms:W3CDTF">2021-11-02T13:02:00Z</dcterms:created>
  <dcterms:modified xsi:type="dcterms:W3CDTF">2021-11-02T13:39:00Z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