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235F9" w:rsidRPr="00C235F9" w:rsidTr="00F603F4">
        <w:trPr>
          <w:cantSplit/>
          <w:trHeight w:hRule="exact" w:val="851"/>
        </w:trPr>
        <w:tc>
          <w:tcPr>
            <w:tcW w:w="1276" w:type="dxa"/>
            <w:tcBorders>
              <w:bottom w:val="single" w:sz="4" w:space="0" w:color="auto"/>
            </w:tcBorders>
            <w:vAlign w:val="bottom"/>
          </w:tcPr>
          <w:p w:rsidR="00165C15" w:rsidRPr="00C235F9" w:rsidRDefault="00165C15" w:rsidP="00F603F4">
            <w:pPr>
              <w:spacing w:after="80"/>
            </w:pPr>
          </w:p>
        </w:tc>
        <w:tc>
          <w:tcPr>
            <w:tcW w:w="2268" w:type="dxa"/>
            <w:tcBorders>
              <w:bottom w:val="single" w:sz="4" w:space="0" w:color="auto"/>
            </w:tcBorders>
            <w:vAlign w:val="bottom"/>
          </w:tcPr>
          <w:p w:rsidR="00165C15" w:rsidRPr="00C235F9" w:rsidRDefault="00165C15" w:rsidP="00F603F4">
            <w:pPr>
              <w:spacing w:after="80" w:line="300" w:lineRule="exact"/>
              <w:rPr>
                <w:b/>
                <w:sz w:val="24"/>
                <w:szCs w:val="24"/>
              </w:rPr>
            </w:pPr>
            <w:r w:rsidRPr="00C235F9">
              <w:rPr>
                <w:sz w:val="28"/>
                <w:szCs w:val="28"/>
              </w:rPr>
              <w:t>United Nations</w:t>
            </w:r>
          </w:p>
        </w:tc>
        <w:tc>
          <w:tcPr>
            <w:tcW w:w="6095" w:type="dxa"/>
            <w:gridSpan w:val="2"/>
            <w:tcBorders>
              <w:bottom w:val="single" w:sz="4" w:space="0" w:color="auto"/>
            </w:tcBorders>
            <w:vAlign w:val="bottom"/>
          </w:tcPr>
          <w:p w:rsidR="00165C15" w:rsidRPr="00C235F9" w:rsidRDefault="006A31AE" w:rsidP="005D48B2">
            <w:pPr>
              <w:suppressAutoHyphens w:val="0"/>
              <w:spacing w:after="20"/>
              <w:jc w:val="right"/>
              <w:rPr>
                <w:sz w:val="40"/>
              </w:rPr>
            </w:pPr>
            <w:r w:rsidRPr="00C235F9">
              <w:rPr>
                <w:sz w:val="40"/>
              </w:rPr>
              <w:t>CCPR</w:t>
            </w:r>
            <w:r w:rsidRPr="00C235F9">
              <w:t>/C/</w:t>
            </w:r>
            <w:r w:rsidR="00F30EF9" w:rsidRPr="00C235F9">
              <w:t>12</w:t>
            </w:r>
            <w:r w:rsidR="00325316">
              <w:t>7</w:t>
            </w:r>
            <w:r w:rsidRPr="00C235F9">
              <w:t>/D</w:t>
            </w:r>
            <w:r w:rsidR="00F46327">
              <w:t>/</w:t>
            </w:r>
            <w:r w:rsidR="002B05E8">
              <w:t>2505</w:t>
            </w:r>
            <w:r w:rsidRPr="00C235F9">
              <w:t>/</w:t>
            </w:r>
            <w:r w:rsidR="00AD7513">
              <w:t>201</w:t>
            </w:r>
            <w:r w:rsidR="002B05E8">
              <w:t>4</w:t>
            </w:r>
          </w:p>
        </w:tc>
      </w:tr>
      <w:tr w:rsidR="00C235F9" w:rsidRPr="00C235F9" w:rsidTr="00F603F4">
        <w:trPr>
          <w:cantSplit/>
          <w:trHeight w:hRule="exact" w:val="2835"/>
        </w:trPr>
        <w:tc>
          <w:tcPr>
            <w:tcW w:w="1276" w:type="dxa"/>
            <w:tcBorders>
              <w:top w:val="single" w:sz="4" w:space="0" w:color="auto"/>
              <w:bottom w:val="single" w:sz="12" w:space="0" w:color="auto"/>
            </w:tcBorders>
          </w:tcPr>
          <w:p w:rsidR="00165C15" w:rsidRPr="00C235F9" w:rsidRDefault="00165C15" w:rsidP="00F603F4">
            <w:pPr>
              <w:spacing w:before="120"/>
            </w:pPr>
            <w:r w:rsidRPr="00C235F9">
              <w:rPr>
                <w:noProof/>
                <w:lang w:eastAsia="en-GB"/>
              </w:rPr>
              <w:drawing>
                <wp:inline distT="0" distB="0" distL="0" distR="0" wp14:anchorId="5572A44E" wp14:editId="5572A44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Default="00165C15" w:rsidP="00F603F4">
            <w:pPr>
              <w:spacing w:before="120" w:line="380" w:lineRule="exact"/>
              <w:rPr>
                <w:b/>
                <w:sz w:val="34"/>
                <w:szCs w:val="40"/>
              </w:rPr>
            </w:pPr>
            <w:r w:rsidRPr="00C235F9">
              <w:rPr>
                <w:b/>
                <w:sz w:val="34"/>
                <w:szCs w:val="40"/>
              </w:rPr>
              <w:t>International Covenant on</w:t>
            </w:r>
            <w:r w:rsidRPr="00C235F9">
              <w:rPr>
                <w:b/>
                <w:sz w:val="34"/>
                <w:szCs w:val="40"/>
              </w:rPr>
              <w:br/>
              <w:t>Civil and Political Rights</w:t>
            </w:r>
          </w:p>
          <w:p w:rsidR="004F10AD" w:rsidRPr="00C235F9" w:rsidRDefault="004F10AD" w:rsidP="00F603F4">
            <w:pPr>
              <w:spacing w:before="120" w:line="380" w:lineRule="exact"/>
              <w:rPr>
                <w:sz w:val="34"/>
              </w:rPr>
            </w:pPr>
            <w:r w:rsidRPr="000921E9">
              <w:rPr>
                <w:sz w:val="34"/>
                <w:szCs w:val="40"/>
              </w:rPr>
              <w:t>Advance unedited version</w:t>
            </w:r>
          </w:p>
        </w:tc>
        <w:tc>
          <w:tcPr>
            <w:tcW w:w="2835" w:type="dxa"/>
            <w:tcBorders>
              <w:top w:val="single" w:sz="4" w:space="0" w:color="auto"/>
              <w:bottom w:val="single" w:sz="12" w:space="0" w:color="auto"/>
            </w:tcBorders>
          </w:tcPr>
          <w:p w:rsidR="00165C15" w:rsidRPr="00C235F9" w:rsidRDefault="006A31AE" w:rsidP="00F603F4">
            <w:pPr>
              <w:suppressAutoHyphens w:val="0"/>
              <w:spacing w:before="240" w:line="240" w:lineRule="exact"/>
            </w:pPr>
            <w:r w:rsidRPr="00C235F9">
              <w:t xml:space="preserve">Distr.: </w:t>
            </w:r>
            <w:r w:rsidR="005D48B2">
              <w:t>General</w:t>
            </w:r>
          </w:p>
          <w:p w:rsidR="006A31AE" w:rsidRPr="00C235F9" w:rsidRDefault="006A163A" w:rsidP="00F603F4">
            <w:pPr>
              <w:suppressAutoHyphens w:val="0"/>
            </w:pPr>
            <w:r>
              <w:t>19</w:t>
            </w:r>
            <w:r w:rsidR="005D48B2">
              <w:t xml:space="preserve"> November</w:t>
            </w:r>
            <w:r w:rsidR="00F30EF9" w:rsidRPr="00C235F9">
              <w:t xml:space="preserve"> 2019</w:t>
            </w:r>
          </w:p>
          <w:p w:rsidR="006A31AE" w:rsidRPr="00C235F9" w:rsidRDefault="006A31AE" w:rsidP="00F603F4">
            <w:pPr>
              <w:suppressAutoHyphens w:val="0"/>
            </w:pPr>
          </w:p>
          <w:p w:rsidR="006A31AE" w:rsidRPr="00C235F9" w:rsidRDefault="006A31AE" w:rsidP="00F603F4">
            <w:pPr>
              <w:suppressAutoHyphens w:val="0"/>
            </w:pPr>
            <w:r w:rsidRPr="00C235F9">
              <w:t>Original: English</w:t>
            </w:r>
          </w:p>
          <w:p w:rsidR="006A31AE" w:rsidRPr="00C235F9" w:rsidRDefault="006A31AE" w:rsidP="00F603F4">
            <w:pPr>
              <w:suppressAutoHyphens w:val="0"/>
            </w:pPr>
          </w:p>
        </w:tc>
      </w:tr>
    </w:tbl>
    <w:p w:rsidR="006A31AE" w:rsidRPr="00C235F9" w:rsidRDefault="006A31AE" w:rsidP="006A31AE">
      <w:pPr>
        <w:spacing w:before="120"/>
        <w:rPr>
          <w:b/>
          <w:bCs/>
          <w:sz w:val="24"/>
        </w:rPr>
      </w:pPr>
      <w:r w:rsidRPr="00C235F9">
        <w:rPr>
          <w:b/>
          <w:bCs/>
          <w:sz w:val="24"/>
        </w:rPr>
        <w:t>Human Rights Committee</w:t>
      </w:r>
    </w:p>
    <w:p w:rsidR="00EC5B7C" w:rsidRPr="00C235F9" w:rsidRDefault="00EC5B7C" w:rsidP="00EC5B7C">
      <w:pPr>
        <w:rPr>
          <w:b/>
          <w:bCs/>
        </w:rPr>
      </w:pPr>
    </w:p>
    <w:p w:rsidR="006A31AE" w:rsidRPr="00C235F9" w:rsidRDefault="006A31AE" w:rsidP="004F10AD">
      <w:pPr>
        <w:pStyle w:val="HChG"/>
        <w:ind w:left="0" w:firstLine="0"/>
      </w:pPr>
    </w:p>
    <w:p w:rsidR="006A31AE" w:rsidRPr="00C235F9" w:rsidRDefault="006A31AE" w:rsidP="006A31AE">
      <w:pPr>
        <w:pStyle w:val="H1G"/>
        <w:rPr>
          <w:rFonts w:eastAsia="MS Mincho"/>
        </w:rPr>
      </w:pPr>
      <w:r w:rsidRPr="00C235F9">
        <w:rPr>
          <w:rFonts w:eastAsia="MS Mincho"/>
        </w:rPr>
        <w:tab/>
      </w:r>
      <w:r w:rsidRPr="00C235F9">
        <w:rPr>
          <w:rFonts w:eastAsia="MS Mincho"/>
        </w:rPr>
        <w:tab/>
      </w:r>
      <w:r w:rsidR="00E775E4">
        <w:t>Decision adopted by the Committee under the Optional Protocol, concerning communication No. 2505/2014</w:t>
      </w:r>
      <w:r w:rsidR="00BF6D26" w:rsidRPr="00945135">
        <w:rPr>
          <w:rFonts w:eastAsia="MS Mincho"/>
          <w:b w:val="0"/>
          <w:sz w:val="20"/>
        </w:rPr>
        <w:footnoteReference w:customMarkFollows="1" w:id="1"/>
        <w:t>*</w:t>
      </w:r>
      <w:r w:rsidR="00BF6D26" w:rsidRPr="00945135">
        <w:rPr>
          <w:rFonts w:eastAsia="MS Mincho"/>
          <w:b w:val="0"/>
          <w:position w:val="6"/>
          <w:sz w:val="18"/>
        </w:rPr>
        <w:t>,</w:t>
      </w:r>
      <w:r w:rsidR="00BF6D26" w:rsidRPr="00A72DA3">
        <w:rPr>
          <w:rFonts w:eastAsia="MS Mincho"/>
          <w:b w:val="0"/>
          <w:sz w:val="20"/>
        </w:rPr>
        <w:t xml:space="preserve"> </w:t>
      </w:r>
      <w:r w:rsidR="00BF6D26" w:rsidRPr="00945135">
        <w:rPr>
          <w:rFonts w:eastAsia="MS Mincho"/>
          <w:b w:val="0"/>
          <w:sz w:val="20"/>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C235F9" w:rsidRPr="00C235F9" w:rsidTr="005A5DFA">
        <w:tc>
          <w:tcPr>
            <w:tcW w:w="3119" w:type="dxa"/>
          </w:tcPr>
          <w:p w:rsidR="006A31AE" w:rsidRPr="00C235F9" w:rsidRDefault="006A31AE" w:rsidP="005553FD">
            <w:pPr>
              <w:pStyle w:val="SingleTxtG"/>
              <w:ind w:left="0" w:right="0"/>
              <w:jc w:val="left"/>
              <w:rPr>
                <w:i/>
              </w:rPr>
            </w:pPr>
            <w:r w:rsidRPr="00C235F9">
              <w:rPr>
                <w:i/>
              </w:rPr>
              <w:t>Communication submitted by:</w:t>
            </w:r>
          </w:p>
        </w:tc>
        <w:tc>
          <w:tcPr>
            <w:tcW w:w="3685" w:type="dxa"/>
          </w:tcPr>
          <w:p w:rsidR="006A31AE" w:rsidRPr="00C235F9" w:rsidRDefault="003A5B69">
            <w:pPr>
              <w:pStyle w:val="SingleTxtG"/>
              <w:ind w:left="0" w:right="0"/>
              <w:jc w:val="left"/>
            </w:pPr>
            <w:r>
              <w:t>M L</w:t>
            </w:r>
            <w:r w:rsidR="00494125" w:rsidRPr="00494125">
              <w:t xml:space="preserve"> </w:t>
            </w:r>
            <w:r w:rsidR="00F30EF9" w:rsidRPr="00C235F9">
              <w:t>(</w:t>
            </w:r>
            <w:r w:rsidR="002B05E8">
              <w:t>not represented by counsel</w:t>
            </w:r>
            <w:r w:rsidR="00EF258A">
              <w:t>)</w:t>
            </w:r>
          </w:p>
        </w:tc>
      </w:tr>
      <w:tr w:rsidR="00C235F9" w:rsidRPr="00C235F9" w:rsidTr="005A5DFA">
        <w:tc>
          <w:tcPr>
            <w:tcW w:w="3119" w:type="dxa"/>
          </w:tcPr>
          <w:p w:rsidR="006A31AE" w:rsidRPr="00C235F9" w:rsidRDefault="006A31AE" w:rsidP="00114C04">
            <w:pPr>
              <w:pStyle w:val="SingleTxtG"/>
              <w:ind w:left="0" w:right="0"/>
              <w:jc w:val="left"/>
              <w:rPr>
                <w:i/>
              </w:rPr>
            </w:pPr>
            <w:r w:rsidRPr="00C235F9">
              <w:rPr>
                <w:i/>
              </w:rPr>
              <w:t>Alleged victim:</w:t>
            </w:r>
          </w:p>
        </w:tc>
        <w:tc>
          <w:tcPr>
            <w:tcW w:w="3685" w:type="dxa"/>
          </w:tcPr>
          <w:p w:rsidR="006A31AE" w:rsidRPr="00C235F9" w:rsidRDefault="006A31AE" w:rsidP="002B05E8">
            <w:pPr>
              <w:pStyle w:val="SingleTxtG"/>
              <w:ind w:left="0" w:right="0"/>
              <w:jc w:val="left"/>
            </w:pPr>
            <w:r w:rsidRPr="00C235F9">
              <w:t>The author</w:t>
            </w:r>
            <w:r w:rsidR="00513FA6">
              <w:t xml:space="preserve"> </w:t>
            </w:r>
          </w:p>
        </w:tc>
      </w:tr>
      <w:tr w:rsidR="00C235F9" w:rsidRPr="00C235F9" w:rsidTr="005A5DFA">
        <w:tc>
          <w:tcPr>
            <w:tcW w:w="3119" w:type="dxa"/>
          </w:tcPr>
          <w:p w:rsidR="006A31AE" w:rsidRPr="00C235F9" w:rsidRDefault="00EB0FE1" w:rsidP="005553FD">
            <w:pPr>
              <w:pStyle w:val="SingleTxtG"/>
              <w:ind w:left="0" w:right="0"/>
              <w:jc w:val="left"/>
              <w:rPr>
                <w:i/>
              </w:rPr>
            </w:pPr>
            <w:r>
              <w:rPr>
                <w:i/>
              </w:rPr>
              <w:t>State party:</w:t>
            </w:r>
          </w:p>
        </w:tc>
        <w:tc>
          <w:tcPr>
            <w:tcW w:w="3685" w:type="dxa"/>
          </w:tcPr>
          <w:p w:rsidR="006A31AE" w:rsidRPr="00C235F9" w:rsidRDefault="002B05E8" w:rsidP="005553FD">
            <w:pPr>
              <w:pStyle w:val="SingleTxtG"/>
              <w:ind w:left="0" w:right="0"/>
              <w:jc w:val="left"/>
            </w:pPr>
            <w:r>
              <w:t>Republic of Croatia</w:t>
            </w:r>
          </w:p>
        </w:tc>
      </w:tr>
      <w:tr w:rsidR="00C235F9" w:rsidRPr="00C235F9" w:rsidTr="005A5DFA">
        <w:tc>
          <w:tcPr>
            <w:tcW w:w="3119" w:type="dxa"/>
          </w:tcPr>
          <w:p w:rsidR="006A31AE" w:rsidRPr="00C235F9" w:rsidRDefault="006A31AE" w:rsidP="005553FD">
            <w:pPr>
              <w:pStyle w:val="SingleTxtG"/>
              <w:ind w:left="0" w:right="0"/>
              <w:jc w:val="left"/>
              <w:rPr>
                <w:i/>
              </w:rPr>
            </w:pPr>
            <w:r w:rsidRPr="00C235F9">
              <w:rPr>
                <w:i/>
              </w:rPr>
              <w:t>Date of communication:</w:t>
            </w:r>
          </w:p>
        </w:tc>
        <w:tc>
          <w:tcPr>
            <w:tcW w:w="3685" w:type="dxa"/>
          </w:tcPr>
          <w:p w:rsidR="006A31AE" w:rsidRPr="00C235F9" w:rsidRDefault="002B05E8" w:rsidP="00426F7E">
            <w:pPr>
              <w:spacing w:after="120"/>
            </w:pPr>
            <w:r>
              <w:t>27 November 2013</w:t>
            </w:r>
            <w:r w:rsidR="006A31AE" w:rsidRPr="00C235F9">
              <w:t xml:space="preserve"> (initial submission)</w:t>
            </w:r>
          </w:p>
        </w:tc>
      </w:tr>
      <w:tr w:rsidR="00C235F9" w:rsidRPr="00C235F9" w:rsidTr="005A5DFA">
        <w:tc>
          <w:tcPr>
            <w:tcW w:w="3119" w:type="dxa"/>
          </w:tcPr>
          <w:p w:rsidR="006A31AE" w:rsidRPr="00C235F9" w:rsidRDefault="006A31AE" w:rsidP="007E66AA">
            <w:pPr>
              <w:pStyle w:val="SingleTxtG"/>
              <w:ind w:left="0" w:right="0"/>
              <w:jc w:val="left"/>
              <w:rPr>
                <w:i/>
              </w:rPr>
            </w:pPr>
            <w:r w:rsidRPr="00C235F9">
              <w:rPr>
                <w:i/>
              </w:rPr>
              <w:t>Document reference:</w:t>
            </w:r>
          </w:p>
        </w:tc>
        <w:tc>
          <w:tcPr>
            <w:tcW w:w="3685" w:type="dxa"/>
          </w:tcPr>
          <w:p w:rsidR="006A31AE" w:rsidRPr="00C235F9" w:rsidRDefault="006A31AE" w:rsidP="002B05E8">
            <w:pPr>
              <w:pStyle w:val="SingleTxtG"/>
              <w:ind w:left="0" w:right="0"/>
              <w:jc w:val="left"/>
            </w:pPr>
            <w:r w:rsidRPr="00C235F9">
              <w:t xml:space="preserve">Decision taken pursuant to </w:t>
            </w:r>
            <w:r w:rsidR="00426F7E">
              <w:t xml:space="preserve">former </w:t>
            </w:r>
            <w:r w:rsidRPr="00C235F9">
              <w:t xml:space="preserve">rule 97 of the Committee’s rules of procedure, transmitted to the State party on </w:t>
            </w:r>
            <w:r w:rsidR="002B05E8">
              <w:t>15 December 2014</w:t>
            </w:r>
            <w:r w:rsidR="00566341">
              <w:t xml:space="preserve"> </w:t>
            </w:r>
            <w:r w:rsidRPr="00C235F9">
              <w:t>(not issued in document form)</w:t>
            </w:r>
          </w:p>
        </w:tc>
      </w:tr>
      <w:tr w:rsidR="00C235F9" w:rsidRPr="00C235F9" w:rsidTr="005A5DFA">
        <w:tc>
          <w:tcPr>
            <w:tcW w:w="3119" w:type="dxa"/>
          </w:tcPr>
          <w:p w:rsidR="006A31AE" w:rsidRPr="00C235F9" w:rsidRDefault="006A31AE" w:rsidP="0019384C">
            <w:pPr>
              <w:pStyle w:val="SingleTxtG"/>
              <w:ind w:left="0" w:right="0"/>
              <w:jc w:val="left"/>
              <w:rPr>
                <w:i/>
              </w:rPr>
            </w:pPr>
            <w:r w:rsidRPr="00C235F9">
              <w:rPr>
                <w:i/>
              </w:rPr>
              <w:t xml:space="preserve">Date of adoption of </w:t>
            </w:r>
            <w:r w:rsidR="0019384C">
              <w:rPr>
                <w:i/>
              </w:rPr>
              <w:t>decision</w:t>
            </w:r>
            <w:r w:rsidRPr="00C235F9">
              <w:rPr>
                <w:i/>
              </w:rPr>
              <w:t>:</w:t>
            </w:r>
          </w:p>
        </w:tc>
        <w:tc>
          <w:tcPr>
            <w:tcW w:w="3685" w:type="dxa"/>
            <w:vAlign w:val="bottom"/>
          </w:tcPr>
          <w:p w:rsidR="006A31AE" w:rsidRPr="00C235F9" w:rsidRDefault="00635669" w:rsidP="000B142C">
            <w:pPr>
              <w:pStyle w:val="SingleTxtG"/>
              <w:ind w:left="0" w:right="0"/>
              <w:jc w:val="left"/>
            </w:pPr>
            <w:r>
              <w:t>8 November</w:t>
            </w:r>
            <w:r w:rsidR="00F30EF9" w:rsidRPr="00C235F9">
              <w:t xml:space="preserve"> 2019</w:t>
            </w:r>
          </w:p>
        </w:tc>
      </w:tr>
      <w:tr w:rsidR="00C235F9" w:rsidRPr="004C1F4C" w:rsidTr="005A5DFA">
        <w:tc>
          <w:tcPr>
            <w:tcW w:w="3119" w:type="dxa"/>
          </w:tcPr>
          <w:p w:rsidR="006A31AE" w:rsidRPr="00C235F9" w:rsidRDefault="006A31AE" w:rsidP="005553FD">
            <w:pPr>
              <w:pStyle w:val="SingleTxtG"/>
              <w:ind w:left="0" w:right="0"/>
              <w:jc w:val="left"/>
              <w:rPr>
                <w:i/>
              </w:rPr>
            </w:pPr>
            <w:r w:rsidRPr="00C235F9">
              <w:rPr>
                <w:i/>
                <w:iCs/>
              </w:rPr>
              <w:t>Subject matter:</w:t>
            </w:r>
          </w:p>
        </w:tc>
        <w:tc>
          <w:tcPr>
            <w:tcW w:w="3685" w:type="dxa"/>
          </w:tcPr>
          <w:p w:rsidR="006A31AE" w:rsidRPr="004C1F4C" w:rsidRDefault="002B05E8" w:rsidP="00ED5514">
            <w:pPr>
              <w:spacing w:after="120"/>
            </w:pPr>
            <w:r w:rsidRPr="004C1F4C">
              <w:t xml:space="preserve">Access to </w:t>
            </w:r>
            <w:r w:rsidR="00ED5514" w:rsidRPr="004C1F4C">
              <w:t>remedy for</w:t>
            </w:r>
            <w:r w:rsidRPr="004C1F4C">
              <w:t xml:space="preserve"> destruction of property</w:t>
            </w:r>
          </w:p>
        </w:tc>
      </w:tr>
      <w:tr w:rsidR="00C235F9" w:rsidRPr="00C235F9" w:rsidTr="005A5DFA">
        <w:tc>
          <w:tcPr>
            <w:tcW w:w="3119" w:type="dxa"/>
          </w:tcPr>
          <w:p w:rsidR="006A31AE" w:rsidRPr="00C235F9" w:rsidRDefault="006A31AE" w:rsidP="005553FD">
            <w:pPr>
              <w:pStyle w:val="SingleTxtG"/>
              <w:ind w:left="0" w:right="0"/>
              <w:jc w:val="left"/>
              <w:rPr>
                <w:i/>
                <w:iCs/>
              </w:rPr>
            </w:pPr>
            <w:r w:rsidRPr="00C235F9">
              <w:rPr>
                <w:i/>
                <w:iCs/>
              </w:rPr>
              <w:t>Procedural issues</w:t>
            </w:r>
            <w:r w:rsidRPr="00C235F9">
              <w:rPr>
                <w:i/>
              </w:rPr>
              <w:t>:</w:t>
            </w:r>
          </w:p>
        </w:tc>
        <w:tc>
          <w:tcPr>
            <w:tcW w:w="3685" w:type="dxa"/>
          </w:tcPr>
          <w:p w:rsidR="006A31AE" w:rsidRPr="002B05E8" w:rsidRDefault="00566341" w:rsidP="005553FD">
            <w:pPr>
              <w:pStyle w:val="SingleTxtG"/>
              <w:ind w:left="0" w:right="0"/>
              <w:jc w:val="left"/>
              <w:rPr>
                <w:highlight w:val="yellow"/>
              </w:rPr>
            </w:pPr>
            <w:r w:rsidRPr="00D3117E">
              <w:rPr>
                <w:iCs/>
              </w:rPr>
              <w:t>Admissibility – exhaustion of domestic remedies</w:t>
            </w:r>
            <w:r w:rsidR="007A33A9" w:rsidRPr="00D3117E">
              <w:rPr>
                <w:iCs/>
              </w:rPr>
              <w:t>; admissibility – manifestly ill-founded</w:t>
            </w:r>
            <w:r w:rsidR="00D86296" w:rsidRPr="00D3117E">
              <w:rPr>
                <w:iCs/>
              </w:rPr>
              <w:t xml:space="preserve">; admissibility – </w:t>
            </w:r>
            <w:r w:rsidR="00D86296" w:rsidRPr="00D3117E">
              <w:rPr>
                <w:i/>
                <w:iCs/>
              </w:rPr>
              <w:t>ratione materiae</w:t>
            </w:r>
            <w:r w:rsidR="00D86296" w:rsidRPr="00D3117E">
              <w:rPr>
                <w:iCs/>
              </w:rPr>
              <w:t xml:space="preserve">; admissibility – </w:t>
            </w:r>
            <w:r w:rsidR="00D86296" w:rsidRPr="00D3117E">
              <w:rPr>
                <w:i/>
                <w:iCs/>
              </w:rPr>
              <w:t>ratione temporis</w:t>
            </w:r>
          </w:p>
        </w:tc>
      </w:tr>
      <w:tr w:rsidR="00C235F9" w:rsidRPr="00C235F9" w:rsidTr="005A5DFA">
        <w:tc>
          <w:tcPr>
            <w:tcW w:w="3119" w:type="dxa"/>
          </w:tcPr>
          <w:p w:rsidR="006A31AE" w:rsidRPr="00C235F9" w:rsidRDefault="006A31AE" w:rsidP="005553FD">
            <w:pPr>
              <w:pStyle w:val="SingleTxtG"/>
              <w:keepNext/>
              <w:ind w:left="0" w:right="0"/>
              <w:jc w:val="left"/>
              <w:rPr>
                <w:i/>
                <w:iCs/>
              </w:rPr>
            </w:pPr>
            <w:r w:rsidRPr="00C235F9">
              <w:rPr>
                <w:i/>
                <w:iCs/>
              </w:rPr>
              <w:lastRenderedPageBreak/>
              <w:t>Substantive issues:</w:t>
            </w:r>
          </w:p>
        </w:tc>
        <w:tc>
          <w:tcPr>
            <w:tcW w:w="3685" w:type="dxa"/>
          </w:tcPr>
          <w:p w:rsidR="006A31AE" w:rsidRPr="00C235F9" w:rsidRDefault="002B05E8" w:rsidP="00F46327">
            <w:pPr>
              <w:keepNext/>
              <w:spacing w:after="120"/>
            </w:pPr>
            <w:r w:rsidRPr="004C1F4C">
              <w:rPr>
                <w:iCs/>
              </w:rPr>
              <w:t>Arbitrary/unlawful interference; effective remedy; fair trial</w:t>
            </w:r>
          </w:p>
        </w:tc>
      </w:tr>
      <w:tr w:rsidR="00C235F9" w:rsidRPr="00C235F9" w:rsidTr="005A5DFA">
        <w:tc>
          <w:tcPr>
            <w:tcW w:w="3119" w:type="dxa"/>
          </w:tcPr>
          <w:p w:rsidR="006A31AE" w:rsidRPr="00C235F9" w:rsidRDefault="006A31AE" w:rsidP="005553FD">
            <w:pPr>
              <w:pStyle w:val="SingleTxtG"/>
              <w:ind w:left="0" w:right="0"/>
              <w:jc w:val="left"/>
              <w:rPr>
                <w:i/>
                <w:iCs/>
              </w:rPr>
            </w:pPr>
            <w:r w:rsidRPr="00C235F9">
              <w:rPr>
                <w:i/>
                <w:iCs/>
              </w:rPr>
              <w:t>Articles of the Covenant</w:t>
            </w:r>
            <w:r w:rsidRPr="00C235F9">
              <w:rPr>
                <w:i/>
              </w:rPr>
              <w:t>:</w:t>
            </w:r>
          </w:p>
        </w:tc>
        <w:tc>
          <w:tcPr>
            <w:tcW w:w="3685" w:type="dxa"/>
          </w:tcPr>
          <w:p w:rsidR="006A31AE" w:rsidRPr="00EE5C8A" w:rsidRDefault="00AF063C" w:rsidP="002B689C">
            <w:pPr>
              <w:pStyle w:val="SingleTxtG"/>
              <w:ind w:left="0" w:right="0"/>
              <w:jc w:val="left"/>
            </w:pPr>
            <w:r>
              <w:t>2 (1); 2 (3)</w:t>
            </w:r>
            <w:r w:rsidR="00B51B09">
              <w:t xml:space="preserve"> </w:t>
            </w:r>
            <w:r w:rsidR="002B689C">
              <w:t>(a); 5 (1); 14 (1), read in conjunction with 2 (1); and 17, read alone and in conjunction with 2 (1) and 5 (1)</w:t>
            </w:r>
          </w:p>
        </w:tc>
      </w:tr>
      <w:tr w:rsidR="00C235F9" w:rsidRPr="00C235F9" w:rsidTr="005A5DFA">
        <w:tc>
          <w:tcPr>
            <w:tcW w:w="3119" w:type="dxa"/>
          </w:tcPr>
          <w:p w:rsidR="006A31AE" w:rsidRPr="004C1F4C" w:rsidRDefault="006A31AE" w:rsidP="005553FD">
            <w:pPr>
              <w:pStyle w:val="SingleTxtG"/>
              <w:ind w:left="0" w:right="0"/>
              <w:jc w:val="left"/>
              <w:rPr>
                <w:i/>
                <w:iCs/>
              </w:rPr>
            </w:pPr>
            <w:r w:rsidRPr="004C1F4C">
              <w:rPr>
                <w:i/>
                <w:iCs/>
              </w:rPr>
              <w:t>Articles of the Optional Protocol:</w:t>
            </w:r>
          </w:p>
        </w:tc>
        <w:tc>
          <w:tcPr>
            <w:tcW w:w="3685" w:type="dxa"/>
          </w:tcPr>
          <w:p w:rsidR="006A31AE" w:rsidRPr="004C1F4C" w:rsidRDefault="002675A2" w:rsidP="005553FD">
            <w:pPr>
              <w:pStyle w:val="SingleTxtG"/>
              <w:ind w:left="0" w:right="0"/>
              <w:jc w:val="left"/>
            </w:pPr>
            <w:r>
              <w:t xml:space="preserve">1, </w:t>
            </w:r>
            <w:r w:rsidR="00497D13" w:rsidRPr="004C1F4C">
              <w:t>2</w:t>
            </w:r>
            <w:r w:rsidR="004C1F4C" w:rsidRPr="004C1F4C">
              <w:t>, 3</w:t>
            </w:r>
            <w:r w:rsidR="00497D13" w:rsidRPr="004C1F4C">
              <w:t xml:space="preserve"> and </w:t>
            </w:r>
            <w:r w:rsidR="00566341" w:rsidRPr="004C1F4C">
              <w:t>5 (2) (b)</w:t>
            </w:r>
          </w:p>
        </w:tc>
      </w:tr>
    </w:tbl>
    <w:p w:rsidR="00287032" w:rsidRPr="00C235F9" w:rsidRDefault="00287032" w:rsidP="00287032">
      <w:pPr>
        <w:pStyle w:val="SingleTxtG"/>
        <w:spacing w:before="240"/>
      </w:pPr>
      <w:r w:rsidRPr="00C235F9">
        <w:br w:type="page"/>
      </w:r>
    </w:p>
    <w:p w:rsidR="005325A0" w:rsidRPr="00C92112" w:rsidRDefault="00287032" w:rsidP="004C1658">
      <w:pPr>
        <w:pStyle w:val="SingleTxtG"/>
        <w:spacing w:before="120"/>
        <w:rPr>
          <w:vertAlign w:val="superscript"/>
        </w:rPr>
      </w:pPr>
      <w:r w:rsidRPr="00C235F9">
        <w:lastRenderedPageBreak/>
        <w:t>1.</w:t>
      </w:r>
      <w:r w:rsidRPr="00C235F9">
        <w:tab/>
      </w:r>
      <w:r w:rsidR="00744F0C">
        <w:t>The author of the</w:t>
      </w:r>
      <w:r w:rsidR="005325A0">
        <w:t xml:space="preserve"> communication</w:t>
      </w:r>
      <w:r w:rsidR="00B24F1A">
        <w:t>, dated 27 November 2013,</w:t>
      </w:r>
      <w:r w:rsidR="005325A0">
        <w:t xml:space="preserve"> is </w:t>
      </w:r>
      <w:r w:rsidR="003A5B69">
        <w:t>M L</w:t>
      </w:r>
      <w:r w:rsidR="003D1608">
        <w:t xml:space="preserve">, </w:t>
      </w:r>
      <w:r w:rsidR="003D1608" w:rsidRPr="003D1608">
        <w:t xml:space="preserve">a </w:t>
      </w:r>
      <w:r w:rsidR="008C03A1">
        <w:t>national of the Republic of Croatia</w:t>
      </w:r>
      <w:r w:rsidR="00286EB9" w:rsidRPr="00286EB9">
        <w:rPr>
          <w:lang w:val="en-US"/>
        </w:rPr>
        <w:t>.</w:t>
      </w:r>
      <w:r w:rsidR="00B24F1A">
        <w:rPr>
          <w:vertAlign w:val="superscript"/>
          <w:lang w:val="en-US"/>
        </w:rPr>
        <w:t xml:space="preserve"> </w:t>
      </w:r>
      <w:r w:rsidR="001B0C1C">
        <w:rPr>
          <w:lang w:val="en-US"/>
        </w:rPr>
        <w:t>He</w:t>
      </w:r>
      <w:r w:rsidR="00286EB9" w:rsidRPr="00286EB9">
        <w:rPr>
          <w:lang w:val="en-US"/>
        </w:rPr>
        <w:t xml:space="preserve"> claims that</w:t>
      </w:r>
      <w:r w:rsidR="00704C96">
        <w:rPr>
          <w:lang w:val="en-US"/>
        </w:rPr>
        <w:t xml:space="preserve"> by destroying his property in 1992 during the Croatian War of Independence and subsequently failing to compensate him,</w:t>
      </w:r>
      <w:r w:rsidR="00286EB9" w:rsidRPr="00286EB9">
        <w:rPr>
          <w:lang w:val="en-US"/>
        </w:rPr>
        <w:t xml:space="preserve"> </w:t>
      </w:r>
      <w:r w:rsidR="00286EB9">
        <w:rPr>
          <w:lang w:val="en-US"/>
        </w:rPr>
        <w:t>the State party</w:t>
      </w:r>
      <w:r w:rsidR="00286EB9" w:rsidRPr="00286EB9">
        <w:rPr>
          <w:lang w:val="en-US"/>
        </w:rPr>
        <w:t xml:space="preserve"> violated his rights under </w:t>
      </w:r>
      <w:r w:rsidR="005E1D9E">
        <w:rPr>
          <w:lang w:val="en-US"/>
        </w:rPr>
        <w:t xml:space="preserve">articles </w:t>
      </w:r>
      <w:r w:rsidR="004D7AA0">
        <w:t xml:space="preserve">2 (1); 2 </w:t>
      </w:r>
      <w:r w:rsidR="00286EB9">
        <w:t>(3)</w:t>
      </w:r>
      <w:r w:rsidR="00B51B09">
        <w:t xml:space="preserve"> </w:t>
      </w:r>
      <w:r w:rsidR="00286EB9">
        <w:t xml:space="preserve">(a); 5 (1); </w:t>
      </w:r>
      <w:r w:rsidR="008569B4">
        <w:t>14 (1), read in conjunction with 2 (1); and 17, read alone and in conjunction with 2 (1) and 5 (1), of the Covenant</w:t>
      </w:r>
      <w:r w:rsidR="00B24F1A">
        <w:t>.</w:t>
      </w:r>
      <w:r w:rsidR="00EF258A">
        <w:t xml:space="preserve"> </w:t>
      </w:r>
      <w:r w:rsidR="00286EB9" w:rsidRPr="00286EB9">
        <w:rPr>
          <w:lang w:val="en-US"/>
        </w:rPr>
        <w:t xml:space="preserve">The Optional Protocol entered into force for </w:t>
      </w:r>
      <w:r w:rsidR="00B03F73">
        <w:rPr>
          <w:lang w:val="en-US"/>
        </w:rPr>
        <w:t>the State party</w:t>
      </w:r>
      <w:r w:rsidR="00286EB9" w:rsidRPr="00286EB9">
        <w:rPr>
          <w:lang w:val="en-US"/>
        </w:rPr>
        <w:t xml:space="preserve"> on 12 January 1996.</w:t>
      </w:r>
      <w:r w:rsidR="004C1658" w:rsidRPr="004C1658">
        <w:rPr>
          <w:lang w:val="en-US"/>
        </w:rPr>
        <w:t xml:space="preserve"> </w:t>
      </w:r>
      <w:r w:rsidR="004C1658" w:rsidRPr="00286EB9">
        <w:rPr>
          <w:lang w:val="en-US"/>
        </w:rPr>
        <w:t>The author is not represented by counsel.</w:t>
      </w:r>
    </w:p>
    <w:p w:rsidR="00392527" w:rsidRPr="00392527" w:rsidRDefault="00863BE2" w:rsidP="00863BE2">
      <w:pPr>
        <w:pStyle w:val="H23G"/>
      </w:pPr>
      <w:r>
        <w:tab/>
      </w:r>
      <w:r>
        <w:tab/>
      </w:r>
      <w:r w:rsidR="00C0515C">
        <w:t xml:space="preserve">Facts as </w:t>
      </w:r>
      <w:r w:rsidR="00101A07">
        <w:t xml:space="preserve">submitted </w:t>
      </w:r>
      <w:r w:rsidR="00C0515C">
        <w:t>by the author</w:t>
      </w:r>
    </w:p>
    <w:p w:rsidR="004F79F1" w:rsidRPr="004F79F1" w:rsidRDefault="004F79F1" w:rsidP="00863BE2">
      <w:pPr>
        <w:pStyle w:val="SingleTxtG"/>
        <w:rPr>
          <w:lang w:val="en-US"/>
        </w:rPr>
      </w:pPr>
      <w:r>
        <w:t>2.1</w:t>
      </w:r>
      <w:r>
        <w:tab/>
      </w:r>
      <w:r w:rsidR="008C03A1">
        <w:t>T</w:t>
      </w:r>
      <w:r w:rsidRPr="004F79F1">
        <w:rPr>
          <w:lang w:val="en-US"/>
        </w:rPr>
        <w:t xml:space="preserve">he author is an ethnic Serb </w:t>
      </w:r>
      <w:r w:rsidR="00A3360D">
        <w:rPr>
          <w:lang w:val="en-US"/>
        </w:rPr>
        <w:t>and resides</w:t>
      </w:r>
      <w:r w:rsidR="00396F92">
        <w:rPr>
          <w:lang w:val="en-US"/>
        </w:rPr>
        <w:t xml:space="preserve"> in Serbia. Generations of his</w:t>
      </w:r>
      <w:r w:rsidRPr="004F79F1">
        <w:rPr>
          <w:lang w:val="en-US"/>
        </w:rPr>
        <w:t xml:space="preserve"> family lived in the </w:t>
      </w:r>
      <w:r w:rsidR="00180E45">
        <w:rPr>
          <w:lang w:val="en-US"/>
        </w:rPr>
        <w:t xml:space="preserve">region of Dalmatia in </w:t>
      </w:r>
      <w:r w:rsidR="0051506B">
        <w:rPr>
          <w:lang w:val="en-US"/>
        </w:rPr>
        <w:t>Croatia</w:t>
      </w:r>
      <w:r w:rsidR="0027755D">
        <w:rPr>
          <w:lang w:val="en-US"/>
        </w:rPr>
        <w:t>. The author owned a</w:t>
      </w:r>
      <w:r w:rsidRPr="004F79F1">
        <w:rPr>
          <w:lang w:val="en-US"/>
        </w:rPr>
        <w:t xml:space="preserve"> house in Jezera, </w:t>
      </w:r>
      <w:r w:rsidR="0051506B">
        <w:rPr>
          <w:lang w:val="en-US"/>
        </w:rPr>
        <w:t xml:space="preserve">located </w:t>
      </w:r>
      <w:r w:rsidRPr="004F79F1">
        <w:rPr>
          <w:lang w:val="en-US"/>
        </w:rPr>
        <w:t xml:space="preserve">on Murter Island in Croatia. </w:t>
      </w:r>
      <w:r w:rsidR="005D3602">
        <w:rPr>
          <w:lang w:val="en-US"/>
        </w:rPr>
        <w:t xml:space="preserve">The author used the house for commercial purposes. It consisted </w:t>
      </w:r>
      <w:r w:rsidR="00BD09BD">
        <w:rPr>
          <w:lang w:val="en-US"/>
        </w:rPr>
        <w:t xml:space="preserve">of four </w:t>
      </w:r>
      <w:r w:rsidR="00A64D54">
        <w:rPr>
          <w:lang w:val="en-US"/>
        </w:rPr>
        <w:t xml:space="preserve">luxuriously equipped and furnished </w:t>
      </w:r>
      <w:r w:rsidR="005D3602">
        <w:rPr>
          <w:lang w:val="en-US"/>
        </w:rPr>
        <w:t xml:space="preserve">apartment </w:t>
      </w:r>
      <w:r w:rsidR="00A64D54">
        <w:rPr>
          <w:lang w:val="en-US"/>
        </w:rPr>
        <w:t xml:space="preserve">units </w:t>
      </w:r>
      <w:r w:rsidR="00A3360D">
        <w:rPr>
          <w:lang w:val="en-US"/>
        </w:rPr>
        <w:t xml:space="preserve">that were </w:t>
      </w:r>
      <w:r w:rsidRPr="004F79F1">
        <w:rPr>
          <w:lang w:val="en-US"/>
        </w:rPr>
        <w:t xml:space="preserve">rented to tourists. </w:t>
      </w:r>
      <w:r w:rsidR="00A45510">
        <w:rPr>
          <w:lang w:val="en-US"/>
        </w:rPr>
        <w:t>The</w:t>
      </w:r>
      <w:r w:rsidR="00D84515">
        <w:rPr>
          <w:lang w:val="en-US"/>
        </w:rPr>
        <w:t xml:space="preserve"> author also personally used the house during long weekends and holidays. </w:t>
      </w:r>
      <w:r w:rsidR="008E4F31">
        <w:rPr>
          <w:lang w:val="en-US"/>
        </w:rPr>
        <w:t xml:space="preserve"> </w:t>
      </w:r>
    </w:p>
    <w:p w:rsidR="00682908" w:rsidRDefault="004F79F1" w:rsidP="00863BE2">
      <w:pPr>
        <w:pStyle w:val="SingleTxtG"/>
        <w:rPr>
          <w:lang w:val="en-US"/>
        </w:rPr>
      </w:pPr>
      <w:r w:rsidRPr="004F79F1">
        <w:rPr>
          <w:lang w:val="en-US"/>
        </w:rPr>
        <w:t>2.2</w:t>
      </w:r>
      <w:r w:rsidRPr="004F79F1">
        <w:rPr>
          <w:lang w:val="en-US"/>
        </w:rPr>
        <w:tab/>
        <w:t>During the Croatian War of Independence</w:t>
      </w:r>
      <w:r w:rsidR="00A1093E">
        <w:rPr>
          <w:lang w:val="en-US"/>
        </w:rPr>
        <w:t xml:space="preserve"> in the 1990s</w:t>
      </w:r>
      <w:r w:rsidRPr="004F79F1">
        <w:rPr>
          <w:lang w:val="en-US"/>
        </w:rPr>
        <w:t xml:space="preserve">, pursuant to the direct instructions of </w:t>
      </w:r>
      <w:r w:rsidR="007B11E2">
        <w:rPr>
          <w:lang w:val="en-US"/>
        </w:rPr>
        <w:t>high-ranking</w:t>
      </w:r>
      <w:r w:rsidRPr="004F79F1">
        <w:rPr>
          <w:lang w:val="en-US"/>
        </w:rPr>
        <w:t xml:space="preserve"> government officials, </w:t>
      </w:r>
      <w:r w:rsidR="0051506B">
        <w:rPr>
          <w:lang w:val="en-US"/>
        </w:rPr>
        <w:t>the State party</w:t>
      </w:r>
      <w:r w:rsidR="00925267">
        <w:rPr>
          <w:lang w:val="en-US"/>
        </w:rPr>
        <w:t>’s authorities</w:t>
      </w:r>
      <w:r w:rsidRPr="004F79F1">
        <w:rPr>
          <w:lang w:val="en-US"/>
        </w:rPr>
        <w:t xml:space="preserve"> </w:t>
      </w:r>
      <w:r w:rsidR="00103277">
        <w:rPr>
          <w:lang w:val="en-US"/>
        </w:rPr>
        <w:t xml:space="preserve">deliberately </w:t>
      </w:r>
      <w:r w:rsidRPr="004F79F1">
        <w:rPr>
          <w:lang w:val="en-US"/>
        </w:rPr>
        <w:t>destroy</w:t>
      </w:r>
      <w:r w:rsidR="00103277">
        <w:rPr>
          <w:lang w:val="en-US"/>
        </w:rPr>
        <w:t>ed</w:t>
      </w:r>
      <w:r w:rsidRPr="004F79F1">
        <w:rPr>
          <w:lang w:val="en-US"/>
        </w:rPr>
        <w:t xml:space="preserve"> </w:t>
      </w:r>
      <w:r w:rsidR="00A3360D">
        <w:rPr>
          <w:lang w:val="en-US"/>
        </w:rPr>
        <w:t>many</w:t>
      </w:r>
      <w:r w:rsidRPr="004F79F1">
        <w:rPr>
          <w:lang w:val="en-US"/>
        </w:rPr>
        <w:t xml:space="preserve"> buildings </w:t>
      </w:r>
      <w:r w:rsidR="0007630F" w:rsidRPr="004F79F1">
        <w:rPr>
          <w:lang w:val="en-US"/>
        </w:rPr>
        <w:t xml:space="preserve">in </w:t>
      </w:r>
      <w:r w:rsidR="0007630F">
        <w:rPr>
          <w:lang w:val="en-US"/>
        </w:rPr>
        <w:t>Dalmatia</w:t>
      </w:r>
      <w:r w:rsidR="0007630F" w:rsidRPr="004F79F1">
        <w:rPr>
          <w:lang w:val="en-US"/>
        </w:rPr>
        <w:t xml:space="preserve"> </w:t>
      </w:r>
      <w:r w:rsidRPr="004F79F1">
        <w:rPr>
          <w:lang w:val="en-US"/>
        </w:rPr>
        <w:t>that were owned by ethnic Serbs.</w:t>
      </w:r>
      <w:r w:rsidR="008E4F31">
        <w:rPr>
          <w:rStyle w:val="FootnoteReference"/>
          <w:lang w:val="en-US"/>
        </w:rPr>
        <w:footnoteReference w:id="3"/>
      </w:r>
      <w:r w:rsidR="008E4F31">
        <w:rPr>
          <w:vertAlign w:val="superscript"/>
          <w:lang w:val="en-US"/>
        </w:rPr>
        <w:t xml:space="preserve"> </w:t>
      </w:r>
      <w:r w:rsidRPr="004F79F1">
        <w:rPr>
          <w:lang w:val="en-US"/>
        </w:rPr>
        <w:t xml:space="preserve"> </w:t>
      </w:r>
      <w:r w:rsidR="004F3131">
        <w:rPr>
          <w:lang w:val="en-US"/>
        </w:rPr>
        <w:t>In total, more than</w:t>
      </w:r>
      <w:r w:rsidR="00D9249D">
        <w:rPr>
          <w:lang w:val="en-US"/>
        </w:rPr>
        <w:t xml:space="preserve"> 30,000 homes and other structures were destroyed by blasting and arson</w:t>
      </w:r>
      <w:r w:rsidR="005C3FD7">
        <w:rPr>
          <w:lang w:val="en-US"/>
        </w:rPr>
        <w:t xml:space="preserve">. </w:t>
      </w:r>
      <w:r w:rsidR="0007630F">
        <w:rPr>
          <w:lang w:val="en-US"/>
        </w:rPr>
        <w:t xml:space="preserve">During a two-year period, </w:t>
      </w:r>
      <w:r w:rsidRPr="004F79F1">
        <w:rPr>
          <w:lang w:val="en-US"/>
        </w:rPr>
        <w:t xml:space="preserve">over 1,000 houses owned by ethnic minorities </w:t>
      </w:r>
      <w:r w:rsidR="001A6E5E">
        <w:rPr>
          <w:lang w:val="en-US"/>
        </w:rPr>
        <w:t>in</w:t>
      </w:r>
      <w:r w:rsidR="001A6E5E" w:rsidRPr="004F79F1">
        <w:rPr>
          <w:lang w:val="en-US"/>
        </w:rPr>
        <w:t xml:space="preserve"> the immediate vicinity of </w:t>
      </w:r>
      <w:r w:rsidR="001A6E5E">
        <w:rPr>
          <w:lang w:val="en-US"/>
        </w:rPr>
        <w:t>Š</w:t>
      </w:r>
      <w:r w:rsidR="001A6E5E" w:rsidRPr="004F79F1">
        <w:rPr>
          <w:lang w:val="en-US"/>
        </w:rPr>
        <w:t xml:space="preserve">ibenik </w:t>
      </w:r>
      <w:r w:rsidRPr="004F79F1">
        <w:rPr>
          <w:lang w:val="en-US"/>
        </w:rPr>
        <w:t xml:space="preserve">were destroyed by blasting or arson. </w:t>
      </w:r>
      <w:r>
        <w:rPr>
          <w:lang w:val="en-US"/>
        </w:rPr>
        <w:t xml:space="preserve">These </w:t>
      </w:r>
      <w:r w:rsidR="004A1A49">
        <w:rPr>
          <w:lang w:val="en-US"/>
        </w:rPr>
        <w:t>acts</w:t>
      </w:r>
      <w:r>
        <w:rPr>
          <w:lang w:val="en-US"/>
        </w:rPr>
        <w:t xml:space="preserve"> </w:t>
      </w:r>
      <w:r w:rsidR="00C71A40">
        <w:rPr>
          <w:lang w:val="en-US"/>
        </w:rPr>
        <w:t xml:space="preserve">served </w:t>
      </w:r>
      <w:r w:rsidR="003E6DD0">
        <w:rPr>
          <w:lang w:val="en-US"/>
        </w:rPr>
        <w:t>as a method of</w:t>
      </w:r>
      <w:r w:rsidR="00C71A40">
        <w:rPr>
          <w:lang w:val="en-US"/>
        </w:rPr>
        <w:t xml:space="preserve"> ethnic cleansing, </w:t>
      </w:r>
      <w:r w:rsidRPr="004F79F1">
        <w:rPr>
          <w:lang w:val="en-US"/>
        </w:rPr>
        <w:t xml:space="preserve">as </w:t>
      </w:r>
      <w:r w:rsidR="00C71A40">
        <w:rPr>
          <w:lang w:val="en-US"/>
        </w:rPr>
        <w:t>the State party</w:t>
      </w:r>
      <w:r w:rsidR="00DB7ABB">
        <w:rPr>
          <w:lang w:val="en-US"/>
        </w:rPr>
        <w:t xml:space="preserve"> </w:t>
      </w:r>
      <w:r w:rsidR="00C71A40">
        <w:rPr>
          <w:lang w:val="en-US"/>
        </w:rPr>
        <w:t xml:space="preserve">assumed that </w:t>
      </w:r>
      <w:r w:rsidR="00056093">
        <w:rPr>
          <w:lang w:val="en-US"/>
        </w:rPr>
        <w:t xml:space="preserve">the </w:t>
      </w:r>
      <w:r w:rsidR="00A841C0">
        <w:rPr>
          <w:lang w:val="en-US"/>
        </w:rPr>
        <w:t xml:space="preserve">affected </w:t>
      </w:r>
      <w:r w:rsidR="00056093">
        <w:rPr>
          <w:lang w:val="en-US"/>
        </w:rPr>
        <w:t>homeowners</w:t>
      </w:r>
      <w:r w:rsidR="00C71A40">
        <w:rPr>
          <w:lang w:val="en-US"/>
        </w:rPr>
        <w:t xml:space="preserve"> would not return to its territory.</w:t>
      </w:r>
      <w:r w:rsidR="007C00FC">
        <w:rPr>
          <w:lang w:val="en-US"/>
        </w:rPr>
        <w:t xml:space="preserve"> </w:t>
      </w:r>
    </w:p>
    <w:p w:rsidR="00FE6CFE" w:rsidRPr="00B822EB" w:rsidRDefault="00682908" w:rsidP="005103DA">
      <w:pPr>
        <w:pStyle w:val="SingleTxtG"/>
      </w:pPr>
      <w:r>
        <w:rPr>
          <w:lang w:val="en-US"/>
        </w:rPr>
        <w:t>2.3</w:t>
      </w:r>
      <w:r>
        <w:rPr>
          <w:lang w:val="en-US"/>
        </w:rPr>
        <w:tab/>
      </w:r>
      <w:r w:rsidR="009953D7">
        <w:rPr>
          <w:lang w:val="en-US"/>
        </w:rPr>
        <w:t>During the w</w:t>
      </w:r>
      <w:r w:rsidRPr="004F79F1">
        <w:rPr>
          <w:lang w:val="en-US"/>
        </w:rPr>
        <w:t xml:space="preserve">ar, the author </w:t>
      </w:r>
      <w:r>
        <w:rPr>
          <w:lang w:val="en-US"/>
        </w:rPr>
        <w:t>lived</w:t>
      </w:r>
      <w:r w:rsidRPr="004F79F1">
        <w:rPr>
          <w:lang w:val="en-US"/>
        </w:rPr>
        <w:t xml:space="preserve"> in Bosnia and Herzegovina</w:t>
      </w:r>
      <w:r w:rsidR="001F2FF9">
        <w:rPr>
          <w:lang w:val="en-US"/>
        </w:rPr>
        <w:t>, and then moved to</w:t>
      </w:r>
      <w:r w:rsidRPr="004F79F1">
        <w:rPr>
          <w:lang w:val="en-US"/>
        </w:rPr>
        <w:t xml:space="preserve"> Serbia. On 2 August 1992, the author’s </w:t>
      </w:r>
      <w:r w:rsidR="00A62398">
        <w:rPr>
          <w:lang w:val="en-US"/>
        </w:rPr>
        <w:t>property</w:t>
      </w:r>
      <w:r w:rsidRPr="004F79F1">
        <w:rPr>
          <w:lang w:val="en-US"/>
        </w:rPr>
        <w:t xml:space="preserve"> in Jezera was </w:t>
      </w:r>
      <w:r w:rsidR="001F2FF9">
        <w:rPr>
          <w:lang w:val="en-US"/>
        </w:rPr>
        <w:t>d</w:t>
      </w:r>
      <w:r w:rsidRPr="004F79F1">
        <w:rPr>
          <w:lang w:val="en-US"/>
        </w:rPr>
        <w:t>estroyed by mine blasting</w:t>
      </w:r>
      <w:r w:rsidR="00B61E0C">
        <w:rPr>
          <w:lang w:val="en-US"/>
        </w:rPr>
        <w:t xml:space="preserve">. </w:t>
      </w:r>
      <w:r w:rsidR="009953D7">
        <w:rPr>
          <w:lang w:val="en-US"/>
        </w:rPr>
        <w:t>At that time</w:t>
      </w:r>
      <w:r w:rsidR="009953D7" w:rsidRPr="004F79F1">
        <w:rPr>
          <w:lang w:val="en-US"/>
        </w:rPr>
        <w:t xml:space="preserve">, </w:t>
      </w:r>
      <w:r w:rsidR="009953D7">
        <w:rPr>
          <w:lang w:val="en-US"/>
        </w:rPr>
        <w:t>no combat</w:t>
      </w:r>
      <w:r w:rsidR="009953D7" w:rsidRPr="004F79F1">
        <w:rPr>
          <w:lang w:val="en-US"/>
        </w:rPr>
        <w:t xml:space="preserve"> actions </w:t>
      </w:r>
      <w:r w:rsidR="009953D7">
        <w:rPr>
          <w:lang w:val="en-US"/>
        </w:rPr>
        <w:t>were occurring</w:t>
      </w:r>
      <w:r w:rsidR="009953D7" w:rsidRPr="004F79F1">
        <w:rPr>
          <w:lang w:val="en-US"/>
        </w:rPr>
        <w:t xml:space="preserve"> </w:t>
      </w:r>
      <w:r w:rsidR="009953D7">
        <w:rPr>
          <w:lang w:val="en-US"/>
        </w:rPr>
        <w:t xml:space="preserve">on or near Murter Island. </w:t>
      </w:r>
      <w:r w:rsidR="00B61E0C">
        <w:rPr>
          <w:lang w:val="en-US"/>
        </w:rPr>
        <w:t>T</w:t>
      </w:r>
      <w:r w:rsidR="00082AF3">
        <w:rPr>
          <w:lang w:val="en-US"/>
        </w:rPr>
        <w:t xml:space="preserve">he author had done nothing to provoke </w:t>
      </w:r>
      <w:r w:rsidR="009953D7">
        <w:rPr>
          <w:lang w:val="en-US"/>
        </w:rPr>
        <w:t xml:space="preserve">the destruction of his </w:t>
      </w:r>
      <w:r w:rsidR="00A62398">
        <w:rPr>
          <w:lang w:val="en-US"/>
        </w:rPr>
        <w:t>property</w:t>
      </w:r>
      <w:r w:rsidRPr="004F79F1">
        <w:rPr>
          <w:lang w:val="en-US"/>
        </w:rPr>
        <w:t xml:space="preserve">. </w:t>
      </w:r>
      <w:r w:rsidR="00A3360D">
        <w:rPr>
          <w:lang w:val="en-US"/>
        </w:rPr>
        <w:t xml:space="preserve">Because the author </w:t>
      </w:r>
      <w:r w:rsidR="009953D7">
        <w:rPr>
          <w:lang w:val="en-US"/>
        </w:rPr>
        <w:t>lived abroad</w:t>
      </w:r>
      <w:r w:rsidR="00A3360D">
        <w:rPr>
          <w:lang w:val="en-US"/>
        </w:rPr>
        <w:t xml:space="preserve"> during the war, he could not have</w:t>
      </w:r>
      <w:r w:rsidR="001C4FFA" w:rsidRPr="005D695D">
        <w:rPr>
          <w:lang w:val="en-US"/>
        </w:rPr>
        <w:t xml:space="preserve"> contribu</w:t>
      </w:r>
      <w:r w:rsidR="001C4FFA">
        <w:rPr>
          <w:lang w:val="en-US"/>
        </w:rPr>
        <w:t>ted to inter</w:t>
      </w:r>
      <w:r w:rsidR="001C4FFA" w:rsidRPr="005D695D">
        <w:rPr>
          <w:lang w:val="en-US"/>
        </w:rPr>
        <w:t xml:space="preserve">ethnic tensions </w:t>
      </w:r>
      <w:r w:rsidR="00A3360D">
        <w:rPr>
          <w:lang w:val="en-US"/>
        </w:rPr>
        <w:t>in Croatia. N</w:t>
      </w:r>
      <w:r w:rsidR="00683166">
        <w:rPr>
          <w:lang w:val="en-US"/>
        </w:rPr>
        <w:t xml:space="preserve">or did he suffer ill-treatment as an ethnic minority </w:t>
      </w:r>
      <w:r w:rsidR="00EA6038">
        <w:rPr>
          <w:lang w:val="en-US"/>
        </w:rPr>
        <w:t>in Croatia</w:t>
      </w:r>
      <w:r w:rsidR="001C4FFA" w:rsidRPr="005D695D">
        <w:rPr>
          <w:lang w:val="en-US"/>
        </w:rPr>
        <w:t xml:space="preserve">. </w:t>
      </w:r>
      <w:r w:rsidR="003C7228" w:rsidRPr="007410F3">
        <w:rPr>
          <w:lang w:val="en-US"/>
        </w:rPr>
        <w:t xml:space="preserve">The Commission for War Damage Inspection and Assessment of the City of Šibenik, an </w:t>
      </w:r>
      <w:r w:rsidR="003C7228" w:rsidRPr="007410F3">
        <w:rPr>
          <w:i/>
          <w:lang w:val="en-US"/>
        </w:rPr>
        <w:t>ad hoc</w:t>
      </w:r>
      <w:r w:rsidR="003C7228" w:rsidRPr="007410F3">
        <w:rPr>
          <w:lang w:val="en-US"/>
        </w:rPr>
        <w:t xml:space="preserve"> body created by the </w:t>
      </w:r>
      <w:r w:rsidR="00755FCB">
        <w:rPr>
          <w:lang w:val="en-US"/>
        </w:rPr>
        <w:t>State party</w:t>
      </w:r>
      <w:r w:rsidR="003C7228" w:rsidRPr="007410F3">
        <w:rPr>
          <w:lang w:val="en-US"/>
        </w:rPr>
        <w:t xml:space="preserve">, </w:t>
      </w:r>
      <w:r w:rsidR="005103DA">
        <w:rPr>
          <w:lang w:val="en-US"/>
        </w:rPr>
        <w:t xml:space="preserve">conducted a survey and </w:t>
      </w:r>
      <w:r w:rsidR="003C7228" w:rsidRPr="007410F3">
        <w:rPr>
          <w:lang w:val="en-US"/>
        </w:rPr>
        <w:t xml:space="preserve">determined that </w:t>
      </w:r>
      <w:r w:rsidR="003C7228" w:rsidRPr="007410F3">
        <w:rPr>
          <w:szCs w:val="18"/>
        </w:rPr>
        <w:t>the author’s house had sustained the maximum l</w:t>
      </w:r>
      <w:r w:rsidR="0067099C">
        <w:rPr>
          <w:szCs w:val="18"/>
        </w:rPr>
        <w:t xml:space="preserve">evel of damages (classified as </w:t>
      </w:r>
      <w:r w:rsidR="003C7228" w:rsidRPr="007410F3">
        <w:rPr>
          <w:szCs w:val="18"/>
        </w:rPr>
        <w:t xml:space="preserve">damage level VI.) </w:t>
      </w:r>
      <w:r w:rsidR="005103DA">
        <w:rPr>
          <w:lang w:val="en-US"/>
        </w:rPr>
        <w:t>T</w:t>
      </w:r>
      <w:r w:rsidR="005103DA" w:rsidRPr="005D695D">
        <w:rPr>
          <w:lang w:val="en-US"/>
        </w:rPr>
        <w:t>he Commission</w:t>
      </w:r>
      <w:r w:rsidR="001262AA">
        <w:rPr>
          <w:lang w:val="en-US"/>
        </w:rPr>
        <w:t>’s three members were</w:t>
      </w:r>
      <w:r w:rsidR="005103DA">
        <w:rPr>
          <w:lang w:val="en-US"/>
        </w:rPr>
        <w:t xml:space="preserve"> </w:t>
      </w:r>
      <w:r w:rsidR="005103DA" w:rsidRPr="005D695D">
        <w:rPr>
          <w:lang w:val="en-US"/>
        </w:rPr>
        <w:t xml:space="preserve">qualified </w:t>
      </w:r>
      <w:r w:rsidR="008A7910">
        <w:rPr>
          <w:lang w:val="en-US"/>
        </w:rPr>
        <w:t>specialist</w:t>
      </w:r>
      <w:r w:rsidR="001262AA">
        <w:rPr>
          <w:lang w:val="en-US"/>
        </w:rPr>
        <w:t>s</w:t>
      </w:r>
      <w:r w:rsidR="008A7910">
        <w:rPr>
          <w:lang w:val="en-US"/>
        </w:rPr>
        <w:t xml:space="preserve"> </w:t>
      </w:r>
      <w:r w:rsidR="005103DA" w:rsidRPr="005D695D">
        <w:rPr>
          <w:lang w:val="en-US"/>
        </w:rPr>
        <w:t xml:space="preserve">in </w:t>
      </w:r>
      <w:r w:rsidR="00E56D60">
        <w:rPr>
          <w:lang w:val="en-US"/>
        </w:rPr>
        <w:t xml:space="preserve">civil engineering and </w:t>
      </w:r>
      <w:r w:rsidR="001262AA">
        <w:rPr>
          <w:lang w:val="en-US"/>
        </w:rPr>
        <w:t>were</w:t>
      </w:r>
      <w:r w:rsidR="00E56D60">
        <w:rPr>
          <w:lang w:val="en-US"/>
        </w:rPr>
        <w:t xml:space="preserve"> therefore able to assess the damage to the property. </w:t>
      </w:r>
      <w:r w:rsidR="001262AA">
        <w:rPr>
          <w:lang w:val="en-US"/>
        </w:rPr>
        <w:t xml:space="preserve">However, </w:t>
      </w:r>
      <w:r w:rsidR="003C14DE" w:rsidRPr="007410F3">
        <w:rPr>
          <w:lang w:val="en-US"/>
        </w:rPr>
        <w:t xml:space="preserve">the </w:t>
      </w:r>
      <w:r w:rsidR="00836C06" w:rsidRPr="007410F3">
        <w:rPr>
          <w:lang w:val="en-US"/>
        </w:rPr>
        <w:t xml:space="preserve">State party’s authorities </w:t>
      </w:r>
      <w:r w:rsidR="00836C06" w:rsidRPr="007410F3">
        <w:rPr>
          <w:szCs w:val="18"/>
        </w:rPr>
        <w:t>classified the</w:t>
      </w:r>
      <w:r w:rsidR="00AF0E1B">
        <w:rPr>
          <w:szCs w:val="18"/>
        </w:rPr>
        <w:t xml:space="preserve"> property</w:t>
      </w:r>
      <w:r w:rsidR="00836C06" w:rsidRPr="007410F3">
        <w:rPr>
          <w:szCs w:val="18"/>
        </w:rPr>
        <w:t xml:space="preserve"> damage </w:t>
      </w:r>
      <w:r w:rsidR="00AF0E1B">
        <w:rPr>
          <w:szCs w:val="18"/>
        </w:rPr>
        <w:t>a</w:t>
      </w:r>
      <w:r w:rsidR="00836C06" w:rsidRPr="007410F3">
        <w:rPr>
          <w:szCs w:val="18"/>
        </w:rPr>
        <w:t xml:space="preserve">s war damage </w:t>
      </w:r>
      <w:r w:rsidR="00683166">
        <w:rPr>
          <w:szCs w:val="18"/>
        </w:rPr>
        <w:t xml:space="preserve">and did not </w:t>
      </w:r>
      <w:r w:rsidR="00AF0E1B">
        <w:rPr>
          <w:szCs w:val="18"/>
        </w:rPr>
        <w:t>compensate the author</w:t>
      </w:r>
      <w:r w:rsidR="00683166">
        <w:rPr>
          <w:szCs w:val="18"/>
        </w:rPr>
        <w:t xml:space="preserve"> for the loss</w:t>
      </w:r>
      <w:r w:rsidR="00FE6CFE" w:rsidRPr="007410F3">
        <w:rPr>
          <w:lang w:val="en-US"/>
        </w:rPr>
        <w:t>.</w:t>
      </w:r>
    </w:p>
    <w:p w:rsidR="000C2632" w:rsidRPr="00260B3F" w:rsidRDefault="000C2632" w:rsidP="00600913">
      <w:pPr>
        <w:pStyle w:val="SingleTxtG"/>
        <w:rPr>
          <w:lang w:val="en-US"/>
        </w:rPr>
      </w:pPr>
      <w:r>
        <w:rPr>
          <w:lang w:val="en-US"/>
        </w:rPr>
        <w:t>2.</w:t>
      </w:r>
      <w:r w:rsidR="000B2616">
        <w:rPr>
          <w:lang w:val="en-US"/>
        </w:rPr>
        <w:t>4</w:t>
      </w:r>
      <w:r>
        <w:rPr>
          <w:lang w:val="en-US"/>
        </w:rPr>
        <w:tab/>
        <w:t xml:space="preserve">The author is entitled to </w:t>
      </w:r>
      <w:r w:rsidRPr="005D695D">
        <w:rPr>
          <w:lang w:val="en-US"/>
        </w:rPr>
        <w:t xml:space="preserve">indemnification for the property </w:t>
      </w:r>
      <w:r>
        <w:rPr>
          <w:lang w:val="en-US"/>
        </w:rPr>
        <w:t xml:space="preserve">under </w:t>
      </w:r>
      <w:r w:rsidRPr="005D695D">
        <w:rPr>
          <w:lang w:val="en-US"/>
        </w:rPr>
        <w:t>art</w:t>
      </w:r>
      <w:r>
        <w:rPr>
          <w:lang w:val="en-US"/>
        </w:rPr>
        <w:t>icle 2 (1) (a)</w:t>
      </w:r>
      <w:r w:rsidRPr="005D695D">
        <w:rPr>
          <w:lang w:val="en-US"/>
        </w:rPr>
        <w:t xml:space="preserve"> of </w:t>
      </w:r>
      <w:r w:rsidR="00600913">
        <w:rPr>
          <w:lang w:val="en-US"/>
        </w:rPr>
        <w:t>Annex</w:t>
      </w:r>
      <w:r w:rsidR="00600913" w:rsidRPr="00600913">
        <w:rPr>
          <w:lang w:val="en-US"/>
        </w:rPr>
        <w:t xml:space="preserve"> G</w:t>
      </w:r>
      <w:r w:rsidR="00600913">
        <w:rPr>
          <w:lang w:val="en-US"/>
        </w:rPr>
        <w:t xml:space="preserve"> (</w:t>
      </w:r>
      <w:r w:rsidR="00600913" w:rsidRPr="00600913">
        <w:rPr>
          <w:lang w:val="en-US"/>
        </w:rPr>
        <w:t>Private Property and Acquired Rights</w:t>
      </w:r>
      <w:r w:rsidR="00600913">
        <w:rPr>
          <w:lang w:val="en-US"/>
        </w:rPr>
        <w:t>) of</w:t>
      </w:r>
      <w:r w:rsidR="00600913" w:rsidRPr="00600913">
        <w:rPr>
          <w:lang w:val="en-US"/>
        </w:rPr>
        <w:t xml:space="preserve"> </w:t>
      </w:r>
      <w:r w:rsidRPr="005D695D">
        <w:rPr>
          <w:lang w:val="en-US"/>
        </w:rPr>
        <w:t>the Agreement on Succession Issues, which Croatia incorporated i</w:t>
      </w:r>
      <w:r>
        <w:rPr>
          <w:lang w:val="en-US"/>
        </w:rPr>
        <w:t xml:space="preserve">nto domestic law on 2 June 2004. </w:t>
      </w:r>
      <w:r w:rsidRPr="00B930F9">
        <w:rPr>
          <w:lang w:val="en-US"/>
        </w:rPr>
        <w:t xml:space="preserve">According to this provision, rights to movable and immovable property located in a successor state of the former Socialist Federal Republic of Yugoslavia must be recognized and protected by the successor state. This provision applies to property rights acquired on or before 31 December 1990, irrespective of the nationality, citizenship, residence or </w:t>
      </w:r>
      <w:r w:rsidR="00600913">
        <w:rPr>
          <w:lang w:val="en-US"/>
        </w:rPr>
        <w:t>domicile</w:t>
      </w:r>
      <w:r w:rsidRPr="00B930F9">
        <w:rPr>
          <w:lang w:val="en-US"/>
        </w:rPr>
        <w:t xml:space="preserve"> of the property owner.</w:t>
      </w:r>
      <w:r>
        <w:rPr>
          <w:lang w:val="en-US"/>
        </w:rPr>
        <w:t xml:space="preserve"> The provision further states, “</w:t>
      </w:r>
      <w:r w:rsidR="00600913" w:rsidRPr="00600913">
        <w:t>Persons unable to realize such rights shall be entitled to compensation in accordance with civil and international legal norms</w:t>
      </w:r>
      <w:r w:rsidRPr="00556C63">
        <w:t>.”</w:t>
      </w:r>
    </w:p>
    <w:p w:rsidR="00F95DE6" w:rsidRPr="004F79F1" w:rsidRDefault="00F95DE6" w:rsidP="001C4FFA">
      <w:pPr>
        <w:pStyle w:val="SingleTxtG"/>
        <w:rPr>
          <w:lang w:val="en-US"/>
        </w:rPr>
      </w:pPr>
      <w:r>
        <w:t>2.</w:t>
      </w:r>
      <w:r w:rsidR="000B2616">
        <w:t>5</w:t>
      </w:r>
      <w:r>
        <w:tab/>
        <w:t>In addition, the author is en</w:t>
      </w:r>
      <w:r w:rsidR="00ED36FE">
        <w:t xml:space="preserve">titled to compensation </w:t>
      </w:r>
      <w:r w:rsidR="00A77410">
        <w:t>under</w:t>
      </w:r>
      <w:r w:rsidR="00ED36FE">
        <w:t xml:space="preserve"> the</w:t>
      </w:r>
      <w:r>
        <w:t xml:space="preserve"> Law on Temporary Takeover and </w:t>
      </w:r>
      <w:r w:rsidR="00AA053B">
        <w:t>Administration</w:t>
      </w:r>
      <w:r>
        <w:t xml:space="preserve"> of </w:t>
      </w:r>
      <w:r w:rsidR="00CD0E34">
        <w:t>Specified Property</w:t>
      </w:r>
      <w:r>
        <w:t xml:space="preserve"> of 1995.</w:t>
      </w:r>
      <w:r w:rsidR="00AC3865" w:rsidRPr="005D695D">
        <w:rPr>
          <w:vertAlign w:val="superscript"/>
          <w:lang w:val="en-US"/>
        </w:rPr>
        <w:footnoteReference w:id="4"/>
      </w:r>
      <w:r>
        <w:t xml:space="preserve"> </w:t>
      </w:r>
      <w:r w:rsidR="006A7B66">
        <w:t>Under</w:t>
      </w:r>
      <w:r w:rsidR="00ED36FE">
        <w:t xml:space="preserve"> this</w:t>
      </w:r>
      <w:r>
        <w:t xml:space="preserve"> law, </w:t>
      </w:r>
      <w:r w:rsidR="0077167D">
        <w:t xml:space="preserve">the </w:t>
      </w:r>
      <w:r w:rsidR="003C386E">
        <w:t>State party</w:t>
      </w:r>
      <w:r w:rsidR="0077167D">
        <w:t xml:space="preserve"> acquired temporary control of </w:t>
      </w:r>
      <w:r w:rsidR="00ED36FE">
        <w:t xml:space="preserve">abandoned or unused </w:t>
      </w:r>
      <w:r>
        <w:t xml:space="preserve">property whose owners </w:t>
      </w:r>
      <w:r w:rsidR="0077167D">
        <w:t xml:space="preserve">had </w:t>
      </w:r>
      <w:r>
        <w:t xml:space="preserve">left Croatia after 17 August 1990. </w:t>
      </w:r>
      <w:r w:rsidR="0077167D">
        <w:t xml:space="preserve">The </w:t>
      </w:r>
      <w:r w:rsidR="003C386E">
        <w:t>State party</w:t>
      </w:r>
      <w:r w:rsidR="0077167D">
        <w:t xml:space="preserve"> was obligated</w:t>
      </w:r>
      <w:r>
        <w:t xml:space="preserve"> to return the property in sound condition to its owner, or, if restitution was not possible, to </w:t>
      </w:r>
      <w:r w:rsidR="0077167D">
        <w:t>compensate the owner.</w:t>
      </w:r>
    </w:p>
    <w:p w:rsidR="001E5A1B" w:rsidRDefault="007828C7" w:rsidP="0051457F">
      <w:pPr>
        <w:pStyle w:val="SingleTxtG"/>
        <w:rPr>
          <w:lang w:val="en-US"/>
        </w:rPr>
      </w:pPr>
      <w:r w:rsidRPr="007828C7">
        <w:t>2.</w:t>
      </w:r>
      <w:r w:rsidR="000B2616">
        <w:t>6</w:t>
      </w:r>
      <w:r w:rsidRPr="007828C7">
        <w:tab/>
      </w:r>
      <w:r w:rsidR="00377B14">
        <w:rPr>
          <w:lang w:val="en-US"/>
        </w:rPr>
        <w:t>O</w:t>
      </w:r>
      <w:r w:rsidR="00BB39BA" w:rsidRPr="00BB39BA">
        <w:rPr>
          <w:lang w:val="en-US"/>
        </w:rPr>
        <w:t xml:space="preserve">n 3 May 2004, </w:t>
      </w:r>
      <w:r w:rsidR="001A02EA">
        <w:rPr>
          <w:lang w:val="en-US"/>
        </w:rPr>
        <w:t>the author</w:t>
      </w:r>
      <w:r w:rsidR="00BB39BA">
        <w:rPr>
          <w:lang w:val="en-US"/>
        </w:rPr>
        <w:t xml:space="preserve"> </w:t>
      </w:r>
      <w:r w:rsidR="00941455">
        <w:rPr>
          <w:lang w:val="en-US"/>
        </w:rPr>
        <w:t>submitted</w:t>
      </w:r>
      <w:r w:rsidR="00BB39BA">
        <w:rPr>
          <w:lang w:val="en-US"/>
        </w:rPr>
        <w:t xml:space="preserve"> a request </w:t>
      </w:r>
      <w:r w:rsidR="00081371">
        <w:rPr>
          <w:lang w:val="en-US"/>
        </w:rPr>
        <w:t>for damages through</w:t>
      </w:r>
      <w:r w:rsidR="00BB39BA">
        <w:rPr>
          <w:lang w:val="en-US"/>
        </w:rPr>
        <w:t xml:space="preserve"> an</w:t>
      </w:r>
      <w:r w:rsidR="00BB39BA" w:rsidRPr="00BB39BA">
        <w:rPr>
          <w:lang w:val="en-US"/>
        </w:rPr>
        <w:t xml:space="preserve"> out-of-court settlement </w:t>
      </w:r>
      <w:r w:rsidR="00941455">
        <w:rPr>
          <w:lang w:val="en-US"/>
        </w:rPr>
        <w:t>to</w:t>
      </w:r>
      <w:r w:rsidR="00BB39BA" w:rsidRPr="00BB39BA">
        <w:rPr>
          <w:lang w:val="en-US"/>
        </w:rPr>
        <w:t xml:space="preserve"> the </w:t>
      </w:r>
      <w:r w:rsidR="00081371">
        <w:rPr>
          <w:lang w:val="en-US"/>
        </w:rPr>
        <w:t>Office of the Attorney General in Zagreb.</w:t>
      </w:r>
      <w:r w:rsidR="00BB39BA" w:rsidRPr="00BB39BA">
        <w:rPr>
          <w:lang w:val="en-US"/>
        </w:rPr>
        <w:t xml:space="preserve"> The </w:t>
      </w:r>
      <w:r w:rsidR="00390928">
        <w:rPr>
          <w:lang w:val="en-US"/>
        </w:rPr>
        <w:t xml:space="preserve">Office rejected the request on </w:t>
      </w:r>
      <w:r w:rsidR="00BB39BA" w:rsidRPr="00BB39BA">
        <w:rPr>
          <w:lang w:val="en-US"/>
        </w:rPr>
        <w:t>an unspecified date.</w:t>
      </w:r>
      <w:r w:rsidR="00BB39BA">
        <w:rPr>
          <w:lang w:val="en-US"/>
        </w:rPr>
        <w:t xml:space="preserve"> </w:t>
      </w:r>
    </w:p>
    <w:p w:rsidR="00E94B00" w:rsidRDefault="001E5A1B" w:rsidP="0051457F">
      <w:pPr>
        <w:pStyle w:val="SingleTxtG"/>
        <w:rPr>
          <w:lang w:val="en-US"/>
        </w:rPr>
      </w:pPr>
      <w:r>
        <w:rPr>
          <w:lang w:val="en-US"/>
        </w:rPr>
        <w:t>2.7</w:t>
      </w:r>
      <w:r>
        <w:rPr>
          <w:lang w:val="en-US"/>
        </w:rPr>
        <w:tab/>
      </w:r>
      <w:r w:rsidR="00F33F61">
        <w:rPr>
          <w:lang w:val="en-US"/>
        </w:rPr>
        <w:t xml:space="preserve">On </w:t>
      </w:r>
      <w:r w:rsidR="00BA31D2">
        <w:rPr>
          <w:lang w:val="en-US"/>
        </w:rPr>
        <w:t>31 December 2001</w:t>
      </w:r>
      <w:r w:rsidR="00BB39BA" w:rsidRPr="00BB39BA">
        <w:rPr>
          <w:lang w:val="en-US"/>
        </w:rPr>
        <w:t xml:space="preserve">, the author filed a request for </w:t>
      </w:r>
      <w:r w:rsidR="00536DD7">
        <w:rPr>
          <w:lang w:val="en-US"/>
        </w:rPr>
        <w:t xml:space="preserve">“establishing the right to reconstruction and allocation of </w:t>
      </w:r>
      <w:r w:rsidR="00E177F6">
        <w:rPr>
          <w:lang w:val="en-US"/>
        </w:rPr>
        <w:t xml:space="preserve">a </w:t>
      </w:r>
      <w:r w:rsidR="00536DD7">
        <w:rPr>
          <w:lang w:val="en-US"/>
        </w:rPr>
        <w:t xml:space="preserve">subsidy for equipping [his] family house damaged in war.” </w:t>
      </w:r>
      <w:r w:rsidR="00F33F61" w:rsidRPr="005D6F85">
        <w:rPr>
          <w:lang w:val="en-US"/>
        </w:rPr>
        <w:t xml:space="preserve">On 29 October 2004, </w:t>
      </w:r>
      <w:r w:rsidR="00536DD7" w:rsidRPr="005D6F85">
        <w:rPr>
          <w:lang w:val="en-US"/>
        </w:rPr>
        <w:t>the</w:t>
      </w:r>
      <w:r w:rsidR="00F33F61" w:rsidRPr="005D6F85">
        <w:rPr>
          <w:lang w:val="en-US"/>
        </w:rPr>
        <w:t xml:space="preserve"> request was denied by the</w:t>
      </w:r>
      <w:r w:rsidR="00BB39BA" w:rsidRPr="005D6F85">
        <w:rPr>
          <w:lang w:val="en-US"/>
        </w:rPr>
        <w:t xml:space="preserve"> State Administration Office</w:t>
      </w:r>
      <w:r w:rsidR="00536DD7" w:rsidRPr="005D6F85">
        <w:rPr>
          <w:lang w:val="en-US"/>
        </w:rPr>
        <w:t>, Department for Spatial Development, Environmental Protection, Construction and Property Affairs, Reconstruction Unit,</w:t>
      </w:r>
      <w:r w:rsidR="00BB39BA" w:rsidRPr="005D6F85">
        <w:rPr>
          <w:lang w:val="en-US"/>
        </w:rPr>
        <w:t xml:space="preserve"> in </w:t>
      </w:r>
      <w:r w:rsidR="00F2404E" w:rsidRPr="005D6F85">
        <w:rPr>
          <w:lang w:val="en-US"/>
        </w:rPr>
        <w:t>Š</w:t>
      </w:r>
      <w:r w:rsidR="00F33F61" w:rsidRPr="005D6F85">
        <w:rPr>
          <w:lang w:val="en-US"/>
        </w:rPr>
        <w:t>ibensko-Kninska County</w:t>
      </w:r>
      <w:r w:rsidR="00BB39BA" w:rsidRPr="005D6F85">
        <w:rPr>
          <w:lang w:val="en-US"/>
        </w:rPr>
        <w:t xml:space="preserve">. </w:t>
      </w:r>
      <w:r w:rsidR="00BB39BA" w:rsidRPr="005331E0">
        <w:rPr>
          <w:lang w:val="en-US"/>
        </w:rPr>
        <w:t xml:space="preserve">On </w:t>
      </w:r>
      <w:r w:rsidR="00CA0E61" w:rsidRPr="005331E0">
        <w:rPr>
          <w:lang w:val="en-US"/>
        </w:rPr>
        <w:t>12 November 2004</w:t>
      </w:r>
      <w:r w:rsidR="00BB39BA" w:rsidRPr="005331E0">
        <w:rPr>
          <w:lang w:val="en-US"/>
        </w:rPr>
        <w:t xml:space="preserve">, the author </w:t>
      </w:r>
      <w:r w:rsidR="00FD59AD" w:rsidRPr="005331E0">
        <w:rPr>
          <w:lang w:val="en-US"/>
        </w:rPr>
        <w:t>appealed the negative decision</w:t>
      </w:r>
      <w:r w:rsidR="00BB39BA" w:rsidRPr="005331E0">
        <w:rPr>
          <w:lang w:val="en-US"/>
        </w:rPr>
        <w:t xml:space="preserve"> </w:t>
      </w:r>
      <w:r w:rsidR="00FE366C" w:rsidRPr="005331E0">
        <w:rPr>
          <w:lang w:val="en-US"/>
        </w:rPr>
        <w:t xml:space="preserve">of the State Administration Office </w:t>
      </w:r>
      <w:r w:rsidR="00BB39BA" w:rsidRPr="005331E0">
        <w:rPr>
          <w:lang w:val="en-US"/>
        </w:rPr>
        <w:t xml:space="preserve">before the Ministry of the Sea, Tourism, Transport and Development, Directorate for Reconstruction </w:t>
      </w:r>
      <w:r w:rsidR="00FD59AD" w:rsidRPr="005331E0">
        <w:rPr>
          <w:lang w:val="en-US"/>
        </w:rPr>
        <w:t xml:space="preserve">of Family Houses in Zagreb. </w:t>
      </w:r>
      <w:r w:rsidR="00CA0E61" w:rsidRPr="005331E0">
        <w:rPr>
          <w:lang w:val="en-US"/>
        </w:rPr>
        <w:t>On 21 November 2006, the Ministry denied his appeal.</w:t>
      </w:r>
      <w:r w:rsidR="00247C84" w:rsidRPr="005331E0">
        <w:rPr>
          <w:vertAlign w:val="superscript"/>
          <w:lang w:val="en-US"/>
        </w:rPr>
        <w:t xml:space="preserve"> </w:t>
      </w:r>
      <w:r w:rsidR="00BB39BA" w:rsidRPr="005331E0">
        <w:rPr>
          <w:lang w:val="en-US"/>
        </w:rPr>
        <w:t>On</w:t>
      </w:r>
      <w:r w:rsidR="00BB39BA" w:rsidRPr="00BB39BA">
        <w:rPr>
          <w:lang w:val="en-US"/>
        </w:rPr>
        <w:t xml:space="preserve"> 29 December 2006</w:t>
      </w:r>
      <w:r w:rsidR="00BB39BA" w:rsidRPr="00D01FC2">
        <w:rPr>
          <w:lang w:val="en-US"/>
        </w:rPr>
        <w:t xml:space="preserve">, the author filed an administrative claim </w:t>
      </w:r>
      <w:r w:rsidR="008D791D" w:rsidRPr="00D01FC2">
        <w:rPr>
          <w:lang w:val="en-US"/>
        </w:rPr>
        <w:t xml:space="preserve">against </w:t>
      </w:r>
      <w:r w:rsidR="008203FE" w:rsidRPr="00D01FC2">
        <w:rPr>
          <w:lang w:val="en-US"/>
        </w:rPr>
        <w:t>the decision</w:t>
      </w:r>
      <w:r w:rsidR="008D791D" w:rsidRPr="00D01FC2">
        <w:rPr>
          <w:lang w:val="en-US"/>
        </w:rPr>
        <w:t xml:space="preserve"> </w:t>
      </w:r>
      <w:r w:rsidR="00A9498B">
        <w:rPr>
          <w:lang w:val="en-US"/>
        </w:rPr>
        <w:t xml:space="preserve">of the Ministry </w:t>
      </w:r>
      <w:r w:rsidR="00BB39BA" w:rsidRPr="00D01FC2">
        <w:rPr>
          <w:lang w:val="en-US"/>
        </w:rPr>
        <w:t>before the High Administrative Court of Croatia.</w:t>
      </w:r>
      <w:r w:rsidR="00BB39BA" w:rsidRPr="00BB39BA">
        <w:rPr>
          <w:lang w:val="en-US"/>
        </w:rPr>
        <w:t xml:space="preserve"> </w:t>
      </w:r>
      <w:r w:rsidR="00202C18">
        <w:rPr>
          <w:lang w:val="en-US"/>
        </w:rPr>
        <w:t xml:space="preserve">In a letter dated 1 February 2013, the </w:t>
      </w:r>
      <w:r w:rsidR="008D791D" w:rsidRPr="00BB39BA">
        <w:rPr>
          <w:lang w:val="en-US"/>
        </w:rPr>
        <w:t xml:space="preserve">High Administrative </w:t>
      </w:r>
      <w:r w:rsidR="00202C18">
        <w:rPr>
          <w:lang w:val="en-US"/>
        </w:rPr>
        <w:t xml:space="preserve">Court notified the author that </w:t>
      </w:r>
      <w:r w:rsidR="008D791D">
        <w:rPr>
          <w:lang w:val="en-US"/>
        </w:rPr>
        <w:t>it</w:t>
      </w:r>
      <w:r w:rsidR="00202C18">
        <w:rPr>
          <w:lang w:val="en-US"/>
        </w:rPr>
        <w:t xml:space="preserve"> had rejected his claim</w:t>
      </w:r>
      <w:r w:rsidR="00B063B9">
        <w:rPr>
          <w:lang w:val="en-US"/>
        </w:rPr>
        <w:t xml:space="preserve"> on 9 June 2010, on </w:t>
      </w:r>
      <w:r w:rsidR="00BB39BA" w:rsidRPr="00BB39BA">
        <w:rPr>
          <w:lang w:val="en-US"/>
        </w:rPr>
        <w:t xml:space="preserve">the ground that </w:t>
      </w:r>
      <w:r w:rsidR="008D791D">
        <w:rPr>
          <w:lang w:val="en-US"/>
        </w:rPr>
        <w:t>he</w:t>
      </w:r>
      <w:r w:rsidR="00BB39BA" w:rsidRPr="00BB39BA">
        <w:rPr>
          <w:lang w:val="en-US"/>
        </w:rPr>
        <w:t xml:space="preserve"> did not have an authorized proxy to receive </w:t>
      </w:r>
      <w:r w:rsidR="000C4E44">
        <w:rPr>
          <w:lang w:val="en-US"/>
        </w:rPr>
        <w:t>documents</w:t>
      </w:r>
      <w:r w:rsidR="00BB39BA" w:rsidRPr="00BB39BA">
        <w:rPr>
          <w:lang w:val="en-US"/>
        </w:rPr>
        <w:t xml:space="preserve"> in Croatia.</w:t>
      </w:r>
      <w:r w:rsidR="0051457F">
        <w:rPr>
          <w:lang w:val="en-US"/>
        </w:rPr>
        <w:t xml:space="preserve"> </w:t>
      </w:r>
    </w:p>
    <w:p w:rsidR="00803A6F" w:rsidRPr="00E36B3F" w:rsidRDefault="00E94B00" w:rsidP="00803A6F">
      <w:pPr>
        <w:pStyle w:val="SingleTxtG"/>
      </w:pPr>
      <w:r>
        <w:rPr>
          <w:lang w:val="en-US"/>
        </w:rPr>
        <w:t>2.8</w:t>
      </w:r>
      <w:r>
        <w:rPr>
          <w:lang w:val="en-US"/>
        </w:rPr>
        <w:tab/>
      </w:r>
      <w:r w:rsidR="00DF4387">
        <w:rPr>
          <w:lang w:val="en-US"/>
        </w:rPr>
        <w:t>The author did not contest the decision of the Administrative Court before</w:t>
      </w:r>
      <w:r w:rsidR="00ED19C6">
        <w:rPr>
          <w:lang w:val="en-US"/>
        </w:rPr>
        <w:t xml:space="preserve"> the</w:t>
      </w:r>
      <w:r w:rsidR="0051457F">
        <w:rPr>
          <w:lang w:val="en-US"/>
        </w:rPr>
        <w:t xml:space="preserve"> Constitutional Court</w:t>
      </w:r>
      <w:r w:rsidR="00DF4387">
        <w:rPr>
          <w:lang w:val="en-US"/>
        </w:rPr>
        <w:t xml:space="preserve">, because it </w:t>
      </w:r>
      <w:r w:rsidR="00ED19C6">
        <w:rPr>
          <w:lang w:val="en-US"/>
        </w:rPr>
        <w:t xml:space="preserve">would be an </w:t>
      </w:r>
      <w:r w:rsidR="0051457F">
        <w:rPr>
          <w:lang w:val="en-US"/>
        </w:rPr>
        <w:t>ineffective remedy</w:t>
      </w:r>
      <w:r w:rsidR="00DF4387">
        <w:rPr>
          <w:lang w:val="en-US"/>
        </w:rPr>
        <w:t>. T</w:t>
      </w:r>
      <w:r w:rsidR="00ED19C6">
        <w:rPr>
          <w:lang w:val="en-US"/>
        </w:rPr>
        <w:t xml:space="preserve">he </w:t>
      </w:r>
      <w:r w:rsidR="00DF4387">
        <w:rPr>
          <w:lang w:val="en-US"/>
        </w:rPr>
        <w:t xml:space="preserve">Constitutional </w:t>
      </w:r>
      <w:r w:rsidR="00ED19C6">
        <w:rPr>
          <w:lang w:val="en-US"/>
        </w:rPr>
        <w:t xml:space="preserve">Court does not </w:t>
      </w:r>
      <w:r w:rsidR="00E146DD">
        <w:rPr>
          <w:lang w:val="en-US"/>
        </w:rPr>
        <w:t>protect</w:t>
      </w:r>
      <w:r w:rsidR="00ED19C6">
        <w:rPr>
          <w:lang w:val="en-US"/>
        </w:rPr>
        <w:t>, inter alia, violations of the rights to property, a fair trial, an effective remedy, and non-discrimination.</w:t>
      </w:r>
      <w:r w:rsidRPr="00E94B00">
        <w:rPr>
          <w:lang w:val="en-US"/>
        </w:rPr>
        <w:t xml:space="preserve"> </w:t>
      </w:r>
      <w:r w:rsidR="00803A6F">
        <w:rPr>
          <w:lang w:val="en-US"/>
        </w:rPr>
        <w:t>In cases involving compensation for property damages, the Constitutional Court has not ruled in favor of any homeowner,</w:t>
      </w:r>
      <w:r>
        <w:rPr>
          <w:lang w:val="en-US"/>
        </w:rPr>
        <w:t xml:space="preserve"> though it has examined</w:t>
      </w:r>
      <w:r w:rsidRPr="00BB39BA">
        <w:rPr>
          <w:lang w:val="en-US"/>
        </w:rPr>
        <w:t xml:space="preserve"> tens of thousands of cases involving claims for compensation for destroyed homes.</w:t>
      </w:r>
      <w:r w:rsidRPr="00B51B09">
        <w:rPr>
          <w:lang w:val="en-US"/>
        </w:rPr>
        <w:t xml:space="preserve"> </w:t>
      </w:r>
      <w:r>
        <w:rPr>
          <w:lang w:val="en-US"/>
        </w:rPr>
        <w:t xml:space="preserve">The </w:t>
      </w:r>
      <w:r w:rsidR="00803A6F">
        <w:rPr>
          <w:lang w:val="en-US"/>
        </w:rPr>
        <w:t xml:space="preserve">Constitutional </w:t>
      </w:r>
      <w:r>
        <w:rPr>
          <w:lang w:val="en-US"/>
        </w:rPr>
        <w:t>Court discriminates against ethnic minorities in order to maintain the status quo. It has failed to provide redress for a</w:t>
      </w:r>
      <w:r w:rsidRPr="00BB39BA">
        <w:rPr>
          <w:lang w:val="en-US"/>
        </w:rPr>
        <w:t>cts of e</w:t>
      </w:r>
      <w:r>
        <w:rPr>
          <w:lang w:val="en-US"/>
        </w:rPr>
        <w:t xml:space="preserve">thnic cleansing, and has failed to implement the </w:t>
      </w:r>
      <w:r w:rsidR="005D466B">
        <w:rPr>
          <w:lang w:val="en-US"/>
        </w:rPr>
        <w:t>judg</w:t>
      </w:r>
      <w:r w:rsidR="00CC7BFF">
        <w:rPr>
          <w:lang w:val="en-US"/>
        </w:rPr>
        <w:t>ments</w:t>
      </w:r>
      <w:r>
        <w:rPr>
          <w:lang w:val="en-US"/>
        </w:rPr>
        <w:t xml:space="preserve"> of the European Court of Human Rights </w:t>
      </w:r>
      <w:r w:rsidR="00CC7BFF">
        <w:rPr>
          <w:lang w:val="en-US"/>
        </w:rPr>
        <w:t>on</w:t>
      </w:r>
      <w:r>
        <w:rPr>
          <w:lang w:val="en-US"/>
        </w:rPr>
        <w:t xml:space="preserve"> applications Nos. 22344/02 and 9056/02.</w:t>
      </w:r>
      <w:r w:rsidR="00803A6F">
        <w:rPr>
          <w:lang w:val="en-US"/>
        </w:rPr>
        <w:t xml:space="preserve"> </w:t>
      </w:r>
    </w:p>
    <w:p w:rsidR="00392527" w:rsidRPr="00392527" w:rsidRDefault="00863BE2" w:rsidP="00863BE2">
      <w:pPr>
        <w:pStyle w:val="H23G"/>
      </w:pPr>
      <w:r>
        <w:tab/>
      </w:r>
      <w:r>
        <w:tab/>
      </w:r>
      <w:r w:rsidR="00392527" w:rsidRPr="00392527">
        <w:t>The complaint</w:t>
      </w:r>
    </w:p>
    <w:p w:rsidR="005D695D" w:rsidRPr="005D695D" w:rsidRDefault="00863BE2" w:rsidP="005D695D">
      <w:pPr>
        <w:pStyle w:val="SingleTxtG"/>
        <w:rPr>
          <w:lang w:val="en-US"/>
        </w:rPr>
      </w:pPr>
      <w:r>
        <w:t>3.1</w:t>
      </w:r>
      <w:r>
        <w:tab/>
      </w:r>
      <w:r w:rsidR="005D695D" w:rsidRPr="005D695D">
        <w:rPr>
          <w:lang w:val="en-US"/>
        </w:rPr>
        <w:t xml:space="preserve">The author submits that </w:t>
      </w:r>
      <w:r w:rsidR="00555EC1">
        <w:rPr>
          <w:lang w:val="en-US"/>
        </w:rPr>
        <w:t>the State party</w:t>
      </w:r>
      <w:r w:rsidR="005D695D" w:rsidRPr="005D695D">
        <w:rPr>
          <w:lang w:val="en-US"/>
        </w:rPr>
        <w:t xml:space="preserve"> violated his rights under </w:t>
      </w:r>
      <w:r w:rsidR="008D1680">
        <w:rPr>
          <w:lang w:val="en-US"/>
        </w:rPr>
        <w:t>article 2 (3) (a) of the Covenant by denying his application for compensation for the value of his property</w:t>
      </w:r>
      <w:r w:rsidR="00F505E2">
        <w:rPr>
          <w:lang w:val="en-US"/>
        </w:rPr>
        <w:t>, which the State party’s authorities intentionally destroyed in 1992.</w:t>
      </w:r>
      <w:r w:rsidR="00804F1A">
        <w:rPr>
          <w:lang w:val="en-US"/>
        </w:rPr>
        <w:t xml:space="preserve"> </w:t>
      </w:r>
      <w:r w:rsidR="00AC3865">
        <w:rPr>
          <w:lang w:val="en-US"/>
        </w:rPr>
        <w:t xml:space="preserve">The State party </w:t>
      </w:r>
      <w:r w:rsidR="00804F1A">
        <w:rPr>
          <w:lang w:val="en-US"/>
        </w:rPr>
        <w:t xml:space="preserve">is required to </w:t>
      </w:r>
      <w:r w:rsidR="004D4D60">
        <w:rPr>
          <w:lang w:val="en-US"/>
        </w:rPr>
        <w:t>compensate the author, pursuant to</w:t>
      </w:r>
      <w:r w:rsidR="00AC3865">
        <w:rPr>
          <w:lang w:val="en-US"/>
        </w:rPr>
        <w:t xml:space="preserve"> </w:t>
      </w:r>
      <w:r w:rsidR="005D695D" w:rsidRPr="005D695D">
        <w:rPr>
          <w:lang w:val="en-US"/>
        </w:rPr>
        <w:t>the Law on Temporary Takeover and M</w:t>
      </w:r>
      <w:r w:rsidR="00B76342">
        <w:rPr>
          <w:lang w:val="en-US"/>
        </w:rPr>
        <w:t xml:space="preserve">anagement </w:t>
      </w:r>
      <w:r w:rsidR="004D4D60">
        <w:rPr>
          <w:lang w:val="en-US"/>
        </w:rPr>
        <w:t xml:space="preserve">of Specific Property, and </w:t>
      </w:r>
      <w:r w:rsidR="00B76342" w:rsidRPr="005D695D">
        <w:rPr>
          <w:lang w:val="en-US"/>
        </w:rPr>
        <w:t>art</w:t>
      </w:r>
      <w:r w:rsidR="00B76342">
        <w:rPr>
          <w:lang w:val="en-US"/>
        </w:rPr>
        <w:t>icle 2 (1) (a)</w:t>
      </w:r>
      <w:r w:rsidR="00B76342" w:rsidRPr="005D695D">
        <w:rPr>
          <w:lang w:val="en-US"/>
        </w:rPr>
        <w:t xml:space="preserve"> of </w:t>
      </w:r>
      <w:r w:rsidR="00600913">
        <w:rPr>
          <w:lang w:val="en-US"/>
        </w:rPr>
        <w:t>Annex</w:t>
      </w:r>
      <w:r w:rsidR="00600913" w:rsidRPr="00600913">
        <w:rPr>
          <w:lang w:val="en-US"/>
        </w:rPr>
        <w:t xml:space="preserve"> G</w:t>
      </w:r>
      <w:r w:rsidR="00600913">
        <w:rPr>
          <w:lang w:val="en-US"/>
        </w:rPr>
        <w:t xml:space="preserve"> (</w:t>
      </w:r>
      <w:r w:rsidR="00600913" w:rsidRPr="00600913">
        <w:rPr>
          <w:lang w:val="en-US"/>
        </w:rPr>
        <w:t>Private Property and Acquired Rights</w:t>
      </w:r>
      <w:r w:rsidR="00600913">
        <w:rPr>
          <w:lang w:val="en-US"/>
        </w:rPr>
        <w:t>) of</w:t>
      </w:r>
      <w:r w:rsidR="00600913" w:rsidRPr="005D695D">
        <w:rPr>
          <w:lang w:val="en-US"/>
        </w:rPr>
        <w:t xml:space="preserve"> </w:t>
      </w:r>
      <w:r w:rsidR="00B76342" w:rsidRPr="005D695D">
        <w:rPr>
          <w:lang w:val="en-US"/>
        </w:rPr>
        <w:t xml:space="preserve">the </w:t>
      </w:r>
      <w:r w:rsidR="00B76342">
        <w:rPr>
          <w:lang w:val="en-US"/>
        </w:rPr>
        <w:t>Agreement on Succession Issues</w:t>
      </w:r>
      <w:r w:rsidR="00B76342" w:rsidRPr="00D72966">
        <w:rPr>
          <w:lang w:val="en-US"/>
        </w:rPr>
        <w:t>.</w:t>
      </w:r>
      <w:r w:rsidR="00AC3865" w:rsidRPr="00D72966">
        <w:rPr>
          <w:lang w:val="en-US"/>
        </w:rPr>
        <w:t xml:space="preserve"> </w:t>
      </w:r>
      <w:r w:rsidR="00C47EDD" w:rsidRPr="00D72966">
        <w:rPr>
          <w:lang w:val="en-US"/>
        </w:rPr>
        <w:t xml:space="preserve">The State party </w:t>
      </w:r>
      <w:r w:rsidR="005D695D" w:rsidRPr="00D72966">
        <w:rPr>
          <w:lang w:val="en-US"/>
        </w:rPr>
        <w:t xml:space="preserve">classified the </w:t>
      </w:r>
      <w:r w:rsidR="000D3DF9" w:rsidRPr="00D72966">
        <w:rPr>
          <w:lang w:val="en-US"/>
        </w:rPr>
        <w:t>property damage</w:t>
      </w:r>
      <w:r w:rsidR="005D695D" w:rsidRPr="00D72966">
        <w:rPr>
          <w:lang w:val="en-US"/>
        </w:rPr>
        <w:t xml:space="preserve"> </w:t>
      </w:r>
      <w:r w:rsidR="008A6742" w:rsidRPr="00D72966">
        <w:rPr>
          <w:lang w:val="en-US"/>
        </w:rPr>
        <w:t xml:space="preserve">as </w:t>
      </w:r>
      <w:r w:rsidR="00A753E5" w:rsidRPr="00D72966">
        <w:rPr>
          <w:lang w:val="en-US"/>
        </w:rPr>
        <w:t xml:space="preserve">putative </w:t>
      </w:r>
      <w:r w:rsidR="008A6742" w:rsidRPr="00D72966">
        <w:rPr>
          <w:lang w:val="en-US"/>
        </w:rPr>
        <w:t>war damage</w:t>
      </w:r>
      <w:r w:rsidR="005D695D" w:rsidRPr="00D72966">
        <w:rPr>
          <w:lang w:val="en-US"/>
        </w:rPr>
        <w:t xml:space="preserve"> </w:t>
      </w:r>
      <w:r w:rsidR="00D72966">
        <w:rPr>
          <w:lang w:val="en-US"/>
        </w:rPr>
        <w:t>to avoid its obligation to pay</w:t>
      </w:r>
      <w:r w:rsidR="00D8299E" w:rsidRPr="00D72966">
        <w:rPr>
          <w:lang w:val="en-US"/>
        </w:rPr>
        <w:t xml:space="preserve"> compensation.</w:t>
      </w:r>
      <w:r w:rsidR="005D695D" w:rsidRPr="00D72966">
        <w:rPr>
          <w:vertAlign w:val="superscript"/>
          <w:lang w:val="en-US"/>
        </w:rPr>
        <w:footnoteReference w:id="5"/>
      </w:r>
      <w:r w:rsidR="00AC3865" w:rsidRPr="00D72966">
        <w:rPr>
          <w:lang w:val="en-US"/>
        </w:rPr>
        <w:t xml:space="preserve"> </w:t>
      </w:r>
      <w:r w:rsidR="0020674E" w:rsidRPr="00D72966">
        <w:rPr>
          <w:lang w:val="en-US"/>
        </w:rPr>
        <w:t>The State party has rendered it impossible to o</w:t>
      </w:r>
      <w:r w:rsidR="00D72966">
        <w:rPr>
          <w:lang w:val="en-US"/>
        </w:rPr>
        <w:t>btain an effective legal remedy.</w:t>
      </w:r>
    </w:p>
    <w:p w:rsidR="005D695D" w:rsidRDefault="005D695D" w:rsidP="008237AF">
      <w:pPr>
        <w:pStyle w:val="SingleTxtG"/>
        <w:rPr>
          <w:lang w:val="en-US"/>
        </w:rPr>
      </w:pPr>
      <w:r w:rsidRPr="00F636D0">
        <w:rPr>
          <w:lang w:val="en-US"/>
        </w:rPr>
        <w:t>3.</w:t>
      </w:r>
      <w:r w:rsidR="00EB326F">
        <w:rPr>
          <w:lang w:val="en-US"/>
        </w:rPr>
        <w:t>2</w:t>
      </w:r>
      <w:r w:rsidRPr="00F636D0">
        <w:rPr>
          <w:lang w:val="en-US"/>
        </w:rPr>
        <w:tab/>
      </w:r>
      <w:r w:rsidR="007D106B" w:rsidRPr="00F636D0">
        <w:rPr>
          <w:lang w:val="en-US"/>
        </w:rPr>
        <w:t>The State party also violated the author’s</w:t>
      </w:r>
      <w:r w:rsidRPr="00F636D0">
        <w:rPr>
          <w:lang w:val="en-US"/>
        </w:rPr>
        <w:t xml:space="preserve"> right to access information</w:t>
      </w:r>
      <w:r w:rsidR="005D466B">
        <w:rPr>
          <w:lang w:val="en-US"/>
        </w:rPr>
        <w:t>,</w:t>
      </w:r>
      <w:r w:rsidRPr="00F636D0">
        <w:rPr>
          <w:lang w:val="en-US"/>
        </w:rPr>
        <w:t xml:space="preserve"> by withholding the contents of </w:t>
      </w:r>
      <w:r w:rsidR="005103DA">
        <w:rPr>
          <w:lang w:val="en-US"/>
        </w:rPr>
        <w:t xml:space="preserve">the survey </w:t>
      </w:r>
      <w:r w:rsidR="005D466B">
        <w:rPr>
          <w:lang w:val="en-US"/>
        </w:rPr>
        <w:t>conducted</w:t>
      </w:r>
      <w:r w:rsidR="005103DA">
        <w:rPr>
          <w:lang w:val="en-US"/>
        </w:rPr>
        <w:t xml:space="preserve"> by the Commission for War Damage Inspection and Assessment. </w:t>
      </w:r>
      <w:r w:rsidR="008237AF">
        <w:rPr>
          <w:lang w:val="en-US"/>
        </w:rPr>
        <w:t xml:space="preserve">This </w:t>
      </w:r>
      <w:r w:rsidR="005103DA">
        <w:rPr>
          <w:lang w:val="en-US"/>
        </w:rPr>
        <w:t>survey</w:t>
      </w:r>
      <w:r w:rsidR="008237AF">
        <w:rPr>
          <w:lang w:val="en-US"/>
        </w:rPr>
        <w:t xml:space="preserve"> </w:t>
      </w:r>
      <w:r w:rsidR="004C04E0">
        <w:rPr>
          <w:lang w:val="en-US"/>
        </w:rPr>
        <w:t xml:space="preserve">demonstrates that the author’s property sustained the most </w:t>
      </w:r>
      <w:r w:rsidR="00CE4973">
        <w:rPr>
          <w:lang w:val="en-US"/>
        </w:rPr>
        <w:t>severe level of damage. T</w:t>
      </w:r>
      <w:r w:rsidR="008237AF">
        <w:rPr>
          <w:lang w:val="en-US"/>
        </w:rPr>
        <w:t>he St</w:t>
      </w:r>
      <w:r w:rsidR="00CE4973">
        <w:rPr>
          <w:lang w:val="en-US"/>
        </w:rPr>
        <w:t>ate party withheld the survey</w:t>
      </w:r>
      <w:r w:rsidR="008237AF">
        <w:rPr>
          <w:lang w:val="en-US"/>
        </w:rPr>
        <w:t xml:space="preserve"> in order to prevent or frustrate </w:t>
      </w:r>
      <w:r w:rsidR="00CE4973">
        <w:rPr>
          <w:lang w:val="en-US"/>
        </w:rPr>
        <w:t>the author’s compensation claim</w:t>
      </w:r>
      <w:r w:rsidR="008237AF">
        <w:rPr>
          <w:lang w:val="en-US"/>
        </w:rPr>
        <w:t>.</w:t>
      </w:r>
      <w:r w:rsidR="00B65474">
        <w:rPr>
          <w:lang w:val="en-US"/>
        </w:rPr>
        <w:t xml:space="preserve"> </w:t>
      </w:r>
    </w:p>
    <w:p w:rsidR="008D1680" w:rsidRPr="00E36B3F" w:rsidRDefault="008D1680" w:rsidP="000C59FA">
      <w:pPr>
        <w:pStyle w:val="SingleTxtG"/>
      </w:pPr>
      <w:r>
        <w:rPr>
          <w:lang w:val="en-US"/>
        </w:rPr>
        <w:t>3.</w:t>
      </w:r>
      <w:r w:rsidR="00EB326F">
        <w:rPr>
          <w:lang w:val="en-US"/>
        </w:rPr>
        <w:t>3</w:t>
      </w:r>
      <w:r>
        <w:rPr>
          <w:lang w:val="en-US"/>
        </w:rPr>
        <w:tab/>
      </w:r>
      <w:r w:rsidR="00F955A7">
        <w:rPr>
          <w:lang w:val="en-US"/>
        </w:rPr>
        <w:t>In addition, t</w:t>
      </w:r>
      <w:r>
        <w:rPr>
          <w:lang w:val="en-US"/>
        </w:rPr>
        <w:t>he State party</w:t>
      </w:r>
      <w:r w:rsidRPr="005D695D">
        <w:rPr>
          <w:lang w:val="en-US"/>
        </w:rPr>
        <w:t xml:space="preserve"> violated </w:t>
      </w:r>
      <w:r>
        <w:rPr>
          <w:lang w:val="en-US"/>
        </w:rPr>
        <w:t>the author’s</w:t>
      </w:r>
      <w:r w:rsidRPr="005D695D">
        <w:rPr>
          <w:lang w:val="en-US"/>
        </w:rPr>
        <w:t xml:space="preserve"> rights under </w:t>
      </w:r>
      <w:r w:rsidR="00EE648E">
        <w:rPr>
          <w:lang w:val="en-US"/>
        </w:rPr>
        <w:t>article 14 (1),</w:t>
      </w:r>
      <w:r>
        <w:rPr>
          <w:lang w:val="en-US"/>
        </w:rPr>
        <w:t xml:space="preserve"> read</w:t>
      </w:r>
      <w:r w:rsidRPr="005D695D">
        <w:rPr>
          <w:lang w:val="en-US"/>
        </w:rPr>
        <w:t xml:space="preserve"> in </w:t>
      </w:r>
      <w:r>
        <w:rPr>
          <w:lang w:val="en-US"/>
        </w:rPr>
        <w:t xml:space="preserve">conjunction with article 2 (1) </w:t>
      </w:r>
      <w:r w:rsidR="00EE648E">
        <w:rPr>
          <w:lang w:val="en-US"/>
        </w:rPr>
        <w:t>of the Covenant, by</w:t>
      </w:r>
      <w:r>
        <w:rPr>
          <w:lang w:val="en-US"/>
        </w:rPr>
        <w:t xml:space="preserve"> denying him equal protection of the law due to his minority ethnicity.</w:t>
      </w:r>
      <w:r w:rsidRPr="005D695D">
        <w:rPr>
          <w:lang w:val="en-US"/>
        </w:rPr>
        <w:t xml:space="preserve"> </w:t>
      </w:r>
      <w:r w:rsidR="009E6444">
        <w:t>T</w:t>
      </w:r>
      <w:r w:rsidR="00E36B3F" w:rsidRPr="001F49B9">
        <w:t xml:space="preserve">he Administrative Court discriminated </w:t>
      </w:r>
      <w:r w:rsidR="00E36B3F" w:rsidRPr="00D439AE">
        <w:t xml:space="preserve">against </w:t>
      </w:r>
      <w:r w:rsidR="009E6444">
        <w:t>the author</w:t>
      </w:r>
      <w:r w:rsidR="00E36B3F" w:rsidRPr="00964F6E">
        <w:t xml:space="preserve"> by</w:t>
      </w:r>
      <w:r w:rsidR="00E36B3F" w:rsidRPr="001F49B9">
        <w:t xml:space="preserve"> denying his </w:t>
      </w:r>
      <w:r w:rsidR="00E36B3F">
        <w:t>request for the right to reconstruction and compensation</w:t>
      </w:r>
      <w:r w:rsidR="00E36B3F" w:rsidRPr="001F49B9">
        <w:t xml:space="preserve"> on the ground that he did not have an address in Croatia</w:t>
      </w:r>
      <w:r w:rsidR="00E36B3F">
        <w:t>, or an authorized proxy in Croatia, for service of documents.</w:t>
      </w:r>
      <w:r w:rsidR="00475984">
        <w:rPr>
          <w:rStyle w:val="FootnoteReference"/>
        </w:rPr>
        <w:t xml:space="preserve"> </w:t>
      </w:r>
      <w:r w:rsidR="005C2ACC">
        <w:t>In determining the applicable rules concerning service of notices, t</w:t>
      </w:r>
      <w:r w:rsidR="00E36B3F" w:rsidRPr="00556C63">
        <w:t xml:space="preserve">he </w:t>
      </w:r>
      <w:r w:rsidR="005C2ACC">
        <w:t xml:space="preserve">Administrative </w:t>
      </w:r>
      <w:r w:rsidR="00E36B3F" w:rsidRPr="00556C63">
        <w:t>Court in</w:t>
      </w:r>
      <w:r w:rsidR="00E36B3F">
        <w:t xml:space="preserve">correctly </w:t>
      </w:r>
      <w:r w:rsidR="003C11B4">
        <w:t>invoked</w:t>
      </w:r>
      <w:r w:rsidR="00E36B3F">
        <w:t xml:space="preserve"> article 146 (1)</w:t>
      </w:r>
      <w:r w:rsidR="00E36B3F" w:rsidRPr="00556C63">
        <w:t xml:space="preserve"> of the Law on Civil Pro</w:t>
      </w:r>
      <w:r w:rsidR="00E36B3F">
        <w:t>cedure</w:t>
      </w:r>
      <w:r w:rsidR="005C2ACC">
        <w:t>, which does not apply to administrative disputes</w:t>
      </w:r>
      <w:r w:rsidR="00E36B3F">
        <w:t xml:space="preserve">. </w:t>
      </w:r>
      <w:r w:rsidR="005C2ACC">
        <w:t>T</w:t>
      </w:r>
      <w:r w:rsidR="00E36B3F">
        <w:t>he Administrative Court should have applied the Law on Administrative Disputes</w:t>
      </w:r>
      <w:r w:rsidR="00D408F6">
        <w:t>, which contains provisions on service of notices.</w:t>
      </w:r>
      <w:r w:rsidR="00E36B3F">
        <w:t xml:space="preserve"> </w:t>
      </w:r>
      <w:r w:rsidR="00D408F6">
        <w:t xml:space="preserve">Because the Administrative Court did not do so, its decision on the author’s request was </w:t>
      </w:r>
      <w:r w:rsidR="00ED038C">
        <w:t>irregular</w:t>
      </w:r>
      <w:r w:rsidR="00D408F6">
        <w:t xml:space="preserve">. </w:t>
      </w:r>
      <w:r w:rsidR="00DD68D4">
        <w:t xml:space="preserve">The </w:t>
      </w:r>
      <w:r w:rsidR="00D408F6">
        <w:t>Court</w:t>
      </w:r>
      <w:r w:rsidR="00D14A80">
        <w:t xml:space="preserve">’s </w:t>
      </w:r>
      <w:r w:rsidR="00DD68D4">
        <w:t xml:space="preserve">decision to </w:t>
      </w:r>
      <w:r w:rsidR="00D14A80">
        <w:t xml:space="preserve">arbitrarily </w:t>
      </w:r>
      <w:r w:rsidR="00DD68D4">
        <w:t xml:space="preserve">derogate from the Law on Administrative Disputes was made on 10 December 2007, </w:t>
      </w:r>
      <w:r w:rsidR="008916E9">
        <w:t>during</w:t>
      </w:r>
      <w:r w:rsidR="00DD68D4">
        <w:t xml:space="preserve"> a meeting of the judges of the Administrative Court. </w:t>
      </w:r>
      <w:r w:rsidR="00E36B3F">
        <w:t xml:space="preserve">The </w:t>
      </w:r>
      <w:r w:rsidR="00251D05">
        <w:t>address requirement</w:t>
      </w:r>
      <w:r w:rsidR="00E85D99">
        <w:t xml:space="preserve"> </w:t>
      </w:r>
      <w:r w:rsidR="00E36B3F">
        <w:t xml:space="preserve">was </w:t>
      </w:r>
      <w:r w:rsidR="00251D05">
        <w:t>a particularly outrageous method of</w:t>
      </w:r>
      <w:r w:rsidR="00E85D99">
        <w:t xml:space="preserve"> preventing </w:t>
      </w:r>
      <w:r w:rsidR="00E36B3F">
        <w:t xml:space="preserve">access to justice. </w:t>
      </w:r>
      <w:r w:rsidR="00E36B3F">
        <w:rPr>
          <w:lang w:val="en-US"/>
        </w:rPr>
        <w:t xml:space="preserve">With each new regulation, the State party increasingly restricts the rights of ethnic minorities to a fair hearing and access to justice. </w:t>
      </w:r>
      <w:r w:rsidR="000C59FA">
        <w:t>Because the Administrative Court based its decision on the author’s request on procedural grounds, it did not examine the merits of his claim.</w:t>
      </w:r>
    </w:p>
    <w:p w:rsidR="0051457F" w:rsidRPr="00BB39BA" w:rsidRDefault="008D1680" w:rsidP="0051457F">
      <w:pPr>
        <w:pStyle w:val="SingleTxtG"/>
        <w:rPr>
          <w:lang w:val="en-US"/>
        </w:rPr>
      </w:pPr>
      <w:r>
        <w:rPr>
          <w:lang w:val="en-US"/>
        </w:rPr>
        <w:t>3.</w:t>
      </w:r>
      <w:r w:rsidR="00652700">
        <w:rPr>
          <w:lang w:val="en-US"/>
        </w:rPr>
        <w:t>4</w:t>
      </w:r>
      <w:r w:rsidR="00C82569">
        <w:rPr>
          <w:lang w:val="en-US"/>
        </w:rPr>
        <w:tab/>
        <w:t xml:space="preserve">The State party </w:t>
      </w:r>
      <w:r w:rsidR="00F955A7">
        <w:rPr>
          <w:lang w:val="en-US"/>
        </w:rPr>
        <w:t xml:space="preserve">also </w:t>
      </w:r>
      <w:r w:rsidR="00C82569">
        <w:rPr>
          <w:lang w:val="en-US"/>
        </w:rPr>
        <w:t>violated the author’</w:t>
      </w:r>
      <w:r w:rsidR="005B78FB">
        <w:rPr>
          <w:lang w:val="en-US"/>
        </w:rPr>
        <w:t xml:space="preserve">s rights under articles 2 (1), 5 (1) and </w:t>
      </w:r>
      <w:r w:rsidR="00C82569">
        <w:rPr>
          <w:lang w:val="en-US"/>
        </w:rPr>
        <w:t xml:space="preserve">17, read </w:t>
      </w:r>
      <w:r w:rsidR="003A2339">
        <w:rPr>
          <w:lang w:val="en-US"/>
        </w:rPr>
        <w:t xml:space="preserve">alone and </w:t>
      </w:r>
      <w:r w:rsidR="00C82569">
        <w:rPr>
          <w:lang w:val="en-US"/>
        </w:rPr>
        <w:t xml:space="preserve">in conjunction with article 2 (1) </w:t>
      </w:r>
      <w:r w:rsidR="003A2339">
        <w:rPr>
          <w:lang w:val="en-US"/>
        </w:rPr>
        <w:t xml:space="preserve">and 5 (1) </w:t>
      </w:r>
      <w:r w:rsidR="00C82569">
        <w:rPr>
          <w:lang w:val="en-US"/>
        </w:rPr>
        <w:t>of the Covenant, by preventing him from obtaining protection under civil laws.</w:t>
      </w:r>
    </w:p>
    <w:p w:rsidR="008F1F18" w:rsidRDefault="00863BE2" w:rsidP="00863BE2">
      <w:pPr>
        <w:pStyle w:val="H23G"/>
      </w:pPr>
      <w:r>
        <w:tab/>
      </w:r>
      <w:r>
        <w:tab/>
      </w:r>
      <w:r w:rsidR="008F1F18" w:rsidRPr="008F1F18">
        <w:t xml:space="preserve">State party’s observations on </w:t>
      </w:r>
      <w:r w:rsidR="008F1F18">
        <w:t xml:space="preserve">admissibility </w:t>
      </w:r>
      <w:r w:rsidR="00B02265">
        <w:t xml:space="preserve">and </w:t>
      </w:r>
      <w:r w:rsidR="009C5BB4">
        <w:t xml:space="preserve">the </w:t>
      </w:r>
      <w:r w:rsidR="00B02265">
        <w:t xml:space="preserve">merits </w:t>
      </w:r>
      <w:r w:rsidR="004F76E4">
        <w:t xml:space="preserve"> </w:t>
      </w:r>
    </w:p>
    <w:p w:rsidR="00BF16D8" w:rsidRDefault="00863BE2" w:rsidP="006B7008">
      <w:pPr>
        <w:pStyle w:val="SingleTxtG"/>
      </w:pPr>
      <w:r>
        <w:t>4.1</w:t>
      </w:r>
      <w:r>
        <w:tab/>
      </w:r>
      <w:r w:rsidR="00ED7969">
        <w:t xml:space="preserve">In its observations dated </w:t>
      </w:r>
      <w:r w:rsidR="00BF16D8">
        <w:t xml:space="preserve">29 May 2015, the State party considers that the communication </w:t>
      </w:r>
      <w:r w:rsidR="004E4B17">
        <w:t>is</w:t>
      </w:r>
      <w:r w:rsidR="00212A3C">
        <w:t xml:space="preserve"> inadmissible under articles 2, 3 and 5 of the Optional Protocol. </w:t>
      </w:r>
    </w:p>
    <w:p w:rsidR="00BF16D8" w:rsidRDefault="00BF16D8" w:rsidP="006B7008">
      <w:pPr>
        <w:pStyle w:val="SingleTxtG"/>
      </w:pPr>
      <w:r>
        <w:t>4.2</w:t>
      </w:r>
      <w:r>
        <w:tab/>
        <w:t xml:space="preserve">The communication is inadmissible </w:t>
      </w:r>
      <w:r w:rsidRPr="00021ECA">
        <w:rPr>
          <w:i/>
        </w:rPr>
        <w:t>ratione temporis</w:t>
      </w:r>
      <w:r>
        <w:t xml:space="preserve"> </w:t>
      </w:r>
      <w:r w:rsidR="003C628E">
        <w:t xml:space="preserve">with respect to actions taken by the State party’s authorities </w:t>
      </w:r>
      <w:r>
        <w:t xml:space="preserve">before the </w:t>
      </w:r>
      <w:r w:rsidR="007F4BE5">
        <w:t xml:space="preserve">entry into force of the </w:t>
      </w:r>
      <w:r>
        <w:t xml:space="preserve">Optional Protocol </w:t>
      </w:r>
      <w:r w:rsidR="007F4BE5">
        <w:t>fo</w:t>
      </w:r>
      <w:r>
        <w:t xml:space="preserve">r the </w:t>
      </w:r>
      <w:r w:rsidR="00EE16A0">
        <w:t>State party</w:t>
      </w:r>
      <w:r>
        <w:t xml:space="preserve">. </w:t>
      </w:r>
    </w:p>
    <w:p w:rsidR="00021ECA" w:rsidRDefault="00021ECA" w:rsidP="006B7008">
      <w:pPr>
        <w:pStyle w:val="SingleTxtG"/>
      </w:pPr>
      <w:r>
        <w:t>4.3</w:t>
      </w:r>
      <w:r>
        <w:tab/>
        <w:t xml:space="preserve">The </w:t>
      </w:r>
      <w:r w:rsidR="00AF6501">
        <w:t xml:space="preserve">author’s claim concerning the right to access public documents and information is </w:t>
      </w:r>
      <w:r>
        <w:t xml:space="preserve">inadmissible </w:t>
      </w:r>
      <w:r w:rsidRPr="00021ECA">
        <w:rPr>
          <w:i/>
        </w:rPr>
        <w:t>ratione materiae</w:t>
      </w:r>
      <w:r>
        <w:t xml:space="preserve">, </w:t>
      </w:r>
      <w:r w:rsidR="00AF6501">
        <w:t xml:space="preserve">because </w:t>
      </w:r>
      <w:r w:rsidR="00AA66B0">
        <w:t xml:space="preserve">the Covenant does not guarantee </w:t>
      </w:r>
      <w:r w:rsidR="00C17B41">
        <w:t>those</w:t>
      </w:r>
      <w:r w:rsidR="00AF6501">
        <w:t xml:space="preserve"> rights. </w:t>
      </w:r>
      <w:r w:rsidR="00AA66B0">
        <w:t>The author’s</w:t>
      </w:r>
      <w:r w:rsidR="00C66FF2">
        <w:t xml:space="preserve"> claim under article 17</w:t>
      </w:r>
      <w:r w:rsidR="00F62851">
        <w:t xml:space="preserve"> is also inadmissible </w:t>
      </w:r>
      <w:r w:rsidR="00F62851" w:rsidRPr="00F62851">
        <w:rPr>
          <w:i/>
        </w:rPr>
        <w:t>ratione materiae</w:t>
      </w:r>
      <w:r w:rsidR="00F62851">
        <w:t xml:space="preserve">, because </w:t>
      </w:r>
      <w:r w:rsidR="00053616">
        <w:t>the author</w:t>
      </w:r>
      <w:r w:rsidR="00F62851">
        <w:t xml:space="preserve"> has not </w:t>
      </w:r>
      <w:r w:rsidR="00F44C6E">
        <w:t>claimed</w:t>
      </w:r>
      <w:r w:rsidR="00F62851">
        <w:t xml:space="preserve"> a violation of his personal freedoms </w:t>
      </w:r>
      <w:r w:rsidR="003329A2">
        <w:t>or</w:t>
      </w:r>
      <w:r w:rsidR="00F62851">
        <w:t xml:space="preserve"> privacy. </w:t>
      </w:r>
    </w:p>
    <w:p w:rsidR="004F76E4" w:rsidRDefault="00AF6501" w:rsidP="006C2450">
      <w:pPr>
        <w:pStyle w:val="SingleTxtG"/>
      </w:pPr>
      <w:r>
        <w:t>4.4</w:t>
      </w:r>
      <w:r>
        <w:tab/>
        <w:t xml:space="preserve">The communication is </w:t>
      </w:r>
      <w:r w:rsidR="00EE0BE2">
        <w:t xml:space="preserve">also </w:t>
      </w:r>
      <w:r>
        <w:t xml:space="preserve">inadmissible </w:t>
      </w:r>
      <w:r w:rsidR="000A7EAA">
        <w:t>because the author</w:t>
      </w:r>
      <w:r w:rsidR="003C553D">
        <w:t xml:space="preserve"> has not</w:t>
      </w:r>
      <w:r w:rsidR="000A7EAA">
        <w:t xml:space="preserve"> </w:t>
      </w:r>
      <w:r>
        <w:t>exhaust</w:t>
      </w:r>
      <w:r w:rsidR="003C553D">
        <w:t>ed</w:t>
      </w:r>
      <w:r>
        <w:t xml:space="preserve"> domestic remedies. </w:t>
      </w:r>
      <w:r w:rsidR="00F41D63">
        <w:t xml:space="preserve">The author has not lodged a constitutional complaint against the decision of the Administrative Court dated 9 June 2010. </w:t>
      </w:r>
      <w:r w:rsidR="001B1BC2">
        <w:t>U</w:t>
      </w:r>
      <w:r w:rsidR="00F41D63">
        <w:t>nder article 129 of the Constitution</w:t>
      </w:r>
      <w:r w:rsidR="00C26177">
        <w:t>,</w:t>
      </w:r>
      <w:r w:rsidR="00F41D63">
        <w:t xml:space="preserve"> </w:t>
      </w:r>
      <w:r w:rsidR="001B1BC2">
        <w:t>and</w:t>
      </w:r>
      <w:r w:rsidR="00F41D63">
        <w:t xml:space="preserve"> article</w:t>
      </w:r>
      <w:r w:rsidR="00C26177">
        <w:t>s</w:t>
      </w:r>
      <w:r w:rsidR="00F41D63">
        <w:t xml:space="preserve"> 62 </w:t>
      </w:r>
      <w:r w:rsidR="00C26177">
        <w:t xml:space="preserve">and 64 </w:t>
      </w:r>
      <w:r w:rsidR="00F41D63">
        <w:t xml:space="preserve">of the Constitutional Act on the </w:t>
      </w:r>
      <w:r w:rsidR="00C26177">
        <w:t>Constitutio</w:t>
      </w:r>
      <w:r w:rsidR="001B1BC2">
        <w:t xml:space="preserve">nal Court, any individual may lodge a complaint </w:t>
      </w:r>
      <w:r w:rsidR="004850DD">
        <w:t>before</w:t>
      </w:r>
      <w:r w:rsidR="001B1BC2">
        <w:t xml:space="preserve"> the Constitutional Court to raise alleged violations of their constitutional rights by government bodies or legal persons with public authority.</w:t>
      </w:r>
      <w:r w:rsidR="00C26177">
        <w:t xml:space="preserve"> </w:t>
      </w:r>
      <w:r w:rsidR="00307D18">
        <w:t xml:space="preserve">The Constitution </w:t>
      </w:r>
      <w:r w:rsidR="00413FFA">
        <w:t xml:space="preserve">of the Republic of Croatia </w:t>
      </w:r>
      <w:r w:rsidR="00307D18">
        <w:t>guarantees the right of access to courts, l</w:t>
      </w:r>
      <w:r w:rsidR="006C2450">
        <w:t xml:space="preserve">egal remedies, and information; and the rights to equality before the courts and non-discrimination. </w:t>
      </w:r>
      <w:r w:rsidR="00C45AF6">
        <w:t xml:space="preserve">The author has not substantiated his claims that the Court is biased. </w:t>
      </w:r>
      <w:r w:rsidR="006E2160" w:rsidRPr="00E118FA">
        <w:t>The author’s references to the judgements of the European Court of Human Rights on applications Nos. 22344/02 and 9056/02 do not support his claim that the constitutional complaint is an ineffective remedy, because the Constitutional Court had no opportunity to decide on those matters.</w:t>
      </w:r>
      <w:r w:rsidR="006E2160">
        <w:t xml:space="preserve"> </w:t>
      </w:r>
    </w:p>
    <w:p w:rsidR="001B1BC2" w:rsidRDefault="006E2160" w:rsidP="00C26177">
      <w:pPr>
        <w:pStyle w:val="SingleTxtG"/>
      </w:pPr>
      <w:r>
        <w:t>4.5</w:t>
      </w:r>
      <w:r>
        <w:tab/>
      </w:r>
      <w:r w:rsidR="00D0773B">
        <w:t>In addition, the author failed to exhaust domestic remedies with respect to his claim of a violation of the right to access public documen</w:t>
      </w:r>
      <w:r w:rsidR="00F07846">
        <w:t>ts and public information. The L</w:t>
      </w:r>
      <w:r w:rsidR="00D0773B">
        <w:t>aw on the Right to Access Information, which entered into force on 6 November 2003, was in fo</w:t>
      </w:r>
      <w:r w:rsidR="00F07846">
        <w:t xml:space="preserve">rce during the relevant period. It </w:t>
      </w:r>
      <w:r w:rsidR="00D0773B">
        <w:t xml:space="preserve">allowed all citizens to </w:t>
      </w:r>
      <w:r w:rsidR="00E67B0D">
        <w:t>request information from</w:t>
      </w:r>
      <w:r w:rsidR="00D0773B">
        <w:t xml:space="preserve"> </w:t>
      </w:r>
      <w:r w:rsidR="00E67B0D">
        <w:t>government bodies, and to appeal a</w:t>
      </w:r>
      <w:r w:rsidR="00D0773B">
        <w:t xml:space="preserve"> denial of the request. </w:t>
      </w:r>
      <w:r w:rsidR="00212A72">
        <w:t xml:space="preserve">The communication does not imply that the author submitted such a request. </w:t>
      </w:r>
      <w:r w:rsidR="0081244B">
        <w:t xml:space="preserve">Moreover, it does not appear that the author requested access to relevant documents during the proceedings relating to his application for reconstruction. Even if he did request access to the relevant documents, he has not shown that the </w:t>
      </w:r>
      <w:r w:rsidR="00AA1BCE">
        <w:t>request</w:t>
      </w:r>
      <w:r w:rsidR="0081244B">
        <w:t xml:space="preserve"> was denied, and that he filed an appeal of the denial to the </w:t>
      </w:r>
      <w:r w:rsidR="000820B2">
        <w:t>M</w:t>
      </w:r>
      <w:r w:rsidR="0081244B">
        <w:t>inistry of the Sea, Tourism,</w:t>
      </w:r>
      <w:r w:rsidR="00606DDE">
        <w:t xml:space="preserve"> Transport and Development; </w:t>
      </w:r>
      <w:r w:rsidR="0081244B">
        <w:t>a cl</w:t>
      </w:r>
      <w:r w:rsidR="00606DDE">
        <w:t>aim to the Administrative Court;</w:t>
      </w:r>
      <w:r w:rsidR="0081244B">
        <w:t xml:space="preserve"> or a constitutional complaint. </w:t>
      </w:r>
    </w:p>
    <w:p w:rsidR="0081244B" w:rsidRDefault="0081244B" w:rsidP="004E4B17">
      <w:pPr>
        <w:pStyle w:val="SingleTxtG"/>
      </w:pPr>
      <w:r>
        <w:t>4.6</w:t>
      </w:r>
      <w:r>
        <w:tab/>
      </w:r>
      <w:r w:rsidR="004E4B17">
        <w:t xml:space="preserve">Finally, the communication </w:t>
      </w:r>
      <w:r w:rsidR="007C7074">
        <w:t xml:space="preserve">is insufficiently substantiated, as it </w:t>
      </w:r>
      <w:r w:rsidR="006E226C">
        <w:t>d</w:t>
      </w:r>
      <w:r w:rsidR="004E4B17">
        <w:t xml:space="preserve">oes not contain </w:t>
      </w:r>
      <w:r w:rsidR="007C7074">
        <w:t xml:space="preserve">sufficient </w:t>
      </w:r>
      <w:r w:rsidR="004E4B17">
        <w:t xml:space="preserve">information to allow the State party to consider and respond to it. The author has alleged violations in general terms, without concretely describing the actions that constituted the alleged violations. The author has not specified which government bodies allegedly violated his rights to inspect public documents and access public information. Moreover, </w:t>
      </w:r>
      <w:r w:rsidR="00EB6E23">
        <w:t xml:space="preserve">while </w:t>
      </w:r>
      <w:r w:rsidR="004E4B17">
        <w:t>the author has linked his claims to alleged ethnic discri</w:t>
      </w:r>
      <w:r w:rsidR="00EB6E23">
        <w:t>mination,</w:t>
      </w:r>
      <w:r w:rsidR="004E4B17">
        <w:t xml:space="preserve"> he has not </w:t>
      </w:r>
      <w:r w:rsidR="001476FE">
        <w:t xml:space="preserve">concretely </w:t>
      </w:r>
      <w:r w:rsidR="004E4B17">
        <w:t xml:space="preserve">explained how the actions of the State party’s authorities resulted from discrimination. </w:t>
      </w:r>
      <w:r w:rsidR="006E226C">
        <w:t xml:space="preserve">He has presented no facts or evidence </w:t>
      </w:r>
      <w:r w:rsidR="00EB6E23">
        <w:t>implying t</w:t>
      </w:r>
      <w:r w:rsidR="006E226C">
        <w:t>hat the Administrative Court or the Constitutional Court have interpreted domestic law differently in cases involving individuals who are not of Serbian ethnicity. The author is also using his communication a</w:t>
      </w:r>
      <w:r w:rsidR="00B67D6A">
        <w:t>s a fourth instance appeal; this</w:t>
      </w:r>
      <w:r w:rsidR="006E226C">
        <w:t xml:space="preserve"> is not permitted under the Optional Protocol</w:t>
      </w:r>
      <w:r w:rsidR="00EA7BF3">
        <w:t xml:space="preserve"> to the Covenant</w:t>
      </w:r>
      <w:r w:rsidR="006E226C">
        <w:t xml:space="preserve">. </w:t>
      </w:r>
    </w:p>
    <w:p w:rsidR="00246AB1" w:rsidRDefault="00F10CB0" w:rsidP="00785C2F">
      <w:pPr>
        <w:pStyle w:val="SingleTxtG"/>
      </w:pPr>
      <w:r>
        <w:t>4.7</w:t>
      </w:r>
      <w:r>
        <w:tab/>
        <w:t xml:space="preserve">The </w:t>
      </w:r>
      <w:r w:rsidR="009D2BC8">
        <w:t xml:space="preserve">communication is without merit. The decision of the Administrative Court of 9 June 2010 </w:t>
      </w:r>
      <w:r w:rsidR="00DD68D4">
        <w:t>dismissed the complaint</w:t>
      </w:r>
      <w:r w:rsidR="009D2BC8">
        <w:t xml:space="preserve"> in accordance with article 146 (1) of the Civil Proceedings Act because the author resided abroad and had failed to appoint an attorney to receive </w:t>
      </w:r>
      <w:r w:rsidR="000C4E44">
        <w:t>documents</w:t>
      </w:r>
      <w:r w:rsidR="002E75BA">
        <w:t>.</w:t>
      </w:r>
      <w:r w:rsidR="009D2BC8">
        <w:t xml:space="preserve"> </w:t>
      </w:r>
      <w:r w:rsidR="00DD68D4">
        <w:t xml:space="preserve">This decision complied with an interpretative decision adopted at a meeting of the judges of the Administrative Court on 10 December 2007. </w:t>
      </w:r>
      <w:r w:rsidR="000023BD">
        <w:t>Until November 2010, t</w:t>
      </w:r>
      <w:r w:rsidR="009D2BC8">
        <w:t xml:space="preserve">he Court </w:t>
      </w:r>
      <w:r w:rsidR="000023BD">
        <w:t>took t</w:t>
      </w:r>
      <w:r w:rsidR="009D2BC8">
        <w:t xml:space="preserve">his same position in all </w:t>
      </w:r>
      <w:r w:rsidR="000023BD">
        <w:t xml:space="preserve">cases </w:t>
      </w:r>
      <w:r w:rsidR="009D2BC8">
        <w:t xml:space="preserve">involving plaintiffs who resided abroad and </w:t>
      </w:r>
      <w:r w:rsidR="000023BD">
        <w:t xml:space="preserve">who </w:t>
      </w:r>
      <w:r w:rsidR="009D2BC8">
        <w:t xml:space="preserve">had failed to appoint attorneys to receive </w:t>
      </w:r>
      <w:r w:rsidR="000C4E44">
        <w:t>documents in Croatia</w:t>
      </w:r>
      <w:r w:rsidR="009D2BC8">
        <w:t xml:space="preserve">. Thus, the decision </w:t>
      </w:r>
      <w:r w:rsidR="00BF7CE8">
        <w:t xml:space="preserve">of the Administrative Court </w:t>
      </w:r>
      <w:r w:rsidR="009D2BC8">
        <w:t xml:space="preserve">was not affected by the author’s nationality. </w:t>
      </w:r>
      <w:r w:rsidR="00246AB1">
        <w:t xml:space="preserve">The author’s claims under articles 14 (1) and 17 are therefore </w:t>
      </w:r>
      <w:r w:rsidR="002A45EC">
        <w:t>baseless</w:t>
      </w:r>
      <w:r w:rsidR="00246AB1">
        <w:t xml:space="preserve">. </w:t>
      </w:r>
      <w:r w:rsidR="00D172D6">
        <w:t xml:space="preserve">As of November 2010, the Court’s practice changed due to a ruling of the Constitutional Court </w:t>
      </w:r>
      <w:r w:rsidR="007F13FD">
        <w:t xml:space="preserve">which found </w:t>
      </w:r>
      <w:r w:rsidR="00D172D6">
        <w:t xml:space="preserve">that the dismissal of cases in such circumstances </w:t>
      </w:r>
      <w:r w:rsidR="002E75BA">
        <w:t>disproportionately restricted</w:t>
      </w:r>
      <w:r w:rsidR="00D172D6">
        <w:t xml:space="preserve"> access to a court and a fair trial. </w:t>
      </w:r>
      <w:r w:rsidR="008906C1">
        <w:t>Thus, in retrial proceedings, plaintiffs have been able to have the Administrative Court reassess the grounds of their complaints and the lawfulness of the disputed decisions.</w:t>
      </w:r>
      <w:r w:rsidR="00E51FF0">
        <w:t xml:space="preserve"> The State party provides a copy of a decision </w:t>
      </w:r>
      <w:r w:rsidR="004350E1">
        <w:t>in which the Constitutional Court determined</w:t>
      </w:r>
      <w:r w:rsidR="00E51FF0">
        <w:t xml:space="preserve"> that the constitutional right of </w:t>
      </w:r>
      <w:r w:rsidR="00612A0B">
        <w:t xml:space="preserve">a national </w:t>
      </w:r>
      <w:r w:rsidR="00E80F44">
        <w:t xml:space="preserve">of Bosnia and Herzegovina </w:t>
      </w:r>
      <w:r w:rsidR="00E51FF0">
        <w:t>to access a court and benefit from a fair trial had been denied when the Administrative Court deemed that he was required to have an attorney present in Croatia for service of documents.</w:t>
      </w:r>
      <w:r w:rsidR="008906C1">
        <w:t xml:space="preserve"> </w:t>
      </w:r>
      <w:r w:rsidR="006E6BED">
        <w:t xml:space="preserve">The decision </w:t>
      </w:r>
      <w:r w:rsidR="00771337">
        <w:t xml:space="preserve">of the Constitutional Court </w:t>
      </w:r>
      <w:r w:rsidR="006E6BED">
        <w:t xml:space="preserve">is dated 3 November 2010. </w:t>
      </w:r>
      <w:r w:rsidR="00E51FF0">
        <w:t>In contrast</w:t>
      </w:r>
      <w:r w:rsidR="00DA0212">
        <w:t>, the author</w:t>
      </w:r>
      <w:r w:rsidR="00E26822">
        <w:t xml:space="preserve"> of the present communication</w:t>
      </w:r>
      <w:r w:rsidR="00DA0212">
        <w:t xml:space="preserve"> has not file</w:t>
      </w:r>
      <w:r w:rsidR="00AD3F1B">
        <w:t xml:space="preserve">d a constitutional complaint </w:t>
      </w:r>
      <w:r w:rsidR="004659EE">
        <w:t>to challenge</w:t>
      </w:r>
      <w:r w:rsidR="00DA0212">
        <w:t xml:space="preserve"> the </w:t>
      </w:r>
      <w:r w:rsidR="004A1783">
        <w:t xml:space="preserve">decision of the </w:t>
      </w:r>
      <w:r w:rsidR="00DA0212">
        <w:t>Administrative C</w:t>
      </w:r>
      <w:r w:rsidR="00AC2075">
        <w:t xml:space="preserve">ourt </w:t>
      </w:r>
      <w:r w:rsidR="004A1783">
        <w:t xml:space="preserve">dated </w:t>
      </w:r>
      <w:r w:rsidR="00AC2075">
        <w:t>9 June 2010. The author</w:t>
      </w:r>
      <w:r w:rsidR="00DA0212">
        <w:t xml:space="preserve"> would have sound grounds to expect a positive outcome, based on the aforementioned </w:t>
      </w:r>
      <w:r w:rsidR="00423968">
        <w:t>change in practice of the Constitutional Court</w:t>
      </w:r>
      <w:r w:rsidR="00DA0212">
        <w:t xml:space="preserve">. </w:t>
      </w:r>
      <w:r w:rsidR="00AD3F1B">
        <w:t>The author’s</w:t>
      </w:r>
      <w:r w:rsidR="00272CA5">
        <w:t xml:space="preserve"> failure to utilize this domestic remedy should not be interpreted to the detriment of the State party.</w:t>
      </w:r>
    </w:p>
    <w:p w:rsidR="00BD1F4E" w:rsidRPr="00BD1F4E" w:rsidRDefault="00863BE2" w:rsidP="00863BE2">
      <w:pPr>
        <w:pStyle w:val="H23G"/>
      </w:pPr>
      <w:r>
        <w:tab/>
      </w:r>
      <w:r>
        <w:tab/>
      </w:r>
      <w:r w:rsidR="00BD1F4E" w:rsidRPr="00BD1F4E">
        <w:t>A</w:t>
      </w:r>
      <w:r w:rsidR="0096693E">
        <w:t>uthor’s comments</w:t>
      </w:r>
      <w:r w:rsidR="00B86063">
        <w:t xml:space="preserve"> on the </w:t>
      </w:r>
      <w:r w:rsidR="00D1319D">
        <w:t xml:space="preserve">State party’s observations on </w:t>
      </w:r>
      <w:r w:rsidR="00B86063">
        <w:t xml:space="preserve">admissibility and </w:t>
      </w:r>
      <w:r w:rsidR="00D1319D">
        <w:t xml:space="preserve">the </w:t>
      </w:r>
      <w:r w:rsidR="00B86063">
        <w:t>merits</w:t>
      </w:r>
    </w:p>
    <w:p w:rsidR="00EB1349" w:rsidRPr="00B1017E" w:rsidRDefault="00BD1F4E" w:rsidP="006B7008">
      <w:pPr>
        <w:pStyle w:val="SingleTxtG"/>
      </w:pPr>
      <w:r>
        <w:t>5.</w:t>
      </w:r>
      <w:r>
        <w:tab/>
        <w:t>In comments dated</w:t>
      </w:r>
      <w:r w:rsidRPr="00BD1F4E">
        <w:rPr>
          <w:rFonts w:eastAsiaTheme="minorHAnsi"/>
          <w:sz w:val="22"/>
          <w:szCs w:val="22"/>
        </w:rPr>
        <w:t xml:space="preserve"> </w:t>
      </w:r>
      <w:r w:rsidR="00785C2F">
        <w:t xml:space="preserve">17 October 2015, the author </w:t>
      </w:r>
      <w:r w:rsidR="0096693E">
        <w:t xml:space="preserve">states that he has nothing to add, but </w:t>
      </w:r>
      <w:r w:rsidR="00580ED1">
        <w:t xml:space="preserve">emphasizes that he considers Croatia to be his homeland, as he was born and raised there. </w:t>
      </w:r>
      <w:r w:rsidR="00B61504">
        <w:t>Out</w:t>
      </w:r>
      <w:r w:rsidR="00580ED1">
        <w:t xml:space="preserve"> of respect and appreciation for the country, he </w:t>
      </w:r>
      <w:r w:rsidR="0096693E">
        <w:t xml:space="preserve">invested a </w:t>
      </w:r>
      <w:r w:rsidR="00580ED1">
        <w:t>large</w:t>
      </w:r>
      <w:r w:rsidR="0096693E">
        <w:t xml:space="preserve"> amount of money in </w:t>
      </w:r>
      <w:r w:rsidR="00580ED1">
        <w:t xml:space="preserve">constructing </w:t>
      </w:r>
      <w:r w:rsidR="00835F35">
        <w:t>a 545 square metre</w:t>
      </w:r>
      <w:r w:rsidR="0096693E">
        <w:t xml:space="preserve"> house on Murter Island in 1986. The State party recognizes the damage that was done to this property in 1992.</w:t>
      </w:r>
      <w:r w:rsidR="00835F35">
        <w:t xml:space="preserve"> Records of the damage are kept in a police station in either Tisno or </w:t>
      </w:r>
      <w:r w:rsidR="00FD59AD">
        <w:rPr>
          <w:lang w:val="en-US"/>
        </w:rPr>
        <w:t>Š</w:t>
      </w:r>
      <w:r w:rsidR="00FD59AD" w:rsidRPr="004F79F1">
        <w:rPr>
          <w:lang w:val="en-US"/>
        </w:rPr>
        <w:t>ibenik</w:t>
      </w:r>
      <w:r w:rsidR="00835F35">
        <w:t xml:space="preserve">. All usable parts of the house, including roof tiles, roof </w:t>
      </w:r>
      <w:r w:rsidR="00CD0242">
        <w:t>structures;</w:t>
      </w:r>
      <w:r w:rsidR="00835F35">
        <w:t xml:space="preserve"> windows, doors, and the furniture were </w:t>
      </w:r>
      <w:r w:rsidR="00281D75">
        <w:t>disassembled</w:t>
      </w:r>
      <w:r w:rsidR="00835F35">
        <w:t xml:space="preserve"> before the house was destroyed. There was no combat on Murter Island during the war. As a retired professor and scientist, the author does not have the financial means to hire lawyers in either Serbia or Croatia. The author is willing to enter into an agreement and compromise with the State party.</w:t>
      </w:r>
      <w:r w:rsidR="00CD0242">
        <w:t xml:space="preserve"> </w:t>
      </w:r>
    </w:p>
    <w:p w:rsidR="008F1F18" w:rsidRPr="008F1F18" w:rsidRDefault="00863BE2" w:rsidP="00863BE2">
      <w:pPr>
        <w:pStyle w:val="H23G"/>
      </w:pPr>
      <w:r>
        <w:tab/>
      </w:r>
      <w:r>
        <w:tab/>
      </w:r>
      <w:r w:rsidR="008F1F18" w:rsidRPr="008F1F18">
        <w:t>Issues and proceedings before the Committee</w:t>
      </w:r>
    </w:p>
    <w:p w:rsidR="00280481" w:rsidRPr="009404B8" w:rsidRDefault="00280481" w:rsidP="00280481">
      <w:pPr>
        <w:pStyle w:val="H4G"/>
      </w:pPr>
      <w:r>
        <w:tab/>
      </w:r>
      <w:r>
        <w:tab/>
      </w:r>
      <w:r w:rsidRPr="009404B8">
        <w:t>Consideration of admissibility</w:t>
      </w:r>
    </w:p>
    <w:p w:rsidR="001B59C9" w:rsidRDefault="00A66D1E" w:rsidP="001B59C9">
      <w:pPr>
        <w:pStyle w:val="SingleTxtG"/>
      </w:pPr>
      <w:r>
        <w:t>6</w:t>
      </w:r>
      <w:r w:rsidR="00280481" w:rsidRPr="009404B8">
        <w:t>.1</w:t>
      </w:r>
      <w:r w:rsidR="00280481" w:rsidRPr="009404B8">
        <w:tab/>
      </w:r>
      <w:r w:rsidR="001B59C9" w:rsidRPr="001103BA">
        <w:t>Before considering any claim contained in a communication, the Committee must decide, in accordance with rule 9</w:t>
      </w:r>
      <w:r w:rsidR="00696F42">
        <w:t>7</w:t>
      </w:r>
      <w:r w:rsidR="001B59C9" w:rsidRPr="001103BA">
        <w:t xml:space="preserve"> of its rules of procedure, whether the communication is admissible under the Optional Protocol.</w:t>
      </w:r>
    </w:p>
    <w:p w:rsidR="001B59C9" w:rsidRDefault="00A66D1E" w:rsidP="001B59C9">
      <w:pPr>
        <w:pStyle w:val="SingleTxtG"/>
      </w:pPr>
      <w:r>
        <w:t>6</w:t>
      </w:r>
      <w:r w:rsidR="001B59C9">
        <w:t>.2</w:t>
      </w:r>
      <w:r w:rsidR="001B59C9">
        <w:tab/>
      </w:r>
      <w:r w:rsidR="001B59C9" w:rsidRPr="005909D1">
        <w:t xml:space="preserve">The Committee has ascertained, </w:t>
      </w:r>
      <w:r w:rsidR="001B59C9" w:rsidRPr="00CB48AB">
        <w:t>as required under article 5 (2)</w:t>
      </w:r>
      <w:r w:rsidR="001B59C9">
        <w:t xml:space="preserve"> </w:t>
      </w:r>
      <w:r w:rsidR="001B59C9" w:rsidRPr="00CB48AB">
        <w:t>(a) of the Optional Protocol, that the same matter</w:t>
      </w:r>
      <w:r w:rsidR="0077415C">
        <w:t xml:space="preserve"> has not been examined and</w:t>
      </w:r>
      <w:r w:rsidR="001B59C9" w:rsidRPr="00CB48AB">
        <w:t xml:space="preserve"> is not </w:t>
      </w:r>
      <w:r w:rsidR="0077415C">
        <w:t xml:space="preserve">currently </w:t>
      </w:r>
      <w:r w:rsidR="001B59C9" w:rsidRPr="00CB48AB">
        <w:t xml:space="preserve">being examined </w:t>
      </w:r>
      <w:r w:rsidR="00445C0D">
        <w:t>under</w:t>
      </w:r>
      <w:r w:rsidR="001B59C9" w:rsidRPr="00CB48AB">
        <w:t xml:space="preserve"> another procedure</w:t>
      </w:r>
      <w:r w:rsidR="001B59C9" w:rsidRPr="005909D1">
        <w:t xml:space="preserve"> of international investigation or settlement</w:t>
      </w:r>
      <w:r w:rsidR="001B59C9" w:rsidRPr="00683A64">
        <w:t>.</w:t>
      </w:r>
    </w:p>
    <w:p w:rsidR="00F6315F" w:rsidRDefault="00B858F2" w:rsidP="00F6315F">
      <w:pPr>
        <w:pStyle w:val="SingleTxtG"/>
      </w:pPr>
      <w:r>
        <w:t>6.3</w:t>
      </w:r>
      <w:r>
        <w:tab/>
        <w:t xml:space="preserve">The Committee takes note of the State party’s argument that the communication is inadmissible </w:t>
      </w:r>
      <w:r w:rsidRPr="00FE33D9">
        <w:rPr>
          <w:i/>
        </w:rPr>
        <w:t>ratione temporis</w:t>
      </w:r>
      <w:r>
        <w:t xml:space="preserve">. The Committee observes that when acceding to the Optional Protocol, the State party made the following declaration: “The Republic of Croatia interprets article 1 of this Protocol </w:t>
      </w:r>
      <w:r w:rsidRPr="002F2077">
        <w:t>as giving the Committee the competence to receive and consider communications from individuals subject to the jurisdiction of the Republic of Croatia who</w:t>
      </w:r>
      <w:r>
        <w:t xml:space="preserve"> claim to be victims of a violation by the Republic of any rights set forth in the Covenant which results either from acts, omissions or events occurring after the date on which the Protocol entered into force for the Republic of Croatia.” The Committee notes that the author’s property was destroyed in 1992, before the Optional Protocol entered into force for the State party on 12 January 1996. </w:t>
      </w:r>
      <w:r w:rsidRPr="001E2A18">
        <w:t xml:space="preserve">Thus, </w:t>
      </w:r>
      <w:r>
        <w:t xml:space="preserve">while the Committee is concerned by the author’s allegations concerning the discriminatory motives behind the destruction of his property, it is barred </w:t>
      </w:r>
      <w:r w:rsidRPr="006839C9">
        <w:rPr>
          <w:i/>
        </w:rPr>
        <w:t>ratione temporis</w:t>
      </w:r>
      <w:r>
        <w:t xml:space="preserve"> from examining claims surrounding this act in 1992. These claims are therefore </w:t>
      </w:r>
      <w:r w:rsidRPr="006F578E">
        <w:t>inadmissible under article 1 of the Optional Protocol.</w:t>
      </w:r>
      <w:r w:rsidR="00CD0242" w:rsidRPr="006F578E">
        <w:t xml:space="preserve"> </w:t>
      </w:r>
      <w:r w:rsidR="00F6315F">
        <w:t>On the other hand, the Committee notes the author’s claim under article 14 (1), read in conjunction with article 2 (1) of the Covenant</w:t>
      </w:r>
      <w:r w:rsidR="005C4ACE">
        <w:t xml:space="preserve"> and his implied claim under article 26 of the Covenant</w:t>
      </w:r>
      <w:r w:rsidR="00F6315F">
        <w:t xml:space="preserve">, that his application for reconstruction and compensation for the damaged property was unfairly denied. The Committee observes that Croatian law established the possibility to obtain, under certain circumstances, reconstruction and compensation for damaged property, and that the author initiated such proceedings </w:t>
      </w:r>
      <w:r w:rsidR="000120CF">
        <w:t>several years</w:t>
      </w:r>
      <w:r w:rsidR="00F6315F">
        <w:t xml:space="preserve"> </w:t>
      </w:r>
      <w:r w:rsidR="00F6315F" w:rsidRPr="00022514">
        <w:t>after the entry into force of</w:t>
      </w:r>
      <w:r w:rsidR="00F6315F">
        <w:t xml:space="preserve"> the Optional Protocol. Accordingly, the Committee considers that </w:t>
      </w:r>
      <w:r w:rsidR="00F6315F" w:rsidRPr="001E2A18">
        <w:t xml:space="preserve">it is not </w:t>
      </w:r>
      <w:r w:rsidR="00F6315F">
        <w:t>precluded</w:t>
      </w:r>
      <w:r w:rsidR="00F6315F" w:rsidRPr="001E2A18">
        <w:t xml:space="preserve"> </w:t>
      </w:r>
      <w:r w:rsidR="00F6315F" w:rsidRPr="001E2A18">
        <w:rPr>
          <w:i/>
        </w:rPr>
        <w:t xml:space="preserve">ratione temporis </w:t>
      </w:r>
      <w:r w:rsidR="00F6315F" w:rsidRPr="001E2A18">
        <w:t xml:space="preserve">from examining </w:t>
      </w:r>
      <w:r w:rsidR="00F6315F">
        <w:t xml:space="preserve">this aspect of the communication. </w:t>
      </w:r>
    </w:p>
    <w:p w:rsidR="00810AFF" w:rsidRDefault="00810AFF" w:rsidP="00810AFF">
      <w:pPr>
        <w:pStyle w:val="SingleTxtG"/>
      </w:pPr>
      <w:r w:rsidRPr="006F578E">
        <w:t>6.4</w:t>
      </w:r>
      <w:r w:rsidRPr="006F578E">
        <w:tab/>
      </w:r>
      <w:r w:rsidR="00C36C32">
        <w:t xml:space="preserve">To the extent that the author claims that the State party violated his rights under the Covenant by destroying his property and failing to compensate him for the loss, </w:t>
      </w:r>
      <w:r w:rsidRPr="006F578E">
        <w:t>the Committee recalls that the Covenant does not protect the right to property,</w:t>
      </w:r>
      <w:r w:rsidRPr="006F578E">
        <w:rPr>
          <w:rStyle w:val="FootnoteReference"/>
        </w:rPr>
        <w:footnoteReference w:id="6"/>
      </w:r>
      <w:r w:rsidRPr="006F578E">
        <w:t xml:space="preserve"> or establish an autonomous right to compensation.</w:t>
      </w:r>
      <w:r w:rsidRPr="006F578E">
        <w:rPr>
          <w:rStyle w:val="FootnoteReference"/>
        </w:rPr>
        <w:footnoteReference w:id="7"/>
      </w:r>
      <w:r w:rsidRPr="006F578E">
        <w:t xml:space="preserve"> Regarding the author’s claims under articles 2 (1), 2 (3) (a) and 5 (1) of the Covenant, the Committee recalls that articles 2 and 5 set forth general obligations for States parties and cannot give rise, when invoked separately, to a claim in a communication under the Optional Protocol.</w:t>
      </w:r>
      <w:r w:rsidRPr="006F578E">
        <w:rPr>
          <w:rStyle w:val="FootnoteReference"/>
        </w:rPr>
        <w:footnoteReference w:id="8"/>
      </w:r>
      <w:r w:rsidRPr="006F578E">
        <w:t xml:space="preserve"> Accordingly, the Committee declares these claims inadmissible </w:t>
      </w:r>
      <w:r w:rsidRPr="006F578E">
        <w:rPr>
          <w:i/>
        </w:rPr>
        <w:t>ratione materiae</w:t>
      </w:r>
      <w:r w:rsidRPr="006F578E">
        <w:t>, pursuant to article 3 of the Optional Protocol.</w:t>
      </w:r>
    </w:p>
    <w:p w:rsidR="00364507" w:rsidRDefault="00D0227E" w:rsidP="00364507">
      <w:pPr>
        <w:pStyle w:val="SingleTxtG"/>
      </w:pPr>
      <w:r w:rsidRPr="00364507">
        <w:t>6.</w:t>
      </w:r>
      <w:r w:rsidR="00032A75" w:rsidRPr="00364507">
        <w:t>5</w:t>
      </w:r>
      <w:r w:rsidRPr="00364507">
        <w:tab/>
        <w:t>The Committee notes the State party’s position that the author did not exhaust domestic remedies</w:t>
      </w:r>
      <w:r>
        <w:t>, as required by article 5 (2</w:t>
      </w:r>
      <w:r w:rsidR="00491576">
        <w:t xml:space="preserve">) (b) of the Optional Protocol, with respect to his </w:t>
      </w:r>
      <w:r w:rsidR="00364507">
        <w:t>claim that he was wrongly denied access to public information</w:t>
      </w:r>
      <w:r w:rsidR="00491576">
        <w:t>. The Committee notes the author’s claim that he was unable to access t</w:t>
      </w:r>
      <w:r w:rsidR="00364507">
        <w:t xml:space="preserve">he </w:t>
      </w:r>
      <w:r w:rsidR="00491576">
        <w:t xml:space="preserve">results of the </w:t>
      </w:r>
      <w:r w:rsidR="00364507">
        <w:t xml:space="preserve">survey carried out by the Commission for Inventory and Assessment of War Damage. However, the Committee notes the State party’s </w:t>
      </w:r>
      <w:r w:rsidR="00364507" w:rsidRPr="00894ED8">
        <w:t>uncontested</w:t>
      </w:r>
      <w:r w:rsidR="00364507">
        <w:t xml:space="preserve"> observation that during the reconstruction request proceedings, the author did not file a request to access the survey under the Law on the Right to Access Information. Accordingly, the Committee considers that this claim is inadmissible under article 5 (2) (b) of the Optional Protocol.</w:t>
      </w:r>
    </w:p>
    <w:p w:rsidR="00364507" w:rsidRDefault="00364507" w:rsidP="00847BA3">
      <w:pPr>
        <w:pStyle w:val="SingleTxtG"/>
        <w:rPr>
          <w:bCs/>
          <w:iCs/>
          <w:lang w:val="x-none"/>
        </w:rPr>
      </w:pPr>
      <w:r>
        <w:t>6.6</w:t>
      </w:r>
      <w:r>
        <w:tab/>
        <w:t xml:space="preserve">The Committee </w:t>
      </w:r>
      <w:r w:rsidR="00A157C8">
        <w:t xml:space="preserve">further </w:t>
      </w:r>
      <w:r>
        <w:t xml:space="preserve">notes the State party’s argument that the author did not exhaust domestic remedies </w:t>
      </w:r>
      <w:r w:rsidR="00602FD2">
        <w:t xml:space="preserve">because he did not lodge a complaint before the Constitutional Court against the decision of the Administrative Court dated 9 June 2010. </w:t>
      </w:r>
      <w:r w:rsidR="00847BA3">
        <w:t xml:space="preserve">This decision concerned the author’s application for compensation and the right to reconstruction of </w:t>
      </w:r>
      <w:r w:rsidR="008454F5">
        <w:t>the property</w:t>
      </w:r>
      <w:r w:rsidR="00847BA3">
        <w:t xml:space="preserve">. </w:t>
      </w:r>
      <w:r w:rsidR="00D507B3">
        <w:rPr>
          <w:bCs/>
          <w:iCs/>
          <w:lang w:val="en-US"/>
        </w:rPr>
        <w:t xml:space="preserve">The Committee also notes the author’s claim </w:t>
      </w:r>
      <w:r w:rsidR="00D507B3">
        <w:rPr>
          <w:bCs/>
          <w:iCs/>
          <w:lang w:val="en-CA"/>
        </w:rPr>
        <w:t xml:space="preserve">that a complaint to the Constitutional Court is an ineffective remedy, because </w:t>
      </w:r>
      <w:r w:rsidR="00D507B3">
        <w:t xml:space="preserve">the Constitutional Court has rejected all requests for compensation for property and does not protect the rights to, </w:t>
      </w:r>
      <w:r w:rsidR="00D507B3" w:rsidRPr="00364507">
        <w:rPr>
          <w:i/>
        </w:rPr>
        <w:t>inter alia</w:t>
      </w:r>
      <w:r w:rsidR="00D507B3">
        <w:t>, a fair hearing and an effective remedy</w:t>
      </w:r>
      <w:r w:rsidR="00D507B3">
        <w:rPr>
          <w:lang w:val="en-US"/>
        </w:rPr>
        <w:t xml:space="preserve">. </w:t>
      </w:r>
      <w:r w:rsidR="00602FD2" w:rsidRPr="00F35C59">
        <w:rPr>
          <w:bCs/>
          <w:iCs/>
          <w:lang w:val="x-none"/>
        </w:rPr>
        <w:t>The Committee</w:t>
      </w:r>
      <w:r w:rsidR="00602FD2">
        <w:rPr>
          <w:bCs/>
          <w:iCs/>
          <w:lang w:val="x-none"/>
        </w:rPr>
        <w:t xml:space="preserve"> recalls its jurisprudence </w:t>
      </w:r>
      <w:r w:rsidR="004D7AA0">
        <w:rPr>
          <w:bCs/>
          <w:iCs/>
          <w:lang w:val="en-US"/>
        </w:rPr>
        <w:t xml:space="preserve">indicating </w:t>
      </w:r>
      <w:r w:rsidR="00602FD2">
        <w:rPr>
          <w:bCs/>
          <w:iCs/>
          <w:lang w:val="x-none"/>
        </w:rPr>
        <w:t>that</w:t>
      </w:r>
      <w:r w:rsidR="00602FD2" w:rsidRPr="00F35C59">
        <w:rPr>
          <w:bCs/>
          <w:iCs/>
          <w:lang w:val="x-none"/>
        </w:rPr>
        <w:t xml:space="preserve"> although there is no obligation to exhaust domestic remedies if they have no chance of being successful, authors of communications must exercise due diligence in the pursuit of available remedies and that mere doubts or assumptions about their effectiveness do not absolve the authors from exhausting them.</w:t>
      </w:r>
      <w:r w:rsidR="00602FD2" w:rsidRPr="00F35C59">
        <w:rPr>
          <w:bCs/>
          <w:iCs/>
          <w:vertAlign w:val="superscript"/>
          <w:lang w:val="x-none"/>
        </w:rPr>
        <w:footnoteReference w:id="9"/>
      </w:r>
      <w:r w:rsidR="00602FD2" w:rsidRPr="00F35C59">
        <w:rPr>
          <w:bCs/>
          <w:iCs/>
          <w:lang w:val="x-none"/>
        </w:rPr>
        <w:t xml:space="preserve"> </w:t>
      </w:r>
      <w:r w:rsidR="00C65C5F" w:rsidRPr="009404B8">
        <w:t>The Committee also</w:t>
      </w:r>
      <w:r w:rsidR="00C65C5F">
        <w:t xml:space="preserve"> recalls its jurisprudence that</w:t>
      </w:r>
      <w:r w:rsidR="00C65C5F" w:rsidRPr="009404B8">
        <w:t xml:space="preserve"> when the highest domestic court has ruled on the matter in dispute in a manner eliminating any prospect that a remedy before domestic courts may succeed, authors are not obliged to exhaust domestic remedies for the purposes of the Optional Protocol.</w:t>
      </w:r>
      <w:r w:rsidR="00C65C5F" w:rsidRPr="00FA3EBA">
        <w:rPr>
          <w:rStyle w:val="FootnoteReference"/>
        </w:rPr>
        <w:footnoteReference w:id="10"/>
      </w:r>
    </w:p>
    <w:p w:rsidR="00602FD2" w:rsidRDefault="00364507" w:rsidP="00847BA3">
      <w:pPr>
        <w:pStyle w:val="SingleTxtG"/>
      </w:pPr>
      <w:r>
        <w:rPr>
          <w:bCs/>
          <w:iCs/>
          <w:lang w:val="en-US"/>
        </w:rPr>
        <w:t>6.7</w:t>
      </w:r>
      <w:r>
        <w:rPr>
          <w:bCs/>
          <w:iCs/>
          <w:lang w:val="en-US"/>
        </w:rPr>
        <w:tab/>
      </w:r>
      <w:r>
        <w:rPr>
          <w:lang w:val="en-US"/>
        </w:rPr>
        <w:t xml:space="preserve">In examining whether </w:t>
      </w:r>
      <w:r>
        <w:rPr>
          <w:bCs/>
          <w:iCs/>
          <w:lang w:val="en-CA"/>
        </w:rPr>
        <w:t xml:space="preserve">the </w:t>
      </w:r>
      <w:r w:rsidR="00C66747">
        <w:rPr>
          <w:bCs/>
          <w:iCs/>
          <w:lang w:val="en-CA"/>
        </w:rPr>
        <w:t xml:space="preserve">Constitutional </w:t>
      </w:r>
      <w:r>
        <w:rPr>
          <w:bCs/>
          <w:iCs/>
          <w:lang w:val="en-CA"/>
        </w:rPr>
        <w:t xml:space="preserve">Court would represent an effective remedy to contest the </w:t>
      </w:r>
      <w:r w:rsidRPr="00364507">
        <w:rPr>
          <w:bCs/>
          <w:iCs/>
          <w:lang w:val="en-CA"/>
        </w:rPr>
        <w:t>procedural decision of the Administrative Court</w:t>
      </w:r>
      <w:r w:rsidR="00D228F3">
        <w:rPr>
          <w:bCs/>
          <w:iCs/>
          <w:lang w:val="en-CA"/>
        </w:rPr>
        <w:t xml:space="preserve"> based on </w:t>
      </w:r>
      <w:r w:rsidR="00C51A8E">
        <w:rPr>
          <w:bCs/>
          <w:iCs/>
          <w:lang w:val="en-CA"/>
        </w:rPr>
        <w:t>the author’s lack of an address in Croatia for service of documents</w:t>
      </w:r>
      <w:r>
        <w:rPr>
          <w:bCs/>
          <w:iCs/>
          <w:lang w:val="en-CA"/>
        </w:rPr>
        <w:t>, the</w:t>
      </w:r>
      <w:r w:rsidRPr="00CF0540">
        <w:rPr>
          <w:bCs/>
          <w:iCs/>
          <w:lang w:val="en-CA"/>
        </w:rPr>
        <w:t xml:space="preserve"> </w:t>
      </w:r>
      <w:r>
        <w:rPr>
          <w:bCs/>
          <w:iCs/>
          <w:lang w:val="en-CA"/>
        </w:rPr>
        <w:t xml:space="preserve">Committee </w:t>
      </w:r>
      <w:r w:rsidR="00C51A8E">
        <w:rPr>
          <w:bCs/>
          <w:iCs/>
          <w:lang w:val="en-CA"/>
        </w:rPr>
        <w:t>notes</w:t>
      </w:r>
      <w:r>
        <w:rPr>
          <w:bCs/>
          <w:iCs/>
          <w:lang w:val="en-CA"/>
        </w:rPr>
        <w:t xml:space="preserve"> the State party’s information that domestic law permits individuals to submit complaints to the Constitutional Court concerning, inter alia, decisions by government bodies that allegedly violated the individual’s human rights as guaranteed by </w:t>
      </w:r>
      <w:r w:rsidRPr="00A40102">
        <w:rPr>
          <w:bCs/>
          <w:iCs/>
          <w:lang w:val="en-CA"/>
        </w:rPr>
        <w:t xml:space="preserve">the </w:t>
      </w:r>
      <w:r w:rsidRPr="00035A1B">
        <w:rPr>
          <w:bCs/>
          <w:iCs/>
          <w:lang w:val="en-CA"/>
        </w:rPr>
        <w:t>Constitution</w:t>
      </w:r>
      <w:r w:rsidRPr="00A40102">
        <w:rPr>
          <w:bCs/>
          <w:iCs/>
          <w:lang w:val="en-CA"/>
        </w:rPr>
        <w:t>.</w:t>
      </w:r>
      <w:r w:rsidR="00C51A8E">
        <w:rPr>
          <w:rStyle w:val="FootnoteReference"/>
          <w:bCs/>
          <w:iCs/>
          <w:lang w:val="en-CA"/>
        </w:rPr>
        <w:t xml:space="preserve"> </w:t>
      </w:r>
      <w:r w:rsidR="00A34C0D">
        <w:rPr>
          <w:bCs/>
          <w:iCs/>
          <w:lang w:val="en-CA"/>
        </w:rPr>
        <w:t xml:space="preserve">The Committee notes </w:t>
      </w:r>
      <w:r w:rsidR="00035A1B">
        <w:rPr>
          <w:bCs/>
          <w:iCs/>
          <w:lang w:val="en-CA"/>
        </w:rPr>
        <w:t xml:space="preserve">that </w:t>
      </w:r>
      <w:r w:rsidR="002E2687">
        <w:rPr>
          <w:bCs/>
          <w:iCs/>
          <w:lang w:val="en-CA"/>
        </w:rPr>
        <w:t>the Constitution of Croatia p</w:t>
      </w:r>
      <w:r w:rsidR="00A34C0D">
        <w:rPr>
          <w:bCs/>
          <w:iCs/>
          <w:lang w:val="en-CA"/>
        </w:rPr>
        <w:t xml:space="preserve">rotects the right to a fair determination of rights and obligations before a </w:t>
      </w:r>
      <w:r w:rsidR="00035A1B">
        <w:rPr>
          <w:bCs/>
          <w:iCs/>
          <w:lang w:val="en-CA"/>
        </w:rPr>
        <w:t>legally established, independent and i</w:t>
      </w:r>
      <w:r w:rsidR="005413C6">
        <w:rPr>
          <w:bCs/>
          <w:iCs/>
          <w:lang w:val="en-CA"/>
        </w:rPr>
        <w:t>mpartial court; and the right of all persons to equality before the law</w:t>
      </w:r>
      <w:r w:rsidR="000E1B91">
        <w:rPr>
          <w:bCs/>
          <w:iCs/>
          <w:lang w:val="en-CA"/>
        </w:rPr>
        <w:t>.</w:t>
      </w:r>
      <w:r w:rsidR="002E2687">
        <w:rPr>
          <w:rStyle w:val="FootnoteReference"/>
          <w:bCs/>
          <w:iCs/>
          <w:lang w:val="en-CA"/>
        </w:rPr>
        <w:footnoteReference w:id="11"/>
      </w:r>
      <w:r w:rsidR="005413C6">
        <w:rPr>
          <w:bCs/>
          <w:iCs/>
          <w:lang w:val="en-CA"/>
        </w:rPr>
        <w:t xml:space="preserve"> </w:t>
      </w:r>
      <w:r w:rsidR="00035A1B">
        <w:rPr>
          <w:bCs/>
          <w:iCs/>
          <w:lang w:val="en-CA"/>
        </w:rPr>
        <w:t xml:space="preserve">The Committee also </w:t>
      </w:r>
      <w:r w:rsidR="00602FD2">
        <w:rPr>
          <w:bCs/>
          <w:iCs/>
          <w:lang w:val="en-CA"/>
        </w:rPr>
        <w:t>notes the State party’s uncontested information that as of November 2010, the practice of the Constitutional Court changed due to its ruling in 20</w:t>
      </w:r>
      <w:r w:rsidR="00E65858">
        <w:rPr>
          <w:bCs/>
          <w:iCs/>
          <w:lang w:val="en-CA"/>
        </w:rPr>
        <w:t>10</w:t>
      </w:r>
      <w:r w:rsidR="00602FD2">
        <w:rPr>
          <w:bCs/>
          <w:iCs/>
          <w:lang w:val="en-CA"/>
        </w:rPr>
        <w:t xml:space="preserve"> </w:t>
      </w:r>
      <w:r w:rsidR="005609BE">
        <w:rPr>
          <w:bCs/>
          <w:iCs/>
          <w:lang w:val="en-CA"/>
        </w:rPr>
        <w:t>on</w:t>
      </w:r>
      <w:r w:rsidR="00E65858">
        <w:rPr>
          <w:bCs/>
          <w:iCs/>
          <w:lang w:val="en-CA"/>
        </w:rPr>
        <w:t xml:space="preserve"> the 2008 Administrative Court decision, finding</w:t>
      </w:r>
      <w:r w:rsidR="00602FD2">
        <w:rPr>
          <w:bCs/>
          <w:iCs/>
          <w:lang w:val="en-CA"/>
        </w:rPr>
        <w:t xml:space="preserve"> it unconstitutional to dismiss cases on the ground that no individual had been designated to receive court documents in Croatia. The Committee notes the State party’s information that </w:t>
      </w:r>
      <w:r w:rsidR="00BB7FA3">
        <w:rPr>
          <w:bCs/>
          <w:iCs/>
          <w:lang w:val="en-CA"/>
        </w:rPr>
        <w:t>in its 20</w:t>
      </w:r>
      <w:r w:rsidR="00E65858">
        <w:rPr>
          <w:bCs/>
          <w:iCs/>
          <w:lang w:val="en-CA"/>
        </w:rPr>
        <w:t>10</w:t>
      </w:r>
      <w:r w:rsidR="00BB7FA3">
        <w:rPr>
          <w:bCs/>
          <w:iCs/>
          <w:lang w:val="en-CA"/>
        </w:rPr>
        <w:t xml:space="preserve"> ruling, </w:t>
      </w:r>
      <w:r w:rsidR="00602FD2">
        <w:rPr>
          <w:bCs/>
          <w:iCs/>
          <w:lang w:val="en-CA"/>
        </w:rPr>
        <w:t xml:space="preserve">the Constitutional Court considered </w:t>
      </w:r>
      <w:r w:rsidR="00366428">
        <w:rPr>
          <w:bCs/>
          <w:iCs/>
          <w:lang w:val="en-CA"/>
        </w:rPr>
        <w:t>that this</w:t>
      </w:r>
      <w:r w:rsidR="00602FD2">
        <w:rPr>
          <w:bCs/>
          <w:iCs/>
          <w:lang w:val="en-CA"/>
        </w:rPr>
        <w:t xml:space="preserve"> </w:t>
      </w:r>
      <w:r w:rsidR="005C0E4B">
        <w:rPr>
          <w:bCs/>
          <w:iCs/>
          <w:lang w:val="en-CA"/>
        </w:rPr>
        <w:t>ground for dismissal</w:t>
      </w:r>
      <w:r w:rsidR="00366428">
        <w:rPr>
          <w:bCs/>
          <w:iCs/>
          <w:lang w:val="en-CA"/>
        </w:rPr>
        <w:t xml:space="preserve"> violated</w:t>
      </w:r>
      <w:r w:rsidR="00602FD2">
        <w:rPr>
          <w:bCs/>
          <w:iCs/>
          <w:lang w:val="en-CA"/>
        </w:rPr>
        <w:t xml:space="preserve"> the guarantee of access </w:t>
      </w:r>
      <w:r w:rsidR="00754B09">
        <w:rPr>
          <w:bCs/>
          <w:iCs/>
          <w:lang w:val="en-CA"/>
        </w:rPr>
        <w:t>to a court and to a fair trial.</w:t>
      </w:r>
      <w:r w:rsidR="00602FD2">
        <w:rPr>
          <w:bCs/>
          <w:iCs/>
          <w:lang w:val="en-CA"/>
        </w:rPr>
        <w:t xml:space="preserve"> </w:t>
      </w:r>
      <w:r w:rsidR="00727A78">
        <w:rPr>
          <w:bCs/>
          <w:iCs/>
          <w:lang w:val="en-CA"/>
        </w:rPr>
        <w:t xml:space="preserve">The Committee observes that </w:t>
      </w:r>
      <w:r w:rsidR="00BF13E5">
        <w:rPr>
          <w:bCs/>
          <w:iCs/>
          <w:lang w:val="en-CA"/>
        </w:rPr>
        <w:t>due to the Court’s change in practice following the 20</w:t>
      </w:r>
      <w:r w:rsidR="00E65858">
        <w:rPr>
          <w:bCs/>
          <w:iCs/>
          <w:lang w:val="en-CA"/>
        </w:rPr>
        <w:t>10</w:t>
      </w:r>
      <w:r w:rsidR="00BF13E5">
        <w:rPr>
          <w:bCs/>
          <w:iCs/>
          <w:lang w:val="en-CA"/>
        </w:rPr>
        <w:t xml:space="preserve"> ruling, </w:t>
      </w:r>
      <w:r w:rsidR="00727A78">
        <w:rPr>
          <w:bCs/>
          <w:iCs/>
          <w:lang w:val="en-CA"/>
        </w:rPr>
        <w:t xml:space="preserve">the author would have had </w:t>
      </w:r>
      <w:r w:rsidR="00BF13E5">
        <w:rPr>
          <w:bCs/>
          <w:iCs/>
          <w:lang w:val="en-CA"/>
        </w:rPr>
        <w:t>a reason to expect a positive outcome if he had challenged the</w:t>
      </w:r>
      <w:r w:rsidR="00727A78">
        <w:rPr>
          <w:bCs/>
          <w:iCs/>
          <w:lang w:val="en-CA"/>
        </w:rPr>
        <w:t xml:space="preserve"> decision of the Administrative Court</w:t>
      </w:r>
      <w:r w:rsidR="00E65858">
        <w:rPr>
          <w:bCs/>
          <w:iCs/>
          <w:lang w:val="en-CA"/>
        </w:rPr>
        <w:t xml:space="preserve"> before the Constitutional Court</w:t>
      </w:r>
      <w:r w:rsidR="00727A78">
        <w:rPr>
          <w:bCs/>
          <w:iCs/>
          <w:lang w:val="en-CA"/>
        </w:rPr>
        <w:t xml:space="preserve">. </w:t>
      </w:r>
      <w:r w:rsidR="00602FD2">
        <w:rPr>
          <w:bCs/>
          <w:iCs/>
          <w:lang w:val="en-CA"/>
        </w:rPr>
        <w:t xml:space="preserve">In the light of this information, the Committee considers that the information the author provided does not suffice to establish that the remedy of a complaint before the Constitutional Court to </w:t>
      </w:r>
      <w:r w:rsidR="00602FD2">
        <w:t>challenge</w:t>
      </w:r>
      <w:r w:rsidR="00602FD2" w:rsidRPr="00A8373E">
        <w:t xml:space="preserve"> the</w:t>
      </w:r>
      <w:r w:rsidR="00602FD2">
        <w:t xml:space="preserve"> decision of the Administrative Court</w:t>
      </w:r>
      <w:r w:rsidR="00602FD2">
        <w:rPr>
          <w:bCs/>
          <w:iCs/>
          <w:lang w:val="en-CA"/>
        </w:rPr>
        <w:t xml:space="preserve"> ha</w:t>
      </w:r>
      <w:r w:rsidR="00BF13E5">
        <w:rPr>
          <w:bCs/>
          <w:iCs/>
          <w:lang w:val="en-CA"/>
        </w:rPr>
        <w:t>d</w:t>
      </w:r>
      <w:r w:rsidR="00602FD2">
        <w:rPr>
          <w:bCs/>
          <w:iCs/>
          <w:lang w:val="en-CA"/>
        </w:rPr>
        <w:t xml:space="preserve"> no chance of being successful</w:t>
      </w:r>
      <w:r w:rsidR="00602FD2">
        <w:t xml:space="preserve">. Accordingly, the Committee considers that </w:t>
      </w:r>
      <w:r w:rsidR="00CB6B22">
        <w:t>the author’s claim</w:t>
      </w:r>
      <w:r w:rsidR="001F0F36">
        <w:t xml:space="preserve"> under article</w:t>
      </w:r>
      <w:r w:rsidR="004C6D39">
        <w:t>s</w:t>
      </w:r>
      <w:r w:rsidR="00CE5F6F">
        <w:t xml:space="preserve"> 14 (1)</w:t>
      </w:r>
      <w:r w:rsidR="001F0F36">
        <w:t>, read in conjunction with article 2</w:t>
      </w:r>
      <w:r w:rsidR="00CE5F6F">
        <w:t xml:space="preserve"> of the Covenant</w:t>
      </w:r>
      <w:r w:rsidR="001F0F36">
        <w:t xml:space="preserve">, </w:t>
      </w:r>
      <w:r w:rsidR="004C6D39">
        <w:t xml:space="preserve">and </w:t>
      </w:r>
      <w:r w:rsidR="00CB6B22">
        <w:t xml:space="preserve">his implied claim under article </w:t>
      </w:r>
      <w:r w:rsidR="004C6D39">
        <w:t xml:space="preserve">26 </w:t>
      </w:r>
      <w:r w:rsidR="00CB6B22">
        <w:t xml:space="preserve">of the Covenant, </w:t>
      </w:r>
      <w:r w:rsidR="001F0F36">
        <w:t>are</w:t>
      </w:r>
      <w:r w:rsidR="00602FD2">
        <w:t xml:space="preserve"> inadmissible under article 5 (2) (b) of the Optional Protocol.</w:t>
      </w:r>
    </w:p>
    <w:p w:rsidR="00FE422E" w:rsidRDefault="00847BA3" w:rsidP="007A3B1D">
      <w:pPr>
        <w:pStyle w:val="SingleTxtG"/>
      </w:pPr>
      <w:r>
        <w:t>6.</w:t>
      </w:r>
      <w:r w:rsidR="00E97D1F">
        <w:t>8</w:t>
      </w:r>
      <w:r w:rsidR="00FE422E">
        <w:tab/>
      </w:r>
      <w:r w:rsidR="00AA053B">
        <w:t xml:space="preserve">The Committee </w:t>
      </w:r>
      <w:r w:rsidR="009B0269">
        <w:t xml:space="preserve">also </w:t>
      </w:r>
      <w:r w:rsidR="00AA053B">
        <w:t xml:space="preserve">notes the State party’s argument that the communication is inadmissible because it is insufficiently substantiated. </w:t>
      </w:r>
      <w:r w:rsidR="00FE422E">
        <w:rPr>
          <w:bCs/>
          <w:iCs/>
          <w:lang w:val="en-US"/>
        </w:rPr>
        <w:t>T</w:t>
      </w:r>
      <w:r w:rsidR="00FE422E">
        <w:t>he Committee considers that the author has not provided sufficient information to substantiat</w:t>
      </w:r>
      <w:r w:rsidR="00C66FF2">
        <w:t>e his claim</w:t>
      </w:r>
      <w:r w:rsidR="00576CE2">
        <w:t>s</w:t>
      </w:r>
      <w:r w:rsidR="00C66FF2">
        <w:t xml:space="preserve"> under article 17</w:t>
      </w:r>
      <w:r w:rsidR="00576CE2">
        <w:t>, read alone and in conjunction with articles 2 (1) and 5 (1)</w:t>
      </w:r>
      <w:r w:rsidR="00FE422E">
        <w:t xml:space="preserve"> of the Covenant, and finds th</w:t>
      </w:r>
      <w:r w:rsidR="00576CE2">
        <w:t>e</w:t>
      </w:r>
      <w:r w:rsidR="00FE422E">
        <w:t>s</w:t>
      </w:r>
      <w:r w:rsidR="00576CE2">
        <w:t>e</w:t>
      </w:r>
      <w:r w:rsidR="00FE422E">
        <w:t xml:space="preserve"> claim</w:t>
      </w:r>
      <w:r w:rsidR="00576CE2">
        <w:t>s</w:t>
      </w:r>
      <w:r w:rsidR="00FE422E">
        <w:t xml:space="preserve"> inadmissible under article 2 of the Optional Protocol.</w:t>
      </w:r>
    </w:p>
    <w:p w:rsidR="004D72DE" w:rsidRPr="009404B8" w:rsidRDefault="004D72DE" w:rsidP="00863BE2">
      <w:pPr>
        <w:pStyle w:val="SingleTxtG"/>
        <w:spacing w:line="220" w:lineRule="atLeast"/>
      </w:pPr>
      <w:r>
        <w:t>7</w:t>
      </w:r>
      <w:r w:rsidRPr="009404B8">
        <w:t>.</w:t>
      </w:r>
      <w:r w:rsidRPr="009404B8">
        <w:tab/>
        <w:t>The Committee therefore decides:</w:t>
      </w:r>
    </w:p>
    <w:p w:rsidR="004D72DE" w:rsidRPr="009404B8" w:rsidRDefault="004D72DE" w:rsidP="004D72DE">
      <w:pPr>
        <w:pStyle w:val="SingleTxtG"/>
        <w:spacing w:line="220" w:lineRule="atLeast"/>
      </w:pPr>
      <w:r w:rsidRPr="009404B8">
        <w:tab/>
        <w:t>(a)</w:t>
      </w:r>
      <w:r w:rsidRPr="009404B8">
        <w:tab/>
        <w:t>That the communication is inadmissible under article</w:t>
      </w:r>
      <w:r>
        <w:t xml:space="preserve">s </w:t>
      </w:r>
      <w:r w:rsidR="004D33CA">
        <w:t xml:space="preserve">1, </w:t>
      </w:r>
      <w:r>
        <w:t>2, 3 and</w:t>
      </w:r>
      <w:r w:rsidRPr="009404B8">
        <w:t xml:space="preserve"> 5 (2) (b) of the Optional Protocol;</w:t>
      </w:r>
    </w:p>
    <w:p w:rsidR="00F7330D" w:rsidRDefault="004D72DE" w:rsidP="004D72DE">
      <w:pPr>
        <w:pStyle w:val="SingleTxtG"/>
        <w:spacing w:line="220" w:lineRule="atLeast"/>
      </w:pPr>
      <w:r w:rsidRPr="009404B8">
        <w:tab/>
        <w:t>(b)</w:t>
      </w:r>
      <w:r w:rsidRPr="009404B8">
        <w:tab/>
        <w:t>That the present decision shall be transmitted to the State party and to the author.</w:t>
      </w:r>
      <w:r w:rsidR="00A4512C">
        <w:t xml:space="preserve"> </w:t>
      </w:r>
      <w:r w:rsidR="00BF13E5">
        <w:t xml:space="preserve"> </w:t>
      </w:r>
    </w:p>
    <w:p w:rsidR="00F7330D" w:rsidRPr="00B8625A" w:rsidRDefault="00F7330D" w:rsidP="00B8625A">
      <w:pPr>
        <w:spacing w:before="240"/>
        <w:jc w:val="center"/>
        <w:rPr>
          <w:u w:val="single"/>
        </w:rPr>
      </w:pPr>
      <w:r>
        <w:rPr>
          <w:u w:val="single"/>
        </w:rPr>
        <w:tab/>
      </w:r>
      <w:r>
        <w:rPr>
          <w:u w:val="single"/>
        </w:rPr>
        <w:tab/>
      </w:r>
      <w:r>
        <w:rPr>
          <w:u w:val="single"/>
        </w:rPr>
        <w:tab/>
      </w:r>
    </w:p>
    <w:sectPr w:rsidR="00F7330D" w:rsidRPr="00B8625A" w:rsidSect="00F603F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7A0" w:rsidRPr="00B903E5" w:rsidRDefault="00A047A0" w:rsidP="00B903E5">
      <w:pPr>
        <w:pStyle w:val="Footer"/>
      </w:pPr>
    </w:p>
  </w:endnote>
  <w:endnote w:type="continuationSeparator" w:id="0">
    <w:p w:rsidR="00A047A0" w:rsidRPr="00B903E5" w:rsidRDefault="00A047A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E5" w:rsidRPr="006A31AE" w:rsidRDefault="000F64E5"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4F10AD">
      <w:rPr>
        <w:b/>
        <w:noProof/>
        <w:sz w:val="18"/>
      </w:rPr>
      <w:t>6</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E5" w:rsidRPr="006A31AE" w:rsidRDefault="000F64E5"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4F10AD">
      <w:rPr>
        <w:b/>
        <w:noProof/>
        <w:sz w:val="18"/>
      </w:rPr>
      <w:t>3</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66" w:rsidRDefault="00631066" w:rsidP="00631066">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31066" w:rsidRPr="00631066" w:rsidRDefault="00631066" w:rsidP="00631066">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7/DR/2505/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R/2505/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7A0" w:rsidRPr="00B903E5" w:rsidRDefault="00A047A0" w:rsidP="00B903E5">
      <w:pPr>
        <w:tabs>
          <w:tab w:val="right" w:pos="2155"/>
        </w:tabs>
        <w:spacing w:after="80" w:line="240" w:lineRule="auto"/>
        <w:ind w:left="680"/>
      </w:pPr>
      <w:r>
        <w:rPr>
          <w:u w:val="single"/>
        </w:rPr>
        <w:tab/>
      </w:r>
    </w:p>
  </w:footnote>
  <w:footnote w:type="continuationSeparator" w:id="0">
    <w:p w:rsidR="00A047A0" w:rsidRPr="00B903E5" w:rsidRDefault="00A047A0" w:rsidP="00B903E5">
      <w:pPr>
        <w:tabs>
          <w:tab w:val="right" w:pos="2155"/>
        </w:tabs>
        <w:spacing w:after="80" w:line="240" w:lineRule="auto"/>
        <w:ind w:left="680"/>
      </w:pPr>
      <w:r>
        <w:rPr>
          <w:u w:val="single"/>
        </w:rPr>
        <w:tab/>
      </w:r>
    </w:p>
  </w:footnote>
  <w:footnote w:id="1">
    <w:p w:rsidR="00BF6D26" w:rsidRPr="00DD445A" w:rsidRDefault="00BF6D26" w:rsidP="00BF6D26">
      <w:pPr>
        <w:pStyle w:val="FootnoteText"/>
      </w:pPr>
      <w:r>
        <w:rPr>
          <w:rStyle w:val="FootnoteReference"/>
        </w:rPr>
        <w:tab/>
      </w:r>
      <w:r w:rsidRPr="00945135">
        <w:rPr>
          <w:rStyle w:val="FootnoteReference"/>
          <w:vertAlign w:val="baseline"/>
        </w:rPr>
        <w:t>*</w:t>
      </w:r>
      <w:r>
        <w:rPr>
          <w:rStyle w:val="FootnoteReference"/>
          <w:sz w:val="20"/>
        </w:rPr>
        <w:tab/>
      </w:r>
      <w:r>
        <w:t>Adopted by the Committee at its 127</w:t>
      </w:r>
      <w:r w:rsidRPr="00945135">
        <w:t>th</w:t>
      </w:r>
      <w:r>
        <w:t xml:space="preserve"> session (14 October – 8 November 2019).</w:t>
      </w:r>
    </w:p>
  </w:footnote>
  <w:footnote w:id="2">
    <w:p w:rsidR="00BF6D26" w:rsidRPr="00DD445A" w:rsidRDefault="00BF6D26" w:rsidP="00BF6D26">
      <w:pPr>
        <w:pStyle w:val="FootnoteText"/>
      </w:pPr>
      <w:r w:rsidRPr="005B1F68">
        <w:tab/>
        <w:t>**</w:t>
      </w:r>
      <w:r w:rsidRPr="005B1F68">
        <w:tab/>
        <w:t>The following members of the Committee participated in the examination of the communication: Tania María Abdo Rocholl, Yadh Ben Achour, Ilze Brands Kehris, Arif Bulkan, Ahmed Amin Fathalla, Shuichi Furuya, Christof Heyns, Bamariam Koita,</w:t>
      </w:r>
      <w:r>
        <w:t xml:space="preserve"> Marcia V.J. Kran,</w:t>
      </w:r>
      <w:r w:rsidRPr="005B1F68">
        <w:t xml:space="preserve"> Duncan Laki Muhumuza, </w:t>
      </w:r>
      <w:r>
        <w:t xml:space="preserve">Photini Pazartzis, </w:t>
      </w:r>
      <w:r w:rsidRPr="005B1F68">
        <w:t>Hernán Quezada</w:t>
      </w:r>
      <w:r>
        <w:t xml:space="preserve"> Cabrera</w:t>
      </w:r>
      <w:r w:rsidRPr="005B1F68">
        <w:t>, Vasilka Sancin, José Manuel Santos Pais, Yuval Shany</w:t>
      </w:r>
      <w:r w:rsidR="006A163A">
        <w:t xml:space="preserve"> and</w:t>
      </w:r>
      <w:r w:rsidRPr="005B1F68">
        <w:t xml:space="preserve"> Hélène Tigroudja</w:t>
      </w:r>
      <w:r w:rsidR="006A163A">
        <w:t>.</w:t>
      </w:r>
    </w:p>
  </w:footnote>
  <w:footnote w:id="3">
    <w:p w:rsidR="000F64E5" w:rsidRPr="007F3C6E" w:rsidRDefault="000F64E5" w:rsidP="00CA40EA">
      <w:pPr>
        <w:pStyle w:val="FootnoteText"/>
        <w:tabs>
          <w:tab w:val="clear" w:pos="1021"/>
          <w:tab w:val="right" w:pos="1022"/>
        </w:tabs>
        <w:adjustRightInd w:val="0"/>
        <w:snapToGrid w:val="0"/>
        <w:ind w:left="1138" w:right="1138" w:hanging="1138"/>
        <w:jc w:val="both"/>
        <w:rPr>
          <w:szCs w:val="18"/>
        </w:rPr>
      </w:pPr>
      <w:r w:rsidRPr="007F3C6E">
        <w:rPr>
          <w:szCs w:val="18"/>
        </w:rPr>
        <w:tab/>
      </w:r>
      <w:r w:rsidRPr="007F3C6E">
        <w:rPr>
          <w:rStyle w:val="FootnoteReference"/>
          <w:szCs w:val="18"/>
        </w:rPr>
        <w:footnoteRef/>
      </w:r>
      <w:r w:rsidRPr="007F3C6E">
        <w:rPr>
          <w:szCs w:val="18"/>
        </w:rPr>
        <w:tab/>
        <w:t xml:space="preserve">The author cites an interview with Nikola Visković published in the </w:t>
      </w:r>
      <w:r w:rsidRPr="007F3C6E">
        <w:rPr>
          <w:i/>
          <w:szCs w:val="18"/>
        </w:rPr>
        <w:t>Feral Tribune</w:t>
      </w:r>
      <w:r w:rsidRPr="007F3C6E">
        <w:rPr>
          <w:szCs w:val="18"/>
        </w:rPr>
        <w:t xml:space="preserve"> daily newspaper in Split on 27 May 2005.</w:t>
      </w:r>
    </w:p>
  </w:footnote>
  <w:footnote w:id="4">
    <w:p w:rsidR="000F64E5" w:rsidRPr="007F3C6E" w:rsidRDefault="000F64E5" w:rsidP="00CA40EA">
      <w:pPr>
        <w:pStyle w:val="NoSpacing"/>
        <w:tabs>
          <w:tab w:val="right" w:pos="1022"/>
        </w:tabs>
        <w:adjustRightInd w:val="0"/>
        <w:snapToGrid w:val="0"/>
        <w:spacing w:line="220" w:lineRule="exact"/>
        <w:ind w:left="1138" w:right="1138" w:hanging="1138"/>
        <w:jc w:val="both"/>
        <w:rPr>
          <w:rFonts w:ascii="Times New Roman" w:hAnsi="Times New Roman"/>
          <w:sz w:val="18"/>
          <w:szCs w:val="18"/>
        </w:rPr>
      </w:pPr>
      <w:r w:rsidRPr="007F3C6E">
        <w:rPr>
          <w:rFonts w:ascii="Times New Roman" w:hAnsi="Times New Roman"/>
          <w:sz w:val="18"/>
          <w:szCs w:val="18"/>
        </w:rPr>
        <w:tab/>
      </w:r>
      <w:r w:rsidRPr="007F3C6E">
        <w:rPr>
          <w:rStyle w:val="FootnoteReference"/>
          <w:szCs w:val="18"/>
        </w:rPr>
        <w:footnoteRef/>
      </w:r>
      <w:r w:rsidRPr="007F3C6E">
        <w:rPr>
          <w:rFonts w:ascii="Times New Roman" w:hAnsi="Times New Roman"/>
          <w:sz w:val="18"/>
          <w:szCs w:val="18"/>
        </w:rPr>
        <w:tab/>
        <w:t>The author cites article 2 of National Papers No. 73/95 (27 September 1995) as stating, “As of the date of entering into force of this Law, property located in the previously occupied and now liberated territory of the Republic of Croatia which is abandoned and not personally used by its owners is placed under temporary administration of the Republic of Croatia and put to use in accordance with this Law. As of the date of entering into force of this Law, property located in the territory of the Republic of Croatia which is in the ownership of persons who left the Republic of Croatia after August 17, 1990 or are in the occupied region of the Republic of Croatia and who are on the territory of the “Federal Republic of Yugoslavia (Serbia and Montenegro)” or in the occupied territory of the Republic of Bosnia and Herzegovina and who do not personally use such property since the day of abandoning is placed under temporary administration of the Republic of Croatia and put to use in accordance with this Law. As of the date of entering into force of this Law, property located in the territory of the Republic of Croatia which is in the ownership of the citizens of the ‘Federal Republic of Yugoslavia (Serbia and Montenegro)’ who do not personally use such property is placed under temporary administration of the Republic of Croatia and put to use in accordance with this Law.” [This 1995 law was repealed in 1998.]</w:t>
      </w:r>
    </w:p>
  </w:footnote>
  <w:footnote w:id="5">
    <w:p w:rsidR="000F64E5" w:rsidRPr="007F3C6E" w:rsidRDefault="000F64E5" w:rsidP="00CA40EA">
      <w:pPr>
        <w:pStyle w:val="NoSpacing"/>
        <w:tabs>
          <w:tab w:val="right" w:pos="1022"/>
        </w:tabs>
        <w:adjustRightInd w:val="0"/>
        <w:snapToGrid w:val="0"/>
        <w:spacing w:line="220" w:lineRule="exact"/>
        <w:ind w:left="1138" w:right="1138" w:hanging="1138"/>
        <w:jc w:val="both"/>
        <w:rPr>
          <w:rFonts w:ascii="Times New Roman" w:hAnsi="Times New Roman"/>
          <w:sz w:val="18"/>
          <w:szCs w:val="18"/>
        </w:rPr>
      </w:pPr>
      <w:r w:rsidRPr="007F3C6E">
        <w:rPr>
          <w:rFonts w:ascii="Times New Roman" w:hAnsi="Times New Roman"/>
          <w:sz w:val="18"/>
          <w:szCs w:val="18"/>
        </w:rPr>
        <w:tab/>
      </w:r>
      <w:r w:rsidRPr="007F3C6E">
        <w:rPr>
          <w:rStyle w:val="FootnoteReference"/>
          <w:szCs w:val="18"/>
        </w:rPr>
        <w:footnoteRef/>
      </w:r>
      <w:r w:rsidRPr="007F3C6E">
        <w:rPr>
          <w:rFonts w:ascii="Times New Roman" w:hAnsi="Times New Roman"/>
          <w:sz w:val="18"/>
          <w:szCs w:val="18"/>
        </w:rPr>
        <w:tab/>
        <w:t>The author states that this classificatio</w:t>
      </w:r>
      <w:r w:rsidR="00290A83">
        <w:rPr>
          <w:rFonts w:ascii="Times New Roman" w:hAnsi="Times New Roman"/>
          <w:sz w:val="18"/>
          <w:szCs w:val="18"/>
        </w:rPr>
        <w:t>n of damage</w:t>
      </w:r>
      <w:r w:rsidR="00142BCE">
        <w:rPr>
          <w:rFonts w:ascii="Times New Roman" w:hAnsi="Times New Roman"/>
          <w:sz w:val="18"/>
          <w:szCs w:val="18"/>
        </w:rPr>
        <w:t>s</w:t>
      </w:r>
      <w:r w:rsidR="00290A83">
        <w:rPr>
          <w:rFonts w:ascii="Times New Roman" w:hAnsi="Times New Roman"/>
          <w:sz w:val="18"/>
          <w:szCs w:val="18"/>
        </w:rPr>
        <w:t xml:space="preserve"> was made under the </w:t>
      </w:r>
      <w:r w:rsidRPr="007F3C6E">
        <w:rPr>
          <w:rFonts w:ascii="Times New Roman" w:hAnsi="Times New Roman"/>
          <w:sz w:val="18"/>
          <w:szCs w:val="18"/>
        </w:rPr>
        <w:t xml:space="preserve">Law of the Republic of Croatia on </w:t>
      </w:r>
      <w:r w:rsidR="00290A83">
        <w:rPr>
          <w:rFonts w:ascii="Times New Roman" w:hAnsi="Times New Roman"/>
          <w:sz w:val="18"/>
          <w:szCs w:val="18"/>
        </w:rPr>
        <w:t>the Determination of War Damage</w:t>
      </w:r>
      <w:r w:rsidRPr="007F3C6E">
        <w:rPr>
          <w:rFonts w:ascii="Times New Roman" w:hAnsi="Times New Roman"/>
          <w:sz w:val="18"/>
          <w:szCs w:val="18"/>
        </w:rPr>
        <w:t xml:space="preserve"> (Official Gazette “Narodne novine” No. 61 (19 November 1991), and under </w:t>
      </w:r>
      <w:r w:rsidR="00290A83">
        <w:rPr>
          <w:rFonts w:ascii="Times New Roman" w:hAnsi="Times New Roman"/>
          <w:sz w:val="18"/>
          <w:szCs w:val="18"/>
        </w:rPr>
        <w:t xml:space="preserve">the </w:t>
      </w:r>
      <w:r w:rsidRPr="007F3C6E">
        <w:rPr>
          <w:rFonts w:ascii="Times New Roman" w:hAnsi="Times New Roman"/>
          <w:sz w:val="18"/>
          <w:szCs w:val="18"/>
        </w:rPr>
        <w:t>Instructions of the Ministry of Finance of the Republic of Croatia for the Implementation of the Law on Determination of War Damages (Official Gazette “Narodne novine” No. 54 (7 June 1993).</w:t>
      </w:r>
    </w:p>
  </w:footnote>
  <w:footnote w:id="6">
    <w:p w:rsidR="00810AFF" w:rsidRPr="007F3C6E" w:rsidRDefault="00810AFF" w:rsidP="00CA40EA">
      <w:pPr>
        <w:pStyle w:val="FootnoteText"/>
        <w:jc w:val="both"/>
        <w:rPr>
          <w:szCs w:val="18"/>
          <w:lang w:val="en-US"/>
        </w:rPr>
      </w:pPr>
      <w:r w:rsidRPr="007F3C6E">
        <w:rPr>
          <w:szCs w:val="18"/>
        </w:rPr>
        <w:tab/>
      </w:r>
      <w:r w:rsidRPr="007F3C6E">
        <w:rPr>
          <w:rStyle w:val="FootnoteReference"/>
          <w:szCs w:val="18"/>
        </w:rPr>
        <w:footnoteRef/>
      </w:r>
      <w:r w:rsidRPr="007F3C6E">
        <w:rPr>
          <w:szCs w:val="18"/>
        </w:rPr>
        <w:tab/>
        <w:t xml:space="preserve">See, inter alia, </w:t>
      </w:r>
      <w:r w:rsidRPr="007F3C6E">
        <w:rPr>
          <w:i/>
          <w:szCs w:val="18"/>
        </w:rPr>
        <w:t>T.W. and G.M. v. Slovakia</w:t>
      </w:r>
      <w:r w:rsidRPr="007F3C6E">
        <w:rPr>
          <w:szCs w:val="18"/>
        </w:rPr>
        <w:t xml:space="preserve"> (CCPR/C/110/D/1963/2010), para. 8.2.</w:t>
      </w:r>
    </w:p>
  </w:footnote>
  <w:footnote w:id="7">
    <w:p w:rsidR="00810AFF" w:rsidRPr="007F3C6E" w:rsidRDefault="00810AFF" w:rsidP="00CA40EA">
      <w:pPr>
        <w:pStyle w:val="FootnoteText"/>
        <w:jc w:val="both"/>
        <w:rPr>
          <w:szCs w:val="18"/>
          <w:lang w:val="en-US"/>
        </w:rPr>
      </w:pPr>
      <w:r w:rsidRPr="007F3C6E">
        <w:rPr>
          <w:szCs w:val="18"/>
        </w:rPr>
        <w:tab/>
      </w:r>
      <w:r w:rsidRPr="007F3C6E">
        <w:rPr>
          <w:rStyle w:val="FootnoteReference"/>
          <w:szCs w:val="18"/>
        </w:rPr>
        <w:footnoteRef/>
      </w:r>
      <w:r w:rsidRPr="00276621">
        <w:rPr>
          <w:szCs w:val="18"/>
        </w:rPr>
        <w:tab/>
        <w:t xml:space="preserve">See </w:t>
      </w:r>
      <w:r w:rsidRPr="00276621">
        <w:rPr>
          <w:i/>
          <w:szCs w:val="18"/>
        </w:rPr>
        <w:t>Anton v. Algeria</w:t>
      </w:r>
      <w:r w:rsidRPr="00276621">
        <w:rPr>
          <w:szCs w:val="18"/>
        </w:rPr>
        <w:t xml:space="preserve"> (CCPR/C/88/D/1424/2005), para. </w:t>
      </w:r>
      <w:r w:rsidRPr="007F3C6E">
        <w:rPr>
          <w:szCs w:val="18"/>
        </w:rPr>
        <w:t xml:space="preserve">8.3; </w:t>
      </w:r>
      <w:r w:rsidRPr="007F3C6E">
        <w:rPr>
          <w:i/>
          <w:iCs/>
          <w:szCs w:val="18"/>
        </w:rPr>
        <w:t>E. and A.K. v. Hungary</w:t>
      </w:r>
      <w:r w:rsidRPr="007F3C6E">
        <w:rPr>
          <w:szCs w:val="18"/>
        </w:rPr>
        <w:t xml:space="preserve"> (CCPR/C/50/D/520/1992), para. 6.6; </w:t>
      </w:r>
      <w:r w:rsidRPr="007F3C6E">
        <w:rPr>
          <w:i/>
          <w:szCs w:val="18"/>
        </w:rPr>
        <w:t>S.E. v. Argentina</w:t>
      </w:r>
      <w:r w:rsidRPr="007F3C6E">
        <w:rPr>
          <w:szCs w:val="18"/>
        </w:rPr>
        <w:t xml:space="preserve"> (CCPR/C/WG/36/DR/275/1988).</w:t>
      </w:r>
    </w:p>
  </w:footnote>
  <w:footnote w:id="8">
    <w:p w:rsidR="00810AFF" w:rsidRPr="007F3C6E" w:rsidRDefault="00810AFF" w:rsidP="00CA40EA">
      <w:pPr>
        <w:pStyle w:val="FootnoteText"/>
        <w:jc w:val="both"/>
        <w:rPr>
          <w:szCs w:val="18"/>
          <w:lang w:val="en-US"/>
        </w:rPr>
      </w:pPr>
      <w:r w:rsidRPr="007F3C6E">
        <w:rPr>
          <w:szCs w:val="18"/>
        </w:rPr>
        <w:tab/>
      </w:r>
      <w:r w:rsidRPr="007F3C6E">
        <w:rPr>
          <w:rStyle w:val="FootnoteReference"/>
          <w:szCs w:val="18"/>
        </w:rPr>
        <w:footnoteRef/>
      </w:r>
      <w:r w:rsidRPr="007F3C6E">
        <w:rPr>
          <w:szCs w:val="18"/>
          <w:lang w:val="en-US"/>
        </w:rPr>
        <w:tab/>
      </w:r>
      <w:r w:rsidRPr="007F3C6E">
        <w:rPr>
          <w:szCs w:val="18"/>
        </w:rPr>
        <w:t xml:space="preserve">See, inter alia, </w:t>
      </w:r>
      <w:r w:rsidRPr="007F3C6E">
        <w:rPr>
          <w:i/>
          <w:szCs w:val="18"/>
        </w:rPr>
        <w:t>Manuel Wackenheim v. France</w:t>
      </w:r>
      <w:r w:rsidRPr="007F3C6E">
        <w:rPr>
          <w:szCs w:val="18"/>
        </w:rPr>
        <w:t xml:space="preserve"> (CCPR/C/75/D/854/1999), para. 6.5; </w:t>
      </w:r>
      <w:r w:rsidRPr="007F3C6E">
        <w:rPr>
          <w:i/>
          <w:szCs w:val="18"/>
        </w:rPr>
        <w:t>Kh.B. v. Kyrgyzstan</w:t>
      </w:r>
      <w:r w:rsidRPr="007F3C6E">
        <w:rPr>
          <w:szCs w:val="18"/>
        </w:rPr>
        <w:t xml:space="preserve"> (CCPR/C/120/D/2163/2012), para. 10.4.</w:t>
      </w:r>
    </w:p>
  </w:footnote>
  <w:footnote w:id="9">
    <w:p w:rsidR="00602FD2" w:rsidRPr="00863BE2" w:rsidRDefault="00602FD2" w:rsidP="00CA40EA">
      <w:pPr>
        <w:pStyle w:val="FootnoteText"/>
        <w:jc w:val="both"/>
        <w:rPr>
          <w:szCs w:val="18"/>
          <w:lang w:val="es-ES"/>
        </w:rPr>
      </w:pPr>
      <w:r w:rsidRPr="007F3C6E">
        <w:rPr>
          <w:szCs w:val="18"/>
        </w:rPr>
        <w:tab/>
      </w:r>
      <w:r w:rsidRPr="007F3C6E">
        <w:rPr>
          <w:rStyle w:val="FootnoteReference"/>
          <w:szCs w:val="18"/>
        </w:rPr>
        <w:footnoteRef/>
      </w:r>
      <w:r w:rsidRPr="007F3C6E">
        <w:rPr>
          <w:szCs w:val="18"/>
        </w:rPr>
        <w:tab/>
        <w:t xml:space="preserve">See, inter alia, </w:t>
      </w:r>
      <w:r w:rsidRPr="007F3C6E">
        <w:rPr>
          <w:i/>
          <w:szCs w:val="18"/>
        </w:rPr>
        <w:t>V.S v. New Zealand</w:t>
      </w:r>
      <w:r w:rsidRPr="007F3C6E">
        <w:rPr>
          <w:szCs w:val="18"/>
        </w:rPr>
        <w:t xml:space="preserve"> (CCPR/C/115/D/2072/2011), para. </w:t>
      </w:r>
      <w:r w:rsidRPr="007F3C6E">
        <w:rPr>
          <w:szCs w:val="18"/>
          <w:lang w:val="es-ES"/>
        </w:rPr>
        <w:t xml:space="preserve">6.3, </w:t>
      </w:r>
      <w:r w:rsidRPr="007F3C6E">
        <w:rPr>
          <w:i/>
          <w:szCs w:val="18"/>
          <w:lang w:val="es-ES"/>
        </w:rPr>
        <w:t>García Perea v. Spain</w:t>
      </w:r>
      <w:r w:rsidRPr="007F3C6E">
        <w:rPr>
          <w:szCs w:val="18"/>
          <w:lang w:val="es-ES"/>
        </w:rPr>
        <w:t xml:space="preserve"> (CCPR/C/95/D/1511/2006), para. 6.2; and </w:t>
      </w:r>
      <w:r w:rsidRPr="007F3C6E">
        <w:rPr>
          <w:i/>
          <w:szCs w:val="18"/>
          <w:lang w:val="es-ES"/>
        </w:rPr>
        <w:t>Zsolt Vargay v. Canada</w:t>
      </w:r>
      <w:r w:rsidRPr="007F3C6E">
        <w:rPr>
          <w:szCs w:val="18"/>
          <w:lang w:val="es-ES"/>
        </w:rPr>
        <w:t xml:space="preserve"> (CCPR/C/96/D/1639/2007), para. </w:t>
      </w:r>
      <w:r w:rsidRPr="00863BE2">
        <w:rPr>
          <w:szCs w:val="18"/>
          <w:lang w:val="es-ES"/>
        </w:rPr>
        <w:t>7.3.</w:t>
      </w:r>
    </w:p>
  </w:footnote>
  <w:footnote w:id="10">
    <w:p w:rsidR="00C65C5F" w:rsidRPr="003B691A" w:rsidRDefault="00C65C5F" w:rsidP="00863BE2">
      <w:pPr>
        <w:pStyle w:val="FootnoteText"/>
        <w:rPr>
          <w:szCs w:val="18"/>
        </w:rPr>
      </w:pPr>
      <w:r w:rsidRPr="00863BE2">
        <w:rPr>
          <w:lang w:val="es-ES"/>
        </w:rPr>
        <w:tab/>
      </w:r>
      <w:r w:rsidRPr="00FA3EBA">
        <w:rPr>
          <w:rStyle w:val="FootnoteReference"/>
        </w:rPr>
        <w:footnoteRef/>
      </w:r>
      <w:r w:rsidRPr="00863BE2">
        <w:rPr>
          <w:lang w:val="es-ES"/>
        </w:rPr>
        <w:tab/>
        <w:t xml:space="preserve">See, inter alia, </w:t>
      </w:r>
      <w:r w:rsidR="00904036" w:rsidRPr="00863BE2">
        <w:rPr>
          <w:i/>
          <w:lang w:val="es-ES"/>
        </w:rPr>
        <w:t>S.A. et al. v. Greece</w:t>
      </w:r>
      <w:r w:rsidR="00904036" w:rsidRPr="00863BE2">
        <w:rPr>
          <w:lang w:val="es-ES"/>
        </w:rPr>
        <w:t xml:space="preserve"> (CCPR/C/121/D/2868/2016), para. 6.4</w:t>
      </w:r>
      <w:r w:rsidRPr="00863BE2">
        <w:rPr>
          <w:lang w:val="es-ES"/>
        </w:rPr>
        <w:t xml:space="preserve">; </w:t>
      </w:r>
      <w:r w:rsidRPr="00863BE2">
        <w:rPr>
          <w:szCs w:val="18"/>
          <w:lang w:val="es-ES"/>
        </w:rPr>
        <w:t xml:space="preserve">1095/2002, </w:t>
      </w:r>
      <w:r w:rsidRPr="00863BE2">
        <w:rPr>
          <w:i/>
          <w:szCs w:val="18"/>
          <w:lang w:val="es-ES"/>
        </w:rPr>
        <w:t xml:space="preserve">Gomaríz Valera </w:t>
      </w:r>
      <w:r w:rsidRPr="00863BE2">
        <w:rPr>
          <w:i/>
          <w:iCs/>
          <w:szCs w:val="18"/>
          <w:lang w:val="es-ES"/>
        </w:rPr>
        <w:t>v.</w:t>
      </w:r>
      <w:r w:rsidRPr="00863BE2">
        <w:rPr>
          <w:szCs w:val="18"/>
          <w:lang w:val="es-ES"/>
        </w:rPr>
        <w:t xml:space="preserve"> </w:t>
      </w:r>
      <w:r w:rsidRPr="00863BE2">
        <w:rPr>
          <w:i/>
          <w:szCs w:val="18"/>
          <w:lang w:val="es-ES"/>
        </w:rPr>
        <w:t>Spain</w:t>
      </w:r>
      <w:r w:rsidR="00904036" w:rsidRPr="00863BE2">
        <w:rPr>
          <w:szCs w:val="18"/>
          <w:lang w:val="es-ES"/>
        </w:rPr>
        <w:t xml:space="preserve"> (CCPR/C/84/D/1095/2002), </w:t>
      </w:r>
      <w:r w:rsidRPr="00863BE2">
        <w:rPr>
          <w:szCs w:val="18"/>
          <w:lang w:val="es-ES"/>
        </w:rPr>
        <w:t xml:space="preserve">para. </w:t>
      </w:r>
      <w:r w:rsidRPr="003B691A">
        <w:rPr>
          <w:szCs w:val="18"/>
        </w:rPr>
        <w:t>6.4.</w:t>
      </w:r>
    </w:p>
  </w:footnote>
  <w:footnote w:id="11">
    <w:p w:rsidR="002E2687" w:rsidRPr="002E2687" w:rsidRDefault="002E2687">
      <w:pPr>
        <w:pStyle w:val="FootnoteText"/>
        <w:rPr>
          <w:lang w:val="en-US"/>
        </w:rPr>
      </w:pPr>
      <w:r>
        <w:tab/>
      </w:r>
      <w:r>
        <w:rPr>
          <w:rStyle w:val="FootnoteReference"/>
        </w:rPr>
        <w:footnoteRef/>
      </w:r>
      <w:r>
        <w:tab/>
        <w:t xml:space="preserve">See Constitution of the Republic of Croatia, arts. 14, 29.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E5" w:rsidRPr="003B0243" w:rsidRDefault="004F10AD" w:rsidP="006A31AE">
    <w:pPr>
      <w:pStyle w:val="Header"/>
    </w:pPr>
    <w:r w:rsidRPr="004F10AD">
      <w:t xml:space="preserve">Advance unedited version </w:t>
    </w:r>
    <w:r w:rsidR="000F64E5">
      <w:t>CCPR/C/12</w:t>
    </w:r>
    <w:r w:rsidR="00325316">
      <w:t>7</w:t>
    </w:r>
    <w:r w:rsidR="000F64E5">
      <w:t>/D/2505/2014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E5" w:rsidRPr="00AD7513" w:rsidRDefault="004F10AD" w:rsidP="00AD7513">
    <w:pPr>
      <w:pStyle w:val="Header"/>
      <w:jc w:val="right"/>
    </w:pPr>
    <w:r w:rsidRPr="004F10AD">
      <w:t xml:space="preserve">Advance unedited version </w:t>
    </w:r>
    <w:bookmarkStart w:id="0" w:name="_GoBack"/>
    <w:bookmarkEnd w:id="0"/>
    <w:r w:rsidR="000F64E5">
      <w:t>CCPR/C/</w:t>
    </w:r>
    <w:r w:rsidR="00D4466E">
      <w:t>127</w:t>
    </w:r>
    <w:r w:rsidR="00581E17">
      <w:t>/</w:t>
    </w:r>
    <w:r w:rsidR="000F64E5">
      <w:t>D/2505/2014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0AD" w:rsidRDefault="004F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0"/>
  <w:defaultTabStop w:val="562"/>
  <w:hyphenationZone w:val="425"/>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10"/>
    <w:rsid w:val="00000F04"/>
    <w:rsid w:val="000021F3"/>
    <w:rsid w:val="00002211"/>
    <w:rsid w:val="000023BD"/>
    <w:rsid w:val="00002D67"/>
    <w:rsid w:val="000036FC"/>
    <w:rsid w:val="00003C58"/>
    <w:rsid w:val="000045DB"/>
    <w:rsid w:val="00005CB5"/>
    <w:rsid w:val="000064B1"/>
    <w:rsid w:val="00007BB9"/>
    <w:rsid w:val="00010570"/>
    <w:rsid w:val="000120CF"/>
    <w:rsid w:val="00013158"/>
    <w:rsid w:val="00013FE2"/>
    <w:rsid w:val="00014823"/>
    <w:rsid w:val="000165D6"/>
    <w:rsid w:val="00021E6A"/>
    <w:rsid w:val="00021ECA"/>
    <w:rsid w:val="00022514"/>
    <w:rsid w:val="0002269F"/>
    <w:rsid w:val="00022A0B"/>
    <w:rsid w:val="000246C9"/>
    <w:rsid w:val="00024AE1"/>
    <w:rsid w:val="00024CF1"/>
    <w:rsid w:val="000312AF"/>
    <w:rsid w:val="00032A75"/>
    <w:rsid w:val="00032EDE"/>
    <w:rsid w:val="00032FFB"/>
    <w:rsid w:val="000332B6"/>
    <w:rsid w:val="00035A1B"/>
    <w:rsid w:val="000378BE"/>
    <w:rsid w:val="000409E8"/>
    <w:rsid w:val="00040A09"/>
    <w:rsid w:val="000445BA"/>
    <w:rsid w:val="00044945"/>
    <w:rsid w:val="00046E92"/>
    <w:rsid w:val="000528BD"/>
    <w:rsid w:val="000528F5"/>
    <w:rsid w:val="00053616"/>
    <w:rsid w:val="00053AB7"/>
    <w:rsid w:val="00056093"/>
    <w:rsid w:val="000570C6"/>
    <w:rsid w:val="000609B8"/>
    <w:rsid w:val="0006523D"/>
    <w:rsid w:val="00065BBC"/>
    <w:rsid w:val="00067443"/>
    <w:rsid w:val="00071C4D"/>
    <w:rsid w:val="00072E97"/>
    <w:rsid w:val="00073961"/>
    <w:rsid w:val="000746E8"/>
    <w:rsid w:val="0007607F"/>
    <w:rsid w:val="000761E6"/>
    <w:rsid w:val="0007630F"/>
    <w:rsid w:val="00076ED9"/>
    <w:rsid w:val="00081371"/>
    <w:rsid w:val="000820B2"/>
    <w:rsid w:val="00082AF3"/>
    <w:rsid w:val="000837D5"/>
    <w:rsid w:val="00083FBE"/>
    <w:rsid w:val="00084548"/>
    <w:rsid w:val="00086A02"/>
    <w:rsid w:val="00087A14"/>
    <w:rsid w:val="00090682"/>
    <w:rsid w:val="0009161E"/>
    <w:rsid w:val="0009609F"/>
    <w:rsid w:val="00096D23"/>
    <w:rsid w:val="000A1B6E"/>
    <w:rsid w:val="000A243C"/>
    <w:rsid w:val="000A2CB2"/>
    <w:rsid w:val="000A30A0"/>
    <w:rsid w:val="000A3EC9"/>
    <w:rsid w:val="000A3F3D"/>
    <w:rsid w:val="000A689A"/>
    <w:rsid w:val="000A6AA3"/>
    <w:rsid w:val="000A7EAA"/>
    <w:rsid w:val="000B110A"/>
    <w:rsid w:val="000B142C"/>
    <w:rsid w:val="000B2616"/>
    <w:rsid w:val="000B3DDB"/>
    <w:rsid w:val="000B45CE"/>
    <w:rsid w:val="000B5B85"/>
    <w:rsid w:val="000C011E"/>
    <w:rsid w:val="000C13CE"/>
    <w:rsid w:val="000C1F9D"/>
    <w:rsid w:val="000C2632"/>
    <w:rsid w:val="000C34C5"/>
    <w:rsid w:val="000C4BBF"/>
    <w:rsid w:val="000C4E44"/>
    <w:rsid w:val="000C538D"/>
    <w:rsid w:val="000C59FA"/>
    <w:rsid w:val="000C7386"/>
    <w:rsid w:val="000C7BAD"/>
    <w:rsid w:val="000D06ED"/>
    <w:rsid w:val="000D227E"/>
    <w:rsid w:val="000D2663"/>
    <w:rsid w:val="000D2AE4"/>
    <w:rsid w:val="000D2CF3"/>
    <w:rsid w:val="000D31AC"/>
    <w:rsid w:val="000D3DF9"/>
    <w:rsid w:val="000D536C"/>
    <w:rsid w:val="000D5FCC"/>
    <w:rsid w:val="000D62AB"/>
    <w:rsid w:val="000D686D"/>
    <w:rsid w:val="000D6FF0"/>
    <w:rsid w:val="000D7586"/>
    <w:rsid w:val="000E063C"/>
    <w:rsid w:val="000E1B91"/>
    <w:rsid w:val="000E28FC"/>
    <w:rsid w:val="000E55A3"/>
    <w:rsid w:val="000E63E9"/>
    <w:rsid w:val="000F06E4"/>
    <w:rsid w:val="000F0A1F"/>
    <w:rsid w:val="000F0BDA"/>
    <w:rsid w:val="000F18F3"/>
    <w:rsid w:val="000F4532"/>
    <w:rsid w:val="000F4A9A"/>
    <w:rsid w:val="000F5ED4"/>
    <w:rsid w:val="000F64E5"/>
    <w:rsid w:val="000F66E8"/>
    <w:rsid w:val="00101A07"/>
    <w:rsid w:val="00103277"/>
    <w:rsid w:val="00103B2E"/>
    <w:rsid w:val="00103C32"/>
    <w:rsid w:val="0010439E"/>
    <w:rsid w:val="0010452F"/>
    <w:rsid w:val="0011117F"/>
    <w:rsid w:val="00112662"/>
    <w:rsid w:val="00113264"/>
    <w:rsid w:val="00114C04"/>
    <w:rsid w:val="001150A3"/>
    <w:rsid w:val="00116640"/>
    <w:rsid w:val="00124778"/>
    <w:rsid w:val="0012478A"/>
    <w:rsid w:val="00124845"/>
    <w:rsid w:val="00124FF0"/>
    <w:rsid w:val="00125FCE"/>
    <w:rsid w:val="001262AA"/>
    <w:rsid w:val="00126437"/>
    <w:rsid w:val="0012714F"/>
    <w:rsid w:val="0012721D"/>
    <w:rsid w:val="001279EE"/>
    <w:rsid w:val="00127DE4"/>
    <w:rsid w:val="0013107B"/>
    <w:rsid w:val="00131C3F"/>
    <w:rsid w:val="00131D7A"/>
    <w:rsid w:val="00134A3B"/>
    <w:rsid w:val="00135FAB"/>
    <w:rsid w:val="0013626C"/>
    <w:rsid w:val="0013697E"/>
    <w:rsid w:val="00142BCE"/>
    <w:rsid w:val="00143E47"/>
    <w:rsid w:val="00144DCE"/>
    <w:rsid w:val="00146667"/>
    <w:rsid w:val="001476FE"/>
    <w:rsid w:val="001478E5"/>
    <w:rsid w:val="001479B1"/>
    <w:rsid w:val="0015096C"/>
    <w:rsid w:val="0015117E"/>
    <w:rsid w:val="001525BD"/>
    <w:rsid w:val="001540CC"/>
    <w:rsid w:val="00154F35"/>
    <w:rsid w:val="00156614"/>
    <w:rsid w:val="00156BEA"/>
    <w:rsid w:val="00156CDE"/>
    <w:rsid w:val="0016456E"/>
    <w:rsid w:val="00164E22"/>
    <w:rsid w:val="00165B63"/>
    <w:rsid w:val="00165C15"/>
    <w:rsid w:val="00166533"/>
    <w:rsid w:val="00166799"/>
    <w:rsid w:val="00171F27"/>
    <w:rsid w:val="00172223"/>
    <w:rsid w:val="00174481"/>
    <w:rsid w:val="00174FE3"/>
    <w:rsid w:val="00177D52"/>
    <w:rsid w:val="00180E45"/>
    <w:rsid w:val="001812F9"/>
    <w:rsid w:val="00187425"/>
    <w:rsid w:val="0018750D"/>
    <w:rsid w:val="00187A71"/>
    <w:rsid w:val="00191F21"/>
    <w:rsid w:val="00192372"/>
    <w:rsid w:val="00192D7F"/>
    <w:rsid w:val="0019384C"/>
    <w:rsid w:val="00194472"/>
    <w:rsid w:val="00194688"/>
    <w:rsid w:val="001960C1"/>
    <w:rsid w:val="00196FAE"/>
    <w:rsid w:val="001A02EA"/>
    <w:rsid w:val="001A1680"/>
    <w:rsid w:val="001A2F07"/>
    <w:rsid w:val="001A3393"/>
    <w:rsid w:val="001A678C"/>
    <w:rsid w:val="001A6E5E"/>
    <w:rsid w:val="001A7A1D"/>
    <w:rsid w:val="001B0929"/>
    <w:rsid w:val="001B0C1C"/>
    <w:rsid w:val="001B1226"/>
    <w:rsid w:val="001B16D7"/>
    <w:rsid w:val="001B1BC2"/>
    <w:rsid w:val="001B4F09"/>
    <w:rsid w:val="001B51E0"/>
    <w:rsid w:val="001B59C9"/>
    <w:rsid w:val="001B786C"/>
    <w:rsid w:val="001C2D46"/>
    <w:rsid w:val="001C4FFA"/>
    <w:rsid w:val="001C6342"/>
    <w:rsid w:val="001C7C93"/>
    <w:rsid w:val="001D06E8"/>
    <w:rsid w:val="001D3457"/>
    <w:rsid w:val="001D468B"/>
    <w:rsid w:val="001E1D0F"/>
    <w:rsid w:val="001E1ED3"/>
    <w:rsid w:val="001E2466"/>
    <w:rsid w:val="001E2A18"/>
    <w:rsid w:val="001E5A1B"/>
    <w:rsid w:val="001F087D"/>
    <w:rsid w:val="001F0F36"/>
    <w:rsid w:val="001F1337"/>
    <w:rsid w:val="001F2FF9"/>
    <w:rsid w:val="001F3575"/>
    <w:rsid w:val="001F49B9"/>
    <w:rsid w:val="001F56A3"/>
    <w:rsid w:val="0020027C"/>
    <w:rsid w:val="00201AA8"/>
    <w:rsid w:val="00202C18"/>
    <w:rsid w:val="00205958"/>
    <w:rsid w:val="0020674E"/>
    <w:rsid w:val="00207A1A"/>
    <w:rsid w:val="00207ED4"/>
    <w:rsid w:val="002105E6"/>
    <w:rsid w:val="00211893"/>
    <w:rsid w:val="002129FD"/>
    <w:rsid w:val="00212A3C"/>
    <w:rsid w:val="00212A72"/>
    <w:rsid w:val="00214815"/>
    <w:rsid w:val="00215678"/>
    <w:rsid w:val="00215B9B"/>
    <w:rsid w:val="0021661B"/>
    <w:rsid w:val="00217AB1"/>
    <w:rsid w:val="00220808"/>
    <w:rsid w:val="002253BF"/>
    <w:rsid w:val="00230914"/>
    <w:rsid w:val="00230F2D"/>
    <w:rsid w:val="002323B6"/>
    <w:rsid w:val="00237D9E"/>
    <w:rsid w:val="00240485"/>
    <w:rsid w:val="00240A1F"/>
    <w:rsid w:val="00242281"/>
    <w:rsid w:val="00242715"/>
    <w:rsid w:val="00242906"/>
    <w:rsid w:val="00242CB5"/>
    <w:rsid w:val="00245BB6"/>
    <w:rsid w:val="00246AB1"/>
    <w:rsid w:val="002474F8"/>
    <w:rsid w:val="002476B7"/>
    <w:rsid w:val="00247A07"/>
    <w:rsid w:val="00247C84"/>
    <w:rsid w:val="00247E2C"/>
    <w:rsid w:val="0025153C"/>
    <w:rsid w:val="00251D05"/>
    <w:rsid w:val="002523B4"/>
    <w:rsid w:val="002523EE"/>
    <w:rsid w:val="002526A1"/>
    <w:rsid w:val="00252818"/>
    <w:rsid w:val="002536BA"/>
    <w:rsid w:val="002553A8"/>
    <w:rsid w:val="00260B3F"/>
    <w:rsid w:val="0026117B"/>
    <w:rsid w:val="00261DA8"/>
    <w:rsid w:val="0026291C"/>
    <w:rsid w:val="00262948"/>
    <w:rsid w:val="0026347D"/>
    <w:rsid w:val="002654E4"/>
    <w:rsid w:val="00265D92"/>
    <w:rsid w:val="002675A2"/>
    <w:rsid w:val="002714D8"/>
    <w:rsid w:val="0027281B"/>
    <w:rsid w:val="00272CA5"/>
    <w:rsid w:val="00273AA3"/>
    <w:rsid w:val="002741A2"/>
    <w:rsid w:val="0027503E"/>
    <w:rsid w:val="002752B3"/>
    <w:rsid w:val="00275A14"/>
    <w:rsid w:val="00275BB2"/>
    <w:rsid w:val="00275C9A"/>
    <w:rsid w:val="00276621"/>
    <w:rsid w:val="00276DE2"/>
    <w:rsid w:val="0027755D"/>
    <w:rsid w:val="00277AB3"/>
    <w:rsid w:val="00280481"/>
    <w:rsid w:val="002812B4"/>
    <w:rsid w:val="00281D75"/>
    <w:rsid w:val="00281D8D"/>
    <w:rsid w:val="00283BD5"/>
    <w:rsid w:val="002844E8"/>
    <w:rsid w:val="00286550"/>
    <w:rsid w:val="00286EB9"/>
    <w:rsid w:val="00287032"/>
    <w:rsid w:val="00287573"/>
    <w:rsid w:val="00290A83"/>
    <w:rsid w:val="00293FAE"/>
    <w:rsid w:val="002958BD"/>
    <w:rsid w:val="00297640"/>
    <w:rsid w:val="002A01D2"/>
    <w:rsid w:val="002A0590"/>
    <w:rsid w:val="002A17C7"/>
    <w:rsid w:val="002A1D07"/>
    <w:rsid w:val="002A2933"/>
    <w:rsid w:val="002A2E75"/>
    <w:rsid w:val="002A3851"/>
    <w:rsid w:val="002A45EC"/>
    <w:rsid w:val="002A4B45"/>
    <w:rsid w:val="002A5712"/>
    <w:rsid w:val="002A60E0"/>
    <w:rsid w:val="002A7FFD"/>
    <w:rsid w:val="002B01F0"/>
    <w:rsid w:val="002B05E8"/>
    <w:rsid w:val="002B085A"/>
    <w:rsid w:val="002B0F24"/>
    <w:rsid w:val="002B0F3C"/>
    <w:rsid w:val="002B1293"/>
    <w:rsid w:val="002B1309"/>
    <w:rsid w:val="002B29F9"/>
    <w:rsid w:val="002B3C7C"/>
    <w:rsid w:val="002B3CD1"/>
    <w:rsid w:val="002B660E"/>
    <w:rsid w:val="002B689C"/>
    <w:rsid w:val="002B7AA0"/>
    <w:rsid w:val="002C09DF"/>
    <w:rsid w:val="002C10C4"/>
    <w:rsid w:val="002C1E83"/>
    <w:rsid w:val="002C30C4"/>
    <w:rsid w:val="002C421A"/>
    <w:rsid w:val="002C4FCE"/>
    <w:rsid w:val="002C5742"/>
    <w:rsid w:val="002C6509"/>
    <w:rsid w:val="002C7B00"/>
    <w:rsid w:val="002D6113"/>
    <w:rsid w:val="002D6C53"/>
    <w:rsid w:val="002D7A84"/>
    <w:rsid w:val="002E0994"/>
    <w:rsid w:val="002E0DA0"/>
    <w:rsid w:val="002E15AB"/>
    <w:rsid w:val="002E2641"/>
    <w:rsid w:val="002E2687"/>
    <w:rsid w:val="002E370D"/>
    <w:rsid w:val="002E75BA"/>
    <w:rsid w:val="002E7AF0"/>
    <w:rsid w:val="002F2077"/>
    <w:rsid w:val="002F5595"/>
    <w:rsid w:val="002F6712"/>
    <w:rsid w:val="002F7DEA"/>
    <w:rsid w:val="00300123"/>
    <w:rsid w:val="00301D0C"/>
    <w:rsid w:val="0030566A"/>
    <w:rsid w:val="00305E15"/>
    <w:rsid w:val="003074E9"/>
    <w:rsid w:val="00307D18"/>
    <w:rsid w:val="003107D6"/>
    <w:rsid w:val="00312D34"/>
    <w:rsid w:val="003138D1"/>
    <w:rsid w:val="00316DB2"/>
    <w:rsid w:val="00316DC9"/>
    <w:rsid w:val="003205FE"/>
    <w:rsid w:val="00320872"/>
    <w:rsid w:val="00323F7E"/>
    <w:rsid w:val="00324153"/>
    <w:rsid w:val="00325316"/>
    <w:rsid w:val="0032563F"/>
    <w:rsid w:val="003259CB"/>
    <w:rsid w:val="00326DDB"/>
    <w:rsid w:val="00327BFF"/>
    <w:rsid w:val="003327AE"/>
    <w:rsid w:val="003327EC"/>
    <w:rsid w:val="003329A2"/>
    <w:rsid w:val="003329E2"/>
    <w:rsid w:val="00332F20"/>
    <w:rsid w:val="00334409"/>
    <w:rsid w:val="00334F6A"/>
    <w:rsid w:val="003355AB"/>
    <w:rsid w:val="003376C3"/>
    <w:rsid w:val="0034176D"/>
    <w:rsid w:val="003428EE"/>
    <w:rsid w:val="00342AC8"/>
    <w:rsid w:val="003434C3"/>
    <w:rsid w:val="00344B1D"/>
    <w:rsid w:val="0034590A"/>
    <w:rsid w:val="00347258"/>
    <w:rsid w:val="00347C14"/>
    <w:rsid w:val="00351412"/>
    <w:rsid w:val="00351AD6"/>
    <w:rsid w:val="003534D1"/>
    <w:rsid w:val="00353AB1"/>
    <w:rsid w:val="00354CDE"/>
    <w:rsid w:val="00356799"/>
    <w:rsid w:val="00360275"/>
    <w:rsid w:val="003607DB"/>
    <w:rsid w:val="003609CF"/>
    <w:rsid w:val="00361786"/>
    <w:rsid w:val="00364507"/>
    <w:rsid w:val="00364E4C"/>
    <w:rsid w:val="003659B6"/>
    <w:rsid w:val="00366428"/>
    <w:rsid w:val="003725F2"/>
    <w:rsid w:val="00373091"/>
    <w:rsid w:val="003732CC"/>
    <w:rsid w:val="00375095"/>
    <w:rsid w:val="00375AE5"/>
    <w:rsid w:val="00376582"/>
    <w:rsid w:val="00376D59"/>
    <w:rsid w:val="00377293"/>
    <w:rsid w:val="00377B14"/>
    <w:rsid w:val="003817BF"/>
    <w:rsid w:val="00383039"/>
    <w:rsid w:val="00383F98"/>
    <w:rsid w:val="003844F3"/>
    <w:rsid w:val="00384DC1"/>
    <w:rsid w:val="00387810"/>
    <w:rsid w:val="00390928"/>
    <w:rsid w:val="00391321"/>
    <w:rsid w:val="00392527"/>
    <w:rsid w:val="00393EFA"/>
    <w:rsid w:val="0039407B"/>
    <w:rsid w:val="00396F92"/>
    <w:rsid w:val="00397546"/>
    <w:rsid w:val="003A0F45"/>
    <w:rsid w:val="003A134F"/>
    <w:rsid w:val="003A2339"/>
    <w:rsid w:val="003A47BD"/>
    <w:rsid w:val="003A5B69"/>
    <w:rsid w:val="003A646D"/>
    <w:rsid w:val="003A6E23"/>
    <w:rsid w:val="003A7529"/>
    <w:rsid w:val="003B0243"/>
    <w:rsid w:val="003B1BAA"/>
    <w:rsid w:val="003B3499"/>
    <w:rsid w:val="003B4550"/>
    <w:rsid w:val="003B5633"/>
    <w:rsid w:val="003B5CD7"/>
    <w:rsid w:val="003B6110"/>
    <w:rsid w:val="003B6FFD"/>
    <w:rsid w:val="003B7840"/>
    <w:rsid w:val="003C02A8"/>
    <w:rsid w:val="003C11B4"/>
    <w:rsid w:val="003C127C"/>
    <w:rsid w:val="003C12AC"/>
    <w:rsid w:val="003C12C0"/>
    <w:rsid w:val="003C14DE"/>
    <w:rsid w:val="003C194A"/>
    <w:rsid w:val="003C386E"/>
    <w:rsid w:val="003C4E1A"/>
    <w:rsid w:val="003C504B"/>
    <w:rsid w:val="003C553D"/>
    <w:rsid w:val="003C5914"/>
    <w:rsid w:val="003C5F3D"/>
    <w:rsid w:val="003C619D"/>
    <w:rsid w:val="003C628E"/>
    <w:rsid w:val="003C6A5F"/>
    <w:rsid w:val="003C7228"/>
    <w:rsid w:val="003C7D0C"/>
    <w:rsid w:val="003D113E"/>
    <w:rsid w:val="003D118D"/>
    <w:rsid w:val="003D1608"/>
    <w:rsid w:val="003D1704"/>
    <w:rsid w:val="003D74C6"/>
    <w:rsid w:val="003D766E"/>
    <w:rsid w:val="003E3E7C"/>
    <w:rsid w:val="003E48D6"/>
    <w:rsid w:val="003E6539"/>
    <w:rsid w:val="003E6DD0"/>
    <w:rsid w:val="003F0633"/>
    <w:rsid w:val="003F21E7"/>
    <w:rsid w:val="003F2572"/>
    <w:rsid w:val="003F6A5C"/>
    <w:rsid w:val="003F6F1B"/>
    <w:rsid w:val="00402055"/>
    <w:rsid w:val="00404A67"/>
    <w:rsid w:val="00405CF4"/>
    <w:rsid w:val="004120AB"/>
    <w:rsid w:val="0041225E"/>
    <w:rsid w:val="00412DC3"/>
    <w:rsid w:val="004138CB"/>
    <w:rsid w:val="00413FFA"/>
    <w:rsid w:val="004149F4"/>
    <w:rsid w:val="004167B0"/>
    <w:rsid w:val="00421A9B"/>
    <w:rsid w:val="00422548"/>
    <w:rsid w:val="00423538"/>
    <w:rsid w:val="004235FE"/>
    <w:rsid w:val="00423968"/>
    <w:rsid w:val="004245AA"/>
    <w:rsid w:val="004249E2"/>
    <w:rsid w:val="00426F7E"/>
    <w:rsid w:val="004304B4"/>
    <w:rsid w:val="00430686"/>
    <w:rsid w:val="00431892"/>
    <w:rsid w:val="00431D15"/>
    <w:rsid w:val="00433208"/>
    <w:rsid w:val="00433D3B"/>
    <w:rsid w:val="004350E1"/>
    <w:rsid w:val="004356EE"/>
    <w:rsid w:val="00436928"/>
    <w:rsid w:val="00443F66"/>
    <w:rsid w:val="0044421C"/>
    <w:rsid w:val="0044443A"/>
    <w:rsid w:val="00444E98"/>
    <w:rsid w:val="00445C0D"/>
    <w:rsid w:val="00446C62"/>
    <w:rsid w:val="00452E7B"/>
    <w:rsid w:val="00454D19"/>
    <w:rsid w:val="00455000"/>
    <w:rsid w:val="00455C2A"/>
    <w:rsid w:val="00455E49"/>
    <w:rsid w:val="00455FA3"/>
    <w:rsid w:val="00457817"/>
    <w:rsid w:val="00460D9C"/>
    <w:rsid w:val="00461253"/>
    <w:rsid w:val="00461896"/>
    <w:rsid w:val="004629FA"/>
    <w:rsid w:val="00462EA4"/>
    <w:rsid w:val="004659EE"/>
    <w:rsid w:val="00466BEE"/>
    <w:rsid w:val="00467CB7"/>
    <w:rsid w:val="00467E4C"/>
    <w:rsid w:val="00470AAF"/>
    <w:rsid w:val="00470B55"/>
    <w:rsid w:val="00470EB4"/>
    <w:rsid w:val="00471C6C"/>
    <w:rsid w:val="00472871"/>
    <w:rsid w:val="00474BBC"/>
    <w:rsid w:val="00475984"/>
    <w:rsid w:val="004764A3"/>
    <w:rsid w:val="00481B2B"/>
    <w:rsid w:val="004824BF"/>
    <w:rsid w:val="00482CAC"/>
    <w:rsid w:val="00483957"/>
    <w:rsid w:val="004850DD"/>
    <w:rsid w:val="00485F2A"/>
    <w:rsid w:val="00487F5E"/>
    <w:rsid w:val="00491576"/>
    <w:rsid w:val="004917A4"/>
    <w:rsid w:val="00494125"/>
    <w:rsid w:val="004942B5"/>
    <w:rsid w:val="00496931"/>
    <w:rsid w:val="00497085"/>
    <w:rsid w:val="0049736B"/>
    <w:rsid w:val="00497D13"/>
    <w:rsid w:val="004A03A5"/>
    <w:rsid w:val="004A103C"/>
    <w:rsid w:val="004A1783"/>
    <w:rsid w:val="004A1A49"/>
    <w:rsid w:val="004A567B"/>
    <w:rsid w:val="004A5C1B"/>
    <w:rsid w:val="004A61EA"/>
    <w:rsid w:val="004A745A"/>
    <w:rsid w:val="004A79E2"/>
    <w:rsid w:val="004B3AB3"/>
    <w:rsid w:val="004C04E0"/>
    <w:rsid w:val="004C064A"/>
    <w:rsid w:val="004C0A9D"/>
    <w:rsid w:val="004C0CA0"/>
    <w:rsid w:val="004C1658"/>
    <w:rsid w:val="004C1765"/>
    <w:rsid w:val="004C1F4C"/>
    <w:rsid w:val="004C3B56"/>
    <w:rsid w:val="004C6D39"/>
    <w:rsid w:val="004C7D2B"/>
    <w:rsid w:val="004C7FFC"/>
    <w:rsid w:val="004D0BCD"/>
    <w:rsid w:val="004D0BD9"/>
    <w:rsid w:val="004D1681"/>
    <w:rsid w:val="004D3201"/>
    <w:rsid w:val="004D32EE"/>
    <w:rsid w:val="004D33CA"/>
    <w:rsid w:val="004D3855"/>
    <w:rsid w:val="004D4D60"/>
    <w:rsid w:val="004D705A"/>
    <w:rsid w:val="004D72DE"/>
    <w:rsid w:val="004D7AA0"/>
    <w:rsid w:val="004E1689"/>
    <w:rsid w:val="004E1921"/>
    <w:rsid w:val="004E3321"/>
    <w:rsid w:val="004E3F64"/>
    <w:rsid w:val="004E4439"/>
    <w:rsid w:val="004E4B17"/>
    <w:rsid w:val="004E50C8"/>
    <w:rsid w:val="004E544F"/>
    <w:rsid w:val="004E5669"/>
    <w:rsid w:val="004E60BD"/>
    <w:rsid w:val="004E6FD4"/>
    <w:rsid w:val="004E7D4F"/>
    <w:rsid w:val="004E7EE4"/>
    <w:rsid w:val="004F10A6"/>
    <w:rsid w:val="004F10AD"/>
    <w:rsid w:val="004F2B03"/>
    <w:rsid w:val="004F3131"/>
    <w:rsid w:val="004F344B"/>
    <w:rsid w:val="004F4EA2"/>
    <w:rsid w:val="004F5B30"/>
    <w:rsid w:val="004F7297"/>
    <w:rsid w:val="004F76E4"/>
    <w:rsid w:val="004F79F1"/>
    <w:rsid w:val="0050304E"/>
    <w:rsid w:val="005042C2"/>
    <w:rsid w:val="0050453B"/>
    <w:rsid w:val="00504F74"/>
    <w:rsid w:val="0051011D"/>
    <w:rsid w:val="005103DA"/>
    <w:rsid w:val="00511B83"/>
    <w:rsid w:val="0051235D"/>
    <w:rsid w:val="00512F50"/>
    <w:rsid w:val="00513FA6"/>
    <w:rsid w:val="0051457F"/>
    <w:rsid w:val="00514B18"/>
    <w:rsid w:val="00514FED"/>
    <w:rsid w:val="0051506B"/>
    <w:rsid w:val="0051607E"/>
    <w:rsid w:val="00516226"/>
    <w:rsid w:val="00516E0D"/>
    <w:rsid w:val="005171CF"/>
    <w:rsid w:val="005174A8"/>
    <w:rsid w:val="00520AF6"/>
    <w:rsid w:val="0052137B"/>
    <w:rsid w:val="00523BDD"/>
    <w:rsid w:val="005245DA"/>
    <w:rsid w:val="00525687"/>
    <w:rsid w:val="00525B76"/>
    <w:rsid w:val="00525D4F"/>
    <w:rsid w:val="00526DCC"/>
    <w:rsid w:val="00527314"/>
    <w:rsid w:val="00527508"/>
    <w:rsid w:val="00527F11"/>
    <w:rsid w:val="0053000A"/>
    <w:rsid w:val="00531FDB"/>
    <w:rsid w:val="005325A0"/>
    <w:rsid w:val="005325F8"/>
    <w:rsid w:val="005331E0"/>
    <w:rsid w:val="005332F6"/>
    <w:rsid w:val="0053375C"/>
    <w:rsid w:val="005365F9"/>
    <w:rsid w:val="00536DD7"/>
    <w:rsid w:val="00536F5B"/>
    <w:rsid w:val="005413C6"/>
    <w:rsid w:val="00542B7F"/>
    <w:rsid w:val="005443AA"/>
    <w:rsid w:val="005458E6"/>
    <w:rsid w:val="00545C2B"/>
    <w:rsid w:val="00546A59"/>
    <w:rsid w:val="00547FC2"/>
    <w:rsid w:val="00550AB7"/>
    <w:rsid w:val="00551D6A"/>
    <w:rsid w:val="005542DF"/>
    <w:rsid w:val="005553FD"/>
    <w:rsid w:val="00555956"/>
    <w:rsid w:val="00555D62"/>
    <w:rsid w:val="00555EC1"/>
    <w:rsid w:val="00556064"/>
    <w:rsid w:val="0055652E"/>
    <w:rsid w:val="00556AAA"/>
    <w:rsid w:val="00556C63"/>
    <w:rsid w:val="00557EAE"/>
    <w:rsid w:val="00560810"/>
    <w:rsid w:val="005609BE"/>
    <w:rsid w:val="00561C2C"/>
    <w:rsid w:val="00561E0F"/>
    <w:rsid w:val="005624D2"/>
    <w:rsid w:val="0056263A"/>
    <w:rsid w:val="00563160"/>
    <w:rsid w:val="00563845"/>
    <w:rsid w:val="00566341"/>
    <w:rsid w:val="00566A38"/>
    <w:rsid w:val="00567457"/>
    <w:rsid w:val="00573084"/>
    <w:rsid w:val="00576B37"/>
    <w:rsid w:val="00576CE2"/>
    <w:rsid w:val="005771B8"/>
    <w:rsid w:val="00580ED1"/>
    <w:rsid w:val="00581410"/>
    <w:rsid w:val="00581E17"/>
    <w:rsid w:val="005825F4"/>
    <w:rsid w:val="005829BC"/>
    <w:rsid w:val="00585136"/>
    <w:rsid w:val="005934A0"/>
    <w:rsid w:val="00593CD0"/>
    <w:rsid w:val="00596132"/>
    <w:rsid w:val="005A0047"/>
    <w:rsid w:val="005A0396"/>
    <w:rsid w:val="005A190B"/>
    <w:rsid w:val="005A3A76"/>
    <w:rsid w:val="005A3FC4"/>
    <w:rsid w:val="005A5DFA"/>
    <w:rsid w:val="005A6EAD"/>
    <w:rsid w:val="005B02AC"/>
    <w:rsid w:val="005B211E"/>
    <w:rsid w:val="005B24DD"/>
    <w:rsid w:val="005B276A"/>
    <w:rsid w:val="005B3681"/>
    <w:rsid w:val="005B403A"/>
    <w:rsid w:val="005B5712"/>
    <w:rsid w:val="005B6A97"/>
    <w:rsid w:val="005B778D"/>
    <w:rsid w:val="005B78FB"/>
    <w:rsid w:val="005B7F06"/>
    <w:rsid w:val="005C0035"/>
    <w:rsid w:val="005C0E4B"/>
    <w:rsid w:val="005C249A"/>
    <w:rsid w:val="005C2ACC"/>
    <w:rsid w:val="005C2E25"/>
    <w:rsid w:val="005C3FD7"/>
    <w:rsid w:val="005C4ACE"/>
    <w:rsid w:val="005C4DDE"/>
    <w:rsid w:val="005D0D3E"/>
    <w:rsid w:val="005D1E8D"/>
    <w:rsid w:val="005D3602"/>
    <w:rsid w:val="005D466B"/>
    <w:rsid w:val="005D48B2"/>
    <w:rsid w:val="005D5798"/>
    <w:rsid w:val="005D695D"/>
    <w:rsid w:val="005D6A36"/>
    <w:rsid w:val="005D6F85"/>
    <w:rsid w:val="005D7C19"/>
    <w:rsid w:val="005E0F71"/>
    <w:rsid w:val="005E1D9E"/>
    <w:rsid w:val="005E244D"/>
    <w:rsid w:val="005E593C"/>
    <w:rsid w:val="005E6845"/>
    <w:rsid w:val="005E777C"/>
    <w:rsid w:val="005E7D69"/>
    <w:rsid w:val="005F1B75"/>
    <w:rsid w:val="005F296A"/>
    <w:rsid w:val="005F386A"/>
    <w:rsid w:val="005F6D64"/>
    <w:rsid w:val="005F74F7"/>
    <w:rsid w:val="00600913"/>
    <w:rsid w:val="00600983"/>
    <w:rsid w:val="00601A6B"/>
    <w:rsid w:val="00602C69"/>
    <w:rsid w:val="00602FD2"/>
    <w:rsid w:val="00604312"/>
    <w:rsid w:val="00604E90"/>
    <w:rsid w:val="006055DC"/>
    <w:rsid w:val="0060562D"/>
    <w:rsid w:val="00606DDE"/>
    <w:rsid w:val="006110FA"/>
    <w:rsid w:val="006127AB"/>
    <w:rsid w:val="00612A0B"/>
    <w:rsid w:val="0061459E"/>
    <w:rsid w:val="00617A07"/>
    <w:rsid w:val="00620A01"/>
    <w:rsid w:val="0062217E"/>
    <w:rsid w:val="00623DF5"/>
    <w:rsid w:val="006247B4"/>
    <w:rsid w:val="00625246"/>
    <w:rsid w:val="00626FC2"/>
    <w:rsid w:val="00627CFC"/>
    <w:rsid w:val="00630110"/>
    <w:rsid w:val="00631066"/>
    <w:rsid w:val="006313C5"/>
    <w:rsid w:val="00631809"/>
    <w:rsid w:val="00631BCC"/>
    <w:rsid w:val="00634ED3"/>
    <w:rsid w:val="00635669"/>
    <w:rsid w:val="006366E0"/>
    <w:rsid w:val="00643652"/>
    <w:rsid w:val="00645DAB"/>
    <w:rsid w:val="00646781"/>
    <w:rsid w:val="006475C1"/>
    <w:rsid w:val="00651F59"/>
    <w:rsid w:val="00652700"/>
    <w:rsid w:val="00656183"/>
    <w:rsid w:val="0066050C"/>
    <w:rsid w:val="00661D9A"/>
    <w:rsid w:val="00662D80"/>
    <w:rsid w:val="00662E28"/>
    <w:rsid w:val="0066509C"/>
    <w:rsid w:val="00667ADB"/>
    <w:rsid w:val="0067099C"/>
    <w:rsid w:val="00671529"/>
    <w:rsid w:val="00672437"/>
    <w:rsid w:val="00673148"/>
    <w:rsid w:val="0067400E"/>
    <w:rsid w:val="006749B1"/>
    <w:rsid w:val="00676134"/>
    <w:rsid w:val="0067697A"/>
    <w:rsid w:val="006775D2"/>
    <w:rsid w:val="00677D3B"/>
    <w:rsid w:val="00682908"/>
    <w:rsid w:val="00683166"/>
    <w:rsid w:val="006838F1"/>
    <w:rsid w:val="006839C9"/>
    <w:rsid w:val="006846E1"/>
    <w:rsid w:val="00686F6A"/>
    <w:rsid w:val="00687DE8"/>
    <w:rsid w:val="00690179"/>
    <w:rsid w:val="00690311"/>
    <w:rsid w:val="0069182F"/>
    <w:rsid w:val="00692549"/>
    <w:rsid w:val="006926A7"/>
    <w:rsid w:val="00693861"/>
    <w:rsid w:val="00694E4C"/>
    <w:rsid w:val="00695913"/>
    <w:rsid w:val="006965FE"/>
    <w:rsid w:val="00696F42"/>
    <w:rsid w:val="00697183"/>
    <w:rsid w:val="006A0159"/>
    <w:rsid w:val="006A1190"/>
    <w:rsid w:val="006A163A"/>
    <w:rsid w:val="006A1A5B"/>
    <w:rsid w:val="006A31AE"/>
    <w:rsid w:val="006A4F80"/>
    <w:rsid w:val="006A5D8D"/>
    <w:rsid w:val="006A6DE0"/>
    <w:rsid w:val="006A7B66"/>
    <w:rsid w:val="006B1350"/>
    <w:rsid w:val="006B2289"/>
    <w:rsid w:val="006B41C7"/>
    <w:rsid w:val="006B4FC4"/>
    <w:rsid w:val="006B7008"/>
    <w:rsid w:val="006C1071"/>
    <w:rsid w:val="006C141B"/>
    <w:rsid w:val="006C2450"/>
    <w:rsid w:val="006C3CB2"/>
    <w:rsid w:val="006C577C"/>
    <w:rsid w:val="006C595B"/>
    <w:rsid w:val="006C6A82"/>
    <w:rsid w:val="006D1FFC"/>
    <w:rsid w:val="006D37F6"/>
    <w:rsid w:val="006D45EF"/>
    <w:rsid w:val="006D4603"/>
    <w:rsid w:val="006D5A48"/>
    <w:rsid w:val="006D60CC"/>
    <w:rsid w:val="006D631C"/>
    <w:rsid w:val="006D6FFC"/>
    <w:rsid w:val="006D7585"/>
    <w:rsid w:val="006E1E0A"/>
    <w:rsid w:val="006E2160"/>
    <w:rsid w:val="006E226C"/>
    <w:rsid w:val="006E46E1"/>
    <w:rsid w:val="006E46E4"/>
    <w:rsid w:val="006E6A2E"/>
    <w:rsid w:val="006E6BED"/>
    <w:rsid w:val="006E779B"/>
    <w:rsid w:val="006F06AB"/>
    <w:rsid w:val="006F0E6B"/>
    <w:rsid w:val="006F2801"/>
    <w:rsid w:val="006F33C4"/>
    <w:rsid w:val="006F39F2"/>
    <w:rsid w:val="006F5309"/>
    <w:rsid w:val="006F545A"/>
    <w:rsid w:val="006F578E"/>
    <w:rsid w:val="00703537"/>
    <w:rsid w:val="00704C96"/>
    <w:rsid w:val="00705109"/>
    <w:rsid w:val="00706406"/>
    <w:rsid w:val="00707427"/>
    <w:rsid w:val="00713D58"/>
    <w:rsid w:val="0072102B"/>
    <w:rsid w:val="00724204"/>
    <w:rsid w:val="00725749"/>
    <w:rsid w:val="007268F9"/>
    <w:rsid w:val="00727A78"/>
    <w:rsid w:val="007318F2"/>
    <w:rsid w:val="00731D26"/>
    <w:rsid w:val="007326F2"/>
    <w:rsid w:val="00733905"/>
    <w:rsid w:val="00734033"/>
    <w:rsid w:val="00740DA9"/>
    <w:rsid w:val="00740E77"/>
    <w:rsid w:val="007410F3"/>
    <w:rsid w:val="00741B06"/>
    <w:rsid w:val="007438DB"/>
    <w:rsid w:val="00744F0C"/>
    <w:rsid w:val="007453A1"/>
    <w:rsid w:val="00745AFD"/>
    <w:rsid w:val="00754B09"/>
    <w:rsid w:val="00755FCB"/>
    <w:rsid w:val="00760B66"/>
    <w:rsid w:val="007627DA"/>
    <w:rsid w:val="007638BD"/>
    <w:rsid w:val="00763907"/>
    <w:rsid w:val="00764BB7"/>
    <w:rsid w:val="007666FB"/>
    <w:rsid w:val="0076746F"/>
    <w:rsid w:val="00771337"/>
    <w:rsid w:val="0077167D"/>
    <w:rsid w:val="00773181"/>
    <w:rsid w:val="0077415C"/>
    <w:rsid w:val="00775EC1"/>
    <w:rsid w:val="0077702B"/>
    <w:rsid w:val="00777146"/>
    <w:rsid w:val="00780CBB"/>
    <w:rsid w:val="007828C7"/>
    <w:rsid w:val="00783997"/>
    <w:rsid w:val="007842B4"/>
    <w:rsid w:val="00784466"/>
    <w:rsid w:val="0078504A"/>
    <w:rsid w:val="0078536B"/>
    <w:rsid w:val="007859CE"/>
    <w:rsid w:val="00785C2F"/>
    <w:rsid w:val="0078651E"/>
    <w:rsid w:val="00786BE0"/>
    <w:rsid w:val="00787E8F"/>
    <w:rsid w:val="007954A9"/>
    <w:rsid w:val="00797A1D"/>
    <w:rsid w:val="007A03B0"/>
    <w:rsid w:val="007A0F32"/>
    <w:rsid w:val="007A33A9"/>
    <w:rsid w:val="007A3B1D"/>
    <w:rsid w:val="007A3ED1"/>
    <w:rsid w:val="007A6E1E"/>
    <w:rsid w:val="007A7739"/>
    <w:rsid w:val="007A7A55"/>
    <w:rsid w:val="007B11E2"/>
    <w:rsid w:val="007B29CB"/>
    <w:rsid w:val="007B6863"/>
    <w:rsid w:val="007B71BD"/>
    <w:rsid w:val="007C00FC"/>
    <w:rsid w:val="007C421E"/>
    <w:rsid w:val="007C439D"/>
    <w:rsid w:val="007C52B0"/>
    <w:rsid w:val="007C62C8"/>
    <w:rsid w:val="007C7074"/>
    <w:rsid w:val="007D106B"/>
    <w:rsid w:val="007D148F"/>
    <w:rsid w:val="007D1F3B"/>
    <w:rsid w:val="007D3CCA"/>
    <w:rsid w:val="007D49BB"/>
    <w:rsid w:val="007D50D5"/>
    <w:rsid w:val="007D7A5D"/>
    <w:rsid w:val="007D7F88"/>
    <w:rsid w:val="007E09A0"/>
    <w:rsid w:val="007E0AD8"/>
    <w:rsid w:val="007E24B1"/>
    <w:rsid w:val="007E2F2F"/>
    <w:rsid w:val="007E45AA"/>
    <w:rsid w:val="007E6419"/>
    <w:rsid w:val="007E66AA"/>
    <w:rsid w:val="007F13FD"/>
    <w:rsid w:val="007F163A"/>
    <w:rsid w:val="007F1B5E"/>
    <w:rsid w:val="007F2416"/>
    <w:rsid w:val="007F261D"/>
    <w:rsid w:val="007F3C6E"/>
    <w:rsid w:val="007F4026"/>
    <w:rsid w:val="007F49EE"/>
    <w:rsid w:val="007F4BE5"/>
    <w:rsid w:val="007F5B1B"/>
    <w:rsid w:val="007F7DEB"/>
    <w:rsid w:val="00803A6F"/>
    <w:rsid w:val="00803EBC"/>
    <w:rsid w:val="00804772"/>
    <w:rsid w:val="00804F1A"/>
    <w:rsid w:val="008065F8"/>
    <w:rsid w:val="0080786C"/>
    <w:rsid w:val="00810AFF"/>
    <w:rsid w:val="0081244B"/>
    <w:rsid w:val="008151CF"/>
    <w:rsid w:val="008155DA"/>
    <w:rsid w:val="00815D4C"/>
    <w:rsid w:val="00817E57"/>
    <w:rsid w:val="008203FE"/>
    <w:rsid w:val="00821252"/>
    <w:rsid w:val="008212E8"/>
    <w:rsid w:val="00821B11"/>
    <w:rsid w:val="008237AF"/>
    <w:rsid w:val="00823E48"/>
    <w:rsid w:val="00824885"/>
    <w:rsid w:val="008251C1"/>
    <w:rsid w:val="00825955"/>
    <w:rsid w:val="00831584"/>
    <w:rsid w:val="00831958"/>
    <w:rsid w:val="00832462"/>
    <w:rsid w:val="00832D00"/>
    <w:rsid w:val="00834599"/>
    <w:rsid w:val="00835F35"/>
    <w:rsid w:val="00836AD0"/>
    <w:rsid w:val="00836C06"/>
    <w:rsid w:val="00840A46"/>
    <w:rsid w:val="00840EFB"/>
    <w:rsid w:val="008454F5"/>
    <w:rsid w:val="0084589B"/>
    <w:rsid w:val="00847165"/>
    <w:rsid w:val="00847584"/>
    <w:rsid w:val="00847958"/>
    <w:rsid w:val="00847BA3"/>
    <w:rsid w:val="008533D1"/>
    <w:rsid w:val="00855EA7"/>
    <w:rsid w:val="008569B4"/>
    <w:rsid w:val="00857436"/>
    <w:rsid w:val="00857533"/>
    <w:rsid w:val="00861396"/>
    <w:rsid w:val="008619EA"/>
    <w:rsid w:val="0086269C"/>
    <w:rsid w:val="00862948"/>
    <w:rsid w:val="00863BE2"/>
    <w:rsid w:val="00864046"/>
    <w:rsid w:val="008706D0"/>
    <w:rsid w:val="00872F8D"/>
    <w:rsid w:val="00875160"/>
    <w:rsid w:val="008759FE"/>
    <w:rsid w:val="00875EB5"/>
    <w:rsid w:val="00876A20"/>
    <w:rsid w:val="00880752"/>
    <w:rsid w:val="008810E9"/>
    <w:rsid w:val="00881F2C"/>
    <w:rsid w:val="00883CBF"/>
    <w:rsid w:val="0088609B"/>
    <w:rsid w:val="008864B1"/>
    <w:rsid w:val="008905EC"/>
    <w:rsid w:val="008906C1"/>
    <w:rsid w:val="00890B56"/>
    <w:rsid w:val="008912C6"/>
    <w:rsid w:val="008916E9"/>
    <w:rsid w:val="00891D5B"/>
    <w:rsid w:val="0089392B"/>
    <w:rsid w:val="00894501"/>
    <w:rsid w:val="00894E48"/>
    <w:rsid w:val="00894ED8"/>
    <w:rsid w:val="00895CB3"/>
    <w:rsid w:val="008971EF"/>
    <w:rsid w:val="008A2B16"/>
    <w:rsid w:val="008A2E93"/>
    <w:rsid w:val="008A3004"/>
    <w:rsid w:val="008A51F4"/>
    <w:rsid w:val="008A54C4"/>
    <w:rsid w:val="008A6742"/>
    <w:rsid w:val="008A7910"/>
    <w:rsid w:val="008B1E94"/>
    <w:rsid w:val="008B3239"/>
    <w:rsid w:val="008B3916"/>
    <w:rsid w:val="008B3AB2"/>
    <w:rsid w:val="008B3AFD"/>
    <w:rsid w:val="008B4FC0"/>
    <w:rsid w:val="008B5F2D"/>
    <w:rsid w:val="008B7927"/>
    <w:rsid w:val="008B7F5A"/>
    <w:rsid w:val="008C03A1"/>
    <w:rsid w:val="008C0B42"/>
    <w:rsid w:val="008C0E10"/>
    <w:rsid w:val="008C27E8"/>
    <w:rsid w:val="008C396D"/>
    <w:rsid w:val="008C4D48"/>
    <w:rsid w:val="008C5C0E"/>
    <w:rsid w:val="008D1680"/>
    <w:rsid w:val="008D2604"/>
    <w:rsid w:val="008D3450"/>
    <w:rsid w:val="008D785F"/>
    <w:rsid w:val="008D791D"/>
    <w:rsid w:val="008D7AB0"/>
    <w:rsid w:val="008E073A"/>
    <w:rsid w:val="008E4F31"/>
    <w:rsid w:val="008E61C3"/>
    <w:rsid w:val="008E6700"/>
    <w:rsid w:val="008E675E"/>
    <w:rsid w:val="008E7355"/>
    <w:rsid w:val="008E7E68"/>
    <w:rsid w:val="008F1F18"/>
    <w:rsid w:val="008F2803"/>
    <w:rsid w:val="008F77AD"/>
    <w:rsid w:val="008F7939"/>
    <w:rsid w:val="00900A11"/>
    <w:rsid w:val="0090394D"/>
    <w:rsid w:val="00904036"/>
    <w:rsid w:val="009040A5"/>
    <w:rsid w:val="00904EDF"/>
    <w:rsid w:val="00905957"/>
    <w:rsid w:val="00906DA4"/>
    <w:rsid w:val="009156E1"/>
    <w:rsid w:val="009225CF"/>
    <w:rsid w:val="00922F0D"/>
    <w:rsid w:val="00925267"/>
    <w:rsid w:val="009256D8"/>
    <w:rsid w:val="00925C31"/>
    <w:rsid w:val="0092632E"/>
    <w:rsid w:val="00926EBD"/>
    <w:rsid w:val="009309D7"/>
    <w:rsid w:val="00933239"/>
    <w:rsid w:val="0093323C"/>
    <w:rsid w:val="009333DE"/>
    <w:rsid w:val="0093344F"/>
    <w:rsid w:val="00934180"/>
    <w:rsid w:val="0093418E"/>
    <w:rsid w:val="00940683"/>
    <w:rsid w:val="009411B4"/>
    <w:rsid w:val="00941455"/>
    <w:rsid w:val="009429FE"/>
    <w:rsid w:val="00944C68"/>
    <w:rsid w:val="00944E6D"/>
    <w:rsid w:val="00946031"/>
    <w:rsid w:val="00946EEB"/>
    <w:rsid w:val="00950474"/>
    <w:rsid w:val="009527BC"/>
    <w:rsid w:val="009545FC"/>
    <w:rsid w:val="00955ACD"/>
    <w:rsid w:val="00957555"/>
    <w:rsid w:val="00957569"/>
    <w:rsid w:val="009606A7"/>
    <w:rsid w:val="00960EE5"/>
    <w:rsid w:val="00961C0D"/>
    <w:rsid w:val="00964F6E"/>
    <w:rsid w:val="0096693E"/>
    <w:rsid w:val="00972360"/>
    <w:rsid w:val="00972C84"/>
    <w:rsid w:val="00972D71"/>
    <w:rsid w:val="009735E3"/>
    <w:rsid w:val="00974310"/>
    <w:rsid w:val="00975BD8"/>
    <w:rsid w:val="00975ED5"/>
    <w:rsid w:val="00976042"/>
    <w:rsid w:val="00982429"/>
    <w:rsid w:val="00982560"/>
    <w:rsid w:val="009827E5"/>
    <w:rsid w:val="009846BA"/>
    <w:rsid w:val="00987B1B"/>
    <w:rsid w:val="00990DBA"/>
    <w:rsid w:val="009924DB"/>
    <w:rsid w:val="00992D8B"/>
    <w:rsid w:val="009939C3"/>
    <w:rsid w:val="00993D2C"/>
    <w:rsid w:val="00994839"/>
    <w:rsid w:val="00994AC7"/>
    <w:rsid w:val="009953D7"/>
    <w:rsid w:val="00995435"/>
    <w:rsid w:val="00996F7D"/>
    <w:rsid w:val="009A06BF"/>
    <w:rsid w:val="009A1DB7"/>
    <w:rsid w:val="009A67D6"/>
    <w:rsid w:val="009A72C0"/>
    <w:rsid w:val="009A7A9C"/>
    <w:rsid w:val="009A7C0E"/>
    <w:rsid w:val="009B0269"/>
    <w:rsid w:val="009B0DF0"/>
    <w:rsid w:val="009B1A1E"/>
    <w:rsid w:val="009B1E09"/>
    <w:rsid w:val="009B30A9"/>
    <w:rsid w:val="009B3DB6"/>
    <w:rsid w:val="009B5A51"/>
    <w:rsid w:val="009B5C72"/>
    <w:rsid w:val="009C0D48"/>
    <w:rsid w:val="009C3FF0"/>
    <w:rsid w:val="009C5BB4"/>
    <w:rsid w:val="009C5FBF"/>
    <w:rsid w:val="009C636F"/>
    <w:rsid w:val="009C7031"/>
    <w:rsid w:val="009D0139"/>
    <w:rsid w:val="009D2BC8"/>
    <w:rsid w:val="009E2A3B"/>
    <w:rsid w:val="009E3876"/>
    <w:rsid w:val="009E3FEE"/>
    <w:rsid w:val="009E6444"/>
    <w:rsid w:val="009E7B63"/>
    <w:rsid w:val="009F25F0"/>
    <w:rsid w:val="009F3A3C"/>
    <w:rsid w:val="009F4022"/>
    <w:rsid w:val="009F4C8D"/>
    <w:rsid w:val="009F5AC6"/>
    <w:rsid w:val="009F5CDC"/>
    <w:rsid w:val="009F64A2"/>
    <w:rsid w:val="009F7D19"/>
    <w:rsid w:val="00A0027F"/>
    <w:rsid w:val="00A00BFF"/>
    <w:rsid w:val="00A00D98"/>
    <w:rsid w:val="00A017D0"/>
    <w:rsid w:val="00A0318D"/>
    <w:rsid w:val="00A04179"/>
    <w:rsid w:val="00A047A0"/>
    <w:rsid w:val="00A0549A"/>
    <w:rsid w:val="00A05F40"/>
    <w:rsid w:val="00A064CE"/>
    <w:rsid w:val="00A06986"/>
    <w:rsid w:val="00A07D30"/>
    <w:rsid w:val="00A1093E"/>
    <w:rsid w:val="00A10A84"/>
    <w:rsid w:val="00A10D67"/>
    <w:rsid w:val="00A1105E"/>
    <w:rsid w:val="00A11A3C"/>
    <w:rsid w:val="00A12179"/>
    <w:rsid w:val="00A128DD"/>
    <w:rsid w:val="00A13E69"/>
    <w:rsid w:val="00A14275"/>
    <w:rsid w:val="00A152E7"/>
    <w:rsid w:val="00A157C8"/>
    <w:rsid w:val="00A20436"/>
    <w:rsid w:val="00A20479"/>
    <w:rsid w:val="00A22183"/>
    <w:rsid w:val="00A22300"/>
    <w:rsid w:val="00A22DF8"/>
    <w:rsid w:val="00A23446"/>
    <w:rsid w:val="00A23459"/>
    <w:rsid w:val="00A2485A"/>
    <w:rsid w:val="00A25679"/>
    <w:rsid w:val="00A2570D"/>
    <w:rsid w:val="00A2596C"/>
    <w:rsid w:val="00A30827"/>
    <w:rsid w:val="00A3360D"/>
    <w:rsid w:val="00A34C0D"/>
    <w:rsid w:val="00A372AC"/>
    <w:rsid w:val="00A40102"/>
    <w:rsid w:val="00A4111C"/>
    <w:rsid w:val="00A42990"/>
    <w:rsid w:val="00A439C1"/>
    <w:rsid w:val="00A4401A"/>
    <w:rsid w:val="00A441D5"/>
    <w:rsid w:val="00A45004"/>
    <w:rsid w:val="00A4512C"/>
    <w:rsid w:val="00A45510"/>
    <w:rsid w:val="00A45F75"/>
    <w:rsid w:val="00A47F2B"/>
    <w:rsid w:val="00A51D14"/>
    <w:rsid w:val="00A528D2"/>
    <w:rsid w:val="00A5424D"/>
    <w:rsid w:val="00A55962"/>
    <w:rsid w:val="00A55E8D"/>
    <w:rsid w:val="00A57EA6"/>
    <w:rsid w:val="00A60354"/>
    <w:rsid w:val="00A612C9"/>
    <w:rsid w:val="00A613B0"/>
    <w:rsid w:val="00A62398"/>
    <w:rsid w:val="00A63F10"/>
    <w:rsid w:val="00A64D54"/>
    <w:rsid w:val="00A65099"/>
    <w:rsid w:val="00A66D1E"/>
    <w:rsid w:val="00A66E6F"/>
    <w:rsid w:val="00A67E32"/>
    <w:rsid w:val="00A704CE"/>
    <w:rsid w:val="00A7056A"/>
    <w:rsid w:val="00A73497"/>
    <w:rsid w:val="00A73713"/>
    <w:rsid w:val="00A753E5"/>
    <w:rsid w:val="00A75B49"/>
    <w:rsid w:val="00A7714F"/>
    <w:rsid w:val="00A77410"/>
    <w:rsid w:val="00A775CF"/>
    <w:rsid w:val="00A80357"/>
    <w:rsid w:val="00A82BEF"/>
    <w:rsid w:val="00A841C0"/>
    <w:rsid w:val="00A8644D"/>
    <w:rsid w:val="00A86B8A"/>
    <w:rsid w:val="00A86F60"/>
    <w:rsid w:val="00A87716"/>
    <w:rsid w:val="00A91538"/>
    <w:rsid w:val="00A92972"/>
    <w:rsid w:val="00A92EE7"/>
    <w:rsid w:val="00A9411D"/>
    <w:rsid w:val="00A9498B"/>
    <w:rsid w:val="00A951C7"/>
    <w:rsid w:val="00A953AA"/>
    <w:rsid w:val="00A95855"/>
    <w:rsid w:val="00A95C35"/>
    <w:rsid w:val="00AA053B"/>
    <w:rsid w:val="00AA0B06"/>
    <w:rsid w:val="00AA0D00"/>
    <w:rsid w:val="00AA1BCE"/>
    <w:rsid w:val="00AA2F68"/>
    <w:rsid w:val="00AA49D8"/>
    <w:rsid w:val="00AA5E03"/>
    <w:rsid w:val="00AA66B0"/>
    <w:rsid w:val="00AA6B86"/>
    <w:rsid w:val="00AB2654"/>
    <w:rsid w:val="00AB2745"/>
    <w:rsid w:val="00AB2784"/>
    <w:rsid w:val="00AB36FD"/>
    <w:rsid w:val="00AB3EBA"/>
    <w:rsid w:val="00AB4F60"/>
    <w:rsid w:val="00AB5D89"/>
    <w:rsid w:val="00AB696E"/>
    <w:rsid w:val="00AB7BB1"/>
    <w:rsid w:val="00AC2075"/>
    <w:rsid w:val="00AC23C8"/>
    <w:rsid w:val="00AC2C0A"/>
    <w:rsid w:val="00AC2FC4"/>
    <w:rsid w:val="00AC3865"/>
    <w:rsid w:val="00AC45BA"/>
    <w:rsid w:val="00AC4E7C"/>
    <w:rsid w:val="00AC5F46"/>
    <w:rsid w:val="00AD0B24"/>
    <w:rsid w:val="00AD3F1B"/>
    <w:rsid w:val="00AD460B"/>
    <w:rsid w:val="00AD50CF"/>
    <w:rsid w:val="00AD5208"/>
    <w:rsid w:val="00AD6E46"/>
    <w:rsid w:val="00AD7513"/>
    <w:rsid w:val="00AD7740"/>
    <w:rsid w:val="00AE05CA"/>
    <w:rsid w:val="00AE17CE"/>
    <w:rsid w:val="00AE1B4C"/>
    <w:rsid w:val="00AE1E3D"/>
    <w:rsid w:val="00AE36CD"/>
    <w:rsid w:val="00AE3A76"/>
    <w:rsid w:val="00AE48AB"/>
    <w:rsid w:val="00AE6196"/>
    <w:rsid w:val="00AE620E"/>
    <w:rsid w:val="00AE6958"/>
    <w:rsid w:val="00AE6E81"/>
    <w:rsid w:val="00AF063C"/>
    <w:rsid w:val="00AF0E1B"/>
    <w:rsid w:val="00AF1805"/>
    <w:rsid w:val="00AF2FB9"/>
    <w:rsid w:val="00AF3120"/>
    <w:rsid w:val="00AF4617"/>
    <w:rsid w:val="00AF5AF6"/>
    <w:rsid w:val="00AF5D2A"/>
    <w:rsid w:val="00AF6501"/>
    <w:rsid w:val="00AF69FA"/>
    <w:rsid w:val="00AF7309"/>
    <w:rsid w:val="00AF77F2"/>
    <w:rsid w:val="00AF7CC0"/>
    <w:rsid w:val="00B0003A"/>
    <w:rsid w:val="00B0067B"/>
    <w:rsid w:val="00B016E4"/>
    <w:rsid w:val="00B01833"/>
    <w:rsid w:val="00B02265"/>
    <w:rsid w:val="00B037C6"/>
    <w:rsid w:val="00B03991"/>
    <w:rsid w:val="00B03B2F"/>
    <w:rsid w:val="00B03F73"/>
    <w:rsid w:val="00B0437C"/>
    <w:rsid w:val="00B048F8"/>
    <w:rsid w:val="00B04DA6"/>
    <w:rsid w:val="00B05C00"/>
    <w:rsid w:val="00B05DFF"/>
    <w:rsid w:val="00B06045"/>
    <w:rsid w:val="00B061D2"/>
    <w:rsid w:val="00B063B9"/>
    <w:rsid w:val="00B120CD"/>
    <w:rsid w:val="00B12398"/>
    <w:rsid w:val="00B1335C"/>
    <w:rsid w:val="00B136BF"/>
    <w:rsid w:val="00B14334"/>
    <w:rsid w:val="00B15FEF"/>
    <w:rsid w:val="00B171DC"/>
    <w:rsid w:val="00B176A2"/>
    <w:rsid w:val="00B2017D"/>
    <w:rsid w:val="00B20EB8"/>
    <w:rsid w:val="00B22292"/>
    <w:rsid w:val="00B227D7"/>
    <w:rsid w:val="00B23282"/>
    <w:rsid w:val="00B236C0"/>
    <w:rsid w:val="00B23BC3"/>
    <w:rsid w:val="00B24F1A"/>
    <w:rsid w:val="00B30800"/>
    <w:rsid w:val="00B30E1C"/>
    <w:rsid w:val="00B30E54"/>
    <w:rsid w:val="00B32324"/>
    <w:rsid w:val="00B34BF7"/>
    <w:rsid w:val="00B3521F"/>
    <w:rsid w:val="00B36B1E"/>
    <w:rsid w:val="00B418B5"/>
    <w:rsid w:val="00B4335C"/>
    <w:rsid w:val="00B4340F"/>
    <w:rsid w:val="00B43525"/>
    <w:rsid w:val="00B43F1A"/>
    <w:rsid w:val="00B4440A"/>
    <w:rsid w:val="00B51B09"/>
    <w:rsid w:val="00B529BD"/>
    <w:rsid w:val="00B53367"/>
    <w:rsid w:val="00B53A9D"/>
    <w:rsid w:val="00B55323"/>
    <w:rsid w:val="00B564A9"/>
    <w:rsid w:val="00B56682"/>
    <w:rsid w:val="00B60432"/>
    <w:rsid w:val="00B60DC0"/>
    <w:rsid w:val="00B61504"/>
    <w:rsid w:val="00B61E0C"/>
    <w:rsid w:val="00B61F39"/>
    <w:rsid w:val="00B62EE7"/>
    <w:rsid w:val="00B6472A"/>
    <w:rsid w:val="00B65474"/>
    <w:rsid w:val="00B65A08"/>
    <w:rsid w:val="00B65A4F"/>
    <w:rsid w:val="00B662BE"/>
    <w:rsid w:val="00B67D6A"/>
    <w:rsid w:val="00B70186"/>
    <w:rsid w:val="00B75CFC"/>
    <w:rsid w:val="00B76342"/>
    <w:rsid w:val="00B77147"/>
    <w:rsid w:val="00B8072E"/>
    <w:rsid w:val="00B822EB"/>
    <w:rsid w:val="00B8458E"/>
    <w:rsid w:val="00B858F2"/>
    <w:rsid w:val="00B86063"/>
    <w:rsid w:val="00B860CA"/>
    <w:rsid w:val="00B8625A"/>
    <w:rsid w:val="00B8671F"/>
    <w:rsid w:val="00B86B5E"/>
    <w:rsid w:val="00B87B72"/>
    <w:rsid w:val="00B903E5"/>
    <w:rsid w:val="00B91E76"/>
    <w:rsid w:val="00B9222E"/>
    <w:rsid w:val="00B930F9"/>
    <w:rsid w:val="00B93291"/>
    <w:rsid w:val="00B9350E"/>
    <w:rsid w:val="00B93EE5"/>
    <w:rsid w:val="00B95306"/>
    <w:rsid w:val="00B97F24"/>
    <w:rsid w:val="00BA033B"/>
    <w:rsid w:val="00BA1F72"/>
    <w:rsid w:val="00BA1F95"/>
    <w:rsid w:val="00BA298F"/>
    <w:rsid w:val="00BA2A68"/>
    <w:rsid w:val="00BA2F9B"/>
    <w:rsid w:val="00BA31D2"/>
    <w:rsid w:val="00BA417F"/>
    <w:rsid w:val="00BB0FD6"/>
    <w:rsid w:val="00BB2BB6"/>
    <w:rsid w:val="00BB3566"/>
    <w:rsid w:val="00BB39BA"/>
    <w:rsid w:val="00BB40A5"/>
    <w:rsid w:val="00BB5CD3"/>
    <w:rsid w:val="00BB6C44"/>
    <w:rsid w:val="00BB6D8D"/>
    <w:rsid w:val="00BB778C"/>
    <w:rsid w:val="00BB7FA3"/>
    <w:rsid w:val="00BC0DC9"/>
    <w:rsid w:val="00BC0E8A"/>
    <w:rsid w:val="00BC1222"/>
    <w:rsid w:val="00BC1CE7"/>
    <w:rsid w:val="00BC5450"/>
    <w:rsid w:val="00BC5B46"/>
    <w:rsid w:val="00BC60AD"/>
    <w:rsid w:val="00BD09BD"/>
    <w:rsid w:val="00BD0F45"/>
    <w:rsid w:val="00BD1F4E"/>
    <w:rsid w:val="00BD4604"/>
    <w:rsid w:val="00BD46D4"/>
    <w:rsid w:val="00BD5474"/>
    <w:rsid w:val="00BE0760"/>
    <w:rsid w:val="00BE16F3"/>
    <w:rsid w:val="00BE1DF9"/>
    <w:rsid w:val="00BE29AC"/>
    <w:rsid w:val="00BE2BAB"/>
    <w:rsid w:val="00BE3594"/>
    <w:rsid w:val="00BE3B32"/>
    <w:rsid w:val="00BE4A15"/>
    <w:rsid w:val="00BE4E6D"/>
    <w:rsid w:val="00BE4F18"/>
    <w:rsid w:val="00BE6406"/>
    <w:rsid w:val="00BF05C1"/>
    <w:rsid w:val="00BF13E5"/>
    <w:rsid w:val="00BF16D8"/>
    <w:rsid w:val="00BF268A"/>
    <w:rsid w:val="00BF3100"/>
    <w:rsid w:val="00BF43FF"/>
    <w:rsid w:val="00BF44DD"/>
    <w:rsid w:val="00BF4E43"/>
    <w:rsid w:val="00BF50C1"/>
    <w:rsid w:val="00BF5509"/>
    <w:rsid w:val="00BF55F8"/>
    <w:rsid w:val="00BF6D26"/>
    <w:rsid w:val="00BF7A84"/>
    <w:rsid w:val="00BF7CE8"/>
    <w:rsid w:val="00C011BA"/>
    <w:rsid w:val="00C0480E"/>
    <w:rsid w:val="00C0515C"/>
    <w:rsid w:val="00C06228"/>
    <w:rsid w:val="00C07289"/>
    <w:rsid w:val="00C07BCD"/>
    <w:rsid w:val="00C07EF7"/>
    <w:rsid w:val="00C10A71"/>
    <w:rsid w:val="00C14902"/>
    <w:rsid w:val="00C17B41"/>
    <w:rsid w:val="00C20761"/>
    <w:rsid w:val="00C22466"/>
    <w:rsid w:val="00C22F38"/>
    <w:rsid w:val="00C235F9"/>
    <w:rsid w:val="00C23647"/>
    <w:rsid w:val="00C24947"/>
    <w:rsid w:val="00C2565D"/>
    <w:rsid w:val="00C26177"/>
    <w:rsid w:val="00C300FF"/>
    <w:rsid w:val="00C3229A"/>
    <w:rsid w:val="00C35A27"/>
    <w:rsid w:val="00C36C32"/>
    <w:rsid w:val="00C41A6C"/>
    <w:rsid w:val="00C41C9F"/>
    <w:rsid w:val="00C41F34"/>
    <w:rsid w:val="00C422F7"/>
    <w:rsid w:val="00C4310F"/>
    <w:rsid w:val="00C4398C"/>
    <w:rsid w:val="00C43FD2"/>
    <w:rsid w:val="00C45AF6"/>
    <w:rsid w:val="00C47EDD"/>
    <w:rsid w:val="00C50273"/>
    <w:rsid w:val="00C502C0"/>
    <w:rsid w:val="00C50602"/>
    <w:rsid w:val="00C50606"/>
    <w:rsid w:val="00C5107D"/>
    <w:rsid w:val="00C51A8E"/>
    <w:rsid w:val="00C53438"/>
    <w:rsid w:val="00C54507"/>
    <w:rsid w:val="00C54C33"/>
    <w:rsid w:val="00C57C4A"/>
    <w:rsid w:val="00C60173"/>
    <w:rsid w:val="00C631B0"/>
    <w:rsid w:val="00C63300"/>
    <w:rsid w:val="00C651CD"/>
    <w:rsid w:val="00C656D6"/>
    <w:rsid w:val="00C65C5F"/>
    <w:rsid w:val="00C66747"/>
    <w:rsid w:val="00C66FF2"/>
    <w:rsid w:val="00C71A40"/>
    <w:rsid w:val="00C72F45"/>
    <w:rsid w:val="00C72F74"/>
    <w:rsid w:val="00C73329"/>
    <w:rsid w:val="00C7407D"/>
    <w:rsid w:val="00C748BA"/>
    <w:rsid w:val="00C74D15"/>
    <w:rsid w:val="00C74D28"/>
    <w:rsid w:val="00C755DA"/>
    <w:rsid w:val="00C75FE6"/>
    <w:rsid w:val="00C76131"/>
    <w:rsid w:val="00C82569"/>
    <w:rsid w:val="00C82702"/>
    <w:rsid w:val="00C83BFA"/>
    <w:rsid w:val="00C83E3A"/>
    <w:rsid w:val="00C864FA"/>
    <w:rsid w:val="00C872AA"/>
    <w:rsid w:val="00C9102B"/>
    <w:rsid w:val="00C9199A"/>
    <w:rsid w:val="00C92112"/>
    <w:rsid w:val="00C922F4"/>
    <w:rsid w:val="00C929DC"/>
    <w:rsid w:val="00C9323C"/>
    <w:rsid w:val="00C94D59"/>
    <w:rsid w:val="00C9772B"/>
    <w:rsid w:val="00CA0E61"/>
    <w:rsid w:val="00CA12DE"/>
    <w:rsid w:val="00CA1338"/>
    <w:rsid w:val="00CA2F79"/>
    <w:rsid w:val="00CA40EA"/>
    <w:rsid w:val="00CA50EE"/>
    <w:rsid w:val="00CA5CC3"/>
    <w:rsid w:val="00CB2A5A"/>
    <w:rsid w:val="00CB476C"/>
    <w:rsid w:val="00CB582F"/>
    <w:rsid w:val="00CB6B22"/>
    <w:rsid w:val="00CB6DE6"/>
    <w:rsid w:val="00CC2C24"/>
    <w:rsid w:val="00CC44DF"/>
    <w:rsid w:val="00CC59F9"/>
    <w:rsid w:val="00CC6FA5"/>
    <w:rsid w:val="00CC7245"/>
    <w:rsid w:val="00CC7BFF"/>
    <w:rsid w:val="00CD0242"/>
    <w:rsid w:val="00CD0E34"/>
    <w:rsid w:val="00CD1547"/>
    <w:rsid w:val="00CD3093"/>
    <w:rsid w:val="00CD4167"/>
    <w:rsid w:val="00CD44E1"/>
    <w:rsid w:val="00CD6150"/>
    <w:rsid w:val="00CD72C9"/>
    <w:rsid w:val="00CE3E00"/>
    <w:rsid w:val="00CE4973"/>
    <w:rsid w:val="00CE497E"/>
    <w:rsid w:val="00CE50BC"/>
    <w:rsid w:val="00CE51A0"/>
    <w:rsid w:val="00CE52B7"/>
    <w:rsid w:val="00CE5F6F"/>
    <w:rsid w:val="00CF0540"/>
    <w:rsid w:val="00CF0FAC"/>
    <w:rsid w:val="00CF15A5"/>
    <w:rsid w:val="00CF2356"/>
    <w:rsid w:val="00CF32FA"/>
    <w:rsid w:val="00CF708C"/>
    <w:rsid w:val="00D00AAE"/>
    <w:rsid w:val="00D01FC2"/>
    <w:rsid w:val="00D0227E"/>
    <w:rsid w:val="00D023FC"/>
    <w:rsid w:val="00D04FAD"/>
    <w:rsid w:val="00D060CA"/>
    <w:rsid w:val="00D068E7"/>
    <w:rsid w:val="00D0773B"/>
    <w:rsid w:val="00D07A46"/>
    <w:rsid w:val="00D1319D"/>
    <w:rsid w:val="00D14A80"/>
    <w:rsid w:val="00D16804"/>
    <w:rsid w:val="00D172D6"/>
    <w:rsid w:val="00D218F7"/>
    <w:rsid w:val="00D228F3"/>
    <w:rsid w:val="00D2295E"/>
    <w:rsid w:val="00D24683"/>
    <w:rsid w:val="00D24D54"/>
    <w:rsid w:val="00D257D4"/>
    <w:rsid w:val="00D25EB6"/>
    <w:rsid w:val="00D26715"/>
    <w:rsid w:val="00D3117E"/>
    <w:rsid w:val="00D315DC"/>
    <w:rsid w:val="00D33178"/>
    <w:rsid w:val="00D3459B"/>
    <w:rsid w:val="00D35F41"/>
    <w:rsid w:val="00D408F6"/>
    <w:rsid w:val="00D41291"/>
    <w:rsid w:val="00D43653"/>
    <w:rsid w:val="00D4381A"/>
    <w:rsid w:val="00D439AE"/>
    <w:rsid w:val="00D44097"/>
    <w:rsid w:val="00D44487"/>
    <w:rsid w:val="00D4466E"/>
    <w:rsid w:val="00D44C6E"/>
    <w:rsid w:val="00D4518B"/>
    <w:rsid w:val="00D4518F"/>
    <w:rsid w:val="00D465CF"/>
    <w:rsid w:val="00D4749F"/>
    <w:rsid w:val="00D507B3"/>
    <w:rsid w:val="00D5088F"/>
    <w:rsid w:val="00D510F8"/>
    <w:rsid w:val="00D52BE7"/>
    <w:rsid w:val="00D52EE6"/>
    <w:rsid w:val="00D565C6"/>
    <w:rsid w:val="00D5664D"/>
    <w:rsid w:val="00D57B24"/>
    <w:rsid w:val="00D61849"/>
    <w:rsid w:val="00D63284"/>
    <w:rsid w:val="00D648B7"/>
    <w:rsid w:val="00D70746"/>
    <w:rsid w:val="00D71066"/>
    <w:rsid w:val="00D72966"/>
    <w:rsid w:val="00D735EC"/>
    <w:rsid w:val="00D74019"/>
    <w:rsid w:val="00D75722"/>
    <w:rsid w:val="00D767C1"/>
    <w:rsid w:val="00D776F0"/>
    <w:rsid w:val="00D8086E"/>
    <w:rsid w:val="00D80CD5"/>
    <w:rsid w:val="00D81692"/>
    <w:rsid w:val="00D8299E"/>
    <w:rsid w:val="00D84515"/>
    <w:rsid w:val="00D847DB"/>
    <w:rsid w:val="00D86296"/>
    <w:rsid w:val="00D87270"/>
    <w:rsid w:val="00D87332"/>
    <w:rsid w:val="00D90781"/>
    <w:rsid w:val="00D91B23"/>
    <w:rsid w:val="00D9249D"/>
    <w:rsid w:val="00D9267C"/>
    <w:rsid w:val="00D93F8C"/>
    <w:rsid w:val="00D94338"/>
    <w:rsid w:val="00D957DA"/>
    <w:rsid w:val="00D967E2"/>
    <w:rsid w:val="00D97758"/>
    <w:rsid w:val="00D97A9C"/>
    <w:rsid w:val="00DA0212"/>
    <w:rsid w:val="00DA0DA4"/>
    <w:rsid w:val="00DA14AB"/>
    <w:rsid w:val="00DA24FA"/>
    <w:rsid w:val="00DA2903"/>
    <w:rsid w:val="00DA31AD"/>
    <w:rsid w:val="00DA3D93"/>
    <w:rsid w:val="00DA418D"/>
    <w:rsid w:val="00DA786B"/>
    <w:rsid w:val="00DA78F7"/>
    <w:rsid w:val="00DB0027"/>
    <w:rsid w:val="00DB1BC8"/>
    <w:rsid w:val="00DB2255"/>
    <w:rsid w:val="00DB3561"/>
    <w:rsid w:val="00DB6AEC"/>
    <w:rsid w:val="00DB6C04"/>
    <w:rsid w:val="00DB7802"/>
    <w:rsid w:val="00DB7ABB"/>
    <w:rsid w:val="00DC0CCC"/>
    <w:rsid w:val="00DC0D75"/>
    <w:rsid w:val="00DC135D"/>
    <w:rsid w:val="00DC2AFB"/>
    <w:rsid w:val="00DC4365"/>
    <w:rsid w:val="00DC4ECE"/>
    <w:rsid w:val="00DD14FD"/>
    <w:rsid w:val="00DD4E61"/>
    <w:rsid w:val="00DD68D4"/>
    <w:rsid w:val="00DD7070"/>
    <w:rsid w:val="00DE2264"/>
    <w:rsid w:val="00DE332C"/>
    <w:rsid w:val="00DE7B8A"/>
    <w:rsid w:val="00DF1AA0"/>
    <w:rsid w:val="00DF4387"/>
    <w:rsid w:val="00DF5249"/>
    <w:rsid w:val="00DF57E3"/>
    <w:rsid w:val="00DF696E"/>
    <w:rsid w:val="00DF72A9"/>
    <w:rsid w:val="00DF7BEA"/>
    <w:rsid w:val="00E00B17"/>
    <w:rsid w:val="00E02C2B"/>
    <w:rsid w:val="00E03D25"/>
    <w:rsid w:val="00E06253"/>
    <w:rsid w:val="00E06C33"/>
    <w:rsid w:val="00E07997"/>
    <w:rsid w:val="00E10952"/>
    <w:rsid w:val="00E10B6D"/>
    <w:rsid w:val="00E10F8B"/>
    <w:rsid w:val="00E11514"/>
    <w:rsid w:val="00E118FA"/>
    <w:rsid w:val="00E12C8C"/>
    <w:rsid w:val="00E13DBB"/>
    <w:rsid w:val="00E14000"/>
    <w:rsid w:val="00E146DD"/>
    <w:rsid w:val="00E15853"/>
    <w:rsid w:val="00E158A0"/>
    <w:rsid w:val="00E168D9"/>
    <w:rsid w:val="00E1719D"/>
    <w:rsid w:val="00E177D4"/>
    <w:rsid w:val="00E177F6"/>
    <w:rsid w:val="00E26528"/>
    <w:rsid w:val="00E26822"/>
    <w:rsid w:val="00E269E5"/>
    <w:rsid w:val="00E26F9E"/>
    <w:rsid w:val="00E308B8"/>
    <w:rsid w:val="00E309D7"/>
    <w:rsid w:val="00E30F0E"/>
    <w:rsid w:val="00E32401"/>
    <w:rsid w:val="00E32F14"/>
    <w:rsid w:val="00E344EB"/>
    <w:rsid w:val="00E36B3F"/>
    <w:rsid w:val="00E3761F"/>
    <w:rsid w:val="00E4011A"/>
    <w:rsid w:val="00E42709"/>
    <w:rsid w:val="00E429C9"/>
    <w:rsid w:val="00E42CE6"/>
    <w:rsid w:val="00E43470"/>
    <w:rsid w:val="00E45924"/>
    <w:rsid w:val="00E45FA0"/>
    <w:rsid w:val="00E464AE"/>
    <w:rsid w:val="00E47170"/>
    <w:rsid w:val="00E51FF0"/>
    <w:rsid w:val="00E524FC"/>
    <w:rsid w:val="00E531CE"/>
    <w:rsid w:val="00E536B9"/>
    <w:rsid w:val="00E544EA"/>
    <w:rsid w:val="00E56D60"/>
    <w:rsid w:val="00E60419"/>
    <w:rsid w:val="00E611D3"/>
    <w:rsid w:val="00E6131B"/>
    <w:rsid w:val="00E613ED"/>
    <w:rsid w:val="00E619FF"/>
    <w:rsid w:val="00E62627"/>
    <w:rsid w:val="00E638F6"/>
    <w:rsid w:val="00E6565B"/>
    <w:rsid w:val="00E65858"/>
    <w:rsid w:val="00E67B0D"/>
    <w:rsid w:val="00E706E9"/>
    <w:rsid w:val="00E775E4"/>
    <w:rsid w:val="00E800DA"/>
    <w:rsid w:val="00E80C90"/>
    <w:rsid w:val="00E80F44"/>
    <w:rsid w:val="00E81670"/>
    <w:rsid w:val="00E8515E"/>
    <w:rsid w:val="00E85BAC"/>
    <w:rsid w:val="00E85D99"/>
    <w:rsid w:val="00E871CD"/>
    <w:rsid w:val="00E87A9C"/>
    <w:rsid w:val="00E94A91"/>
    <w:rsid w:val="00E94B00"/>
    <w:rsid w:val="00E96BC5"/>
    <w:rsid w:val="00E97D1F"/>
    <w:rsid w:val="00EA155E"/>
    <w:rsid w:val="00EA35A5"/>
    <w:rsid w:val="00EA3727"/>
    <w:rsid w:val="00EA4CFA"/>
    <w:rsid w:val="00EA50F9"/>
    <w:rsid w:val="00EA5DC7"/>
    <w:rsid w:val="00EA6038"/>
    <w:rsid w:val="00EA66AA"/>
    <w:rsid w:val="00EA681E"/>
    <w:rsid w:val="00EA73BC"/>
    <w:rsid w:val="00EA7BF3"/>
    <w:rsid w:val="00EB0FE1"/>
    <w:rsid w:val="00EB110E"/>
    <w:rsid w:val="00EB1349"/>
    <w:rsid w:val="00EB2633"/>
    <w:rsid w:val="00EB326F"/>
    <w:rsid w:val="00EB5FDC"/>
    <w:rsid w:val="00EB6041"/>
    <w:rsid w:val="00EB698F"/>
    <w:rsid w:val="00EB6E23"/>
    <w:rsid w:val="00EC0CDD"/>
    <w:rsid w:val="00EC2FCA"/>
    <w:rsid w:val="00EC5B7C"/>
    <w:rsid w:val="00EC6994"/>
    <w:rsid w:val="00EC6B50"/>
    <w:rsid w:val="00ED038C"/>
    <w:rsid w:val="00ED19C6"/>
    <w:rsid w:val="00ED1F4A"/>
    <w:rsid w:val="00ED249F"/>
    <w:rsid w:val="00ED32E1"/>
    <w:rsid w:val="00ED36FE"/>
    <w:rsid w:val="00ED3FBC"/>
    <w:rsid w:val="00ED4823"/>
    <w:rsid w:val="00ED525D"/>
    <w:rsid w:val="00ED5514"/>
    <w:rsid w:val="00ED5547"/>
    <w:rsid w:val="00ED6C48"/>
    <w:rsid w:val="00ED7969"/>
    <w:rsid w:val="00ED7B00"/>
    <w:rsid w:val="00EE0BE2"/>
    <w:rsid w:val="00EE16A0"/>
    <w:rsid w:val="00EE1B3D"/>
    <w:rsid w:val="00EE1CF2"/>
    <w:rsid w:val="00EE3B46"/>
    <w:rsid w:val="00EE566F"/>
    <w:rsid w:val="00EE5C8A"/>
    <w:rsid w:val="00EE648E"/>
    <w:rsid w:val="00EE6DFA"/>
    <w:rsid w:val="00EE798D"/>
    <w:rsid w:val="00EF1132"/>
    <w:rsid w:val="00EF17ED"/>
    <w:rsid w:val="00EF258A"/>
    <w:rsid w:val="00EF3928"/>
    <w:rsid w:val="00EF3C7F"/>
    <w:rsid w:val="00EF6109"/>
    <w:rsid w:val="00EF681A"/>
    <w:rsid w:val="00EF6FF0"/>
    <w:rsid w:val="00F0249D"/>
    <w:rsid w:val="00F03925"/>
    <w:rsid w:val="00F053E6"/>
    <w:rsid w:val="00F06D7E"/>
    <w:rsid w:val="00F073E1"/>
    <w:rsid w:val="00F074F8"/>
    <w:rsid w:val="00F07704"/>
    <w:rsid w:val="00F07846"/>
    <w:rsid w:val="00F078E1"/>
    <w:rsid w:val="00F10CB0"/>
    <w:rsid w:val="00F11E64"/>
    <w:rsid w:val="00F1239B"/>
    <w:rsid w:val="00F12C13"/>
    <w:rsid w:val="00F14A4D"/>
    <w:rsid w:val="00F15CB1"/>
    <w:rsid w:val="00F16D93"/>
    <w:rsid w:val="00F172BA"/>
    <w:rsid w:val="00F22245"/>
    <w:rsid w:val="00F22E1B"/>
    <w:rsid w:val="00F2404E"/>
    <w:rsid w:val="00F26AC5"/>
    <w:rsid w:val="00F275C4"/>
    <w:rsid w:val="00F30EF9"/>
    <w:rsid w:val="00F33B12"/>
    <w:rsid w:val="00F33F61"/>
    <w:rsid w:val="00F347BA"/>
    <w:rsid w:val="00F35492"/>
    <w:rsid w:val="00F37A24"/>
    <w:rsid w:val="00F41339"/>
    <w:rsid w:val="00F417F2"/>
    <w:rsid w:val="00F41D63"/>
    <w:rsid w:val="00F41F0F"/>
    <w:rsid w:val="00F43075"/>
    <w:rsid w:val="00F43601"/>
    <w:rsid w:val="00F43868"/>
    <w:rsid w:val="00F44C6E"/>
    <w:rsid w:val="00F450DD"/>
    <w:rsid w:val="00F4512C"/>
    <w:rsid w:val="00F458C1"/>
    <w:rsid w:val="00F46327"/>
    <w:rsid w:val="00F505E2"/>
    <w:rsid w:val="00F5093F"/>
    <w:rsid w:val="00F532C9"/>
    <w:rsid w:val="00F54943"/>
    <w:rsid w:val="00F5499F"/>
    <w:rsid w:val="00F5745E"/>
    <w:rsid w:val="00F5799F"/>
    <w:rsid w:val="00F603F4"/>
    <w:rsid w:val="00F6170C"/>
    <w:rsid w:val="00F6189F"/>
    <w:rsid w:val="00F62851"/>
    <w:rsid w:val="00F6315F"/>
    <w:rsid w:val="00F636D0"/>
    <w:rsid w:val="00F65F5D"/>
    <w:rsid w:val="00F66AE4"/>
    <w:rsid w:val="00F70C1E"/>
    <w:rsid w:val="00F71C3F"/>
    <w:rsid w:val="00F72794"/>
    <w:rsid w:val="00F7330D"/>
    <w:rsid w:val="00F73431"/>
    <w:rsid w:val="00F74D49"/>
    <w:rsid w:val="00F754FB"/>
    <w:rsid w:val="00F85E42"/>
    <w:rsid w:val="00F8675D"/>
    <w:rsid w:val="00F86A3A"/>
    <w:rsid w:val="00F915F3"/>
    <w:rsid w:val="00F91B10"/>
    <w:rsid w:val="00F93D03"/>
    <w:rsid w:val="00F94529"/>
    <w:rsid w:val="00F94F80"/>
    <w:rsid w:val="00F953F9"/>
    <w:rsid w:val="00F955A7"/>
    <w:rsid w:val="00F95DE6"/>
    <w:rsid w:val="00F96048"/>
    <w:rsid w:val="00FA03F8"/>
    <w:rsid w:val="00FA05B9"/>
    <w:rsid w:val="00FA0904"/>
    <w:rsid w:val="00FA2823"/>
    <w:rsid w:val="00FA3D83"/>
    <w:rsid w:val="00FA66E5"/>
    <w:rsid w:val="00FA718A"/>
    <w:rsid w:val="00FB0B39"/>
    <w:rsid w:val="00FB415C"/>
    <w:rsid w:val="00FB5250"/>
    <w:rsid w:val="00FB65CF"/>
    <w:rsid w:val="00FC023E"/>
    <w:rsid w:val="00FC0507"/>
    <w:rsid w:val="00FC08B3"/>
    <w:rsid w:val="00FC2113"/>
    <w:rsid w:val="00FC39B2"/>
    <w:rsid w:val="00FC7E5D"/>
    <w:rsid w:val="00FD220F"/>
    <w:rsid w:val="00FD2993"/>
    <w:rsid w:val="00FD4580"/>
    <w:rsid w:val="00FD59AD"/>
    <w:rsid w:val="00FD77C2"/>
    <w:rsid w:val="00FE19C6"/>
    <w:rsid w:val="00FE1B8E"/>
    <w:rsid w:val="00FE1D1C"/>
    <w:rsid w:val="00FE26C9"/>
    <w:rsid w:val="00FE33D9"/>
    <w:rsid w:val="00FE366C"/>
    <w:rsid w:val="00FE3CE0"/>
    <w:rsid w:val="00FE422E"/>
    <w:rsid w:val="00FE6CFE"/>
    <w:rsid w:val="00FF05D5"/>
    <w:rsid w:val="00FF2A7E"/>
    <w:rsid w:val="00FF3FB9"/>
    <w:rsid w:val="00FF413F"/>
    <w:rsid w:val="00FF6847"/>
    <w:rsid w:val="00FF70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888366D"/>
  <w15:docId w15:val="{74BC42E6-70A0-47F2-AF91-EF88E692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1,FA Fu Char,Footnote Text Char Char Char Char2,Footnote Reference1 Char1, Char Char1,Char Char1,ft Char1"/>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NoSpacing">
    <w:name w:val="No Spacing"/>
    <w:uiPriority w:val="1"/>
    <w:qFormat/>
    <w:rsid w:val="00815D4C"/>
    <w:pPr>
      <w:spacing w:after="0" w:line="240" w:lineRule="auto"/>
    </w:pPr>
    <w:rPr>
      <w:rFonts w:ascii="Calibri" w:eastAsia="Calibri" w:hAnsi="Calibri" w:cs="Times New Roman"/>
      <w:lang w:val="en-US" w:eastAsia="en-US"/>
    </w:rPr>
  </w:style>
  <w:style w:type="character" w:styleId="CommentReference">
    <w:name w:val="annotation reference"/>
    <w:basedOn w:val="DefaultParagraphFont"/>
    <w:uiPriority w:val="99"/>
    <w:semiHidden/>
    <w:unhideWhenUsed/>
    <w:rsid w:val="00247A07"/>
    <w:rPr>
      <w:sz w:val="16"/>
      <w:szCs w:val="16"/>
    </w:rPr>
  </w:style>
  <w:style w:type="paragraph" w:styleId="CommentText">
    <w:name w:val="annotation text"/>
    <w:basedOn w:val="Normal"/>
    <w:link w:val="CommentTextChar"/>
    <w:uiPriority w:val="99"/>
    <w:unhideWhenUsed/>
    <w:rsid w:val="00247A07"/>
    <w:pPr>
      <w:spacing w:line="240" w:lineRule="auto"/>
    </w:pPr>
  </w:style>
  <w:style w:type="character" w:customStyle="1" w:styleId="CommentTextChar">
    <w:name w:val="Comment Text Char"/>
    <w:basedOn w:val="DefaultParagraphFont"/>
    <w:link w:val="CommentText"/>
    <w:uiPriority w:val="99"/>
    <w:rsid w:val="00247A0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47A07"/>
    <w:rPr>
      <w:b/>
      <w:bCs/>
    </w:rPr>
  </w:style>
  <w:style w:type="character" w:customStyle="1" w:styleId="CommentSubjectChar">
    <w:name w:val="Comment Subject Char"/>
    <w:basedOn w:val="CommentTextChar"/>
    <w:link w:val="CommentSubject"/>
    <w:uiPriority w:val="99"/>
    <w:semiHidden/>
    <w:rsid w:val="00247A07"/>
    <w:rPr>
      <w:rFonts w:ascii="Times New Roman" w:eastAsia="Times New Roman" w:hAnsi="Times New Roman" w:cs="Times New Roman"/>
      <w:b/>
      <w:bCs/>
      <w:sz w:val="20"/>
      <w:szCs w:val="20"/>
      <w:lang w:eastAsia="en-US"/>
    </w:rPr>
  </w:style>
  <w:style w:type="character" w:customStyle="1" w:styleId="SingleTxtGChar">
    <w:name w:val="_ Single Txt_G Char"/>
    <w:link w:val="SingleTxtG"/>
    <w:locked/>
    <w:rsid w:val="005325A0"/>
    <w:rPr>
      <w:rFonts w:ascii="Times New Roman" w:hAnsi="Times New Roman" w:cs="Times New Roman"/>
      <w:sz w:val="20"/>
      <w:szCs w:val="20"/>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uiPriority w:val="99"/>
    <w:locked/>
    <w:rsid w:val="005325A0"/>
    <w:rPr>
      <w:rFonts w:eastAsia="SimSun"/>
      <w:sz w:val="18"/>
      <w:szCs w:val="20"/>
      <w:lang w:val="en-US" w:eastAsia="zh-CN"/>
    </w:rPr>
  </w:style>
  <w:style w:type="character" w:customStyle="1" w:styleId="sb8d990e2">
    <w:name w:val="sb8d990e2"/>
    <w:rsid w:val="005325A0"/>
  </w:style>
  <w:style w:type="character" w:customStyle="1" w:styleId="s6b621b36">
    <w:name w:val="s6b621b36"/>
    <w:rsid w:val="005325A0"/>
  </w:style>
  <w:style w:type="character" w:styleId="Hyperlink">
    <w:name w:val="Hyperlink"/>
    <w:uiPriority w:val="99"/>
    <w:semiHidden/>
    <w:rsid w:val="00ED7969"/>
    <w:rPr>
      <w:rFonts w:cs="Times New Roman"/>
      <w:color w:val="auto"/>
      <w:u w:val="none"/>
    </w:rPr>
  </w:style>
  <w:style w:type="paragraph" w:styleId="NormalWeb">
    <w:name w:val="Normal (Web)"/>
    <w:basedOn w:val="Normal"/>
    <w:uiPriority w:val="99"/>
    <w:semiHidden/>
    <w:unhideWhenUsed/>
    <w:rsid w:val="000D686D"/>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0D686D"/>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79263760">
      <w:bodyDiv w:val="1"/>
      <w:marLeft w:val="0"/>
      <w:marRight w:val="0"/>
      <w:marTop w:val="0"/>
      <w:marBottom w:val="0"/>
      <w:divBdr>
        <w:top w:val="none" w:sz="0" w:space="0" w:color="auto"/>
        <w:left w:val="none" w:sz="0" w:space="0" w:color="auto"/>
        <w:bottom w:val="none" w:sz="0" w:space="0" w:color="auto"/>
        <w:right w:val="none" w:sz="0" w:space="0" w:color="auto"/>
      </w:divBdr>
      <w:divsChild>
        <w:div w:id="1473137936">
          <w:marLeft w:val="0"/>
          <w:marRight w:val="0"/>
          <w:marTop w:val="0"/>
          <w:marBottom w:val="0"/>
          <w:divBdr>
            <w:top w:val="none" w:sz="0" w:space="0" w:color="auto"/>
            <w:left w:val="none" w:sz="0" w:space="0" w:color="auto"/>
            <w:bottom w:val="none" w:sz="0" w:space="0" w:color="auto"/>
            <w:right w:val="none" w:sz="0" w:space="0" w:color="auto"/>
          </w:divBdr>
          <w:divsChild>
            <w:div w:id="1749839301">
              <w:marLeft w:val="0"/>
              <w:marRight w:val="0"/>
              <w:marTop w:val="0"/>
              <w:marBottom w:val="0"/>
              <w:divBdr>
                <w:top w:val="none" w:sz="0" w:space="0" w:color="auto"/>
                <w:left w:val="none" w:sz="0" w:space="0" w:color="auto"/>
                <w:bottom w:val="none" w:sz="0" w:space="0" w:color="auto"/>
                <w:right w:val="none" w:sz="0" w:space="0" w:color="auto"/>
              </w:divBdr>
              <w:divsChild>
                <w:div w:id="19644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00394225">
      <w:bodyDiv w:val="1"/>
      <w:marLeft w:val="0"/>
      <w:marRight w:val="0"/>
      <w:marTop w:val="0"/>
      <w:marBottom w:val="0"/>
      <w:divBdr>
        <w:top w:val="none" w:sz="0" w:space="0" w:color="auto"/>
        <w:left w:val="none" w:sz="0" w:space="0" w:color="auto"/>
        <w:bottom w:val="none" w:sz="0" w:space="0" w:color="auto"/>
        <w:right w:val="none" w:sz="0" w:space="0" w:color="auto"/>
      </w:divBdr>
      <w:divsChild>
        <w:div w:id="209651029">
          <w:marLeft w:val="0"/>
          <w:marRight w:val="0"/>
          <w:marTop w:val="0"/>
          <w:marBottom w:val="0"/>
          <w:divBdr>
            <w:top w:val="none" w:sz="0" w:space="0" w:color="auto"/>
            <w:left w:val="none" w:sz="0" w:space="0" w:color="auto"/>
            <w:bottom w:val="none" w:sz="0" w:space="0" w:color="auto"/>
            <w:right w:val="none" w:sz="0" w:space="0" w:color="auto"/>
          </w:divBdr>
          <w:divsChild>
            <w:div w:id="1204829986">
              <w:marLeft w:val="0"/>
              <w:marRight w:val="0"/>
              <w:marTop w:val="0"/>
              <w:marBottom w:val="0"/>
              <w:divBdr>
                <w:top w:val="none" w:sz="0" w:space="0" w:color="auto"/>
                <w:left w:val="none" w:sz="0" w:space="0" w:color="auto"/>
                <w:bottom w:val="none" w:sz="0" w:space="0" w:color="auto"/>
                <w:right w:val="none" w:sz="0" w:space="0" w:color="auto"/>
              </w:divBdr>
              <w:divsChild>
                <w:div w:id="1968314738">
                  <w:marLeft w:val="0"/>
                  <w:marRight w:val="0"/>
                  <w:marTop w:val="0"/>
                  <w:marBottom w:val="0"/>
                  <w:divBdr>
                    <w:top w:val="none" w:sz="0" w:space="0" w:color="auto"/>
                    <w:left w:val="none" w:sz="0" w:space="0" w:color="auto"/>
                    <w:bottom w:val="none" w:sz="0" w:space="0" w:color="auto"/>
                    <w:right w:val="none" w:sz="0" w:space="0" w:color="auto"/>
                  </w:divBdr>
                  <w:divsChild>
                    <w:div w:id="632487946">
                      <w:marLeft w:val="0"/>
                      <w:marRight w:val="0"/>
                      <w:marTop w:val="0"/>
                      <w:marBottom w:val="0"/>
                      <w:divBdr>
                        <w:top w:val="none" w:sz="0" w:space="0" w:color="auto"/>
                        <w:left w:val="none" w:sz="0" w:space="0" w:color="auto"/>
                        <w:bottom w:val="none" w:sz="0" w:space="0" w:color="auto"/>
                        <w:right w:val="none" w:sz="0" w:space="0" w:color="auto"/>
                      </w:divBdr>
                      <w:divsChild>
                        <w:div w:id="1796369413">
                          <w:marLeft w:val="0"/>
                          <w:marRight w:val="0"/>
                          <w:marTop w:val="0"/>
                          <w:marBottom w:val="0"/>
                          <w:divBdr>
                            <w:top w:val="none" w:sz="0" w:space="0" w:color="auto"/>
                            <w:left w:val="none" w:sz="0" w:space="0" w:color="auto"/>
                            <w:bottom w:val="none" w:sz="0" w:space="0" w:color="auto"/>
                            <w:right w:val="none" w:sz="0" w:space="0" w:color="auto"/>
                          </w:divBdr>
                          <w:divsChild>
                            <w:div w:id="1909804744">
                              <w:marLeft w:val="0"/>
                              <w:marRight w:val="0"/>
                              <w:marTop w:val="0"/>
                              <w:marBottom w:val="0"/>
                              <w:divBdr>
                                <w:top w:val="none" w:sz="0" w:space="0" w:color="auto"/>
                                <w:left w:val="none" w:sz="0" w:space="0" w:color="auto"/>
                                <w:bottom w:val="none" w:sz="0" w:space="0" w:color="auto"/>
                                <w:right w:val="none" w:sz="0" w:space="0" w:color="auto"/>
                              </w:divBdr>
                              <w:divsChild>
                                <w:div w:id="1894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15512">
      <w:bodyDiv w:val="1"/>
      <w:marLeft w:val="0"/>
      <w:marRight w:val="0"/>
      <w:marTop w:val="0"/>
      <w:marBottom w:val="0"/>
      <w:divBdr>
        <w:top w:val="none" w:sz="0" w:space="0" w:color="auto"/>
        <w:left w:val="none" w:sz="0" w:space="0" w:color="auto"/>
        <w:bottom w:val="none" w:sz="0" w:space="0" w:color="auto"/>
        <w:right w:val="none" w:sz="0" w:space="0" w:color="auto"/>
      </w:divBdr>
      <w:divsChild>
        <w:div w:id="2064673166">
          <w:marLeft w:val="0"/>
          <w:marRight w:val="0"/>
          <w:marTop w:val="0"/>
          <w:marBottom w:val="0"/>
          <w:divBdr>
            <w:top w:val="none" w:sz="0" w:space="0" w:color="auto"/>
            <w:left w:val="none" w:sz="0" w:space="0" w:color="auto"/>
            <w:bottom w:val="none" w:sz="0" w:space="0" w:color="auto"/>
            <w:right w:val="none" w:sz="0" w:space="0" w:color="auto"/>
          </w:divBdr>
        </w:div>
      </w:divsChild>
    </w:div>
    <w:div w:id="558638528">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207527292">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25804470">
      <w:bodyDiv w:val="1"/>
      <w:marLeft w:val="0"/>
      <w:marRight w:val="0"/>
      <w:marTop w:val="0"/>
      <w:marBottom w:val="0"/>
      <w:divBdr>
        <w:top w:val="none" w:sz="0" w:space="0" w:color="auto"/>
        <w:left w:val="none" w:sz="0" w:space="0" w:color="auto"/>
        <w:bottom w:val="none" w:sz="0" w:space="0" w:color="auto"/>
        <w:right w:val="none" w:sz="0" w:space="0" w:color="auto"/>
      </w:divBdr>
      <w:divsChild>
        <w:div w:id="958031731">
          <w:marLeft w:val="0"/>
          <w:marRight w:val="0"/>
          <w:marTop w:val="0"/>
          <w:marBottom w:val="0"/>
          <w:divBdr>
            <w:top w:val="none" w:sz="0" w:space="0" w:color="auto"/>
            <w:left w:val="none" w:sz="0" w:space="0" w:color="auto"/>
            <w:bottom w:val="none" w:sz="0" w:space="0" w:color="auto"/>
            <w:right w:val="none" w:sz="0" w:space="0" w:color="auto"/>
          </w:divBdr>
          <w:divsChild>
            <w:div w:id="1063210551">
              <w:marLeft w:val="0"/>
              <w:marRight w:val="0"/>
              <w:marTop w:val="0"/>
              <w:marBottom w:val="0"/>
              <w:divBdr>
                <w:top w:val="none" w:sz="0" w:space="0" w:color="auto"/>
                <w:left w:val="none" w:sz="0" w:space="0" w:color="auto"/>
                <w:bottom w:val="none" w:sz="0" w:space="0" w:color="auto"/>
                <w:right w:val="none" w:sz="0" w:space="0" w:color="auto"/>
              </w:divBdr>
              <w:divsChild>
                <w:div w:id="20987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833835352">
      <w:bodyDiv w:val="1"/>
      <w:marLeft w:val="0"/>
      <w:marRight w:val="0"/>
      <w:marTop w:val="0"/>
      <w:marBottom w:val="0"/>
      <w:divBdr>
        <w:top w:val="none" w:sz="0" w:space="0" w:color="auto"/>
        <w:left w:val="none" w:sz="0" w:space="0" w:color="auto"/>
        <w:bottom w:val="none" w:sz="0" w:space="0" w:color="auto"/>
        <w:right w:val="none" w:sz="0" w:space="0" w:color="auto"/>
      </w:divBdr>
      <w:divsChild>
        <w:div w:id="104231460">
          <w:marLeft w:val="0"/>
          <w:marRight w:val="0"/>
          <w:marTop w:val="0"/>
          <w:marBottom w:val="0"/>
          <w:divBdr>
            <w:top w:val="none" w:sz="0" w:space="0" w:color="auto"/>
            <w:left w:val="none" w:sz="0" w:space="0" w:color="auto"/>
            <w:bottom w:val="none" w:sz="0" w:space="0" w:color="auto"/>
            <w:right w:val="none" w:sz="0" w:space="0" w:color="auto"/>
          </w:divBdr>
        </w:div>
      </w:divsChild>
    </w:div>
    <w:div w:id="1965189288">
      <w:bodyDiv w:val="1"/>
      <w:marLeft w:val="0"/>
      <w:marRight w:val="0"/>
      <w:marTop w:val="0"/>
      <w:marBottom w:val="0"/>
      <w:divBdr>
        <w:top w:val="none" w:sz="0" w:space="0" w:color="auto"/>
        <w:left w:val="none" w:sz="0" w:space="0" w:color="auto"/>
        <w:bottom w:val="none" w:sz="0" w:space="0" w:color="auto"/>
        <w:right w:val="none" w:sz="0" w:space="0" w:color="auto"/>
      </w:divBdr>
      <w:divsChild>
        <w:div w:id="338965507">
          <w:marLeft w:val="0"/>
          <w:marRight w:val="0"/>
          <w:marTop w:val="0"/>
          <w:marBottom w:val="0"/>
          <w:divBdr>
            <w:top w:val="none" w:sz="0" w:space="0" w:color="auto"/>
            <w:left w:val="none" w:sz="0" w:space="0" w:color="auto"/>
            <w:bottom w:val="none" w:sz="0" w:space="0" w:color="auto"/>
            <w:right w:val="none" w:sz="0" w:space="0" w:color="auto"/>
          </w:divBdr>
        </w:div>
      </w:divsChild>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05038761">
      <w:bodyDiv w:val="1"/>
      <w:marLeft w:val="0"/>
      <w:marRight w:val="0"/>
      <w:marTop w:val="0"/>
      <w:marBottom w:val="0"/>
      <w:divBdr>
        <w:top w:val="none" w:sz="0" w:space="0" w:color="auto"/>
        <w:left w:val="none" w:sz="0" w:space="0" w:color="auto"/>
        <w:bottom w:val="none" w:sz="0" w:space="0" w:color="auto"/>
        <w:right w:val="none" w:sz="0" w:space="0" w:color="auto"/>
      </w:divBdr>
      <w:divsChild>
        <w:div w:id="1117211369">
          <w:marLeft w:val="0"/>
          <w:marRight w:val="0"/>
          <w:marTop w:val="0"/>
          <w:marBottom w:val="0"/>
          <w:divBdr>
            <w:top w:val="none" w:sz="0" w:space="0" w:color="auto"/>
            <w:left w:val="none" w:sz="0" w:space="0" w:color="auto"/>
            <w:bottom w:val="none" w:sz="0" w:space="0" w:color="auto"/>
            <w:right w:val="none" w:sz="0" w:space="0" w:color="auto"/>
          </w:divBdr>
        </w:div>
      </w:divsChild>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D958-0CF4-4C15-9AA5-A9C07AD5FF68}"/>
</file>

<file path=customXml/itemProps2.xml><?xml version="1.0" encoding="utf-8"?>
<ds:datastoreItem xmlns:ds="http://schemas.openxmlformats.org/officeDocument/2006/customXml" ds:itemID="{BDF6B080-11B2-4E54-B854-9CEB8A4EFD8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4.xml><?xml version="1.0" encoding="utf-8"?>
<ds:datastoreItem xmlns:ds="http://schemas.openxmlformats.org/officeDocument/2006/customXml" ds:itemID="{66EF8F3C-79AF-4192-858D-A62CA011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CCPR/C/127/DR/2505/2014</vt:lpstr>
    </vt:vector>
  </TitlesOfParts>
  <Company>DCM</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CCPR/C/127/DR/2505/2014</dc:title>
  <dc:subject>1918227</dc:subject>
  <dc:creator>Generic Pdf eng</dc:creator>
  <cp:keywords/>
  <dc:description/>
  <cp:lastModifiedBy>ABDELAZIM Mohamed</cp:lastModifiedBy>
  <cp:revision>15</cp:revision>
  <cp:lastPrinted>2019-10-09T11:18:00Z</cp:lastPrinted>
  <dcterms:created xsi:type="dcterms:W3CDTF">2019-11-06T16:17:00Z</dcterms:created>
  <dcterms:modified xsi:type="dcterms:W3CDTF">2019-11-19T09:56:00Z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