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F9" w:rsidRPr="00EF4C7C" w:rsidRDefault="00715883">
      <w:pPr>
        <w:pStyle w:val="TextA"/>
        <w:tabs>
          <w:tab w:val="left" w:pos="3840"/>
        </w:tabs>
        <w:jc w:val="both"/>
        <w:rPr>
          <w:rStyle w:val="dnA"/>
          <w:rFonts w:ascii="Futura Lt BT" w:eastAsia="Century Gothic" w:hAnsi="Futura Lt BT" w:cs="Century Gothic"/>
          <w:b/>
          <w:bCs/>
          <w:sz w:val="64"/>
          <w:szCs w:val="64"/>
        </w:rPr>
      </w:pPr>
      <w:bookmarkStart w:id="0" w:name="_GoBack"/>
      <w:bookmarkEnd w:id="0"/>
      <w:r w:rsidRPr="00EF4C7C">
        <w:rPr>
          <w:rStyle w:val="dnA"/>
          <w:rFonts w:ascii="Futura Lt BT" w:hAnsi="Futura Lt BT"/>
          <w:b/>
          <w:bCs/>
          <w:sz w:val="62"/>
          <w:szCs w:val="62"/>
        </w:rPr>
        <w:t>FORUM</w:t>
      </w:r>
      <w:r w:rsidRPr="00EF4C7C">
        <w:rPr>
          <w:rStyle w:val="dnA"/>
          <w:rFonts w:ascii="Futura Lt BT" w:eastAsia="Century Gothic" w:hAnsi="Futura Lt BT" w:cs="Century Gothic"/>
          <w:b/>
          <w:bCs/>
          <w:noProof/>
          <w:sz w:val="62"/>
          <w:szCs w:val="62"/>
        </w:rPr>
        <w:drawing>
          <wp:anchor distT="63500" distB="63500" distL="63500" distR="63500" simplePos="0" relativeHeight="251659264" behindDoc="0" locked="0" layoutInCell="1" allowOverlap="1" wp14:anchorId="17F6ADA8" wp14:editId="6D70C0D9">
            <wp:simplePos x="0" y="0"/>
            <wp:positionH relativeFrom="page">
              <wp:posOffset>3316562</wp:posOffset>
            </wp:positionH>
            <wp:positionV relativeFrom="page">
              <wp:posOffset>857250</wp:posOffset>
            </wp:positionV>
            <wp:extent cx="1444613" cy="926545"/>
            <wp:effectExtent l="0" t="0" r="0" b="0"/>
            <wp:wrapSquare wrapText="bothSides" distT="63500" distB="63500" distL="63500" distR="63500"/>
            <wp:docPr id="1073741825" name="officeArt object" descr="O:\STATIONERY AND LOGOS\logos\Current logo\mdac uk.png"/>
            <wp:cNvGraphicFramePr/>
            <a:graphic xmlns:a="http://schemas.openxmlformats.org/drawingml/2006/main">
              <a:graphicData uri="http://schemas.openxmlformats.org/drawingml/2006/picture">
                <pic:pic xmlns:pic="http://schemas.openxmlformats.org/drawingml/2006/picture">
                  <pic:nvPicPr>
                    <pic:cNvPr id="1073741825" name="image1.png" descr="O:\STATIONERY AND LOGOS\logos\Current logo\mdac uk.png"/>
                    <pic:cNvPicPr>
                      <a:picLocks noChangeAspect="1"/>
                    </pic:cNvPicPr>
                  </pic:nvPicPr>
                  <pic:blipFill>
                    <a:blip r:embed="rId8">
                      <a:extLst/>
                    </a:blip>
                    <a:stretch>
                      <a:fillRect/>
                    </a:stretch>
                  </pic:blipFill>
                  <pic:spPr>
                    <a:xfrm>
                      <a:off x="0" y="0"/>
                      <a:ext cx="1444613" cy="926545"/>
                    </a:xfrm>
                    <a:prstGeom prst="rect">
                      <a:avLst/>
                    </a:prstGeom>
                    <a:ln w="12700" cap="flat">
                      <a:noFill/>
                      <a:miter lim="400000"/>
                    </a:ln>
                    <a:effectLst/>
                  </pic:spPr>
                </pic:pic>
              </a:graphicData>
            </a:graphic>
          </wp:anchor>
        </w:drawing>
      </w:r>
      <w:r w:rsidRPr="00EF4C7C">
        <w:rPr>
          <w:rStyle w:val="dnA"/>
          <w:rFonts w:ascii="Futura Lt BT" w:eastAsia="Century Gothic" w:hAnsi="Futura Lt BT" w:cs="Century Gothic"/>
          <w:b/>
          <w:bCs/>
          <w:noProof/>
          <w:sz w:val="62"/>
          <w:szCs w:val="62"/>
        </w:rPr>
        <w:drawing>
          <wp:anchor distT="152400" distB="152400" distL="152400" distR="152400" simplePos="0" relativeHeight="251660288" behindDoc="0" locked="0" layoutInCell="1" allowOverlap="1" wp14:anchorId="19A3353A" wp14:editId="253DB73B">
            <wp:simplePos x="0" y="0"/>
            <wp:positionH relativeFrom="page">
              <wp:posOffset>5587270</wp:posOffset>
            </wp:positionH>
            <wp:positionV relativeFrom="page">
              <wp:posOffset>899794</wp:posOffset>
            </wp:positionV>
            <wp:extent cx="838052" cy="83805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9">
                      <a:extLst/>
                    </a:blip>
                    <a:stretch>
                      <a:fillRect/>
                    </a:stretch>
                  </pic:blipFill>
                  <pic:spPr>
                    <a:xfrm>
                      <a:off x="0" y="0"/>
                      <a:ext cx="838052" cy="838052"/>
                    </a:xfrm>
                    <a:prstGeom prst="rect">
                      <a:avLst/>
                    </a:prstGeom>
                    <a:ln w="12700" cap="flat">
                      <a:noFill/>
                      <a:miter lim="400000"/>
                    </a:ln>
                    <a:effectLst/>
                  </pic:spPr>
                </pic:pic>
              </a:graphicData>
            </a:graphic>
          </wp:anchor>
        </w:drawing>
      </w:r>
    </w:p>
    <w:p w:rsidR="000E19F9" w:rsidRPr="00EF4C7C" w:rsidRDefault="00715883">
      <w:pPr>
        <w:pStyle w:val="TextA"/>
        <w:tabs>
          <w:tab w:val="left" w:pos="3840"/>
        </w:tabs>
        <w:jc w:val="both"/>
        <w:rPr>
          <w:rStyle w:val="dnA"/>
          <w:rFonts w:ascii="Futura Lt BT" w:eastAsia="Century Gothic" w:hAnsi="Futura Lt BT" w:cs="Century Gothic"/>
          <w:b/>
          <w:bCs/>
          <w:sz w:val="64"/>
          <w:szCs w:val="64"/>
        </w:rPr>
      </w:pPr>
      <w:r w:rsidRPr="00EF4C7C">
        <w:rPr>
          <w:rStyle w:val="dnA"/>
          <w:rFonts w:ascii="Futura Lt BT" w:hAnsi="Futura Lt BT"/>
          <w:sz w:val="32"/>
          <w:szCs w:val="32"/>
          <w:shd w:val="clear" w:color="auto" w:fill="EEECE1"/>
        </w:rPr>
        <w:t>Human Rights</w:t>
      </w:r>
      <w:r w:rsidRPr="00EF4C7C">
        <w:rPr>
          <w:rStyle w:val="dnA"/>
          <w:rFonts w:ascii="Futura Lt BT" w:eastAsia="Century Gothic" w:hAnsi="Futura Lt BT" w:cs="Century Gothic"/>
          <w:noProof/>
          <w:sz w:val="32"/>
          <w:szCs w:val="32"/>
          <w:shd w:val="clear" w:color="auto" w:fill="EEECE1"/>
        </w:rPr>
        <w:drawing>
          <wp:anchor distT="152400" distB="152400" distL="152400" distR="152400" simplePos="0" relativeHeight="251662336" behindDoc="0" locked="0" layoutInCell="1" allowOverlap="1" wp14:anchorId="4BAB1F03" wp14:editId="7ED181FD">
            <wp:simplePos x="0" y="0"/>
            <wp:positionH relativeFrom="page">
              <wp:posOffset>4136389</wp:posOffset>
            </wp:positionH>
            <wp:positionV relativeFrom="line">
              <wp:posOffset>633423</wp:posOffset>
            </wp:positionV>
            <wp:extent cx="1551487" cy="583266"/>
            <wp:effectExtent l="0" t="0" r="0" b="0"/>
            <wp:wrapThrough wrapText="bothSides" distL="152400" distR="152400">
              <wp:wrapPolygon edited="1">
                <wp:start x="1624" y="2592"/>
                <wp:lineTo x="1624" y="6912"/>
                <wp:lineTo x="3573" y="7344"/>
                <wp:lineTo x="3573" y="9504"/>
                <wp:lineTo x="1949" y="9504"/>
                <wp:lineTo x="2274" y="11232"/>
                <wp:lineTo x="3735" y="12960"/>
                <wp:lineTo x="3411" y="17280"/>
                <wp:lineTo x="650" y="17712"/>
                <wp:lineTo x="974" y="15120"/>
                <wp:lineTo x="2598" y="15120"/>
                <wp:lineTo x="650" y="11664"/>
                <wp:lineTo x="974" y="7776"/>
                <wp:lineTo x="1624" y="6912"/>
                <wp:lineTo x="1624" y="2592"/>
                <wp:lineTo x="5847" y="2592"/>
                <wp:lineTo x="5847" y="6912"/>
                <wp:lineTo x="7146" y="7405"/>
                <wp:lineTo x="7146" y="9936"/>
                <wp:lineTo x="5847" y="10368"/>
                <wp:lineTo x="6009" y="15120"/>
                <wp:lineTo x="7471" y="14688"/>
                <wp:lineTo x="7308" y="9936"/>
                <wp:lineTo x="7146" y="9936"/>
                <wp:lineTo x="7146" y="7405"/>
                <wp:lineTo x="8120" y="7776"/>
                <wp:lineTo x="8932" y="10800"/>
                <wp:lineTo x="8445" y="16416"/>
                <wp:lineTo x="7308" y="18144"/>
                <wp:lineTo x="5035" y="16848"/>
                <wp:lineTo x="4547" y="11664"/>
                <wp:lineTo x="5197" y="7776"/>
                <wp:lineTo x="5847" y="6912"/>
                <wp:lineTo x="5847" y="2592"/>
                <wp:lineTo x="11206" y="2592"/>
                <wp:lineTo x="11206" y="6912"/>
                <wp:lineTo x="12992" y="7344"/>
                <wp:lineTo x="12668" y="9936"/>
                <wp:lineTo x="11206" y="10368"/>
                <wp:lineTo x="11206" y="14688"/>
                <wp:lineTo x="12992" y="15120"/>
                <wp:lineTo x="12992" y="17712"/>
                <wp:lineTo x="10394" y="17280"/>
                <wp:lineTo x="9582" y="12096"/>
                <wp:lineTo x="10556" y="7776"/>
                <wp:lineTo x="11206" y="6912"/>
                <wp:lineTo x="11206" y="2592"/>
                <wp:lineTo x="14129" y="2592"/>
                <wp:lineTo x="15104" y="3456"/>
                <wp:lineTo x="14779" y="6048"/>
                <wp:lineTo x="13805" y="5184"/>
                <wp:lineTo x="14129" y="2592"/>
                <wp:lineTo x="15591" y="2592"/>
                <wp:lineTo x="15591" y="5616"/>
                <wp:lineTo x="16890" y="8208"/>
                <wp:lineTo x="16078" y="12960"/>
                <wp:lineTo x="14941" y="16416"/>
                <wp:lineTo x="15266" y="18144"/>
                <wp:lineTo x="14292" y="18144"/>
                <wp:lineTo x="13642" y="14688"/>
                <wp:lineTo x="15591" y="8208"/>
                <wp:lineTo x="15266" y="6480"/>
                <wp:lineTo x="15591" y="5616"/>
                <wp:lineTo x="15591" y="2592"/>
                <wp:lineTo x="18352" y="2592"/>
                <wp:lineTo x="18352" y="7344"/>
                <wp:lineTo x="20463" y="8208"/>
                <wp:lineTo x="20950" y="9936"/>
                <wp:lineTo x="20950" y="18144"/>
                <wp:lineTo x="19814" y="18144"/>
                <wp:lineTo x="19651" y="17280"/>
                <wp:lineTo x="18189" y="18144"/>
                <wp:lineTo x="17215" y="16416"/>
                <wp:lineTo x="17540" y="12528"/>
                <wp:lineTo x="19814" y="10368"/>
                <wp:lineTo x="19814" y="13824"/>
                <wp:lineTo x="18352" y="14256"/>
                <wp:lineTo x="18514" y="15984"/>
                <wp:lineTo x="19651" y="15552"/>
                <wp:lineTo x="19814" y="13824"/>
                <wp:lineTo x="19814" y="10368"/>
                <wp:lineTo x="17702" y="10368"/>
                <wp:lineTo x="17702" y="7776"/>
                <wp:lineTo x="18352" y="7344"/>
                <wp:lineTo x="18352" y="2592"/>
                <wp:lineTo x="1624" y="259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tif"/>
                    <pic:cNvPicPr>
                      <a:picLocks noChangeAspect="1"/>
                    </pic:cNvPicPr>
                  </pic:nvPicPr>
                  <pic:blipFill>
                    <a:blip r:embed="rId10">
                      <a:extLst/>
                    </a:blip>
                    <a:stretch>
                      <a:fillRect/>
                    </a:stretch>
                  </pic:blipFill>
                  <pic:spPr>
                    <a:xfrm>
                      <a:off x="0" y="0"/>
                      <a:ext cx="1551487" cy="583266"/>
                    </a:xfrm>
                    <a:prstGeom prst="rect">
                      <a:avLst/>
                    </a:prstGeom>
                    <a:ln w="12700" cap="flat">
                      <a:noFill/>
                      <a:miter lim="400000"/>
                    </a:ln>
                    <a:effectLst/>
                  </pic:spPr>
                </pic:pic>
              </a:graphicData>
            </a:graphic>
          </wp:anchor>
        </w:drawing>
      </w:r>
    </w:p>
    <w:p w:rsidR="000E19F9" w:rsidRPr="00EF4C7C" w:rsidRDefault="00715883">
      <w:pPr>
        <w:pStyle w:val="TextA"/>
        <w:rPr>
          <w:rStyle w:val="dnA"/>
          <w:rFonts w:ascii="Futura Lt BT" w:eastAsia="Century Gothic" w:hAnsi="Futura Lt BT" w:cs="Century Gothic"/>
        </w:rPr>
      </w:pPr>
      <w:r w:rsidRPr="00EF4C7C">
        <w:rPr>
          <w:rStyle w:val="dnA"/>
          <w:rFonts w:ascii="Futura Lt BT" w:eastAsia="Century Gothic" w:hAnsi="Futura Lt BT" w:cs="Century Gothic"/>
          <w:b/>
          <w:bCs/>
          <w:noProof/>
          <w:sz w:val="64"/>
          <w:szCs w:val="64"/>
        </w:rPr>
        <w:drawing>
          <wp:anchor distT="152400" distB="152400" distL="152400" distR="152400" simplePos="0" relativeHeight="251661312" behindDoc="0" locked="0" layoutInCell="1" allowOverlap="1" wp14:anchorId="4674C730" wp14:editId="090A5515">
            <wp:simplePos x="0" y="0"/>
            <wp:positionH relativeFrom="page">
              <wp:posOffset>1615956</wp:posOffset>
            </wp:positionH>
            <wp:positionV relativeFrom="line">
              <wp:posOffset>260985</wp:posOffset>
            </wp:positionV>
            <wp:extent cx="2231357" cy="97866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tif"/>
                    <pic:cNvPicPr>
                      <a:picLocks noChangeAspect="1"/>
                    </pic:cNvPicPr>
                  </pic:nvPicPr>
                  <pic:blipFill>
                    <a:blip r:embed="rId11">
                      <a:extLst/>
                    </a:blip>
                    <a:stretch>
                      <a:fillRect/>
                    </a:stretch>
                  </pic:blipFill>
                  <pic:spPr>
                    <a:xfrm>
                      <a:off x="0" y="0"/>
                      <a:ext cx="2231357" cy="978666"/>
                    </a:xfrm>
                    <a:prstGeom prst="rect">
                      <a:avLst/>
                    </a:prstGeom>
                    <a:ln w="12700" cap="flat">
                      <a:noFill/>
                      <a:miter lim="400000"/>
                    </a:ln>
                    <a:effectLst/>
                  </pic:spPr>
                </pic:pic>
              </a:graphicData>
            </a:graphic>
          </wp:anchor>
        </w:drawing>
      </w:r>
    </w:p>
    <w:p w:rsidR="000E19F9" w:rsidRPr="00EF4C7C" w:rsidRDefault="000E19F9">
      <w:pPr>
        <w:pStyle w:val="TextA"/>
        <w:jc w:val="center"/>
        <w:rPr>
          <w:rFonts w:ascii="Futura Lt BT" w:eastAsia="Century Gothic" w:hAnsi="Futura Lt BT" w:cs="Century Gothic"/>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rPr>
      </w:pPr>
    </w:p>
    <w:p w:rsidR="000E19F9" w:rsidRPr="00EF4C7C" w:rsidRDefault="000E19F9">
      <w:pPr>
        <w:pStyle w:val="TextA"/>
        <w:jc w:val="center"/>
        <w:rPr>
          <w:rFonts w:ascii="Futura Lt BT" w:eastAsia="Century Gothic" w:hAnsi="Futura Lt BT" w:cs="Century Gothic"/>
        </w:rPr>
      </w:pPr>
    </w:p>
    <w:p w:rsidR="000E19F9" w:rsidRPr="00EF4C7C" w:rsidRDefault="00715883">
      <w:pPr>
        <w:pStyle w:val="TextA"/>
        <w:jc w:val="center"/>
        <w:rPr>
          <w:rStyle w:val="dnA"/>
          <w:rFonts w:ascii="Futura Lt BT" w:eastAsia="Century Gothic" w:hAnsi="Futura Lt BT" w:cs="Century Gothic"/>
          <w:b/>
          <w:bCs/>
          <w:sz w:val="28"/>
          <w:szCs w:val="28"/>
        </w:rPr>
      </w:pPr>
      <w:r w:rsidRPr="00EF4C7C">
        <w:rPr>
          <w:rStyle w:val="dnA"/>
          <w:rFonts w:ascii="Futura Lt BT" w:hAnsi="Futura Lt BT"/>
          <w:b/>
          <w:bCs/>
          <w:sz w:val="28"/>
          <w:szCs w:val="28"/>
        </w:rPr>
        <w:t>NGO information to the United Nations Human Rights Committee</w:t>
      </w: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715883">
      <w:pPr>
        <w:pStyle w:val="TextA"/>
        <w:jc w:val="center"/>
        <w:rPr>
          <w:rStyle w:val="dnA"/>
          <w:rFonts w:ascii="Futura Lt BT" w:eastAsia="Century Gothic" w:hAnsi="Futura Lt BT" w:cs="Century Gothic"/>
          <w:b/>
          <w:bCs/>
          <w:sz w:val="28"/>
          <w:szCs w:val="28"/>
        </w:rPr>
      </w:pPr>
      <w:r w:rsidRPr="00EF4C7C">
        <w:rPr>
          <w:rStyle w:val="dnA"/>
          <w:rFonts w:ascii="Futura Lt BT" w:hAnsi="Futura Lt BT"/>
          <w:b/>
          <w:bCs/>
          <w:sz w:val="28"/>
          <w:szCs w:val="28"/>
        </w:rPr>
        <w:t>For consideration when compiling the List of Issues on the Fourth Periodic Report of the Slovak Republic under the International Covenant on Civil and Political Rights</w:t>
      </w: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715883">
      <w:pPr>
        <w:pStyle w:val="TextA"/>
        <w:jc w:val="center"/>
        <w:rPr>
          <w:rStyle w:val="dnA"/>
          <w:rFonts w:ascii="Futura Lt BT" w:eastAsia="Century Gothic" w:hAnsi="Futura Lt BT" w:cs="Century Gothic"/>
          <w:b/>
          <w:bCs/>
          <w:sz w:val="28"/>
          <w:szCs w:val="28"/>
        </w:rPr>
      </w:pPr>
      <w:r w:rsidRPr="00EF4C7C">
        <w:rPr>
          <w:rStyle w:val="dnA"/>
          <w:rFonts w:ascii="Futura Lt BT" w:hAnsi="Futura Lt BT"/>
          <w:b/>
          <w:bCs/>
          <w:sz w:val="28"/>
          <w:szCs w:val="28"/>
        </w:rPr>
        <w:t>_______________________________________</w:t>
      </w: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0E19F9">
      <w:pPr>
        <w:pStyle w:val="TextA"/>
        <w:jc w:val="center"/>
        <w:rPr>
          <w:rFonts w:ascii="Futura Lt BT" w:eastAsia="Century Gothic" w:hAnsi="Futura Lt BT" w:cs="Century Gothic"/>
          <w:b/>
          <w:bCs/>
          <w:sz w:val="28"/>
          <w:szCs w:val="28"/>
        </w:rPr>
      </w:pPr>
    </w:p>
    <w:p w:rsidR="000E19F9" w:rsidRPr="00EF4C7C" w:rsidRDefault="00715883">
      <w:pPr>
        <w:pStyle w:val="TextA"/>
        <w:jc w:val="center"/>
        <w:rPr>
          <w:rStyle w:val="dnA"/>
          <w:rFonts w:ascii="Futura Lt BT" w:eastAsia="Century Gothic" w:hAnsi="Futura Lt BT" w:cs="Century Gothic"/>
          <w:sz w:val="28"/>
          <w:szCs w:val="28"/>
        </w:rPr>
      </w:pPr>
      <w:r w:rsidRPr="00EF4C7C">
        <w:rPr>
          <w:rStyle w:val="dnA"/>
          <w:rFonts w:ascii="Futura Lt BT" w:hAnsi="Futura Lt BT"/>
          <w:sz w:val="28"/>
          <w:szCs w:val="28"/>
        </w:rPr>
        <w:t>Submitted by:</w:t>
      </w:r>
      <w:r w:rsidRPr="00EF4C7C">
        <w:rPr>
          <w:rStyle w:val="dnA"/>
          <w:rFonts w:ascii="Futura Lt BT" w:hAnsi="Futura Lt BT"/>
          <w:sz w:val="28"/>
          <w:szCs w:val="28"/>
        </w:rPr>
        <w:br/>
      </w:r>
    </w:p>
    <w:p w:rsidR="000E19F9" w:rsidRPr="00EF4C7C" w:rsidRDefault="00715883">
      <w:pPr>
        <w:pStyle w:val="TextA"/>
        <w:jc w:val="center"/>
        <w:rPr>
          <w:rStyle w:val="dnA"/>
          <w:rFonts w:ascii="Futura Lt BT" w:eastAsia="Century Gothic" w:hAnsi="Futura Lt BT" w:cs="Century Gothic"/>
          <w:sz w:val="27"/>
          <w:szCs w:val="27"/>
        </w:rPr>
      </w:pPr>
      <w:r w:rsidRPr="00EF4C7C">
        <w:rPr>
          <w:rStyle w:val="dnA"/>
          <w:rFonts w:ascii="Futura Lt BT" w:hAnsi="Futura Lt BT"/>
          <w:sz w:val="27"/>
          <w:szCs w:val="27"/>
        </w:rPr>
        <w:t xml:space="preserve">Mental Disability Advocacy Centre (MDAC) </w:t>
      </w:r>
      <w:r w:rsidRPr="00EF4C7C">
        <w:rPr>
          <w:rStyle w:val="dnA"/>
          <w:rFonts w:ascii="Futura Lt BT" w:hAnsi="Futura Lt BT"/>
          <w:sz w:val="27"/>
          <w:szCs w:val="27"/>
        </w:rPr>
        <w:br/>
        <w:t>Forum for Human Rights (FORUM)</w:t>
      </w:r>
    </w:p>
    <w:p w:rsidR="000E19F9" w:rsidRPr="00EF4C7C" w:rsidRDefault="00715883">
      <w:pPr>
        <w:pStyle w:val="TextA"/>
        <w:jc w:val="center"/>
        <w:rPr>
          <w:rStyle w:val="dnA"/>
          <w:rFonts w:ascii="Futura Lt BT" w:eastAsia="Century Gothic" w:hAnsi="Futura Lt BT" w:cs="Century Gothic"/>
          <w:sz w:val="27"/>
          <w:szCs w:val="27"/>
        </w:rPr>
      </w:pPr>
      <w:r w:rsidRPr="00EF4C7C">
        <w:rPr>
          <w:rStyle w:val="dnA"/>
          <w:rFonts w:ascii="Futura Lt BT" w:hAnsi="Futura Lt BT"/>
          <w:sz w:val="27"/>
          <w:szCs w:val="27"/>
        </w:rPr>
        <w:t>Slovak Disability Council</w:t>
      </w:r>
    </w:p>
    <w:p w:rsidR="000E19F9" w:rsidRPr="00EF4C7C" w:rsidRDefault="00715883">
      <w:pPr>
        <w:pStyle w:val="TextA"/>
        <w:jc w:val="center"/>
        <w:rPr>
          <w:rStyle w:val="dnA"/>
          <w:rFonts w:ascii="Futura Lt BT" w:eastAsia="Century Gothic" w:hAnsi="Futura Lt BT" w:cs="Century Gothic"/>
          <w:sz w:val="27"/>
          <w:szCs w:val="27"/>
        </w:rPr>
      </w:pPr>
      <w:r w:rsidRPr="00EF4C7C">
        <w:rPr>
          <w:rStyle w:val="dnA"/>
          <w:rFonts w:ascii="Futura Lt BT" w:hAnsi="Futura Lt BT"/>
          <w:sz w:val="27"/>
          <w:szCs w:val="27"/>
        </w:rPr>
        <w:t>Association of Help to Persons with Intellectual Disabilities (</w:t>
      </w:r>
      <w:proofErr w:type="spellStart"/>
      <w:r w:rsidRPr="00EF4C7C">
        <w:rPr>
          <w:rStyle w:val="dnA"/>
          <w:rFonts w:ascii="Futura Lt BT" w:hAnsi="Futura Lt BT"/>
          <w:sz w:val="27"/>
          <w:szCs w:val="27"/>
        </w:rPr>
        <w:t>ZPMPvSR</w:t>
      </w:r>
      <w:proofErr w:type="spellEnd"/>
      <w:r w:rsidRPr="00EF4C7C">
        <w:rPr>
          <w:rStyle w:val="dnA"/>
          <w:rFonts w:ascii="Futura Lt BT" w:hAnsi="Futura Lt BT"/>
          <w:sz w:val="27"/>
          <w:szCs w:val="27"/>
        </w:rPr>
        <w:t>)</w:t>
      </w:r>
    </w:p>
    <w:p w:rsidR="000E19F9" w:rsidRPr="00EF4C7C" w:rsidRDefault="00715883">
      <w:pPr>
        <w:pStyle w:val="TextA"/>
        <w:jc w:val="center"/>
        <w:rPr>
          <w:rStyle w:val="dnA"/>
          <w:rFonts w:ascii="Futura Lt BT" w:eastAsia="Century Gothic" w:hAnsi="Futura Lt BT" w:cs="Century Gothic"/>
          <w:sz w:val="28"/>
          <w:szCs w:val="28"/>
        </w:rPr>
      </w:pPr>
      <w:r w:rsidRPr="00EF4C7C">
        <w:rPr>
          <w:rStyle w:val="dnA"/>
          <w:rFonts w:ascii="Futura Lt BT" w:hAnsi="Futura Lt BT"/>
          <w:sz w:val="27"/>
          <w:szCs w:val="27"/>
        </w:rPr>
        <w:t>SOCIA - Social Reform Foundation</w:t>
      </w: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0E19F9">
      <w:pPr>
        <w:pStyle w:val="TextA"/>
        <w:jc w:val="center"/>
        <w:rPr>
          <w:rFonts w:ascii="Futura Lt BT" w:eastAsia="Century Gothic" w:hAnsi="Futura Lt BT" w:cs="Century Gothic"/>
          <w:sz w:val="28"/>
          <w:szCs w:val="28"/>
        </w:rPr>
      </w:pPr>
    </w:p>
    <w:p w:rsidR="000E19F9" w:rsidRPr="00EF4C7C" w:rsidRDefault="00715883">
      <w:pPr>
        <w:pStyle w:val="TextA"/>
        <w:jc w:val="center"/>
        <w:rPr>
          <w:rStyle w:val="dnA"/>
          <w:rFonts w:ascii="Futura Lt BT" w:eastAsia="Century Gothic" w:hAnsi="Futura Lt BT" w:cs="Century Gothic"/>
          <w:sz w:val="28"/>
          <w:szCs w:val="28"/>
          <w:shd w:val="clear" w:color="auto" w:fill="FFFFFF"/>
        </w:rPr>
      </w:pPr>
      <w:r w:rsidRPr="00EF4C7C">
        <w:rPr>
          <w:rStyle w:val="dnA"/>
          <w:rFonts w:ascii="Futura Lt BT" w:hAnsi="Futura Lt BT"/>
          <w:sz w:val="28"/>
          <w:szCs w:val="28"/>
          <w:shd w:val="clear" w:color="auto" w:fill="FFFFFF"/>
        </w:rPr>
        <w:t>18 December 2015</w:t>
      </w:r>
    </w:p>
    <w:p w:rsidR="000E19F9" w:rsidRPr="00EF4C7C" w:rsidRDefault="000E19F9">
      <w:pPr>
        <w:pStyle w:val="NoSpacing"/>
        <w:jc w:val="both"/>
        <w:rPr>
          <w:rFonts w:ascii="Futura Lt BT" w:eastAsia="Century Gothic" w:hAnsi="Futura Lt BT" w:cs="Century Gothic"/>
          <w:b/>
          <w:bCs/>
          <w:sz w:val="24"/>
          <w:szCs w:val="24"/>
        </w:rPr>
      </w:pPr>
    </w:p>
    <w:p w:rsidR="000E19F9" w:rsidRPr="00EF4C7C" w:rsidRDefault="00715883">
      <w:pPr>
        <w:pStyle w:val="TextB"/>
        <w:rPr>
          <w:rFonts w:ascii="Futura Lt BT" w:hAnsi="Futura Lt BT"/>
        </w:rPr>
      </w:pPr>
      <w:r w:rsidRPr="00EF4C7C">
        <w:rPr>
          <w:rStyle w:val="dnA"/>
          <w:rFonts w:ascii="Futura Lt BT" w:eastAsia="Arial Unicode MS" w:hAnsi="Futura Lt BT" w:cs="Arial Unicode MS"/>
        </w:rPr>
        <w:br w:type="page"/>
      </w: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lastRenderedPageBreak/>
        <w:t>I. OVERVIEW</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This written submission provides an outline of issues of concern with regard to the Slovak Republic’s compliance with the provisions of the International Covenant on Civil and Political Rights (hereinafter “the ICCPR”), with particular focus on the enjoyment of those rights by persons with disabilities. The purpose of the submission is to assist the Human Rights Committee (hereinafter the “Committee”) with its consideration of the Slovak Republic’s Fourth Periodic Report (hereinafter “the Government Report”) in this initial stage of the compilation of the list of issues by the Country Report Task Force. </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b/>
          <w:bCs/>
          <w:sz w:val="24"/>
          <w:szCs w:val="24"/>
        </w:rPr>
      </w:pPr>
      <w:r w:rsidRPr="00EF4C7C">
        <w:rPr>
          <w:rStyle w:val="dnA"/>
          <w:rFonts w:ascii="Futura Lt BT" w:hAnsi="Futura Lt BT"/>
          <w:sz w:val="24"/>
          <w:szCs w:val="24"/>
        </w:rPr>
        <w:t>The submission has been written by the Mental Disability Advocacy Centre (MDAC)</w:t>
      </w:r>
      <w:r w:rsidRPr="00EF4C7C">
        <w:rPr>
          <w:rStyle w:val="dnA"/>
          <w:rFonts w:ascii="Futura Lt BT" w:eastAsia="Century Gothic" w:hAnsi="Futura Lt BT" w:cs="Century Gothic"/>
          <w:sz w:val="24"/>
          <w:szCs w:val="24"/>
          <w:vertAlign w:val="superscript"/>
        </w:rPr>
        <w:footnoteReference w:id="2"/>
      </w:r>
      <w:r w:rsidRPr="00EF4C7C">
        <w:rPr>
          <w:rStyle w:val="dnA"/>
          <w:rFonts w:ascii="Futura Lt BT" w:hAnsi="Futura Lt BT"/>
          <w:sz w:val="24"/>
          <w:szCs w:val="24"/>
        </w:rPr>
        <w:t xml:space="preserve"> and Forum for Human Rights (FORUM)</w:t>
      </w:r>
      <w:r w:rsidRPr="00EF4C7C">
        <w:rPr>
          <w:rStyle w:val="dnA"/>
          <w:rFonts w:ascii="Futura Lt BT" w:eastAsia="Century Gothic" w:hAnsi="Futura Lt BT" w:cs="Century Gothic"/>
          <w:sz w:val="24"/>
          <w:szCs w:val="24"/>
          <w:vertAlign w:val="superscript"/>
        </w:rPr>
        <w:footnoteReference w:id="3"/>
      </w:r>
      <w:r w:rsidRPr="00EF4C7C">
        <w:rPr>
          <w:rStyle w:val="dnA"/>
          <w:rFonts w:ascii="Futura Lt BT" w:hAnsi="Futura Lt BT"/>
          <w:sz w:val="24"/>
          <w:szCs w:val="24"/>
        </w:rPr>
        <w:t xml:space="preserve"> and supported by domestic non-governmental and disability persons’ </w:t>
      </w:r>
      <w:proofErr w:type="spellStart"/>
      <w:r w:rsidRPr="00EF4C7C">
        <w:rPr>
          <w:rStyle w:val="dnA"/>
          <w:rFonts w:ascii="Futura Lt BT" w:hAnsi="Futura Lt BT"/>
          <w:sz w:val="24"/>
          <w:szCs w:val="24"/>
        </w:rPr>
        <w:t>organisations</w:t>
      </w:r>
      <w:proofErr w:type="spellEnd"/>
      <w:r w:rsidRPr="00EF4C7C">
        <w:rPr>
          <w:rStyle w:val="dnA"/>
          <w:rFonts w:ascii="Futura Lt BT" w:hAnsi="Futura Lt BT"/>
          <w:sz w:val="24"/>
          <w:szCs w:val="24"/>
        </w:rPr>
        <w:t xml:space="preserve">, namely </w:t>
      </w:r>
      <w:r w:rsidR="00EF4C7C" w:rsidRPr="00EF4C7C">
        <w:rPr>
          <w:rStyle w:val="dnA"/>
          <w:rFonts w:ascii="Futura Lt BT" w:hAnsi="Futura Lt BT"/>
          <w:sz w:val="24"/>
          <w:szCs w:val="24"/>
        </w:rPr>
        <w:t xml:space="preserve">the </w:t>
      </w:r>
      <w:r w:rsidRPr="00EF4C7C">
        <w:rPr>
          <w:rStyle w:val="dnA"/>
          <w:rFonts w:ascii="Futura Lt BT" w:hAnsi="Futura Lt BT"/>
          <w:sz w:val="24"/>
          <w:szCs w:val="24"/>
        </w:rPr>
        <w:t xml:space="preserve">Slovak Disability Council, Slovak Association of Help to Persons with Intellectual Disabilities and SOCIA - Social Reform Foundation. </w:t>
      </w:r>
    </w:p>
    <w:p w:rsidR="000E19F9" w:rsidRPr="00EF4C7C" w:rsidRDefault="000E19F9">
      <w:pPr>
        <w:pStyle w:val="NoSpacing"/>
        <w:jc w:val="both"/>
        <w:rPr>
          <w:rFonts w:ascii="Futura Lt BT" w:eastAsia="Century Gothic" w:hAnsi="Futura Lt BT" w:cs="Century Gothic"/>
          <w:b/>
          <w:bCs/>
          <w:sz w:val="24"/>
          <w:szCs w:val="24"/>
        </w:rPr>
      </w:pPr>
    </w:p>
    <w:p w:rsidR="00EF4C7C" w:rsidRDefault="00EF4C7C">
      <w:pPr>
        <w:pStyle w:val="NoSpacing"/>
        <w:jc w:val="both"/>
        <w:rPr>
          <w:rStyle w:val="dnA"/>
          <w:rFonts w:ascii="Futura Lt BT" w:hAnsi="Futura Lt BT"/>
          <w:b/>
          <w:bCs/>
          <w:sz w:val="24"/>
          <w:szCs w:val="24"/>
        </w:rPr>
      </w:pP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 xml:space="preserve">II. SPECIFIC COMMENTS </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Definition of discrimination - Articles 2 and 26 ICCPR</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A"/>
          <w:rFonts w:ascii="Futura Lt BT" w:hAnsi="Futura Lt BT"/>
          <w:sz w:val="24"/>
          <w:szCs w:val="24"/>
        </w:rPr>
        <w:t>Act No. 365/2004 Coll. on Equal Treatment (the “</w:t>
      </w:r>
      <w:r w:rsidRPr="00EF4C7C">
        <w:rPr>
          <w:rStyle w:val="dnA"/>
          <w:rFonts w:ascii="Futura Lt BT" w:hAnsi="Futura Lt BT"/>
          <w:sz w:val="24"/>
          <w:szCs w:val="24"/>
          <w:lang w:val="de-DE"/>
        </w:rPr>
        <w:t>Anti-discrimination Act</w:t>
      </w:r>
      <w:r w:rsidRPr="00EF4C7C">
        <w:rPr>
          <w:rStyle w:val="dnAA"/>
          <w:rFonts w:ascii="Futura Lt BT" w:hAnsi="Futura Lt BT"/>
          <w:sz w:val="24"/>
          <w:szCs w:val="24"/>
        </w:rPr>
        <w:t xml:space="preserve">”) prohibits discrimination based on various grounds, including disability. Despite this recognition, there are two issues of concern with respect to legislation. </w:t>
      </w:r>
      <w:r w:rsidRPr="00EF4C7C">
        <w:rPr>
          <w:rStyle w:val="dnA"/>
          <w:rFonts w:ascii="Futura Lt BT" w:hAnsi="Futura Lt BT"/>
          <w:i/>
          <w:iCs/>
          <w:sz w:val="24"/>
          <w:szCs w:val="24"/>
        </w:rPr>
        <w:t>Firstly</w:t>
      </w:r>
      <w:r w:rsidRPr="00EF4C7C">
        <w:rPr>
          <w:rStyle w:val="dnAA"/>
          <w:rFonts w:ascii="Futura Lt BT" w:hAnsi="Futura Lt BT"/>
          <w:sz w:val="24"/>
          <w:szCs w:val="24"/>
        </w:rPr>
        <w:t xml:space="preserve">, the law does not explicitly </w:t>
      </w:r>
      <w:proofErr w:type="spellStart"/>
      <w:r w:rsidRPr="00EF4C7C">
        <w:rPr>
          <w:rStyle w:val="dnAA"/>
          <w:rFonts w:ascii="Futura Lt BT" w:hAnsi="Futura Lt BT"/>
          <w:sz w:val="24"/>
          <w:szCs w:val="24"/>
        </w:rPr>
        <w:t>recognise</w:t>
      </w:r>
      <w:proofErr w:type="spellEnd"/>
      <w:r w:rsidRPr="00EF4C7C">
        <w:rPr>
          <w:rStyle w:val="dnAA"/>
          <w:rFonts w:ascii="Futura Lt BT" w:hAnsi="Futura Lt BT"/>
          <w:sz w:val="24"/>
          <w:szCs w:val="24"/>
        </w:rPr>
        <w:t xml:space="preserve"> that denial of reasonable accommodation constitutes discrimination. We argue that Slovak law should provide a clear and enforceable right to reasonable accommodation in order to ensure that persons with disabilities enjoy effective equality in Slovak society. Denial of reasonable accommodation should create an individual cause of action. </w:t>
      </w:r>
      <w:r w:rsidRPr="00EF4C7C">
        <w:rPr>
          <w:rStyle w:val="dnA"/>
          <w:rFonts w:ascii="Futura Lt BT" w:hAnsi="Futura Lt BT"/>
          <w:i/>
          <w:iCs/>
          <w:sz w:val="24"/>
          <w:szCs w:val="24"/>
        </w:rPr>
        <w:t>Secondly</w:t>
      </w:r>
      <w:r w:rsidRPr="00EF4C7C">
        <w:rPr>
          <w:rStyle w:val="dnAA"/>
          <w:rFonts w:ascii="Futura Lt BT" w:hAnsi="Futura Lt BT"/>
          <w:sz w:val="24"/>
          <w:szCs w:val="24"/>
        </w:rPr>
        <w:t xml:space="preserve">, there is no recognition </w:t>
      </w:r>
      <w:proofErr w:type="gramStart"/>
      <w:r w:rsidRPr="00EF4C7C">
        <w:rPr>
          <w:rStyle w:val="dnAA"/>
          <w:rFonts w:ascii="Futura Lt BT" w:hAnsi="Futura Lt BT"/>
          <w:sz w:val="24"/>
          <w:szCs w:val="24"/>
        </w:rPr>
        <w:t>of multiple discrimination</w:t>
      </w:r>
      <w:proofErr w:type="gramEnd"/>
      <w:r w:rsidRPr="00EF4C7C">
        <w:rPr>
          <w:rStyle w:val="dnAA"/>
          <w:rFonts w:ascii="Futura Lt BT" w:hAnsi="Futura Lt BT"/>
          <w:sz w:val="24"/>
          <w:szCs w:val="24"/>
        </w:rPr>
        <w:t xml:space="preserve"> in Slovak law. This concept is crucially important for vulnerable groups of persons with disabilities, including women, children, elderly people, Roma and migrants.</w:t>
      </w:r>
    </w:p>
    <w:p w:rsidR="000E19F9" w:rsidRPr="00EF4C7C" w:rsidRDefault="000E19F9">
      <w:pPr>
        <w:pStyle w:val="NoSpacing"/>
        <w:jc w:val="both"/>
        <w:rPr>
          <w:rFonts w:ascii="Futura Lt BT" w:eastAsia="Century Gothic" w:hAnsi="Futura Lt BT" w:cs="Century Gothic"/>
          <w:sz w:val="24"/>
          <w:szCs w:val="24"/>
        </w:rPr>
      </w:pPr>
    </w:p>
    <w:p w:rsidR="00EF4C7C" w:rsidRDefault="00EF4C7C">
      <w:pPr>
        <w:rPr>
          <w:rStyle w:val="dnA"/>
          <w:rFonts w:ascii="Futura Lt BT" w:eastAsia="Calibri" w:hAnsi="Futura Lt BT" w:cs="Calibri"/>
          <w:i/>
          <w:iCs/>
          <w:color w:val="000000"/>
          <w:u w:color="000000"/>
        </w:rPr>
      </w:pPr>
      <w:r>
        <w:rPr>
          <w:rStyle w:val="dnA"/>
          <w:rFonts w:ascii="Futura Lt BT" w:hAnsi="Futura Lt BT"/>
          <w:i/>
          <w:iCs/>
        </w:rPr>
        <w:br w:type="page"/>
      </w:r>
    </w:p>
    <w:p w:rsidR="000E19F9" w:rsidRPr="00EF4C7C" w:rsidRDefault="00715883">
      <w:pPr>
        <w:pStyle w:val="NoSpacing"/>
        <w:jc w:val="both"/>
        <w:rPr>
          <w:rStyle w:val="dnA"/>
          <w:rFonts w:ascii="Futura Lt BT" w:eastAsia="Century Gothic" w:hAnsi="Futura Lt BT" w:cs="Century Gothic"/>
          <w:i/>
          <w:iCs/>
          <w:sz w:val="24"/>
          <w:szCs w:val="24"/>
        </w:rPr>
      </w:pPr>
      <w:r w:rsidRPr="00EF4C7C">
        <w:rPr>
          <w:rStyle w:val="dnA"/>
          <w:rFonts w:ascii="Futura Lt BT" w:hAnsi="Futura Lt BT"/>
          <w:i/>
          <w:iCs/>
          <w:sz w:val="24"/>
          <w:szCs w:val="24"/>
        </w:rPr>
        <w:lastRenderedPageBreak/>
        <w:t>Proposed questions for adoption in the List of Issues</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ind w:left="785"/>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Please provide information about legal prohibition of discrimination against persons with disabilities and particularly whether and how the law provides that denial of reasonable accommodation constitutes discrimination.</w:t>
      </w:r>
    </w:p>
    <w:p w:rsidR="000E19F9" w:rsidRPr="00EF4C7C" w:rsidRDefault="000E19F9">
      <w:pPr>
        <w:pStyle w:val="NoSpacing"/>
        <w:ind w:left="785"/>
        <w:jc w:val="both"/>
        <w:rPr>
          <w:rFonts w:ascii="Futura Lt BT" w:eastAsia="Century Gothic" w:hAnsi="Futura Lt BT" w:cs="Century Gothic"/>
          <w:b/>
          <w:bCs/>
          <w:sz w:val="24"/>
          <w:szCs w:val="24"/>
        </w:rPr>
      </w:pPr>
    </w:p>
    <w:p w:rsidR="000E19F9" w:rsidRPr="00EF4C7C" w:rsidRDefault="00715883">
      <w:pPr>
        <w:pStyle w:val="NoSpacing"/>
        <w:ind w:left="785"/>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In addition, please inform the Committee how protection against discrimination on multiple grounds is ensured in Slovak law.</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b/>
          <w:bCs/>
          <w:sz w:val="24"/>
          <w:szCs w:val="24"/>
        </w:rPr>
      </w:pPr>
      <w:proofErr w:type="spellStart"/>
      <w:r w:rsidRPr="00EF4C7C">
        <w:rPr>
          <w:rStyle w:val="dnA"/>
          <w:rFonts w:ascii="Futura Lt BT" w:hAnsi="Futura Lt BT"/>
          <w:b/>
          <w:bCs/>
          <w:sz w:val="24"/>
          <w:szCs w:val="24"/>
        </w:rPr>
        <w:t>Institutionalisation</w:t>
      </w:r>
      <w:proofErr w:type="spellEnd"/>
      <w:r w:rsidRPr="00EF4C7C">
        <w:rPr>
          <w:rStyle w:val="dnA"/>
          <w:rFonts w:ascii="Futura Lt BT" w:hAnsi="Futura Lt BT"/>
          <w:b/>
          <w:bCs/>
          <w:sz w:val="24"/>
          <w:szCs w:val="24"/>
        </w:rPr>
        <w:t xml:space="preserve"> of persons with mental disabilities - Article 7 ICCPR</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In the Slovak Republic, social care services for persons with disabilities are predominantly provided in institutional settings and community services are rare. In December 2013, there were 300 institutions for elderly people with 12,237 persons in their care; 381 social care homes housing 18,196 adults with disabilities; and 70 </w:t>
      </w:r>
      <w:proofErr w:type="spellStart"/>
      <w:r w:rsidRPr="00EF4C7C">
        <w:rPr>
          <w:rStyle w:val="dnA"/>
          <w:rFonts w:ascii="Futura Lt BT" w:hAnsi="Futura Lt BT"/>
          <w:sz w:val="24"/>
          <w:szCs w:val="24"/>
        </w:rPr>
        <w:t>specialised</w:t>
      </w:r>
      <w:proofErr w:type="spellEnd"/>
      <w:r w:rsidRPr="00EF4C7C">
        <w:rPr>
          <w:rStyle w:val="dnA"/>
          <w:rFonts w:ascii="Futura Lt BT" w:hAnsi="Futura Lt BT"/>
          <w:sz w:val="24"/>
          <w:szCs w:val="24"/>
        </w:rPr>
        <w:t xml:space="preserve"> institutions with 1,886 adult residents. With regard to children, there were 44 social care homes with 1,205 children. In total, there were 33,524 persons living in institutions, which is 0.62% of the whole population of Slovakia. </w:t>
      </w:r>
      <w:proofErr w:type="spellStart"/>
      <w:r w:rsidRPr="00EF4C7C">
        <w:rPr>
          <w:rStyle w:val="dnA"/>
          <w:rFonts w:ascii="Futura Lt BT" w:hAnsi="Futura Lt BT"/>
          <w:sz w:val="24"/>
          <w:szCs w:val="24"/>
        </w:rPr>
        <w:t>Institutionalisation</w:t>
      </w:r>
      <w:proofErr w:type="spellEnd"/>
      <w:r w:rsidRPr="00EF4C7C">
        <w:rPr>
          <w:rStyle w:val="dnA"/>
          <w:rFonts w:ascii="Futura Lt BT" w:hAnsi="Futura Lt BT"/>
          <w:sz w:val="24"/>
          <w:szCs w:val="24"/>
        </w:rPr>
        <w:t xml:space="preserve"> also affects children living in foster care group homes. In December 2013, there were 66 children’s homes with 4,379 children, out of which 478 were children with disabilities.</w:t>
      </w:r>
    </w:p>
    <w:p w:rsidR="000E19F9" w:rsidRPr="00EF4C7C" w:rsidRDefault="000E19F9">
      <w:pPr>
        <w:pStyle w:val="NoSpacing"/>
        <w:ind w:left="720"/>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Many persons with disabilities face lifelong isolation in the Slovak Republic, including permanent </w:t>
      </w:r>
      <w:proofErr w:type="spellStart"/>
      <w:r w:rsidRPr="00EF4C7C">
        <w:rPr>
          <w:rStyle w:val="dnA"/>
          <w:rFonts w:ascii="Futura Lt BT" w:hAnsi="Futura Lt BT"/>
          <w:sz w:val="24"/>
          <w:szCs w:val="24"/>
        </w:rPr>
        <w:t>institutionalisation</w:t>
      </w:r>
      <w:proofErr w:type="spellEnd"/>
      <w:r w:rsidRPr="00EF4C7C">
        <w:rPr>
          <w:rStyle w:val="dnA"/>
          <w:rFonts w:ascii="Futura Lt BT" w:hAnsi="Futura Lt BT"/>
          <w:sz w:val="24"/>
          <w:szCs w:val="24"/>
        </w:rPr>
        <w:t xml:space="preserve"> and deprivation of legal capacity. They are often forced to live in large artificial and segregated institutions, e.g. castles or monasteries, which resemble warehouses for human beings. It has been argued that large-scale </w:t>
      </w:r>
      <w:proofErr w:type="spellStart"/>
      <w:r w:rsidRPr="00EF4C7C">
        <w:rPr>
          <w:rStyle w:val="dnA"/>
          <w:rFonts w:ascii="Futura Lt BT" w:hAnsi="Futura Lt BT"/>
          <w:sz w:val="24"/>
          <w:szCs w:val="24"/>
        </w:rPr>
        <w:t>institutionalisaiton</w:t>
      </w:r>
      <w:proofErr w:type="spellEnd"/>
      <w:r w:rsidRPr="00EF4C7C">
        <w:rPr>
          <w:rStyle w:val="dnA"/>
          <w:rFonts w:ascii="Futura Lt BT" w:hAnsi="Futura Lt BT"/>
          <w:sz w:val="24"/>
          <w:szCs w:val="24"/>
        </w:rPr>
        <w:t xml:space="preserve"> and warehousing of human beings raises very serious issues under Article 7 ICCPR.</w:t>
      </w:r>
      <w:r w:rsidRPr="00EF4C7C">
        <w:rPr>
          <w:rStyle w:val="dnA"/>
          <w:rFonts w:ascii="Futura Lt BT" w:eastAsia="Century Gothic" w:hAnsi="Futura Lt BT" w:cs="Century Gothic"/>
          <w:sz w:val="24"/>
          <w:szCs w:val="24"/>
          <w:vertAlign w:val="superscript"/>
        </w:rPr>
        <w:footnoteReference w:id="4"/>
      </w:r>
      <w:r w:rsidRPr="00EF4C7C">
        <w:rPr>
          <w:rStyle w:val="dnA"/>
          <w:rFonts w:ascii="Futura Lt BT" w:hAnsi="Futura Lt BT"/>
          <w:sz w:val="24"/>
          <w:szCs w:val="24"/>
        </w:rPr>
        <w:t xml:space="preserve"> Also the UN Committee on the Rights of Persons with Disabilities has addressed the issue of </w:t>
      </w:r>
      <w:proofErr w:type="spellStart"/>
      <w:r w:rsidRPr="00EF4C7C">
        <w:rPr>
          <w:rStyle w:val="dnA"/>
          <w:rFonts w:ascii="Futura Lt BT" w:hAnsi="Futura Lt BT"/>
          <w:sz w:val="24"/>
          <w:szCs w:val="24"/>
        </w:rPr>
        <w:t>institutionalisation</w:t>
      </w:r>
      <w:proofErr w:type="spellEnd"/>
      <w:r w:rsidRPr="00EF4C7C">
        <w:rPr>
          <w:rStyle w:val="dnA"/>
          <w:rFonts w:ascii="Futura Lt BT" w:hAnsi="Futura Lt BT"/>
          <w:sz w:val="24"/>
          <w:szCs w:val="24"/>
        </w:rPr>
        <w:t xml:space="preserve"> under Article 15 of the Convention on the Rights of Persons with Disabilities, which prohibits ill-treatment.</w:t>
      </w:r>
      <w:r w:rsidRPr="00EF4C7C">
        <w:rPr>
          <w:rStyle w:val="dnA"/>
          <w:rFonts w:ascii="Futura Lt BT" w:eastAsia="Century Gothic" w:hAnsi="Futura Lt BT" w:cs="Century Gothic"/>
          <w:sz w:val="24"/>
          <w:szCs w:val="24"/>
          <w:vertAlign w:val="superscript"/>
        </w:rPr>
        <w:footnoteReference w:id="5"/>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A"/>
          <w:rFonts w:ascii="Futura Lt BT" w:hAnsi="Futura Lt BT"/>
          <w:sz w:val="24"/>
          <w:szCs w:val="24"/>
        </w:rPr>
        <w:t xml:space="preserve">The Slovak Republic formally committed itself to </w:t>
      </w:r>
      <w:proofErr w:type="spellStart"/>
      <w:r w:rsidRPr="00EF4C7C">
        <w:rPr>
          <w:rStyle w:val="dnAA"/>
          <w:rFonts w:ascii="Futura Lt BT" w:hAnsi="Futura Lt BT"/>
          <w:sz w:val="24"/>
          <w:szCs w:val="24"/>
        </w:rPr>
        <w:t>deinstitutionalisation</w:t>
      </w:r>
      <w:proofErr w:type="spellEnd"/>
      <w:r w:rsidRPr="00EF4C7C">
        <w:rPr>
          <w:rStyle w:val="dnAA"/>
          <w:rFonts w:ascii="Futura Lt BT" w:hAnsi="Futura Lt BT"/>
          <w:sz w:val="24"/>
          <w:szCs w:val="24"/>
        </w:rPr>
        <w:t xml:space="preserve"> and transformation of services for persons with disabilities in its </w:t>
      </w:r>
      <w:r w:rsidRPr="00EF4C7C">
        <w:rPr>
          <w:rStyle w:val="dnA"/>
          <w:rFonts w:ascii="Futura Lt BT" w:hAnsi="Futura Lt BT"/>
          <w:i/>
          <w:iCs/>
          <w:sz w:val="24"/>
          <w:szCs w:val="24"/>
        </w:rPr>
        <w:t xml:space="preserve">Strategy on </w:t>
      </w:r>
      <w:proofErr w:type="spellStart"/>
      <w:r w:rsidRPr="00EF4C7C">
        <w:rPr>
          <w:rStyle w:val="dnA"/>
          <w:rFonts w:ascii="Futura Lt BT" w:hAnsi="Futura Lt BT"/>
          <w:i/>
          <w:iCs/>
          <w:sz w:val="24"/>
          <w:szCs w:val="24"/>
        </w:rPr>
        <w:t>Deinstitutionalisation</w:t>
      </w:r>
      <w:proofErr w:type="spellEnd"/>
      <w:r w:rsidRPr="00EF4C7C">
        <w:rPr>
          <w:rStyle w:val="dnA"/>
          <w:rFonts w:ascii="Futura Lt BT" w:eastAsia="Century Gothic" w:hAnsi="Futura Lt BT" w:cs="Century Gothic"/>
          <w:iCs/>
          <w:sz w:val="24"/>
          <w:szCs w:val="24"/>
          <w:vertAlign w:val="superscript"/>
        </w:rPr>
        <w:footnoteReference w:id="6"/>
      </w:r>
      <w:r w:rsidRPr="00EF4C7C">
        <w:rPr>
          <w:rStyle w:val="dnAA"/>
          <w:rFonts w:ascii="Futura Lt BT" w:hAnsi="Futura Lt BT"/>
          <w:sz w:val="24"/>
          <w:szCs w:val="24"/>
        </w:rPr>
        <w:t xml:space="preserve"> and </w:t>
      </w:r>
      <w:r w:rsidRPr="00EF4C7C">
        <w:rPr>
          <w:rStyle w:val="dnA"/>
          <w:rFonts w:ascii="Futura Lt BT" w:hAnsi="Futura Lt BT"/>
          <w:i/>
          <w:iCs/>
          <w:sz w:val="24"/>
          <w:szCs w:val="24"/>
        </w:rPr>
        <w:t>National</w:t>
      </w:r>
      <w:r w:rsidRPr="00EF4C7C">
        <w:rPr>
          <w:rStyle w:val="dnAA"/>
          <w:rFonts w:ascii="Futura Lt BT" w:hAnsi="Futura Lt BT"/>
          <w:sz w:val="24"/>
          <w:szCs w:val="24"/>
        </w:rPr>
        <w:t xml:space="preserve"> </w:t>
      </w:r>
      <w:r w:rsidRPr="00EF4C7C">
        <w:rPr>
          <w:rStyle w:val="dnA"/>
          <w:rFonts w:ascii="Futura Lt BT" w:hAnsi="Futura Lt BT"/>
          <w:i/>
          <w:iCs/>
          <w:sz w:val="24"/>
          <w:szCs w:val="24"/>
        </w:rPr>
        <w:t>Action Plan on Transformation of Residential Social Services.</w:t>
      </w:r>
      <w:r w:rsidRPr="00EF4C7C">
        <w:rPr>
          <w:rStyle w:val="FootnoteReference"/>
          <w:rFonts w:ascii="Futura Lt BT" w:eastAsia="Century Gothic" w:hAnsi="Futura Lt BT" w:cs="Century Gothic"/>
          <w:sz w:val="24"/>
          <w:szCs w:val="24"/>
        </w:rPr>
        <w:footnoteReference w:id="7"/>
      </w:r>
      <w:r w:rsidRPr="00EF4C7C">
        <w:rPr>
          <w:rStyle w:val="dnA"/>
          <w:rFonts w:ascii="Futura Lt BT" w:hAnsi="Futura Lt BT"/>
          <w:i/>
          <w:iCs/>
          <w:sz w:val="24"/>
          <w:szCs w:val="24"/>
        </w:rPr>
        <w:t xml:space="preserve"> </w:t>
      </w:r>
      <w:r w:rsidRPr="00EF4C7C">
        <w:rPr>
          <w:rStyle w:val="dnAA"/>
          <w:rFonts w:ascii="Futura Lt BT" w:hAnsi="Futura Lt BT"/>
          <w:sz w:val="24"/>
          <w:szCs w:val="24"/>
        </w:rPr>
        <w:t xml:space="preserve">This was followed in December 2014 with further statements in </w:t>
      </w:r>
      <w:r w:rsidRPr="00EF4C7C">
        <w:rPr>
          <w:rStyle w:val="dnA"/>
          <w:rFonts w:ascii="Futura Lt BT" w:hAnsi="Futura Lt BT"/>
          <w:i/>
          <w:iCs/>
          <w:sz w:val="24"/>
          <w:szCs w:val="24"/>
        </w:rPr>
        <w:t>National priorities of development of social services in 2015 - 2020</w:t>
      </w:r>
      <w:r w:rsidRPr="00EF4C7C">
        <w:rPr>
          <w:rStyle w:val="dnAA"/>
          <w:rFonts w:ascii="Futura Lt BT" w:hAnsi="Futura Lt BT"/>
          <w:sz w:val="24"/>
          <w:szCs w:val="24"/>
        </w:rPr>
        <w:t xml:space="preserve">. Although these are positive steps, practical </w:t>
      </w:r>
      <w:proofErr w:type="spellStart"/>
      <w:r w:rsidRPr="00EF4C7C">
        <w:rPr>
          <w:rStyle w:val="dnAA"/>
          <w:rFonts w:ascii="Futura Lt BT" w:hAnsi="Futura Lt BT"/>
          <w:sz w:val="24"/>
          <w:szCs w:val="24"/>
        </w:rPr>
        <w:t>realisation</w:t>
      </w:r>
      <w:proofErr w:type="spellEnd"/>
      <w:r w:rsidRPr="00EF4C7C">
        <w:rPr>
          <w:rStyle w:val="dnAA"/>
          <w:rFonts w:ascii="Futura Lt BT" w:hAnsi="Futura Lt BT"/>
          <w:sz w:val="24"/>
          <w:szCs w:val="24"/>
        </w:rPr>
        <w:t xml:space="preserve"> has faced several difficulties. </w:t>
      </w:r>
      <w:r w:rsidRPr="00EF4C7C">
        <w:rPr>
          <w:rStyle w:val="dnA"/>
          <w:rFonts w:ascii="Futura Lt BT" w:hAnsi="Futura Lt BT"/>
          <w:i/>
          <w:iCs/>
          <w:sz w:val="24"/>
          <w:szCs w:val="24"/>
        </w:rPr>
        <w:t>First,</w:t>
      </w:r>
      <w:r w:rsidRPr="00EF4C7C">
        <w:rPr>
          <w:rStyle w:val="dnAA"/>
          <w:rFonts w:ascii="Futura Lt BT" w:hAnsi="Futura Lt BT"/>
          <w:sz w:val="24"/>
          <w:szCs w:val="24"/>
        </w:rPr>
        <w:t xml:space="preserve"> </w:t>
      </w:r>
      <w:r w:rsidR="00EF4C7C" w:rsidRPr="00EF4C7C">
        <w:rPr>
          <w:rStyle w:val="dnAA"/>
          <w:rFonts w:ascii="Futura Lt BT" w:hAnsi="Futura Lt BT"/>
          <w:sz w:val="24"/>
          <w:szCs w:val="24"/>
        </w:rPr>
        <w:t xml:space="preserve">the </w:t>
      </w:r>
      <w:r w:rsidRPr="00EF4C7C">
        <w:rPr>
          <w:rStyle w:val="dnAA"/>
          <w:rFonts w:ascii="Futura Lt BT" w:hAnsi="Futura Lt BT"/>
          <w:sz w:val="24"/>
          <w:szCs w:val="24"/>
        </w:rPr>
        <w:t xml:space="preserve">national project on transformation and </w:t>
      </w:r>
      <w:proofErr w:type="spellStart"/>
      <w:r w:rsidRPr="00EF4C7C">
        <w:rPr>
          <w:rStyle w:val="dnAA"/>
          <w:rFonts w:ascii="Futura Lt BT" w:hAnsi="Futura Lt BT"/>
          <w:sz w:val="24"/>
          <w:szCs w:val="24"/>
        </w:rPr>
        <w:t>deinstitutionalisation</w:t>
      </w:r>
      <w:proofErr w:type="spellEnd"/>
      <w:r w:rsidRPr="00EF4C7C">
        <w:rPr>
          <w:rStyle w:val="dnAA"/>
          <w:rFonts w:ascii="Futura Lt BT" w:hAnsi="Futura Lt BT"/>
          <w:sz w:val="24"/>
          <w:szCs w:val="24"/>
        </w:rPr>
        <w:t xml:space="preserve"> concern</w:t>
      </w:r>
      <w:r w:rsidR="00EF4C7C" w:rsidRPr="00EF4C7C">
        <w:rPr>
          <w:rStyle w:val="dnAA"/>
          <w:rFonts w:ascii="Futura Lt BT" w:hAnsi="Futura Lt BT"/>
          <w:sz w:val="24"/>
          <w:szCs w:val="24"/>
        </w:rPr>
        <w:t>s</w:t>
      </w:r>
      <w:r w:rsidRPr="00EF4C7C">
        <w:rPr>
          <w:rStyle w:val="dnAA"/>
          <w:rFonts w:ascii="Futura Lt BT" w:hAnsi="Futura Lt BT"/>
          <w:sz w:val="24"/>
          <w:szCs w:val="24"/>
        </w:rPr>
        <w:t xml:space="preserve"> only 10 pilot institutions out of almost 800.</w:t>
      </w:r>
      <w:r w:rsidRPr="00EF4C7C">
        <w:rPr>
          <w:rStyle w:val="FootnoteReference"/>
          <w:rFonts w:ascii="Futura Lt BT" w:eastAsia="Century Gothic" w:hAnsi="Futura Lt BT" w:cs="Century Gothic"/>
          <w:sz w:val="24"/>
          <w:szCs w:val="24"/>
        </w:rPr>
        <w:footnoteReference w:id="8"/>
      </w:r>
      <w:r w:rsidRPr="00EF4C7C">
        <w:rPr>
          <w:rStyle w:val="dnAA"/>
          <w:rFonts w:ascii="Futura Lt BT" w:hAnsi="Futura Lt BT"/>
          <w:sz w:val="24"/>
          <w:szCs w:val="24"/>
        </w:rPr>
        <w:t xml:space="preserve"> </w:t>
      </w:r>
      <w:r w:rsidRPr="00EF4C7C">
        <w:rPr>
          <w:rStyle w:val="dnA"/>
          <w:rFonts w:ascii="Futura Lt BT" w:hAnsi="Futura Lt BT"/>
          <w:i/>
          <w:iCs/>
          <w:sz w:val="24"/>
          <w:szCs w:val="24"/>
          <w:lang w:val="it-IT"/>
        </w:rPr>
        <w:t>Second</w:t>
      </w:r>
      <w:r w:rsidRPr="00EF4C7C">
        <w:rPr>
          <w:rStyle w:val="dnAA"/>
          <w:rFonts w:ascii="Futura Lt BT" w:hAnsi="Futura Lt BT"/>
          <w:sz w:val="24"/>
          <w:szCs w:val="24"/>
        </w:rPr>
        <w:t xml:space="preserve">, there are no strategies at the level of local municipalities which would </w:t>
      </w:r>
      <w:proofErr w:type="spellStart"/>
      <w:r w:rsidRPr="00EF4C7C">
        <w:rPr>
          <w:rStyle w:val="dnAA"/>
          <w:rFonts w:ascii="Futura Lt BT" w:hAnsi="Futura Lt BT"/>
          <w:sz w:val="24"/>
          <w:szCs w:val="24"/>
        </w:rPr>
        <w:t>recognise</w:t>
      </w:r>
      <w:proofErr w:type="spellEnd"/>
      <w:r w:rsidRPr="00EF4C7C">
        <w:rPr>
          <w:rStyle w:val="dnAA"/>
          <w:rFonts w:ascii="Futura Lt BT" w:hAnsi="Futura Lt BT"/>
          <w:sz w:val="24"/>
          <w:szCs w:val="24"/>
        </w:rPr>
        <w:t xml:space="preserve"> </w:t>
      </w:r>
      <w:proofErr w:type="spellStart"/>
      <w:r w:rsidRPr="00EF4C7C">
        <w:rPr>
          <w:rStyle w:val="dnAA"/>
          <w:rFonts w:ascii="Futura Lt BT" w:hAnsi="Futura Lt BT"/>
          <w:sz w:val="24"/>
          <w:szCs w:val="24"/>
        </w:rPr>
        <w:t>deinstitutionalisation</w:t>
      </w:r>
      <w:proofErr w:type="spellEnd"/>
      <w:r w:rsidRPr="00EF4C7C">
        <w:rPr>
          <w:rStyle w:val="dnAA"/>
          <w:rFonts w:ascii="Futura Lt BT" w:hAnsi="Futura Lt BT"/>
          <w:sz w:val="24"/>
          <w:szCs w:val="24"/>
        </w:rPr>
        <w:t xml:space="preserve"> as a systemic aim and there has been no public campaign explaining and supporting </w:t>
      </w:r>
      <w:proofErr w:type="spellStart"/>
      <w:r w:rsidRPr="00EF4C7C">
        <w:rPr>
          <w:rStyle w:val="dnAA"/>
          <w:rFonts w:ascii="Futura Lt BT" w:hAnsi="Futura Lt BT"/>
          <w:sz w:val="24"/>
          <w:szCs w:val="24"/>
        </w:rPr>
        <w:t>deinstitutionalisation</w:t>
      </w:r>
      <w:proofErr w:type="spellEnd"/>
      <w:r w:rsidRPr="00EF4C7C">
        <w:rPr>
          <w:rStyle w:val="dnAA"/>
          <w:rFonts w:ascii="Futura Lt BT" w:hAnsi="Futura Lt BT"/>
          <w:sz w:val="24"/>
          <w:szCs w:val="24"/>
        </w:rPr>
        <w:t xml:space="preserve">. </w:t>
      </w:r>
      <w:r w:rsidRPr="00EF4C7C">
        <w:rPr>
          <w:rStyle w:val="dnA"/>
          <w:rFonts w:ascii="Futura Lt BT" w:hAnsi="Futura Lt BT"/>
          <w:i/>
          <w:iCs/>
          <w:sz w:val="24"/>
          <w:szCs w:val="24"/>
        </w:rPr>
        <w:t>Third</w:t>
      </w:r>
      <w:r w:rsidRPr="00EF4C7C">
        <w:rPr>
          <w:rStyle w:val="dnAA"/>
          <w:rFonts w:ascii="Futura Lt BT" w:hAnsi="Futura Lt BT"/>
          <w:sz w:val="24"/>
          <w:szCs w:val="24"/>
        </w:rPr>
        <w:t xml:space="preserve">, even the limited scope of the transformation process to date has seen significant delays. Moreover, there are also concerns about the overall sustainability of the process because the above mentioned </w:t>
      </w:r>
      <w:r w:rsidRPr="00EF4C7C">
        <w:rPr>
          <w:rStyle w:val="dnA"/>
          <w:rFonts w:ascii="Futura Lt BT" w:hAnsi="Futura Lt BT"/>
          <w:i/>
          <w:iCs/>
          <w:sz w:val="24"/>
          <w:szCs w:val="24"/>
        </w:rPr>
        <w:t>Action on Transformation of Residential Social Services</w:t>
      </w:r>
      <w:r w:rsidRPr="00EF4C7C">
        <w:rPr>
          <w:rStyle w:val="dnAA"/>
          <w:rFonts w:ascii="Futura Lt BT" w:hAnsi="Futura Lt BT"/>
          <w:sz w:val="24"/>
          <w:szCs w:val="24"/>
        </w:rPr>
        <w:t xml:space="preserve"> will cease to exist at the end of 2015 and the Government </w:t>
      </w:r>
      <w:r w:rsidR="00EF4C7C" w:rsidRPr="00EF4C7C">
        <w:rPr>
          <w:rStyle w:val="dnAA"/>
          <w:rFonts w:ascii="Futura Lt BT" w:hAnsi="Futura Lt BT"/>
          <w:sz w:val="24"/>
          <w:szCs w:val="24"/>
        </w:rPr>
        <w:t xml:space="preserve">has failed, </w:t>
      </w:r>
      <w:r w:rsidRPr="00EF4C7C">
        <w:rPr>
          <w:rStyle w:val="dnAA"/>
          <w:rFonts w:ascii="Futura Lt BT" w:hAnsi="Futura Lt BT"/>
          <w:sz w:val="24"/>
          <w:szCs w:val="24"/>
        </w:rPr>
        <w:t>to date</w:t>
      </w:r>
      <w:r w:rsidR="00EF4C7C" w:rsidRPr="00EF4C7C">
        <w:rPr>
          <w:rStyle w:val="dnAA"/>
          <w:rFonts w:ascii="Futura Lt BT" w:hAnsi="Futura Lt BT"/>
          <w:sz w:val="24"/>
          <w:szCs w:val="24"/>
        </w:rPr>
        <w:t>,</w:t>
      </w:r>
      <w:r w:rsidRPr="00EF4C7C">
        <w:rPr>
          <w:rStyle w:val="dnAA"/>
          <w:rFonts w:ascii="Futura Lt BT" w:hAnsi="Futura Lt BT"/>
          <w:sz w:val="24"/>
          <w:szCs w:val="24"/>
        </w:rPr>
        <w:t xml:space="preserve"> to take appropriate steps to either prolong it or amend it. </w:t>
      </w:r>
    </w:p>
    <w:p w:rsidR="000E19F9" w:rsidRPr="00EF4C7C" w:rsidRDefault="000E19F9">
      <w:pPr>
        <w:pStyle w:val="NoSpacing"/>
        <w:jc w:val="center"/>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b/>
          <w:bCs/>
          <w:i/>
          <w:iCs/>
          <w:sz w:val="24"/>
          <w:szCs w:val="24"/>
        </w:rPr>
      </w:pPr>
      <w:r w:rsidRPr="00EF4C7C">
        <w:rPr>
          <w:rStyle w:val="dnA"/>
          <w:rFonts w:ascii="Futura Lt BT" w:hAnsi="Futura Lt BT"/>
          <w:i/>
          <w:iCs/>
          <w:sz w:val="24"/>
          <w:szCs w:val="24"/>
        </w:rPr>
        <w:t>Proposed questions for adoption in the List of Issues</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ind w:left="785"/>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 xml:space="preserve">Please provide information on how the Government plans to continue and expand the </w:t>
      </w:r>
      <w:proofErr w:type="spellStart"/>
      <w:r w:rsidRPr="00EF4C7C">
        <w:rPr>
          <w:rStyle w:val="dnA"/>
          <w:rFonts w:ascii="Futura Lt BT" w:hAnsi="Futura Lt BT"/>
          <w:b/>
          <w:bCs/>
          <w:sz w:val="24"/>
          <w:szCs w:val="24"/>
        </w:rPr>
        <w:t>deinstitutionalisation</w:t>
      </w:r>
      <w:proofErr w:type="spellEnd"/>
      <w:r w:rsidRPr="00EF4C7C">
        <w:rPr>
          <w:rStyle w:val="dnA"/>
          <w:rFonts w:ascii="Futura Lt BT" w:hAnsi="Futura Lt BT"/>
          <w:b/>
          <w:bCs/>
          <w:sz w:val="24"/>
          <w:szCs w:val="24"/>
        </w:rPr>
        <w:t xml:space="preserve"> process for persons with disabilities. </w:t>
      </w:r>
    </w:p>
    <w:p w:rsidR="000E19F9" w:rsidRPr="00EF4C7C" w:rsidRDefault="000E19F9">
      <w:pPr>
        <w:pStyle w:val="NoSpacing"/>
        <w:ind w:left="785"/>
        <w:jc w:val="both"/>
        <w:rPr>
          <w:rFonts w:ascii="Futura Lt BT" w:eastAsia="Century Gothic" w:hAnsi="Futura Lt BT" w:cs="Century Gothic"/>
          <w:b/>
          <w:bCs/>
          <w:sz w:val="24"/>
          <w:szCs w:val="24"/>
        </w:rPr>
      </w:pPr>
    </w:p>
    <w:p w:rsidR="000E19F9" w:rsidRPr="00EF4C7C" w:rsidRDefault="00715883">
      <w:pPr>
        <w:pStyle w:val="NoSpacing"/>
        <w:ind w:left="785"/>
        <w:jc w:val="both"/>
        <w:rPr>
          <w:rStyle w:val="dnA"/>
          <w:rFonts w:ascii="Futura Lt BT" w:eastAsia="Century Gothic" w:hAnsi="Futura Lt BT" w:cs="Century Gothic"/>
          <w:sz w:val="24"/>
          <w:szCs w:val="24"/>
        </w:rPr>
      </w:pPr>
      <w:r w:rsidRPr="00EF4C7C">
        <w:rPr>
          <w:rStyle w:val="dnA"/>
          <w:rFonts w:ascii="Futura Lt BT" w:hAnsi="Futura Lt BT"/>
          <w:b/>
          <w:bCs/>
          <w:sz w:val="24"/>
          <w:szCs w:val="24"/>
        </w:rPr>
        <w:t xml:space="preserve">Please provide information </w:t>
      </w:r>
      <w:r w:rsidR="00EF4C7C" w:rsidRPr="00EF4C7C">
        <w:rPr>
          <w:rStyle w:val="dnA"/>
          <w:rFonts w:ascii="Futura Lt BT" w:hAnsi="Futura Lt BT"/>
          <w:b/>
          <w:bCs/>
          <w:sz w:val="24"/>
          <w:szCs w:val="24"/>
        </w:rPr>
        <w:t xml:space="preserve">on </w:t>
      </w:r>
      <w:r w:rsidRPr="00EF4C7C">
        <w:rPr>
          <w:rStyle w:val="dnA"/>
          <w:rFonts w:ascii="Futura Lt BT" w:hAnsi="Futura Lt BT"/>
          <w:b/>
          <w:bCs/>
          <w:sz w:val="24"/>
          <w:szCs w:val="24"/>
        </w:rPr>
        <w:t>whether the Government is planning to introduce</w:t>
      </w:r>
      <w:r w:rsidR="00EF4C7C" w:rsidRPr="00EF4C7C">
        <w:rPr>
          <w:rStyle w:val="dnA"/>
          <w:rFonts w:ascii="Futura Lt BT" w:hAnsi="Futura Lt BT"/>
          <w:b/>
          <w:bCs/>
          <w:sz w:val="24"/>
          <w:szCs w:val="24"/>
        </w:rPr>
        <w:t xml:space="preserve"> a</w:t>
      </w:r>
      <w:r w:rsidRPr="00EF4C7C">
        <w:rPr>
          <w:rStyle w:val="dnA"/>
          <w:rFonts w:ascii="Futura Lt BT" w:hAnsi="Futura Lt BT"/>
          <w:b/>
          <w:bCs/>
          <w:sz w:val="24"/>
          <w:szCs w:val="24"/>
        </w:rPr>
        <w:t xml:space="preserve"> campaign explaining </w:t>
      </w:r>
      <w:proofErr w:type="spellStart"/>
      <w:r w:rsidRPr="00EF4C7C">
        <w:rPr>
          <w:rStyle w:val="dnA"/>
          <w:rFonts w:ascii="Futura Lt BT" w:hAnsi="Futura Lt BT"/>
          <w:b/>
          <w:bCs/>
          <w:sz w:val="24"/>
          <w:szCs w:val="24"/>
        </w:rPr>
        <w:t>deinstitutionalisation</w:t>
      </w:r>
      <w:proofErr w:type="spellEnd"/>
      <w:r w:rsidRPr="00EF4C7C">
        <w:rPr>
          <w:rStyle w:val="dnA"/>
          <w:rFonts w:ascii="Futura Lt BT" w:hAnsi="Futura Lt BT"/>
          <w:b/>
          <w:bCs/>
          <w:sz w:val="24"/>
          <w:szCs w:val="24"/>
        </w:rPr>
        <w:t xml:space="preserve"> of residential social care and </w:t>
      </w:r>
      <w:r w:rsidR="00EF4C7C" w:rsidRPr="00EF4C7C">
        <w:rPr>
          <w:rStyle w:val="dnA"/>
          <w:rFonts w:ascii="Futura Lt BT" w:hAnsi="Futura Lt BT"/>
          <w:b/>
          <w:bCs/>
          <w:sz w:val="24"/>
          <w:szCs w:val="24"/>
        </w:rPr>
        <w:t xml:space="preserve">the </w:t>
      </w:r>
      <w:r w:rsidRPr="00EF4C7C">
        <w:rPr>
          <w:rStyle w:val="dnA"/>
          <w:rFonts w:ascii="Futura Lt BT" w:hAnsi="Futura Lt BT"/>
          <w:b/>
          <w:bCs/>
          <w:sz w:val="24"/>
          <w:szCs w:val="24"/>
        </w:rPr>
        <w:t xml:space="preserve">human rights of persons with disabilities.  </w:t>
      </w:r>
    </w:p>
    <w:p w:rsidR="000E19F9" w:rsidRPr="00EF4C7C" w:rsidRDefault="000E19F9">
      <w:pPr>
        <w:pStyle w:val="NoSpacing"/>
        <w:ind w:left="785"/>
        <w:jc w:val="both"/>
        <w:rPr>
          <w:rFonts w:ascii="Futura Lt BT" w:eastAsia="Century Gothic" w:hAnsi="Futura Lt BT" w:cs="Century Gothic"/>
          <w:sz w:val="24"/>
          <w:szCs w:val="24"/>
        </w:rPr>
      </w:pPr>
    </w:p>
    <w:p w:rsidR="000E19F9" w:rsidRPr="00EF4C7C" w:rsidRDefault="00715883">
      <w:pPr>
        <w:pStyle w:val="NoSpacing"/>
        <w:ind w:left="785"/>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Please provide information on the availability and accessibility of community-based social services for persons with disabilities. In addition, please provide information on actual and planned reallocation of resources for the transformation of large residential institutions towards the development of community-based services</w:t>
      </w:r>
      <w:r w:rsidR="00EF4C7C" w:rsidRPr="00EF4C7C">
        <w:rPr>
          <w:rStyle w:val="dnA"/>
          <w:rFonts w:ascii="Futura Lt BT" w:hAnsi="Futura Lt BT"/>
          <w:b/>
          <w:bCs/>
          <w:sz w:val="24"/>
          <w:szCs w:val="24"/>
        </w:rPr>
        <w:t>,</w:t>
      </w:r>
      <w:r w:rsidRPr="00EF4C7C">
        <w:rPr>
          <w:rStyle w:val="dnA"/>
          <w:rFonts w:ascii="Futura Lt BT" w:hAnsi="Futura Lt BT"/>
          <w:b/>
          <w:bCs/>
          <w:sz w:val="24"/>
          <w:szCs w:val="24"/>
        </w:rPr>
        <w:t xml:space="preserve"> and how the Government</w:t>
      </w:r>
      <w:r w:rsidR="00EF4C7C" w:rsidRPr="00EF4C7C">
        <w:rPr>
          <w:rStyle w:val="dnA"/>
          <w:rFonts w:ascii="Futura Lt BT" w:hAnsi="Futura Lt BT"/>
          <w:b/>
          <w:bCs/>
          <w:sz w:val="24"/>
          <w:szCs w:val="24"/>
        </w:rPr>
        <w:t xml:space="preserve"> is</w:t>
      </w:r>
      <w:r w:rsidRPr="00EF4C7C">
        <w:rPr>
          <w:rStyle w:val="dnA"/>
          <w:rFonts w:ascii="Futura Lt BT" w:hAnsi="Futura Lt BT"/>
          <w:b/>
          <w:bCs/>
          <w:sz w:val="24"/>
          <w:szCs w:val="24"/>
        </w:rPr>
        <w:t xml:space="preserve"> planning to ensure that any allocated resources will be used on transformation and </w:t>
      </w:r>
      <w:proofErr w:type="spellStart"/>
      <w:r w:rsidRPr="00EF4C7C">
        <w:rPr>
          <w:rStyle w:val="dnA"/>
          <w:rFonts w:ascii="Futura Lt BT" w:hAnsi="Futura Lt BT"/>
          <w:b/>
          <w:bCs/>
          <w:sz w:val="24"/>
          <w:szCs w:val="24"/>
        </w:rPr>
        <w:t>deinstitutionalisation</w:t>
      </w:r>
      <w:proofErr w:type="spellEnd"/>
      <w:r w:rsidRPr="00EF4C7C">
        <w:rPr>
          <w:rStyle w:val="dnA"/>
          <w:rFonts w:ascii="Futura Lt BT" w:hAnsi="Futura Lt BT"/>
          <w:b/>
          <w:bCs/>
          <w:sz w:val="24"/>
          <w:szCs w:val="24"/>
        </w:rPr>
        <w:t xml:space="preserve">.  </w:t>
      </w:r>
    </w:p>
    <w:p w:rsidR="000E19F9" w:rsidRPr="00EF4C7C" w:rsidRDefault="000E19F9">
      <w:pPr>
        <w:pStyle w:val="NoSpacing"/>
        <w:jc w:val="both"/>
        <w:rPr>
          <w:rFonts w:ascii="Futura Lt BT" w:eastAsia="Century Gothic" w:hAnsi="Futura Lt BT" w:cs="Century Gothic"/>
          <w:b/>
          <w:bCs/>
          <w:sz w:val="24"/>
          <w:szCs w:val="24"/>
        </w:rPr>
      </w:pP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Deprivation and restriction of legal capacity - Article 16 ICCPR</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EF4C7C">
      <w:pPr>
        <w:pStyle w:val="NoSpacing"/>
        <w:numPr>
          <w:ilvl w:val="0"/>
          <w:numId w:val="2"/>
        </w:numPr>
        <w:jc w:val="both"/>
        <w:rPr>
          <w:rStyle w:val="dnA"/>
          <w:rFonts w:ascii="Futura Lt BT" w:eastAsia="Century Gothic" w:hAnsi="Futura Lt BT" w:cs="Century Gothic"/>
          <w:sz w:val="24"/>
          <w:szCs w:val="24"/>
        </w:rPr>
      </w:pPr>
      <w:r>
        <w:rPr>
          <w:rStyle w:val="dnA"/>
          <w:rFonts w:ascii="Futura Lt BT" w:hAnsi="Futura Lt BT"/>
          <w:sz w:val="24"/>
          <w:szCs w:val="24"/>
        </w:rPr>
        <w:t>The l</w:t>
      </w:r>
      <w:r w:rsidR="00715883" w:rsidRPr="00EF4C7C">
        <w:rPr>
          <w:rStyle w:val="dnA"/>
          <w:rFonts w:ascii="Futura Lt BT" w:hAnsi="Futura Lt BT"/>
          <w:sz w:val="24"/>
          <w:szCs w:val="24"/>
        </w:rPr>
        <w:t xml:space="preserve">egal capacity of persons with mental disabilities is regulated in Act No. 40/1964 Coll. the Civil Code, and Act No. 99/1963 Coll. the Civil Procedure Code. Section 10 of the Civil Code enables the court to deprive or restrict an individual’s legal capacity on the basis of his or her mental disability. Slovak law operates solely within the framework of substitute decision-making, and there are no provisions based on </w:t>
      </w:r>
      <w:r>
        <w:rPr>
          <w:rStyle w:val="dnA"/>
          <w:rFonts w:ascii="Futura Lt BT" w:hAnsi="Futura Lt BT"/>
          <w:sz w:val="24"/>
          <w:szCs w:val="24"/>
        </w:rPr>
        <w:t>the concept of supported</w:t>
      </w:r>
      <w:r w:rsidR="00715883" w:rsidRPr="00EF4C7C">
        <w:rPr>
          <w:rStyle w:val="dnA"/>
          <w:rFonts w:ascii="Futura Lt BT" w:hAnsi="Futura Lt BT"/>
          <w:sz w:val="24"/>
          <w:szCs w:val="24"/>
        </w:rPr>
        <w:t xml:space="preserve"> decision-making. </w:t>
      </w:r>
    </w:p>
    <w:p w:rsidR="000E19F9" w:rsidRPr="00EF4C7C" w:rsidRDefault="000E19F9">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rFonts w:ascii="Futura Lt BT" w:eastAsia="Century Gothic" w:hAnsi="Futura Lt BT" w:cs="Century Gothic"/>
          <w:sz w:val="24"/>
          <w:szCs w:val="24"/>
        </w:rPr>
      </w:pPr>
    </w:p>
    <w:p w:rsidR="000E19F9" w:rsidRPr="00EF4C7C" w:rsidRDefault="00715883">
      <w:pPr>
        <w:pStyle w:val="NoSpacing"/>
        <w:numPr>
          <w:ilvl w:val="0"/>
          <w:numId w:val="2"/>
        </w:numPr>
        <w:suppressAutoHyphens w:val="0"/>
        <w:jc w:val="both"/>
        <w:rPr>
          <w:rStyle w:val="dnA"/>
          <w:rFonts w:ascii="Futura Lt BT" w:eastAsia="Century Gothic" w:hAnsi="Futura Lt BT" w:cs="Century Gothic"/>
          <w:sz w:val="24"/>
          <w:szCs w:val="24"/>
          <w:shd w:val="clear" w:color="auto" w:fill="FEFEFE"/>
        </w:rPr>
      </w:pPr>
      <w:r w:rsidRPr="00EF4C7C">
        <w:rPr>
          <w:rStyle w:val="dnA"/>
          <w:rFonts w:ascii="Futura Lt BT" w:hAnsi="Futura Lt BT"/>
          <w:sz w:val="24"/>
          <w:szCs w:val="24"/>
        </w:rPr>
        <w:t xml:space="preserve">A person deprived of legal capacity cannot validly exercise any legal act and is </w:t>
      </w:r>
      <w:r w:rsidR="00EF4C7C">
        <w:rPr>
          <w:rStyle w:val="dnA"/>
          <w:rFonts w:ascii="Futura Lt BT" w:hAnsi="Futura Lt BT"/>
          <w:sz w:val="24"/>
          <w:szCs w:val="24"/>
        </w:rPr>
        <w:br/>
      </w:r>
      <w:r w:rsidRPr="00EF4C7C">
        <w:rPr>
          <w:rStyle w:val="dnA"/>
          <w:rFonts w:ascii="Futura Lt BT" w:hAnsi="Futura Lt BT"/>
          <w:sz w:val="24"/>
          <w:szCs w:val="24"/>
        </w:rPr>
        <w:t>automatically stripped of various fundamental rights and freedoms, such as the right to enter into marriage</w:t>
      </w:r>
      <w:r w:rsidR="008220CC">
        <w:rPr>
          <w:rStyle w:val="dnA"/>
          <w:rFonts w:ascii="Futura Lt BT" w:hAnsi="Futura Lt BT"/>
          <w:sz w:val="24"/>
          <w:szCs w:val="24"/>
        </w:rPr>
        <w:t>, and</w:t>
      </w:r>
      <w:r w:rsidRPr="00EF4C7C">
        <w:rPr>
          <w:rStyle w:val="dnA"/>
          <w:rFonts w:ascii="Futura Lt BT" w:hAnsi="Futura Lt BT"/>
          <w:sz w:val="24"/>
          <w:szCs w:val="24"/>
        </w:rPr>
        <w:t xml:space="preserve"> the right to vote or stand for elections (see below). Alternatively, if a person’s legal capacity has been </w:t>
      </w:r>
      <w:proofErr w:type="gramStart"/>
      <w:r w:rsidRPr="00EF4C7C">
        <w:rPr>
          <w:rStyle w:val="dnA"/>
          <w:rFonts w:ascii="Futura Lt BT" w:hAnsi="Futura Lt BT"/>
          <w:i/>
          <w:iCs/>
          <w:sz w:val="24"/>
          <w:szCs w:val="24"/>
        </w:rPr>
        <w:t>restricted</w:t>
      </w:r>
      <w:r w:rsidRPr="00EF4C7C">
        <w:rPr>
          <w:rStyle w:val="dnA"/>
          <w:rFonts w:ascii="Futura Lt BT" w:hAnsi="Futura Lt BT"/>
          <w:sz w:val="24"/>
          <w:szCs w:val="24"/>
        </w:rPr>
        <w:t>,</w:t>
      </w:r>
      <w:proofErr w:type="gramEnd"/>
      <w:r w:rsidRPr="00EF4C7C">
        <w:rPr>
          <w:rStyle w:val="dnA"/>
          <w:rFonts w:ascii="Futura Lt BT" w:hAnsi="Futura Lt BT"/>
          <w:sz w:val="24"/>
          <w:szCs w:val="24"/>
        </w:rPr>
        <w:t xml:space="preserve"> the court delineates those legal actions that he or she cannot validly perform</w:t>
      </w:r>
      <w:r w:rsidRPr="00EF4C7C">
        <w:rPr>
          <w:rStyle w:val="dnA"/>
          <w:rFonts w:ascii="Futura Lt BT" w:hAnsi="Futura Lt BT"/>
          <w:sz w:val="24"/>
          <w:szCs w:val="24"/>
          <w:shd w:val="clear" w:color="auto" w:fill="FEFEFE"/>
        </w:rPr>
        <w:t xml:space="preserve">. In both cases, legal </w:t>
      </w:r>
      <w:r w:rsidR="00EF4C7C">
        <w:rPr>
          <w:rStyle w:val="dnA"/>
          <w:rFonts w:ascii="Futura Lt BT" w:hAnsi="Futura Lt BT"/>
          <w:sz w:val="24"/>
          <w:szCs w:val="24"/>
          <w:shd w:val="clear" w:color="auto" w:fill="FEFEFE"/>
        </w:rPr>
        <w:br/>
      </w:r>
      <w:r w:rsidRPr="00EF4C7C">
        <w:rPr>
          <w:rStyle w:val="dnA"/>
          <w:rFonts w:ascii="Futura Lt BT" w:hAnsi="Futura Lt BT"/>
          <w:sz w:val="24"/>
          <w:szCs w:val="24"/>
          <w:shd w:val="clear" w:color="auto" w:fill="FEFEFE"/>
        </w:rPr>
        <w:t>actions of a person deprived or restricted of legal capacity are performed by his or her guardian who is understood as a legal representative and substitute decision-maker.</w:t>
      </w:r>
    </w:p>
    <w:p w:rsidR="000E19F9" w:rsidRPr="00EF4C7C" w:rsidRDefault="000E19F9">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rStyle w:val="dnA"/>
          <w:rFonts w:ascii="Futura Lt BT" w:eastAsia="Century Gothic" w:hAnsi="Futura Lt BT" w:cs="Century Gothic"/>
          <w:sz w:val="24"/>
          <w:szCs w:val="24"/>
          <w:shd w:val="clear" w:color="auto" w:fill="FEFEFE"/>
        </w:rPr>
      </w:pPr>
    </w:p>
    <w:p w:rsidR="000E19F9" w:rsidRPr="00EF4C7C" w:rsidRDefault="00715883">
      <w:pPr>
        <w:pStyle w:val="NoSpacing"/>
        <w:numPr>
          <w:ilvl w:val="0"/>
          <w:numId w:val="2"/>
        </w:numPr>
        <w:suppressAutoHyphens w:val="0"/>
        <w:jc w:val="both"/>
        <w:rPr>
          <w:rStyle w:val="dnA"/>
          <w:rFonts w:ascii="Futura Lt BT" w:eastAsia="Century Gothic" w:hAnsi="Futura Lt BT" w:cs="Century Gothic"/>
          <w:sz w:val="24"/>
          <w:szCs w:val="24"/>
        </w:rPr>
      </w:pPr>
      <w:r w:rsidRPr="00EF4C7C">
        <w:rPr>
          <w:rStyle w:val="dnA"/>
          <w:rFonts w:ascii="Futura Lt BT" w:hAnsi="Futura Lt BT"/>
          <w:sz w:val="24"/>
          <w:szCs w:val="24"/>
        </w:rPr>
        <w:t>In June 2015, the Parliament adopted a new law on non-contentious</w:t>
      </w:r>
      <w:r w:rsidRPr="00EF4C7C">
        <w:rPr>
          <w:rStyle w:val="dnA"/>
          <w:rFonts w:ascii="Futura Lt BT" w:hAnsi="Futura Lt BT"/>
          <w:sz w:val="24"/>
          <w:szCs w:val="24"/>
          <w:shd w:val="clear" w:color="auto" w:fill="FEFEFE"/>
        </w:rPr>
        <w:t xml:space="preserve"> civil </w:t>
      </w:r>
      <w:r w:rsidR="008220CC">
        <w:rPr>
          <w:rStyle w:val="dnA"/>
          <w:rFonts w:ascii="Futura Lt BT" w:hAnsi="Futura Lt BT"/>
          <w:sz w:val="24"/>
          <w:szCs w:val="24"/>
          <w:shd w:val="clear" w:color="auto" w:fill="FEFEFE"/>
        </w:rPr>
        <w:br/>
      </w:r>
      <w:r w:rsidRPr="00EF4C7C">
        <w:rPr>
          <w:rStyle w:val="dnA"/>
          <w:rFonts w:ascii="Futura Lt BT" w:hAnsi="Futura Lt BT"/>
          <w:sz w:val="24"/>
          <w:szCs w:val="24"/>
          <w:shd w:val="clear" w:color="auto" w:fill="FEFEFE"/>
        </w:rPr>
        <w:t xml:space="preserve">proceedings </w:t>
      </w:r>
      <w:r w:rsidRPr="00EF4C7C">
        <w:rPr>
          <w:rStyle w:val="dnA"/>
          <w:rFonts w:ascii="Futura Lt BT" w:hAnsi="Futura Lt BT"/>
          <w:sz w:val="24"/>
          <w:szCs w:val="24"/>
        </w:rPr>
        <w:t xml:space="preserve">that should enter into force in July 2016. The law introduces, </w:t>
      </w:r>
      <w:r w:rsidRPr="00EF4C7C">
        <w:rPr>
          <w:rStyle w:val="dnA"/>
          <w:rFonts w:ascii="Futura Lt BT" w:hAnsi="Futura Lt BT"/>
          <w:i/>
          <w:iCs/>
          <w:sz w:val="24"/>
          <w:szCs w:val="24"/>
        </w:rPr>
        <w:t>inter alia</w:t>
      </w:r>
      <w:r w:rsidRPr="00EF4C7C">
        <w:rPr>
          <w:rStyle w:val="dnA"/>
          <w:rFonts w:ascii="Futura Lt BT" w:hAnsi="Futura Lt BT"/>
          <w:sz w:val="24"/>
          <w:szCs w:val="24"/>
        </w:rPr>
        <w:t xml:space="preserve">, new procedural rules regulating legal capacity proceedings. Notably, the court will no longer be able to </w:t>
      </w:r>
      <w:r w:rsidRPr="00EF4C7C">
        <w:rPr>
          <w:rStyle w:val="dnA"/>
          <w:rFonts w:ascii="Futura Lt BT" w:hAnsi="Futura Lt BT"/>
          <w:i/>
          <w:iCs/>
          <w:sz w:val="24"/>
          <w:szCs w:val="24"/>
        </w:rPr>
        <w:t>deprive</w:t>
      </w:r>
      <w:r w:rsidRPr="00EF4C7C">
        <w:rPr>
          <w:rStyle w:val="dnA"/>
          <w:rFonts w:ascii="Futura Lt BT" w:hAnsi="Futura Lt BT"/>
          <w:sz w:val="24"/>
          <w:szCs w:val="24"/>
        </w:rPr>
        <w:t xml:space="preserve"> individuals of legal capacity and will be </w:t>
      </w:r>
      <w:r w:rsidR="008220CC">
        <w:rPr>
          <w:rStyle w:val="dnA"/>
          <w:rFonts w:ascii="Futura Lt BT" w:hAnsi="Futura Lt BT"/>
          <w:sz w:val="24"/>
          <w:szCs w:val="24"/>
        </w:rPr>
        <w:br/>
      </w:r>
      <w:r w:rsidRPr="00EF4C7C">
        <w:rPr>
          <w:rStyle w:val="dnA"/>
          <w:rFonts w:ascii="Futura Lt BT" w:hAnsi="Futura Lt BT"/>
          <w:sz w:val="24"/>
          <w:szCs w:val="24"/>
        </w:rPr>
        <w:t xml:space="preserve">limited instead to </w:t>
      </w:r>
      <w:r w:rsidRPr="00EF4C7C">
        <w:rPr>
          <w:rStyle w:val="dnA"/>
          <w:rFonts w:ascii="Futura Lt BT" w:hAnsi="Futura Lt BT"/>
          <w:i/>
          <w:iCs/>
          <w:sz w:val="24"/>
          <w:szCs w:val="24"/>
        </w:rPr>
        <w:t>restriction</w:t>
      </w:r>
      <w:r w:rsidRPr="00EF4C7C">
        <w:rPr>
          <w:rStyle w:val="dnA"/>
          <w:rFonts w:ascii="Futura Lt BT" w:hAnsi="Futura Lt BT"/>
          <w:sz w:val="24"/>
          <w:szCs w:val="24"/>
        </w:rPr>
        <w:t xml:space="preserve"> of legal capacity. Though this is a positive </w:t>
      </w:r>
      <w:r w:rsidR="008220CC">
        <w:rPr>
          <w:rStyle w:val="dnA"/>
          <w:rFonts w:ascii="Futura Lt BT" w:hAnsi="Futura Lt BT"/>
          <w:sz w:val="24"/>
          <w:szCs w:val="24"/>
        </w:rPr>
        <w:br/>
      </w:r>
      <w:r w:rsidRPr="00EF4C7C">
        <w:rPr>
          <w:rStyle w:val="dnA"/>
          <w:rFonts w:ascii="Futura Lt BT" w:hAnsi="Futura Lt BT"/>
          <w:sz w:val="24"/>
          <w:szCs w:val="24"/>
        </w:rPr>
        <w:t xml:space="preserve">development, it is regrettable that these changes in procedural law were not </w:t>
      </w:r>
      <w:r w:rsidR="008220CC">
        <w:rPr>
          <w:rStyle w:val="dnA"/>
          <w:rFonts w:ascii="Futura Lt BT" w:hAnsi="Futura Lt BT"/>
          <w:sz w:val="24"/>
          <w:szCs w:val="24"/>
        </w:rPr>
        <w:br/>
      </w:r>
      <w:r w:rsidRPr="00EF4C7C">
        <w:rPr>
          <w:rStyle w:val="dnA"/>
          <w:rFonts w:ascii="Futura Lt BT" w:hAnsi="Futura Lt BT"/>
          <w:sz w:val="24"/>
          <w:szCs w:val="24"/>
        </w:rPr>
        <w:t xml:space="preserve">accompanied by corresponding changes in the Civil Code. Even though the new Civil Code has been in the drafting stages for years, the regime of deprivation of legal capacity remains intact, and no alternatives to current modes of substitute </w:t>
      </w:r>
      <w:r w:rsidR="008220CC">
        <w:rPr>
          <w:rStyle w:val="dnA"/>
          <w:rFonts w:ascii="Futura Lt BT" w:hAnsi="Futura Lt BT"/>
          <w:sz w:val="24"/>
          <w:szCs w:val="24"/>
        </w:rPr>
        <w:br/>
      </w:r>
      <w:r w:rsidRPr="00EF4C7C">
        <w:rPr>
          <w:rStyle w:val="dnA"/>
          <w:rFonts w:ascii="Futura Lt BT" w:hAnsi="Futura Lt BT"/>
          <w:sz w:val="24"/>
          <w:szCs w:val="24"/>
        </w:rPr>
        <w:t xml:space="preserve">decision making have been enacted. In our opinion, such a situation conflicts with obligations of the state party under Article 16 ICCPR. </w:t>
      </w:r>
    </w:p>
    <w:p w:rsidR="000E19F9" w:rsidRPr="00EF4C7C" w:rsidRDefault="000E19F9">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b/>
          <w:bCs/>
          <w:i/>
          <w:iCs/>
          <w:sz w:val="24"/>
          <w:szCs w:val="24"/>
        </w:rPr>
      </w:pPr>
      <w:r w:rsidRPr="00EF4C7C">
        <w:rPr>
          <w:rStyle w:val="dnA"/>
          <w:rFonts w:ascii="Futura Lt BT" w:hAnsi="Futura Lt BT"/>
          <w:i/>
          <w:iCs/>
          <w:sz w:val="24"/>
          <w:szCs w:val="24"/>
        </w:rPr>
        <w:t>Proposed question for adoption in the List of Issues</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ind w:left="720"/>
        <w:jc w:val="both"/>
        <w:rPr>
          <w:rStyle w:val="dnA"/>
          <w:rFonts w:ascii="Futura Lt BT" w:hAnsi="Futura Lt BT"/>
          <w:sz w:val="24"/>
          <w:szCs w:val="24"/>
        </w:rPr>
      </w:pPr>
      <w:r w:rsidRPr="00EF4C7C">
        <w:rPr>
          <w:rStyle w:val="dnA"/>
          <w:rFonts w:ascii="Futura Lt BT" w:hAnsi="Futura Lt BT"/>
          <w:b/>
          <w:bCs/>
          <w:sz w:val="24"/>
          <w:szCs w:val="24"/>
        </w:rPr>
        <w:t xml:space="preserve">Please provide information whether and when the Government plans to abolish plenary and partial guardianship and replace these with supported-decision making alternatives. </w:t>
      </w:r>
    </w:p>
    <w:p w:rsidR="000E19F9" w:rsidRPr="00EF4C7C" w:rsidRDefault="000E19F9">
      <w:pPr>
        <w:pStyle w:val="NoSpacin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The right to family life and the right to marry - Article 17 and 23 ICCPR</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numPr>
          <w:ilvl w:val="0"/>
          <w:numId w:val="2"/>
        </w:numPr>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The right to family life and especially the right to marry is universally </w:t>
      </w:r>
      <w:proofErr w:type="spellStart"/>
      <w:r w:rsidRPr="00EF4C7C">
        <w:rPr>
          <w:rStyle w:val="dnA"/>
          <w:rFonts w:ascii="Futura Lt BT" w:hAnsi="Futura Lt BT"/>
          <w:sz w:val="24"/>
          <w:szCs w:val="24"/>
        </w:rPr>
        <w:t>recognised</w:t>
      </w:r>
      <w:proofErr w:type="spellEnd"/>
      <w:r w:rsidRPr="00EF4C7C">
        <w:rPr>
          <w:rStyle w:val="dnA"/>
          <w:rFonts w:ascii="Futura Lt BT" w:hAnsi="Futura Lt BT"/>
          <w:sz w:val="24"/>
          <w:szCs w:val="24"/>
        </w:rPr>
        <w:t xml:space="preserve"> and enshrined in a number of international human rights treaties, including the ICCPR. The Slovak Republic however denies this right to persons with mental disabilities who are placed under guardianship. Under Section 12 paragraph 1 of the Family Act No. 36/2005 Coll. persons deprived of legal capacity automatically lose their right to marry. Moreover, those whose legal capacity has been restricted can enter into marriage under Section 12 paragraph 2 of the Family Act only with the approval of the guardianship court. Furthermore, under Section 12 paragraph 3 of the Family Act, </w:t>
      </w:r>
      <w:r w:rsidR="008220CC">
        <w:rPr>
          <w:rStyle w:val="dnA"/>
          <w:rFonts w:ascii="Futura Lt BT" w:hAnsi="Futura Lt BT"/>
          <w:sz w:val="24"/>
          <w:szCs w:val="24"/>
        </w:rPr>
        <w:t>a</w:t>
      </w:r>
      <w:r w:rsidRPr="00EF4C7C">
        <w:rPr>
          <w:rStyle w:val="dnA"/>
          <w:rFonts w:ascii="Futura Lt BT" w:hAnsi="Futura Lt BT"/>
          <w:sz w:val="24"/>
          <w:szCs w:val="24"/>
        </w:rPr>
        <w:t xml:space="preserve"> person with a mental disability who is </w:t>
      </w:r>
      <w:r w:rsidRPr="00EF4C7C">
        <w:rPr>
          <w:rStyle w:val="dnA"/>
          <w:rFonts w:ascii="Futura Lt BT" w:hAnsi="Futura Lt BT"/>
          <w:i/>
          <w:iCs/>
          <w:sz w:val="24"/>
          <w:szCs w:val="24"/>
        </w:rPr>
        <w:t>at risk</w:t>
      </w:r>
      <w:r w:rsidRPr="00EF4C7C">
        <w:rPr>
          <w:rStyle w:val="dnA"/>
          <w:rFonts w:ascii="Futura Lt BT" w:hAnsi="Futura Lt BT"/>
          <w:sz w:val="24"/>
          <w:szCs w:val="24"/>
        </w:rPr>
        <w:t xml:space="preserve"> of having their legal capacity restricted cannot marry. This provision is highly problematic and raises serious concern regarding its conformity with human rights standards, including Articles 17 and 23 ICCPR, in conjunction with Article 2 ICCPR. </w:t>
      </w:r>
    </w:p>
    <w:p w:rsidR="000E19F9" w:rsidRPr="00EF4C7C" w:rsidRDefault="000E19F9">
      <w:pPr>
        <w:pStyle w:val="NoSpacing"/>
        <w:jc w:val="both"/>
        <w:rPr>
          <w:rFonts w:ascii="Futura Lt BT" w:eastAsia="Century Gothic" w:hAnsi="Futura Lt BT" w:cs="Century Gothic"/>
        </w:rPr>
      </w:pPr>
    </w:p>
    <w:p w:rsidR="000E19F9" w:rsidRPr="00EF4C7C" w:rsidRDefault="00715883">
      <w:pPr>
        <w:pStyle w:val="NoSpacing"/>
        <w:jc w:val="both"/>
        <w:rPr>
          <w:rStyle w:val="dnA"/>
          <w:rFonts w:ascii="Futura Lt BT" w:eastAsia="Century Gothic" w:hAnsi="Futura Lt BT" w:cs="Century Gothic"/>
          <w:b/>
          <w:bCs/>
          <w:i/>
          <w:iCs/>
          <w:sz w:val="24"/>
          <w:szCs w:val="24"/>
        </w:rPr>
      </w:pPr>
      <w:r w:rsidRPr="00EF4C7C">
        <w:rPr>
          <w:rStyle w:val="dnA"/>
          <w:rFonts w:ascii="Futura Lt BT" w:hAnsi="Futura Lt BT"/>
          <w:i/>
          <w:iCs/>
          <w:sz w:val="24"/>
          <w:szCs w:val="24"/>
        </w:rPr>
        <w:t>Proposed question for adoption in the List of Issues</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ind w:left="720"/>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 xml:space="preserve">Please provide information about the application of Section 12 of the Family Act and the extent to which this affects persons with mental disabilities exercising their right to marry. In addition, please inform the Committee about any intentions to repeal these provisions. </w:t>
      </w:r>
    </w:p>
    <w:p w:rsidR="000E19F9" w:rsidRPr="00EF4C7C" w:rsidRDefault="000E19F9">
      <w:pPr>
        <w:pStyle w:val="NoSpacing"/>
        <w:jc w:val="both"/>
        <w:rPr>
          <w:rFonts w:ascii="Futura Lt BT" w:eastAsia="Century Gothic" w:hAnsi="Futura Lt BT" w:cs="Century Gothic"/>
        </w:rPr>
      </w:pPr>
    </w:p>
    <w:p w:rsidR="000E19F9" w:rsidRPr="00EF4C7C" w:rsidRDefault="00715883">
      <w:pPr>
        <w:pStyle w:val="NoSpacing"/>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The right to vote and to be elected - Article 25 ICCPR</w:t>
      </w:r>
    </w:p>
    <w:p w:rsidR="000E19F9" w:rsidRPr="00EF4C7C" w:rsidRDefault="000E19F9">
      <w:pPr>
        <w:pStyle w:val="NoSpacing"/>
        <w:jc w:val="both"/>
        <w:rPr>
          <w:rFonts w:ascii="Futura Lt BT" w:eastAsia="Century Gothic" w:hAnsi="Futura Lt BT" w:cs="Century Gothic"/>
          <w:b/>
          <w:bCs/>
          <w:sz w:val="24"/>
          <w:szCs w:val="24"/>
        </w:rPr>
      </w:pPr>
    </w:p>
    <w:p w:rsidR="000E19F9" w:rsidRPr="00EF4C7C" w:rsidRDefault="00715883">
      <w:pPr>
        <w:pStyle w:val="NoSpacing"/>
        <w:jc w:val="both"/>
        <w:rPr>
          <w:rStyle w:val="dnA"/>
          <w:rFonts w:ascii="Futura Lt BT" w:eastAsia="Century Gothic" w:hAnsi="Futura Lt BT" w:cs="Century Gothic"/>
          <w:sz w:val="24"/>
          <w:szCs w:val="24"/>
        </w:rPr>
      </w:pPr>
      <w:r w:rsidRPr="00EF4C7C">
        <w:rPr>
          <w:rStyle w:val="dnA"/>
          <w:rFonts w:ascii="Futura Lt BT" w:hAnsi="Futura Lt BT"/>
          <w:sz w:val="24"/>
          <w:szCs w:val="24"/>
        </w:rPr>
        <w:t>The right to vote and to stand for elections is governed by Act no. 180/2014 Coll. on the Conditions of the Right to Vote. Section 4 letter c) states that deprivation of legal capacity is a lawful impediment to the right to vote. This means that any person deprived of legal capacity cannot vote. The same logic applies as well to the right to stand for elections. Section 6 letter c) states that deprivation of legal capacity is also a lawful impediment to the right to stand for elections. Moreover, such impediments to the right to vote and stand for elections are unreasonable and should be obsolete in modern democracies.</w:t>
      </w:r>
      <w:r w:rsidRPr="00EF4C7C">
        <w:rPr>
          <w:rStyle w:val="dnA"/>
          <w:rFonts w:ascii="Futura Lt BT" w:eastAsia="Century Gothic" w:hAnsi="Futura Lt BT" w:cs="Century Gothic"/>
          <w:sz w:val="24"/>
          <w:szCs w:val="24"/>
          <w:vertAlign w:val="superscript"/>
        </w:rPr>
        <w:footnoteReference w:id="9"/>
      </w:r>
      <w:r w:rsidRPr="00EF4C7C">
        <w:rPr>
          <w:rStyle w:val="dnA"/>
          <w:rFonts w:ascii="Futura Lt BT" w:hAnsi="Futura Lt BT"/>
          <w:sz w:val="24"/>
          <w:szCs w:val="24"/>
        </w:rPr>
        <w:t xml:space="preserve"> This approach leads to the disenfranchisement of a vulnerable section of Slovak society, reinforces their political invisibility and social </w:t>
      </w:r>
      <w:proofErr w:type="spellStart"/>
      <w:r w:rsidRPr="00EF4C7C">
        <w:rPr>
          <w:rStyle w:val="dnA"/>
          <w:rFonts w:ascii="Futura Lt BT" w:hAnsi="Futura Lt BT"/>
          <w:sz w:val="24"/>
          <w:szCs w:val="24"/>
        </w:rPr>
        <w:t>marginalisation</w:t>
      </w:r>
      <w:proofErr w:type="spellEnd"/>
      <w:r w:rsidRPr="00EF4C7C">
        <w:rPr>
          <w:rStyle w:val="dnA"/>
          <w:rFonts w:ascii="Futura Lt BT" w:hAnsi="Futura Lt BT"/>
          <w:sz w:val="24"/>
          <w:szCs w:val="24"/>
        </w:rPr>
        <w:t xml:space="preserve"> and violates contemporary international human rights law. As such, these provisions are not in conformity with Article 25(b) ICCPR which provides for the right to vote and stand for elections for every citizen without any distinction or unreasonable restriction.</w:t>
      </w:r>
    </w:p>
    <w:p w:rsidR="000E19F9" w:rsidRPr="00EF4C7C" w:rsidRDefault="000E19F9">
      <w:pPr>
        <w:pStyle w:val="ListParagraph"/>
        <w:tabs>
          <w:tab w:val="clear" w:pos="638"/>
          <w:tab w:val="clear" w:pos="663"/>
          <w:tab w:val="clear" w:pos="690"/>
          <w:tab w:val="clear" w:pos="708"/>
          <w:tab w:val="clear" w:pos="9132"/>
          <w:tab w:val="left" w:pos="8566"/>
        </w:tabs>
        <w:rPr>
          <w:rFonts w:ascii="Futura Lt BT" w:hAnsi="Futura Lt BT"/>
        </w:rPr>
      </w:pPr>
    </w:p>
    <w:p w:rsidR="000E19F9" w:rsidRPr="00EF4C7C" w:rsidRDefault="00715883">
      <w:pPr>
        <w:pStyle w:val="NoSpacing"/>
        <w:jc w:val="both"/>
        <w:rPr>
          <w:rStyle w:val="dnA"/>
          <w:rFonts w:ascii="Futura Lt BT" w:eastAsia="Century Gothic" w:hAnsi="Futura Lt BT" w:cs="Century Gothic"/>
          <w:b/>
          <w:bCs/>
          <w:i/>
          <w:iCs/>
          <w:sz w:val="24"/>
          <w:szCs w:val="24"/>
        </w:rPr>
      </w:pPr>
      <w:r w:rsidRPr="00EF4C7C">
        <w:rPr>
          <w:rStyle w:val="dnA"/>
          <w:rFonts w:ascii="Futura Lt BT" w:hAnsi="Futura Lt BT"/>
          <w:i/>
          <w:iCs/>
          <w:sz w:val="24"/>
          <w:szCs w:val="24"/>
        </w:rPr>
        <w:t>Proposed question for adoption in the List of Issues</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ind w:left="785"/>
        <w:jc w:val="both"/>
        <w:rPr>
          <w:rStyle w:val="dnA"/>
          <w:rFonts w:ascii="Futura Lt BT" w:eastAsia="Century Gothic" w:hAnsi="Futura Lt BT" w:cs="Century Gothic"/>
          <w:b/>
          <w:bCs/>
          <w:sz w:val="24"/>
          <w:szCs w:val="24"/>
        </w:rPr>
      </w:pPr>
      <w:r w:rsidRPr="00EF4C7C">
        <w:rPr>
          <w:rStyle w:val="dnA"/>
          <w:rFonts w:ascii="Futura Lt BT" w:hAnsi="Futura Lt BT"/>
          <w:b/>
          <w:bCs/>
          <w:sz w:val="24"/>
          <w:szCs w:val="24"/>
        </w:rPr>
        <w:t xml:space="preserve">Please provide information on the steps the Government is planning to take to ensure that all citizens, including those with mental disabilities who are currently under guardianship, can vote and stand for elections without any distinction based on their disability and without unreasonable restrictions. </w:t>
      </w:r>
    </w:p>
    <w:p w:rsidR="000E19F9" w:rsidRPr="00EF4C7C" w:rsidRDefault="000E19F9">
      <w:pPr>
        <w:pStyle w:val="NoSpacing"/>
        <w:tabs>
          <w:tab w:val="left" w:pos="3600"/>
        </w:tabs>
        <w:jc w:val="both"/>
        <w:rPr>
          <w:rFonts w:ascii="Futura Lt BT" w:eastAsia="Century Gothic" w:hAnsi="Futura Lt BT" w:cs="Century Gothic"/>
          <w:sz w:val="24"/>
          <w:szCs w:val="24"/>
        </w:rPr>
      </w:pP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Contact details: </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Mr. Steven Allen, </w:t>
      </w:r>
      <w:hyperlink r:id="rId12" w:history="1">
        <w:r w:rsidRPr="00EF4C7C">
          <w:rPr>
            <w:rStyle w:val="Hyperlink1"/>
            <w:rFonts w:ascii="Futura Lt BT" w:hAnsi="Futura Lt BT"/>
          </w:rPr>
          <w:t>steven@mdac.org</w:t>
        </w:r>
      </w:hyperlink>
      <w:r w:rsidRPr="00EF4C7C">
        <w:rPr>
          <w:rStyle w:val="dnA"/>
          <w:rFonts w:ascii="Futura Lt BT" w:hAnsi="Futura Lt BT"/>
          <w:sz w:val="24"/>
          <w:szCs w:val="24"/>
        </w:rPr>
        <w:t xml:space="preserve"> </w:t>
      </w:r>
    </w:p>
    <w:p w:rsidR="000E19F9" w:rsidRPr="00EF4C7C" w:rsidRDefault="00715883">
      <w:pPr>
        <w:pStyle w:val="NoSpacing"/>
        <w:jc w:val="both"/>
        <w:rPr>
          <w:rStyle w:val="dnA"/>
          <w:rFonts w:ascii="Futura Lt BT" w:eastAsia="Century Gothic" w:hAnsi="Futura Lt BT" w:cs="Century Gothic"/>
          <w:sz w:val="24"/>
          <w:szCs w:val="24"/>
        </w:rPr>
      </w:pPr>
      <w:r w:rsidRPr="00EF4C7C">
        <w:rPr>
          <w:rStyle w:val="dnA"/>
          <w:rFonts w:ascii="Futura Lt BT" w:hAnsi="Futura Lt BT"/>
          <w:sz w:val="24"/>
          <w:szCs w:val="24"/>
        </w:rPr>
        <w:t xml:space="preserve">Campaigns Director, </w:t>
      </w:r>
      <w:r w:rsidRPr="00EF4C7C">
        <w:rPr>
          <w:rStyle w:val="dnA"/>
          <w:rFonts w:ascii="Futura Lt BT" w:hAnsi="Futura Lt BT"/>
          <w:b/>
          <w:bCs/>
          <w:sz w:val="24"/>
          <w:szCs w:val="24"/>
        </w:rPr>
        <w:t>Mental Disability Advocacy Centre</w:t>
      </w:r>
    </w:p>
    <w:p w:rsidR="000E19F9" w:rsidRPr="00EF4C7C" w:rsidRDefault="000E19F9">
      <w:pPr>
        <w:pStyle w:val="NoSpacing"/>
        <w:jc w:val="both"/>
        <w:rPr>
          <w:rFonts w:ascii="Futura Lt BT" w:eastAsia="Century Gothic" w:hAnsi="Futura Lt BT" w:cs="Century Gothic"/>
          <w:sz w:val="24"/>
          <w:szCs w:val="24"/>
        </w:rPr>
      </w:pPr>
    </w:p>
    <w:p w:rsidR="000E19F9" w:rsidRPr="00EF4C7C" w:rsidRDefault="00715883">
      <w:pPr>
        <w:pStyle w:val="NoSpacing"/>
        <w:jc w:val="both"/>
        <w:rPr>
          <w:rStyle w:val="dnA"/>
          <w:rFonts w:ascii="Futura Lt BT" w:hAnsi="Futura Lt BT"/>
          <w:sz w:val="24"/>
          <w:szCs w:val="24"/>
        </w:rPr>
      </w:pPr>
      <w:r w:rsidRPr="00EF4C7C">
        <w:rPr>
          <w:rStyle w:val="dnA"/>
          <w:rFonts w:ascii="Futura Lt BT" w:hAnsi="Futura Lt BT"/>
          <w:sz w:val="24"/>
          <w:szCs w:val="24"/>
        </w:rPr>
        <w:t xml:space="preserve">Mr. Maroš </w:t>
      </w:r>
      <w:proofErr w:type="spellStart"/>
      <w:r w:rsidRPr="00EF4C7C">
        <w:rPr>
          <w:rStyle w:val="dnA"/>
          <w:rFonts w:ascii="Futura Lt BT" w:hAnsi="Futura Lt BT"/>
          <w:sz w:val="24"/>
          <w:szCs w:val="24"/>
        </w:rPr>
        <w:t>Matiaško</w:t>
      </w:r>
      <w:proofErr w:type="spellEnd"/>
      <w:r w:rsidRPr="00EF4C7C">
        <w:rPr>
          <w:rStyle w:val="dnA"/>
          <w:rFonts w:ascii="Futura Lt BT" w:hAnsi="Futura Lt BT"/>
          <w:sz w:val="24"/>
          <w:szCs w:val="24"/>
        </w:rPr>
        <w:t xml:space="preserve">, </w:t>
      </w:r>
      <w:hyperlink r:id="rId13" w:history="1">
        <w:r w:rsidRPr="00EF4C7C">
          <w:rPr>
            <w:rStyle w:val="Hyperlink2"/>
            <w:rFonts w:ascii="Futura Lt BT" w:hAnsi="Futura Lt BT"/>
          </w:rPr>
          <w:t>matiasko.maros@gmail.com</w:t>
        </w:r>
      </w:hyperlink>
      <w:r w:rsidRPr="00EF4C7C">
        <w:rPr>
          <w:rStyle w:val="dnA"/>
          <w:rFonts w:ascii="Futura Lt BT" w:hAnsi="Futura Lt BT"/>
          <w:sz w:val="24"/>
          <w:szCs w:val="24"/>
        </w:rPr>
        <w:t xml:space="preserve"> </w:t>
      </w:r>
    </w:p>
    <w:p w:rsidR="000E19F9" w:rsidRPr="00EF4C7C" w:rsidRDefault="00715883">
      <w:pPr>
        <w:pStyle w:val="NoSpacing"/>
        <w:jc w:val="both"/>
        <w:rPr>
          <w:rStyle w:val="dnA"/>
          <w:rFonts w:ascii="Futura Lt BT" w:hAnsi="Futura Lt BT"/>
          <w:sz w:val="24"/>
          <w:szCs w:val="24"/>
        </w:rPr>
      </w:pPr>
      <w:r w:rsidRPr="00EF4C7C">
        <w:rPr>
          <w:rStyle w:val="dnA"/>
          <w:rFonts w:ascii="Futura Lt BT" w:hAnsi="Futura Lt BT"/>
          <w:sz w:val="24"/>
          <w:szCs w:val="24"/>
        </w:rPr>
        <w:t xml:space="preserve">Chairman, </w:t>
      </w:r>
      <w:r w:rsidRPr="00EF4C7C">
        <w:rPr>
          <w:rStyle w:val="dnA"/>
          <w:rFonts w:ascii="Futura Lt BT" w:hAnsi="Futura Lt BT"/>
          <w:b/>
          <w:bCs/>
          <w:sz w:val="24"/>
          <w:szCs w:val="24"/>
        </w:rPr>
        <w:t>Forum for Human Rights</w:t>
      </w:r>
      <w:r w:rsidRPr="00EF4C7C">
        <w:rPr>
          <w:rStyle w:val="dnA"/>
          <w:rFonts w:ascii="Futura Lt BT" w:hAnsi="Futura Lt BT"/>
          <w:sz w:val="24"/>
          <w:szCs w:val="24"/>
        </w:rPr>
        <w:t xml:space="preserve"> </w:t>
      </w:r>
    </w:p>
    <w:p w:rsidR="000E19F9" w:rsidRPr="00EF4C7C" w:rsidRDefault="000E19F9">
      <w:pPr>
        <w:pStyle w:val="NoSpacing"/>
        <w:jc w:val="both"/>
        <w:rPr>
          <w:rStyle w:val="dnA"/>
          <w:rFonts w:ascii="Futura Lt BT" w:eastAsia="Century Gothic" w:hAnsi="Futura Lt BT" w:cs="Century Gothic"/>
          <w:sz w:val="24"/>
          <w:szCs w:val="24"/>
          <w:shd w:val="clear" w:color="auto" w:fill="FFFFFF"/>
        </w:rPr>
      </w:pPr>
    </w:p>
    <w:p w:rsidR="000E19F9" w:rsidRPr="00EF4C7C" w:rsidRDefault="00715883">
      <w:pPr>
        <w:pStyle w:val="NoSpacing"/>
        <w:jc w:val="both"/>
        <w:rPr>
          <w:rStyle w:val="dnA"/>
          <w:rFonts w:ascii="Futura Lt BT" w:hAnsi="Futura Lt BT"/>
          <w:sz w:val="24"/>
          <w:szCs w:val="24"/>
          <w:shd w:val="clear" w:color="auto" w:fill="FFFFFF"/>
        </w:rPr>
      </w:pPr>
      <w:r w:rsidRPr="00EF4C7C">
        <w:rPr>
          <w:rStyle w:val="dnA"/>
          <w:rFonts w:ascii="Futura Lt BT" w:hAnsi="Futura Lt BT"/>
          <w:sz w:val="24"/>
          <w:szCs w:val="24"/>
          <w:shd w:val="clear" w:color="auto" w:fill="FFFFFF"/>
        </w:rPr>
        <w:t xml:space="preserve">Mrs. </w:t>
      </w:r>
      <w:proofErr w:type="spellStart"/>
      <w:r w:rsidRPr="00EF4C7C">
        <w:rPr>
          <w:rStyle w:val="dnA"/>
          <w:rFonts w:ascii="Futura Lt BT" w:hAnsi="Futura Lt BT"/>
          <w:sz w:val="24"/>
          <w:szCs w:val="24"/>
          <w:shd w:val="clear" w:color="auto" w:fill="FFFFFF"/>
        </w:rPr>
        <w:t>Iveta</w:t>
      </w:r>
      <w:proofErr w:type="spellEnd"/>
      <w:r w:rsidRPr="00EF4C7C">
        <w:rPr>
          <w:rStyle w:val="dnA"/>
          <w:rFonts w:ascii="Futura Lt BT" w:hAnsi="Futura Lt BT"/>
          <w:sz w:val="24"/>
          <w:szCs w:val="24"/>
          <w:shd w:val="clear" w:color="auto" w:fill="FFFFFF"/>
        </w:rPr>
        <w:t xml:space="preserve"> </w:t>
      </w:r>
      <w:proofErr w:type="spellStart"/>
      <w:r w:rsidRPr="00EF4C7C">
        <w:rPr>
          <w:rStyle w:val="dnA"/>
          <w:rFonts w:ascii="Futura Lt BT" w:hAnsi="Futura Lt BT"/>
          <w:sz w:val="24"/>
          <w:szCs w:val="24"/>
          <w:shd w:val="clear" w:color="auto" w:fill="FFFFFF"/>
        </w:rPr>
        <w:t>Mišová</w:t>
      </w:r>
      <w:proofErr w:type="spellEnd"/>
      <w:r w:rsidRPr="00EF4C7C">
        <w:rPr>
          <w:rStyle w:val="dnA"/>
          <w:rFonts w:ascii="Futura Lt BT" w:hAnsi="Futura Lt BT"/>
          <w:sz w:val="24"/>
          <w:szCs w:val="24"/>
          <w:shd w:val="clear" w:color="auto" w:fill="FFFFFF"/>
        </w:rPr>
        <w:t xml:space="preserve">, </w:t>
      </w:r>
      <w:hyperlink r:id="rId14" w:history="1">
        <w:r w:rsidRPr="00EF4C7C">
          <w:rPr>
            <w:rStyle w:val="Hyperlink3"/>
            <w:rFonts w:ascii="Futura Lt BT" w:hAnsi="Futura Lt BT"/>
          </w:rPr>
          <w:t>misova@zpmpvsr.sk</w:t>
        </w:r>
      </w:hyperlink>
      <w:r w:rsidRPr="00EF4C7C">
        <w:rPr>
          <w:rStyle w:val="dnA"/>
          <w:rFonts w:ascii="Futura Lt BT" w:hAnsi="Futura Lt BT"/>
          <w:sz w:val="24"/>
          <w:szCs w:val="24"/>
          <w:shd w:val="clear" w:color="auto" w:fill="FFFFFF"/>
        </w:rPr>
        <w:t xml:space="preserve"> </w:t>
      </w:r>
    </w:p>
    <w:p w:rsidR="000E19F9" w:rsidRPr="00EF4C7C" w:rsidRDefault="00715883">
      <w:pPr>
        <w:pStyle w:val="NoSpacing"/>
        <w:jc w:val="both"/>
        <w:rPr>
          <w:rStyle w:val="dnA"/>
          <w:rFonts w:ascii="Futura Lt BT" w:hAnsi="Futura Lt BT"/>
          <w:b/>
          <w:bCs/>
          <w:sz w:val="24"/>
          <w:szCs w:val="24"/>
          <w:shd w:val="clear" w:color="auto" w:fill="FFFFFF"/>
        </w:rPr>
      </w:pPr>
      <w:r w:rsidRPr="00EF4C7C">
        <w:rPr>
          <w:rStyle w:val="dnA"/>
          <w:rFonts w:ascii="Futura Lt BT" w:hAnsi="Futura Lt BT"/>
          <w:sz w:val="24"/>
          <w:szCs w:val="24"/>
          <w:shd w:val="clear" w:color="auto" w:fill="FFFFFF"/>
        </w:rPr>
        <w:t xml:space="preserve">Director, </w:t>
      </w:r>
      <w:r w:rsidRPr="00EF4C7C">
        <w:rPr>
          <w:rStyle w:val="dnA"/>
          <w:rFonts w:ascii="Futura Lt BT" w:hAnsi="Futura Lt BT"/>
          <w:b/>
          <w:bCs/>
          <w:sz w:val="24"/>
          <w:szCs w:val="24"/>
          <w:shd w:val="clear" w:color="auto" w:fill="FFFFFF"/>
        </w:rPr>
        <w:t>Slovak Association of Help to Persons with Intellectual Disabilities</w:t>
      </w:r>
    </w:p>
    <w:p w:rsidR="000E19F9" w:rsidRPr="00EF4C7C" w:rsidRDefault="000E19F9">
      <w:pPr>
        <w:pStyle w:val="NoSpacing"/>
        <w:jc w:val="both"/>
        <w:rPr>
          <w:rStyle w:val="dnA"/>
          <w:rFonts w:ascii="Futura Lt BT" w:eastAsia="Century Gothic" w:hAnsi="Futura Lt BT" w:cs="Century Gothic"/>
          <w:b/>
          <w:bCs/>
          <w:sz w:val="24"/>
          <w:szCs w:val="24"/>
          <w:shd w:val="clear" w:color="auto" w:fill="FFFFFF"/>
        </w:rPr>
      </w:pPr>
    </w:p>
    <w:p w:rsidR="000E19F9" w:rsidRPr="00EF4C7C" w:rsidRDefault="00715883">
      <w:pPr>
        <w:pStyle w:val="NoSpacing"/>
        <w:jc w:val="both"/>
        <w:rPr>
          <w:rStyle w:val="dnA"/>
          <w:rFonts w:ascii="Futura Lt BT" w:hAnsi="Futura Lt BT"/>
          <w:sz w:val="24"/>
          <w:szCs w:val="24"/>
          <w:shd w:val="clear" w:color="auto" w:fill="FFFFFF"/>
        </w:rPr>
      </w:pPr>
      <w:r w:rsidRPr="00EF4C7C">
        <w:rPr>
          <w:rStyle w:val="dnA"/>
          <w:rFonts w:ascii="Futura Lt BT" w:hAnsi="Futura Lt BT"/>
          <w:sz w:val="24"/>
          <w:szCs w:val="24"/>
          <w:shd w:val="clear" w:color="auto" w:fill="FFFFFF"/>
        </w:rPr>
        <w:t xml:space="preserve">Mr. </w:t>
      </w:r>
      <w:proofErr w:type="spellStart"/>
      <w:r w:rsidRPr="00EF4C7C">
        <w:rPr>
          <w:rStyle w:val="dnA"/>
          <w:rFonts w:ascii="Futura Lt BT" w:hAnsi="Futura Lt BT"/>
          <w:sz w:val="24"/>
          <w:szCs w:val="24"/>
          <w:shd w:val="clear" w:color="auto" w:fill="FFFFFF"/>
        </w:rPr>
        <w:t>Branislav</w:t>
      </w:r>
      <w:proofErr w:type="spellEnd"/>
      <w:r w:rsidRPr="00EF4C7C">
        <w:rPr>
          <w:rStyle w:val="dnA"/>
          <w:rFonts w:ascii="Futura Lt BT" w:hAnsi="Futura Lt BT"/>
          <w:sz w:val="24"/>
          <w:szCs w:val="24"/>
          <w:shd w:val="clear" w:color="auto" w:fill="FFFFFF"/>
        </w:rPr>
        <w:t xml:space="preserve"> </w:t>
      </w:r>
      <w:proofErr w:type="spellStart"/>
      <w:r w:rsidRPr="00EF4C7C">
        <w:rPr>
          <w:rStyle w:val="dnA"/>
          <w:rFonts w:ascii="Futura Lt BT" w:hAnsi="Futura Lt BT"/>
          <w:sz w:val="24"/>
          <w:szCs w:val="24"/>
          <w:shd w:val="clear" w:color="auto" w:fill="FFFFFF"/>
        </w:rPr>
        <w:t>Mamojka</w:t>
      </w:r>
      <w:proofErr w:type="spellEnd"/>
      <w:r w:rsidRPr="00EF4C7C">
        <w:rPr>
          <w:rStyle w:val="dnA"/>
          <w:rFonts w:ascii="Futura Lt BT" w:hAnsi="Futura Lt BT"/>
          <w:sz w:val="24"/>
          <w:szCs w:val="24"/>
          <w:shd w:val="clear" w:color="auto" w:fill="FFFFFF"/>
        </w:rPr>
        <w:t xml:space="preserve">, </w:t>
      </w:r>
      <w:hyperlink r:id="rId15" w:history="1">
        <w:r w:rsidRPr="00EF4C7C">
          <w:rPr>
            <w:rStyle w:val="Hyperlink4"/>
            <w:rFonts w:ascii="Futura Lt BT" w:hAnsi="Futura Lt BT"/>
          </w:rPr>
          <w:t>mamojka@nrozp.sk</w:t>
        </w:r>
      </w:hyperlink>
      <w:r w:rsidRPr="00EF4C7C">
        <w:rPr>
          <w:rStyle w:val="dnA"/>
          <w:rFonts w:ascii="Futura Lt BT" w:hAnsi="Futura Lt BT"/>
          <w:sz w:val="24"/>
          <w:szCs w:val="24"/>
          <w:shd w:val="clear" w:color="auto" w:fill="FFFFFF"/>
        </w:rPr>
        <w:t xml:space="preserve"> </w:t>
      </w:r>
    </w:p>
    <w:p w:rsidR="000E19F9" w:rsidRPr="00EF4C7C" w:rsidRDefault="00715883">
      <w:pPr>
        <w:pStyle w:val="NoSpacing"/>
        <w:jc w:val="both"/>
        <w:rPr>
          <w:rStyle w:val="dnA"/>
          <w:rFonts w:ascii="Futura Lt BT" w:hAnsi="Futura Lt BT"/>
          <w:b/>
          <w:bCs/>
          <w:sz w:val="24"/>
          <w:szCs w:val="24"/>
          <w:shd w:val="clear" w:color="auto" w:fill="FFFFFF"/>
        </w:rPr>
      </w:pPr>
      <w:r w:rsidRPr="00EF4C7C">
        <w:rPr>
          <w:rStyle w:val="dnA"/>
          <w:rFonts w:ascii="Futura Lt BT" w:hAnsi="Futura Lt BT"/>
          <w:sz w:val="24"/>
          <w:szCs w:val="24"/>
          <w:shd w:val="clear" w:color="auto" w:fill="FFFFFF"/>
        </w:rPr>
        <w:t xml:space="preserve">Chairman, </w:t>
      </w:r>
      <w:r w:rsidRPr="00EF4C7C">
        <w:rPr>
          <w:rStyle w:val="dnA"/>
          <w:rFonts w:ascii="Futura Lt BT" w:hAnsi="Futura Lt BT"/>
          <w:b/>
          <w:bCs/>
          <w:sz w:val="24"/>
          <w:szCs w:val="24"/>
          <w:shd w:val="clear" w:color="auto" w:fill="FFFFFF"/>
        </w:rPr>
        <w:t>Slovak Disability Council</w:t>
      </w:r>
    </w:p>
    <w:p w:rsidR="000E19F9" w:rsidRPr="00EF4C7C" w:rsidRDefault="000E19F9">
      <w:pPr>
        <w:pStyle w:val="NoSpacing"/>
        <w:jc w:val="both"/>
        <w:rPr>
          <w:rStyle w:val="dnA"/>
          <w:rFonts w:ascii="Futura Lt BT" w:eastAsia="Century Gothic" w:hAnsi="Futura Lt BT" w:cs="Century Gothic"/>
          <w:b/>
          <w:bCs/>
          <w:sz w:val="24"/>
          <w:szCs w:val="24"/>
          <w:shd w:val="clear" w:color="auto" w:fill="FFFFFF"/>
        </w:rPr>
      </w:pPr>
    </w:p>
    <w:p w:rsidR="000E19F9" w:rsidRPr="00EF4C7C" w:rsidRDefault="00715883">
      <w:pPr>
        <w:pStyle w:val="NoSpacing"/>
        <w:jc w:val="both"/>
        <w:rPr>
          <w:rStyle w:val="dnA"/>
          <w:rFonts w:ascii="Futura Lt BT" w:hAnsi="Futura Lt BT"/>
          <w:sz w:val="24"/>
          <w:szCs w:val="24"/>
          <w:shd w:val="clear" w:color="auto" w:fill="FFFFFF"/>
        </w:rPr>
      </w:pPr>
      <w:r w:rsidRPr="00EF4C7C">
        <w:rPr>
          <w:rStyle w:val="dnA"/>
          <w:rFonts w:ascii="Futura Lt BT" w:hAnsi="Futura Lt BT"/>
          <w:sz w:val="24"/>
          <w:szCs w:val="24"/>
          <w:shd w:val="clear" w:color="auto" w:fill="FFFFFF"/>
        </w:rPr>
        <w:t xml:space="preserve">Mr. </w:t>
      </w:r>
      <w:proofErr w:type="spellStart"/>
      <w:r w:rsidRPr="00EF4C7C">
        <w:rPr>
          <w:rStyle w:val="dnA"/>
          <w:rFonts w:ascii="Futura Lt BT" w:hAnsi="Futura Lt BT"/>
          <w:sz w:val="24"/>
          <w:szCs w:val="24"/>
          <w:shd w:val="clear" w:color="auto" w:fill="FFFFFF"/>
        </w:rPr>
        <w:t>Vladislav</w:t>
      </w:r>
      <w:proofErr w:type="spellEnd"/>
      <w:r w:rsidRPr="00EF4C7C">
        <w:rPr>
          <w:rStyle w:val="dnA"/>
          <w:rFonts w:ascii="Futura Lt BT" w:hAnsi="Futura Lt BT"/>
          <w:sz w:val="24"/>
          <w:szCs w:val="24"/>
          <w:shd w:val="clear" w:color="auto" w:fill="FFFFFF"/>
        </w:rPr>
        <w:t xml:space="preserve"> </w:t>
      </w:r>
      <w:proofErr w:type="spellStart"/>
      <w:r w:rsidRPr="00EF4C7C">
        <w:rPr>
          <w:rStyle w:val="dnA"/>
          <w:rFonts w:ascii="Futura Lt BT" w:hAnsi="Futura Lt BT"/>
          <w:sz w:val="24"/>
          <w:szCs w:val="24"/>
          <w:shd w:val="clear" w:color="auto" w:fill="FFFFFF"/>
        </w:rPr>
        <w:t>Matej</w:t>
      </w:r>
      <w:proofErr w:type="spellEnd"/>
      <w:r w:rsidRPr="00EF4C7C">
        <w:rPr>
          <w:rStyle w:val="dnA"/>
          <w:rFonts w:ascii="Futura Lt BT" w:hAnsi="Futura Lt BT"/>
          <w:sz w:val="24"/>
          <w:szCs w:val="24"/>
          <w:shd w:val="clear" w:color="auto" w:fill="FFFFFF"/>
        </w:rPr>
        <w:t xml:space="preserve">, </w:t>
      </w:r>
      <w:hyperlink r:id="rId16" w:history="1">
        <w:r w:rsidRPr="00EF4C7C">
          <w:rPr>
            <w:rStyle w:val="Hyperlink5"/>
            <w:rFonts w:ascii="Futura Lt BT" w:hAnsi="Futura Lt BT"/>
          </w:rPr>
          <w:t>matej@socia.sk</w:t>
        </w:r>
      </w:hyperlink>
      <w:r w:rsidRPr="00EF4C7C">
        <w:rPr>
          <w:rStyle w:val="dnA"/>
          <w:rFonts w:ascii="Futura Lt BT" w:hAnsi="Futura Lt BT"/>
          <w:sz w:val="24"/>
          <w:szCs w:val="24"/>
          <w:shd w:val="clear" w:color="auto" w:fill="FFFFFF"/>
        </w:rPr>
        <w:t xml:space="preserve"> </w:t>
      </w:r>
    </w:p>
    <w:p w:rsidR="000E19F9" w:rsidRPr="00EF4C7C" w:rsidRDefault="00715883">
      <w:pPr>
        <w:pStyle w:val="NoSpacing"/>
        <w:jc w:val="both"/>
        <w:rPr>
          <w:rFonts w:ascii="Futura Lt BT" w:hAnsi="Futura Lt BT"/>
        </w:rPr>
      </w:pPr>
      <w:r w:rsidRPr="00EF4C7C">
        <w:rPr>
          <w:rStyle w:val="dnA"/>
          <w:rFonts w:ascii="Futura Lt BT" w:hAnsi="Futura Lt BT"/>
          <w:sz w:val="24"/>
          <w:szCs w:val="24"/>
          <w:shd w:val="clear" w:color="auto" w:fill="FFFFFF"/>
        </w:rPr>
        <w:t xml:space="preserve">Director, </w:t>
      </w:r>
      <w:r w:rsidRPr="00EF4C7C">
        <w:rPr>
          <w:rStyle w:val="dnA"/>
          <w:rFonts w:ascii="Futura Lt BT" w:hAnsi="Futura Lt BT"/>
          <w:b/>
          <w:bCs/>
          <w:sz w:val="24"/>
          <w:szCs w:val="24"/>
          <w:shd w:val="clear" w:color="auto" w:fill="FFFFFF"/>
        </w:rPr>
        <w:t>SOCIA - Social Reform Foundation</w:t>
      </w:r>
    </w:p>
    <w:sectPr w:rsidR="000E19F9" w:rsidRPr="00EF4C7C">
      <w:headerReference w:type="default" r:id="rId17"/>
      <w:footerReference w:type="default" r:id="rId18"/>
      <w:headerReference w:type="first" r:id="rId19"/>
      <w:footerReference w:type="first" r:id="rId20"/>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60" w:rsidRDefault="00715883">
      <w:r>
        <w:separator/>
      </w:r>
    </w:p>
  </w:endnote>
  <w:endnote w:type="continuationSeparator" w:id="0">
    <w:p w:rsidR="00E02B60" w:rsidRDefault="0071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F9" w:rsidRDefault="000E19F9">
    <w:pPr>
      <w:pStyle w:val="Zhlava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F9" w:rsidRDefault="000E19F9">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F9" w:rsidRDefault="00715883">
      <w:r>
        <w:separator/>
      </w:r>
    </w:p>
  </w:footnote>
  <w:footnote w:type="continuationSeparator" w:id="0">
    <w:p w:rsidR="000E19F9" w:rsidRDefault="00715883">
      <w:r>
        <w:continuationSeparator/>
      </w:r>
    </w:p>
  </w:footnote>
  <w:footnote w:type="continuationNotice" w:id="1">
    <w:p w:rsidR="000E19F9" w:rsidRDefault="000E19F9"/>
  </w:footnote>
  <w:footnote w:id="2">
    <w:p w:rsidR="000E19F9" w:rsidRPr="008220CC" w:rsidRDefault="00715883">
      <w:pPr>
        <w:pStyle w:val="NoSpacing"/>
        <w:jc w:val="both"/>
        <w:rPr>
          <w:rFonts w:ascii="Futura Lt BT" w:hAnsi="Futura Lt BT"/>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The Mental Disability Advocacy Centre (MDAC) is an international human rights </w:t>
      </w:r>
      <w:proofErr w:type="spellStart"/>
      <w:r w:rsidRPr="008220CC">
        <w:rPr>
          <w:rStyle w:val="dnA"/>
          <w:rFonts w:ascii="Futura Lt BT" w:hAnsi="Futura Lt BT"/>
          <w:sz w:val="20"/>
          <w:szCs w:val="20"/>
        </w:rPr>
        <w:t>organisation</w:t>
      </w:r>
      <w:proofErr w:type="spellEnd"/>
      <w:r w:rsidRPr="008220CC">
        <w:rPr>
          <w:rStyle w:val="dnA"/>
          <w:rFonts w:ascii="Futura Lt BT" w:hAnsi="Futura Lt BT"/>
          <w:sz w:val="20"/>
          <w:szCs w:val="20"/>
        </w:rPr>
        <w:t xml:space="preserve"> which uses the law to secure equality, inclusion and justice for people with mental disabilities worldwide. MDAC’s vision is a world of equality where emotional, mental and learning differences are valued equally; where the inherent autonomy and dignity of each person is fully respected; and where human rights are </w:t>
      </w:r>
      <w:proofErr w:type="spellStart"/>
      <w:r w:rsidRPr="008220CC">
        <w:rPr>
          <w:rStyle w:val="dnA"/>
          <w:rFonts w:ascii="Futura Lt BT" w:hAnsi="Futura Lt BT"/>
          <w:sz w:val="20"/>
          <w:szCs w:val="20"/>
        </w:rPr>
        <w:t>realised</w:t>
      </w:r>
      <w:proofErr w:type="spellEnd"/>
      <w:r w:rsidRPr="008220CC">
        <w:rPr>
          <w:rStyle w:val="dnA"/>
          <w:rFonts w:ascii="Futura Lt BT" w:hAnsi="Futura Lt BT"/>
          <w:sz w:val="20"/>
          <w:szCs w:val="20"/>
        </w:rPr>
        <w:t xml:space="preserve"> for all persons with</w:t>
      </w:r>
      <w:r w:rsidR="008220CC">
        <w:rPr>
          <w:rStyle w:val="dnA"/>
          <w:rFonts w:ascii="Futura Lt BT" w:hAnsi="Futura Lt BT"/>
          <w:sz w:val="20"/>
          <w:szCs w:val="20"/>
        </w:rPr>
        <w:t xml:space="preserve">out discrimination of any form. </w:t>
      </w:r>
      <w:r w:rsidRPr="008220CC">
        <w:rPr>
          <w:rStyle w:val="dnA"/>
          <w:rFonts w:ascii="Futura Lt BT" w:hAnsi="Futura Lt BT"/>
          <w:sz w:val="20"/>
          <w:szCs w:val="20"/>
        </w:rPr>
        <w:t xml:space="preserve">MDAC has participatory status at the Council of Europe, and observer status at ECOSOC. For more information, please visit </w:t>
      </w:r>
      <w:hyperlink r:id="rId1" w:history="1">
        <w:r w:rsidRPr="008220CC">
          <w:rPr>
            <w:rStyle w:val="Hyperlink0"/>
            <w:rFonts w:ascii="Futura Lt BT" w:hAnsi="Futura Lt BT"/>
            <w:sz w:val="20"/>
            <w:szCs w:val="20"/>
          </w:rPr>
          <w:t>www.mdac.org</w:t>
        </w:r>
      </w:hyperlink>
      <w:r w:rsidRPr="008220CC">
        <w:rPr>
          <w:rStyle w:val="dnA"/>
          <w:rFonts w:ascii="Futura Lt BT" w:hAnsi="Futura Lt BT"/>
          <w:sz w:val="20"/>
          <w:szCs w:val="20"/>
        </w:rPr>
        <w:t xml:space="preserve">. </w:t>
      </w:r>
    </w:p>
  </w:footnote>
  <w:footnote w:id="3">
    <w:p w:rsidR="000E19F9" w:rsidRPr="008220CC" w:rsidRDefault="00715883">
      <w:pPr>
        <w:pStyle w:val="NoSpacing"/>
        <w:suppressAutoHyphens w:val="0"/>
        <w:jc w:val="both"/>
        <w:rPr>
          <w:rFonts w:ascii="Futura Lt BT" w:hAnsi="Futura Lt BT"/>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FORUM is an international human rights </w:t>
      </w:r>
      <w:proofErr w:type="spellStart"/>
      <w:r w:rsidRPr="008220CC">
        <w:rPr>
          <w:rStyle w:val="dnA"/>
          <w:rFonts w:ascii="Futura Lt BT" w:hAnsi="Futura Lt BT"/>
          <w:sz w:val="20"/>
          <w:szCs w:val="20"/>
        </w:rPr>
        <w:t>organisation</w:t>
      </w:r>
      <w:proofErr w:type="spellEnd"/>
      <w:r w:rsidRPr="008220CC">
        <w:rPr>
          <w:rStyle w:val="dnA"/>
          <w:rFonts w:ascii="Futura Lt BT" w:hAnsi="Futura Lt BT"/>
          <w:sz w:val="20"/>
          <w:szCs w:val="20"/>
        </w:rPr>
        <w:t xml:space="preserve"> working in the Central European region. It provides support to domestic and international human rights </w:t>
      </w:r>
      <w:proofErr w:type="spellStart"/>
      <w:r w:rsidRPr="008220CC">
        <w:rPr>
          <w:rStyle w:val="dnA"/>
          <w:rFonts w:ascii="Futura Lt BT" w:hAnsi="Futura Lt BT"/>
          <w:sz w:val="20"/>
          <w:szCs w:val="20"/>
        </w:rPr>
        <w:t>organisations</w:t>
      </w:r>
      <w:proofErr w:type="spellEnd"/>
      <w:r w:rsidRPr="008220CC">
        <w:rPr>
          <w:rStyle w:val="dnA"/>
          <w:rFonts w:ascii="Futura Lt BT" w:hAnsi="Futura Lt BT"/>
          <w:sz w:val="20"/>
          <w:szCs w:val="20"/>
        </w:rPr>
        <w:t xml:space="preserve"> in advocacy and litigat</w:t>
      </w:r>
      <w:r w:rsidR="008220CC">
        <w:rPr>
          <w:rStyle w:val="dnA"/>
          <w:rFonts w:ascii="Futura Lt BT" w:hAnsi="Futura Lt BT"/>
          <w:sz w:val="20"/>
          <w:szCs w:val="20"/>
        </w:rPr>
        <w:t xml:space="preserve">ion and also leads domestic and </w:t>
      </w:r>
      <w:r w:rsidRPr="008220CC">
        <w:rPr>
          <w:rStyle w:val="dnA"/>
          <w:rFonts w:ascii="Futura Lt BT" w:hAnsi="Futura Lt BT"/>
          <w:sz w:val="20"/>
          <w:szCs w:val="20"/>
        </w:rPr>
        <w:t xml:space="preserve">international litigation activities. FORUM has been supporting a number of cases pending </w:t>
      </w:r>
      <w:r w:rsidR="008220CC">
        <w:rPr>
          <w:rStyle w:val="dnA"/>
          <w:rFonts w:ascii="Futura Lt BT" w:hAnsi="Futura Lt BT"/>
          <w:sz w:val="20"/>
          <w:szCs w:val="20"/>
        </w:rPr>
        <w:br/>
      </w:r>
      <w:r w:rsidRPr="008220CC">
        <w:rPr>
          <w:rStyle w:val="dnA"/>
          <w:rFonts w:ascii="Futura Lt BT" w:hAnsi="Futura Lt BT"/>
          <w:sz w:val="20"/>
          <w:szCs w:val="20"/>
        </w:rPr>
        <w:t>be</w:t>
      </w:r>
      <w:r>
        <w:rPr>
          <w:rStyle w:val="dnA"/>
          <w:rFonts w:ascii="Futura Lt BT" w:hAnsi="Futura Lt BT"/>
          <w:sz w:val="20"/>
          <w:szCs w:val="20"/>
        </w:rPr>
        <w:t>fore domestic judicial</w:t>
      </w:r>
      <w:r w:rsidR="008220CC">
        <w:rPr>
          <w:rStyle w:val="dnA"/>
          <w:rFonts w:ascii="Futura Lt BT" w:hAnsi="Futura Lt BT"/>
          <w:sz w:val="20"/>
          <w:szCs w:val="20"/>
        </w:rPr>
        <w:t xml:space="preserve"> </w:t>
      </w:r>
      <w:r w:rsidRPr="008220CC">
        <w:rPr>
          <w:rStyle w:val="dnA"/>
          <w:rFonts w:ascii="Futura Lt BT" w:hAnsi="Futura Lt BT"/>
          <w:sz w:val="20"/>
          <w:szCs w:val="20"/>
        </w:rPr>
        <w:t xml:space="preserve">authorities and before the European Court of Human Rights. FORUM authored and co-authored </w:t>
      </w:r>
      <w:r w:rsidR="008220CC" w:rsidRPr="008220CC">
        <w:rPr>
          <w:rStyle w:val="dnA"/>
          <w:rFonts w:ascii="Futura Lt BT" w:hAnsi="Futura Lt BT"/>
          <w:sz w:val="20"/>
          <w:szCs w:val="20"/>
        </w:rPr>
        <w:t xml:space="preserve">a </w:t>
      </w:r>
      <w:r w:rsidRPr="008220CC">
        <w:rPr>
          <w:rStyle w:val="dnA"/>
          <w:rFonts w:ascii="Futura Lt BT" w:hAnsi="Futura Lt BT"/>
          <w:sz w:val="20"/>
          <w:szCs w:val="20"/>
        </w:rPr>
        <w:t xml:space="preserve">number of reports and </w:t>
      </w:r>
      <w:proofErr w:type="spellStart"/>
      <w:r w:rsidRPr="008220CC">
        <w:rPr>
          <w:rStyle w:val="dnA"/>
          <w:rFonts w:ascii="Futura Lt BT" w:hAnsi="Futura Lt BT"/>
          <w:sz w:val="20"/>
          <w:szCs w:val="20"/>
        </w:rPr>
        <w:t>informations</w:t>
      </w:r>
      <w:proofErr w:type="spellEnd"/>
      <w:r w:rsidRPr="008220CC">
        <w:rPr>
          <w:rStyle w:val="dnA"/>
          <w:rFonts w:ascii="Futura Lt BT" w:hAnsi="Futura Lt BT"/>
          <w:sz w:val="20"/>
          <w:szCs w:val="20"/>
        </w:rPr>
        <w:t xml:space="preserve"> with UN and Council of Europe bodies on </w:t>
      </w:r>
      <w:r w:rsidR="008220CC" w:rsidRPr="008220CC">
        <w:rPr>
          <w:rStyle w:val="dnA"/>
          <w:rFonts w:ascii="Futura Lt BT" w:hAnsi="Futura Lt BT"/>
          <w:sz w:val="20"/>
          <w:szCs w:val="20"/>
        </w:rPr>
        <w:t xml:space="preserve">the </w:t>
      </w:r>
      <w:r w:rsidRPr="008220CC">
        <w:rPr>
          <w:rStyle w:val="dnA"/>
          <w:rFonts w:ascii="Futura Lt BT" w:hAnsi="Futura Lt BT"/>
          <w:sz w:val="20"/>
          <w:szCs w:val="20"/>
        </w:rPr>
        <w:t xml:space="preserve">situation in the Central European region, especially Slovakia and the Czech Republic. </w:t>
      </w:r>
    </w:p>
  </w:footnote>
  <w:footnote w:id="4">
    <w:p w:rsidR="000E19F9" w:rsidRPr="008220CC" w:rsidRDefault="00715883">
      <w:pPr>
        <w:pStyle w:val="NoSpacing"/>
        <w:suppressAutoHyphens w:val="0"/>
        <w:jc w:val="both"/>
        <w:rPr>
          <w:rFonts w:ascii="Futura Lt BT" w:hAnsi="Futura Lt BT"/>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w:t>
      </w:r>
      <w:proofErr w:type="spellStart"/>
      <w:proofErr w:type="gramStart"/>
      <w:r w:rsidRPr="008220CC">
        <w:rPr>
          <w:rStyle w:val="dnA"/>
          <w:rFonts w:ascii="Futura Lt BT" w:hAnsi="Futura Lt BT"/>
          <w:sz w:val="20"/>
          <w:szCs w:val="20"/>
        </w:rPr>
        <w:t>Degener</w:t>
      </w:r>
      <w:proofErr w:type="spellEnd"/>
      <w:r w:rsidRPr="008220CC">
        <w:rPr>
          <w:rStyle w:val="dnA"/>
          <w:rFonts w:ascii="Futura Lt BT" w:hAnsi="Futura Lt BT"/>
          <w:sz w:val="20"/>
          <w:szCs w:val="20"/>
        </w:rPr>
        <w:t>, T., Quinn, G. Human rights and disability.</w:t>
      </w:r>
      <w:proofErr w:type="gramEnd"/>
      <w:r w:rsidRPr="008220CC">
        <w:rPr>
          <w:rStyle w:val="dnA"/>
          <w:rFonts w:ascii="Futura Lt BT" w:hAnsi="Futura Lt BT"/>
          <w:sz w:val="20"/>
          <w:szCs w:val="20"/>
        </w:rPr>
        <w:t xml:space="preserve"> </w:t>
      </w:r>
      <w:proofErr w:type="gramStart"/>
      <w:r w:rsidRPr="008220CC">
        <w:rPr>
          <w:rStyle w:val="dnA"/>
          <w:rFonts w:ascii="Futura Lt BT" w:hAnsi="Futura Lt BT"/>
          <w:sz w:val="20"/>
          <w:szCs w:val="20"/>
        </w:rPr>
        <w:t>The current use and future potential of United Nations human rights instruments in the context of disability.</w:t>
      </w:r>
      <w:proofErr w:type="gramEnd"/>
      <w:r w:rsidRPr="008220CC">
        <w:rPr>
          <w:rStyle w:val="dnA"/>
          <w:rFonts w:ascii="Futura Lt BT" w:hAnsi="Futura Lt BT"/>
          <w:sz w:val="20"/>
          <w:szCs w:val="20"/>
        </w:rPr>
        <w:t xml:space="preserve"> OHCHR, 2002, p. 55. Document is available online at: </w:t>
      </w:r>
      <w:hyperlink r:id="rId2" w:history="1">
        <w:r w:rsidRPr="008220CC">
          <w:rPr>
            <w:rStyle w:val="Hyperlink0"/>
            <w:rFonts w:ascii="Futura Lt BT" w:hAnsi="Futura Lt BT"/>
            <w:sz w:val="20"/>
            <w:szCs w:val="20"/>
          </w:rPr>
          <w:t>http://www.ohchr.org/documents/publications/hrdisabilityen.pdf</w:t>
        </w:r>
      </w:hyperlink>
      <w:r w:rsidRPr="008220CC">
        <w:rPr>
          <w:rStyle w:val="dnA"/>
          <w:rFonts w:ascii="Futura Lt BT" w:hAnsi="Futura Lt BT"/>
          <w:sz w:val="20"/>
          <w:szCs w:val="20"/>
        </w:rPr>
        <w:t xml:space="preserve">. </w:t>
      </w:r>
    </w:p>
  </w:footnote>
  <w:footnote w:id="5">
    <w:p w:rsidR="000E19F9" w:rsidRPr="008220CC" w:rsidRDefault="00715883">
      <w:pPr>
        <w:pStyle w:val="NoSpacing"/>
        <w:suppressAutoHyphens w:val="0"/>
        <w:jc w:val="both"/>
        <w:rPr>
          <w:rFonts w:ascii="Futura Lt BT" w:hAnsi="Futura Lt BT"/>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See, Concluding observations on the initial report of Paraguay CRPD/C/PRY/CO/1 15 May 2013, para 38; </w:t>
      </w:r>
      <w:r w:rsidR="008220CC" w:rsidRPr="008220CC">
        <w:rPr>
          <w:rStyle w:val="dnA"/>
          <w:rFonts w:ascii="Futura Lt BT" w:hAnsi="Futura Lt BT"/>
          <w:sz w:val="20"/>
          <w:szCs w:val="20"/>
        </w:rPr>
        <w:br/>
      </w:r>
      <w:r w:rsidRPr="008220CC">
        <w:rPr>
          <w:rStyle w:val="dnA"/>
          <w:rFonts w:ascii="Futura Lt BT" w:hAnsi="Futura Lt BT"/>
          <w:sz w:val="20"/>
          <w:szCs w:val="20"/>
          <w:shd w:val="clear" w:color="auto" w:fill="FFFFFF"/>
        </w:rPr>
        <w:t xml:space="preserve">Concluding observations on the initial report of Azerbaijan CRPD/C/AZE/CO/1 11 May 2014, para 28-29. </w:t>
      </w:r>
    </w:p>
  </w:footnote>
  <w:footnote w:id="6">
    <w:p w:rsidR="000E19F9" w:rsidRPr="008220CC" w:rsidRDefault="00715883">
      <w:pPr>
        <w:pStyle w:val="NoSpacing"/>
        <w:suppressAutoHyphens w:val="0"/>
        <w:jc w:val="both"/>
        <w:rPr>
          <w:rFonts w:ascii="Futura Lt BT" w:hAnsi="Futura Lt BT"/>
          <w:sz w:val="20"/>
          <w:szCs w:val="20"/>
        </w:rPr>
      </w:pPr>
      <w:r w:rsidRPr="008220CC">
        <w:rPr>
          <w:rStyle w:val="dnA"/>
          <w:rFonts w:ascii="Futura Lt BT" w:eastAsia="Century Gothic" w:hAnsi="Futura Lt BT" w:cs="Century Gothic"/>
          <w:iCs/>
          <w:sz w:val="20"/>
          <w:szCs w:val="20"/>
          <w:vertAlign w:val="superscript"/>
        </w:rPr>
        <w:footnoteRef/>
      </w:r>
      <w:r w:rsidRPr="008220CC">
        <w:rPr>
          <w:rStyle w:val="dnA"/>
          <w:rFonts w:ascii="Futura Lt BT" w:hAnsi="Futura Lt BT"/>
          <w:sz w:val="20"/>
          <w:szCs w:val="20"/>
        </w:rPr>
        <w:t xml:space="preserve"> Available in Slovak online at: </w:t>
      </w:r>
      <w:hyperlink r:id="rId3" w:history="1">
        <w:r w:rsidRPr="008220CC">
          <w:rPr>
            <w:rStyle w:val="Hyperlink0"/>
            <w:rFonts w:ascii="Futura Lt BT" w:hAnsi="Futura Lt BT"/>
            <w:sz w:val="20"/>
            <w:szCs w:val="20"/>
          </w:rPr>
          <w:t>http://www.employment.gov.sk/strategia-deinstitucionalizacie-systemu-socialnych-sluzieb-a-nahradnej-starostlivosti-v-sr.html</w:t>
        </w:r>
      </w:hyperlink>
      <w:r w:rsidR="00EF4C7C" w:rsidRPr="008220CC">
        <w:rPr>
          <w:rFonts w:ascii="Futura Lt BT" w:hAnsi="Futura Lt BT"/>
          <w:sz w:val="20"/>
          <w:szCs w:val="20"/>
        </w:rPr>
        <w:t>.</w:t>
      </w:r>
      <w:r w:rsidRPr="008220CC">
        <w:rPr>
          <w:rStyle w:val="dnA"/>
          <w:rFonts w:ascii="Futura Lt BT" w:hAnsi="Futura Lt BT"/>
          <w:sz w:val="20"/>
          <w:szCs w:val="20"/>
        </w:rPr>
        <w:t xml:space="preserve"> </w:t>
      </w:r>
    </w:p>
  </w:footnote>
  <w:footnote w:id="7">
    <w:p w:rsidR="000E19F9" w:rsidRPr="008220CC" w:rsidRDefault="00715883">
      <w:pPr>
        <w:pStyle w:val="NoSpacing"/>
        <w:suppressAutoHyphens w:val="0"/>
        <w:jc w:val="both"/>
        <w:rPr>
          <w:rStyle w:val="dnA"/>
          <w:rFonts w:ascii="Futura Lt BT" w:eastAsia="Century Gothic" w:hAnsi="Futura Lt BT" w:cs="Century Gothic"/>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Available in English online at: </w:t>
      </w:r>
    </w:p>
    <w:p w:rsidR="000E19F9" w:rsidRPr="008220CC" w:rsidRDefault="006B03F4">
      <w:pPr>
        <w:pStyle w:val="NoSpacing"/>
        <w:suppressAutoHyphens w:val="0"/>
        <w:jc w:val="both"/>
        <w:rPr>
          <w:rFonts w:ascii="Futura Lt BT" w:hAnsi="Futura Lt BT"/>
          <w:sz w:val="20"/>
          <w:szCs w:val="20"/>
        </w:rPr>
      </w:pPr>
      <w:hyperlink r:id="rId4" w:history="1">
        <w:r w:rsidR="00715883" w:rsidRPr="008220CC">
          <w:rPr>
            <w:rStyle w:val="Hyperlink0"/>
            <w:rFonts w:ascii="Futura Lt BT" w:hAnsi="Futura Lt BT"/>
            <w:sz w:val="20"/>
            <w:szCs w:val="20"/>
          </w:rPr>
          <w:t>http://www.employment.gov.sk/narodny-akcny-plan-deinstitucionalizacie.html</w:t>
        </w:r>
      </w:hyperlink>
      <w:r w:rsidR="00EF4C7C" w:rsidRPr="008220CC">
        <w:rPr>
          <w:rFonts w:ascii="Futura Lt BT" w:hAnsi="Futura Lt BT"/>
          <w:sz w:val="20"/>
          <w:szCs w:val="20"/>
        </w:rPr>
        <w:t>.</w:t>
      </w:r>
      <w:r w:rsidR="00715883" w:rsidRPr="008220CC">
        <w:rPr>
          <w:rStyle w:val="dnA"/>
          <w:rFonts w:ascii="Futura Lt BT" w:hAnsi="Futura Lt BT"/>
          <w:sz w:val="20"/>
          <w:szCs w:val="20"/>
        </w:rPr>
        <w:t xml:space="preserve"> </w:t>
      </w:r>
    </w:p>
  </w:footnote>
  <w:footnote w:id="8">
    <w:p w:rsidR="000E19F9" w:rsidRPr="008220CC" w:rsidRDefault="00715883">
      <w:pPr>
        <w:pStyle w:val="NoSpacing"/>
        <w:jc w:val="both"/>
        <w:rPr>
          <w:rFonts w:ascii="Futura Lt BT" w:hAnsi="Futura Lt BT"/>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Moreover, these institutions had practical </w:t>
      </w:r>
      <w:r w:rsidR="008220CC" w:rsidRPr="008220CC">
        <w:rPr>
          <w:rStyle w:val="dnA"/>
          <w:rFonts w:ascii="Futura Lt BT" w:hAnsi="Futura Lt BT"/>
          <w:sz w:val="20"/>
          <w:szCs w:val="20"/>
        </w:rPr>
        <w:t>difficulties</w:t>
      </w:r>
      <w:r w:rsidRPr="008220CC">
        <w:rPr>
          <w:rStyle w:val="dnA"/>
          <w:rFonts w:ascii="Futura Lt BT" w:hAnsi="Futura Lt BT"/>
          <w:sz w:val="20"/>
          <w:szCs w:val="20"/>
        </w:rPr>
        <w:t xml:space="preserve"> due to complicated regulations </w:t>
      </w:r>
      <w:r w:rsidR="008220CC" w:rsidRPr="008220CC">
        <w:rPr>
          <w:rStyle w:val="dnA"/>
          <w:rFonts w:ascii="Futura Lt BT" w:hAnsi="Futura Lt BT"/>
          <w:sz w:val="20"/>
          <w:szCs w:val="20"/>
        </w:rPr>
        <w:t>on</w:t>
      </w:r>
      <w:r w:rsidRPr="008220CC">
        <w:rPr>
          <w:rStyle w:val="dnA"/>
          <w:rFonts w:ascii="Futura Lt BT" w:hAnsi="Futura Lt BT"/>
          <w:sz w:val="20"/>
          <w:szCs w:val="20"/>
        </w:rPr>
        <w:t xml:space="preserve"> public procurement. </w:t>
      </w:r>
    </w:p>
  </w:footnote>
  <w:footnote w:id="9">
    <w:p w:rsidR="000E19F9" w:rsidRPr="008220CC" w:rsidRDefault="00715883">
      <w:pPr>
        <w:pStyle w:val="NoSpacing"/>
        <w:suppressAutoHyphens w:val="0"/>
        <w:jc w:val="both"/>
        <w:rPr>
          <w:rStyle w:val="dnA"/>
          <w:rFonts w:ascii="Futura Lt BT" w:eastAsia="Century Gothic" w:hAnsi="Futura Lt BT" w:cs="Century Gothic"/>
          <w:sz w:val="20"/>
          <w:szCs w:val="20"/>
        </w:rPr>
      </w:pPr>
      <w:r w:rsidRPr="008220CC">
        <w:rPr>
          <w:rStyle w:val="dnA"/>
          <w:rFonts w:ascii="Futura Lt BT" w:eastAsia="Century Gothic" w:hAnsi="Futura Lt BT" w:cs="Century Gothic"/>
          <w:sz w:val="20"/>
          <w:szCs w:val="20"/>
          <w:vertAlign w:val="superscript"/>
        </w:rPr>
        <w:footnoteRef/>
      </w:r>
      <w:r w:rsidRPr="008220CC">
        <w:rPr>
          <w:rStyle w:val="dnA"/>
          <w:rFonts w:ascii="Futura Lt BT" w:hAnsi="Futura Lt BT"/>
          <w:sz w:val="20"/>
          <w:szCs w:val="20"/>
        </w:rPr>
        <w:t xml:space="preserve"> </w:t>
      </w:r>
      <w:proofErr w:type="gramStart"/>
      <w:r w:rsidRPr="008220CC">
        <w:rPr>
          <w:rStyle w:val="dnA"/>
          <w:rFonts w:ascii="Futura Lt BT" w:hAnsi="Futura Lt BT"/>
          <w:sz w:val="20"/>
          <w:szCs w:val="20"/>
        </w:rPr>
        <w:t>FRA, The right to political participation of persons with mental health problems and persons with intellectual disabilities.</w:t>
      </w:r>
      <w:proofErr w:type="gramEnd"/>
      <w:r w:rsidRPr="008220CC">
        <w:rPr>
          <w:rStyle w:val="dnA"/>
          <w:rFonts w:ascii="Futura Lt BT" w:hAnsi="Futura Lt BT"/>
          <w:sz w:val="20"/>
          <w:szCs w:val="20"/>
        </w:rPr>
        <w:t xml:space="preserve"> November 2010. The report is available online at:</w:t>
      </w:r>
    </w:p>
    <w:p w:rsidR="000E19F9" w:rsidRPr="008220CC" w:rsidRDefault="006B03F4">
      <w:pPr>
        <w:pStyle w:val="NoSpacing"/>
        <w:suppressAutoHyphens w:val="0"/>
        <w:jc w:val="both"/>
        <w:rPr>
          <w:rFonts w:ascii="Futura Lt BT" w:hAnsi="Futura Lt BT"/>
          <w:sz w:val="20"/>
          <w:szCs w:val="20"/>
        </w:rPr>
      </w:pPr>
      <w:hyperlink r:id="rId5" w:history="1">
        <w:r w:rsidR="008220CC" w:rsidRPr="007C7C8A">
          <w:rPr>
            <w:rStyle w:val="Hyperlink"/>
            <w:rFonts w:ascii="Futura Lt BT" w:eastAsia="Century Gothic" w:hAnsi="Futura Lt BT" w:cs="Century Gothic"/>
            <w:sz w:val="20"/>
            <w:szCs w:val="20"/>
            <w:u w:color="0000FF"/>
          </w:rPr>
          <w:t>http://fra.europa.eu/en/publication/2010/right-political-participation-persons-mental-health-problems-and-persons</w:t>
        </w:r>
      </w:hyperlink>
      <w:r w:rsidR="00715883" w:rsidRPr="008220CC">
        <w:rPr>
          <w:rStyle w:val="dnA"/>
          <w:rFonts w:ascii="Futura Lt BT" w:hAnsi="Futura Lt BT"/>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F9" w:rsidRDefault="000E19F9">
    <w:pPr>
      <w:pStyle w:val="Zhlavazp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F9" w:rsidRDefault="000E19F9">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2AC0"/>
    <w:multiLevelType w:val="hybridMultilevel"/>
    <w:tmpl w:val="A3E62F60"/>
    <w:styleLink w:val="Importovanstyl1"/>
    <w:lvl w:ilvl="0" w:tplc="E8D855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F6EA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E3F4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3DE7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68E4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B0893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2D223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CCB5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2C2EF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A32185A"/>
    <w:multiLevelType w:val="hybridMultilevel"/>
    <w:tmpl w:val="A3E62F60"/>
    <w:numStyleLink w:val="Importovanstyl1"/>
  </w:abstractNum>
  <w:num w:numId="1">
    <w:abstractNumId w:val="0"/>
  </w:num>
  <w:num w:numId="2">
    <w:abstractNumId w:val="1"/>
    <w:lvlOverride w:ilvl="0">
      <w:lvl w:ilvl="0" w:tplc="25467BBE">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E19F9"/>
    <w:rsid w:val="000E19F9"/>
    <w:rsid w:val="006B03F4"/>
    <w:rsid w:val="00715883"/>
    <w:rsid w:val="008220CC"/>
    <w:rsid w:val="00D43D10"/>
    <w:rsid w:val="00E02B60"/>
    <w:rsid w:val="00E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A">
    <w:name w:val="Text A"/>
    <w:pPr>
      <w:suppressAutoHyphens/>
    </w:pPr>
    <w:rPr>
      <w:rFonts w:cs="Arial Unicode MS"/>
      <w:color w:val="000000"/>
      <w:sz w:val="24"/>
      <w:szCs w:val="24"/>
      <w:u w:color="000000"/>
    </w:rPr>
  </w:style>
  <w:style w:type="character" w:customStyle="1" w:styleId="dnA">
    <w:name w:val="Žádný A"/>
    <w:rPr>
      <w:lang w:val="en-US"/>
    </w:rPr>
  </w:style>
  <w:style w:type="paragraph" w:styleId="NoSpacing">
    <w:name w:val="No Spacing"/>
    <w:pPr>
      <w:suppressAutoHyphens/>
    </w:pPr>
    <w:rPr>
      <w:rFonts w:ascii="Calibri" w:eastAsia="Calibri" w:hAnsi="Calibri" w:cs="Calibri"/>
      <w:color w:val="000000"/>
      <w:sz w:val="22"/>
      <w:szCs w:val="22"/>
      <w:u w:color="000000"/>
    </w:rPr>
  </w:style>
  <w:style w:type="paragraph" w:customStyle="1" w:styleId="TextB">
    <w:name w:val="Text B"/>
    <w:rPr>
      <w:rFonts w:eastAsia="Times New Roman"/>
      <w:color w:val="000000"/>
      <w:sz w:val="24"/>
      <w:szCs w:val="24"/>
      <w:u w:color="000000"/>
    </w:rPr>
  </w:style>
  <w:style w:type="numbering" w:customStyle="1" w:styleId="Importovanstyl1">
    <w:name w:val="Importovaný styl 1"/>
    <w:pPr>
      <w:numPr>
        <w:numId w:val="1"/>
      </w:numPr>
    </w:pPr>
  </w:style>
  <w:style w:type="character" w:customStyle="1" w:styleId="Hyperlink0">
    <w:name w:val="Hyperlink.0"/>
    <w:basedOn w:val="dnA"/>
    <w:rPr>
      <w:rFonts w:ascii="Century Gothic" w:eastAsia="Century Gothic" w:hAnsi="Century Gothic" w:cs="Century Gothic"/>
      <w:color w:val="0000FF"/>
      <w:sz w:val="18"/>
      <w:szCs w:val="18"/>
      <w:u w:val="single" w:color="0000FF"/>
      <w:lang w:val="en-US"/>
    </w:rPr>
  </w:style>
  <w:style w:type="character" w:customStyle="1" w:styleId="dnAA">
    <w:name w:val="Žádný A A"/>
    <w:basedOn w:val="dnA"/>
    <w:rPr>
      <w:lang w:val="en-US"/>
    </w:rPr>
  </w:style>
  <w:style w:type="character" w:styleId="FootnoteReference">
    <w:name w:val="footnote reference"/>
    <w:basedOn w:val="dnA"/>
    <w:rPr>
      <w:vertAlign w:val="superscript"/>
      <w:lang w:val="en-US"/>
    </w:rPr>
  </w:style>
  <w:style w:type="paragraph" w:styleId="ListParagraph">
    <w:name w:val="List Paragraph"/>
    <w:pPr>
      <w:tabs>
        <w:tab w:val="left" w:pos="638"/>
        <w:tab w:val="left"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pPr>
    <w:rPr>
      <w:rFonts w:ascii="Century Gothic" w:eastAsia="Century Gothic" w:hAnsi="Century Gothic" w:cs="Century Gothic"/>
      <w:color w:val="000000"/>
      <w:sz w:val="24"/>
      <w:szCs w:val="24"/>
      <w:u w:color="000000"/>
    </w:rPr>
  </w:style>
  <w:style w:type="character" w:customStyle="1" w:styleId="Hyperlink1">
    <w:name w:val="Hyperlink.1"/>
    <w:basedOn w:val="dnA"/>
    <w:rPr>
      <w:rFonts w:ascii="Century Gothic" w:eastAsia="Century Gothic" w:hAnsi="Century Gothic" w:cs="Century Gothic"/>
      <w:color w:val="0000FF"/>
      <w:sz w:val="24"/>
      <w:szCs w:val="24"/>
      <w:u w:val="single" w:color="0000FF"/>
      <w:lang w:val="en-US"/>
    </w:rPr>
  </w:style>
  <w:style w:type="character" w:customStyle="1" w:styleId="Hyperlink2">
    <w:name w:val="Hyperlink.2"/>
    <w:basedOn w:val="dnA"/>
    <w:rPr>
      <w:color w:val="0000FF"/>
      <w:sz w:val="24"/>
      <w:szCs w:val="24"/>
      <w:u w:val="single" w:color="0000FF"/>
      <w:lang w:val="en-US"/>
    </w:rPr>
  </w:style>
  <w:style w:type="character" w:customStyle="1" w:styleId="Hyperlink3">
    <w:name w:val="Hyperlink.3"/>
    <w:basedOn w:val="dnA"/>
    <w:rPr>
      <w:color w:val="0000FF"/>
      <w:sz w:val="24"/>
      <w:szCs w:val="24"/>
      <w:u w:val="single" w:color="0000FF"/>
      <w:shd w:val="clear" w:color="auto" w:fill="FFFFFF"/>
      <w:lang w:val="en-US"/>
    </w:rPr>
  </w:style>
  <w:style w:type="character" w:customStyle="1" w:styleId="Hyperlink4">
    <w:name w:val="Hyperlink.4"/>
    <w:basedOn w:val="dnA"/>
    <w:rPr>
      <w:color w:val="0000FF"/>
      <w:sz w:val="24"/>
      <w:szCs w:val="24"/>
      <w:u w:val="single" w:color="0000FF"/>
      <w:shd w:val="clear" w:color="auto" w:fill="FFFFFF"/>
      <w:lang w:val="en-US"/>
    </w:rPr>
  </w:style>
  <w:style w:type="character" w:customStyle="1" w:styleId="Odkaz">
    <w:name w:val="Odkaz"/>
    <w:rPr>
      <w:color w:val="0000FF"/>
      <w:u w:val="single" w:color="0000FF"/>
    </w:rPr>
  </w:style>
  <w:style w:type="character" w:customStyle="1" w:styleId="Hyperlink5">
    <w:name w:val="Hyperlink.5"/>
    <w:basedOn w:val="Odkaz"/>
    <w:rPr>
      <w:rFonts w:ascii="Century Gothic" w:eastAsia="Century Gothic" w:hAnsi="Century Gothic" w:cs="Century Gothic"/>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A">
    <w:name w:val="Text A"/>
    <w:pPr>
      <w:suppressAutoHyphens/>
    </w:pPr>
    <w:rPr>
      <w:rFonts w:cs="Arial Unicode MS"/>
      <w:color w:val="000000"/>
      <w:sz w:val="24"/>
      <w:szCs w:val="24"/>
      <w:u w:color="000000"/>
    </w:rPr>
  </w:style>
  <w:style w:type="character" w:customStyle="1" w:styleId="dnA">
    <w:name w:val="Žádný A"/>
    <w:rPr>
      <w:lang w:val="en-US"/>
    </w:rPr>
  </w:style>
  <w:style w:type="paragraph" w:styleId="NoSpacing">
    <w:name w:val="No Spacing"/>
    <w:pPr>
      <w:suppressAutoHyphens/>
    </w:pPr>
    <w:rPr>
      <w:rFonts w:ascii="Calibri" w:eastAsia="Calibri" w:hAnsi="Calibri" w:cs="Calibri"/>
      <w:color w:val="000000"/>
      <w:sz w:val="22"/>
      <w:szCs w:val="22"/>
      <w:u w:color="000000"/>
    </w:rPr>
  </w:style>
  <w:style w:type="paragraph" w:customStyle="1" w:styleId="TextB">
    <w:name w:val="Text B"/>
    <w:rPr>
      <w:rFonts w:eastAsia="Times New Roman"/>
      <w:color w:val="000000"/>
      <w:sz w:val="24"/>
      <w:szCs w:val="24"/>
      <w:u w:color="000000"/>
    </w:rPr>
  </w:style>
  <w:style w:type="numbering" w:customStyle="1" w:styleId="Importovanstyl1">
    <w:name w:val="Importovaný styl 1"/>
    <w:pPr>
      <w:numPr>
        <w:numId w:val="1"/>
      </w:numPr>
    </w:pPr>
  </w:style>
  <w:style w:type="character" w:customStyle="1" w:styleId="Hyperlink0">
    <w:name w:val="Hyperlink.0"/>
    <w:basedOn w:val="dnA"/>
    <w:rPr>
      <w:rFonts w:ascii="Century Gothic" w:eastAsia="Century Gothic" w:hAnsi="Century Gothic" w:cs="Century Gothic"/>
      <w:color w:val="0000FF"/>
      <w:sz w:val="18"/>
      <w:szCs w:val="18"/>
      <w:u w:val="single" w:color="0000FF"/>
      <w:lang w:val="en-US"/>
    </w:rPr>
  </w:style>
  <w:style w:type="character" w:customStyle="1" w:styleId="dnAA">
    <w:name w:val="Žádný A A"/>
    <w:basedOn w:val="dnA"/>
    <w:rPr>
      <w:lang w:val="en-US"/>
    </w:rPr>
  </w:style>
  <w:style w:type="character" w:styleId="FootnoteReference">
    <w:name w:val="footnote reference"/>
    <w:basedOn w:val="dnA"/>
    <w:rPr>
      <w:vertAlign w:val="superscript"/>
      <w:lang w:val="en-US"/>
    </w:rPr>
  </w:style>
  <w:style w:type="paragraph" w:styleId="ListParagraph">
    <w:name w:val="List Paragraph"/>
    <w:pPr>
      <w:tabs>
        <w:tab w:val="left" w:pos="638"/>
        <w:tab w:val="left"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pPr>
    <w:rPr>
      <w:rFonts w:ascii="Century Gothic" w:eastAsia="Century Gothic" w:hAnsi="Century Gothic" w:cs="Century Gothic"/>
      <w:color w:val="000000"/>
      <w:sz w:val="24"/>
      <w:szCs w:val="24"/>
      <w:u w:color="000000"/>
    </w:rPr>
  </w:style>
  <w:style w:type="character" w:customStyle="1" w:styleId="Hyperlink1">
    <w:name w:val="Hyperlink.1"/>
    <w:basedOn w:val="dnA"/>
    <w:rPr>
      <w:rFonts w:ascii="Century Gothic" w:eastAsia="Century Gothic" w:hAnsi="Century Gothic" w:cs="Century Gothic"/>
      <w:color w:val="0000FF"/>
      <w:sz w:val="24"/>
      <w:szCs w:val="24"/>
      <w:u w:val="single" w:color="0000FF"/>
      <w:lang w:val="en-US"/>
    </w:rPr>
  </w:style>
  <w:style w:type="character" w:customStyle="1" w:styleId="Hyperlink2">
    <w:name w:val="Hyperlink.2"/>
    <w:basedOn w:val="dnA"/>
    <w:rPr>
      <w:color w:val="0000FF"/>
      <w:sz w:val="24"/>
      <w:szCs w:val="24"/>
      <w:u w:val="single" w:color="0000FF"/>
      <w:lang w:val="en-US"/>
    </w:rPr>
  </w:style>
  <w:style w:type="character" w:customStyle="1" w:styleId="Hyperlink3">
    <w:name w:val="Hyperlink.3"/>
    <w:basedOn w:val="dnA"/>
    <w:rPr>
      <w:color w:val="0000FF"/>
      <w:sz w:val="24"/>
      <w:szCs w:val="24"/>
      <w:u w:val="single" w:color="0000FF"/>
      <w:shd w:val="clear" w:color="auto" w:fill="FFFFFF"/>
      <w:lang w:val="en-US"/>
    </w:rPr>
  </w:style>
  <w:style w:type="character" w:customStyle="1" w:styleId="Hyperlink4">
    <w:name w:val="Hyperlink.4"/>
    <w:basedOn w:val="dnA"/>
    <w:rPr>
      <w:color w:val="0000FF"/>
      <w:sz w:val="24"/>
      <w:szCs w:val="24"/>
      <w:u w:val="single" w:color="0000FF"/>
      <w:shd w:val="clear" w:color="auto" w:fill="FFFFFF"/>
      <w:lang w:val="en-US"/>
    </w:rPr>
  </w:style>
  <w:style w:type="character" w:customStyle="1" w:styleId="Odkaz">
    <w:name w:val="Odkaz"/>
    <w:rPr>
      <w:color w:val="0000FF"/>
      <w:u w:val="single" w:color="0000FF"/>
    </w:rPr>
  </w:style>
  <w:style w:type="character" w:customStyle="1" w:styleId="Hyperlink5">
    <w:name w:val="Hyperlink.5"/>
    <w:basedOn w:val="Odkaz"/>
    <w:rPr>
      <w:rFonts w:ascii="Century Gothic" w:eastAsia="Century Gothic" w:hAnsi="Century Gothic" w:cs="Century Gothic"/>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iasko.maros@gmail.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ven@mdac.org"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matej@socia.s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mojka@nrozp.sk" TargetMode="External"/><Relationship Id="rId23" Type="http://schemas.openxmlformats.org/officeDocument/2006/relationships/customXml" Target="../customXml/item1.xml"/><Relationship Id="rId10" Type="http://schemas.openxmlformats.org/officeDocument/2006/relationships/image" Target="media/image3.t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mailto:misova@zpmpvsr.s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ployment.gov.sk/strategia-deinstitucionalizacie-systemu-socialnych-sluzieb-a-nahradnej-starostlivosti-v-sr.html" TargetMode="External"/><Relationship Id="rId2" Type="http://schemas.openxmlformats.org/officeDocument/2006/relationships/hyperlink" Target="http://www.ohchr.org/documents/publications/hrdisabilityen.pdf" TargetMode="External"/><Relationship Id="rId1" Type="http://schemas.openxmlformats.org/officeDocument/2006/relationships/hyperlink" Target="http://www.mdac.org" TargetMode="External"/><Relationship Id="rId5" Type="http://schemas.openxmlformats.org/officeDocument/2006/relationships/hyperlink" Target="http://fra.europa.eu/en/publication/2010/right-political-participation-persons-mental-health-problems-and-persons" TargetMode="External"/><Relationship Id="rId4" Type="http://schemas.openxmlformats.org/officeDocument/2006/relationships/hyperlink" Target="http://www.employment.gov.sk/narodny-akcny-plan-deinstitucionalizacie.html"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a:ea typeface="Helvetica"/>
        <a:cs typeface="Helvetica"/>
      </a:majorFont>
      <a:minorFont>
        <a:latin typeface="Helvetica"/>
        <a:ea typeface="Helvetica"/>
        <a:cs typeface="Helvetica"/>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190CA-F57F-4037-89A2-61669207A351}"/>
</file>

<file path=customXml/itemProps2.xml><?xml version="1.0" encoding="utf-8"?>
<ds:datastoreItem xmlns:ds="http://schemas.openxmlformats.org/officeDocument/2006/customXml" ds:itemID="{8AAB6508-AA5A-4D84-A016-A0802CFAF897}"/>
</file>

<file path=customXml/itemProps3.xml><?xml version="1.0" encoding="utf-8"?>
<ds:datastoreItem xmlns:ds="http://schemas.openxmlformats.org/officeDocument/2006/customXml" ds:itemID="{7F281E5A-B1CF-4660-8738-E1CDFA014C46}"/>
</file>

<file path=docProps/app.xml><?xml version="1.0" encoding="utf-8"?>
<Properties xmlns="http://schemas.openxmlformats.org/officeDocument/2006/extended-properties" xmlns:vt="http://schemas.openxmlformats.org/officeDocument/2006/docPropsVTypes">
  <Template>Normal.dotm</Template>
  <TotalTime>7</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Steven Allen</cp:lastModifiedBy>
  <cp:revision>4</cp:revision>
  <cp:lastPrinted>2015-12-18T16:06:00Z</cp:lastPrinted>
  <dcterms:created xsi:type="dcterms:W3CDTF">2015-12-18T15:53:00Z</dcterms:created>
  <dcterms:modified xsi:type="dcterms:W3CDTF">2015-12-18T16:06:00Z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