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CA" w:rsidRPr="00CD52B5" w:rsidRDefault="00240F69" w:rsidP="009D410E">
      <w:pPr>
        <w:widowControl w:val="0"/>
        <w:jc w:val="both"/>
        <w:outlineLvl w:val="0"/>
        <w:rPr>
          <w:szCs w:val="24"/>
          <w:lang w:val="en-GB"/>
        </w:rPr>
      </w:pPr>
      <w:r>
        <w:rPr>
          <w:noProof/>
          <w:szCs w:val="24"/>
          <w:lang w:val="en-GB"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3.4pt;margin-top:-64.55pt;width:84pt;height:159.05pt;z-index:-251658752">
            <v:imagedata r:id="rId9" o:title=""/>
          </v:shape>
        </w:pict>
      </w:r>
    </w:p>
    <w:p w:rsidR="006250CA" w:rsidRPr="00CD52B5" w:rsidRDefault="006250CA" w:rsidP="009D410E">
      <w:pPr>
        <w:widowControl w:val="0"/>
        <w:jc w:val="both"/>
        <w:outlineLvl w:val="0"/>
        <w:rPr>
          <w:szCs w:val="24"/>
          <w:lang w:val="en-GB"/>
        </w:rPr>
      </w:pPr>
    </w:p>
    <w:p w:rsidR="006250CA" w:rsidRPr="00CD52B5" w:rsidRDefault="006250CA" w:rsidP="009D410E">
      <w:pPr>
        <w:widowControl w:val="0"/>
        <w:jc w:val="both"/>
        <w:outlineLvl w:val="0"/>
        <w:rPr>
          <w:b/>
          <w:szCs w:val="24"/>
          <w:u w:val="single"/>
          <w:lang w:val="en-GB"/>
        </w:rPr>
      </w:pPr>
    </w:p>
    <w:p w:rsidR="006250CA" w:rsidRPr="00CD52B5" w:rsidRDefault="006250CA" w:rsidP="009D410E">
      <w:pPr>
        <w:widowControl w:val="0"/>
        <w:jc w:val="both"/>
        <w:outlineLvl w:val="0"/>
        <w:rPr>
          <w:b/>
          <w:sz w:val="32"/>
          <w:szCs w:val="24"/>
          <w:lang w:val="en-GB"/>
        </w:rPr>
      </w:pPr>
    </w:p>
    <w:p w:rsidR="00537E25" w:rsidRPr="00CD52B5" w:rsidRDefault="00537E25" w:rsidP="009D410E">
      <w:pPr>
        <w:widowControl w:val="0"/>
        <w:jc w:val="both"/>
        <w:outlineLvl w:val="0"/>
        <w:rPr>
          <w:b/>
          <w:sz w:val="32"/>
          <w:szCs w:val="24"/>
          <w:lang w:val="en-GB"/>
        </w:rPr>
      </w:pPr>
    </w:p>
    <w:p w:rsidR="006250CA" w:rsidRPr="00CD52B5" w:rsidRDefault="006250CA" w:rsidP="009D410E">
      <w:pPr>
        <w:widowControl w:val="0"/>
        <w:jc w:val="both"/>
        <w:outlineLvl w:val="0"/>
        <w:rPr>
          <w:rFonts w:ascii="Arial Narrow" w:hAnsi="Arial Narrow"/>
          <w:color w:val="808080"/>
          <w:szCs w:val="24"/>
          <w:lang w:val="en-GB"/>
        </w:rPr>
      </w:pPr>
    </w:p>
    <w:p w:rsidR="00537E25" w:rsidRPr="00CD52B5" w:rsidRDefault="00537E25" w:rsidP="009D410E">
      <w:pPr>
        <w:widowControl w:val="0"/>
        <w:jc w:val="both"/>
        <w:outlineLvl w:val="0"/>
        <w:rPr>
          <w:rFonts w:ascii="Arial Narrow" w:hAnsi="Arial Narrow"/>
          <w:color w:val="808080"/>
          <w:szCs w:val="24"/>
          <w:lang w:val="en-GB"/>
        </w:rPr>
      </w:pPr>
    </w:p>
    <w:p w:rsidR="00537E25" w:rsidRPr="00F33EAF" w:rsidRDefault="00F33EAF" w:rsidP="00136DD3">
      <w:pPr>
        <w:widowControl w:val="0"/>
        <w:jc w:val="right"/>
        <w:outlineLvl w:val="0"/>
        <w:rPr>
          <w:color w:val="808080"/>
          <w:szCs w:val="24"/>
          <w:lang w:val="en-GB"/>
        </w:rPr>
      </w:pPr>
      <w:proofErr w:type="spellStart"/>
      <w:r w:rsidRPr="00F33EAF">
        <w:rPr>
          <w:color w:val="808080"/>
          <w:szCs w:val="24"/>
          <w:lang w:val="en-GB"/>
        </w:rPr>
        <w:t>Rr</w:t>
      </w:r>
      <w:proofErr w:type="spellEnd"/>
      <w:r w:rsidRPr="00F33EAF">
        <w:rPr>
          <w:color w:val="808080"/>
          <w:szCs w:val="24"/>
          <w:lang w:val="en-GB"/>
        </w:rPr>
        <w:t xml:space="preserve">. </w:t>
      </w:r>
      <w:proofErr w:type="spellStart"/>
      <w:r w:rsidRPr="00F33EAF">
        <w:rPr>
          <w:color w:val="808080"/>
          <w:szCs w:val="24"/>
          <w:lang w:val="en-GB"/>
        </w:rPr>
        <w:t>Thanas</w:t>
      </w:r>
      <w:proofErr w:type="spellEnd"/>
      <w:r w:rsidRPr="00F33EAF">
        <w:rPr>
          <w:color w:val="808080"/>
          <w:szCs w:val="24"/>
          <w:lang w:val="en-GB"/>
        </w:rPr>
        <w:t xml:space="preserve"> </w:t>
      </w:r>
      <w:proofErr w:type="spellStart"/>
      <w:r w:rsidRPr="00F33EAF">
        <w:rPr>
          <w:color w:val="808080"/>
          <w:szCs w:val="24"/>
          <w:lang w:val="en-GB"/>
        </w:rPr>
        <w:t>Ziko</w:t>
      </w:r>
      <w:proofErr w:type="spellEnd"/>
    </w:p>
    <w:p w:rsidR="00F33EAF" w:rsidRPr="00F33EAF" w:rsidRDefault="00F33EAF" w:rsidP="00136DD3">
      <w:pPr>
        <w:widowControl w:val="0"/>
        <w:jc w:val="right"/>
        <w:outlineLvl w:val="0"/>
        <w:rPr>
          <w:color w:val="808080"/>
          <w:szCs w:val="24"/>
          <w:lang w:val="en-GB"/>
        </w:rPr>
      </w:pPr>
      <w:r w:rsidRPr="00F33EAF">
        <w:rPr>
          <w:color w:val="808080"/>
          <w:szCs w:val="24"/>
          <w:lang w:val="en-GB"/>
        </w:rPr>
        <w:t xml:space="preserve">P. 65/1, Sh.3 </w:t>
      </w:r>
    </w:p>
    <w:p w:rsidR="006250CA" w:rsidRPr="00F33EAF" w:rsidRDefault="00F33EAF" w:rsidP="00136DD3">
      <w:pPr>
        <w:widowControl w:val="0"/>
        <w:jc w:val="right"/>
        <w:outlineLvl w:val="0"/>
        <w:rPr>
          <w:color w:val="808080"/>
          <w:szCs w:val="24"/>
          <w:lang w:val="en-GB"/>
        </w:rPr>
      </w:pPr>
      <w:r w:rsidRPr="00F33EAF">
        <w:rPr>
          <w:color w:val="808080"/>
          <w:szCs w:val="24"/>
          <w:lang w:val="en-GB"/>
        </w:rPr>
        <w:t>Ap. 9</w:t>
      </w:r>
      <w:r w:rsidR="006250CA" w:rsidRPr="00F33EAF">
        <w:rPr>
          <w:color w:val="808080"/>
          <w:szCs w:val="24"/>
          <w:lang w:val="en-GB"/>
        </w:rPr>
        <w:t xml:space="preserve"> </w:t>
      </w:r>
    </w:p>
    <w:p w:rsidR="00537E25" w:rsidRPr="00F33EAF" w:rsidRDefault="006250CA" w:rsidP="00136DD3">
      <w:pPr>
        <w:widowControl w:val="0"/>
        <w:jc w:val="right"/>
        <w:outlineLvl w:val="0"/>
        <w:rPr>
          <w:color w:val="808080"/>
          <w:szCs w:val="24"/>
          <w:lang w:val="en-GB"/>
        </w:rPr>
      </w:pPr>
      <w:r w:rsidRPr="00F33EAF">
        <w:rPr>
          <w:color w:val="808080"/>
          <w:szCs w:val="24"/>
          <w:lang w:val="en-GB"/>
        </w:rPr>
        <w:t>Tirana, Albania</w:t>
      </w:r>
    </w:p>
    <w:p w:rsidR="00044694" w:rsidRDefault="00240F69" w:rsidP="009D410E">
      <w:pPr>
        <w:widowControl w:val="0"/>
        <w:ind w:left="5760" w:firstLine="720"/>
        <w:jc w:val="both"/>
        <w:outlineLvl w:val="0"/>
      </w:pPr>
      <w:hyperlink r:id="rId10" w:history="1">
        <w:r w:rsidR="00132FB8" w:rsidRPr="00A85E3E">
          <w:rPr>
            <w:rStyle w:val="Hyperlink"/>
          </w:rPr>
          <w:t>http://www.respublica.org.al/</w:t>
        </w:r>
      </w:hyperlink>
      <w:r w:rsidR="00132FB8">
        <w:t xml:space="preserve"> </w:t>
      </w:r>
    </w:p>
    <w:p w:rsidR="00132FB8" w:rsidRDefault="00132FB8" w:rsidP="009D410E">
      <w:pPr>
        <w:widowControl w:val="0"/>
        <w:ind w:left="5760" w:firstLine="720"/>
        <w:jc w:val="both"/>
        <w:outlineLvl w:val="0"/>
        <w:rPr>
          <w:b/>
          <w:szCs w:val="24"/>
          <w:lang w:val="en-GB"/>
        </w:rPr>
      </w:pPr>
    </w:p>
    <w:p w:rsidR="00132FB8" w:rsidRDefault="00132FB8" w:rsidP="009D410E">
      <w:pPr>
        <w:widowControl w:val="0"/>
        <w:jc w:val="both"/>
        <w:outlineLvl w:val="0"/>
        <w:rPr>
          <w:b/>
          <w:szCs w:val="24"/>
          <w:lang w:val="en-GB"/>
        </w:rPr>
      </w:pPr>
    </w:p>
    <w:p w:rsidR="00132FB8" w:rsidRPr="0030008A" w:rsidRDefault="004841FA" w:rsidP="00136DD3">
      <w:pPr>
        <w:widowControl w:val="0"/>
        <w:jc w:val="center"/>
        <w:outlineLvl w:val="0"/>
        <w:rPr>
          <w:b/>
          <w:sz w:val="28"/>
          <w:szCs w:val="28"/>
          <w:lang w:val="en-GB"/>
        </w:rPr>
      </w:pPr>
      <w:r>
        <w:rPr>
          <w:b/>
          <w:sz w:val="28"/>
          <w:szCs w:val="28"/>
          <w:lang w:val="en-GB"/>
        </w:rPr>
        <w:t xml:space="preserve">ADDITIONAL </w:t>
      </w:r>
      <w:r w:rsidR="00132FB8" w:rsidRPr="0030008A">
        <w:rPr>
          <w:b/>
          <w:sz w:val="28"/>
          <w:szCs w:val="28"/>
          <w:lang w:val="en-GB"/>
        </w:rPr>
        <w:t xml:space="preserve">SUBMISSION ON </w:t>
      </w:r>
      <w:r w:rsidR="005A5740">
        <w:rPr>
          <w:b/>
          <w:sz w:val="28"/>
          <w:szCs w:val="28"/>
          <w:lang w:val="en-GB"/>
        </w:rPr>
        <w:t xml:space="preserve">THE </w:t>
      </w:r>
      <w:r w:rsidR="005273D8">
        <w:rPr>
          <w:b/>
          <w:sz w:val="28"/>
          <w:szCs w:val="28"/>
          <w:lang w:val="en-GB"/>
        </w:rPr>
        <w:t>FOLLOW-</w:t>
      </w:r>
      <w:r w:rsidR="00650D44" w:rsidRPr="0030008A">
        <w:rPr>
          <w:b/>
          <w:sz w:val="28"/>
          <w:szCs w:val="28"/>
          <w:lang w:val="en-GB"/>
        </w:rPr>
        <w:t xml:space="preserve">UP TO </w:t>
      </w:r>
      <w:r w:rsidR="005273D8">
        <w:rPr>
          <w:b/>
          <w:sz w:val="28"/>
          <w:szCs w:val="28"/>
          <w:lang w:val="en-GB"/>
        </w:rPr>
        <w:t xml:space="preserve">THE </w:t>
      </w:r>
      <w:r w:rsidR="00650D44" w:rsidRPr="0030008A">
        <w:rPr>
          <w:b/>
          <w:sz w:val="28"/>
          <w:szCs w:val="28"/>
          <w:lang w:val="en-GB"/>
        </w:rPr>
        <w:t xml:space="preserve">HUMAN RIGHTS COMMITTEE </w:t>
      </w:r>
      <w:r w:rsidR="0014415B">
        <w:rPr>
          <w:b/>
          <w:sz w:val="28"/>
          <w:szCs w:val="28"/>
          <w:lang w:val="en-GB"/>
        </w:rPr>
        <w:t xml:space="preserve">2013 </w:t>
      </w:r>
      <w:r w:rsidR="00650D44" w:rsidRPr="0030008A">
        <w:rPr>
          <w:b/>
          <w:sz w:val="28"/>
          <w:szCs w:val="28"/>
          <w:lang w:val="en-GB"/>
        </w:rPr>
        <w:t xml:space="preserve">CONCLUDING </w:t>
      </w:r>
      <w:r w:rsidR="005A5740">
        <w:rPr>
          <w:b/>
          <w:sz w:val="28"/>
          <w:szCs w:val="28"/>
          <w:lang w:val="en-GB"/>
        </w:rPr>
        <w:t>OBSERVATIONS</w:t>
      </w:r>
      <w:r w:rsidR="00650D44" w:rsidRPr="0030008A">
        <w:rPr>
          <w:b/>
          <w:sz w:val="28"/>
          <w:szCs w:val="28"/>
          <w:lang w:val="en-GB"/>
        </w:rPr>
        <w:t xml:space="preserve"> IN RELATION TO ALBANIA</w:t>
      </w:r>
    </w:p>
    <w:p w:rsidR="00132FB8" w:rsidRDefault="00132FB8" w:rsidP="009D410E">
      <w:pPr>
        <w:widowControl w:val="0"/>
        <w:jc w:val="both"/>
        <w:outlineLvl w:val="0"/>
        <w:rPr>
          <w:b/>
          <w:szCs w:val="24"/>
          <w:lang w:val="en-GB"/>
        </w:rPr>
      </w:pPr>
    </w:p>
    <w:p w:rsidR="00132FB8" w:rsidRPr="00132FB8" w:rsidRDefault="00656899" w:rsidP="00136DD3">
      <w:pPr>
        <w:widowControl w:val="0"/>
        <w:jc w:val="right"/>
        <w:outlineLvl w:val="0"/>
        <w:rPr>
          <w:szCs w:val="24"/>
          <w:lang w:val="en-GB"/>
        </w:rPr>
      </w:pPr>
      <w:r>
        <w:rPr>
          <w:szCs w:val="24"/>
          <w:lang w:val="en-GB"/>
        </w:rPr>
        <w:t>9</w:t>
      </w:r>
      <w:r w:rsidR="00132FB8" w:rsidRPr="00132FB8">
        <w:rPr>
          <w:szCs w:val="24"/>
          <w:lang w:val="en-GB"/>
        </w:rPr>
        <w:t xml:space="preserve"> </w:t>
      </w:r>
      <w:r w:rsidR="004841FA">
        <w:rPr>
          <w:szCs w:val="24"/>
          <w:lang w:val="en-GB"/>
        </w:rPr>
        <w:t xml:space="preserve">November </w:t>
      </w:r>
      <w:r w:rsidR="00132FB8" w:rsidRPr="00132FB8">
        <w:rPr>
          <w:szCs w:val="24"/>
          <w:lang w:val="en-GB"/>
        </w:rPr>
        <w:t>2015</w:t>
      </w:r>
    </w:p>
    <w:p w:rsidR="00132FB8" w:rsidRDefault="00132FB8" w:rsidP="009D410E">
      <w:pPr>
        <w:widowControl w:val="0"/>
        <w:jc w:val="both"/>
        <w:outlineLvl w:val="0"/>
        <w:rPr>
          <w:b/>
          <w:szCs w:val="24"/>
          <w:lang w:val="en-GB"/>
        </w:rPr>
      </w:pPr>
    </w:p>
    <w:p w:rsidR="00BF2146" w:rsidRPr="00F33EAF" w:rsidRDefault="004547B1" w:rsidP="009D410E">
      <w:pPr>
        <w:widowControl w:val="0"/>
        <w:jc w:val="both"/>
        <w:outlineLvl w:val="0"/>
        <w:rPr>
          <w:b/>
          <w:szCs w:val="24"/>
        </w:rPr>
      </w:pPr>
      <w:r w:rsidRPr="00CD52B5">
        <w:rPr>
          <w:b/>
          <w:szCs w:val="24"/>
          <w:lang w:val="en-GB"/>
        </w:rPr>
        <w:t xml:space="preserve">I.     </w:t>
      </w:r>
      <w:r w:rsidR="00631D71" w:rsidRPr="00F33EAF">
        <w:rPr>
          <w:b/>
          <w:szCs w:val="24"/>
        </w:rPr>
        <w:t>INTRODUCTION</w:t>
      </w:r>
    </w:p>
    <w:p w:rsidR="006250CA" w:rsidRPr="00CD52B5" w:rsidRDefault="006250CA" w:rsidP="009D410E">
      <w:pPr>
        <w:widowControl w:val="0"/>
        <w:jc w:val="both"/>
        <w:rPr>
          <w:sz w:val="18"/>
          <w:szCs w:val="24"/>
          <w:lang w:val="en-GB"/>
        </w:rPr>
      </w:pPr>
    </w:p>
    <w:p w:rsidR="00537E25" w:rsidRPr="00CD52B5" w:rsidRDefault="00537E25" w:rsidP="009D410E">
      <w:pPr>
        <w:widowControl w:val="0"/>
        <w:jc w:val="both"/>
        <w:rPr>
          <w:sz w:val="18"/>
          <w:szCs w:val="24"/>
          <w:lang w:val="en-GB"/>
        </w:rPr>
      </w:pPr>
    </w:p>
    <w:p w:rsidR="00650D44" w:rsidRDefault="00AD014A" w:rsidP="009D410E">
      <w:pPr>
        <w:widowControl w:val="0"/>
        <w:jc w:val="both"/>
        <w:rPr>
          <w:szCs w:val="24"/>
          <w:lang w:val="en-GB"/>
        </w:rPr>
      </w:pPr>
      <w:r>
        <w:rPr>
          <w:szCs w:val="24"/>
          <w:lang w:val="en-GB"/>
        </w:rPr>
        <w:t xml:space="preserve">1. </w:t>
      </w:r>
      <w:r w:rsidR="00D10C96">
        <w:rPr>
          <w:szCs w:val="24"/>
          <w:lang w:val="en-GB"/>
        </w:rPr>
        <w:t xml:space="preserve">By its submission dated 24 July 2015, Res Publica brought to the attention of </w:t>
      </w:r>
      <w:r w:rsidR="00FC092F">
        <w:rPr>
          <w:szCs w:val="24"/>
          <w:lang w:val="en-GB"/>
        </w:rPr>
        <w:t>the Special</w:t>
      </w:r>
      <w:r w:rsidR="00D10C96">
        <w:rPr>
          <w:szCs w:val="24"/>
          <w:lang w:val="en-GB"/>
        </w:rPr>
        <w:t xml:space="preserve"> Rapporteur for Follow-up to the Concluding Observations a series of developments regarding the measures undertaken by the Albanian </w:t>
      </w:r>
      <w:r w:rsidR="00600601">
        <w:rPr>
          <w:szCs w:val="24"/>
          <w:lang w:val="en-GB"/>
        </w:rPr>
        <w:t>Government with a view to complying with the Human Rights Committee’s recommendation to the Albanian Government to: “[…] intensif</w:t>
      </w:r>
      <w:r w:rsidR="00600601" w:rsidRPr="00D75DE9">
        <w:rPr>
          <w:szCs w:val="24"/>
          <w:lang w:val="en-GB"/>
        </w:rPr>
        <w:t>y its efforts to conclude its investigation into</w:t>
      </w:r>
      <w:r w:rsidR="00600601">
        <w:rPr>
          <w:szCs w:val="24"/>
          <w:lang w:val="en-GB"/>
        </w:rPr>
        <w:t xml:space="preserve"> the January 2011 demonstrations</w:t>
      </w:r>
      <w:r w:rsidR="00600601" w:rsidRPr="00D75DE9">
        <w:rPr>
          <w:szCs w:val="24"/>
          <w:lang w:val="en-GB"/>
        </w:rPr>
        <w:t>, ensure compliance with international standards of investigation, and to this end, bring perpetrators to justice, punish them adequately, if convicted, a</w:t>
      </w:r>
      <w:r w:rsidR="00600601">
        <w:rPr>
          <w:szCs w:val="24"/>
          <w:lang w:val="en-GB"/>
        </w:rPr>
        <w:t>nd compensate victims.”</w:t>
      </w:r>
      <w:r w:rsidR="00600601">
        <w:rPr>
          <w:rStyle w:val="FootnoteReference"/>
          <w:szCs w:val="24"/>
          <w:lang w:val="en-GB"/>
        </w:rPr>
        <w:footnoteReference w:id="1"/>
      </w:r>
    </w:p>
    <w:p w:rsidR="001E1C22" w:rsidRDefault="001E1C22" w:rsidP="009D410E">
      <w:pPr>
        <w:widowControl w:val="0"/>
        <w:jc w:val="both"/>
        <w:rPr>
          <w:szCs w:val="24"/>
          <w:lang w:val="en-GB"/>
        </w:rPr>
      </w:pPr>
    </w:p>
    <w:p w:rsidR="001E1C22" w:rsidRPr="001E1C22" w:rsidRDefault="001E1C22" w:rsidP="009D410E">
      <w:pPr>
        <w:widowControl w:val="0"/>
        <w:jc w:val="both"/>
        <w:rPr>
          <w:b/>
          <w:szCs w:val="24"/>
          <w:lang w:val="en-GB"/>
        </w:rPr>
      </w:pPr>
      <w:r w:rsidRPr="001E1C22">
        <w:rPr>
          <w:b/>
          <w:szCs w:val="24"/>
          <w:lang w:val="en-GB"/>
        </w:rPr>
        <w:t xml:space="preserve">II. FURTHER INFORMATION ON THE GRANTING OF SPECIAL PENSIONS </w:t>
      </w:r>
      <w:r>
        <w:rPr>
          <w:b/>
          <w:szCs w:val="24"/>
          <w:lang w:val="en-GB"/>
        </w:rPr>
        <w:t>TO THE FAMILIES OF THE VICTIMS OF THE 21 JANUARY 2011 DEMONSTRATIONS</w:t>
      </w:r>
    </w:p>
    <w:p w:rsidR="00650D44" w:rsidRDefault="00650D44" w:rsidP="009D410E">
      <w:pPr>
        <w:widowControl w:val="0"/>
        <w:jc w:val="both"/>
        <w:rPr>
          <w:szCs w:val="24"/>
          <w:lang w:val="en-GB"/>
        </w:rPr>
      </w:pPr>
    </w:p>
    <w:p w:rsidR="00600601" w:rsidRDefault="001E1C22" w:rsidP="00600601">
      <w:pPr>
        <w:widowControl w:val="0"/>
        <w:jc w:val="both"/>
        <w:rPr>
          <w:szCs w:val="24"/>
          <w:lang w:val="en-GB"/>
        </w:rPr>
      </w:pPr>
      <w:r>
        <w:rPr>
          <w:szCs w:val="24"/>
          <w:lang w:val="en-GB"/>
        </w:rPr>
        <w:t>2</w:t>
      </w:r>
      <w:r w:rsidR="00AD014A">
        <w:rPr>
          <w:szCs w:val="24"/>
          <w:lang w:val="en-GB"/>
        </w:rPr>
        <w:t xml:space="preserve">. </w:t>
      </w:r>
      <w:r>
        <w:rPr>
          <w:szCs w:val="24"/>
          <w:lang w:val="en-GB"/>
        </w:rPr>
        <w:t>In paragraphs 12 – 18 of their submission dated 24 July 2015, Res Publica set out the initiatives it undertook with a view to securing compensation for the familie</w:t>
      </w:r>
      <w:r w:rsidR="00F6164F">
        <w:rPr>
          <w:szCs w:val="24"/>
          <w:lang w:val="en-GB"/>
        </w:rPr>
        <w:t>s of the victims as well as the</w:t>
      </w:r>
      <w:r>
        <w:rPr>
          <w:szCs w:val="24"/>
          <w:lang w:val="en-GB"/>
        </w:rPr>
        <w:t xml:space="preserve"> Albanian Government’s response. In particular, Res Publica referred to the Government’s </w:t>
      </w:r>
      <w:r w:rsidR="00F6164F">
        <w:rPr>
          <w:szCs w:val="24"/>
          <w:lang w:val="en-GB"/>
        </w:rPr>
        <w:t xml:space="preserve">intention of awarding special pensions to the families of the victims, as provided for by Article 5 of the Law 7703/1993 </w:t>
      </w:r>
      <w:r w:rsidR="00F6164F" w:rsidRPr="00F6164F">
        <w:rPr>
          <w:i/>
          <w:szCs w:val="24"/>
          <w:lang w:val="en-GB"/>
        </w:rPr>
        <w:t>On Social Insurance</w:t>
      </w:r>
      <w:r w:rsidR="00F6164F">
        <w:rPr>
          <w:i/>
          <w:szCs w:val="24"/>
          <w:lang w:val="en-GB"/>
        </w:rPr>
        <w:t xml:space="preserve"> </w:t>
      </w:r>
      <w:r w:rsidR="00F6164F">
        <w:rPr>
          <w:szCs w:val="24"/>
          <w:lang w:val="en-GB"/>
        </w:rPr>
        <w:t xml:space="preserve">and its concerns regarding first, the lawfulness of such a measure and second, the adequacy of the </w:t>
      </w:r>
      <w:r w:rsidR="009C3D60">
        <w:rPr>
          <w:szCs w:val="24"/>
          <w:lang w:val="en-GB"/>
        </w:rPr>
        <w:t xml:space="preserve">compensation granted. </w:t>
      </w:r>
    </w:p>
    <w:p w:rsidR="008D5398" w:rsidRDefault="008D5398" w:rsidP="00600601">
      <w:pPr>
        <w:widowControl w:val="0"/>
        <w:jc w:val="both"/>
        <w:rPr>
          <w:szCs w:val="24"/>
          <w:lang w:val="en-GB"/>
        </w:rPr>
      </w:pPr>
    </w:p>
    <w:p w:rsidR="008D5398" w:rsidRDefault="008D5398" w:rsidP="00600601">
      <w:pPr>
        <w:widowControl w:val="0"/>
        <w:jc w:val="both"/>
        <w:rPr>
          <w:szCs w:val="24"/>
          <w:lang w:val="en-GB"/>
        </w:rPr>
      </w:pPr>
      <w:r>
        <w:rPr>
          <w:szCs w:val="24"/>
          <w:lang w:val="en-GB"/>
        </w:rPr>
        <w:t xml:space="preserve">3. </w:t>
      </w:r>
      <w:r w:rsidR="00DF4B9C">
        <w:rPr>
          <w:szCs w:val="24"/>
          <w:lang w:val="en-GB"/>
        </w:rPr>
        <w:t>In mid-August</w:t>
      </w:r>
      <w:r>
        <w:rPr>
          <w:szCs w:val="24"/>
          <w:lang w:val="en-GB"/>
        </w:rPr>
        <w:t>, Res Publica was informed by some members of the victims’ families that</w:t>
      </w:r>
      <w:r w:rsidR="00AF769A">
        <w:rPr>
          <w:szCs w:val="24"/>
          <w:lang w:val="en-GB"/>
        </w:rPr>
        <w:t>, in addition to pensions or financial benefits they were receiving,</w:t>
      </w:r>
      <w:r>
        <w:rPr>
          <w:szCs w:val="24"/>
          <w:lang w:val="en-GB"/>
        </w:rPr>
        <w:t xml:space="preserve"> </w:t>
      </w:r>
      <w:r w:rsidR="00AF769A">
        <w:rPr>
          <w:szCs w:val="24"/>
          <w:lang w:val="en-GB"/>
        </w:rPr>
        <w:t>they also start</w:t>
      </w:r>
      <w:r w:rsidR="00DF4B9C">
        <w:rPr>
          <w:szCs w:val="24"/>
          <w:lang w:val="en-GB"/>
        </w:rPr>
        <w:t>ed</w:t>
      </w:r>
      <w:r w:rsidR="00AF769A">
        <w:rPr>
          <w:szCs w:val="24"/>
          <w:lang w:val="en-GB"/>
        </w:rPr>
        <w:t xml:space="preserve"> receiving additional sums. When they inquired as to the origin of these sums, they were informed that these were paid to them under the terms of Council of Ministers’ Decision </w:t>
      </w:r>
      <w:r w:rsidR="002E641A">
        <w:rPr>
          <w:szCs w:val="24"/>
          <w:lang w:val="en-GB"/>
        </w:rPr>
        <w:t xml:space="preserve">No. </w:t>
      </w:r>
      <w:r w:rsidR="00AF769A">
        <w:rPr>
          <w:szCs w:val="24"/>
          <w:lang w:val="en-GB"/>
        </w:rPr>
        <w:t xml:space="preserve">112, dated 21 </w:t>
      </w:r>
      <w:r w:rsidR="00AF769A">
        <w:rPr>
          <w:szCs w:val="24"/>
          <w:lang w:val="en-GB"/>
        </w:rPr>
        <w:lastRenderedPageBreak/>
        <w:t>January 2015</w:t>
      </w:r>
      <w:r w:rsidR="00484878">
        <w:rPr>
          <w:szCs w:val="24"/>
          <w:lang w:val="en-GB"/>
        </w:rPr>
        <w:t xml:space="preserve"> which</w:t>
      </w:r>
      <w:r w:rsidR="00AF769A">
        <w:rPr>
          <w:szCs w:val="24"/>
          <w:lang w:val="en-GB"/>
        </w:rPr>
        <w:t xml:space="preserve"> entere</w:t>
      </w:r>
      <w:r w:rsidR="00484878">
        <w:rPr>
          <w:szCs w:val="24"/>
          <w:lang w:val="en-GB"/>
        </w:rPr>
        <w:t>d into force</w:t>
      </w:r>
      <w:r w:rsidR="00AF769A">
        <w:rPr>
          <w:szCs w:val="24"/>
          <w:lang w:val="en-GB"/>
        </w:rPr>
        <w:t xml:space="preserve"> </w:t>
      </w:r>
      <w:r w:rsidR="00484878">
        <w:rPr>
          <w:szCs w:val="24"/>
          <w:lang w:val="en-GB"/>
        </w:rPr>
        <w:t>following publication</w:t>
      </w:r>
      <w:r w:rsidR="00AF769A">
        <w:rPr>
          <w:szCs w:val="24"/>
          <w:lang w:val="en-GB"/>
        </w:rPr>
        <w:t xml:space="preserve"> in the Official Gazette, namely on</w:t>
      </w:r>
      <w:r w:rsidR="00484878">
        <w:rPr>
          <w:szCs w:val="24"/>
          <w:lang w:val="en-GB"/>
        </w:rPr>
        <w:t xml:space="preserve"> 12 March 2015</w:t>
      </w:r>
      <w:r w:rsidR="00AF769A">
        <w:rPr>
          <w:szCs w:val="24"/>
          <w:lang w:val="en-GB"/>
        </w:rPr>
        <w:t>.</w:t>
      </w:r>
      <w:r w:rsidR="00AF769A">
        <w:rPr>
          <w:rStyle w:val="FootnoteReference"/>
          <w:szCs w:val="24"/>
          <w:lang w:val="en-GB"/>
        </w:rPr>
        <w:footnoteReference w:id="2"/>
      </w:r>
      <w:r w:rsidR="00DF4B9C">
        <w:rPr>
          <w:szCs w:val="24"/>
          <w:lang w:val="en-GB"/>
        </w:rPr>
        <w:t xml:space="preserve"> After contacting member of the different families (with the exception of the family of </w:t>
      </w:r>
      <w:proofErr w:type="spellStart"/>
      <w:r w:rsidR="00DF4B9C">
        <w:rPr>
          <w:szCs w:val="24"/>
          <w:lang w:val="en-GB"/>
        </w:rPr>
        <w:t>Aleks</w:t>
      </w:r>
      <w:proofErr w:type="spellEnd"/>
      <w:r w:rsidR="00DF4B9C">
        <w:rPr>
          <w:szCs w:val="24"/>
          <w:lang w:val="en-GB"/>
        </w:rPr>
        <w:t xml:space="preserve"> </w:t>
      </w:r>
      <w:proofErr w:type="spellStart"/>
      <w:r w:rsidR="00DF4B9C">
        <w:rPr>
          <w:szCs w:val="24"/>
          <w:lang w:val="en-GB"/>
        </w:rPr>
        <w:t>Nika</w:t>
      </w:r>
      <w:proofErr w:type="spellEnd"/>
      <w:r w:rsidR="00DF4B9C">
        <w:rPr>
          <w:szCs w:val="24"/>
          <w:lang w:val="en-GB"/>
        </w:rPr>
        <w:t xml:space="preserve">), Res Publica can attest that all of them are currently in receipt of these special pensions / benefits. </w:t>
      </w:r>
    </w:p>
    <w:p w:rsidR="00484878" w:rsidRDefault="00484878" w:rsidP="00600601">
      <w:pPr>
        <w:widowControl w:val="0"/>
        <w:jc w:val="both"/>
        <w:rPr>
          <w:szCs w:val="24"/>
          <w:lang w:val="en-GB"/>
        </w:rPr>
      </w:pPr>
    </w:p>
    <w:p w:rsidR="00484878" w:rsidRDefault="00484878" w:rsidP="00600601">
      <w:pPr>
        <w:widowControl w:val="0"/>
        <w:jc w:val="both"/>
        <w:rPr>
          <w:szCs w:val="24"/>
          <w:lang w:val="en-GB"/>
        </w:rPr>
      </w:pPr>
      <w:r>
        <w:rPr>
          <w:szCs w:val="24"/>
          <w:lang w:val="en-GB"/>
        </w:rPr>
        <w:t>4. According to</w:t>
      </w:r>
      <w:r w:rsidR="00144CCF">
        <w:rPr>
          <w:szCs w:val="24"/>
          <w:lang w:val="en-GB"/>
        </w:rPr>
        <w:t xml:space="preserve"> the D</w:t>
      </w:r>
      <w:r>
        <w:rPr>
          <w:szCs w:val="24"/>
          <w:lang w:val="en-GB"/>
        </w:rPr>
        <w:t>ecision,</w:t>
      </w:r>
      <w:r w:rsidR="002E641A">
        <w:rPr>
          <w:rStyle w:val="FootnoteReference"/>
          <w:szCs w:val="24"/>
          <w:lang w:val="en-GB"/>
        </w:rPr>
        <w:footnoteReference w:id="3"/>
      </w:r>
      <w:r>
        <w:rPr>
          <w:szCs w:val="24"/>
          <w:lang w:val="en-GB"/>
        </w:rPr>
        <w:t xml:space="preserve"> the legal basis for the granting of these special benefits (to be paid </w:t>
      </w:r>
      <w:r w:rsidR="00656899">
        <w:rPr>
          <w:szCs w:val="24"/>
          <w:lang w:val="en-GB"/>
        </w:rPr>
        <w:t>in the form of</w:t>
      </w:r>
      <w:r>
        <w:rPr>
          <w:szCs w:val="24"/>
          <w:lang w:val="en-GB"/>
        </w:rPr>
        <w:t xml:space="preserve"> pensions to those not already benefitting from a different kind of pension, or </w:t>
      </w:r>
      <w:r w:rsidR="00656899">
        <w:rPr>
          <w:szCs w:val="24"/>
          <w:lang w:val="en-GB"/>
        </w:rPr>
        <w:t xml:space="preserve">in the form of </w:t>
      </w:r>
      <w:r>
        <w:rPr>
          <w:szCs w:val="24"/>
          <w:lang w:val="en-GB"/>
        </w:rPr>
        <w:t>supplementary fa</w:t>
      </w:r>
      <w:r w:rsidR="00144CCF">
        <w:rPr>
          <w:szCs w:val="24"/>
          <w:lang w:val="en-GB"/>
        </w:rPr>
        <w:t xml:space="preserve">mily benefits for those beneficiaries already receiving a pension) is </w:t>
      </w:r>
      <w:r w:rsidR="002E641A">
        <w:rPr>
          <w:szCs w:val="24"/>
          <w:lang w:val="en-GB"/>
        </w:rPr>
        <w:t xml:space="preserve">article 5 of </w:t>
      </w:r>
      <w:r w:rsidR="00144CCF">
        <w:rPr>
          <w:szCs w:val="24"/>
          <w:lang w:val="en-GB"/>
        </w:rPr>
        <w:t xml:space="preserve">Law 7703/1993 </w:t>
      </w:r>
      <w:r w:rsidR="00144CCF">
        <w:rPr>
          <w:i/>
          <w:szCs w:val="24"/>
          <w:lang w:val="en-GB"/>
        </w:rPr>
        <w:t xml:space="preserve">On Social Insurance, </w:t>
      </w:r>
      <w:r w:rsidR="00144CCF">
        <w:rPr>
          <w:szCs w:val="24"/>
          <w:lang w:val="en-GB"/>
        </w:rPr>
        <w:t xml:space="preserve">as amended. </w:t>
      </w:r>
      <w:r w:rsidR="00946556">
        <w:rPr>
          <w:szCs w:val="24"/>
          <w:lang w:val="en-GB"/>
        </w:rPr>
        <w:t>At the same time however</w:t>
      </w:r>
      <w:r w:rsidR="00144CCF">
        <w:rPr>
          <w:szCs w:val="24"/>
          <w:lang w:val="en-GB"/>
        </w:rPr>
        <w:t>, the Decision</w:t>
      </w:r>
      <w:r>
        <w:rPr>
          <w:szCs w:val="24"/>
          <w:lang w:val="en-GB"/>
        </w:rPr>
        <w:t xml:space="preserve"> </w:t>
      </w:r>
      <w:r w:rsidR="00144CCF">
        <w:rPr>
          <w:szCs w:val="24"/>
          <w:lang w:val="en-GB"/>
        </w:rPr>
        <w:t>acknowledges that the</w:t>
      </w:r>
      <w:r w:rsidR="00946556">
        <w:rPr>
          <w:szCs w:val="24"/>
          <w:lang w:val="en-GB"/>
        </w:rPr>
        <w:t xml:space="preserve"> </w:t>
      </w:r>
      <w:r w:rsidR="00151DD3">
        <w:rPr>
          <w:szCs w:val="24"/>
          <w:lang w:val="en-GB"/>
        </w:rPr>
        <w:t xml:space="preserve">granting of the pensions / benefits is not based on a solid legal premise </w:t>
      </w:r>
      <w:r w:rsidR="00946556">
        <w:rPr>
          <w:szCs w:val="24"/>
          <w:lang w:val="en-GB"/>
        </w:rPr>
        <w:t>– a point already raised by Res Publica in paragraph 17 of its submission dated 24 July 201</w:t>
      </w:r>
      <w:r w:rsidR="00E01584">
        <w:rPr>
          <w:szCs w:val="24"/>
          <w:lang w:val="en-GB"/>
        </w:rPr>
        <w:t>5-; according to the Decision</w:t>
      </w:r>
      <w:r w:rsidR="00151DD3">
        <w:rPr>
          <w:szCs w:val="24"/>
          <w:lang w:val="en-GB"/>
        </w:rPr>
        <w:t xml:space="preserve">, </w:t>
      </w:r>
      <w:r w:rsidR="00946556">
        <w:rPr>
          <w:szCs w:val="24"/>
          <w:lang w:val="en-GB"/>
        </w:rPr>
        <w:t xml:space="preserve">the granting of the pensions / supplementary family benefits </w:t>
      </w:r>
      <w:r w:rsidR="00151DD3">
        <w:rPr>
          <w:szCs w:val="24"/>
          <w:lang w:val="en-GB"/>
        </w:rPr>
        <w:t xml:space="preserve">is </w:t>
      </w:r>
      <w:r w:rsidR="00946556">
        <w:rPr>
          <w:szCs w:val="24"/>
          <w:lang w:val="en-GB"/>
        </w:rPr>
        <w:t>“…</w:t>
      </w:r>
      <w:r w:rsidR="00946556">
        <w:rPr>
          <w:i/>
          <w:szCs w:val="24"/>
          <w:lang w:val="en-GB"/>
        </w:rPr>
        <w:t>by exception to the c</w:t>
      </w:r>
      <w:r w:rsidR="002E641A">
        <w:rPr>
          <w:i/>
          <w:szCs w:val="24"/>
          <w:lang w:val="en-GB"/>
        </w:rPr>
        <w:t xml:space="preserve">riteria set out in Council of Ministers’ Decision No. 429 dated </w:t>
      </w:r>
      <w:r w:rsidR="006851D2">
        <w:rPr>
          <w:i/>
          <w:szCs w:val="24"/>
          <w:lang w:val="en-GB"/>
        </w:rPr>
        <w:t>12 February</w:t>
      </w:r>
      <w:r w:rsidR="00E9654F">
        <w:rPr>
          <w:i/>
          <w:szCs w:val="24"/>
          <w:lang w:val="en-GB"/>
        </w:rPr>
        <w:t xml:space="preserve"> </w:t>
      </w:r>
      <w:r w:rsidR="00E9654F">
        <w:rPr>
          <w:szCs w:val="24"/>
          <w:lang w:val="en-GB"/>
        </w:rPr>
        <w:t>[sic]</w:t>
      </w:r>
      <w:r w:rsidR="002E641A">
        <w:rPr>
          <w:i/>
          <w:szCs w:val="24"/>
          <w:lang w:val="en-GB"/>
        </w:rPr>
        <w:t xml:space="preserve"> 2002…</w:t>
      </w:r>
      <w:r w:rsidR="002E641A">
        <w:rPr>
          <w:szCs w:val="24"/>
          <w:lang w:val="en-GB"/>
        </w:rPr>
        <w:t>” [</w:t>
      </w:r>
      <w:r w:rsidR="00D3779C">
        <w:rPr>
          <w:szCs w:val="24"/>
          <w:lang w:val="en-GB"/>
        </w:rPr>
        <w:t xml:space="preserve">Emphasis </w:t>
      </w:r>
      <w:r w:rsidR="002E641A">
        <w:rPr>
          <w:szCs w:val="24"/>
          <w:lang w:val="en-GB"/>
        </w:rPr>
        <w:t>added].</w:t>
      </w:r>
      <w:r w:rsidR="002E641A">
        <w:rPr>
          <w:rStyle w:val="FootnoteReference"/>
          <w:szCs w:val="24"/>
          <w:lang w:val="en-GB"/>
        </w:rPr>
        <w:footnoteReference w:id="4"/>
      </w:r>
      <w:r w:rsidR="002E641A">
        <w:rPr>
          <w:szCs w:val="24"/>
          <w:lang w:val="en-GB"/>
        </w:rPr>
        <w:t xml:space="preserve"> </w:t>
      </w:r>
      <w:r w:rsidR="00356E2E">
        <w:rPr>
          <w:szCs w:val="24"/>
          <w:lang w:val="en-GB"/>
        </w:rPr>
        <w:t>In light of the express acknowledgment by the Council of Ministers of the lack of a clear legal basis for the granting of the pensions, Res Publica is concerned that in the future, the admin</w:t>
      </w:r>
      <w:r w:rsidR="00F5061C">
        <w:rPr>
          <w:szCs w:val="24"/>
          <w:lang w:val="en-GB"/>
        </w:rPr>
        <w:t>istration might decide to rescind</w:t>
      </w:r>
      <w:r w:rsidR="00356E2E">
        <w:rPr>
          <w:szCs w:val="24"/>
          <w:lang w:val="en-GB"/>
        </w:rPr>
        <w:t xml:space="preserve"> the Decision and request the return of the sums paid.  </w:t>
      </w:r>
    </w:p>
    <w:p w:rsidR="00151DD3" w:rsidRDefault="00151DD3" w:rsidP="00600601">
      <w:pPr>
        <w:widowControl w:val="0"/>
        <w:jc w:val="both"/>
        <w:rPr>
          <w:szCs w:val="24"/>
          <w:lang w:val="en-GB"/>
        </w:rPr>
      </w:pPr>
    </w:p>
    <w:p w:rsidR="00484878" w:rsidRDefault="00151DD3" w:rsidP="00600601">
      <w:pPr>
        <w:widowControl w:val="0"/>
        <w:jc w:val="both"/>
        <w:rPr>
          <w:szCs w:val="24"/>
          <w:lang w:val="en-GB"/>
        </w:rPr>
      </w:pPr>
      <w:r>
        <w:rPr>
          <w:szCs w:val="24"/>
          <w:lang w:val="en-GB"/>
        </w:rPr>
        <w:t xml:space="preserve">5. </w:t>
      </w:r>
      <w:r w:rsidR="00F5061C">
        <w:rPr>
          <w:szCs w:val="24"/>
          <w:lang w:val="en-GB"/>
        </w:rPr>
        <w:t xml:space="preserve">Furthermore, under the terms of the Decision, </w:t>
      </w:r>
      <w:r w:rsidR="00484878">
        <w:rPr>
          <w:szCs w:val="24"/>
          <w:lang w:val="en-GB"/>
        </w:rPr>
        <w:t xml:space="preserve">each </w:t>
      </w:r>
      <w:r w:rsidR="00F5061C">
        <w:rPr>
          <w:szCs w:val="24"/>
          <w:lang w:val="en-GB"/>
        </w:rPr>
        <w:t xml:space="preserve">beneficiary </w:t>
      </w:r>
      <w:r w:rsidR="00484878">
        <w:rPr>
          <w:szCs w:val="24"/>
          <w:lang w:val="en-GB"/>
        </w:rPr>
        <w:t xml:space="preserve">family (regardless of the number of its members) is entitled </w:t>
      </w:r>
      <w:r w:rsidR="00F5061C">
        <w:rPr>
          <w:szCs w:val="24"/>
          <w:lang w:val="en-GB"/>
        </w:rPr>
        <w:t xml:space="preserve">to a sum of money </w:t>
      </w:r>
      <w:r w:rsidR="00F5061C" w:rsidRPr="009D00D3">
        <w:rPr>
          <w:i/>
          <w:szCs w:val="24"/>
          <w:lang w:val="en-GB"/>
        </w:rPr>
        <w:t>up to</w:t>
      </w:r>
      <w:r w:rsidR="00F5061C">
        <w:rPr>
          <w:szCs w:val="24"/>
          <w:lang w:val="en-GB"/>
        </w:rPr>
        <w:t xml:space="preserve"> 50,000 ALL (approximately 390 USD)</w:t>
      </w:r>
      <w:r w:rsidR="0030166E">
        <w:rPr>
          <w:szCs w:val="24"/>
          <w:lang w:val="en-GB"/>
        </w:rPr>
        <w:t xml:space="preserve"> per month</w:t>
      </w:r>
      <w:r w:rsidR="009D00D3">
        <w:rPr>
          <w:szCs w:val="24"/>
          <w:lang w:val="en-GB"/>
        </w:rPr>
        <w:t xml:space="preserve">; the exact amount to be paid out will depend on whether members of the beneficiary family receive additional pensions or supplementary benefits. Thus </w:t>
      </w:r>
      <w:r w:rsidR="0030166E">
        <w:rPr>
          <w:szCs w:val="24"/>
          <w:lang w:val="en-GB"/>
        </w:rPr>
        <w:t xml:space="preserve">a family where a person already receives a monthly pension of 30,000 ALL, the benefit to be paid under the Decision will be set at 20,000 ALL. The Decision has retroactive financial effect and the pensions / supplementary benefits will be paid out from January 2015 onwards.  Last, should members of the family disagree as to the distribution of the pension / benefit among </w:t>
      </w:r>
      <w:proofErr w:type="gramStart"/>
      <w:r w:rsidR="0030166E">
        <w:rPr>
          <w:szCs w:val="24"/>
          <w:lang w:val="en-GB"/>
        </w:rPr>
        <w:t>them,</w:t>
      </w:r>
      <w:proofErr w:type="gramEnd"/>
      <w:r w:rsidR="0030166E">
        <w:rPr>
          <w:szCs w:val="24"/>
          <w:lang w:val="en-GB"/>
        </w:rPr>
        <w:t xml:space="preserve"> this will be distributed to each of them on equal shares.</w:t>
      </w:r>
      <w:r w:rsidR="00A50B79">
        <w:rPr>
          <w:szCs w:val="24"/>
          <w:lang w:val="en-GB"/>
        </w:rPr>
        <w:t xml:space="preserve"> </w:t>
      </w:r>
    </w:p>
    <w:p w:rsidR="0030166E" w:rsidRDefault="0030166E" w:rsidP="00600601">
      <w:pPr>
        <w:widowControl w:val="0"/>
        <w:jc w:val="both"/>
        <w:rPr>
          <w:szCs w:val="24"/>
          <w:lang w:val="en-GB"/>
        </w:rPr>
      </w:pPr>
    </w:p>
    <w:p w:rsidR="0030166E" w:rsidRDefault="0030166E" w:rsidP="00600601">
      <w:pPr>
        <w:widowControl w:val="0"/>
        <w:jc w:val="both"/>
        <w:rPr>
          <w:szCs w:val="24"/>
          <w:lang w:val="en-GB"/>
        </w:rPr>
      </w:pPr>
      <w:proofErr w:type="gramStart"/>
      <w:r>
        <w:rPr>
          <w:szCs w:val="24"/>
          <w:lang w:val="en-GB"/>
        </w:rPr>
        <w:t>6.</w:t>
      </w:r>
      <w:r w:rsidR="00B50A6B">
        <w:rPr>
          <w:szCs w:val="24"/>
          <w:lang w:val="en-GB"/>
        </w:rPr>
        <w:t xml:space="preserve"> Res Publica maintains that the compensation awarded to the beneficiaries is very low and does not reflect the </w:t>
      </w:r>
      <w:r w:rsidR="00A50B79">
        <w:rPr>
          <w:szCs w:val="24"/>
          <w:lang w:val="en-GB"/>
        </w:rPr>
        <w:t xml:space="preserve">pecuniary and non-pecuniary harm the families of the deceased have sustained, nor is </w:t>
      </w:r>
      <w:r w:rsidR="00E01584">
        <w:rPr>
          <w:szCs w:val="24"/>
          <w:lang w:val="en-GB"/>
        </w:rPr>
        <w:t>it</w:t>
      </w:r>
      <w:r w:rsidR="00B50A6B">
        <w:rPr>
          <w:szCs w:val="24"/>
          <w:lang w:val="en-GB"/>
        </w:rPr>
        <w:t xml:space="preserve"> </w:t>
      </w:r>
      <w:r w:rsidR="00A50B79">
        <w:rPr>
          <w:szCs w:val="24"/>
          <w:lang w:val="en-GB"/>
        </w:rPr>
        <w:t>in line with usual amounts in damages awarded by domestic courts.</w:t>
      </w:r>
      <w:proofErr w:type="gramEnd"/>
      <w:r w:rsidR="00A50B79">
        <w:rPr>
          <w:szCs w:val="24"/>
          <w:lang w:val="en-GB"/>
        </w:rPr>
        <w:t xml:space="preserve"> </w:t>
      </w:r>
      <w:r w:rsidR="00B50A6B">
        <w:rPr>
          <w:szCs w:val="24"/>
          <w:lang w:val="en-GB"/>
        </w:rPr>
        <w:t xml:space="preserve"> By way of comparison, </w:t>
      </w:r>
      <w:r w:rsidR="002377BA">
        <w:rPr>
          <w:szCs w:val="24"/>
          <w:lang w:val="en-GB"/>
        </w:rPr>
        <w:t xml:space="preserve">in the case of </w:t>
      </w:r>
      <w:proofErr w:type="spellStart"/>
      <w:r w:rsidR="002377BA">
        <w:rPr>
          <w:i/>
          <w:szCs w:val="24"/>
          <w:lang w:val="en-GB"/>
        </w:rPr>
        <w:t>Ceka</w:t>
      </w:r>
      <w:proofErr w:type="spellEnd"/>
      <w:r w:rsidR="002377BA">
        <w:rPr>
          <w:i/>
          <w:szCs w:val="24"/>
          <w:lang w:val="en-GB"/>
        </w:rPr>
        <w:t xml:space="preserve"> v. Albania, </w:t>
      </w:r>
      <w:r w:rsidR="002377BA">
        <w:rPr>
          <w:szCs w:val="24"/>
          <w:lang w:val="en-GB"/>
        </w:rPr>
        <w:t xml:space="preserve">the domestic courts awarded to the </w:t>
      </w:r>
      <w:r w:rsidR="007A5946">
        <w:rPr>
          <w:szCs w:val="24"/>
          <w:lang w:val="en-GB"/>
        </w:rPr>
        <w:t xml:space="preserve">elderly </w:t>
      </w:r>
      <w:r w:rsidR="002377BA">
        <w:rPr>
          <w:szCs w:val="24"/>
          <w:lang w:val="en-GB"/>
        </w:rPr>
        <w:t xml:space="preserve">mother of a person killed while </w:t>
      </w:r>
      <w:r w:rsidR="006226AA">
        <w:rPr>
          <w:szCs w:val="24"/>
          <w:lang w:val="en-GB"/>
        </w:rPr>
        <w:t>under police custody a sum of 17,257</w:t>
      </w:r>
      <w:r w:rsidR="002377BA">
        <w:rPr>
          <w:szCs w:val="24"/>
          <w:lang w:val="en-GB"/>
        </w:rPr>
        <w:t xml:space="preserve"> EUR in non-pecuniary damages</w:t>
      </w:r>
      <w:r w:rsidR="006226AA">
        <w:rPr>
          <w:szCs w:val="24"/>
          <w:lang w:val="en-GB"/>
        </w:rPr>
        <w:t>, plus costs and expenses</w:t>
      </w:r>
      <w:r w:rsidR="002377BA">
        <w:rPr>
          <w:szCs w:val="24"/>
          <w:lang w:val="en-GB"/>
        </w:rPr>
        <w:t xml:space="preserve">. </w:t>
      </w:r>
      <w:r w:rsidR="00C652C7">
        <w:rPr>
          <w:szCs w:val="24"/>
          <w:lang w:val="en-GB"/>
        </w:rPr>
        <w:t>With a view to unilaterally striking out the case (that had in the meantime been declared admissible, with the European Court intimating that the level of compensation was too low to deprive the applicant of her victim status)</w:t>
      </w:r>
      <w:r w:rsidR="002377BA">
        <w:rPr>
          <w:szCs w:val="24"/>
          <w:lang w:val="en-GB"/>
        </w:rPr>
        <w:t>, the Government propose</w:t>
      </w:r>
      <w:r w:rsidR="00C652C7">
        <w:rPr>
          <w:szCs w:val="24"/>
          <w:lang w:val="en-GB"/>
        </w:rPr>
        <w:t>d (and the European Court approved</w:t>
      </w:r>
      <w:r w:rsidR="002377BA">
        <w:rPr>
          <w:szCs w:val="24"/>
          <w:lang w:val="en-GB"/>
        </w:rPr>
        <w:t>) the payment of an additional sum of 10,000 EUR in non-pecuniary damages and costs and expenses</w:t>
      </w:r>
      <w:r w:rsidR="00D11232">
        <w:rPr>
          <w:szCs w:val="24"/>
          <w:lang w:val="en-GB"/>
        </w:rPr>
        <w:t>, with the European Court stipulating that the award was without prejudice to those already awarded or to be awarded by domestic courts</w:t>
      </w:r>
      <w:r w:rsidR="002377BA">
        <w:rPr>
          <w:szCs w:val="24"/>
          <w:lang w:val="en-GB"/>
        </w:rPr>
        <w:t>.</w:t>
      </w:r>
      <w:r w:rsidR="002377BA">
        <w:rPr>
          <w:rStyle w:val="FootnoteReference"/>
          <w:szCs w:val="24"/>
          <w:lang w:val="en-GB"/>
        </w:rPr>
        <w:footnoteReference w:id="5"/>
      </w:r>
      <w:r w:rsidR="00D11232">
        <w:rPr>
          <w:szCs w:val="24"/>
          <w:lang w:val="en-GB"/>
        </w:rPr>
        <w:t xml:space="preserve"> In the instant case, </w:t>
      </w:r>
      <w:r w:rsidR="00E01584">
        <w:rPr>
          <w:szCs w:val="24"/>
          <w:lang w:val="en-GB"/>
        </w:rPr>
        <w:t xml:space="preserve">and </w:t>
      </w:r>
      <w:r w:rsidR="00E01584">
        <w:rPr>
          <w:szCs w:val="24"/>
          <w:lang w:val="en-GB"/>
        </w:rPr>
        <w:lastRenderedPageBreak/>
        <w:t xml:space="preserve">in addition to the payment of compensation for non-pecuniary damages, </w:t>
      </w:r>
      <w:r w:rsidR="00D11232">
        <w:rPr>
          <w:szCs w:val="24"/>
          <w:lang w:val="en-GB"/>
        </w:rPr>
        <w:t xml:space="preserve">the families of the four victims would also be entitled to the payment of pecuniary damages due to the deaths of their husbands / father who were the main breadwinners of their families. </w:t>
      </w:r>
    </w:p>
    <w:p w:rsidR="00D11232" w:rsidRDefault="00D11232" w:rsidP="00600601">
      <w:pPr>
        <w:widowControl w:val="0"/>
        <w:jc w:val="both"/>
        <w:rPr>
          <w:szCs w:val="24"/>
          <w:lang w:val="en-GB"/>
        </w:rPr>
      </w:pPr>
    </w:p>
    <w:p w:rsidR="00D11232" w:rsidRPr="002377BA" w:rsidRDefault="00D11232" w:rsidP="00600601">
      <w:pPr>
        <w:widowControl w:val="0"/>
        <w:jc w:val="both"/>
        <w:rPr>
          <w:szCs w:val="24"/>
          <w:lang w:val="en-GB"/>
        </w:rPr>
      </w:pPr>
      <w:r>
        <w:rPr>
          <w:szCs w:val="24"/>
          <w:lang w:val="en-GB"/>
        </w:rPr>
        <w:t xml:space="preserve">7. Concluding, Res Publica considers that, due to their tenuous legal basis and </w:t>
      </w:r>
      <w:r w:rsidR="001944B2">
        <w:rPr>
          <w:szCs w:val="24"/>
          <w:lang w:val="en-GB"/>
        </w:rPr>
        <w:t xml:space="preserve">their being set at a low level, the state pensions / benefits awarded to the families of the victims do not constitute adequate and sufficient reparation. </w:t>
      </w:r>
    </w:p>
    <w:p w:rsidR="00513C81" w:rsidRDefault="00513C81" w:rsidP="009D410E">
      <w:pPr>
        <w:widowControl w:val="0"/>
        <w:jc w:val="both"/>
        <w:rPr>
          <w:szCs w:val="24"/>
          <w:lang w:val="en-GB"/>
        </w:rPr>
      </w:pPr>
      <w:bookmarkStart w:id="0" w:name="_GoBack"/>
      <w:bookmarkEnd w:id="0"/>
    </w:p>
    <w:p w:rsidR="00513C81" w:rsidRDefault="00513C81" w:rsidP="009D410E">
      <w:pPr>
        <w:widowControl w:val="0"/>
        <w:jc w:val="both"/>
        <w:rPr>
          <w:szCs w:val="24"/>
          <w:lang w:val="en-GB"/>
        </w:rPr>
      </w:pPr>
    </w:p>
    <w:p w:rsidR="00C70194" w:rsidRDefault="00C70194" w:rsidP="009D410E">
      <w:pPr>
        <w:widowControl w:val="0"/>
        <w:jc w:val="both"/>
        <w:rPr>
          <w:szCs w:val="24"/>
          <w:lang w:val="en-GB"/>
        </w:rPr>
      </w:pPr>
      <w:r>
        <w:rPr>
          <w:szCs w:val="24"/>
          <w:lang w:val="en-GB"/>
        </w:rPr>
        <w:t>Thank you for taking the above into consideration.</w:t>
      </w:r>
    </w:p>
    <w:p w:rsidR="00AB6330" w:rsidRPr="00C70194" w:rsidRDefault="00AB6330" w:rsidP="009D410E">
      <w:pPr>
        <w:widowControl w:val="0"/>
        <w:jc w:val="both"/>
        <w:rPr>
          <w:szCs w:val="24"/>
          <w:lang w:val="en-GB"/>
        </w:rPr>
      </w:pPr>
    </w:p>
    <w:p w:rsidR="00AB6330" w:rsidRPr="00AB6330" w:rsidRDefault="00AB6330" w:rsidP="009D410E">
      <w:pPr>
        <w:widowControl w:val="0"/>
        <w:jc w:val="both"/>
        <w:rPr>
          <w:szCs w:val="24"/>
          <w:lang w:val="en-GB"/>
        </w:rPr>
      </w:pPr>
      <w:r w:rsidRPr="0042397D">
        <w:rPr>
          <w:szCs w:val="24"/>
        </w:rPr>
        <w:t xml:space="preserve">Respectfully submitted, </w:t>
      </w:r>
    </w:p>
    <w:p w:rsidR="00AB6330" w:rsidRPr="0042397D" w:rsidRDefault="00AB6330" w:rsidP="009D410E">
      <w:pPr>
        <w:ind w:left="4320" w:firstLine="720"/>
        <w:jc w:val="both"/>
        <w:rPr>
          <w:szCs w:val="24"/>
        </w:rPr>
      </w:pPr>
    </w:p>
    <w:p w:rsidR="00AB6330" w:rsidRDefault="00AB6330" w:rsidP="009D410E">
      <w:pPr>
        <w:jc w:val="both"/>
        <w:rPr>
          <w:szCs w:val="24"/>
        </w:rPr>
      </w:pPr>
      <w:r>
        <w:rPr>
          <w:noProof/>
        </w:rPr>
        <w:drawing>
          <wp:inline distT="0" distB="0" distL="0" distR="0" wp14:anchorId="11AF2DA7" wp14:editId="08770789">
            <wp:extent cx="2551430" cy="1038860"/>
            <wp:effectExtent l="0" t="0" r="1270" b="8890"/>
            <wp:docPr id="4" name="Picture 4" descr="C:\Users\ThinkPad User\Desktop\Elbasan Roma eviction\losmaterialeshrc\firma dori shq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Pad User\Desktop\Elbasan Roma eviction\losmaterialeshrc\firma dori shqe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430" cy="1038860"/>
                    </a:xfrm>
                    <a:prstGeom prst="rect">
                      <a:avLst/>
                    </a:prstGeom>
                    <a:noFill/>
                    <a:ln>
                      <a:noFill/>
                    </a:ln>
                  </pic:spPr>
                </pic:pic>
              </a:graphicData>
            </a:graphic>
          </wp:inline>
        </w:drawing>
      </w:r>
      <w:r>
        <w:rPr>
          <w:noProof/>
        </w:rPr>
        <w:t xml:space="preserve">                                             </w:t>
      </w:r>
    </w:p>
    <w:p w:rsidR="00AB6330" w:rsidRDefault="00AB6330" w:rsidP="009D410E">
      <w:pPr>
        <w:jc w:val="both"/>
        <w:rPr>
          <w:szCs w:val="24"/>
        </w:rPr>
      </w:pPr>
    </w:p>
    <w:p w:rsidR="00AB6330" w:rsidRPr="004C7A6A" w:rsidRDefault="00AB6330" w:rsidP="009D410E">
      <w:pPr>
        <w:jc w:val="both"/>
        <w:rPr>
          <w:szCs w:val="24"/>
        </w:rPr>
      </w:pPr>
      <w:r w:rsidRPr="004C7A6A">
        <w:rPr>
          <w:szCs w:val="24"/>
        </w:rPr>
        <w:t xml:space="preserve">Dorian </w:t>
      </w:r>
      <w:proofErr w:type="spellStart"/>
      <w:r w:rsidRPr="004C7A6A">
        <w:rPr>
          <w:szCs w:val="24"/>
        </w:rPr>
        <w:t>Matlija</w:t>
      </w:r>
      <w:proofErr w:type="spellEnd"/>
      <w:r w:rsidRPr="004C7A6A">
        <w:rPr>
          <w:szCs w:val="24"/>
        </w:rPr>
        <w:t xml:space="preserve">                                                                                  </w:t>
      </w:r>
      <w:r>
        <w:rPr>
          <w:szCs w:val="24"/>
        </w:rPr>
        <w:t xml:space="preserve">  </w:t>
      </w:r>
    </w:p>
    <w:p w:rsidR="00AB6330" w:rsidRPr="004C7A6A" w:rsidRDefault="00AB6330" w:rsidP="009D410E">
      <w:pPr>
        <w:jc w:val="both"/>
        <w:rPr>
          <w:szCs w:val="24"/>
        </w:rPr>
      </w:pPr>
      <w:r w:rsidRPr="004C7A6A">
        <w:rPr>
          <w:szCs w:val="24"/>
        </w:rPr>
        <w:t xml:space="preserve">Executive Director                                                                   </w:t>
      </w:r>
      <w:r>
        <w:rPr>
          <w:szCs w:val="24"/>
        </w:rPr>
        <w:t xml:space="preserve">                         </w:t>
      </w:r>
    </w:p>
    <w:p w:rsidR="00AB6330" w:rsidRPr="004C7A6A" w:rsidRDefault="00AB6330" w:rsidP="009D410E">
      <w:pPr>
        <w:jc w:val="both"/>
        <w:rPr>
          <w:szCs w:val="24"/>
        </w:rPr>
      </w:pPr>
      <w:r w:rsidRPr="004C7A6A">
        <w:rPr>
          <w:szCs w:val="24"/>
        </w:rPr>
        <w:t xml:space="preserve">Res Publica                                                                                </w:t>
      </w:r>
      <w:r>
        <w:rPr>
          <w:szCs w:val="24"/>
        </w:rPr>
        <w:t xml:space="preserve">                     </w:t>
      </w:r>
    </w:p>
    <w:p w:rsidR="00AB6330" w:rsidRPr="00BC6BC4" w:rsidRDefault="00AB6330" w:rsidP="009D410E">
      <w:pPr>
        <w:pStyle w:val="BodyText2"/>
        <w:tabs>
          <w:tab w:val="left" w:pos="0"/>
        </w:tabs>
        <w:spacing w:after="0" w:line="240" w:lineRule="auto"/>
        <w:jc w:val="both"/>
        <w:rPr>
          <w:sz w:val="24"/>
          <w:szCs w:val="24"/>
          <w:lang w:val="en-US"/>
        </w:rPr>
      </w:pPr>
    </w:p>
    <w:p w:rsidR="00AB6330" w:rsidRPr="00AB6330" w:rsidRDefault="00AB6330" w:rsidP="009D410E">
      <w:pPr>
        <w:widowControl w:val="0"/>
        <w:jc w:val="both"/>
        <w:rPr>
          <w:szCs w:val="24"/>
        </w:rPr>
      </w:pPr>
    </w:p>
    <w:sectPr w:rsidR="00AB6330" w:rsidRPr="00AB6330" w:rsidSect="007B263B">
      <w:footerReference w:type="even" r:id="rId12"/>
      <w:footerReference w:type="default" r:id="rId13"/>
      <w:endnotePr>
        <w:numFmt w:val="lowerLetter"/>
      </w:endnotePr>
      <w:type w:val="continuous"/>
      <w:pgSz w:w="12240" w:h="15840"/>
      <w:pgMar w:top="709" w:right="1440" w:bottom="851"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69" w:rsidRDefault="00240F69" w:rsidP="00967480">
      <w:r>
        <w:separator/>
      </w:r>
    </w:p>
  </w:endnote>
  <w:endnote w:type="continuationSeparator" w:id="0">
    <w:p w:rsidR="00240F69" w:rsidRDefault="00240F69" w:rsidP="0096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87" w:rsidRDefault="006F2267" w:rsidP="00086C7C">
    <w:pPr>
      <w:pStyle w:val="Footer"/>
      <w:framePr w:wrap="around" w:vAnchor="text" w:hAnchor="margin" w:xAlign="center" w:y="1"/>
      <w:rPr>
        <w:rStyle w:val="PageNumber"/>
      </w:rPr>
    </w:pPr>
    <w:r>
      <w:rPr>
        <w:rStyle w:val="PageNumber"/>
      </w:rPr>
      <w:fldChar w:fldCharType="begin"/>
    </w:r>
    <w:r w:rsidR="00354D87">
      <w:rPr>
        <w:rStyle w:val="PageNumber"/>
      </w:rPr>
      <w:instrText xml:space="preserve">PAGE  </w:instrText>
    </w:r>
    <w:r>
      <w:rPr>
        <w:rStyle w:val="PageNumber"/>
      </w:rPr>
      <w:fldChar w:fldCharType="separate"/>
    </w:r>
    <w:r w:rsidR="00DF4B9C">
      <w:rPr>
        <w:rStyle w:val="PageNumber"/>
        <w:noProof/>
      </w:rPr>
      <w:t>2</w:t>
    </w:r>
    <w:r>
      <w:rPr>
        <w:rStyle w:val="PageNumber"/>
      </w:rPr>
      <w:fldChar w:fldCharType="end"/>
    </w:r>
  </w:p>
  <w:p w:rsidR="00354D87" w:rsidRDefault="00354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87" w:rsidRDefault="006F2267" w:rsidP="00086C7C">
    <w:pPr>
      <w:pStyle w:val="Footer"/>
      <w:framePr w:wrap="around" w:vAnchor="text" w:hAnchor="margin" w:xAlign="center" w:y="1"/>
      <w:rPr>
        <w:rStyle w:val="PageNumber"/>
      </w:rPr>
    </w:pPr>
    <w:r>
      <w:rPr>
        <w:rStyle w:val="PageNumber"/>
      </w:rPr>
      <w:fldChar w:fldCharType="begin"/>
    </w:r>
    <w:r w:rsidR="00354D87">
      <w:rPr>
        <w:rStyle w:val="PageNumber"/>
      </w:rPr>
      <w:instrText xml:space="preserve">PAGE  </w:instrText>
    </w:r>
    <w:r>
      <w:rPr>
        <w:rStyle w:val="PageNumber"/>
      </w:rPr>
      <w:fldChar w:fldCharType="separate"/>
    </w:r>
    <w:r w:rsidR="00DF4B9C">
      <w:rPr>
        <w:rStyle w:val="PageNumber"/>
        <w:noProof/>
      </w:rPr>
      <w:t>1</w:t>
    </w:r>
    <w:r>
      <w:rPr>
        <w:rStyle w:val="PageNumber"/>
      </w:rPr>
      <w:fldChar w:fldCharType="end"/>
    </w:r>
  </w:p>
  <w:p w:rsidR="00354D87" w:rsidRDefault="00354D87">
    <w:pPr>
      <w:pStyle w:val="Footer"/>
      <w:jc w:val="right"/>
    </w:pPr>
  </w:p>
  <w:p w:rsidR="00354D87" w:rsidRDefault="0035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69" w:rsidRDefault="00240F69" w:rsidP="00967480">
      <w:r>
        <w:separator/>
      </w:r>
    </w:p>
  </w:footnote>
  <w:footnote w:type="continuationSeparator" w:id="0">
    <w:p w:rsidR="00240F69" w:rsidRDefault="00240F69" w:rsidP="00967480">
      <w:r>
        <w:continuationSeparator/>
      </w:r>
    </w:p>
  </w:footnote>
  <w:footnote w:id="1">
    <w:p w:rsidR="00600601" w:rsidRPr="00302D70" w:rsidRDefault="00600601" w:rsidP="00600601">
      <w:pPr>
        <w:pStyle w:val="FootnoteText"/>
        <w:jc w:val="both"/>
      </w:pPr>
      <w:r w:rsidRPr="00302D70">
        <w:rPr>
          <w:rStyle w:val="FootnoteReference"/>
        </w:rPr>
        <w:footnoteRef/>
      </w:r>
      <w:r w:rsidRPr="00302D70">
        <w:t xml:space="preserve"> Concluding Observations</w:t>
      </w:r>
      <w:r>
        <w:t xml:space="preserve"> in respect of Albania, </w:t>
      </w:r>
      <w:r>
        <w:rPr>
          <w:szCs w:val="24"/>
          <w:lang w:val="en-GB"/>
        </w:rPr>
        <w:t>CCPR/C/ALB/CO/2, 22 August 2013</w:t>
      </w:r>
      <w:r w:rsidRPr="00302D70">
        <w:t>, para</w:t>
      </w:r>
      <w:r>
        <w:t>graph</w:t>
      </w:r>
      <w:r w:rsidRPr="00302D70">
        <w:t xml:space="preserve"> 9. </w:t>
      </w:r>
    </w:p>
  </w:footnote>
  <w:footnote w:id="2">
    <w:p w:rsidR="00AF769A" w:rsidRDefault="00AF769A" w:rsidP="006226AA">
      <w:pPr>
        <w:pStyle w:val="FootnoteText"/>
        <w:jc w:val="both"/>
      </w:pPr>
      <w:r>
        <w:rPr>
          <w:rStyle w:val="FootnoteReference"/>
        </w:rPr>
        <w:footnoteRef/>
      </w:r>
      <w:r>
        <w:t xml:space="preserve"> </w:t>
      </w:r>
      <w:r w:rsidR="008C7ECF">
        <w:rPr>
          <w:b/>
        </w:rPr>
        <w:t>Annex</w:t>
      </w:r>
      <w:r w:rsidRPr="00656899">
        <w:rPr>
          <w:b/>
        </w:rPr>
        <w:t xml:space="preserve"> 1</w:t>
      </w:r>
      <w:r>
        <w:t xml:space="preserve">, </w:t>
      </w:r>
      <w:r w:rsidR="00656899">
        <w:t>C</w:t>
      </w:r>
      <w:r w:rsidR="00484878">
        <w:t xml:space="preserve">opy of Albanian Official Gazette, </w:t>
      </w:r>
      <w:r w:rsidR="002E641A">
        <w:t>I</w:t>
      </w:r>
      <w:r w:rsidR="00484878">
        <w:t>ssue 34, year 2015, 12 March 2015.</w:t>
      </w:r>
    </w:p>
  </w:footnote>
  <w:footnote w:id="3">
    <w:p w:rsidR="002E641A" w:rsidRDefault="002E641A" w:rsidP="006226AA">
      <w:pPr>
        <w:pStyle w:val="FootnoteText"/>
        <w:jc w:val="both"/>
      </w:pPr>
      <w:r>
        <w:rPr>
          <w:rStyle w:val="FootnoteReference"/>
        </w:rPr>
        <w:footnoteRef/>
      </w:r>
      <w:r>
        <w:t xml:space="preserve"> </w:t>
      </w:r>
      <w:r w:rsidR="008C7ECF">
        <w:rPr>
          <w:b/>
        </w:rPr>
        <w:t>Annex</w:t>
      </w:r>
      <w:r w:rsidR="00656899" w:rsidRPr="00656899">
        <w:rPr>
          <w:b/>
        </w:rPr>
        <w:t xml:space="preserve"> 2</w:t>
      </w:r>
      <w:r w:rsidR="00656899">
        <w:t xml:space="preserve">, English version </w:t>
      </w:r>
      <w:r>
        <w:t>of Decision No. 112, dated 21 January 2015</w:t>
      </w:r>
      <w:r w:rsidR="00656899">
        <w:t xml:space="preserve"> (unofficial translation)</w:t>
      </w:r>
      <w:r>
        <w:t>.</w:t>
      </w:r>
    </w:p>
  </w:footnote>
  <w:footnote w:id="4">
    <w:p w:rsidR="002E641A" w:rsidRPr="008C7ECF" w:rsidRDefault="002E641A" w:rsidP="006226AA">
      <w:pPr>
        <w:pStyle w:val="FootnoteText"/>
        <w:jc w:val="both"/>
      </w:pPr>
      <w:r>
        <w:rPr>
          <w:rStyle w:val="FootnoteReference"/>
        </w:rPr>
        <w:footnoteRef/>
      </w:r>
      <w:r>
        <w:t xml:space="preserve"> </w:t>
      </w:r>
      <w:r w:rsidR="008C7ECF">
        <w:t xml:space="preserve">The author of the text obviously referred to </w:t>
      </w:r>
      <w:r w:rsidR="00E9654F">
        <w:t xml:space="preserve">Decision No. 429 dated </w:t>
      </w:r>
      <w:r w:rsidR="00E9654F" w:rsidRPr="008C7ECF">
        <w:rPr>
          <w:b/>
        </w:rPr>
        <w:t>12.09.</w:t>
      </w:r>
      <w:r w:rsidR="00D3779C" w:rsidRPr="008C7ECF">
        <w:rPr>
          <w:b/>
        </w:rPr>
        <w:t xml:space="preserve"> 2002</w:t>
      </w:r>
      <w:r w:rsidR="00D3779C">
        <w:t xml:space="preserve"> </w:t>
      </w:r>
      <w:r w:rsidR="00D3779C">
        <w:rPr>
          <w:i/>
        </w:rPr>
        <w:t>On eligibility conditions, benefit amount and procedures for granting special state pensions and supplementary allowances to special state pensions.</w:t>
      </w:r>
      <w:r w:rsidR="008C7ECF">
        <w:rPr>
          <w:i/>
        </w:rPr>
        <w:t xml:space="preserve"> </w:t>
      </w:r>
      <w:r w:rsidR="008C7ECF">
        <w:t>As its title suggest</w:t>
      </w:r>
      <w:r w:rsidR="00356E2E">
        <w:t>s</w:t>
      </w:r>
      <w:r w:rsidR="008C7ECF">
        <w:t xml:space="preserve">, the Decision </w:t>
      </w:r>
      <w:r w:rsidR="00356E2E">
        <w:t>sets out</w:t>
      </w:r>
      <w:r w:rsidR="008C7ECF">
        <w:t xml:space="preserve"> the conditions for the granting of state pensions. </w:t>
      </w:r>
      <w:r w:rsidR="00356E2E">
        <w:t>See Annex</w:t>
      </w:r>
      <w:r w:rsidR="008C7ECF">
        <w:t xml:space="preserve"> 12 to Res </w:t>
      </w:r>
      <w:proofErr w:type="spellStart"/>
      <w:r w:rsidR="008C7ECF">
        <w:t>Publica’s</w:t>
      </w:r>
      <w:proofErr w:type="spellEnd"/>
      <w:r w:rsidR="008C7ECF">
        <w:t xml:space="preserve"> submission dated 24 July 2007, reproduced in the present submission as </w:t>
      </w:r>
      <w:r w:rsidR="008C7ECF" w:rsidRPr="008C7ECF">
        <w:rPr>
          <w:b/>
        </w:rPr>
        <w:t>Annex 3</w:t>
      </w:r>
      <w:r w:rsidR="00151DD3">
        <w:t xml:space="preserve">, Information on Eligibility criteria for the granting of a special state pension as they appear on the website of the Albanian Institute for Social Insurance. </w:t>
      </w:r>
    </w:p>
  </w:footnote>
  <w:footnote w:id="5">
    <w:p w:rsidR="002377BA" w:rsidRPr="00A50B79" w:rsidRDefault="002377BA" w:rsidP="006226AA">
      <w:pPr>
        <w:pStyle w:val="FootnoteText"/>
        <w:jc w:val="both"/>
      </w:pPr>
      <w:r>
        <w:rPr>
          <w:rStyle w:val="FootnoteReference"/>
        </w:rPr>
        <w:footnoteRef/>
      </w:r>
      <w:r>
        <w:t xml:space="preserve"> </w:t>
      </w:r>
      <w:r w:rsidRPr="006226AA">
        <w:rPr>
          <w:b/>
        </w:rPr>
        <w:t>Annex 4</w:t>
      </w:r>
      <w:r>
        <w:t xml:space="preserve">, </w:t>
      </w:r>
      <w:r w:rsidR="006226AA">
        <w:t xml:space="preserve">European Court of Human Rights, </w:t>
      </w:r>
      <w:proofErr w:type="spellStart"/>
      <w:r w:rsidR="00A50B79">
        <w:rPr>
          <w:i/>
        </w:rPr>
        <w:t>Ceka</w:t>
      </w:r>
      <w:proofErr w:type="spellEnd"/>
      <w:r w:rsidR="00A50B79">
        <w:rPr>
          <w:i/>
        </w:rPr>
        <w:t xml:space="preserve"> v. Albania </w:t>
      </w:r>
      <w:r w:rsidR="00A50B79">
        <w:t xml:space="preserve">(strike out), no. </w:t>
      </w:r>
      <w:r w:rsidR="006226AA">
        <w:t>26872/05, 23 October 2012</w:t>
      </w:r>
      <w:r w:rsidR="00D11232">
        <w:t xml:space="preserve">, paragraphs 28-33, </w:t>
      </w:r>
      <w:r w:rsidR="006226AA">
        <w:t>35</w:t>
      </w:r>
      <w:r w:rsidR="00D11232">
        <w:t xml:space="preserve"> and 42</w:t>
      </w:r>
      <w:r w:rsidR="006226A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3F46884"/>
    <w:multiLevelType w:val="hybridMultilevel"/>
    <w:tmpl w:val="B0624B8A"/>
    <w:lvl w:ilvl="0" w:tplc="F61AC81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5844A13"/>
    <w:multiLevelType w:val="hybridMultilevel"/>
    <w:tmpl w:val="94C269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82178F2"/>
    <w:multiLevelType w:val="multilevel"/>
    <w:tmpl w:val="722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C12672"/>
    <w:multiLevelType w:val="hybridMultilevel"/>
    <w:tmpl w:val="48B489F8"/>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0D442A71"/>
    <w:multiLevelType w:val="hybridMultilevel"/>
    <w:tmpl w:val="CA3E2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44597B"/>
    <w:multiLevelType w:val="multilevel"/>
    <w:tmpl w:val="1D2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862AB2"/>
    <w:multiLevelType w:val="hybridMultilevel"/>
    <w:tmpl w:val="C464C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D54EE"/>
    <w:multiLevelType w:val="hybridMultilevel"/>
    <w:tmpl w:val="DA801B64"/>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B595509"/>
    <w:multiLevelType w:val="multilevel"/>
    <w:tmpl w:val="F7E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A90B75"/>
    <w:multiLevelType w:val="hybridMultilevel"/>
    <w:tmpl w:val="4EE04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E05248"/>
    <w:multiLevelType w:val="hybridMultilevel"/>
    <w:tmpl w:val="C464C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02BBC"/>
    <w:multiLevelType w:val="multilevel"/>
    <w:tmpl w:val="2D9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06191"/>
    <w:multiLevelType w:val="hybridMultilevel"/>
    <w:tmpl w:val="1CC4DE2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9BB0C8B"/>
    <w:multiLevelType w:val="multilevel"/>
    <w:tmpl w:val="D4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20927"/>
    <w:multiLevelType w:val="hybridMultilevel"/>
    <w:tmpl w:val="AE0226D2"/>
    <w:lvl w:ilvl="0" w:tplc="A51467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A48C9"/>
    <w:multiLevelType w:val="hybridMultilevel"/>
    <w:tmpl w:val="0674FBE0"/>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4C7CC6"/>
    <w:multiLevelType w:val="hybridMultilevel"/>
    <w:tmpl w:val="65EEB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D40ED"/>
    <w:multiLevelType w:val="hybridMultilevel"/>
    <w:tmpl w:val="F2A09D10"/>
    <w:lvl w:ilvl="0" w:tplc="DB0011CC">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5395FA0"/>
    <w:multiLevelType w:val="hybridMultilevel"/>
    <w:tmpl w:val="B18278A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5B328C"/>
    <w:multiLevelType w:val="hybridMultilevel"/>
    <w:tmpl w:val="1624DB24"/>
    <w:lvl w:ilvl="0" w:tplc="1AAEE224">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9BC76FF"/>
    <w:multiLevelType w:val="hybridMultilevel"/>
    <w:tmpl w:val="B64643E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851790"/>
    <w:multiLevelType w:val="multilevel"/>
    <w:tmpl w:val="544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367F3"/>
    <w:multiLevelType w:val="multilevel"/>
    <w:tmpl w:val="91BA0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951F1A"/>
    <w:multiLevelType w:val="multilevel"/>
    <w:tmpl w:val="D2C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5A19A8"/>
    <w:multiLevelType w:val="hybridMultilevel"/>
    <w:tmpl w:val="CAE2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D4623"/>
    <w:multiLevelType w:val="multilevel"/>
    <w:tmpl w:val="0C5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BA76AF"/>
    <w:multiLevelType w:val="multilevel"/>
    <w:tmpl w:val="F344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738A7"/>
    <w:multiLevelType w:val="hybridMultilevel"/>
    <w:tmpl w:val="3340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9C2889"/>
    <w:multiLevelType w:val="hybridMultilevel"/>
    <w:tmpl w:val="7EE8FF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A869B0"/>
    <w:multiLevelType w:val="hybridMultilevel"/>
    <w:tmpl w:val="FB3CC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D25DC"/>
    <w:multiLevelType w:val="hybridMultilevel"/>
    <w:tmpl w:val="D1D8DD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645E01"/>
    <w:multiLevelType w:val="hybridMultilevel"/>
    <w:tmpl w:val="8D208D28"/>
    <w:lvl w:ilvl="0" w:tplc="10FE21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51BB6"/>
    <w:multiLevelType w:val="hybridMultilevel"/>
    <w:tmpl w:val="42CE41C6"/>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0BF288F"/>
    <w:multiLevelType w:val="hybridMultilevel"/>
    <w:tmpl w:val="6F0CBF0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0">
    <w:nsid w:val="7CCB4954"/>
    <w:multiLevelType w:val="hybridMultilevel"/>
    <w:tmpl w:val="3D425FB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D016A69"/>
    <w:multiLevelType w:val="hybridMultilevel"/>
    <w:tmpl w:val="00FE4D16"/>
    <w:lvl w:ilvl="0" w:tplc="A7A620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1"/>
  </w:num>
  <w:num w:numId="7">
    <w:abstractNumId w:val="13"/>
  </w:num>
  <w:num w:numId="8">
    <w:abstractNumId w:val="21"/>
  </w:num>
  <w:num w:numId="9">
    <w:abstractNumId w:val="39"/>
  </w:num>
  <w:num w:numId="10">
    <w:abstractNumId w:val="23"/>
  </w:num>
  <w:num w:numId="11">
    <w:abstractNumId w:val="9"/>
  </w:num>
  <w:num w:numId="12">
    <w:abstractNumId w:val="26"/>
  </w:num>
  <w:num w:numId="13">
    <w:abstractNumId w:val="24"/>
  </w:num>
  <w:num w:numId="14">
    <w:abstractNumId w:val="31"/>
  </w:num>
  <w:num w:numId="15">
    <w:abstractNumId w:val="29"/>
  </w:num>
  <w:num w:numId="16">
    <w:abstractNumId w:val="19"/>
  </w:num>
  <w:num w:numId="17">
    <w:abstractNumId w:val="17"/>
  </w:num>
  <w:num w:numId="18">
    <w:abstractNumId w:val="27"/>
  </w:num>
  <w:num w:numId="19">
    <w:abstractNumId w:val="28"/>
  </w:num>
  <w:num w:numId="20">
    <w:abstractNumId w:val="7"/>
  </w:num>
  <w:num w:numId="21">
    <w:abstractNumId w:val="14"/>
  </w:num>
  <w:num w:numId="22">
    <w:abstractNumId w:val="11"/>
  </w:num>
  <w:num w:numId="23">
    <w:abstractNumId w:val="32"/>
  </w:num>
  <w:num w:numId="24">
    <w:abstractNumId w:val="34"/>
  </w:num>
  <w:num w:numId="25">
    <w:abstractNumId w:val="33"/>
  </w:num>
  <w:num w:numId="26">
    <w:abstractNumId w:val="10"/>
  </w:num>
  <w:num w:numId="27">
    <w:abstractNumId w:val="15"/>
  </w:num>
  <w:num w:numId="28">
    <w:abstractNumId w:val="6"/>
  </w:num>
  <w:num w:numId="29">
    <w:abstractNumId w:val="8"/>
  </w:num>
  <w:num w:numId="30">
    <w:abstractNumId w:val="42"/>
  </w:num>
  <w:num w:numId="31">
    <w:abstractNumId w:val="5"/>
  </w:num>
  <w:num w:numId="32">
    <w:abstractNumId w:val="35"/>
  </w:num>
  <w:num w:numId="33">
    <w:abstractNumId w:val="36"/>
  </w:num>
  <w:num w:numId="34">
    <w:abstractNumId w:val="38"/>
  </w:num>
  <w:num w:numId="35">
    <w:abstractNumId w:val="40"/>
  </w:num>
  <w:num w:numId="36">
    <w:abstractNumId w:val="18"/>
  </w:num>
  <w:num w:numId="37">
    <w:abstractNumId w:val="25"/>
  </w:num>
  <w:num w:numId="38">
    <w:abstractNumId w:val="22"/>
  </w:num>
  <w:num w:numId="39">
    <w:abstractNumId w:val="30"/>
  </w:num>
  <w:num w:numId="40">
    <w:abstractNumId w:val="20"/>
  </w:num>
  <w:num w:numId="41">
    <w:abstractNumId w:val="37"/>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3"/>
    <w:rsid w:val="00005AEB"/>
    <w:rsid w:val="000065DA"/>
    <w:rsid w:val="00010C5E"/>
    <w:rsid w:val="000131BD"/>
    <w:rsid w:val="00013BD4"/>
    <w:rsid w:val="0001488E"/>
    <w:rsid w:val="00014B85"/>
    <w:rsid w:val="000162B6"/>
    <w:rsid w:val="00017215"/>
    <w:rsid w:val="000301D5"/>
    <w:rsid w:val="00030CE5"/>
    <w:rsid w:val="00030E9B"/>
    <w:rsid w:val="0003414A"/>
    <w:rsid w:val="00040A67"/>
    <w:rsid w:val="00044694"/>
    <w:rsid w:val="00044B1E"/>
    <w:rsid w:val="00050DE6"/>
    <w:rsid w:val="00051580"/>
    <w:rsid w:val="00061D35"/>
    <w:rsid w:val="00066EBA"/>
    <w:rsid w:val="00070B90"/>
    <w:rsid w:val="00071D9B"/>
    <w:rsid w:val="00085069"/>
    <w:rsid w:val="00085C18"/>
    <w:rsid w:val="00086C7C"/>
    <w:rsid w:val="00087A69"/>
    <w:rsid w:val="000915FA"/>
    <w:rsid w:val="00092231"/>
    <w:rsid w:val="000933C7"/>
    <w:rsid w:val="00094205"/>
    <w:rsid w:val="000975F3"/>
    <w:rsid w:val="00097D6D"/>
    <w:rsid w:val="000A0B6E"/>
    <w:rsid w:val="000A10B6"/>
    <w:rsid w:val="000A37F7"/>
    <w:rsid w:val="000C1EAA"/>
    <w:rsid w:val="000C4B09"/>
    <w:rsid w:val="000C7084"/>
    <w:rsid w:val="000C77DA"/>
    <w:rsid w:val="000D21B5"/>
    <w:rsid w:val="000D430F"/>
    <w:rsid w:val="000D5FD3"/>
    <w:rsid w:val="000D610E"/>
    <w:rsid w:val="000E14B8"/>
    <w:rsid w:val="000F0903"/>
    <w:rsid w:val="000F1D3F"/>
    <w:rsid w:val="000F2DC8"/>
    <w:rsid w:val="000F55DA"/>
    <w:rsid w:val="000F6D53"/>
    <w:rsid w:val="00104F1D"/>
    <w:rsid w:val="001061BC"/>
    <w:rsid w:val="001075A5"/>
    <w:rsid w:val="00117F45"/>
    <w:rsid w:val="00126468"/>
    <w:rsid w:val="00132FB8"/>
    <w:rsid w:val="00136DD3"/>
    <w:rsid w:val="0014415B"/>
    <w:rsid w:val="00144CCF"/>
    <w:rsid w:val="0015079C"/>
    <w:rsid w:val="00151DD3"/>
    <w:rsid w:val="0015640B"/>
    <w:rsid w:val="001759A6"/>
    <w:rsid w:val="00176AC7"/>
    <w:rsid w:val="00184436"/>
    <w:rsid w:val="00187F20"/>
    <w:rsid w:val="001944B2"/>
    <w:rsid w:val="00197B79"/>
    <w:rsid w:val="001A2384"/>
    <w:rsid w:val="001A2CED"/>
    <w:rsid w:val="001A34E1"/>
    <w:rsid w:val="001A40BE"/>
    <w:rsid w:val="001B04FB"/>
    <w:rsid w:val="001B2F77"/>
    <w:rsid w:val="001B416E"/>
    <w:rsid w:val="001B6063"/>
    <w:rsid w:val="001B7288"/>
    <w:rsid w:val="001B7451"/>
    <w:rsid w:val="001C07E7"/>
    <w:rsid w:val="001C18DC"/>
    <w:rsid w:val="001C3343"/>
    <w:rsid w:val="001C5389"/>
    <w:rsid w:val="001C670B"/>
    <w:rsid w:val="001D176D"/>
    <w:rsid w:val="001D75ED"/>
    <w:rsid w:val="001E1C22"/>
    <w:rsid w:val="001E768E"/>
    <w:rsid w:val="001F02B7"/>
    <w:rsid w:val="001F0D09"/>
    <w:rsid w:val="001F1ECB"/>
    <w:rsid w:val="001F3701"/>
    <w:rsid w:val="00201045"/>
    <w:rsid w:val="002021B9"/>
    <w:rsid w:val="00205607"/>
    <w:rsid w:val="00206E2A"/>
    <w:rsid w:val="002079E1"/>
    <w:rsid w:val="00207B5A"/>
    <w:rsid w:val="00207E3F"/>
    <w:rsid w:val="002110CA"/>
    <w:rsid w:val="00216F63"/>
    <w:rsid w:val="00217FF4"/>
    <w:rsid w:val="002227CE"/>
    <w:rsid w:val="00222C81"/>
    <w:rsid w:val="002240D1"/>
    <w:rsid w:val="002243A1"/>
    <w:rsid w:val="002277F1"/>
    <w:rsid w:val="00236333"/>
    <w:rsid w:val="00236390"/>
    <w:rsid w:val="002377BA"/>
    <w:rsid w:val="00240F69"/>
    <w:rsid w:val="002526EC"/>
    <w:rsid w:val="00253BD2"/>
    <w:rsid w:val="00256799"/>
    <w:rsid w:val="0026772D"/>
    <w:rsid w:val="00272171"/>
    <w:rsid w:val="00275434"/>
    <w:rsid w:val="002773C6"/>
    <w:rsid w:val="00286976"/>
    <w:rsid w:val="00290753"/>
    <w:rsid w:val="002935FF"/>
    <w:rsid w:val="002964B2"/>
    <w:rsid w:val="00297F10"/>
    <w:rsid w:val="002A026C"/>
    <w:rsid w:val="002A57ED"/>
    <w:rsid w:val="002B163E"/>
    <w:rsid w:val="002B3553"/>
    <w:rsid w:val="002C7AED"/>
    <w:rsid w:val="002D08B4"/>
    <w:rsid w:val="002D3569"/>
    <w:rsid w:val="002D3B1A"/>
    <w:rsid w:val="002E1E6A"/>
    <w:rsid w:val="002E3249"/>
    <w:rsid w:val="002E4F2A"/>
    <w:rsid w:val="002E641A"/>
    <w:rsid w:val="002F1BA7"/>
    <w:rsid w:val="002F2C00"/>
    <w:rsid w:val="002F7A68"/>
    <w:rsid w:val="0030008A"/>
    <w:rsid w:val="00300DA3"/>
    <w:rsid w:val="0030166E"/>
    <w:rsid w:val="003024F6"/>
    <w:rsid w:val="00302D70"/>
    <w:rsid w:val="00304217"/>
    <w:rsid w:val="00306404"/>
    <w:rsid w:val="00307F8A"/>
    <w:rsid w:val="00314BF9"/>
    <w:rsid w:val="0031644D"/>
    <w:rsid w:val="003248F8"/>
    <w:rsid w:val="00330D8C"/>
    <w:rsid w:val="00333B01"/>
    <w:rsid w:val="00341C4E"/>
    <w:rsid w:val="00347ECC"/>
    <w:rsid w:val="00354489"/>
    <w:rsid w:val="00354D87"/>
    <w:rsid w:val="0035529F"/>
    <w:rsid w:val="0035547F"/>
    <w:rsid w:val="003561F9"/>
    <w:rsid w:val="003564F4"/>
    <w:rsid w:val="00356E2E"/>
    <w:rsid w:val="00357AF7"/>
    <w:rsid w:val="00361685"/>
    <w:rsid w:val="003639CB"/>
    <w:rsid w:val="00370715"/>
    <w:rsid w:val="00380B1F"/>
    <w:rsid w:val="00381758"/>
    <w:rsid w:val="00384851"/>
    <w:rsid w:val="003877F8"/>
    <w:rsid w:val="00392340"/>
    <w:rsid w:val="003A22F7"/>
    <w:rsid w:val="003A30F1"/>
    <w:rsid w:val="003A42F4"/>
    <w:rsid w:val="003A49D3"/>
    <w:rsid w:val="003A621C"/>
    <w:rsid w:val="003A7DC6"/>
    <w:rsid w:val="003B37BE"/>
    <w:rsid w:val="003B594F"/>
    <w:rsid w:val="003B76E7"/>
    <w:rsid w:val="003C6CD5"/>
    <w:rsid w:val="003C79F7"/>
    <w:rsid w:val="003D214A"/>
    <w:rsid w:val="003D3C48"/>
    <w:rsid w:val="003E519B"/>
    <w:rsid w:val="003E6322"/>
    <w:rsid w:val="003E6784"/>
    <w:rsid w:val="003E7058"/>
    <w:rsid w:val="003F12B0"/>
    <w:rsid w:val="003F339A"/>
    <w:rsid w:val="003F3CA8"/>
    <w:rsid w:val="003F404F"/>
    <w:rsid w:val="00400191"/>
    <w:rsid w:val="00400C20"/>
    <w:rsid w:val="00400F86"/>
    <w:rsid w:val="00401E4B"/>
    <w:rsid w:val="004024F3"/>
    <w:rsid w:val="004078C1"/>
    <w:rsid w:val="00412011"/>
    <w:rsid w:val="00413F30"/>
    <w:rsid w:val="004217E2"/>
    <w:rsid w:val="00421C06"/>
    <w:rsid w:val="00422CC0"/>
    <w:rsid w:val="0042379B"/>
    <w:rsid w:val="0043719C"/>
    <w:rsid w:val="00440655"/>
    <w:rsid w:val="004547B1"/>
    <w:rsid w:val="004626A2"/>
    <w:rsid w:val="0046413D"/>
    <w:rsid w:val="004719A8"/>
    <w:rsid w:val="00473240"/>
    <w:rsid w:val="00474FD6"/>
    <w:rsid w:val="004841F8"/>
    <w:rsid w:val="004841FA"/>
    <w:rsid w:val="00484878"/>
    <w:rsid w:val="004871DE"/>
    <w:rsid w:val="00487DE6"/>
    <w:rsid w:val="0049285F"/>
    <w:rsid w:val="00496EA2"/>
    <w:rsid w:val="00496EE0"/>
    <w:rsid w:val="00497BDD"/>
    <w:rsid w:val="004A28B6"/>
    <w:rsid w:val="004A29E4"/>
    <w:rsid w:val="004A50A2"/>
    <w:rsid w:val="004A5B96"/>
    <w:rsid w:val="004B1D1D"/>
    <w:rsid w:val="004B21C7"/>
    <w:rsid w:val="004B6296"/>
    <w:rsid w:val="004D05EB"/>
    <w:rsid w:val="004D25C0"/>
    <w:rsid w:val="004D6AD1"/>
    <w:rsid w:val="004E0A2A"/>
    <w:rsid w:val="004E336C"/>
    <w:rsid w:val="004E7D2C"/>
    <w:rsid w:val="004F2A53"/>
    <w:rsid w:val="004F342B"/>
    <w:rsid w:val="004F35D6"/>
    <w:rsid w:val="00502CE7"/>
    <w:rsid w:val="00511486"/>
    <w:rsid w:val="00513C81"/>
    <w:rsid w:val="00513DB9"/>
    <w:rsid w:val="005155EF"/>
    <w:rsid w:val="005164A0"/>
    <w:rsid w:val="00522525"/>
    <w:rsid w:val="005251B5"/>
    <w:rsid w:val="005273D8"/>
    <w:rsid w:val="00532CD0"/>
    <w:rsid w:val="00533C99"/>
    <w:rsid w:val="0053401F"/>
    <w:rsid w:val="00534678"/>
    <w:rsid w:val="00537339"/>
    <w:rsid w:val="00537E25"/>
    <w:rsid w:val="00541B10"/>
    <w:rsid w:val="005563CE"/>
    <w:rsid w:val="00556AA2"/>
    <w:rsid w:val="00564952"/>
    <w:rsid w:val="00570EB7"/>
    <w:rsid w:val="0057695D"/>
    <w:rsid w:val="00581F13"/>
    <w:rsid w:val="00582E93"/>
    <w:rsid w:val="005832B1"/>
    <w:rsid w:val="00585D8D"/>
    <w:rsid w:val="0058730F"/>
    <w:rsid w:val="005879B0"/>
    <w:rsid w:val="005A0742"/>
    <w:rsid w:val="005A0CE8"/>
    <w:rsid w:val="005A17A6"/>
    <w:rsid w:val="005A5740"/>
    <w:rsid w:val="005A6D33"/>
    <w:rsid w:val="005B12B1"/>
    <w:rsid w:val="005B4396"/>
    <w:rsid w:val="005C17BB"/>
    <w:rsid w:val="005C2048"/>
    <w:rsid w:val="005C2F87"/>
    <w:rsid w:val="005C4635"/>
    <w:rsid w:val="005C74DB"/>
    <w:rsid w:val="005D22DE"/>
    <w:rsid w:val="005E70CB"/>
    <w:rsid w:val="00600601"/>
    <w:rsid w:val="00602ABA"/>
    <w:rsid w:val="0060430C"/>
    <w:rsid w:val="00604546"/>
    <w:rsid w:val="00605674"/>
    <w:rsid w:val="006060EA"/>
    <w:rsid w:val="00610B04"/>
    <w:rsid w:val="00610ED3"/>
    <w:rsid w:val="006226AA"/>
    <w:rsid w:val="00623AA0"/>
    <w:rsid w:val="0062469A"/>
    <w:rsid w:val="006250CA"/>
    <w:rsid w:val="00631D71"/>
    <w:rsid w:val="006366E2"/>
    <w:rsid w:val="0063694B"/>
    <w:rsid w:val="00640347"/>
    <w:rsid w:val="006426BA"/>
    <w:rsid w:val="00644383"/>
    <w:rsid w:val="00646C11"/>
    <w:rsid w:val="00650D44"/>
    <w:rsid w:val="006524E8"/>
    <w:rsid w:val="00656899"/>
    <w:rsid w:val="00657ADA"/>
    <w:rsid w:val="006612BF"/>
    <w:rsid w:val="0066273D"/>
    <w:rsid w:val="00664132"/>
    <w:rsid w:val="0066414D"/>
    <w:rsid w:val="00671033"/>
    <w:rsid w:val="00671681"/>
    <w:rsid w:val="00672A76"/>
    <w:rsid w:val="0067496C"/>
    <w:rsid w:val="00677DDE"/>
    <w:rsid w:val="006851D2"/>
    <w:rsid w:val="00695447"/>
    <w:rsid w:val="006A4632"/>
    <w:rsid w:val="006A47BF"/>
    <w:rsid w:val="006A6F34"/>
    <w:rsid w:val="006A769E"/>
    <w:rsid w:val="006A79C6"/>
    <w:rsid w:val="006B0346"/>
    <w:rsid w:val="006B2A5C"/>
    <w:rsid w:val="006B3208"/>
    <w:rsid w:val="006B65F0"/>
    <w:rsid w:val="006C498E"/>
    <w:rsid w:val="006D122A"/>
    <w:rsid w:val="006D1FBB"/>
    <w:rsid w:val="006D347F"/>
    <w:rsid w:val="006D724E"/>
    <w:rsid w:val="006E20E3"/>
    <w:rsid w:val="006F2267"/>
    <w:rsid w:val="006F52A7"/>
    <w:rsid w:val="006F59CD"/>
    <w:rsid w:val="00703A54"/>
    <w:rsid w:val="00707D28"/>
    <w:rsid w:val="00717C04"/>
    <w:rsid w:val="00720A16"/>
    <w:rsid w:val="00724277"/>
    <w:rsid w:val="007265AE"/>
    <w:rsid w:val="00727220"/>
    <w:rsid w:val="00733A5E"/>
    <w:rsid w:val="00735023"/>
    <w:rsid w:val="00743B1E"/>
    <w:rsid w:val="007458E7"/>
    <w:rsid w:val="007501F7"/>
    <w:rsid w:val="00754799"/>
    <w:rsid w:val="00755486"/>
    <w:rsid w:val="0075594B"/>
    <w:rsid w:val="0076390F"/>
    <w:rsid w:val="00764F75"/>
    <w:rsid w:val="00765D8B"/>
    <w:rsid w:val="00770079"/>
    <w:rsid w:val="00771ABB"/>
    <w:rsid w:val="0077217F"/>
    <w:rsid w:val="00773745"/>
    <w:rsid w:val="007746AF"/>
    <w:rsid w:val="00775D3F"/>
    <w:rsid w:val="007768EA"/>
    <w:rsid w:val="007808DD"/>
    <w:rsid w:val="00781BB2"/>
    <w:rsid w:val="00781CD8"/>
    <w:rsid w:val="00782D28"/>
    <w:rsid w:val="00782ED0"/>
    <w:rsid w:val="00782FDC"/>
    <w:rsid w:val="00791F23"/>
    <w:rsid w:val="00793B41"/>
    <w:rsid w:val="007949E8"/>
    <w:rsid w:val="00796F61"/>
    <w:rsid w:val="007A1635"/>
    <w:rsid w:val="007A5946"/>
    <w:rsid w:val="007B047B"/>
    <w:rsid w:val="007B263B"/>
    <w:rsid w:val="007C62B2"/>
    <w:rsid w:val="007D0744"/>
    <w:rsid w:val="007D2622"/>
    <w:rsid w:val="007D63B2"/>
    <w:rsid w:val="007D65BF"/>
    <w:rsid w:val="007D693F"/>
    <w:rsid w:val="007E11A6"/>
    <w:rsid w:val="007E525D"/>
    <w:rsid w:val="007F4F39"/>
    <w:rsid w:val="007F772C"/>
    <w:rsid w:val="007F7B7E"/>
    <w:rsid w:val="0080148A"/>
    <w:rsid w:val="00802835"/>
    <w:rsid w:val="008032CC"/>
    <w:rsid w:val="0081623F"/>
    <w:rsid w:val="008163D2"/>
    <w:rsid w:val="0082085D"/>
    <w:rsid w:val="00832D74"/>
    <w:rsid w:val="008332AB"/>
    <w:rsid w:val="00833797"/>
    <w:rsid w:val="00834DAA"/>
    <w:rsid w:val="008367F2"/>
    <w:rsid w:val="00836D72"/>
    <w:rsid w:val="00840559"/>
    <w:rsid w:val="00840C91"/>
    <w:rsid w:val="008431EB"/>
    <w:rsid w:val="0084632D"/>
    <w:rsid w:val="00851314"/>
    <w:rsid w:val="008565BB"/>
    <w:rsid w:val="00857B54"/>
    <w:rsid w:val="0086381F"/>
    <w:rsid w:val="008677B0"/>
    <w:rsid w:val="00875E5D"/>
    <w:rsid w:val="00875E8B"/>
    <w:rsid w:val="00877B68"/>
    <w:rsid w:val="008A2A4E"/>
    <w:rsid w:val="008A3341"/>
    <w:rsid w:val="008A4CB3"/>
    <w:rsid w:val="008A5BF3"/>
    <w:rsid w:val="008A78AE"/>
    <w:rsid w:val="008B58E7"/>
    <w:rsid w:val="008B642B"/>
    <w:rsid w:val="008C005A"/>
    <w:rsid w:val="008C35C2"/>
    <w:rsid w:val="008C7ECF"/>
    <w:rsid w:val="008D0E8C"/>
    <w:rsid w:val="008D4098"/>
    <w:rsid w:val="008D5398"/>
    <w:rsid w:val="008E2BC3"/>
    <w:rsid w:val="008E6CE7"/>
    <w:rsid w:val="008F21F4"/>
    <w:rsid w:val="008F3600"/>
    <w:rsid w:val="008F443F"/>
    <w:rsid w:val="00900946"/>
    <w:rsid w:val="00900F4F"/>
    <w:rsid w:val="0090480E"/>
    <w:rsid w:val="00906BF6"/>
    <w:rsid w:val="00907C61"/>
    <w:rsid w:val="00911D34"/>
    <w:rsid w:val="00913ED3"/>
    <w:rsid w:val="0091538A"/>
    <w:rsid w:val="009162E5"/>
    <w:rsid w:val="009216F6"/>
    <w:rsid w:val="0092413E"/>
    <w:rsid w:val="00931F24"/>
    <w:rsid w:val="00934C3C"/>
    <w:rsid w:val="00936A95"/>
    <w:rsid w:val="00940981"/>
    <w:rsid w:val="00946556"/>
    <w:rsid w:val="00952E18"/>
    <w:rsid w:val="00954437"/>
    <w:rsid w:val="00957EE1"/>
    <w:rsid w:val="009603E8"/>
    <w:rsid w:val="009642EF"/>
    <w:rsid w:val="0096592D"/>
    <w:rsid w:val="00965ABF"/>
    <w:rsid w:val="00967480"/>
    <w:rsid w:val="00967B2B"/>
    <w:rsid w:val="0097711F"/>
    <w:rsid w:val="00982FB2"/>
    <w:rsid w:val="00985412"/>
    <w:rsid w:val="00991F75"/>
    <w:rsid w:val="009927EE"/>
    <w:rsid w:val="009928D2"/>
    <w:rsid w:val="009938CE"/>
    <w:rsid w:val="0099696F"/>
    <w:rsid w:val="009A68A0"/>
    <w:rsid w:val="009B29D7"/>
    <w:rsid w:val="009B4435"/>
    <w:rsid w:val="009B44B8"/>
    <w:rsid w:val="009B5F22"/>
    <w:rsid w:val="009C0B64"/>
    <w:rsid w:val="009C1C23"/>
    <w:rsid w:val="009C3377"/>
    <w:rsid w:val="009C3D60"/>
    <w:rsid w:val="009C4D95"/>
    <w:rsid w:val="009C51BF"/>
    <w:rsid w:val="009D00D3"/>
    <w:rsid w:val="009D410E"/>
    <w:rsid w:val="009D47B0"/>
    <w:rsid w:val="009E5E6B"/>
    <w:rsid w:val="009F074F"/>
    <w:rsid w:val="009F174C"/>
    <w:rsid w:val="00A0201F"/>
    <w:rsid w:val="00A07945"/>
    <w:rsid w:val="00A150BD"/>
    <w:rsid w:val="00A20845"/>
    <w:rsid w:val="00A2433F"/>
    <w:rsid w:val="00A24E7F"/>
    <w:rsid w:val="00A32CA3"/>
    <w:rsid w:val="00A37504"/>
    <w:rsid w:val="00A425F8"/>
    <w:rsid w:val="00A426A1"/>
    <w:rsid w:val="00A4744F"/>
    <w:rsid w:val="00A47CE4"/>
    <w:rsid w:val="00A50B79"/>
    <w:rsid w:val="00A52326"/>
    <w:rsid w:val="00A52B88"/>
    <w:rsid w:val="00A62AA7"/>
    <w:rsid w:val="00A634B0"/>
    <w:rsid w:val="00A65ED2"/>
    <w:rsid w:val="00A70DF7"/>
    <w:rsid w:val="00A7296E"/>
    <w:rsid w:val="00A81B1A"/>
    <w:rsid w:val="00A83FFB"/>
    <w:rsid w:val="00A85BD4"/>
    <w:rsid w:val="00A873F1"/>
    <w:rsid w:val="00A91D32"/>
    <w:rsid w:val="00A92221"/>
    <w:rsid w:val="00A940E4"/>
    <w:rsid w:val="00A96E6A"/>
    <w:rsid w:val="00AA12DE"/>
    <w:rsid w:val="00AA25E5"/>
    <w:rsid w:val="00AA3F54"/>
    <w:rsid w:val="00AA591C"/>
    <w:rsid w:val="00AB1CF2"/>
    <w:rsid w:val="00AB6330"/>
    <w:rsid w:val="00AB680C"/>
    <w:rsid w:val="00AB6DD5"/>
    <w:rsid w:val="00AC3344"/>
    <w:rsid w:val="00AC52C2"/>
    <w:rsid w:val="00AD014A"/>
    <w:rsid w:val="00AD21F3"/>
    <w:rsid w:val="00AD3443"/>
    <w:rsid w:val="00AD3B9B"/>
    <w:rsid w:val="00AE1E1A"/>
    <w:rsid w:val="00AE4A86"/>
    <w:rsid w:val="00AE55F8"/>
    <w:rsid w:val="00AF01AA"/>
    <w:rsid w:val="00AF769A"/>
    <w:rsid w:val="00B02B09"/>
    <w:rsid w:val="00B05392"/>
    <w:rsid w:val="00B072FE"/>
    <w:rsid w:val="00B12153"/>
    <w:rsid w:val="00B15F81"/>
    <w:rsid w:val="00B1690B"/>
    <w:rsid w:val="00B313B5"/>
    <w:rsid w:val="00B343EC"/>
    <w:rsid w:val="00B36167"/>
    <w:rsid w:val="00B362AB"/>
    <w:rsid w:val="00B36FBA"/>
    <w:rsid w:val="00B371A5"/>
    <w:rsid w:val="00B41231"/>
    <w:rsid w:val="00B44EB9"/>
    <w:rsid w:val="00B456F8"/>
    <w:rsid w:val="00B4588D"/>
    <w:rsid w:val="00B468C7"/>
    <w:rsid w:val="00B50A6B"/>
    <w:rsid w:val="00B52B47"/>
    <w:rsid w:val="00B5541D"/>
    <w:rsid w:val="00B63ECF"/>
    <w:rsid w:val="00B702CF"/>
    <w:rsid w:val="00B73D31"/>
    <w:rsid w:val="00B762AA"/>
    <w:rsid w:val="00B8133F"/>
    <w:rsid w:val="00B93266"/>
    <w:rsid w:val="00B96D3C"/>
    <w:rsid w:val="00BA0165"/>
    <w:rsid w:val="00BA02D7"/>
    <w:rsid w:val="00BA2BA0"/>
    <w:rsid w:val="00BB0F4F"/>
    <w:rsid w:val="00BC0432"/>
    <w:rsid w:val="00BC3B25"/>
    <w:rsid w:val="00BC740D"/>
    <w:rsid w:val="00BD57FF"/>
    <w:rsid w:val="00BD7E54"/>
    <w:rsid w:val="00BE34B7"/>
    <w:rsid w:val="00BF2146"/>
    <w:rsid w:val="00BF35E3"/>
    <w:rsid w:val="00BF5C0B"/>
    <w:rsid w:val="00C04DF9"/>
    <w:rsid w:val="00C10120"/>
    <w:rsid w:val="00C12F5F"/>
    <w:rsid w:val="00C16D62"/>
    <w:rsid w:val="00C20B18"/>
    <w:rsid w:val="00C222E0"/>
    <w:rsid w:val="00C25819"/>
    <w:rsid w:val="00C26842"/>
    <w:rsid w:val="00C31EAE"/>
    <w:rsid w:val="00C325CB"/>
    <w:rsid w:val="00C35551"/>
    <w:rsid w:val="00C56A17"/>
    <w:rsid w:val="00C652C7"/>
    <w:rsid w:val="00C70194"/>
    <w:rsid w:val="00C701B4"/>
    <w:rsid w:val="00C728D7"/>
    <w:rsid w:val="00C81940"/>
    <w:rsid w:val="00C82543"/>
    <w:rsid w:val="00C8623C"/>
    <w:rsid w:val="00C86AA7"/>
    <w:rsid w:val="00C92261"/>
    <w:rsid w:val="00C93470"/>
    <w:rsid w:val="00C93ADC"/>
    <w:rsid w:val="00C94C56"/>
    <w:rsid w:val="00C9633F"/>
    <w:rsid w:val="00C96C7D"/>
    <w:rsid w:val="00CA16E2"/>
    <w:rsid w:val="00CA1F3C"/>
    <w:rsid w:val="00CB560A"/>
    <w:rsid w:val="00CB7DB7"/>
    <w:rsid w:val="00CC3CB6"/>
    <w:rsid w:val="00CC576B"/>
    <w:rsid w:val="00CC660F"/>
    <w:rsid w:val="00CD0C5B"/>
    <w:rsid w:val="00CD35C9"/>
    <w:rsid w:val="00CD430A"/>
    <w:rsid w:val="00CD4E49"/>
    <w:rsid w:val="00CD52B5"/>
    <w:rsid w:val="00CD571C"/>
    <w:rsid w:val="00CE2E6A"/>
    <w:rsid w:val="00CE3A10"/>
    <w:rsid w:val="00CE48D7"/>
    <w:rsid w:val="00CE4A3A"/>
    <w:rsid w:val="00CE6158"/>
    <w:rsid w:val="00CE637D"/>
    <w:rsid w:val="00CE67A7"/>
    <w:rsid w:val="00CE779F"/>
    <w:rsid w:val="00CF149E"/>
    <w:rsid w:val="00CF5468"/>
    <w:rsid w:val="00CF77E8"/>
    <w:rsid w:val="00D10C96"/>
    <w:rsid w:val="00D11232"/>
    <w:rsid w:val="00D26AC0"/>
    <w:rsid w:val="00D32EF5"/>
    <w:rsid w:val="00D35331"/>
    <w:rsid w:val="00D36356"/>
    <w:rsid w:val="00D3641D"/>
    <w:rsid w:val="00D3779C"/>
    <w:rsid w:val="00D465E0"/>
    <w:rsid w:val="00D501E0"/>
    <w:rsid w:val="00D600F1"/>
    <w:rsid w:val="00D6191D"/>
    <w:rsid w:val="00D672EC"/>
    <w:rsid w:val="00D674C7"/>
    <w:rsid w:val="00D67CFD"/>
    <w:rsid w:val="00D70B5D"/>
    <w:rsid w:val="00D74BA7"/>
    <w:rsid w:val="00D75DE9"/>
    <w:rsid w:val="00D81516"/>
    <w:rsid w:val="00D83C41"/>
    <w:rsid w:val="00DB11FD"/>
    <w:rsid w:val="00DB172E"/>
    <w:rsid w:val="00DB1F49"/>
    <w:rsid w:val="00DB4354"/>
    <w:rsid w:val="00DC0F70"/>
    <w:rsid w:val="00DC3EDD"/>
    <w:rsid w:val="00DD389C"/>
    <w:rsid w:val="00DD5334"/>
    <w:rsid w:val="00DE0863"/>
    <w:rsid w:val="00DE1757"/>
    <w:rsid w:val="00DE548B"/>
    <w:rsid w:val="00DF0928"/>
    <w:rsid w:val="00DF4B9C"/>
    <w:rsid w:val="00E01584"/>
    <w:rsid w:val="00E105B7"/>
    <w:rsid w:val="00E1077D"/>
    <w:rsid w:val="00E131DA"/>
    <w:rsid w:val="00E1396C"/>
    <w:rsid w:val="00E17272"/>
    <w:rsid w:val="00E2373C"/>
    <w:rsid w:val="00E25AE0"/>
    <w:rsid w:val="00E31199"/>
    <w:rsid w:val="00E32D1B"/>
    <w:rsid w:val="00E33E3B"/>
    <w:rsid w:val="00E34AC9"/>
    <w:rsid w:val="00E45803"/>
    <w:rsid w:val="00E45BDF"/>
    <w:rsid w:val="00E536F3"/>
    <w:rsid w:val="00E6243B"/>
    <w:rsid w:val="00E632DD"/>
    <w:rsid w:val="00E71CF3"/>
    <w:rsid w:val="00E8089C"/>
    <w:rsid w:val="00E81702"/>
    <w:rsid w:val="00E90846"/>
    <w:rsid w:val="00E90BC4"/>
    <w:rsid w:val="00E942AF"/>
    <w:rsid w:val="00E962F4"/>
    <w:rsid w:val="00E9654F"/>
    <w:rsid w:val="00E96FD7"/>
    <w:rsid w:val="00EA2E38"/>
    <w:rsid w:val="00EA3571"/>
    <w:rsid w:val="00EA761E"/>
    <w:rsid w:val="00EA7A8B"/>
    <w:rsid w:val="00EB1715"/>
    <w:rsid w:val="00EC07AC"/>
    <w:rsid w:val="00EC1AE3"/>
    <w:rsid w:val="00EC45D2"/>
    <w:rsid w:val="00ED7D92"/>
    <w:rsid w:val="00EE0926"/>
    <w:rsid w:val="00EE5286"/>
    <w:rsid w:val="00F02D35"/>
    <w:rsid w:val="00F05E00"/>
    <w:rsid w:val="00F06066"/>
    <w:rsid w:val="00F07319"/>
    <w:rsid w:val="00F10DFC"/>
    <w:rsid w:val="00F1601D"/>
    <w:rsid w:val="00F16390"/>
    <w:rsid w:val="00F25962"/>
    <w:rsid w:val="00F33EAF"/>
    <w:rsid w:val="00F340AD"/>
    <w:rsid w:val="00F5061C"/>
    <w:rsid w:val="00F52FEE"/>
    <w:rsid w:val="00F6164F"/>
    <w:rsid w:val="00F618FE"/>
    <w:rsid w:val="00F67961"/>
    <w:rsid w:val="00F70619"/>
    <w:rsid w:val="00F72E7B"/>
    <w:rsid w:val="00F74379"/>
    <w:rsid w:val="00F859DF"/>
    <w:rsid w:val="00F92496"/>
    <w:rsid w:val="00F93951"/>
    <w:rsid w:val="00FA4CE8"/>
    <w:rsid w:val="00FA7B67"/>
    <w:rsid w:val="00FB1061"/>
    <w:rsid w:val="00FB7A23"/>
    <w:rsid w:val="00FC092F"/>
    <w:rsid w:val="00FC260C"/>
    <w:rsid w:val="00FC3D9D"/>
    <w:rsid w:val="00FC6E84"/>
    <w:rsid w:val="00FD4F8E"/>
    <w:rsid w:val="00FD5571"/>
    <w:rsid w:val="00FD5D49"/>
    <w:rsid w:val="00FD7867"/>
    <w:rsid w:val="00FE0161"/>
    <w:rsid w:val="00FE2E30"/>
    <w:rsid w:val="00FE636A"/>
    <w:rsid w:val="00FF0D81"/>
    <w:rsid w:val="00FF37D7"/>
    <w:rsid w:val="00FF3DD6"/>
    <w:rsid w:val="00FF45F1"/>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99"/>
    <w:rPr>
      <w:sz w:val="24"/>
    </w:rPr>
  </w:style>
  <w:style w:type="paragraph" w:styleId="Heading3">
    <w:name w:val="heading 3"/>
    <w:basedOn w:val="Normal"/>
    <w:next w:val="Normal"/>
    <w:link w:val="Heading3Char"/>
    <w:semiHidden/>
    <w:unhideWhenUsed/>
    <w:qFormat/>
    <w:rsid w:val="005649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3701"/>
    <w:rPr>
      <w:rFonts w:ascii="Tahoma" w:hAnsi="Tahoma" w:cs="Tahoma"/>
      <w:sz w:val="16"/>
      <w:szCs w:val="16"/>
    </w:rPr>
  </w:style>
  <w:style w:type="paragraph" w:customStyle="1" w:styleId="Level1">
    <w:name w:val="Level 1"/>
    <w:basedOn w:val="Normal"/>
    <w:rsid w:val="00E31199"/>
    <w:pPr>
      <w:widowControl w:val="0"/>
    </w:pPr>
  </w:style>
  <w:style w:type="character" w:styleId="Hyperlink">
    <w:name w:val="Hyperlink"/>
    <w:basedOn w:val="DefaultParagraphFont"/>
    <w:rsid w:val="00BF2146"/>
    <w:rPr>
      <w:color w:val="0000FF"/>
      <w:u w:val="single"/>
    </w:rPr>
  </w:style>
  <w:style w:type="paragraph" w:styleId="DocumentMap">
    <w:name w:val="Document Map"/>
    <w:basedOn w:val="Normal"/>
    <w:semiHidden/>
    <w:rsid w:val="003A42F4"/>
    <w:pPr>
      <w:shd w:val="clear" w:color="auto" w:fill="000080"/>
    </w:pPr>
    <w:rPr>
      <w:rFonts w:ascii="Tahoma" w:hAnsi="Tahoma" w:cs="Tahoma"/>
      <w:sz w:val="20"/>
    </w:rPr>
  </w:style>
  <w:style w:type="character" w:styleId="CommentReference">
    <w:name w:val="annotation reference"/>
    <w:basedOn w:val="DefaultParagraphFont"/>
    <w:semiHidden/>
    <w:rsid w:val="00900F4F"/>
    <w:rPr>
      <w:sz w:val="16"/>
      <w:szCs w:val="16"/>
    </w:rPr>
  </w:style>
  <w:style w:type="paragraph" w:styleId="CommentText">
    <w:name w:val="annotation text"/>
    <w:basedOn w:val="Normal"/>
    <w:semiHidden/>
    <w:rsid w:val="00900F4F"/>
    <w:rPr>
      <w:sz w:val="20"/>
    </w:rPr>
  </w:style>
  <w:style w:type="paragraph" w:styleId="CommentSubject">
    <w:name w:val="annotation subject"/>
    <w:basedOn w:val="CommentText"/>
    <w:next w:val="CommentText"/>
    <w:semiHidden/>
    <w:rsid w:val="00513DB9"/>
    <w:rPr>
      <w:b/>
      <w:bCs/>
    </w:rPr>
  </w:style>
  <w:style w:type="paragraph" w:styleId="ListParagraph">
    <w:name w:val="List Paragraph"/>
    <w:basedOn w:val="Normal"/>
    <w:uiPriority w:val="34"/>
    <w:qFormat/>
    <w:rsid w:val="00A32CA3"/>
    <w:pPr>
      <w:ind w:left="720"/>
      <w:contextualSpacing/>
    </w:pPr>
    <w:rPr>
      <w:szCs w:val="24"/>
    </w:rPr>
  </w:style>
  <w:style w:type="paragraph" w:styleId="Header">
    <w:name w:val="header"/>
    <w:basedOn w:val="Normal"/>
    <w:link w:val="HeaderChar"/>
    <w:rsid w:val="00967480"/>
    <w:pPr>
      <w:tabs>
        <w:tab w:val="center" w:pos="4680"/>
        <w:tab w:val="right" w:pos="9360"/>
      </w:tabs>
    </w:pPr>
  </w:style>
  <w:style w:type="character" w:customStyle="1" w:styleId="HeaderChar">
    <w:name w:val="Header Char"/>
    <w:basedOn w:val="DefaultParagraphFont"/>
    <w:link w:val="Header"/>
    <w:rsid w:val="00967480"/>
    <w:rPr>
      <w:sz w:val="24"/>
      <w:lang w:eastAsia="en-US"/>
    </w:rPr>
  </w:style>
  <w:style w:type="paragraph" w:styleId="Footer">
    <w:name w:val="footer"/>
    <w:basedOn w:val="Normal"/>
    <w:link w:val="FooterChar"/>
    <w:uiPriority w:val="99"/>
    <w:rsid w:val="00967480"/>
    <w:pPr>
      <w:tabs>
        <w:tab w:val="center" w:pos="4680"/>
        <w:tab w:val="right" w:pos="9360"/>
      </w:tabs>
    </w:pPr>
  </w:style>
  <w:style w:type="character" w:customStyle="1" w:styleId="FooterChar">
    <w:name w:val="Footer Char"/>
    <w:basedOn w:val="DefaultParagraphFont"/>
    <w:link w:val="Footer"/>
    <w:uiPriority w:val="99"/>
    <w:rsid w:val="00967480"/>
    <w:rPr>
      <w:sz w:val="24"/>
      <w:lang w:eastAsia="en-US"/>
    </w:rPr>
  </w:style>
  <w:style w:type="paragraph" w:styleId="FootnoteText">
    <w:name w:val="footnote text"/>
    <w:basedOn w:val="Normal"/>
    <w:semiHidden/>
    <w:rsid w:val="003F404F"/>
    <w:rPr>
      <w:sz w:val="20"/>
    </w:rPr>
  </w:style>
  <w:style w:type="character" w:styleId="FootnoteReference">
    <w:name w:val="footnote reference"/>
    <w:basedOn w:val="DefaultParagraphFont"/>
    <w:semiHidden/>
    <w:rsid w:val="003F404F"/>
    <w:rPr>
      <w:vertAlign w:val="superscript"/>
    </w:rPr>
  </w:style>
  <w:style w:type="character" w:styleId="PageNumber">
    <w:name w:val="page number"/>
    <w:basedOn w:val="DefaultParagraphFont"/>
    <w:rsid w:val="005164A0"/>
  </w:style>
  <w:style w:type="character" w:customStyle="1" w:styleId="text">
    <w:name w:val="text"/>
    <w:basedOn w:val="DefaultParagraphFont"/>
    <w:rsid w:val="00D35331"/>
  </w:style>
  <w:style w:type="paragraph" w:styleId="HTMLPreformatted">
    <w:name w:val="HTML Preformatted"/>
    <w:basedOn w:val="Normal"/>
    <w:rsid w:val="001E768E"/>
    <w:rPr>
      <w:rFonts w:ascii="Courier New" w:hAnsi="Courier New" w:cs="Courier New"/>
      <w:sz w:val="20"/>
    </w:rPr>
  </w:style>
  <w:style w:type="character" w:customStyle="1" w:styleId="apple-style-span">
    <w:name w:val="apple-style-span"/>
    <w:basedOn w:val="DefaultParagraphFont"/>
    <w:rsid w:val="00A83FFB"/>
  </w:style>
  <w:style w:type="paragraph" w:customStyle="1" w:styleId="JuCase">
    <w:name w:val="Ju_Case"/>
    <w:basedOn w:val="Normal"/>
    <w:next w:val="Normal"/>
    <w:link w:val="JuCaseChar"/>
    <w:rsid w:val="0015640B"/>
    <w:pPr>
      <w:suppressAutoHyphens/>
      <w:ind w:firstLine="284"/>
      <w:jc w:val="both"/>
    </w:pPr>
    <w:rPr>
      <w:b/>
      <w:lang w:val="en-GB" w:eastAsia="fr-FR"/>
    </w:rPr>
  </w:style>
  <w:style w:type="character" w:customStyle="1" w:styleId="JuCaseChar">
    <w:name w:val="Ju_Case Char"/>
    <w:basedOn w:val="DefaultParagraphFont"/>
    <w:link w:val="JuCase"/>
    <w:rsid w:val="0015640B"/>
    <w:rPr>
      <w:b/>
      <w:sz w:val="24"/>
      <w:lang w:val="en-GB" w:eastAsia="fr-FR" w:bidi="ar-SA"/>
    </w:rPr>
  </w:style>
  <w:style w:type="character" w:customStyle="1" w:styleId="Heading3Char">
    <w:name w:val="Heading 3 Char"/>
    <w:basedOn w:val="DefaultParagraphFont"/>
    <w:link w:val="Heading3"/>
    <w:semiHidden/>
    <w:rsid w:val="00564952"/>
    <w:rPr>
      <w:rFonts w:asciiTheme="majorHAnsi" w:eastAsiaTheme="majorEastAsia" w:hAnsiTheme="majorHAnsi" w:cstheme="majorBidi"/>
      <w:b/>
      <w:bCs/>
      <w:color w:val="4F81BD" w:themeColor="accent1"/>
      <w:sz w:val="24"/>
    </w:rPr>
  </w:style>
  <w:style w:type="paragraph" w:styleId="EndnoteText">
    <w:name w:val="endnote text"/>
    <w:basedOn w:val="Normal"/>
    <w:link w:val="EndnoteTextChar"/>
    <w:rsid w:val="00E90846"/>
    <w:rPr>
      <w:sz w:val="20"/>
    </w:rPr>
  </w:style>
  <w:style w:type="character" w:customStyle="1" w:styleId="EndnoteTextChar">
    <w:name w:val="Endnote Text Char"/>
    <w:basedOn w:val="DefaultParagraphFont"/>
    <w:link w:val="EndnoteText"/>
    <w:rsid w:val="00E90846"/>
  </w:style>
  <w:style w:type="character" w:styleId="EndnoteReference">
    <w:name w:val="endnote reference"/>
    <w:basedOn w:val="DefaultParagraphFont"/>
    <w:rsid w:val="00E90846"/>
    <w:rPr>
      <w:vertAlign w:val="superscript"/>
    </w:rPr>
  </w:style>
  <w:style w:type="paragraph" w:styleId="BodyText2">
    <w:name w:val="Body Text 2"/>
    <w:basedOn w:val="Normal"/>
    <w:link w:val="BodyText2Char"/>
    <w:rsid w:val="00AB6330"/>
    <w:pPr>
      <w:overflowPunct w:val="0"/>
      <w:autoSpaceDE w:val="0"/>
      <w:autoSpaceDN w:val="0"/>
      <w:adjustRightInd w:val="0"/>
      <w:spacing w:after="120" w:line="480" w:lineRule="auto"/>
      <w:textAlignment w:val="baseline"/>
    </w:pPr>
    <w:rPr>
      <w:sz w:val="20"/>
      <w:lang w:val="en-GB" w:eastAsia="en-GB"/>
    </w:rPr>
  </w:style>
  <w:style w:type="character" w:customStyle="1" w:styleId="BodyText2Char">
    <w:name w:val="Body Text 2 Char"/>
    <w:basedOn w:val="DefaultParagraphFont"/>
    <w:link w:val="BodyText2"/>
    <w:rsid w:val="00AB6330"/>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199"/>
    <w:rPr>
      <w:sz w:val="24"/>
    </w:rPr>
  </w:style>
  <w:style w:type="paragraph" w:styleId="Heading3">
    <w:name w:val="heading 3"/>
    <w:basedOn w:val="Normal"/>
    <w:next w:val="Normal"/>
    <w:link w:val="Heading3Char"/>
    <w:semiHidden/>
    <w:unhideWhenUsed/>
    <w:qFormat/>
    <w:rsid w:val="005649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3701"/>
    <w:rPr>
      <w:rFonts w:ascii="Tahoma" w:hAnsi="Tahoma" w:cs="Tahoma"/>
      <w:sz w:val="16"/>
      <w:szCs w:val="16"/>
    </w:rPr>
  </w:style>
  <w:style w:type="paragraph" w:customStyle="1" w:styleId="Level1">
    <w:name w:val="Level 1"/>
    <w:basedOn w:val="Normal"/>
    <w:rsid w:val="00E31199"/>
    <w:pPr>
      <w:widowControl w:val="0"/>
    </w:pPr>
  </w:style>
  <w:style w:type="character" w:styleId="Hyperlink">
    <w:name w:val="Hyperlink"/>
    <w:basedOn w:val="DefaultParagraphFont"/>
    <w:rsid w:val="00BF2146"/>
    <w:rPr>
      <w:color w:val="0000FF"/>
      <w:u w:val="single"/>
    </w:rPr>
  </w:style>
  <w:style w:type="paragraph" w:styleId="DocumentMap">
    <w:name w:val="Document Map"/>
    <w:basedOn w:val="Normal"/>
    <w:semiHidden/>
    <w:rsid w:val="003A42F4"/>
    <w:pPr>
      <w:shd w:val="clear" w:color="auto" w:fill="000080"/>
    </w:pPr>
    <w:rPr>
      <w:rFonts w:ascii="Tahoma" w:hAnsi="Tahoma" w:cs="Tahoma"/>
      <w:sz w:val="20"/>
    </w:rPr>
  </w:style>
  <w:style w:type="character" w:styleId="CommentReference">
    <w:name w:val="annotation reference"/>
    <w:basedOn w:val="DefaultParagraphFont"/>
    <w:semiHidden/>
    <w:rsid w:val="00900F4F"/>
    <w:rPr>
      <w:sz w:val="16"/>
      <w:szCs w:val="16"/>
    </w:rPr>
  </w:style>
  <w:style w:type="paragraph" w:styleId="CommentText">
    <w:name w:val="annotation text"/>
    <w:basedOn w:val="Normal"/>
    <w:semiHidden/>
    <w:rsid w:val="00900F4F"/>
    <w:rPr>
      <w:sz w:val="20"/>
    </w:rPr>
  </w:style>
  <w:style w:type="paragraph" w:styleId="CommentSubject">
    <w:name w:val="annotation subject"/>
    <w:basedOn w:val="CommentText"/>
    <w:next w:val="CommentText"/>
    <w:semiHidden/>
    <w:rsid w:val="00513DB9"/>
    <w:rPr>
      <w:b/>
      <w:bCs/>
    </w:rPr>
  </w:style>
  <w:style w:type="paragraph" w:styleId="ListParagraph">
    <w:name w:val="List Paragraph"/>
    <w:basedOn w:val="Normal"/>
    <w:uiPriority w:val="34"/>
    <w:qFormat/>
    <w:rsid w:val="00A32CA3"/>
    <w:pPr>
      <w:ind w:left="720"/>
      <w:contextualSpacing/>
    </w:pPr>
    <w:rPr>
      <w:szCs w:val="24"/>
    </w:rPr>
  </w:style>
  <w:style w:type="paragraph" w:styleId="Header">
    <w:name w:val="header"/>
    <w:basedOn w:val="Normal"/>
    <w:link w:val="HeaderChar"/>
    <w:rsid w:val="00967480"/>
    <w:pPr>
      <w:tabs>
        <w:tab w:val="center" w:pos="4680"/>
        <w:tab w:val="right" w:pos="9360"/>
      </w:tabs>
    </w:pPr>
  </w:style>
  <w:style w:type="character" w:customStyle="1" w:styleId="HeaderChar">
    <w:name w:val="Header Char"/>
    <w:basedOn w:val="DefaultParagraphFont"/>
    <w:link w:val="Header"/>
    <w:rsid w:val="00967480"/>
    <w:rPr>
      <w:sz w:val="24"/>
      <w:lang w:eastAsia="en-US"/>
    </w:rPr>
  </w:style>
  <w:style w:type="paragraph" w:styleId="Footer">
    <w:name w:val="footer"/>
    <w:basedOn w:val="Normal"/>
    <w:link w:val="FooterChar"/>
    <w:uiPriority w:val="99"/>
    <w:rsid w:val="00967480"/>
    <w:pPr>
      <w:tabs>
        <w:tab w:val="center" w:pos="4680"/>
        <w:tab w:val="right" w:pos="9360"/>
      </w:tabs>
    </w:pPr>
  </w:style>
  <w:style w:type="character" w:customStyle="1" w:styleId="FooterChar">
    <w:name w:val="Footer Char"/>
    <w:basedOn w:val="DefaultParagraphFont"/>
    <w:link w:val="Footer"/>
    <w:uiPriority w:val="99"/>
    <w:rsid w:val="00967480"/>
    <w:rPr>
      <w:sz w:val="24"/>
      <w:lang w:eastAsia="en-US"/>
    </w:rPr>
  </w:style>
  <w:style w:type="paragraph" w:styleId="FootnoteText">
    <w:name w:val="footnote text"/>
    <w:basedOn w:val="Normal"/>
    <w:semiHidden/>
    <w:rsid w:val="003F404F"/>
    <w:rPr>
      <w:sz w:val="20"/>
    </w:rPr>
  </w:style>
  <w:style w:type="character" w:styleId="FootnoteReference">
    <w:name w:val="footnote reference"/>
    <w:basedOn w:val="DefaultParagraphFont"/>
    <w:semiHidden/>
    <w:rsid w:val="003F404F"/>
    <w:rPr>
      <w:vertAlign w:val="superscript"/>
    </w:rPr>
  </w:style>
  <w:style w:type="character" w:styleId="PageNumber">
    <w:name w:val="page number"/>
    <w:basedOn w:val="DefaultParagraphFont"/>
    <w:rsid w:val="005164A0"/>
  </w:style>
  <w:style w:type="character" w:customStyle="1" w:styleId="text">
    <w:name w:val="text"/>
    <w:basedOn w:val="DefaultParagraphFont"/>
    <w:rsid w:val="00D35331"/>
  </w:style>
  <w:style w:type="paragraph" w:styleId="HTMLPreformatted">
    <w:name w:val="HTML Preformatted"/>
    <w:basedOn w:val="Normal"/>
    <w:rsid w:val="001E768E"/>
    <w:rPr>
      <w:rFonts w:ascii="Courier New" w:hAnsi="Courier New" w:cs="Courier New"/>
      <w:sz w:val="20"/>
    </w:rPr>
  </w:style>
  <w:style w:type="character" w:customStyle="1" w:styleId="apple-style-span">
    <w:name w:val="apple-style-span"/>
    <w:basedOn w:val="DefaultParagraphFont"/>
    <w:rsid w:val="00A83FFB"/>
  </w:style>
  <w:style w:type="paragraph" w:customStyle="1" w:styleId="JuCase">
    <w:name w:val="Ju_Case"/>
    <w:basedOn w:val="Normal"/>
    <w:next w:val="Normal"/>
    <w:link w:val="JuCaseChar"/>
    <w:rsid w:val="0015640B"/>
    <w:pPr>
      <w:suppressAutoHyphens/>
      <w:ind w:firstLine="284"/>
      <w:jc w:val="both"/>
    </w:pPr>
    <w:rPr>
      <w:b/>
      <w:lang w:val="en-GB" w:eastAsia="fr-FR"/>
    </w:rPr>
  </w:style>
  <w:style w:type="character" w:customStyle="1" w:styleId="JuCaseChar">
    <w:name w:val="Ju_Case Char"/>
    <w:basedOn w:val="DefaultParagraphFont"/>
    <w:link w:val="JuCase"/>
    <w:rsid w:val="0015640B"/>
    <w:rPr>
      <w:b/>
      <w:sz w:val="24"/>
      <w:lang w:val="en-GB" w:eastAsia="fr-FR" w:bidi="ar-SA"/>
    </w:rPr>
  </w:style>
  <w:style w:type="character" w:customStyle="1" w:styleId="Heading3Char">
    <w:name w:val="Heading 3 Char"/>
    <w:basedOn w:val="DefaultParagraphFont"/>
    <w:link w:val="Heading3"/>
    <w:semiHidden/>
    <w:rsid w:val="00564952"/>
    <w:rPr>
      <w:rFonts w:asciiTheme="majorHAnsi" w:eastAsiaTheme="majorEastAsia" w:hAnsiTheme="majorHAnsi" w:cstheme="majorBidi"/>
      <w:b/>
      <w:bCs/>
      <w:color w:val="4F81BD" w:themeColor="accent1"/>
      <w:sz w:val="24"/>
    </w:rPr>
  </w:style>
  <w:style w:type="paragraph" w:styleId="EndnoteText">
    <w:name w:val="endnote text"/>
    <w:basedOn w:val="Normal"/>
    <w:link w:val="EndnoteTextChar"/>
    <w:rsid w:val="00E90846"/>
    <w:rPr>
      <w:sz w:val="20"/>
    </w:rPr>
  </w:style>
  <w:style w:type="character" w:customStyle="1" w:styleId="EndnoteTextChar">
    <w:name w:val="Endnote Text Char"/>
    <w:basedOn w:val="DefaultParagraphFont"/>
    <w:link w:val="EndnoteText"/>
    <w:rsid w:val="00E90846"/>
  </w:style>
  <w:style w:type="character" w:styleId="EndnoteReference">
    <w:name w:val="endnote reference"/>
    <w:basedOn w:val="DefaultParagraphFont"/>
    <w:rsid w:val="00E90846"/>
    <w:rPr>
      <w:vertAlign w:val="superscript"/>
    </w:rPr>
  </w:style>
  <w:style w:type="paragraph" w:styleId="BodyText2">
    <w:name w:val="Body Text 2"/>
    <w:basedOn w:val="Normal"/>
    <w:link w:val="BodyText2Char"/>
    <w:rsid w:val="00AB6330"/>
    <w:pPr>
      <w:overflowPunct w:val="0"/>
      <w:autoSpaceDE w:val="0"/>
      <w:autoSpaceDN w:val="0"/>
      <w:adjustRightInd w:val="0"/>
      <w:spacing w:after="120" w:line="480" w:lineRule="auto"/>
      <w:textAlignment w:val="baseline"/>
    </w:pPr>
    <w:rPr>
      <w:sz w:val="20"/>
      <w:lang w:val="en-GB" w:eastAsia="en-GB"/>
    </w:rPr>
  </w:style>
  <w:style w:type="character" w:customStyle="1" w:styleId="BodyText2Char">
    <w:name w:val="Body Text 2 Char"/>
    <w:basedOn w:val="DefaultParagraphFont"/>
    <w:link w:val="BodyText2"/>
    <w:rsid w:val="00AB6330"/>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0060">
      <w:bodyDiv w:val="1"/>
      <w:marLeft w:val="0"/>
      <w:marRight w:val="0"/>
      <w:marTop w:val="0"/>
      <w:marBottom w:val="0"/>
      <w:divBdr>
        <w:top w:val="none" w:sz="0" w:space="0" w:color="auto"/>
        <w:left w:val="none" w:sz="0" w:space="0" w:color="auto"/>
        <w:bottom w:val="none" w:sz="0" w:space="0" w:color="auto"/>
        <w:right w:val="none" w:sz="0" w:space="0" w:color="auto"/>
      </w:divBdr>
    </w:div>
    <w:div w:id="304628861">
      <w:bodyDiv w:val="1"/>
      <w:marLeft w:val="0"/>
      <w:marRight w:val="0"/>
      <w:marTop w:val="0"/>
      <w:marBottom w:val="0"/>
      <w:divBdr>
        <w:top w:val="none" w:sz="0" w:space="0" w:color="auto"/>
        <w:left w:val="none" w:sz="0" w:space="0" w:color="auto"/>
        <w:bottom w:val="none" w:sz="0" w:space="0" w:color="auto"/>
        <w:right w:val="none" w:sz="0" w:space="0" w:color="auto"/>
      </w:divBdr>
    </w:div>
    <w:div w:id="587471082">
      <w:bodyDiv w:val="1"/>
      <w:marLeft w:val="0"/>
      <w:marRight w:val="0"/>
      <w:marTop w:val="0"/>
      <w:marBottom w:val="0"/>
      <w:divBdr>
        <w:top w:val="none" w:sz="0" w:space="0" w:color="auto"/>
        <w:left w:val="none" w:sz="0" w:space="0" w:color="auto"/>
        <w:bottom w:val="none" w:sz="0" w:space="0" w:color="auto"/>
        <w:right w:val="none" w:sz="0" w:space="0" w:color="auto"/>
      </w:divBdr>
    </w:div>
    <w:div w:id="814180552">
      <w:bodyDiv w:val="1"/>
      <w:marLeft w:val="0"/>
      <w:marRight w:val="0"/>
      <w:marTop w:val="0"/>
      <w:marBottom w:val="0"/>
      <w:divBdr>
        <w:top w:val="none" w:sz="0" w:space="0" w:color="auto"/>
        <w:left w:val="none" w:sz="0" w:space="0" w:color="auto"/>
        <w:bottom w:val="none" w:sz="0" w:space="0" w:color="auto"/>
        <w:right w:val="none" w:sz="0" w:space="0" w:color="auto"/>
      </w:divBdr>
    </w:div>
    <w:div w:id="926035349">
      <w:bodyDiv w:val="1"/>
      <w:marLeft w:val="0"/>
      <w:marRight w:val="0"/>
      <w:marTop w:val="0"/>
      <w:marBottom w:val="0"/>
      <w:divBdr>
        <w:top w:val="none" w:sz="0" w:space="0" w:color="auto"/>
        <w:left w:val="none" w:sz="0" w:space="0" w:color="auto"/>
        <w:bottom w:val="none" w:sz="0" w:space="0" w:color="auto"/>
        <w:right w:val="none" w:sz="0" w:space="0" w:color="auto"/>
      </w:divBdr>
    </w:div>
    <w:div w:id="1191408526">
      <w:bodyDiv w:val="1"/>
      <w:marLeft w:val="0"/>
      <w:marRight w:val="0"/>
      <w:marTop w:val="0"/>
      <w:marBottom w:val="0"/>
      <w:divBdr>
        <w:top w:val="none" w:sz="0" w:space="0" w:color="auto"/>
        <w:left w:val="none" w:sz="0" w:space="0" w:color="auto"/>
        <w:bottom w:val="none" w:sz="0" w:space="0" w:color="auto"/>
        <w:right w:val="none" w:sz="0" w:space="0" w:color="auto"/>
      </w:divBdr>
    </w:div>
    <w:div w:id="1607233313">
      <w:bodyDiv w:val="1"/>
      <w:marLeft w:val="0"/>
      <w:marRight w:val="0"/>
      <w:marTop w:val="0"/>
      <w:marBottom w:val="0"/>
      <w:divBdr>
        <w:top w:val="none" w:sz="0" w:space="0" w:color="auto"/>
        <w:left w:val="none" w:sz="0" w:space="0" w:color="auto"/>
        <w:bottom w:val="none" w:sz="0" w:space="0" w:color="auto"/>
        <w:right w:val="none" w:sz="0" w:space="0" w:color="auto"/>
      </w:divBdr>
    </w:div>
    <w:div w:id="21027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spublica.org.a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0A4B6-2826-40DA-BB04-AFC331D0DFC7}"/>
</file>

<file path=customXml/itemProps2.xml><?xml version="1.0" encoding="utf-8"?>
<ds:datastoreItem xmlns:ds="http://schemas.openxmlformats.org/officeDocument/2006/customXml" ds:itemID="{A527E032-883A-46CB-9305-7D25CD3B694B}"/>
</file>

<file path=customXml/itemProps3.xml><?xml version="1.0" encoding="utf-8"?>
<ds:datastoreItem xmlns:ds="http://schemas.openxmlformats.org/officeDocument/2006/customXml" ds:itemID="{53569470-486F-4650-AAB2-E1AC0047D287}"/>
</file>

<file path=customXml/itemProps4.xml><?xml version="1.0" encoding="utf-8"?>
<ds:datastoreItem xmlns:ds="http://schemas.openxmlformats.org/officeDocument/2006/customXml" ds:itemID="{6922163E-6D0E-4021-A49B-1C588EFACC0B}"/>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ENDOWMENT FOR DEMOCRACY</vt:lpstr>
    </vt:vector>
  </TitlesOfParts>
  <Company>NED</Company>
  <LinksUpToDate>false</LinksUpToDate>
  <CharactersWithSpaces>6124</CharactersWithSpaces>
  <SharedDoc>false</SharedDoc>
  <HLinks>
    <vt:vector size="42" baseType="variant">
      <vt:variant>
        <vt:i4>5308500</vt:i4>
      </vt:variant>
      <vt:variant>
        <vt:i4>18</vt:i4>
      </vt:variant>
      <vt:variant>
        <vt:i4>0</vt:i4>
      </vt:variant>
      <vt:variant>
        <vt:i4>5</vt:i4>
      </vt:variant>
      <vt:variant>
        <vt:lpwstr>http://www.article19.org/data/files/pdfs/analysis/albania-foi.pdf</vt:lpwstr>
      </vt:variant>
      <vt:variant>
        <vt:lpwstr/>
      </vt:variant>
      <vt:variant>
        <vt:i4>7995507</vt:i4>
      </vt:variant>
      <vt:variant>
        <vt:i4>15</vt:i4>
      </vt:variant>
      <vt:variant>
        <vt:i4>0</vt:i4>
      </vt:variant>
      <vt:variant>
        <vt:i4>5</vt:i4>
      </vt:variant>
      <vt:variant>
        <vt:lpwstr>http://ec.europa.eu/enlargement/pdf/key_documents/2010/package/al_rapport_2010_en.pdf</vt:lpwstr>
      </vt:variant>
      <vt:variant>
        <vt:lpwstr/>
      </vt:variant>
      <vt:variant>
        <vt:i4>1704008</vt:i4>
      </vt:variant>
      <vt:variant>
        <vt:i4>12</vt:i4>
      </vt:variant>
      <vt:variant>
        <vt:i4>0</vt:i4>
      </vt:variant>
      <vt:variant>
        <vt:i4>5</vt:i4>
      </vt:variant>
      <vt:variant>
        <vt:lpwstr>http://www.osce.org/albania/82273</vt:lpwstr>
      </vt:variant>
      <vt:variant>
        <vt:lpwstr/>
      </vt:variant>
      <vt:variant>
        <vt:i4>7536763</vt:i4>
      </vt:variant>
      <vt:variant>
        <vt:i4>9</vt:i4>
      </vt:variant>
      <vt:variant>
        <vt:i4>0</vt:i4>
      </vt:variant>
      <vt:variant>
        <vt:i4>5</vt:i4>
      </vt:variant>
      <vt:variant>
        <vt:lpwstr>http://albania.usaid.gov/shfaqart/465/26/Corruption_in_Albania:_2010_Survey.htm</vt:lpwstr>
      </vt:variant>
      <vt:variant>
        <vt:lpwstr/>
      </vt:variant>
      <vt:variant>
        <vt:i4>72</vt:i4>
      </vt:variant>
      <vt:variant>
        <vt:i4>6</vt:i4>
      </vt:variant>
      <vt:variant>
        <vt:i4>0</vt:i4>
      </vt:variant>
      <vt:variant>
        <vt:i4>5</vt:i4>
      </vt:variant>
      <vt:variant>
        <vt:lpwstr>http://www.balkaninsight.com/en/article/eu-ministers-push-for-albania-reform</vt:lpwstr>
      </vt:variant>
      <vt:variant>
        <vt:lpwstr/>
      </vt:variant>
      <vt:variant>
        <vt:i4>6815851</vt:i4>
      </vt:variant>
      <vt:variant>
        <vt:i4>3</vt:i4>
      </vt:variant>
      <vt:variant>
        <vt:i4>0</vt:i4>
      </vt:variant>
      <vt:variant>
        <vt:i4>5</vt:i4>
      </vt:variant>
      <vt:variant>
        <vt:lpwstr>http://ec.europa.eu/enlargement/pdf/key_documents/2010/package/al_opinion_2010_en.pdf</vt:lpwstr>
      </vt:variant>
      <vt:variant>
        <vt:lpwstr/>
      </vt:variant>
      <vt:variant>
        <vt:i4>6750332</vt:i4>
      </vt:variant>
      <vt:variant>
        <vt:i4>0</vt:i4>
      </vt:variant>
      <vt:variant>
        <vt:i4>0</vt:i4>
      </vt:variant>
      <vt:variant>
        <vt:i4>5</vt:i4>
      </vt:variant>
      <vt:variant>
        <vt:lpwstr>http://wikileaks.org/cable/2008/10/08TIRANA775.html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ENDOWMENT FOR DEMOCRACY</dc:title>
  <dc:creator>julied</dc:creator>
  <cp:lastModifiedBy>Theo</cp:lastModifiedBy>
  <cp:revision>3</cp:revision>
  <cp:lastPrinted>2007-09-14T10:20:00Z</cp:lastPrinted>
  <dcterms:created xsi:type="dcterms:W3CDTF">2015-11-08T20:48:00Z</dcterms:created>
  <dcterms:modified xsi:type="dcterms:W3CDTF">2015-11-08T20:56:00Z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