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5E38A" w14:textId="77777777" w:rsidR="003821CD" w:rsidRDefault="003821CD" w:rsidP="00884F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SUGGESTED QUESTIONS SUBMISSION</w:t>
      </w:r>
      <w:r w:rsidR="00884FF9">
        <w:rPr>
          <w:rFonts w:ascii="Times New Roman" w:hAnsi="Times New Roman" w:cs="Times New Roman"/>
          <w:b/>
        </w:rPr>
        <w:t xml:space="preserve"> FOR UPCOMING REVIEW OF U.S. COMPLIANCE WITH THE ICCPR</w:t>
      </w:r>
    </w:p>
    <w:p w14:paraId="1EA6DDDB" w14:textId="77777777" w:rsidR="009F09C4" w:rsidRDefault="003821CD" w:rsidP="00884F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rPr>
      </w:pPr>
      <w:r w:rsidRPr="003821CD">
        <w:rPr>
          <w:rFonts w:ascii="Times New Roman" w:hAnsi="Times New Roman" w:cs="Times New Roman"/>
          <w:b/>
          <w:i/>
        </w:rPr>
        <w:t>The Musl</w:t>
      </w:r>
      <w:r>
        <w:rPr>
          <w:rFonts w:ascii="Times New Roman" w:hAnsi="Times New Roman" w:cs="Times New Roman"/>
          <w:b/>
          <w:i/>
        </w:rPr>
        <w:t xml:space="preserve">im Ban: Discriminatory Impacts </w:t>
      </w:r>
      <w:r w:rsidRPr="003821CD">
        <w:rPr>
          <w:rFonts w:ascii="Times New Roman" w:hAnsi="Times New Roman" w:cs="Times New Roman"/>
          <w:b/>
          <w:i/>
        </w:rPr>
        <w:t>and Lack of Accountability</w:t>
      </w:r>
    </w:p>
    <w:p w14:paraId="0299E14C" w14:textId="77777777" w:rsidR="003821CD" w:rsidRPr="003821CD" w:rsidRDefault="003821CD" w:rsidP="00884FF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Pr>
          <w:rFonts w:ascii="Times New Roman" w:hAnsi="Times New Roman" w:cs="Times New Roman"/>
          <w:b/>
        </w:rPr>
        <w:t>January 14, 2019</w:t>
      </w:r>
    </w:p>
    <w:p w14:paraId="6464BFB4" w14:textId="77777777" w:rsidR="009F09C4" w:rsidRPr="009F09C4" w:rsidRDefault="009F09C4" w:rsidP="00173336">
      <w:pPr>
        <w:rPr>
          <w:rFonts w:ascii="Times New Roman" w:hAnsi="Times New Roman" w:cs="Times New Roman"/>
        </w:rPr>
      </w:pPr>
    </w:p>
    <w:p w14:paraId="081B44D9" w14:textId="77777777" w:rsidR="009F09C4" w:rsidRPr="00AF3440" w:rsidRDefault="009F09C4" w:rsidP="00173336">
      <w:pPr>
        <w:pStyle w:val="ListParagraph"/>
        <w:numPr>
          <w:ilvl w:val="0"/>
          <w:numId w:val="1"/>
        </w:numPr>
        <w:tabs>
          <w:tab w:val="left" w:pos="2702"/>
        </w:tabs>
        <w:rPr>
          <w:rFonts w:ascii="Times New Roman" w:hAnsi="Times New Roman" w:cs="Times New Roman"/>
          <w:b/>
        </w:rPr>
      </w:pPr>
      <w:r w:rsidRPr="00AF3440">
        <w:rPr>
          <w:rFonts w:ascii="Times New Roman" w:hAnsi="Times New Roman" w:cs="Times New Roman"/>
          <w:b/>
        </w:rPr>
        <w:t>Reporting Organizations</w:t>
      </w:r>
    </w:p>
    <w:p w14:paraId="192CE4E4" w14:textId="77777777" w:rsidR="009F09C4" w:rsidRDefault="003821CD" w:rsidP="00173336">
      <w:pPr>
        <w:tabs>
          <w:tab w:val="left" w:pos="2702"/>
        </w:tabs>
        <w:rPr>
          <w:rFonts w:ascii="Times New Roman" w:hAnsi="Times New Roman" w:cs="Times New Roman"/>
        </w:rPr>
      </w:pPr>
      <w:r>
        <w:rPr>
          <w:rFonts w:ascii="Times New Roman" w:hAnsi="Times New Roman" w:cs="Times New Roman"/>
        </w:rPr>
        <w:tab/>
      </w:r>
    </w:p>
    <w:p w14:paraId="6A55D12C" w14:textId="77777777" w:rsidR="009F09C4" w:rsidRDefault="003821CD" w:rsidP="00173336">
      <w:pPr>
        <w:tabs>
          <w:tab w:val="left" w:pos="2702"/>
        </w:tabs>
        <w:rPr>
          <w:rFonts w:ascii="Times New Roman" w:hAnsi="Times New Roman" w:cs="Times New Roman"/>
        </w:rPr>
      </w:pPr>
      <w:r>
        <w:rPr>
          <w:rFonts w:ascii="Times New Roman" w:hAnsi="Times New Roman" w:cs="Times New Roman"/>
        </w:rPr>
        <w:t>The below submission</w:t>
      </w:r>
      <w:r w:rsidR="009F09C4">
        <w:rPr>
          <w:rFonts w:ascii="Times New Roman" w:hAnsi="Times New Roman" w:cs="Times New Roman"/>
        </w:rPr>
        <w:t xml:space="preserve"> </w:t>
      </w:r>
      <w:r w:rsidR="00FB4157">
        <w:rPr>
          <w:rFonts w:ascii="Times New Roman" w:hAnsi="Times New Roman" w:cs="Times New Roman"/>
        </w:rPr>
        <w:t>is presented</w:t>
      </w:r>
      <w:r w:rsidR="009F09C4">
        <w:rPr>
          <w:rFonts w:ascii="Times New Roman" w:hAnsi="Times New Roman" w:cs="Times New Roman"/>
        </w:rPr>
        <w:t xml:space="preserve"> by </w:t>
      </w:r>
      <w:r w:rsidR="00AF3440">
        <w:rPr>
          <w:rFonts w:ascii="Times New Roman" w:hAnsi="Times New Roman" w:cs="Times New Roman"/>
        </w:rPr>
        <w:t>five</w:t>
      </w:r>
      <w:r w:rsidR="009F09C4">
        <w:rPr>
          <w:rFonts w:ascii="Times New Roman" w:hAnsi="Times New Roman" w:cs="Times New Roman"/>
        </w:rPr>
        <w:t xml:space="preserve"> organizations</w:t>
      </w:r>
      <w:r>
        <w:rPr>
          <w:rFonts w:ascii="Times New Roman" w:hAnsi="Times New Roman" w:cs="Times New Roman"/>
        </w:rPr>
        <w:t xml:space="preserve"> across the United States (“U.S.”)</w:t>
      </w:r>
      <w:r w:rsidR="009F09C4">
        <w:rPr>
          <w:rFonts w:ascii="Times New Roman" w:hAnsi="Times New Roman" w:cs="Times New Roman"/>
        </w:rPr>
        <w:t>: Asian Americans Advancing Justice- Asian Law Caucus,</w:t>
      </w:r>
      <w:r w:rsidR="009F09C4">
        <w:rPr>
          <w:rStyle w:val="FootnoteReference"/>
          <w:rFonts w:ascii="Times New Roman" w:hAnsi="Times New Roman" w:cs="Times New Roman"/>
        </w:rPr>
        <w:footnoteReference w:id="1"/>
      </w:r>
      <w:r w:rsidR="009F09C4">
        <w:rPr>
          <w:rFonts w:ascii="Times New Roman" w:hAnsi="Times New Roman" w:cs="Times New Roman"/>
        </w:rPr>
        <w:t xml:space="preserve"> Center for Constitutional Rights,</w:t>
      </w:r>
      <w:r w:rsidR="009F09C4">
        <w:rPr>
          <w:rStyle w:val="FootnoteReference"/>
          <w:rFonts w:ascii="Times New Roman" w:hAnsi="Times New Roman" w:cs="Times New Roman"/>
        </w:rPr>
        <w:footnoteReference w:id="2"/>
      </w:r>
      <w:r w:rsidR="009F09C4">
        <w:rPr>
          <w:rFonts w:ascii="Times New Roman" w:hAnsi="Times New Roman" w:cs="Times New Roman"/>
        </w:rPr>
        <w:t xml:space="preserve"> Council on American-Islamic Rela</w:t>
      </w:r>
      <w:bookmarkStart w:id="0" w:name="_GoBack"/>
      <w:bookmarkEnd w:id="0"/>
      <w:r w:rsidR="009F09C4">
        <w:rPr>
          <w:rFonts w:ascii="Times New Roman" w:hAnsi="Times New Roman" w:cs="Times New Roman"/>
        </w:rPr>
        <w:t>tions-San Francisco Bay Area,</w:t>
      </w:r>
      <w:r w:rsidR="009F09C4">
        <w:rPr>
          <w:rStyle w:val="FootnoteReference"/>
          <w:rFonts w:ascii="Times New Roman" w:hAnsi="Times New Roman" w:cs="Times New Roman"/>
        </w:rPr>
        <w:footnoteReference w:id="3"/>
      </w:r>
      <w:r w:rsidR="009F09C4">
        <w:rPr>
          <w:rFonts w:ascii="Times New Roman" w:hAnsi="Times New Roman" w:cs="Times New Roman"/>
        </w:rPr>
        <w:t xml:space="preserve"> Iranian American Bar Association,</w:t>
      </w:r>
      <w:r w:rsidR="009F09C4">
        <w:rPr>
          <w:rStyle w:val="FootnoteReference"/>
          <w:rFonts w:ascii="Times New Roman" w:hAnsi="Times New Roman" w:cs="Times New Roman"/>
        </w:rPr>
        <w:footnoteReference w:id="4"/>
      </w:r>
      <w:r w:rsidR="009F09C4">
        <w:rPr>
          <w:rFonts w:ascii="Times New Roman" w:hAnsi="Times New Roman" w:cs="Times New Roman"/>
        </w:rPr>
        <w:t xml:space="preserve"> and the National Immigration Law Center.</w:t>
      </w:r>
      <w:r w:rsidR="00AF3440">
        <w:rPr>
          <w:rStyle w:val="FootnoteReference"/>
          <w:rFonts w:ascii="Times New Roman" w:hAnsi="Times New Roman" w:cs="Times New Roman"/>
        </w:rPr>
        <w:footnoteReference w:id="5"/>
      </w:r>
      <w:r w:rsidR="009F09C4">
        <w:rPr>
          <w:rFonts w:ascii="Times New Roman" w:hAnsi="Times New Roman" w:cs="Times New Roman"/>
        </w:rPr>
        <w:t xml:space="preserve"> </w:t>
      </w:r>
    </w:p>
    <w:p w14:paraId="794676B9" w14:textId="77777777" w:rsidR="009F09C4" w:rsidRPr="009F09C4" w:rsidRDefault="009F09C4" w:rsidP="00173336">
      <w:pPr>
        <w:tabs>
          <w:tab w:val="left" w:pos="2702"/>
        </w:tabs>
        <w:rPr>
          <w:rFonts w:ascii="Times New Roman" w:hAnsi="Times New Roman" w:cs="Times New Roman"/>
        </w:rPr>
      </w:pPr>
    </w:p>
    <w:p w14:paraId="1F458D12" w14:textId="77777777" w:rsidR="009F09C4" w:rsidRDefault="009F09C4" w:rsidP="00173336">
      <w:pPr>
        <w:pStyle w:val="ListParagraph"/>
        <w:numPr>
          <w:ilvl w:val="0"/>
          <w:numId w:val="1"/>
        </w:numPr>
        <w:tabs>
          <w:tab w:val="left" w:pos="2702"/>
        </w:tabs>
        <w:rPr>
          <w:rFonts w:ascii="Times New Roman" w:hAnsi="Times New Roman" w:cs="Times New Roman"/>
          <w:b/>
        </w:rPr>
      </w:pPr>
      <w:r w:rsidRPr="00BC3DED">
        <w:rPr>
          <w:rFonts w:ascii="Times New Roman" w:hAnsi="Times New Roman" w:cs="Times New Roman"/>
          <w:b/>
        </w:rPr>
        <w:t>Issue Summary</w:t>
      </w:r>
    </w:p>
    <w:p w14:paraId="4A41BABD" w14:textId="77777777" w:rsidR="00207B64" w:rsidRDefault="00207B64" w:rsidP="00173336">
      <w:pPr>
        <w:tabs>
          <w:tab w:val="left" w:pos="2702"/>
        </w:tabs>
        <w:rPr>
          <w:rFonts w:ascii="Times New Roman" w:hAnsi="Times New Roman" w:cs="Times New Roman"/>
          <w:b/>
        </w:rPr>
      </w:pPr>
    </w:p>
    <w:p w14:paraId="56A5BE46" w14:textId="77777777" w:rsidR="00992F02" w:rsidRDefault="00884FF9" w:rsidP="00173336">
      <w:pPr>
        <w:tabs>
          <w:tab w:val="left" w:pos="2702"/>
        </w:tabs>
        <w:rPr>
          <w:rFonts w:ascii="Times New Roman" w:eastAsia="Times New Roman" w:hAnsi="Times New Roman" w:cs="Times New Roman"/>
          <w:color w:val="000000"/>
        </w:rPr>
      </w:pPr>
      <w:r>
        <w:rPr>
          <w:rFonts w:ascii="Times New Roman" w:eastAsia="Times New Roman" w:hAnsi="Times New Roman" w:cs="Times New Roman"/>
          <w:color w:val="000000"/>
        </w:rPr>
        <w:t>The U.S. and the international community is grappling with the discriminatory and devastating impacts of Presidential Proclamation 9645 (also described as “Muslim Ban 3.0” or “Travel Ban 3.0” or the “Proclamation</w:t>
      </w:r>
      <w:r w:rsidR="00DB38AA">
        <w:rPr>
          <w:rFonts w:ascii="Times New Roman" w:eastAsia="Times New Roman" w:hAnsi="Times New Roman" w:cs="Times New Roman"/>
          <w:color w:val="000000"/>
        </w:rPr>
        <w:t>”</w:t>
      </w:r>
      <w:r>
        <w:rPr>
          <w:rFonts w:ascii="Times New Roman" w:eastAsia="Times New Roman" w:hAnsi="Times New Roman" w:cs="Times New Roman"/>
          <w:color w:val="000000"/>
        </w:rPr>
        <w:t>), which was the third attempt to deliver on then-candidate Trump’s call for a “total and complete shutdown of Muslims entering the United States until our country’s representatives can figure out what is going on.”</w:t>
      </w:r>
      <w:r>
        <w:rPr>
          <w:rFonts w:ascii="Times New Roman" w:eastAsia="Times New Roman" w:hAnsi="Times New Roman" w:cs="Times New Roman"/>
          <w:color w:val="000000"/>
          <w:vertAlign w:val="superscript"/>
        </w:rPr>
        <w:footnoteReference w:id="6"/>
      </w:r>
      <w:r>
        <w:rPr>
          <w:rFonts w:ascii="Times New Roman" w:eastAsia="Times New Roman" w:hAnsi="Times New Roman" w:cs="Times New Roman"/>
          <w:color w:val="000000"/>
        </w:rPr>
        <w:t xml:space="preserve">  As </w:t>
      </w:r>
      <w:r w:rsidR="00992F02">
        <w:rPr>
          <w:rFonts w:ascii="Times New Roman" w:eastAsia="Times New Roman" w:hAnsi="Times New Roman" w:cs="Times New Roman"/>
          <w:color w:val="000000"/>
        </w:rPr>
        <w:t xml:space="preserve">described in detail below in Section V, Muslim Ban 3.0 </w:t>
      </w:r>
      <w:r w:rsidR="00992F02">
        <w:rPr>
          <w:rFonts w:ascii="Times New Roman" w:eastAsia="Times New Roman" w:hAnsi="Times New Roman" w:cs="Times New Roman"/>
          <w:color w:val="000000"/>
          <w:u w:val="single"/>
        </w:rPr>
        <w:t>indefinitely</w:t>
      </w:r>
      <w:r w:rsidR="00992F02">
        <w:rPr>
          <w:rFonts w:ascii="Times New Roman" w:eastAsia="Times New Roman" w:hAnsi="Times New Roman" w:cs="Times New Roman"/>
          <w:color w:val="000000"/>
        </w:rPr>
        <w:t xml:space="preserve"> suspends the issuance of the </w:t>
      </w:r>
      <w:r w:rsidR="00FB4157">
        <w:rPr>
          <w:rFonts w:ascii="Times New Roman" w:eastAsia="Times New Roman" w:hAnsi="Times New Roman" w:cs="Times New Roman"/>
          <w:color w:val="000000"/>
        </w:rPr>
        <w:t xml:space="preserve">vast </w:t>
      </w:r>
      <w:r w:rsidR="00992F02">
        <w:rPr>
          <w:rFonts w:ascii="Times New Roman" w:eastAsia="Times New Roman" w:hAnsi="Times New Roman" w:cs="Times New Roman"/>
          <w:color w:val="000000"/>
        </w:rPr>
        <w:t xml:space="preserve">majority of immigrant and non-immigrant visas to all nationals from five Muslim-majority countries. </w:t>
      </w:r>
    </w:p>
    <w:p w14:paraId="2F816690" w14:textId="77777777" w:rsidR="00992F02" w:rsidRDefault="00992F02" w:rsidP="00173336">
      <w:pPr>
        <w:tabs>
          <w:tab w:val="left" w:pos="2702"/>
        </w:tabs>
        <w:rPr>
          <w:rFonts w:ascii="Times New Roman" w:eastAsia="Times New Roman" w:hAnsi="Times New Roman" w:cs="Times New Roman"/>
          <w:color w:val="000000"/>
        </w:rPr>
      </w:pPr>
    </w:p>
    <w:p w14:paraId="124861B4" w14:textId="77777777" w:rsidR="00884FF9" w:rsidRPr="00992F02" w:rsidRDefault="00A939C6" w:rsidP="00173336">
      <w:pPr>
        <w:tabs>
          <w:tab w:val="left" w:pos="2702"/>
        </w:tabs>
        <w:rPr>
          <w:rFonts w:ascii="Times New Roman" w:eastAsia="Times New Roman" w:hAnsi="Times New Roman" w:cs="Times New Roman"/>
          <w:color w:val="000000"/>
        </w:rPr>
      </w:pPr>
      <w:r>
        <w:rPr>
          <w:rFonts w:ascii="Times New Roman" w:eastAsia="Times New Roman" w:hAnsi="Times New Roman" w:cs="Times New Roman"/>
          <w:color w:val="000000"/>
        </w:rPr>
        <w:t>The impacts of Muslim Ban 3.0 go</w:t>
      </w:r>
      <w:r w:rsidR="00992F02">
        <w:rPr>
          <w:rFonts w:ascii="Times New Roman" w:eastAsia="Times New Roman" w:hAnsi="Times New Roman" w:cs="Times New Roman"/>
          <w:color w:val="000000"/>
        </w:rPr>
        <w:t xml:space="preserve"> far beyond travel restrictions</w:t>
      </w:r>
      <w:r w:rsidR="00DB38AA">
        <w:rPr>
          <w:rFonts w:ascii="Times New Roman" w:eastAsia="Times New Roman" w:hAnsi="Times New Roman" w:cs="Times New Roman"/>
          <w:color w:val="000000"/>
        </w:rPr>
        <w:t xml:space="preserve">.  Solely based on religion </w:t>
      </w:r>
      <w:r w:rsidR="00992F02">
        <w:rPr>
          <w:rFonts w:ascii="Times New Roman" w:eastAsia="Times New Roman" w:hAnsi="Times New Roman" w:cs="Times New Roman"/>
          <w:color w:val="000000"/>
        </w:rPr>
        <w:t xml:space="preserve">or national origin, </w:t>
      </w:r>
      <w:r>
        <w:rPr>
          <w:rFonts w:ascii="Times New Roman" w:eastAsia="Times New Roman" w:hAnsi="Times New Roman" w:cs="Times New Roman"/>
          <w:color w:val="000000"/>
        </w:rPr>
        <w:t>Muslim Ban 3.0</w:t>
      </w:r>
      <w:r w:rsidR="00992F02">
        <w:rPr>
          <w:rFonts w:ascii="Times New Roman" w:eastAsia="Times New Roman" w:hAnsi="Times New Roman" w:cs="Times New Roman"/>
          <w:color w:val="000000"/>
        </w:rPr>
        <w:t xml:space="preserve"> has i</w:t>
      </w:r>
      <w:r w:rsidR="00972A43">
        <w:rPr>
          <w:rFonts w:ascii="Times New Roman" w:eastAsia="Times New Roman" w:hAnsi="Times New Roman" w:cs="Times New Roman"/>
          <w:color w:val="000000"/>
        </w:rPr>
        <w:t xml:space="preserve">ndefinitely separated families, </w:t>
      </w:r>
      <w:r w:rsidR="00992F02">
        <w:rPr>
          <w:rFonts w:ascii="Times New Roman" w:eastAsia="Times New Roman" w:hAnsi="Times New Roman" w:cs="Times New Roman"/>
          <w:color w:val="000000"/>
        </w:rPr>
        <w:t xml:space="preserve">disrupted educational and academic pursuits, kept individuals from life-saving medical treatment, </w:t>
      </w:r>
      <w:r w:rsidR="00992F02">
        <w:rPr>
          <w:rFonts w:ascii="Times New Roman" w:eastAsia="Times New Roman" w:hAnsi="Times New Roman" w:cs="Times New Roman"/>
          <w:color w:val="000000"/>
        </w:rPr>
        <w:lastRenderedPageBreak/>
        <w:t>h</w:t>
      </w:r>
      <w:r w:rsidR="00FB4157">
        <w:rPr>
          <w:rFonts w:ascii="Times New Roman" w:eastAsia="Times New Roman" w:hAnsi="Times New Roman" w:cs="Times New Roman"/>
          <w:color w:val="000000"/>
        </w:rPr>
        <w:t>armed the U.S. and world economies</w:t>
      </w:r>
      <w:r w:rsidR="00992F02">
        <w:rPr>
          <w:rFonts w:ascii="Times New Roman" w:eastAsia="Times New Roman" w:hAnsi="Times New Roman" w:cs="Times New Roman"/>
          <w:color w:val="000000"/>
        </w:rPr>
        <w:t xml:space="preserve">, stigmatized migrants, and stoked the flames of hate. </w:t>
      </w:r>
    </w:p>
    <w:p w14:paraId="7DD9037D" w14:textId="77777777" w:rsidR="00884FF9" w:rsidRDefault="00884FF9" w:rsidP="00173336">
      <w:pPr>
        <w:tabs>
          <w:tab w:val="left" w:pos="2702"/>
        </w:tabs>
        <w:rPr>
          <w:rFonts w:ascii="Times New Roman" w:hAnsi="Times New Roman" w:cs="Times New Roman"/>
        </w:rPr>
      </w:pPr>
    </w:p>
    <w:p w14:paraId="0967CF18" w14:textId="77777777" w:rsidR="00DB38AA" w:rsidRDefault="00DB38AA" w:rsidP="00DB38AA">
      <w:pPr>
        <w:tabs>
          <w:tab w:val="left" w:pos="2702"/>
        </w:tabs>
        <w:rPr>
          <w:rFonts w:ascii="Times New Roman" w:hAnsi="Times New Roman" w:cs="Times New Roman"/>
        </w:rPr>
      </w:pPr>
      <w:r>
        <w:rPr>
          <w:rFonts w:ascii="Times New Roman" w:hAnsi="Times New Roman" w:cs="Times New Roman"/>
        </w:rPr>
        <w:t>Muslim Ban 3.0 is in clear violation of the U.S.’s international human rights obligations because of the undeniable discrimination based on race, religion and national origin, as well as the devastating impacts of family separation.</w:t>
      </w:r>
    </w:p>
    <w:p w14:paraId="6E8088C8" w14:textId="77777777" w:rsidR="00AF3440" w:rsidRPr="00992F02" w:rsidRDefault="00AF3440" w:rsidP="00992F02">
      <w:pPr>
        <w:tabs>
          <w:tab w:val="left" w:pos="2702"/>
        </w:tabs>
        <w:rPr>
          <w:rFonts w:ascii="Times New Roman" w:hAnsi="Times New Roman" w:cs="Times New Roman"/>
        </w:rPr>
      </w:pPr>
    </w:p>
    <w:p w14:paraId="540C6248" w14:textId="77777777" w:rsidR="009F09C4" w:rsidRPr="00AF3440" w:rsidRDefault="009F09C4" w:rsidP="00173336">
      <w:pPr>
        <w:pStyle w:val="ListParagraph"/>
        <w:numPr>
          <w:ilvl w:val="0"/>
          <w:numId w:val="1"/>
        </w:numPr>
        <w:tabs>
          <w:tab w:val="left" w:pos="2702"/>
        </w:tabs>
        <w:rPr>
          <w:rFonts w:ascii="Times New Roman" w:hAnsi="Times New Roman" w:cs="Times New Roman"/>
          <w:b/>
        </w:rPr>
      </w:pPr>
      <w:r w:rsidRPr="00AF3440">
        <w:rPr>
          <w:rFonts w:ascii="Times New Roman" w:hAnsi="Times New Roman" w:cs="Times New Roman"/>
          <w:b/>
        </w:rPr>
        <w:t>Prior Concluding Observations</w:t>
      </w:r>
    </w:p>
    <w:p w14:paraId="7A234748" w14:textId="77777777" w:rsidR="00AF3440" w:rsidRPr="00AF3440" w:rsidRDefault="00AF3440" w:rsidP="00173336">
      <w:pPr>
        <w:tabs>
          <w:tab w:val="left" w:pos="2702"/>
        </w:tabs>
        <w:rPr>
          <w:rFonts w:ascii="Times New Roman" w:hAnsi="Times New Roman" w:cs="Times New Roman"/>
        </w:rPr>
      </w:pPr>
    </w:p>
    <w:p w14:paraId="3672A146" w14:textId="77777777" w:rsidR="00AF3440" w:rsidRPr="00AF3440" w:rsidRDefault="007D4AAB" w:rsidP="00173336">
      <w:pPr>
        <w:tabs>
          <w:tab w:val="left" w:pos="2702"/>
        </w:tabs>
        <w:rPr>
          <w:rFonts w:ascii="Times New Roman" w:hAnsi="Times New Roman" w:cs="Times New Roman"/>
        </w:rPr>
      </w:pPr>
      <w:r>
        <w:rPr>
          <w:rFonts w:ascii="Times New Roman" w:hAnsi="Times New Roman" w:cs="Times New Roman"/>
        </w:rPr>
        <w:t xml:space="preserve">In light of the fact that Muslim Ban </w:t>
      </w:r>
      <w:r w:rsidR="00884FF9">
        <w:rPr>
          <w:rFonts w:ascii="Times New Roman" w:hAnsi="Times New Roman" w:cs="Times New Roman"/>
        </w:rPr>
        <w:t xml:space="preserve">3.0 </w:t>
      </w:r>
      <w:r>
        <w:rPr>
          <w:rFonts w:ascii="Times New Roman" w:hAnsi="Times New Roman" w:cs="Times New Roman"/>
        </w:rPr>
        <w:t>wa</w:t>
      </w:r>
      <w:r w:rsidR="001C6F10">
        <w:rPr>
          <w:rFonts w:ascii="Times New Roman" w:hAnsi="Times New Roman" w:cs="Times New Roman"/>
        </w:rPr>
        <w:t>s not proposed or in effect during the last periodic review of U.S. compliance with its obligations under the I</w:t>
      </w:r>
      <w:r w:rsidR="00FB4157">
        <w:rPr>
          <w:rFonts w:ascii="Times New Roman" w:hAnsi="Times New Roman" w:cs="Times New Roman"/>
        </w:rPr>
        <w:t xml:space="preserve">nternational </w:t>
      </w:r>
      <w:r w:rsidR="001C6F10">
        <w:rPr>
          <w:rFonts w:ascii="Times New Roman" w:hAnsi="Times New Roman" w:cs="Times New Roman"/>
        </w:rPr>
        <w:t>C</w:t>
      </w:r>
      <w:r w:rsidR="00FB4157">
        <w:rPr>
          <w:rFonts w:ascii="Times New Roman" w:hAnsi="Times New Roman" w:cs="Times New Roman"/>
        </w:rPr>
        <w:t xml:space="preserve">ovenant on Civil and </w:t>
      </w:r>
      <w:r w:rsidR="001C6F10">
        <w:rPr>
          <w:rFonts w:ascii="Times New Roman" w:hAnsi="Times New Roman" w:cs="Times New Roman"/>
        </w:rPr>
        <w:t>P</w:t>
      </w:r>
      <w:r w:rsidR="00FB4157">
        <w:rPr>
          <w:rFonts w:ascii="Times New Roman" w:hAnsi="Times New Roman" w:cs="Times New Roman"/>
        </w:rPr>
        <w:t xml:space="preserve">olitical </w:t>
      </w:r>
      <w:r w:rsidR="001C6F10">
        <w:rPr>
          <w:rFonts w:ascii="Times New Roman" w:hAnsi="Times New Roman" w:cs="Times New Roman"/>
        </w:rPr>
        <w:t>R</w:t>
      </w:r>
      <w:r w:rsidR="00FB4157">
        <w:rPr>
          <w:rFonts w:ascii="Times New Roman" w:hAnsi="Times New Roman" w:cs="Times New Roman"/>
        </w:rPr>
        <w:t>ights (“ICCPR”)</w:t>
      </w:r>
      <w:r>
        <w:rPr>
          <w:rFonts w:ascii="Times New Roman" w:hAnsi="Times New Roman" w:cs="Times New Roman"/>
        </w:rPr>
        <w:t xml:space="preserve">, </w:t>
      </w:r>
      <w:r w:rsidR="001C6F10">
        <w:rPr>
          <w:rFonts w:ascii="Times New Roman" w:hAnsi="Times New Roman" w:cs="Times New Roman"/>
        </w:rPr>
        <w:t xml:space="preserve">this issue has not been addressed </w:t>
      </w:r>
      <w:r>
        <w:rPr>
          <w:rFonts w:ascii="Times New Roman" w:hAnsi="Times New Roman" w:cs="Times New Roman"/>
        </w:rPr>
        <w:t>in any prior reports, nor have there been any prior recommendations by the Committee</w:t>
      </w:r>
      <w:r w:rsidR="001C6F10">
        <w:rPr>
          <w:rFonts w:ascii="Times New Roman" w:hAnsi="Times New Roman" w:cs="Times New Roman"/>
        </w:rPr>
        <w:t xml:space="preserve"> on this issue</w:t>
      </w:r>
      <w:r w:rsidR="00884FF9">
        <w:rPr>
          <w:rFonts w:ascii="Times New Roman" w:hAnsi="Times New Roman" w:cs="Times New Roman"/>
        </w:rPr>
        <w:t xml:space="preserve"> specifically</w:t>
      </w:r>
      <w:r>
        <w:rPr>
          <w:rFonts w:ascii="Times New Roman" w:hAnsi="Times New Roman" w:cs="Times New Roman"/>
        </w:rPr>
        <w:t xml:space="preserve">.  However, </w:t>
      </w:r>
      <w:r w:rsidR="0091235C">
        <w:rPr>
          <w:rFonts w:ascii="Times New Roman" w:hAnsi="Times New Roman" w:cs="Times New Roman"/>
        </w:rPr>
        <w:t xml:space="preserve">several of the </w:t>
      </w:r>
      <w:r>
        <w:rPr>
          <w:rFonts w:ascii="Times New Roman" w:hAnsi="Times New Roman" w:cs="Times New Roman"/>
        </w:rPr>
        <w:t xml:space="preserve">Committee’s </w:t>
      </w:r>
      <w:r w:rsidR="0091235C">
        <w:rPr>
          <w:rFonts w:ascii="Times New Roman" w:hAnsi="Times New Roman" w:cs="Times New Roman"/>
        </w:rPr>
        <w:t>general comments</w:t>
      </w:r>
      <w:r>
        <w:rPr>
          <w:rFonts w:ascii="Times New Roman" w:hAnsi="Times New Roman" w:cs="Times New Roman"/>
        </w:rPr>
        <w:t xml:space="preserve"> </w:t>
      </w:r>
      <w:r w:rsidR="0091235C">
        <w:rPr>
          <w:rFonts w:ascii="Times New Roman" w:hAnsi="Times New Roman" w:cs="Times New Roman"/>
        </w:rPr>
        <w:t>(discussed</w:t>
      </w:r>
      <w:r>
        <w:rPr>
          <w:rFonts w:ascii="Times New Roman" w:hAnsi="Times New Roman" w:cs="Times New Roman"/>
        </w:rPr>
        <w:t xml:space="preserve"> </w:t>
      </w:r>
      <w:r w:rsidR="00884FF9">
        <w:rPr>
          <w:rFonts w:ascii="Times New Roman" w:hAnsi="Times New Roman" w:cs="Times New Roman"/>
        </w:rPr>
        <w:t xml:space="preserve">in </w:t>
      </w:r>
      <w:r w:rsidR="0091235C">
        <w:rPr>
          <w:rFonts w:ascii="Times New Roman" w:hAnsi="Times New Roman" w:cs="Times New Roman"/>
        </w:rPr>
        <w:t xml:space="preserve">Section VI) discuss at </w:t>
      </w:r>
      <w:r>
        <w:rPr>
          <w:rFonts w:ascii="Times New Roman" w:hAnsi="Times New Roman" w:cs="Times New Roman"/>
        </w:rPr>
        <w:t xml:space="preserve">length the importance of the rights implicated by this issue. </w:t>
      </w:r>
    </w:p>
    <w:p w14:paraId="66A1C7AE" w14:textId="77777777" w:rsidR="00AF3440" w:rsidRPr="00AF3440" w:rsidRDefault="00AF3440" w:rsidP="00173336">
      <w:pPr>
        <w:tabs>
          <w:tab w:val="left" w:pos="2702"/>
        </w:tabs>
        <w:rPr>
          <w:rFonts w:ascii="Times New Roman" w:hAnsi="Times New Roman" w:cs="Times New Roman"/>
        </w:rPr>
      </w:pPr>
    </w:p>
    <w:p w14:paraId="67764277" w14:textId="77777777" w:rsidR="009F09C4" w:rsidRPr="00AF3440" w:rsidRDefault="009F09C4" w:rsidP="00173336">
      <w:pPr>
        <w:pStyle w:val="ListParagraph"/>
        <w:numPr>
          <w:ilvl w:val="0"/>
          <w:numId w:val="1"/>
        </w:numPr>
        <w:tabs>
          <w:tab w:val="left" w:pos="2702"/>
        </w:tabs>
        <w:rPr>
          <w:rFonts w:ascii="Times New Roman" w:hAnsi="Times New Roman" w:cs="Times New Roman"/>
          <w:b/>
        </w:rPr>
      </w:pPr>
      <w:r w:rsidRPr="00AF3440">
        <w:rPr>
          <w:rFonts w:ascii="Times New Roman" w:hAnsi="Times New Roman" w:cs="Times New Roman"/>
          <w:b/>
        </w:rPr>
        <w:t xml:space="preserve">Legal Framework </w:t>
      </w:r>
    </w:p>
    <w:p w14:paraId="3EE0AA6B" w14:textId="77777777" w:rsidR="00AF3440" w:rsidRPr="00AF3440" w:rsidRDefault="00AF3440" w:rsidP="00173336">
      <w:pPr>
        <w:tabs>
          <w:tab w:val="left" w:pos="2702"/>
        </w:tabs>
        <w:rPr>
          <w:rFonts w:ascii="Times New Roman" w:hAnsi="Times New Roman" w:cs="Times New Roman"/>
        </w:rPr>
      </w:pPr>
    </w:p>
    <w:p w14:paraId="4BF6A6E2" w14:textId="77777777" w:rsidR="00AF3440" w:rsidRDefault="00AF3440" w:rsidP="00173336">
      <w:pPr>
        <w:tabs>
          <w:tab w:val="left" w:pos="2702"/>
        </w:tabs>
        <w:rPr>
          <w:rFonts w:ascii="Times New Roman" w:hAnsi="Times New Roman" w:cs="Times New Roman"/>
        </w:rPr>
      </w:pPr>
      <w:r>
        <w:rPr>
          <w:rFonts w:ascii="Times New Roman" w:hAnsi="Times New Roman" w:cs="Times New Roman"/>
        </w:rPr>
        <w:t>Sever</w:t>
      </w:r>
      <w:r w:rsidR="001C6F10">
        <w:rPr>
          <w:rFonts w:ascii="Times New Roman" w:hAnsi="Times New Roman" w:cs="Times New Roman"/>
        </w:rPr>
        <w:t xml:space="preserve">al Articles </w:t>
      </w:r>
      <w:r w:rsidR="00FB4157">
        <w:rPr>
          <w:rFonts w:ascii="Times New Roman" w:hAnsi="Times New Roman" w:cs="Times New Roman"/>
        </w:rPr>
        <w:t>enshrined in the</w:t>
      </w:r>
      <w:r w:rsidR="001C6F10">
        <w:rPr>
          <w:rFonts w:ascii="Times New Roman" w:hAnsi="Times New Roman" w:cs="Times New Roman"/>
        </w:rPr>
        <w:t xml:space="preserve"> ICCPR relate</w:t>
      </w:r>
      <w:r>
        <w:rPr>
          <w:rFonts w:ascii="Times New Roman" w:hAnsi="Times New Roman" w:cs="Times New Roman"/>
        </w:rPr>
        <w:t xml:space="preserve"> directly to this issue: </w:t>
      </w:r>
    </w:p>
    <w:p w14:paraId="506D080A" w14:textId="77777777" w:rsidR="00AF3440" w:rsidRDefault="00AF3440" w:rsidP="00173336">
      <w:pPr>
        <w:tabs>
          <w:tab w:val="left" w:pos="2702"/>
        </w:tabs>
        <w:rPr>
          <w:rFonts w:ascii="Times New Roman" w:hAnsi="Times New Roman" w:cs="Times New Roman"/>
        </w:rPr>
      </w:pPr>
    </w:p>
    <w:p w14:paraId="01DA3C9B" w14:textId="77777777" w:rsidR="00206389" w:rsidRDefault="00206389" w:rsidP="00173336">
      <w:pPr>
        <w:tabs>
          <w:tab w:val="left" w:pos="2702"/>
        </w:tabs>
        <w:rPr>
          <w:rFonts w:ascii="Times New Roman" w:hAnsi="Times New Roman" w:cs="Times New Roman"/>
        </w:rPr>
      </w:pPr>
      <w:r>
        <w:rPr>
          <w:rFonts w:ascii="Times New Roman" w:hAnsi="Times New Roman" w:cs="Times New Roman"/>
          <w:u w:val="single"/>
        </w:rPr>
        <w:t>Article 2(1)</w:t>
      </w:r>
      <w:r>
        <w:rPr>
          <w:rFonts w:ascii="Times New Roman" w:hAnsi="Times New Roman" w:cs="Times New Roman"/>
        </w:rPr>
        <w:t>: e</w:t>
      </w:r>
      <w:r w:rsidRPr="00206389">
        <w:rPr>
          <w:rFonts w:ascii="Times New Roman" w:hAnsi="Times New Roman" w:cs="Times New Roman"/>
        </w:rPr>
        <w:t>ach State Party to the present Covenant undertakes to respect and to ensure to all individuals within its territory and subject to its jurisdiction the rights recognized in the present Covenant, without distinction of any kind, such as race, colour, sex, language,</w:t>
      </w:r>
      <w:r w:rsidR="00B57511">
        <w:rPr>
          <w:rFonts w:ascii="Times New Roman" w:hAnsi="Times New Roman" w:cs="Times New Roman"/>
        </w:rPr>
        <w:t xml:space="preserve"> </w:t>
      </w:r>
      <w:r w:rsidRPr="00206389">
        <w:rPr>
          <w:rFonts w:ascii="Times New Roman" w:hAnsi="Times New Roman" w:cs="Times New Roman"/>
        </w:rPr>
        <w:t>religion, political or other opinion, national or social origin, property, birth or other status</w:t>
      </w:r>
      <w:r>
        <w:rPr>
          <w:rFonts w:ascii="Times New Roman" w:hAnsi="Times New Roman" w:cs="Times New Roman"/>
        </w:rPr>
        <w:t xml:space="preserve">. </w:t>
      </w:r>
    </w:p>
    <w:p w14:paraId="2C53B909" w14:textId="77777777" w:rsidR="00206389" w:rsidRPr="00206389" w:rsidRDefault="00206389" w:rsidP="00173336">
      <w:pPr>
        <w:tabs>
          <w:tab w:val="left" w:pos="2702"/>
        </w:tabs>
        <w:rPr>
          <w:rFonts w:ascii="Times New Roman" w:hAnsi="Times New Roman" w:cs="Times New Roman"/>
        </w:rPr>
      </w:pPr>
    </w:p>
    <w:p w14:paraId="22EE66FD" w14:textId="77777777" w:rsidR="00CD7830" w:rsidRPr="00CD7830" w:rsidRDefault="00CD7830" w:rsidP="00173336">
      <w:pPr>
        <w:tabs>
          <w:tab w:val="left" w:pos="2702"/>
        </w:tabs>
        <w:rPr>
          <w:rFonts w:ascii="Times New Roman" w:hAnsi="Times New Roman" w:cs="Times New Roman"/>
        </w:rPr>
      </w:pPr>
      <w:r>
        <w:rPr>
          <w:rFonts w:ascii="Times New Roman" w:hAnsi="Times New Roman" w:cs="Times New Roman"/>
          <w:u w:val="single"/>
        </w:rPr>
        <w:t>Article 18</w:t>
      </w:r>
      <w:r w:rsidR="00BC3DED">
        <w:rPr>
          <w:rFonts w:ascii="Times New Roman" w:hAnsi="Times New Roman" w:cs="Times New Roman"/>
        </w:rPr>
        <w:t xml:space="preserve">: everyone shall have the right to freedom of thought, conscience and religion.  This right shall include freedom to have or adopt a religion or belief of his choice, and freedom, either individually or in community with others and in public or private, to manifest his religion or belief in worship, observance, practice and teaching. </w:t>
      </w:r>
    </w:p>
    <w:p w14:paraId="2EF1C4CA" w14:textId="77777777" w:rsidR="00CD7830" w:rsidRDefault="00CD7830" w:rsidP="00173336">
      <w:pPr>
        <w:tabs>
          <w:tab w:val="left" w:pos="2702"/>
        </w:tabs>
        <w:rPr>
          <w:rFonts w:ascii="Times New Roman" w:hAnsi="Times New Roman" w:cs="Times New Roman"/>
          <w:u w:val="single"/>
        </w:rPr>
      </w:pPr>
    </w:p>
    <w:p w14:paraId="0C173ACC" w14:textId="77777777" w:rsidR="00BC3DED" w:rsidRPr="00BC3DED" w:rsidRDefault="00BC3DED" w:rsidP="00173336">
      <w:pPr>
        <w:tabs>
          <w:tab w:val="left" w:pos="2702"/>
        </w:tabs>
        <w:rPr>
          <w:rFonts w:ascii="Times New Roman" w:hAnsi="Times New Roman" w:cs="Times New Roman"/>
        </w:rPr>
      </w:pPr>
      <w:r>
        <w:rPr>
          <w:rFonts w:ascii="Times New Roman" w:hAnsi="Times New Roman" w:cs="Times New Roman"/>
          <w:u w:val="single"/>
        </w:rPr>
        <w:t>Article 23(1)</w:t>
      </w:r>
      <w:r>
        <w:rPr>
          <w:rFonts w:ascii="Times New Roman" w:hAnsi="Times New Roman" w:cs="Times New Roman"/>
        </w:rPr>
        <w:t xml:space="preserve">: the family is the natural and fundamental group unit of society and the State. </w:t>
      </w:r>
    </w:p>
    <w:p w14:paraId="72376D89" w14:textId="77777777" w:rsidR="00BC3DED" w:rsidRDefault="00BC3DED" w:rsidP="00173336">
      <w:pPr>
        <w:tabs>
          <w:tab w:val="left" w:pos="2702"/>
        </w:tabs>
        <w:rPr>
          <w:rFonts w:ascii="Times New Roman" w:hAnsi="Times New Roman" w:cs="Times New Roman"/>
          <w:u w:val="single"/>
        </w:rPr>
      </w:pPr>
    </w:p>
    <w:p w14:paraId="53722145" w14:textId="77777777" w:rsidR="00206389" w:rsidRPr="00206389" w:rsidRDefault="00206389" w:rsidP="00173336">
      <w:pPr>
        <w:tabs>
          <w:tab w:val="left" w:pos="2702"/>
        </w:tabs>
        <w:rPr>
          <w:rFonts w:ascii="Times New Roman" w:hAnsi="Times New Roman" w:cs="Times New Roman"/>
        </w:rPr>
      </w:pPr>
      <w:r>
        <w:rPr>
          <w:rFonts w:ascii="Times New Roman" w:hAnsi="Times New Roman" w:cs="Times New Roman"/>
          <w:u w:val="single"/>
        </w:rPr>
        <w:t>Article 26</w:t>
      </w:r>
      <w:r>
        <w:rPr>
          <w:rFonts w:ascii="Times New Roman" w:hAnsi="Times New Roman" w:cs="Times New Roman"/>
        </w:rPr>
        <w:t>: a</w:t>
      </w:r>
      <w:r w:rsidRPr="00206389">
        <w:rPr>
          <w:rFonts w:ascii="Times New Roman" w:hAnsi="Times New Roman" w:cs="Times New Roman"/>
        </w:rPr>
        <w:t>ll persons are equal before the law and are entitled without any discrimination to t</w:t>
      </w:r>
      <w:r>
        <w:rPr>
          <w:rFonts w:ascii="Times New Roman" w:hAnsi="Times New Roman" w:cs="Times New Roman"/>
        </w:rPr>
        <w:t xml:space="preserve">he equal protection of the law.  </w:t>
      </w:r>
      <w:r w:rsidRPr="00206389">
        <w:rPr>
          <w:rFonts w:ascii="Times New Roman" w:hAnsi="Times New Roman" w:cs="Times New Roman"/>
        </w:rPr>
        <w:t>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w:t>
      </w:r>
      <w:r>
        <w:rPr>
          <w:rFonts w:ascii="Times New Roman" w:hAnsi="Times New Roman" w:cs="Times New Roman"/>
        </w:rPr>
        <w:t>.</w:t>
      </w:r>
    </w:p>
    <w:p w14:paraId="5C7341AF" w14:textId="77777777" w:rsidR="00206389" w:rsidRDefault="00206389" w:rsidP="00173336">
      <w:pPr>
        <w:tabs>
          <w:tab w:val="left" w:pos="2702"/>
        </w:tabs>
        <w:rPr>
          <w:rFonts w:ascii="Times New Roman" w:hAnsi="Times New Roman" w:cs="Times New Roman"/>
          <w:u w:val="single"/>
        </w:rPr>
      </w:pPr>
    </w:p>
    <w:p w14:paraId="4CABCCD0" w14:textId="77777777" w:rsidR="00AF3440" w:rsidRDefault="00AF3440" w:rsidP="00173336">
      <w:pPr>
        <w:tabs>
          <w:tab w:val="left" w:pos="2702"/>
        </w:tabs>
        <w:rPr>
          <w:rFonts w:ascii="Times New Roman" w:hAnsi="Times New Roman" w:cs="Times New Roman"/>
        </w:rPr>
      </w:pPr>
      <w:r w:rsidRPr="00206389">
        <w:rPr>
          <w:rFonts w:ascii="Times New Roman" w:hAnsi="Times New Roman" w:cs="Times New Roman"/>
          <w:u w:val="single"/>
        </w:rPr>
        <w:t xml:space="preserve">Article </w:t>
      </w:r>
      <w:r w:rsidR="00206389" w:rsidRPr="00206389">
        <w:rPr>
          <w:rFonts w:ascii="Times New Roman" w:hAnsi="Times New Roman" w:cs="Times New Roman"/>
          <w:u w:val="single"/>
        </w:rPr>
        <w:t>27</w:t>
      </w:r>
      <w:r w:rsidRPr="00206389">
        <w:rPr>
          <w:rFonts w:ascii="Times New Roman" w:hAnsi="Times New Roman" w:cs="Times New Roman"/>
        </w:rPr>
        <w:t>:</w:t>
      </w:r>
      <w:r>
        <w:rPr>
          <w:rFonts w:ascii="Times New Roman" w:hAnsi="Times New Roman" w:cs="Times New Roman"/>
        </w:rPr>
        <w:t xml:space="preserve"> </w:t>
      </w:r>
      <w:r w:rsidR="00206389">
        <w:rPr>
          <w:rFonts w:ascii="Times New Roman" w:hAnsi="Times New Roman" w:cs="Times New Roman"/>
        </w:rPr>
        <w:t>i</w:t>
      </w:r>
      <w:r w:rsidR="00206389" w:rsidRPr="00206389">
        <w:rPr>
          <w:rFonts w:ascii="Times New Roman" w:hAnsi="Times New Roman" w:cs="Times New Roman"/>
        </w:rPr>
        <w:t>n those States in which ethnic, religious or linguistic minorities exist, persons belonging to such minorities shall not be denied the right, in community with the other members of their group, to enjoy their own culture, to profess and practise their own religion, or to use their own language</w:t>
      </w:r>
      <w:r w:rsidR="00206389">
        <w:rPr>
          <w:rFonts w:ascii="Times New Roman" w:hAnsi="Times New Roman" w:cs="Times New Roman"/>
        </w:rPr>
        <w:t>.</w:t>
      </w:r>
    </w:p>
    <w:p w14:paraId="75DD132A" w14:textId="77777777" w:rsidR="00BF1A08" w:rsidRPr="00AF3440" w:rsidRDefault="00BF1A08" w:rsidP="00173336">
      <w:pPr>
        <w:tabs>
          <w:tab w:val="left" w:pos="2702"/>
        </w:tabs>
        <w:rPr>
          <w:rFonts w:ascii="Times New Roman" w:hAnsi="Times New Roman" w:cs="Times New Roman"/>
        </w:rPr>
      </w:pPr>
    </w:p>
    <w:p w14:paraId="3D3516AA" w14:textId="77777777" w:rsidR="00AF3440" w:rsidRDefault="00AF3440" w:rsidP="00173336">
      <w:pPr>
        <w:pStyle w:val="ListParagraph"/>
        <w:tabs>
          <w:tab w:val="left" w:pos="2702"/>
        </w:tabs>
        <w:ind w:left="1080"/>
        <w:rPr>
          <w:rFonts w:ascii="Times New Roman" w:hAnsi="Times New Roman" w:cs="Times New Roman"/>
        </w:rPr>
      </w:pPr>
    </w:p>
    <w:p w14:paraId="38B33A85" w14:textId="77777777" w:rsidR="009F09C4" w:rsidRPr="005E52EB" w:rsidRDefault="009F09C4" w:rsidP="00173336">
      <w:pPr>
        <w:pStyle w:val="ListParagraph"/>
        <w:numPr>
          <w:ilvl w:val="0"/>
          <w:numId w:val="1"/>
        </w:numPr>
        <w:tabs>
          <w:tab w:val="left" w:pos="2702"/>
        </w:tabs>
        <w:rPr>
          <w:rFonts w:ascii="Times New Roman" w:hAnsi="Times New Roman" w:cs="Times New Roman"/>
          <w:b/>
        </w:rPr>
      </w:pPr>
      <w:r w:rsidRPr="005E52EB">
        <w:rPr>
          <w:rFonts w:ascii="Times New Roman" w:hAnsi="Times New Roman" w:cs="Times New Roman"/>
          <w:b/>
        </w:rPr>
        <w:t>Current U.S. Government Policy or Practice</w:t>
      </w:r>
    </w:p>
    <w:p w14:paraId="4ED8D416" w14:textId="77777777" w:rsidR="005E52EB" w:rsidRDefault="005E52EB" w:rsidP="00173336">
      <w:pPr>
        <w:pStyle w:val="Normal1"/>
        <w:pBdr>
          <w:top w:val="nil"/>
          <w:left w:val="nil"/>
          <w:bottom w:val="nil"/>
          <w:right w:val="nil"/>
          <w:between w:val="nil"/>
        </w:pBdr>
        <w:spacing w:line="240" w:lineRule="auto"/>
        <w:contextualSpacing w:val="0"/>
        <w:rPr>
          <w:rFonts w:ascii="Times New Roman" w:eastAsiaTheme="minorEastAsia" w:hAnsi="Times New Roman" w:cs="Times New Roman"/>
          <w:sz w:val="24"/>
          <w:szCs w:val="24"/>
        </w:rPr>
      </w:pPr>
    </w:p>
    <w:p w14:paraId="6F4D2CAD" w14:textId="77777777" w:rsidR="005E52EB" w:rsidRDefault="005E52EB" w:rsidP="00173336">
      <w:pPr>
        <w:pStyle w:val="Normal1"/>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September 24, 2017, </w:t>
      </w:r>
      <w:r w:rsidR="001F6A0A">
        <w:rPr>
          <w:rFonts w:ascii="Times New Roman" w:eastAsia="Times New Roman" w:hAnsi="Times New Roman" w:cs="Times New Roman"/>
          <w:color w:val="000000"/>
          <w:sz w:val="24"/>
          <w:szCs w:val="24"/>
        </w:rPr>
        <w:t xml:space="preserve">U.S. </w:t>
      </w:r>
      <w:r w:rsidR="007D6110">
        <w:rPr>
          <w:rFonts w:ascii="Times New Roman" w:eastAsia="Times New Roman" w:hAnsi="Times New Roman" w:cs="Times New Roman"/>
          <w:color w:val="000000"/>
          <w:sz w:val="24"/>
          <w:szCs w:val="24"/>
        </w:rPr>
        <w:t>President Trump</w:t>
      </w:r>
      <w:r>
        <w:rPr>
          <w:rFonts w:ascii="Times New Roman" w:eastAsia="Times New Roman" w:hAnsi="Times New Roman" w:cs="Times New Roman"/>
          <w:color w:val="000000"/>
          <w:sz w:val="24"/>
          <w:szCs w:val="24"/>
        </w:rPr>
        <w:t xml:space="preserve"> </w:t>
      </w:r>
      <w:r w:rsidR="001F6A0A">
        <w:rPr>
          <w:rFonts w:ascii="Times New Roman" w:eastAsia="Times New Roman" w:hAnsi="Times New Roman" w:cs="Times New Roman"/>
          <w:color w:val="000000"/>
          <w:sz w:val="24"/>
          <w:szCs w:val="24"/>
        </w:rPr>
        <w:t xml:space="preserve">issued </w:t>
      </w:r>
      <w:r>
        <w:rPr>
          <w:rFonts w:ascii="Times New Roman" w:eastAsia="Times New Roman" w:hAnsi="Times New Roman" w:cs="Times New Roman"/>
          <w:color w:val="000000"/>
          <w:sz w:val="24"/>
          <w:szCs w:val="24"/>
        </w:rPr>
        <w:t>Presidential Proclamation 9645,</w:t>
      </w:r>
      <w:r>
        <w:rPr>
          <w:rStyle w:val="FootnoteReference"/>
          <w:rFonts w:ascii="Times New Roman" w:eastAsia="Times New Roman" w:hAnsi="Times New Roman" w:cs="Times New Roman"/>
          <w:color w:val="000000"/>
          <w:sz w:val="24"/>
          <w:szCs w:val="24"/>
        </w:rPr>
        <w:footnoteReference w:id="7"/>
      </w:r>
      <w:r>
        <w:rPr>
          <w:rFonts w:ascii="Times New Roman" w:eastAsia="Times New Roman" w:hAnsi="Times New Roman" w:cs="Times New Roman"/>
          <w:color w:val="000000"/>
          <w:sz w:val="24"/>
          <w:szCs w:val="24"/>
        </w:rPr>
        <w:t xml:space="preserve"> “Enhancing Vetting Capabilities and Processes for Detecting Attempted Entry into the United States by Terrorists or Other Public-Safety Threats” (“Muslim Ban 3.0”</w:t>
      </w:r>
      <w:r w:rsidR="004471D1">
        <w:rPr>
          <w:rFonts w:ascii="Times New Roman" w:eastAsia="Times New Roman" w:hAnsi="Times New Roman" w:cs="Times New Roman"/>
          <w:color w:val="000000"/>
          <w:sz w:val="24"/>
          <w:szCs w:val="24"/>
        </w:rPr>
        <w:t xml:space="preserve"> or </w:t>
      </w:r>
      <w:r w:rsidR="00E81265">
        <w:rPr>
          <w:rFonts w:ascii="Times New Roman" w:eastAsia="Times New Roman" w:hAnsi="Times New Roman" w:cs="Times New Roman"/>
          <w:color w:val="000000"/>
          <w:sz w:val="24"/>
          <w:szCs w:val="24"/>
        </w:rPr>
        <w:t>“Travel B</w:t>
      </w:r>
      <w:r w:rsidR="00A939C6">
        <w:rPr>
          <w:rFonts w:ascii="Times New Roman" w:eastAsia="Times New Roman" w:hAnsi="Times New Roman" w:cs="Times New Roman"/>
          <w:color w:val="000000"/>
          <w:sz w:val="24"/>
          <w:szCs w:val="24"/>
        </w:rPr>
        <w:t xml:space="preserve">an 3.0” or </w:t>
      </w:r>
      <w:r w:rsidR="004471D1">
        <w:rPr>
          <w:rFonts w:ascii="Times New Roman" w:eastAsia="Times New Roman" w:hAnsi="Times New Roman" w:cs="Times New Roman"/>
          <w:color w:val="000000"/>
          <w:sz w:val="24"/>
          <w:szCs w:val="24"/>
        </w:rPr>
        <w:t xml:space="preserve">the </w:t>
      </w:r>
      <w:r w:rsidR="008D5FC0">
        <w:rPr>
          <w:rFonts w:ascii="Times New Roman" w:eastAsia="Times New Roman" w:hAnsi="Times New Roman" w:cs="Times New Roman"/>
          <w:color w:val="000000"/>
          <w:sz w:val="24"/>
          <w:szCs w:val="24"/>
        </w:rPr>
        <w:t>“</w:t>
      </w:r>
      <w:r w:rsidR="004471D1">
        <w:rPr>
          <w:rFonts w:ascii="Times New Roman" w:eastAsia="Times New Roman" w:hAnsi="Times New Roman" w:cs="Times New Roman"/>
          <w:color w:val="000000"/>
          <w:sz w:val="24"/>
          <w:szCs w:val="24"/>
        </w:rPr>
        <w:t>Proclamation”</w:t>
      </w:r>
      <w:r>
        <w:rPr>
          <w:rFonts w:ascii="Times New Roman" w:eastAsia="Times New Roman" w:hAnsi="Times New Roman" w:cs="Times New Roman"/>
          <w:color w:val="000000"/>
          <w:sz w:val="24"/>
          <w:szCs w:val="24"/>
        </w:rPr>
        <w:t>)</w:t>
      </w:r>
      <w:r w:rsidR="00884FF9">
        <w:rPr>
          <w:rFonts w:ascii="Times New Roman" w:eastAsia="Times New Roman" w:hAnsi="Times New Roman" w:cs="Times New Roman"/>
          <w:color w:val="000000"/>
          <w:sz w:val="24"/>
          <w:szCs w:val="24"/>
        </w:rPr>
        <w:t>.</w:t>
      </w:r>
      <w:r w:rsidR="007D6110">
        <w:rPr>
          <w:rFonts w:ascii="Times New Roman" w:eastAsia="Times New Roman" w:hAnsi="Times New Roman" w:cs="Times New Roman"/>
          <w:color w:val="000000"/>
          <w:sz w:val="24"/>
          <w:szCs w:val="24"/>
        </w:rPr>
        <w:t xml:space="preserve">  The Proclamation is the third iteration of what has come to be called the “Muslim Ban” or “Travel Ban.”  The first, issued within days of Trump taking</w:t>
      </w:r>
      <w:r w:rsidR="00BF1A08">
        <w:rPr>
          <w:rFonts w:ascii="Times New Roman" w:eastAsia="Times New Roman" w:hAnsi="Times New Roman" w:cs="Times New Roman"/>
          <w:color w:val="000000"/>
          <w:sz w:val="24"/>
          <w:szCs w:val="24"/>
        </w:rPr>
        <w:t xml:space="preserve"> office, was hastily rolled out, </w:t>
      </w:r>
      <w:r w:rsidR="007D6110">
        <w:rPr>
          <w:rFonts w:ascii="Times New Roman" w:eastAsia="Times New Roman" w:hAnsi="Times New Roman" w:cs="Times New Roman"/>
          <w:color w:val="000000"/>
          <w:sz w:val="24"/>
          <w:szCs w:val="24"/>
        </w:rPr>
        <w:t xml:space="preserve">and provided little guidance to implementing agencies and on-the-ground officials.  Chaos immediately ensued at the nation’s airports.  It was almost immediately halted by multiple federal courts, finding that challenges to the constitutionality of the </w:t>
      </w:r>
      <w:r w:rsidR="00BF1A08">
        <w:rPr>
          <w:rFonts w:ascii="Times New Roman" w:eastAsia="Times New Roman" w:hAnsi="Times New Roman" w:cs="Times New Roman"/>
          <w:color w:val="000000"/>
          <w:sz w:val="24"/>
          <w:szCs w:val="24"/>
        </w:rPr>
        <w:t>Muslim Ban</w:t>
      </w:r>
      <w:r w:rsidR="007D6110">
        <w:rPr>
          <w:rFonts w:ascii="Times New Roman" w:eastAsia="Times New Roman" w:hAnsi="Times New Roman" w:cs="Times New Roman"/>
          <w:color w:val="000000"/>
          <w:sz w:val="24"/>
          <w:szCs w:val="24"/>
        </w:rPr>
        <w:t xml:space="preserve"> would likely succeed due to evidence of its being driven by anti-Muslim animus</w:t>
      </w:r>
      <w:r w:rsidR="00BF1A08">
        <w:rPr>
          <w:rFonts w:ascii="Times New Roman" w:eastAsia="Times New Roman" w:hAnsi="Times New Roman" w:cs="Times New Roman"/>
          <w:color w:val="000000"/>
          <w:sz w:val="24"/>
          <w:szCs w:val="24"/>
        </w:rPr>
        <w:t xml:space="preserve"> and national origin discrimination</w:t>
      </w:r>
      <w:r w:rsidR="007D6110">
        <w:rPr>
          <w:rFonts w:ascii="Times New Roman" w:eastAsia="Times New Roman" w:hAnsi="Times New Roman" w:cs="Times New Roman"/>
          <w:color w:val="000000"/>
          <w:sz w:val="24"/>
          <w:szCs w:val="24"/>
        </w:rPr>
        <w:t>.  A second iteration was similar</w:t>
      </w:r>
      <w:r w:rsidR="00E81265">
        <w:rPr>
          <w:rFonts w:ascii="Times New Roman" w:eastAsia="Times New Roman" w:hAnsi="Times New Roman" w:cs="Times New Roman"/>
          <w:color w:val="000000"/>
          <w:sz w:val="24"/>
          <w:szCs w:val="24"/>
        </w:rPr>
        <w:t xml:space="preserve">ly stayed </w:t>
      </w:r>
      <w:r w:rsidR="00BF1A08">
        <w:rPr>
          <w:rFonts w:ascii="Times New Roman" w:eastAsia="Times New Roman" w:hAnsi="Times New Roman" w:cs="Times New Roman"/>
          <w:color w:val="000000"/>
          <w:sz w:val="24"/>
          <w:szCs w:val="24"/>
        </w:rPr>
        <w:t xml:space="preserve">by federal courts </w:t>
      </w:r>
      <w:r w:rsidR="00E81265">
        <w:rPr>
          <w:rFonts w:ascii="Times New Roman" w:eastAsia="Times New Roman" w:hAnsi="Times New Roman" w:cs="Times New Roman"/>
          <w:color w:val="000000"/>
          <w:sz w:val="24"/>
          <w:szCs w:val="24"/>
        </w:rPr>
        <w:t xml:space="preserve">for the same reasons.  </w:t>
      </w:r>
      <w:r w:rsidR="00E81265" w:rsidRPr="00AB1037">
        <w:rPr>
          <w:rFonts w:ascii="Times New Roman" w:eastAsia="Times New Roman" w:hAnsi="Times New Roman" w:cs="Times New Roman"/>
          <w:color w:val="000000"/>
          <w:sz w:val="24"/>
          <w:szCs w:val="24"/>
        </w:rPr>
        <w:t xml:space="preserve">The </w:t>
      </w:r>
      <w:r w:rsidR="00E81265">
        <w:rPr>
          <w:rFonts w:ascii="Times New Roman" w:eastAsia="Times New Roman" w:hAnsi="Times New Roman" w:cs="Times New Roman"/>
          <w:color w:val="000000"/>
          <w:sz w:val="24"/>
          <w:szCs w:val="24"/>
        </w:rPr>
        <w:t>t</w:t>
      </w:r>
      <w:r w:rsidR="00E81265" w:rsidRPr="00AB1037">
        <w:rPr>
          <w:rFonts w:ascii="Times New Roman" w:eastAsia="Times New Roman" w:hAnsi="Times New Roman" w:cs="Times New Roman"/>
          <w:color w:val="000000"/>
          <w:sz w:val="24"/>
          <w:szCs w:val="24"/>
        </w:rPr>
        <w:t xml:space="preserve">hird </w:t>
      </w:r>
      <w:r w:rsidR="00E81265">
        <w:rPr>
          <w:rFonts w:ascii="Times New Roman" w:eastAsia="Times New Roman" w:hAnsi="Times New Roman" w:cs="Times New Roman"/>
          <w:color w:val="000000"/>
          <w:sz w:val="24"/>
          <w:szCs w:val="24"/>
        </w:rPr>
        <w:t>iteration</w:t>
      </w:r>
      <w:r w:rsidR="00E81265" w:rsidRPr="00AB1037">
        <w:rPr>
          <w:rFonts w:ascii="Times New Roman" w:eastAsia="Times New Roman" w:hAnsi="Times New Roman" w:cs="Times New Roman"/>
          <w:color w:val="000000"/>
          <w:sz w:val="24"/>
          <w:szCs w:val="24"/>
        </w:rPr>
        <w:t xml:space="preserve">, the Proclamation, </w:t>
      </w:r>
      <w:r w:rsidR="00E81265">
        <w:rPr>
          <w:rFonts w:ascii="Times New Roman" w:eastAsia="Times New Roman" w:hAnsi="Times New Roman" w:cs="Times New Roman"/>
          <w:color w:val="000000"/>
          <w:sz w:val="24"/>
          <w:szCs w:val="24"/>
        </w:rPr>
        <w:t>has been in effect since December 2017, when the U.S. Supreme Court granted the Trump administration’s request to allow the Proclamation to take full effect while the case is being litigated.  As described below, the Supreme Court upheld the Proclamation in June 2018.</w:t>
      </w:r>
    </w:p>
    <w:p w14:paraId="7EB7DD22" w14:textId="77777777" w:rsidR="001F6A0A" w:rsidRDefault="001F6A0A" w:rsidP="00173336">
      <w:pPr>
        <w:pStyle w:val="Normal1"/>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p>
    <w:p w14:paraId="6EAB5DF4" w14:textId="77777777" w:rsidR="001F6A0A" w:rsidRDefault="004471D1" w:rsidP="00173336">
      <w:pPr>
        <w:pStyle w:val="Normal1"/>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The Proclamation</w:t>
      </w:r>
      <w:r w:rsidR="001F6A0A" w:rsidRPr="00881E72">
        <w:rPr>
          <w:rFonts w:ascii="Times New Roman" w:eastAsia="Times New Roman" w:hAnsi="Times New Roman" w:cs="Times New Roman"/>
          <w:color w:val="000000"/>
          <w:sz w:val="24"/>
          <w:szCs w:val="24"/>
        </w:rPr>
        <w:t xml:space="preserve"> </w:t>
      </w:r>
      <w:r w:rsidR="001F6A0A" w:rsidRPr="00D866E8">
        <w:rPr>
          <w:rFonts w:ascii="Times New Roman" w:eastAsia="Times New Roman" w:hAnsi="Times New Roman" w:cs="Times New Roman"/>
          <w:color w:val="000000"/>
          <w:sz w:val="24"/>
          <w:szCs w:val="24"/>
          <w:highlight w:val="white"/>
          <w:u w:val="single"/>
        </w:rPr>
        <w:t>indefinitely</w:t>
      </w:r>
      <w:r w:rsidR="001F6A0A" w:rsidRPr="00881E72">
        <w:rPr>
          <w:rFonts w:ascii="Times New Roman" w:eastAsia="Times New Roman" w:hAnsi="Times New Roman" w:cs="Times New Roman"/>
          <w:color w:val="000000"/>
          <w:sz w:val="24"/>
          <w:szCs w:val="24"/>
          <w:highlight w:val="white"/>
        </w:rPr>
        <w:t xml:space="preserve"> </w:t>
      </w:r>
      <w:r w:rsidR="001F6A0A">
        <w:rPr>
          <w:rFonts w:ascii="Times New Roman" w:eastAsia="Times New Roman" w:hAnsi="Times New Roman" w:cs="Times New Roman"/>
          <w:color w:val="000000"/>
          <w:sz w:val="24"/>
          <w:szCs w:val="24"/>
          <w:highlight w:val="white"/>
        </w:rPr>
        <w:t xml:space="preserve">suspends the issuance of the vast majority of visas sought by individuals from Iran, Libya, North Korea, Somalia, Syria, Yemen, and Venezuela.  It applies to individuals who (1) were outside of the </w:t>
      </w:r>
      <w:r w:rsidR="00FB4157">
        <w:rPr>
          <w:rFonts w:ascii="Times New Roman" w:eastAsia="Times New Roman" w:hAnsi="Times New Roman" w:cs="Times New Roman"/>
          <w:color w:val="000000"/>
          <w:sz w:val="24"/>
          <w:szCs w:val="24"/>
          <w:highlight w:val="white"/>
        </w:rPr>
        <w:t>U.S.</w:t>
      </w:r>
      <w:r w:rsidR="001F6A0A">
        <w:rPr>
          <w:rFonts w:ascii="Times New Roman" w:eastAsia="Times New Roman" w:hAnsi="Times New Roman" w:cs="Times New Roman"/>
          <w:color w:val="000000"/>
          <w:sz w:val="24"/>
          <w:szCs w:val="24"/>
          <w:highlight w:val="white"/>
        </w:rPr>
        <w:t xml:space="preserve"> on October 10, 2017; (2) did not have a valid visa on that date, or (3) have not obtained a waiver (described below).  Additionally, there are some country-by-co</w:t>
      </w:r>
      <w:r w:rsidR="00217BC8">
        <w:rPr>
          <w:rFonts w:ascii="Times New Roman" w:eastAsia="Times New Roman" w:hAnsi="Times New Roman" w:cs="Times New Roman"/>
          <w:color w:val="000000"/>
          <w:sz w:val="24"/>
          <w:szCs w:val="24"/>
          <w:highlight w:val="white"/>
        </w:rPr>
        <w:t>untry exemptions</w:t>
      </w:r>
      <w:r w:rsidR="001F6A0A">
        <w:rPr>
          <w:rFonts w:ascii="Times New Roman" w:eastAsia="Times New Roman" w:hAnsi="Times New Roman" w:cs="Times New Roman"/>
          <w:color w:val="000000"/>
          <w:sz w:val="24"/>
          <w:szCs w:val="24"/>
          <w:highlight w:val="white"/>
        </w:rPr>
        <w:t>:</w:t>
      </w:r>
    </w:p>
    <w:p w14:paraId="3F405C8A" w14:textId="77777777" w:rsidR="001F6A0A" w:rsidRPr="0064681F" w:rsidRDefault="001F6A0A" w:rsidP="00173336">
      <w:pPr>
        <w:pStyle w:val="Normal1"/>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highlight w:val="white"/>
        </w:rPr>
      </w:pP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15"/>
        <w:gridCol w:w="4770"/>
        <w:gridCol w:w="3375"/>
      </w:tblGrid>
      <w:tr w:rsidR="001F6A0A" w14:paraId="00EE2988" w14:textId="77777777">
        <w:trPr>
          <w:trHeight w:val="380"/>
        </w:trPr>
        <w:tc>
          <w:tcPr>
            <w:tcW w:w="1215" w:type="dxa"/>
            <w:shd w:val="clear" w:color="auto" w:fill="FDEADA"/>
            <w:tcMar>
              <w:top w:w="100" w:type="dxa"/>
              <w:left w:w="100" w:type="dxa"/>
              <w:bottom w:w="100" w:type="dxa"/>
              <w:right w:w="100" w:type="dxa"/>
            </w:tcMar>
          </w:tcPr>
          <w:p w14:paraId="232B0090"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Country</w:t>
            </w:r>
          </w:p>
        </w:tc>
        <w:tc>
          <w:tcPr>
            <w:tcW w:w="4770" w:type="dxa"/>
            <w:shd w:val="clear" w:color="auto" w:fill="FDEADA"/>
            <w:tcMar>
              <w:top w:w="100" w:type="dxa"/>
              <w:left w:w="100" w:type="dxa"/>
              <w:bottom w:w="100" w:type="dxa"/>
              <w:right w:w="100" w:type="dxa"/>
            </w:tcMar>
          </w:tcPr>
          <w:p w14:paraId="43C15367"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Non-Immigrant Visas</w:t>
            </w:r>
          </w:p>
        </w:tc>
        <w:tc>
          <w:tcPr>
            <w:tcW w:w="3375" w:type="dxa"/>
            <w:shd w:val="clear" w:color="auto" w:fill="FDEADA"/>
            <w:tcMar>
              <w:top w:w="100" w:type="dxa"/>
              <w:left w:w="100" w:type="dxa"/>
              <w:bottom w:w="100" w:type="dxa"/>
              <w:right w:w="100" w:type="dxa"/>
            </w:tcMar>
          </w:tcPr>
          <w:p w14:paraId="6AA96E02"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Immigrant Visas (including Diversity Visas)</w:t>
            </w:r>
          </w:p>
        </w:tc>
      </w:tr>
      <w:tr w:rsidR="001F6A0A" w14:paraId="1F414F21" w14:textId="77777777">
        <w:trPr>
          <w:trHeight w:val="320"/>
        </w:trPr>
        <w:tc>
          <w:tcPr>
            <w:tcW w:w="1215" w:type="dxa"/>
            <w:tcMar>
              <w:top w:w="100" w:type="dxa"/>
              <w:left w:w="100" w:type="dxa"/>
              <w:bottom w:w="100" w:type="dxa"/>
              <w:right w:w="100" w:type="dxa"/>
            </w:tcMar>
          </w:tcPr>
          <w:p w14:paraId="4BBC01F9"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Iran</w:t>
            </w:r>
          </w:p>
        </w:tc>
        <w:tc>
          <w:tcPr>
            <w:tcW w:w="4770" w:type="dxa"/>
            <w:tcMar>
              <w:top w:w="100" w:type="dxa"/>
              <w:left w:w="100" w:type="dxa"/>
              <w:bottom w:w="100" w:type="dxa"/>
              <w:right w:w="100" w:type="dxa"/>
            </w:tcMar>
          </w:tcPr>
          <w:p w14:paraId="06A496D0" w14:textId="77777777" w:rsidR="001F6A0A" w:rsidRDefault="001F6A0A" w:rsidP="00AC4D10">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non-immigrant visas except F, M, </w:t>
            </w:r>
            <w:r w:rsidR="00DB38AA">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J visas, who will be subjected to enhanced screening and vetting requirements</w:t>
            </w:r>
          </w:p>
        </w:tc>
        <w:tc>
          <w:tcPr>
            <w:tcW w:w="3375" w:type="dxa"/>
            <w:tcMar>
              <w:top w:w="100" w:type="dxa"/>
              <w:left w:w="100" w:type="dxa"/>
              <w:bottom w:w="100" w:type="dxa"/>
              <w:right w:w="100" w:type="dxa"/>
            </w:tcMar>
          </w:tcPr>
          <w:p w14:paraId="733A50F9"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immigrant or diversity visas</w:t>
            </w:r>
          </w:p>
        </w:tc>
      </w:tr>
      <w:tr w:rsidR="001F6A0A" w14:paraId="287FAB88" w14:textId="77777777">
        <w:trPr>
          <w:trHeight w:val="400"/>
        </w:trPr>
        <w:tc>
          <w:tcPr>
            <w:tcW w:w="1215" w:type="dxa"/>
            <w:shd w:val="clear" w:color="auto" w:fill="F2F2F2"/>
            <w:tcMar>
              <w:top w:w="100" w:type="dxa"/>
              <w:left w:w="100" w:type="dxa"/>
              <w:bottom w:w="100" w:type="dxa"/>
              <w:right w:w="100" w:type="dxa"/>
            </w:tcMar>
          </w:tcPr>
          <w:p w14:paraId="27856368"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Libya</w:t>
            </w:r>
          </w:p>
        </w:tc>
        <w:tc>
          <w:tcPr>
            <w:tcW w:w="4770" w:type="dxa"/>
            <w:shd w:val="clear" w:color="auto" w:fill="F2F2F2"/>
            <w:tcMar>
              <w:top w:w="100" w:type="dxa"/>
              <w:left w:w="100" w:type="dxa"/>
              <w:bottom w:w="100" w:type="dxa"/>
              <w:right w:w="100" w:type="dxa"/>
            </w:tcMar>
          </w:tcPr>
          <w:p w14:paraId="43434C05"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B-1, B-2, and B-1/B-2 visas</w:t>
            </w:r>
          </w:p>
        </w:tc>
        <w:tc>
          <w:tcPr>
            <w:tcW w:w="3375" w:type="dxa"/>
            <w:shd w:val="clear" w:color="auto" w:fill="F2F2F2"/>
            <w:tcMar>
              <w:top w:w="100" w:type="dxa"/>
              <w:left w:w="100" w:type="dxa"/>
              <w:bottom w:w="100" w:type="dxa"/>
              <w:right w:w="100" w:type="dxa"/>
            </w:tcMar>
          </w:tcPr>
          <w:p w14:paraId="07C84159"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immigrant or diversity visas</w:t>
            </w:r>
          </w:p>
        </w:tc>
      </w:tr>
      <w:tr w:rsidR="001F6A0A" w14:paraId="579DC6F1" w14:textId="77777777">
        <w:trPr>
          <w:trHeight w:val="500"/>
        </w:trPr>
        <w:tc>
          <w:tcPr>
            <w:tcW w:w="1215" w:type="dxa"/>
            <w:tcMar>
              <w:top w:w="100" w:type="dxa"/>
              <w:left w:w="100" w:type="dxa"/>
              <w:bottom w:w="100" w:type="dxa"/>
              <w:right w:w="100" w:type="dxa"/>
            </w:tcMar>
          </w:tcPr>
          <w:p w14:paraId="44E43CB9"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North Korea</w:t>
            </w:r>
          </w:p>
        </w:tc>
        <w:tc>
          <w:tcPr>
            <w:tcW w:w="4770" w:type="dxa"/>
            <w:tcMar>
              <w:top w:w="100" w:type="dxa"/>
              <w:left w:w="100" w:type="dxa"/>
              <w:bottom w:w="100" w:type="dxa"/>
              <w:right w:w="100" w:type="dxa"/>
            </w:tcMar>
          </w:tcPr>
          <w:p w14:paraId="02FA6784"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non-immigrant visas</w:t>
            </w:r>
          </w:p>
        </w:tc>
        <w:tc>
          <w:tcPr>
            <w:tcW w:w="3375" w:type="dxa"/>
            <w:tcMar>
              <w:top w:w="100" w:type="dxa"/>
              <w:left w:w="100" w:type="dxa"/>
              <w:bottom w:w="100" w:type="dxa"/>
              <w:right w:w="100" w:type="dxa"/>
            </w:tcMar>
          </w:tcPr>
          <w:p w14:paraId="5B61F26B"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immigrant or diversity visas</w:t>
            </w:r>
          </w:p>
        </w:tc>
      </w:tr>
      <w:tr w:rsidR="001F6A0A" w14:paraId="1D69101F" w14:textId="77777777">
        <w:trPr>
          <w:trHeight w:val="360"/>
        </w:trPr>
        <w:tc>
          <w:tcPr>
            <w:tcW w:w="1215" w:type="dxa"/>
            <w:shd w:val="clear" w:color="auto" w:fill="F2F2F2"/>
            <w:tcMar>
              <w:top w:w="100" w:type="dxa"/>
              <w:left w:w="100" w:type="dxa"/>
              <w:bottom w:w="100" w:type="dxa"/>
              <w:right w:w="100" w:type="dxa"/>
            </w:tcMar>
          </w:tcPr>
          <w:p w14:paraId="5AE5F4C0"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Somalia</w:t>
            </w:r>
          </w:p>
        </w:tc>
        <w:tc>
          <w:tcPr>
            <w:tcW w:w="4770" w:type="dxa"/>
            <w:shd w:val="clear" w:color="auto" w:fill="F2F2F2"/>
            <w:tcMar>
              <w:top w:w="100" w:type="dxa"/>
              <w:left w:w="100" w:type="dxa"/>
              <w:bottom w:w="100" w:type="dxa"/>
              <w:right w:w="100" w:type="dxa"/>
            </w:tcMar>
          </w:tcPr>
          <w:p w14:paraId="42EB447D"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3375" w:type="dxa"/>
            <w:shd w:val="clear" w:color="auto" w:fill="F2F2F2"/>
            <w:tcMar>
              <w:top w:w="100" w:type="dxa"/>
              <w:left w:w="100" w:type="dxa"/>
              <w:bottom w:w="100" w:type="dxa"/>
              <w:right w:w="100" w:type="dxa"/>
            </w:tcMar>
          </w:tcPr>
          <w:p w14:paraId="56AF47F9"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immigrant or diversity visas</w:t>
            </w:r>
          </w:p>
        </w:tc>
      </w:tr>
      <w:tr w:rsidR="001F6A0A" w14:paraId="122353D9" w14:textId="77777777">
        <w:trPr>
          <w:trHeight w:val="320"/>
        </w:trPr>
        <w:tc>
          <w:tcPr>
            <w:tcW w:w="1215" w:type="dxa"/>
            <w:tcMar>
              <w:top w:w="100" w:type="dxa"/>
              <w:left w:w="100" w:type="dxa"/>
              <w:bottom w:w="100" w:type="dxa"/>
              <w:right w:w="100" w:type="dxa"/>
            </w:tcMar>
          </w:tcPr>
          <w:p w14:paraId="629C47FB"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Syria</w:t>
            </w:r>
          </w:p>
        </w:tc>
        <w:tc>
          <w:tcPr>
            <w:tcW w:w="4770" w:type="dxa"/>
            <w:tcMar>
              <w:top w:w="100" w:type="dxa"/>
              <w:left w:w="100" w:type="dxa"/>
              <w:bottom w:w="100" w:type="dxa"/>
              <w:right w:w="100" w:type="dxa"/>
            </w:tcMar>
          </w:tcPr>
          <w:p w14:paraId="20825668"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non-immigrant visas</w:t>
            </w:r>
          </w:p>
        </w:tc>
        <w:tc>
          <w:tcPr>
            <w:tcW w:w="3375" w:type="dxa"/>
            <w:tcMar>
              <w:top w:w="100" w:type="dxa"/>
              <w:left w:w="100" w:type="dxa"/>
              <w:bottom w:w="100" w:type="dxa"/>
              <w:right w:w="100" w:type="dxa"/>
            </w:tcMar>
          </w:tcPr>
          <w:p w14:paraId="43398EAD"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immigrant or diversity visas</w:t>
            </w:r>
          </w:p>
        </w:tc>
      </w:tr>
      <w:tr w:rsidR="001F6A0A" w14:paraId="095D64CB" w14:textId="77777777">
        <w:trPr>
          <w:trHeight w:val="860"/>
        </w:trPr>
        <w:tc>
          <w:tcPr>
            <w:tcW w:w="1215" w:type="dxa"/>
            <w:shd w:val="clear" w:color="auto" w:fill="F2F2F2"/>
            <w:tcMar>
              <w:top w:w="100" w:type="dxa"/>
              <w:left w:w="100" w:type="dxa"/>
              <w:bottom w:w="100" w:type="dxa"/>
              <w:right w:w="100" w:type="dxa"/>
            </w:tcMar>
          </w:tcPr>
          <w:p w14:paraId="70546CDE"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Venezuela</w:t>
            </w:r>
          </w:p>
        </w:tc>
        <w:tc>
          <w:tcPr>
            <w:tcW w:w="4770" w:type="dxa"/>
            <w:shd w:val="clear" w:color="auto" w:fill="F2F2F2"/>
            <w:tcMar>
              <w:top w:w="100" w:type="dxa"/>
              <w:left w:w="100" w:type="dxa"/>
              <w:bottom w:w="100" w:type="dxa"/>
              <w:right w:w="100" w:type="dxa"/>
            </w:tcMar>
          </w:tcPr>
          <w:p w14:paraId="71E173F6"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B-1, B-2 or B-1/B-2 visas of any kind for officials for certain government agencies and their immediate family members.</w:t>
            </w:r>
          </w:p>
        </w:tc>
        <w:tc>
          <w:tcPr>
            <w:tcW w:w="3375" w:type="dxa"/>
            <w:shd w:val="clear" w:color="auto" w:fill="F2F2F2"/>
            <w:tcMar>
              <w:top w:w="100" w:type="dxa"/>
              <w:left w:w="100" w:type="dxa"/>
              <w:bottom w:w="100" w:type="dxa"/>
              <w:right w:w="100" w:type="dxa"/>
            </w:tcMar>
          </w:tcPr>
          <w:p w14:paraId="712A932F"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r w:rsidR="001F6A0A" w14:paraId="4D2E0D72" w14:textId="77777777">
        <w:trPr>
          <w:trHeight w:val="380"/>
        </w:trPr>
        <w:tc>
          <w:tcPr>
            <w:tcW w:w="1215" w:type="dxa"/>
            <w:tcMar>
              <w:top w:w="100" w:type="dxa"/>
              <w:left w:w="100" w:type="dxa"/>
              <w:bottom w:w="100" w:type="dxa"/>
              <w:right w:w="100" w:type="dxa"/>
            </w:tcMar>
          </w:tcPr>
          <w:p w14:paraId="5EF076D1"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Yemen</w:t>
            </w:r>
          </w:p>
        </w:tc>
        <w:tc>
          <w:tcPr>
            <w:tcW w:w="4770" w:type="dxa"/>
            <w:tcMar>
              <w:top w:w="100" w:type="dxa"/>
              <w:left w:w="100" w:type="dxa"/>
              <w:bottom w:w="100" w:type="dxa"/>
              <w:right w:w="100" w:type="dxa"/>
            </w:tcMar>
          </w:tcPr>
          <w:p w14:paraId="4A0B1D2C"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B-1, B-2, or B-1/B-2 visas</w:t>
            </w:r>
          </w:p>
        </w:tc>
        <w:tc>
          <w:tcPr>
            <w:tcW w:w="3375" w:type="dxa"/>
            <w:tcMar>
              <w:top w:w="100" w:type="dxa"/>
              <w:left w:w="100" w:type="dxa"/>
              <w:bottom w:w="100" w:type="dxa"/>
              <w:right w:w="100" w:type="dxa"/>
            </w:tcMar>
          </w:tcPr>
          <w:p w14:paraId="276AF462" w14:textId="77777777" w:rsidR="001F6A0A" w:rsidRDefault="001F6A0A" w:rsidP="00173336">
            <w:pPr>
              <w:pStyle w:val="Normal1"/>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immigrant or diversity visas</w:t>
            </w:r>
          </w:p>
        </w:tc>
      </w:tr>
    </w:tbl>
    <w:p w14:paraId="7AC6B0F1" w14:textId="77777777" w:rsidR="004471D1" w:rsidRDefault="004471D1" w:rsidP="00173336">
      <w:pPr>
        <w:tabs>
          <w:tab w:val="left" w:pos="2702"/>
        </w:tabs>
        <w:rPr>
          <w:rFonts w:ascii="Times New Roman" w:hAnsi="Times New Roman" w:cs="Times New Roman"/>
        </w:rPr>
      </w:pPr>
    </w:p>
    <w:p w14:paraId="337F0849" w14:textId="60246083" w:rsidR="00BC288F" w:rsidRDefault="00D866E8" w:rsidP="00173336">
      <w:pPr>
        <w:tabs>
          <w:tab w:val="left" w:pos="2702"/>
        </w:tabs>
        <w:rPr>
          <w:rFonts w:ascii="Times New Roman" w:hAnsi="Times New Roman" w:cs="Times New Roman"/>
        </w:rPr>
      </w:pPr>
      <w:r>
        <w:rPr>
          <w:rFonts w:ascii="Times New Roman" w:hAnsi="Times New Roman" w:cs="Times New Roman"/>
        </w:rPr>
        <w:t xml:space="preserve">Although </w:t>
      </w:r>
      <w:r w:rsidR="00BC288F">
        <w:rPr>
          <w:rFonts w:ascii="Times New Roman" w:hAnsi="Times New Roman" w:cs="Times New Roman"/>
        </w:rPr>
        <w:t>the Proclamation</w:t>
      </w:r>
      <w:r w:rsidR="00FB4157">
        <w:rPr>
          <w:rFonts w:ascii="Times New Roman" w:hAnsi="Times New Roman" w:cs="Times New Roman"/>
        </w:rPr>
        <w:t xml:space="preserve"> </w:t>
      </w:r>
      <w:r w:rsidRPr="00360440">
        <w:rPr>
          <w:rFonts w:ascii="Times New Roman" w:hAnsi="Times New Roman" w:cs="Times New Roman"/>
        </w:rPr>
        <w:t>included two non-Muslim majority countries,</w:t>
      </w:r>
      <w:r>
        <w:rPr>
          <w:rFonts w:ascii="Times New Roman" w:hAnsi="Times New Roman" w:cs="Times New Roman"/>
        </w:rPr>
        <w:t xml:space="preserve"> Venezuela and North Korea, their addition had nearly no impact </w:t>
      </w:r>
      <w:r w:rsidR="00DB38AA">
        <w:rPr>
          <w:rFonts w:ascii="Times New Roman" w:hAnsi="Times New Roman" w:cs="Times New Roman"/>
        </w:rPr>
        <w:t>on the number of those affected by the Proclamation</w:t>
      </w:r>
      <w:r>
        <w:rPr>
          <w:rFonts w:ascii="Times New Roman" w:hAnsi="Times New Roman" w:cs="Times New Roman"/>
        </w:rPr>
        <w:t xml:space="preserve">.  The restrictions against Venezuela were limited to only specific </w:t>
      </w:r>
      <w:r w:rsidR="004471D1">
        <w:rPr>
          <w:rFonts w:ascii="Times New Roman" w:hAnsi="Times New Roman" w:cs="Times New Roman"/>
        </w:rPr>
        <w:t>government officials</w:t>
      </w:r>
      <w:r>
        <w:rPr>
          <w:rFonts w:ascii="Times New Roman" w:hAnsi="Times New Roman" w:cs="Times New Roman"/>
        </w:rPr>
        <w:t xml:space="preserve"> and their families.  </w:t>
      </w:r>
      <w:r w:rsidR="00DB38AA">
        <w:rPr>
          <w:rFonts w:ascii="Times New Roman" w:hAnsi="Times New Roman" w:cs="Times New Roman"/>
        </w:rPr>
        <w:t>Similarly</w:t>
      </w:r>
      <w:r w:rsidR="004471D1">
        <w:rPr>
          <w:rFonts w:ascii="Times New Roman" w:hAnsi="Times New Roman" w:cs="Times New Roman"/>
        </w:rPr>
        <w:t xml:space="preserve">, </w:t>
      </w:r>
      <w:r>
        <w:rPr>
          <w:rFonts w:ascii="Times New Roman" w:hAnsi="Times New Roman" w:cs="Times New Roman"/>
        </w:rPr>
        <w:t xml:space="preserve">immigration from North Korea to the </w:t>
      </w:r>
      <w:r w:rsidR="004471D1">
        <w:rPr>
          <w:rFonts w:ascii="Times New Roman" w:hAnsi="Times New Roman" w:cs="Times New Roman"/>
        </w:rPr>
        <w:t>U.S.</w:t>
      </w:r>
      <w:r>
        <w:rPr>
          <w:rFonts w:ascii="Times New Roman" w:hAnsi="Times New Roman" w:cs="Times New Roman"/>
        </w:rPr>
        <w:t xml:space="preserve"> is nearly non-existent.</w:t>
      </w:r>
      <w:r w:rsidR="003F3D71">
        <w:rPr>
          <w:rFonts w:ascii="Times New Roman" w:hAnsi="Times New Roman" w:cs="Times New Roman"/>
        </w:rPr>
        <w:t xml:space="preserve">  </w:t>
      </w:r>
      <w:r w:rsidR="002B0E43">
        <w:rPr>
          <w:rFonts w:ascii="Times New Roman" w:hAnsi="Times New Roman" w:cs="Times New Roman"/>
        </w:rPr>
        <w:t>By</w:t>
      </w:r>
      <w:r w:rsidR="00BC288F">
        <w:rPr>
          <w:rFonts w:ascii="Times New Roman" w:hAnsi="Times New Roman" w:cs="Times New Roman"/>
        </w:rPr>
        <w:t xml:space="preserve"> contrast, the Proclamation categorically bars all immigrant visas for individuals fro</w:t>
      </w:r>
      <w:r w:rsidR="009B2785">
        <w:rPr>
          <w:rFonts w:ascii="Times New Roman" w:hAnsi="Times New Roman" w:cs="Times New Roman"/>
        </w:rPr>
        <w:t xml:space="preserve">m the Muslim-majority countries.  </w:t>
      </w:r>
      <w:r w:rsidR="004471D1" w:rsidRPr="00743D23">
        <w:rPr>
          <w:rFonts w:ascii="Times New Roman" w:hAnsi="Times New Roman" w:cs="Times New Roman"/>
        </w:rPr>
        <w:t>As a result, the Proclamation dispropor</w:t>
      </w:r>
      <w:r w:rsidR="009B2785">
        <w:rPr>
          <w:rFonts w:ascii="Times New Roman" w:hAnsi="Times New Roman" w:cs="Times New Roman"/>
        </w:rPr>
        <w:t xml:space="preserve">tionately discriminates </w:t>
      </w:r>
      <w:r w:rsidR="00A939C6">
        <w:rPr>
          <w:rFonts w:ascii="Times New Roman" w:hAnsi="Times New Roman" w:cs="Times New Roman"/>
        </w:rPr>
        <w:t xml:space="preserve">against </w:t>
      </w:r>
      <w:r w:rsidR="004471D1" w:rsidRPr="00743D23">
        <w:rPr>
          <w:rFonts w:ascii="Times New Roman" w:hAnsi="Times New Roman" w:cs="Times New Roman"/>
        </w:rPr>
        <w:t xml:space="preserve">Muslims and individuals from Muslim-majority countries. </w:t>
      </w:r>
    </w:p>
    <w:p w14:paraId="2B6DA061" w14:textId="77777777" w:rsidR="00D866E8" w:rsidRDefault="00D866E8" w:rsidP="00173336">
      <w:pPr>
        <w:tabs>
          <w:tab w:val="left" w:pos="2702"/>
        </w:tabs>
        <w:rPr>
          <w:rFonts w:ascii="Times New Roman" w:hAnsi="Times New Roman" w:cs="Times New Roman"/>
        </w:rPr>
      </w:pPr>
    </w:p>
    <w:p w14:paraId="27AE6422" w14:textId="2C14C807" w:rsidR="009B2785" w:rsidRPr="009B2785" w:rsidRDefault="00EA647C" w:rsidP="00173336">
      <w:pPr>
        <w:tabs>
          <w:tab w:val="left" w:pos="2702"/>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only hope for a visa for affected individuals is </w:t>
      </w:r>
      <w:r w:rsidR="002B0E43">
        <w:rPr>
          <w:rFonts w:ascii="Times New Roman" w:eastAsia="Times New Roman" w:hAnsi="Times New Roman" w:cs="Times New Roman"/>
          <w:color w:val="000000"/>
        </w:rPr>
        <w:t xml:space="preserve">under what the Proclamation refers to as the </w:t>
      </w:r>
      <w:r>
        <w:rPr>
          <w:rFonts w:ascii="Times New Roman" w:eastAsia="Times New Roman" w:hAnsi="Times New Roman" w:cs="Times New Roman"/>
          <w:color w:val="000000"/>
        </w:rPr>
        <w:t xml:space="preserve">case-by-case “waiver” process; a waiver </w:t>
      </w:r>
      <w:r w:rsidR="009B2785">
        <w:rPr>
          <w:rFonts w:ascii="Times New Roman" w:eastAsia="Times New Roman" w:hAnsi="Times New Roman" w:cs="Times New Roman"/>
          <w:color w:val="000000"/>
        </w:rPr>
        <w:t>is supposed to function</w:t>
      </w:r>
      <w:r>
        <w:rPr>
          <w:rFonts w:ascii="Times New Roman" w:eastAsia="Times New Roman" w:hAnsi="Times New Roman" w:cs="Times New Roman"/>
          <w:color w:val="000000"/>
        </w:rPr>
        <w:t xml:space="preserve"> as an exception allowing the visa to be </w:t>
      </w:r>
      <w:r w:rsidR="00DB38AA">
        <w:rPr>
          <w:rFonts w:ascii="Times New Roman" w:eastAsia="Times New Roman" w:hAnsi="Times New Roman" w:cs="Times New Roman"/>
          <w:color w:val="000000"/>
        </w:rPr>
        <w:t>issued</w:t>
      </w:r>
      <w:r>
        <w:rPr>
          <w:rFonts w:ascii="Times New Roman" w:eastAsia="Times New Roman" w:hAnsi="Times New Roman" w:cs="Times New Roman"/>
          <w:color w:val="000000"/>
        </w:rPr>
        <w:t xml:space="preserve"> for otherwise banned individuals.</w:t>
      </w:r>
      <w:r w:rsidR="009B2785">
        <w:rPr>
          <w:rFonts w:ascii="Times New Roman" w:eastAsia="Times New Roman" w:hAnsi="Times New Roman" w:cs="Times New Roman"/>
          <w:color w:val="000000"/>
        </w:rPr>
        <w:t xml:space="preserve">  The burden is on the applicant to demonstrate that they satisfy the following three criteria: (1) </w:t>
      </w:r>
      <w:r w:rsidR="00FB4157">
        <w:rPr>
          <w:rFonts w:ascii="Times New Roman" w:eastAsia="Times New Roman" w:hAnsi="Times New Roman" w:cs="Times New Roman"/>
          <w:color w:val="000000"/>
        </w:rPr>
        <w:t>d</w:t>
      </w:r>
      <w:r w:rsidR="009B2785" w:rsidRPr="009B2785">
        <w:rPr>
          <w:rFonts w:ascii="Times New Roman" w:eastAsia="Times New Roman" w:hAnsi="Times New Roman" w:cs="Times New Roman"/>
          <w:color w:val="000000"/>
        </w:rPr>
        <w:t xml:space="preserve">enying them entry to the </w:t>
      </w:r>
      <w:r w:rsidR="009B2785">
        <w:rPr>
          <w:rFonts w:ascii="Times New Roman" w:eastAsia="Times New Roman" w:hAnsi="Times New Roman" w:cs="Times New Roman"/>
          <w:color w:val="000000"/>
        </w:rPr>
        <w:t>U.S.</w:t>
      </w:r>
      <w:r w:rsidR="009B2785" w:rsidRPr="009B2785">
        <w:rPr>
          <w:rFonts w:ascii="Times New Roman" w:eastAsia="Times New Roman" w:hAnsi="Times New Roman" w:cs="Times New Roman"/>
          <w:color w:val="000000"/>
        </w:rPr>
        <w:t xml:space="preserve"> would cause them undue hardship; </w:t>
      </w:r>
      <w:r w:rsidR="009B2785">
        <w:rPr>
          <w:rFonts w:ascii="Times New Roman" w:eastAsia="Times New Roman" w:hAnsi="Times New Roman" w:cs="Times New Roman"/>
          <w:color w:val="000000"/>
        </w:rPr>
        <w:t xml:space="preserve">(2) their </w:t>
      </w:r>
      <w:r w:rsidR="009B2785" w:rsidRPr="009B2785">
        <w:rPr>
          <w:rFonts w:ascii="Times New Roman" w:eastAsia="Times New Roman" w:hAnsi="Times New Roman" w:cs="Times New Roman"/>
          <w:color w:val="000000"/>
        </w:rPr>
        <w:t xml:space="preserve">entry would not pose a threat to the national security of the United States; and </w:t>
      </w:r>
      <w:r w:rsidR="009B2785">
        <w:rPr>
          <w:rFonts w:ascii="Times New Roman" w:eastAsia="Times New Roman" w:hAnsi="Times New Roman" w:cs="Times New Roman"/>
          <w:color w:val="000000"/>
        </w:rPr>
        <w:t xml:space="preserve">(3) their </w:t>
      </w:r>
      <w:r w:rsidR="009B2785" w:rsidRPr="009B2785">
        <w:rPr>
          <w:rFonts w:ascii="Times New Roman" w:eastAsia="Times New Roman" w:hAnsi="Times New Roman" w:cs="Times New Roman"/>
          <w:color w:val="000000"/>
        </w:rPr>
        <w:t xml:space="preserve">entry would be in the national interest of the </w:t>
      </w:r>
      <w:r w:rsidR="009B2785">
        <w:rPr>
          <w:rFonts w:ascii="Times New Roman" w:eastAsia="Times New Roman" w:hAnsi="Times New Roman" w:cs="Times New Roman"/>
          <w:color w:val="000000"/>
        </w:rPr>
        <w:t>U.S</w:t>
      </w:r>
      <w:r w:rsidR="009B2785" w:rsidRPr="009B2785">
        <w:rPr>
          <w:rFonts w:ascii="Times New Roman" w:eastAsia="Times New Roman" w:hAnsi="Times New Roman" w:cs="Times New Roman"/>
          <w:color w:val="000000"/>
        </w:rPr>
        <w:t xml:space="preserve">.  </w:t>
      </w:r>
    </w:p>
    <w:p w14:paraId="68443D59" w14:textId="77777777" w:rsidR="009B2785" w:rsidRDefault="00EA647C" w:rsidP="00173336">
      <w:pPr>
        <w:tabs>
          <w:tab w:val="left" w:pos="2702"/>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CF266BC" w14:textId="5A96C79F" w:rsidR="00EA647C" w:rsidRPr="00C64119" w:rsidRDefault="00134F24" w:rsidP="00173336">
      <w:pPr>
        <w:tabs>
          <w:tab w:val="left" w:pos="2702"/>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Seemingly, thousands of families and applicant should be able to satisfy these broad requirements.  </w:t>
      </w:r>
      <w:r w:rsidR="00EA647C">
        <w:rPr>
          <w:rFonts w:ascii="Times New Roman" w:eastAsia="Times New Roman" w:hAnsi="Times New Roman" w:cs="Times New Roman"/>
          <w:color w:val="000000"/>
        </w:rPr>
        <w:t xml:space="preserve">However, the waiver process has been </w:t>
      </w:r>
      <w:r w:rsidR="00972A43">
        <w:rPr>
          <w:rFonts w:ascii="Times New Roman" w:eastAsia="Times New Roman" w:hAnsi="Times New Roman" w:cs="Times New Roman"/>
          <w:color w:val="000000"/>
        </w:rPr>
        <w:t xml:space="preserve">elusive, opaque, and arbitrary.  </w:t>
      </w:r>
      <w:r w:rsidR="002B0E43">
        <w:rPr>
          <w:rFonts w:ascii="Times New Roman" w:eastAsia="Times New Roman" w:hAnsi="Times New Roman" w:cs="Times New Roman"/>
          <w:color w:val="000000"/>
        </w:rPr>
        <w:t>Initial d</w:t>
      </w:r>
      <w:r w:rsidR="00D866E8">
        <w:rPr>
          <w:rFonts w:ascii="Times New Roman" w:eastAsia="Times New Roman" w:hAnsi="Times New Roman" w:cs="Times New Roman"/>
          <w:color w:val="000000"/>
        </w:rPr>
        <w:t xml:space="preserve">ata released in February 2018 by the </w:t>
      </w:r>
      <w:r w:rsidR="00624151">
        <w:rPr>
          <w:rFonts w:ascii="Times New Roman" w:eastAsia="Times New Roman" w:hAnsi="Times New Roman" w:cs="Times New Roman"/>
          <w:color w:val="000000"/>
        </w:rPr>
        <w:t>U.S. Department of State (“DOS”)</w:t>
      </w:r>
      <w:r w:rsidR="00D866E8">
        <w:rPr>
          <w:rFonts w:ascii="Times New Roman" w:eastAsia="Times New Roman" w:hAnsi="Times New Roman" w:cs="Times New Roman"/>
          <w:color w:val="000000"/>
        </w:rPr>
        <w:t xml:space="preserve"> to Senator Van Hollen</w:t>
      </w:r>
      <w:r w:rsidR="00D866E8" w:rsidRPr="00AB6C40">
        <w:rPr>
          <w:rFonts w:ascii="Times New Roman" w:eastAsia="Times New Roman" w:hAnsi="Times New Roman" w:cs="Times New Roman"/>
          <w:color w:val="000000"/>
        </w:rPr>
        <w:t xml:space="preserve"> showed that </w:t>
      </w:r>
      <w:r w:rsidR="00A939C6">
        <w:rPr>
          <w:rFonts w:ascii="Times New Roman" w:eastAsia="Times New Roman" w:hAnsi="Times New Roman" w:cs="Times New Roman"/>
          <w:color w:val="000000"/>
        </w:rPr>
        <w:t>between December 08,</w:t>
      </w:r>
      <w:r w:rsidR="007F1D1E">
        <w:rPr>
          <w:rFonts w:ascii="Times New Roman" w:eastAsia="Times New Roman" w:hAnsi="Times New Roman" w:cs="Times New Roman"/>
          <w:color w:val="000000"/>
        </w:rPr>
        <w:t xml:space="preserve"> </w:t>
      </w:r>
      <w:r w:rsidR="00A939C6">
        <w:rPr>
          <w:rFonts w:ascii="Times New Roman" w:eastAsia="Times New Roman" w:hAnsi="Times New Roman" w:cs="Times New Roman"/>
          <w:color w:val="000000"/>
        </w:rPr>
        <w:t xml:space="preserve">2017 and February 15, 2015 </w:t>
      </w:r>
      <w:r w:rsidR="00D866E8" w:rsidRPr="00AB6C40">
        <w:rPr>
          <w:rFonts w:ascii="Times New Roman" w:eastAsia="Times New Roman" w:hAnsi="Times New Roman" w:cs="Times New Roman"/>
          <w:color w:val="000000"/>
        </w:rPr>
        <w:t xml:space="preserve">all </w:t>
      </w:r>
      <w:r w:rsidR="00D866E8" w:rsidRPr="00BC288F">
        <w:rPr>
          <w:rFonts w:ascii="Times New Roman" w:eastAsia="Times New Roman" w:hAnsi="Times New Roman" w:cs="Times New Roman"/>
          <w:color w:val="000000"/>
        </w:rPr>
        <w:t>but two (2) individual visas out of 6,555 had been denied, reflecting a 99.97% rejection rate.</w:t>
      </w:r>
      <w:r w:rsidR="00D866E8" w:rsidRPr="00BC288F">
        <w:rPr>
          <w:rFonts w:ascii="Times New Roman" w:eastAsia="Times New Roman" w:hAnsi="Times New Roman" w:cs="Times New Roman"/>
          <w:color w:val="000000"/>
          <w:vertAlign w:val="superscript"/>
        </w:rPr>
        <w:footnoteReference w:id="8"/>
      </w:r>
      <w:r w:rsidR="002B0E43">
        <w:rPr>
          <w:rFonts w:ascii="Times New Roman" w:eastAsia="Times New Roman" w:hAnsi="Times New Roman" w:cs="Times New Roman"/>
          <w:color w:val="000000"/>
        </w:rPr>
        <w:t xml:space="preserve">  Subsequent data provided by DOS to Senator Van Hollen over the next several months showed that approximately 2% of waivers are being granted; still reflecting nearly 98% that are either pending or denied.  </w:t>
      </w:r>
      <w:r w:rsidR="00D866E8" w:rsidRPr="00BC288F">
        <w:rPr>
          <w:rFonts w:ascii="Times New Roman" w:eastAsia="Times New Roman" w:hAnsi="Times New Roman" w:cs="Times New Roman"/>
          <w:color w:val="000000"/>
        </w:rPr>
        <w:t xml:space="preserve">Despite the government’s ongoing representations that nationals of the listed countries were “not banned” because they could obtain a visa through the waiver process, implementation of </w:t>
      </w:r>
      <w:r w:rsidR="00EA647C">
        <w:rPr>
          <w:rFonts w:ascii="Times New Roman" w:eastAsia="Times New Roman" w:hAnsi="Times New Roman" w:cs="Times New Roman"/>
          <w:color w:val="000000"/>
        </w:rPr>
        <w:t>Proclamation</w:t>
      </w:r>
      <w:r w:rsidR="00D866E8" w:rsidRPr="00BC288F">
        <w:rPr>
          <w:rFonts w:ascii="Times New Roman" w:eastAsia="Times New Roman" w:hAnsi="Times New Roman" w:cs="Times New Roman"/>
          <w:color w:val="000000"/>
        </w:rPr>
        <w:t xml:space="preserve"> and the data released confirms that it is designed to reject and ban as many individuals as possible.</w:t>
      </w:r>
      <w:r w:rsidR="00881E72">
        <w:rPr>
          <w:rFonts w:ascii="Times New Roman" w:eastAsia="Times New Roman" w:hAnsi="Times New Roman" w:cs="Times New Roman"/>
          <w:color w:val="000000"/>
        </w:rPr>
        <w:t xml:space="preserve">  </w:t>
      </w:r>
      <w:r w:rsidR="00743D23">
        <w:rPr>
          <w:rFonts w:ascii="Times New Roman" w:eastAsia="Times New Roman" w:hAnsi="Times New Roman" w:cs="Times New Roman"/>
          <w:color w:val="000000"/>
        </w:rPr>
        <w:t>Indeed, a</w:t>
      </w:r>
      <w:r w:rsidR="00EA647C">
        <w:rPr>
          <w:rFonts w:ascii="Times New Roman" w:eastAsia="Times New Roman" w:hAnsi="Times New Roman" w:cs="Times New Roman"/>
          <w:color w:val="000000"/>
        </w:rPr>
        <w:t xml:space="preserve"> former U.S. government consular officer has stated that </w:t>
      </w:r>
      <w:r w:rsidR="00EA647C">
        <w:rPr>
          <w:rFonts w:ascii="Times New Roman" w:hAnsi="Times New Roman" w:cs="Times New Roman"/>
          <w:color w:val="000000"/>
        </w:rPr>
        <w:t>“[t</w:t>
      </w:r>
      <w:r w:rsidR="00EA647C" w:rsidRPr="00186F2D">
        <w:rPr>
          <w:rFonts w:ascii="Times New Roman" w:hAnsi="Times New Roman" w:cs="Times New Roman"/>
          <w:color w:val="000000"/>
        </w:rPr>
        <w:t>]</w:t>
      </w:r>
      <w:r w:rsidR="00EA647C" w:rsidRPr="00186F2D">
        <w:rPr>
          <w:rFonts w:ascii="Times New Roman" w:eastAsia="Times New Roman" w:hAnsi="Times New Roman" w:cs="Times New Roman"/>
          <w:color w:val="000000"/>
        </w:rPr>
        <w:t>he waiver process is a superficial</w:t>
      </w:r>
      <w:r w:rsidR="00EA647C">
        <w:rPr>
          <w:rFonts w:ascii="Times New Roman" w:eastAsia="Times New Roman" w:hAnsi="Times New Roman" w:cs="Times New Roman"/>
          <w:color w:val="000000"/>
        </w:rPr>
        <w:t xml:space="preserve"> and wasteful bureaucratic exercise designed to hide the true intent of the travel ban: to keep an arbitrary group of Muslim travelers and immigrants from ever reaching the shores of </w:t>
      </w:r>
      <w:r w:rsidR="00EA647C" w:rsidRPr="00C64119">
        <w:rPr>
          <w:rFonts w:ascii="Times New Roman" w:eastAsia="Times New Roman" w:hAnsi="Times New Roman" w:cs="Times New Roman"/>
          <w:color w:val="000000"/>
        </w:rPr>
        <w:t>the United States</w:t>
      </w:r>
      <w:r w:rsidR="00EA647C" w:rsidRPr="00C64119">
        <w:rPr>
          <w:rFonts w:ascii="Times New Roman" w:hAnsi="Times New Roman" w:cs="Times New Roman"/>
          <w:color w:val="000000"/>
        </w:rPr>
        <w:t>.”</w:t>
      </w:r>
      <w:r w:rsidR="00EA647C" w:rsidRPr="00C64119">
        <w:rPr>
          <w:rStyle w:val="FootnoteReference"/>
          <w:rFonts w:ascii="Times New Roman" w:hAnsi="Times New Roman" w:cs="Times New Roman"/>
          <w:color w:val="000000"/>
        </w:rPr>
        <w:footnoteReference w:id="9"/>
      </w:r>
      <w:r w:rsidR="00C64119" w:rsidRPr="00C64119">
        <w:rPr>
          <w:rFonts w:ascii="Times New Roman" w:hAnsi="Times New Roman" w:cs="Times New Roman"/>
          <w:color w:val="000000"/>
        </w:rPr>
        <w:t xml:space="preserve">  </w:t>
      </w:r>
      <w:r w:rsidR="005511B9">
        <w:rPr>
          <w:rFonts w:ascii="Times New Roman" w:hAnsi="Times New Roman" w:cs="Times New Roman"/>
          <w:color w:val="000000"/>
        </w:rPr>
        <w:t>At</w:t>
      </w:r>
      <w:r w:rsidR="00C64119" w:rsidRPr="00C64119">
        <w:rPr>
          <w:rFonts w:ascii="Times New Roman" w:hAnsi="Times New Roman" w:cs="Times New Roman"/>
          <w:color w:val="000000"/>
        </w:rPr>
        <w:t xml:space="preserve"> least two </w:t>
      </w:r>
      <w:r w:rsidR="005511B9">
        <w:rPr>
          <w:rFonts w:ascii="Times New Roman" w:hAnsi="Times New Roman" w:cs="Times New Roman"/>
          <w:color w:val="000000"/>
        </w:rPr>
        <w:t xml:space="preserve">federal </w:t>
      </w:r>
      <w:r w:rsidR="00C64119" w:rsidRPr="00C64119">
        <w:rPr>
          <w:rFonts w:ascii="Times New Roman" w:hAnsi="Times New Roman" w:cs="Times New Roman"/>
          <w:color w:val="000000"/>
        </w:rPr>
        <w:t xml:space="preserve">class action lawsuits </w:t>
      </w:r>
      <w:r w:rsidR="00DB38AA">
        <w:rPr>
          <w:rFonts w:ascii="Times New Roman" w:hAnsi="Times New Roman" w:cs="Times New Roman"/>
          <w:color w:val="000000"/>
        </w:rPr>
        <w:t xml:space="preserve">currently </w:t>
      </w:r>
      <w:r w:rsidR="00C64119" w:rsidRPr="00C64119">
        <w:rPr>
          <w:rFonts w:ascii="Times New Roman" w:hAnsi="Times New Roman" w:cs="Times New Roman"/>
          <w:color w:val="000000"/>
        </w:rPr>
        <w:t>challenge the unlawful imp</w:t>
      </w:r>
      <w:r w:rsidR="005511B9">
        <w:rPr>
          <w:rFonts w:ascii="Times New Roman" w:hAnsi="Times New Roman" w:cs="Times New Roman"/>
          <w:color w:val="000000"/>
        </w:rPr>
        <w:t>lementation of the Proclamation and</w:t>
      </w:r>
      <w:r w:rsidR="00C64119" w:rsidRPr="00C64119">
        <w:rPr>
          <w:rFonts w:ascii="Times New Roman" w:hAnsi="Times New Roman" w:cs="Times New Roman"/>
          <w:color w:val="000000"/>
        </w:rPr>
        <w:t xml:space="preserve"> </w:t>
      </w:r>
      <w:r w:rsidR="00C64119">
        <w:rPr>
          <w:rFonts w:ascii="Times New Roman" w:hAnsi="Times New Roman" w:cs="Times New Roman"/>
          <w:color w:val="000000"/>
        </w:rPr>
        <w:t xml:space="preserve">several U.S. congressional representatives </w:t>
      </w:r>
      <w:r w:rsidR="007F1D1E">
        <w:rPr>
          <w:rFonts w:ascii="Times New Roman" w:hAnsi="Times New Roman" w:cs="Times New Roman"/>
          <w:color w:val="000000"/>
        </w:rPr>
        <w:t xml:space="preserve">have </w:t>
      </w:r>
      <w:r w:rsidR="009B2785">
        <w:rPr>
          <w:rFonts w:ascii="Times New Roman" w:hAnsi="Times New Roman" w:cs="Times New Roman"/>
          <w:color w:val="000000"/>
        </w:rPr>
        <w:t>proposed policies call</w:t>
      </w:r>
      <w:r w:rsidR="00A939C6">
        <w:rPr>
          <w:rFonts w:ascii="Times New Roman" w:hAnsi="Times New Roman" w:cs="Times New Roman"/>
          <w:color w:val="000000"/>
        </w:rPr>
        <w:t>ing</w:t>
      </w:r>
      <w:r w:rsidR="009B2785">
        <w:rPr>
          <w:rFonts w:ascii="Times New Roman" w:hAnsi="Times New Roman" w:cs="Times New Roman"/>
          <w:color w:val="000000"/>
        </w:rPr>
        <w:t xml:space="preserve"> for accountability on the so-called waiver process</w:t>
      </w:r>
      <w:r w:rsidR="005511B9">
        <w:rPr>
          <w:rFonts w:ascii="Times New Roman" w:hAnsi="Times New Roman" w:cs="Times New Roman"/>
          <w:color w:val="000000"/>
        </w:rPr>
        <w:t xml:space="preserve">. </w:t>
      </w:r>
      <w:r w:rsidR="009B2785">
        <w:rPr>
          <w:rFonts w:ascii="Times New Roman" w:hAnsi="Times New Roman" w:cs="Times New Roman"/>
          <w:color w:val="000000"/>
        </w:rPr>
        <w:t xml:space="preserve"> </w:t>
      </w:r>
    </w:p>
    <w:p w14:paraId="1A5C0740" w14:textId="77777777" w:rsidR="003F3D71" w:rsidRPr="00C64119" w:rsidRDefault="003F3D71" w:rsidP="00173336">
      <w:pPr>
        <w:tabs>
          <w:tab w:val="left" w:pos="2702"/>
        </w:tabs>
        <w:rPr>
          <w:rFonts w:ascii="Times New Roman" w:eastAsia="Times New Roman" w:hAnsi="Times New Roman" w:cs="Times New Roman"/>
          <w:color w:val="000000"/>
        </w:rPr>
      </w:pPr>
    </w:p>
    <w:p w14:paraId="578EEAA1" w14:textId="344A6F23" w:rsidR="005511B9" w:rsidRDefault="003F3D71" w:rsidP="00173336">
      <w:pPr>
        <w:tabs>
          <w:tab w:val="left" w:pos="2702"/>
        </w:tabs>
        <w:rPr>
          <w:rFonts w:ascii="Times New Roman" w:eastAsia="Times New Roman" w:hAnsi="Times New Roman" w:cs="Times New Roman"/>
          <w:color w:val="000000"/>
        </w:rPr>
      </w:pPr>
      <w:r w:rsidRPr="00C64119">
        <w:rPr>
          <w:rFonts w:ascii="Times New Roman" w:eastAsia="Times New Roman" w:hAnsi="Times New Roman" w:cs="Times New Roman"/>
          <w:color w:val="000000"/>
        </w:rPr>
        <w:t xml:space="preserve">The resulting impact </w:t>
      </w:r>
      <w:r w:rsidR="00743D23" w:rsidRPr="00C64119">
        <w:rPr>
          <w:rFonts w:ascii="Times New Roman" w:eastAsia="Times New Roman" w:hAnsi="Times New Roman" w:cs="Times New Roman"/>
          <w:color w:val="000000"/>
        </w:rPr>
        <w:t xml:space="preserve">of the Proclamation </w:t>
      </w:r>
      <w:r w:rsidR="00972A43">
        <w:rPr>
          <w:rFonts w:ascii="Times New Roman" w:eastAsia="Times New Roman" w:hAnsi="Times New Roman" w:cs="Times New Roman"/>
          <w:color w:val="000000"/>
        </w:rPr>
        <w:t>on U.S. citizens and lawful permanent residents (“</w:t>
      </w:r>
      <w:r w:rsidR="00217BC8" w:rsidRPr="00C64119">
        <w:rPr>
          <w:rFonts w:ascii="Times New Roman" w:eastAsia="Times New Roman" w:hAnsi="Times New Roman" w:cs="Times New Roman"/>
          <w:color w:val="000000"/>
        </w:rPr>
        <w:t>LPRs</w:t>
      </w:r>
      <w:r w:rsidR="00972A43">
        <w:rPr>
          <w:rFonts w:ascii="Times New Roman" w:eastAsia="Times New Roman" w:hAnsi="Times New Roman" w:cs="Times New Roman"/>
          <w:color w:val="000000"/>
        </w:rPr>
        <w:t>”</w:t>
      </w:r>
      <w:r w:rsidR="00A939C6">
        <w:rPr>
          <w:rFonts w:ascii="Times New Roman" w:eastAsia="Times New Roman" w:hAnsi="Times New Roman" w:cs="Times New Roman"/>
          <w:color w:val="000000"/>
        </w:rPr>
        <w:t xml:space="preserve"> or “green card holders”</w:t>
      </w:r>
      <w:r w:rsidR="00972A43">
        <w:rPr>
          <w:rFonts w:ascii="Times New Roman" w:eastAsia="Times New Roman" w:hAnsi="Times New Roman" w:cs="Times New Roman"/>
          <w:color w:val="000000"/>
        </w:rPr>
        <w:t>)</w:t>
      </w:r>
      <w:r w:rsidR="00A939C6">
        <w:rPr>
          <w:rFonts w:ascii="Times New Roman" w:eastAsia="Times New Roman" w:hAnsi="Times New Roman" w:cs="Times New Roman"/>
          <w:color w:val="000000"/>
        </w:rPr>
        <w:t xml:space="preserve">, </w:t>
      </w:r>
      <w:r w:rsidR="00217BC8" w:rsidRPr="00C64119">
        <w:rPr>
          <w:rFonts w:ascii="Times New Roman" w:eastAsia="Times New Roman" w:hAnsi="Times New Roman" w:cs="Times New Roman"/>
          <w:color w:val="000000"/>
        </w:rPr>
        <w:t xml:space="preserve">as well as </w:t>
      </w:r>
      <w:r w:rsidRPr="00C64119">
        <w:rPr>
          <w:rFonts w:ascii="Times New Roman" w:eastAsia="Times New Roman" w:hAnsi="Times New Roman" w:cs="Times New Roman"/>
          <w:color w:val="000000"/>
        </w:rPr>
        <w:t>their families abroad</w:t>
      </w:r>
      <w:r w:rsidR="00A939C6">
        <w:rPr>
          <w:rFonts w:ascii="Times New Roman" w:eastAsia="Times New Roman" w:hAnsi="Times New Roman" w:cs="Times New Roman"/>
          <w:color w:val="000000"/>
        </w:rPr>
        <w:t xml:space="preserve">, </w:t>
      </w:r>
      <w:r w:rsidRPr="00C64119">
        <w:rPr>
          <w:rFonts w:ascii="Times New Roman" w:eastAsia="Times New Roman" w:hAnsi="Times New Roman" w:cs="Times New Roman"/>
          <w:color w:val="000000"/>
        </w:rPr>
        <w:t>goes far beyond</w:t>
      </w:r>
      <w:r>
        <w:rPr>
          <w:rFonts w:ascii="Times New Roman" w:eastAsia="Times New Roman" w:hAnsi="Times New Roman" w:cs="Times New Roman"/>
          <w:color w:val="000000"/>
        </w:rPr>
        <w:t xml:space="preserve"> travel restriction</w:t>
      </w:r>
      <w:r w:rsidR="00C64119">
        <w:rPr>
          <w:rFonts w:ascii="Times New Roman" w:eastAsia="Times New Roman" w:hAnsi="Times New Roman" w:cs="Times New Roman"/>
          <w:color w:val="000000"/>
        </w:rPr>
        <w:t xml:space="preserve">s.  Solely based on national origin and religious discrimination, </w:t>
      </w:r>
      <w:r w:rsidR="00B57511">
        <w:rPr>
          <w:rFonts w:ascii="Times New Roman" w:eastAsia="Times New Roman" w:hAnsi="Times New Roman" w:cs="Times New Roman"/>
          <w:color w:val="000000"/>
        </w:rPr>
        <w:t xml:space="preserve">families are </w:t>
      </w:r>
      <w:r w:rsidR="00134F24">
        <w:rPr>
          <w:rFonts w:ascii="Times New Roman" w:eastAsia="Times New Roman" w:hAnsi="Times New Roman" w:cs="Times New Roman"/>
          <w:color w:val="000000"/>
        </w:rPr>
        <w:t>facing indefinite separation</w:t>
      </w:r>
      <w:r w:rsidR="00C64119">
        <w:rPr>
          <w:rStyle w:val="FootnoteReference"/>
          <w:rFonts w:ascii="Times New Roman" w:eastAsia="Times New Roman" w:hAnsi="Times New Roman" w:cs="Times New Roman"/>
          <w:color w:val="000000"/>
        </w:rPr>
        <w:footnoteReference w:id="10"/>
      </w:r>
      <w:r>
        <w:rPr>
          <w:rFonts w:ascii="Times New Roman" w:eastAsia="Times New Roman" w:hAnsi="Times New Roman" w:cs="Times New Roman"/>
          <w:color w:val="000000"/>
        </w:rPr>
        <w:t xml:space="preserve"> </w:t>
      </w:r>
      <w:r w:rsidR="009B2785">
        <w:rPr>
          <w:rFonts w:ascii="Times New Roman" w:eastAsia="Times New Roman" w:hAnsi="Times New Roman" w:cs="Times New Roman"/>
          <w:color w:val="000000"/>
        </w:rPr>
        <w:t xml:space="preserve">and </w:t>
      </w:r>
      <w:r w:rsidR="00134F24">
        <w:rPr>
          <w:rFonts w:ascii="Times New Roman" w:eastAsia="Times New Roman" w:hAnsi="Times New Roman" w:cs="Times New Roman"/>
          <w:color w:val="000000"/>
        </w:rPr>
        <w:t xml:space="preserve">are </w:t>
      </w:r>
      <w:r>
        <w:rPr>
          <w:rFonts w:ascii="Times New Roman" w:eastAsia="Times New Roman" w:hAnsi="Times New Roman" w:cs="Times New Roman"/>
          <w:color w:val="000000"/>
        </w:rPr>
        <w:t>unable to practice their faith together</w:t>
      </w:r>
      <w:r w:rsidR="00881E72">
        <w:rPr>
          <w:rFonts w:ascii="Times New Roman" w:eastAsia="Times New Roman" w:hAnsi="Times New Roman" w:cs="Times New Roman"/>
          <w:color w:val="000000"/>
        </w:rPr>
        <w:t xml:space="preserve"> or in their communities</w:t>
      </w:r>
      <w:r w:rsidR="00DB38AA">
        <w:rPr>
          <w:rFonts w:ascii="Times New Roman" w:eastAsia="Times New Roman" w:hAnsi="Times New Roman" w:cs="Times New Roman"/>
          <w:color w:val="000000"/>
        </w:rPr>
        <w:t xml:space="preserve">, and in many cases, are stranded in conflict zones, forced to spend their life savings, awaiting reunification. </w:t>
      </w:r>
      <w:r w:rsidR="009B2785">
        <w:rPr>
          <w:rFonts w:ascii="Times New Roman" w:eastAsia="Times New Roman" w:hAnsi="Times New Roman" w:cs="Times New Roman"/>
          <w:color w:val="000000"/>
        </w:rPr>
        <w:t xml:space="preserve"> </w:t>
      </w:r>
    </w:p>
    <w:p w14:paraId="20CC0E2A" w14:textId="77777777" w:rsidR="005511B9" w:rsidRDefault="005511B9" w:rsidP="00173336">
      <w:pPr>
        <w:tabs>
          <w:tab w:val="left" w:pos="2702"/>
        </w:tabs>
        <w:rPr>
          <w:rFonts w:ascii="Times New Roman" w:eastAsia="Times New Roman" w:hAnsi="Times New Roman" w:cs="Times New Roman"/>
          <w:color w:val="000000"/>
        </w:rPr>
      </w:pPr>
    </w:p>
    <w:p w14:paraId="4F481568" w14:textId="77777777" w:rsidR="005511B9" w:rsidRDefault="005511B9" w:rsidP="00173336">
      <w:pPr>
        <w:pStyle w:val="ListParagraph"/>
        <w:numPr>
          <w:ilvl w:val="0"/>
          <w:numId w:val="4"/>
        </w:numPr>
        <w:tabs>
          <w:tab w:val="left" w:pos="2702"/>
        </w:tabs>
        <w:rPr>
          <w:rFonts w:ascii="Times New Roman" w:hAnsi="Times New Roman" w:cs="Times New Roman"/>
        </w:rPr>
      </w:pPr>
      <w:r>
        <w:rPr>
          <w:rFonts w:ascii="Times New Roman" w:hAnsi="Times New Roman" w:cs="Times New Roman"/>
        </w:rPr>
        <w:t>John Doe #2, a plaintiff in one of the lawsuits challenging the unlawful implementation of the Proclamation, is a U.S. citizen of Yemeni origin.  He and his two U.S. citizen daughters, aged seven and eleven, ha</w:t>
      </w:r>
      <w:r w:rsidR="00DB38AA">
        <w:rPr>
          <w:rFonts w:ascii="Times New Roman" w:hAnsi="Times New Roman" w:cs="Times New Roman"/>
        </w:rPr>
        <w:t xml:space="preserve">ve been separated from his wife, </w:t>
      </w:r>
      <w:r>
        <w:rPr>
          <w:rFonts w:ascii="Times New Roman" w:hAnsi="Times New Roman" w:cs="Times New Roman"/>
        </w:rPr>
        <w:t>and their mother</w:t>
      </w:r>
      <w:r w:rsidR="00DB38AA">
        <w:rPr>
          <w:rFonts w:ascii="Times New Roman" w:hAnsi="Times New Roman" w:cs="Times New Roman"/>
        </w:rPr>
        <w:t>,</w:t>
      </w:r>
      <w:r>
        <w:rPr>
          <w:rFonts w:ascii="Times New Roman" w:hAnsi="Times New Roman" w:cs="Times New Roman"/>
        </w:rPr>
        <w:t xml:space="preserve"> since 2016.  During her interview with the U.S. consulate in Djibouti in December 2017 shortly after the Proclamation went into effect, the consular officer told her she is ineligible for a visa and denied her waiver.  Although the consulate is now reconsidering her waiver, it has been over a year since her interview and she remains in Djibouti, stranded from her family</w:t>
      </w:r>
      <w:r w:rsidR="00A939C6">
        <w:rPr>
          <w:rFonts w:ascii="Times New Roman" w:hAnsi="Times New Roman" w:cs="Times New Roman"/>
        </w:rPr>
        <w:t xml:space="preserve"> and unable to return to war-torn Yemen</w:t>
      </w:r>
      <w:r>
        <w:rPr>
          <w:rFonts w:ascii="Times New Roman" w:hAnsi="Times New Roman" w:cs="Times New Roman"/>
        </w:rPr>
        <w:t>.  The family is confused, anxious, and heartbroken.  They have missed practicing their faith together including celebrating Eid (an important Muslim holiday marking the end of Ram</w:t>
      </w:r>
      <w:r w:rsidR="007D6110">
        <w:rPr>
          <w:rFonts w:ascii="Times New Roman" w:hAnsi="Times New Roman" w:cs="Times New Roman"/>
        </w:rPr>
        <w:t>a</w:t>
      </w:r>
      <w:r>
        <w:rPr>
          <w:rFonts w:ascii="Times New Roman" w:hAnsi="Times New Roman" w:cs="Times New Roman"/>
        </w:rPr>
        <w:t>dan).  John Doe #2 is also in anguish over caring for his two U.S. citizen daughters without their mother</w:t>
      </w:r>
      <w:r w:rsidR="007D6110">
        <w:rPr>
          <w:rFonts w:ascii="Times New Roman" w:hAnsi="Times New Roman" w:cs="Times New Roman"/>
        </w:rPr>
        <w:t>’</w:t>
      </w:r>
      <w:r>
        <w:rPr>
          <w:rFonts w:ascii="Times New Roman" w:hAnsi="Times New Roman" w:cs="Times New Roman"/>
        </w:rPr>
        <w:t xml:space="preserve">s care.  </w:t>
      </w:r>
    </w:p>
    <w:p w14:paraId="1B6A20CF" w14:textId="77777777" w:rsidR="000E2934" w:rsidRDefault="000E2934" w:rsidP="00173336">
      <w:pPr>
        <w:pStyle w:val="ListParagraph"/>
        <w:tabs>
          <w:tab w:val="left" w:pos="2702"/>
        </w:tabs>
        <w:rPr>
          <w:rFonts w:ascii="Times New Roman" w:hAnsi="Times New Roman" w:cs="Times New Roman"/>
        </w:rPr>
      </w:pPr>
    </w:p>
    <w:p w14:paraId="51795980" w14:textId="77777777" w:rsidR="005511B9" w:rsidRDefault="005511B9" w:rsidP="00173336">
      <w:pPr>
        <w:pStyle w:val="Normal1"/>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1C5880">
        <w:rPr>
          <w:rFonts w:ascii="Times New Roman" w:eastAsia="Times New Roman" w:hAnsi="Times New Roman" w:cs="Times New Roman"/>
          <w:color w:val="000000"/>
          <w:sz w:val="24"/>
          <w:szCs w:val="24"/>
        </w:rPr>
        <w:t>Mania</w:t>
      </w:r>
      <w:r w:rsidR="000E2934">
        <w:rPr>
          <w:rFonts w:ascii="Times New Roman" w:eastAsia="Times New Roman" w:hAnsi="Times New Roman" w:cs="Times New Roman"/>
          <w:color w:val="000000"/>
          <w:sz w:val="24"/>
          <w:szCs w:val="24"/>
        </w:rPr>
        <w:t xml:space="preserve"> </w:t>
      </w:r>
      <w:r w:rsidRPr="001C5880">
        <w:rPr>
          <w:rFonts w:ascii="Times New Roman" w:eastAsia="Times New Roman" w:hAnsi="Times New Roman" w:cs="Times New Roman"/>
          <w:color w:val="000000"/>
          <w:sz w:val="24"/>
          <w:szCs w:val="24"/>
        </w:rPr>
        <w:t xml:space="preserve">is a </w:t>
      </w:r>
      <w:r w:rsidR="000E2934">
        <w:rPr>
          <w:rFonts w:ascii="Times New Roman" w:eastAsia="Times New Roman" w:hAnsi="Times New Roman" w:cs="Times New Roman"/>
          <w:color w:val="000000"/>
          <w:sz w:val="24"/>
          <w:szCs w:val="24"/>
        </w:rPr>
        <w:t>U.S.</w:t>
      </w:r>
      <w:r w:rsidRPr="001C5880">
        <w:rPr>
          <w:rFonts w:ascii="Times New Roman" w:eastAsia="Times New Roman" w:hAnsi="Times New Roman" w:cs="Times New Roman"/>
          <w:color w:val="000000"/>
          <w:sz w:val="24"/>
          <w:szCs w:val="24"/>
        </w:rPr>
        <w:t xml:space="preserve"> citizen who petitioned for her father </w:t>
      </w:r>
      <w:r>
        <w:rPr>
          <w:rFonts w:ascii="Times New Roman" w:eastAsia="Times New Roman" w:hAnsi="Times New Roman" w:cs="Times New Roman"/>
          <w:color w:val="000000"/>
          <w:sz w:val="24"/>
          <w:szCs w:val="24"/>
        </w:rPr>
        <w:t xml:space="preserve">in Iran </w:t>
      </w:r>
      <w:r w:rsidRPr="001C5880">
        <w:rPr>
          <w:rFonts w:ascii="Times New Roman" w:eastAsia="Times New Roman" w:hAnsi="Times New Roman" w:cs="Times New Roman"/>
          <w:color w:val="000000"/>
          <w:sz w:val="24"/>
          <w:szCs w:val="24"/>
        </w:rPr>
        <w:t xml:space="preserve">to visit after her mother died of cancer and her brother was diagnosed with cancer as well.  Her father’s case was still pending when his son (her brother) passed away.  </w:t>
      </w:r>
      <w:r>
        <w:rPr>
          <w:rFonts w:ascii="Times New Roman" w:eastAsia="Times New Roman" w:hAnsi="Times New Roman" w:cs="Times New Roman"/>
          <w:color w:val="000000"/>
          <w:sz w:val="24"/>
          <w:szCs w:val="24"/>
        </w:rPr>
        <w:t>Mania</w:t>
      </w:r>
      <w:r w:rsidRPr="001C5880">
        <w:rPr>
          <w:rFonts w:ascii="Times New Roman" w:eastAsia="Times New Roman" w:hAnsi="Times New Roman" w:cs="Times New Roman"/>
          <w:color w:val="000000"/>
          <w:sz w:val="24"/>
          <w:szCs w:val="24"/>
        </w:rPr>
        <w:t xml:space="preserve"> had no mechanism to demonstrate that her father met the criteri</w:t>
      </w:r>
      <w:r>
        <w:rPr>
          <w:rFonts w:ascii="Times New Roman" w:eastAsia="Times New Roman" w:hAnsi="Times New Roman" w:cs="Times New Roman"/>
          <w:color w:val="000000"/>
          <w:sz w:val="24"/>
          <w:szCs w:val="24"/>
        </w:rPr>
        <w:t>a</w:t>
      </w:r>
      <w:r w:rsidRPr="001C5880">
        <w:rPr>
          <w:rFonts w:ascii="Times New Roman" w:eastAsia="Times New Roman" w:hAnsi="Times New Roman" w:cs="Times New Roman"/>
          <w:color w:val="000000"/>
          <w:sz w:val="24"/>
          <w:szCs w:val="24"/>
        </w:rPr>
        <w:t xml:space="preserve"> for a waiver.  After an additional nine months of delay, </w:t>
      </w:r>
      <w:r>
        <w:rPr>
          <w:rFonts w:ascii="Times New Roman" w:eastAsia="Times New Roman" w:hAnsi="Times New Roman" w:cs="Times New Roman"/>
          <w:color w:val="000000"/>
          <w:sz w:val="24"/>
          <w:szCs w:val="24"/>
        </w:rPr>
        <w:t>Mania</w:t>
      </w:r>
      <w:r w:rsidRPr="001C5880">
        <w:rPr>
          <w:rFonts w:ascii="Times New Roman" w:eastAsia="Times New Roman" w:hAnsi="Times New Roman" w:cs="Times New Roman"/>
          <w:color w:val="000000"/>
          <w:sz w:val="24"/>
          <w:szCs w:val="24"/>
        </w:rPr>
        <w:t xml:space="preserve"> could no longer risk waiting to see her father.  She missed work and visited her depressed father in Iran.  Nearly one month after her visit, her father passed away.  One month following his death, his </w:t>
      </w:r>
      <w:r>
        <w:rPr>
          <w:rFonts w:ascii="Times New Roman" w:eastAsia="Times New Roman" w:hAnsi="Times New Roman" w:cs="Times New Roman"/>
          <w:color w:val="000000"/>
          <w:sz w:val="24"/>
          <w:szCs w:val="24"/>
        </w:rPr>
        <w:t xml:space="preserve">waiver request and </w:t>
      </w:r>
      <w:r w:rsidRPr="001C5880">
        <w:rPr>
          <w:rFonts w:ascii="Times New Roman" w:eastAsia="Times New Roman" w:hAnsi="Times New Roman" w:cs="Times New Roman"/>
          <w:color w:val="000000"/>
          <w:sz w:val="24"/>
          <w:szCs w:val="24"/>
        </w:rPr>
        <w:t xml:space="preserve">visa was refused.  Her case is one of several where family members have died while trying to navigate the visa and waiver process.  </w:t>
      </w:r>
    </w:p>
    <w:p w14:paraId="376B5519" w14:textId="77777777" w:rsidR="000E2934" w:rsidRPr="005511B9" w:rsidRDefault="000E2934" w:rsidP="00173336">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2BAC7281" w14:textId="77777777" w:rsidR="00BC288F" w:rsidRPr="007D6110" w:rsidRDefault="007D6110" w:rsidP="007D6110">
      <w:pPr>
        <w:pStyle w:val="ListParagraph"/>
        <w:numPr>
          <w:ilvl w:val="0"/>
          <w:numId w:val="4"/>
        </w:numPr>
        <w:tabs>
          <w:tab w:val="left" w:pos="2702"/>
        </w:tabs>
        <w:rPr>
          <w:rFonts w:ascii="Times New Roman" w:hAnsi="Times New Roman" w:cs="Times New Roman"/>
        </w:rPr>
      </w:pPr>
      <w:r w:rsidRPr="004461D3">
        <w:rPr>
          <w:rFonts w:ascii="Times New Roman" w:hAnsi="Times New Roman" w:cs="Times New Roman"/>
        </w:rPr>
        <w:t>Hussain, a U.S. Citizen, traveled to Yemen in 2015 after the war broke out to help his wife Sawsan and his three U.S. Citizen children escape the dange</w:t>
      </w:r>
      <w:r>
        <w:rPr>
          <w:rFonts w:ascii="Times New Roman" w:hAnsi="Times New Roman" w:cs="Times New Roman"/>
        </w:rPr>
        <w:t xml:space="preserve">rous conditions in the country.  </w:t>
      </w:r>
      <w:r w:rsidRPr="004461D3">
        <w:rPr>
          <w:rFonts w:ascii="Times New Roman" w:hAnsi="Times New Roman" w:cs="Times New Roman"/>
        </w:rPr>
        <w:t>He also petitioned for a visa for his wife, and the family made the long and arduous journey to Djibouti for an int</w:t>
      </w:r>
      <w:r>
        <w:rPr>
          <w:rFonts w:ascii="Times New Roman" w:hAnsi="Times New Roman" w:cs="Times New Roman"/>
        </w:rPr>
        <w:t xml:space="preserve">erview with the U.S. Consulate.  </w:t>
      </w:r>
      <w:r w:rsidRPr="004461D3">
        <w:rPr>
          <w:rFonts w:ascii="Times New Roman" w:hAnsi="Times New Roman" w:cs="Times New Roman"/>
        </w:rPr>
        <w:t>At the interview, his wife was told th</w:t>
      </w:r>
      <w:r>
        <w:rPr>
          <w:rFonts w:ascii="Times New Roman" w:hAnsi="Times New Roman" w:cs="Times New Roman"/>
        </w:rPr>
        <w:t xml:space="preserve">at she would be granted a visa.  </w:t>
      </w:r>
      <w:r w:rsidRPr="004461D3">
        <w:rPr>
          <w:rFonts w:ascii="Times New Roman" w:hAnsi="Times New Roman" w:cs="Times New Roman"/>
        </w:rPr>
        <w:t>A few months later, however, she was informed that she was denied a visa pursuant to</w:t>
      </w:r>
      <w:r>
        <w:rPr>
          <w:rFonts w:ascii="Times New Roman" w:hAnsi="Times New Roman" w:cs="Times New Roman"/>
        </w:rPr>
        <w:t xml:space="preserve"> the Presidential Proclamation.  </w:t>
      </w:r>
      <w:r w:rsidRPr="004461D3">
        <w:rPr>
          <w:rFonts w:ascii="Times New Roman" w:hAnsi="Times New Roman" w:cs="Times New Roman"/>
        </w:rPr>
        <w:t xml:space="preserve">Devastated, the family couldn't return to war-torn Yemen, and could not leave Sawsan behind by herself in Djibouti. The family </w:t>
      </w:r>
      <w:r>
        <w:rPr>
          <w:rFonts w:ascii="Times New Roman" w:hAnsi="Times New Roman" w:cs="Times New Roman"/>
        </w:rPr>
        <w:t>was</w:t>
      </w:r>
      <w:r w:rsidRPr="004461D3">
        <w:rPr>
          <w:rFonts w:ascii="Times New Roman" w:hAnsi="Times New Roman" w:cs="Times New Roman"/>
        </w:rPr>
        <w:t xml:space="preserve"> stranded in Djibouti for over a year, and had to spend all of their savings,</w:t>
      </w:r>
      <w:r>
        <w:rPr>
          <w:rFonts w:ascii="Times New Roman" w:hAnsi="Times New Roman" w:cs="Times New Roman"/>
        </w:rPr>
        <w:t xml:space="preserve"> accumulating significant debt.  </w:t>
      </w:r>
      <w:r w:rsidRPr="004461D3">
        <w:rPr>
          <w:rFonts w:ascii="Times New Roman" w:hAnsi="Times New Roman" w:cs="Times New Roman"/>
        </w:rPr>
        <w:t xml:space="preserve">Sawsan suffered from severe diabetes and the children similarly developed medical complications, all exacerbated by their living conditions in Djibouti. It wasn't until they filed a lawsuit and received significant public media attention that Sawsan was finally granted a visa. </w:t>
      </w:r>
      <w:r w:rsidR="000E2934" w:rsidRPr="007D6110">
        <w:rPr>
          <w:rFonts w:ascii="Times New Roman" w:hAnsi="Times New Roman" w:cs="Times New Roman"/>
        </w:rPr>
        <w:br/>
      </w:r>
    </w:p>
    <w:p w14:paraId="11B19136" w14:textId="3246655C" w:rsidR="00B57511" w:rsidRPr="00E83484" w:rsidRDefault="00317D55" w:rsidP="00173336">
      <w:pPr>
        <w:pStyle w:val="Normal1"/>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June 26, 2018 the U.S. Supreme Court issued a controversial 5-4 decision in </w:t>
      </w:r>
      <w:r>
        <w:rPr>
          <w:rFonts w:ascii="Times New Roman" w:eastAsia="Times New Roman" w:hAnsi="Times New Roman" w:cs="Times New Roman"/>
          <w:i/>
          <w:color w:val="000000"/>
          <w:sz w:val="24"/>
          <w:szCs w:val="24"/>
        </w:rPr>
        <w:t>Trump v. Hawaii</w:t>
      </w:r>
      <w:r w:rsidR="00A939C6">
        <w:rPr>
          <w:rFonts w:ascii="Times New Roman" w:eastAsia="Times New Roman" w:hAnsi="Times New Roman" w:cs="Times New Roman"/>
          <w:color w:val="000000"/>
          <w:sz w:val="24"/>
          <w:szCs w:val="24"/>
        </w:rPr>
        <w:t xml:space="preserve">, upholding </w:t>
      </w:r>
      <w:r>
        <w:rPr>
          <w:rFonts w:ascii="Times New Roman" w:eastAsia="Times New Roman" w:hAnsi="Times New Roman" w:cs="Times New Roman"/>
          <w:color w:val="000000"/>
          <w:sz w:val="24"/>
          <w:szCs w:val="24"/>
        </w:rPr>
        <w:t>Muslim Ban</w:t>
      </w:r>
      <w:r w:rsidR="00A939C6">
        <w:rPr>
          <w:rFonts w:ascii="Times New Roman" w:eastAsia="Times New Roman" w:hAnsi="Times New Roman" w:cs="Times New Roman"/>
          <w:color w:val="000000"/>
          <w:sz w:val="24"/>
          <w:szCs w:val="24"/>
        </w:rPr>
        <w:t xml:space="preserve"> 3.0</w:t>
      </w:r>
      <w:r w:rsidR="00C070BF">
        <w:rPr>
          <w:rFonts w:ascii="Times New Roman" w:eastAsia="Times New Roman" w:hAnsi="Times New Roman" w:cs="Times New Roman"/>
          <w:color w:val="000000"/>
          <w:sz w:val="24"/>
          <w:szCs w:val="24"/>
        </w:rPr>
        <w:t xml:space="preserve">.  </w:t>
      </w:r>
      <w:r w:rsidR="00C070BF" w:rsidRPr="00C070BF">
        <w:rPr>
          <w:rFonts w:ascii="Times New Roman" w:eastAsia="Times New Roman" w:hAnsi="Times New Roman" w:cs="Times New Roman"/>
          <w:color w:val="000000"/>
          <w:sz w:val="24"/>
          <w:szCs w:val="24"/>
        </w:rPr>
        <w:t>In a troubling endorsement of executive overreach, the majority found that the Proclamation did not exceed the president's statutory power</w:t>
      </w:r>
      <w:r w:rsidR="00C070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However, i</w:t>
      </w:r>
      <w:r w:rsidR="00B57511">
        <w:rPr>
          <w:rFonts w:ascii="Times New Roman" w:eastAsia="Times New Roman" w:hAnsi="Times New Roman" w:cs="Times New Roman"/>
          <w:color w:val="000000"/>
          <w:sz w:val="24"/>
          <w:szCs w:val="24"/>
        </w:rPr>
        <w:t xml:space="preserve">n her dissenting opinion, Justice Sotomayor, joined by Justice Ginsburg, </w:t>
      </w:r>
      <w:r w:rsidR="007D6110">
        <w:rPr>
          <w:rFonts w:ascii="Times New Roman" w:eastAsia="Times New Roman" w:hAnsi="Times New Roman" w:cs="Times New Roman"/>
          <w:color w:val="000000"/>
          <w:sz w:val="24"/>
          <w:szCs w:val="24"/>
        </w:rPr>
        <w:t xml:space="preserve">found </w:t>
      </w:r>
      <w:r w:rsidR="00B57511">
        <w:rPr>
          <w:rFonts w:ascii="Times New Roman" w:eastAsia="Times New Roman" w:hAnsi="Times New Roman" w:cs="Times New Roman"/>
          <w:color w:val="000000"/>
          <w:sz w:val="24"/>
          <w:szCs w:val="24"/>
        </w:rPr>
        <w:t>that the Muslim Ban was clearly motiv</w:t>
      </w:r>
      <w:r w:rsidR="00973474">
        <w:rPr>
          <w:rFonts w:ascii="Times New Roman" w:eastAsia="Times New Roman" w:hAnsi="Times New Roman" w:cs="Times New Roman"/>
          <w:color w:val="000000"/>
          <w:sz w:val="24"/>
          <w:szCs w:val="24"/>
        </w:rPr>
        <w:t>at</w:t>
      </w:r>
      <w:r w:rsidR="00B57511">
        <w:rPr>
          <w:rFonts w:ascii="Times New Roman" w:eastAsia="Times New Roman" w:hAnsi="Times New Roman" w:cs="Times New Roman"/>
          <w:color w:val="000000"/>
          <w:sz w:val="24"/>
          <w:szCs w:val="24"/>
        </w:rPr>
        <w:t>ed by unconstitutional animus.</w:t>
      </w:r>
      <w:r w:rsidR="00B57511">
        <w:rPr>
          <w:rStyle w:val="FootnoteReference"/>
          <w:rFonts w:ascii="Times New Roman" w:eastAsia="Times New Roman" w:hAnsi="Times New Roman" w:cs="Times New Roman"/>
          <w:color w:val="000000"/>
          <w:sz w:val="24"/>
          <w:szCs w:val="24"/>
        </w:rPr>
        <w:footnoteReference w:id="11"/>
      </w:r>
      <w:r w:rsidR="00B57511">
        <w:rPr>
          <w:rFonts w:ascii="Times New Roman" w:eastAsia="Times New Roman" w:hAnsi="Times New Roman" w:cs="Times New Roman"/>
          <w:color w:val="000000"/>
          <w:sz w:val="24"/>
          <w:szCs w:val="24"/>
        </w:rPr>
        <w:t xml:space="preserve">  Justice Sotomayor </w:t>
      </w:r>
      <w:r w:rsidR="00E83484">
        <w:rPr>
          <w:rFonts w:ascii="Times New Roman" w:eastAsia="Times New Roman" w:hAnsi="Times New Roman" w:cs="Times New Roman"/>
          <w:color w:val="000000"/>
          <w:sz w:val="24"/>
          <w:szCs w:val="24"/>
        </w:rPr>
        <w:t xml:space="preserve">states that “the full </w:t>
      </w:r>
      <w:r w:rsidR="00E83484" w:rsidRPr="00E83484">
        <w:rPr>
          <w:rFonts w:ascii="Times New Roman" w:eastAsia="Times New Roman" w:hAnsi="Times New Roman" w:cs="Times New Roman"/>
          <w:color w:val="000000"/>
          <w:sz w:val="24"/>
          <w:szCs w:val="24"/>
        </w:rPr>
        <w:t>recor</w:t>
      </w:r>
      <w:r w:rsidR="00E83484">
        <w:rPr>
          <w:rFonts w:ascii="Times New Roman" w:eastAsia="Times New Roman" w:hAnsi="Times New Roman" w:cs="Times New Roman"/>
          <w:color w:val="000000"/>
          <w:sz w:val="24"/>
          <w:szCs w:val="24"/>
        </w:rPr>
        <w:t xml:space="preserve">d </w:t>
      </w:r>
      <w:r w:rsidR="00E83484" w:rsidRPr="00E83484">
        <w:rPr>
          <w:rFonts w:ascii="Times New Roman" w:eastAsia="Times New Roman" w:hAnsi="Times New Roman" w:cs="Times New Roman"/>
          <w:color w:val="000000"/>
          <w:sz w:val="24"/>
          <w:szCs w:val="24"/>
        </w:rPr>
        <w:t>paint</w:t>
      </w:r>
      <w:r>
        <w:rPr>
          <w:rFonts w:ascii="Times New Roman" w:eastAsia="Times New Roman" w:hAnsi="Times New Roman" w:cs="Times New Roman"/>
          <w:color w:val="000000"/>
          <w:sz w:val="24"/>
          <w:szCs w:val="24"/>
        </w:rPr>
        <w:t xml:space="preserve">s a </w:t>
      </w:r>
      <w:r w:rsidR="002B0E43">
        <w:rPr>
          <w:rFonts w:ascii="Times New Roman" w:eastAsia="Times New Roman" w:hAnsi="Times New Roman" w:cs="Times New Roman"/>
          <w:color w:val="000000"/>
          <w:sz w:val="24"/>
          <w:szCs w:val="24"/>
        </w:rPr>
        <w:t xml:space="preserve">far </w:t>
      </w:r>
      <w:r w:rsidR="00440AB8">
        <w:rPr>
          <w:rFonts w:ascii="Times New Roman" w:eastAsia="Times New Roman" w:hAnsi="Times New Roman" w:cs="Times New Roman"/>
          <w:color w:val="000000"/>
          <w:sz w:val="24"/>
          <w:szCs w:val="24"/>
        </w:rPr>
        <w:t>more</w:t>
      </w:r>
      <w:r w:rsidR="00E83484">
        <w:rPr>
          <w:rFonts w:ascii="Times New Roman" w:eastAsia="Times New Roman" w:hAnsi="Times New Roman" w:cs="Times New Roman"/>
          <w:color w:val="000000"/>
          <w:sz w:val="24"/>
          <w:szCs w:val="24"/>
        </w:rPr>
        <w:t xml:space="preserve"> harrowing  pict</w:t>
      </w:r>
      <w:r w:rsidR="00E83484" w:rsidRPr="00E83484">
        <w:rPr>
          <w:rFonts w:ascii="Times New Roman" w:eastAsia="Times New Roman" w:hAnsi="Times New Roman" w:cs="Times New Roman"/>
          <w:color w:val="000000"/>
          <w:sz w:val="24"/>
          <w:szCs w:val="24"/>
        </w:rPr>
        <w:t xml:space="preserve">ure,  from  which  a  reasonable  observer  would  readily  conclude that the Proclamation was motivated by hostility and </w:t>
      </w:r>
      <w:r w:rsidR="00E83484">
        <w:rPr>
          <w:rFonts w:ascii="Times New Roman" w:eastAsia="Times New Roman" w:hAnsi="Times New Roman" w:cs="Times New Roman"/>
          <w:color w:val="000000"/>
          <w:sz w:val="24"/>
          <w:szCs w:val="24"/>
        </w:rPr>
        <w:t>animus toward the Muslim faith.”</w:t>
      </w:r>
      <w:r w:rsidR="00E83484">
        <w:rPr>
          <w:rStyle w:val="FootnoteReference"/>
          <w:rFonts w:ascii="Times New Roman" w:eastAsia="Times New Roman" w:hAnsi="Times New Roman" w:cs="Times New Roman"/>
          <w:color w:val="000000"/>
          <w:sz w:val="24"/>
          <w:szCs w:val="24"/>
        </w:rPr>
        <w:footnoteReference w:id="12"/>
      </w:r>
      <w:r w:rsidR="00E83484">
        <w:rPr>
          <w:rFonts w:ascii="Times New Roman" w:eastAsia="Times New Roman" w:hAnsi="Times New Roman" w:cs="Times New Roman"/>
          <w:color w:val="000000"/>
          <w:sz w:val="24"/>
          <w:szCs w:val="24"/>
        </w:rPr>
        <w:t xml:space="preserve">  Moreover, she </w:t>
      </w:r>
      <w:r w:rsidR="00B57511">
        <w:rPr>
          <w:rFonts w:ascii="Times New Roman" w:eastAsia="Times New Roman" w:hAnsi="Times New Roman" w:cs="Times New Roman"/>
          <w:color w:val="000000"/>
          <w:sz w:val="24"/>
          <w:szCs w:val="24"/>
        </w:rPr>
        <w:t xml:space="preserve">drew parallels to the </w:t>
      </w:r>
      <w:r w:rsidR="00624151">
        <w:rPr>
          <w:rFonts w:ascii="Times New Roman" w:eastAsia="Times New Roman" w:hAnsi="Times New Roman" w:cs="Times New Roman"/>
          <w:color w:val="000000"/>
          <w:sz w:val="24"/>
          <w:szCs w:val="24"/>
        </w:rPr>
        <w:t xml:space="preserve">U.S. </w:t>
      </w:r>
      <w:r w:rsidR="00B57511">
        <w:rPr>
          <w:rFonts w:ascii="Times New Roman" w:eastAsia="Times New Roman" w:hAnsi="Times New Roman" w:cs="Times New Roman"/>
          <w:color w:val="000000"/>
          <w:sz w:val="24"/>
          <w:szCs w:val="24"/>
        </w:rPr>
        <w:t xml:space="preserve">Supreme Court’s 1944 </w:t>
      </w:r>
      <w:r w:rsidR="00B57511">
        <w:rPr>
          <w:rFonts w:ascii="Times New Roman" w:eastAsia="Times New Roman" w:hAnsi="Times New Roman" w:cs="Times New Roman"/>
          <w:i/>
          <w:color w:val="000000"/>
          <w:sz w:val="24"/>
          <w:szCs w:val="24"/>
        </w:rPr>
        <w:t xml:space="preserve">Korematsu v. United </w:t>
      </w:r>
      <w:r w:rsidR="00B57511" w:rsidRPr="00A1381E">
        <w:rPr>
          <w:rFonts w:ascii="Times New Roman" w:eastAsia="Times New Roman" w:hAnsi="Times New Roman" w:cs="Times New Roman"/>
          <w:i/>
          <w:color w:val="000000"/>
          <w:sz w:val="24"/>
          <w:szCs w:val="24"/>
        </w:rPr>
        <w:t>States</w:t>
      </w:r>
      <w:r w:rsidR="00B57511">
        <w:rPr>
          <w:rFonts w:ascii="Times New Roman" w:eastAsia="Times New Roman" w:hAnsi="Times New Roman" w:cs="Times New Roman"/>
          <w:i/>
          <w:color w:val="000000"/>
          <w:sz w:val="24"/>
          <w:szCs w:val="24"/>
        </w:rPr>
        <w:t xml:space="preserve"> </w:t>
      </w:r>
      <w:r w:rsidR="00B57511">
        <w:rPr>
          <w:rFonts w:ascii="Times New Roman" w:eastAsia="Times New Roman" w:hAnsi="Times New Roman" w:cs="Times New Roman"/>
          <w:color w:val="000000"/>
          <w:sz w:val="24"/>
          <w:szCs w:val="24"/>
        </w:rPr>
        <w:t>decision, which upheld the legality of Executive Order 9066 and the incarceration of over 120,000 Japanese Americans in internment camps during WWII.  Finally, in his dissenting opinion, Justice Breyer, joined by Justice Kagan, flagged concerns with the waiver process</w:t>
      </w:r>
      <w:r w:rsidR="007D6110">
        <w:rPr>
          <w:rFonts w:ascii="Times New Roman" w:eastAsia="Times New Roman" w:hAnsi="Times New Roman" w:cs="Times New Roman"/>
          <w:color w:val="000000"/>
          <w:sz w:val="24"/>
          <w:szCs w:val="24"/>
        </w:rPr>
        <w:t>, and added</w:t>
      </w:r>
      <w:r w:rsidR="00B57511">
        <w:rPr>
          <w:rFonts w:ascii="Times New Roman" w:eastAsia="Times New Roman" w:hAnsi="Times New Roman" w:cs="Times New Roman"/>
          <w:color w:val="000000"/>
          <w:sz w:val="24"/>
          <w:szCs w:val="24"/>
        </w:rPr>
        <w:t xml:space="preserve"> </w:t>
      </w:r>
      <w:r w:rsidR="007D6110">
        <w:rPr>
          <w:rFonts w:ascii="Times New Roman" w:eastAsia="Times New Roman" w:hAnsi="Times New Roman" w:cs="Times New Roman"/>
          <w:color w:val="000000"/>
          <w:sz w:val="24"/>
          <w:szCs w:val="24"/>
        </w:rPr>
        <w:t>t</w:t>
      </w:r>
      <w:r w:rsidR="00B57511">
        <w:rPr>
          <w:rFonts w:ascii="Times New Roman" w:eastAsia="Times New Roman" w:hAnsi="Times New Roman" w:cs="Times New Roman"/>
          <w:color w:val="000000"/>
          <w:sz w:val="24"/>
          <w:szCs w:val="24"/>
        </w:rPr>
        <w:t>hat by excluding individuals who are not detrimental to the U.S., the U.S. government’s national security justifications for the sweeping order are significantly weakened.</w:t>
      </w:r>
      <w:r w:rsidR="00B57511">
        <w:rPr>
          <w:rStyle w:val="FootnoteReference"/>
          <w:rFonts w:ascii="Times New Roman" w:eastAsia="Times New Roman" w:hAnsi="Times New Roman" w:cs="Times New Roman"/>
          <w:color w:val="000000"/>
          <w:sz w:val="24"/>
          <w:szCs w:val="24"/>
        </w:rPr>
        <w:footnoteReference w:id="13"/>
      </w:r>
    </w:p>
    <w:p w14:paraId="641C8FFE" w14:textId="77777777" w:rsidR="00AF3440" w:rsidRPr="00BC288F" w:rsidRDefault="00AF3440" w:rsidP="00173336">
      <w:pPr>
        <w:tabs>
          <w:tab w:val="left" w:pos="2702"/>
        </w:tabs>
        <w:rPr>
          <w:rFonts w:ascii="Times New Roman" w:hAnsi="Times New Roman" w:cs="Times New Roman"/>
        </w:rPr>
      </w:pPr>
    </w:p>
    <w:p w14:paraId="36CCF923" w14:textId="77777777" w:rsidR="009F09C4" w:rsidRPr="00BC288F" w:rsidRDefault="009F09C4" w:rsidP="00173336">
      <w:pPr>
        <w:pStyle w:val="ListParagraph"/>
        <w:numPr>
          <w:ilvl w:val="0"/>
          <w:numId w:val="1"/>
        </w:numPr>
        <w:tabs>
          <w:tab w:val="left" w:pos="2702"/>
        </w:tabs>
        <w:rPr>
          <w:rFonts w:ascii="Times New Roman" w:hAnsi="Times New Roman" w:cs="Times New Roman"/>
          <w:b/>
        </w:rPr>
      </w:pPr>
      <w:r w:rsidRPr="00BC288F">
        <w:rPr>
          <w:rFonts w:ascii="Times New Roman" w:hAnsi="Times New Roman" w:cs="Times New Roman"/>
          <w:b/>
        </w:rPr>
        <w:t>Human Rights Committee General Comments</w:t>
      </w:r>
    </w:p>
    <w:p w14:paraId="707E82D6" w14:textId="77777777" w:rsidR="00BC288F" w:rsidRDefault="00BC288F" w:rsidP="00173336">
      <w:pPr>
        <w:tabs>
          <w:tab w:val="left" w:pos="2702"/>
        </w:tabs>
        <w:rPr>
          <w:rFonts w:ascii="Times New Roman" w:hAnsi="Times New Roman" w:cs="Times New Roman"/>
        </w:rPr>
      </w:pPr>
    </w:p>
    <w:p w14:paraId="406E44C0" w14:textId="77777777" w:rsidR="0091235C" w:rsidRDefault="0091235C" w:rsidP="00173336">
      <w:pPr>
        <w:tabs>
          <w:tab w:val="left" w:pos="2702"/>
        </w:tabs>
        <w:rPr>
          <w:rFonts w:ascii="Times New Roman" w:hAnsi="Times New Roman" w:cs="Times New Roman"/>
        </w:rPr>
      </w:pPr>
      <w:r w:rsidRPr="0091235C">
        <w:rPr>
          <w:rFonts w:ascii="Times New Roman" w:hAnsi="Times New Roman" w:cs="Times New Roman"/>
          <w:u w:val="single"/>
        </w:rPr>
        <w:t>General Comment No. 18</w:t>
      </w:r>
      <w:r>
        <w:rPr>
          <w:rFonts w:ascii="Times New Roman" w:hAnsi="Times New Roman" w:cs="Times New Roman"/>
        </w:rPr>
        <w:t>,</w:t>
      </w:r>
      <w:r w:rsidR="008769B0">
        <w:rPr>
          <w:rStyle w:val="FootnoteReference"/>
          <w:rFonts w:ascii="Times New Roman" w:hAnsi="Times New Roman" w:cs="Times New Roman"/>
        </w:rPr>
        <w:footnoteReference w:id="14"/>
      </w:r>
      <w:r>
        <w:rPr>
          <w:rFonts w:ascii="Times New Roman" w:hAnsi="Times New Roman" w:cs="Times New Roman"/>
        </w:rPr>
        <w:t xml:space="preserve"> along with </w:t>
      </w:r>
      <w:r w:rsidRPr="0091235C">
        <w:rPr>
          <w:rFonts w:ascii="Times New Roman" w:hAnsi="Times New Roman" w:cs="Times New Roman"/>
          <w:u w:val="single"/>
        </w:rPr>
        <w:t>General Comment No. 31</w:t>
      </w:r>
      <w:r w:rsidRPr="00097F41">
        <w:rPr>
          <w:rFonts w:ascii="Times New Roman" w:hAnsi="Times New Roman" w:cs="Times New Roman"/>
        </w:rPr>
        <w:t>,</w:t>
      </w:r>
      <w:r w:rsidR="008769B0">
        <w:rPr>
          <w:rStyle w:val="FootnoteReference"/>
          <w:rFonts w:ascii="Times New Roman" w:hAnsi="Times New Roman" w:cs="Times New Roman"/>
        </w:rPr>
        <w:footnoteReference w:id="15"/>
      </w:r>
      <w:r w:rsidRPr="00097F41">
        <w:rPr>
          <w:rFonts w:ascii="Times New Roman" w:hAnsi="Times New Roman" w:cs="Times New Roman"/>
        </w:rPr>
        <w:t xml:space="preserve"> discusses the importance of Article 2, specifically it’s nondiscrimination provision, Article 2(1), in ensuring that the rights of all individuals within the territory and/or jurisdiction of the State are protected and guaranteed by the State, regardless of an individual’s race, religion, political or other opinion, national or social origin (to name a few), rights which are undeniably violated by </w:t>
      </w:r>
      <w:r w:rsidR="00BF1A08">
        <w:rPr>
          <w:rFonts w:ascii="Times New Roman" w:hAnsi="Times New Roman" w:cs="Times New Roman"/>
        </w:rPr>
        <w:t>the Proclamation’s</w:t>
      </w:r>
      <w:r w:rsidRPr="00097F41">
        <w:rPr>
          <w:rFonts w:ascii="Times New Roman" w:hAnsi="Times New Roman" w:cs="Times New Roman"/>
        </w:rPr>
        <w:t xml:space="preserve"> discriminatory intent and effect on Muslims and </w:t>
      </w:r>
      <w:r>
        <w:rPr>
          <w:rFonts w:ascii="Times New Roman" w:hAnsi="Times New Roman" w:cs="Times New Roman"/>
        </w:rPr>
        <w:t>nationals from Muslim-majority countries</w:t>
      </w:r>
      <w:r w:rsidRPr="00097F41">
        <w:rPr>
          <w:rFonts w:ascii="Times New Roman" w:hAnsi="Times New Roman" w:cs="Times New Roman"/>
        </w:rPr>
        <w:t xml:space="preserve">. </w:t>
      </w:r>
    </w:p>
    <w:p w14:paraId="61506113" w14:textId="77777777" w:rsidR="0091235C" w:rsidRDefault="0091235C" w:rsidP="00173336">
      <w:pPr>
        <w:tabs>
          <w:tab w:val="left" w:pos="2702"/>
        </w:tabs>
        <w:rPr>
          <w:rFonts w:ascii="Times New Roman" w:hAnsi="Times New Roman" w:cs="Times New Roman"/>
        </w:rPr>
      </w:pPr>
    </w:p>
    <w:p w14:paraId="63A9023F" w14:textId="77777777" w:rsidR="0091235C" w:rsidRDefault="0091235C" w:rsidP="00173336">
      <w:pPr>
        <w:tabs>
          <w:tab w:val="left" w:pos="2702"/>
        </w:tabs>
        <w:rPr>
          <w:rFonts w:ascii="Times New Roman" w:hAnsi="Times New Roman" w:cs="Times New Roman"/>
        </w:rPr>
      </w:pPr>
      <w:r w:rsidRPr="0091235C">
        <w:rPr>
          <w:rFonts w:ascii="Times New Roman" w:hAnsi="Times New Roman" w:cs="Times New Roman"/>
          <w:u w:val="single"/>
        </w:rPr>
        <w:t>General Comment No. 22</w:t>
      </w:r>
      <w:r w:rsidRPr="00097F41">
        <w:rPr>
          <w:rFonts w:ascii="Times New Roman" w:hAnsi="Times New Roman" w:cs="Times New Roman"/>
        </w:rPr>
        <w:t xml:space="preserve"> to Article 18 requires States to guarantee and protect the freedoms of thought, conscience, a</w:t>
      </w:r>
      <w:r>
        <w:rPr>
          <w:rFonts w:ascii="Times New Roman" w:hAnsi="Times New Roman" w:cs="Times New Roman"/>
        </w:rPr>
        <w:t xml:space="preserve">nd religion and prohibits States </w:t>
      </w:r>
      <w:r w:rsidRPr="00097F41">
        <w:rPr>
          <w:rFonts w:ascii="Times New Roman" w:hAnsi="Times New Roman" w:cs="Times New Roman"/>
        </w:rPr>
        <w:t xml:space="preserve">from limiting these in any way, even in </w:t>
      </w:r>
      <w:r>
        <w:rPr>
          <w:rFonts w:ascii="Times New Roman" w:hAnsi="Times New Roman" w:cs="Times New Roman"/>
        </w:rPr>
        <w:t>the case of a public emergency.</w:t>
      </w:r>
      <w:r w:rsidR="008769B0">
        <w:rPr>
          <w:rStyle w:val="FootnoteReference"/>
          <w:rFonts w:ascii="Times New Roman" w:hAnsi="Times New Roman" w:cs="Times New Roman"/>
        </w:rPr>
        <w:footnoteReference w:id="16"/>
      </w:r>
      <w:r>
        <w:rPr>
          <w:rFonts w:ascii="Times New Roman" w:hAnsi="Times New Roman" w:cs="Times New Roman"/>
        </w:rPr>
        <w:t xml:space="preserve">  </w:t>
      </w:r>
      <w:r w:rsidRPr="00097F41">
        <w:rPr>
          <w:rFonts w:ascii="Times New Roman" w:hAnsi="Times New Roman" w:cs="Times New Roman"/>
        </w:rPr>
        <w:t xml:space="preserve">Particularly, it states that the Committee views unfavorably any discrimination against any religion for any reason, which unquestionably encompasses </w:t>
      </w:r>
      <w:r w:rsidR="00BF1A08">
        <w:rPr>
          <w:rFonts w:ascii="Times New Roman" w:hAnsi="Times New Roman" w:cs="Times New Roman"/>
        </w:rPr>
        <w:t>the Proclamation</w:t>
      </w:r>
      <w:r>
        <w:rPr>
          <w:rFonts w:ascii="Times New Roman" w:hAnsi="Times New Roman" w:cs="Times New Roman"/>
        </w:rPr>
        <w:t xml:space="preserve"> at issue because it </w:t>
      </w:r>
      <w:r w:rsidRPr="00097F41">
        <w:rPr>
          <w:rFonts w:ascii="Times New Roman" w:hAnsi="Times New Roman" w:cs="Times New Roman"/>
        </w:rPr>
        <w:t xml:space="preserve">directly and specifically targets individuals who are Muslim </w:t>
      </w:r>
      <w:r>
        <w:rPr>
          <w:rFonts w:ascii="Times New Roman" w:hAnsi="Times New Roman" w:cs="Times New Roman"/>
        </w:rPr>
        <w:t>and nationals from Muslim-majority countries</w:t>
      </w:r>
      <w:r w:rsidRPr="00097F41">
        <w:rPr>
          <w:rFonts w:ascii="Times New Roman" w:hAnsi="Times New Roman" w:cs="Times New Roman"/>
        </w:rPr>
        <w:t xml:space="preserve">. </w:t>
      </w:r>
    </w:p>
    <w:p w14:paraId="65C81DC0" w14:textId="77777777" w:rsidR="0091235C" w:rsidRDefault="0091235C" w:rsidP="00173336">
      <w:pPr>
        <w:tabs>
          <w:tab w:val="left" w:pos="2702"/>
        </w:tabs>
        <w:rPr>
          <w:rFonts w:ascii="Times New Roman" w:hAnsi="Times New Roman" w:cs="Times New Roman"/>
        </w:rPr>
      </w:pPr>
    </w:p>
    <w:p w14:paraId="492A3A0C" w14:textId="73E83569" w:rsidR="0091235C" w:rsidRPr="00097F41" w:rsidRDefault="0091235C" w:rsidP="00173336">
      <w:pPr>
        <w:rPr>
          <w:rFonts w:ascii="Times New Roman" w:hAnsi="Times New Roman" w:cs="Times New Roman"/>
        </w:rPr>
      </w:pPr>
      <w:r w:rsidRPr="0091235C">
        <w:rPr>
          <w:rFonts w:ascii="Times New Roman" w:hAnsi="Times New Roman" w:cs="Times New Roman"/>
          <w:u w:val="single"/>
        </w:rPr>
        <w:t>General Comment No. 19</w:t>
      </w:r>
      <w:r w:rsidRPr="00097F41">
        <w:rPr>
          <w:rFonts w:ascii="Times New Roman" w:hAnsi="Times New Roman" w:cs="Times New Roman"/>
        </w:rPr>
        <w:t xml:space="preserve"> to Article 23 discusses the importance of the family and the obligation of the State to ensure that the rights of families are not discriminated against.</w:t>
      </w:r>
      <w:r w:rsidR="008769B0">
        <w:rPr>
          <w:rStyle w:val="FootnoteReference"/>
          <w:rFonts w:ascii="Times New Roman" w:hAnsi="Times New Roman" w:cs="Times New Roman"/>
        </w:rPr>
        <w:footnoteReference w:id="17"/>
      </w:r>
      <w:r w:rsidRPr="00097F41">
        <w:rPr>
          <w:rFonts w:ascii="Times New Roman" w:hAnsi="Times New Roman" w:cs="Times New Roman"/>
        </w:rPr>
        <w:t xml:space="preserve"> Specifically, it requires the State to ensure the unity and reunification of families when they are separated, a right that </w:t>
      </w:r>
      <w:r w:rsidR="00BF1A08">
        <w:rPr>
          <w:rFonts w:ascii="Times New Roman" w:hAnsi="Times New Roman" w:cs="Times New Roman"/>
        </w:rPr>
        <w:t>the Proclamation</w:t>
      </w:r>
      <w:r w:rsidRPr="00097F41">
        <w:rPr>
          <w:rFonts w:ascii="Times New Roman" w:hAnsi="Times New Roman" w:cs="Times New Roman"/>
        </w:rPr>
        <w:t xml:space="preserve"> unarguably violates by refusing immigrant and non-immigrant visas to family members of U.S. citizens and </w:t>
      </w:r>
      <w:r w:rsidR="002B0E43">
        <w:rPr>
          <w:rFonts w:ascii="Times New Roman" w:hAnsi="Times New Roman" w:cs="Times New Roman"/>
        </w:rPr>
        <w:t>LPRs</w:t>
      </w:r>
      <w:r w:rsidRPr="00097F41">
        <w:rPr>
          <w:rFonts w:ascii="Times New Roman" w:hAnsi="Times New Roman" w:cs="Times New Roman"/>
        </w:rPr>
        <w:t xml:space="preserve">. </w:t>
      </w:r>
    </w:p>
    <w:p w14:paraId="7401BC64" w14:textId="77777777" w:rsidR="0091235C" w:rsidRPr="00097F41" w:rsidRDefault="0091235C" w:rsidP="00173336">
      <w:pPr>
        <w:rPr>
          <w:rFonts w:ascii="Times New Roman" w:hAnsi="Times New Roman" w:cs="Times New Roman"/>
        </w:rPr>
      </w:pPr>
    </w:p>
    <w:p w14:paraId="01A546F6" w14:textId="77777777" w:rsidR="0091235C" w:rsidRPr="00097F41" w:rsidRDefault="0091235C" w:rsidP="00173336">
      <w:pPr>
        <w:rPr>
          <w:rFonts w:ascii="Times New Roman" w:hAnsi="Times New Roman" w:cs="Times New Roman"/>
        </w:rPr>
      </w:pPr>
      <w:r w:rsidRPr="0091235C">
        <w:rPr>
          <w:rFonts w:ascii="Times New Roman" w:hAnsi="Times New Roman" w:cs="Times New Roman"/>
          <w:u w:val="single"/>
        </w:rPr>
        <w:t>General Comment No. 18</w:t>
      </w:r>
      <w:r w:rsidRPr="00097F41">
        <w:rPr>
          <w:rFonts w:ascii="Times New Roman" w:hAnsi="Times New Roman" w:cs="Times New Roman"/>
        </w:rPr>
        <w:t>, in relation to Article 26,</w:t>
      </w:r>
      <w:r>
        <w:rPr>
          <w:rFonts w:ascii="Times New Roman" w:hAnsi="Times New Roman" w:cs="Times New Roman"/>
        </w:rPr>
        <w:t xml:space="preserve"> </w:t>
      </w:r>
      <w:r w:rsidRPr="00097F41">
        <w:rPr>
          <w:rFonts w:ascii="Times New Roman" w:hAnsi="Times New Roman" w:cs="Times New Roman"/>
        </w:rPr>
        <w:t>and in combination w</w:t>
      </w:r>
      <w:r>
        <w:rPr>
          <w:rFonts w:ascii="Times New Roman" w:hAnsi="Times New Roman" w:cs="Times New Roman"/>
        </w:rPr>
        <w:t xml:space="preserve">ith Article 2(1), </w:t>
      </w:r>
      <w:r w:rsidRPr="00097F41">
        <w:rPr>
          <w:rFonts w:ascii="Times New Roman" w:hAnsi="Times New Roman" w:cs="Times New Roman"/>
        </w:rPr>
        <w:t>prohibits the State from discriminating against individuals because of their race, color, sex, language, religion, political or other opinion, national or social origin, p</w:t>
      </w:r>
      <w:r>
        <w:rPr>
          <w:rFonts w:ascii="Times New Roman" w:hAnsi="Times New Roman" w:cs="Times New Roman"/>
        </w:rPr>
        <w:t>roperty, birth or other status.</w:t>
      </w:r>
      <w:r w:rsidR="008769B0">
        <w:rPr>
          <w:rStyle w:val="FootnoteReference"/>
          <w:rFonts w:ascii="Times New Roman" w:hAnsi="Times New Roman" w:cs="Times New Roman"/>
        </w:rPr>
        <w:footnoteReference w:id="18"/>
      </w:r>
      <w:r>
        <w:rPr>
          <w:rFonts w:ascii="Times New Roman" w:hAnsi="Times New Roman" w:cs="Times New Roman"/>
        </w:rPr>
        <w:t xml:space="preserve">  </w:t>
      </w:r>
      <w:r w:rsidRPr="00097F41">
        <w:rPr>
          <w:rFonts w:ascii="Times New Roman" w:hAnsi="Times New Roman" w:cs="Times New Roman"/>
        </w:rPr>
        <w:t>In particular, it states that nondiscrimination includes the basic principles of both equality before the law and equal protection of the law</w:t>
      </w:r>
      <w:r>
        <w:rPr>
          <w:rFonts w:ascii="Times New Roman" w:hAnsi="Times New Roman" w:cs="Times New Roman"/>
        </w:rPr>
        <w:t>;</w:t>
      </w:r>
      <w:r w:rsidRPr="00097F41">
        <w:rPr>
          <w:rFonts w:ascii="Times New Roman" w:hAnsi="Times New Roman" w:cs="Times New Roman"/>
        </w:rPr>
        <w:t xml:space="preserve"> principles that </w:t>
      </w:r>
      <w:r w:rsidR="00BF1A08">
        <w:rPr>
          <w:rFonts w:ascii="Times New Roman" w:hAnsi="Times New Roman" w:cs="Times New Roman"/>
        </w:rPr>
        <w:t>the Proclamation</w:t>
      </w:r>
      <w:r w:rsidRPr="00097F41">
        <w:rPr>
          <w:rFonts w:ascii="Times New Roman" w:hAnsi="Times New Roman" w:cs="Times New Roman"/>
        </w:rPr>
        <w:t xml:space="preserve"> clearly violates with its unequal and disparate treatment of Muslim Americans and their </w:t>
      </w:r>
      <w:r>
        <w:rPr>
          <w:rFonts w:ascii="Times New Roman" w:hAnsi="Times New Roman" w:cs="Times New Roman"/>
        </w:rPr>
        <w:t>relatives overseas</w:t>
      </w:r>
      <w:r w:rsidRPr="00097F41">
        <w:rPr>
          <w:rFonts w:ascii="Times New Roman" w:hAnsi="Times New Roman" w:cs="Times New Roman"/>
        </w:rPr>
        <w:t xml:space="preserve"> under immigration laws. </w:t>
      </w:r>
    </w:p>
    <w:p w14:paraId="3C9FFDF2" w14:textId="77777777" w:rsidR="0091235C" w:rsidRPr="00097F41" w:rsidRDefault="0091235C" w:rsidP="00173336">
      <w:pPr>
        <w:rPr>
          <w:rFonts w:ascii="Times New Roman" w:hAnsi="Times New Roman" w:cs="Times New Roman"/>
        </w:rPr>
      </w:pPr>
    </w:p>
    <w:p w14:paraId="60DDF7B1" w14:textId="77777777" w:rsidR="0091235C" w:rsidRPr="00097F41" w:rsidRDefault="0091235C" w:rsidP="00173336">
      <w:pPr>
        <w:rPr>
          <w:rFonts w:ascii="Times New Roman" w:hAnsi="Times New Roman" w:cs="Times New Roman"/>
        </w:rPr>
      </w:pPr>
      <w:r w:rsidRPr="0091235C">
        <w:rPr>
          <w:rFonts w:ascii="Times New Roman" w:hAnsi="Times New Roman" w:cs="Times New Roman"/>
          <w:u w:val="single"/>
        </w:rPr>
        <w:t>General Comment No. 23</w:t>
      </w:r>
      <w:r w:rsidRPr="00097F41">
        <w:rPr>
          <w:rFonts w:ascii="Times New Roman" w:hAnsi="Times New Roman" w:cs="Times New Roman"/>
        </w:rPr>
        <w:t xml:space="preserve"> discusses the importance of Article 27 and the broad scope of rights protected by it, in the interest of preserving the rights and culture</w:t>
      </w:r>
      <w:r>
        <w:rPr>
          <w:rFonts w:ascii="Times New Roman" w:hAnsi="Times New Roman" w:cs="Times New Roman"/>
        </w:rPr>
        <w:t>s</w:t>
      </w:r>
      <w:r w:rsidRPr="00097F41">
        <w:rPr>
          <w:rFonts w:ascii="Times New Roman" w:hAnsi="Times New Roman" w:cs="Times New Roman"/>
        </w:rPr>
        <w:t xml:space="preserve"> of ethnic and re</w:t>
      </w:r>
      <w:r>
        <w:rPr>
          <w:rFonts w:ascii="Times New Roman" w:hAnsi="Times New Roman" w:cs="Times New Roman"/>
        </w:rPr>
        <w:t>ligious minorities in the State.</w:t>
      </w:r>
      <w:r w:rsidR="008769B0">
        <w:rPr>
          <w:rStyle w:val="FootnoteReference"/>
          <w:rFonts w:ascii="Times New Roman" w:hAnsi="Times New Roman" w:cs="Times New Roman"/>
        </w:rPr>
        <w:footnoteReference w:id="19"/>
      </w:r>
      <w:r>
        <w:rPr>
          <w:rFonts w:ascii="Times New Roman" w:hAnsi="Times New Roman" w:cs="Times New Roman"/>
        </w:rPr>
        <w:t xml:space="preserve">  </w:t>
      </w:r>
      <w:r w:rsidRPr="00097F41">
        <w:rPr>
          <w:rFonts w:ascii="Times New Roman" w:hAnsi="Times New Roman" w:cs="Times New Roman"/>
        </w:rPr>
        <w:t>It especially emphasizes the right of minorities to enjoy their culture and profess a</w:t>
      </w:r>
      <w:r>
        <w:rPr>
          <w:rFonts w:ascii="Times New Roman" w:hAnsi="Times New Roman" w:cs="Times New Roman"/>
        </w:rPr>
        <w:t xml:space="preserve">nd practice their own religion.  </w:t>
      </w:r>
      <w:r w:rsidR="00BF1A08">
        <w:rPr>
          <w:rFonts w:ascii="Times New Roman" w:hAnsi="Times New Roman" w:cs="Times New Roman"/>
        </w:rPr>
        <w:t>The Proclamation</w:t>
      </w:r>
      <w:r w:rsidRPr="00097F41">
        <w:rPr>
          <w:rFonts w:ascii="Times New Roman" w:hAnsi="Times New Roman" w:cs="Times New Roman"/>
        </w:rPr>
        <w:t xml:space="preserve"> directly impedes the enjoyment of these rights for a significant swath of the American population by denying visas to religious leaders and ethnic and linguistic artists from the impacted countries. </w:t>
      </w:r>
    </w:p>
    <w:p w14:paraId="3E74313E" w14:textId="77777777" w:rsidR="00AF3440" w:rsidRPr="00AF3440" w:rsidRDefault="00AF3440" w:rsidP="00173336">
      <w:pPr>
        <w:tabs>
          <w:tab w:val="left" w:pos="2702"/>
        </w:tabs>
        <w:rPr>
          <w:rFonts w:ascii="Times New Roman" w:hAnsi="Times New Roman" w:cs="Times New Roman"/>
        </w:rPr>
      </w:pPr>
    </w:p>
    <w:p w14:paraId="0A91FF9A" w14:textId="77777777" w:rsidR="009F09C4" w:rsidRPr="00AF3440" w:rsidRDefault="009F09C4" w:rsidP="00173336">
      <w:pPr>
        <w:pStyle w:val="ListParagraph"/>
        <w:numPr>
          <w:ilvl w:val="0"/>
          <w:numId w:val="1"/>
        </w:numPr>
        <w:tabs>
          <w:tab w:val="left" w:pos="2702"/>
        </w:tabs>
        <w:rPr>
          <w:rFonts w:ascii="Times New Roman" w:hAnsi="Times New Roman" w:cs="Times New Roman"/>
          <w:b/>
        </w:rPr>
      </w:pPr>
      <w:r w:rsidRPr="00AF3440">
        <w:rPr>
          <w:rFonts w:ascii="Times New Roman" w:hAnsi="Times New Roman" w:cs="Times New Roman"/>
          <w:b/>
        </w:rPr>
        <w:t>Recommended Questions</w:t>
      </w:r>
    </w:p>
    <w:p w14:paraId="1E0775E3" w14:textId="77777777" w:rsidR="00AF3440" w:rsidRPr="00AF3440" w:rsidRDefault="00AF3440" w:rsidP="00173336">
      <w:pPr>
        <w:tabs>
          <w:tab w:val="left" w:pos="2702"/>
        </w:tabs>
        <w:rPr>
          <w:rFonts w:ascii="Times New Roman" w:hAnsi="Times New Roman" w:cs="Times New Roman"/>
        </w:rPr>
      </w:pPr>
    </w:p>
    <w:p w14:paraId="1F424F1F" w14:textId="77777777" w:rsidR="00AF3440" w:rsidRPr="003D12B3" w:rsidRDefault="00AF3440" w:rsidP="003D12B3">
      <w:pPr>
        <w:tabs>
          <w:tab w:val="left" w:pos="2702"/>
        </w:tabs>
        <w:rPr>
          <w:rFonts w:ascii="Times New Roman" w:hAnsi="Times New Roman" w:cs="Times New Roman"/>
        </w:rPr>
      </w:pPr>
      <w:r>
        <w:rPr>
          <w:rFonts w:ascii="Times New Roman" w:hAnsi="Times New Roman" w:cs="Times New Roman"/>
        </w:rPr>
        <w:t>We r</w:t>
      </w:r>
      <w:r w:rsidR="00624151">
        <w:rPr>
          <w:rFonts w:ascii="Times New Roman" w:hAnsi="Times New Roman" w:cs="Times New Roman"/>
        </w:rPr>
        <w:t>ecommend that the Committee pose</w:t>
      </w:r>
      <w:r>
        <w:rPr>
          <w:rFonts w:ascii="Times New Roman" w:hAnsi="Times New Roman" w:cs="Times New Roman"/>
        </w:rPr>
        <w:t xml:space="preserve"> the following questions to the U.S.: </w:t>
      </w:r>
    </w:p>
    <w:p w14:paraId="4DE220F1" w14:textId="77777777" w:rsidR="00AF3440" w:rsidRPr="00317D55" w:rsidRDefault="00AF3440" w:rsidP="00317D55">
      <w:pPr>
        <w:tabs>
          <w:tab w:val="left" w:pos="2702"/>
        </w:tabs>
        <w:rPr>
          <w:rFonts w:ascii="Times New Roman" w:hAnsi="Times New Roman" w:cs="Times New Roman"/>
          <w:highlight w:val="yellow"/>
        </w:rPr>
      </w:pPr>
    </w:p>
    <w:p w14:paraId="77169EBB" w14:textId="77777777" w:rsidR="004F0EC1" w:rsidRDefault="001402FA" w:rsidP="00173336">
      <w:pPr>
        <w:pStyle w:val="ListParagraph"/>
        <w:numPr>
          <w:ilvl w:val="0"/>
          <w:numId w:val="3"/>
        </w:numPr>
        <w:tabs>
          <w:tab w:val="left" w:pos="2702"/>
        </w:tabs>
        <w:rPr>
          <w:rFonts w:ascii="Times New Roman" w:hAnsi="Times New Roman" w:cs="Times New Roman"/>
        </w:rPr>
      </w:pPr>
      <w:r>
        <w:rPr>
          <w:rFonts w:ascii="Times New Roman" w:hAnsi="Times New Roman" w:cs="Times New Roman"/>
        </w:rPr>
        <w:t>How can the U.S.</w:t>
      </w:r>
      <w:r w:rsidR="004F0EC1">
        <w:rPr>
          <w:rFonts w:ascii="Times New Roman" w:hAnsi="Times New Roman" w:cs="Times New Roman"/>
        </w:rPr>
        <w:t xml:space="preserve"> ensure that the Proclamation, </w:t>
      </w:r>
      <w:r w:rsidR="00972A43">
        <w:rPr>
          <w:rFonts w:ascii="Times New Roman" w:hAnsi="Times New Roman" w:cs="Times New Roman"/>
        </w:rPr>
        <w:t xml:space="preserve">including the waiver provision, </w:t>
      </w:r>
      <w:r w:rsidR="003D12B3">
        <w:rPr>
          <w:rFonts w:ascii="Times New Roman" w:hAnsi="Times New Roman" w:cs="Times New Roman"/>
        </w:rPr>
        <w:t>doesn’t run afoul of the U.S.</w:t>
      </w:r>
      <w:r w:rsidR="00624151">
        <w:rPr>
          <w:rFonts w:ascii="Times New Roman" w:hAnsi="Times New Roman" w:cs="Times New Roman"/>
        </w:rPr>
        <w:t>’s</w:t>
      </w:r>
      <w:r w:rsidR="003D12B3">
        <w:rPr>
          <w:rFonts w:ascii="Times New Roman" w:hAnsi="Times New Roman" w:cs="Times New Roman"/>
        </w:rPr>
        <w:t xml:space="preserve"> obligations under the ICCPR? </w:t>
      </w:r>
    </w:p>
    <w:p w14:paraId="39D45C54" w14:textId="77777777" w:rsidR="00317D55" w:rsidRDefault="00317D55" w:rsidP="00317D55">
      <w:pPr>
        <w:pStyle w:val="ListParagraph"/>
        <w:tabs>
          <w:tab w:val="left" w:pos="2702"/>
        </w:tabs>
        <w:rPr>
          <w:rFonts w:ascii="Times New Roman" w:hAnsi="Times New Roman" w:cs="Times New Roman"/>
        </w:rPr>
      </w:pPr>
    </w:p>
    <w:p w14:paraId="22E6C7AD" w14:textId="77777777" w:rsidR="00317D55" w:rsidRPr="00317D55" w:rsidRDefault="00317D55" w:rsidP="00317D55">
      <w:pPr>
        <w:pStyle w:val="ListParagraph"/>
        <w:numPr>
          <w:ilvl w:val="0"/>
          <w:numId w:val="3"/>
        </w:numPr>
        <w:tabs>
          <w:tab w:val="left" w:pos="2702"/>
        </w:tabs>
        <w:rPr>
          <w:rFonts w:ascii="Times New Roman" w:hAnsi="Times New Roman" w:cs="Times New Roman"/>
        </w:rPr>
      </w:pPr>
      <w:r>
        <w:rPr>
          <w:rFonts w:ascii="Times New Roman" w:hAnsi="Times New Roman" w:cs="Times New Roman"/>
        </w:rPr>
        <w:t xml:space="preserve">What is the U.S. justification for the ongoing, and indefinite, ban on nearly all nationals from the five Muslim-majority countries? </w:t>
      </w:r>
    </w:p>
    <w:p w14:paraId="0A87046E" w14:textId="77777777" w:rsidR="004F0EC1" w:rsidRPr="004F0EC1" w:rsidRDefault="004F0EC1" w:rsidP="004F0EC1">
      <w:pPr>
        <w:tabs>
          <w:tab w:val="left" w:pos="2702"/>
        </w:tabs>
        <w:rPr>
          <w:rFonts w:ascii="Times New Roman" w:hAnsi="Times New Roman" w:cs="Times New Roman"/>
        </w:rPr>
      </w:pPr>
    </w:p>
    <w:p w14:paraId="78C1957F" w14:textId="77777777" w:rsidR="00AF3440" w:rsidRDefault="004F0EC1" w:rsidP="00173336">
      <w:pPr>
        <w:pStyle w:val="ListParagraph"/>
        <w:numPr>
          <w:ilvl w:val="0"/>
          <w:numId w:val="3"/>
        </w:numPr>
        <w:tabs>
          <w:tab w:val="left" w:pos="2702"/>
        </w:tabs>
        <w:rPr>
          <w:rFonts w:ascii="Times New Roman" w:hAnsi="Times New Roman" w:cs="Times New Roman"/>
        </w:rPr>
      </w:pPr>
      <w:r w:rsidRPr="004F0EC1">
        <w:rPr>
          <w:rFonts w:ascii="Times New Roman" w:hAnsi="Times New Roman" w:cs="Times New Roman"/>
        </w:rPr>
        <w:t xml:space="preserve">How will </w:t>
      </w:r>
      <w:r w:rsidR="001402FA">
        <w:rPr>
          <w:rFonts w:ascii="Times New Roman" w:hAnsi="Times New Roman" w:cs="Times New Roman"/>
        </w:rPr>
        <w:t>the U.S.</w:t>
      </w:r>
      <w:r>
        <w:rPr>
          <w:rFonts w:ascii="Times New Roman" w:hAnsi="Times New Roman" w:cs="Times New Roman"/>
        </w:rPr>
        <w:t xml:space="preserve"> </w:t>
      </w:r>
      <w:r w:rsidRPr="004F0EC1">
        <w:rPr>
          <w:rFonts w:ascii="Times New Roman" w:hAnsi="Times New Roman" w:cs="Times New Roman"/>
        </w:rPr>
        <w:t xml:space="preserve">mitigate the harm already done, and the harm currently being done, to individuals from the affected countries and their families subjected to </w:t>
      </w:r>
      <w:r w:rsidR="00972A43">
        <w:rPr>
          <w:rFonts w:ascii="Times New Roman" w:hAnsi="Times New Roman" w:cs="Times New Roman"/>
        </w:rPr>
        <w:t>the</w:t>
      </w:r>
      <w:r w:rsidRPr="004F0EC1">
        <w:rPr>
          <w:rFonts w:ascii="Times New Roman" w:hAnsi="Times New Roman" w:cs="Times New Roman"/>
        </w:rPr>
        <w:t xml:space="preserve"> </w:t>
      </w:r>
      <w:r w:rsidR="007D6110">
        <w:rPr>
          <w:rFonts w:ascii="Times New Roman" w:hAnsi="Times New Roman" w:cs="Times New Roman"/>
        </w:rPr>
        <w:t xml:space="preserve">Proclamation and the </w:t>
      </w:r>
      <w:r w:rsidRPr="004F0EC1">
        <w:rPr>
          <w:rFonts w:ascii="Times New Roman" w:hAnsi="Times New Roman" w:cs="Times New Roman"/>
        </w:rPr>
        <w:t xml:space="preserve">waiver process?   </w:t>
      </w:r>
    </w:p>
    <w:p w14:paraId="3591296A" w14:textId="77777777" w:rsidR="007D6110" w:rsidRPr="007D6110" w:rsidRDefault="007D6110" w:rsidP="007D6110">
      <w:pPr>
        <w:tabs>
          <w:tab w:val="left" w:pos="2702"/>
        </w:tabs>
        <w:rPr>
          <w:rFonts w:ascii="Times New Roman" w:hAnsi="Times New Roman" w:cs="Times New Roman"/>
        </w:rPr>
      </w:pPr>
    </w:p>
    <w:p w14:paraId="1CEEA027" w14:textId="77777777" w:rsidR="007D6110" w:rsidRPr="004F0EC1" w:rsidRDefault="007D6110" w:rsidP="00173336">
      <w:pPr>
        <w:pStyle w:val="ListParagraph"/>
        <w:numPr>
          <w:ilvl w:val="0"/>
          <w:numId w:val="3"/>
        </w:numPr>
        <w:tabs>
          <w:tab w:val="left" w:pos="2702"/>
        </w:tabs>
        <w:rPr>
          <w:rFonts w:ascii="Times New Roman" w:hAnsi="Times New Roman" w:cs="Times New Roman"/>
        </w:rPr>
      </w:pPr>
      <w:r>
        <w:rPr>
          <w:rFonts w:ascii="Times New Roman" w:hAnsi="Times New Roman" w:cs="Times New Roman"/>
        </w:rPr>
        <w:t xml:space="preserve">How will the U.S. ensure transparency in its implementation of the Proclamation and its waiver provisions? </w:t>
      </w:r>
    </w:p>
    <w:p w14:paraId="0982A714" w14:textId="77777777" w:rsidR="00AF3440" w:rsidRDefault="00AF3440" w:rsidP="00173336">
      <w:pPr>
        <w:tabs>
          <w:tab w:val="left" w:pos="2702"/>
        </w:tabs>
        <w:rPr>
          <w:rFonts w:ascii="Times New Roman" w:hAnsi="Times New Roman" w:cs="Times New Roman"/>
        </w:rPr>
      </w:pPr>
    </w:p>
    <w:p w14:paraId="7DF19598" w14:textId="77777777" w:rsidR="002B0E43" w:rsidRDefault="002B0E43" w:rsidP="00173336">
      <w:pPr>
        <w:tabs>
          <w:tab w:val="left" w:pos="2702"/>
        </w:tabs>
        <w:rPr>
          <w:rFonts w:ascii="Times New Roman" w:hAnsi="Times New Roman" w:cs="Times New Roman"/>
        </w:rPr>
      </w:pPr>
    </w:p>
    <w:p w14:paraId="3804E786" w14:textId="77777777" w:rsidR="002B0E43" w:rsidRPr="00AF3440" w:rsidRDefault="002B0E43" w:rsidP="00173336">
      <w:pPr>
        <w:tabs>
          <w:tab w:val="left" w:pos="2702"/>
        </w:tabs>
        <w:rPr>
          <w:rFonts w:ascii="Times New Roman" w:hAnsi="Times New Roman" w:cs="Times New Roman"/>
        </w:rPr>
      </w:pPr>
    </w:p>
    <w:p w14:paraId="74505280" w14:textId="77777777" w:rsidR="009F09C4" w:rsidRPr="00AF3440" w:rsidRDefault="009F09C4" w:rsidP="00173336">
      <w:pPr>
        <w:pStyle w:val="ListParagraph"/>
        <w:numPr>
          <w:ilvl w:val="0"/>
          <w:numId w:val="1"/>
        </w:numPr>
        <w:tabs>
          <w:tab w:val="left" w:pos="2702"/>
        </w:tabs>
        <w:rPr>
          <w:rFonts w:ascii="Times New Roman" w:hAnsi="Times New Roman" w:cs="Times New Roman"/>
          <w:b/>
        </w:rPr>
      </w:pPr>
      <w:r w:rsidRPr="00AF3440">
        <w:rPr>
          <w:rFonts w:ascii="Times New Roman" w:hAnsi="Times New Roman" w:cs="Times New Roman"/>
          <w:b/>
        </w:rPr>
        <w:t xml:space="preserve">Suggested Recommendations </w:t>
      </w:r>
    </w:p>
    <w:p w14:paraId="4879E718" w14:textId="77777777" w:rsidR="00AF3440" w:rsidRPr="00AF3440" w:rsidRDefault="00AF3440" w:rsidP="00173336">
      <w:pPr>
        <w:tabs>
          <w:tab w:val="left" w:pos="2702"/>
        </w:tabs>
        <w:rPr>
          <w:rFonts w:ascii="Times New Roman" w:hAnsi="Times New Roman" w:cs="Times New Roman"/>
        </w:rPr>
      </w:pPr>
    </w:p>
    <w:p w14:paraId="07A36175" w14:textId="77777777" w:rsidR="00AF3440" w:rsidRDefault="00134F24" w:rsidP="00173336">
      <w:pPr>
        <w:tabs>
          <w:tab w:val="left" w:pos="2702"/>
        </w:tabs>
        <w:rPr>
          <w:rFonts w:ascii="Times New Roman" w:hAnsi="Times New Roman" w:cs="Times New Roman"/>
        </w:rPr>
      </w:pPr>
      <w:r>
        <w:rPr>
          <w:rFonts w:ascii="Times New Roman" w:hAnsi="Times New Roman" w:cs="Times New Roman"/>
        </w:rPr>
        <w:t xml:space="preserve">In light of the fact that the Proclamation violates U.S. obligations </w:t>
      </w:r>
      <w:r w:rsidR="00972A43">
        <w:rPr>
          <w:rFonts w:ascii="Times New Roman" w:hAnsi="Times New Roman" w:cs="Times New Roman"/>
        </w:rPr>
        <w:t>under the</w:t>
      </w:r>
      <w:r>
        <w:rPr>
          <w:rFonts w:ascii="Times New Roman" w:hAnsi="Times New Roman" w:cs="Times New Roman"/>
        </w:rPr>
        <w:t xml:space="preserve"> ICCPR, we</w:t>
      </w:r>
      <w:r w:rsidR="00AF3440">
        <w:rPr>
          <w:rFonts w:ascii="Times New Roman" w:hAnsi="Times New Roman" w:cs="Times New Roman"/>
        </w:rPr>
        <w:t xml:space="preserve"> </w:t>
      </w:r>
      <w:r w:rsidR="00C64119">
        <w:rPr>
          <w:rFonts w:ascii="Times New Roman" w:hAnsi="Times New Roman" w:cs="Times New Roman"/>
        </w:rPr>
        <w:t>urge</w:t>
      </w:r>
      <w:r w:rsidR="00AF3440">
        <w:rPr>
          <w:rFonts w:ascii="Times New Roman" w:hAnsi="Times New Roman" w:cs="Times New Roman"/>
        </w:rPr>
        <w:t xml:space="preserve"> the Committee </w:t>
      </w:r>
      <w:r w:rsidR="00C64119">
        <w:rPr>
          <w:rFonts w:ascii="Times New Roman" w:hAnsi="Times New Roman" w:cs="Times New Roman"/>
        </w:rPr>
        <w:t xml:space="preserve">to </w:t>
      </w:r>
      <w:r w:rsidR="00AF3440">
        <w:rPr>
          <w:rFonts w:ascii="Times New Roman" w:hAnsi="Times New Roman" w:cs="Times New Roman"/>
        </w:rPr>
        <w:t xml:space="preserve">recommend: </w:t>
      </w:r>
    </w:p>
    <w:p w14:paraId="21DE81E6" w14:textId="77777777" w:rsidR="007D6110" w:rsidRDefault="007D6110" w:rsidP="00173336">
      <w:pPr>
        <w:tabs>
          <w:tab w:val="left" w:pos="2702"/>
        </w:tabs>
        <w:rPr>
          <w:rFonts w:ascii="Times New Roman" w:hAnsi="Times New Roman" w:cs="Times New Roman"/>
        </w:rPr>
      </w:pPr>
    </w:p>
    <w:p w14:paraId="702A1777" w14:textId="77777777" w:rsidR="00AF3440" w:rsidRPr="0091235C" w:rsidRDefault="0091235C" w:rsidP="00173336">
      <w:pPr>
        <w:pStyle w:val="ListParagraph"/>
        <w:numPr>
          <w:ilvl w:val="0"/>
          <w:numId w:val="2"/>
        </w:numPr>
        <w:tabs>
          <w:tab w:val="left" w:pos="2702"/>
        </w:tabs>
        <w:rPr>
          <w:rFonts w:ascii="Times New Roman" w:hAnsi="Times New Roman" w:cs="Times New Roman"/>
        </w:rPr>
      </w:pPr>
      <w:r w:rsidRPr="0091235C">
        <w:rPr>
          <w:rFonts w:ascii="Times New Roman" w:hAnsi="Times New Roman" w:cs="Times New Roman"/>
        </w:rPr>
        <w:t xml:space="preserve">That the U.S. immediately rescind or repeal </w:t>
      </w:r>
      <w:r w:rsidR="000E6DF3">
        <w:rPr>
          <w:rFonts w:ascii="Times New Roman" w:hAnsi="Times New Roman" w:cs="Times New Roman"/>
        </w:rPr>
        <w:t>Presidential Proclamation 9645 as it violates protections against discrimination based on race, religion, and national</w:t>
      </w:r>
      <w:r w:rsidR="00972A43">
        <w:rPr>
          <w:rFonts w:ascii="Times New Roman" w:hAnsi="Times New Roman" w:cs="Times New Roman"/>
        </w:rPr>
        <w:t xml:space="preserve"> origin, and separates families. </w:t>
      </w:r>
    </w:p>
    <w:p w14:paraId="19D311F1" w14:textId="77777777" w:rsidR="00AF3440" w:rsidRPr="0091235C" w:rsidRDefault="00AF3440" w:rsidP="00173336">
      <w:pPr>
        <w:pStyle w:val="ListParagraph"/>
        <w:tabs>
          <w:tab w:val="left" w:pos="2702"/>
        </w:tabs>
        <w:rPr>
          <w:rFonts w:ascii="Times New Roman" w:hAnsi="Times New Roman" w:cs="Times New Roman"/>
        </w:rPr>
      </w:pPr>
    </w:p>
    <w:p w14:paraId="5163F8A2" w14:textId="77777777" w:rsidR="00AF3440" w:rsidRPr="003D12B3" w:rsidRDefault="000E6DF3" w:rsidP="003D12B3">
      <w:pPr>
        <w:pStyle w:val="ListParagraph"/>
        <w:numPr>
          <w:ilvl w:val="0"/>
          <w:numId w:val="2"/>
        </w:numPr>
        <w:tabs>
          <w:tab w:val="left" w:pos="2702"/>
        </w:tabs>
        <w:rPr>
          <w:rFonts w:ascii="Times New Roman" w:hAnsi="Times New Roman" w:cs="Times New Roman"/>
        </w:rPr>
      </w:pPr>
      <w:r>
        <w:rPr>
          <w:rFonts w:ascii="Times New Roman" w:hAnsi="Times New Roman" w:cs="Times New Roman"/>
        </w:rPr>
        <w:t>That the U.S. immediately hold congressional hearings on Presidential Proclamation 9645</w:t>
      </w:r>
      <w:r w:rsidR="003D12B3">
        <w:rPr>
          <w:rFonts w:ascii="Times New Roman" w:hAnsi="Times New Roman" w:cs="Times New Roman"/>
        </w:rPr>
        <w:t xml:space="preserve"> and </w:t>
      </w:r>
      <w:r w:rsidRPr="003D12B3">
        <w:rPr>
          <w:rFonts w:ascii="Times New Roman" w:hAnsi="Times New Roman" w:cs="Times New Roman"/>
        </w:rPr>
        <w:t xml:space="preserve">immediately establish </w:t>
      </w:r>
      <w:r w:rsidR="00317D55">
        <w:rPr>
          <w:rFonts w:ascii="Times New Roman" w:hAnsi="Times New Roman" w:cs="Times New Roman"/>
        </w:rPr>
        <w:t xml:space="preserve">robust </w:t>
      </w:r>
      <w:r w:rsidRPr="003D12B3">
        <w:rPr>
          <w:rFonts w:ascii="Times New Roman" w:hAnsi="Times New Roman" w:cs="Times New Roman"/>
        </w:rPr>
        <w:t>congressional oversight over the waiver process</w:t>
      </w:r>
      <w:r w:rsidR="003D12B3">
        <w:rPr>
          <w:rFonts w:ascii="Times New Roman" w:hAnsi="Times New Roman" w:cs="Times New Roman"/>
        </w:rPr>
        <w:t>, including</w:t>
      </w:r>
      <w:r w:rsidRPr="003D12B3">
        <w:rPr>
          <w:rFonts w:ascii="Times New Roman" w:hAnsi="Times New Roman" w:cs="Times New Roman"/>
        </w:rPr>
        <w:t xml:space="preserve"> </w:t>
      </w:r>
      <w:r w:rsidR="003D12B3">
        <w:rPr>
          <w:rFonts w:ascii="Times New Roman" w:hAnsi="Times New Roman" w:cs="Times New Roman"/>
        </w:rPr>
        <w:t xml:space="preserve">requiring </w:t>
      </w:r>
      <w:r w:rsidRPr="003D12B3">
        <w:rPr>
          <w:rFonts w:ascii="Times New Roman" w:hAnsi="Times New Roman" w:cs="Times New Roman"/>
        </w:rPr>
        <w:t xml:space="preserve">reporting </w:t>
      </w:r>
      <w:r w:rsidRPr="003D12B3">
        <w:rPr>
          <w:rFonts w:ascii="Times New Roman" w:eastAsia="Times New Roman" w:hAnsi="Times New Roman" w:cs="Times New Roman"/>
          <w:color w:val="252525"/>
          <w:highlight w:val="white"/>
        </w:rPr>
        <w:t xml:space="preserve">on data such as the number of applicants (by country), the number of waivers granted, and the number of visas issued to impacted individuals.  </w:t>
      </w:r>
    </w:p>
    <w:p w14:paraId="03462D88" w14:textId="77777777" w:rsidR="004F0EC1" w:rsidRPr="004F0EC1" w:rsidRDefault="004F0EC1" w:rsidP="004F0EC1">
      <w:pPr>
        <w:tabs>
          <w:tab w:val="left" w:pos="2702"/>
        </w:tabs>
        <w:rPr>
          <w:rFonts w:ascii="Times New Roman" w:hAnsi="Times New Roman" w:cs="Times New Roman"/>
        </w:rPr>
      </w:pPr>
    </w:p>
    <w:p w14:paraId="364D633E" w14:textId="77777777" w:rsidR="004F0EC1" w:rsidRPr="0091235C" w:rsidRDefault="004F0EC1" w:rsidP="00173336">
      <w:pPr>
        <w:pStyle w:val="ListParagraph"/>
        <w:numPr>
          <w:ilvl w:val="0"/>
          <w:numId w:val="2"/>
        </w:numPr>
        <w:tabs>
          <w:tab w:val="left" w:pos="2702"/>
        </w:tabs>
        <w:rPr>
          <w:rFonts w:ascii="Times New Roman" w:hAnsi="Times New Roman" w:cs="Times New Roman"/>
        </w:rPr>
      </w:pPr>
      <w:r>
        <w:rPr>
          <w:rFonts w:ascii="Times New Roman" w:hAnsi="Times New Roman" w:cs="Times New Roman"/>
        </w:rPr>
        <w:t>That the U.S. immediately issue public guidance on Presidential Proclamation 9645; implement a waiver process that is in full compliance with U</w:t>
      </w:r>
      <w:r w:rsidR="00972A43">
        <w:rPr>
          <w:rFonts w:ascii="Times New Roman" w:hAnsi="Times New Roman" w:cs="Times New Roman"/>
        </w:rPr>
        <w:t>.S. law and U.S. obligation</w:t>
      </w:r>
      <w:r w:rsidR="00624151">
        <w:rPr>
          <w:rFonts w:ascii="Times New Roman" w:hAnsi="Times New Roman" w:cs="Times New Roman"/>
        </w:rPr>
        <w:t xml:space="preserve">s under international law; </w:t>
      </w:r>
      <w:r>
        <w:rPr>
          <w:rFonts w:ascii="Times New Roman" w:hAnsi="Times New Roman" w:cs="Times New Roman"/>
        </w:rPr>
        <w:t>reconsider waivers in all that have been unlawfully</w:t>
      </w:r>
      <w:r w:rsidR="00972A43">
        <w:rPr>
          <w:rFonts w:ascii="Times New Roman" w:hAnsi="Times New Roman" w:cs="Times New Roman"/>
        </w:rPr>
        <w:t xml:space="preserve"> denied or refused; and grant visas to </w:t>
      </w:r>
      <w:r w:rsidR="00624151">
        <w:rPr>
          <w:rFonts w:ascii="Times New Roman" w:hAnsi="Times New Roman" w:cs="Times New Roman"/>
        </w:rPr>
        <w:t xml:space="preserve">all </w:t>
      </w:r>
      <w:r w:rsidR="00972A43">
        <w:rPr>
          <w:rFonts w:ascii="Times New Roman" w:hAnsi="Times New Roman" w:cs="Times New Roman"/>
        </w:rPr>
        <w:t xml:space="preserve">qualifying families and individuals.  </w:t>
      </w:r>
    </w:p>
    <w:sectPr w:rsidR="004F0EC1" w:rsidRPr="0091235C" w:rsidSect="002F03D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3B8C4" w14:textId="77777777" w:rsidR="002B0E43" w:rsidRDefault="002B0E43" w:rsidP="009F09C4">
      <w:r>
        <w:separator/>
      </w:r>
    </w:p>
  </w:endnote>
  <w:endnote w:type="continuationSeparator" w:id="0">
    <w:p w14:paraId="06234025" w14:textId="77777777" w:rsidR="002B0E43" w:rsidRDefault="002B0E43" w:rsidP="009F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21FEA" w14:textId="77777777" w:rsidR="002B0E43" w:rsidRDefault="002B0E43" w:rsidP="009F09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F1797" w14:textId="77777777" w:rsidR="002B0E43" w:rsidRDefault="002B0E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E7BB" w14:textId="77777777" w:rsidR="002B0E43" w:rsidRPr="00AF3440" w:rsidRDefault="002B0E43" w:rsidP="00AF3440">
    <w:pPr>
      <w:pStyle w:val="Footer"/>
      <w:framePr w:wrap="around" w:vAnchor="text" w:hAnchor="page" w:x="5761" w:y="-82"/>
      <w:rPr>
        <w:rStyle w:val="PageNumber"/>
      </w:rPr>
    </w:pPr>
    <w:r w:rsidRPr="00AF3440">
      <w:rPr>
        <w:rStyle w:val="PageNumber"/>
        <w:rFonts w:ascii="Times New Roman" w:hAnsi="Times New Roman" w:cs="Times New Roman"/>
      </w:rPr>
      <w:fldChar w:fldCharType="begin"/>
    </w:r>
    <w:r w:rsidRPr="00AF3440">
      <w:rPr>
        <w:rStyle w:val="PageNumber"/>
        <w:rFonts w:ascii="Times New Roman" w:hAnsi="Times New Roman" w:cs="Times New Roman"/>
      </w:rPr>
      <w:instrText xml:space="preserve">PAGE  </w:instrText>
    </w:r>
    <w:r w:rsidRPr="00AF3440">
      <w:rPr>
        <w:rStyle w:val="PageNumber"/>
        <w:rFonts w:ascii="Times New Roman" w:hAnsi="Times New Roman" w:cs="Times New Roman"/>
      </w:rPr>
      <w:fldChar w:fldCharType="separate"/>
    </w:r>
    <w:r w:rsidR="00440AB8">
      <w:rPr>
        <w:rStyle w:val="PageNumber"/>
        <w:rFonts w:ascii="Times New Roman" w:hAnsi="Times New Roman" w:cs="Times New Roman"/>
        <w:noProof/>
      </w:rPr>
      <w:t>1</w:t>
    </w:r>
    <w:r w:rsidRPr="00AF3440">
      <w:rPr>
        <w:rStyle w:val="PageNumber"/>
        <w:rFonts w:ascii="Times New Roman" w:hAnsi="Times New Roman" w:cs="Times New Roman"/>
      </w:rPr>
      <w:fldChar w:fldCharType="end"/>
    </w:r>
  </w:p>
  <w:p w14:paraId="565C9C9E" w14:textId="77777777" w:rsidR="002B0E43" w:rsidRDefault="002B0E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51B24" w14:textId="77777777" w:rsidR="002B0E43" w:rsidRDefault="002B0E43" w:rsidP="009F09C4">
      <w:r>
        <w:separator/>
      </w:r>
    </w:p>
  </w:footnote>
  <w:footnote w:type="continuationSeparator" w:id="0">
    <w:p w14:paraId="3BECEC85" w14:textId="77777777" w:rsidR="002B0E43" w:rsidRDefault="002B0E43" w:rsidP="009F09C4">
      <w:r>
        <w:continuationSeparator/>
      </w:r>
    </w:p>
  </w:footnote>
  <w:footnote w:id="1">
    <w:p w14:paraId="7DF8E48F" w14:textId="77777777" w:rsidR="002B0E43" w:rsidRPr="00BF1A08" w:rsidRDefault="002B0E43" w:rsidP="0089775B">
      <w:pPr>
        <w:rPr>
          <w:rFonts w:ascii="Times" w:hAnsi="Times"/>
          <w:sz w:val="20"/>
        </w:rPr>
      </w:pPr>
      <w:r w:rsidRPr="00BF1A08">
        <w:rPr>
          <w:rStyle w:val="FootnoteReference"/>
          <w:rFonts w:ascii="Times" w:hAnsi="Times" w:cs="Times New Roman"/>
          <w:sz w:val="20"/>
          <w:szCs w:val="20"/>
        </w:rPr>
        <w:footnoteRef/>
      </w:r>
      <w:r w:rsidRPr="00BF1A08">
        <w:rPr>
          <w:rFonts w:ascii="Times" w:hAnsi="Times"/>
          <w:sz w:val="20"/>
        </w:rPr>
        <w:t xml:space="preserve"> Asian Americans Advancing Justice- Asian Law Caucus (“AAAJ-ALC”) seeks to promote, advance, and represent the legal and civil rights of Asian Pacific Islander communities.  As part of its mission, AAAJ-ALC challenges national laws, policies, and practices that lead to racial and religious profiling of Arab, Middle Eastern, Muslim, and South Asian communities in the United States.  </w:t>
      </w:r>
      <w:r w:rsidRPr="00BF1A08">
        <w:rPr>
          <w:rFonts w:ascii="Times" w:hAnsi="Times"/>
          <w:i/>
          <w:sz w:val="20"/>
        </w:rPr>
        <w:t xml:space="preserve">See </w:t>
      </w:r>
      <w:r w:rsidRPr="00BF1A08">
        <w:rPr>
          <w:rFonts w:ascii="Times" w:hAnsi="Times"/>
          <w:sz w:val="20"/>
        </w:rPr>
        <w:t>https://www.advancingjustice-alc.org/.</w:t>
      </w:r>
    </w:p>
  </w:footnote>
  <w:footnote w:id="2">
    <w:p w14:paraId="5065490B" w14:textId="77777777" w:rsidR="002B0E43" w:rsidRPr="00BF1A08" w:rsidRDefault="002B0E43" w:rsidP="0089775B">
      <w:pPr>
        <w:rPr>
          <w:rFonts w:ascii="Times" w:hAnsi="Times"/>
          <w:sz w:val="20"/>
        </w:rPr>
      </w:pPr>
      <w:r w:rsidRPr="00BF1A08">
        <w:rPr>
          <w:rStyle w:val="FootnoteReference"/>
          <w:rFonts w:ascii="Times" w:hAnsi="Times" w:cs="Times New Roman"/>
          <w:sz w:val="20"/>
          <w:szCs w:val="20"/>
        </w:rPr>
        <w:footnoteRef/>
      </w:r>
      <w:r w:rsidRPr="00BF1A08">
        <w:rPr>
          <w:rFonts w:ascii="Times" w:hAnsi="Times"/>
          <w:sz w:val="20"/>
        </w:rPr>
        <w:t xml:space="preserve"> Center for Constitutional Rights (“CCR”) stands with social justice movements and communities under threat—fusing litigation, advocacy, and narrative shifting to dismantle systems of oppression regardless of the risk.  </w:t>
      </w:r>
      <w:r w:rsidRPr="00BF1A08">
        <w:rPr>
          <w:rFonts w:ascii="Times" w:hAnsi="Times"/>
          <w:i/>
          <w:sz w:val="20"/>
        </w:rPr>
        <w:t xml:space="preserve">See </w:t>
      </w:r>
      <w:r w:rsidRPr="00BF1A08">
        <w:rPr>
          <w:rFonts w:ascii="Times" w:hAnsi="Times"/>
          <w:sz w:val="20"/>
        </w:rPr>
        <w:t>https//ccrjustice.org/.</w:t>
      </w:r>
    </w:p>
  </w:footnote>
  <w:footnote w:id="3">
    <w:p w14:paraId="58B01804" w14:textId="77777777" w:rsidR="002B0E43" w:rsidRPr="00BF1A08" w:rsidRDefault="002B0E43" w:rsidP="0089775B">
      <w:pPr>
        <w:rPr>
          <w:rFonts w:ascii="Times" w:hAnsi="Times"/>
          <w:sz w:val="20"/>
        </w:rPr>
      </w:pPr>
      <w:r w:rsidRPr="00BF1A08">
        <w:rPr>
          <w:rStyle w:val="FootnoteReference"/>
          <w:rFonts w:ascii="Times" w:hAnsi="Times" w:cs="Times New Roman"/>
          <w:sz w:val="20"/>
          <w:szCs w:val="20"/>
        </w:rPr>
        <w:footnoteRef/>
      </w:r>
      <w:r w:rsidRPr="00BF1A08">
        <w:rPr>
          <w:rFonts w:ascii="Times" w:hAnsi="Times"/>
          <w:sz w:val="20"/>
        </w:rPr>
        <w:t xml:space="preserve"> Council on American-Islamic Relations- San Francisco Bay Area (“CAIR-SFBA”) is an office of CAIR, America’s largest Muslim civil liberties and advocacy organization.  Its mission </w:t>
      </w:r>
      <w:r>
        <w:rPr>
          <w:rFonts w:ascii="Times" w:hAnsi="Times"/>
          <w:sz w:val="20"/>
        </w:rPr>
        <w:t xml:space="preserve">is to </w:t>
      </w:r>
      <w:r w:rsidRPr="00BF1A08">
        <w:rPr>
          <w:rFonts w:ascii="Times" w:hAnsi="Times"/>
          <w:sz w:val="20"/>
        </w:rPr>
        <w:t xml:space="preserve">enhance the understanding of Islam, encourage dialogue, protect civil liberties, empower American Muslims, and build coalitions that promote justice and mutual understanding.  </w:t>
      </w:r>
      <w:r w:rsidRPr="00BF1A08">
        <w:rPr>
          <w:rFonts w:ascii="Times" w:hAnsi="Times"/>
          <w:i/>
          <w:sz w:val="20"/>
        </w:rPr>
        <w:t xml:space="preserve">See </w:t>
      </w:r>
      <w:r w:rsidRPr="00BF1A08">
        <w:rPr>
          <w:rFonts w:ascii="Times" w:hAnsi="Times"/>
          <w:sz w:val="20"/>
        </w:rPr>
        <w:t xml:space="preserve">https://ca.cair.com/sfba/. </w:t>
      </w:r>
    </w:p>
  </w:footnote>
  <w:footnote w:id="4">
    <w:p w14:paraId="7696364E" w14:textId="77777777" w:rsidR="002B0E43" w:rsidRPr="00BF1A08" w:rsidRDefault="002B0E43" w:rsidP="0089775B">
      <w:pPr>
        <w:rPr>
          <w:rFonts w:ascii="Times" w:hAnsi="Times"/>
          <w:sz w:val="20"/>
        </w:rPr>
      </w:pPr>
      <w:r w:rsidRPr="00BF1A08">
        <w:rPr>
          <w:rStyle w:val="FootnoteReference"/>
          <w:rFonts w:ascii="Times" w:hAnsi="Times" w:cs="Times New Roman"/>
          <w:sz w:val="20"/>
          <w:szCs w:val="20"/>
        </w:rPr>
        <w:footnoteRef/>
      </w:r>
      <w:r w:rsidRPr="00BF1A08">
        <w:rPr>
          <w:rFonts w:ascii="Times" w:hAnsi="Times"/>
          <w:sz w:val="20"/>
        </w:rPr>
        <w:t xml:space="preserve"> Iranian American Bar Association (“IABA”) is the only national association of Iranian-American judges, attorneys, scholars, and law students in the United States with over 1,500 members.  Part of IABA’s mission is to protect and advance the legal rights of Iranian-Americans and other minority communities.  </w:t>
      </w:r>
      <w:r w:rsidRPr="00BF1A08">
        <w:rPr>
          <w:rFonts w:ascii="Times" w:hAnsi="Times"/>
          <w:i/>
          <w:sz w:val="20"/>
        </w:rPr>
        <w:t xml:space="preserve">See </w:t>
      </w:r>
      <w:r w:rsidRPr="00BF1A08">
        <w:rPr>
          <w:rFonts w:ascii="Times" w:hAnsi="Times"/>
          <w:sz w:val="20"/>
        </w:rPr>
        <w:t>https://iaba.us/.</w:t>
      </w:r>
    </w:p>
  </w:footnote>
  <w:footnote w:id="5">
    <w:p w14:paraId="7BAE3AE7" w14:textId="00F941DB" w:rsidR="002B0E43" w:rsidRPr="00BF1A08" w:rsidRDefault="002B0E43" w:rsidP="0089775B">
      <w:pPr>
        <w:rPr>
          <w:rFonts w:ascii="Times" w:hAnsi="Times"/>
          <w:sz w:val="20"/>
        </w:rPr>
      </w:pPr>
      <w:r w:rsidRPr="00BF1A08">
        <w:rPr>
          <w:rStyle w:val="FootnoteReference"/>
          <w:rFonts w:ascii="Times" w:hAnsi="Times" w:cs="Times New Roman"/>
          <w:sz w:val="20"/>
          <w:szCs w:val="20"/>
        </w:rPr>
        <w:footnoteRef/>
      </w:r>
      <w:r w:rsidRPr="00BF1A08">
        <w:rPr>
          <w:rFonts w:ascii="Times" w:hAnsi="Times"/>
          <w:sz w:val="20"/>
        </w:rPr>
        <w:t xml:space="preserve"> National I</w:t>
      </w:r>
      <w:r>
        <w:rPr>
          <w:rFonts w:ascii="Times" w:hAnsi="Times"/>
          <w:sz w:val="20"/>
        </w:rPr>
        <w:t xml:space="preserve">mmigration Law Center (“NILC”) </w:t>
      </w:r>
      <w:r w:rsidR="00440AB8">
        <w:rPr>
          <w:rFonts w:ascii="Times" w:hAnsi="Times"/>
          <w:sz w:val="20"/>
        </w:rPr>
        <w:t>was established in 1979 and</w:t>
      </w:r>
      <w:r w:rsidRPr="00BF1A08">
        <w:rPr>
          <w:rFonts w:ascii="Times" w:hAnsi="Times"/>
          <w:sz w:val="20"/>
        </w:rPr>
        <w:t xml:space="preserve"> is one of the leading organizations in the U.S. exclusively dedicated to defending and advancing the right</w:t>
      </w:r>
      <w:r>
        <w:rPr>
          <w:rFonts w:ascii="Times" w:hAnsi="Times"/>
          <w:sz w:val="20"/>
        </w:rPr>
        <w:t>s of immigrants with low income</w:t>
      </w:r>
      <w:r w:rsidRPr="00BF1A08">
        <w:rPr>
          <w:rFonts w:ascii="Times" w:hAnsi="Times"/>
          <w:sz w:val="20"/>
        </w:rPr>
        <w:t xml:space="preserve">.  </w:t>
      </w:r>
      <w:r w:rsidRPr="00BF1A08">
        <w:rPr>
          <w:rFonts w:ascii="Times" w:hAnsi="Times"/>
          <w:i/>
          <w:sz w:val="20"/>
        </w:rPr>
        <w:t xml:space="preserve">See </w:t>
      </w:r>
      <w:r w:rsidRPr="00BF1A08">
        <w:rPr>
          <w:rFonts w:ascii="Times" w:hAnsi="Times"/>
          <w:sz w:val="20"/>
        </w:rPr>
        <w:t>https://www.nilc.org/.</w:t>
      </w:r>
    </w:p>
  </w:footnote>
  <w:footnote w:id="6">
    <w:p w14:paraId="6616B7C3" w14:textId="77777777" w:rsidR="002B0E43" w:rsidRPr="00BF1A08" w:rsidRDefault="002B0E43" w:rsidP="0089775B">
      <w:pPr>
        <w:rPr>
          <w:rFonts w:ascii="Times" w:eastAsia="Times New Roman" w:hAnsi="Times"/>
          <w:color w:val="000000"/>
          <w:sz w:val="20"/>
        </w:rPr>
      </w:pPr>
      <w:r w:rsidRPr="00BF1A08">
        <w:rPr>
          <w:rFonts w:ascii="Times" w:hAnsi="Times"/>
          <w:sz w:val="20"/>
          <w:vertAlign w:val="superscript"/>
        </w:rPr>
        <w:footnoteRef/>
      </w:r>
      <w:r w:rsidRPr="00BF1A08">
        <w:rPr>
          <w:rFonts w:ascii="Times" w:eastAsia="Times New Roman" w:hAnsi="Times"/>
          <w:color w:val="000000"/>
          <w:sz w:val="20"/>
        </w:rPr>
        <w:t xml:space="preserve"> Jenna Johnson, </w:t>
      </w:r>
      <w:r w:rsidRPr="00BF1A08">
        <w:rPr>
          <w:rFonts w:ascii="Times" w:eastAsia="Times New Roman" w:hAnsi="Times"/>
          <w:i/>
          <w:color w:val="000000"/>
          <w:sz w:val="20"/>
        </w:rPr>
        <w:t xml:space="preserve">Trump calls for ‘total and complete shutdown of Muslims entering the United </w:t>
      </w:r>
      <w:r w:rsidRPr="00BF1A08">
        <w:rPr>
          <w:rFonts w:ascii="Times" w:eastAsia="Times New Roman" w:hAnsi="Times"/>
          <w:color w:val="000000"/>
          <w:sz w:val="20"/>
        </w:rPr>
        <w:t xml:space="preserve">States’ (Dec. 7, 2015), WASH. POST, </w:t>
      </w:r>
      <w:r w:rsidRPr="00BF1A08">
        <w:rPr>
          <w:rFonts w:ascii="Times" w:hAnsi="Times"/>
          <w:color w:val="000000"/>
          <w:sz w:val="20"/>
        </w:rPr>
        <w:t>https://www.washingtonpost.com/news/post-politics/wp/2015/12/07/donald-trump-calls-for-total-and-complete-shutdown-of-muslims-entering-the-united-states/?noredirect=on&amp;utm_term=.0de32510d03e</w:t>
      </w:r>
      <w:r w:rsidRPr="00BF1A08">
        <w:rPr>
          <w:rFonts w:ascii="Times" w:eastAsia="Times New Roman" w:hAnsi="Times"/>
          <w:color w:val="000000"/>
          <w:sz w:val="20"/>
        </w:rPr>
        <w:t>.</w:t>
      </w:r>
    </w:p>
  </w:footnote>
  <w:footnote w:id="7">
    <w:p w14:paraId="109499D2" w14:textId="77777777" w:rsidR="002B0E43" w:rsidRPr="00BF1A08" w:rsidRDefault="002B0E43" w:rsidP="0089775B">
      <w:pPr>
        <w:rPr>
          <w:rFonts w:ascii="Times" w:hAnsi="Times"/>
          <w:sz w:val="20"/>
        </w:rPr>
      </w:pPr>
      <w:r w:rsidRPr="00BF1A08">
        <w:rPr>
          <w:rStyle w:val="FootnoteReference"/>
          <w:rFonts w:ascii="Times" w:hAnsi="Times" w:cs="Times New Roman"/>
          <w:sz w:val="20"/>
          <w:szCs w:val="20"/>
        </w:rPr>
        <w:footnoteRef/>
      </w:r>
      <w:r w:rsidRPr="00BF1A08">
        <w:rPr>
          <w:rFonts w:ascii="Times" w:hAnsi="Times"/>
          <w:sz w:val="20"/>
        </w:rPr>
        <w:t xml:space="preserve"> Proclamation No. 9645, 82 Fed.Reg. 45161 (September 27, 2017).</w:t>
      </w:r>
    </w:p>
  </w:footnote>
  <w:footnote w:id="8">
    <w:p w14:paraId="2FDDC8EF" w14:textId="77777777" w:rsidR="002B0E43" w:rsidRPr="00BF1A08" w:rsidRDefault="002B0E43" w:rsidP="0089775B">
      <w:pPr>
        <w:rPr>
          <w:rFonts w:ascii="Times" w:eastAsia="Times New Roman" w:hAnsi="Times"/>
          <w:color w:val="000000"/>
          <w:sz w:val="20"/>
        </w:rPr>
      </w:pPr>
      <w:r w:rsidRPr="00BF1A08">
        <w:rPr>
          <w:rFonts w:ascii="Times" w:hAnsi="Times"/>
          <w:sz w:val="20"/>
          <w:vertAlign w:val="superscript"/>
        </w:rPr>
        <w:footnoteRef/>
      </w:r>
      <w:r w:rsidRPr="00BF1A08">
        <w:rPr>
          <w:rFonts w:ascii="Times" w:eastAsia="Times New Roman" w:hAnsi="Times"/>
          <w:color w:val="000000"/>
          <w:sz w:val="20"/>
        </w:rPr>
        <w:t xml:space="preserve"> Yeganeh Torbati, Mica Rosenberg, Exclusive: Visa waivers rarely granted under Trump’s latest U.S. travel ban: data, REUTERS (MAR. 6, 2018), https://www.reuters.com/article/us-usaimmigration-travelban-exclusive/exclusive-visa-waivers-rarely-granted-under-trumps-latestu-s-travel-ban-data-idUSKCN1GI2DW. (discussing Feb. 2018 letter).</w:t>
      </w:r>
    </w:p>
  </w:footnote>
  <w:footnote w:id="9">
    <w:p w14:paraId="6A7242C7" w14:textId="77777777" w:rsidR="002B0E43" w:rsidRPr="00BF1A08" w:rsidRDefault="002B0E43" w:rsidP="0089775B">
      <w:pPr>
        <w:rPr>
          <w:rFonts w:ascii="Times" w:hAnsi="Times"/>
          <w:sz w:val="20"/>
          <w:szCs w:val="22"/>
        </w:rPr>
      </w:pPr>
      <w:r w:rsidRPr="00BF1A08">
        <w:rPr>
          <w:rStyle w:val="FootnoteReference"/>
          <w:rFonts w:ascii="Times" w:hAnsi="Times" w:cs="Times New Roman"/>
          <w:sz w:val="20"/>
          <w:szCs w:val="22"/>
        </w:rPr>
        <w:footnoteRef/>
      </w:r>
      <w:r w:rsidRPr="00BF1A08">
        <w:rPr>
          <w:rFonts w:ascii="Times" w:hAnsi="Times"/>
          <w:sz w:val="20"/>
          <w:szCs w:val="22"/>
        </w:rPr>
        <w:t xml:space="preserve"> </w:t>
      </w:r>
      <w:r w:rsidRPr="00BF1A08">
        <w:rPr>
          <w:rFonts w:ascii="Times" w:hAnsi="Times"/>
          <w:sz w:val="20"/>
        </w:rPr>
        <w:t xml:space="preserve">Christopher M. Richardson, </w:t>
      </w:r>
      <w:r w:rsidRPr="00BF1A08">
        <w:rPr>
          <w:rFonts w:ascii="Times" w:hAnsi="Times"/>
          <w:i/>
          <w:sz w:val="20"/>
        </w:rPr>
        <w:t>The Supreme Court Needs to Know the Truth About Trump’s Travel Ban</w:t>
      </w:r>
      <w:r w:rsidRPr="00BF1A08">
        <w:rPr>
          <w:rFonts w:ascii="Times" w:hAnsi="Times"/>
          <w:sz w:val="20"/>
        </w:rPr>
        <w:t>, Slate.com (June 21, 2018, 4:25 PM), https://slate.com/news-and-politics/2018/06/a-consular-officer-on-how-the-travel-ban-waiver-process-is-a-sham.html.</w:t>
      </w:r>
    </w:p>
  </w:footnote>
  <w:footnote w:id="10">
    <w:p w14:paraId="3C78B0D9" w14:textId="77777777" w:rsidR="002B0E43" w:rsidRPr="00BF1A08" w:rsidRDefault="002B0E43" w:rsidP="0089775B">
      <w:pPr>
        <w:rPr>
          <w:rFonts w:ascii="Times" w:hAnsi="Times"/>
          <w:sz w:val="20"/>
          <w:szCs w:val="22"/>
          <w:highlight w:val="yellow"/>
        </w:rPr>
      </w:pPr>
      <w:r w:rsidRPr="00BF1A08">
        <w:rPr>
          <w:rStyle w:val="FootnoteReference"/>
          <w:rFonts w:ascii="Times" w:hAnsi="Times" w:cs="Times New Roman"/>
          <w:sz w:val="20"/>
          <w:szCs w:val="22"/>
        </w:rPr>
        <w:footnoteRef/>
      </w:r>
      <w:r w:rsidRPr="00BF1A08">
        <w:rPr>
          <w:rFonts w:ascii="Times" w:hAnsi="Times"/>
          <w:sz w:val="20"/>
          <w:szCs w:val="22"/>
        </w:rPr>
        <w:t xml:space="preserve"> </w:t>
      </w:r>
      <w:r w:rsidRPr="00BF1A08">
        <w:rPr>
          <w:rFonts w:ascii="Times" w:hAnsi="Times"/>
          <w:sz w:val="20"/>
        </w:rPr>
        <w:t xml:space="preserve">Ctr. for Constitutional Rights &amp; Rule of Clinic Yale Law School, </w:t>
      </w:r>
      <w:r w:rsidRPr="00BF1A08">
        <w:rPr>
          <w:rFonts w:ascii="Times" w:hAnsi="Times"/>
          <w:i/>
          <w:sz w:val="20"/>
        </w:rPr>
        <w:t>Window Dressing the Muslim Ban: Reports of Waivers and Mass Denials from Yemeni Americans Stuck in Limbo</w:t>
      </w:r>
      <w:r w:rsidRPr="00BF1A08">
        <w:rPr>
          <w:rFonts w:ascii="Times" w:hAnsi="Times"/>
          <w:sz w:val="20"/>
        </w:rPr>
        <w:t xml:space="preserve"> (2018), https://ccrjustice.org/sites/default/files/attach/2018/06/CCR_YLS_June2018_Report_Window-Dressing-the-Muslim-Ban.pdf.</w:t>
      </w:r>
    </w:p>
  </w:footnote>
  <w:footnote w:id="11">
    <w:p w14:paraId="7D254587" w14:textId="77777777" w:rsidR="002B0E43" w:rsidRPr="00BF1A08" w:rsidRDefault="002B0E43" w:rsidP="0089775B">
      <w:pPr>
        <w:rPr>
          <w:rFonts w:ascii="Times" w:hAnsi="Times"/>
          <w:sz w:val="20"/>
          <w:szCs w:val="22"/>
        </w:rPr>
      </w:pPr>
      <w:r w:rsidRPr="00BF1A08">
        <w:rPr>
          <w:rStyle w:val="FootnoteReference"/>
          <w:rFonts w:ascii="Times" w:hAnsi="Times" w:cs="Times New Roman"/>
          <w:sz w:val="20"/>
          <w:szCs w:val="22"/>
        </w:rPr>
        <w:footnoteRef/>
      </w:r>
      <w:r w:rsidRPr="00BF1A08">
        <w:rPr>
          <w:rFonts w:ascii="Times" w:hAnsi="Times"/>
          <w:sz w:val="20"/>
          <w:szCs w:val="22"/>
        </w:rPr>
        <w:t xml:space="preserve"> </w:t>
      </w:r>
      <w:r w:rsidRPr="00BF1A08">
        <w:rPr>
          <w:rFonts w:ascii="Times" w:hAnsi="Times"/>
          <w:i/>
          <w:sz w:val="20"/>
        </w:rPr>
        <w:t>Trump v. Hawaii</w:t>
      </w:r>
      <w:r w:rsidRPr="00BF1A08">
        <w:rPr>
          <w:rFonts w:ascii="Times" w:hAnsi="Times"/>
          <w:sz w:val="20"/>
        </w:rPr>
        <w:t>, 138 S. Ct. 2392, 2433 (Sotomayor, J., dissenting) (2018).</w:t>
      </w:r>
    </w:p>
  </w:footnote>
  <w:footnote w:id="12">
    <w:p w14:paraId="19E93DF0" w14:textId="77777777" w:rsidR="002B0E43" w:rsidRPr="00BF1A08" w:rsidRDefault="002B0E43" w:rsidP="0089775B">
      <w:pPr>
        <w:rPr>
          <w:rFonts w:ascii="Times" w:hAnsi="Times"/>
          <w:sz w:val="20"/>
          <w:szCs w:val="22"/>
        </w:rPr>
      </w:pPr>
      <w:r w:rsidRPr="00BF1A08">
        <w:rPr>
          <w:rStyle w:val="FootnoteReference"/>
          <w:rFonts w:ascii="Times" w:hAnsi="Times" w:cs="Times New Roman"/>
          <w:sz w:val="20"/>
          <w:szCs w:val="22"/>
        </w:rPr>
        <w:footnoteRef/>
      </w:r>
      <w:r w:rsidRPr="00BF1A08">
        <w:rPr>
          <w:rFonts w:ascii="Times" w:hAnsi="Times"/>
          <w:sz w:val="20"/>
          <w:szCs w:val="22"/>
        </w:rPr>
        <w:t xml:space="preserve"> </w:t>
      </w:r>
      <w:r w:rsidRPr="00BF1A08">
        <w:rPr>
          <w:rFonts w:ascii="Times" w:hAnsi="Times"/>
          <w:i/>
          <w:sz w:val="20"/>
        </w:rPr>
        <w:t>Id.</w:t>
      </w:r>
      <w:r w:rsidRPr="00BF1A08">
        <w:rPr>
          <w:rFonts w:ascii="Times" w:hAnsi="Times"/>
          <w:sz w:val="20"/>
        </w:rPr>
        <w:t xml:space="preserve"> at 2435.</w:t>
      </w:r>
    </w:p>
  </w:footnote>
  <w:footnote w:id="13">
    <w:p w14:paraId="23F9D743" w14:textId="77777777" w:rsidR="002B0E43" w:rsidRPr="00BF1A08" w:rsidRDefault="002B0E43" w:rsidP="0089775B">
      <w:pPr>
        <w:rPr>
          <w:rFonts w:ascii="Times" w:hAnsi="Times"/>
          <w:sz w:val="20"/>
        </w:rPr>
      </w:pPr>
      <w:r w:rsidRPr="00BF1A08">
        <w:rPr>
          <w:rStyle w:val="FootnoteReference"/>
          <w:rFonts w:ascii="Times" w:hAnsi="Times" w:cs="Times New Roman"/>
          <w:sz w:val="20"/>
          <w:szCs w:val="22"/>
        </w:rPr>
        <w:footnoteRef/>
      </w:r>
      <w:r w:rsidRPr="00BF1A08">
        <w:rPr>
          <w:rFonts w:ascii="Times" w:hAnsi="Times"/>
          <w:sz w:val="20"/>
          <w:szCs w:val="22"/>
        </w:rPr>
        <w:t xml:space="preserve"> </w:t>
      </w:r>
      <w:r w:rsidRPr="00BF1A08">
        <w:rPr>
          <w:rFonts w:ascii="Times" w:hAnsi="Times"/>
          <w:i/>
          <w:sz w:val="20"/>
        </w:rPr>
        <w:t>Id.</w:t>
      </w:r>
      <w:r w:rsidRPr="00BF1A08">
        <w:rPr>
          <w:rFonts w:ascii="Times" w:hAnsi="Times"/>
          <w:sz w:val="20"/>
        </w:rPr>
        <w:t xml:space="preserve"> at 2431 (Breyer, J., dissenting).</w:t>
      </w:r>
    </w:p>
  </w:footnote>
  <w:footnote w:id="14">
    <w:p w14:paraId="42C3EC39" w14:textId="77777777" w:rsidR="002B0E43" w:rsidRPr="00BF1A08" w:rsidRDefault="002B0E43" w:rsidP="0089775B">
      <w:pPr>
        <w:rPr>
          <w:rFonts w:ascii="Times" w:hAnsi="Times"/>
          <w:sz w:val="20"/>
        </w:rPr>
      </w:pPr>
      <w:r w:rsidRPr="00BF1A08">
        <w:rPr>
          <w:rStyle w:val="FootnoteReference"/>
          <w:rFonts w:ascii="Times" w:hAnsi="Times"/>
          <w:sz w:val="20"/>
        </w:rPr>
        <w:footnoteRef/>
      </w:r>
      <w:r w:rsidRPr="00BF1A08">
        <w:rPr>
          <w:rFonts w:ascii="Times" w:hAnsi="Times"/>
          <w:sz w:val="20"/>
        </w:rPr>
        <w:t xml:space="preserve"> HRC Gen’l Comments, 37th Sess., U.N. Doc. CCPR/C/GC/18 (Nov. 10, 1989), </w:t>
      </w:r>
      <w:r w:rsidRPr="00BF1A08">
        <w:rPr>
          <w:rFonts w:ascii="Times" w:hAnsi="Times"/>
          <w:i/>
          <w:sz w:val="20"/>
        </w:rPr>
        <w:t>available at</w:t>
      </w:r>
      <w:r w:rsidRPr="00BF1A08">
        <w:rPr>
          <w:rFonts w:ascii="Times" w:hAnsi="Times"/>
          <w:sz w:val="20"/>
        </w:rPr>
        <w:t xml:space="preserve"> https://www.refworld.org/docid/453883fa8.html.</w:t>
      </w:r>
    </w:p>
  </w:footnote>
  <w:footnote w:id="15">
    <w:p w14:paraId="714A1A19" w14:textId="77777777" w:rsidR="002B0E43" w:rsidRPr="00BF1A08" w:rsidRDefault="002B0E43" w:rsidP="0089775B">
      <w:pPr>
        <w:rPr>
          <w:rFonts w:ascii="Times" w:hAnsi="Times"/>
          <w:sz w:val="20"/>
        </w:rPr>
      </w:pPr>
      <w:r w:rsidRPr="00BF1A08">
        <w:rPr>
          <w:rStyle w:val="FootnoteReference"/>
          <w:rFonts w:ascii="Times" w:hAnsi="Times"/>
          <w:sz w:val="20"/>
        </w:rPr>
        <w:footnoteRef/>
      </w:r>
      <w:r w:rsidRPr="00BF1A08">
        <w:rPr>
          <w:rFonts w:ascii="Times" w:hAnsi="Times"/>
          <w:sz w:val="20"/>
        </w:rPr>
        <w:t xml:space="preserve"> HRC Gen’l Comments, 80th Sess., U.N. Doc. CCPR/C/21/Rev.1/Add.13 (May 26, 2004), </w:t>
      </w:r>
      <w:r w:rsidRPr="00BF1A08">
        <w:rPr>
          <w:rFonts w:ascii="Times" w:hAnsi="Times"/>
          <w:i/>
          <w:sz w:val="20"/>
        </w:rPr>
        <w:t>available at</w:t>
      </w:r>
      <w:r w:rsidRPr="00BF1A08">
        <w:rPr>
          <w:rFonts w:ascii="Times" w:hAnsi="Times"/>
          <w:sz w:val="20"/>
        </w:rPr>
        <w:t xml:space="preserve"> https://www.refworld.org/docid/478b26ae2.html.</w:t>
      </w:r>
    </w:p>
  </w:footnote>
  <w:footnote w:id="16">
    <w:p w14:paraId="42D837A7" w14:textId="77777777" w:rsidR="002B0E43" w:rsidRPr="00BF1A08" w:rsidRDefault="002B0E43" w:rsidP="0089775B">
      <w:pPr>
        <w:rPr>
          <w:rFonts w:ascii="Times" w:hAnsi="Times"/>
          <w:sz w:val="20"/>
        </w:rPr>
      </w:pPr>
      <w:r w:rsidRPr="00BF1A08">
        <w:rPr>
          <w:rStyle w:val="FootnoteReference"/>
          <w:rFonts w:ascii="Times" w:hAnsi="Times" w:cs="Times New Roman"/>
          <w:sz w:val="20"/>
          <w:szCs w:val="20"/>
        </w:rPr>
        <w:footnoteRef/>
      </w:r>
      <w:r w:rsidRPr="00BF1A08">
        <w:rPr>
          <w:rFonts w:ascii="Times" w:hAnsi="Times"/>
          <w:sz w:val="20"/>
        </w:rPr>
        <w:t xml:space="preserve"> </w:t>
      </w:r>
      <w:r w:rsidRPr="00BF1A08">
        <w:rPr>
          <w:rStyle w:val="FootnoteTextChar"/>
          <w:rFonts w:ascii="Times" w:hAnsi="Times" w:cs="Times New Roman"/>
          <w:sz w:val="20"/>
          <w:szCs w:val="20"/>
        </w:rPr>
        <w:t>HRC Gen’l Comments, 48th Sess., U.N. Doc. CCPR/C/21/Rev.1/Add.4 (July 30, 1993), </w:t>
      </w:r>
      <w:r w:rsidRPr="00BF1A08">
        <w:rPr>
          <w:rStyle w:val="FootnoteTextChar"/>
          <w:rFonts w:ascii="Times" w:hAnsi="Times" w:cs="Times New Roman"/>
          <w:i/>
          <w:sz w:val="20"/>
          <w:szCs w:val="20"/>
        </w:rPr>
        <w:t>available at</w:t>
      </w:r>
      <w:r w:rsidRPr="00BF1A08">
        <w:rPr>
          <w:rStyle w:val="FootnoteTextChar"/>
          <w:rFonts w:ascii="Times" w:hAnsi="Times" w:cs="Times New Roman"/>
          <w:sz w:val="20"/>
          <w:szCs w:val="20"/>
        </w:rPr>
        <w:t xml:space="preserve">  </w:t>
      </w:r>
      <w:hyperlink r:id="rId1" w:history="1">
        <w:r w:rsidRPr="00BF1A08">
          <w:rPr>
            <w:rStyle w:val="FootnoteTextChar"/>
            <w:rFonts w:ascii="Times" w:hAnsi="Times" w:cs="Times New Roman"/>
            <w:sz w:val="20"/>
            <w:szCs w:val="20"/>
          </w:rPr>
          <w:t>https://www.refworld.org/docid/453883fb22.html</w:t>
        </w:r>
      </w:hyperlink>
      <w:r w:rsidRPr="00BF1A08">
        <w:rPr>
          <w:rStyle w:val="FootnoteTextChar"/>
          <w:rFonts w:ascii="Times" w:hAnsi="Times" w:cs="Times New Roman"/>
          <w:sz w:val="20"/>
          <w:szCs w:val="20"/>
        </w:rPr>
        <w:t>.</w:t>
      </w:r>
    </w:p>
  </w:footnote>
  <w:footnote w:id="17">
    <w:p w14:paraId="7BDBE432" w14:textId="77777777" w:rsidR="002B0E43" w:rsidRPr="00BF1A08" w:rsidRDefault="002B0E43" w:rsidP="0089775B">
      <w:pPr>
        <w:rPr>
          <w:rFonts w:ascii="Times" w:hAnsi="Times"/>
          <w:sz w:val="20"/>
        </w:rPr>
      </w:pPr>
      <w:r w:rsidRPr="00BF1A08">
        <w:rPr>
          <w:rStyle w:val="FootnoteReference"/>
          <w:rFonts w:ascii="Times" w:hAnsi="Times" w:cs="Times New Roman"/>
          <w:sz w:val="20"/>
          <w:szCs w:val="20"/>
        </w:rPr>
        <w:footnoteRef/>
      </w:r>
      <w:r w:rsidRPr="00BF1A08">
        <w:rPr>
          <w:rFonts w:ascii="Times" w:hAnsi="Times"/>
          <w:sz w:val="20"/>
        </w:rPr>
        <w:t xml:space="preserve"> </w:t>
      </w:r>
      <w:r w:rsidRPr="00BF1A08">
        <w:rPr>
          <w:rStyle w:val="FootnoteTextChar"/>
          <w:rFonts w:ascii="Times" w:hAnsi="Times" w:cs="Times New Roman"/>
          <w:sz w:val="20"/>
          <w:szCs w:val="20"/>
        </w:rPr>
        <w:t>HRC Gen’l Comments, 39th Sess., U.N. Doc. CCPR/C/19 (July 27, 1990), </w:t>
      </w:r>
      <w:r w:rsidRPr="00BF1A08">
        <w:rPr>
          <w:rStyle w:val="FootnoteTextChar"/>
          <w:rFonts w:ascii="Times" w:hAnsi="Times" w:cs="Times New Roman"/>
          <w:i/>
          <w:sz w:val="20"/>
          <w:szCs w:val="20"/>
        </w:rPr>
        <w:t>available at</w:t>
      </w:r>
      <w:r w:rsidRPr="00BF1A08">
        <w:rPr>
          <w:rStyle w:val="FootnoteTextChar"/>
          <w:rFonts w:ascii="Times" w:hAnsi="Times" w:cs="Times New Roman"/>
          <w:sz w:val="20"/>
          <w:szCs w:val="20"/>
        </w:rPr>
        <w:t xml:space="preserve"> https://www.refworld.org/docid/45139bd74.html.</w:t>
      </w:r>
    </w:p>
  </w:footnote>
  <w:footnote w:id="18">
    <w:p w14:paraId="3DCE4CE6" w14:textId="77777777" w:rsidR="002B0E43" w:rsidRPr="00BF1A08" w:rsidRDefault="002B0E43" w:rsidP="0089775B">
      <w:pPr>
        <w:rPr>
          <w:rFonts w:ascii="Times" w:hAnsi="Times"/>
          <w:sz w:val="20"/>
        </w:rPr>
      </w:pPr>
      <w:r w:rsidRPr="00BF1A08">
        <w:rPr>
          <w:rStyle w:val="FootnoteReference"/>
          <w:rFonts w:ascii="Times" w:hAnsi="Times" w:cs="Times New Roman"/>
          <w:sz w:val="20"/>
          <w:szCs w:val="20"/>
        </w:rPr>
        <w:footnoteRef/>
      </w:r>
      <w:r w:rsidRPr="00BF1A08">
        <w:rPr>
          <w:rFonts w:ascii="Times" w:hAnsi="Times"/>
          <w:sz w:val="20"/>
        </w:rPr>
        <w:t xml:space="preserve"> GC/18, supra note 14.</w:t>
      </w:r>
    </w:p>
  </w:footnote>
  <w:footnote w:id="19">
    <w:p w14:paraId="2E68DB6A" w14:textId="77777777" w:rsidR="002B0E43" w:rsidRPr="00BF1A08" w:rsidRDefault="002B0E43" w:rsidP="0089775B">
      <w:pPr>
        <w:rPr>
          <w:rFonts w:ascii="Times" w:hAnsi="Times"/>
          <w:sz w:val="20"/>
        </w:rPr>
      </w:pPr>
      <w:r w:rsidRPr="00BF1A08">
        <w:rPr>
          <w:rStyle w:val="FootnoteReference"/>
          <w:rFonts w:ascii="Times" w:hAnsi="Times" w:cs="Times New Roman"/>
          <w:sz w:val="20"/>
          <w:szCs w:val="20"/>
        </w:rPr>
        <w:footnoteRef/>
      </w:r>
      <w:r w:rsidRPr="00BF1A08">
        <w:rPr>
          <w:rFonts w:ascii="Times" w:hAnsi="Times"/>
          <w:sz w:val="20"/>
        </w:rPr>
        <w:t xml:space="preserve"> </w:t>
      </w:r>
      <w:r w:rsidRPr="00BF1A08">
        <w:rPr>
          <w:rStyle w:val="FootnoteTextChar"/>
          <w:rFonts w:ascii="Times" w:hAnsi="Times" w:cs="Times New Roman"/>
          <w:sz w:val="20"/>
          <w:szCs w:val="20"/>
        </w:rPr>
        <w:t xml:space="preserve">HRC Gen’l Comments, 50th Sess., U.N. Doc. CCPR/C/21/Rev.1/Add.5 (Apr. 8, 1994), </w:t>
      </w:r>
      <w:r w:rsidRPr="00BF1A08">
        <w:rPr>
          <w:rStyle w:val="FootnoteTextChar"/>
          <w:rFonts w:ascii="Times" w:hAnsi="Times" w:cs="Times New Roman"/>
          <w:i/>
          <w:sz w:val="20"/>
          <w:szCs w:val="20"/>
        </w:rPr>
        <w:t>available at</w:t>
      </w:r>
      <w:r w:rsidRPr="00BF1A08">
        <w:rPr>
          <w:rStyle w:val="FootnoteTextChar"/>
          <w:rFonts w:ascii="Times" w:hAnsi="Times" w:cs="Times New Roman"/>
          <w:sz w:val="20"/>
          <w:szCs w:val="20"/>
        </w:rPr>
        <w:t xml:space="preserve"> ttps://www.refworld.org/docid/453883fc0.html.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67CB"/>
    <w:multiLevelType w:val="hybridMultilevel"/>
    <w:tmpl w:val="E75C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9421B"/>
    <w:multiLevelType w:val="hybridMultilevel"/>
    <w:tmpl w:val="B082F762"/>
    <w:lvl w:ilvl="0" w:tplc="A03472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83244"/>
    <w:multiLevelType w:val="hybridMultilevel"/>
    <w:tmpl w:val="D9D0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D0C6F"/>
    <w:multiLevelType w:val="hybridMultilevel"/>
    <w:tmpl w:val="672A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9C4"/>
    <w:rsid w:val="00017371"/>
    <w:rsid w:val="000E2934"/>
    <w:rsid w:val="000E6DF3"/>
    <w:rsid w:val="00134F24"/>
    <w:rsid w:val="001402FA"/>
    <w:rsid w:val="00173336"/>
    <w:rsid w:val="001C6F10"/>
    <w:rsid w:val="001F6A0A"/>
    <w:rsid w:val="00206389"/>
    <w:rsid w:val="00207B64"/>
    <w:rsid w:val="00217BC8"/>
    <w:rsid w:val="00294153"/>
    <w:rsid w:val="002B044D"/>
    <w:rsid w:val="002B0E43"/>
    <w:rsid w:val="002F03DE"/>
    <w:rsid w:val="00317D55"/>
    <w:rsid w:val="003821CD"/>
    <w:rsid w:val="003D12B3"/>
    <w:rsid w:val="003F3D71"/>
    <w:rsid w:val="004349FD"/>
    <w:rsid w:val="00440AB8"/>
    <w:rsid w:val="004471D1"/>
    <w:rsid w:val="004F0EC1"/>
    <w:rsid w:val="005511B9"/>
    <w:rsid w:val="005E52EB"/>
    <w:rsid w:val="00624151"/>
    <w:rsid w:val="00697A13"/>
    <w:rsid w:val="00743D23"/>
    <w:rsid w:val="007B2835"/>
    <w:rsid w:val="007D4AAB"/>
    <w:rsid w:val="007D6110"/>
    <w:rsid w:val="007F1D1E"/>
    <w:rsid w:val="008769B0"/>
    <w:rsid w:val="00881E72"/>
    <w:rsid w:val="00884FF9"/>
    <w:rsid w:val="0089775B"/>
    <w:rsid w:val="008D5FC0"/>
    <w:rsid w:val="0091235C"/>
    <w:rsid w:val="00972A43"/>
    <w:rsid w:val="00973474"/>
    <w:rsid w:val="00992F02"/>
    <w:rsid w:val="009B2785"/>
    <w:rsid w:val="009F09C4"/>
    <w:rsid w:val="00A939C6"/>
    <w:rsid w:val="00AC4D10"/>
    <w:rsid w:val="00AE338D"/>
    <w:rsid w:val="00AF3440"/>
    <w:rsid w:val="00B57511"/>
    <w:rsid w:val="00BC288F"/>
    <w:rsid w:val="00BC3DED"/>
    <w:rsid w:val="00BF1A08"/>
    <w:rsid w:val="00C070BF"/>
    <w:rsid w:val="00C64119"/>
    <w:rsid w:val="00C7549C"/>
    <w:rsid w:val="00CD7830"/>
    <w:rsid w:val="00D71FBE"/>
    <w:rsid w:val="00D866E8"/>
    <w:rsid w:val="00DA2F27"/>
    <w:rsid w:val="00DB38AA"/>
    <w:rsid w:val="00E81265"/>
    <w:rsid w:val="00E83484"/>
    <w:rsid w:val="00EA647C"/>
    <w:rsid w:val="00FB41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4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C4"/>
    <w:pPr>
      <w:ind w:left="720"/>
      <w:contextualSpacing/>
    </w:pPr>
  </w:style>
  <w:style w:type="paragraph" w:styleId="Footer">
    <w:name w:val="footer"/>
    <w:basedOn w:val="Normal"/>
    <w:link w:val="FooterChar"/>
    <w:uiPriority w:val="99"/>
    <w:unhideWhenUsed/>
    <w:rsid w:val="009F09C4"/>
    <w:pPr>
      <w:tabs>
        <w:tab w:val="center" w:pos="4320"/>
        <w:tab w:val="right" w:pos="8640"/>
      </w:tabs>
    </w:pPr>
  </w:style>
  <w:style w:type="character" w:customStyle="1" w:styleId="FooterChar">
    <w:name w:val="Footer Char"/>
    <w:basedOn w:val="DefaultParagraphFont"/>
    <w:link w:val="Footer"/>
    <w:uiPriority w:val="99"/>
    <w:rsid w:val="009F09C4"/>
  </w:style>
  <w:style w:type="character" w:styleId="PageNumber">
    <w:name w:val="page number"/>
    <w:basedOn w:val="DefaultParagraphFont"/>
    <w:uiPriority w:val="99"/>
    <w:semiHidden/>
    <w:unhideWhenUsed/>
    <w:rsid w:val="009F09C4"/>
  </w:style>
  <w:style w:type="paragraph" w:styleId="FootnoteText">
    <w:name w:val="footnote text"/>
    <w:basedOn w:val="Normal"/>
    <w:link w:val="FootnoteTextChar"/>
    <w:uiPriority w:val="99"/>
    <w:unhideWhenUsed/>
    <w:rsid w:val="009F09C4"/>
  </w:style>
  <w:style w:type="character" w:customStyle="1" w:styleId="FootnoteTextChar">
    <w:name w:val="Footnote Text Char"/>
    <w:basedOn w:val="DefaultParagraphFont"/>
    <w:link w:val="FootnoteText"/>
    <w:uiPriority w:val="99"/>
    <w:rsid w:val="009F09C4"/>
  </w:style>
  <w:style w:type="character" w:styleId="FootnoteReference">
    <w:name w:val="footnote reference"/>
    <w:basedOn w:val="DefaultParagraphFont"/>
    <w:uiPriority w:val="99"/>
    <w:unhideWhenUsed/>
    <w:rsid w:val="009F09C4"/>
    <w:rPr>
      <w:vertAlign w:val="superscript"/>
    </w:rPr>
  </w:style>
  <w:style w:type="character" w:styleId="Hyperlink">
    <w:name w:val="Hyperlink"/>
    <w:basedOn w:val="DefaultParagraphFont"/>
    <w:uiPriority w:val="99"/>
    <w:unhideWhenUsed/>
    <w:rsid w:val="009F09C4"/>
    <w:rPr>
      <w:color w:val="0000FF"/>
      <w:u w:val="single"/>
    </w:rPr>
  </w:style>
  <w:style w:type="character" w:styleId="HTMLCite">
    <w:name w:val="HTML Cite"/>
    <w:basedOn w:val="DefaultParagraphFont"/>
    <w:uiPriority w:val="99"/>
    <w:semiHidden/>
    <w:unhideWhenUsed/>
    <w:rsid w:val="009F09C4"/>
    <w:rPr>
      <w:i/>
      <w:iCs/>
    </w:rPr>
  </w:style>
  <w:style w:type="character" w:styleId="CommentReference">
    <w:name w:val="annotation reference"/>
    <w:basedOn w:val="DefaultParagraphFont"/>
    <w:uiPriority w:val="99"/>
    <w:semiHidden/>
    <w:unhideWhenUsed/>
    <w:rsid w:val="009F09C4"/>
    <w:rPr>
      <w:sz w:val="18"/>
      <w:szCs w:val="18"/>
    </w:rPr>
  </w:style>
  <w:style w:type="paragraph" w:styleId="CommentText">
    <w:name w:val="annotation text"/>
    <w:basedOn w:val="Normal"/>
    <w:link w:val="CommentTextChar"/>
    <w:uiPriority w:val="99"/>
    <w:semiHidden/>
    <w:unhideWhenUsed/>
    <w:rsid w:val="009F09C4"/>
  </w:style>
  <w:style w:type="character" w:customStyle="1" w:styleId="CommentTextChar">
    <w:name w:val="Comment Text Char"/>
    <w:basedOn w:val="DefaultParagraphFont"/>
    <w:link w:val="CommentText"/>
    <w:uiPriority w:val="99"/>
    <w:semiHidden/>
    <w:rsid w:val="009F09C4"/>
  </w:style>
  <w:style w:type="paragraph" w:styleId="CommentSubject">
    <w:name w:val="annotation subject"/>
    <w:basedOn w:val="CommentText"/>
    <w:next w:val="CommentText"/>
    <w:link w:val="CommentSubjectChar"/>
    <w:uiPriority w:val="99"/>
    <w:semiHidden/>
    <w:unhideWhenUsed/>
    <w:rsid w:val="009F09C4"/>
    <w:rPr>
      <w:b/>
      <w:bCs/>
      <w:sz w:val="20"/>
      <w:szCs w:val="20"/>
    </w:rPr>
  </w:style>
  <w:style w:type="character" w:customStyle="1" w:styleId="CommentSubjectChar">
    <w:name w:val="Comment Subject Char"/>
    <w:basedOn w:val="CommentTextChar"/>
    <w:link w:val="CommentSubject"/>
    <w:uiPriority w:val="99"/>
    <w:semiHidden/>
    <w:rsid w:val="009F09C4"/>
    <w:rPr>
      <w:b/>
      <w:bCs/>
      <w:sz w:val="20"/>
      <w:szCs w:val="20"/>
    </w:rPr>
  </w:style>
  <w:style w:type="paragraph" w:styleId="BalloonText">
    <w:name w:val="Balloon Text"/>
    <w:basedOn w:val="Normal"/>
    <w:link w:val="BalloonTextChar"/>
    <w:uiPriority w:val="99"/>
    <w:semiHidden/>
    <w:unhideWhenUsed/>
    <w:rsid w:val="009F09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9C4"/>
    <w:rPr>
      <w:rFonts w:ascii="Lucida Grande" w:hAnsi="Lucida Grande" w:cs="Lucida Grande"/>
      <w:sz w:val="18"/>
      <w:szCs w:val="18"/>
    </w:rPr>
  </w:style>
  <w:style w:type="paragraph" w:styleId="Header">
    <w:name w:val="header"/>
    <w:basedOn w:val="Normal"/>
    <w:link w:val="HeaderChar"/>
    <w:uiPriority w:val="99"/>
    <w:unhideWhenUsed/>
    <w:rsid w:val="00AF3440"/>
    <w:pPr>
      <w:tabs>
        <w:tab w:val="center" w:pos="4320"/>
        <w:tab w:val="right" w:pos="8640"/>
      </w:tabs>
    </w:pPr>
  </w:style>
  <w:style w:type="character" w:customStyle="1" w:styleId="HeaderChar">
    <w:name w:val="Header Char"/>
    <w:basedOn w:val="DefaultParagraphFont"/>
    <w:link w:val="Header"/>
    <w:uiPriority w:val="99"/>
    <w:rsid w:val="00AF3440"/>
  </w:style>
  <w:style w:type="paragraph" w:customStyle="1" w:styleId="Normal1">
    <w:name w:val="Normal1"/>
    <w:rsid w:val="005E52EB"/>
    <w:pPr>
      <w:spacing w:line="276" w:lineRule="auto"/>
      <w:contextualSpacing/>
    </w:pPr>
    <w:rPr>
      <w:rFonts w:ascii="Arial" w:eastAsia="Arial" w:hAnsi="Arial" w:cs="Arial"/>
      <w:sz w:val="22"/>
      <w:szCs w:val="22"/>
    </w:rPr>
  </w:style>
  <w:style w:type="character" w:styleId="Emphasis">
    <w:name w:val="Emphasis"/>
    <w:basedOn w:val="DefaultParagraphFont"/>
    <w:uiPriority w:val="20"/>
    <w:qFormat/>
    <w:rsid w:val="003821C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9C4"/>
    <w:pPr>
      <w:ind w:left="720"/>
      <w:contextualSpacing/>
    </w:pPr>
  </w:style>
  <w:style w:type="paragraph" w:styleId="Footer">
    <w:name w:val="footer"/>
    <w:basedOn w:val="Normal"/>
    <w:link w:val="FooterChar"/>
    <w:uiPriority w:val="99"/>
    <w:unhideWhenUsed/>
    <w:rsid w:val="009F09C4"/>
    <w:pPr>
      <w:tabs>
        <w:tab w:val="center" w:pos="4320"/>
        <w:tab w:val="right" w:pos="8640"/>
      </w:tabs>
    </w:pPr>
  </w:style>
  <w:style w:type="character" w:customStyle="1" w:styleId="FooterChar">
    <w:name w:val="Footer Char"/>
    <w:basedOn w:val="DefaultParagraphFont"/>
    <w:link w:val="Footer"/>
    <w:uiPriority w:val="99"/>
    <w:rsid w:val="009F09C4"/>
  </w:style>
  <w:style w:type="character" w:styleId="PageNumber">
    <w:name w:val="page number"/>
    <w:basedOn w:val="DefaultParagraphFont"/>
    <w:uiPriority w:val="99"/>
    <w:semiHidden/>
    <w:unhideWhenUsed/>
    <w:rsid w:val="009F09C4"/>
  </w:style>
  <w:style w:type="paragraph" w:styleId="FootnoteText">
    <w:name w:val="footnote text"/>
    <w:basedOn w:val="Normal"/>
    <w:link w:val="FootnoteTextChar"/>
    <w:uiPriority w:val="99"/>
    <w:unhideWhenUsed/>
    <w:rsid w:val="009F09C4"/>
  </w:style>
  <w:style w:type="character" w:customStyle="1" w:styleId="FootnoteTextChar">
    <w:name w:val="Footnote Text Char"/>
    <w:basedOn w:val="DefaultParagraphFont"/>
    <w:link w:val="FootnoteText"/>
    <w:uiPriority w:val="99"/>
    <w:rsid w:val="009F09C4"/>
  </w:style>
  <w:style w:type="character" w:styleId="FootnoteReference">
    <w:name w:val="footnote reference"/>
    <w:basedOn w:val="DefaultParagraphFont"/>
    <w:uiPriority w:val="99"/>
    <w:unhideWhenUsed/>
    <w:rsid w:val="009F09C4"/>
    <w:rPr>
      <w:vertAlign w:val="superscript"/>
    </w:rPr>
  </w:style>
  <w:style w:type="character" w:styleId="Hyperlink">
    <w:name w:val="Hyperlink"/>
    <w:basedOn w:val="DefaultParagraphFont"/>
    <w:uiPriority w:val="99"/>
    <w:unhideWhenUsed/>
    <w:rsid w:val="009F09C4"/>
    <w:rPr>
      <w:color w:val="0000FF"/>
      <w:u w:val="single"/>
    </w:rPr>
  </w:style>
  <w:style w:type="character" w:styleId="HTMLCite">
    <w:name w:val="HTML Cite"/>
    <w:basedOn w:val="DefaultParagraphFont"/>
    <w:uiPriority w:val="99"/>
    <w:semiHidden/>
    <w:unhideWhenUsed/>
    <w:rsid w:val="009F09C4"/>
    <w:rPr>
      <w:i/>
      <w:iCs/>
    </w:rPr>
  </w:style>
  <w:style w:type="character" w:styleId="CommentReference">
    <w:name w:val="annotation reference"/>
    <w:basedOn w:val="DefaultParagraphFont"/>
    <w:uiPriority w:val="99"/>
    <w:semiHidden/>
    <w:unhideWhenUsed/>
    <w:rsid w:val="009F09C4"/>
    <w:rPr>
      <w:sz w:val="18"/>
      <w:szCs w:val="18"/>
    </w:rPr>
  </w:style>
  <w:style w:type="paragraph" w:styleId="CommentText">
    <w:name w:val="annotation text"/>
    <w:basedOn w:val="Normal"/>
    <w:link w:val="CommentTextChar"/>
    <w:uiPriority w:val="99"/>
    <w:semiHidden/>
    <w:unhideWhenUsed/>
    <w:rsid w:val="009F09C4"/>
  </w:style>
  <w:style w:type="character" w:customStyle="1" w:styleId="CommentTextChar">
    <w:name w:val="Comment Text Char"/>
    <w:basedOn w:val="DefaultParagraphFont"/>
    <w:link w:val="CommentText"/>
    <w:uiPriority w:val="99"/>
    <w:semiHidden/>
    <w:rsid w:val="009F09C4"/>
  </w:style>
  <w:style w:type="paragraph" w:styleId="CommentSubject">
    <w:name w:val="annotation subject"/>
    <w:basedOn w:val="CommentText"/>
    <w:next w:val="CommentText"/>
    <w:link w:val="CommentSubjectChar"/>
    <w:uiPriority w:val="99"/>
    <w:semiHidden/>
    <w:unhideWhenUsed/>
    <w:rsid w:val="009F09C4"/>
    <w:rPr>
      <w:b/>
      <w:bCs/>
      <w:sz w:val="20"/>
      <w:szCs w:val="20"/>
    </w:rPr>
  </w:style>
  <w:style w:type="character" w:customStyle="1" w:styleId="CommentSubjectChar">
    <w:name w:val="Comment Subject Char"/>
    <w:basedOn w:val="CommentTextChar"/>
    <w:link w:val="CommentSubject"/>
    <w:uiPriority w:val="99"/>
    <w:semiHidden/>
    <w:rsid w:val="009F09C4"/>
    <w:rPr>
      <w:b/>
      <w:bCs/>
      <w:sz w:val="20"/>
      <w:szCs w:val="20"/>
    </w:rPr>
  </w:style>
  <w:style w:type="paragraph" w:styleId="BalloonText">
    <w:name w:val="Balloon Text"/>
    <w:basedOn w:val="Normal"/>
    <w:link w:val="BalloonTextChar"/>
    <w:uiPriority w:val="99"/>
    <w:semiHidden/>
    <w:unhideWhenUsed/>
    <w:rsid w:val="009F09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09C4"/>
    <w:rPr>
      <w:rFonts w:ascii="Lucida Grande" w:hAnsi="Lucida Grande" w:cs="Lucida Grande"/>
      <w:sz w:val="18"/>
      <w:szCs w:val="18"/>
    </w:rPr>
  </w:style>
  <w:style w:type="paragraph" w:styleId="Header">
    <w:name w:val="header"/>
    <w:basedOn w:val="Normal"/>
    <w:link w:val="HeaderChar"/>
    <w:uiPriority w:val="99"/>
    <w:unhideWhenUsed/>
    <w:rsid w:val="00AF3440"/>
    <w:pPr>
      <w:tabs>
        <w:tab w:val="center" w:pos="4320"/>
        <w:tab w:val="right" w:pos="8640"/>
      </w:tabs>
    </w:pPr>
  </w:style>
  <w:style w:type="character" w:customStyle="1" w:styleId="HeaderChar">
    <w:name w:val="Header Char"/>
    <w:basedOn w:val="DefaultParagraphFont"/>
    <w:link w:val="Header"/>
    <w:uiPriority w:val="99"/>
    <w:rsid w:val="00AF3440"/>
  </w:style>
  <w:style w:type="paragraph" w:customStyle="1" w:styleId="Normal1">
    <w:name w:val="Normal1"/>
    <w:rsid w:val="005E52EB"/>
    <w:pPr>
      <w:spacing w:line="276" w:lineRule="auto"/>
      <w:contextualSpacing/>
    </w:pPr>
    <w:rPr>
      <w:rFonts w:ascii="Arial" w:eastAsia="Arial" w:hAnsi="Arial" w:cs="Arial"/>
      <w:sz w:val="22"/>
      <w:szCs w:val="22"/>
    </w:rPr>
  </w:style>
  <w:style w:type="character" w:styleId="Emphasis">
    <w:name w:val="Emphasis"/>
    <w:basedOn w:val="DefaultParagraphFont"/>
    <w:uiPriority w:val="20"/>
    <w:qFormat/>
    <w:rsid w:val="003821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98828">
      <w:bodyDiv w:val="1"/>
      <w:marLeft w:val="0"/>
      <w:marRight w:val="0"/>
      <w:marTop w:val="0"/>
      <w:marBottom w:val="0"/>
      <w:divBdr>
        <w:top w:val="none" w:sz="0" w:space="0" w:color="auto"/>
        <w:left w:val="none" w:sz="0" w:space="0" w:color="auto"/>
        <w:bottom w:val="none" w:sz="0" w:space="0" w:color="auto"/>
        <w:right w:val="none" w:sz="0" w:space="0" w:color="auto"/>
      </w:divBdr>
      <w:divsChild>
        <w:div w:id="1828743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refworld.org/docid/453883fb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29FFC-FE17-4A16-AD14-20545ED6D47D}"/>
</file>

<file path=customXml/itemProps2.xml><?xml version="1.0" encoding="utf-8"?>
<ds:datastoreItem xmlns:ds="http://schemas.openxmlformats.org/officeDocument/2006/customXml" ds:itemID="{853B937D-1E72-4ADE-94BC-69935143BA86}"/>
</file>

<file path=customXml/itemProps3.xml><?xml version="1.0" encoding="utf-8"?>
<ds:datastoreItem xmlns:ds="http://schemas.openxmlformats.org/officeDocument/2006/customXml" ds:itemID="{B304EDE5-FF1F-495E-9749-235B9B791AEF}"/>
</file>

<file path=docProps/app.xml><?xml version="1.0" encoding="utf-8"?>
<Properties xmlns="http://schemas.openxmlformats.org/officeDocument/2006/extended-properties" xmlns:vt="http://schemas.openxmlformats.org/officeDocument/2006/docPropsVTypes">
  <Template>Normal.dotm</Template>
  <TotalTime>2</TotalTime>
  <Pages>8</Pages>
  <Words>2667</Words>
  <Characters>15203</Characters>
  <Application>Microsoft Macintosh Word</Application>
  <DocSecurity>0</DocSecurity>
  <Lines>126</Lines>
  <Paragraphs>35</Paragraphs>
  <ScaleCrop>false</ScaleCrop>
  <Company>ALC</Company>
  <LinksUpToDate>false</LinksUpToDate>
  <CharactersWithSpaces>17835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dc:creator>
  <cp:keywords/>
  <dc:description/>
  <cp:lastModifiedBy>ALC</cp:lastModifiedBy>
  <cp:revision>3</cp:revision>
  <dcterms:created xsi:type="dcterms:W3CDTF">2019-01-14T21:35:00Z</dcterms:created>
  <dcterms:modified xsi:type="dcterms:W3CDTF">2019-01-14T21:37:00Z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