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29CF0" w14:textId="37E35AB3" w:rsidR="002608B1" w:rsidRDefault="002608B1" w:rsidP="0040740F">
      <w:pPr>
        <w:spacing w:after="0" w:line="240" w:lineRule="auto"/>
        <w:jc w:val="both"/>
        <w:rPr>
          <w:rFonts w:ascii="Times New Roman" w:hAnsi="Times New Roman" w:cs="Times New Roman"/>
          <w:b/>
          <w:sz w:val="24"/>
          <w:lang w:val="es-PR"/>
        </w:rPr>
      </w:pPr>
    </w:p>
    <w:p w14:paraId="5BFB5B75" w14:textId="77777777" w:rsidR="002608B1" w:rsidRDefault="002608B1" w:rsidP="0040740F">
      <w:pPr>
        <w:spacing w:after="0" w:line="240" w:lineRule="auto"/>
        <w:jc w:val="both"/>
        <w:rPr>
          <w:rFonts w:ascii="Times New Roman" w:hAnsi="Times New Roman" w:cs="Times New Roman"/>
          <w:b/>
          <w:sz w:val="24"/>
          <w:lang w:val="es-PR"/>
        </w:rPr>
      </w:pPr>
    </w:p>
    <w:p w14:paraId="54F08127" w14:textId="77777777" w:rsidR="002608B1" w:rsidRDefault="002608B1" w:rsidP="0040740F">
      <w:pPr>
        <w:spacing w:after="0" w:line="240" w:lineRule="auto"/>
        <w:jc w:val="both"/>
        <w:rPr>
          <w:rFonts w:ascii="Times New Roman" w:hAnsi="Times New Roman" w:cs="Times New Roman"/>
          <w:b/>
          <w:sz w:val="24"/>
          <w:lang w:val="es-PR"/>
        </w:rPr>
      </w:pPr>
    </w:p>
    <w:p w14:paraId="2997935B" w14:textId="77777777" w:rsidR="002608B1" w:rsidRDefault="002608B1" w:rsidP="0040740F">
      <w:pPr>
        <w:spacing w:after="0" w:line="240" w:lineRule="auto"/>
        <w:jc w:val="both"/>
        <w:rPr>
          <w:rFonts w:ascii="Times New Roman" w:hAnsi="Times New Roman" w:cs="Times New Roman"/>
          <w:b/>
          <w:sz w:val="24"/>
          <w:lang w:val="es-PR"/>
        </w:rPr>
      </w:pPr>
    </w:p>
    <w:p w14:paraId="36FCC9E6" w14:textId="77777777" w:rsidR="002608B1" w:rsidRDefault="002608B1" w:rsidP="0040740F">
      <w:pPr>
        <w:spacing w:after="0" w:line="240" w:lineRule="auto"/>
        <w:jc w:val="both"/>
        <w:rPr>
          <w:rFonts w:ascii="Times New Roman" w:hAnsi="Times New Roman" w:cs="Times New Roman"/>
          <w:b/>
          <w:sz w:val="24"/>
          <w:lang w:val="es-PR"/>
        </w:rPr>
      </w:pPr>
    </w:p>
    <w:p w14:paraId="1ADA4D1B" w14:textId="77777777" w:rsidR="002608B1" w:rsidRDefault="002608B1" w:rsidP="0040740F">
      <w:pPr>
        <w:spacing w:after="0" w:line="240" w:lineRule="auto"/>
        <w:jc w:val="both"/>
        <w:rPr>
          <w:rFonts w:ascii="Times New Roman" w:hAnsi="Times New Roman" w:cs="Times New Roman"/>
          <w:b/>
          <w:sz w:val="24"/>
          <w:lang w:val="es-PR"/>
        </w:rPr>
      </w:pPr>
    </w:p>
    <w:p w14:paraId="43CCC266" w14:textId="77777777" w:rsidR="002608B1" w:rsidRDefault="002608B1" w:rsidP="0040740F">
      <w:pPr>
        <w:spacing w:after="0" w:line="240" w:lineRule="auto"/>
        <w:jc w:val="both"/>
        <w:rPr>
          <w:rFonts w:ascii="Times New Roman" w:hAnsi="Times New Roman" w:cs="Times New Roman"/>
          <w:b/>
          <w:sz w:val="24"/>
          <w:lang w:val="es-PR"/>
        </w:rPr>
      </w:pPr>
    </w:p>
    <w:p w14:paraId="214AA8BC" w14:textId="77777777" w:rsidR="002608B1" w:rsidRDefault="002608B1" w:rsidP="0040740F">
      <w:pPr>
        <w:spacing w:after="0" w:line="240" w:lineRule="auto"/>
        <w:jc w:val="both"/>
        <w:rPr>
          <w:rFonts w:ascii="Times New Roman" w:hAnsi="Times New Roman" w:cs="Times New Roman"/>
          <w:b/>
          <w:sz w:val="24"/>
          <w:lang w:val="es-PR"/>
        </w:rPr>
      </w:pPr>
    </w:p>
    <w:p w14:paraId="4837FA6E" w14:textId="77777777" w:rsidR="002608B1" w:rsidRDefault="002608B1" w:rsidP="0040740F">
      <w:pPr>
        <w:spacing w:after="0" w:line="240" w:lineRule="auto"/>
        <w:jc w:val="both"/>
        <w:rPr>
          <w:rFonts w:ascii="Times New Roman" w:hAnsi="Times New Roman" w:cs="Times New Roman"/>
          <w:b/>
          <w:sz w:val="24"/>
          <w:lang w:val="es-PR"/>
        </w:rPr>
      </w:pPr>
    </w:p>
    <w:p w14:paraId="268F2867" w14:textId="77777777" w:rsidR="002608B1" w:rsidRDefault="002608B1" w:rsidP="0040740F">
      <w:pPr>
        <w:spacing w:after="0" w:line="240" w:lineRule="auto"/>
        <w:jc w:val="both"/>
        <w:rPr>
          <w:rFonts w:ascii="Times New Roman" w:hAnsi="Times New Roman" w:cs="Times New Roman"/>
          <w:b/>
          <w:sz w:val="24"/>
          <w:lang w:val="es-PR"/>
        </w:rPr>
      </w:pPr>
    </w:p>
    <w:p w14:paraId="5D0DB41C" w14:textId="77777777" w:rsidR="002608B1" w:rsidRDefault="002608B1" w:rsidP="0040740F">
      <w:pPr>
        <w:spacing w:after="0" w:line="240" w:lineRule="auto"/>
        <w:jc w:val="both"/>
        <w:rPr>
          <w:rFonts w:ascii="Times New Roman" w:hAnsi="Times New Roman" w:cs="Times New Roman"/>
          <w:b/>
          <w:sz w:val="24"/>
          <w:lang w:val="es-PR"/>
        </w:rPr>
      </w:pPr>
    </w:p>
    <w:p w14:paraId="59169FE5" w14:textId="77777777" w:rsidR="00330936" w:rsidRDefault="006E7AC8" w:rsidP="002608B1">
      <w:pPr>
        <w:spacing w:after="0" w:line="240" w:lineRule="auto"/>
        <w:jc w:val="center"/>
        <w:rPr>
          <w:rFonts w:ascii="Times New Roman" w:hAnsi="Times New Roman" w:cs="Times New Roman"/>
          <w:b/>
          <w:sz w:val="24"/>
          <w:lang w:val="es-PR"/>
        </w:rPr>
      </w:pPr>
      <w:bookmarkStart w:id="0" w:name="_Hlk534904001"/>
      <w:r>
        <w:rPr>
          <w:rFonts w:ascii="Times New Roman" w:hAnsi="Times New Roman" w:cs="Times New Roman"/>
          <w:b/>
          <w:sz w:val="24"/>
          <w:lang w:val="es-PR"/>
        </w:rPr>
        <w:t xml:space="preserve">LISTA DE </w:t>
      </w:r>
      <w:r w:rsidR="00B62013">
        <w:rPr>
          <w:rFonts w:ascii="Times New Roman" w:hAnsi="Times New Roman" w:cs="Times New Roman"/>
          <w:b/>
          <w:sz w:val="24"/>
          <w:lang w:val="es-PR"/>
        </w:rPr>
        <w:t>CUESTIONES RECOMENDADA</w:t>
      </w:r>
      <w:r w:rsidR="002608B1">
        <w:rPr>
          <w:rFonts w:ascii="Times New Roman" w:hAnsi="Times New Roman" w:cs="Times New Roman"/>
          <w:b/>
          <w:sz w:val="24"/>
          <w:lang w:val="es-PR"/>
        </w:rPr>
        <w:t xml:space="preserve">S </w:t>
      </w:r>
    </w:p>
    <w:p w14:paraId="3A3AF93E" w14:textId="77777777" w:rsidR="00330936" w:rsidRDefault="002608B1" w:rsidP="002608B1">
      <w:pPr>
        <w:spacing w:after="0" w:line="240" w:lineRule="auto"/>
        <w:jc w:val="center"/>
        <w:rPr>
          <w:rFonts w:ascii="Times New Roman" w:hAnsi="Times New Roman" w:cs="Times New Roman"/>
          <w:b/>
          <w:sz w:val="24"/>
          <w:lang w:val="es-PR"/>
        </w:rPr>
      </w:pPr>
      <w:r>
        <w:rPr>
          <w:rFonts w:ascii="Times New Roman" w:hAnsi="Times New Roman" w:cs="Times New Roman"/>
          <w:b/>
          <w:sz w:val="24"/>
          <w:lang w:val="es-PR"/>
        </w:rPr>
        <w:t xml:space="preserve">AL COMITÉ DE DERECHOS HUMANOS </w:t>
      </w:r>
    </w:p>
    <w:p w14:paraId="25A893E3" w14:textId="77777777" w:rsidR="00006634" w:rsidRDefault="002608B1" w:rsidP="002608B1">
      <w:pPr>
        <w:spacing w:after="0" w:line="240" w:lineRule="auto"/>
        <w:jc w:val="center"/>
        <w:rPr>
          <w:rFonts w:ascii="Times New Roman" w:hAnsi="Times New Roman" w:cs="Times New Roman"/>
          <w:b/>
          <w:sz w:val="24"/>
          <w:lang w:val="es-PR"/>
        </w:rPr>
      </w:pPr>
      <w:r>
        <w:rPr>
          <w:rFonts w:ascii="Times New Roman" w:hAnsi="Times New Roman" w:cs="Times New Roman"/>
          <w:b/>
          <w:sz w:val="24"/>
          <w:lang w:val="es-PR"/>
        </w:rPr>
        <w:t>PR</w:t>
      </w:r>
      <w:r w:rsidR="002F6947">
        <w:rPr>
          <w:rFonts w:ascii="Times New Roman" w:hAnsi="Times New Roman" w:cs="Times New Roman"/>
          <w:b/>
          <w:sz w:val="24"/>
          <w:lang w:val="es-PR"/>
        </w:rPr>
        <w:t>EVIO</w:t>
      </w:r>
      <w:r>
        <w:rPr>
          <w:rFonts w:ascii="Times New Roman" w:hAnsi="Times New Roman" w:cs="Times New Roman"/>
          <w:b/>
          <w:sz w:val="24"/>
          <w:lang w:val="es-PR"/>
        </w:rPr>
        <w:t xml:space="preserve"> AL QUINTO INFORME PERIÓDICO </w:t>
      </w:r>
    </w:p>
    <w:p w14:paraId="71C374F4" w14:textId="2DD6D4A5" w:rsidR="002608B1" w:rsidRDefault="002608B1" w:rsidP="002608B1">
      <w:pPr>
        <w:spacing w:after="0" w:line="240" w:lineRule="auto"/>
        <w:jc w:val="center"/>
        <w:rPr>
          <w:rFonts w:ascii="Times New Roman" w:hAnsi="Times New Roman" w:cs="Times New Roman"/>
          <w:b/>
          <w:sz w:val="24"/>
          <w:lang w:val="es-PR"/>
        </w:rPr>
      </w:pPr>
      <w:r>
        <w:rPr>
          <w:rFonts w:ascii="Times New Roman" w:hAnsi="Times New Roman" w:cs="Times New Roman"/>
          <w:b/>
          <w:sz w:val="24"/>
          <w:lang w:val="es-PR"/>
        </w:rPr>
        <w:t>DE LOS ESTADOS UNIDOS DE AMÉRICA</w:t>
      </w:r>
    </w:p>
    <w:bookmarkEnd w:id="0"/>
    <w:p w14:paraId="726AAC39" w14:textId="77777777" w:rsidR="002608B1" w:rsidRDefault="002608B1" w:rsidP="0040740F">
      <w:pPr>
        <w:pBdr>
          <w:bottom w:val="double" w:sz="6" w:space="1" w:color="auto"/>
        </w:pBdr>
        <w:spacing w:after="0" w:line="240" w:lineRule="auto"/>
        <w:jc w:val="both"/>
        <w:rPr>
          <w:rFonts w:ascii="Times New Roman" w:hAnsi="Times New Roman" w:cs="Times New Roman"/>
          <w:b/>
          <w:sz w:val="24"/>
          <w:lang w:val="es-PR"/>
        </w:rPr>
      </w:pPr>
    </w:p>
    <w:p w14:paraId="015E0304" w14:textId="77777777" w:rsidR="002608B1" w:rsidRDefault="002608B1" w:rsidP="0040740F">
      <w:pPr>
        <w:spacing w:after="0" w:line="240" w:lineRule="auto"/>
        <w:jc w:val="both"/>
        <w:rPr>
          <w:rFonts w:ascii="Times New Roman" w:hAnsi="Times New Roman" w:cs="Times New Roman"/>
          <w:b/>
          <w:sz w:val="24"/>
          <w:lang w:val="es-PR"/>
        </w:rPr>
      </w:pPr>
    </w:p>
    <w:p w14:paraId="0EA6711F" w14:textId="77777777" w:rsidR="002608B1" w:rsidRPr="00DB61D9" w:rsidRDefault="002608B1" w:rsidP="0040740F">
      <w:pPr>
        <w:spacing w:after="0" w:line="240" w:lineRule="auto"/>
        <w:jc w:val="both"/>
        <w:rPr>
          <w:rFonts w:ascii="Times New Roman" w:hAnsi="Times New Roman" w:cs="Times New Roman"/>
          <w:b/>
          <w:i/>
          <w:sz w:val="24"/>
          <w:szCs w:val="24"/>
          <w:lang w:val="es-PR"/>
        </w:rPr>
      </w:pPr>
      <w:r w:rsidRPr="00DB61D9">
        <w:rPr>
          <w:rFonts w:ascii="Times New Roman" w:hAnsi="Times New Roman" w:cs="Times New Roman"/>
          <w:b/>
          <w:i/>
          <w:noProof/>
          <w:sz w:val="24"/>
          <w:szCs w:val="24"/>
        </w:rPr>
        <w:drawing>
          <wp:anchor distT="0" distB="0" distL="114300" distR="114300" simplePos="0" relativeHeight="251658240" behindDoc="0" locked="0" layoutInCell="1" allowOverlap="1" wp14:anchorId="42D36132" wp14:editId="42448C63">
            <wp:simplePos x="914400" y="914400"/>
            <wp:positionH relativeFrom="margin">
              <wp:align>center</wp:align>
            </wp:positionH>
            <wp:positionV relativeFrom="margin">
              <wp:align>top</wp:align>
            </wp:positionV>
            <wp:extent cx="1828804" cy="1828804"/>
            <wp:effectExtent l="0" t="0" r="0" b="0"/>
            <wp:wrapSquare wrapText="bothSides"/>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legio sin linea.png"/>
                    <pic:cNvPicPr/>
                  </pic:nvPicPr>
                  <pic:blipFill>
                    <a:blip r:embed="rId8">
                      <a:extLst>
                        <a:ext uri="{28A0092B-C50C-407E-A947-70E740481C1C}">
                          <a14:useLocalDpi xmlns:a14="http://schemas.microsoft.com/office/drawing/2010/main" val="0"/>
                        </a:ext>
                      </a:extLst>
                    </a:blip>
                    <a:stretch>
                      <a:fillRect/>
                    </a:stretch>
                  </pic:blipFill>
                  <pic:spPr>
                    <a:xfrm>
                      <a:off x="0" y="0"/>
                      <a:ext cx="1828804" cy="1828804"/>
                    </a:xfrm>
                    <a:prstGeom prst="rect">
                      <a:avLst/>
                    </a:prstGeom>
                  </pic:spPr>
                </pic:pic>
              </a:graphicData>
            </a:graphic>
          </wp:anchor>
        </w:drawing>
      </w:r>
      <w:r w:rsidR="00087CCE" w:rsidRPr="00DB61D9">
        <w:rPr>
          <w:rFonts w:ascii="Times New Roman" w:hAnsi="Times New Roman" w:cs="Times New Roman"/>
          <w:b/>
          <w:i/>
          <w:sz w:val="24"/>
          <w:szCs w:val="24"/>
          <w:lang w:val="es-PR"/>
        </w:rPr>
        <w:t xml:space="preserve">Organización </w:t>
      </w:r>
      <w:r w:rsidR="005D0E42" w:rsidRPr="00DB61D9">
        <w:rPr>
          <w:rFonts w:ascii="Times New Roman" w:hAnsi="Times New Roman" w:cs="Times New Roman"/>
          <w:b/>
          <w:i/>
          <w:sz w:val="24"/>
          <w:szCs w:val="24"/>
          <w:lang w:val="es-PR"/>
        </w:rPr>
        <w:t>que presenta</w:t>
      </w:r>
      <w:r w:rsidR="00087CCE" w:rsidRPr="00DB61D9">
        <w:rPr>
          <w:rFonts w:ascii="Times New Roman" w:hAnsi="Times New Roman" w:cs="Times New Roman"/>
          <w:b/>
          <w:i/>
          <w:sz w:val="24"/>
          <w:szCs w:val="24"/>
          <w:lang w:val="es-PR"/>
        </w:rPr>
        <w:t xml:space="preserve"> </w:t>
      </w:r>
      <w:r w:rsidR="007F062A" w:rsidRPr="00DB61D9">
        <w:rPr>
          <w:rFonts w:ascii="Times New Roman" w:hAnsi="Times New Roman" w:cs="Times New Roman"/>
          <w:b/>
          <w:i/>
          <w:sz w:val="24"/>
          <w:szCs w:val="24"/>
          <w:lang w:val="es-PR"/>
        </w:rPr>
        <w:t>las cuestiones</w:t>
      </w:r>
    </w:p>
    <w:p w14:paraId="224E5C60" w14:textId="77777777" w:rsidR="002608B1" w:rsidRDefault="002608B1" w:rsidP="0040740F">
      <w:pPr>
        <w:spacing w:after="0" w:line="240" w:lineRule="auto"/>
        <w:jc w:val="both"/>
        <w:rPr>
          <w:rFonts w:ascii="Times New Roman" w:hAnsi="Times New Roman" w:cs="Times New Roman"/>
          <w:b/>
          <w:sz w:val="24"/>
          <w:lang w:val="es-PR"/>
        </w:rPr>
      </w:pPr>
    </w:p>
    <w:p w14:paraId="333A9100" w14:textId="2CE9E6C2" w:rsidR="00F56C6E" w:rsidRDefault="002608B1" w:rsidP="00F56C6E">
      <w:pPr>
        <w:spacing w:after="0" w:line="240" w:lineRule="auto"/>
        <w:jc w:val="both"/>
        <w:rPr>
          <w:rFonts w:ascii="Times New Roman" w:hAnsi="Times New Roman" w:cs="Times New Roman"/>
          <w:sz w:val="24"/>
          <w:lang w:val="es-PR"/>
        </w:rPr>
      </w:pPr>
      <w:r w:rsidRPr="00087CCE">
        <w:rPr>
          <w:rFonts w:ascii="Times New Roman" w:hAnsi="Times New Roman" w:cs="Times New Roman"/>
          <w:b/>
          <w:sz w:val="24"/>
          <w:lang w:val="es-PR"/>
        </w:rPr>
        <w:t>Colegio de Abogados y Abogadas de Puerto Rico</w:t>
      </w:r>
      <w:r w:rsidR="00976A5C">
        <w:rPr>
          <w:rFonts w:ascii="Times New Roman" w:hAnsi="Times New Roman" w:cs="Times New Roman"/>
          <w:sz w:val="24"/>
          <w:lang w:val="es-PR"/>
        </w:rPr>
        <w:t xml:space="preserve"> (CAAPR)</w:t>
      </w:r>
      <w:r>
        <w:rPr>
          <w:rFonts w:ascii="Times New Roman" w:hAnsi="Times New Roman" w:cs="Times New Roman"/>
          <w:sz w:val="24"/>
          <w:lang w:val="es-PR"/>
        </w:rPr>
        <w:t xml:space="preserve"> - </w:t>
      </w:r>
      <w:r w:rsidR="00F56C6E" w:rsidRPr="00F56C6E">
        <w:rPr>
          <w:rFonts w:ascii="Times New Roman" w:hAnsi="Times New Roman" w:cs="Times New Roman"/>
          <w:sz w:val="24"/>
          <w:lang w:val="es-PR"/>
        </w:rPr>
        <w:t xml:space="preserve">institución creada en 1840 </w:t>
      </w:r>
      <w:r w:rsidR="00976A5C">
        <w:rPr>
          <w:rFonts w:ascii="Times New Roman" w:hAnsi="Times New Roman" w:cs="Times New Roman"/>
          <w:sz w:val="24"/>
          <w:lang w:val="es-PR"/>
        </w:rPr>
        <w:t xml:space="preserve">en Puerto Rico </w:t>
      </w:r>
      <w:r w:rsidR="00F56C6E" w:rsidRPr="00F56C6E">
        <w:rPr>
          <w:rFonts w:ascii="Times New Roman" w:hAnsi="Times New Roman" w:cs="Times New Roman"/>
          <w:sz w:val="24"/>
          <w:lang w:val="es-PR"/>
        </w:rPr>
        <w:t>por un grupo de abogados que deseaban brindar asistencia legal a personas pobres. En 1932, el Gobierno de Puerto Rico aprobó la Ley del Colegio de Abogados, según enmendada, que reconoce a esta entidad como “una corporación cuasi-pública con capacidad jurídica propia.” A pesar de estar organizada por ley, la toma de decisiones y gobierno del CAAPR es completamente independiente de</w:t>
      </w:r>
      <w:r w:rsidR="00466C81">
        <w:rPr>
          <w:rFonts w:ascii="Times New Roman" w:hAnsi="Times New Roman" w:cs="Times New Roman"/>
          <w:sz w:val="24"/>
          <w:lang w:val="es-PR"/>
        </w:rPr>
        <w:t xml:space="preserve"> </w:t>
      </w:r>
      <w:r w:rsidR="00F56C6E" w:rsidRPr="00F56C6E">
        <w:rPr>
          <w:rFonts w:ascii="Times New Roman" w:hAnsi="Times New Roman" w:cs="Times New Roman"/>
          <w:sz w:val="24"/>
          <w:lang w:val="es-PR"/>
        </w:rPr>
        <w:t>l</w:t>
      </w:r>
      <w:r w:rsidR="00466C81">
        <w:rPr>
          <w:rFonts w:ascii="Times New Roman" w:hAnsi="Times New Roman" w:cs="Times New Roman"/>
          <w:sz w:val="24"/>
          <w:lang w:val="es-PR"/>
        </w:rPr>
        <w:t>os</w:t>
      </w:r>
      <w:r w:rsidR="00F56C6E" w:rsidRPr="00F56C6E">
        <w:rPr>
          <w:rFonts w:ascii="Times New Roman" w:hAnsi="Times New Roman" w:cs="Times New Roman"/>
          <w:sz w:val="24"/>
          <w:lang w:val="es-PR"/>
        </w:rPr>
        <w:t xml:space="preserve"> gobierno</w:t>
      </w:r>
      <w:r w:rsidR="00466C81">
        <w:rPr>
          <w:rFonts w:ascii="Times New Roman" w:hAnsi="Times New Roman" w:cs="Times New Roman"/>
          <w:sz w:val="24"/>
          <w:lang w:val="es-PR"/>
        </w:rPr>
        <w:t>s</w:t>
      </w:r>
      <w:r w:rsidR="00AA6DBD">
        <w:rPr>
          <w:rFonts w:ascii="Times New Roman" w:hAnsi="Times New Roman" w:cs="Times New Roman"/>
          <w:sz w:val="24"/>
          <w:lang w:val="es-PR"/>
        </w:rPr>
        <w:t xml:space="preserve"> </w:t>
      </w:r>
      <w:r w:rsidR="00AA6DBD" w:rsidRPr="007D7789">
        <w:rPr>
          <w:rFonts w:ascii="Times New Roman" w:hAnsi="Times New Roman" w:cs="Times New Roman"/>
          <w:sz w:val="24"/>
          <w:lang w:val="es-PR"/>
        </w:rPr>
        <w:t xml:space="preserve">de Puerto Rico y </w:t>
      </w:r>
      <w:r w:rsidR="007D7789">
        <w:rPr>
          <w:rFonts w:ascii="Times New Roman" w:hAnsi="Times New Roman" w:cs="Times New Roman"/>
          <w:sz w:val="24"/>
          <w:lang w:val="es-PR"/>
        </w:rPr>
        <w:t>los Estados Unidos, f</w:t>
      </w:r>
      <w:r w:rsidR="00AA6DBD" w:rsidRPr="007D7789">
        <w:rPr>
          <w:rFonts w:ascii="Times New Roman" w:hAnsi="Times New Roman" w:cs="Times New Roman"/>
          <w:sz w:val="24"/>
          <w:lang w:val="es-PR"/>
        </w:rPr>
        <w:t xml:space="preserve">uncionando en la práctica como </w:t>
      </w:r>
      <w:r w:rsidR="00B30228">
        <w:rPr>
          <w:rFonts w:ascii="Times New Roman" w:hAnsi="Times New Roman" w:cs="Times New Roman"/>
          <w:sz w:val="24"/>
          <w:lang w:val="es-PR"/>
        </w:rPr>
        <w:t xml:space="preserve">una </w:t>
      </w:r>
      <w:r w:rsidR="00AA6DBD" w:rsidRPr="007D7789">
        <w:rPr>
          <w:rFonts w:ascii="Times New Roman" w:hAnsi="Times New Roman" w:cs="Times New Roman"/>
          <w:sz w:val="24"/>
          <w:lang w:val="es-PR"/>
        </w:rPr>
        <w:t>organización no gubernamental</w:t>
      </w:r>
      <w:r w:rsidR="00F56C6E" w:rsidRPr="007D7789">
        <w:rPr>
          <w:rFonts w:ascii="Times New Roman" w:hAnsi="Times New Roman" w:cs="Times New Roman"/>
          <w:sz w:val="24"/>
          <w:lang w:val="es-PR"/>
        </w:rPr>
        <w:t>.</w:t>
      </w:r>
      <w:r w:rsidR="00F56C6E" w:rsidRPr="00F56C6E">
        <w:rPr>
          <w:rFonts w:ascii="Times New Roman" w:hAnsi="Times New Roman" w:cs="Times New Roman"/>
          <w:sz w:val="24"/>
          <w:lang w:val="es-PR"/>
        </w:rPr>
        <w:t xml:space="preserve"> </w:t>
      </w:r>
    </w:p>
    <w:p w14:paraId="68D97F15" w14:textId="77777777" w:rsidR="00F56C6E" w:rsidRDefault="00F56C6E" w:rsidP="00F56C6E">
      <w:pPr>
        <w:spacing w:after="0" w:line="240" w:lineRule="auto"/>
        <w:jc w:val="both"/>
        <w:rPr>
          <w:rFonts w:ascii="Times New Roman" w:hAnsi="Times New Roman" w:cs="Times New Roman"/>
          <w:sz w:val="24"/>
          <w:lang w:val="es-PR"/>
        </w:rPr>
      </w:pPr>
    </w:p>
    <w:p w14:paraId="7AED3529" w14:textId="21A203A4" w:rsidR="002608B1" w:rsidRPr="002608B1" w:rsidRDefault="00F56C6E" w:rsidP="00F56C6E">
      <w:pPr>
        <w:spacing w:after="0" w:line="240" w:lineRule="auto"/>
        <w:jc w:val="both"/>
        <w:rPr>
          <w:rFonts w:ascii="Times New Roman" w:hAnsi="Times New Roman" w:cs="Times New Roman"/>
          <w:sz w:val="24"/>
          <w:lang w:val="es-PR"/>
        </w:rPr>
      </w:pPr>
      <w:r w:rsidRPr="00F56C6E">
        <w:rPr>
          <w:rFonts w:ascii="Times New Roman" w:hAnsi="Times New Roman" w:cs="Times New Roman"/>
          <w:sz w:val="24"/>
          <w:lang w:val="es-PR"/>
        </w:rPr>
        <w:t>Por muchas décadas el CAAPR ha sido una de las organizaciones más importantes y de mayor proyección en la sociedad civil de Puerto Rico. Se ha enfrentado al gobierno en múltiples ocasiones y ha defendido los derechos fundamentales del pueblo puertorriqueño en numerosas instancias, como</w:t>
      </w:r>
      <w:r w:rsidR="00AA6DBD">
        <w:rPr>
          <w:rFonts w:ascii="Times New Roman" w:hAnsi="Times New Roman" w:cs="Times New Roman"/>
          <w:sz w:val="24"/>
          <w:lang w:val="es-PR"/>
        </w:rPr>
        <w:t xml:space="preserve"> </w:t>
      </w:r>
      <w:r w:rsidR="00AA6DBD" w:rsidRPr="00466C81">
        <w:rPr>
          <w:rFonts w:ascii="Times New Roman" w:hAnsi="Times New Roman" w:cs="Times New Roman"/>
          <w:sz w:val="24"/>
          <w:lang w:val="es-PR"/>
        </w:rPr>
        <w:t>luchar contra</w:t>
      </w:r>
      <w:r w:rsidRPr="00F56C6E">
        <w:rPr>
          <w:rFonts w:ascii="Times New Roman" w:hAnsi="Times New Roman" w:cs="Times New Roman"/>
          <w:sz w:val="24"/>
          <w:lang w:val="es-PR"/>
        </w:rPr>
        <w:t xml:space="preserve"> el colonialismo y su</w:t>
      </w:r>
      <w:r w:rsidR="00976A5C">
        <w:rPr>
          <w:rFonts w:ascii="Times New Roman" w:hAnsi="Times New Roman" w:cs="Times New Roman"/>
          <w:sz w:val="24"/>
          <w:lang w:val="es-PR"/>
        </w:rPr>
        <w:t>s</w:t>
      </w:r>
      <w:r w:rsidRPr="00F56C6E">
        <w:rPr>
          <w:rFonts w:ascii="Times New Roman" w:hAnsi="Times New Roman" w:cs="Times New Roman"/>
          <w:sz w:val="24"/>
          <w:lang w:val="es-PR"/>
        </w:rPr>
        <w:t xml:space="preserve"> efectos, el medio ambiente, los derechos de las mujeres, etc.</w:t>
      </w:r>
      <w:r>
        <w:rPr>
          <w:rFonts w:ascii="Times New Roman" w:hAnsi="Times New Roman" w:cs="Times New Roman"/>
          <w:sz w:val="24"/>
          <w:lang w:val="es-PR"/>
        </w:rPr>
        <w:t xml:space="preserve"> El CAAPR </w:t>
      </w:r>
      <w:r w:rsidRPr="00AA599F">
        <w:rPr>
          <w:rFonts w:ascii="Times New Roman" w:hAnsi="Times New Roman" w:cs="Times New Roman"/>
          <w:sz w:val="24"/>
          <w:szCs w:val="24"/>
          <w:lang w:val="es-PR"/>
        </w:rPr>
        <w:t>está</w:t>
      </w:r>
      <w:r>
        <w:rPr>
          <w:rFonts w:ascii="Times New Roman" w:hAnsi="Times New Roman" w:cs="Times New Roman"/>
          <w:sz w:val="24"/>
          <w:szCs w:val="24"/>
          <w:lang w:val="es-PR"/>
        </w:rPr>
        <w:t xml:space="preserve"> asociado al Departamento de Información Pública de la ONU</w:t>
      </w:r>
      <w:r w:rsidRPr="00AA599F">
        <w:rPr>
          <w:rFonts w:ascii="Times New Roman" w:hAnsi="Times New Roman" w:cs="Times New Roman"/>
          <w:sz w:val="24"/>
          <w:szCs w:val="24"/>
          <w:lang w:val="es-PR"/>
        </w:rPr>
        <w:t xml:space="preserve"> </w:t>
      </w:r>
      <w:r>
        <w:rPr>
          <w:rFonts w:ascii="Times New Roman" w:hAnsi="Times New Roman" w:cs="Times New Roman"/>
          <w:sz w:val="24"/>
          <w:szCs w:val="24"/>
          <w:lang w:val="es-PR"/>
        </w:rPr>
        <w:t xml:space="preserve">como ONG </w:t>
      </w:r>
      <w:r w:rsidRPr="00AA599F">
        <w:rPr>
          <w:rFonts w:ascii="Times New Roman" w:hAnsi="Times New Roman" w:cs="Times New Roman"/>
          <w:sz w:val="24"/>
          <w:szCs w:val="24"/>
          <w:lang w:val="es-PR"/>
        </w:rPr>
        <w:t>desde 2001.</w:t>
      </w:r>
    </w:p>
    <w:p w14:paraId="791D5708" w14:textId="77777777" w:rsidR="002608B1" w:rsidRDefault="002608B1" w:rsidP="0040740F">
      <w:pPr>
        <w:pBdr>
          <w:bottom w:val="double" w:sz="6" w:space="1" w:color="auto"/>
        </w:pBdr>
        <w:spacing w:after="0" w:line="240" w:lineRule="auto"/>
        <w:jc w:val="both"/>
        <w:rPr>
          <w:rFonts w:ascii="Times New Roman" w:hAnsi="Times New Roman" w:cs="Times New Roman"/>
          <w:b/>
          <w:sz w:val="24"/>
          <w:lang w:val="es-PR"/>
        </w:rPr>
      </w:pPr>
    </w:p>
    <w:p w14:paraId="75A0D8E5" w14:textId="77777777" w:rsidR="002608B1" w:rsidRDefault="002608B1" w:rsidP="0040740F">
      <w:pPr>
        <w:spacing w:after="0" w:line="240" w:lineRule="auto"/>
        <w:jc w:val="both"/>
        <w:rPr>
          <w:rFonts w:ascii="Times New Roman" w:hAnsi="Times New Roman" w:cs="Times New Roman"/>
          <w:b/>
          <w:sz w:val="24"/>
          <w:lang w:val="es-PR"/>
        </w:rPr>
      </w:pPr>
    </w:p>
    <w:p w14:paraId="36ADC74C" w14:textId="082C7774" w:rsidR="00F84DA5" w:rsidRPr="00B62013" w:rsidRDefault="00B62013" w:rsidP="0040740F">
      <w:pPr>
        <w:spacing w:after="0" w:line="240" w:lineRule="auto"/>
        <w:jc w:val="both"/>
        <w:rPr>
          <w:rFonts w:ascii="Times New Roman" w:hAnsi="Times New Roman" w:cs="Times New Roman"/>
          <w:i/>
          <w:sz w:val="24"/>
          <w:lang w:val="es-PR"/>
        </w:rPr>
      </w:pPr>
      <w:r w:rsidRPr="00B62013">
        <w:rPr>
          <w:rFonts w:ascii="Times New Roman" w:hAnsi="Times New Roman" w:cs="Times New Roman"/>
          <w:b/>
          <w:i/>
          <w:sz w:val="24"/>
          <w:lang w:val="es-PR"/>
        </w:rPr>
        <w:t>Cuestión</w:t>
      </w:r>
      <w:r w:rsidR="003A59A4" w:rsidRPr="00B62013">
        <w:rPr>
          <w:rFonts w:ascii="Times New Roman" w:hAnsi="Times New Roman" w:cs="Times New Roman"/>
          <w:b/>
          <w:i/>
          <w:sz w:val="24"/>
          <w:lang w:val="es-PR"/>
        </w:rPr>
        <w:t xml:space="preserve"> #1</w:t>
      </w:r>
      <w:r w:rsidR="0040740F" w:rsidRPr="00B62013">
        <w:rPr>
          <w:rFonts w:ascii="Times New Roman" w:hAnsi="Times New Roman" w:cs="Times New Roman"/>
          <w:b/>
          <w:i/>
          <w:sz w:val="24"/>
          <w:lang w:val="es-PR"/>
        </w:rPr>
        <w:t>:</w:t>
      </w:r>
      <w:r w:rsidR="0040740F" w:rsidRPr="00B62013">
        <w:rPr>
          <w:rFonts w:ascii="Times New Roman" w:hAnsi="Times New Roman" w:cs="Times New Roman"/>
          <w:i/>
          <w:sz w:val="24"/>
          <w:lang w:val="es-PR"/>
        </w:rPr>
        <w:t xml:space="preserve"> </w:t>
      </w:r>
      <w:r w:rsidR="00682FB7" w:rsidRPr="00B62013">
        <w:rPr>
          <w:rFonts w:ascii="Times New Roman" w:hAnsi="Times New Roman" w:cs="Times New Roman"/>
          <w:i/>
          <w:sz w:val="24"/>
          <w:lang w:val="es-PR"/>
        </w:rPr>
        <w:t>Violaciones al derecho a la</w:t>
      </w:r>
      <w:r w:rsidR="003A4272">
        <w:rPr>
          <w:rFonts w:ascii="Times New Roman" w:hAnsi="Times New Roman" w:cs="Times New Roman"/>
          <w:i/>
          <w:sz w:val="24"/>
          <w:lang w:val="es-PR"/>
        </w:rPr>
        <w:t xml:space="preserve"> libre</w:t>
      </w:r>
      <w:r w:rsidR="00682FB7" w:rsidRPr="00B62013">
        <w:rPr>
          <w:rFonts w:ascii="Times New Roman" w:hAnsi="Times New Roman" w:cs="Times New Roman"/>
          <w:i/>
          <w:sz w:val="24"/>
          <w:lang w:val="es-PR"/>
        </w:rPr>
        <w:t xml:space="preserve"> determinación del pueblo de Puerto Rico </w:t>
      </w:r>
      <w:r w:rsidR="0040740F" w:rsidRPr="00B62013">
        <w:rPr>
          <w:rFonts w:ascii="Times New Roman" w:hAnsi="Times New Roman" w:cs="Times New Roman"/>
          <w:i/>
          <w:sz w:val="24"/>
          <w:lang w:val="es-PR"/>
        </w:rPr>
        <w:t>por</w:t>
      </w:r>
      <w:r w:rsidR="00682FB7" w:rsidRPr="00B62013">
        <w:rPr>
          <w:rFonts w:ascii="Times New Roman" w:hAnsi="Times New Roman" w:cs="Times New Roman"/>
          <w:i/>
          <w:sz w:val="24"/>
          <w:lang w:val="es-PR"/>
        </w:rPr>
        <w:t xml:space="preserve"> las decisiones recientes del gobierno de</w:t>
      </w:r>
      <w:r w:rsidR="003A4272">
        <w:rPr>
          <w:rFonts w:ascii="Times New Roman" w:hAnsi="Times New Roman" w:cs="Times New Roman"/>
          <w:i/>
          <w:sz w:val="24"/>
          <w:lang w:val="es-PR"/>
        </w:rPr>
        <w:t xml:space="preserve"> los</w:t>
      </w:r>
      <w:r w:rsidR="00682FB7" w:rsidRPr="00B62013">
        <w:rPr>
          <w:rFonts w:ascii="Times New Roman" w:hAnsi="Times New Roman" w:cs="Times New Roman"/>
          <w:i/>
          <w:sz w:val="24"/>
          <w:lang w:val="es-PR"/>
        </w:rPr>
        <w:t xml:space="preserve"> E</w:t>
      </w:r>
      <w:r w:rsidR="007D2313" w:rsidRPr="00B62013">
        <w:rPr>
          <w:rFonts w:ascii="Times New Roman" w:hAnsi="Times New Roman" w:cs="Times New Roman"/>
          <w:i/>
          <w:sz w:val="24"/>
          <w:lang w:val="es-PR"/>
        </w:rPr>
        <w:t>stados Unidos</w:t>
      </w:r>
    </w:p>
    <w:p w14:paraId="43C37D0F" w14:textId="77777777" w:rsidR="00682FB7" w:rsidRDefault="00682FB7" w:rsidP="00607BA1">
      <w:pPr>
        <w:spacing w:after="0" w:line="240" w:lineRule="auto"/>
        <w:jc w:val="both"/>
        <w:rPr>
          <w:rFonts w:ascii="Times New Roman" w:hAnsi="Times New Roman" w:cs="Times New Roman"/>
          <w:sz w:val="24"/>
          <w:lang w:val="es-PR"/>
        </w:rPr>
      </w:pPr>
    </w:p>
    <w:p w14:paraId="3DA1891B" w14:textId="7A942923" w:rsidR="00D555D9" w:rsidRDefault="00404539" w:rsidP="00607BA1">
      <w:pPr>
        <w:spacing w:after="0" w:line="240" w:lineRule="auto"/>
        <w:jc w:val="both"/>
        <w:rPr>
          <w:rFonts w:ascii="Times New Roman" w:hAnsi="Times New Roman" w:cs="Times New Roman"/>
          <w:sz w:val="24"/>
          <w:lang w:val="es-PR"/>
        </w:rPr>
      </w:pPr>
      <w:r>
        <w:rPr>
          <w:rFonts w:ascii="Times New Roman" w:hAnsi="Times New Roman" w:cs="Times New Roman"/>
          <w:sz w:val="24"/>
          <w:lang w:val="es-PR"/>
        </w:rPr>
        <w:t xml:space="preserve">Puerto Rico es territorio </w:t>
      </w:r>
      <w:r w:rsidR="000D0321">
        <w:rPr>
          <w:rFonts w:ascii="Times New Roman" w:hAnsi="Times New Roman" w:cs="Times New Roman"/>
          <w:sz w:val="24"/>
          <w:lang w:val="es-PR"/>
        </w:rPr>
        <w:t xml:space="preserve">no incorporado </w:t>
      </w:r>
      <w:r>
        <w:rPr>
          <w:rFonts w:ascii="Times New Roman" w:hAnsi="Times New Roman" w:cs="Times New Roman"/>
          <w:sz w:val="24"/>
          <w:lang w:val="es-PR"/>
        </w:rPr>
        <w:t>de</w:t>
      </w:r>
      <w:r w:rsidR="003A4272">
        <w:rPr>
          <w:rFonts w:ascii="Times New Roman" w:hAnsi="Times New Roman" w:cs="Times New Roman"/>
          <w:sz w:val="24"/>
          <w:lang w:val="es-PR"/>
        </w:rPr>
        <w:t xml:space="preserve"> los</w:t>
      </w:r>
      <w:r>
        <w:rPr>
          <w:rFonts w:ascii="Times New Roman" w:hAnsi="Times New Roman" w:cs="Times New Roman"/>
          <w:sz w:val="24"/>
          <w:lang w:val="es-PR"/>
        </w:rPr>
        <w:t xml:space="preserve"> Estados Unidos a partir de la cesión por España en virtud del Tratado de Paris de 1898. </w:t>
      </w:r>
      <w:r w:rsidR="001D7AC2">
        <w:rPr>
          <w:rFonts w:ascii="Times New Roman" w:hAnsi="Times New Roman" w:cs="Times New Roman"/>
          <w:sz w:val="24"/>
          <w:lang w:val="es-PR"/>
        </w:rPr>
        <w:t xml:space="preserve">Durante </w:t>
      </w:r>
      <w:r>
        <w:rPr>
          <w:rFonts w:ascii="Times New Roman" w:hAnsi="Times New Roman" w:cs="Times New Roman"/>
          <w:sz w:val="24"/>
          <w:lang w:val="es-PR"/>
        </w:rPr>
        <w:t xml:space="preserve">las primeras cinco décadas del siglo </w:t>
      </w:r>
      <w:r w:rsidR="00D555D9">
        <w:rPr>
          <w:rFonts w:ascii="Times New Roman" w:hAnsi="Times New Roman" w:cs="Times New Roman"/>
          <w:sz w:val="24"/>
          <w:lang w:val="es-PR"/>
        </w:rPr>
        <w:t>XX</w:t>
      </w:r>
      <w:r w:rsidR="001D7AC2">
        <w:rPr>
          <w:rFonts w:ascii="Times New Roman" w:hAnsi="Times New Roman" w:cs="Times New Roman"/>
          <w:sz w:val="24"/>
          <w:lang w:val="es-PR"/>
        </w:rPr>
        <w:t>,</w:t>
      </w:r>
      <w:r>
        <w:rPr>
          <w:rFonts w:ascii="Times New Roman" w:hAnsi="Times New Roman" w:cs="Times New Roman"/>
          <w:sz w:val="24"/>
          <w:lang w:val="es-PR"/>
        </w:rPr>
        <w:t xml:space="preserve"> Estados Unidos </w:t>
      </w:r>
      <w:r w:rsidR="00C6670B">
        <w:rPr>
          <w:rFonts w:ascii="Times New Roman" w:hAnsi="Times New Roman" w:cs="Times New Roman"/>
          <w:sz w:val="24"/>
          <w:lang w:val="es-PR"/>
        </w:rPr>
        <w:t>deleg</w:t>
      </w:r>
      <w:r>
        <w:rPr>
          <w:rFonts w:ascii="Times New Roman" w:hAnsi="Times New Roman" w:cs="Times New Roman"/>
          <w:sz w:val="24"/>
          <w:lang w:val="es-PR"/>
        </w:rPr>
        <w:t xml:space="preserve">ó algunas facultades al </w:t>
      </w:r>
      <w:r w:rsidR="000D0321">
        <w:rPr>
          <w:rFonts w:ascii="Times New Roman" w:hAnsi="Times New Roman" w:cs="Times New Roman"/>
          <w:sz w:val="24"/>
          <w:lang w:val="es-PR"/>
        </w:rPr>
        <w:t>pueblo</w:t>
      </w:r>
      <w:r>
        <w:rPr>
          <w:rFonts w:ascii="Times New Roman" w:hAnsi="Times New Roman" w:cs="Times New Roman"/>
          <w:sz w:val="24"/>
          <w:lang w:val="es-PR"/>
        </w:rPr>
        <w:t xml:space="preserve"> de Puerto Rico, desde la elección </w:t>
      </w:r>
      <w:r w:rsidR="00A01348">
        <w:rPr>
          <w:rFonts w:ascii="Times New Roman" w:hAnsi="Times New Roman" w:cs="Times New Roman"/>
          <w:sz w:val="24"/>
          <w:lang w:val="es-PR"/>
        </w:rPr>
        <w:t xml:space="preserve">por el </w:t>
      </w:r>
      <w:r w:rsidR="000D0321">
        <w:rPr>
          <w:rFonts w:ascii="Times New Roman" w:hAnsi="Times New Roman" w:cs="Times New Roman"/>
          <w:sz w:val="24"/>
          <w:lang w:val="es-PR"/>
        </w:rPr>
        <w:t>voto</w:t>
      </w:r>
      <w:r w:rsidR="00A01348">
        <w:rPr>
          <w:rFonts w:ascii="Times New Roman" w:hAnsi="Times New Roman" w:cs="Times New Roman"/>
          <w:sz w:val="24"/>
          <w:lang w:val="es-PR"/>
        </w:rPr>
        <w:t xml:space="preserve"> de su</w:t>
      </w:r>
      <w:r w:rsidR="00D555D9">
        <w:rPr>
          <w:rFonts w:ascii="Times New Roman" w:hAnsi="Times New Roman" w:cs="Times New Roman"/>
          <w:sz w:val="24"/>
          <w:lang w:val="es-PR"/>
        </w:rPr>
        <w:t xml:space="preserve"> Asamblea Legislativa</w:t>
      </w:r>
      <w:r w:rsidR="001660AE">
        <w:rPr>
          <w:rFonts w:ascii="Times New Roman" w:hAnsi="Times New Roman" w:cs="Times New Roman"/>
          <w:sz w:val="24"/>
          <w:lang w:val="es-PR"/>
        </w:rPr>
        <w:t>, d</w:t>
      </w:r>
      <w:r w:rsidR="00D555D9">
        <w:rPr>
          <w:rFonts w:ascii="Times New Roman" w:hAnsi="Times New Roman" w:cs="Times New Roman"/>
          <w:sz w:val="24"/>
          <w:lang w:val="es-PR"/>
        </w:rPr>
        <w:t xml:space="preserve">el Gobernador y el establecimiento del Estado Libre Asociado (ELA) en 1952. Sin embargo, Puerto Rico siempre ha estado sujeto a los poderes </w:t>
      </w:r>
      <w:r w:rsidR="000D0321">
        <w:rPr>
          <w:rFonts w:ascii="Times New Roman" w:hAnsi="Times New Roman" w:cs="Times New Roman"/>
          <w:sz w:val="24"/>
          <w:lang w:val="es-PR"/>
        </w:rPr>
        <w:t xml:space="preserve">plenarios </w:t>
      </w:r>
      <w:r w:rsidR="00AA6DBD">
        <w:rPr>
          <w:rFonts w:ascii="Times New Roman" w:hAnsi="Times New Roman" w:cs="Times New Roman"/>
          <w:sz w:val="24"/>
          <w:lang w:val="es-PR"/>
        </w:rPr>
        <w:t xml:space="preserve">del Congreso de </w:t>
      </w:r>
      <w:r w:rsidR="003A4272">
        <w:rPr>
          <w:rFonts w:ascii="Times New Roman" w:hAnsi="Times New Roman" w:cs="Times New Roman"/>
          <w:sz w:val="24"/>
          <w:lang w:val="es-PR"/>
        </w:rPr>
        <w:t xml:space="preserve">los </w:t>
      </w:r>
      <w:r w:rsidR="00D555D9">
        <w:rPr>
          <w:rFonts w:ascii="Times New Roman" w:hAnsi="Times New Roman" w:cs="Times New Roman"/>
          <w:sz w:val="24"/>
          <w:lang w:val="es-PR"/>
        </w:rPr>
        <w:t xml:space="preserve">Estados Unidos </w:t>
      </w:r>
      <w:r w:rsidR="00B877E0">
        <w:rPr>
          <w:rFonts w:ascii="Times New Roman" w:hAnsi="Times New Roman" w:cs="Times New Roman"/>
          <w:sz w:val="24"/>
          <w:lang w:val="es-PR"/>
        </w:rPr>
        <w:t xml:space="preserve">por </w:t>
      </w:r>
      <w:r w:rsidR="00D555D9" w:rsidRPr="0086435E">
        <w:rPr>
          <w:rFonts w:ascii="Times New Roman" w:eastAsia="Calibri" w:hAnsi="Times New Roman" w:cs="Times New Roman"/>
          <w:sz w:val="24"/>
          <w:szCs w:val="24"/>
          <w:lang w:val="es-ES"/>
        </w:rPr>
        <w:t xml:space="preserve">la Cláusula Territorial, </w:t>
      </w:r>
      <w:r w:rsidR="000D0321">
        <w:rPr>
          <w:rFonts w:ascii="Times New Roman" w:eastAsia="Calibri" w:hAnsi="Times New Roman" w:cs="Times New Roman"/>
          <w:sz w:val="24"/>
          <w:szCs w:val="24"/>
          <w:lang w:val="es-ES"/>
        </w:rPr>
        <w:t xml:space="preserve">que </w:t>
      </w:r>
      <w:r w:rsidR="00D555D9" w:rsidRPr="0086435E">
        <w:rPr>
          <w:rFonts w:ascii="Times New Roman" w:eastAsia="Calibri" w:hAnsi="Times New Roman" w:cs="Times New Roman"/>
          <w:sz w:val="24"/>
          <w:szCs w:val="24"/>
          <w:lang w:val="es-ES"/>
        </w:rPr>
        <w:t xml:space="preserve">dispone que “el Congreso podrá disponer de, o </w:t>
      </w:r>
      <w:r w:rsidR="00D555D9" w:rsidRPr="0086435E">
        <w:rPr>
          <w:rFonts w:ascii="Times New Roman" w:eastAsia="Calibri" w:hAnsi="Times New Roman" w:cs="Times New Roman"/>
          <w:sz w:val="24"/>
          <w:szCs w:val="24"/>
          <w:lang w:val="es-ES"/>
        </w:rPr>
        <w:lastRenderedPageBreak/>
        <w:t>promulgar todas las reglas y reglamentos necesarios en relación con, el territorio o cualquier propiedad perteneciente a los Estados Unidos”</w:t>
      </w:r>
      <w:r w:rsidR="001660AE" w:rsidRPr="001660AE">
        <w:rPr>
          <w:rStyle w:val="FootnoteReference"/>
          <w:rFonts w:ascii="Times New Roman" w:eastAsia="Calibri" w:hAnsi="Times New Roman" w:cs="Times New Roman"/>
          <w:sz w:val="24"/>
          <w:szCs w:val="24"/>
          <w:lang w:val="es-ES"/>
        </w:rPr>
        <w:t xml:space="preserve"> </w:t>
      </w:r>
      <w:r w:rsidR="001660AE">
        <w:rPr>
          <w:rStyle w:val="FootnoteReference"/>
          <w:rFonts w:ascii="Times New Roman" w:eastAsia="Calibri" w:hAnsi="Times New Roman" w:cs="Times New Roman"/>
          <w:sz w:val="24"/>
          <w:szCs w:val="24"/>
          <w:lang w:val="es-ES"/>
        </w:rPr>
        <w:footnoteReference w:id="1"/>
      </w:r>
      <w:r w:rsidR="00D555D9" w:rsidRPr="0086435E">
        <w:rPr>
          <w:rFonts w:ascii="Times New Roman" w:eastAsia="Calibri" w:hAnsi="Times New Roman" w:cs="Times New Roman"/>
          <w:sz w:val="24"/>
          <w:szCs w:val="24"/>
          <w:lang w:val="es-ES"/>
        </w:rPr>
        <w:t>.</w:t>
      </w:r>
    </w:p>
    <w:p w14:paraId="7915B6C8" w14:textId="77777777" w:rsidR="005C32D3" w:rsidRDefault="005C32D3" w:rsidP="00607BA1">
      <w:pPr>
        <w:spacing w:after="0" w:line="240" w:lineRule="auto"/>
        <w:jc w:val="both"/>
        <w:rPr>
          <w:rFonts w:ascii="Times New Roman" w:hAnsi="Times New Roman" w:cs="Times New Roman"/>
          <w:sz w:val="24"/>
          <w:lang w:val="es-PR"/>
        </w:rPr>
      </w:pPr>
    </w:p>
    <w:p w14:paraId="51121F06" w14:textId="5B2CF8D6" w:rsidR="00682FB7" w:rsidRDefault="00B60835" w:rsidP="00607BA1">
      <w:pPr>
        <w:spacing w:after="0" w:line="240" w:lineRule="auto"/>
        <w:jc w:val="both"/>
        <w:rPr>
          <w:rFonts w:ascii="Times New Roman" w:hAnsi="Times New Roman" w:cs="Times New Roman"/>
          <w:sz w:val="24"/>
          <w:lang w:val="es-PR"/>
        </w:rPr>
      </w:pPr>
      <w:r>
        <w:rPr>
          <w:rFonts w:ascii="Times New Roman" w:hAnsi="Times New Roman" w:cs="Times New Roman"/>
          <w:sz w:val="24"/>
          <w:lang w:val="es-PR"/>
        </w:rPr>
        <w:t xml:space="preserve">A pesar de la determinación de la Asamblea General </w:t>
      </w:r>
      <w:r w:rsidR="00D555D9">
        <w:rPr>
          <w:rFonts w:ascii="Times New Roman" w:hAnsi="Times New Roman" w:cs="Times New Roman"/>
          <w:sz w:val="24"/>
          <w:lang w:val="es-PR"/>
        </w:rPr>
        <w:t xml:space="preserve">de la ONU </w:t>
      </w:r>
      <w:r>
        <w:rPr>
          <w:rFonts w:ascii="Times New Roman" w:hAnsi="Times New Roman" w:cs="Times New Roman"/>
          <w:sz w:val="24"/>
          <w:lang w:val="es-PR"/>
        </w:rPr>
        <w:t>de excluir a Puerto Rico de la lista de territorios no autónomos en 1953</w:t>
      </w:r>
      <w:r w:rsidR="00A23F9F">
        <w:rPr>
          <w:rFonts w:ascii="Times New Roman" w:hAnsi="Times New Roman" w:cs="Times New Roman"/>
          <w:sz w:val="24"/>
          <w:lang w:val="es-PR"/>
        </w:rPr>
        <w:t xml:space="preserve"> </w:t>
      </w:r>
      <w:r w:rsidR="00B877E0">
        <w:rPr>
          <w:rFonts w:ascii="Times New Roman" w:hAnsi="Times New Roman" w:cs="Times New Roman"/>
          <w:sz w:val="24"/>
          <w:lang w:val="es-PR"/>
        </w:rPr>
        <w:t xml:space="preserve">tras </w:t>
      </w:r>
      <w:r w:rsidR="00A23F9F">
        <w:rPr>
          <w:rFonts w:ascii="Times New Roman" w:hAnsi="Times New Roman" w:cs="Times New Roman"/>
          <w:sz w:val="24"/>
          <w:lang w:val="es-PR"/>
        </w:rPr>
        <w:t xml:space="preserve">el establecimiento del </w:t>
      </w:r>
      <w:r w:rsidR="00D555D9">
        <w:rPr>
          <w:rFonts w:ascii="Times New Roman" w:hAnsi="Times New Roman" w:cs="Times New Roman"/>
          <w:sz w:val="24"/>
          <w:lang w:val="es-PR"/>
        </w:rPr>
        <w:t>ELA</w:t>
      </w:r>
      <w:r w:rsidR="000D0321">
        <w:rPr>
          <w:rStyle w:val="FootnoteReference"/>
          <w:rFonts w:ascii="Times New Roman" w:hAnsi="Times New Roman" w:cs="Times New Roman"/>
          <w:sz w:val="24"/>
          <w:lang w:val="es-PR"/>
        </w:rPr>
        <w:footnoteReference w:id="2"/>
      </w:r>
      <w:r>
        <w:rPr>
          <w:rFonts w:ascii="Times New Roman" w:hAnsi="Times New Roman" w:cs="Times New Roman"/>
          <w:sz w:val="24"/>
          <w:lang w:val="es-PR"/>
        </w:rPr>
        <w:t xml:space="preserve">, la relación con </w:t>
      </w:r>
      <w:r w:rsidR="003A4272">
        <w:rPr>
          <w:rFonts w:ascii="Times New Roman" w:hAnsi="Times New Roman" w:cs="Times New Roman"/>
          <w:sz w:val="24"/>
          <w:lang w:val="es-PR"/>
        </w:rPr>
        <w:t>los E</w:t>
      </w:r>
      <w:r>
        <w:rPr>
          <w:rFonts w:ascii="Times New Roman" w:hAnsi="Times New Roman" w:cs="Times New Roman"/>
          <w:sz w:val="24"/>
          <w:lang w:val="es-PR"/>
        </w:rPr>
        <w:t xml:space="preserve">stados Unidos </w:t>
      </w:r>
      <w:r w:rsidR="00A23F9F">
        <w:rPr>
          <w:rFonts w:ascii="Times New Roman" w:hAnsi="Times New Roman" w:cs="Times New Roman"/>
          <w:sz w:val="24"/>
          <w:lang w:val="es-PR"/>
        </w:rPr>
        <w:t xml:space="preserve">nunca </w:t>
      </w:r>
      <w:r w:rsidR="00671ACD">
        <w:rPr>
          <w:rFonts w:ascii="Times New Roman" w:hAnsi="Times New Roman" w:cs="Times New Roman"/>
          <w:sz w:val="24"/>
          <w:lang w:val="es-PR"/>
        </w:rPr>
        <w:t xml:space="preserve">ha </w:t>
      </w:r>
      <w:r w:rsidR="001E08C8">
        <w:rPr>
          <w:rFonts w:ascii="Times New Roman" w:hAnsi="Times New Roman" w:cs="Times New Roman"/>
          <w:sz w:val="24"/>
          <w:lang w:val="es-PR"/>
        </w:rPr>
        <w:t>dejado de ser de naturaleza colonial</w:t>
      </w:r>
      <w:r w:rsidR="00F577AC">
        <w:rPr>
          <w:rFonts w:ascii="Times New Roman" w:hAnsi="Times New Roman" w:cs="Times New Roman"/>
          <w:sz w:val="24"/>
          <w:lang w:val="es-PR"/>
        </w:rPr>
        <w:t>, circunstancia que se manifiesta a través de varias de las cuestiones recomendadas al Comité de Derechos Humanos en este documento</w:t>
      </w:r>
      <w:r>
        <w:rPr>
          <w:rFonts w:ascii="Times New Roman" w:hAnsi="Times New Roman" w:cs="Times New Roman"/>
          <w:sz w:val="24"/>
          <w:lang w:val="es-PR"/>
        </w:rPr>
        <w:t>.</w:t>
      </w:r>
      <w:r w:rsidR="00B23AF0">
        <w:rPr>
          <w:rFonts w:ascii="Times New Roman" w:hAnsi="Times New Roman" w:cs="Times New Roman"/>
          <w:sz w:val="24"/>
          <w:lang w:val="es-PR"/>
        </w:rPr>
        <w:t xml:space="preserve"> La </w:t>
      </w:r>
      <w:r w:rsidR="005E7902">
        <w:rPr>
          <w:rFonts w:ascii="Times New Roman" w:hAnsi="Times New Roman" w:cs="Times New Roman"/>
          <w:sz w:val="24"/>
          <w:lang w:val="es-PR"/>
        </w:rPr>
        <w:t>ine</w:t>
      </w:r>
      <w:r w:rsidR="00B23AF0">
        <w:rPr>
          <w:rFonts w:ascii="Times New Roman" w:hAnsi="Times New Roman" w:cs="Times New Roman"/>
          <w:sz w:val="24"/>
          <w:lang w:val="es-PR"/>
        </w:rPr>
        <w:t>xistencia de un pacto entre Puerto Rico y</w:t>
      </w:r>
      <w:r w:rsidR="003A4272">
        <w:rPr>
          <w:rFonts w:ascii="Times New Roman" w:hAnsi="Times New Roman" w:cs="Times New Roman"/>
          <w:sz w:val="24"/>
          <w:lang w:val="es-PR"/>
        </w:rPr>
        <w:t xml:space="preserve"> los</w:t>
      </w:r>
      <w:r w:rsidR="00AA6DBD">
        <w:rPr>
          <w:rFonts w:ascii="Times New Roman" w:hAnsi="Times New Roman" w:cs="Times New Roman"/>
          <w:sz w:val="24"/>
          <w:lang w:val="es-PR"/>
        </w:rPr>
        <w:t xml:space="preserve"> </w:t>
      </w:r>
      <w:r w:rsidR="00B23AF0">
        <w:rPr>
          <w:rFonts w:ascii="Times New Roman" w:hAnsi="Times New Roman" w:cs="Times New Roman"/>
          <w:sz w:val="24"/>
          <w:lang w:val="es-PR"/>
        </w:rPr>
        <w:t xml:space="preserve">Estados Unidos ha sido </w:t>
      </w:r>
      <w:r w:rsidR="001E08C8">
        <w:rPr>
          <w:rFonts w:ascii="Times New Roman" w:hAnsi="Times New Roman" w:cs="Times New Roman"/>
          <w:sz w:val="24"/>
          <w:lang w:val="es-PR"/>
        </w:rPr>
        <w:t xml:space="preserve">totalmente </w:t>
      </w:r>
      <w:r w:rsidR="0059305E">
        <w:rPr>
          <w:rFonts w:ascii="Times New Roman" w:hAnsi="Times New Roman" w:cs="Times New Roman"/>
          <w:sz w:val="24"/>
          <w:lang w:val="es-PR"/>
        </w:rPr>
        <w:t>dese</w:t>
      </w:r>
      <w:r w:rsidR="005E7902">
        <w:rPr>
          <w:rFonts w:ascii="Times New Roman" w:hAnsi="Times New Roman" w:cs="Times New Roman"/>
          <w:sz w:val="24"/>
          <w:lang w:val="es-PR"/>
        </w:rPr>
        <w:t>n</w:t>
      </w:r>
      <w:r w:rsidR="0059305E">
        <w:rPr>
          <w:rFonts w:ascii="Times New Roman" w:hAnsi="Times New Roman" w:cs="Times New Roman"/>
          <w:sz w:val="24"/>
          <w:lang w:val="es-PR"/>
        </w:rPr>
        <w:t>mascarada</w:t>
      </w:r>
      <w:r w:rsidR="00A05354">
        <w:rPr>
          <w:rFonts w:ascii="Times New Roman" w:hAnsi="Times New Roman" w:cs="Times New Roman"/>
          <w:sz w:val="24"/>
          <w:lang w:val="es-PR"/>
        </w:rPr>
        <w:t xml:space="preserve"> </w:t>
      </w:r>
      <w:r w:rsidR="005E7902">
        <w:rPr>
          <w:rFonts w:ascii="Times New Roman" w:hAnsi="Times New Roman" w:cs="Times New Roman"/>
          <w:sz w:val="24"/>
          <w:lang w:val="es-PR"/>
        </w:rPr>
        <w:t>por</w:t>
      </w:r>
      <w:r w:rsidR="00B23AF0">
        <w:rPr>
          <w:rFonts w:ascii="Times New Roman" w:hAnsi="Times New Roman" w:cs="Times New Roman"/>
          <w:sz w:val="24"/>
          <w:lang w:val="es-PR"/>
        </w:rPr>
        <w:t xml:space="preserve"> las </w:t>
      </w:r>
      <w:r w:rsidR="005E7902">
        <w:rPr>
          <w:rFonts w:ascii="Times New Roman" w:hAnsi="Times New Roman" w:cs="Times New Roman"/>
          <w:sz w:val="24"/>
          <w:lang w:val="es-PR"/>
        </w:rPr>
        <w:t xml:space="preserve">propias </w:t>
      </w:r>
      <w:r w:rsidR="00B23AF0">
        <w:rPr>
          <w:rFonts w:ascii="Times New Roman" w:hAnsi="Times New Roman" w:cs="Times New Roman"/>
          <w:sz w:val="24"/>
          <w:lang w:val="es-PR"/>
        </w:rPr>
        <w:t>actuaciones de las ramas del gobierno de</w:t>
      </w:r>
      <w:r w:rsidR="003A4272">
        <w:rPr>
          <w:rFonts w:ascii="Times New Roman" w:hAnsi="Times New Roman" w:cs="Times New Roman"/>
          <w:sz w:val="24"/>
          <w:lang w:val="es-PR"/>
        </w:rPr>
        <w:t xml:space="preserve"> los</w:t>
      </w:r>
      <w:r w:rsidR="00AA6DBD">
        <w:rPr>
          <w:rFonts w:ascii="Times New Roman" w:hAnsi="Times New Roman" w:cs="Times New Roman"/>
          <w:sz w:val="24"/>
          <w:lang w:val="es-PR"/>
        </w:rPr>
        <w:t xml:space="preserve"> </w:t>
      </w:r>
      <w:r w:rsidR="00B23AF0">
        <w:rPr>
          <w:rFonts w:ascii="Times New Roman" w:hAnsi="Times New Roman" w:cs="Times New Roman"/>
          <w:sz w:val="24"/>
          <w:lang w:val="es-PR"/>
        </w:rPr>
        <w:t>Estados Unidos</w:t>
      </w:r>
      <w:r w:rsidR="00CB1738">
        <w:rPr>
          <w:rFonts w:ascii="Times New Roman" w:hAnsi="Times New Roman" w:cs="Times New Roman"/>
          <w:sz w:val="24"/>
          <w:lang w:val="es-PR"/>
        </w:rPr>
        <w:t xml:space="preserve"> que </w:t>
      </w:r>
      <w:r w:rsidR="0085393E">
        <w:rPr>
          <w:rFonts w:ascii="Times New Roman" w:hAnsi="Times New Roman" w:cs="Times New Roman"/>
          <w:sz w:val="24"/>
          <w:lang w:val="es-PR"/>
        </w:rPr>
        <w:t>se reseñan</w:t>
      </w:r>
      <w:r w:rsidR="00CB1738">
        <w:rPr>
          <w:rFonts w:ascii="Times New Roman" w:hAnsi="Times New Roman" w:cs="Times New Roman"/>
          <w:sz w:val="24"/>
          <w:lang w:val="es-PR"/>
        </w:rPr>
        <w:t xml:space="preserve"> a</w:t>
      </w:r>
      <w:r w:rsidR="000D0321">
        <w:rPr>
          <w:rFonts w:ascii="Times New Roman" w:hAnsi="Times New Roman" w:cs="Times New Roman"/>
          <w:sz w:val="24"/>
          <w:lang w:val="es-PR"/>
        </w:rPr>
        <w:t xml:space="preserve"> continuación</w:t>
      </w:r>
      <w:r w:rsidR="00B23AF0">
        <w:rPr>
          <w:rFonts w:ascii="Times New Roman" w:hAnsi="Times New Roman" w:cs="Times New Roman"/>
          <w:sz w:val="24"/>
          <w:lang w:val="es-PR"/>
        </w:rPr>
        <w:t>.</w:t>
      </w:r>
    </w:p>
    <w:p w14:paraId="3F3D197F" w14:textId="77777777" w:rsidR="0016701E" w:rsidRDefault="0016701E" w:rsidP="00607BA1">
      <w:pPr>
        <w:spacing w:after="0" w:line="240" w:lineRule="auto"/>
        <w:jc w:val="both"/>
        <w:rPr>
          <w:rFonts w:ascii="Times New Roman" w:hAnsi="Times New Roman" w:cs="Times New Roman"/>
          <w:sz w:val="24"/>
          <w:lang w:val="es-PR"/>
        </w:rPr>
      </w:pPr>
    </w:p>
    <w:p w14:paraId="260801B1" w14:textId="67E7D9A6" w:rsidR="00A63DFD" w:rsidRDefault="0016701E" w:rsidP="00A63DFD">
      <w:pPr>
        <w:spacing w:after="0" w:line="240" w:lineRule="auto"/>
        <w:jc w:val="both"/>
        <w:rPr>
          <w:rFonts w:ascii="Times New Roman" w:eastAsia="SimSun" w:hAnsi="Times New Roman" w:cs="Times New Roman"/>
          <w:sz w:val="24"/>
          <w:szCs w:val="24"/>
          <w:lang w:val="es-ES"/>
        </w:rPr>
      </w:pPr>
      <w:r w:rsidRPr="007F062A">
        <w:rPr>
          <w:rFonts w:ascii="Times New Roman" w:hAnsi="Times New Roman" w:cs="Times New Roman"/>
          <w:sz w:val="24"/>
          <w:u w:val="single"/>
          <w:lang w:val="es-PR"/>
        </w:rPr>
        <w:t>Ley PROMESA</w:t>
      </w:r>
      <w:r w:rsidR="0040740F" w:rsidRPr="007F062A">
        <w:rPr>
          <w:rFonts w:ascii="Times New Roman" w:hAnsi="Times New Roman" w:cs="Times New Roman"/>
          <w:sz w:val="24"/>
          <w:u w:val="single"/>
          <w:lang w:val="es-PR"/>
        </w:rPr>
        <w:t>:</w:t>
      </w:r>
      <w:r w:rsidR="00A6098F">
        <w:rPr>
          <w:rFonts w:ascii="Times New Roman" w:hAnsi="Times New Roman" w:cs="Times New Roman"/>
          <w:sz w:val="24"/>
          <w:lang w:val="es-PR"/>
        </w:rPr>
        <w:t xml:space="preserve"> </w:t>
      </w:r>
      <w:r w:rsidR="00A6098F" w:rsidRPr="00A6098F">
        <w:rPr>
          <w:rFonts w:ascii="Times New Roman" w:eastAsia="SimSun" w:hAnsi="Times New Roman" w:cs="Times New Roman"/>
          <w:sz w:val="24"/>
          <w:lang w:val="es-ES"/>
        </w:rPr>
        <w:t xml:space="preserve">La debacle en las finanzas del ELA </w:t>
      </w:r>
      <w:r w:rsidR="002732B6">
        <w:rPr>
          <w:rFonts w:ascii="Times New Roman" w:eastAsia="SimSun" w:hAnsi="Times New Roman" w:cs="Times New Roman"/>
          <w:sz w:val="24"/>
          <w:lang w:val="es-ES"/>
        </w:rPr>
        <w:t>ocasionó</w:t>
      </w:r>
      <w:r w:rsidR="0089369C">
        <w:rPr>
          <w:rFonts w:ascii="Times New Roman" w:eastAsia="SimSun" w:hAnsi="Times New Roman" w:cs="Times New Roman"/>
          <w:sz w:val="24"/>
          <w:lang w:val="es-ES"/>
        </w:rPr>
        <w:t xml:space="preserve"> la paralización por el gobierno de Puerto Rico del pago </w:t>
      </w:r>
      <w:r w:rsidR="00AA6DBD">
        <w:rPr>
          <w:rFonts w:ascii="Times New Roman" w:eastAsia="SimSun" w:hAnsi="Times New Roman" w:cs="Times New Roman"/>
          <w:sz w:val="24"/>
          <w:lang w:val="es-ES"/>
        </w:rPr>
        <w:t>de principal e inter</w:t>
      </w:r>
      <w:r w:rsidR="00AA6DBD" w:rsidRPr="003A4272">
        <w:rPr>
          <w:rFonts w:ascii="Times New Roman" w:eastAsia="SimSun" w:hAnsi="Times New Roman" w:cs="Times New Roman"/>
          <w:sz w:val="24"/>
          <w:lang w:val="es-ES"/>
        </w:rPr>
        <w:t>eses</w:t>
      </w:r>
      <w:r w:rsidR="0089369C" w:rsidRPr="00A6098F">
        <w:rPr>
          <w:rFonts w:ascii="Times New Roman" w:eastAsia="SimSun" w:hAnsi="Times New Roman" w:cs="Times New Roman"/>
          <w:sz w:val="24"/>
          <w:lang w:val="es-ES"/>
        </w:rPr>
        <w:t xml:space="preserve"> de l</w:t>
      </w:r>
      <w:r w:rsidR="002732B6">
        <w:rPr>
          <w:rFonts w:ascii="Times New Roman" w:eastAsia="SimSun" w:hAnsi="Times New Roman" w:cs="Times New Roman"/>
          <w:sz w:val="24"/>
          <w:lang w:val="es-ES"/>
        </w:rPr>
        <w:t>o</w:t>
      </w:r>
      <w:r w:rsidR="0089369C" w:rsidRPr="00A6098F">
        <w:rPr>
          <w:rFonts w:ascii="Times New Roman" w:eastAsia="SimSun" w:hAnsi="Times New Roman" w:cs="Times New Roman"/>
          <w:sz w:val="24"/>
          <w:lang w:val="es-ES"/>
        </w:rPr>
        <w:t>s bonos que venc</w:t>
      </w:r>
      <w:r w:rsidR="0089369C">
        <w:rPr>
          <w:rFonts w:ascii="Times New Roman" w:eastAsia="SimSun" w:hAnsi="Times New Roman" w:cs="Times New Roman"/>
          <w:sz w:val="24"/>
          <w:lang w:val="es-ES"/>
        </w:rPr>
        <w:t>ían</w:t>
      </w:r>
      <w:r w:rsidR="0089369C" w:rsidRPr="00A6098F">
        <w:rPr>
          <w:rFonts w:ascii="Times New Roman" w:eastAsia="SimSun" w:hAnsi="Times New Roman" w:cs="Times New Roman"/>
          <w:sz w:val="24"/>
          <w:lang w:val="es-ES"/>
        </w:rPr>
        <w:t xml:space="preserve"> en mayo y junio de 2016.</w:t>
      </w:r>
      <w:r w:rsidR="00A6098F" w:rsidRPr="00A6098F">
        <w:rPr>
          <w:rFonts w:ascii="Times New Roman" w:eastAsia="SimSun" w:hAnsi="Times New Roman" w:cs="Times New Roman"/>
          <w:sz w:val="24"/>
          <w:lang w:val="es-ES"/>
        </w:rPr>
        <w:t xml:space="preserve"> </w:t>
      </w:r>
      <w:r w:rsidR="00A63DFD">
        <w:rPr>
          <w:rFonts w:ascii="Times New Roman" w:eastAsia="SimSun" w:hAnsi="Times New Roman" w:cs="Times New Roman"/>
          <w:sz w:val="24"/>
          <w:lang w:val="es-ES"/>
        </w:rPr>
        <w:t xml:space="preserve">La respuesta de </w:t>
      </w:r>
      <w:r w:rsidR="003A4272">
        <w:rPr>
          <w:rFonts w:ascii="Times New Roman" w:eastAsia="SimSun" w:hAnsi="Times New Roman" w:cs="Times New Roman"/>
          <w:sz w:val="24"/>
          <w:lang w:val="es-ES"/>
        </w:rPr>
        <w:t xml:space="preserve">los </w:t>
      </w:r>
      <w:r w:rsidR="00A63DFD">
        <w:rPr>
          <w:rFonts w:ascii="Times New Roman" w:eastAsia="SimSun" w:hAnsi="Times New Roman" w:cs="Times New Roman"/>
          <w:sz w:val="24"/>
          <w:lang w:val="es-ES"/>
        </w:rPr>
        <w:t>Estados Unidos fue la aprobación en junio de 2016 d</w:t>
      </w:r>
      <w:r w:rsidR="00A63DFD" w:rsidRPr="00A63DFD">
        <w:rPr>
          <w:rFonts w:ascii="Times New Roman" w:eastAsia="SimSun" w:hAnsi="Times New Roman" w:cs="Times New Roman"/>
          <w:sz w:val="24"/>
          <w:lang w:val="es-PR"/>
        </w:rPr>
        <w:t xml:space="preserve">el </w:t>
      </w:r>
      <w:r w:rsidR="00A63DFD" w:rsidRPr="00A63DFD">
        <w:rPr>
          <w:rFonts w:ascii="Times New Roman" w:eastAsia="SimSun" w:hAnsi="Times New Roman" w:cs="Times New Roman"/>
          <w:i/>
          <w:sz w:val="24"/>
          <w:lang w:val="es-PR"/>
        </w:rPr>
        <w:t>Puerto Rico Oversight, Management and Economic Stability Act</w:t>
      </w:r>
      <w:r w:rsidR="00A63DFD" w:rsidRPr="00A63DFD">
        <w:rPr>
          <w:rFonts w:ascii="Times New Roman" w:eastAsia="SimSun" w:hAnsi="Times New Roman" w:cs="Times New Roman"/>
          <w:sz w:val="24"/>
          <w:lang w:val="es-PR"/>
        </w:rPr>
        <w:t>, denominada</w:t>
      </w:r>
      <w:r w:rsidR="0058750F">
        <w:rPr>
          <w:rFonts w:ascii="Times New Roman" w:eastAsia="SimSun" w:hAnsi="Times New Roman" w:cs="Times New Roman"/>
          <w:sz w:val="24"/>
          <w:lang w:val="es-PR"/>
        </w:rPr>
        <w:t xml:space="preserve"> como</w:t>
      </w:r>
      <w:r w:rsidR="00A63DFD" w:rsidRPr="00A63DFD">
        <w:rPr>
          <w:rFonts w:ascii="Times New Roman" w:eastAsia="SimSun" w:hAnsi="Times New Roman" w:cs="Times New Roman"/>
          <w:sz w:val="24"/>
          <w:lang w:val="es-PR"/>
        </w:rPr>
        <w:t xml:space="preserve"> Ley PROMESA</w:t>
      </w:r>
      <w:r w:rsidR="00FD2AC9">
        <w:rPr>
          <w:rStyle w:val="FootnoteReference"/>
          <w:rFonts w:ascii="Times New Roman" w:eastAsia="SimSun" w:hAnsi="Times New Roman" w:cs="Times New Roman"/>
          <w:sz w:val="24"/>
          <w:lang w:val="es-PR"/>
        </w:rPr>
        <w:footnoteReference w:id="3"/>
      </w:r>
      <w:r w:rsidR="00A63DFD" w:rsidRPr="00A63DFD">
        <w:rPr>
          <w:rFonts w:ascii="Times New Roman" w:eastAsia="SimSun" w:hAnsi="Times New Roman" w:cs="Times New Roman"/>
          <w:sz w:val="24"/>
          <w:lang w:val="es-PR"/>
        </w:rPr>
        <w:t>.</w:t>
      </w:r>
      <w:r w:rsidR="00FD2AC9">
        <w:rPr>
          <w:rFonts w:ascii="Times New Roman" w:eastAsia="SimSun" w:hAnsi="Times New Roman" w:cs="Times New Roman"/>
          <w:sz w:val="24"/>
          <w:lang w:val="es-PR"/>
        </w:rPr>
        <w:t xml:space="preserve"> </w:t>
      </w:r>
      <w:r w:rsidR="0089369C">
        <w:rPr>
          <w:rFonts w:ascii="Times New Roman" w:eastAsia="SimSun" w:hAnsi="Times New Roman" w:cs="Times New Roman"/>
          <w:sz w:val="24"/>
          <w:szCs w:val="24"/>
          <w:lang w:val="es-ES"/>
        </w:rPr>
        <w:t xml:space="preserve">Este estatuto </w:t>
      </w:r>
      <w:r w:rsidR="00A6098F" w:rsidRPr="00A6098F">
        <w:rPr>
          <w:rFonts w:ascii="Times New Roman" w:eastAsia="SimSun" w:hAnsi="Times New Roman" w:cs="Times New Roman"/>
          <w:sz w:val="24"/>
          <w:szCs w:val="24"/>
          <w:lang w:val="es-ES"/>
        </w:rPr>
        <w:t>no menciona los precedentes de la relación jurídica entre Puerto Rico y</w:t>
      </w:r>
      <w:r w:rsidR="003A4272">
        <w:rPr>
          <w:rFonts w:ascii="Times New Roman" w:eastAsia="SimSun" w:hAnsi="Times New Roman" w:cs="Times New Roman"/>
          <w:sz w:val="24"/>
          <w:szCs w:val="24"/>
          <w:lang w:val="es-ES"/>
        </w:rPr>
        <w:t xml:space="preserve"> los</w:t>
      </w:r>
      <w:r w:rsidR="00AA6DBD">
        <w:rPr>
          <w:rFonts w:ascii="Times New Roman" w:hAnsi="Times New Roman" w:cs="Times New Roman"/>
          <w:sz w:val="24"/>
          <w:lang w:val="es-PR"/>
        </w:rPr>
        <w:t xml:space="preserve"> </w:t>
      </w:r>
      <w:r w:rsidR="00A6098F" w:rsidRPr="00A6098F">
        <w:rPr>
          <w:rFonts w:ascii="Times New Roman" w:eastAsia="SimSun" w:hAnsi="Times New Roman" w:cs="Times New Roman"/>
          <w:sz w:val="24"/>
          <w:szCs w:val="24"/>
          <w:lang w:val="es-ES"/>
        </w:rPr>
        <w:t xml:space="preserve">Estados Unidos o, menos aún, el gobierno propio </w:t>
      </w:r>
      <w:r w:rsidR="00FD2AC9">
        <w:rPr>
          <w:rFonts w:ascii="Times New Roman" w:eastAsia="SimSun" w:hAnsi="Times New Roman" w:cs="Times New Roman"/>
          <w:sz w:val="24"/>
          <w:szCs w:val="24"/>
          <w:lang w:val="es-ES"/>
        </w:rPr>
        <w:t xml:space="preserve">supuestamente </w:t>
      </w:r>
      <w:r w:rsidR="00A6098F" w:rsidRPr="00A6098F">
        <w:rPr>
          <w:rFonts w:ascii="Times New Roman" w:eastAsia="SimSun" w:hAnsi="Times New Roman" w:cs="Times New Roman"/>
          <w:sz w:val="24"/>
          <w:szCs w:val="24"/>
          <w:lang w:val="es-ES"/>
        </w:rPr>
        <w:t>establecido a través del ELA. Las disp</w:t>
      </w:r>
      <w:r w:rsidR="00C54825">
        <w:rPr>
          <w:rFonts w:ascii="Times New Roman" w:eastAsia="SimSun" w:hAnsi="Times New Roman" w:cs="Times New Roman"/>
          <w:sz w:val="24"/>
          <w:szCs w:val="24"/>
          <w:lang w:val="es-ES"/>
        </w:rPr>
        <w:t>osiciones de PROMESA prevalece</w:t>
      </w:r>
      <w:r w:rsidR="00A6098F" w:rsidRPr="00A6098F">
        <w:rPr>
          <w:rFonts w:ascii="Times New Roman" w:eastAsia="SimSun" w:hAnsi="Times New Roman" w:cs="Times New Roman"/>
          <w:sz w:val="24"/>
          <w:szCs w:val="24"/>
          <w:lang w:val="es-ES"/>
        </w:rPr>
        <w:t xml:space="preserve">n sobre las leyes </w:t>
      </w:r>
      <w:r w:rsidR="00472776">
        <w:rPr>
          <w:rFonts w:ascii="Times New Roman" w:eastAsia="SimSun" w:hAnsi="Times New Roman" w:cs="Times New Roman"/>
          <w:sz w:val="24"/>
          <w:szCs w:val="24"/>
          <w:lang w:val="es-ES"/>
        </w:rPr>
        <w:t xml:space="preserve">o reglamentos </w:t>
      </w:r>
      <w:r w:rsidR="00A6098F" w:rsidRPr="00A6098F">
        <w:rPr>
          <w:rFonts w:ascii="Times New Roman" w:eastAsia="SimSun" w:hAnsi="Times New Roman" w:cs="Times New Roman"/>
          <w:sz w:val="24"/>
          <w:szCs w:val="24"/>
          <w:lang w:val="es-ES"/>
        </w:rPr>
        <w:t xml:space="preserve">de </w:t>
      </w:r>
      <w:r w:rsidR="00472776">
        <w:rPr>
          <w:rFonts w:ascii="Times New Roman" w:eastAsia="SimSun" w:hAnsi="Times New Roman" w:cs="Times New Roman"/>
          <w:sz w:val="24"/>
          <w:szCs w:val="24"/>
          <w:lang w:val="es-ES"/>
        </w:rPr>
        <w:t>Puerto Rico</w:t>
      </w:r>
      <w:r w:rsidR="00A6098F" w:rsidRPr="00A6098F">
        <w:rPr>
          <w:rFonts w:ascii="Times New Roman" w:eastAsia="SimSun" w:hAnsi="Times New Roman" w:cs="Times New Roman"/>
          <w:sz w:val="24"/>
          <w:szCs w:val="24"/>
          <w:lang w:val="es-ES"/>
        </w:rPr>
        <w:t xml:space="preserve"> que sean inconsistentes</w:t>
      </w:r>
      <w:r w:rsidR="00A6098F" w:rsidRPr="00A6098F">
        <w:rPr>
          <w:rFonts w:ascii="Times New Roman" w:eastAsia="SimSun" w:hAnsi="Times New Roman" w:cs="Times New Roman"/>
          <w:sz w:val="24"/>
          <w:szCs w:val="24"/>
          <w:vertAlign w:val="superscript"/>
          <w:lang w:val="es-PR"/>
        </w:rPr>
        <w:footnoteReference w:id="4"/>
      </w:r>
      <w:r w:rsidR="00A6098F" w:rsidRPr="00A6098F">
        <w:rPr>
          <w:rFonts w:ascii="Times New Roman" w:eastAsia="SimSun" w:hAnsi="Times New Roman" w:cs="Times New Roman"/>
          <w:sz w:val="24"/>
          <w:szCs w:val="24"/>
          <w:lang w:val="es-ES"/>
        </w:rPr>
        <w:t xml:space="preserve">. </w:t>
      </w:r>
    </w:p>
    <w:p w14:paraId="1C35B400" w14:textId="77777777" w:rsidR="00FD2AC9" w:rsidRPr="00A6098F" w:rsidRDefault="00FD2AC9" w:rsidP="00A63DFD">
      <w:pPr>
        <w:spacing w:after="0" w:line="240" w:lineRule="auto"/>
        <w:jc w:val="both"/>
        <w:rPr>
          <w:rFonts w:ascii="Times New Roman" w:eastAsia="SimSun" w:hAnsi="Times New Roman" w:cs="Times New Roman"/>
          <w:sz w:val="24"/>
          <w:szCs w:val="24"/>
          <w:lang w:val="es-ES"/>
        </w:rPr>
      </w:pPr>
    </w:p>
    <w:p w14:paraId="53472F87" w14:textId="265255B4" w:rsidR="00A63DFD" w:rsidRDefault="00FB57AF" w:rsidP="00A63DFD">
      <w:pPr>
        <w:spacing w:after="0" w:line="240" w:lineRule="auto"/>
        <w:jc w:val="both"/>
        <w:rPr>
          <w:rFonts w:ascii="Times New Roman" w:eastAsia="SimSun" w:hAnsi="Times New Roman" w:cs="Times New Roman"/>
          <w:sz w:val="24"/>
          <w:szCs w:val="24"/>
          <w:lang w:val="es-PR"/>
        </w:rPr>
      </w:pPr>
      <w:r>
        <w:rPr>
          <w:rFonts w:ascii="Times New Roman" w:eastAsia="SimSun" w:hAnsi="Times New Roman" w:cs="Times New Roman"/>
          <w:sz w:val="24"/>
          <w:szCs w:val="24"/>
          <w:lang w:val="es-ES"/>
        </w:rPr>
        <w:t>PROMESA estableció</w:t>
      </w:r>
      <w:r w:rsidR="00A6098F" w:rsidRPr="00A6098F">
        <w:rPr>
          <w:rFonts w:ascii="Times New Roman" w:eastAsia="SimSun" w:hAnsi="Times New Roman" w:cs="Times New Roman"/>
          <w:sz w:val="24"/>
          <w:szCs w:val="24"/>
          <w:lang w:val="es-ES"/>
        </w:rPr>
        <w:t xml:space="preserve"> el </w:t>
      </w:r>
      <w:r w:rsidR="00A6098F" w:rsidRPr="00A6098F">
        <w:rPr>
          <w:rFonts w:ascii="Times New Roman" w:eastAsia="Calibri" w:hAnsi="Times New Roman" w:cs="Times New Roman"/>
          <w:i/>
          <w:sz w:val="24"/>
          <w:szCs w:val="24"/>
          <w:lang w:val="es-PR"/>
        </w:rPr>
        <w:t>Puerto Rico Financial Oversight and Management Board</w:t>
      </w:r>
      <w:r w:rsidR="00A6098F" w:rsidRPr="00A6098F">
        <w:rPr>
          <w:rFonts w:ascii="Times New Roman" w:eastAsia="SimSun" w:hAnsi="Times New Roman" w:cs="Times New Roman"/>
          <w:sz w:val="24"/>
          <w:szCs w:val="24"/>
          <w:lang w:val="es-ES"/>
        </w:rPr>
        <w:t xml:space="preserve"> o Junta de </w:t>
      </w:r>
      <w:r w:rsidR="003A4272">
        <w:rPr>
          <w:rFonts w:ascii="Times New Roman" w:eastAsia="SimSun" w:hAnsi="Times New Roman" w:cs="Times New Roman"/>
          <w:sz w:val="24"/>
          <w:szCs w:val="24"/>
          <w:lang w:val="es-ES"/>
        </w:rPr>
        <w:t>Control</w:t>
      </w:r>
      <w:r w:rsidR="00A6098F" w:rsidRPr="00A6098F">
        <w:rPr>
          <w:rFonts w:ascii="Times New Roman" w:eastAsia="SimSun" w:hAnsi="Times New Roman" w:cs="Times New Roman"/>
          <w:sz w:val="24"/>
          <w:szCs w:val="24"/>
          <w:lang w:val="es-ES"/>
        </w:rPr>
        <w:t xml:space="preserve"> Fiscal</w:t>
      </w:r>
      <w:r w:rsidR="00AA6DBD">
        <w:rPr>
          <w:rFonts w:ascii="Times New Roman" w:eastAsia="SimSun" w:hAnsi="Times New Roman" w:cs="Times New Roman"/>
          <w:sz w:val="24"/>
          <w:szCs w:val="24"/>
          <w:lang w:val="es-ES"/>
        </w:rPr>
        <w:t xml:space="preserve"> </w:t>
      </w:r>
      <w:r w:rsidR="00AA6DBD" w:rsidRPr="003A4272">
        <w:rPr>
          <w:rFonts w:ascii="Times New Roman" w:eastAsia="SimSun" w:hAnsi="Times New Roman" w:cs="Times New Roman"/>
          <w:sz w:val="24"/>
          <w:szCs w:val="24"/>
          <w:lang w:val="es-ES"/>
        </w:rPr>
        <w:t>(la Junta)</w:t>
      </w:r>
      <w:r w:rsidR="00A6098F" w:rsidRPr="00A6098F">
        <w:rPr>
          <w:rFonts w:ascii="Times New Roman" w:eastAsia="SimSun" w:hAnsi="Times New Roman" w:cs="Times New Roman"/>
          <w:sz w:val="24"/>
          <w:szCs w:val="24"/>
          <w:lang w:val="es-ES"/>
        </w:rPr>
        <w:t xml:space="preserve">. El poder del Congreso para crear la Junta </w:t>
      </w:r>
      <w:r w:rsidR="005C32D3">
        <w:rPr>
          <w:rFonts w:ascii="Times New Roman" w:eastAsia="SimSun" w:hAnsi="Times New Roman" w:cs="Times New Roman"/>
          <w:sz w:val="24"/>
          <w:szCs w:val="24"/>
          <w:lang w:val="es-ES"/>
        </w:rPr>
        <w:t>emana</w:t>
      </w:r>
      <w:r w:rsidR="00A6098F" w:rsidRPr="00A6098F">
        <w:rPr>
          <w:rFonts w:ascii="Times New Roman" w:eastAsia="SimSun" w:hAnsi="Times New Roman" w:cs="Times New Roman"/>
          <w:sz w:val="24"/>
          <w:szCs w:val="24"/>
          <w:lang w:val="es-ES"/>
        </w:rPr>
        <w:t xml:space="preserve"> de la Cláusula Territorial</w:t>
      </w:r>
      <w:r w:rsidR="00A6098F" w:rsidRPr="00A6098F">
        <w:rPr>
          <w:rFonts w:ascii="Times New Roman" w:eastAsia="SimSun" w:hAnsi="Times New Roman" w:cs="Times New Roman"/>
          <w:sz w:val="24"/>
          <w:szCs w:val="24"/>
          <w:vertAlign w:val="superscript"/>
          <w:lang w:val="es-PR"/>
        </w:rPr>
        <w:footnoteReference w:id="5"/>
      </w:r>
      <w:r w:rsidR="00A6098F" w:rsidRPr="00A6098F">
        <w:rPr>
          <w:rFonts w:ascii="Times New Roman" w:eastAsia="SimSun" w:hAnsi="Times New Roman" w:cs="Times New Roman"/>
          <w:sz w:val="24"/>
          <w:szCs w:val="24"/>
          <w:lang w:val="es-ES"/>
        </w:rPr>
        <w:t xml:space="preserve">. La Junta fue creada </w:t>
      </w:r>
      <w:r w:rsidR="00A6098F" w:rsidRPr="00A6098F">
        <w:rPr>
          <w:rFonts w:ascii="Times New Roman" w:eastAsia="SimSun" w:hAnsi="Times New Roman" w:cs="Times New Roman"/>
          <w:sz w:val="24"/>
          <w:szCs w:val="24"/>
          <w:lang w:val="es-PR"/>
        </w:rPr>
        <w:t xml:space="preserve">como una entidad del gobierno de Puerto Rico </w:t>
      </w:r>
      <w:r w:rsidR="00BB7FA6">
        <w:rPr>
          <w:rFonts w:ascii="Times New Roman" w:eastAsia="SimSun" w:hAnsi="Times New Roman" w:cs="Times New Roman"/>
          <w:sz w:val="24"/>
          <w:szCs w:val="24"/>
          <w:lang w:val="es-PR"/>
        </w:rPr>
        <w:t xml:space="preserve">y </w:t>
      </w:r>
      <w:r w:rsidR="00A6098F" w:rsidRPr="00A6098F">
        <w:rPr>
          <w:rFonts w:ascii="Times New Roman" w:eastAsia="SimSun" w:hAnsi="Times New Roman" w:cs="Times New Roman"/>
          <w:sz w:val="24"/>
          <w:szCs w:val="24"/>
          <w:lang w:val="es-PR"/>
        </w:rPr>
        <w:t>no como un departamento, agencia, o instrumentalidad del gobierno estadounidense</w:t>
      </w:r>
      <w:r w:rsidR="00A6098F" w:rsidRPr="00A6098F">
        <w:rPr>
          <w:rFonts w:ascii="Times New Roman" w:eastAsia="SimSun" w:hAnsi="Times New Roman" w:cs="Times New Roman"/>
          <w:sz w:val="24"/>
          <w:szCs w:val="24"/>
          <w:vertAlign w:val="superscript"/>
          <w:lang w:val="es-PR"/>
        </w:rPr>
        <w:footnoteReference w:id="6"/>
      </w:r>
      <w:r w:rsidR="00A6098F" w:rsidRPr="00A6098F">
        <w:rPr>
          <w:rFonts w:ascii="Times New Roman" w:eastAsia="SimSun" w:hAnsi="Times New Roman" w:cs="Times New Roman"/>
          <w:sz w:val="24"/>
          <w:szCs w:val="24"/>
          <w:lang w:val="es-PR"/>
        </w:rPr>
        <w:t>.</w:t>
      </w:r>
      <w:r w:rsidR="00A05354">
        <w:rPr>
          <w:rFonts w:ascii="Times New Roman" w:eastAsia="SimSun" w:hAnsi="Times New Roman" w:cs="Times New Roman"/>
          <w:sz w:val="24"/>
          <w:szCs w:val="24"/>
          <w:lang w:val="es-PR"/>
        </w:rPr>
        <w:t xml:space="preserve"> Sin embargo, el G</w:t>
      </w:r>
      <w:r w:rsidR="00A6098F" w:rsidRPr="00A6098F">
        <w:rPr>
          <w:rFonts w:ascii="Times New Roman" w:eastAsia="SimSun" w:hAnsi="Times New Roman" w:cs="Times New Roman"/>
          <w:sz w:val="24"/>
          <w:szCs w:val="24"/>
          <w:lang w:val="es-PR"/>
        </w:rPr>
        <w:t xml:space="preserve">obernador y la Asamblea Legislativa no tienen el poder </w:t>
      </w:r>
      <w:r w:rsidR="00592A8B">
        <w:rPr>
          <w:rFonts w:ascii="Times New Roman" w:eastAsia="SimSun" w:hAnsi="Times New Roman" w:cs="Times New Roman"/>
          <w:sz w:val="24"/>
          <w:szCs w:val="24"/>
          <w:lang w:val="es-PR"/>
        </w:rPr>
        <w:t xml:space="preserve">para </w:t>
      </w:r>
      <w:r w:rsidR="00A6098F" w:rsidRPr="00A6098F">
        <w:rPr>
          <w:rFonts w:ascii="Times New Roman" w:eastAsia="SimSun" w:hAnsi="Times New Roman" w:cs="Times New Roman"/>
          <w:sz w:val="24"/>
          <w:szCs w:val="24"/>
          <w:lang w:val="es-PR"/>
        </w:rPr>
        <w:t>supervisar o controlar las actividades de la Junta, ni aprobar legislación o reglamentos que impidan o contradigan los propósito</w:t>
      </w:r>
      <w:r w:rsidR="00C50210">
        <w:rPr>
          <w:rFonts w:ascii="Times New Roman" w:eastAsia="SimSun" w:hAnsi="Times New Roman" w:cs="Times New Roman"/>
          <w:sz w:val="24"/>
          <w:szCs w:val="24"/>
          <w:lang w:val="es-PR"/>
        </w:rPr>
        <w:t>s de PROMESA, según lo determina</w:t>
      </w:r>
      <w:r w:rsidR="00A6098F" w:rsidRPr="00A6098F">
        <w:rPr>
          <w:rFonts w:ascii="Times New Roman" w:eastAsia="SimSun" w:hAnsi="Times New Roman" w:cs="Times New Roman"/>
          <w:sz w:val="24"/>
          <w:szCs w:val="24"/>
          <w:lang w:val="es-PR"/>
        </w:rPr>
        <w:t xml:space="preserve"> la </w:t>
      </w:r>
      <w:r w:rsidR="00472776">
        <w:rPr>
          <w:rFonts w:ascii="Times New Roman" w:eastAsia="SimSun" w:hAnsi="Times New Roman" w:cs="Times New Roman"/>
          <w:sz w:val="24"/>
          <w:szCs w:val="24"/>
          <w:lang w:val="es-PR"/>
        </w:rPr>
        <w:t xml:space="preserve">propia </w:t>
      </w:r>
      <w:r w:rsidR="00A6098F" w:rsidRPr="00A6098F">
        <w:rPr>
          <w:rFonts w:ascii="Times New Roman" w:eastAsia="SimSun" w:hAnsi="Times New Roman" w:cs="Times New Roman"/>
          <w:sz w:val="24"/>
          <w:szCs w:val="24"/>
          <w:lang w:val="es-PR"/>
        </w:rPr>
        <w:t>Junta</w:t>
      </w:r>
      <w:r w:rsidR="00A6098F" w:rsidRPr="00A6098F">
        <w:rPr>
          <w:rFonts w:ascii="Times New Roman" w:eastAsia="SimSun" w:hAnsi="Times New Roman" w:cs="Times New Roman"/>
          <w:sz w:val="24"/>
          <w:szCs w:val="24"/>
          <w:vertAlign w:val="superscript"/>
          <w:lang w:val="es-PR"/>
        </w:rPr>
        <w:footnoteReference w:id="7"/>
      </w:r>
      <w:r w:rsidR="00A6098F" w:rsidRPr="00A6098F">
        <w:rPr>
          <w:rFonts w:ascii="Times New Roman" w:eastAsia="SimSun" w:hAnsi="Times New Roman" w:cs="Times New Roman"/>
          <w:sz w:val="24"/>
          <w:szCs w:val="24"/>
          <w:lang w:val="es-PR"/>
        </w:rPr>
        <w:t>. Todos los gastos</w:t>
      </w:r>
      <w:r w:rsidR="00AA6DBD">
        <w:rPr>
          <w:rFonts w:ascii="Times New Roman" w:eastAsia="SimSun" w:hAnsi="Times New Roman" w:cs="Times New Roman"/>
          <w:sz w:val="24"/>
          <w:szCs w:val="24"/>
          <w:lang w:val="es-PR"/>
        </w:rPr>
        <w:t xml:space="preserve"> </w:t>
      </w:r>
      <w:r w:rsidR="00AA6DBD" w:rsidRPr="003A4272">
        <w:rPr>
          <w:rFonts w:ascii="Times New Roman" w:eastAsia="SimSun" w:hAnsi="Times New Roman" w:cs="Times New Roman"/>
          <w:sz w:val="24"/>
          <w:szCs w:val="24"/>
          <w:lang w:val="es-PR"/>
        </w:rPr>
        <w:t>de</w:t>
      </w:r>
      <w:r w:rsidR="00A6098F" w:rsidRPr="00A6098F">
        <w:rPr>
          <w:rFonts w:ascii="Times New Roman" w:eastAsia="SimSun" w:hAnsi="Times New Roman" w:cs="Times New Roman"/>
          <w:sz w:val="24"/>
          <w:szCs w:val="24"/>
          <w:lang w:val="es-PR"/>
        </w:rPr>
        <w:t xml:space="preserve"> la Junta s</w:t>
      </w:r>
      <w:r w:rsidR="00472776">
        <w:rPr>
          <w:rFonts w:ascii="Times New Roman" w:eastAsia="SimSun" w:hAnsi="Times New Roman" w:cs="Times New Roman"/>
          <w:sz w:val="24"/>
          <w:szCs w:val="24"/>
          <w:lang w:val="es-PR"/>
        </w:rPr>
        <w:t>on</w:t>
      </w:r>
      <w:r w:rsidR="00A6098F" w:rsidRPr="00A6098F">
        <w:rPr>
          <w:rFonts w:ascii="Times New Roman" w:eastAsia="SimSun" w:hAnsi="Times New Roman" w:cs="Times New Roman"/>
          <w:sz w:val="24"/>
          <w:szCs w:val="24"/>
          <w:lang w:val="es-PR"/>
        </w:rPr>
        <w:t xml:space="preserve"> sufragados por el gobierno de Puerto Rico</w:t>
      </w:r>
      <w:r w:rsidR="00A6098F" w:rsidRPr="00A6098F">
        <w:rPr>
          <w:rFonts w:ascii="Times New Roman" w:eastAsia="SimSun" w:hAnsi="Times New Roman" w:cs="Times New Roman"/>
          <w:sz w:val="24"/>
          <w:szCs w:val="24"/>
          <w:vertAlign w:val="superscript"/>
          <w:lang w:val="es-PR"/>
        </w:rPr>
        <w:footnoteReference w:id="8"/>
      </w:r>
      <w:r w:rsidR="00A6098F" w:rsidRPr="00A6098F">
        <w:rPr>
          <w:rFonts w:ascii="Times New Roman" w:eastAsia="SimSun" w:hAnsi="Times New Roman" w:cs="Times New Roman"/>
          <w:sz w:val="24"/>
          <w:szCs w:val="24"/>
          <w:lang w:val="es-PR"/>
        </w:rPr>
        <w:t>.</w:t>
      </w:r>
      <w:r>
        <w:rPr>
          <w:rFonts w:ascii="Times New Roman" w:eastAsia="SimSun" w:hAnsi="Times New Roman" w:cs="Times New Roman"/>
          <w:sz w:val="24"/>
          <w:szCs w:val="24"/>
          <w:lang w:val="es-PR"/>
        </w:rPr>
        <w:t xml:space="preserve"> La Junta usurpa </w:t>
      </w:r>
      <w:r w:rsidR="00C0424E">
        <w:rPr>
          <w:rFonts w:ascii="Times New Roman" w:eastAsia="SimSun" w:hAnsi="Times New Roman" w:cs="Times New Roman"/>
          <w:sz w:val="24"/>
          <w:szCs w:val="24"/>
          <w:lang w:val="es-PR"/>
        </w:rPr>
        <w:t xml:space="preserve">claramente </w:t>
      </w:r>
      <w:r>
        <w:rPr>
          <w:rFonts w:ascii="Times New Roman" w:eastAsia="SimSun" w:hAnsi="Times New Roman" w:cs="Times New Roman"/>
          <w:sz w:val="24"/>
          <w:szCs w:val="24"/>
          <w:lang w:val="es-PR"/>
        </w:rPr>
        <w:t>los poderes de las tres ramas de</w:t>
      </w:r>
      <w:r w:rsidR="00592A8B">
        <w:rPr>
          <w:rFonts w:ascii="Times New Roman" w:eastAsia="SimSun" w:hAnsi="Times New Roman" w:cs="Times New Roman"/>
          <w:sz w:val="24"/>
          <w:szCs w:val="24"/>
          <w:lang w:val="es-PR"/>
        </w:rPr>
        <w:t>l</w:t>
      </w:r>
      <w:r>
        <w:rPr>
          <w:rFonts w:ascii="Times New Roman" w:eastAsia="SimSun" w:hAnsi="Times New Roman" w:cs="Times New Roman"/>
          <w:sz w:val="24"/>
          <w:szCs w:val="24"/>
          <w:lang w:val="es-PR"/>
        </w:rPr>
        <w:t xml:space="preserve"> gobierno de Puerto Rico.</w:t>
      </w:r>
    </w:p>
    <w:p w14:paraId="6CF72B7A" w14:textId="77777777" w:rsidR="00A6098F" w:rsidRPr="00A6098F" w:rsidRDefault="00A6098F" w:rsidP="00A63DFD">
      <w:pPr>
        <w:spacing w:after="0" w:line="240" w:lineRule="auto"/>
        <w:jc w:val="both"/>
        <w:rPr>
          <w:rFonts w:ascii="Times New Roman" w:eastAsia="SimSun" w:hAnsi="Times New Roman" w:cs="Times New Roman"/>
          <w:sz w:val="24"/>
          <w:szCs w:val="24"/>
          <w:lang w:val="es-PR"/>
        </w:rPr>
      </w:pPr>
      <w:r w:rsidRPr="00A6098F">
        <w:rPr>
          <w:rFonts w:ascii="Times New Roman" w:eastAsia="SimSun" w:hAnsi="Times New Roman" w:cs="Times New Roman"/>
          <w:sz w:val="24"/>
          <w:szCs w:val="24"/>
          <w:lang w:val="es-PR"/>
        </w:rPr>
        <w:t xml:space="preserve"> </w:t>
      </w:r>
    </w:p>
    <w:p w14:paraId="614BD490" w14:textId="346DCCD5" w:rsidR="00A6098F" w:rsidRPr="00A6098F" w:rsidRDefault="00A6098F" w:rsidP="00A63DFD">
      <w:pPr>
        <w:spacing w:after="0" w:line="240" w:lineRule="auto"/>
        <w:jc w:val="both"/>
        <w:rPr>
          <w:rFonts w:ascii="Times New Roman" w:eastAsia="Calibri" w:hAnsi="Times New Roman" w:cs="Times New Roman"/>
          <w:sz w:val="24"/>
          <w:szCs w:val="24"/>
          <w:lang w:val="es-ES"/>
        </w:rPr>
      </w:pPr>
      <w:r w:rsidRPr="00A6098F">
        <w:rPr>
          <w:rFonts w:ascii="Times New Roman" w:eastAsia="SimSun" w:hAnsi="Times New Roman" w:cs="Times New Roman"/>
          <w:sz w:val="24"/>
          <w:szCs w:val="24"/>
          <w:lang w:val="es-ES"/>
        </w:rPr>
        <w:t xml:space="preserve">Los siete miembros de la Junta </w:t>
      </w:r>
      <w:r w:rsidR="00FD2AC9">
        <w:rPr>
          <w:rFonts w:ascii="Times New Roman" w:eastAsia="SimSun" w:hAnsi="Times New Roman" w:cs="Times New Roman"/>
          <w:sz w:val="24"/>
          <w:szCs w:val="24"/>
          <w:lang w:val="es-ES"/>
        </w:rPr>
        <w:t>fueron</w:t>
      </w:r>
      <w:r w:rsidRPr="00A6098F">
        <w:rPr>
          <w:rFonts w:ascii="Times New Roman" w:eastAsia="SimSun" w:hAnsi="Times New Roman" w:cs="Times New Roman"/>
          <w:sz w:val="24"/>
          <w:szCs w:val="24"/>
          <w:lang w:val="es-ES"/>
        </w:rPr>
        <w:t xml:space="preserve"> nombrados por el Presidente</w:t>
      </w:r>
      <w:r w:rsidR="00592A8B">
        <w:rPr>
          <w:rFonts w:ascii="Times New Roman" w:eastAsia="SimSun" w:hAnsi="Times New Roman" w:cs="Times New Roman"/>
          <w:sz w:val="24"/>
          <w:szCs w:val="24"/>
          <w:lang w:val="es-ES"/>
        </w:rPr>
        <w:t xml:space="preserve"> de</w:t>
      </w:r>
      <w:r w:rsidR="002B5B97">
        <w:rPr>
          <w:rFonts w:ascii="Times New Roman" w:eastAsia="SimSun" w:hAnsi="Times New Roman" w:cs="Times New Roman"/>
          <w:sz w:val="24"/>
          <w:szCs w:val="24"/>
          <w:lang w:val="es-ES"/>
        </w:rPr>
        <w:t xml:space="preserve"> los</w:t>
      </w:r>
      <w:r w:rsidR="00AA6DBD">
        <w:rPr>
          <w:rFonts w:ascii="Times New Roman" w:hAnsi="Times New Roman" w:cs="Times New Roman"/>
          <w:sz w:val="24"/>
          <w:lang w:val="es-PR"/>
        </w:rPr>
        <w:t xml:space="preserve"> </w:t>
      </w:r>
      <w:r w:rsidR="00592A8B">
        <w:rPr>
          <w:rFonts w:ascii="Times New Roman" w:eastAsia="SimSun" w:hAnsi="Times New Roman" w:cs="Times New Roman"/>
          <w:sz w:val="24"/>
          <w:szCs w:val="24"/>
          <w:lang w:val="es-ES"/>
        </w:rPr>
        <w:t>Estados Unidos</w:t>
      </w:r>
      <w:r w:rsidRPr="00A6098F">
        <w:rPr>
          <w:rFonts w:ascii="Times New Roman" w:eastAsia="SimSun" w:hAnsi="Times New Roman" w:cs="Times New Roman"/>
          <w:sz w:val="24"/>
          <w:szCs w:val="24"/>
          <w:lang w:val="es-ES"/>
        </w:rPr>
        <w:t xml:space="preserve">, sin ninguna participación del </w:t>
      </w:r>
      <w:r w:rsidR="00472776">
        <w:rPr>
          <w:rFonts w:ascii="Times New Roman" w:eastAsia="SimSun" w:hAnsi="Times New Roman" w:cs="Times New Roman"/>
          <w:sz w:val="24"/>
          <w:szCs w:val="24"/>
          <w:lang w:val="es-ES"/>
        </w:rPr>
        <w:t>pueblo</w:t>
      </w:r>
      <w:r w:rsidRPr="00A6098F">
        <w:rPr>
          <w:rFonts w:ascii="Times New Roman" w:eastAsia="SimSun" w:hAnsi="Times New Roman" w:cs="Times New Roman"/>
          <w:sz w:val="24"/>
          <w:szCs w:val="24"/>
          <w:lang w:val="es-ES"/>
        </w:rPr>
        <w:t xml:space="preserve"> de Puerto Rico en </w:t>
      </w:r>
      <w:r w:rsidR="0089369C">
        <w:rPr>
          <w:rFonts w:ascii="Times New Roman" w:eastAsia="SimSun" w:hAnsi="Times New Roman" w:cs="Times New Roman"/>
          <w:sz w:val="24"/>
          <w:szCs w:val="24"/>
          <w:lang w:val="es-ES"/>
        </w:rPr>
        <w:t>su</w:t>
      </w:r>
      <w:r w:rsidR="00472776">
        <w:rPr>
          <w:rFonts w:ascii="Times New Roman" w:eastAsia="SimSun" w:hAnsi="Times New Roman" w:cs="Times New Roman"/>
          <w:sz w:val="24"/>
          <w:szCs w:val="24"/>
          <w:lang w:val="es-ES"/>
        </w:rPr>
        <w:t xml:space="preserve"> elección</w:t>
      </w:r>
      <w:r w:rsidRPr="00A6098F">
        <w:rPr>
          <w:rFonts w:ascii="Times New Roman" w:eastAsia="SimSun" w:hAnsi="Times New Roman" w:cs="Times New Roman"/>
          <w:sz w:val="24"/>
          <w:szCs w:val="24"/>
          <w:vertAlign w:val="superscript"/>
          <w:lang w:val="es-PR"/>
        </w:rPr>
        <w:footnoteReference w:id="9"/>
      </w:r>
      <w:r w:rsidRPr="00A6098F">
        <w:rPr>
          <w:rFonts w:ascii="Times New Roman" w:eastAsia="SimSun" w:hAnsi="Times New Roman" w:cs="Times New Roman"/>
          <w:sz w:val="24"/>
          <w:szCs w:val="24"/>
          <w:lang w:val="es-ES"/>
        </w:rPr>
        <w:t xml:space="preserve">. El Gobernador o su representante será miembro </w:t>
      </w:r>
      <w:r w:rsidRPr="00A6098F">
        <w:rPr>
          <w:rFonts w:ascii="Times New Roman" w:eastAsia="SimSun" w:hAnsi="Times New Roman" w:cs="Times New Roman"/>
          <w:i/>
          <w:sz w:val="24"/>
          <w:szCs w:val="24"/>
          <w:lang w:val="es-ES"/>
        </w:rPr>
        <w:t>ex officio</w:t>
      </w:r>
      <w:r w:rsidRPr="00A6098F">
        <w:rPr>
          <w:rFonts w:ascii="Times New Roman" w:eastAsia="SimSun" w:hAnsi="Times New Roman" w:cs="Times New Roman"/>
          <w:sz w:val="24"/>
          <w:szCs w:val="24"/>
          <w:lang w:val="es-ES"/>
        </w:rPr>
        <w:t xml:space="preserve"> de la Junta, sin derecho al voto</w:t>
      </w:r>
      <w:r w:rsidR="00FB57AF">
        <w:rPr>
          <w:rFonts w:ascii="Times New Roman" w:eastAsia="SimSun" w:hAnsi="Times New Roman" w:cs="Times New Roman"/>
          <w:sz w:val="24"/>
          <w:szCs w:val="24"/>
          <w:lang w:val="es-ES"/>
        </w:rPr>
        <w:t xml:space="preserve"> dentro de la Junta</w:t>
      </w:r>
      <w:r w:rsidRPr="00A6098F">
        <w:rPr>
          <w:rFonts w:ascii="Times New Roman" w:eastAsia="SimSun" w:hAnsi="Times New Roman" w:cs="Times New Roman"/>
          <w:sz w:val="24"/>
          <w:szCs w:val="24"/>
          <w:lang w:val="es-ES"/>
        </w:rPr>
        <w:t>.</w:t>
      </w:r>
      <w:r w:rsidR="0089369C">
        <w:rPr>
          <w:rFonts w:ascii="Times New Roman" w:eastAsia="SimSun" w:hAnsi="Times New Roman" w:cs="Times New Roman"/>
          <w:sz w:val="24"/>
          <w:szCs w:val="24"/>
          <w:lang w:val="es-ES"/>
        </w:rPr>
        <w:t xml:space="preserve"> </w:t>
      </w:r>
      <w:r w:rsidRPr="00A6098F">
        <w:rPr>
          <w:rFonts w:ascii="Times New Roman" w:eastAsia="SimSun" w:hAnsi="Times New Roman" w:cs="Times New Roman"/>
          <w:sz w:val="24"/>
          <w:szCs w:val="24"/>
          <w:lang w:val="es-PR"/>
        </w:rPr>
        <w:t xml:space="preserve">El Gobernador </w:t>
      </w:r>
      <w:r w:rsidR="00C54825">
        <w:rPr>
          <w:rFonts w:ascii="Times New Roman" w:eastAsia="SimSun" w:hAnsi="Times New Roman" w:cs="Times New Roman"/>
          <w:sz w:val="24"/>
          <w:szCs w:val="24"/>
          <w:lang w:val="es-PR"/>
        </w:rPr>
        <w:t xml:space="preserve">está </w:t>
      </w:r>
      <w:r w:rsidRPr="00A6098F">
        <w:rPr>
          <w:rFonts w:ascii="Times New Roman" w:eastAsia="SimSun" w:hAnsi="Times New Roman" w:cs="Times New Roman"/>
          <w:sz w:val="24"/>
          <w:szCs w:val="24"/>
          <w:lang w:val="es-PR"/>
        </w:rPr>
        <w:t>obliga</w:t>
      </w:r>
      <w:r w:rsidR="00C54825">
        <w:rPr>
          <w:rFonts w:ascii="Times New Roman" w:eastAsia="SimSun" w:hAnsi="Times New Roman" w:cs="Times New Roman"/>
          <w:sz w:val="24"/>
          <w:szCs w:val="24"/>
          <w:lang w:val="es-PR"/>
        </w:rPr>
        <w:t>do a</w:t>
      </w:r>
      <w:r w:rsidRPr="00A6098F">
        <w:rPr>
          <w:rFonts w:ascii="Times New Roman" w:eastAsia="SimSun" w:hAnsi="Times New Roman" w:cs="Times New Roman"/>
          <w:sz w:val="24"/>
          <w:szCs w:val="24"/>
          <w:lang w:val="es-PR"/>
        </w:rPr>
        <w:t xml:space="preserve"> someter a la Junta un Plan Fiscal detallado para un periodo mínimo de cinco años</w:t>
      </w:r>
      <w:r w:rsidR="008755EC">
        <w:rPr>
          <w:rFonts w:ascii="Times New Roman" w:eastAsia="SimSun" w:hAnsi="Times New Roman" w:cs="Times New Roman"/>
          <w:sz w:val="24"/>
          <w:szCs w:val="24"/>
          <w:lang w:val="es-PR"/>
        </w:rPr>
        <w:t xml:space="preserve"> y </w:t>
      </w:r>
      <w:r w:rsidRPr="00A6098F">
        <w:rPr>
          <w:rFonts w:ascii="Times New Roman" w:eastAsia="SimSun" w:hAnsi="Times New Roman" w:cs="Times New Roman"/>
          <w:sz w:val="24"/>
          <w:szCs w:val="24"/>
          <w:lang w:val="es-PR"/>
        </w:rPr>
        <w:t>no p</w:t>
      </w:r>
      <w:r w:rsidR="00BB7FA6">
        <w:rPr>
          <w:rFonts w:ascii="Times New Roman" w:eastAsia="SimSun" w:hAnsi="Times New Roman" w:cs="Times New Roman"/>
          <w:sz w:val="24"/>
          <w:szCs w:val="24"/>
          <w:lang w:val="es-PR"/>
        </w:rPr>
        <w:t>uede</w:t>
      </w:r>
      <w:r w:rsidRPr="00A6098F">
        <w:rPr>
          <w:rFonts w:ascii="Times New Roman" w:eastAsia="SimSun" w:hAnsi="Times New Roman" w:cs="Times New Roman"/>
          <w:sz w:val="24"/>
          <w:szCs w:val="24"/>
          <w:lang w:val="es-PR"/>
        </w:rPr>
        <w:t xml:space="preserve"> someter el presupuesto del ELA para la aprobació</w:t>
      </w:r>
      <w:r w:rsidR="00A05354">
        <w:rPr>
          <w:rFonts w:ascii="Times New Roman" w:eastAsia="SimSun" w:hAnsi="Times New Roman" w:cs="Times New Roman"/>
          <w:sz w:val="24"/>
          <w:szCs w:val="24"/>
          <w:lang w:val="es-PR"/>
        </w:rPr>
        <w:t>n por la Asamblea Legislativa a</w:t>
      </w:r>
      <w:r w:rsidRPr="00A6098F">
        <w:rPr>
          <w:rFonts w:ascii="Times New Roman" w:eastAsia="SimSun" w:hAnsi="Times New Roman" w:cs="Times New Roman"/>
          <w:sz w:val="24"/>
          <w:szCs w:val="24"/>
          <w:lang w:val="es-PR"/>
        </w:rPr>
        <w:t xml:space="preserve"> menos que la Junta haya aprobado el Plan Fiscal</w:t>
      </w:r>
      <w:r w:rsidRPr="00A6098F">
        <w:rPr>
          <w:rFonts w:ascii="Times New Roman" w:eastAsia="SimSun" w:hAnsi="Times New Roman" w:cs="Times New Roman"/>
          <w:sz w:val="24"/>
          <w:szCs w:val="24"/>
          <w:vertAlign w:val="superscript"/>
          <w:lang w:val="es-PR"/>
        </w:rPr>
        <w:footnoteReference w:id="10"/>
      </w:r>
      <w:r w:rsidRPr="00A6098F">
        <w:rPr>
          <w:rFonts w:ascii="Times New Roman" w:eastAsia="SimSun" w:hAnsi="Times New Roman" w:cs="Times New Roman"/>
          <w:sz w:val="24"/>
          <w:szCs w:val="24"/>
          <w:lang w:val="es-PR"/>
        </w:rPr>
        <w:t xml:space="preserve">. </w:t>
      </w:r>
      <w:r w:rsidR="004E634D">
        <w:rPr>
          <w:rFonts w:ascii="Times New Roman" w:eastAsia="SimSun" w:hAnsi="Times New Roman" w:cs="Times New Roman"/>
          <w:sz w:val="24"/>
          <w:szCs w:val="24"/>
          <w:lang w:val="es-PR"/>
        </w:rPr>
        <w:t xml:space="preserve">Además, </w:t>
      </w:r>
      <w:r w:rsidR="004E634D">
        <w:rPr>
          <w:rFonts w:ascii="Times New Roman" w:eastAsia="Calibri" w:hAnsi="Times New Roman" w:cs="Times New Roman"/>
          <w:sz w:val="24"/>
          <w:szCs w:val="24"/>
          <w:lang w:val="es-ES"/>
        </w:rPr>
        <w:t>el Gobernador debe</w:t>
      </w:r>
      <w:r w:rsidRPr="00A6098F">
        <w:rPr>
          <w:rFonts w:ascii="Times New Roman" w:eastAsia="Calibri" w:hAnsi="Times New Roman" w:cs="Times New Roman"/>
          <w:sz w:val="24"/>
          <w:szCs w:val="24"/>
          <w:lang w:val="es-ES"/>
        </w:rPr>
        <w:t xml:space="preserve"> entregar copia de todas </w:t>
      </w:r>
      <w:r w:rsidRPr="00A6098F">
        <w:rPr>
          <w:rFonts w:ascii="Times New Roman" w:eastAsia="Calibri" w:hAnsi="Times New Roman" w:cs="Times New Roman"/>
          <w:sz w:val="24"/>
          <w:szCs w:val="24"/>
          <w:lang w:val="es-ES"/>
        </w:rPr>
        <w:lastRenderedPageBreak/>
        <w:t>las leyes a los siete días de su aprobación, junto al estimado del impacto de esta ley en los gastos e ingresos</w:t>
      </w:r>
      <w:r w:rsidRPr="00A6098F">
        <w:rPr>
          <w:rFonts w:ascii="Times New Roman" w:eastAsia="SimSun" w:hAnsi="Times New Roman" w:cs="Times New Roman"/>
          <w:sz w:val="24"/>
          <w:szCs w:val="24"/>
          <w:vertAlign w:val="superscript"/>
          <w:lang w:val="es-PR"/>
        </w:rPr>
        <w:footnoteReference w:id="11"/>
      </w:r>
      <w:r w:rsidRPr="00A6098F">
        <w:rPr>
          <w:rFonts w:ascii="Times New Roman" w:eastAsia="Calibri" w:hAnsi="Times New Roman" w:cs="Times New Roman"/>
          <w:sz w:val="24"/>
          <w:szCs w:val="24"/>
          <w:lang w:val="es-ES"/>
        </w:rPr>
        <w:t>.  Si el Gobernador somete la ley a la Junta sin el estimado de ingresos y gastos o dicho estimado es inconsistente con el Plan Fiscal, la Junta notificará esa circunstancia al Gobernador y la Asamblea Legislativa, con el propósito de alterar la ley para eliminar la inconsistencia o explicar razonablemente a la Junta la inconsistencia</w:t>
      </w:r>
      <w:r w:rsidRPr="00A6098F">
        <w:rPr>
          <w:rFonts w:ascii="Times New Roman" w:eastAsia="SimSun" w:hAnsi="Times New Roman" w:cs="Times New Roman"/>
          <w:sz w:val="24"/>
          <w:szCs w:val="24"/>
          <w:vertAlign w:val="superscript"/>
          <w:lang w:val="es-PR"/>
        </w:rPr>
        <w:footnoteReference w:id="12"/>
      </w:r>
      <w:r w:rsidRPr="00A6098F">
        <w:rPr>
          <w:rFonts w:ascii="Times New Roman" w:eastAsia="Calibri" w:hAnsi="Times New Roman" w:cs="Times New Roman"/>
          <w:sz w:val="24"/>
          <w:szCs w:val="24"/>
          <w:lang w:val="es-ES"/>
        </w:rPr>
        <w:t xml:space="preserve">. </w:t>
      </w:r>
      <w:r w:rsidRPr="00A6098F">
        <w:rPr>
          <w:rFonts w:ascii="Times New Roman" w:eastAsia="Calibri" w:hAnsi="Times New Roman" w:cs="Times New Roman"/>
          <w:sz w:val="24"/>
          <w:szCs w:val="24"/>
          <w:lang w:val="es-PR"/>
        </w:rPr>
        <w:t xml:space="preserve">En caso </w:t>
      </w:r>
      <w:r w:rsidR="009C1FD6">
        <w:rPr>
          <w:rFonts w:ascii="Times New Roman" w:eastAsia="Calibri" w:hAnsi="Times New Roman" w:cs="Times New Roman"/>
          <w:sz w:val="24"/>
          <w:szCs w:val="24"/>
          <w:lang w:val="es-PR"/>
        </w:rPr>
        <w:t xml:space="preserve">de </w:t>
      </w:r>
      <w:r w:rsidRPr="00A6098F">
        <w:rPr>
          <w:rFonts w:ascii="Times New Roman" w:eastAsia="Calibri" w:hAnsi="Times New Roman" w:cs="Times New Roman"/>
          <w:sz w:val="24"/>
          <w:szCs w:val="24"/>
          <w:lang w:val="es-PR"/>
        </w:rPr>
        <w:t>que el Gobierno no siga esta dirección, PROMESA faculta a la Junta para tomar las acciones que considere necesarias para asegurarse que la promulgación o aplicación de esta ley no afectará adversamente el cumplimiento del Plan Fiscal, incluso prevenir su aplicación</w:t>
      </w:r>
      <w:r w:rsidRPr="00A6098F">
        <w:rPr>
          <w:rFonts w:ascii="Times New Roman" w:eastAsia="SimSun" w:hAnsi="Times New Roman" w:cs="Times New Roman"/>
          <w:sz w:val="24"/>
          <w:szCs w:val="24"/>
          <w:vertAlign w:val="superscript"/>
          <w:lang w:val="es-PR"/>
        </w:rPr>
        <w:footnoteReference w:id="13"/>
      </w:r>
      <w:r w:rsidRPr="00A6098F">
        <w:rPr>
          <w:rFonts w:ascii="Times New Roman" w:eastAsia="Calibri" w:hAnsi="Times New Roman" w:cs="Times New Roman"/>
          <w:sz w:val="24"/>
          <w:szCs w:val="24"/>
          <w:lang w:val="es-PR"/>
        </w:rPr>
        <w:t xml:space="preserve">. </w:t>
      </w:r>
    </w:p>
    <w:p w14:paraId="35269239" w14:textId="77777777" w:rsidR="00FD2AC9" w:rsidRDefault="00FD2AC9" w:rsidP="00A63DFD">
      <w:pPr>
        <w:spacing w:after="0" w:line="240" w:lineRule="auto"/>
        <w:jc w:val="both"/>
        <w:rPr>
          <w:rFonts w:ascii="Times New Roman" w:eastAsia="Calibri" w:hAnsi="Times New Roman" w:cs="Times New Roman"/>
          <w:sz w:val="24"/>
          <w:szCs w:val="24"/>
          <w:lang w:val="es-PR"/>
        </w:rPr>
      </w:pPr>
    </w:p>
    <w:p w14:paraId="23C45C7E" w14:textId="5B4D29E4" w:rsidR="0088550F" w:rsidRDefault="007920F7" w:rsidP="00165C0E">
      <w:pPr>
        <w:spacing w:after="0" w:line="240" w:lineRule="auto"/>
        <w:jc w:val="both"/>
        <w:rPr>
          <w:rFonts w:ascii="Times New Roman" w:eastAsia="Calibri" w:hAnsi="Times New Roman" w:cs="Times New Roman"/>
          <w:sz w:val="24"/>
          <w:lang w:val="es-ES"/>
        </w:rPr>
      </w:pPr>
      <w:r w:rsidRPr="007F062A">
        <w:rPr>
          <w:rFonts w:ascii="Times New Roman" w:hAnsi="Times New Roman" w:cs="Times New Roman"/>
          <w:sz w:val="24"/>
          <w:u w:val="single"/>
          <w:lang w:val="es-PR"/>
        </w:rPr>
        <w:t>Decisiones del</w:t>
      </w:r>
      <w:r w:rsidR="0016701E" w:rsidRPr="007F062A">
        <w:rPr>
          <w:rFonts w:ascii="Times New Roman" w:hAnsi="Times New Roman" w:cs="Times New Roman"/>
          <w:sz w:val="24"/>
          <w:u w:val="single"/>
          <w:lang w:val="es-PR"/>
        </w:rPr>
        <w:t xml:space="preserve"> Tribunal Supremo</w:t>
      </w:r>
      <w:r w:rsidR="007F062A">
        <w:rPr>
          <w:rFonts w:ascii="Times New Roman" w:hAnsi="Times New Roman" w:cs="Times New Roman"/>
          <w:sz w:val="24"/>
          <w:lang w:val="es-PR"/>
        </w:rPr>
        <w:t>:</w:t>
      </w:r>
      <w:r w:rsidR="00165C0E">
        <w:rPr>
          <w:rFonts w:ascii="Times New Roman" w:hAnsi="Times New Roman" w:cs="Times New Roman"/>
          <w:sz w:val="24"/>
          <w:lang w:val="es-PR"/>
        </w:rPr>
        <w:t xml:space="preserve"> </w:t>
      </w:r>
      <w:r w:rsidR="00415DD7" w:rsidRPr="00EF1245">
        <w:rPr>
          <w:rFonts w:ascii="Times New Roman" w:eastAsia="Calibri" w:hAnsi="Times New Roman" w:cs="Times New Roman"/>
          <w:sz w:val="24"/>
          <w:lang w:val="es-ES"/>
        </w:rPr>
        <w:t>El Tribunal Supremo de</w:t>
      </w:r>
      <w:r w:rsidR="000956FD">
        <w:rPr>
          <w:rFonts w:ascii="Times New Roman" w:eastAsia="Calibri" w:hAnsi="Times New Roman" w:cs="Times New Roman"/>
          <w:sz w:val="24"/>
          <w:lang w:val="es-ES"/>
        </w:rPr>
        <w:t xml:space="preserve"> los</w:t>
      </w:r>
      <w:r w:rsidR="001F7CEB">
        <w:rPr>
          <w:rFonts w:ascii="Times New Roman" w:hAnsi="Times New Roman" w:cs="Times New Roman"/>
          <w:sz w:val="24"/>
          <w:lang w:val="es-PR"/>
        </w:rPr>
        <w:t xml:space="preserve"> </w:t>
      </w:r>
      <w:r w:rsidR="00415DD7" w:rsidRPr="00EF1245">
        <w:rPr>
          <w:rFonts w:ascii="Times New Roman" w:eastAsia="Calibri" w:hAnsi="Times New Roman" w:cs="Times New Roman"/>
          <w:sz w:val="24"/>
          <w:lang w:val="es-ES"/>
        </w:rPr>
        <w:t xml:space="preserve">Estados Unidos (TSEU) </w:t>
      </w:r>
      <w:r w:rsidR="001F2299">
        <w:rPr>
          <w:rFonts w:ascii="Times New Roman" w:eastAsia="Calibri" w:hAnsi="Times New Roman" w:cs="Times New Roman"/>
          <w:sz w:val="24"/>
          <w:lang w:val="es-ES"/>
        </w:rPr>
        <w:t>decidi</w:t>
      </w:r>
      <w:r w:rsidR="00415DD7" w:rsidRPr="00EF1245">
        <w:rPr>
          <w:rFonts w:ascii="Times New Roman" w:eastAsia="Calibri" w:hAnsi="Times New Roman" w:cs="Times New Roman"/>
          <w:sz w:val="24"/>
          <w:lang w:val="es-ES"/>
        </w:rPr>
        <w:t xml:space="preserve">ó </w:t>
      </w:r>
      <w:r w:rsidR="00EF1245">
        <w:rPr>
          <w:rFonts w:ascii="Times New Roman" w:eastAsia="Calibri" w:hAnsi="Times New Roman" w:cs="Times New Roman"/>
          <w:sz w:val="24"/>
          <w:lang w:val="es-ES"/>
        </w:rPr>
        <w:t xml:space="preserve">en 2016 </w:t>
      </w:r>
      <w:r w:rsidR="00415DD7" w:rsidRPr="00EF1245">
        <w:rPr>
          <w:rFonts w:ascii="Times New Roman" w:eastAsia="Calibri" w:hAnsi="Times New Roman" w:cs="Times New Roman"/>
          <w:sz w:val="24"/>
          <w:lang w:val="es-ES"/>
        </w:rPr>
        <w:t xml:space="preserve">dos </w:t>
      </w:r>
      <w:r w:rsidR="001F2299">
        <w:rPr>
          <w:rFonts w:ascii="Times New Roman" w:eastAsia="Calibri" w:hAnsi="Times New Roman" w:cs="Times New Roman"/>
          <w:sz w:val="24"/>
          <w:lang w:val="es-ES"/>
        </w:rPr>
        <w:t>casos</w:t>
      </w:r>
      <w:r w:rsidR="00415DD7" w:rsidRPr="00EF1245">
        <w:rPr>
          <w:rFonts w:ascii="Times New Roman" w:eastAsia="Calibri" w:hAnsi="Times New Roman" w:cs="Times New Roman"/>
          <w:sz w:val="24"/>
          <w:lang w:val="es-ES"/>
        </w:rPr>
        <w:t xml:space="preserve"> donde examinó</w:t>
      </w:r>
      <w:r w:rsidR="00064C04">
        <w:rPr>
          <w:rFonts w:ascii="Times New Roman" w:eastAsia="Calibri" w:hAnsi="Times New Roman" w:cs="Times New Roman"/>
          <w:sz w:val="24"/>
          <w:lang w:val="es-ES"/>
        </w:rPr>
        <w:t xml:space="preserve"> nuevamente</w:t>
      </w:r>
      <w:r w:rsidR="00415DD7" w:rsidRPr="00EF1245">
        <w:rPr>
          <w:rFonts w:ascii="Times New Roman" w:eastAsia="Calibri" w:hAnsi="Times New Roman" w:cs="Times New Roman"/>
          <w:sz w:val="24"/>
          <w:lang w:val="es-ES"/>
        </w:rPr>
        <w:t xml:space="preserve"> el poder del Congreso para legislar sobre los a</w:t>
      </w:r>
      <w:r w:rsidR="0088550F">
        <w:rPr>
          <w:rFonts w:ascii="Times New Roman" w:eastAsia="Calibri" w:hAnsi="Times New Roman" w:cs="Times New Roman"/>
          <w:sz w:val="24"/>
          <w:lang w:val="es-ES"/>
        </w:rPr>
        <w:t xml:space="preserve">suntos internos de Puerto Rico. Estos </w:t>
      </w:r>
      <w:r w:rsidR="005340BD">
        <w:rPr>
          <w:rFonts w:ascii="Times New Roman" w:eastAsia="Calibri" w:hAnsi="Times New Roman" w:cs="Times New Roman"/>
          <w:sz w:val="24"/>
          <w:lang w:val="es-ES"/>
        </w:rPr>
        <w:t xml:space="preserve">procesos </w:t>
      </w:r>
      <w:r w:rsidR="0088550F">
        <w:rPr>
          <w:rFonts w:ascii="Times New Roman" w:eastAsia="Calibri" w:hAnsi="Times New Roman" w:cs="Times New Roman"/>
          <w:sz w:val="24"/>
          <w:lang w:val="es-ES"/>
        </w:rPr>
        <w:t>representan la secuela más reciente de los denominados “Casos Insulares”,</w:t>
      </w:r>
      <w:r w:rsidR="00C271F3">
        <w:rPr>
          <w:rFonts w:ascii="Times New Roman" w:eastAsia="Calibri" w:hAnsi="Times New Roman" w:cs="Times New Roman"/>
          <w:sz w:val="24"/>
          <w:lang w:val="es-ES"/>
        </w:rPr>
        <w:t xml:space="preserve"> </w:t>
      </w:r>
      <w:r w:rsidR="00D12FDD">
        <w:rPr>
          <w:rFonts w:ascii="Times New Roman" w:eastAsia="Calibri" w:hAnsi="Times New Roman" w:cs="Times New Roman"/>
          <w:sz w:val="24"/>
          <w:lang w:val="es-ES"/>
        </w:rPr>
        <w:t>como s</w:t>
      </w:r>
      <w:r w:rsidR="002A2997">
        <w:rPr>
          <w:rFonts w:ascii="Times New Roman" w:eastAsia="Calibri" w:hAnsi="Times New Roman" w:cs="Times New Roman"/>
          <w:sz w:val="24"/>
          <w:lang w:val="es-ES"/>
        </w:rPr>
        <w:t>on conocidas</w:t>
      </w:r>
      <w:r w:rsidR="00D12FDD">
        <w:rPr>
          <w:rFonts w:ascii="Times New Roman" w:eastAsia="Calibri" w:hAnsi="Times New Roman" w:cs="Times New Roman"/>
          <w:sz w:val="24"/>
          <w:lang w:val="es-ES"/>
        </w:rPr>
        <w:t xml:space="preserve"> las decisiones del TSEU </w:t>
      </w:r>
      <w:r w:rsidR="00C271F3">
        <w:rPr>
          <w:rFonts w:ascii="Times New Roman" w:eastAsia="Calibri" w:hAnsi="Times New Roman" w:cs="Times New Roman"/>
          <w:sz w:val="24"/>
          <w:lang w:val="es-ES"/>
        </w:rPr>
        <w:t xml:space="preserve">que </w:t>
      </w:r>
      <w:r w:rsidR="002A2997">
        <w:rPr>
          <w:rFonts w:ascii="Times New Roman" w:eastAsia="Calibri" w:hAnsi="Times New Roman" w:cs="Times New Roman"/>
          <w:sz w:val="24"/>
          <w:lang w:val="es-ES"/>
        </w:rPr>
        <w:t>analizan la relación de</w:t>
      </w:r>
      <w:r w:rsidR="000956FD">
        <w:rPr>
          <w:rFonts w:ascii="Times New Roman" w:eastAsia="Calibri" w:hAnsi="Times New Roman" w:cs="Times New Roman"/>
          <w:sz w:val="24"/>
          <w:lang w:val="es-ES"/>
        </w:rPr>
        <w:t xml:space="preserve"> los</w:t>
      </w:r>
      <w:r w:rsidR="001F7CEB">
        <w:rPr>
          <w:rFonts w:ascii="Times New Roman" w:hAnsi="Times New Roman" w:cs="Times New Roman"/>
          <w:sz w:val="24"/>
          <w:lang w:val="es-PR"/>
        </w:rPr>
        <w:t xml:space="preserve"> </w:t>
      </w:r>
      <w:r w:rsidR="002A2997">
        <w:rPr>
          <w:rFonts w:ascii="Times New Roman" w:eastAsia="Calibri" w:hAnsi="Times New Roman" w:cs="Times New Roman"/>
          <w:sz w:val="24"/>
          <w:lang w:val="es-ES"/>
        </w:rPr>
        <w:t>Estados Unidos con sus territorios bajo</w:t>
      </w:r>
      <w:r w:rsidR="00C271F3" w:rsidRPr="0086435E">
        <w:rPr>
          <w:rFonts w:ascii="Times New Roman" w:eastAsia="Calibri" w:hAnsi="Times New Roman" w:cs="Times New Roman"/>
          <w:sz w:val="24"/>
          <w:szCs w:val="24"/>
          <w:lang w:val="es-ES"/>
        </w:rPr>
        <w:t xml:space="preserve"> la Cláusula Territorial. </w:t>
      </w:r>
      <w:r w:rsidR="0088550F">
        <w:rPr>
          <w:rFonts w:ascii="Times New Roman" w:eastAsia="Calibri" w:hAnsi="Times New Roman" w:cs="Times New Roman"/>
          <w:sz w:val="24"/>
          <w:lang w:val="es-ES"/>
        </w:rPr>
        <w:t xml:space="preserve"> </w:t>
      </w:r>
    </w:p>
    <w:p w14:paraId="3F1D01B3" w14:textId="77777777" w:rsidR="0088550F" w:rsidRDefault="0088550F" w:rsidP="00415DD7">
      <w:pPr>
        <w:widowControl w:val="0"/>
        <w:spacing w:after="0" w:line="240" w:lineRule="auto"/>
        <w:jc w:val="both"/>
        <w:rPr>
          <w:rFonts w:ascii="Times New Roman" w:eastAsia="Calibri" w:hAnsi="Times New Roman" w:cs="Times New Roman"/>
          <w:sz w:val="24"/>
          <w:lang w:val="es-ES"/>
        </w:rPr>
      </w:pPr>
    </w:p>
    <w:p w14:paraId="56D70525" w14:textId="16AE9F7E" w:rsidR="00415DD7" w:rsidRDefault="00415DD7" w:rsidP="00A91DCF">
      <w:pPr>
        <w:widowControl w:val="0"/>
        <w:spacing w:after="0" w:line="240" w:lineRule="auto"/>
        <w:jc w:val="both"/>
        <w:rPr>
          <w:rFonts w:ascii="Times New Roman" w:eastAsia="Calibri" w:hAnsi="Times New Roman" w:cs="Times New Roman"/>
          <w:sz w:val="24"/>
          <w:lang w:val="es-ES"/>
        </w:rPr>
      </w:pPr>
      <w:r w:rsidRPr="00EF1245">
        <w:rPr>
          <w:rFonts w:ascii="Times New Roman" w:eastAsia="Calibri" w:hAnsi="Times New Roman" w:cs="Times New Roman"/>
          <w:sz w:val="24"/>
          <w:lang w:val="es-ES"/>
        </w:rPr>
        <w:t xml:space="preserve">El TSEU decidió el 9 de junio de 2016 en </w:t>
      </w:r>
      <w:r w:rsidRPr="00EF1245">
        <w:rPr>
          <w:rFonts w:ascii="Times New Roman" w:eastAsia="Calibri" w:hAnsi="Times New Roman" w:cs="Times New Roman"/>
          <w:i/>
          <w:sz w:val="24"/>
          <w:lang w:val="es-ES"/>
        </w:rPr>
        <w:t>Commonwealth of Puerto Rico v. Sanchez Valle</w:t>
      </w:r>
      <w:r w:rsidRPr="00EF1245">
        <w:rPr>
          <w:rFonts w:ascii="Times New Roman" w:eastAsia="Calibri" w:hAnsi="Times New Roman" w:cs="Times New Roman"/>
          <w:sz w:val="24"/>
          <w:lang w:val="es-ES"/>
        </w:rPr>
        <w:t>, 579 U. S. ____ (2016)</w:t>
      </w:r>
      <w:r w:rsidR="00D10EB4">
        <w:rPr>
          <w:rStyle w:val="FootnoteReference"/>
          <w:rFonts w:ascii="Times New Roman" w:eastAsia="Calibri" w:hAnsi="Times New Roman" w:cs="Times New Roman"/>
          <w:sz w:val="24"/>
          <w:lang w:val="es-ES"/>
        </w:rPr>
        <w:footnoteReference w:id="14"/>
      </w:r>
      <w:r w:rsidRPr="00EF1245">
        <w:rPr>
          <w:rFonts w:ascii="Times New Roman" w:eastAsia="Calibri" w:hAnsi="Times New Roman" w:cs="Times New Roman"/>
          <w:sz w:val="24"/>
          <w:lang w:val="es-ES"/>
        </w:rPr>
        <w:t>, que la soberanía del ELA emanaba del Congreso, a los efectos de la prohibición de doble exposici</w:t>
      </w:r>
      <w:r w:rsidR="00064C04">
        <w:rPr>
          <w:rFonts w:ascii="Times New Roman" w:eastAsia="Calibri" w:hAnsi="Times New Roman" w:cs="Times New Roman"/>
          <w:sz w:val="24"/>
          <w:lang w:val="es-ES"/>
        </w:rPr>
        <w:t>ón en los casos criminales. Esta decisión</w:t>
      </w:r>
      <w:r w:rsidRPr="00EF1245">
        <w:rPr>
          <w:rFonts w:ascii="Times New Roman" w:eastAsia="Calibri" w:hAnsi="Times New Roman" w:cs="Times New Roman"/>
          <w:sz w:val="24"/>
          <w:lang w:val="es-ES"/>
        </w:rPr>
        <w:t xml:space="preserve"> </w:t>
      </w:r>
      <w:r w:rsidR="00A05354">
        <w:rPr>
          <w:rFonts w:ascii="Times New Roman" w:eastAsia="Calibri" w:hAnsi="Times New Roman" w:cs="Times New Roman"/>
          <w:sz w:val="24"/>
          <w:lang w:val="es-ES"/>
        </w:rPr>
        <w:t>descarta</w:t>
      </w:r>
      <w:r w:rsidRPr="00EF1245">
        <w:rPr>
          <w:rFonts w:ascii="Times New Roman" w:eastAsia="Calibri" w:hAnsi="Times New Roman" w:cs="Times New Roman"/>
          <w:sz w:val="24"/>
          <w:lang w:val="es-ES"/>
        </w:rPr>
        <w:t xml:space="preserve"> la </w:t>
      </w:r>
      <w:r w:rsidR="00064C04">
        <w:rPr>
          <w:rFonts w:ascii="Times New Roman" w:eastAsia="Calibri" w:hAnsi="Times New Roman" w:cs="Times New Roman"/>
          <w:sz w:val="24"/>
          <w:lang w:val="es-ES"/>
        </w:rPr>
        <w:t xml:space="preserve">supuesta </w:t>
      </w:r>
      <w:r w:rsidRPr="00EF1245">
        <w:rPr>
          <w:rFonts w:ascii="Times New Roman" w:eastAsia="Calibri" w:hAnsi="Times New Roman" w:cs="Times New Roman"/>
          <w:sz w:val="24"/>
          <w:lang w:val="es-ES"/>
        </w:rPr>
        <w:t xml:space="preserve">existencia de un pacto entre </w:t>
      </w:r>
      <w:r w:rsidR="000956FD">
        <w:rPr>
          <w:rFonts w:ascii="Times New Roman" w:eastAsia="Calibri" w:hAnsi="Times New Roman" w:cs="Times New Roman"/>
          <w:sz w:val="24"/>
          <w:lang w:val="es-ES"/>
        </w:rPr>
        <w:t xml:space="preserve">los </w:t>
      </w:r>
      <w:r w:rsidRPr="00EF1245">
        <w:rPr>
          <w:rFonts w:ascii="Times New Roman" w:eastAsia="Calibri" w:hAnsi="Times New Roman" w:cs="Times New Roman"/>
          <w:sz w:val="24"/>
          <w:lang w:val="es-ES"/>
        </w:rPr>
        <w:t xml:space="preserve">Estados Unidos y Puerto Rico como génesis del gobierno puertorriqueño. Por otro lado, el TSEU dispuso en </w:t>
      </w:r>
      <w:r w:rsidRPr="00EF1245">
        <w:rPr>
          <w:rFonts w:ascii="Times New Roman" w:eastAsia="Calibri" w:hAnsi="Times New Roman" w:cs="Times New Roman"/>
          <w:i/>
          <w:sz w:val="24"/>
          <w:lang w:val="es-ES"/>
        </w:rPr>
        <w:t>Commonwealth of Puerto Rico v. Franklin California Tax-Free Trust</w:t>
      </w:r>
      <w:r w:rsidRPr="00EF1245">
        <w:rPr>
          <w:rFonts w:ascii="Times New Roman" w:eastAsia="Calibri" w:hAnsi="Times New Roman" w:cs="Times New Roman"/>
          <w:sz w:val="24"/>
          <w:lang w:val="es-ES"/>
        </w:rPr>
        <w:t>, 579 U. S. ____ (2016)</w:t>
      </w:r>
      <w:r w:rsidR="00D10EB4">
        <w:rPr>
          <w:rStyle w:val="FootnoteReference"/>
          <w:rFonts w:ascii="Times New Roman" w:eastAsia="Calibri" w:hAnsi="Times New Roman" w:cs="Times New Roman"/>
          <w:sz w:val="24"/>
          <w:lang w:val="es-ES"/>
        </w:rPr>
        <w:footnoteReference w:id="15"/>
      </w:r>
      <w:r w:rsidRPr="00EF1245">
        <w:rPr>
          <w:rFonts w:ascii="Times New Roman" w:eastAsia="Calibri" w:hAnsi="Times New Roman" w:cs="Times New Roman"/>
          <w:sz w:val="24"/>
          <w:lang w:val="es-ES"/>
        </w:rPr>
        <w:t xml:space="preserve">, del 13 de junio de 2016, que el </w:t>
      </w:r>
      <w:r w:rsidR="00836DC7">
        <w:rPr>
          <w:rFonts w:ascii="Times New Roman" w:eastAsia="Calibri" w:hAnsi="Times New Roman" w:cs="Times New Roman"/>
          <w:sz w:val="24"/>
          <w:lang w:val="es-ES"/>
        </w:rPr>
        <w:t>g</w:t>
      </w:r>
      <w:r w:rsidRPr="00EF1245">
        <w:rPr>
          <w:rFonts w:ascii="Times New Roman" w:eastAsia="Calibri" w:hAnsi="Times New Roman" w:cs="Times New Roman"/>
          <w:sz w:val="24"/>
          <w:lang w:val="es-ES"/>
        </w:rPr>
        <w:t xml:space="preserve">obierno de Puerto Rico está impedido de aprobar una ley de quiebras para </w:t>
      </w:r>
      <w:r w:rsidR="00C54825">
        <w:rPr>
          <w:rFonts w:ascii="Times New Roman" w:eastAsia="Calibri" w:hAnsi="Times New Roman" w:cs="Times New Roman"/>
          <w:sz w:val="24"/>
          <w:lang w:val="es-ES"/>
        </w:rPr>
        <w:t xml:space="preserve">sus </w:t>
      </w:r>
      <w:r w:rsidRPr="00EF1245">
        <w:rPr>
          <w:rFonts w:ascii="Times New Roman" w:eastAsia="Calibri" w:hAnsi="Times New Roman" w:cs="Times New Roman"/>
          <w:sz w:val="24"/>
          <w:lang w:val="es-ES"/>
        </w:rPr>
        <w:t>empresas p</w:t>
      </w:r>
      <w:r w:rsidR="00C54825">
        <w:rPr>
          <w:rFonts w:ascii="Times New Roman" w:eastAsia="Calibri" w:hAnsi="Times New Roman" w:cs="Times New Roman"/>
          <w:sz w:val="24"/>
          <w:lang w:val="es-ES"/>
        </w:rPr>
        <w:t>úblicas</w:t>
      </w:r>
      <w:r w:rsidRPr="00EF1245">
        <w:rPr>
          <w:rFonts w:ascii="Times New Roman" w:eastAsia="Calibri" w:hAnsi="Times New Roman" w:cs="Times New Roman"/>
          <w:sz w:val="24"/>
          <w:lang w:val="es-ES"/>
        </w:rPr>
        <w:t xml:space="preserve">. Una circunstancia peculiar en esta controversia es que el propio Congreso enmendó el Código de Quiebras federal en 1984 para excluir a Puerto Rico de esta legislación sin ofrecer explicación alguna de esta acción. La capacidad </w:t>
      </w:r>
      <w:r w:rsidR="00295BEE">
        <w:rPr>
          <w:rFonts w:ascii="Times New Roman" w:eastAsia="Calibri" w:hAnsi="Times New Roman" w:cs="Times New Roman"/>
          <w:sz w:val="24"/>
          <w:lang w:val="es-ES"/>
        </w:rPr>
        <w:t>d</w:t>
      </w:r>
      <w:r w:rsidRPr="00EF1245">
        <w:rPr>
          <w:rFonts w:ascii="Times New Roman" w:eastAsia="Calibri" w:hAnsi="Times New Roman" w:cs="Times New Roman"/>
          <w:sz w:val="24"/>
          <w:lang w:val="es-ES"/>
        </w:rPr>
        <w:t xml:space="preserve">el Congreso para </w:t>
      </w:r>
      <w:r w:rsidR="00295BEE">
        <w:rPr>
          <w:rFonts w:ascii="Times New Roman" w:eastAsia="Calibri" w:hAnsi="Times New Roman" w:cs="Times New Roman"/>
          <w:sz w:val="24"/>
          <w:lang w:val="es-ES"/>
        </w:rPr>
        <w:t xml:space="preserve">decidir </w:t>
      </w:r>
      <w:r w:rsidR="00D10EB4">
        <w:rPr>
          <w:rFonts w:ascii="Times New Roman" w:eastAsia="Calibri" w:hAnsi="Times New Roman" w:cs="Times New Roman"/>
          <w:sz w:val="24"/>
          <w:lang w:val="es-ES"/>
        </w:rPr>
        <w:t>unilateral,</w:t>
      </w:r>
      <w:r w:rsidR="00D10EB4" w:rsidRPr="00EF1245">
        <w:rPr>
          <w:rFonts w:ascii="Times New Roman" w:eastAsia="Calibri" w:hAnsi="Times New Roman" w:cs="Times New Roman"/>
          <w:sz w:val="24"/>
          <w:lang w:val="es-ES"/>
        </w:rPr>
        <w:t xml:space="preserve"> irrestricta y arbitraria</w:t>
      </w:r>
      <w:r w:rsidR="00D10EB4">
        <w:rPr>
          <w:rFonts w:ascii="Times New Roman" w:eastAsia="Calibri" w:hAnsi="Times New Roman" w:cs="Times New Roman"/>
          <w:sz w:val="24"/>
          <w:lang w:val="es-ES"/>
        </w:rPr>
        <w:t>mente</w:t>
      </w:r>
      <w:r w:rsidR="00D10EB4" w:rsidRPr="00EF1245">
        <w:rPr>
          <w:rFonts w:ascii="Times New Roman" w:eastAsia="Calibri" w:hAnsi="Times New Roman" w:cs="Times New Roman"/>
          <w:sz w:val="24"/>
          <w:lang w:val="es-ES"/>
        </w:rPr>
        <w:t xml:space="preserve"> </w:t>
      </w:r>
      <w:r w:rsidRPr="00EF1245">
        <w:rPr>
          <w:rFonts w:ascii="Times New Roman" w:eastAsia="Calibri" w:hAnsi="Times New Roman" w:cs="Times New Roman"/>
          <w:sz w:val="24"/>
          <w:lang w:val="es-ES"/>
        </w:rPr>
        <w:t xml:space="preserve">sobre </w:t>
      </w:r>
      <w:r w:rsidR="00791EB8">
        <w:rPr>
          <w:rFonts w:ascii="Times New Roman" w:eastAsia="Calibri" w:hAnsi="Times New Roman" w:cs="Times New Roman"/>
          <w:sz w:val="24"/>
          <w:lang w:val="es-ES"/>
        </w:rPr>
        <w:t xml:space="preserve">el pueblo de </w:t>
      </w:r>
      <w:r w:rsidRPr="00EF1245">
        <w:rPr>
          <w:rFonts w:ascii="Times New Roman" w:eastAsia="Calibri" w:hAnsi="Times New Roman" w:cs="Times New Roman"/>
          <w:sz w:val="24"/>
          <w:lang w:val="es-ES"/>
        </w:rPr>
        <w:t>Puerto Rico</w:t>
      </w:r>
      <w:r w:rsidR="00C271F3">
        <w:rPr>
          <w:rFonts w:ascii="Times New Roman" w:eastAsia="Calibri" w:hAnsi="Times New Roman" w:cs="Times New Roman"/>
          <w:sz w:val="24"/>
          <w:lang w:val="es-ES"/>
        </w:rPr>
        <w:t xml:space="preserve"> </w:t>
      </w:r>
      <w:r w:rsidR="00295BEE">
        <w:rPr>
          <w:rFonts w:ascii="Times New Roman" w:eastAsia="Calibri" w:hAnsi="Times New Roman" w:cs="Times New Roman"/>
          <w:sz w:val="24"/>
          <w:lang w:val="es-ES"/>
        </w:rPr>
        <w:t>representa</w:t>
      </w:r>
      <w:r w:rsidR="00F2266B">
        <w:rPr>
          <w:rFonts w:ascii="Times New Roman" w:eastAsia="Calibri" w:hAnsi="Times New Roman" w:cs="Times New Roman"/>
          <w:sz w:val="24"/>
          <w:lang w:val="es-ES"/>
        </w:rPr>
        <w:t xml:space="preserve"> la negación</w:t>
      </w:r>
      <w:r w:rsidR="00374155">
        <w:rPr>
          <w:rFonts w:ascii="Times New Roman" w:eastAsia="Calibri" w:hAnsi="Times New Roman" w:cs="Times New Roman"/>
          <w:sz w:val="24"/>
          <w:lang w:val="es-ES"/>
        </w:rPr>
        <w:t xml:space="preserve"> rotunda </w:t>
      </w:r>
      <w:r w:rsidR="00F2266B">
        <w:rPr>
          <w:rFonts w:ascii="Times New Roman" w:eastAsia="Calibri" w:hAnsi="Times New Roman" w:cs="Times New Roman"/>
          <w:sz w:val="24"/>
          <w:lang w:val="es-ES"/>
        </w:rPr>
        <w:t>a</w:t>
      </w:r>
      <w:r w:rsidR="00D10EB4">
        <w:rPr>
          <w:rFonts w:ascii="Times New Roman" w:eastAsia="Calibri" w:hAnsi="Times New Roman" w:cs="Times New Roman"/>
          <w:sz w:val="24"/>
          <w:lang w:val="es-ES"/>
        </w:rPr>
        <w:t>l</w:t>
      </w:r>
      <w:r w:rsidR="00F2266B">
        <w:rPr>
          <w:rFonts w:ascii="Times New Roman" w:eastAsia="Calibri" w:hAnsi="Times New Roman" w:cs="Times New Roman"/>
          <w:sz w:val="24"/>
          <w:lang w:val="es-ES"/>
        </w:rPr>
        <w:t xml:space="preserve"> </w:t>
      </w:r>
      <w:r w:rsidR="00C271F3">
        <w:rPr>
          <w:rFonts w:ascii="Times New Roman" w:eastAsia="Calibri" w:hAnsi="Times New Roman" w:cs="Times New Roman"/>
          <w:sz w:val="24"/>
          <w:lang w:val="es-ES"/>
        </w:rPr>
        <w:t xml:space="preserve">derecho a </w:t>
      </w:r>
      <w:r w:rsidR="00791EB8">
        <w:rPr>
          <w:rFonts w:ascii="Times New Roman" w:eastAsia="Calibri" w:hAnsi="Times New Roman" w:cs="Times New Roman"/>
          <w:sz w:val="24"/>
          <w:lang w:val="es-ES"/>
        </w:rPr>
        <w:t xml:space="preserve">su </w:t>
      </w:r>
      <w:r w:rsidR="00C271F3">
        <w:rPr>
          <w:rFonts w:ascii="Times New Roman" w:eastAsia="Calibri" w:hAnsi="Times New Roman" w:cs="Times New Roman"/>
          <w:sz w:val="24"/>
          <w:lang w:val="es-ES"/>
        </w:rPr>
        <w:t xml:space="preserve">libre determinación. </w:t>
      </w:r>
    </w:p>
    <w:p w14:paraId="3A950853" w14:textId="77777777" w:rsidR="00B30228" w:rsidRDefault="00B30228" w:rsidP="00A91DCF">
      <w:pPr>
        <w:widowControl w:val="0"/>
        <w:spacing w:after="0" w:line="240" w:lineRule="auto"/>
        <w:jc w:val="both"/>
        <w:rPr>
          <w:rFonts w:ascii="Times New Roman" w:eastAsia="Calibri" w:hAnsi="Times New Roman" w:cs="Times New Roman"/>
          <w:sz w:val="24"/>
          <w:lang w:val="es-ES"/>
        </w:rPr>
      </w:pPr>
    </w:p>
    <w:p w14:paraId="3E8BCBB0" w14:textId="5EA20CF2" w:rsidR="001F7CEB" w:rsidRPr="00D2595F" w:rsidRDefault="00D2595F" w:rsidP="00A91DCF">
      <w:pPr>
        <w:widowControl w:val="0"/>
        <w:spacing w:after="0" w:line="240" w:lineRule="auto"/>
        <w:jc w:val="both"/>
        <w:rPr>
          <w:rFonts w:ascii="Times New Roman" w:eastAsia="Calibri" w:hAnsi="Times New Roman" w:cs="Times New Roman"/>
          <w:sz w:val="24"/>
          <w:lang w:val="es-PR"/>
        </w:rPr>
      </w:pPr>
      <w:r>
        <w:rPr>
          <w:rFonts w:ascii="Times New Roman" w:eastAsia="Calibri" w:hAnsi="Times New Roman" w:cs="Times New Roman"/>
          <w:sz w:val="24"/>
          <w:lang w:val="es-ES"/>
        </w:rPr>
        <w:t xml:space="preserve">Sí </w:t>
      </w:r>
      <w:r w:rsidR="001F7CEB" w:rsidRPr="009D43DE">
        <w:rPr>
          <w:rFonts w:ascii="Times New Roman" w:eastAsia="Calibri" w:hAnsi="Times New Roman" w:cs="Times New Roman"/>
          <w:sz w:val="24"/>
          <w:lang w:val="es-ES"/>
        </w:rPr>
        <w:t xml:space="preserve">Puerto Rico </w:t>
      </w:r>
      <w:r>
        <w:rPr>
          <w:rFonts w:ascii="Times New Roman" w:eastAsia="Calibri" w:hAnsi="Times New Roman" w:cs="Times New Roman"/>
          <w:sz w:val="24"/>
          <w:lang w:val="es-ES"/>
        </w:rPr>
        <w:t>siempre ha estado</w:t>
      </w:r>
      <w:r w:rsidR="001F7CEB" w:rsidRPr="009D43DE">
        <w:rPr>
          <w:rFonts w:ascii="Times New Roman" w:eastAsia="Calibri" w:hAnsi="Times New Roman" w:cs="Times New Roman"/>
          <w:sz w:val="24"/>
          <w:lang w:val="es-ES"/>
        </w:rPr>
        <w:t xml:space="preserve"> bajo los poderes plenarios del Congreso, el proceso que culminó </w:t>
      </w:r>
      <w:r>
        <w:rPr>
          <w:rFonts w:ascii="Times New Roman" w:eastAsia="Calibri" w:hAnsi="Times New Roman" w:cs="Times New Roman"/>
          <w:sz w:val="24"/>
          <w:lang w:val="es-ES"/>
        </w:rPr>
        <w:t>con</w:t>
      </w:r>
      <w:r w:rsidR="001F7CEB" w:rsidRPr="009D43DE">
        <w:rPr>
          <w:rFonts w:ascii="Times New Roman" w:eastAsia="Calibri" w:hAnsi="Times New Roman" w:cs="Times New Roman"/>
          <w:sz w:val="24"/>
          <w:lang w:val="es-ES"/>
        </w:rPr>
        <w:t xml:space="preserve"> la aprobación de la Resolución 748 (VIII) de 1953</w:t>
      </w:r>
      <w:r w:rsidR="00B30228">
        <w:rPr>
          <w:rFonts w:ascii="Times New Roman" w:eastAsia="Calibri" w:hAnsi="Times New Roman" w:cs="Times New Roman"/>
          <w:sz w:val="24"/>
          <w:lang w:val="es-ES"/>
        </w:rPr>
        <w:t>, basado</w:t>
      </w:r>
      <w:r w:rsidR="009D43DE" w:rsidRPr="009D43DE">
        <w:rPr>
          <w:rFonts w:ascii="Times New Roman" w:eastAsia="Calibri" w:hAnsi="Times New Roman" w:cs="Times New Roman"/>
          <w:sz w:val="24"/>
          <w:lang w:val="es-ES"/>
        </w:rPr>
        <w:t xml:space="preserve"> en la existencia de gobierno propio</w:t>
      </w:r>
      <w:r w:rsidR="00B30228">
        <w:rPr>
          <w:rFonts w:ascii="Times New Roman" w:eastAsia="Calibri" w:hAnsi="Times New Roman" w:cs="Times New Roman"/>
          <w:sz w:val="24"/>
          <w:lang w:val="es-ES"/>
        </w:rPr>
        <w:t xml:space="preserve"> bajo el ELA</w:t>
      </w:r>
      <w:r>
        <w:rPr>
          <w:rFonts w:ascii="Times New Roman" w:eastAsia="Calibri" w:hAnsi="Times New Roman" w:cs="Times New Roman"/>
          <w:sz w:val="24"/>
          <w:lang w:val="es-ES"/>
        </w:rPr>
        <w:t>,</w:t>
      </w:r>
      <w:r w:rsidR="00B067CB" w:rsidRPr="009D43DE">
        <w:rPr>
          <w:rFonts w:ascii="Times New Roman" w:eastAsia="Calibri" w:hAnsi="Times New Roman" w:cs="Times New Roman"/>
          <w:sz w:val="24"/>
          <w:lang w:val="es-ES"/>
        </w:rPr>
        <w:t xml:space="preserve"> </w:t>
      </w:r>
      <w:r w:rsidR="00B30228">
        <w:rPr>
          <w:rFonts w:ascii="Times New Roman" w:eastAsia="Calibri" w:hAnsi="Times New Roman" w:cs="Times New Roman"/>
          <w:sz w:val="24"/>
          <w:lang w:val="es-ES"/>
        </w:rPr>
        <w:t xml:space="preserve">fue </w:t>
      </w:r>
      <w:r w:rsidR="009D43DE" w:rsidRPr="009D43DE">
        <w:rPr>
          <w:rFonts w:ascii="Times New Roman" w:eastAsia="Calibri" w:hAnsi="Times New Roman" w:cs="Times New Roman"/>
          <w:sz w:val="24"/>
          <w:lang w:val="es-ES"/>
        </w:rPr>
        <w:t>incorrecto</w:t>
      </w:r>
      <w:r w:rsidR="00B067CB" w:rsidRPr="009D43DE">
        <w:rPr>
          <w:rFonts w:ascii="Times New Roman" w:eastAsia="Calibri" w:hAnsi="Times New Roman" w:cs="Times New Roman"/>
          <w:sz w:val="24"/>
          <w:lang w:val="es-ES"/>
        </w:rPr>
        <w:t xml:space="preserve">. Dicha resolución </w:t>
      </w:r>
      <w:r w:rsidR="00DE1379">
        <w:rPr>
          <w:rFonts w:ascii="Times New Roman" w:eastAsia="Calibri" w:hAnsi="Times New Roman" w:cs="Times New Roman"/>
          <w:sz w:val="24"/>
          <w:lang w:val="es-ES"/>
        </w:rPr>
        <w:t xml:space="preserve">se </w:t>
      </w:r>
      <w:r>
        <w:rPr>
          <w:rFonts w:ascii="Times New Roman" w:eastAsia="Calibri" w:hAnsi="Times New Roman" w:cs="Times New Roman"/>
          <w:sz w:val="24"/>
          <w:lang w:val="es-ES"/>
        </w:rPr>
        <w:t>aprob</w:t>
      </w:r>
      <w:r w:rsidR="00DE1379">
        <w:rPr>
          <w:rFonts w:ascii="Times New Roman" w:eastAsia="Calibri" w:hAnsi="Times New Roman" w:cs="Times New Roman"/>
          <w:sz w:val="24"/>
          <w:lang w:val="es-ES"/>
        </w:rPr>
        <w:t>ó</w:t>
      </w:r>
      <w:r>
        <w:rPr>
          <w:rFonts w:ascii="Times New Roman" w:eastAsia="Calibri" w:hAnsi="Times New Roman" w:cs="Times New Roman"/>
          <w:sz w:val="24"/>
          <w:lang w:val="es-ES"/>
        </w:rPr>
        <w:t xml:space="preserve"> </w:t>
      </w:r>
      <w:r w:rsidR="00B30228">
        <w:rPr>
          <w:rFonts w:ascii="Times New Roman" w:eastAsia="Calibri" w:hAnsi="Times New Roman" w:cs="Times New Roman"/>
          <w:sz w:val="24"/>
          <w:lang w:val="es-ES"/>
        </w:rPr>
        <w:t>mediante</w:t>
      </w:r>
      <w:r>
        <w:rPr>
          <w:rFonts w:ascii="Times New Roman" w:eastAsia="Calibri" w:hAnsi="Times New Roman" w:cs="Times New Roman"/>
          <w:sz w:val="24"/>
          <w:lang w:val="es-ES"/>
        </w:rPr>
        <w:t xml:space="preserve"> premisas erróneas </w:t>
      </w:r>
      <w:r w:rsidR="002B160C">
        <w:rPr>
          <w:rFonts w:ascii="Times New Roman" w:eastAsia="Calibri" w:hAnsi="Times New Roman" w:cs="Times New Roman"/>
          <w:sz w:val="24"/>
          <w:lang w:val="es-ES"/>
        </w:rPr>
        <w:t xml:space="preserve">que presentó </w:t>
      </w:r>
      <w:r w:rsidR="00B067CB" w:rsidRPr="009D43DE">
        <w:rPr>
          <w:rFonts w:ascii="Times New Roman" w:eastAsia="Calibri" w:hAnsi="Times New Roman" w:cs="Times New Roman"/>
          <w:sz w:val="24"/>
          <w:lang w:val="es-ES"/>
        </w:rPr>
        <w:t xml:space="preserve">el gobierno de </w:t>
      </w:r>
      <w:r>
        <w:rPr>
          <w:rFonts w:ascii="Times New Roman" w:eastAsia="Calibri" w:hAnsi="Times New Roman" w:cs="Times New Roman"/>
          <w:sz w:val="24"/>
          <w:lang w:val="es-ES"/>
        </w:rPr>
        <w:t>los Estados Unidos</w:t>
      </w:r>
      <w:r w:rsidR="00B067CB" w:rsidRPr="009D43DE">
        <w:rPr>
          <w:rFonts w:ascii="Times New Roman" w:eastAsia="Calibri" w:hAnsi="Times New Roman" w:cs="Times New Roman"/>
          <w:sz w:val="24"/>
          <w:lang w:val="es-ES"/>
        </w:rPr>
        <w:t xml:space="preserve"> a la comunidad internacional,</w:t>
      </w:r>
      <w:r>
        <w:rPr>
          <w:rFonts w:ascii="Times New Roman" w:eastAsia="Calibri" w:hAnsi="Times New Roman" w:cs="Times New Roman"/>
          <w:sz w:val="24"/>
          <w:lang w:val="es-ES"/>
        </w:rPr>
        <w:t xml:space="preserve"> con el propósito de </w:t>
      </w:r>
      <w:r w:rsidR="00B067CB" w:rsidRPr="009D43DE">
        <w:rPr>
          <w:rFonts w:ascii="Times New Roman" w:eastAsia="Calibri" w:hAnsi="Times New Roman" w:cs="Times New Roman"/>
          <w:sz w:val="24"/>
          <w:lang w:val="es-ES"/>
        </w:rPr>
        <w:t>eludi</w:t>
      </w:r>
      <w:r>
        <w:rPr>
          <w:rFonts w:ascii="Times New Roman" w:eastAsia="Calibri" w:hAnsi="Times New Roman" w:cs="Times New Roman"/>
          <w:sz w:val="24"/>
          <w:lang w:val="es-ES"/>
        </w:rPr>
        <w:t>r</w:t>
      </w:r>
      <w:r w:rsidR="00B067CB" w:rsidRPr="009D43DE">
        <w:rPr>
          <w:rFonts w:ascii="Times New Roman" w:eastAsia="Calibri" w:hAnsi="Times New Roman" w:cs="Times New Roman"/>
          <w:sz w:val="24"/>
          <w:lang w:val="es-ES"/>
        </w:rPr>
        <w:t xml:space="preserve"> su obligación de rendir informes </w:t>
      </w:r>
      <w:r>
        <w:rPr>
          <w:rFonts w:ascii="Times New Roman" w:eastAsia="Calibri" w:hAnsi="Times New Roman" w:cs="Times New Roman"/>
          <w:sz w:val="24"/>
          <w:lang w:val="es-ES"/>
        </w:rPr>
        <w:t>bajo el inciso e del artículo 73 de la Carta de las Naciones Unidas</w:t>
      </w:r>
      <w:r w:rsidR="00B067CB" w:rsidRPr="009D43DE">
        <w:rPr>
          <w:rFonts w:ascii="Times New Roman" w:eastAsia="Calibri" w:hAnsi="Times New Roman" w:cs="Times New Roman"/>
          <w:sz w:val="24"/>
          <w:lang w:val="es-ES"/>
        </w:rPr>
        <w:t xml:space="preserve"> por más de 60 años.  </w:t>
      </w:r>
    </w:p>
    <w:p w14:paraId="11ED4379" w14:textId="77777777" w:rsidR="00682FB7" w:rsidRPr="00D2595F" w:rsidRDefault="00682FB7" w:rsidP="00682FB7">
      <w:pPr>
        <w:spacing w:after="0" w:line="240" w:lineRule="auto"/>
        <w:rPr>
          <w:rFonts w:ascii="Times New Roman" w:hAnsi="Times New Roman" w:cs="Times New Roman"/>
          <w:sz w:val="24"/>
          <w:lang w:val="es-PR"/>
        </w:rPr>
      </w:pPr>
    </w:p>
    <w:p w14:paraId="56422311" w14:textId="77777777" w:rsidR="00682FB7" w:rsidRPr="00F414A4" w:rsidRDefault="00682FB7" w:rsidP="00682FB7">
      <w:pPr>
        <w:spacing w:after="0" w:line="240" w:lineRule="auto"/>
        <w:rPr>
          <w:rFonts w:ascii="Times New Roman" w:hAnsi="Times New Roman" w:cs="Times New Roman"/>
          <w:b/>
          <w:sz w:val="24"/>
          <w:lang w:val="es-PR"/>
        </w:rPr>
      </w:pPr>
      <w:bookmarkStart w:id="1" w:name="_Hlk534898936"/>
      <w:r w:rsidRPr="00F414A4">
        <w:rPr>
          <w:rFonts w:ascii="Times New Roman" w:hAnsi="Times New Roman" w:cs="Times New Roman"/>
          <w:b/>
          <w:sz w:val="24"/>
          <w:lang w:val="es-PR"/>
        </w:rPr>
        <w:t>Artículos del PIDCP pertinentes y cómo se afectan</w:t>
      </w:r>
    </w:p>
    <w:bookmarkEnd w:id="1"/>
    <w:p w14:paraId="42482029" w14:textId="77777777" w:rsidR="00682FB7" w:rsidRDefault="00682FB7" w:rsidP="00682FB7">
      <w:pPr>
        <w:spacing w:after="0" w:line="240" w:lineRule="auto"/>
        <w:rPr>
          <w:rFonts w:ascii="Times New Roman" w:hAnsi="Times New Roman" w:cs="Times New Roman"/>
          <w:sz w:val="24"/>
          <w:lang w:val="es-PR"/>
        </w:rPr>
      </w:pPr>
    </w:p>
    <w:p w14:paraId="6406AEB1" w14:textId="6CFC604C" w:rsidR="009802EF" w:rsidRDefault="00F414A4" w:rsidP="00F414A4">
      <w:pPr>
        <w:spacing w:after="0" w:line="240" w:lineRule="auto"/>
        <w:jc w:val="both"/>
        <w:rPr>
          <w:rFonts w:ascii="Times New Roman" w:hAnsi="Times New Roman" w:cs="Times New Roman"/>
          <w:sz w:val="24"/>
          <w:lang w:val="es-PR"/>
        </w:rPr>
      </w:pPr>
      <w:r w:rsidRPr="005C32D3">
        <w:rPr>
          <w:rFonts w:ascii="Times New Roman" w:hAnsi="Times New Roman" w:cs="Times New Roman"/>
          <w:sz w:val="24"/>
          <w:u w:val="single"/>
          <w:lang w:val="es-PR"/>
        </w:rPr>
        <w:t>Artículo 1</w:t>
      </w:r>
      <w:r w:rsidR="005C32D3">
        <w:rPr>
          <w:rFonts w:ascii="Times New Roman" w:hAnsi="Times New Roman" w:cs="Times New Roman"/>
          <w:sz w:val="24"/>
          <w:lang w:val="es-PR"/>
        </w:rPr>
        <w:t xml:space="preserve"> – l</w:t>
      </w:r>
      <w:r>
        <w:rPr>
          <w:rFonts w:ascii="Times New Roman" w:hAnsi="Times New Roman" w:cs="Times New Roman"/>
          <w:sz w:val="24"/>
          <w:lang w:val="es-PR"/>
        </w:rPr>
        <w:t xml:space="preserve">as acciones de </w:t>
      </w:r>
      <w:r w:rsidR="00CA45C9">
        <w:rPr>
          <w:rFonts w:ascii="Times New Roman" w:hAnsi="Times New Roman" w:cs="Times New Roman"/>
          <w:sz w:val="24"/>
          <w:lang w:val="es-PR"/>
        </w:rPr>
        <w:t xml:space="preserve">los </w:t>
      </w:r>
      <w:r>
        <w:rPr>
          <w:rFonts w:ascii="Times New Roman" w:hAnsi="Times New Roman" w:cs="Times New Roman"/>
          <w:sz w:val="24"/>
          <w:lang w:val="es-PR"/>
        </w:rPr>
        <w:t xml:space="preserve">Estados Unidos </w:t>
      </w:r>
      <w:r w:rsidR="005708A6">
        <w:rPr>
          <w:rFonts w:ascii="Times New Roman" w:hAnsi="Times New Roman" w:cs="Times New Roman"/>
          <w:sz w:val="24"/>
          <w:lang w:val="es-PR"/>
        </w:rPr>
        <w:t>han impedido</w:t>
      </w:r>
      <w:r>
        <w:rPr>
          <w:rFonts w:ascii="Times New Roman" w:hAnsi="Times New Roman" w:cs="Times New Roman"/>
          <w:sz w:val="24"/>
          <w:lang w:val="es-PR"/>
        </w:rPr>
        <w:t xml:space="preserve"> que el pueblo de Puerto Rico ejer</w:t>
      </w:r>
      <w:r w:rsidR="005708A6">
        <w:rPr>
          <w:rFonts w:ascii="Times New Roman" w:hAnsi="Times New Roman" w:cs="Times New Roman"/>
          <w:sz w:val="24"/>
          <w:lang w:val="es-PR"/>
        </w:rPr>
        <w:t>za</w:t>
      </w:r>
      <w:r>
        <w:rPr>
          <w:rFonts w:ascii="Times New Roman" w:hAnsi="Times New Roman" w:cs="Times New Roman"/>
          <w:sz w:val="24"/>
          <w:lang w:val="es-PR"/>
        </w:rPr>
        <w:t xml:space="preserve"> su </w:t>
      </w:r>
      <w:r w:rsidRPr="00F414A4">
        <w:rPr>
          <w:rFonts w:ascii="Times New Roman" w:hAnsi="Times New Roman" w:cs="Times New Roman"/>
          <w:sz w:val="24"/>
          <w:lang w:val="es-PR"/>
        </w:rPr>
        <w:t xml:space="preserve">derecho </w:t>
      </w:r>
      <w:r>
        <w:rPr>
          <w:rFonts w:ascii="Times New Roman" w:hAnsi="Times New Roman" w:cs="Times New Roman"/>
          <w:sz w:val="24"/>
          <w:lang w:val="es-PR"/>
        </w:rPr>
        <w:t>a establecer</w:t>
      </w:r>
      <w:r w:rsidRPr="00F414A4">
        <w:rPr>
          <w:rFonts w:ascii="Times New Roman" w:hAnsi="Times New Roman" w:cs="Times New Roman"/>
          <w:sz w:val="24"/>
          <w:lang w:val="es-PR"/>
        </w:rPr>
        <w:t xml:space="preserve"> libremente su condición política</w:t>
      </w:r>
      <w:r>
        <w:rPr>
          <w:rFonts w:ascii="Times New Roman" w:hAnsi="Times New Roman" w:cs="Times New Roman"/>
          <w:sz w:val="24"/>
          <w:lang w:val="es-PR"/>
        </w:rPr>
        <w:t>, así como proveer</w:t>
      </w:r>
      <w:r w:rsidRPr="00F414A4">
        <w:rPr>
          <w:rFonts w:ascii="Times New Roman" w:hAnsi="Times New Roman" w:cs="Times New Roman"/>
          <w:sz w:val="24"/>
          <w:lang w:val="es-PR"/>
        </w:rPr>
        <w:t xml:space="preserve"> su desarrollo económico, social y cultural.</w:t>
      </w:r>
      <w:r w:rsidR="005708A6">
        <w:rPr>
          <w:rFonts w:ascii="Times New Roman" w:hAnsi="Times New Roman" w:cs="Times New Roman"/>
          <w:sz w:val="24"/>
          <w:lang w:val="es-PR"/>
        </w:rPr>
        <w:t xml:space="preserve"> Igualmente, </w:t>
      </w:r>
      <w:r w:rsidR="00CA45C9">
        <w:rPr>
          <w:rFonts w:ascii="Times New Roman" w:hAnsi="Times New Roman" w:cs="Times New Roman"/>
          <w:sz w:val="24"/>
          <w:lang w:val="es-PR"/>
        </w:rPr>
        <w:t xml:space="preserve">los </w:t>
      </w:r>
      <w:r w:rsidR="005708A6">
        <w:rPr>
          <w:rFonts w:ascii="Times New Roman" w:hAnsi="Times New Roman" w:cs="Times New Roman"/>
          <w:sz w:val="24"/>
          <w:lang w:val="es-PR"/>
        </w:rPr>
        <w:t>Estados Unidos n</w:t>
      </w:r>
      <w:r w:rsidR="00CA45C9">
        <w:rPr>
          <w:rFonts w:ascii="Times New Roman" w:hAnsi="Times New Roman" w:cs="Times New Roman"/>
          <w:sz w:val="24"/>
          <w:lang w:val="es-PR"/>
        </w:rPr>
        <w:t xml:space="preserve">o han promovido el derecho a la libre </w:t>
      </w:r>
      <w:r w:rsidR="005708A6">
        <w:rPr>
          <w:rFonts w:ascii="Times New Roman" w:hAnsi="Times New Roman" w:cs="Times New Roman"/>
          <w:sz w:val="24"/>
          <w:lang w:val="es-PR"/>
        </w:rPr>
        <w:t>determinación del pueblo de Puerto Rico.</w:t>
      </w:r>
    </w:p>
    <w:p w14:paraId="6F68A86B" w14:textId="77777777" w:rsidR="005708A6" w:rsidRDefault="005708A6" w:rsidP="00F414A4">
      <w:pPr>
        <w:spacing w:after="0" w:line="240" w:lineRule="auto"/>
        <w:jc w:val="both"/>
        <w:rPr>
          <w:rFonts w:ascii="Times New Roman" w:hAnsi="Times New Roman" w:cs="Times New Roman"/>
          <w:sz w:val="24"/>
          <w:lang w:val="es-PR"/>
        </w:rPr>
      </w:pPr>
    </w:p>
    <w:p w14:paraId="1D121532" w14:textId="6BEC1C3F" w:rsidR="005708A6" w:rsidRDefault="005708A6" w:rsidP="00F414A4">
      <w:pPr>
        <w:spacing w:after="0" w:line="240" w:lineRule="auto"/>
        <w:jc w:val="both"/>
        <w:rPr>
          <w:rFonts w:ascii="Times New Roman" w:hAnsi="Times New Roman" w:cs="Times New Roman"/>
          <w:sz w:val="24"/>
          <w:lang w:val="es-PR"/>
        </w:rPr>
      </w:pPr>
      <w:r w:rsidRPr="005C32D3">
        <w:rPr>
          <w:rFonts w:ascii="Times New Roman" w:hAnsi="Times New Roman" w:cs="Times New Roman"/>
          <w:sz w:val="24"/>
          <w:u w:val="single"/>
          <w:lang w:val="es-PR"/>
        </w:rPr>
        <w:lastRenderedPageBreak/>
        <w:t>Artículo 25</w:t>
      </w:r>
      <w:r w:rsidR="005C32D3">
        <w:rPr>
          <w:rFonts w:ascii="Times New Roman" w:hAnsi="Times New Roman" w:cs="Times New Roman"/>
          <w:sz w:val="24"/>
          <w:lang w:val="es-PR"/>
        </w:rPr>
        <w:t xml:space="preserve"> – la </w:t>
      </w:r>
      <w:r w:rsidR="00EF685E">
        <w:rPr>
          <w:rFonts w:ascii="Times New Roman" w:hAnsi="Times New Roman" w:cs="Times New Roman"/>
          <w:sz w:val="24"/>
          <w:lang w:val="es-PR"/>
        </w:rPr>
        <w:t xml:space="preserve">designación unilateral por el gobierno de </w:t>
      </w:r>
      <w:r w:rsidR="00CA45C9">
        <w:rPr>
          <w:rFonts w:ascii="Times New Roman" w:hAnsi="Times New Roman" w:cs="Times New Roman"/>
          <w:sz w:val="24"/>
          <w:lang w:val="es-PR"/>
        </w:rPr>
        <w:t xml:space="preserve">los </w:t>
      </w:r>
      <w:r w:rsidR="00EF685E">
        <w:rPr>
          <w:rFonts w:ascii="Times New Roman" w:hAnsi="Times New Roman" w:cs="Times New Roman"/>
          <w:sz w:val="24"/>
          <w:lang w:val="es-PR"/>
        </w:rPr>
        <w:t>Estados Unidos de los miembros de la Junta, con los amplios poderes que ostenta este cuerpo, violenta el derecho de los ciudadanos a p</w:t>
      </w:r>
      <w:r w:rsidR="00EF685E" w:rsidRPr="00EF685E">
        <w:rPr>
          <w:rFonts w:ascii="Times New Roman" w:hAnsi="Times New Roman" w:cs="Times New Roman"/>
          <w:sz w:val="24"/>
          <w:lang w:val="es-PR"/>
        </w:rPr>
        <w:t>articipar en la dirección de los asuntos públicos, directamente o por medio de rep</w:t>
      </w:r>
      <w:r w:rsidR="00EF685E">
        <w:rPr>
          <w:rFonts w:ascii="Times New Roman" w:hAnsi="Times New Roman" w:cs="Times New Roman"/>
          <w:sz w:val="24"/>
          <w:lang w:val="es-PR"/>
        </w:rPr>
        <w:t>resentantes libremente elegidos.</w:t>
      </w:r>
    </w:p>
    <w:p w14:paraId="59C3F09C" w14:textId="77777777" w:rsidR="009802EF" w:rsidRPr="00682FB7" w:rsidRDefault="009802EF" w:rsidP="00682FB7">
      <w:pPr>
        <w:spacing w:after="0" w:line="240" w:lineRule="auto"/>
        <w:rPr>
          <w:rFonts w:ascii="Times New Roman" w:hAnsi="Times New Roman" w:cs="Times New Roman"/>
          <w:sz w:val="24"/>
          <w:lang w:val="es-PR"/>
        </w:rPr>
      </w:pPr>
    </w:p>
    <w:p w14:paraId="14C3C631" w14:textId="3A9CB2A4" w:rsidR="00645864" w:rsidRDefault="00682FB7" w:rsidP="00633694">
      <w:pPr>
        <w:spacing w:after="0" w:line="240" w:lineRule="auto"/>
        <w:jc w:val="both"/>
        <w:rPr>
          <w:rFonts w:ascii="Times New Roman" w:hAnsi="Times New Roman" w:cs="Times New Roman"/>
          <w:sz w:val="24"/>
          <w:lang w:val="es-PR"/>
        </w:rPr>
      </w:pPr>
      <w:bookmarkStart w:id="2" w:name="_Hlk534899040"/>
      <w:r w:rsidRPr="00F414A4">
        <w:rPr>
          <w:rFonts w:ascii="Times New Roman" w:hAnsi="Times New Roman" w:cs="Times New Roman"/>
          <w:b/>
          <w:sz w:val="24"/>
          <w:lang w:val="es-PR"/>
        </w:rPr>
        <w:t>Recomendaciones de órganos de derechos humanos</w:t>
      </w:r>
      <w:r w:rsidR="0085393E">
        <w:rPr>
          <w:rFonts w:ascii="Times New Roman" w:hAnsi="Times New Roman" w:cs="Times New Roman"/>
          <w:b/>
          <w:sz w:val="24"/>
          <w:lang w:val="es-PR"/>
        </w:rPr>
        <w:t xml:space="preserve"> </w:t>
      </w:r>
      <w:bookmarkEnd w:id="2"/>
      <w:r w:rsidR="0085393E">
        <w:rPr>
          <w:rFonts w:ascii="Times New Roman" w:hAnsi="Times New Roman" w:cs="Times New Roman"/>
          <w:b/>
          <w:sz w:val="24"/>
          <w:lang w:val="es-PR"/>
        </w:rPr>
        <w:t xml:space="preserve">- </w:t>
      </w:r>
      <w:r w:rsidR="002854B0">
        <w:rPr>
          <w:rFonts w:ascii="Times New Roman" w:hAnsi="Times New Roman" w:cs="Times New Roman"/>
          <w:sz w:val="24"/>
          <w:lang w:val="es-PR"/>
        </w:rPr>
        <w:t xml:space="preserve">El </w:t>
      </w:r>
      <w:r w:rsidRPr="00682FB7">
        <w:rPr>
          <w:rFonts w:ascii="Times New Roman" w:hAnsi="Times New Roman" w:cs="Times New Roman"/>
          <w:sz w:val="24"/>
          <w:lang w:val="es-PR"/>
        </w:rPr>
        <w:t>Comité Especial de Descolonización</w:t>
      </w:r>
      <w:r w:rsidR="007D641D">
        <w:rPr>
          <w:rFonts w:ascii="Times New Roman" w:hAnsi="Times New Roman" w:cs="Times New Roman"/>
          <w:sz w:val="24"/>
          <w:lang w:val="es-PR"/>
        </w:rPr>
        <w:t xml:space="preserve"> </w:t>
      </w:r>
      <w:r w:rsidR="0058750F">
        <w:rPr>
          <w:rFonts w:ascii="Times New Roman" w:hAnsi="Times New Roman" w:cs="Times New Roman"/>
          <w:sz w:val="24"/>
          <w:lang w:val="es-PR"/>
        </w:rPr>
        <w:t xml:space="preserve">ha </w:t>
      </w:r>
      <w:r w:rsidR="00645864">
        <w:rPr>
          <w:rFonts w:ascii="Times New Roman" w:hAnsi="Times New Roman" w:cs="Times New Roman"/>
          <w:sz w:val="24"/>
          <w:lang w:val="es-PR"/>
        </w:rPr>
        <w:t>pasado juicio sobre sobre el tema del derecho a la</w:t>
      </w:r>
      <w:r w:rsidR="00CA45C9">
        <w:rPr>
          <w:rFonts w:ascii="Times New Roman" w:hAnsi="Times New Roman" w:cs="Times New Roman"/>
          <w:sz w:val="24"/>
          <w:lang w:val="es-PR"/>
        </w:rPr>
        <w:t xml:space="preserve"> libre</w:t>
      </w:r>
      <w:r w:rsidR="00645864">
        <w:rPr>
          <w:rFonts w:ascii="Times New Roman" w:hAnsi="Times New Roman" w:cs="Times New Roman"/>
          <w:sz w:val="24"/>
          <w:lang w:val="es-PR"/>
        </w:rPr>
        <w:t xml:space="preserve"> determinación de Puerto Rico desde 1972. </w:t>
      </w:r>
      <w:r w:rsidR="004B5323" w:rsidRPr="004B5323">
        <w:rPr>
          <w:rFonts w:ascii="Times New Roman" w:hAnsi="Times New Roman" w:cs="Times New Roman"/>
          <w:sz w:val="24"/>
          <w:lang w:val="es-PR"/>
        </w:rPr>
        <w:t>Comité Especial Encargado de Examinar</w:t>
      </w:r>
      <w:r w:rsidR="004B5323">
        <w:rPr>
          <w:rFonts w:ascii="Times New Roman" w:hAnsi="Times New Roman" w:cs="Times New Roman"/>
          <w:sz w:val="24"/>
          <w:lang w:val="es-PR"/>
        </w:rPr>
        <w:t xml:space="preserve"> </w:t>
      </w:r>
      <w:r w:rsidR="004B5323" w:rsidRPr="004B5323">
        <w:rPr>
          <w:rFonts w:ascii="Times New Roman" w:hAnsi="Times New Roman" w:cs="Times New Roman"/>
          <w:sz w:val="24"/>
          <w:lang w:val="es-PR"/>
        </w:rPr>
        <w:t>la Situación con respecto a la Aplicación</w:t>
      </w:r>
      <w:r w:rsidR="004B5323">
        <w:rPr>
          <w:rFonts w:ascii="Times New Roman" w:hAnsi="Times New Roman" w:cs="Times New Roman"/>
          <w:sz w:val="24"/>
          <w:lang w:val="es-PR"/>
        </w:rPr>
        <w:t xml:space="preserve"> </w:t>
      </w:r>
      <w:r w:rsidR="004B5323" w:rsidRPr="004B5323">
        <w:rPr>
          <w:rFonts w:ascii="Times New Roman" w:hAnsi="Times New Roman" w:cs="Times New Roman"/>
          <w:sz w:val="24"/>
          <w:lang w:val="es-PR"/>
        </w:rPr>
        <w:t>de la Declaración sobre la Concesión de</w:t>
      </w:r>
      <w:r w:rsidR="004B5323">
        <w:rPr>
          <w:rFonts w:ascii="Times New Roman" w:hAnsi="Times New Roman" w:cs="Times New Roman"/>
          <w:sz w:val="24"/>
          <w:lang w:val="es-PR"/>
        </w:rPr>
        <w:t xml:space="preserve"> </w:t>
      </w:r>
      <w:r w:rsidR="004B5323" w:rsidRPr="004B5323">
        <w:rPr>
          <w:rFonts w:ascii="Times New Roman" w:hAnsi="Times New Roman" w:cs="Times New Roman"/>
          <w:sz w:val="24"/>
          <w:lang w:val="es-PR"/>
        </w:rPr>
        <w:t>la Independencia a los Países y Pueblos</w:t>
      </w:r>
      <w:r w:rsidR="004B5323">
        <w:rPr>
          <w:rFonts w:ascii="Times New Roman" w:hAnsi="Times New Roman" w:cs="Times New Roman"/>
          <w:sz w:val="24"/>
          <w:lang w:val="es-PR"/>
        </w:rPr>
        <w:t xml:space="preserve"> </w:t>
      </w:r>
      <w:r w:rsidR="004B5323" w:rsidRPr="004B5323">
        <w:rPr>
          <w:rFonts w:ascii="Times New Roman" w:hAnsi="Times New Roman" w:cs="Times New Roman"/>
          <w:sz w:val="24"/>
          <w:lang w:val="es-PR"/>
        </w:rPr>
        <w:t>Coloniales</w:t>
      </w:r>
      <w:r w:rsidR="004B5323">
        <w:rPr>
          <w:rFonts w:ascii="Times New Roman" w:hAnsi="Times New Roman" w:cs="Times New Roman"/>
          <w:sz w:val="24"/>
          <w:lang w:val="es-PR"/>
        </w:rPr>
        <w:t xml:space="preserve">, </w:t>
      </w:r>
      <w:r w:rsidR="004B5323" w:rsidRPr="004B5323">
        <w:rPr>
          <w:rFonts w:ascii="Times New Roman" w:hAnsi="Times New Roman" w:cs="Times New Roman"/>
          <w:i/>
          <w:sz w:val="24"/>
          <w:lang w:val="es-PR"/>
        </w:rPr>
        <w:t>Decisión del Comité Especial de fecha 19 de junio de 2017 relativa a Puerto Rico</w:t>
      </w:r>
      <w:r w:rsidR="004B5323">
        <w:rPr>
          <w:rFonts w:ascii="Times New Roman" w:hAnsi="Times New Roman" w:cs="Times New Roman"/>
          <w:sz w:val="24"/>
          <w:lang w:val="es-PR"/>
        </w:rPr>
        <w:t xml:space="preserve">, 12 de junio de 2018, </w:t>
      </w:r>
      <w:r w:rsidR="004B5323" w:rsidRPr="004B5323">
        <w:rPr>
          <w:rFonts w:ascii="Times New Roman" w:hAnsi="Times New Roman" w:cs="Times New Roman"/>
          <w:sz w:val="24"/>
          <w:lang w:val="es-PR"/>
        </w:rPr>
        <w:t>A/AC.109/2018/L.7</w:t>
      </w:r>
      <w:r w:rsidR="00633694">
        <w:rPr>
          <w:rFonts w:ascii="Times New Roman" w:hAnsi="Times New Roman" w:cs="Times New Roman"/>
          <w:sz w:val="24"/>
          <w:lang w:val="es-PR"/>
        </w:rPr>
        <w:t>.</w:t>
      </w:r>
      <w:r w:rsidR="00645864">
        <w:rPr>
          <w:rStyle w:val="FootnoteReference"/>
          <w:rFonts w:ascii="Times New Roman" w:hAnsi="Times New Roman" w:cs="Times New Roman"/>
          <w:sz w:val="24"/>
          <w:lang w:val="es-PR"/>
        </w:rPr>
        <w:footnoteReference w:id="16"/>
      </w:r>
    </w:p>
    <w:p w14:paraId="3596F169" w14:textId="77777777" w:rsidR="009416E4" w:rsidRDefault="0058750F" w:rsidP="0058750F">
      <w:pPr>
        <w:spacing w:after="0" w:line="240" w:lineRule="auto"/>
        <w:jc w:val="both"/>
        <w:rPr>
          <w:rFonts w:ascii="Times New Roman" w:hAnsi="Times New Roman" w:cs="Times New Roman"/>
          <w:sz w:val="24"/>
          <w:lang w:val="es-PR"/>
        </w:rPr>
      </w:pPr>
      <w:r>
        <w:rPr>
          <w:rFonts w:ascii="Times New Roman" w:hAnsi="Times New Roman" w:cs="Times New Roman"/>
          <w:sz w:val="24"/>
          <w:lang w:val="es-PR"/>
        </w:rPr>
        <w:t xml:space="preserve"> </w:t>
      </w:r>
    </w:p>
    <w:p w14:paraId="7AB8180A" w14:textId="3A181518" w:rsidR="007B5E5F" w:rsidRPr="00682FB7" w:rsidRDefault="00F1700C" w:rsidP="0058750F">
      <w:pPr>
        <w:spacing w:after="0" w:line="240" w:lineRule="auto"/>
        <w:jc w:val="both"/>
        <w:rPr>
          <w:rFonts w:ascii="Times New Roman" w:hAnsi="Times New Roman" w:cs="Times New Roman"/>
          <w:sz w:val="24"/>
          <w:lang w:val="es-PR"/>
        </w:rPr>
      </w:pPr>
      <w:r>
        <w:rPr>
          <w:rFonts w:ascii="Times New Roman" w:hAnsi="Times New Roman" w:cs="Times New Roman"/>
          <w:sz w:val="24"/>
          <w:lang w:val="es-PR"/>
        </w:rPr>
        <w:t>Por otro lado, e</w:t>
      </w:r>
      <w:r w:rsidR="009416E4">
        <w:rPr>
          <w:rFonts w:ascii="Times New Roman" w:hAnsi="Times New Roman" w:cs="Times New Roman"/>
          <w:sz w:val="24"/>
          <w:lang w:val="es-PR"/>
        </w:rPr>
        <w:t xml:space="preserve">l </w:t>
      </w:r>
      <w:r w:rsidR="00682FB7">
        <w:rPr>
          <w:rFonts w:ascii="Times New Roman" w:hAnsi="Times New Roman" w:cs="Times New Roman"/>
          <w:sz w:val="24"/>
          <w:lang w:val="es-PR"/>
        </w:rPr>
        <w:t>R</w:t>
      </w:r>
      <w:r w:rsidR="00682FB7" w:rsidRPr="00682FB7">
        <w:rPr>
          <w:rFonts w:ascii="Times New Roman" w:hAnsi="Times New Roman" w:cs="Times New Roman"/>
          <w:sz w:val="24"/>
          <w:lang w:val="es-PR"/>
        </w:rPr>
        <w:t>elator Especial de las Naciones Unidas sobre la pobreza extrema y los derechos humanos</w:t>
      </w:r>
      <w:r w:rsidR="009416E4">
        <w:rPr>
          <w:rFonts w:ascii="Times New Roman" w:hAnsi="Times New Roman" w:cs="Times New Roman"/>
          <w:sz w:val="24"/>
          <w:lang w:val="es-PR"/>
        </w:rPr>
        <w:t xml:space="preserve">, </w:t>
      </w:r>
      <w:r w:rsidR="009416E4" w:rsidRPr="009416E4">
        <w:rPr>
          <w:rFonts w:ascii="Times New Roman" w:hAnsi="Times New Roman" w:cs="Times New Roman"/>
          <w:sz w:val="24"/>
          <w:lang w:val="es-PR"/>
        </w:rPr>
        <w:t>Profesor Philip Alston,</w:t>
      </w:r>
      <w:r w:rsidR="00F94C13">
        <w:rPr>
          <w:rFonts w:ascii="Times New Roman" w:hAnsi="Times New Roman" w:cs="Times New Roman"/>
          <w:sz w:val="24"/>
          <w:lang w:val="es-PR"/>
        </w:rPr>
        <w:t xml:space="preserve"> incluyó el caso de Puerto Rico en su </w:t>
      </w:r>
      <w:r w:rsidR="00F94C13" w:rsidRPr="009416E4">
        <w:rPr>
          <w:rFonts w:ascii="Times New Roman" w:hAnsi="Times New Roman" w:cs="Times New Roman"/>
          <w:sz w:val="24"/>
          <w:lang w:val="es-PR"/>
        </w:rPr>
        <w:t>Declaración sobre la Visita a</w:t>
      </w:r>
      <w:r w:rsidR="008F037F">
        <w:rPr>
          <w:rFonts w:ascii="Times New Roman" w:hAnsi="Times New Roman" w:cs="Times New Roman"/>
          <w:sz w:val="24"/>
          <w:lang w:val="es-PR"/>
        </w:rPr>
        <w:t xml:space="preserve"> </w:t>
      </w:r>
      <w:r w:rsidR="00CA45C9">
        <w:rPr>
          <w:rFonts w:ascii="Times New Roman" w:hAnsi="Times New Roman" w:cs="Times New Roman"/>
          <w:sz w:val="24"/>
          <w:lang w:val="es-PR"/>
        </w:rPr>
        <w:t xml:space="preserve">los </w:t>
      </w:r>
      <w:r w:rsidR="008F037F">
        <w:rPr>
          <w:rFonts w:ascii="Times New Roman" w:hAnsi="Times New Roman" w:cs="Times New Roman"/>
          <w:sz w:val="24"/>
          <w:lang w:val="es-PR"/>
        </w:rPr>
        <w:t>Estados Unidos</w:t>
      </w:r>
      <w:r w:rsidR="00F94C13">
        <w:rPr>
          <w:rFonts w:ascii="Times New Roman" w:hAnsi="Times New Roman" w:cs="Times New Roman"/>
          <w:sz w:val="24"/>
          <w:lang w:val="es-PR"/>
        </w:rPr>
        <w:t xml:space="preserve"> del 15 de diciembre de 2017</w:t>
      </w:r>
      <w:r w:rsidR="008F037F">
        <w:rPr>
          <w:rStyle w:val="FootnoteReference"/>
          <w:rFonts w:ascii="Times New Roman" w:hAnsi="Times New Roman" w:cs="Times New Roman"/>
          <w:sz w:val="24"/>
          <w:lang w:val="es-PR"/>
        </w:rPr>
        <w:footnoteReference w:id="17"/>
      </w:r>
      <w:r w:rsidR="00F94C13">
        <w:rPr>
          <w:rFonts w:ascii="Times New Roman" w:hAnsi="Times New Roman" w:cs="Times New Roman"/>
          <w:sz w:val="24"/>
          <w:lang w:val="es-PR"/>
        </w:rPr>
        <w:t>. Entre otros asuntos</w:t>
      </w:r>
      <w:r w:rsidR="00A90121">
        <w:rPr>
          <w:rFonts w:ascii="Times New Roman" w:hAnsi="Times New Roman" w:cs="Times New Roman"/>
          <w:sz w:val="24"/>
          <w:lang w:val="es-PR"/>
        </w:rPr>
        <w:t>, el Relator</w:t>
      </w:r>
      <w:r w:rsidR="00F94C13">
        <w:rPr>
          <w:rFonts w:ascii="Times New Roman" w:hAnsi="Times New Roman" w:cs="Times New Roman"/>
          <w:sz w:val="24"/>
          <w:lang w:val="es-PR"/>
        </w:rPr>
        <w:t xml:space="preserve"> destacó que “a</w:t>
      </w:r>
      <w:r w:rsidR="007B5E5F" w:rsidRPr="007B5E5F">
        <w:rPr>
          <w:rFonts w:ascii="Times New Roman" w:hAnsi="Times New Roman" w:cs="Times New Roman"/>
          <w:sz w:val="24"/>
          <w:lang w:val="es-PR"/>
        </w:rPr>
        <w:t xml:space="preserve"> la luz de la reciente jurisprudencia de la Corte Suprema y la adopción por parte del Congreso de PROMESA, pareciera que existen buenas razones para que el Comité de Descolonización de la ONU concluya que la isla ya no es un territorio autónomo.</w:t>
      </w:r>
      <w:r w:rsidR="00F94C13">
        <w:rPr>
          <w:rFonts w:ascii="Times New Roman" w:hAnsi="Times New Roman" w:cs="Times New Roman"/>
          <w:sz w:val="24"/>
          <w:lang w:val="es-PR"/>
        </w:rPr>
        <w:t>”</w:t>
      </w:r>
    </w:p>
    <w:p w14:paraId="037F421B" w14:textId="77777777" w:rsidR="00682FB7" w:rsidRDefault="00682FB7" w:rsidP="0058750F">
      <w:pPr>
        <w:spacing w:after="0" w:line="240" w:lineRule="auto"/>
        <w:jc w:val="both"/>
        <w:rPr>
          <w:rFonts w:ascii="Times New Roman" w:hAnsi="Times New Roman" w:cs="Times New Roman"/>
          <w:sz w:val="24"/>
          <w:lang w:val="es-PR"/>
        </w:rPr>
      </w:pPr>
    </w:p>
    <w:p w14:paraId="4417ACB2" w14:textId="27A163AF" w:rsidR="0016701E" w:rsidRDefault="00682FB7" w:rsidP="0058750F">
      <w:pPr>
        <w:spacing w:after="0" w:line="240" w:lineRule="auto"/>
        <w:jc w:val="both"/>
        <w:rPr>
          <w:rFonts w:ascii="Times New Roman" w:hAnsi="Times New Roman" w:cs="Times New Roman"/>
          <w:sz w:val="24"/>
          <w:lang w:val="es-PR"/>
        </w:rPr>
      </w:pPr>
      <w:bookmarkStart w:id="3" w:name="_Hlk534916059"/>
      <w:r w:rsidRPr="00F414A4">
        <w:rPr>
          <w:rFonts w:ascii="Times New Roman" w:hAnsi="Times New Roman" w:cs="Times New Roman"/>
          <w:b/>
          <w:sz w:val="24"/>
          <w:lang w:val="es-PR"/>
        </w:rPr>
        <w:t>Pregunta recomendada al Comité</w:t>
      </w:r>
      <w:r w:rsidR="0058750F">
        <w:rPr>
          <w:rFonts w:ascii="Times New Roman" w:hAnsi="Times New Roman" w:cs="Times New Roman"/>
          <w:b/>
          <w:sz w:val="24"/>
          <w:lang w:val="es-PR"/>
        </w:rPr>
        <w:t xml:space="preserve"> </w:t>
      </w:r>
      <w:bookmarkEnd w:id="3"/>
      <w:r w:rsidR="005037D6">
        <w:rPr>
          <w:rFonts w:ascii="Times New Roman" w:hAnsi="Times New Roman" w:cs="Times New Roman"/>
          <w:b/>
          <w:sz w:val="24"/>
          <w:lang w:val="es-PR"/>
        </w:rPr>
        <w:t>–</w:t>
      </w:r>
      <w:r w:rsidR="0058750F">
        <w:rPr>
          <w:rFonts w:ascii="Times New Roman" w:hAnsi="Times New Roman" w:cs="Times New Roman"/>
          <w:b/>
          <w:sz w:val="24"/>
          <w:lang w:val="es-PR"/>
        </w:rPr>
        <w:t xml:space="preserve"> </w:t>
      </w:r>
      <w:r w:rsidR="005037D6">
        <w:rPr>
          <w:rFonts w:ascii="Times New Roman" w:hAnsi="Times New Roman" w:cs="Times New Roman"/>
          <w:sz w:val="24"/>
          <w:lang w:val="es-PR"/>
        </w:rPr>
        <w:t xml:space="preserve">Sírvanse proporcionar información sobre las </w:t>
      </w:r>
      <w:r w:rsidR="004A3DF4">
        <w:rPr>
          <w:rFonts w:ascii="Times New Roman" w:hAnsi="Times New Roman" w:cs="Times New Roman"/>
          <w:sz w:val="24"/>
          <w:lang w:val="es-PR"/>
        </w:rPr>
        <w:t>medidas adoptadas por</w:t>
      </w:r>
      <w:r w:rsidR="0058750F">
        <w:rPr>
          <w:rFonts w:ascii="Times New Roman" w:hAnsi="Times New Roman" w:cs="Times New Roman"/>
          <w:sz w:val="24"/>
          <w:lang w:val="es-PR"/>
        </w:rPr>
        <w:t xml:space="preserve"> </w:t>
      </w:r>
      <w:r w:rsidR="00CA45C9">
        <w:rPr>
          <w:rFonts w:ascii="Times New Roman" w:hAnsi="Times New Roman" w:cs="Times New Roman"/>
          <w:sz w:val="24"/>
          <w:lang w:val="es-PR"/>
        </w:rPr>
        <w:t xml:space="preserve">los </w:t>
      </w:r>
      <w:r w:rsidR="0058750F">
        <w:rPr>
          <w:rFonts w:ascii="Times New Roman" w:hAnsi="Times New Roman" w:cs="Times New Roman"/>
          <w:sz w:val="24"/>
          <w:lang w:val="es-PR"/>
        </w:rPr>
        <w:t xml:space="preserve">Estados Unidos para respetar </w:t>
      </w:r>
      <w:r w:rsidR="0016701E">
        <w:rPr>
          <w:rFonts w:ascii="Times New Roman" w:hAnsi="Times New Roman" w:cs="Times New Roman"/>
          <w:sz w:val="24"/>
          <w:lang w:val="es-PR"/>
        </w:rPr>
        <w:t>el derecho a la</w:t>
      </w:r>
      <w:r w:rsidR="00CA45C9">
        <w:rPr>
          <w:rFonts w:ascii="Times New Roman" w:hAnsi="Times New Roman" w:cs="Times New Roman"/>
          <w:sz w:val="24"/>
          <w:lang w:val="es-PR"/>
        </w:rPr>
        <w:t xml:space="preserve"> libre </w:t>
      </w:r>
      <w:r w:rsidR="0016701E">
        <w:rPr>
          <w:rFonts w:ascii="Times New Roman" w:hAnsi="Times New Roman" w:cs="Times New Roman"/>
          <w:sz w:val="24"/>
          <w:lang w:val="es-PR"/>
        </w:rPr>
        <w:t>determinación del pueblo de Puerto Rico tras la aprobación de la Ley PROMESA y los casos re</w:t>
      </w:r>
      <w:r w:rsidR="004A3DF4">
        <w:rPr>
          <w:rFonts w:ascii="Times New Roman" w:hAnsi="Times New Roman" w:cs="Times New Roman"/>
          <w:sz w:val="24"/>
          <w:lang w:val="es-PR"/>
        </w:rPr>
        <w:t>sueltos por el Tribunal Supremo.</w:t>
      </w:r>
    </w:p>
    <w:p w14:paraId="5B490CEB" w14:textId="77777777" w:rsidR="0016701E" w:rsidRPr="00682FB7" w:rsidRDefault="0016701E" w:rsidP="0058750F">
      <w:pPr>
        <w:spacing w:after="0" w:line="240" w:lineRule="auto"/>
        <w:jc w:val="both"/>
        <w:rPr>
          <w:rFonts w:ascii="Times New Roman" w:hAnsi="Times New Roman" w:cs="Times New Roman"/>
          <w:sz w:val="24"/>
          <w:lang w:val="es-PR"/>
        </w:rPr>
      </w:pPr>
    </w:p>
    <w:p w14:paraId="1C816E90" w14:textId="0039803A" w:rsidR="00682FB7" w:rsidRDefault="00682FB7" w:rsidP="0058750F">
      <w:pPr>
        <w:spacing w:after="0" w:line="240" w:lineRule="auto"/>
        <w:jc w:val="both"/>
        <w:rPr>
          <w:rFonts w:ascii="Times New Roman" w:hAnsi="Times New Roman" w:cs="Times New Roman"/>
          <w:sz w:val="24"/>
          <w:lang w:val="es-PR"/>
        </w:rPr>
      </w:pPr>
      <w:bookmarkStart w:id="4" w:name="_Hlk534916093"/>
      <w:bookmarkStart w:id="5" w:name="_Hlk534899113"/>
      <w:r w:rsidRPr="004A3DF4">
        <w:rPr>
          <w:rFonts w:ascii="Times New Roman" w:hAnsi="Times New Roman" w:cs="Times New Roman"/>
          <w:b/>
          <w:sz w:val="24"/>
          <w:lang w:val="es-PR"/>
        </w:rPr>
        <w:t>Sugerencia de recomendación por el Comité</w:t>
      </w:r>
      <w:bookmarkEnd w:id="4"/>
      <w:r w:rsidR="0058750F">
        <w:rPr>
          <w:rFonts w:ascii="Times New Roman" w:hAnsi="Times New Roman" w:cs="Times New Roman"/>
          <w:sz w:val="24"/>
          <w:lang w:val="es-PR"/>
        </w:rPr>
        <w:t xml:space="preserve"> -</w:t>
      </w:r>
      <w:bookmarkEnd w:id="5"/>
      <w:r w:rsidR="004A3DF4">
        <w:rPr>
          <w:rFonts w:ascii="Times New Roman" w:hAnsi="Times New Roman" w:cs="Times New Roman"/>
          <w:sz w:val="24"/>
          <w:lang w:val="es-PR"/>
        </w:rPr>
        <w:t xml:space="preserve"> </w:t>
      </w:r>
      <w:bookmarkStart w:id="6" w:name="_Hlk534738741"/>
      <w:r w:rsidR="004A3DF4">
        <w:rPr>
          <w:rFonts w:ascii="Times New Roman" w:hAnsi="Times New Roman" w:cs="Times New Roman"/>
          <w:sz w:val="24"/>
          <w:lang w:val="es-PR"/>
        </w:rPr>
        <w:t>El Estado parte debe adoptar medidas</w:t>
      </w:r>
      <w:r w:rsidR="004A3DF4" w:rsidRPr="004A3DF4">
        <w:rPr>
          <w:rFonts w:ascii="Times New Roman" w:hAnsi="Times New Roman" w:cs="Times New Roman"/>
          <w:sz w:val="24"/>
          <w:lang w:val="es-PR"/>
        </w:rPr>
        <w:t xml:space="preserve"> para</w:t>
      </w:r>
      <w:bookmarkEnd w:id="6"/>
      <w:r w:rsidR="004A3DF4" w:rsidRPr="004A3DF4">
        <w:rPr>
          <w:rFonts w:ascii="Times New Roman" w:hAnsi="Times New Roman" w:cs="Times New Roman"/>
          <w:sz w:val="24"/>
          <w:lang w:val="es-PR"/>
        </w:rPr>
        <w:t xml:space="preserve"> asegurar de manera efectiva que </w:t>
      </w:r>
      <w:r w:rsidR="004A3DF4">
        <w:rPr>
          <w:rFonts w:ascii="Times New Roman" w:hAnsi="Times New Roman" w:cs="Times New Roman"/>
          <w:sz w:val="24"/>
          <w:lang w:val="es-PR"/>
        </w:rPr>
        <w:t>el pueblo de Puerto Rico pueda ejercer su derecho a la</w:t>
      </w:r>
      <w:r w:rsidR="00CA45C9">
        <w:rPr>
          <w:rFonts w:ascii="Times New Roman" w:hAnsi="Times New Roman" w:cs="Times New Roman"/>
          <w:sz w:val="24"/>
          <w:lang w:val="es-PR"/>
        </w:rPr>
        <w:t xml:space="preserve"> libre </w:t>
      </w:r>
      <w:r w:rsidR="004A3DF4">
        <w:rPr>
          <w:rFonts w:ascii="Times New Roman" w:hAnsi="Times New Roman" w:cs="Times New Roman"/>
          <w:sz w:val="24"/>
          <w:lang w:val="es-PR"/>
        </w:rPr>
        <w:t xml:space="preserve">determinación, incluyendo la eliminación de los poderes </w:t>
      </w:r>
      <w:r w:rsidR="00897EC0">
        <w:rPr>
          <w:rFonts w:ascii="Times New Roman" w:hAnsi="Times New Roman" w:cs="Times New Roman"/>
          <w:sz w:val="24"/>
          <w:lang w:val="es-PR"/>
        </w:rPr>
        <w:t>de la Junta</w:t>
      </w:r>
      <w:r w:rsidR="004A3DF4">
        <w:rPr>
          <w:rFonts w:ascii="Times New Roman" w:hAnsi="Times New Roman" w:cs="Times New Roman"/>
          <w:sz w:val="24"/>
          <w:lang w:val="es-PR"/>
        </w:rPr>
        <w:t xml:space="preserve"> creada por </w:t>
      </w:r>
      <w:r w:rsidR="00B877E0">
        <w:rPr>
          <w:rFonts w:ascii="Times New Roman" w:hAnsi="Times New Roman" w:cs="Times New Roman"/>
          <w:sz w:val="24"/>
          <w:lang w:val="es-PR"/>
        </w:rPr>
        <w:t>PROMESA</w:t>
      </w:r>
      <w:r w:rsidR="004A3DF4">
        <w:rPr>
          <w:rFonts w:ascii="Times New Roman" w:hAnsi="Times New Roman" w:cs="Times New Roman"/>
          <w:sz w:val="24"/>
          <w:lang w:val="es-PR"/>
        </w:rPr>
        <w:t xml:space="preserve"> y la </w:t>
      </w:r>
      <w:r w:rsidR="00283E48">
        <w:rPr>
          <w:rFonts w:ascii="Times New Roman" w:hAnsi="Times New Roman" w:cs="Times New Roman"/>
          <w:sz w:val="24"/>
          <w:lang w:val="es-PR"/>
        </w:rPr>
        <w:t xml:space="preserve">limitación </w:t>
      </w:r>
      <w:r w:rsidR="004A3DF4">
        <w:rPr>
          <w:rFonts w:ascii="Times New Roman" w:hAnsi="Times New Roman" w:cs="Times New Roman"/>
          <w:sz w:val="24"/>
          <w:lang w:val="es-PR"/>
        </w:rPr>
        <w:t>de los poderes plenarios del Congreso sobre Puerto Rico</w:t>
      </w:r>
      <w:r w:rsidR="00283E48">
        <w:rPr>
          <w:rFonts w:ascii="Times New Roman" w:hAnsi="Times New Roman" w:cs="Times New Roman"/>
          <w:sz w:val="24"/>
          <w:lang w:val="es-PR"/>
        </w:rPr>
        <w:t>, de forma que no afecten la voluntad del pueblo de Puerto Rico de escoger su futuro político, económico y social</w:t>
      </w:r>
      <w:r w:rsidR="004A3DF4">
        <w:rPr>
          <w:rFonts w:ascii="Times New Roman" w:hAnsi="Times New Roman" w:cs="Times New Roman"/>
          <w:sz w:val="24"/>
          <w:lang w:val="es-PR"/>
        </w:rPr>
        <w:t>.</w:t>
      </w:r>
      <w:r w:rsidR="0058750F">
        <w:rPr>
          <w:rFonts w:ascii="Times New Roman" w:hAnsi="Times New Roman" w:cs="Times New Roman"/>
          <w:sz w:val="24"/>
          <w:lang w:val="es-PR"/>
        </w:rPr>
        <w:t xml:space="preserve"> </w:t>
      </w:r>
      <w:r w:rsidR="00897EC0">
        <w:rPr>
          <w:rFonts w:ascii="Times New Roman" w:hAnsi="Times New Roman" w:cs="Times New Roman"/>
          <w:sz w:val="24"/>
          <w:lang w:val="es-PR"/>
        </w:rPr>
        <w:t xml:space="preserve">  </w:t>
      </w:r>
    </w:p>
    <w:p w14:paraId="2C7B3FF6" w14:textId="77777777" w:rsidR="00F71EEA" w:rsidRDefault="00F71EEA" w:rsidP="0058750F">
      <w:pPr>
        <w:pBdr>
          <w:bottom w:val="double" w:sz="6" w:space="1" w:color="auto"/>
        </w:pBdr>
        <w:spacing w:after="0" w:line="240" w:lineRule="auto"/>
        <w:jc w:val="both"/>
        <w:rPr>
          <w:rFonts w:ascii="Times New Roman" w:hAnsi="Times New Roman" w:cs="Times New Roman"/>
          <w:sz w:val="24"/>
          <w:lang w:val="es-PR"/>
        </w:rPr>
      </w:pPr>
    </w:p>
    <w:p w14:paraId="0F519C4F" w14:textId="77777777" w:rsidR="00F71EEA" w:rsidRDefault="00F71EEA" w:rsidP="0058750F">
      <w:pPr>
        <w:spacing w:after="0" w:line="240" w:lineRule="auto"/>
        <w:jc w:val="both"/>
        <w:rPr>
          <w:rFonts w:ascii="Times New Roman" w:hAnsi="Times New Roman" w:cs="Times New Roman"/>
          <w:sz w:val="24"/>
          <w:lang w:val="es-PR"/>
        </w:rPr>
      </w:pPr>
    </w:p>
    <w:p w14:paraId="48E6314E" w14:textId="77777777" w:rsidR="00F71EEA" w:rsidRPr="00F71EEA" w:rsidRDefault="00F71EEA" w:rsidP="00F71EEA">
      <w:pPr>
        <w:spacing w:after="0" w:line="240" w:lineRule="auto"/>
        <w:jc w:val="both"/>
        <w:rPr>
          <w:rFonts w:ascii="Times New Roman" w:eastAsia="Times" w:hAnsi="Times New Roman" w:cs="Times New Roman"/>
          <w:i/>
          <w:sz w:val="24"/>
          <w:szCs w:val="24"/>
          <w:lang w:val="es-PR" w:eastAsia="fr-FR"/>
        </w:rPr>
      </w:pPr>
      <w:bookmarkStart w:id="7" w:name="_Hlk534966535"/>
      <w:r w:rsidRPr="00F71EEA">
        <w:rPr>
          <w:rFonts w:ascii="Times New Roman" w:eastAsia="Times" w:hAnsi="Times New Roman" w:cs="Times New Roman"/>
          <w:b/>
          <w:i/>
          <w:sz w:val="24"/>
          <w:szCs w:val="24"/>
          <w:lang w:val="es-PR" w:eastAsia="fr-FR"/>
        </w:rPr>
        <w:t>Cuestión #2</w:t>
      </w:r>
      <w:r w:rsidRPr="00F71EEA">
        <w:rPr>
          <w:rFonts w:ascii="Times New Roman" w:eastAsia="Times" w:hAnsi="Times New Roman" w:cs="Times New Roman"/>
          <w:i/>
          <w:sz w:val="24"/>
          <w:szCs w:val="24"/>
          <w:lang w:val="es-PR" w:eastAsia="fr-FR"/>
        </w:rPr>
        <w:t>: Aplicación de la pena de muerte por los Estados Unidos por delitos cometidos en Puerto Rico</w:t>
      </w:r>
    </w:p>
    <w:p w14:paraId="41FE566D" w14:textId="77777777"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p>
    <w:p w14:paraId="55466C50" w14:textId="0FECB1CC"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r w:rsidRPr="00F71EEA">
        <w:rPr>
          <w:rFonts w:ascii="Times New Roman" w:eastAsia="Times" w:hAnsi="Times New Roman" w:cs="Times New Roman"/>
          <w:sz w:val="24"/>
          <w:szCs w:val="24"/>
          <w:lang w:val="es-PR" w:eastAsia="fr-FR"/>
        </w:rPr>
        <w:t xml:space="preserve">Puerto Rico abolió de la pena capital por ley en 1929. La Asamblea Constituyente del </w:t>
      </w:r>
      <w:r w:rsidR="00897EC0" w:rsidRPr="00A050C6">
        <w:rPr>
          <w:rFonts w:ascii="Times New Roman" w:eastAsia="Times" w:hAnsi="Times New Roman" w:cs="Times New Roman"/>
          <w:sz w:val="24"/>
          <w:szCs w:val="24"/>
          <w:lang w:val="es-PR" w:eastAsia="fr-FR"/>
        </w:rPr>
        <w:t>ELA</w:t>
      </w:r>
      <w:r w:rsidRPr="00F71EEA">
        <w:rPr>
          <w:rFonts w:ascii="Times New Roman" w:eastAsia="Times" w:hAnsi="Times New Roman" w:cs="Times New Roman"/>
          <w:sz w:val="24"/>
          <w:szCs w:val="24"/>
          <w:lang w:val="es-PR" w:eastAsia="fr-FR"/>
        </w:rPr>
        <w:t xml:space="preserve"> aprobó en 1952 en el Artículo II, Sección 7 de su Constitución que “[n]o existirá la pena de muerte”.</w:t>
      </w:r>
      <w:r w:rsidRPr="00F71EEA">
        <w:rPr>
          <w:rFonts w:ascii="Times New Roman" w:eastAsia="Times" w:hAnsi="Times New Roman" w:cs="Times New Roman"/>
          <w:sz w:val="24"/>
          <w:szCs w:val="24"/>
          <w:vertAlign w:val="superscript"/>
          <w:lang w:val="es-PR" w:eastAsia="fr-FR"/>
        </w:rPr>
        <w:footnoteReference w:id="18"/>
      </w:r>
      <w:r w:rsidRPr="00F71EEA">
        <w:rPr>
          <w:rFonts w:ascii="Times New Roman" w:eastAsia="Times" w:hAnsi="Times New Roman" w:cs="Times New Roman"/>
          <w:sz w:val="24"/>
          <w:szCs w:val="24"/>
          <w:lang w:val="es-PR" w:eastAsia="fr-FR"/>
        </w:rPr>
        <w:t xml:space="preserve"> La Constitución de Puerto Rico, por la condición colonial que subsiste, tuvo que ser previamente aprobada por el Presidente de </w:t>
      </w:r>
      <w:r w:rsidR="00CA45C9">
        <w:rPr>
          <w:rFonts w:ascii="Times New Roman" w:eastAsia="Times" w:hAnsi="Times New Roman" w:cs="Times New Roman"/>
          <w:sz w:val="24"/>
          <w:szCs w:val="24"/>
          <w:lang w:val="es-PR" w:eastAsia="fr-FR"/>
        </w:rPr>
        <w:t>los</w:t>
      </w:r>
      <w:r w:rsidR="00897EC0">
        <w:rPr>
          <w:rFonts w:ascii="Times New Roman" w:hAnsi="Times New Roman" w:cs="Times New Roman"/>
          <w:sz w:val="24"/>
          <w:lang w:val="es-PR"/>
        </w:rPr>
        <w:t xml:space="preserve"> </w:t>
      </w:r>
      <w:r w:rsidRPr="00F71EEA">
        <w:rPr>
          <w:rFonts w:ascii="Times New Roman" w:eastAsia="Times" w:hAnsi="Times New Roman" w:cs="Times New Roman"/>
          <w:sz w:val="24"/>
          <w:szCs w:val="24"/>
          <w:lang w:val="es-PR" w:eastAsia="fr-FR"/>
        </w:rPr>
        <w:t xml:space="preserve">Estados Unidos y su Congreso. El pueblo de Puerto Rico no tiene representación con voto en el Congreso ni puede votar por el Presidente. Sin embargo, en Puerto </w:t>
      </w:r>
      <w:r w:rsidRPr="00F71EEA">
        <w:rPr>
          <w:rFonts w:ascii="Times New Roman" w:eastAsia="Times" w:hAnsi="Times New Roman" w:cs="Times New Roman"/>
          <w:sz w:val="24"/>
          <w:szCs w:val="24"/>
          <w:lang w:val="es-PR" w:eastAsia="fr-FR"/>
        </w:rPr>
        <w:lastRenderedPageBreak/>
        <w:t xml:space="preserve">Rico aplica una ley federal que impone la pena capital a pesar de estar prohibida en su Constitución y por ley desde 1929. </w:t>
      </w:r>
    </w:p>
    <w:p w14:paraId="09B6154E" w14:textId="77777777"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p>
    <w:p w14:paraId="295BF574" w14:textId="29A974C2"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r w:rsidRPr="00F71EEA">
        <w:rPr>
          <w:rFonts w:ascii="Times New Roman" w:eastAsia="Times" w:hAnsi="Times New Roman" w:cs="Times New Roman"/>
          <w:sz w:val="24"/>
          <w:szCs w:val="24"/>
          <w:lang w:val="es-PR" w:eastAsia="fr-FR"/>
        </w:rPr>
        <w:t>El Congreso de los Estados Unidos restableció en 1988</w:t>
      </w:r>
      <w:bookmarkStart w:id="8" w:name="_GoBack"/>
      <w:bookmarkEnd w:id="8"/>
      <w:r w:rsidRPr="00F71EEA">
        <w:rPr>
          <w:rFonts w:ascii="Times New Roman" w:eastAsia="Times" w:hAnsi="Times New Roman" w:cs="Times New Roman"/>
          <w:sz w:val="24"/>
          <w:szCs w:val="24"/>
          <w:lang w:val="es-PR" w:eastAsia="fr-FR"/>
        </w:rPr>
        <w:t xml:space="preserve"> esta pena en la jurisdicción federal. Desde el 1994 se ha recrudecido este castigo a nivel federal, añadiendo alrededor de sesenta delitos punibles con muerte. Por medio del Departamento de Justicia federal, el Tribunal Federal de Distrito de Puerto Rico ha tratado de imponer la pena de muerte en múltiples ocasiones, incluso con mayor ahínco y obstinación</w:t>
      </w:r>
      <w:r w:rsidRPr="00F71EEA" w:rsidDel="00456F0E">
        <w:rPr>
          <w:rFonts w:ascii="Times New Roman" w:eastAsia="Times" w:hAnsi="Times New Roman" w:cs="Times New Roman"/>
          <w:sz w:val="24"/>
          <w:szCs w:val="24"/>
          <w:lang w:val="es-PR" w:eastAsia="fr-FR"/>
        </w:rPr>
        <w:t xml:space="preserve"> </w:t>
      </w:r>
      <w:r w:rsidRPr="00F71EEA">
        <w:rPr>
          <w:rFonts w:ascii="Times New Roman" w:eastAsia="Times" w:hAnsi="Times New Roman" w:cs="Times New Roman"/>
          <w:sz w:val="24"/>
          <w:szCs w:val="24"/>
          <w:lang w:val="es-PR" w:eastAsia="fr-FR"/>
        </w:rPr>
        <w:t>que en ninguna otra jurisdicción. Por ejemplo, entre los años 2012 y el 2014, en Puerto Rico se llevó a cabo el 20% de todos los juicios de pena de muerte en la jurisdicción federal, aunque comparativamente Puerto Rico apenas cuenta con el equivalente del 1% de la población de</w:t>
      </w:r>
      <w:r w:rsidR="00CA45C9">
        <w:rPr>
          <w:rFonts w:ascii="Times New Roman" w:eastAsia="Times" w:hAnsi="Times New Roman" w:cs="Times New Roman"/>
          <w:sz w:val="24"/>
          <w:szCs w:val="24"/>
          <w:lang w:val="es-PR" w:eastAsia="fr-FR"/>
        </w:rPr>
        <w:t xml:space="preserve"> los</w:t>
      </w:r>
      <w:r w:rsidR="00897EC0">
        <w:rPr>
          <w:rFonts w:ascii="Times New Roman" w:hAnsi="Times New Roman" w:cs="Times New Roman"/>
          <w:sz w:val="24"/>
          <w:lang w:val="es-PR"/>
        </w:rPr>
        <w:t xml:space="preserve"> </w:t>
      </w:r>
      <w:r w:rsidRPr="00F71EEA">
        <w:rPr>
          <w:rFonts w:ascii="Times New Roman" w:eastAsia="Times" w:hAnsi="Times New Roman" w:cs="Times New Roman"/>
          <w:sz w:val="24"/>
          <w:szCs w:val="24"/>
          <w:lang w:val="es-PR" w:eastAsia="fr-FR"/>
        </w:rPr>
        <w:t>Estados Unidos.</w:t>
      </w:r>
      <w:r w:rsidRPr="00F71EEA">
        <w:rPr>
          <w:rFonts w:ascii="Times New Roman" w:eastAsia="Times" w:hAnsi="Times New Roman" w:cs="Times New Roman"/>
          <w:sz w:val="24"/>
          <w:szCs w:val="24"/>
          <w:vertAlign w:val="superscript"/>
          <w:lang w:val="es-PR" w:eastAsia="fr-FR"/>
        </w:rPr>
        <w:footnoteReference w:id="19"/>
      </w:r>
      <w:r w:rsidRPr="00F71EEA">
        <w:rPr>
          <w:rFonts w:ascii="Times New Roman" w:eastAsia="Times" w:hAnsi="Times New Roman" w:cs="Times New Roman"/>
          <w:sz w:val="24"/>
          <w:szCs w:val="24"/>
          <w:lang w:val="es-PR" w:eastAsia="fr-FR"/>
        </w:rPr>
        <w:t xml:space="preserve">  </w:t>
      </w:r>
    </w:p>
    <w:p w14:paraId="47E42BBF" w14:textId="77777777"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p>
    <w:p w14:paraId="176F189A" w14:textId="7AA17DC0"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r w:rsidRPr="00F71EEA">
        <w:rPr>
          <w:rFonts w:ascii="Times New Roman" w:eastAsia="Times" w:hAnsi="Times New Roman" w:cs="Times New Roman"/>
          <w:sz w:val="24"/>
          <w:szCs w:val="24"/>
          <w:lang w:val="es-PR" w:eastAsia="fr-FR"/>
        </w:rPr>
        <w:t xml:space="preserve">El Gobierno de </w:t>
      </w:r>
      <w:r w:rsidR="00CA45C9">
        <w:rPr>
          <w:rFonts w:ascii="Times New Roman" w:eastAsia="Times" w:hAnsi="Times New Roman" w:cs="Times New Roman"/>
          <w:sz w:val="24"/>
          <w:szCs w:val="24"/>
          <w:lang w:val="es-PR" w:eastAsia="fr-FR"/>
        </w:rPr>
        <w:t xml:space="preserve"> los </w:t>
      </w:r>
      <w:r w:rsidRPr="00F71EEA">
        <w:rPr>
          <w:rFonts w:ascii="Times New Roman" w:eastAsia="Times" w:hAnsi="Times New Roman" w:cs="Times New Roman"/>
          <w:sz w:val="24"/>
          <w:szCs w:val="24"/>
          <w:lang w:val="es-PR" w:eastAsia="fr-FR"/>
        </w:rPr>
        <w:t>Estados Unidos no ha obtenido un jurado en Puerto Rico que esté dispuesto a aplicarla, a pesar de haber conseguido múltiples sentencias de culpabilidad, por unanimidad de los mismos jurados.</w:t>
      </w:r>
      <w:r w:rsidRPr="00F71EEA">
        <w:rPr>
          <w:rFonts w:ascii="Times New Roman" w:eastAsia="Times" w:hAnsi="Times New Roman" w:cs="Times New Roman"/>
          <w:sz w:val="24"/>
          <w:szCs w:val="24"/>
          <w:vertAlign w:val="superscript"/>
          <w:lang w:val="es-PR" w:eastAsia="fr-FR"/>
        </w:rPr>
        <w:footnoteReference w:id="20"/>
      </w:r>
      <w:r w:rsidRPr="00F71EEA">
        <w:rPr>
          <w:rFonts w:ascii="Times New Roman" w:eastAsia="Times" w:hAnsi="Times New Roman" w:cs="Times New Roman"/>
          <w:sz w:val="24"/>
          <w:szCs w:val="24"/>
          <w:lang w:val="es-PR" w:eastAsia="fr-FR"/>
        </w:rPr>
        <w:t xml:space="preserve">  Para abril de 2019 está pautado un nuevo juicio contra Alexis Candelario, donde el acusado estará sujeto -por segunda ocasión y los mismos hechos- a la pena de muerte, cuya sentencia revocó un tribunal apelativo.</w:t>
      </w:r>
      <w:r w:rsidRPr="00F71EEA">
        <w:rPr>
          <w:rFonts w:ascii="Times New Roman" w:eastAsia="Times" w:hAnsi="Times New Roman" w:cs="Times New Roman"/>
          <w:sz w:val="24"/>
          <w:szCs w:val="24"/>
          <w:vertAlign w:val="superscript"/>
          <w:lang w:val="es-PR" w:eastAsia="fr-FR"/>
        </w:rPr>
        <w:footnoteReference w:id="21"/>
      </w:r>
      <w:r w:rsidRPr="00F71EEA">
        <w:rPr>
          <w:rFonts w:ascii="Times New Roman" w:eastAsia="Times" w:hAnsi="Times New Roman" w:cs="Times New Roman"/>
          <w:sz w:val="24"/>
          <w:szCs w:val="24"/>
          <w:lang w:val="es-PR" w:eastAsia="fr-FR"/>
        </w:rPr>
        <w:t xml:space="preserve">  Es altamente probable que en el momento en que el Comité de Derechos Humanos evalúe esta petición, el gobierno federal haya iniciado el proceso de solicitar la pena capital en otros procedimientos criminales.</w:t>
      </w:r>
    </w:p>
    <w:p w14:paraId="1C0F9A19" w14:textId="77777777"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p>
    <w:p w14:paraId="1D9775DE" w14:textId="3A1B5D18"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r w:rsidRPr="00F71EEA">
        <w:rPr>
          <w:rFonts w:ascii="Times New Roman" w:eastAsia="Times" w:hAnsi="Times New Roman" w:cs="Times New Roman"/>
          <w:sz w:val="24"/>
          <w:szCs w:val="24"/>
          <w:lang w:val="es-PR" w:eastAsia="fr-FR"/>
        </w:rPr>
        <w:t xml:space="preserve">Hay que destacar que el Gobierno de </w:t>
      </w:r>
      <w:r w:rsidR="00CA45C9">
        <w:rPr>
          <w:rFonts w:ascii="Times New Roman" w:eastAsia="Times" w:hAnsi="Times New Roman" w:cs="Times New Roman"/>
          <w:sz w:val="24"/>
          <w:szCs w:val="24"/>
          <w:lang w:val="es-PR" w:eastAsia="fr-FR"/>
        </w:rPr>
        <w:t xml:space="preserve">los </w:t>
      </w:r>
      <w:r w:rsidRPr="00F71EEA">
        <w:rPr>
          <w:rFonts w:ascii="Times New Roman" w:eastAsia="Times" w:hAnsi="Times New Roman" w:cs="Times New Roman"/>
          <w:sz w:val="24"/>
          <w:szCs w:val="24"/>
          <w:lang w:val="es-PR" w:eastAsia="fr-FR"/>
        </w:rPr>
        <w:t>Estados Unidos lleva a cabo los procesos judiciales para aplicar la pena de muerte en Puerto Rico en el idioma inglés</w:t>
      </w:r>
      <w:r w:rsidRPr="00F71EEA">
        <w:rPr>
          <w:rFonts w:ascii="Times New Roman" w:eastAsia="Times" w:hAnsi="Times New Roman" w:cs="Times New Roman"/>
          <w:sz w:val="24"/>
          <w:szCs w:val="24"/>
          <w:vertAlign w:val="superscript"/>
          <w:lang w:val="es-PR" w:eastAsia="fr-FR"/>
        </w:rPr>
        <w:footnoteReference w:id="22"/>
      </w:r>
      <w:r w:rsidRPr="00F71EEA">
        <w:rPr>
          <w:rFonts w:ascii="Times New Roman" w:eastAsia="Times" w:hAnsi="Times New Roman" w:cs="Times New Roman"/>
          <w:sz w:val="24"/>
          <w:szCs w:val="24"/>
          <w:lang w:val="es-PR" w:eastAsia="fr-FR"/>
        </w:rPr>
        <w:t>, y no en español, idioma que usa mayoritariamente el pueblo de Puerto Rico, aunque se le provee de intérprete a las personas acusadas.</w:t>
      </w:r>
      <w:r w:rsidRPr="00F71EEA">
        <w:rPr>
          <w:rFonts w:ascii="Times New Roman" w:eastAsia="Calibri" w:hAnsi="Times New Roman" w:cs="Times New Roman"/>
          <w:sz w:val="24"/>
          <w:lang w:val="es-ES"/>
        </w:rPr>
        <w:t xml:space="preserve"> </w:t>
      </w:r>
      <w:r w:rsidRPr="00F71EEA">
        <w:rPr>
          <w:rFonts w:ascii="Times New Roman" w:eastAsia="Times" w:hAnsi="Times New Roman" w:cs="Times New Roman"/>
          <w:sz w:val="24"/>
          <w:szCs w:val="24"/>
          <w:lang w:val="es-PR" w:eastAsia="fr-FR"/>
        </w:rPr>
        <w:t xml:space="preserve">Para ser seleccionado como jurado en estos casos de pena de muerte, la persona tiene que entender inglés lo suficiente como para seguir el proceso. </w:t>
      </w:r>
      <w:r w:rsidRPr="00F71EEA">
        <w:rPr>
          <w:rFonts w:ascii="Times New Roman" w:eastAsia="Calibri" w:hAnsi="Times New Roman" w:cs="Times New Roman"/>
          <w:sz w:val="24"/>
          <w:lang w:val="es-ES"/>
        </w:rPr>
        <w:t>Las cifras más recientes del censo establecen que tan solo el 10% del pueblo puertorriqueño domina este idioma</w:t>
      </w:r>
      <w:r w:rsidRPr="00F71EEA">
        <w:rPr>
          <w:rFonts w:ascii="Times New Roman" w:eastAsia="Calibri" w:hAnsi="Times New Roman" w:cs="Times New Roman"/>
          <w:sz w:val="24"/>
          <w:vertAlign w:val="superscript"/>
          <w:lang w:val="es-ES"/>
        </w:rPr>
        <w:footnoteReference w:id="23"/>
      </w:r>
      <w:r w:rsidRPr="00F71EEA">
        <w:rPr>
          <w:rFonts w:ascii="Times New Roman" w:eastAsia="Calibri" w:hAnsi="Times New Roman" w:cs="Times New Roman"/>
          <w:sz w:val="24"/>
          <w:lang w:val="es-ES"/>
        </w:rPr>
        <w:t xml:space="preserve">, por lo que se excluye automáticamente a la inmensa mayoría de nuestra población. </w:t>
      </w:r>
      <w:r w:rsidRPr="00F71EEA">
        <w:rPr>
          <w:rFonts w:ascii="Times New Roman" w:eastAsia="Times" w:hAnsi="Times New Roman" w:cs="Times New Roman"/>
          <w:sz w:val="24"/>
          <w:szCs w:val="24"/>
          <w:lang w:val="es-PR" w:eastAsia="fr-FR"/>
        </w:rPr>
        <w:t xml:space="preserve">Además, las personas tienen que estar dispuestas a aplicarle la pena de muerte a otro ser humano; esto también descarta a gran parte de la población.  Los juicios de pena de muerte en el Tribunal Federal en Puerto Rico son procesos donde no existe un jurado de iguales, porque no es representativo de la población del </w:t>
      </w:r>
      <w:r w:rsidRPr="00F71EEA">
        <w:rPr>
          <w:rFonts w:ascii="Times New Roman" w:eastAsia="Times" w:hAnsi="Times New Roman" w:cs="Times New Roman"/>
          <w:sz w:val="24"/>
          <w:szCs w:val="24"/>
          <w:lang w:val="es-PR" w:eastAsia="fr-FR"/>
        </w:rPr>
        <w:lastRenderedPageBreak/>
        <w:t>acusado. Esto contradice la Sexta Enmienda de la Constitución de los Estados Unidos, que dispone la garantía que “en toda causa criminal, el acusado gozará del derecho de ser juzgado rápidamente y en público por un jurado imparcial del distrito y Estado en que el delito se haya cometido”.</w:t>
      </w:r>
    </w:p>
    <w:p w14:paraId="569195BF" w14:textId="77777777"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p>
    <w:p w14:paraId="2A2AA0E5" w14:textId="77777777" w:rsidR="00F71EEA" w:rsidRPr="00F71EEA" w:rsidRDefault="00F71EEA" w:rsidP="00F71EEA">
      <w:pPr>
        <w:spacing w:after="0" w:line="240" w:lineRule="auto"/>
        <w:rPr>
          <w:rFonts w:ascii="Times New Roman" w:eastAsia="Calibri" w:hAnsi="Times New Roman" w:cs="Times New Roman"/>
          <w:b/>
          <w:sz w:val="24"/>
          <w:lang w:val="es-PR"/>
        </w:rPr>
      </w:pPr>
      <w:r w:rsidRPr="00F71EEA">
        <w:rPr>
          <w:rFonts w:ascii="Times New Roman" w:eastAsia="Calibri" w:hAnsi="Times New Roman" w:cs="Times New Roman"/>
          <w:b/>
          <w:sz w:val="24"/>
          <w:lang w:val="es-PR"/>
        </w:rPr>
        <w:t>Artículos del PIDCP pertinentes y cómo se afectan</w:t>
      </w:r>
    </w:p>
    <w:p w14:paraId="406B493C" w14:textId="77777777"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p>
    <w:p w14:paraId="6EE546AE" w14:textId="4A149868"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r w:rsidRPr="00F71EEA">
        <w:rPr>
          <w:rFonts w:ascii="Times New Roman" w:eastAsia="Times" w:hAnsi="Times New Roman" w:cs="Times New Roman"/>
          <w:sz w:val="24"/>
          <w:szCs w:val="24"/>
          <w:u w:val="single"/>
          <w:lang w:val="es-PR" w:eastAsia="fr-FR"/>
        </w:rPr>
        <w:t>Artículo 1</w:t>
      </w:r>
      <w:r w:rsidRPr="00F71EEA">
        <w:rPr>
          <w:rFonts w:ascii="Times New Roman" w:eastAsia="Times" w:hAnsi="Times New Roman" w:cs="Times New Roman"/>
          <w:sz w:val="24"/>
          <w:szCs w:val="24"/>
          <w:lang w:val="es-PR" w:eastAsia="fr-FR"/>
        </w:rPr>
        <w:t xml:space="preserve"> – La imposición de la pena capital por </w:t>
      </w:r>
      <w:r w:rsidR="00CA45C9">
        <w:rPr>
          <w:rFonts w:ascii="Times New Roman" w:eastAsia="Times" w:hAnsi="Times New Roman" w:cs="Times New Roman"/>
          <w:sz w:val="24"/>
          <w:szCs w:val="24"/>
          <w:lang w:val="es-PR" w:eastAsia="fr-FR"/>
        </w:rPr>
        <w:t xml:space="preserve">los </w:t>
      </w:r>
      <w:r w:rsidRPr="00F71EEA">
        <w:rPr>
          <w:rFonts w:ascii="Times New Roman" w:eastAsia="Times" w:hAnsi="Times New Roman" w:cs="Times New Roman"/>
          <w:sz w:val="24"/>
          <w:szCs w:val="24"/>
          <w:lang w:val="es-PR" w:eastAsia="fr-FR"/>
        </w:rPr>
        <w:t>Estados Unidos en Puerto Rico va contra del derecho de este pueblo a decidir su destino político. La relación colonial mantiene a Puerto Rico suj</w:t>
      </w:r>
      <w:r w:rsidR="00897EC0">
        <w:rPr>
          <w:rFonts w:ascii="Times New Roman" w:eastAsia="Times" w:hAnsi="Times New Roman" w:cs="Times New Roman"/>
          <w:sz w:val="24"/>
          <w:szCs w:val="24"/>
          <w:lang w:val="es-PR" w:eastAsia="fr-FR"/>
        </w:rPr>
        <w:t>eto</w:t>
      </w:r>
      <w:r w:rsidRPr="00F71EEA">
        <w:rPr>
          <w:rFonts w:ascii="Times New Roman" w:eastAsia="Times" w:hAnsi="Times New Roman" w:cs="Times New Roman"/>
          <w:sz w:val="24"/>
          <w:szCs w:val="24"/>
          <w:lang w:val="es-PR" w:eastAsia="fr-FR"/>
        </w:rPr>
        <w:t xml:space="preserve"> al Gobierno de </w:t>
      </w:r>
      <w:r w:rsidR="00CA45C9">
        <w:rPr>
          <w:rFonts w:ascii="Times New Roman" w:eastAsia="Times" w:hAnsi="Times New Roman" w:cs="Times New Roman"/>
          <w:sz w:val="24"/>
          <w:szCs w:val="24"/>
          <w:lang w:val="es-PR" w:eastAsia="fr-FR"/>
        </w:rPr>
        <w:t xml:space="preserve">los </w:t>
      </w:r>
      <w:r w:rsidRPr="00F71EEA">
        <w:rPr>
          <w:rFonts w:ascii="Times New Roman" w:eastAsia="Times" w:hAnsi="Times New Roman" w:cs="Times New Roman"/>
          <w:sz w:val="24"/>
          <w:szCs w:val="24"/>
          <w:lang w:val="es-PR" w:eastAsia="fr-FR"/>
        </w:rPr>
        <w:t>Estados Unidos, quien se reserva el derecho de quitarle la vida a los culpables de determinados delitos, al imponer la pena de muerte en Puerto Rico, a pesar del firme rechazo a este castigo de este pueblo caribeño y latinoamericano.</w:t>
      </w:r>
    </w:p>
    <w:p w14:paraId="6CD570C7" w14:textId="77777777"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p>
    <w:p w14:paraId="53546DF7" w14:textId="68899F3B"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r w:rsidRPr="00F71EEA">
        <w:rPr>
          <w:rFonts w:ascii="Times New Roman" w:eastAsia="Times" w:hAnsi="Times New Roman" w:cs="Times New Roman"/>
          <w:sz w:val="24"/>
          <w:szCs w:val="24"/>
          <w:u w:val="single"/>
          <w:lang w:val="es-PR" w:eastAsia="fr-FR"/>
        </w:rPr>
        <w:t>Artículo 6, párrafo 2</w:t>
      </w:r>
      <w:r w:rsidRPr="00F71EEA">
        <w:rPr>
          <w:rFonts w:ascii="Times New Roman" w:eastAsia="Times" w:hAnsi="Times New Roman" w:cs="Times New Roman"/>
          <w:sz w:val="24"/>
          <w:szCs w:val="24"/>
          <w:lang w:val="es-PR" w:eastAsia="fr-FR"/>
        </w:rPr>
        <w:t xml:space="preserve"> – Como indica este artículo “En los países en que no hayan abolido la pena capital sólo podrá imponerse la pena de muerte por los más graves delitos (…).” Así que, según el propio Pacto, en Puerto Rico, siendo una jurisdicción que abolió la pena de muerte previamente, no podría imponerse este castigo por el gobierno de </w:t>
      </w:r>
      <w:r w:rsidR="00CA45C9">
        <w:rPr>
          <w:rFonts w:ascii="Times New Roman" w:eastAsia="Times" w:hAnsi="Times New Roman" w:cs="Times New Roman"/>
          <w:sz w:val="24"/>
          <w:szCs w:val="24"/>
          <w:lang w:val="es-PR" w:eastAsia="fr-FR"/>
        </w:rPr>
        <w:t xml:space="preserve">los </w:t>
      </w:r>
      <w:r w:rsidRPr="00F71EEA">
        <w:rPr>
          <w:rFonts w:ascii="Times New Roman" w:eastAsia="Times" w:hAnsi="Times New Roman" w:cs="Times New Roman"/>
          <w:sz w:val="24"/>
          <w:szCs w:val="24"/>
          <w:lang w:val="es-PR" w:eastAsia="fr-FR"/>
        </w:rPr>
        <w:t>Estados Unidos.</w:t>
      </w:r>
    </w:p>
    <w:p w14:paraId="690B7751" w14:textId="77777777"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p>
    <w:p w14:paraId="77ED4F6A" w14:textId="77777777"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r w:rsidRPr="00F71EEA">
        <w:rPr>
          <w:rFonts w:ascii="Times New Roman" w:eastAsia="Times" w:hAnsi="Times New Roman" w:cs="Times New Roman"/>
          <w:sz w:val="24"/>
          <w:szCs w:val="24"/>
          <w:u w:val="single"/>
          <w:lang w:val="es-PR" w:eastAsia="fr-FR"/>
        </w:rPr>
        <w:t>Artículo 14, párrafo 1</w:t>
      </w:r>
      <w:r w:rsidRPr="00F71EEA">
        <w:rPr>
          <w:rFonts w:ascii="Times New Roman" w:eastAsia="Times" w:hAnsi="Times New Roman" w:cs="Times New Roman"/>
          <w:sz w:val="24"/>
          <w:szCs w:val="24"/>
          <w:lang w:val="es-PR" w:eastAsia="fr-FR"/>
        </w:rPr>
        <w:t xml:space="preserve"> – Al excluirse de servir como jurado en casos de pena capital a personas que no dominan en idioma inglés o se opondrían a imponer una sentencia de muerte, la aplicación de la pena de muerte en Puerto Rico niega la oportunidad a las personas acusadas de la protección legal de contar con un jurado representativo de su comunidad.</w:t>
      </w:r>
    </w:p>
    <w:p w14:paraId="660C9269" w14:textId="77777777"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p>
    <w:p w14:paraId="0B59BE8F" w14:textId="77777777"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r w:rsidRPr="00F71EEA">
        <w:rPr>
          <w:rFonts w:ascii="Times New Roman" w:eastAsia="Calibri" w:hAnsi="Times New Roman" w:cs="Times New Roman"/>
          <w:b/>
          <w:sz w:val="24"/>
          <w:lang w:val="es-PR"/>
        </w:rPr>
        <w:t xml:space="preserve">Pregunta recomendada al Comité – </w:t>
      </w:r>
      <w:r w:rsidRPr="00F71EEA">
        <w:rPr>
          <w:rFonts w:ascii="Times New Roman" w:eastAsia="Times" w:hAnsi="Times New Roman" w:cs="Times New Roman"/>
          <w:sz w:val="24"/>
          <w:szCs w:val="24"/>
          <w:lang w:val="es-PR" w:eastAsia="fr-FR"/>
        </w:rPr>
        <w:t xml:space="preserve">Sírvase a facilitar información sobre los pormenores en que el Departamento de Justicia federal solicita la pena de muerte en los casos criminales </w:t>
      </w:r>
      <w:r w:rsidRPr="00F71EEA">
        <w:rPr>
          <w:rFonts w:ascii="Times New Roman" w:eastAsia="Calibri" w:hAnsi="Times New Roman" w:cs="Times New Roman"/>
          <w:sz w:val="24"/>
          <w:lang w:val="es-PR"/>
        </w:rPr>
        <w:t xml:space="preserve">ante el Tribunal de Distrito de Puerto Rico. </w:t>
      </w:r>
    </w:p>
    <w:p w14:paraId="0CF02375" w14:textId="77777777"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p>
    <w:p w14:paraId="738CF91F" w14:textId="00D1E53E" w:rsidR="00F71EEA" w:rsidRPr="00F71EEA" w:rsidRDefault="00F71EEA" w:rsidP="00F71EEA">
      <w:pPr>
        <w:spacing w:after="0" w:line="240" w:lineRule="auto"/>
        <w:jc w:val="both"/>
        <w:rPr>
          <w:rFonts w:ascii="Times New Roman" w:eastAsia="Times" w:hAnsi="Times New Roman" w:cs="Times New Roman"/>
          <w:sz w:val="24"/>
          <w:szCs w:val="24"/>
          <w:lang w:val="es-PR" w:eastAsia="fr-FR"/>
        </w:rPr>
      </w:pPr>
      <w:r w:rsidRPr="00F71EEA">
        <w:rPr>
          <w:rFonts w:ascii="Times New Roman" w:eastAsia="Calibri" w:hAnsi="Times New Roman" w:cs="Times New Roman"/>
          <w:b/>
          <w:sz w:val="24"/>
          <w:lang w:val="es-PR"/>
        </w:rPr>
        <w:t>Sugerencia de recomendación por el Comité</w:t>
      </w:r>
      <w:r w:rsidRPr="00F71EEA">
        <w:rPr>
          <w:rFonts w:ascii="Times New Roman" w:eastAsia="Calibri" w:hAnsi="Times New Roman" w:cs="Times New Roman"/>
          <w:sz w:val="24"/>
          <w:lang w:val="es-PR"/>
        </w:rPr>
        <w:t xml:space="preserve"> - El Estado parte debe adoptar medidas para no apli</w:t>
      </w:r>
      <w:r w:rsidR="00CA45C9">
        <w:rPr>
          <w:rFonts w:ascii="Times New Roman" w:eastAsia="Calibri" w:hAnsi="Times New Roman" w:cs="Times New Roman"/>
          <w:sz w:val="24"/>
          <w:lang w:val="es-PR"/>
        </w:rPr>
        <w:t>car</w:t>
      </w:r>
      <w:r w:rsidRPr="00F71EEA">
        <w:rPr>
          <w:rFonts w:ascii="Times New Roman" w:eastAsia="Calibri" w:hAnsi="Times New Roman" w:cs="Times New Roman"/>
          <w:sz w:val="24"/>
          <w:lang w:val="es-PR"/>
        </w:rPr>
        <w:t xml:space="preserve"> la pena capital en casos criminales ante el Tribunal de Distrito de Puerto Rico. </w:t>
      </w:r>
      <w:bookmarkEnd w:id="7"/>
    </w:p>
    <w:p w14:paraId="023E0E41" w14:textId="77777777" w:rsidR="002608B1" w:rsidRDefault="002608B1" w:rsidP="0058750F">
      <w:pPr>
        <w:pBdr>
          <w:bottom w:val="double" w:sz="6" w:space="1" w:color="auto"/>
        </w:pBdr>
        <w:spacing w:after="0" w:line="240" w:lineRule="auto"/>
        <w:jc w:val="both"/>
        <w:rPr>
          <w:rFonts w:ascii="Times New Roman" w:hAnsi="Times New Roman" w:cs="Times New Roman"/>
          <w:sz w:val="24"/>
          <w:lang w:val="es-PR"/>
        </w:rPr>
      </w:pPr>
    </w:p>
    <w:p w14:paraId="21B58DFC" w14:textId="77777777" w:rsidR="002608B1" w:rsidRDefault="002608B1" w:rsidP="0058750F">
      <w:pPr>
        <w:spacing w:after="0" w:line="240" w:lineRule="auto"/>
        <w:jc w:val="both"/>
        <w:rPr>
          <w:rFonts w:ascii="Times New Roman" w:hAnsi="Times New Roman" w:cs="Times New Roman"/>
          <w:sz w:val="24"/>
          <w:lang w:val="es-PR"/>
        </w:rPr>
      </w:pPr>
    </w:p>
    <w:p w14:paraId="4D14C322"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r w:rsidRPr="00C23312">
        <w:rPr>
          <w:rFonts w:ascii="Times New Roman" w:eastAsia="MS Mincho" w:hAnsi="Times New Roman" w:cs="Times New Roman"/>
          <w:b/>
          <w:i/>
          <w:sz w:val="24"/>
          <w:szCs w:val="24"/>
          <w:lang w:val="es-PR"/>
        </w:rPr>
        <w:t>Cuestión #3</w:t>
      </w:r>
      <w:r w:rsidRPr="00C23312">
        <w:rPr>
          <w:rFonts w:ascii="Times New Roman" w:eastAsia="MS Mincho" w:hAnsi="Times New Roman" w:cs="Times New Roman"/>
          <w:i/>
          <w:sz w:val="24"/>
          <w:szCs w:val="24"/>
          <w:lang w:val="es-PR"/>
        </w:rPr>
        <w:t xml:space="preserve"> – Discrimen y violencia contra las mujeres en Puerto Rico</w:t>
      </w:r>
    </w:p>
    <w:p w14:paraId="308EBDE1"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p>
    <w:p w14:paraId="6F172200"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r w:rsidRPr="00C23312">
        <w:rPr>
          <w:rFonts w:ascii="Times New Roman" w:eastAsia="MS Mincho" w:hAnsi="Times New Roman" w:cs="Times New Roman"/>
          <w:sz w:val="24"/>
          <w:szCs w:val="24"/>
          <w:lang w:val="es-PR"/>
        </w:rPr>
        <w:t>La violencia contra las mujeres en Puerto Rico ha incrementado exponencialmente, sobre todo luego del paso del huracán María.  El año 2018 cerró con un total de 24 hasta 30 posibles casos de feminicidios.  De acuerdo al Colegio de Profesionales del Trabajo Social de Puerto Rico, el material genético de más de dos mil potenciales agresores sexuales, recopilado entre el 2006 y el 2018, se guarda sin analizar en las bóvedas del Negociado de Ciencias Forenses.</w:t>
      </w:r>
      <w:r w:rsidRPr="00C23312">
        <w:rPr>
          <w:rFonts w:ascii="Times New Roman" w:eastAsia="MS Mincho" w:hAnsi="Times New Roman" w:cs="Times New Roman"/>
          <w:szCs w:val="24"/>
          <w:vertAlign w:val="superscript"/>
          <w:lang w:val="es-PR"/>
        </w:rPr>
        <w:footnoteReference w:id="24"/>
      </w:r>
      <w:r w:rsidRPr="00C23312">
        <w:rPr>
          <w:rFonts w:ascii="Times New Roman" w:eastAsia="MS Mincho" w:hAnsi="Times New Roman" w:cs="Times New Roman"/>
          <w:sz w:val="24"/>
          <w:szCs w:val="24"/>
          <w:lang w:val="es-PR"/>
        </w:rPr>
        <w:t xml:space="preserve"> La falta de recursos investigativos afecta el procesamiento efectivo de los casos de violencia contra las mujeres, desde la toma de querellas para solicitar órdenes de protección hasta los casos de agresiones sexuales y asesinatos de mujeres por parte de sus parejas y exparejas. </w:t>
      </w:r>
    </w:p>
    <w:p w14:paraId="65803BDB"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p>
    <w:p w14:paraId="03852318" w14:textId="277A2E47" w:rsidR="00C23312" w:rsidRPr="00C23312" w:rsidRDefault="00C23312" w:rsidP="00C23312">
      <w:pPr>
        <w:spacing w:after="0" w:line="240" w:lineRule="auto"/>
        <w:jc w:val="both"/>
        <w:rPr>
          <w:rFonts w:ascii="Times New Roman" w:eastAsia="MS Mincho" w:hAnsi="Times New Roman" w:cs="Times New Roman"/>
          <w:sz w:val="24"/>
          <w:szCs w:val="24"/>
          <w:lang w:val="es-PR"/>
        </w:rPr>
      </w:pPr>
      <w:r w:rsidRPr="00C23312">
        <w:rPr>
          <w:rFonts w:ascii="Times New Roman" w:eastAsia="MS Mincho" w:hAnsi="Times New Roman" w:cs="Times New Roman"/>
          <w:sz w:val="24"/>
          <w:szCs w:val="24"/>
          <w:lang w:val="es-PR"/>
        </w:rPr>
        <w:t xml:space="preserve">En particular, la Policía de Puerto Rico, según también ha sido señalado en el proceso de </w:t>
      </w:r>
      <w:r w:rsidR="00241061" w:rsidRPr="00A050C6">
        <w:rPr>
          <w:rFonts w:ascii="Times New Roman" w:eastAsia="MS Mincho" w:hAnsi="Times New Roman" w:cs="Times New Roman"/>
          <w:sz w:val="24"/>
          <w:szCs w:val="24"/>
          <w:lang w:val="es-PR"/>
        </w:rPr>
        <w:t>“R</w:t>
      </w:r>
      <w:r w:rsidRPr="00A050C6">
        <w:rPr>
          <w:rFonts w:ascii="Times New Roman" w:eastAsia="MS Mincho" w:hAnsi="Times New Roman" w:cs="Times New Roman"/>
          <w:sz w:val="24"/>
          <w:szCs w:val="24"/>
          <w:lang w:val="es-PR"/>
        </w:rPr>
        <w:t>eforma</w:t>
      </w:r>
      <w:r w:rsidR="00241061" w:rsidRPr="00A050C6">
        <w:rPr>
          <w:rFonts w:ascii="Times New Roman" w:eastAsia="MS Mincho" w:hAnsi="Times New Roman" w:cs="Times New Roman"/>
          <w:sz w:val="24"/>
          <w:szCs w:val="24"/>
          <w:lang w:val="es-PR"/>
        </w:rPr>
        <w:t>”</w:t>
      </w:r>
      <w:r w:rsidRPr="00C23312">
        <w:rPr>
          <w:rFonts w:ascii="Times New Roman" w:eastAsia="MS Mincho" w:hAnsi="Times New Roman" w:cs="Times New Roman"/>
          <w:sz w:val="24"/>
          <w:szCs w:val="24"/>
          <w:lang w:val="es-PR"/>
        </w:rPr>
        <w:t xml:space="preserve"> que se discute en la cuestión #4, se ha distinguido por no tomar las querellas de las </w:t>
      </w:r>
      <w:r w:rsidRPr="00C23312">
        <w:rPr>
          <w:rFonts w:ascii="Times New Roman" w:eastAsia="MS Mincho" w:hAnsi="Times New Roman" w:cs="Times New Roman"/>
          <w:sz w:val="24"/>
          <w:szCs w:val="24"/>
          <w:lang w:val="es-PR"/>
        </w:rPr>
        <w:lastRenderedPageBreak/>
        <w:t>mujeres, particularmente en casos de violencia doméstica. Además, dicho cuerpo adolece del mal de la violencia de género de manera institucionalizada.  De los 24 casos de feminicidios en 2018, tres fueron perpetrados por agentes de la Policía.  Finalmente, existe casi un centenar de querellas contra policías por incidentes de violencia doméstica.</w:t>
      </w:r>
    </w:p>
    <w:p w14:paraId="259FFDBA"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p>
    <w:p w14:paraId="05D59048"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r w:rsidRPr="00C23312">
        <w:rPr>
          <w:rFonts w:ascii="Times New Roman" w:eastAsia="MS Mincho" w:hAnsi="Times New Roman" w:cs="Times New Roman"/>
          <w:sz w:val="24"/>
          <w:szCs w:val="24"/>
          <w:lang w:val="es-PR"/>
        </w:rPr>
        <w:t>El Gobernador de Puerto Rico se ha negado a declarar un estado de emergencia, lo que ha tenido el efecto de minimizar la situación de violencia de género o hasta propiciarla.  Su primera gestión fue eliminar el currículo con perspectiva de género en el sistema de educación pública. La falta de investigaciones adecuadas y efectivas, así como la falta o negligencia en el procesamiento de los casos han generado un sentido de impunidad generalizado que contrario a detener la violencia contra las mujeres, casi podemos afirmar que la fomenta.</w:t>
      </w:r>
    </w:p>
    <w:p w14:paraId="6D0CC71C"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p>
    <w:p w14:paraId="1E3F7CC7" w14:textId="77777777" w:rsidR="00C23312" w:rsidRPr="00C23312" w:rsidRDefault="00C23312" w:rsidP="00C23312">
      <w:pPr>
        <w:spacing w:after="0" w:line="240" w:lineRule="auto"/>
        <w:rPr>
          <w:rFonts w:ascii="Times New Roman" w:eastAsia="MS Mincho" w:hAnsi="Times New Roman" w:cs="Times New Roman"/>
          <w:b/>
          <w:sz w:val="24"/>
          <w:lang w:val="es-PR"/>
        </w:rPr>
      </w:pPr>
      <w:r w:rsidRPr="00C23312">
        <w:rPr>
          <w:rFonts w:ascii="Times New Roman" w:eastAsia="MS Mincho" w:hAnsi="Times New Roman" w:cs="Times New Roman"/>
          <w:b/>
          <w:sz w:val="24"/>
          <w:lang w:val="es-PR"/>
        </w:rPr>
        <w:t>Artículos del PIDCP pertinentes y cómo se afectan</w:t>
      </w:r>
    </w:p>
    <w:p w14:paraId="04A29EA9" w14:textId="77777777" w:rsidR="00C23312" w:rsidRPr="00C23312" w:rsidRDefault="00C23312" w:rsidP="00C23312">
      <w:pPr>
        <w:spacing w:after="0" w:line="240" w:lineRule="auto"/>
        <w:rPr>
          <w:rFonts w:ascii="Times New Roman" w:eastAsia="MS Mincho" w:hAnsi="Times New Roman" w:cs="Times New Roman"/>
          <w:b/>
          <w:sz w:val="24"/>
          <w:lang w:val="es-PR"/>
        </w:rPr>
      </w:pPr>
    </w:p>
    <w:p w14:paraId="6DAD6DFE"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r w:rsidRPr="00C23312">
        <w:rPr>
          <w:rFonts w:ascii="Times New Roman" w:eastAsia="MS Mincho" w:hAnsi="Times New Roman" w:cs="Times New Roman"/>
          <w:sz w:val="24"/>
          <w:szCs w:val="24"/>
          <w:u w:val="single"/>
          <w:lang w:val="es-PR"/>
        </w:rPr>
        <w:t>Artículo 2</w:t>
      </w:r>
      <w:r w:rsidRPr="00C23312">
        <w:rPr>
          <w:rFonts w:ascii="Times New Roman" w:eastAsia="MS Mincho" w:hAnsi="Times New Roman" w:cs="Times New Roman"/>
          <w:sz w:val="24"/>
          <w:szCs w:val="24"/>
          <w:lang w:val="es-PR"/>
        </w:rPr>
        <w:t xml:space="preserve"> – discriminación por razón de sexo, dado a que no han adoptado las medidas legislativas ni otras para hacer efectiva esta disposición.</w:t>
      </w:r>
    </w:p>
    <w:p w14:paraId="316196BF"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p>
    <w:p w14:paraId="07E0DF67"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r w:rsidRPr="00C23312">
        <w:rPr>
          <w:rFonts w:ascii="Times New Roman" w:eastAsia="MS Mincho" w:hAnsi="Times New Roman" w:cs="Times New Roman"/>
          <w:sz w:val="24"/>
          <w:szCs w:val="24"/>
          <w:u w:val="single"/>
          <w:lang w:val="es-PR"/>
        </w:rPr>
        <w:t>Artículo 3</w:t>
      </w:r>
      <w:r w:rsidRPr="00C23312">
        <w:rPr>
          <w:rFonts w:ascii="Times New Roman" w:eastAsia="MS Mincho" w:hAnsi="Times New Roman" w:cs="Times New Roman"/>
          <w:sz w:val="24"/>
          <w:szCs w:val="24"/>
          <w:lang w:val="es-PR"/>
        </w:rPr>
        <w:t xml:space="preserve"> - existe la ausencia de remedio efectivo ante dichas violaciones perpetradas por oficiales en dicha capacidad; cerrando además los foros judiciales administrativos y legislativos e impidiendo que se hagan valer los dictámenes.</w:t>
      </w:r>
    </w:p>
    <w:p w14:paraId="58E726DE"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p>
    <w:p w14:paraId="36CAF22F"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r w:rsidRPr="00C23312">
        <w:rPr>
          <w:rFonts w:ascii="Times New Roman" w:eastAsia="MS Mincho" w:hAnsi="Times New Roman" w:cs="Times New Roman"/>
          <w:sz w:val="24"/>
          <w:szCs w:val="24"/>
          <w:u w:val="single"/>
          <w:lang w:val="es-PR"/>
        </w:rPr>
        <w:t>Artículo 6</w:t>
      </w:r>
      <w:r w:rsidRPr="00C23312">
        <w:rPr>
          <w:rFonts w:ascii="Times New Roman" w:eastAsia="MS Mincho" w:hAnsi="Times New Roman" w:cs="Times New Roman"/>
          <w:sz w:val="24"/>
          <w:szCs w:val="24"/>
          <w:lang w:val="es-PR"/>
        </w:rPr>
        <w:t xml:space="preserve"> - la situación de violencia e impunidad actual no garantiza las vidas de las mujeres.</w:t>
      </w:r>
    </w:p>
    <w:p w14:paraId="22B9BF41"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p>
    <w:p w14:paraId="4AEAF3B5"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r w:rsidRPr="00C23312">
        <w:rPr>
          <w:rFonts w:ascii="Times New Roman" w:eastAsia="MS Mincho" w:hAnsi="Times New Roman" w:cs="Times New Roman"/>
          <w:sz w:val="24"/>
          <w:szCs w:val="24"/>
          <w:u w:val="single"/>
          <w:lang w:val="es-PR"/>
        </w:rPr>
        <w:t>Artículo 26</w:t>
      </w:r>
      <w:r w:rsidRPr="00C23312">
        <w:rPr>
          <w:rFonts w:ascii="Times New Roman" w:eastAsia="MS Mincho" w:hAnsi="Times New Roman" w:cs="Times New Roman"/>
          <w:sz w:val="24"/>
          <w:szCs w:val="24"/>
          <w:lang w:val="es-PR"/>
        </w:rPr>
        <w:t xml:space="preserve"> - la violación a la igual protección de las leyes y que prohíbe el discrimen por sexo, entre otros.</w:t>
      </w:r>
    </w:p>
    <w:p w14:paraId="32945174"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p>
    <w:p w14:paraId="7F059BCA" w14:textId="77777777" w:rsidR="00C23312" w:rsidRPr="00C23312" w:rsidRDefault="00C23312" w:rsidP="00C23312">
      <w:pPr>
        <w:spacing w:after="0" w:line="240" w:lineRule="auto"/>
        <w:jc w:val="both"/>
        <w:rPr>
          <w:rFonts w:ascii="Times New Roman" w:eastAsia="MS Mincho" w:hAnsi="Times New Roman" w:cs="Times New Roman"/>
          <w:b/>
          <w:sz w:val="24"/>
          <w:lang w:val="es-PR"/>
        </w:rPr>
      </w:pPr>
      <w:r w:rsidRPr="00C23312">
        <w:rPr>
          <w:rFonts w:ascii="Times New Roman" w:eastAsia="MS Mincho" w:hAnsi="Times New Roman" w:cs="Times New Roman"/>
          <w:b/>
          <w:sz w:val="24"/>
          <w:lang w:val="es-PR"/>
        </w:rPr>
        <w:t>Recomendaciones de órganos de derechos humanos</w:t>
      </w:r>
    </w:p>
    <w:p w14:paraId="15368D9F"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p>
    <w:p w14:paraId="68E3BC57"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r w:rsidRPr="00C23312">
        <w:rPr>
          <w:rFonts w:ascii="Times New Roman" w:eastAsia="MS Mincho" w:hAnsi="Times New Roman" w:cs="Times New Roman"/>
          <w:sz w:val="24"/>
          <w:szCs w:val="24"/>
          <w:lang w:val="es-PR"/>
        </w:rPr>
        <w:t xml:space="preserve">Comité de Derechos Humanos, </w:t>
      </w:r>
      <w:r w:rsidRPr="00C23312">
        <w:rPr>
          <w:rFonts w:ascii="Times New Roman" w:eastAsia="MS Mincho" w:hAnsi="Times New Roman" w:cs="Times New Roman"/>
          <w:i/>
          <w:sz w:val="24"/>
          <w:szCs w:val="24"/>
          <w:lang w:val="es-PR"/>
        </w:rPr>
        <w:t>Observaciones Finales sobre el cuarto informe periódico de los Estados Unidos de América</w:t>
      </w:r>
      <w:r w:rsidRPr="00C23312">
        <w:rPr>
          <w:rFonts w:ascii="Times New Roman" w:eastAsia="MS Mincho" w:hAnsi="Times New Roman" w:cs="Times New Roman"/>
          <w:sz w:val="24"/>
          <w:szCs w:val="24"/>
          <w:lang w:val="es-PR"/>
        </w:rPr>
        <w:t xml:space="preserve">, 23 de abril de 2014 (CCPR/C/USA/CO/4) </w:t>
      </w:r>
    </w:p>
    <w:p w14:paraId="03BD3C90"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p>
    <w:p w14:paraId="0DC90375"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r w:rsidRPr="00C23312">
        <w:rPr>
          <w:rFonts w:ascii="Times New Roman" w:eastAsia="MS Mincho" w:hAnsi="Times New Roman" w:cs="Times New Roman"/>
          <w:sz w:val="24"/>
          <w:szCs w:val="24"/>
          <w:lang w:val="es-PR"/>
        </w:rPr>
        <w:t xml:space="preserve">Ver las recomendaciones de ONU Mujeres incluidas en el </w:t>
      </w:r>
      <w:r w:rsidRPr="00C23312">
        <w:rPr>
          <w:rFonts w:ascii="Times New Roman" w:eastAsia="MS Mincho" w:hAnsi="Times New Roman" w:cs="Times New Roman"/>
          <w:i/>
          <w:sz w:val="24"/>
          <w:szCs w:val="24"/>
          <w:lang w:val="es-PR"/>
        </w:rPr>
        <w:t>Manual de Legislación sobre la violencia contra la mujer</w:t>
      </w:r>
      <w:r w:rsidRPr="00C23312">
        <w:rPr>
          <w:rFonts w:ascii="Times New Roman" w:eastAsia="MS Mincho" w:hAnsi="Times New Roman" w:cs="Times New Roman"/>
          <w:sz w:val="24"/>
          <w:szCs w:val="24"/>
          <w:lang w:val="es-PR"/>
        </w:rPr>
        <w:t xml:space="preserve"> (2012)</w:t>
      </w:r>
      <w:r w:rsidRPr="00C23312">
        <w:rPr>
          <w:rFonts w:ascii="Times New Roman" w:eastAsia="MS Mincho" w:hAnsi="Times New Roman" w:cs="Times New Roman"/>
          <w:szCs w:val="24"/>
          <w:vertAlign w:val="superscript"/>
          <w:lang w:val="es-PR"/>
        </w:rPr>
        <w:t xml:space="preserve"> </w:t>
      </w:r>
      <w:r w:rsidRPr="00C23312">
        <w:rPr>
          <w:rFonts w:ascii="Times New Roman" w:eastAsia="MS Mincho" w:hAnsi="Times New Roman" w:cs="Times New Roman"/>
          <w:szCs w:val="24"/>
          <w:vertAlign w:val="superscript"/>
          <w:lang w:val="es-PR"/>
        </w:rPr>
        <w:footnoteReference w:id="25"/>
      </w:r>
      <w:r w:rsidRPr="00C23312">
        <w:rPr>
          <w:rFonts w:ascii="Times New Roman" w:eastAsia="MS Mincho" w:hAnsi="Times New Roman" w:cs="Times New Roman"/>
          <w:sz w:val="24"/>
          <w:szCs w:val="24"/>
          <w:lang w:val="es-PR"/>
        </w:rPr>
        <w:t xml:space="preserve"> y el </w:t>
      </w:r>
      <w:r w:rsidRPr="00C23312">
        <w:rPr>
          <w:rFonts w:ascii="Times New Roman" w:eastAsia="MS Mincho" w:hAnsi="Times New Roman" w:cs="Times New Roman"/>
          <w:i/>
          <w:sz w:val="24"/>
          <w:szCs w:val="24"/>
          <w:lang w:val="es-PR"/>
        </w:rPr>
        <w:t>Manual de Planes de Acción nacionales sobre la violencia contra las mujeres</w:t>
      </w:r>
      <w:r w:rsidRPr="00C23312">
        <w:rPr>
          <w:rFonts w:ascii="Times New Roman" w:eastAsia="MS Mincho" w:hAnsi="Times New Roman" w:cs="Times New Roman"/>
          <w:sz w:val="24"/>
          <w:szCs w:val="24"/>
          <w:lang w:val="es-PR"/>
        </w:rPr>
        <w:t xml:space="preserve"> (2012)</w:t>
      </w:r>
      <w:r w:rsidRPr="00C23312">
        <w:rPr>
          <w:rFonts w:ascii="Times New Roman" w:eastAsia="MS Mincho" w:hAnsi="Times New Roman" w:cs="Times New Roman"/>
          <w:szCs w:val="24"/>
          <w:vertAlign w:val="superscript"/>
          <w:lang w:val="es-PR"/>
        </w:rPr>
        <w:t xml:space="preserve"> </w:t>
      </w:r>
      <w:r w:rsidRPr="00C23312">
        <w:rPr>
          <w:rFonts w:ascii="Times New Roman" w:eastAsia="MS Mincho" w:hAnsi="Times New Roman" w:cs="Times New Roman"/>
          <w:szCs w:val="24"/>
          <w:vertAlign w:val="superscript"/>
          <w:lang w:val="es-PR"/>
        </w:rPr>
        <w:footnoteReference w:id="26"/>
      </w:r>
      <w:r w:rsidRPr="00C23312">
        <w:rPr>
          <w:rFonts w:ascii="Times New Roman" w:eastAsia="MS Mincho" w:hAnsi="Times New Roman" w:cs="Times New Roman"/>
          <w:sz w:val="24"/>
          <w:szCs w:val="24"/>
          <w:lang w:val="es-PR"/>
        </w:rPr>
        <w:t>.</w:t>
      </w:r>
    </w:p>
    <w:p w14:paraId="73965A3F"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p>
    <w:p w14:paraId="6A110C4F" w14:textId="77777777" w:rsidR="00C23312" w:rsidRPr="00C23312" w:rsidRDefault="00C23312" w:rsidP="00C23312">
      <w:pPr>
        <w:spacing w:after="0" w:line="240" w:lineRule="auto"/>
        <w:jc w:val="both"/>
        <w:rPr>
          <w:rFonts w:ascii="Times New Roman" w:eastAsia="MS Mincho" w:hAnsi="Times New Roman" w:cs="Times New Roman"/>
          <w:b/>
          <w:sz w:val="24"/>
          <w:szCs w:val="24"/>
          <w:lang w:val="es-PR"/>
        </w:rPr>
      </w:pPr>
      <w:r w:rsidRPr="00C23312">
        <w:rPr>
          <w:rFonts w:ascii="Times New Roman" w:eastAsia="MS Mincho" w:hAnsi="Times New Roman" w:cs="Times New Roman"/>
          <w:b/>
          <w:sz w:val="24"/>
          <w:szCs w:val="24"/>
          <w:lang w:val="es-PR"/>
        </w:rPr>
        <w:t>Política y práctica del Estado</w:t>
      </w:r>
    </w:p>
    <w:p w14:paraId="2B12226B"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p>
    <w:p w14:paraId="71BF360A"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r w:rsidRPr="00C23312">
        <w:rPr>
          <w:rFonts w:ascii="Times New Roman" w:eastAsia="MS Mincho" w:hAnsi="Times New Roman" w:cs="Times New Roman"/>
          <w:sz w:val="24"/>
          <w:szCs w:val="24"/>
          <w:lang w:val="es-PR"/>
        </w:rPr>
        <w:t xml:space="preserve">La situación de violencia contra las mujeres se ha agravado y el Estado no ha implementado estrategias efectivas, sino que ha dejado sin efecto las pocas existentes. A comienzos del año 2017, el gobernador de Puerto Rico dejó sin efecto la carta circular que implementaba el currículo de educación con perspectiva de género. En 2018 nombró a una Procuradora de las Mujeres que </w:t>
      </w:r>
      <w:r w:rsidRPr="00C23312">
        <w:rPr>
          <w:rFonts w:ascii="Times New Roman" w:eastAsia="MS Mincho" w:hAnsi="Times New Roman" w:cs="Times New Roman"/>
          <w:sz w:val="24"/>
          <w:szCs w:val="24"/>
          <w:lang w:val="es-PR"/>
        </w:rPr>
        <w:lastRenderedPageBreak/>
        <w:t xml:space="preserve">desconoce por completo los asuntos de género, responde a los intereses del gobierno y no ha implementado estrategias efectivas y adecuadas.  </w:t>
      </w:r>
    </w:p>
    <w:p w14:paraId="4F890F4C"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p>
    <w:p w14:paraId="581CC594" w14:textId="72D7EE44" w:rsidR="00C23312" w:rsidRPr="00C23312" w:rsidRDefault="00C23312" w:rsidP="00C23312">
      <w:pPr>
        <w:spacing w:after="0" w:line="240" w:lineRule="auto"/>
        <w:jc w:val="both"/>
        <w:rPr>
          <w:rFonts w:ascii="Times New Roman" w:eastAsia="MS Mincho" w:hAnsi="Times New Roman" w:cs="Times New Roman"/>
          <w:sz w:val="24"/>
          <w:szCs w:val="24"/>
          <w:lang w:val="es-PR"/>
        </w:rPr>
      </w:pPr>
      <w:r w:rsidRPr="00C23312">
        <w:rPr>
          <w:rFonts w:ascii="Times New Roman" w:eastAsia="MS Mincho" w:hAnsi="Times New Roman" w:cs="Times New Roman"/>
          <w:sz w:val="24"/>
          <w:szCs w:val="24"/>
          <w:lang w:val="es-PR"/>
        </w:rPr>
        <w:t>La falta de oficiales de la Policía en los cuarteles y la negación de éstos a tomar las querellas en casos de violencia de género, mucho menos investigarlas, ha creado un serio problema de impunidad sobre los actos de violencia, en particular, contra las mujeres. Además, las severas imputaciones que se han hecho contra la Policía como cuerpo y un número considerable de sus miembros que tienen querellas de violencia doméstica pendientes de investigación, laceran la poca confianza que tienen las mujeres en acudir a los cuarteles.  Estos señalamientos no son nuevos, pero se han agravado recientemente.</w:t>
      </w:r>
    </w:p>
    <w:p w14:paraId="62D498FA"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p>
    <w:p w14:paraId="10FDA356" w14:textId="77777777" w:rsidR="00C23312" w:rsidRPr="00C23312" w:rsidRDefault="00C23312" w:rsidP="00C23312">
      <w:pPr>
        <w:spacing w:after="0" w:line="240" w:lineRule="auto"/>
        <w:jc w:val="both"/>
        <w:rPr>
          <w:rFonts w:ascii="Times New Roman" w:eastAsia="MS Mincho" w:hAnsi="Times New Roman" w:cs="Times New Roman"/>
          <w:b/>
          <w:sz w:val="24"/>
          <w:lang w:val="es-PR"/>
        </w:rPr>
      </w:pPr>
      <w:r w:rsidRPr="00C23312">
        <w:rPr>
          <w:rFonts w:ascii="Times New Roman" w:eastAsia="MS Mincho" w:hAnsi="Times New Roman" w:cs="Times New Roman"/>
          <w:b/>
          <w:sz w:val="24"/>
          <w:lang w:val="es-PR"/>
        </w:rPr>
        <w:t>Preguntas recomendadas al Comité</w:t>
      </w:r>
    </w:p>
    <w:p w14:paraId="6D6FDF06" w14:textId="77777777" w:rsidR="00C23312" w:rsidRPr="00C23312" w:rsidRDefault="00C23312" w:rsidP="00C23312">
      <w:pPr>
        <w:spacing w:after="0" w:line="240" w:lineRule="auto"/>
        <w:jc w:val="both"/>
        <w:rPr>
          <w:rFonts w:ascii="Times New Roman" w:eastAsia="MS Mincho" w:hAnsi="Times New Roman" w:cs="Times New Roman"/>
          <w:b/>
          <w:sz w:val="24"/>
          <w:lang w:val="es-PR"/>
        </w:rPr>
      </w:pPr>
    </w:p>
    <w:p w14:paraId="77CBDFA3" w14:textId="246B664C" w:rsidR="00C23312" w:rsidRPr="00C23312" w:rsidRDefault="00C23312" w:rsidP="00C23312">
      <w:pPr>
        <w:numPr>
          <w:ilvl w:val="0"/>
          <w:numId w:val="4"/>
        </w:numPr>
        <w:spacing w:after="0" w:line="240" w:lineRule="auto"/>
        <w:contextualSpacing/>
        <w:jc w:val="both"/>
        <w:rPr>
          <w:rFonts w:ascii="Times New Roman" w:eastAsia="MS Mincho" w:hAnsi="Times New Roman" w:cs="Times New Roman"/>
          <w:sz w:val="24"/>
          <w:szCs w:val="24"/>
          <w:lang w:val="es-PR"/>
        </w:rPr>
      </w:pPr>
      <w:r w:rsidRPr="00C23312">
        <w:rPr>
          <w:rFonts w:ascii="Times New Roman" w:eastAsia="MS Mincho" w:hAnsi="Times New Roman" w:cs="Times New Roman"/>
          <w:sz w:val="24"/>
          <w:szCs w:val="24"/>
          <w:lang w:val="es-PR"/>
        </w:rPr>
        <w:t>¿Por qué razón el Gobierno de Puerto Rico eliminó el currículo con perspectiva de género en las escuelas?</w:t>
      </w:r>
    </w:p>
    <w:p w14:paraId="7A9B3EFA" w14:textId="77777777" w:rsidR="00C23312" w:rsidRPr="00C23312" w:rsidRDefault="00C23312" w:rsidP="00C23312">
      <w:pPr>
        <w:numPr>
          <w:ilvl w:val="0"/>
          <w:numId w:val="4"/>
        </w:numPr>
        <w:spacing w:after="0" w:line="240" w:lineRule="auto"/>
        <w:jc w:val="both"/>
        <w:rPr>
          <w:rFonts w:ascii="Times New Roman" w:eastAsia="MS Mincho" w:hAnsi="Times New Roman" w:cs="Times New Roman"/>
          <w:sz w:val="24"/>
          <w:szCs w:val="24"/>
          <w:lang w:val="es-PR"/>
        </w:rPr>
      </w:pPr>
      <w:r w:rsidRPr="00C23312">
        <w:rPr>
          <w:rFonts w:ascii="Times New Roman" w:eastAsia="MS Mincho" w:hAnsi="Times New Roman" w:cs="Times New Roman"/>
          <w:sz w:val="24"/>
          <w:szCs w:val="24"/>
          <w:lang w:val="es-PR"/>
        </w:rPr>
        <w:t>¿Qué medidas específicas ha implementado el gobierno para prevenir y atender la violencia de género?</w:t>
      </w:r>
    </w:p>
    <w:p w14:paraId="30CBE9EB"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p>
    <w:p w14:paraId="19D9A1D5"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r w:rsidRPr="00C23312">
        <w:rPr>
          <w:rFonts w:ascii="Times New Roman" w:eastAsia="MS Mincho" w:hAnsi="Times New Roman" w:cs="Times New Roman"/>
          <w:b/>
          <w:sz w:val="24"/>
          <w:lang w:val="es-PR"/>
        </w:rPr>
        <w:t>Sugerencias de recomendaciones por el Comité</w:t>
      </w:r>
    </w:p>
    <w:p w14:paraId="4D222A77" w14:textId="77777777" w:rsidR="00C23312" w:rsidRPr="00C23312" w:rsidRDefault="00C23312" w:rsidP="00C23312">
      <w:pPr>
        <w:spacing w:after="0" w:line="240" w:lineRule="auto"/>
        <w:jc w:val="both"/>
        <w:rPr>
          <w:rFonts w:ascii="Times New Roman" w:eastAsia="MS Mincho" w:hAnsi="Times New Roman" w:cs="Times New Roman"/>
          <w:sz w:val="24"/>
          <w:szCs w:val="24"/>
          <w:lang w:val="es-PR"/>
        </w:rPr>
      </w:pPr>
    </w:p>
    <w:p w14:paraId="32C3F903" w14:textId="77777777" w:rsidR="00C23312" w:rsidRPr="00C23312" w:rsidRDefault="00C23312" w:rsidP="00C23312">
      <w:pPr>
        <w:numPr>
          <w:ilvl w:val="0"/>
          <w:numId w:val="5"/>
        </w:numPr>
        <w:spacing w:after="0" w:line="240" w:lineRule="auto"/>
        <w:contextualSpacing/>
        <w:jc w:val="both"/>
        <w:rPr>
          <w:rFonts w:ascii="Times New Roman" w:eastAsia="MS Mincho" w:hAnsi="Times New Roman" w:cs="Times New Roman"/>
          <w:sz w:val="24"/>
          <w:szCs w:val="24"/>
          <w:lang w:val="es-PR"/>
        </w:rPr>
      </w:pPr>
      <w:r w:rsidRPr="00C23312">
        <w:rPr>
          <w:rFonts w:ascii="Times New Roman" w:eastAsia="MS Mincho" w:hAnsi="Times New Roman" w:cs="Times New Roman"/>
          <w:sz w:val="24"/>
          <w:szCs w:val="24"/>
          <w:lang w:val="es-PR"/>
        </w:rPr>
        <w:t>Debe efectuarse un adiestramiento intensivo a los miembros de la Policía de Puerto Rico sobre el manejo de los casos de violencia doméstica desde el momento en que las mujeres acuden a los cuarteles hasta las etapas finales de juicio, subrayando la importancia de la toma de querellas e investigación adecuada.</w:t>
      </w:r>
    </w:p>
    <w:p w14:paraId="3A3CF66B" w14:textId="77777777" w:rsidR="00C23312" w:rsidRPr="00C23312" w:rsidRDefault="00C23312" w:rsidP="00C23312">
      <w:pPr>
        <w:numPr>
          <w:ilvl w:val="0"/>
          <w:numId w:val="5"/>
        </w:numPr>
        <w:spacing w:after="0" w:line="240" w:lineRule="auto"/>
        <w:contextualSpacing/>
        <w:jc w:val="both"/>
        <w:rPr>
          <w:rFonts w:ascii="Times New Roman" w:eastAsia="MS Mincho" w:hAnsi="Times New Roman" w:cs="Times New Roman"/>
          <w:sz w:val="24"/>
          <w:szCs w:val="24"/>
          <w:lang w:val="es-PR"/>
        </w:rPr>
      </w:pPr>
      <w:r w:rsidRPr="00C23312">
        <w:rPr>
          <w:rFonts w:ascii="Times New Roman" w:eastAsia="MS Mincho" w:hAnsi="Times New Roman" w:cs="Times New Roman"/>
          <w:sz w:val="24"/>
          <w:szCs w:val="24"/>
          <w:lang w:val="es-PR"/>
        </w:rPr>
        <w:t>El Estado debe ser proactivo en la implementación de estrategias de prevención de violencia contra las mujeres, empezando por la reinstauración del currículo con perspectiva de género en el Departamento de Educación.</w:t>
      </w:r>
    </w:p>
    <w:p w14:paraId="02238983" w14:textId="47292ABB" w:rsidR="00C23312" w:rsidRPr="00C23312" w:rsidRDefault="00C23312" w:rsidP="00C23312">
      <w:pPr>
        <w:numPr>
          <w:ilvl w:val="0"/>
          <w:numId w:val="5"/>
        </w:numPr>
        <w:spacing w:after="0" w:line="240" w:lineRule="auto"/>
        <w:contextualSpacing/>
        <w:jc w:val="both"/>
        <w:rPr>
          <w:rFonts w:ascii="Times New Roman" w:eastAsia="MS Mincho" w:hAnsi="Times New Roman" w:cs="Times New Roman"/>
          <w:sz w:val="24"/>
          <w:szCs w:val="24"/>
          <w:lang w:val="es-PR"/>
        </w:rPr>
      </w:pPr>
      <w:r w:rsidRPr="00C23312">
        <w:rPr>
          <w:rFonts w:ascii="Times New Roman" w:eastAsia="MS Mincho" w:hAnsi="Times New Roman" w:cs="Times New Roman"/>
          <w:sz w:val="24"/>
          <w:szCs w:val="24"/>
          <w:lang w:val="es-PR"/>
        </w:rPr>
        <w:t xml:space="preserve">El Estado debe garantizar los recursos necesarios para que el Negociado de Ciencias Forenses pueda analizar la evidencia genética </w:t>
      </w:r>
      <w:r w:rsidR="00241061" w:rsidRPr="00CA45C9">
        <w:rPr>
          <w:rFonts w:ascii="Times New Roman" w:eastAsia="MS Mincho" w:hAnsi="Times New Roman" w:cs="Times New Roman"/>
          <w:sz w:val="24"/>
          <w:szCs w:val="24"/>
          <w:lang w:val="es-PR"/>
        </w:rPr>
        <w:t>con</w:t>
      </w:r>
      <w:r w:rsidR="00241061">
        <w:rPr>
          <w:rFonts w:ascii="Times New Roman" w:eastAsia="MS Mincho" w:hAnsi="Times New Roman" w:cs="Times New Roman"/>
          <w:sz w:val="24"/>
          <w:szCs w:val="24"/>
          <w:lang w:val="es-PR"/>
        </w:rPr>
        <w:t xml:space="preserve"> </w:t>
      </w:r>
      <w:r w:rsidR="00CA45C9">
        <w:rPr>
          <w:rFonts w:ascii="Times New Roman" w:eastAsia="MS Mincho" w:hAnsi="Times New Roman" w:cs="Times New Roman"/>
          <w:sz w:val="24"/>
          <w:szCs w:val="24"/>
          <w:lang w:val="es-PR"/>
        </w:rPr>
        <w:t xml:space="preserve">la </w:t>
      </w:r>
      <w:r w:rsidRPr="00C23312">
        <w:rPr>
          <w:rFonts w:ascii="Times New Roman" w:eastAsia="MS Mincho" w:hAnsi="Times New Roman" w:cs="Times New Roman"/>
          <w:sz w:val="24"/>
          <w:szCs w:val="24"/>
          <w:lang w:val="es-PR"/>
        </w:rPr>
        <w:t>que cuentan en casos de agresión sexual, de manera que continúen estas investigaciones criminales y puedan procesar judicialmente a los culpables.</w:t>
      </w:r>
    </w:p>
    <w:p w14:paraId="285F0EC1" w14:textId="77777777" w:rsidR="00087CCE" w:rsidRDefault="00087CCE" w:rsidP="0058750F">
      <w:pPr>
        <w:pBdr>
          <w:bottom w:val="double" w:sz="6" w:space="1" w:color="auto"/>
        </w:pBdr>
        <w:spacing w:after="0" w:line="240" w:lineRule="auto"/>
        <w:jc w:val="both"/>
        <w:rPr>
          <w:rFonts w:ascii="Times New Roman" w:hAnsi="Times New Roman" w:cs="Times New Roman"/>
          <w:sz w:val="24"/>
          <w:lang w:val="es-PR"/>
        </w:rPr>
      </w:pPr>
    </w:p>
    <w:p w14:paraId="61C5C360" w14:textId="77777777" w:rsidR="00C23312" w:rsidRDefault="00C23312" w:rsidP="0058750F">
      <w:pPr>
        <w:spacing w:after="0" w:line="240" w:lineRule="auto"/>
        <w:jc w:val="both"/>
        <w:rPr>
          <w:rFonts w:ascii="Times New Roman" w:hAnsi="Times New Roman" w:cs="Times New Roman"/>
          <w:sz w:val="24"/>
          <w:lang w:val="es-PR"/>
        </w:rPr>
      </w:pPr>
    </w:p>
    <w:p w14:paraId="7AE532BB" w14:textId="77777777" w:rsidR="00BD2663" w:rsidRPr="00BD2663" w:rsidRDefault="00BD2663" w:rsidP="00BD2663">
      <w:pPr>
        <w:spacing w:after="0" w:line="240" w:lineRule="auto"/>
        <w:rPr>
          <w:rFonts w:ascii="Times New Roman" w:eastAsia="MS Mincho" w:hAnsi="Times New Roman" w:cs="Times New Roman"/>
          <w:i/>
          <w:sz w:val="24"/>
          <w:lang w:val="es-PR"/>
        </w:rPr>
      </w:pPr>
      <w:r w:rsidRPr="00BD2663">
        <w:rPr>
          <w:rFonts w:ascii="Times New Roman" w:eastAsia="MS Mincho" w:hAnsi="Times New Roman" w:cs="Times New Roman"/>
          <w:b/>
          <w:i/>
          <w:sz w:val="24"/>
          <w:lang w:val="es-PR"/>
        </w:rPr>
        <w:t xml:space="preserve">Cuestión #4 </w:t>
      </w:r>
      <w:r w:rsidRPr="00BD2663">
        <w:rPr>
          <w:rFonts w:ascii="Times New Roman" w:eastAsia="MS Mincho" w:hAnsi="Times New Roman" w:cs="Times New Roman"/>
          <w:i/>
          <w:sz w:val="24"/>
          <w:lang w:val="es-PR"/>
        </w:rPr>
        <w:t>-Uso excesivo de la fuerza y represión por la Policía de Puerto Rico</w:t>
      </w:r>
    </w:p>
    <w:p w14:paraId="45D82F9D" w14:textId="77777777" w:rsidR="00BD2663" w:rsidRPr="00BD2663" w:rsidRDefault="00BD2663" w:rsidP="00BD2663">
      <w:pPr>
        <w:spacing w:after="0" w:line="240" w:lineRule="auto"/>
        <w:jc w:val="both"/>
        <w:rPr>
          <w:rFonts w:ascii="Times New Roman" w:eastAsia="MS Mincho" w:hAnsi="Times New Roman" w:cs="Times New Roman"/>
          <w:i/>
          <w:sz w:val="24"/>
          <w:lang w:val="es-PR"/>
        </w:rPr>
      </w:pPr>
    </w:p>
    <w:p w14:paraId="11A7614C" w14:textId="77777777" w:rsidR="00BD2663" w:rsidRPr="00BD2663" w:rsidRDefault="00BD2663" w:rsidP="00BD2663">
      <w:pPr>
        <w:spacing w:after="0" w:line="240" w:lineRule="auto"/>
        <w:jc w:val="both"/>
        <w:rPr>
          <w:rFonts w:ascii="Times New Roman" w:eastAsia="MS Mincho" w:hAnsi="Times New Roman" w:cs="Times New Roman"/>
          <w:sz w:val="24"/>
          <w:lang w:val="es-PR"/>
        </w:rPr>
      </w:pPr>
      <w:r w:rsidRPr="00BD2663">
        <w:rPr>
          <w:rFonts w:ascii="Times New Roman" w:eastAsia="MS Mincho" w:hAnsi="Times New Roman" w:cs="Times New Roman"/>
          <w:sz w:val="24"/>
          <w:lang w:val="es-PR"/>
        </w:rPr>
        <w:t>La Policía de Puerto Rico (PPR) se encuentra en un proceso de reforma y supervisión judicial a raíz de las demandas presentadas por la American Civil Liberties Union de Puerto Rico y posteriormente, la División de Derechos Civiles del Departamento de Justicia federal.  El Tribunal Federal, a través del Juez Gustavo Gelpí, supervisa el proceso de cumplimiento con el acuerdo resultante que impuso la supervisión por parte del monitor federal Arnaldo Claudio.</w:t>
      </w:r>
    </w:p>
    <w:p w14:paraId="5D4C4A1E" w14:textId="77777777" w:rsidR="00BD2663" w:rsidRPr="00BD2663" w:rsidRDefault="00BD2663" w:rsidP="00BD2663">
      <w:pPr>
        <w:spacing w:after="0" w:line="240" w:lineRule="auto"/>
        <w:jc w:val="both"/>
        <w:rPr>
          <w:rFonts w:ascii="Times New Roman" w:eastAsia="MS Mincho" w:hAnsi="Times New Roman" w:cs="Times New Roman"/>
          <w:sz w:val="24"/>
          <w:lang w:val="es-PR"/>
        </w:rPr>
      </w:pPr>
    </w:p>
    <w:p w14:paraId="52C452DD" w14:textId="5EAF6D71" w:rsidR="00BD2663" w:rsidRPr="00BD2663" w:rsidRDefault="00BD2663" w:rsidP="00BD2663">
      <w:pPr>
        <w:spacing w:after="0" w:line="240" w:lineRule="auto"/>
        <w:jc w:val="both"/>
        <w:rPr>
          <w:rFonts w:ascii="Times New Roman" w:eastAsia="MS Mincho" w:hAnsi="Times New Roman" w:cs="Times New Roman"/>
          <w:sz w:val="24"/>
          <w:lang w:val="es-PR"/>
        </w:rPr>
      </w:pPr>
      <w:r w:rsidRPr="00BD2663">
        <w:rPr>
          <w:rFonts w:ascii="Times New Roman" w:eastAsia="MS Mincho" w:hAnsi="Times New Roman" w:cs="Times New Roman"/>
          <w:sz w:val="24"/>
          <w:lang w:val="es-PR"/>
        </w:rPr>
        <w:t>Los incidentes de uso excesivo de la fuerza por la PPR no son nuevos y datan desde su creación.</w:t>
      </w:r>
      <w:r w:rsidR="008469A1">
        <w:rPr>
          <w:rFonts w:ascii="Times New Roman" w:eastAsia="MS Mincho" w:hAnsi="Times New Roman" w:cs="Times New Roman"/>
          <w:sz w:val="24"/>
          <w:lang w:val="es-PR"/>
        </w:rPr>
        <w:t xml:space="preserve">  </w:t>
      </w:r>
      <w:r w:rsidR="008469A1" w:rsidRPr="00CA45C9">
        <w:rPr>
          <w:rFonts w:ascii="Times New Roman" w:eastAsia="MS Mincho" w:hAnsi="Times New Roman" w:cs="Times New Roman"/>
          <w:sz w:val="24"/>
          <w:lang w:val="es-PR"/>
        </w:rPr>
        <w:t xml:space="preserve">La Policía de Puerto Rico </w:t>
      </w:r>
      <w:r w:rsidR="00CA45C9">
        <w:rPr>
          <w:rFonts w:ascii="Times New Roman" w:eastAsia="MS Mincho" w:hAnsi="Times New Roman" w:cs="Times New Roman"/>
          <w:sz w:val="24"/>
          <w:lang w:val="es-PR"/>
        </w:rPr>
        <w:t xml:space="preserve">fue utilizada </w:t>
      </w:r>
      <w:r w:rsidR="008469A1" w:rsidRPr="00CA45C9">
        <w:rPr>
          <w:rFonts w:ascii="Times New Roman" w:eastAsia="MS Mincho" w:hAnsi="Times New Roman" w:cs="Times New Roman"/>
          <w:sz w:val="24"/>
          <w:lang w:val="es-PR"/>
        </w:rPr>
        <w:t xml:space="preserve">desde sus comienzos como un </w:t>
      </w:r>
      <w:r w:rsidR="00CA45C9">
        <w:rPr>
          <w:rFonts w:ascii="Times New Roman" w:eastAsia="MS Mincho" w:hAnsi="Times New Roman" w:cs="Times New Roman"/>
          <w:sz w:val="24"/>
          <w:lang w:val="es-PR"/>
        </w:rPr>
        <w:t>instrumento</w:t>
      </w:r>
      <w:r w:rsidR="008469A1" w:rsidRPr="00CA45C9">
        <w:rPr>
          <w:rFonts w:ascii="Times New Roman" w:eastAsia="MS Mincho" w:hAnsi="Times New Roman" w:cs="Times New Roman"/>
          <w:sz w:val="24"/>
          <w:lang w:val="es-PR"/>
        </w:rPr>
        <w:t xml:space="preserve"> de represión política contra el independentismo de </w:t>
      </w:r>
      <w:r w:rsidR="00AD6BDC">
        <w:rPr>
          <w:rFonts w:ascii="Times New Roman" w:eastAsia="MS Mincho" w:hAnsi="Times New Roman" w:cs="Times New Roman"/>
          <w:sz w:val="24"/>
          <w:lang w:val="es-PR"/>
        </w:rPr>
        <w:t>los Estados Unidos</w:t>
      </w:r>
      <w:r w:rsidR="008469A1" w:rsidRPr="00CA45C9">
        <w:rPr>
          <w:rFonts w:ascii="Times New Roman" w:eastAsia="MS Mincho" w:hAnsi="Times New Roman" w:cs="Times New Roman"/>
          <w:sz w:val="24"/>
          <w:lang w:val="es-PR"/>
        </w:rPr>
        <w:t xml:space="preserve"> en Puerto Rico</w:t>
      </w:r>
      <w:r w:rsidR="008469A1">
        <w:rPr>
          <w:rFonts w:ascii="Times New Roman" w:eastAsia="MS Mincho" w:hAnsi="Times New Roman" w:cs="Times New Roman"/>
          <w:sz w:val="24"/>
          <w:lang w:val="es-PR"/>
        </w:rPr>
        <w:t>.</w:t>
      </w:r>
      <w:r w:rsidRPr="00BD2663">
        <w:rPr>
          <w:rFonts w:ascii="Times New Roman" w:eastAsia="MS Mincho" w:hAnsi="Times New Roman" w:cs="Times New Roman"/>
          <w:sz w:val="24"/>
          <w:lang w:val="es-PR"/>
        </w:rPr>
        <w:t xml:space="preserve"> En particular, se ha señalado como una de las faltas principales la ausencia de recopilación de informes de incidentes de uso de fuerza, así como de datos y estadísticas. Esto impide la verdadera supervisión e implementación de estrategias dirigidas a evaluar la capacitación y adiestramiento o la necesidad </w:t>
      </w:r>
      <w:r w:rsidRPr="00BD2663">
        <w:rPr>
          <w:rFonts w:ascii="Times New Roman" w:eastAsia="MS Mincho" w:hAnsi="Times New Roman" w:cs="Times New Roman"/>
          <w:sz w:val="24"/>
          <w:lang w:val="es-PR"/>
        </w:rPr>
        <w:lastRenderedPageBreak/>
        <w:t>de suspender o remover de sus puestos a policías que abusan de su poder, en detrimento de la seguridad de la ciudadanía. Se ha registrado uso de fuerza excesivo de distintos grados hasta aquellos de carácter letal, sobre todo en contra de las poblaciones más vulnerables, como personas pobres, jóvenes, negras, extranjeras y transgénero.</w:t>
      </w:r>
    </w:p>
    <w:p w14:paraId="50ABCCB0" w14:textId="77777777" w:rsidR="00BD2663" w:rsidRPr="00BD2663" w:rsidRDefault="00BD2663" w:rsidP="00BD2663">
      <w:pPr>
        <w:spacing w:after="0" w:line="240" w:lineRule="auto"/>
        <w:jc w:val="both"/>
        <w:rPr>
          <w:rFonts w:ascii="Times New Roman" w:eastAsia="MS Mincho" w:hAnsi="Times New Roman" w:cs="Times New Roman"/>
          <w:sz w:val="24"/>
          <w:lang w:val="es-PR"/>
        </w:rPr>
      </w:pPr>
    </w:p>
    <w:p w14:paraId="69D8650F" w14:textId="42876AF6" w:rsidR="00BD2663" w:rsidRPr="00BD2663" w:rsidRDefault="00BD2663" w:rsidP="00BD2663">
      <w:pPr>
        <w:spacing w:after="0" w:line="240" w:lineRule="auto"/>
        <w:jc w:val="both"/>
        <w:rPr>
          <w:rFonts w:ascii="Times New Roman" w:eastAsia="MS Mincho" w:hAnsi="Times New Roman" w:cs="Times New Roman"/>
          <w:sz w:val="24"/>
          <w:lang w:val="es-PR"/>
        </w:rPr>
      </w:pPr>
      <w:r w:rsidRPr="00BD2663">
        <w:rPr>
          <w:rFonts w:ascii="Times New Roman" w:eastAsia="MS Mincho" w:hAnsi="Times New Roman" w:cs="Times New Roman"/>
          <w:sz w:val="24"/>
          <w:lang w:val="es-PR"/>
        </w:rPr>
        <w:t>En años recientes, también se ha recrudecido la represión contra manifestantes y grupos que se oponen a las políticas de austeridad del Gobierno de Puerto Rico. Actualmente existe una gran disminución en el número de agentes de la PPR, debido a que se han retirado, renunciado o han sido removidos de sus puestos. Resulta preocupante que en un contexto donde los cuarteles están vacíos y hay pocas patrullas, se hagan despliegues excesivos y desproporcionados de oficiales</w:t>
      </w:r>
      <w:r w:rsidR="00AD6BDC">
        <w:rPr>
          <w:rFonts w:ascii="Times New Roman" w:eastAsia="MS Mincho" w:hAnsi="Times New Roman" w:cs="Times New Roman"/>
          <w:sz w:val="24"/>
          <w:lang w:val="es-PR"/>
        </w:rPr>
        <w:t xml:space="preserve"> de la PPR de todos los pueblos</w:t>
      </w:r>
      <w:r w:rsidRPr="00BD2663">
        <w:rPr>
          <w:rFonts w:ascii="Times New Roman" w:eastAsia="MS Mincho" w:hAnsi="Times New Roman" w:cs="Times New Roman"/>
          <w:sz w:val="24"/>
          <w:lang w:val="es-PR"/>
        </w:rPr>
        <w:t xml:space="preserve">, para enfrentar manifestaciones pacíficas que en ocasiones no exceden a las 200 personas (con 500 policías) y en otras más nutridas.  </w:t>
      </w:r>
    </w:p>
    <w:p w14:paraId="2DA9EA95" w14:textId="77777777" w:rsidR="00BD2663" w:rsidRPr="00BD2663" w:rsidRDefault="00BD2663" w:rsidP="00BD2663">
      <w:pPr>
        <w:spacing w:after="0" w:line="240" w:lineRule="auto"/>
        <w:jc w:val="both"/>
        <w:rPr>
          <w:rFonts w:ascii="Times New Roman" w:eastAsia="MS Mincho" w:hAnsi="Times New Roman" w:cs="Times New Roman"/>
          <w:sz w:val="24"/>
          <w:lang w:val="es-PR"/>
        </w:rPr>
      </w:pPr>
    </w:p>
    <w:p w14:paraId="6A9932D0" w14:textId="24EAB7B9" w:rsidR="00BD2663" w:rsidRPr="00BD2663" w:rsidRDefault="00BD2663" w:rsidP="00BD2663">
      <w:pPr>
        <w:spacing w:after="0" w:line="240" w:lineRule="auto"/>
        <w:jc w:val="both"/>
        <w:rPr>
          <w:rFonts w:ascii="Times New Roman" w:eastAsia="MS Mincho" w:hAnsi="Times New Roman" w:cs="Times New Roman"/>
          <w:sz w:val="24"/>
          <w:lang w:val="es-PR"/>
        </w:rPr>
      </w:pPr>
      <w:r w:rsidRPr="00BD2663">
        <w:rPr>
          <w:rFonts w:ascii="Times New Roman" w:eastAsia="MS Mincho" w:hAnsi="Times New Roman" w:cs="Times New Roman"/>
          <w:sz w:val="24"/>
          <w:lang w:val="es-PR"/>
        </w:rPr>
        <w:t>Hacemos referencia particularmente a los paros nacionales del 1 de mayo de 2017 y 2018. En ambas manifestaciones multitudinarias se utilizó la fuerza policiaca de manera excesiva y en violación a la libertad de expresión y otros derechos constitucionales</w:t>
      </w:r>
      <w:r w:rsidRPr="00BD2663">
        <w:rPr>
          <w:rFonts w:ascii="Times New Roman" w:eastAsia="MS Mincho" w:hAnsi="Times New Roman" w:cs="Times New Roman"/>
          <w:vertAlign w:val="superscript"/>
          <w:lang w:val="es-PR"/>
        </w:rPr>
        <w:footnoteReference w:id="27"/>
      </w:r>
      <w:r w:rsidRPr="00BD2663">
        <w:rPr>
          <w:rFonts w:ascii="Times New Roman" w:eastAsia="MS Mincho" w:hAnsi="Times New Roman" w:cs="Times New Roman"/>
          <w:sz w:val="24"/>
          <w:lang w:val="es-PR"/>
        </w:rPr>
        <w:t>. Se distingue el uso indiscriminado del gas pimienta, las macanas o batones, gases lacrimógenos, escopetas de balas de hule</w:t>
      </w:r>
      <w:r w:rsidR="008469A1">
        <w:rPr>
          <w:rFonts w:ascii="Times New Roman" w:eastAsia="MS Mincho" w:hAnsi="Times New Roman" w:cs="Times New Roman"/>
          <w:sz w:val="24"/>
          <w:lang w:val="es-PR"/>
        </w:rPr>
        <w:t xml:space="preserve">, </w:t>
      </w:r>
      <w:r w:rsidR="008469A1" w:rsidRPr="00AD6BDC">
        <w:rPr>
          <w:rFonts w:ascii="Times New Roman" w:eastAsia="MS Mincho" w:hAnsi="Times New Roman" w:cs="Times New Roman"/>
          <w:sz w:val="24"/>
          <w:lang w:val="es-PR"/>
        </w:rPr>
        <w:t>perdigones</w:t>
      </w:r>
      <w:r w:rsidRPr="00BD2663">
        <w:rPr>
          <w:rFonts w:ascii="Times New Roman" w:eastAsia="MS Mincho" w:hAnsi="Times New Roman" w:cs="Times New Roman"/>
          <w:sz w:val="24"/>
          <w:lang w:val="es-PR"/>
        </w:rPr>
        <w:t xml:space="preserve"> y otros. Esto estuvo acompañado por el registro y grabación de organizaciones políticas e individuos por parte de las unidades de inteligencia de la PPR, como el Centro de Recopilación, Análisis y Diseminación de Inteligencia Criminal (CRADIC). El almacenamiento de estas grabaciones en el servidor de la PPR por tiempo indefinido ha creado un clima de represión y carpeteo (“blacklisting”). </w:t>
      </w:r>
    </w:p>
    <w:p w14:paraId="123F49DB" w14:textId="77777777" w:rsidR="00BD2663" w:rsidRPr="00BD2663" w:rsidRDefault="00BD2663" w:rsidP="00BD2663">
      <w:pPr>
        <w:spacing w:after="0" w:line="240" w:lineRule="auto"/>
        <w:jc w:val="both"/>
        <w:rPr>
          <w:rFonts w:ascii="Times New Roman" w:eastAsia="MS Mincho" w:hAnsi="Times New Roman" w:cs="Times New Roman"/>
          <w:sz w:val="24"/>
          <w:lang w:val="es-PR"/>
        </w:rPr>
      </w:pPr>
    </w:p>
    <w:p w14:paraId="21010671" w14:textId="77777777" w:rsidR="00BD2663" w:rsidRPr="00BD2663" w:rsidRDefault="00BD2663" w:rsidP="00BD2663">
      <w:pPr>
        <w:spacing w:after="0" w:line="240" w:lineRule="auto"/>
        <w:jc w:val="both"/>
        <w:rPr>
          <w:rFonts w:ascii="Times New Roman" w:eastAsia="MS Mincho" w:hAnsi="Times New Roman" w:cs="Times New Roman"/>
          <w:sz w:val="24"/>
          <w:lang w:val="es-PR"/>
        </w:rPr>
      </w:pPr>
      <w:r w:rsidRPr="00BD2663">
        <w:rPr>
          <w:rFonts w:ascii="Times New Roman" w:eastAsia="MS Mincho" w:hAnsi="Times New Roman" w:cs="Times New Roman"/>
          <w:sz w:val="24"/>
          <w:lang w:val="es-PR"/>
        </w:rPr>
        <w:t>La dirección actual de la Departamento de Seguridad Pública, a través de su Secretario, Héctor Pesquera, ha limitado la implementación cabal de la reforma de la PPR y lo que motiva al incumplimiento con las políticas y protocolos que tienen que llevarse a cabo para subsanar todos los señalamientos sobre el asunto que nos ocupa.</w:t>
      </w:r>
    </w:p>
    <w:p w14:paraId="3F60D326" w14:textId="77777777" w:rsidR="00BD2663" w:rsidRPr="00BD2663" w:rsidRDefault="00BD2663" w:rsidP="00BD2663">
      <w:pPr>
        <w:spacing w:after="0" w:line="240" w:lineRule="auto"/>
        <w:jc w:val="both"/>
        <w:rPr>
          <w:rFonts w:ascii="Times New Roman" w:eastAsia="MS Mincho" w:hAnsi="Times New Roman" w:cs="Times New Roman"/>
          <w:sz w:val="24"/>
          <w:lang w:val="es-PR"/>
        </w:rPr>
      </w:pPr>
    </w:p>
    <w:p w14:paraId="00913831" w14:textId="77777777" w:rsidR="00BD2663" w:rsidRPr="00BD2663" w:rsidRDefault="00BD2663" w:rsidP="00BD2663">
      <w:pPr>
        <w:spacing w:after="0" w:line="240" w:lineRule="auto"/>
        <w:rPr>
          <w:rFonts w:ascii="Times New Roman" w:eastAsia="MS Mincho" w:hAnsi="Times New Roman" w:cs="Times New Roman"/>
          <w:b/>
          <w:sz w:val="24"/>
          <w:lang w:val="es-PR"/>
        </w:rPr>
      </w:pPr>
      <w:r w:rsidRPr="00BD2663">
        <w:rPr>
          <w:rFonts w:ascii="Times New Roman" w:eastAsia="MS Mincho" w:hAnsi="Times New Roman" w:cs="Times New Roman"/>
          <w:b/>
          <w:sz w:val="24"/>
          <w:lang w:val="es-PR"/>
        </w:rPr>
        <w:t>Artículos del PIDCP pertinentes</w:t>
      </w:r>
    </w:p>
    <w:p w14:paraId="5E256C0B" w14:textId="77777777" w:rsidR="00BD2663" w:rsidRPr="00BD2663" w:rsidRDefault="00BD2663" w:rsidP="00BD2663">
      <w:pPr>
        <w:spacing w:after="0" w:line="240" w:lineRule="auto"/>
        <w:jc w:val="both"/>
        <w:rPr>
          <w:rFonts w:ascii="Times New Roman" w:eastAsia="MS Mincho" w:hAnsi="Times New Roman" w:cs="Times New Roman"/>
          <w:sz w:val="24"/>
          <w:lang w:val="es-PR"/>
        </w:rPr>
      </w:pPr>
      <w:r w:rsidRPr="00BD2663">
        <w:rPr>
          <w:rFonts w:ascii="Times New Roman" w:eastAsia="MS Mincho" w:hAnsi="Times New Roman" w:cs="Times New Roman"/>
          <w:sz w:val="24"/>
          <w:lang w:val="es-PR"/>
        </w:rPr>
        <w:t xml:space="preserve"> </w:t>
      </w:r>
    </w:p>
    <w:p w14:paraId="5CAEBD55" w14:textId="77777777" w:rsidR="00BD2663" w:rsidRPr="00BD2663" w:rsidRDefault="00BD2663" w:rsidP="00BD2663">
      <w:pPr>
        <w:spacing w:after="0" w:line="240" w:lineRule="auto"/>
        <w:jc w:val="both"/>
        <w:rPr>
          <w:rFonts w:ascii="Times New Roman" w:eastAsia="MS Mincho" w:hAnsi="Times New Roman" w:cs="Times New Roman"/>
          <w:sz w:val="24"/>
          <w:lang w:val="es-PR"/>
        </w:rPr>
      </w:pPr>
      <w:r w:rsidRPr="00BD2663">
        <w:rPr>
          <w:rFonts w:ascii="Times New Roman" w:eastAsia="MS Mincho" w:hAnsi="Times New Roman" w:cs="Times New Roman"/>
          <w:sz w:val="24"/>
          <w:lang w:val="es-PR"/>
        </w:rPr>
        <w:t xml:space="preserve">Artículos 1, 2, 6, 9, 14, 17, 19, 21 y 26 </w:t>
      </w:r>
    </w:p>
    <w:p w14:paraId="36A25B4B" w14:textId="77777777" w:rsidR="00BD2663" w:rsidRPr="00BD2663" w:rsidRDefault="00BD2663" w:rsidP="00BD2663">
      <w:pPr>
        <w:spacing w:after="0" w:line="240" w:lineRule="auto"/>
        <w:jc w:val="both"/>
        <w:rPr>
          <w:rFonts w:ascii="Times New Roman" w:eastAsia="MS Mincho" w:hAnsi="Times New Roman" w:cs="Times New Roman"/>
          <w:sz w:val="24"/>
          <w:lang w:val="es-PR"/>
        </w:rPr>
      </w:pPr>
    </w:p>
    <w:p w14:paraId="0B7B84D1" w14:textId="3B5204BD" w:rsidR="00BD2663" w:rsidRPr="00BD2663" w:rsidRDefault="00BD2663" w:rsidP="00BD2663">
      <w:pPr>
        <w:spacing w:after="0" w:line="240" w:lineRule="auto"/>
        <w:jc w:val="both"/>
        <w:rPr>
          <w:rFonts w:ascii="Times New Roman" w:eastAsia="MS Mincho" w:hAnsi="Times New Roman" w:cs="Times New Roman"/>
          <w:sz w:val="24"/>
          <w:szCs w:val="24"/>
          <w:lang w:val="es-PR"/>
        </w:rPr>
      </w:pPr>
      <w:r w:rsidRPr="00BD2663">
        <w:rPr>
          <w:rFonts w:ascii="Times New Roman" w:eastAsia="MS Mincho" w:hAnsi="Times New Roman" w:cs="Times New Roman"/>
          <w:b/>
          <w:sz w:val="24"/>
          <w:lang w:val="es-PR"/>
        </w:rPr>
        <w:t>Recomendaciones de órganos de derechos humanos –</w:t>
      </w:r>
      <w:r w:rsidR="00AD6BDC">
        <w:rPr>
          <w:rFonts w:ascii="Times New Roman" w:eastAsia="MS Mincho" w:hAnsi="Times New Roman" w:cs="Times New Roman"/>
          <w:b/>
          <w:sz w:val="24"/>
          <w:lang w:val="es-PR"/>
        </w:rPr>
        <w:t xml:space="preserve"> </w:t>
      </w:r>
      <w:r w:rsidRPr="00BD2663">
        <w:rPr>
          <w:rFonts w:ascii="Times New Roman" w:eastAsia="MS Mincho" w:hAnsi="Times New Roman" w:cs="Times New Roman"/>
          <w:sz w:val="24"/>
          <w:szCs w:val="24"/>
          <w:lang w:val="es-PR"/>
        </w:rPr>
        <w:t xml:space="preserve">Comité de Derechos Humanos, </w:t>
      </w:r>
      <w:r w:rsidRPr="00BD2663">
        <w:rPr>
          <w:rFonts w:ascii="Times New Roman" w:eastAsia="MS Mincho" w:hAnsi="Times New Roman" w:cs="Times New Roman"/>
          <w:i/>
          <w:sz w:val="24"/>
          <w:szCs w:val="24"/>
          <w:lang w:val="es-PR"/>
        </w:rPr>
        <w:t>Observaciones Finales sobre el cuarto informe periódico de los Estados Unidos de América</w:t>
      </w:r>
      <w:r w:rsidRPr="00BD2663">
        <w:rPr>
          <w:rFonts w:ascii="Times New Roman" w:eastAsia="MS Mincho" w:hAnsi="Times New Roman" w:cs="Times New Roman"/>
          <w:sz w:val="24"/>
          <w:szCs w:val="24"/>
          <w:lang w:val="es-PR"/>
        </w:rPr>
        <w:t xml:space="preserve">, 23 de abril de 2014 (CCPR/C/USA/CO/4) </w:t>
      </w:r>
    </w:p>
    <w:p w14:paraId="1CA2F3B6" w14:textId="77777777" w:rsidR="00BD2663" w:rsidRPr="00BD2663" w:rsidRDefault="00BD2663" w:rsidP="00BD2663">
      <w:pPr>
        <w:spacing w:after="0" w:line="240" w:lineRule="auto"/>
        <w:jc w:val="both"/>
        <w:rPr>
          <w:rFonts w:ascii="Times New Roman" w:eastAsia="MS Mincho" w:hAnsi="Times New Roman" w:cs="Times New Roman"/>
          <w:sz w:val="24"/>
          <w:lang w:val="es-PR"/>
        </w:rPr>
      </w:pPr>
    </w:p>
    <w:p w14:paraId="326C3FEB" w14:textId="77777777" w:rsidR="00BD2663" w:rsidRPr="00BD2663" w:rsidRDefault="00BD2663" w:rsidP="00BD2663">
      <w:pPr>
        <w:spacing w:after="0" w:line="240" w:lineRule="auto"/>
        <w:jc w:val="both"/>
        <w:rPr>
          <w:rFonts w:ascii="Times New Roman" w:eastAsia="MS Mincho" w:hAnsi="Times New Roman" w:cs="Times New Roman"/>
          <w:sz w:val="24"/>
          <w:lang w:val="es-PR"/>
        </w:rPr>
      </w:pPr>
      <w:r w:rsidRPr="00BD2663">
        <w:rPr>
          <w:rFonts w:ascii="Times New Roman" w:eastAsia="MS Mincho" w:hAnsi="Times New Roman" w:cs="Times New Roman"/>
          <w:b/>
          <w:sz w:val="24"/>
          <w:szCs w:val="24"/>
          <w:lang w:val="es-PR"/>
        </w:rPr>
        <w:t>Preguntas recomendadas al Comité</w:t>
      </w:r>
    </w:p>
    <w:p w14:paraId="7DDCFA0D" w14:textId="77777777" w:rsidR="00BD2663" w:rsidRPr="00BD2663" w:rsidRDefault="00BD2663" w:rsidP="00BD2663">
      <w:pPr>
        <w:spacing w:after="0" w:line="240" w:lineRule="auto"/>
        <w:ind w:left="720"/>
        <w:jc w:val="both"/>
        <w:rPr>
          <w:rFonts w:ascii="Times New Roman" w:eastAsia="MS Mincho" w:hAnsi="Times New Roman" w:cs="Times New Roman"/>
          <w:sz w:val="24"/>
          <w:lang w:val="es-PR"/>
        </w:rPr>
      </w:pPr>
    </w:p>
    <w:p w14:paraId="687BF94D" w14:textId="5089D4B8" w:rsidR="003C1F39" w:rsidRPr="003C1F39" w:rsidRDefault="00BD2663" w:rsidP="003C1F39">
      <w:pPr>
        <w:pStyle w:val="ListParagraph"/>
        <w:numPr>
          <w:ilvl w:val="0"/>
          <w:numId w:val="7"/>
        </w:numPr>
        <w:spacing w:after="0" w:line="240" w:lineRule="auto"/>
        <w:jc w:val="both"/>
        <w:rPr>
          <w:rFonts w:ascii="Times New Roman" w:eastAsia="MS Mincho" w:hAnsi="Times New Roman" w:cs="Times New Roman"/>
          <w:sz w:val="24"/>
          <w:lang w:val="es-PR"/>
        </w:rPr>
      </w:pPr>
      <w:r w:rsidRPr="003C1F39">
        <w:rPr>
          <w:rFonts w:ascii="Times New Roman" w:eastAsia="MS Mincho" w:hAnsi="Times New Roman" w:cs="Times New Roman"/>
          <w:sz w:val="24"/>
          <w:lang w:val="es-PR"/>
        </w:rPr>
        <w:t>¿Qué medidas específicas ha implementado el Estado para prevenir y atender la brutalidad policiaca, el uso excesivo de fuerza y la recopilación ilegal de información de personas por su ideología política?</w:t>
      </w:r>
    </w:p>
    <w:p w14:paraId="3C0AA079" w14:textId="39A0CA41" w:rsidR="00BD2663" w:rsidRPr="003C1F39" w:rsidRDefault="00BD2663" w:rsidP="003C1F39">
      <w:pPr>
        <w:pStyle w:val="ListParagraph"/>
        <w:numPr>
          <w:ilvl w:val="0"/>
          <w:numId w:val="7"/>
        </w:numPr>
        <w:spacing w:after="0" w:line="240" w:lineRule="auto"/>
        <w:jc w:val="both"/>
        <w:rPr>
          <w:rFonts w:ascii="Times New Roman" w:eastAsia="MS Mincho" w:hAnsi="Times New Roman" w:cs="Times New Roman"/>
          <w:sz w:val="24"/>
          <w:lang w:val="es-PR"/>
        </w:rPr>
      </w:pPr>
      <w:r w:rsidRPr="003C1F39">
        <w:rPr>
          <w:rFonts w:ascii="Times New Roman" w:eastAsia="MS Mincho" w:hAnsi="Times New Roman" w:cs="Times New Roman"/>
          <w:sz w:val="24"/>
          <w:lang w:val="es-PR"/>
        </w:rPr>
        <w:t>¿Por qué el Estado no ha invertido en el adiestramiento y capacitación de los oficiales de orden público?</w:t>
      </w:r>
    </w:p>
    <w:p w14:paraId="7EBB0790" w14:textId="77777777" w:rsidR="00BD2663" w:rsidRPr="00BD2663" w:rsidRDefault="00BD2663" w:rsidP="00BD2663">
      <w:pPr>
        <w:spacing w:after="0" w:line="240" w:lineRule="auto"/>
        <w:jc w:val="both"/>
        <w:rPr>
          <w:rFonts w:ascii="Times New Roman" w:eastAsia="MS Mincho" w:hAnsi="Times New Roman" w:cs="Times New Roman"/>
          <w:sz w:val="24"/>
          <w:lang w:val="es-PR"/>
        </w:rPr>
      </w:pPr>
    </w:p>
    <w:p w14:paraId="681E15B2" w14:textId="77777777" w:rsidR="00BD2663" w:rsidRPr="00BD2663" w:rsidRDefault="00BD2663" w:rsidP="00BD2663">
      <w:pPr>
        <w:rPr>
          <w:rFonts w:ascii="Times New Roman" w:eastAsia="MS Mincho" w:hAnsi="Times New Roman" w:cs="Times New Roman"/>
          <w:sz w:val="24"/>
          <w:lang w:val="es-PR"/>
        </w:rPr>
      </w:pPr>
      <w:r w:rsidRPr="00BD2663">
        <w:rPr>
          <w:rFonts w:ascii="Times New Roman" w:eastAsia="MS Mincho" w:hAnsi="Times New Roman" w:cs="Times New Roman"/>
          <w:b/>
          <w:sz w:val="24"/>
          <w:szCs w:val="24"/>
          <w:lang w:val="es-PR"/>
        </w:rPr>
        <w:t>Sugerencias de recomendaciones por el Comité</w:t>
      </w:r>
    </w:p>
    <w:p w14:paraId="65334D91" w14:textId="77777777" w:rsidR="00BD2663" w:rsidRPr="00BD2663" w:rsidRDefault="00BD2663" w:rsidP="00BD2663">
      <w:pPr>
        <w:numPr>
          <w:ilvl w:val="0"/>
          <w:numId w:val="6"/>
        </w:numPr>
        <w:spacing w:after="0" w:line="240" w:lineRule="auto"/>
        <w:contextualSpacing/>
        <w:jc w:val="both"/>
        <w:rPr>
          <w:rFonts w:ascii="Times New Roman" w:eastAsia="MS Mincho" w:hAnsi="Times New Roman" w:cs="Times New Roman"/>
          <w:sz w:val="24"/>
          <w:lang w:val="es-PR"/>
        </w:rPr>
      </w:pPr>
      <w:r w:rsidRPr="00BD2663">
        <w:rPr>
          <w:rFonts w:ascii="Times New Roman" w:eastAsia="MS Mincho" w:hAnsi="Times New Roman" w:cs="Times New Roman"/>
          <w:sz w:val="24"/>
          <w:lang w:val="es-PR"/>
        </w:rPr>
        <w:t>Debe efectuarse un adiestramiento intensivo a los miembros de la Policía de Puerto Rico en cuanto al uso de fuerza, el respeto y la garantía de los derechos civiles y políticos de los ciudadanos en particular aquellos sectores minoritarios más vulnerables.</w:t>
      </w:r>
    </w:p>
    <w:p w14:paraId="627B1F0A" w14:textId="77777777" w:rsidR="003C1F39" w:rsidRPr="00AD6BDC" w:rsidRDefault="00BD2663" w:rsidP="00BD2663">
      <w:pPr>
        <w:numPr>
          <w:ilvl w:val="0"/>
          <w:numId w:val="6"/>
        </w:numPr>
        <w:spacing w:after="0" w:line="240" w:lineRule="auto"/>
        <w:contextualSpacing/>
        <w:jc w:val="both"/>
        <w:rPr>
          <w:rFonts w:ascii="Times New Roman" w:eastAsia="MS Mincho" w:hAnsi="Times New Roman" w:cs="Times New Roman"/>
          <w:sz w:val="24"/>
          <w:lang w:val="es-PR"/>
        </w:rPr>
      </w:pPr>
      <w:r w:rsidRPr="00BD2663">
        <w:rPr>
          <w:rFonts w:ascii="Times New Roman" w:eastAsia="MS Mincho" w:hAnsi="Times New Roman" w:cs="Times New Roman"/>
          <w:sz w:val="24"/>
          <w:lang w:val="es-PR"/>
        </w:rPr>
        <w:t xml:space="preserve">La implementación de la Ley PROMESA y la disposición que establece una paralización automática de las demandas no debe aplicar en las demandas de violación de derechos civiles y constitucionales ya que dicha paralización de casos crea un clima de impunidad y niega a los ciudadanos de un mecanismo de reparación de agravios efectivo.  </w:t>
      </w:r>
      <w:r w:rsidRPr="00AD6BDC">
        <w:rPr>
          <w:rFonts w:ascii="Times New Roman" w:eastAsia="MS Mincho" w:hAnsi="Times New Roman" w:cs="Times New Roman"/>
          <w:sz w:val="24"/>
          <w:lang w:val="es-PR"/>
        </w:rPr>
        <w:t>Actualmente bajo este esquema no pueden presentarse demandas en ningún foro, ya sea estatal o federal por violación de derechos civiles o constitucionales debido a brutalidad policiaca.</w:t>
      </w:r>
    </w:p>
    <w:p w14:paraId="43CAB556" w14:textId="782FF29B" w:rsidR="00C23312" w:rsidRPr="003C1F39" w:rsidRDefault="00BD2663" w:rsidP="00BD2663">
      <w:pPr>
        <w:numPr>
          <w:ilvl w:val="0"/>
          <w:numId w:val="6"/>
        </w:numPr>
        <w:spacing w:after="0" w:line="240" w:lineRule="auto"/>
        <w:contextualSpacing/>
        <w:jc w:val="both"/>
        <w:rPr>
          <w:rFonts w:ascii="Times New Roman" w:eastAsia="MS Mincho" w:hAnsi="Times New Roman" w:cs="Times New Roman"/>
          <w:sz w:val="24"/>
          <w:lang w:val="es-PR"/>
        </w:rPr>
      </w:pPr>
      <w:r w:rsidRPr="00BD2663">
        <w:rPr>
          <w:rFonts w:ascii="Times New Roman" w:eastAsia="MS Mincho" w:hAnsi="Times New Roman" w:cs="Times New Roman"/>
          <w:sz w:val="24"/>
          <w:lang w:val="es-PR"/>
        </w:rPr>
        <w:t>El Estado tiene que garantizar la seguridad de aquellos que ejercen su derecho a la libertad de expresión, evitando el despliegue exagerado de oficiales de la policía y sus distintas unidades que incluyen el helicóptero de la policía y drones, acompañado p</w:t>
      </w:r>
      <w:r w:rsidRPr="003C1F39">
        <w:rPr>
          <w:rFonts w:ascii="Times New Roman" w:eastAsia="MS Mincho" w:hAnsi="Times New Roman" w:cs="Times New Roman"/>
          <w:sz w:val="24"/>
          <w:lang w:val="es-PR"/>
        </w:rPr>
        <w:t>or la grabación continua y almacenamient</w:t>
      </w:r>
      <w:r w:rsidRPr="00BD2663">
        <w:rPr>
          <w:rFonts w:ascii="Times New Roman" w:eastAsia="MS Mincho" w:hAnsi="Times New Roman" w:cs="Times New Roman"/>
          <w:sz w:val="24"/>
          <w:lang w:val="es-PR"/>
        </w:rPr>
        <w:t>o indefinido y generación de listas por parte del Centro de Recopilación, Análisis y Diseminación de Inteligencia Criminal</w:t>
      </w:r>
      <w:r w:rsidRPr="003C1F39">
        <w:rPr>
          <w:rFonts w:ascii="Times New Roman" w:eastAsia="MS Mincho" w:hAnsi="Times New Roman" w:cs="Times New Roman"/>
          <w:sz w:val="24"/>
          <w:lang w:val="es-PR"/>
        </w:rPr>
        <w:t xml:space="preserve"> (CRADIC) de la Policía, lo que</w:t>
      </w:r>
      <w:r w:rsidRPr="00BD2663">
        <w:rPr>
          <w:rFonts w:ascii="Times New Roman" w:eastAsia="MS Mincho" w:hAnsi="Times New Roman" w:cs="Times New Roman"/>
          <w:sz w:val="24"/>
          <w:lang w:val="es-PR"/>
        </w:rPr>
        <w:t xml:space="preserve"> ocasiona un </w:t>
      </w:r>
      <w:r w:rsidRPr="003C1F39">
        <w:rPr>
          <w:rFonts w:ascii="Times New Roman" w:eastAsia="MS Mincho" w:hAnsi="Times New Roman" w:cs="Times New Roman"/>
          <w:sz w:val="24"/>
          <w:lang w:val="es-PR"/>
        </w:rPr>
        <w:t>efecto paralizante (“</w:t>
      </w:r>
      <w:r w:rsidRPr="00BD2663">
        <w:rPr>
          <w:rFonts w:ascii="Times New Roman" w:eastAsia="MS Mincho" w:hAnsi="Times New Roman" w:cs="Times New Roman"/>
          <w:sz w:val="24"/>
          <w:lang w:val="es-PR"/>
        </w:rPr>
        <w:t>chilling effect</w:t>
      </w:r>
      <w:r w:rsidRPr="003C1F39">
        <w:rPr>
          <w:rFonts w:ascii="Times New Roman" w:eastAsia="MS Mincho" w:hAnsi="Times New Roman" w:cs="Times New Roman"/>
          <w:sz w:val="24"/>
          <w:lang w:val="es-PR"/>
        </w:rPr>
        <w:t>”)</w:t>
      </w:r>
      <w:r w:rsidRPr="00BD2663">
        <w:rPr>
          <w:rFonts w:ascii="Times New Roman" w:eastAsia="MS Mincho" w:hAnsi="Times New Roman" w:cs="Times New Roman"/>
          <w:sz w:val="24"/>
          <w:lang w:val="es-PR"/>
        </w:rPr>
        <w:t xml:space="preserve"> en violación del Pacto.</w:t>
      </w:r>
    </w:p>
    <w:p w14:paraId="529B71CB" w14:textId="77777777" w:rsidR="00E24CED" w:rsidRDefault="00E24CED" w:rsidP="0058750F">
      <w:pPr>
        <w:pBdr>
          <w:bottom w:val="double" w:sz="6" w:space="1" w:color="auto"/>
        </w:pBdr>
        <w:spacing w:after="0" w:line="240" w:lineRule="auto"/>
        <w:jc w:val="both"/>
        <w:rPr>
          <w:rFonts w:ascii="Times New Roman" w:hAnsi="Times New Roman" w:cs="Times New Roman"/>
          <w:sz w:val="24"/>
          <w:lang w:val="es-PR"/>
        </w:rPr>
      </w:pPr>
    </w:p>
    <w:p w14:paraId="30695283" w14:textId="77777777" w:rsidR="00E24CED" w:rsidRDefault="00E24CED" w:rsidP="0058750F">
      <w:pPr>
        <w:spacing w:after="0" w:line="240" w:lineRule="auto"/>
        <w:jc w:val="both"/>
        <w:rPr>
          <w:rFonts w:ascii="Times New Roman" w:hAnsi="Times New Roman" w:cs="Times New Roman"/>
          <w:sz w:val="24"/>
          <w:lang w:val="es-PR"/>
        </w:rPr>
      </w:pPr>
    </w:p>
    <w:p w14:paraId="538F364B" w14:textId="7D9B2030" w:rsidR="005111D8" w:rsidRPr="005111D8" w:rsidRDefault="0039748E" w:rsidP="005111D8">
      <w:pPr>
        <w:spacing w:after="0" w:line="240" w:lineRule="auto"/>
        <w:jc w:val="both"/>
        <w:rPr>
          <w:rFonts w:ascii="Times New Roman" w:eastAsia="Calibri" w:hAnsi="Times New Roman" w:cs="Times New Roman"/>
          <w:i/>
          <w:sz w:val="24"/>
          <w:szCs w:val="24"/>
          <w:lang w:val="es-PR"/>
        </w:rPr>
      </w:pPr>
      <w:r>
        <w:rPr>
          <w:rFonts w:ascii="Times New Roman" w:eastAsia="Calibri" w:hAnsi="Times New Roman" w:cs="Times New Roman"/>
          <w:b/>
          <w:i/>
          <w:sz w:val="24"/>
          <w:szCs w:val="24"/>
          <w:lang w:val="es-PR"/>
        </w:rPr>
        <w:t>Cuestión #5</w:t>
      </w:r>
      <w:r w:rsidR="005111D8" w:rsidRPr="005111D8">
        <w:rPr>
          <w:rFonts w:ascii="Times New Roman" w:eastAsia="Calibri" w:hAnsi="Times New Roman" w:cs="Times New Roman"/>
          <w:i/>
          <w:sz w:val="24"/>
          <w:szCs w:val="24"/>
          <w:lang w:val="es-PR"/>
        </w:rPr>
        <w:t xml:space="preserve"> - Trato discriminatorio del Gobierno de </w:t>
      </w:r>
      <w:r w:rsidR="00AD6BDC">
        <w:rPr>
          <w:rFonts w:ascii="Times New Roman" w:eastAsia="Calibri" w:hAnsi="Times New Roman" w:cs="Times New Roman"/>
          <w:i/>
          <w:sz w:val="24"/>
          <w:szCs w:val="24"/>
          <w:lang w:val="es-PR"/>
        </w:rPr>
        <w:t xml:space="preserve">los </w:t>
      </w:r>
      <w:r w:rsidR="005111D8" w:rsidRPr="005111D8">
        <w:rPr>
          <w:rFonts w:ascii="Times New Roman" w:eastAsia="Calibri" w:hAnsi="Times New Roman" w:cs="Times New Roman"/>
          <w:i/>
          <w:sz w:val="24"/>
          <w:szCs w:val="24"/>
          <w:lang w:val="es-PR"/>
        </w:rPr>
        <w:t>Estados Unidos hacia Puerto Rico tras el huracán María</w:t>
      </w:r>
    </w:p>
    <w:p w14:paraId="3822B8C2" w14:textId="77777777" w:rsidR="005111D8" w:rsidRPr="005111D8" w:rsidRDefault="005111D8" w:rsidP="005111D8">
      <w:pPr>
        <w:spacing w:after="0" w:line="240" w:lineRule="auto"/>
        <w:jc w:val="both"/>
        <w:rPr>
          <w:rFonts w:ascii="Times New Roman" w:eastAsia="Calibri" w:hAnsi="Times New Roman" w:cs="Times New Roman"/>
          <w:sz w:val="24"/>
          <w:szCs w:val="24"/>
          <w:lang w:val="es-PR"/>
        </w:rPr>
      </w:pPr>
    </w:p>
    <w:p w14:paraId="2716B854" w14:textId="16978C1B" w:rsidR="005111D8" w:rsidRPr="005111D8" w:rsidRDefault="005111D8" w:rsidP="005111D8">
      <w:pPr>
        <w:spacing w:after="0" w:line="240" w:lineRule="auto"/>
        <w:jc w:val="both"/>
        <w:rPr>
          <w:rFonts w:ascii="Times New Roman" w:eastAsia="Calibri" w:hAnsi="Times New Roman" w:cs="Times New Roman"/>
          <w:sz w:val="24"/>
          <w:szCs w:val="24"/>
          <w:lang w:val="es-PR"/>
        </w:rPr>
      </w:pPr>
      <w:r w:rsidRPr="005111D8">
        <w:rPr>
          <w:rFonts w:ascii="Times New Roman" w:eastAsia="Calibri" w:hAnsi="Times New Roman" w:cs="Times New Roman"/>
          <w:sz w:val="24"/>
          <w:szCs w:val="24"/>
          <w:lang w:val="es-PR"/>
        </w:rPr>
        <w:t xml:space="preserve">En septiembre de 2017, el devastador huracán María azotó a Puerto Rico y dejó a más de 75,000 personas sin hogares o con casas dañadas y/o sin techo. El sistema eléctrico colapsó, dejando al país entero sin electricidad. Muchas áreas estuvieron sin luz por meses y hasta </w:t>
      </w:r>
      <w:r w:rsidR="00964BD7" w:rsidRPr="00BD175E">
        <w:rPr>
          <w:rFonts w:ascii="Times New Roman" w:eastAsia="Calibri" w:hAnsi="Times New Roman" w:cs="Times New Roman"/>
          <w:sz w:val="24"/>
          <w:szCs w:val="24"/>
          <w:lang w:val="es-PR"/>
        </w:rPr>
        <w:t xml:space="preserve">por </w:t>
      </w:r>
      <w:r w:rsidRPr="00BD175E">
        <w:rPr>
          <w:rFonts w:ascii="Times New Roman" w:eastAsia="Calibri" w:hAnsi="Times New Roman" w:cs="Times New Roman"/>
          <w:sz w:val="24"/>
          <w:szCs w:val="24"/>
          <w:lang w:val="es-PR"/>
        </w:rPr>
        <w:t xml:space="preserve">más </w:t>
      </w:r>
      <w:r w:rsidR="00964BD7" w:rsidRPr="00BD175E">
        <w:rPr>
          <w:rFonts w:ascii="Times New Roman" w:eastAsia="Calibri" w:hAnsi="Times New Roman" w:cs="Times New Roman"/>
          <w:sz w:val="24"/>
          <w:szCs w:val="24"/>
          <w:lang w:val="es-PR"/>
        </w:rPr>
        <w:t>de</w:t>
      </w:r>
      <w:r w:rsidRPr="00BD175E">
        <w:rPr>
          <w:rFonts w:ascii="Times New Roman" w:eastAsia="Calibri" w:hAnsi="Times New Roman" w:cs="Times New Roman"/>
          <w:sz w:val="24"/>
          <w:szCs w:val="24"/>
          <w:lang w:val="es-PR"/>
        </w:rPr>
        <w:t xml:space="preserve"> un a</w:t>
      </w:r>
      <w:r w:rsidRPr="005111D8">
        <w:rPr>
          <w:rFonts w:ascii="Times New Roman" w:eastAsia="Calibri" w:hAnsi="Times New Roman" w:cs="Times New Roman"/>
          <w:sz w:val="24"/>
          <w:szCs w:val="24"/>
          <w:lang w:val="es-PR"/>
        </w:rPr>
        <w:t>ño, en algunos sectores.</w:t>
      </w:r>
      <w:r w:rsidRPr="005111D8">
        <w:rPr>
          <w:rFonts w:ascii="Times New Roman" w:eastAsia="Calibri" w:hAnsi="Times New Roman" w:cs="Times New Roman"/>
          <w:sz w:val="24"/>
          <w:szCs w:val="24"/>
          <w:vertAlign w:val="superscript"/>
          <w:lang w:val="es-PR"/>
        </w:rPr>
        <w:footnoteReference w:id="28"/>
      </w:r>
      <w:r w:rsidRPr="005111D8">
        <w:rPr>
          <w:rFonts w:ascii="Times New Roman" w:eastAsia="Calibri" w:hAnsi="Times New Roman" w:cs="Times New Roman"/>
          <w:sz w:val="24"/>
          <w:szCs w:val="24"/>
          <w:lang w:val="es-PR"/>
        </w:rPr>
        <w:t xml:space="preserve"> El sistema de acueductos y alcantarillados fue tan afectado que miles de casas perdieron su acceso al agua potable, creando condiciones peligrosas para las personas que necesitaron buscar los recursos más básicos y necesarios de la vida, como ag</w:t>
      </w:r>
      <w:r w:rsidR="00964BD7">
        <w:rPr>
          <w:rFonts w:ascii="Times New Roman" w:eastAsia="Calibri" w:hAnsi="Times New Roman" w:cs="Times New Roman"/>
          <w:sz w:val="24"/>
          <w:szCs w:val="24"/>
          <w:lang w:val="es-PR"/>
        </w:rPr>
        <w:t xml:space="preserve">ua, en otras partes de la Isla </w:t>
      </w:r>
      <w:r w:rsidR="00964BD7" w:rsidRPr="00BD175E">
        <w:rPr>
          <w:rFonts w:ascii="Times New Roman" w:eastAsia="Calibri" w:hAnsi="Times New Roman" w:cs="Times New Roman"/>
          <w:sz w:val="24"/>
          <w:szCs w:val="24"/>
          <w:lang w:val="es-PR"/>
        </w:rPr>
        <w:t>y fuera del país.</w:t>
      </w:r>
      <w:r w:rsidRPr="005111D8">
        <w:rPr>
          <w:rFonts w:ascii="Times New Roman" w:eastAsia="Calibri" w:hAnsi="Times New Roman" w:cs="Times New Roman"/>
          <w:sz w:val="24"/>
          <w:szCs w:val="24"/>
          <w:lang w:val="es-PR"/>
        </w:rPr>
        <w:t xml:space="preserve"> Los daños sufridos por la mayoría de las viviendas, infraestructura y las vías de comunicación hicieron imposible que el pueblo accediera a los servicios y bienes más básicos para sobrevivir, con el resultado de la muerte de varios miles de puertorriqueños.</w:t>
      </w:r>
      <w:r w:rsidRPr="005111D8">
        <w:rPr>
          <w:rFonts w:ascii="Times New Roman" w:eastAsia="Calibri" w:hAnsi="Times New Roman" w:cs="Times New Roman"/>
          <w:sz w:val="24"/>
          <w:szCs w:val="24"/>
          <w:vertAlign w:val="superscript"/>
          <w:lang w:val="es-PR"/>
        </w:rPr>
        <w:footnoteReference w:id="29"/>
      </w:r>
      <w:r w:rsidRPr="005111D8">
        <w:rPr>
          <w:rFonts w:ascii="Times New Roman" w:eastAsia="Calibri" w:hAnsi="Times New Roman" w:cs="Times New Roman"/>
          <w:sz w:val="24"/>
          <w:szCs w:val="24"/>
          <w:lang w:val="es-PR"/>
        </w:rPr>
        <w:t xml:space="preserve"> </w:t>
      </w:r>
    </w:p>
    <w:p w14:paraId="2DAA3DCB" w14:textId="77777777" w:rsidR="005111D8" w:rsidRPr="005111D8" w:rsidRDefault="005111D8" w:rsidP="005111D8">
      <w:pPr>
        <w:spacing w:after="0" w:line="240" w:lineRule="auto"/>
        <w:jc w:val="both"/>
        <w:rPr>
          <w:rFonts w:ascii="Times New Roman" w:eastAsia="Calibri" w:hAnsi="Times New Roman" w:cs="Times New Roman"/>
          <w:sz w:val="24"/>
          <w:szCs w:val="24"/>
          <w:lang w:val="es-PR"/>
        </w:rPr>
      </w:pPr>
    </w:p>
    <w:p w14:paraId="6E0F38BD" w14:textId="02EC7F9B" w:rsidR="005111D8" w:rsidRPr="005111D8" w:rsidRDefault="005111D8" w:rsidP="005111D8">
      <w:pPr>
        <w:spacing w:after="0" w:line="240" w:lineRule="auto"/>
        <w:jc w:val="both"/>
        <w:rPr>
          <w:rFonts w:ascii="Times New Roman" w:eastAsia="Calibri" w:hAnsi="Times New Roman" w:cs="Times New Roman"/>
          <w:sz w:val="24"/>
          <w:szCs w:val="24"/>
          <w:lang w:val="es-PR"/>
        </w:rPr>
      </w:pPr>
      <w:r w:rsidRPr="005111D8">
        <w:rPr>
          <w:rFonts w:ascii="Times New Roman" w:eastAsia="Calibri" w:hAnsi="Times New Roman" w:cs="Times New Roman"/>
          <w:sz w:val="24"/>
          <w:szCs w:val="24"/>
          <w:lang w:val="es-PR"/>
        </w:rPr>
        <w:t xml:space="preserve">La Agencia Federal de Manejo de Emergencias (“FEMA”, por sus siglas en inglés) es la dependencia del Gobierno de los Estados Unidos responsable cuando sucede un desastre natural.  El mal manejo por FEMA de suministros, asesoramiento de necesidades y evaluación, y determinación de daños causados por el huracán por FEMA ha sido documentado y admitido por </w:t>
      </w:r>
      <w:r w:rsidRPr="005111D8">
        <w:rPr>
          <w:rFonts w:ascii="Times New Roman" w:eastAsia="Calibri" w:hAnsi="Times New Roman" w:cs="Times New Roman"/>
          <w:sz w:val="24"/>
          <w:szCs w:val="24"/>
          <w:lang w:val="es-PR"/>
        </w:rPr>
        <w:lastRenderedPageBreak/>
        <w:t>la propia agencia.</w:t>
      </w:r>
      <w:r w:rsidRPr="005111D8">
        <w:rPr>
          <w:rFonts w:ascii="Times New Roman" w:eastAsia="Calibri" w:hAnsi="Times New Roman" w:cs="Times New Roman"/>
          <w:sz w:val="24"/>
          <w:szCs w:val="24"/>
          <w:vertAlign w:val="superscript"/>
          <w:lang w:val="es-PR"/>
        </w:rPr>
        <w:footnoteReference w:id="30"/>
      </w:r>
      <w:r w:rsidRPr="005111D8">
        <w:rPr>
          <w:rFonts w:ascii="Times New Roman" w:eastAsia="Calibri" w:hAnsi="Times New Roman" w:cs="Times New Roman"/>
          <w:sz w:val="24"/>
          <w:szCs w:val="24"/>
          <w:lang w:val="es-PR"/>
        </w:rPr>
        <w:t xml:space="preserve"> Ha sido difícil recibir información transparente de FEMA sobre el manejo de la distribución de suministros y la provisión de asistencia post-desastre en Puerto Rico y a puertorriqueños afectados.</w:t>
      </w:r>
      <w:r w:rsidRPr="005111D8">
        <w:rPr>
          <w:rFonts w:ascii="Times New Roman" w:eastAsia="Calibri" w:hAnsi="Times New Roman" w:cs="Times New Roman"/>
          <w:sz w:val="24"/>
          <w:szCs w:val="24"/>
          <w:vertAlign w:val="superscript"/>
          <w:lang w:val="es-PR"/>
        </w:rPr>
        <w:footnoteReference w:id="31"/>
      </w:r>
      <w:r w:rsidRPr="005111D8">
        <w:rPr>
          <w:rFonts w:ascii="Times New Roman" w:eastAsia="Calibri" w:hAnsi="Times New Roman" w:cs="Times New Roman"/>
          <w:sz w:val="24"/>
          <w:szCs w:val="24"/>
          <w:lang w:val="es-PR"/>
        </w:rPr>
        <w:t xml:space="preserve">  Debido a las consecuencias del huracán y su devastación, se produjo la migración masiva de puertorriqueños a</w:t>
      </w:r>
      <w:r w:rsidR="00BD175E">
        <w:rPr>
          <w:rFonts w:ascii="Times New Roman" w:eastAsia="Calibri" w:hAnsi="Times New Roman" w:cs="Times New Roman"/>
          <w:sz w:val="24"/>
          <w:szCs w:val="24"/>
          <w:lang w:val="es-PR"/>
        </w:rPr>
        <w:t xml:space="preserve"> los</w:t>
      </w:r>
      <w:r w:rsidR="00964BD7">
        <w:rPr>
          <w:rFonts w:ascii="Times New Roman" w:hAnsi="Times New Roman" w:cs="Times New Roman"/>
          <w:sz w:val="24"/>
          <w:lang w:val="es-PR"/>
        </w:rPr>
        <w:t xml:space="preserve"> </w:t>
      </w:r>
      <w:r w:rsidRPr="005111D8">
        <w:rPr>
          <w:rFonts w:ascii="Times New Roman" w:eastAsia="Calibri" w:hAnsi="Times New Roman" w:cs="Times New Roman"/>
          <w:sz w:val="24"/>
          <w:szCs w:val="24"/>
          <w:lang w:val="es-PR"/>
        </w:rPr>
        <w:t>Estados Unidos para obtener atención médica, vivienda segura, oportunidades laborales y continuar estudios iniciados en el año escolar. Más de dos mil familias solicitaron ayuda a FEMA del programa de asistencia temporera de albergue (TSA, por sus siglas en inglés)</w:t>
      </w:r>
      <w:r w:rsidRPr="005111D8">
        <w:rPr>
          <w:rFonts w:ascii="Times New Roman" w:eastAsia="Calibri" w:hAnsi="Times New Roman" w:cs="Times New Roman"/>
          <w:sz w:val="24"/>
          <w:szCs w:val="24"/>
          <w:vertAlign w:val="superscript"/>
          <w:lang w:val="es-PR"/>
        </w:rPr>
        <w:footnoteReference w:id="32"/>
      </w:r>
      <w:r w:rsidRPr="005111D8">
        <w:rPr>
          <w:rFonts w:ascii="Times New Roman" w:eastAsia="Calibri" w:hAnsi="Times New Roman" w:cs="Times New Roman"/>
          <w:sz w:val="24"/>
          <w:szCs w:val="24"/>
          <w:lang w:val="es-PR"/>
        </w:rPr>
        <w:t xml:space="preserve"> luego de migrar. Una vez cualificadas, FEMA les daba un “voucher” para hospedarse en hoteles, hasta que pudieran establecerse en las ciudades a donde emigraron o regresar a Puerto Rico. Durante ese tiempo, las familias no sabían si iban a ser desahuciadas, y si fuera así, a</w:t>
      </w:r>
      <w:r w:rsidR="00964BD7">
        <w:rPr>
          <w:rFonts w:ascii="Times New Roman" w:eastAsia="Calibri" w:hAnsi="Times New Roman" w:cs="Times New Roman"/>
          <w:sz w:val="24"/>
          <w:szCs w:val="24"/>
          <w:lang w:val="es-PR"/>
        </w:rPr>
        <w:t xml:space="preserve"> </w:t>
      </w:r>
      <w:r w:rsidRPr="005111D8">
        <w:rPr>
          <w:rFonts w:ascii="Times New Roman" w:eastAsia="Calibri" w:hAnsi="Times New Roman" w:cs="Times New Roman"/>
          <w:sz w:val="24"/>
          <w:szCs w:val="24"/>
          <w:lang w:val="es-PR"/>
        </w:rPr>
        <w:t>donde irían. La mayoría de estas familias tenían personas con condiciones de salud – tanto físicas como psicológ</w:t>
      </w:r>
      <w:r w:rsidR="00964BD7">
        <w:rPr>
          <w:rFonts w:ascii="Times New Roman" w:eastAsia="Calibri" w:hAnsi="Times New Roman" w:cs="Times New Roman"/>
          <w:sz w:val="24"/>
          <w:szCs w:val="24"/>
          <w:lang w:val="es-PR"/>
        </w:rPr>
        <w:t xml:space="preserve">icas – que requerían atención </w:t>
      </w:r>
      <w:r w:rsidR="00964BD7" w:rsidRPr="00BD175E">
        <w:rPr>
          <w:rFonts w:ascii="Times New Roman" w:eastAsia="Calibri" w:hAnsi="Times New Roman" w:cs="Times New Roman"/>
          <w:sz w:val="24"/>
          <w:szCs w:val="24"/>
          <w:lang w:val="es-PR"/>
        </w:rPr>
        <w:t>mé</w:t>
      </w:r>
      <w:r w:rsidRPr="00BD175E">
        <w:rPr>
          <w:rFonts w:ascii="Times New Roman" w:eastAsia="Calibri" w:hAnsi="Times New Roman" w:cs="Times New Roman"/>
          <w:sz w:val="24"/>
          <w:szCs w:val="24"/>
          <w:lang w:val="es-PR"/>
        </w:rPr>
        <w:t>d</w:t>
      </w:r>
      <w:r w:rsidRPr="005111D8">
        <w:rPr>
          <w:rFonts w:ascii="Times New Roman" w:eastAsia="Calibri" w:hAnsi="Times New Roman" w:cs="Times New Roman"/>
          <w:sz w:val="24"/>
          <w:szCs w:val="24"/>
          <w:lang w:val="es-PR"/>
        </w:rPr>
        <w:t>ica urgente. No contaban con ingresos para ayudarles a salir de la precariedad constante de esta situación, que incluía falta de comida suficiente, transporte y condiciones espantosas en algunos de los hoteles provistos. FEMA violó los derechos fundamentales de estas víctimas del huracán, cuando arbitrariamente decidió desalojar a más de mil familias de sus hoteles, sin extenderles la posibilidad de solicitar o recibir algún otro tipo de ayuda que pudo haber hecho disponible para su uso.</w:t>
      </w:r>
      <w:r w:rsidRPr="005111D8">
        <w:rPr>
          <w:rFonts w:ascii="Times New Roman" w:eastAsia="Calibri" w:hAnsi="Times New Roman" w:cs="Times New Roman"/>
          <w:sz w:val="24"/>
          <w:szCs w:val="24"/>
          <w:vertAlign w:val="superscript"/>
          <w:lang w:val="es-PR"/>
        </w:rPr>
        <w:footnoteReference w:id="33"/>
      </w:r>
      <w:r w:rsidRPr="005111D8">
        <w:rPr>
          <w:rFonts w:ascii="Times New Roman" w:eastAsia="Calibri" w:hAnsi="Times New Roman" w:cs="Times New Roman"/>
          <w:sz w:val="24"/>
          <w:szCs w:val="24"/>
          <w:lang w:val="es-PR"/>
        </w:rPr>
        <w:t xml:space="preserve">  A pesar de que FEMA tiene acceso a varios programas de alojamiento temporero o a</w:t>
      </w:r>
      <w:r w:rsidR="00964BD7">
        <w:rPr>
          <w:rFonts w:ascii="Times New Roman" w:eastAsia="Calibri" w:hAnsi="Times New Roman" w:cs="Times New Roman"/>
          <w:sz w:val="24"/>
          <w:szCs w:val="24"/>
          <w:lang w:val="es-PR"/>
        </w:rPr>
        <w:t xml:space="preserve"> largo plazo para </w:t>
      </w:r>
      <w:r w:rsidR="00964BD7" w:rsidRPr="00BD175E">
        <w:rPr>
          <w:rFonts w:ascii="Times New Roman" w:eastAsia="Calibri" w:hAnsi="Times New Roman" w:cs="Times New Roman"/>
          <w:sz w:val="24"/>
          <w:szCs w:val="24"/>
          <w:lang w:val="es-PR"/>
        </w:rPr>
        <w:t>ví</w:t>
      </w:r>
      <w:r w:rsidRPr="00BD175E">
        <w:rPr>
          <w:rFonts w:ascii="Times New Roman" w:eastAsia="Calibri" w:hAnsi="Times New Roman" w:cs="Times New Roman"/>
          <w:sz w:val="24"/>
          <w:szCs w:val="24"/>
          <w:lang w:val="es-PR"/>
        </w:rPr>
        <w:t>c</w:t>
      </w:r>
      <w:r w:rsidRPr="005111D8">
        <w:rPr>
          <w:rFonts w:ascii="Times New Roman" w:eastAsia="Calibri" w:hAnsi="Times New Roman" w:cs="Times New Roman"/>
          <w:sz w:val="24"/>
          <w:szCs w:val="24"/>
          <w:lang w:val="es-PR"/>
        </w:rPr>
        <w:t xml:space="preserve">timas de desastres, decidieron no activarlos para la población afectada por el huracán María sin explicación. Como resultado, muchas tuvieron que acudir a albergues y/o se expusieron al riesgo de quedarse en la calle. </w:t>
      </w:r>
    </w:p>
    <w:p w14:paraId="590090C9" w14:textId="77777777" w:rsidR="005111D8" w:rsidRPr="005111D8" w:rsidRDefault="005111D8" w:rsidP="005111D8">
      <w:pPr>
        <w:spacing w:after="0" w:line="240" w:lineRule="auto"/>
        <w:jc w:val="both"/>
        <w:rPr>
          <w:rFonts w:ascii="Times New Roman" w:eastAsia="Calibri" w:hAnsi="Times New Roman" w:cs="Times New Roman"/>
          <w:sz w:val="24"/>
          <w:szCs w:val="24"/>
          <w:lang w:val="es-PR"/>
        </w:rPr>
      </w:pPr>
    </w:p>
    <w:p w14:paraId="3B5D9D3F" w14:textId="6B02F29F" w:rsidR="005111D8" w:rsidRPr="005111D8" w:rsidRDefault="005111D8" w:rsidP="005111D8">
      <w:pPr>
        <w:spacing w:after="0" w:line="240" w:lineRule="auto"/>
        <w:jc w:val="both"/>
        <w:rPr>
          <w:rFonts w:ascii="Times New Roman" w:eastAsia="Calibri" w:hAnsi="Times New Roman" w:cs="Times New Roman"/>
          <w:sz w:val="24"/>
          <w:szCs w:val="24"/>
          <w:lang w:val="es-PR"/>
        </w:rPr>
      </w:pPr>
      <w:r w:rsidRPr="005111D8">
        <w:rPr>
          <w:rFonts w:ascii="Times New Roman" w:eastAsia="Calibri" w:hAnsi="Times New Roman" w:cs="Times New Roman"/>
          <w:sz w:val="24"/>
          <w:szCs w:val="24"/>
          <w:lang w:val="es-PR"/>
        </w:rPr>
        <w:t xml:space="preserve">Cuando se compara la respuesta del Gobierno de los Estados Unidos, especialmente FEMA, hacia el pueblo de Puerto Rico con otras jurisdicciones que sufrieron desastres naturales, incluso en el </w:t>
      </w:r>
      <w:r w:rsidRPr="005111D8">
        <w:rPr>
          <w:rFonts w:ascii="Times New Roman" w:eastAsia="Calibri" w:hAnsi="Times New Roman" w:cs="Times New Roman"/>
          <w:sz w:val="24"/>
          <w:szCs w:val="24"/>
          <w:lang w:val="es-PR"/>
        </w:rPr>
        <w:lastRenderedPageBreak/>
        <w:t>mismo año 2017, puede verse un trato discriminatorio.</w:t>
      </w:r>
      <w:r w:rsidRPr="005111D8">
        <w:rPr>
          <w:rFonts w:ascii="Times New Roman" w:eastAsia="Calibri" w:hAnsi="Times New Roman" w:cs="Times New Roman"/>
          <w:sz w:val="24"/>
          <w:szCs w:val="24"/>
          <w:vertAlign w:val="superscript"/>
          <w:lang w:val="es-PR"/>
        </w:rPr>
        <w:footnoteReference w:id="34"/>
      </w:r>
      <w:r w:rsidRPr="005111D8">
        <w:rPr>
          <w:rFonts w:ascii="Times New Roman" w:eastAsia="Calibri" w:hAnsi="Times New Roman" w:cs="Times New Roman"/>
          <w:sz w:val="24"/>
          <w:szCs w:val="24"/>
          <w:lang w:val="es-PR"/>
        </w:rPr>
        <w:t xml:space="preserve">  Por ejemplo, después de que el huracán Katrina destruyó la ciudad de Nueva Orleans en 2004, FEMA extendió el programa TSA por 27 meses. Sin embargo, después de huracán María, en Puerto Rico, donde el cien por</w:t>
      </w:r>
      <w:r w:rsidR="00D7009F">
        <w:rPr>
          <w:rFonts w:ascii="Times New Roman" w:eastAsia="Calibri" w:hAnsi="Times New Roman" w:cs="Times New Roman"/>
          <w:sz w:val="24"/>
          <w:szCs w:val="24"/>
          <w:lang w:val="es-PR"/>
        </w:rPr>
        <w:t xml:space="preserve"> ciento de la población estuvo a</w:t>
      </w:r>
      <w:r w:rsidRPr="005111D8">
        <w:rPr>
          <w:rFonts w:ascii="Times New Roman" w:eastAsia="Calibri" w:hAnsi="Times New Roman" w:cs="Times New Roman"/>
          <w:sz w:val="24"/>
          <w:szCs w:val="24"/>
          <w:lang w:val="es-PR"/>
        </w:rPr>
        <w:t>fectada, solo se extendió unos nueve meses.</w:t>
      </w:r>
      <w:r w:rsidRPr="005111D8">
        <w:rPr>
          <w:rFonts w:ascii="Times New Roman" w:eastAsia="Calibri" w:hAnsi="Times New Roman" w:cs="Times New Roman"/>
          <w:sz w:val="24"/>
          <w:szCs w:val="24"/>
          <w:vertAlign w:val="superscript"/>
          <w:lang w:val="es-PR"/>
        </w:rPr>
        <w:footnoteReference w:id="35"/>
      </w:r>
      <w:r w:rsidRPr="005111D8">
        <w:rPr>
          <w:rFonts w:ascii="Times New Roman" w:eastAsia="Calibri" w:hAnsi="Times New Roman" w:cs="Times New Roman"/>
          <w:sz w:val="24"/>
          <w:szCs w:val="24"/>
          <w:lang w:val="es-PR"/>
        </w:rPr>
        <w:t xml:space="preserve"> Otras diferencias merecen ser cuestionadas e investigadas respecto al trato desigual respecto a otras jurisdicciones afectadas por la temporada de huracanes de 2017. En Puerto Rico fueron hechas más de un millón solicitudes de ayuda por hogar y FEMA denegó el 62 por ciento (entre 650,000 – 700,000), casi el doble de las denegaciones de asistencia individual hechas después del huracán Harvey en Texas. FEMA aprobó 22 veces más la cantidad de ayuda financiera para Texas en nueve días, que la autorizada para Puerto Rico para el mismo período después del huracán María.</w:t>
      </w:r>
      <w:r w:rsidRPr="005111D8">
        <w:rPr>
          <w:rFonts w:ascii="Times New Roman" w:eastAsia="Calibri" w:hAnsi="Times New Roman" w:cs="Times New Roman"/>
          <w:sz w:val="24"/>
          <w:szCs w:val="24"/>
          <w:vertAlign w:val="superscript"/>
          <w:lang w:val="es-PR"/>
        </w:rPr>
        <w:footnoteReference w:id="36"/>
      </w:r>
      <w:r w:rsidRPr="005111D8">
        <w:rPr>
          <w:rFonts w:ascii="Times New Roman" w:eastAsia="Calibri" w:hAnsi="Times New Roman" w:cs="Times New Roman"/>
          <w:sz w:val="24"/>
          <w:szCs w:val="24"/>
          <w:lang w:val="es-PR"/>
        </w:rPr>
        <w:t xml:space="preserve">  La disparidad en el trato también puede verse en la cantidad de empleados movilizados para los desastres (Texas: 31,000 empleados; Florida: 40,000; Puerto Rico e Islas Vírgenes: 10,000)</w:t>
      </w:r>
      <w:r w:rsidRPr="005111D8">
        <w:rPr>
          <w:rFonts w:ascii="Times New Roman" w:eastAsia="Calibri" w:hAnsi="Times New Roman" w:cs="Times New Roman"/>
          <w:sz w:val="24"/>
          <w:szCs w:val="24"/>
          <w:vertAlign w:val="superscript"/>
          <w:lang w:val="es-PR"/>
        </w:rPr>
        <w:footnoteReference w:id="37"/>
      </w:r>
      <w:r w:rsidRPr="005111D8">
        <w:rPr>
          <w:rFonts w:ascii="Times New Roman" w:eastAsia="Calibri" w:hAnsi="Times New Roman" w:cs="Times New Roman"/>
          <w:sz w:val="24"/>
          <w:szCs w:val="24"/>
          <w:lang w:val="es-PR"/>
        </w:rPr>
        <w:t xml:space="preserve">; la suma de fondos destinada para asistencia individual (Texas: $141.8 millones; Puerto Rico e Islas Vírgenes: $6.2 millones) y agua potable y toldos. El gobierno federal también ha colocado una serie de obstáculos y condiciones reglamentarias únicas en el recibo de ayuda </w:t>
      </w:r>
      <w:r w:rsidR="00964BD7" w:rsidRPr="00BD175E">
        <w:rPr>
          <w:rFonts w:ascii="Times New Roman" w:eastAsia="Calibri" w:hAnsi="Times New Roman" w:cs="Times New Roman"/>
          <w:sz w:val="24"/>
          <w:szCs w:val="24"/>
          <w:lang w:val="es-PR"/>
        </w:rPr>
        <w:t>para</w:t>
      </w:r>
      <w:r w:rsidRPr="00BD175E">
        <w:rPr>
          <w:rFonts w:ascii="Times New Roman" w:eastAsia="Calibri" w:hAnsi="Times New Roman" w:cs="Times New Roman"/>
          <w:sz w:val="24"/>
          <w:szCs w:val="24"/>
          <w:lang w:val="es-PR"/>
        </w:rPr>
        <w:t xml:space="preserve"> Puerto Rico.</w:t>
      </w:r>
      <w:r w:rsidR="00BD175E">
        <w:rPr>
          <w:rFonts w:ascii="Times New Roman" w:eastAsia="Calibri" w:hAnsi="Times New Roman" w:cs="Times New Roman"/>
          <w:sz w:val="24"/>
          <w:szCs w:val="24"/>
          <w:lang w:val="es-PR"/>
        </w:rPr>
        <w:t xml:space="preserve"> </w:t>
      </w:r>
      <w:r w:rsidRPr="005111D8">
        <w:rPr>
          <w:rFonts w:ascii="Times New Roman" w:eastAsia="Calibri" w:hAnsi="Times New Roman" w:cs="Times New Roman"/>
          <w:sz w:val="24"/>
          <w:szCs w:val="24"/>
          <w:lang w:val="es-PR"/>
        </w:rPr>
        <w:t xml:space="preserve">Todo esto presenta un claro patrón de trato discriminatorio sobre el pueblo de Puerto Rico, donde el tema de la sujeción colonial se presenta, al igual que en otras cuestiones presentadas ante el Comité. </w:t>
      </w:r>
    </w:p>
    <w:p w14:paraId="116643EB" w14:textId="77777777" w:rsidR="005111D8" w:rsidRPr="005111D8" w:rsidRDefault="005111D8" w:rsidP="005111D8">
      <w:pPr>
        <w:spacing w:after="0" w:line="240" w:lineRule="auto"/>
        <w:jc w:val="both"/>
        <w:rPr>
          <w:rFonts w:ascii="Times New Roman" w:eastAsia="Calibri" w:hAnsi="Times New Roman" w:cs="Times New Roman"/>
          <w:sz w:val="24"/>
          <w:szCs w:val="24"/>
          <w:lang w:val="es-PR"/>
        </w:rPr>
      </w:pPr>
    </w:p>
    <w:p w14:paraId="1B485388" w14:textId="77777777" w:rsidR="005111D8" w:rsidRPr="005111D8" w:rsidRDefault="005111D8" w:rsidP="005111D8">
      <w:pPr>
        <w:spacing w:after="0" w:line="240" w:lineRule="auto"/>
        <w:rPr>
          <w:rFonts w:ascii="Times New Roman" w:eastAsia="Calibri" w:hAnsi="Times New Roman" w:cs="Times New Roman"/>
          <w:b/>
          <w:sz w:val="24"/>
          <w:lang w:val="es-PR"/>
        </w:rPr>
      </w:pPr>
      <w:r w:rsidRPr="005111D8">
        <w:rPr>
          <w:rFonts w:ascii="Times New Roman" w:eastAsia="Calibri" w:hAnsi="Times New Roman" w:cs="Times New Roman"/>
          <w:b/>
          <w:sz w:val="24"/>
          <w:lang w:val="es-PR"/>
        </w:rPr>
        <w:t>Artículos del PIDCP pertinentes y cómo se afectan</w:t>
      </w:r>
    </w:p>
    <w:p w14:paraId="40B954FC" w14:textId="77777777" w:rsidR="005111D8" w:rsidRPr="005111D8" w:rsidRDefault="005111D8" w:rsidP="005111D8">
      <w:pPr>
        <w:spacing w:after="0" w:line="240" w:lineRule="auto"/>
        <w:jc w:val="both"/>
        <w:rPr>
          <w:rFonts w:ascii="Times New Roman" w:eastAsia="Calibri" w:hAnsi="Times New Roman" w:cs="Times New Roman"/>
          <w:sz w:val="24"/>
          <w:szCs w:val="24"/>
          <w:lang w:val="es-PR"/>
        </w:rPr>
      </w:pPr>
    </w:p>
    <w:p w14:paraId="20FE1374" w14:textId="77777777" w:rsidR="005111D8" w:rsidRPr="005111D8" w:rsidRDefault="005111D8" w:rsidP="005111D8">
      <w:pPr>
        <w:spacing w:after="0" w:line="240" w:lineRule="auto"/>
        <w:jc w:val="both"/>
        <w:rPr>
          <w:rFonts w:ascii="Times New Roman" w:eastAsia="Calibri" w:hAnsi="Times New Roman" w:cs="Times New Roman"/>
          <w:sz w:val="24"/>
          <w:szCs w:val="24"/>
          <w:lang w:val="es-PR"/>
        </w:rPr>
      </w:pPr>
      <w:r w:rsidRPr="005111D8">
        <w:rPr>
          <w:rFonts w:ascii="Times New Roman" w:eastAsia="Calibri" w:hAnsi="Times New Roman" w:cs="Times New Roman"/>
          <w:sz w:val="24"/>
          <w:szCs w:val="24"/>
          <w:lang w:val="es-PR"/>
        </w:rPr>
        <w:t>Artículo 2, 20 y 26 – las personas en Puerto Rico han sufrido de un trato discriminatorio por parte de las dependencias del Gobierno de los Estados Unidos, particularmente FEMA. Además del discrimen por origen nacional sobre las y los puertorriqueños, vemos que se manifiesta por posición económica o condición social sobre las personas que necesitaron recurrir a los diversos programas de ayuda administrado por FEMA para reconstruir sus viviendas u obtener vivienda provisional.</w:t>
      </w:r>
    </w:p>
    <w:p w14:paraId="4E3CFCB1" w14:textId="77777777" w:rsidR="005111D8" w:rsidRPr="005111D8" w:rsidRDefault="005111D8" w:rsidP="005111D8">
      <w:pPr>
        <w:spacing w:after="0" w:line="240" w:lineRule="auto"/>
        <w:jc w:val="both"/>
        <w:rPr>
          <w:rFonts w:ascii="Times New Roman" w:eastAsia="Calibri" w:hAnsi="Times New Roman" w:cs="Times New Roman"/>
          <w:sz w:val="24"/>
          <w:szCs w:val="24"/>
          <w:lang w:val="es-PR"/>
        </w:rPr>
      </w:pPr>
      <w:r w:rsidRPr="005111D8">
        <w:rPr>
          <w:rFonts w:ascii="Times New Roman" w:eastAsia="Calibri" w:hAnsi="Times New Roman" w:cs="Times New Roman"/>
          <w:sz w:val="24"/>
          <w:szCs w:val="24"/>
          <w:lang w:val="es-PR"/>
        </w:rPr>
        <w:t xml:space="preserve"> </w:t>
      </w:r>
    </w:p>
    <w:p w14:paraId="14B6EAF2" w14:textId="3DDCA8D4" w:rsidR="005111D8" w:rsidRPr="005111D8" w:rsidRDefault="005111D8" w:rsidP="005111D8">
      <w:pPr>
        <w:spacing w:after="0" w:line="240" w:lineRule="auto"/>
        <w:jc w:val="both"/>
        <w:rPr>
          <w:rFonts w:ascii="Times New Roman" w:eastAsia="Calibri" w:hAnsi="Times New Roman" w:cs="Times New Roman"/>
          <w:sz w:val="24"/>
          <w:lang w:val="es-PR"/>
        </w:rPr>
      </w:pPr>
      <w:r w:rsidRPr="005111D8">
        <w:rPr>
          <w:rFonts w:ascii="Times New Roman" w:eastAsia="Calibri" w:hAnsi="Times New Roman" w:cs="Times New Roman"/>
          <w:b/>
          <w:sz w:val="24"/>
          <w:lang w:val="es-PR"/>
        </w:rPr>
        <w:t xml:space="preserve">Recomendaciones de órganos de derechos humanos – </w:t>
      </w:r>
      <w:r w:rsidRPr="005111D8">
        <w:rPr>
          <w:rFonts w:ascii="Times New Roman" w:eastAsia="Calibri" w:hAnsi="Times New Roman" w:cs="Times New Roman"/>
          <w:sz w:val="24"/>
          <w:lang w:val="es-PR"/>
        </w:rPr>
        <w:t xml:space="preserve">La Comisión Interamericana de Derechos Humanos expresó el 18 de enero de 2018 su profunda preocupación por la situación de los derechos humanos </w:t>
      </w:r>
      <w:r w:rsidR="00964BD7">
        <w:rPr>
          <w:rFonts w:ascii="Times New Roman" w:eastAsia="Calibri" w:hAnsi="Times New Roman" w:cs="Times New Roman"/>
          <w:sz w:val="24"/>
          <w:lang w:val="es-PR"/>
        </w:rPr>
        <w:t xml:space="preserve">en </w:t>
      </w:r>
      <w:r w:rsidR="00964BD7" w:rsidRPr="00BD175E">
        <w:rPr>
          <w:rFonts w:ascii="Times New Roman" w:eastAsia="Calibri" w:hAnsi="Times New Roman" w:cs="Times New Roman"/>
          <w:sz w:val="24"/>
          <w:lang w:val="es-PR"/>
        </w:rPr>
        <w:t>Puerto Rico</w:t>
      </w:r>
      <w:r w:rsidRPr="005111D8">
        <w:rPr>
          <w:rFonts w:ascii="Times New Roman" w:eastAsia="Calibri" w:hAnsi="Times New Roman" w:cs="Times New Roman"/>
          <w:sz w:val="24"/>
          <w:lang w:val="es-PR"/>
        </w:rPr>
        <w:t xml:space="preserve"> tras el huracán María</w:t>
      </w:r>
      <w:r w:rsidRPr="005111D8">
        <w:rPr>
          <w:rFonts w:ascii="Times New Roman" w:eastAsia="Calibri" w:hAnsi="Times New Roman" w:cs="Times New Roman"/>
          <w:sz w:val="24"/>
          <w:szCs w:val="24"/>
          <w:vertAlign w:val="superscript"/>
          <w:lang w:val="es-PR"/>
        </w:rPr>
        <w:footnoteReference w:id="38"/>
      </w:r>
      <w:r w:rsidRPr="005111D8">
        <w:rPr>
          <w:rFonts w:ascii="Times New Roman" w:eastAsia="Calibri" w:hAnsi="Times New Roman" w:cs="Times New Roman"/>
          <w:sz w:val="24"/>
          <w:lang w:val="es-PR"/>
        </w:rPr>
        <w:t xml:space="preserve">. </w:t>
      </w:r>
    </w:p>
    <w:p w14:paraId="485FF4D2" w14:textId="77777777" w:rsidR="005111D8" w:rsidRPr="005111D8" w:rsidRDefault="005111D8" w:rsidP="005111D8">
      <w:pPr>
        <w:spacing w:after="0" w:line="240" w:lineRule="auto"/>
        <w:jc w:val="both"/>
        <w:rPr>
          <w:rFonts w:ascii="Times New Roman" w:eastAsia="Calibri" w:hAnsi="Times New Roman" w:cs="Times New Roman"/>
          <w:sz w:val="24"/>
          <w:szCs w:val="24"/>
          <w:lang w:val="es-PR"/>
        </w:rPr>
      </w:pPr>
    </w:p>
    <w:p w14:paraId="243FEAE4" w14:textId="6D277C73" w:rsidR="00F63942" w:rsidRDefault="005111D8" w:rsidP="005111D8">
      <w:pPr>
        <w:spacing w:after="0" w:line="240" w:lineRule="auto"/>
        <w:jc w:val="both"/>
        <w:rPr>
          <w:rFonts w:ascii="Times New Roman" w:eastAsia="Calibri" w:hAnsi="Times New Roman" w:cs="Times New Roman"/>
          <w:b/>
          <w:sz w:val="24"/>
          <w:szCs w:val="24"/>
          <w:lang w:val="es-PR"/>
        </w:rPr>
      </w:pPr>
      <w:r w:rsidRPr="005111D8">
        <w:rPr>
          <w:rFonts w:ascii="Times New Roman" w:eastAsia="Calibri" w:hAnsi="Times New Roman" w:cs="Times New Roman"/>
          <w:b/>
          <w:sz w:val="24"/>
          <w:szCs w:val="24"/>
          <w:lang w:val="es-PR"/>
        </w:rPr>
        <w:t>Pregunta</w:t>
      </w:r>
      <w:r w:rsidR="003C1F39">
        <w:rPr>
          <w:rFonts w:ascii="Times New Roman" w:eastAsia="Calibri" w:hAnsi="Times New Roman" w:cs="Times New Roman"/>
          <w:b/>
          <w:sz w:val="24"/>
          <w:szCs w:val="24"/>
          <w:lang w:val="es-PR"/>
        </w:rPr>
        <w:t>s</w:t>
      </w:r>
      <w:r w:rsidRPr="005111D8">
        <w:rPr>
          <w:rFonts w:ascii="Times New Roman" w:eastAsia="Calibri" w:hAnsi="Times New Roman" w:cs="Times New Roman"/>
          <w:b/>
          <w:sz w:val="24"/>
          <w:szCs w:val="24"/>
          <w:lang w:val="es-PR"/>
        </w:rPr>
        <w:t xml:space="preserve"> </w:t>
      </w:r>
      <w:r w:rsidR="00F63942">
        <w:rPr>
          <w:rFonts w:ascii="Times New Roman" w:eastAsia="Calibri" w:hAnsi="Times New Roman" w:cs="Times New Roman"/>
          <w:b/>
          <w:sz w:val="24"/>
          <w:szCs w:val="24"/>
          <w:lang w:val="es-PR"/>
        </w:rPr>
        <w:t>recomendada</w:t>
      </w:r>
      <w:r w:rsidR="003C1F39">
        <w:rPr>
          <w:rFonts w:ascii="Times New Roman" w:eastAsia="Calibri" w:hAnsi="Times New Roman" w:cs="Times New Roman"/>
          <w:b/>
          <w:sz w:val="24"/>
          <w:szCs w:val="24"/>
          <w:lang w:val="es-PR"/>
        </w:rPr>
        <w:t>s</w:t>
      </w:r>
      <w:r w:rsidR="00F63942">
        <w:rPr>
          <w:rFonts w:ascii="Times New Roman" w:eastAsia="Calibri" w:hAnsi="Times New Roman" w:cs="Times New Roman"/>
          <w:b/>
          <w:sz w:val="24"/>
          <w:szCs w:val="24"/>
          <w:lang w:val="es-PR"/>
        </w:rPr>
        <w:t xml:space="preserve"> al Comité </w:t>
      </w:r>
    </w:p>
    <w:p w14:paraId="4322F50F" w14:textId="77777777" w:rsidR="00F63942" w:rsidRDefault="00F63942" w:rsidP="005111D8">
      <w:pPr>
        <w:spacing w:after="0" w:line="240" w:lineRule="auto"/>
        <w:jc w:val="both"/>
        <w:rPr>
          <w:rFonts w:ascii="Times New Roman" w:eastAsia="Calibri" w:hAnsi="Times New Roman" w:cs="Times New Roman"/>
          <w:b/>
          <w:sz w:val="24"/>
          <w:szCs w:val="24"/>
          <w:lang w:val="es-PR"/>
        </w:rPr>
      </w:pPr>
    </w:p>
    <w:p w14:paraId="7E32D3D4" w14:textId="70264C6F" w:rsidR="00F63942" w:rsidRPr="00BD175E" w:rsidRDefault="00964BD7" w:rsidP="003C1F39">
      <w:pPr>
        <w:pStyle w:val="ListParagraph"/>
        <w:numPr>
          <w:ilvl w:val="0"/>
          <w:numId w:val="2"/>
        </w:numPr>
        <w:spacing w:after="0" w:line="240" w:lineRule="auto"/>
        <w:jc w:val="both"/>
        <w:rPr>
          <w:rFonts w:ascii="Times New Roman" w:eastAsia="Calibri" w:hAnsi="Times New Roman" w:cs="Times New Roman"/>
          <w:sz w:val="24"/>
          <w:szCs w:val="24"/>
          <w:lang w:val="es-PR"/>
        </w:rPr>
      </w:pPr>
      <w:r w:rsidRPr="00BD175E">
        <w:rPr>
          <w:rFonts w:ascii="Times New Roman" w:eastAsia="Calibri" w:hAnsi="Times New Roman" w:cs="Times New Roman"/>
          <w:sz w:val="24"/>
          <w:szCs w:val="24"/>
          <w:lang w:val="es-PR"/>
        </w:rPr>
        <w:t>¿Có</w:t>
      </w:r>
      <w:r w:rsidR="005111D8" w:rsidRPr="00BD175E">
        <w:rPr>
          <w:rFonts w:ascii="Times New Roman" w:eastAsia="Calibri" w:hAnsi="Times New Roman" w:cs="Times New Roman"/>
          <w:sz w:val="24"/>
          <w:szCs w:val="24"/>
          <w:lang w:val="es-PR"/>
        </w:rPr>
        <w:t xml:space="preserve">mo se compara el manejo por parte de FEMA de recursos, suministros y personal durante la temporada de huracanes de 2017, principalmente entre Puerto Rico, Texas y Florida?  </w:t>
      </w:r>
    </w:p>
    <w:p w14:paraId="7EF55549" w14:textId="7DBB9EA1" w:rsidR="00F63942" w:rsidRPr="00F63942" w:rsidRDefault="00964BD7" w:rsidP="00F63942">
      <w:pPr>
        <w:pStyle w:val="ListParagraph"/>
        <w:numPr>
          <w:ilvl w:val="0"/>
          <w:numId w:val="2"/>
        </w:numPr>
        <w:spacing w:after="0" w:line="240" w:lineRule="auto"/>
        <w:jc w:val="both"/>
        <w:rPr>
          <w:rFonts w:ascii="Times New Roman" w:eastAsia="Calibri" w:hAnsi="Times New Roman" w:cs="Times New Roman"/>
          <w:sz w:val="24"/>
          <w:szCs w:val="24"/>
          <w:lang w:val="es-PR"/>
        </w:rPr>
      </w:pPr>
      <w:r w:rsidRPr="00BD175E">
        <w:rPr>
          <w:rFonts w:ascii="Times New Roman" w:eastAsia="Calibri" w:hAnsi="Times New Roman" w:cs="Times New Roman"/>
          <w:sz w:val="24"/>
          <w:szCs w:val="24"/>
          <w:lang w:val="es-PR"/>
        </w:rPr>
        <w:t>¿Có</w:t>
      </w:r>
      <w:r w:rsidR="00F63942" w:rsidRPr="00BD175E">
        <w:rPr>
          <w:rFonts w:ascii="Times New Roman" w:eastAsia="Calibri" w:hAnsi="Times New Roman" w:cs="Times New Roman"/>
          <w:sz w:val="24"/>
          <w:szCs w:val="24"/>
          <w:lang w:val="es-PR"/>
        </w:rPr>
        <w:t>mo afectaron las expresiones del Presidente Trump con respeto a Puerto Rico después del huracán en la t</w:t>
      </w:r>
      <w:r w:rsidR="00F63942" w:rsidRPr="00F63942">
        <w:rPr>
          <w:rFonts w:ascii="Times New Roman" w:eastAsia="Calibri" w:hAnsi="Times New Roman" w:cs="Times New Roman"/>
          <w:sz w:val="24"/>
          <w:szCs w:val="24"/>
          <w:lang w:val="es-PR"/>
        </w:rPr>
        <w:t>oma de decisiones de los administradores de FEMA</w:t>
      </w:r>
      <w:r w:rsidR="00F63942">
        <w:rPr>
          <w:rFonts w:ascii="Times New Roman" w:eastAsia="Calibri" w:hAnsi="Times New Roman" w:cs="Times New Roman"/>
          <w:sz w:val="24"/>
          <w:szCs w:val="24"/>
          <w:lang w:val="es-PR"/>
        </w:rPr>
        <w:t xml:space="preserve"> y otras agencias del Gobierno de</w:t>
      </w:r>
      <w:r w:rsidR="00BD175E">
        <w:rPr>
          <w:rFonts w:ascii="Times New Roman" w:eastAsia="Calibri" w:hAnsi="Times New Roman" w:cs="Times New Roman"/>
          <w:sz w:val="24"/>
          <w:szCs w:val="24"/>
          <w:lang w:val="es-PR"/>
        </w:rPr>
        <w:t xml:space="preserve"> los</w:t>
      </w:r>
      <w:r>
        <w:rPr>
          <w:rFonts w:ascii="Times New Roman" w:hAnsi="Times New Roman" w:cs="Times New Roman"/>
          <w:sz w:val="24"/>
          <w:lang w:val="es-PR"/>
        </w:rPr>
        <w:t xml:space="preserve"> </w:t>
      </w:r>
      <w:r w:rsidR="00F63942">
        <w:rPr>
          <w:rFonts w:ascii="Times New Roman" w:eastAsia="Calibri" w:hAnsi="Times New Roman" w:cs="Times New Roman"/>
          <w:sz w:val="24"/>
          <w:szCs w:val="24"/>
          <w:lang w:val="es-PR"/>
        </w:rPr>
        <w:t>Estados Unidos</w:t>
      </w:r>
      <w:r w:rsidR="00F63942" w:rsidRPr="00F63942">
        <w:rPr>
          <w:rFonts w:ascii="Times New Roman" w:eastAsia="Calibri" w:hAnsi="Times New Roman" w:cs="Times New Roman"/>
          <w:sz w:val="24"/>
          <w:szCs w:val="24"/>
          <w:lang w:val="es-PR"/>
        </w:rPr>
        <w:t>?</w:t>
      </w:r>
    </w:p>
    <w:p w14:paraId="24D5D9AB" w14:textId="77777777" w:rsidR="005111D8" w:rsidRPr="005111D8" w:rsidRDefault="005111D8" w:rsidP="005111D8">
      <w:pPr>
        <w:spacing w:after="0" w:line="240" w:lineRule="auto"/>
        <w:jc w:val="both"/>
        <w:rPr>
          <w:rFonts w:ascii="Times New Roman" w:eastAsia="Calibri" w:hAnsi="Times New Roman" w:cs="Times New Roman"/>
          <w:sz w:val="24"/>
          <w:szCs w:val="24"/>
          <w:lang w:val="es-PR"/>
        </w:rPr>
      </w:pPr>
    </w:p>
    <w:p w14:paraId="3B0C2A3F" w14:textId="625120A2" w:rsidR="005111D8" w:rsidRDefault="005111D8" w:rsidP="005111D8">
      <w:pPr>
        <w:pBdr>
          <w:bottom w:val="double" w:sz="6" w:space="1" w:color="auto"/>
        </w:pBdr>
        <w:jc w:val="both"/>
        <w:rPr>
          <w:rFonts w:ascii="Times New Roman" w:eastAsia="Calibri" w:hAnsi="Times New Roman" w:cs="Times New Roman"/>
          <w:sz w:val="24"/>
          <w:szCs w:val="24"/>
          <w:lang w:val="es-PR"/>
        </w:rPr>
      </w:pPr>
      <w:r w:rsidRPr="005111D8">
        <w:rPr>
          <w:rFonts w:ascii="Times New Roman" w:eastAsia="Calibri" w:hAnsi="Times New Roman" w:cs="Times New Roman"/>
          <w:b/>
          <w:sz w:val="24"/>
          <w:szCs w:val="24"/>
          <w:lang w:val="es-PR"/>
        </w:rPr>
        <w:lastRenderedPageBreak/>
        <w:t>Sugerencia de recomendación por el Comité</w:t>
      </w:r>
      <w:r w:rsidRPr="005111D8">
        <w:rPr>
          <w:rFonts w:ascii="Times New Roman" w:eastAsia="Calibri" w:hAnsi="Times New Roman" w:cs="Times New Roman"/>
          <w:sz w:val="24"/>
          <w:szCs w:val="24"/>
          <w:lang w:val="es-PR"/>
        </w:rPr>
        <w:t xml:space="preserve"> – El Estado debe adoptar las políticas adecuadas </w:t>
      </w:r>
      <w:r w:rsidR="00964BD7" w:rsidRPr="00806BA3">
        <w:rPr>
          <w:rFonts w:ascii="Times New Roman" w:eastAsia="Calibri" w:hAnsi="Times New Roman" w:cs="Times New Roman"/>
          <w:sz w:val="24"/>
          <w:szCs w:val="24"/>
          <w:lang w:val="es-PR"/>
        </w:rPr>
        <w:t>para</w:t>
      </w:r>
      <w:r w:rsidRPr="00806BA3">
        <w:rPr>
          <w:rFonts w:ascii="Times New Roman" w:eastAsia="Calibri" w:hAnsi="Times New Roman" w:cs="Times New Roman"/>
          <w:sz w:val="24"/>
          <w:szCs w:val="24"/>
          <w:lang w:val="es-PR"/>
        </w:rPr>
        <w:t xml:space="preserve"> evitar el trato discriminatorio d</w:t>
      </w:r>
      <w:r w:rsidR="003019D8" w:rsidRPr="00806BA3">
        <w:rPr>
          <w:rFonts w:ascii="Times New Roman" w:eastAsia="Calibri" w:hAnsi="Times New Roman" w:cs="Times New Roman"/>
          <w:sz w:val="24"/>
          <w:szCs w:val="24"/>
          <w:lang w:val="es-PR"/>
        </w:rPr>
        <w:t>e las personas en Puerto Rico por</w:t>
      </w:r>
      <w:r w:rsidRPr="00806BA3">
        <w:rPr>
          <w:rFonts w:ascii="Times New Roman" w:eastAsia="Calibri" w:hAnsi="Times New Roman" w:cs="Times New Roman"/>
          <w:sz w:val="24"/>
          <w:szCs w:val="24"/>
          <w:lang w:val="es-PR"/>
        </w:rPr>
        <w:t xml:space="preserve"> parte de las agencias encargadas de manejar los desastres naturales.</w:t>
      </w:r>
    </w:p>
    <w:p w14:paraId="5CBD8468" w14:textId="77777777" w:rsidR="005111D8" w:rsidRPr="005111D8" w:rsidRDefault="005111D8" w:rsidP="005111D8">
      <w:pPr>
        <w:pBdr>
          <w:bottom w:val="double" w:sz="6" w:space="1" w:color="auto"/>
        </w:pBdr>
        <w:jc w:val="both"/>
        <w:rPr>
          <w:rFonts w:ascii="Times New Roman" w:eastAsia="Calibri" w:hAnsi="Times New Roman" w:cs="Times New Roman"/>
          <w:sz w:val="24"/>
          <w:szCs w:val="24"/>
          <w:lang w:val="es-PR"/>
        </w:rPr>
      </w:pPr>
    </w:p>
    <w:p w14:paraId="6D8D7B98" w14:textId="77777777" w:rsidR="00F63942" w:rsidRPr="00F63942" w:rsidRDefault="00F63942" w:rsidP="00F63942">
      <w:pPr>
        <w:spacing w:after="0" w:line="240" w:lineRule="auto"/>
        <w:jc w:val="both"/>
        <w:rPr>
          <w:rFonts w:ascii="Times New Roman" w:eastAsia="MS Mincho" w:hAnsi="Times New Roman" w:cs="Times New Roman"/>
          <w:i/>
          <w:sz w:val="24"/>
          <w:szCs w:val="24"/>
          <w:lang w:val="es-ES_tradnl"/>
        </w:rPr>
      </w:pPr>
      <w:r w:rsidRPr="00F63942">
        <w:rPr>
          <w:rFonts w:ascii="Times New Roman" w:eastAsia="MS Mincho" w:hAnsi="Times New Roman" w:cs="Times New Roman"/>
          <w:b/>
          <w:i/>
          <w:sz w:val="24"/>
          <w:szCs w:val="24"/>
          <w:lang w:val="es-ES_tradnl"/>
        </w:rPr>
        <w:t>Cuestión #</w:t>
      </w:r>
      <w:r w:rsidR="0039748E">
        <w:rPr>
          <w:rFonts w:ascii="Times New Roman" w:eastAsia="MS Mincho" w:hAnsi="Times New Roman" w:cs="Times New Roman"/>
          <w:b/>
          <w:i/>
          <w:sz w:val="24"/>
          <w:szCs w:val="24"/>
          <w:lang w:val="es-ES_tradnl"/>
        </w:rPr>
        <w:t>6</w:t>
      </w:r>
      <w:r w:rsidRPr="00F63942">
        <w:rPr>
          <w:rFonts w:ascii="Times New Roman" w:eastAsia="MS Mincho" w:hAnsi="Times New Roman" w:cs="Times New Roman"/>
          <w:b/>
          <w:i/>
          <w:sz w:val="24"/>
          <w:szCs w:val="24"/>
          <w:lang w:val="es-ES_tradnl"/>
        </w:rPr>
        <w:t xml:space="preserve">: </w:t>
      </w:r>
      <w:r w:rsidRPr="00F63942">
        <w:rPr>
          <w:rFonts w:ascii="Times New Roman" w:eastAsia="MS Mincho" w:hAnsi="Times New Roman" w:cs="Times New Roman"/>
          <w:i/>
          <w:sz w:val="24"/>
          <w:szCs w:val="24"/>
          <w:lang w:val="es-ES_tradnl"/>
        </w:rPr>
        <w:t>La ausencia de políticas adecuadas sobre cambio climático y la contaminación ambiental, que afectan de forma desproporcional los derechos a la vida digna y a la salud en Puerto Rico (artículo 6) de comunidades pobres y en condiciones de vulnerabilidad (artículo 2)</w:t>
      </w:r>
    </w:p>
    <w:p w14:paraId="67CB730C" w14:textId="77777777" w:rsidR="00F63942" w:rsidRPr="00F63942" w:rsidRDefault="00F63942" w:rsidP="00F63942">
      <w:pPr>
        <w:spacing w:after="0" w:line="240" w:lineRule="auto"/>
        <w:rPr>
          <w:rFonts w:ascii="Times New Roman" w:eastAsia="MS Mincho" w:hAnsi="Times New Roman" w:cs="Times New Roman"/>
          <w:sz w:val="24"/>
          <w:szCs w:val="24"/>
          <w:lang w:val="es-ES_tradnl"/>
        </w:rPr>
      </w:pPr>
    </w:p>
    <w:p w14:paraId="030984E1" w14:textId="32DF8D89"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r w:rsidRPr="00F63942">
        <w:rPr>
          <w:rFonts w:ascii="Times New Roman" w:eastAsia="MS Mincho" w:hAnsi="Times New Roman" w:cs="Times New Roman"/>
          <w:sz w:val="24"/>
          <w:szCs w:val="24"/>
          <w:lang w:val="es-ES_tradnl"/>
        </w:rPr>
        <w:t>El cambio climático tiene graves consecuencias para todos los países, pero especialmente para las islas, como el archipiélago de Puerto Rico. La ausencia de políticas adecuadas para enfrentar el calentamiento global por</w:t>
      </w:r>
      <w:r w:rsidR="00806BA3">
        <w:rPr>
          <w:rFonts w:ascii="Times New Roman" w:eastAsia="MS Mincho" w:hAnsi="Times New Roman" w:cs="Times New Roman"/>
          <w:sz w:val="24"/>
          <w:szCs w:val="24"/>
          <w:lang w:val="es-ES_tradnl"/>
        </w:rPr>
        <w:t xml:space="preserve"> los</w:t>
      </w:r>
      <w:r w:rsidR="003019D8">
        <w:rPr>
          <w:rFonts w:ascii="Times New Roman" w:hAnsi="Times New Roman" w:cs="Times New Roman"/>
          <w:sz w:val="24"/>
          <w:lang w:val="es-PR"/>
        </w:rPr>
        <w:t xml:space="preserve"> </w:t>
      </w:r>
      <w:r w:rsidRPr="00F63942">
        <w:rPr>
          <w:rFonts w:ascii="Times New Roman" w:eastAsia="MS Mincho" w:hAnsi="Times New Roman" w:cs="Times New Roman"/>
          <w:sz w:val="24"/>
          <w:szCs w:val="24"/>
          <w:lang w:val="es-ES_tradnl"/>
        </w:rPr>
        <w:t>Estados Unidos ha provocado que Puerto Rico ocupe el primer lugar entre los países más vulnerables al impacto climático durante los últimos 20 años (1998 al 2017).</w:t>
      </w:r>
      <w:r w:rsidRPr="00F63942">
        <w:rPr>
          <w:rFonts w:ascii="Times New Roman" w:eastAsia="MS Mincho" w:hAnsi="Times New Roman" w:cs="Times New Roman"/>
          <w:sz w:val="24"/>
          <w:szCs w:val="24"/>
          <w:vertAlign w:val="superscript"/>
          <w:lang w:val="es-ES_tradnl"/>
        </w:rPr>
        <w:footnoteReference w:id="39"/>
      </w:r>
      <w:r w:rsidRPr="00F63942">
        <w:rPr>
          <w:rFonts w:ascii="Times New Roman" w:eastAsia="MS Mincho" w:hAnsi="Times New Roman" w:cs="Times New Roman"/>
          <w:sz w:val="24"/>
          <w:szCs w:val="24"/>
          <w:lang w:val="es-ES_tradnl"/>
        </w:rPr>
        <w:t xml:space="preserve"> Según el Índice de Riesgo Climático, Puerto Rico fue el país más afectado por eventos climáticos en el 2017.</w:t>
      </w:r>
      <w:r w:rsidRPr="00F63942">
        <w:rPr>
          <w:rFonts w:ascii="Times New Roman" w:eastAsia="MS Mincho" w:hAnsi="Times New Roman" w:cs="Times New Roman"/>
          <w:sz w:val="24"/>
          <w:szCs w:val="24"/>
          <w:vertAlign w:val="superscript"/>
          <w:lang w:val="es-ES_tradnl"/>
        </w:rPr>
        <w:footnoteReference w:id="40"/>
      </w:r>
      <w:r w:rsidRPr="00F63942">
        <w:rPr>
          <w:rFonts w:ascii="Times New Roman" w:eastAsia="MS Mincho" w:hAnsi="Times New Roman" w:cs="Times New Roman"/>
          <w:sz w:val="24"/>
          <w:szCs w:val="24"/>
          <w:lang w:val="es-ES_tradnl"/>
        </w:rPr>
        <w:t xml:space="preserve"> De las 11,500 muertes registradas ese año a consecuencia de eventos naturales extremos, al menos 26% ocurrieron Puerto Rico (3,000). Sin embargo, esta situación era previsible; la Agencia para la Protección Ambiental de Estados Unidos (EPA, por sus siglas en inglés) afirmó en 2016 en un documento oficial que el calentamiento global presentaba riesgos particulares para Puerto Rico, y ponía en peligro sus recursos naturales, especialmente el abastecimiento de agua, la agricultura y la seguridad humana.</w:t>
      </w:r>
      <w:r w:rsidRPr="00F63942">
        <w:rPr>
          <w:rFonts w:ascii="Times New Roman" w:eastAsia="MS Mincho" w:hAnsi="Times New Roman" w:cs="Times New Roman"/>
          <w:sz w:val="24"/>
          <w:szCs w:val="24"/>
          <w:vertAlign w:val="superscript"/>
          <w:lang w:val="es-ES_tradnl"/>
        </w:rPr>
        <w:footnoteReference w:id="41"/>
      </w:r>
    </w:p>
    <w:p w14:paraId="1F3B6656" w14:textId="77777777"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p>
    <w:p w14:paraId="44D1A65E" w14:textId="77777777"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r w:rsidRPr="00F63942">
        <w:rPr>
          <w:rFonts w:ascii="Times New Roman" w:eastAsia="MS Mincho" w:hAnsi="Times New Roman" w:cs="Times New Roman"/>
          <w:sz w:val="24"/>
          <w:szCs w:val="24"/>
          <w:lang w:val="es-ES_tradnl"/>
        </w:rPr>
        <w:t>Lo que ocurre en Puerto Rico es un claro caso de colonialismo ambiental. Por décadas, “los recursos naturales de Puerto Rico han sido explotados para el beneficio de las corporaciones y del Gobierno estadounidense, evidenciado por el alto número de bases militares, y de industrias contaminantes, y de las excepciones de la EPA a la reglamentación federal”.</w:t>
      </w:r>
      <w:r w:rsidRPr="00F63942">
        <w:rPr>
          <w:rFonts w:ascii="Times New Roman" w:eastAsia="MS Mincho" w:hAnsi="Times New Roman" w:cs="Times New Roman"/>
          <w:sz w:val="24"/>
          <w:szCs w:val="24"/>
          <w:vertAlign w:val="superscript"/>
          <w:lang w:val="es-ES_tradnl"/>
        </w:rPr>
        <w:footnoteReference w:id="42"/>
      </w:r>
      <w:r w:rsidRPr="00F63942">
        <w:rPr>
          <w:rFonts w:ascii="Times New Roman" w:eastAsia="MS Mincho" w:hAnsi="Times New Roman" w:cs="Times New Roman"/>
          <w:sz w:val="24"/>
          <w:szCs w:val="24"/>
          <w:lang w:val="es-ES_tradnl"/>
        </w:rPr>
        <w:t xml:space="preserve"> Los efectos nocivos de estas políticas afectan particularmente a poblaciones marginadas, pobres, y afro-descendientes, que residen cerca de los sitios de “Super-fondos”</w:t>
      </w:r>
      <w:r w:rsidRPr="00F63942">
        <w:rPr>
          <w:rFonts w:ascii="Times New Roman" w:eastAsia="MS Mincho" w:hAnsi="Times New Roman" w:cs="Times New Roman"/>
          <w:sz w:val="24"/>
          <w:szCs w:val="24"/>
          <w:vertAlign w:val="superscript"/>
          <w:lang w:val="es-ES_tradnl"/>
        </w:rPr>
        <w:t xml:space="preserve"> </w:t>
      </w:r>
      <w:r w:rsidRPr="00F63942">
        <w:rPr>
          <w:rFonts w:ascii="Times New Roman" w:eastAsia="MS Mincho" w:hAnsi="Times New Roman" w:cs="Times New Roman"/>
          <w:sz w:val="24"/>
          <w:szCs w:val="24"/>
          <w:vertAlign w:val="superscript"/>
          <w:lang w:val="es-ES_tradnl"/>
        </w:rPr>
        <w:footnoteReference w:id="43"/>
      </w:r>
      <w:r w:rsidRPr="00F63942">
        <w:rPr>
          <w:rFonts w:ascii="Times New Roman" w:eastAsia="MS Mincho" w:hAnsi="Times New Roman" w:cs="Times New Roman"/>
          <w:sz w:val="24"/>
          <w:szCs w:val="24"/>
          <w:lang w:val="es-ES_tradnl"/>
        </w:rPr>
        <w:t>, plantas petroquímicas y otras instalaciones tóxicas.</w:t>
      </w:r>
      <w:r w:rsidRPr="00F63942">
        <w:rPr>
          <w:rFonts w:ascii="Times New Roman" w:eastAsia="MS Mincho" w:hAnsi="Times New Roman" w:cs="Times New Roman"/>
          <w:sz w:val="24"/>
          <w:szCs w:val="24"/>
          <w:vertAlign w:val="superscript"/>
          <w:lang w:val="es-ES_tradnl"/>
        </w:rPr>
        <w:footnoteReference w:id="44"/>
      </w:r>
      <w:r w:rsidRPr="00F63942">
        <w:rPr>
          <w:rFonts w:ascii="Times New Roman" w:eastAsia="MS Mincho" w:hAnsi="Times New Roman" w:cs="Times New Roman"/>
          <w:sz w:val="24"/>
          <w:szCs w:val="24"/>
          <w:lang w:val="es-ES_tradnl"/>
        </w:rPr>
        <w:t xml:space="preserve"> La indiferencia de las agencias federales y estatales ante el riesgo de contaminación en Puerto Rico es inaceptable. Esta inacción estatal fue evidente ante el paso del huracán María, cuando la falta de agua potable obligó a muchas personas a beber agua de fuentes contaminadas. A pesar del gran potencial de derrames por las múltiples inundaciones ocurridas, a un mes del impacto del huracán María, la EPA solo había inspeccionado cinco de los 18 puntos de desechos </w:t>
      </w:r>
      <w:r w:rsidRPr="00F63942">
        <w:rPr>
          <w:rFonts w:ascii="Times New Roman" w:eastAsia="MS Mincho" w:hAnsi="Times New Roman" w:cs="Times New Roman"/>
          <w:sz w:val="24"/>
          <w:szCs w:val="24"/>
          <w:lang w:val="es-ES_tradnl"/>
        </w:rPr>
        <w:lastRenderedPageBreak/>
        <w:t>tóxicos (Super-Fondo) en Puerto Rico, y los hallazgos de estas inspecciones no fueron publicados.</w:t>
      </w:r>
      <w:r w:rsidRPr="00F63942">
        <w:rPr>
          <w:rFonts w:ascii="Times New Roman" w:eastAsia="MS Mincho" w:hAnsi="Times New Roman" w:cs="Times New Roman"/>
          <w:sz w:val="24"/>
          <w:szCs w:val="24"/>
          <w:vertAlign w:val="superscript"/>
          <w:lang w:val="es-ES_tradnl"/>
        </w:rPr>
        <w:footnoteReference w:id="45"/>
      </w:r>
      <w:r w:rsidRPr="00F63942">
        <w:rPr>
          <w:rFonts w:ascii="Times New Roman" w:eastAsia="MS Mincho" w:hAnsi="Times New Roman" w:cs="Times New Roman"/>
          <w:sz w:val="24"/>
          <w:szCs w:val="24"/>
          <w:lang w:val="es-ES_tradnl"/>
        </w:rPr>
        <w:t xml:space="preserve"> </w:t>
      </w:r>
    </w:p>
    <w:p w14:paraId="39E84CAD" w14:textId="77777777"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p>
    <w:p w14:paraId="1FD24B3D" w14:textId="77777777"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r w:rsidRPr="00F63942">
        <w:rPr>
          <w:rFonts w:ascii="Times New Roman" w:eastAsia="MS Mincho" w:hAnsi="Times New Roman" w:cs="Times New Roman"/>
          <w:sz w:val="24"/>
          <w:szCs w:val="24"/>
          <w:lang w:val="es-ES_tradnl"/>
        </w:rPr>
        <w:t>Los efectos del cambio climático se agravan con la contaminación ambiental. Uno de los lugares de mayor contaminación ambiental en Puerto Rico es la isla municipio de Vieques, donde los residentes sufren un riesgo mayor a condiciones de cáncer y otras enfermedades crónicas debido a la exposición prolongada a sustancias tóxicas. Por más de 60 años, la Marina de Guerra de los Estados Unidos ocupó gran parte (23 mil acres) del territorio de Vieques, para usarlo como campo de entrenamiento militar. En el 2003 la Marina cesó sus prácticas militares en la isla, pero los terrenos aún permanecen altamente contaminados. Hay toneladas de sustancias químicas en tierra y mar, incluyendo un número indeterminado de armamentos “vivos” sin explotar. Por sus altos niveles de contaminación, los terrenos fueron designados como “Super-fondo”. Sin embargo, la limpieza de los terrenos ha sido lenta, sin participación adecuada de las comunidades y con métodos que exponen aún más a la población a los contaminantes (quema de vegetación y detonación abierta de municiones), provocando nueva contaminación por tóxicos lanzados al aire.</w:t>
      </w:r>
      <w:r w:rsidRPr="00F63942">
        <w:rPr>
          <w:rFonts w:ascii="Times New Roman" w:eastAsia="MS Mincho" w:hAnsi="Times New Roman" w:cs="Times New Roman"/>
          <w:sz w:val="24"/>
          <w:szCs w:val="24"/>
          <w:vertAlign w:val="superscript"/>
          <w:lang w:val="es-ES_tradnl"/>
        </w:rPr>
        <w:footnoteReference w:id="46"/>
      </w:r>
      <w:r w:rsidRPr="00F63942">
        <w:rPr>
          <w:rFonts w:ascii="Times New Roman" w:eastAsia="MS Mincho" w:hAnsi="Times New Roman" w:cs="Times New Roman"/>
          <w:sz w:val="24"/>
          <w:szCs w:val="24"/>
          <w:lang w:val="es-ES_tradnl"/>
        </w:rPr>
        <w:t xml:space="preserve"> A pesar de la vasta evidencia sobre la contaminación, el Gobierno de Estados Unidos no acepta su responsabilidad por los daños causados, negándose a reparar a las víctimas, y retardando el proceso de limpieza de los terrenos y el mar.</w:t>
      </w:r>
    </w:p>
    <w:p w14:paraId="619D1416" w14:textId="77777777"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p>
    <w:p w14:paraId="62188148" w14:textId="3A1C34AD"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r w:rsidRPr="00F63942">
        <w:rPr>
          <w:rFonts w:ascii="Times New Roman" w:eastAsia="MS Mincho" w:hAnsi="Times New Roman" w:cs="Times New Roman"/>
          <w:sz w:val="24"/>
          <w:szCs w:val="24"/>
          <w:lang w:val="es-ES_tradnl"/>
        </w:rPr>
        <w:t>Otro ejemplo de contaminación surge de la quema de combustibles fósiles para la generación de energía eléctrica en Puerto Rico (97%), y el depósito masivo de cenizas tóxicas de carbón a la intemperie. En Puerto Rico se generan anualmente sobre 300,000 toneladas de cenizas tóxicas,</w:t>
      </w:r>
      <w:r w:rsidRPr="00F63942">
        <w:rPr>
          <w:rFonts w:ascii="Times New Roman" w:eastAsia="MS Mincho" w:hAnsi="Times New Roman" w:cs="Times New Roman"/>
          <w:sz w:val="24"/>
          <w:szCs w:val="24"/>
          <w:vertAlign w:val="superscript"/>
          <w:lang w:val="es-ES_tradnl"/>
        </w:rPr>
        <w:footnoteReference w:id="47"/>
      </w:r>
      <w:r w:rsidRPr="00F63942">
        <w:rPr>
          <w:rFonts w:ascii="Times New Roman" w:eastAsia="MS Mincho" w:hAnsi="Times New Roman" w:cs="Times New Roman"/>
          <w:sz w:val="24"/>
          <w:szCs w:val="24"/>
          <w:lang w:val="es-ES_tradnl"/>
        </w:rPr>
        <w:t xml:space="preserve"> que se han utilizado como material de relleno para la construcción de viviendas y carreteras, o que han sido arrastradas por las lluvias, contaminando las aguas subterráneas.</w:t>
      </w:r>
      <w:r w:rsidRPr="00F63942">
        <w:rPr>
          <w:rFonts w:ascii="Times New Roman" w:eastAsia="MS Mincho" w:hAnsi="Times New Roman" w:cs="Times New Roman"/>
          <w:sz w:val="24"/>
          <w:szCs w:val="24"/>
          <w:vertAlign w:val="superscript"/>
          <w:lang w:val="es-ES_tradnl"/>
        </w:rPr>
        <w:footnoteReference w:id="48"/>
      </w:r>
      <w:r w:rsidRPr="00F63942">
        <w:rPr>
          <w:rFonts w:ascii="Times New Roman" w:eastAsia="MS Mincho" w:hAnsi="Times New Roman" w:cs="Times New Roman"/>
          <w:sz w:val="24"/>
          <w:szCs w:val="24"/>
          <w:lang w:val="es-ES_tradnl"/>
        </w:rPr>
        <w:t xml:space="preserve"> El transporte de estas cenizas también crea un problema de polvo fugitivo que expone a las comunidades a los metales tóxicos contenidos en las cenizas de car</w:t>
      </w:r>
      <w:r w:rsidR="005369FB">
        <w:rPr>
          <w:rFonts w:ascii="Times New Roman" w:eastAsia="MS Mincho" w:hAnsi="Times New Roman" w:cs="Times New Roman"/>
          <w:sz w:val="24"/>
          <w:szCs w:val="24"/>
          <w:lang w:val="es-ES_tradnl"/>
        </w:rPr>
        <w:t xml:space="preserve">bón. Los municipios de </w:t>
      </w:r>
      <w:r w:rsidR="005369FB" w:rsidRPr="00806BA3">
        <w:rPr>
          <w:rFonts w:ascii="Times New Roman" w:eastAsia="MS Mincho" w:hAnsi="Times New Roman" w:cs="Times New Roman"/>
          <w:sz w:val="24"/>
          <w:szCs w:val="24"/>
          <w:lang w:val="es-ES_tradnl"/>
        </w:rPr>
        <w:t>Guayama,</w:t>
      </w:r>
      <w:r w:rsidRPr="00806BA3">
        <w:rPr>
          <w:rFonts w:ascii="Times New Roman" w:eastAsia="MS Mincho" w:hAnsi="Times New Roman" w:cs="Times New Roman"/>
          <w:sz w:val="24"/>
          <w:szCs w:val="24"/>
          <w:lang w:val="es-ES_tradnl"/>
        </w:rPr>
        <w:t xml:space="preserve"> Salinas</w:t>
      </w:r>
      <w:r w:rsidR="005369FB" w:rsidRPr="00806BA3">
        <w:rPr>
          <w:rFonts w:ascii="Times New Roman" w:eastAsia="MS Mincho" w:hAnsi="Times New Roman" w:cs="Times New Roman"/>
          <w:sz w:val="24"/>
          <w:szCs w:val="24"/>
          <w:lang w:val="es-ES_tradnl"/>
        </w:rPr>
        <w:t>, Humacao</w:t>
      </w:r>
      <w:r w:rsidR="008C6309">
        <w:rPr>
          <w:rFonts w:ascii="Times New Roman" w:eastAsia="MS Mincho" w:hAnsi="Times New Roman" w:cs="Times New Roman"/>
          <w:sz w:val="24"/>
          <w:szCs w:val="24"/>
          <w:lang w:val="es-ES_tradnl"/>
        </w:rPr>
        <w:t xml:space="preserve"> y</w:t>
      </w:r>
      <w:r w:rsidR="005369FB" w:rsidRPr="00806BA3">
        <w:rPr>
          <w:rFonts w:ascii="Times New Roman" w:eastAsia="MS Mincho" w:hAnsi="Times New Roman" w:cs="Times New Roman"/>
          <w:sz w:val="24"/>
          <w:szCs w:val="24"/>
          <w:lang w:val="es-ES_tradnl"/>
        </w:rPr>
        <w:t xml:space="preserve"> Peñuelas</w:t>
      </w:r>
      <w:r w:rsidRPr="00806BA3">
        <w:rPr>
          <w:rFonts w:ascii="Times New Roman" w:eastAsia="MS Mincho" w:hAnsi="Times New Roman" w:cs="Times New Roman"/>
          <w:sz w:val="24"/>
          <w:szCs w:val="24"/>
          <w:lang w:val="es-ES_tradnl"/>
        </w:rPr>
        <w:t xml:space="preserve"> son de los más afectados por la quema</w:t>
      </w:r>
      <w:r w:rsidR="005369FB" w:rsidRPr="00806BA3">
        <w:rPr>
          <w:rFonts w:ascii="Times New Roman" w:eastAsia="MS Mincho" w:hAnsi="Times New Roman" w:cs="Times New Roman"/>
          <w:sz w:val="24"/>
          <w:szCs w:val="24"/>
          <w:lang w:val="es-ES_tradnl"/>
        </w:rPr>
        <w:t xml:space="preserve"> y </w:t>
      </w:r>
      <w:r w:rsidR="00806BA3" w:rsidRPr="00806BA3">
        <w:rPr>
          <w:rFonts w:ascii="Times New Roman" w:eastAsia="MS Mincho" w:hAnsi="Times New Roman" w:cs="Times New Roman"/>
          <w:sz w:val="24"/>
          <w:szCs w:val="24"/>
          <w:lang w:val="es-ES_tradnl"/>
        </w:rPr>
        <w:t xml:space="preserve">el </w:t>
      </w:r>
      <w:r w:rsidR="005369FB" w:rsidRPr="00806BA3">
        <w:rPr>
          <w:rFonts w:ascii="Times New Roman" w:eastAsia="MS Mincho" w:hAnsi="Times New Roman" w:cs="Times New Roman"/>
          <w:sz w:val="24"/>
          <w:szCs w:val="24"/>
          <w:lang w:val="es-ES_tradnl"/>
        </w:rPr>
        <w:t>depósito</w:t>
      </w:r>
      <w:r w:rsidRPr="00806BA3">
        <w:rPr>
          <w:rFonts w:ascii="Times New Roman" w:eastAsia="MS Mincho" w:hAnsi="Times New Roman" w:cs="Times New Roman"/>
          <w:sz w:val="24"/>
          <w:szCs w:val="24"/>
          <w:lang w:val="es-ES_tradnl"/>
        </w:rPr>
        <w:t xml:space="preserve"> de carbón</w:t>
      </w:r>
      <w:r w:rsidR="005369FB" w:rsidRPr="00806BA3">
        <w:rPr>
          <w:rFonts w:ascii="Times New Roman" w:eastAsia="MS Mincho" w:hAnsi="Times New Roman" w:cs="Times New Roman"/>
          <w:sz w:val="24"/>
          <w:szCs w:val="24"/>
          <w:lang w:val="es-ES_tradnl"/>
        </w:rPr>
        <w:t xml:space="preserve"> y sus cenizas</w:t>
      </w:r>
      <w:r w:rsidRPr="00806BA3">
        <w:rPr>
          <w:rFonts w:ascii="Times New Roman" w:eastAsia="MS Mincho" w:hAnsi="Times New Roman" w:cs="Times New Roman"/>
          <w:sz w:val="24"/>
          <w:szCs w:val="24"/>
          <w:lang w:val="es-ES_tradnl"/>
        </w:rPr>
        <w:t xml:space="preserve">, y tienen una carga excesiva “de industrias contaminantes y destrucción ecológica, altos índices de pobreza y ausencia de servicios públicos que resultan en una situación </w:t>
      </w:r>
      <w:r w:rsidR="005369FB" w:rsidRPr="00806BA3">
        <w:rPr>
          <w:rFonts w:ascii="Times New Roman" w:eastAsia="MS Mincho" w:hAnsi="Times New Roman" w:cs="Times New Roman"/>
          <w:sz w:val="24"/>
          <w:szCs w:val="24"/>
          <w:lang w:val="es-ES_tradnl"/>
        </w:rPr>
        <w:t>clásica de injusticia ambiental,</w:t>
      </w:r>
      <w:r w:rsidRPr="00806BA3">
        <w:rPr>
          <w:rFonts w:ascii="Times New Roman" w:eastAsia="MS Mincho" w:hAnsi="Times New Roman" w:cs="Times New Roman"/>
          <w:sz w:val="24"/>
          <w:szCs w:val="24"/>
          <w:lang w:val="es-ES_tradnl"/>
        </w:rPr>
        <w:t>”</w:t>
      </w:r>
      <w:r w:rsidRPr="00806BA3">
        <w:rPr>
          <w:rFonts w:ascii="Times New Roman" w:eastAsia="MS Mincho" w:hAnsi="Times New Roman" w:cs="Times New Roman"/>
          <w:sz w:val="24"/>
          <w:szCs w:val="24"/>
          <w:vertAlign w:val="superscript"/>
          <w:lang w:val="es-ES_tradnl"/>
        </w:rPr>
        <w:footnoteReference w:id="49"/>
      </w:r>
      <w:r w:rsidRPr="00806BA3">
        <w:rPr>
          <w:rFonts w:ascii="Times New Roman" w:eastAsia="MS Mincho" w:hAnsi="Times New Roman" w:cs="Times New Roman"/>
          <w:sz w:val="24"/>
          <w:szCs w:val="24"/>
          <w:lang w:val="es-ES_tradnl"/>
        </w:rPr>
        <w:t xml:space="preserve"> </w:t>
      </w:r>
      <w:r w:rsidR="005369FB" w:rsidRPr="00806BA3">
        <w:rPr>
          <w:rFonts w:ascii="Times New Roman" w:eastAsia="MS Mincho" w:hAnsi="Times New Roman" w:cs="Times New Roman"/>
          <w:sz w:val="24"/>
          <w:szCs w:val="24"/>
          <w:lang w:val="es-ES_tradnl"/>
        </w:rPr>
        <w:t>afectando la salud, la vida y el desarrollo de este sector de nuestra población.</w:t>
      </w:r>
    </w:p>
    <w:p w14:paraId="54245DE4" w14:textId="77777777" w:rsidR="00F63942" w:rsidRPr="00F63942" w:rsidRDefault="00F63942" w:rsidP="00F63942">
      <w:pPr>
        <w:spacing w:after="0" w:line="240" w:lineRule="auto"/>
        <w:rPr>
          <w:rFonts w:ascii="Times New Roman" w:eastAsia="MS Mincho" w:hAnsi="Times New Roman" w:cs="Times New Roman"/>
          <w:b/>
          <w:sz w:val="24"/>
          <w:szCs w:val="24"/>
          <w:lang w:val="es-PR"/>
        </w:rPr>
      </w:pPr>
      <w:r w:rsidRPr="00F63942">
        <w:rPr>
          <w:rFonts w:ascii="Times New Roman" w:eastAsia="MS Mincho" w:hAnsi="Times New Roman" w:cs="Times New Roman"/>
          <w:b/>
          <w:sz w:val="24"/>
          <w:szCs w:val="24"/>
          <w:lang w:val="es-PR"/>
        </w:rPr>
        <w:t>Artículos del PIDCP pertinentes y cómo se afectan</w:t>
      </w:r>
    </w:p>
    <w:p w14:paraId="1232C43B" w14:textId="77777777" w:rsidR="00F63942" w:rsidRPr="00B30228" w:rsidRDefault="00F63942" w:rsidP="00F63942">
      <w:pPr>
        <w:spacing w:after="0" w:line="240" w:lineRule="auto"/>
        <w:jc w:val="both"/>
        <w:rPr>
          <w:rFonts w:ascii="Times New Roman" w:eastAsia="MS Mincho" w:hAnsi="Times New Roman" w:cs="Times New Roman"/>
          <w:sz w:val="24"/>
          <w:szCs w:val="24"/>
          <w:lang w:val="es-PR"/>
        </w:rPr>
      </w:pPr>
    </w:p>
    <w:p w14:paraId="409EBB17" w14:textId="77777777"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r w:rsidRPr="00F63942">
        <w:rPr>
          <w:rFonts w:ascii="Times New Roman" w:eastAsia="MS Mincho" w:hAnsi="Times New Roman" w:cs="Times New Roman"/>
          <w:sz w:val="24"/>
          <w:szCs w:val="24"/>
          <w:u w:val="single"/>
          <w:lang w:val="es-ES_tradnl"/>
        </w:rPr>
        <w:t>Artículo. 6, párrafo 1</w:t>
      </w:r>
      <w:r w:rsidRPr="00F63942">
        <w:rPr>
          <w:rFonts w:ascii="Times New Roman" w:eastAsia="MS Mincho" w:hAnsi="Times New Roman" w:cs="Times New Roman"/>
          <w:sz w:val="24"/>
          <w:szCs w:val="24"/>
          <w:lang w:val="es-ES_tradnl"/>
        </w:rPr>
        <w:t xml:space="preserve"> - La falta de políticas adecuadas para atender los efectos del cambio climático, y la exposición a fuentes de contaminación ambiental han provocado miles de muertes en Puerto Rico, así como altos niveles de enfermedades crónicas que afectan el derecho a la vida y la salud.</w:t>
      </w:r>
    </w:p>
    <w:p w14:paraId="247C28EA" w14:textId="77777777"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p>
    <w:p w14:paraId="4A3A5E64" w14:textId="77777777"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r w:rsidRPr="00F63942">
        <w:rPr>
          <w:rFonts w:ascii="Times New Roman" w:eastAsia="MS Mincho" w:hAnsi="Times New Roman" w:cs="Times New Roman"/>
          <w:sz w:val="24"/>
          <w:szCs w:val="24"/>
          <w:u w:val="single"/>
          <w:lang w:val="es-ES_tradnl"/>
        </w:rPr>
        <w:lastRenderedPageBreak/>
        <w:t>Art. 2, párrafo 1</w:t>
      </w:r>
      <w:r w:rsidRPr="00F63942">
        <w:rPr>
          <w:rFonts w:ascii="Times New Roman" w:eastAsia="MS Mincho" w:hAnsi="Times New Roman" w:cs="Times New Roman"/>
          <w:sz w:val="24"/>
          <w:szCs w:val="24"/>
          <w:lang w:val="es-ES_tradnl"/>
        </w:rPr>
        <w:t xml:space="preserve"> - El Estado discrimina contra poblaciones vulnerables al no eliminar las fuentes de contaminación ambiental en Puerto Rico, que afectan en mayor proporción a comunidades pobres y marginadas.</w:t>
      </w:r>
    </w:p>
    <w:p w14:paraId="3C4403CF" w14:textId="77777777"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p>
    <w:p w14:paraId="1853021B" w14:textId="77777777" w:rsidR="00F63942" w:rsidRPr="00F63942" w:rsidRDefault="00F63942" w:rsidP="00F63942">
      <w:pPr>
        <w:spacing w:after="0" w:line="240" w:lineRule="auto"/>
        <w:jc w:val="both"/>
        <w:rPr>
          <w:rFonts w:ascii="Times New Roman" w:eastAsia="MS Mincho" w:hAnsi="Times New Roman" w:cs="Times New Roman"/>
          <w:b/>
          <w:sz w:val="24"/>
          <w:szCs w:val="24"/>
          <w:lang w:val="es-ES_tradnl"/>
        </w:rPr>
      </w:pPr>
      <w:r w:rsidRPr="00F63942">
        <w:rPr>
          <w:rFonts w:ascii="Times New Roman" w:eastAsia="MS Mincho" w:hAnsi="Times New Roman" w:cs="Times New Roman"/>
          <w:b/>
          <w:sz w:val="24"/>
          <w:szCs w:val="24"/>
          <w:lang w:val="es-PR"/>
        </w:rPr>
        <w:t xml:space="preserve">Recomendaciones de órganos de derechos humanos </w:t>
      </w:r>
    </w:p>
    <w:p w14:paraId="43847A7C" w14:textId="77777777"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p>
    <w:p w14:paraId="4C5BB51F" w14:textId="77777777"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bookmarkStart w:id="9" w:name="_Hlk534961785"/>
      <w:r w:rsidRPr="00F63942">
        <w:rPr>
          <w:rFonts w:ascii="Times New Roman" w:eastAsia="MS Mincho" w:hAnsi="Times New Roman" w:cs="Times New Roman"/>
          <w:sz w:val="24"/>
          <w:szCs w:val="24"/>
        </w:rPr>
        <w:t xml:space="preserve">Human Rights Committee, </w:t>
      </w:r>
      <w:r w:rsidRPr="00F63942">
        <w:rPr>
          <w:rFonts w:ascii="Times New Roman" w:eastAsia="MS Mincho" w:hAnsi="Times New Roman" w:cs="Times New Roman"/>
          <w:i/>
          <w:sz w:val="24"/>
          <w:szCs w:val="24"/>
        </w:rPr>
        <w:t>General Comment No. 36 (2018) on article 6 of the International Covenant on Civil and Political Rights, on the right to life</w:t>
      </w:r>
      <w:r w:rsidRPr="00F63942">
        <w:rPr>
          <w:rFonts w:ascii="Times New Roman" w:eastAsia="MS Mincho" w:hAnsi="Times New Roman" w:cs="Times New Roman"/>
          <w:sz w:val="24"/>
          <w:szCs w:val="24"/>
        </w:rPr>
        <w:t xml:space="preserve">. </w:t>
      </w:r>
      <w:r w:rsidRPr="00F63942">
        <w:rPr>
          <w:rFonts w:ascii="Times New Roman" w:eastAsia="MS Mincho" w:hAnsi="Times New Roman" w:cs="Times New Roman"/>
          <w:sz w:val="24"/>
          <w:szCs w:val="24"/>
          <w:lang w:val="es-ES_tradnl"/>
        </w:rPr>
        <w:t>30 de octubre de 2018, (CCPR/C/GC/36).</w:t>
      </w:r>
      <w:r w:rsidRPr="00F63942">
        <w:rPr>
          <w:rFonts w:ascii="Times New Roman" w:eastAsia="MS Mincho" w:hAnsi="Times New Roman" w:cs="Times New Roman"/>
          <w:sz w:val="24"/>
          <w:szCs w:val="24"/>
          <w:vertAlign w:val="superscript"/>
          <w:lang w:val="es-ES_tradnl"/>
        </w:rPr>
        <w:footnoteReference w:id="50"/>
      </w:r>
    </w:p>
    <w:bookmarkEnd w:id="9"/>
    <w:p w14:paraId="75404A70" w14:textId="77777777"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p>
    <w:p w14:paraId="3E74A545" w14:textId="4BC2E55F"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r w:rsidRPr="00F63942">
        <w:rPr>
          <w:rFonts w:ascii="Times New Roman" w:eastAsia="MS Mincho" w:hAnsi="Times New Roman" w:cs="Times New Roman"/>
          <w:sz w:val="24"/>
          <w:szCs w:val="24"/>
          <w:lang w:val="es-ES_tradnl"/>
        </w:rPr>
        <w:t xml:space="preserve">Philip Alston, </w:t>
      </w:r>
      <w:r w:rsidRPr="00F63942">
        <w:rPr>
          <w:rFonts w:ascii="Times New Roman" w:eastAsia="MS Mincho" w:hAnsi="Times New Roman" w:cs="Times New Roman"/>
          <w:i/>
          <w:sz w:val="24"/>
          <w:szCs w:val="24"/>
          <w:lang w:val="es-ES_tradnl"/>
        </w:rPr>
        <w:t>Informe del Relator Especial sobre la extrema pobreza y los derechos humanos relativo a su misión a los Estados Unidos de América</w:t>
      </w:r>
      <w:r w:rsidRPr="00F63942">
        <w:rPr>
          <w:rFonts w:ascii="Times New Roman" w:eastAsia="MS Mincho" w:hAnsi="Times New Roman" w:cs="Times New Roman"/>
          <w:sz w:val="24"/>
          <w:szCs w:val="24"/>
          <w:lang w:val="es-ES_tradnl"/>
        </w:rPr>
        <w:t>, 4 de m</w:t>
      </w:r>
      <w:r w:rsidR="00806BA3">
        <w:rPr>
          <w:rFonts w:ascii="Times New Roman" w:eastAsia="MS Mincho" w:hAnsi="Times New Roman" w:cs="Times New Roman"/>
          <w:sz w:val="24"/>
          <w:szCs w:val="24"/>
          <w:lang w:val="es-ES_tradnl"/>
        </w:rPr>
        <w:t>ayo de 2018 (A/HRC/38/33/Add.1).</w:t>
      </w:r>
      <w:r w:rsidRPr="00F63942">
        <w:rPr>
          <w:rFonts w:ascii="Times New Roman" w:eastAsia="MS Mincho" w:hAnsi="Times New Roman" w:cs="Times New Roman"/>
          <w:sz w:val="24"/>
          <w:szCs w:val="24"/>
          <w:lang w:val="es-ES_tradnl"/>
        </w:rPr>
        <w:t xml:space="preserve"> </w:t>
      </w:r>
      <w:r w:rsidR="00806BA3">
        <w:rPr>
          <w:rFonts w:ascii="Times New Roman" w:eastAsia="MS Mincho" w:hAnsi="Times New Roman" w:cs="Times New Roman"/>
          <w:sz w:val="24"/>
          <w:szCs w:val="24"/>
          <w:lang w:val="es-ES_tradnl"/>
        </w:rPr>
        <w:t xml:space="preserve">En el </w:t>
      </w:r>
      <w:r w:rsidRPr="00F63942">
        <w:rPr>
          <w:rFonts w:ascii="Times New Roman" w:eastAsia="MS Mincho" w:hAnsi="Times New Roman" w:cs="Times New Roman"/>
          <w:sz w:val="24"/>
          <w:szCs w:val="24"/>
          <w:lang w:val="es-ES_tradnl"/>
        </w:rPr>
        <w:t>párr</w:t>
      </w:r>
      <w:r w:rsidR="00806BA3">
        <w:rPr>
          <w:rFonts w:ascii="Times New Roman" w:eastAsia="MS Mincho" w:hAnsi="Times New Roman" w:cs="Times New Roman"/>
          <w:sz w:val="24"/>
          <w:szCs w:val="24"/>
          <w:lang w:val="es-ES_tradnl"/>
        </w:rPr>
        <w:t>afo</w:t>
      </w:r>
      <w:r w:rsidRPr="00F63942">
        <w:rPr>
          <w:rFonts w:ascii="Times New Roman" w:eastAsia="MS Mincho" w:hAnsi="Times New Roman" w:cs="Times New Roman"/>
          <w:sz w:val="24"/>
          <w:szCs w:val="24"/>
          <w:lang w:val="es-ES_tradnl"/>
        </w:rPr>
        <w:t xml:space="preserve"> 68</w:t>
      </w:r>
      <w:r w:rsidR="00806BA3">
        <w:rPr>
          <w:rFonts w:ascii="Times New Roman" w:eastAsia="MS Mincho" w:hAnsi="Times New Roman" w:cs="Times New Roman"/>
          <w:sz w:val="24"/>
          <w:szCs w:val="24"/>
          <w:lang w:val="es-ES_tradnl"/>
        </w:rPr>
        <w:t xml:space="preserve"> se menciona </w:t>
      </w:r>
      <w:r w:rsidRPr="00F63942">
        <w:rPr>
          <w:rFonts w:ascii="Times New Roman" w:eastAsia="MS Mincho" w:hAnsi="Times New Roman" w:cs="Times New Roman"/>
          <w:sz w:val="24"/>
          <w:szCs w:val="24"/>
          <w:lang w:val="es-ES_tradnl"/>
        </w:rPr>
        <w:t>la exposición desmedida a contaminantes por cenizas de carbón en comunidades pobres de Puerto Rico.</w:t>
      </w:r>
      <w:r w:rsidRPr="00F63942">
        <w:rPr>
          <w:rFonts w:ascii="Times New Roman" w:eastAsia="MS Mincho" w:hAnsi="Times New Roman" w:cs="Times New Roman"/>
          <w:sz w:val="24"/>
          <w:szCs w:val="24"/>
          <w:vertAlign w:val="superscript"/>
          <w:lang w:val="es-ES_tradnl"/>
        </w:rPr>
        <w:footnoteReference w:id="51"/>
      </w:r>
    </w:p>
    <w:p w14:paraId="1BF52834" w14:textId="77777777"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p>
    <w:p w14:paraId="27140817" w14:textId="77777777" w:rsidR="00F63942" w:rsidRPr="00F63942" w:rsidRDefault="00F63942" w:rsidP="00F63942">
      <w:pPr>
        <w:spacing w:after="0" w:line="240" w:lineRule="auto"/>
        <w:rPr>
          <w:rFonts w:ascii="Times New Roman" w:eastAsia="MS Mincho" w:hAnsi="Times New Roman" w:cs="Times New Roman"/>
          <w:b/>
          <w:sz w:val="24"/>
          <w:szCs w:val="24"/>
          <w:lang w:val="es-ES_tradnl"/>
        </w:rPr>
      </w:pPr>
      <w:r w:rsidRPr="00F63942">
        <w:rPr>
          <w:rFonts w:ascii="Times New Roman" w:eastAsia="MS Mincho" w:hAnsi="Times New Roman" w:cs="Times New Roman"/>
          <w:b/>
          <w:sz w:val="24"/>
          <w:szCs w:val="24"/>
          <w:lang w:val="es-ES_tradnl"/>
        </w:rPr>
        <w:t>Preguntas recomendadas al Comité</w:t>
      </w:r>
    </w:p>
    <w:p w14:paraId="468732D9" w14:textId="77777777"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p>
    <w:p w14:paraId="4BB6762A" w14:textId="1FB69264" w:rsidR="00F63942" w:rsidRPr="00F63942" w:rsidRDefault="00F63942" w:rsidP="00F63942">
      <w:pPr>
        <w:numPr>
          <w:ilvl w:val="0"/>
          <w:numId w:val="3"/>
        </w:numPr>
        <w:tabs>
          <w:tab w:val="left" w:pos="360"/>
        </w:tabs>
        <w:spacing w:after="0" w:line="240" w:lineRule="auto"/>
        <w:ind w:left="360"/>
        <w:contextualSpacing/>
        <w:jc w:val="both"/>
        <w:rPr>
          <w:rFonts w:ascii="Times New Roman" w:eastAsia="MS Mincho" w:hAnsi="Times New Roman" w:cs="Times New Roman"/>
          <w:sz w:val="24"/>
          <w:szCs w:val="24"/>
          <w:lang w:val="es-ES_tradnl"/>
        </w:rPr>
      </w:pPr>
      <w:r w:rsidRPr="00F63942">
        <w:rPr>
          <w:rFonts w:ascii="Times New Roman" w:eastAsia="MS Mincho" w:hAnsi="Times New Roman" w:cs="Times New Roman"/>
          <w:sz w:val="24"/>
          <w:szCs w:val="24"/>
          <w:lang w:val="es-ES_tradnl"/>
        </w:rPr>
        <w:t>A pesar de que la EPA reconoce el alto riesgo que Puerto Rico enfrenta ante eventos naturales, no se tomaron medidas específicas que pudieran prever la muerte de aproximadamente tres mil personas tras el paso del huracán María por Puerto Rico. ¿Qué planes tiene el gobierno de Estados Unidos para atender los riesgos que representa el cambio climático al derecho a la vida en Puerto Rico?</w:t>
      </w:r>
    </w:p>
    <w:p w14:paraId="7970ACEC" w14:textId="3ECF37E9" w:rsidR="00F63942" w:rsidRPr="00806BA3" w:rsidRDefault="00F63942" w:rsidP="00F63942">
      <w:pPr>
        <w:numPr>
          <w:ilvl w:val="0"/>
          <w:numId w:val="3"/>
        </w:numPr>
        <w:spacing w:after="0" w:line="240" w:lineRule="auto"/>
        <w:ind w:left="360"/>
        <w:contextualSpacing/>
        <w:jc w:val="both"/>
        <w:rPr>
          <w:rFonts w:ascii="Times New Roman" w:eastAsia="MS Mincho" w:hAnsi="Times New Roman" w:cs="Times New Roman"/>
          <w:sz w:val="24"/>
          <w:szCs w:val="24"/>
          <w:lang w:val="es-ES_tradnl"/>
        </w:rPr>
      </w:pPr>
      <w:r w:rsidRPr="00806BA3">
        <w:rPr>
          <w:rFonts w:ascii="Times New Roman" w:eastAsia="MS Mincho" w:hAnsi="Times New Roman" w:cs="Times New Roman"/>
          <w:sz w:val="24"/>
          <w:szCs w:val="24"/>
          <w:lang w:val="es-ES_tradnl"/>
        </w:rPr>
        <w:t>Luego del cese de prácticas militares en la isla de Vieques, la Marina de Guerra de Estados Unidos ha usado la quema de vegetación y la explosión abierta de armamentos químicos como una forma de eliminar las bombas que aún permanecen en el área. ¿Qué acción planifica tomar Estados Unidos para mitigar los daños a la salud de los residentes de Vieques y detener nueva contaminación en los terrenos? ¿Cuánto tiempo adicional tomará el proceso de limpieza?</w:t>
      </w:r>
      <w:r w:rsidR="005369FB" w:rsidRPr="00806BA3">
        <w:rPr>
          <w:rFonts w:ascii="Times New Roman" w:eastAsia="MS Mincho" w:hAnsi="Times New Roman" w:cs="Times New Roman"/>
          <w:sz w:val="24"/>
          <w:szCs w:val="24"/>
          <w:lang w:val="es-ES_tradnl"/>
        </w:rPr>
        <w:t xml:space="preserve"> ¿Qué reparación vislumbran para el pueblo viequense?</w:t>
      </w:r>
    </w:p>
    <w:p w14:paraId="07A74B0E" w14:textId="0F175A12" w:rsidR="00F63942" w:rsidRPr="00F63942" w:rsidRDefault="00F63942" w:rsidP="00F63942">
      <w:pPr>
        <w:numPr>
          <w:ilvl w:val="0"/>
          <w:numId w:val="3"/>
        </w:numPr>
        <w:spacing w:after="0" w:line="240" w:lineRule="auto"/>
        <w:ind w:left="360"/>
        <w:contextualSpacing/>
        <w:jc w:val="both"/>
        <w:rPr>
          <w:rFonts w:ascii="Times New Roman" w:eastAsia="MS Mincho" w:hAnsi="Times New Roman" w:cs="Times New Roman"/>
          <w:sz w:val="24"/>
          <w:szCs w:val="24"/>
          <w:lang w:val="es-ES_tradnl"/>
        </w:rPr>
      </w:pPr>
      <w:r w:rsidRPr="00806BA3">
        <w:rPr>
          <w:rFonts w:ascii="Times New Roman" w:eastAsia="MS Mincho" w:hAnsi="Times New Roman" w:cs="Times New Roman"/>
          <w:sz w:val="24"/>
          <w:szCs w:val="24"/>
          <w:lang w:val="es-ES_tradnl"/>
        </w:rPr>
        <w:t>Ante los altos niveles de contaminación ambiental generados por el depósito de cenizas en municipios pobres del sur de Puerto Rico, ¿qué cambios de política pública está dispuesto el Estado a adelantar para lograr la eliminación de</w:t>
      </w:r>
      <w:r w:rsidR="00A06762" w:rsidRPr="00806BA3">
        <w:rPr>
          <w:rFonts w:ascii="Times New Roman" w:eastAsia="MS Mincho" w:hAnsi="Times New Roman" w:cs="Times New Roman"/>
          <w:sz w:val="24"/>
          <w:szCs w:val="24"/>
          <w:lang w:val="es-ES_tradnl"/>
        </w:rPr>
        <w:t xml:space="preserve"> la producción y</w:t>
      </w:r>
      <w:r w:rsidRPr="00806BA3">
        <w:rPr>
          <w:rFonts w:ascii="Times New Roman" w:eastAsia="MS Mincho" w:hAnsi="Times New Roman" w:cs="Times New Roman"/>
          <w:sz w:val="24"/>
          <w:szCs w:val="24"/>
          <w:lang w:val="es-ES_tradnl"/>
        </w:rPr>
        <w:t xml:space="preserve"> los depó</w:t>
      </w:r>
      <w:r w:rsidRPr="00F63942">
        <w:rPr>
          <w:rFonts w:ascii="Times New Roman" w:eastAsia="MS Mincho" w:hAnsi="Times New Roman" w:cs="Times New Roman"/>
          <w:sz w:val="24"/>
          <w:szCs w:val="24"/>
          <w:lang w:val="es-ES_tradnl"/>
        </w:rPr>
        <w:t>sitos de cenizas?</w:t>
      </w:r>
    </w:p>
    <w:p w14:paraId="37F71E4B" w14:textId="77777777" w:rsidR="00F63942" w:rsidRPr="00F63942" w:rsidRDefault="00F63942" w:rsidP="00F63942">
      <w:pPr>
        <w:spacing w:after="0" w:line="240" w:lineRule="auto"/>
        <w:jc w:val="both"/>
        <w:rPr>
          <w:rFonts w:ascii="Times New Roman" w:eastAsia="MS Mincho" w:hAnsi="Times New Roman" w:cs="Times New Roman"/>
          <w:sz w:val="24"/>
          <w:szCs w:val="24"/>
          <w:lang w:val="es-ES_tradnl"/>
        </w:rPr>
      </w:pPr>
    </w:p>
    <w:p w14:paraId="0526F2AA" w14:textId="77777777" w:rsidR="00B05FCB" w:rsidRDefault="00F63942" w:rsidP="0058750F">
      <w:pPr>
        <w:spacing w:after="0" w:line="240" w:lineRule="auto"/>
        <w:jc w:val="both"/>
        <w:rPr>
          <w:rFonts w:ascii="Times New Roman" w:eastAsia="MS Mincho" w:hAnsi="Times New Roman" w:cs="Times New Roman"/>
          <w:sz w:val="24"/>
          <w:szCs w:val="24"/>
          <w:lang w:val="es-PR"/>
        </w:rPr>
      </w:pPr>
      <w:r w:rsidRPr="00F63942">
        <w:rPr>
          <w:rFonts w:ascii="Times New Roman" w:eastAsia="MS Mincho" w:hAnsi="Times New Roman" w:cs="Times New Roman"/>
          <w:b/>
          <w:sz w:val="24"/>
          <w:szCs w:val="24"/>
          <w:lang w:val="es-PR"/>
        </w:rPr>
        <w:t>Sugerencia de recomendación por el Comité</w:t>
      </w:r>
      <w:r w:rsidRPr="00F63942">
        <w:rPr>
          <w:rFonts w:ascii="Times New Roman" w:eastAsia="MS Mincho" w:hAnsi="Times New Roman" w:cs="Times New Roman"/>
          <w:sz w:val="24"/>
          <w:szCs w:val="24"/>
          <w:lang w:val="es-PR"/>
        </w:rPr>
        <w:t xml:space="preserve"> – El Estado debe adoptar las políticas adecuadas sobre el cambio climático y la contaminación ambiental en Puerto Rico, otorgando especial prioridad al proceso de limpieza en la isla de Vieques y la contaminación provocada por las cenizas </w:t>
      </w:r>
    </w:p>
    <w:p w14:paraId="69BE0182" w14:textId="47B4FBA6" w:rsidR="00BD2663" w:rsidRDefault="00F63942" w:rsidP="0058750F">
      <w:pPr>
        <w:spacing w:after="0" w:line="240" w:lineRule="auto"/>
        <w:jc w:val="both"/>
        <w:rPr>
          <w:rFonts w:ascii="Times New Roman" w:eastAsia="MS Mincho" w:hAnsi="Times New Roman" w:cs="Times New Roman"/>
          <w:sz w:val="24"/>
          <w:szCs w:val="24"/>
          <w:lang w:val="es-PR"/>
        </w:rPr>
      </w:pPr>
      <w:r w:rsidRPr="00F63942">
        <w:rPr>
          <w:rFonts w:ascii="Times New Roman" w:eastAsia="MS Mincho" w:hAnsi="Times New Roman" w:cs="Times New Roman"/>
          <w:sz w:val="24"/>
          <w:szCs w:val="24"/>
          <w:lang w:val="es-PR"/>
        </w:rPr>
        <w:t>tóxicas de carbón.</w:t>
      </w:r>
    </w:p>
    <w:p w14:paraId="5D57F450" w14:textId="40F8B7D5" w:rsidR="00284939" w:rsidRDefault="00284939" w:rsidP="0058750F">
      <w:pPr>
        <w:pBdr>
          <w:bottom w:val="double" w:sz="6" w:space="1" w:color="auto"/>
        </w:pBdr>
        <w:spacing w:after="0" w:line="240" w:lineRule="auto"/>
        <w:jc w:val="both"/>
        <w:rPr>
          <w:rFonts w:ascii="Times New Roman" w:eastAsia="MS Mincho" w:hAnsi="Times New Roman" w:cs="Times New Roman"/>
          <w:sz w:val="24"/>
          <w:szCs w:val="24"/>
          <w:lang w:val="es-PR"/>
        </w:rPr>
      </w:pPr>
    </w:p>
    <w:p w14:paraId="7C0B7409" w14:textId="77777777" w:rsidR="00B05FCB" w:rsidRDefault="00B05FCB" w:rsidP="0058750F">
      <w:pPr>
        <w:spacing w:after="0" w:line="240" w:lineRule="auto"/>
        <w:jc w:val="both"/>
        <w:rPr>
          <w:rFonts w:ascii="Times New Roman" w:eastAsia="MS Mincho" w:hAnsi="Times New Roman" w:cs="Times New Roman"/>
          <w:sz w:val="24"/>
          <w:szCs w:val="24"/>
          <w:lang w:val="es-PR"/>
        </w:rPr>
      </w:pPr>
    </w:p>
    <w:p w14:paraId="6842C08E" w14:textId="5170966E" w:rsidR="00284939" w:rsidRPr="001131C0" w:rsidRDefault="00284939" w:rsidP="0058750F">
      <w:pPr>
        <w:spacing w:after="0" w:line="240" w:lineRule="auto"/>
        <w:jc w:val="both"/>
        <w:rPr>
          <w:rFonts w:ascii="Times New Roman" w:eastAsia="MS Mincho" w:hAnsi="Times New Roman" w:cs="Times New Roman"/>
          <w:b/>
          <w:sz w:val="24"/>
          <w:szCs w:val="24"/>
          <w:lang w:val="es-PR"/>
        </w:rPr>
      </w:pPr>
      <w:r w:rsidRPr="001131C0">
        <w:rPr>
          <w:rFonts w:ascii="Times New Roman" w:eastAsia="MS Mincho" w:hAnsi="Times New Roman" w:cs="Times New Roman"/>
          <w:b/>
          <w:sz w:val="24"/>
          <w:szCs w:val="24"/>
          <w:lang w:val="es-PR"/>
        </w:rPr>
        <w:t>Contacto:</w:t>
      </w:r>
    </w:p>
    <w:p w14:paraId="2854D720" w14:textId="47FAF0E4" w:rsidR="001131C0" w:rsidRDefault="00284939" w:rsidP="0058750F">
      <w:pPr>
        <w:spacing w:after="0" w:line="240" w:lineRule="auto"/>
        <w:jc w:val="both"/>
        <w:rPr>
          <w:rFonts w:ascii="Times New Roman" w:eastAsia="MS Mincho" w:hAnsi="Times New Roman" w:cs="Times New Roman"/>
          <w:sz w:val="24"/>
          <w:szCs w:val="24"/>
          <w:lang w:val="es-PR"/>
        </w:rPr>
      </w:pPr>
      <w:r>
        <w:rPr>
          <w:rFonts w:ascii="Times New Roman" w:eastAsia="MS Mincho" w:hAnsi="Times New Roman" w:cs="Times New Roman"/>
          <w:sz w:val="24"/>
          <w:szCs w:val="24"/>
          <w:lang w:val="es-PR"/>
        </w:rPr>
        <w:t>Lcdo. Carmelo Campos Cruz</w:t>
      </w:r>
      <w:r w:rsidR="00B05FCB">
        <w:rPr>
          <w:rFonts w:ascii="Times New Roman" w:eastAsia="MS Mincho" w:hAnsi="Times New Roman" w:cs="Times New Roman"/>
          <w:sz w:val="24"/>
          <w:szCs w:val="24"/>
          <w:lang w:val="es-PR"/>
        </w:rPr>
        <w:t xml:space="preserve">, </w:t>
      </w:r>
      <w:r>
        <w:rPr>
          <w:rFonts w:ascii="Times New Roman" w:eastAsia="MS Mincho" w:hAnsi="Times New Roman" w:cs="Times New Roman"/>
          <w:sz w:val="24"/>
          <w:szCs w:val="24"/>
          <w:lang w:val="es-PR"/>
        </w:rPr>
        <w:t>Presidente de la Comisión de Derecho Internacional</w:t>
      </w:r>
    </w:p>
    <w:p w14:paraId="1098295E" w14:textId="73756467" w:rsidR="00284939" w:rsidRDefault="008125EA" w:rsidP="0058750F">
      <w:pPr>
        <w:spacing w:after="0" w:line="240" w:lineRule="auto"/>
        <w:jc w:val="both"/>
        <w:rPr>
          <w:rFonts w:ascii="Times New Roman" w:eastAsia="MS Mincho" w:hAnsi="Times New Roman" w:cs="Times New Roman"/>
          <w:sz w:val="24"/>
          <w:szCs w:val="24"/>
          <w:lang w:val="es-PR"/>
        </w:rPr>
      </w:pPr>
      <w:hyperlink r:id="rId9" w:history="1">
        <w:r w:rsidR="00284939" w:rsidRPr="00E2606F">
          <w:rPr>
            <w:rStyle w:val="Hyperlink"/>
            <w:rFonts w:ascii="Times New Roman" w:eastAsia="MS Mincho" w:hAnsi="Times New Roman" w:cs="Times New Roman"/>
            <w:sz w:val="24"/>
            <w:szCs w:val="24"/>
            <w:lang w:val="es-PR"/>
          </w:rPr>
          <w:t>carmelocampos@yahoo.com</w:t>
        </w:r>
      </w:hyperlink>
      <w:r w:rsidR="00284939">
        <w:rPr>
          <w:rFonts w:ascii="Times New Roman" w:eastAsia="MS Mincho" w:hAnsi="Times New Roman" w:cs="Times New Roman"/>
          <w:sz w:val="24"/>
          <w:szCs w:val="24"/>
          <w:lang w:val="es-PR"/>
        </w:rPr>
        <w:t xml:space="preserve"> </w:t>
      </w:r>
    </w:p>
    <w:p w14:paraId="7999B06F" w14:textId="350AF1D3" w:rsidR="00284939" w:rsidRPr="00D568E7" w:rsidRDefault="00284939" w:rsidP="0058750F">
      <w:pPr>
        <w:spacing w:after="0" w:line="240" w:lineRule="auto"/>
        <w:jc w:val="both"/>
        <w:rPr>
          <w:rFonts w:ascii="Times New Roman" w:eastAsia="MS Mincho" w:hAnsi="Times New Roman" w:cs="Times New Roman"/>
          <w:sz w:val="24"/>
          <w:szCs w:val="24"/>
          <w:lang w:val="es-ES_tradnl"/>
        </w:rPr>
      </w:pPr>
      <w:r>
        <w:rPr>
          <w:rFonts w:ascii="Times New Roman" w:eastAsia="MS Mincho" w:hAnsi="Times New Roman" w:cs="Times New Roman"/>
          <w:sz w:val="24"/>
          <w:szCs w:val="24"/>
          <w:lang w:val="es-PR"/>
        </w:rPr>
        <w:t>787-648-5624</w:t>
      </w:r>
    </w:p>
    <w:sectPr w:rsidR="00284939" w:rsidRPr="00D568E7" w:rsidSect="00DE1379">
      <w:footerReference w:type="default" r:id="rId10"/>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10754" w14:textId="77777777" w:rsidR="005369FB" w:rsidRDefault="005369FB" w:rsidP="0086435E">
      <w:pPr>
        <w:spacing w:after="0" w:line="240" w:lineRule="auto"/>
      </w:pPr>
      <w:r>
        <w:separator/>
      </w:r>
    </w:p>
  </w:endnote>
  <w:endnote w:type="continuationSeparator" w:id="0">
    <w:p w14:paraId="0721D37F" w14:textId="77777777" w:rsidR="005369FB" w:rsidRDefault="005369FB" w:rsidP="00864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857826"/>
      <w:docPartObj>
        <w:docPartGallery w:val="Page Numbers (Bottom of Page)"/>
        <w:docPartUnique/>
      </w:docPartObj>
    </w:sdtPr>
    <w:sdtEndPr>
      <w:rPr>
        <w:rFonts w:ascii="Times New Roman" w:hAnsi="Times New Roman" w:cs="Times New Roman"/>
        <w:noProof/>
        <w:sz w:val="24"/>
        <w:szCs w:val="24"/>
      </w:rPr>
    </w:sdtEndPr>
    <w:sdtContent>
      <w:p w14:paraId="2A4FF7E2" w14:textId="77777777" w:rsidR="005369FB" w:rsidRPr="00C709B0" w:rsidRDefault="005369FB">
        <w:pPr>
          <w:pStyle w:val="Footer"/>
          <w:jc w:val="center"/>
          <w:rPr>
            <w:rFonts w:ascii="Times New Roman" w:hAnsi="Times New Roman" w:cs="Times New Roman"/>
            <w:sz w:val="24"/>
            <w:szCs w:val="24"/>
          </w:rPr>
        </w:pPr>
        <w:r w:rsidRPr="00C709B0">
          <w:rPr>
            <w:rFonts w:ascii="Times New Roman" w:hAnsi="Times New Roman" w:cs="Times New Roman"/>
            <w:sz w:val="24"/>
            <w:szCs w:val="24"/>
          </w:rPr>
          <w:fldChar w:fldCharType="begin"/>
        </w:r>
        <w:r w:rsidRPr="00C709B0">
          <w:rPr>
            <w:rFonts w:ascii="Times New Roman" w:hAnsi="Times New Roman" w:cs="Times New Roman"/>
            <w:sz w:val="24"/>
            <w:szCs w:val="24"/>
          </w:rPr>
          <w:instrText xml:space="preserve"> PAGE   \* MERGEFORMAT </w:instrText>
        </w:r>
        <w:r w:rsidRPr="00C709B0">
          <w:rPr>
            <w:rFonts w:ascii="Times New Roman" w:hAnsi="Times New Roman" w:cs="Times New Roman"/>
            <w:sz w:val="24"/>
            <w:szCs w:val="24"/>
          </w:rPr>
          <w:fldChar w:fldCharType="separate"/>
        </w:r>
        <w:r w:rsidR="00A06762">
          <w:rPr>
            <w:rFonts w:ascii="Times New Roman" w:hAnsi="Times New Roman" w:cs="Times New Roman"/>
            <w:noProof/>
            <w:sz w:val="24"/>
            <w:szCs w:val="24"/>
          </w:rPr>
          <w:t>2</w:t>
        </w:r>
        <w:r w:rsidRPr="00C709B0">
          <w:rPr>
            <w:rFonts w:ascii="Times New Roman" w:hAnsi="Times New Roman" w:cs="Times New Roman"/>
            <w:noProof/>
            <w:sz w:val="24"/>
            <w:szCs w:val="24"/>
          </w:rPr>
          <w:fldChar w:fldCharType="end"/>
        </w:r>
      </w:p>
    </w:sdtContent>
  </w:sdt>
  <w:p w14:paraId="58E55784" w14:textId="77777777" w:rsidR="005369FB" w:rsidRDefault="00536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7E54E" w14:textId="77777777" w:rsidR="005369FB" w:rsidRDefault="005369FB" w:rsidP="0086435E">
      <w:pPr>
        <w:spacing w:after="0" w:line="240" w:lineRule="auto"/>
      </w:pPr>
      <w:r>
        <w:separator/>
      </w:r>
    </w:p>
  </w:footnote>
  <w:footnote w:type="continuationSeparator" w:id="0">
    <w:p w14:paraId="160494B1" w14:textId="77777777" w:rsidR="005369FB" w:rsidRDefault="005369FB" w:rsidP="0086435E">
      <w:pPr>
        <w:spacing w:after="0" w:line="240" w:lineRule="auto"/>
      </w:pPr>
      <w:r>
        <w:continuationSeparator/>
      </w:r>
    </w:p>
  </w:footnote>
  <w:footnote w:id="1">
    <w:p w14:paraId="25FD182C" w14:textId="77777777" w:rsidR="005369FB" w:rsidRPr="00F577AC" w:rsidRDefault="005369FB" w:rsidP="001660AE">
      <w:pPr>
        <w:pStyle w:val="FootnoteText"/>
        <w:rPr>
          <w:sz w:val="22"/>
          <w:szCs w:val="22"/>
          <w:lang w:val="es-PR"/>
        </w:rPr>
      </w:pPr>
      <w:r w:rsidRPr="00F577AC">
        <w:rPr>
          <w:rStyle w:val="FootnoteReference"/>
          <w:sz w:val="22"/>
          <w:szCs w:val="22"/>
        </w:rPr>
        <w:footnoteRef/>
      </w:r>
      <w:r w:rsidRPr="00F577AC">
        <w:rPr>
          <w:sz w:val="22"/>
          <w:szCs w:val="22"/>
          <w:lang w:val="es-PR"/>
        </w:rPr>
        <w:t xml:space="preserve"> Segundo párrafo de la sección 3 del artículo IV de la Constitución de los Estados Unidos, </w:t>
      </w:r>
      <w:hyperlink r:id="rId1" w:history="1">
        <w:r w:rsidRPr="00F577AC">
          <w:rPr>
            <w:rStyle w:val="Hyperlink"/>
            <w:sz w:val="22"/>
            <w:szCs w:val="22"/>
            <w:lang w:val="es-PR"/>
          </w:rPr>
          <w:t>http://constitutionus.com/</w:t>
        </w:r>
      </w:hyperlink>
      <w:r w:rsidRPr="00F577AC">
        <w:rPr>
          <w:sz w:val="22"/>
          <w:szCs w:val="22"/>
          <w:lang w:val="es-PR"/>
        </w:rPr>
        <w:t xml:space="preserve">. </w:t>
      </w:r>
    </w:p>
  </w:footnote>
  <w:footnote w:id="2">
    <w:p w14:paraId="79951344" w14:textId="77777777" w:rsidR="005369FB" w:rsidRPr="00F577AC" w:rsidRDefault="005369FB">
      <w:pPr>
        <w:pStyle w:val="FootnoteText"/>
        <w:rPr>
          <w:sz w:val="22"/>
          <w:szCs w:val="22"/>
          <w:lang w:val="es-PR"/>
        </w:rPr>
      </w:pPr>
      <w:r w:rsidRPr="00F577AC">
        <w:rPr>
          <w:rStyle w:val="FootnoteReference"/>
          <w:sz w:val="22"/>
          <w:szCs w:val="22"/>
        </w:rPr>
        <w:footnoteRef/>
      </w:r>
      <w:r w:rsidRPr="00F577AC">
        <w:rPr>
          <w:sz w:val="22"/>
          <w:szCs w:val="22"/>
          <w:lang w:val="es-PR"/>
        </w:rPr>
        <w:t xml:space="preserve"> Resolución 748 (VIII) del 27 de noviembre de 1953, </w:t>
      </w:r>
      <w:hyperlink r:id="rId2" w:history="1">
        <w:r w:rsidRPr="00F577AC">
          <w:rPr>
            <w:rStyle w:val="Hyperlink"/>
            <w:sz w:val="22"/>
            <w:szCs w:val="22"/>
            <w:lang w:val="es-PR"/>
          </w:rPr>
          <w:t>https://undocs.org/es/A/RES/748(VIII)</w:t>
        </w:r>
      </w:hyperlink>
      <w:r w:rsidRPr="00F577AC">
        <w:rPr>
          <w:sz w:val="22"/>
          <w:szCs w:val="22"/>
          <w:lang w:val="es-PR"/>
        </w:rPr>
        <w:t xml:space="preserve">. </w:t>
      </w:r>
    </w:p>
  </w:footnote>
  <w:footnote w:id="3">
    <w:p w14:paraId="67111C40" w14:textId="77777777" w:rsidR="005369FB" w:rsidRPr="00F577AC" w:rsidRDefault="005369FB">
      <w:pPr>
        <w:pStyle w:val="FootnoteText"/>
        <w:rPr>
          <w:sz w:val="22"/>
          <w:szCs w:val="22"/>
        </w:rPr>
      </w:pPr>
      <w:r w:rsidRPr="00F577AC">
        <w:rPr>
          <w:rStyle w:val="FootnoteReference"/>
          <w:sz w:val="22"/>
          <w:szCs w:val="22"/>
        </w:rPr>
        <w:footnoteRef/>
      </w:r>
      <w:r w:rsidRPr="00F577AC">
        <w:rPr>
          <w:sz w:val="22"/>
          <w:szCs w:val="22"/>
        </w:rPr>
        <w:t xml:space="preserve"> </w:t>
      </w:r>
      <w:r w:rsidRPr="00F577AC">
        <w:rPr>
          <w:i/>
          <w:sz w:val="22"/>
          <w:szCs w:val="22"/>
        </w:rPr>
        <w:t>Puerto Rico Oversight, Management, and Economic Stability Act</w:t>
      </w:r>
      <w:r w:rsidRPr="00F577AC">
        <w:rPr>
          <w:sz w:val="22"/>
          <w:szCs w:val="22"/>
        </w:rPr>
        <w:t>, Public Law 114–187,114</w:t>
      </w:r>
      <w:r w:rsidRPr="00F577AC">
        <w:rPr>
          <w:sz w:val="22"/>
          <w:szCs w:val="22"/>
          <w:vertAlign w:val="superscript"/>
        </w:rPr>
        <w:t xml:space="preserve">th </w:t>
      </w:r>
      <w:r w:rsidRPr="00F577AC">
        <w:rPr>
          <w:sz w:val="22"/>
          <w:szCs w:val="22"/>
        </w:rPr>
        <w:t xml:space="preserve">Congress, 2d Session, </w:t>
      </w:r>
      <w:hyperlink r:id="rId3" w:history="1">
        <w:r w:rsidRPr="00F577AC">
          <w:rPr>
            <w:rStyle w:val="Hyperlink"/>
            <w:sz w:val="22"/>
            <w:szCs w:val="22"/>
          </w:rPr>
          <w:t>http://uscode.house.gov/view.xhtml?path=/prelim@title48/chapter20&amp;edition=prelim</w:t>
        </w:r>
      </w:hyperlink>
      <w:r w:rsidRPr="00F577AC">
        <w:rPr>
          <w:sz w:val="22"/>
          <w:szCs w:val="22"/>
        </w:rPr>
        <w:t xml:space="preserve">. </w:t>
      </w:r>
    </w:p>
  </w:footnote>
  <w:footnote w:id="4">
    <w:p w14:paraId="1675A988" w14:textId="67E9F813" w:rsidR="005369FB" w:rsidRPr="00F577AC" w:rsidRDefault="005369FB" w:rsidP="00A6098F">
      <w:pPr>
        <w:pStyle w:val="FootnoteText"/>
        <w:jc w:val="both"/>
        <w:rPr>
          <w:sz w:val="22"/>
          <w:szCs w:val="22"/>
        </w:rPr>
      </w:pPr>
      <w:r w:rsidRPr="00F577AC">
        <w:rPr>
          <w:rStyle w:val="FootnoteReference"/>
          <w:sz w:val="22"/>
          <w:szCs w:val="22"/>
        </w:rPr>
        <w:footnoteRef/>
      </w:r>
      <w:r w:rsidRPr="00F577AC">
        <w:rPr>
          <w:sz w:val="22"/>
          <w:szCs w:val="22"/>
        </w:rPr>
        <w:t xml:space="preserve"> Sec. 4.</w:t>
      </w:r>
      <w:r w:rsidR="0021053A">
        <w:rPr>
          <w:sz w:val="22"/>
          <w:szCs w:val="22"/>
        </w:rPr>
        <w:tab/>
      </w:r>
      <w:r w:rsidR="0021053A">
        <w:rPr>
          <w:sz w:val="22"/>
          <w:szCs w:val="22"/>
        </w:rPr>
        <w:tab/>
      </w:r>
      <w:r w:rsidR="0021053A">
        <w:rPr>
          <w:sz w:val="22"/>
          <w:szCs w:val="22"/>
        </w:rPr>
        <w:tab/>
      </w:r>
      <w:r w:rsidR="0021053A">
        <w:rPr>
          <w:sz w:val="22"/>
          <w:szCs w:val="22"/>
        </w:rPr>
        <w:tab/>
      </w:r>
      <w:r w:rsidR="0021053A">
        <w:rPr>
          <w:sz w:val="22"/>
          <w:szCs w:val="22"/>
        </w:rPr>
        <w:tab/>
      </w:r>
    </w:p>
  </w:footnote>
  <w:footnote w:id="5">
    <w:p w14:paraId="3AF5778F" w14:textId="77777777" w:rsidR="005369FB" w:rsidRPr="00F577AC" w:rsidRDefault="005369FB" w:rsidP="00A6098F">
      <w:pPr>
        <w:pStyle w:val="FootnoteText"/>
        <w:jc w:val="both"/>
        <w:rPr>
          <w:sz w:val="22"/>
          <w:szCs w:val="22"/>
        </w:rPr>
      </w:pPr>
      <w:r w:rsidRPr="00F577AC">
        <w:rPr>
          <w:rStyle w:val="FootnoteReference"/>
          <w:sz w:val="22"/>
          <w:szCs w:val="22"/>
        </w:rPr>
        <w:footnoteRef/>
      </w:r>
      <w:r w:rsidRPr="00F577AC">
        <w:rPr>
          <w:sz w:val="22"/>
          <w:szCs w:val="22"/>
        </w:rPr>
        <w:t xml:space="preserve"> Sec. 101(b)(2).</w:t>
      </w:r>
    </w:p>
  </w:footnote>
  <w:footnote w:id="6">
    <w:p w14:paraId="75F888C8" w14:textId="77777777" w:rsidR="005369FB" w:rsidRPr="00F577AC" w:rsidRDefault="005369FB" w:rsidP="00A6098F">
      <w:pPr>
        <w:pStyle w:val="FootnoteText"/>
        <w:jc w:val="both"/>
        <w:rPr>
          <w:sz w:val="22"/>
          <w:szCs w:val="22"/>
        </w:rPr>
      </w:pPr>
      <w:r w:rsidRPr="00F577AC">
        <w:rPr>
          <w:rStyle w:val="FootnoteReference"/>
          <w:sz w:val="22"/>
          <w:szCs w:val="22"/>
        </w:rPr>
        <w:footnoteRef/>
      </w:r>
      <w:r w:rsidRPr="00F577AC">
        <w:rPr>
          <w:sz w:val="22"/>
          <w:szCs w:val="22"/>
        </w:rPr>
        <w:t xml:space="preserve"> Sec. 101(c).</w:t>
      </w:r>
    </w:p>
  </w:footnote>
  <w:footnote w:id="7">
    <w:p w14:paraId="5AA446B5" w14:textId="77777777" w:rsidR="005369FB" w:rsidRPr="00F577AC" w:rsidRDefault="005369FB" w:rsidP="00A6098F">
      <w:pPr>
        <w:pStyle w:val="FootnoteText"/>
        <w:jc w:val="both"/>
        <w:rPr>
          <w:sz w:val="22"/>
          <w:szCs w:val="22"/>
        </w:rPr>
      </w:pPr>
      <w:r w:rsidRPr="00F577AC">
        <w:rPr>
          <w:rStyle w:val="FootnoteReference"/>
          <w:sz w:val="22"/>
          <w:szCs w:val="22"/>
        </w:rPr>
        <w:footnoteRef/>
      </w:r>
      <w:r w:rsidRPr="00F577AC">
        <w:rPr>
          <w:sz w:val="22"/>
          <w:szCs w:val="22"/>
        </w:rPr>
        <w:t xml:space="preserve"> Sec. 108(c).</w:t>
      </w:r>
    </w:p>
  </w:footnote>
  <w:footnote w:id="8">
    <w:p w14:paraId="6B3976E0" w14:textId="77777777" w:rsidR="005369FB" w:rsidRPr="00F577AC" w:rsidRDefault="005369FB" w:rsidP="00A6098F">
      <w:pPr>
        <w:pStyle w:val="FootnoteText"/>
        <w:jc w:val="both"/>
        <w:rPr>
          <w:sz w:val="22"/>
          <w:szCs w:val="22"/>
        </w:rPr>
      </w:pPr>
      <w:r w:rsidRPr="00F577AC">
        <w:rPr>
          <w:rStyle w:val="FootnoteReference"/>
          <w:sz w:val="22"/>
          <w:szCs w:val="22"/>
        </w:rPr>
        <w:footnoteRef/>
      </w:r>
      <w:r w:rsidRPr="00F577AC">
        <w:rPr>
          <w:sz w:val="22"/>
          <w:szCs w:val="22"/>
        </w:rPr>
        <w:t xml:space="preserve"> Sec. 107(b).</w:t>
      </w:r>
    </w:p>
  </w:footnote>
  <w:footnote w:id="9">
    <w:p w14:paraId="16926983" w14:textId="77777777" w:rsidR="005369FB" w:rsidRPr="00F577AC" w:rsidRDefault="005369FB" w:rsidP="00A6098F">
      <w:pPr>
        <w:pStyle w:val="FootnoteText"/>
        <w:jc w:val="both"/>
        <w:rPr>
          <w:sz w:val="22"/>
          <w:szCs w:val="22"/>
        </w:rPr>
      </w:pPr>
      <w:r w:rsidRPr="00F577AC">
        <w:rPr>
          <w:rStyle w:val="FootnoteReference"/>
          <w:sz w:val="22"/>
          <w:szCs w:val="22"/>
        </w:rPr>
        <w:footnoteRef/>
      </w:r>
      <w:r w:rsidRPr="00F577AC">
        <w:rPr>
          <w:sz w:val="22"/>
          <w:szCs w:val="22"/>
        </w:rPr>
        <w:t xml:space="preserve"> Sec. 101(e).</w:t>
      </w:r>
    </w:p>
  </w:footnote>
  <w:footnote w:id="10">
    <w:p w14:paraId="09E67D11" w14:textId="77777777" w:rsidR="005369FB" w:rsidRPr="00F577AC" w:rsidRDefault="005369FB" w:rsidP="00A6098F">
      <w:pPr>
        <w:pStyle w:val="FootnoteText"/>
        <w:jc w:val="both"/>
        <w:rPr>
          <w:sz w:val="22"/>
          <w:szCs w:val="22"/>
        </w:rPr>
      </w:pPr>
      <w:r w:rsidRPr="00F577AC">
        <w:rPr>
          <w:rStyle w:val="FootnoteReference"/>
          <w:sz w:val="22"/>
          <w:szCs w:val="22"/>
        </w:rPr>
        <w:footnoteRef/>
      </w:r>
      <w:r w:rsidRPr="00F577AC">
        <w:rPr>
          <w:sz w:val="22"/>
          <w:szCs w:val="22"/>
        </w:rPr>
        <w:t xml:space="preserve"> Sec. 201(c).</w:t>
      </w:r>
    </w:p>
  </w:footnote>
  <w:footnote w:id="11">
    <w:p w14:paraId="6A58AAAC" w14:textId="77777777" w:rsidR="005369FB" w:rsidRPr="00F577AC" w:rsidRDefault="005369FB" w:rsidP="00A6098F">
      <w:pPr>
        <w:pStyle w:val="FootnoteText"/>
        <w:jc w:val="both"/>
        <w:rPr>
          <w:sz w:val="22"/>
          <w:szCs w:val="22"/>
        </w:rPr>
      </w:pPr>
      <w:r w:rsidRPr="00F577AC">
        <w:rPr>
          <w:rStyle w:val="FootnoteReference"/>
          <w:sz w:val="22"/>
          <w:szCs w:val="22"/>
        </w:rPr>
        <w:footnoteRef/>
      </w:r>
      <w:r w:rsidRPr="00F577AC">
        <w:rPr>
          <w:sz w:val="22"/>
          <w:szCs w:val="22"/>
        </w:rPr>
        <w:t xml:space="preserve"> Sec. 204(a).</w:t>
      </w:r>
    </w:p>
  </w:footnote>
  <w:footnote w:id="12">
    <w:p w14:paraId="66987CD9" w14:textId="77777777" w:rsidR="005369FB" w:rsidRPr="00F577AC" w:rsidRDefault="005369FB" w:rsidP="00A6098F">
      <w:pPr>
        <w:pStyle w:val="FootnoteText"/>
        <w:jc w:val="both"/>
        <w:rPr>
          <w:sz w:val="22"/>
          <w:szCs w:val="22"/>
        </w:rPr>
      </w:pPr>
      <w:r w:rsidRPr="00F577AC">
        <w:rPr>
          <w:rStyle w:val="FootnoteReference"/>
          <w:sz w:val="22"/>
          <w:szCs w:val="22"/>
        </w:rPr>
        <w:footnoteRef/>
      </w:r>
      <w:r w:rsidRPr="00F577AC">
        <w:rPr>
          <w:sz w:val="22"/>
          <w:szCs w:val="22"/>
        </w:rPr>
        <w:t xml:space="preserve"> Sec. 204(a).</w:t>
      </w:r>
    </w:p>
  </w:footnote>
  <w:footnote w:id="13">
    <w:p w14:paraId="02FA6E0C" w14:textId="77777777" w:rsidR="005369FB" w:rsidRPr="00F577AC" w:rsidRDefault="005369FB" w:rsidP="00A6098F">
      <w:pPr>
        <w:pStyle w:val="FootnoteText"/>
        <w:jc w:val="both"/>
        <w:rPr>
          <w:sz w:val="22"/>
          <w:szCs w:val="22"/>
        </w:rPr>
      </w:pPr>
      <w:r w:rsidRPr="00F577AC">
        <w:rPr>
          <w:rStyle w:val="FootnoteReference"/>
          <w:sz w:val="22"/>
          <w:szCs w:val="22"/>
        </w:rPr>
        <w:footnoteRef/>
      </w:r>
      <w:r w:rsidRPr="00F577AC">
        <w:rPr>
          <w:sz w:val="22"/>
          <w:szCs w:val="22"/>
        </w:rPr>
        <w:t xml:space="preserve"> Sec. 204(a)(5).</w:t>
      </w:r>
    </w:p>
  </w:footnote>
  <w:footnote w:id="14">
    <w:p w14:paraId="5C5C7456" w14:textId="77777777" w:rsidR="005369FB" w:rsidRPr="00F577AC" w:rsidRDefault="005369FB">
      <w:pPr>
        <w:pStyle w:val="FootnoteText"/>
        <w:rPr>
          <w:sz w:val="22"/>
          <w:szCs w:val="22"/>
        </w:rPr>
      </w:pPr>
      <w:r w:rsidRPr="00F577AC">
        <w:rPr>
          <w:rStyle w:val="FootnoteReference"/>
          <w:sz w:val="22"/>
          <w:szCs w:val="22"/>
        </w:rPr>
        <w:footnoteRef/>
      </w:r>
      <w:r w:rsidRPr="00F577AC">
        <w:rPr>
          <w:sz w:val="22"/>
          <w:szCs w:val="22"/>
        </w:rPr>
        <w:t xml:space="preserve"> </w:t>
      </w:r>
      <w:hyperlink r:id="rId4" w:history="1">
        <w:r w:rsidRPr="00F577AC">
          <w:rPr>
            <w:rStyle w:val="Hyperlink"/>
            <w:sz w:val="22"/>
            <w:szCs w:val="22"/>
          </w:rPr>
          <w:t>https://caselaw.findlaw.com/us-supreme-court/15-108.html</w:t>
        </w:r>
      </w:hyperlink>
      <w:r w:rsidRPr="00F577AC">
        <w:rPr>
          <w:sz w:val="22"/>
          <w:szCs w:val="22"/>
        </w:rPr>
        <w:t xml:space="preserve">. </w:t>
      </w:r>
    </w:p>
  </w:footnote>
  <w:footnote w:id="15">
    <w:p w14:paraId="61E7E700" w14:textId="77777777" w:rsidR="005369FB" w:rsidRPr="00F577AC" w:rsidRDefault="005369FB">
      <w:pPr>
        <w:pStyle w:val="FootnoteText"/>
        <w:rPr>
          <w:sz w:val="22"/>
          <w:szCs w:val="22"/>
        </w:rPr>
      </w:pPr>
      <w:r w:rsidRPr="00F577AC">
        <w:rPr>
          <w:rStyle w:val="FootnoteReference"/>
          <w:sz w:val="22"/>
          <w:szCs w:val="22"/>
        </w:rPr>
        <w:footnoteRef/>
      </w:r>
      <w:r w:rsidRPr="00F577AC">
        <w:rPr>
          <w:sz w:val="22"/>
          <w:szCs w:val="22"/>
        </w:rPr>
        <w:t xml:space="preserve"> </w:t>
      </w:r>
      <w:hyperlink r:id="rId5" w:history="1">
        <w:r w:rsidRPr="00F577AC">
          <w:rPr>
            <w:rStyle w:val="Hyperlink"/>
            <w:sz w:val="22"/>
            <w:szCs w:val="22"/>
          </w:rPr>
          <w:t>https://caselaw.findlaw.com/us-supreme-court/15-233.html</w:t>
        </w:r>
      </w:hyperlink>
      <w:r w:rsidRPr="00F577AC">
        <w:rPr>
          <w:sz w:val="22"/>
          <w:szCs w:val="22"/>
        </w:rPr>
        <w:t xml:space="preserve">. </w:t>
      </w:r>
    </w:p>
  </w:footnote>
  <w:footnote w:id="16">
    <w:p w14:paraId="1895E117" w14:textId="107D65DD" w:rsidR="005369FB" w:rsidRPr="00633694" w:rsidRDefault="005369FB">
      <w:pPr>
        <w:pStyle w:val="FootnoteText"/>
        <w:rPr>
          <w:sz w:val="22"/>
          <w:szCs w:val="22"/>
          <w:lang w:val="es-PR"/>
        </w:rPr>
      </w:pPr>
      <w:r w:rsidRPr="00F577AC">
        <w:rPr>
          <w:rStyle w:val="FootnoteReference"/>
          <w:sz w:val="22"/>
          <w:szCs w:val="22"/>
        </w:rPr>
        <w:footnoteRef/>
      </w:r>
      <w:r w:rsidRPr="00633694">
        <w:rPr>
          <w:sz w:val="22"/>
          <w:szCs w:val="22"/>
          <w:lang w:val="es-PR"/>
        </w:rPr>
        <w:t xml:space="preserve"> La parte </w:t>
      </w:r>
      <w:r>
        <w:rPr>
          <w:sz w:val="22"/>
          <w:szCs w:val="22"/>
          <w:lang w:val="es-PR"/>
        </w:rPr>
        <w:t>expositiva</w:t>
      </w:r>
      <w:r w:rsidRPr="00633694">
        <w:rPr>
          <w:sz w:val="22"/>
          <w:szCs w:val="22"/>
          <w:lang w:val="es-PR"/>
        </w:rPr>
        <w:t xml:space="preserve"> de esta decisi</w:t>
      </w:r>
      <w:r>
        <w:rPr>
          <w:sz w:val="22"/>
          <w:szCs w:val="22"/>
          <w:lang w:val="es-PR"/>
        </w:rPr>
        <w:t xml:space="preserve">ón toma nota sobre las circunstancias antes reseñadas, </w:t>
      </w:r>
      <w:hyperlink r:id="rId6" w:history="1">
        <w:r w:rsidRPr="00633694">
          <w:rPr>
            <w:rStyle w:val="Hyperlink"/>
            <w:sz w:val="22"/>
            <w:szCs w:val="22"/>
            <w:lang w:val="es-PR"/>
          </w:rPr>
          <w:t>https://documents-dds-ny.un.org/doc/UNDOC/LTD/N18/180/29/PDF/N1818029.pdf?OpenElement</w:t>
        </w:r>
      </w:hyperlink>
      <w:r w:rsidRPr="00633694">
        <w:rPr>
          <w:sz w:val="22"/>
          <w:szCs w:val="22"/>
          <w:lang w:val="es-PR"/>
        </w:rPr>
        <w:t xml:space="preserve">. </w:t>
      </w:r>
    </w:p>
  </w:footnote>
  <w:footnote w:id="17">
    <w:p w14:paraId="48E8ED05" w14:textId="77777777" w:rsidR="005369FB" w:rsidRPr="00645864" w:rsidRDefault="005369FB">
      <w:pPr>
        <w:pStyle w:val="FootnoteText"/>
        <w:rPr>
          <w:sz w:val="22"/>
          <w:szCs w:val="22"/>
          <w:lang w:val="es-PR"/>
        </w:rPr>
      </w:pPr>
      <w:r w:rsidRPr="00F577AC">
        <w:rPr>
          <w:rStyle w:val="FootnoteReference"/>
          <w:sz w:val="22"/>
          <w:szCs w:val="22"/>
        </w:rPr>
        <w:footnoteRef/>
      </w:r>
      <w:r w:rsidRPr="00F577AC">
        <w:rPr>
          <w:sz w:val="22"/>
          <w:szCs w:val="22"/>
          <w:lang w:val="es-PR"/>
        </w:rPr>
        <w:t xml:space="preserve"> Párrs. 68-71, </w:t>
      </w:r>
      <w:hyperlink r:id="rId7" w:history="1">
        <w:r w:rsidRPr="00F577AC">
          <w:rPr>
            <w:rStyle w:val="Hyperlink"/>
            <w:sz w:val="22"/>
            <w:szCs w:val="22"/>
            <w:lang w:val="es-PR"/>
          </w:rPr>
          <w:t>https://www.ohchr.org/sp/NewsEvents/Pages/DisplayNews.aspx?NewsID=22533&amp;LangID=S</w:t>
        </w:r>
      </w:hyperlink>
      <w:r w:rsidRPr="00F577AC">
        <w:rPr>
          <w:sz w:val="22"/>
          <w:szCs w:val="22"/>
          <w:lang w:val="es-PR"/>
        </w:rPr>
        <w:t xml:space="preserve">. </w:t>
      </w:r>
    </w:p>
  </w:footnote>
  <w:footnote w:id="18">
    <w:p w14:paraId="2AD9C577" w14:textId="77777777" w:rsidR="005369FB" w:rsidRPr="00296C54" w:rsidRDefault="005369FB" w:rsidP="00F71EEA">
      <w:pPr>
        <w:pStyle w:val="FootnoteText"/>
        <w:jc w:val="both"/>
        <w:rPr>
          <w:rFonts w:eastAsia="Times New Roman" w:cs="Times New Roman"/>
          <w:sz w:val="22"/>
          <w:szCs w:val="22"/>
          <w:lang w:val="es-ES_tradnl"/>
        </w:rPr>
      </w:pPr>
      <w:r w:rsidRPr="00296C54">
        <w:rPr>
          <w:rStyle w:val="FootnoteReference"/>
          <w:rFonts w:cs="Times New Roman"/>
          <w:sz w:val="22"/>
          <w:szCs w:val="22"/>
        </w:rPr>
        <w:footnoteRef/>
      </w:r>
      <w:r w:rsidRPr="00296C54">
        <w:rPr>
          <w:rFonts w:cs="Times New Roman"/>
          <w:sz w:val="22"/>
          <w:szCs w:val="22"/>
          <w:lang w:val="es-PR"/>
        </w:rPr>
        <w:t xml:space="preserve"> </w:t>
      </w:r>
      <w:r>
        <w:rPr>
          <w:rFonts w:eastAsia="Times New Roman" w:cs="Times New Roman"/>
          <w:sz w:val="22"/>
          <w:szCs w:val="22"/>
          <w:lang w:val="es-ES_tradnl"/>
        </w:rPr>
        <w:t>L</w:t>
      </w:r>
      <w:r w:rsidRPr="00296C54">
        <w:rPr>
          <w:rFonts w:eastAsia="Times New Roman" w:cs="Times New Roman"/>
          <w:sz w:val="22"/>
          <w:szCs w:val="22"/>
          <w:lang w:val="es-ES_tradnl"/>
        </w:rPr>
        <w:t xml:space="preserve">a aplicación de la pena de muerte en el Estado Libre Asociado de Puerto Rico </w:t>
      </w:r>
      <w:r>
        <w:rPr>
          <w:rFonts w:eastAsia="Times New Roman" w:cs="Times New Roman"/>
          <w:sz w:val="22"/>
          <w:szCs w:val="22"/>
          <w:lang w:val="es-ES_tradnl"/>
        </w:rPr>
        <w:t>requeriría</w:t>
      </w:r>
      <w:r w:rsidRPr="00296C54">
        <w:rPr>
          <w:rFonts w:eastAsia="Times New Roman" w:cs="Times New Roman"/>
          <w:sz w:val="22"/>
          <w:szCs w:val="22"/>
          <w:lang w:val="es-ES_tradnl"/>
        </w:rPr>
        <w:t xml:space="preserve"> una enmienda constitucional a su Carta de Derechos. Véase, además, la Ley de Relaciones Federales, sección 9, </w:t>
      </w:r>
      <w:r w:rsidRPr="00296C54">
        <w:rPr>
          <w:rFonts w:eastAsia="Times New Roman" w:cs="Times New Roman"/>
          <w:sz w:val="22"/>
          <w:szCs w:val="22"/>
          <w:lang w:val="es-PR"/>
        </w:rPr>
        <w:t xml:space="preserve">Ley 81-600 aprobada el 3 de julio de 1950, 64 Stat. 319, </w:t>
      </w:r>
      <w:r w:rsidRPr="00D0088B">
        <w:rPr>
          <w:rFonts w:eastAsia="Times New Roman" w:cs="Times New Roman"/>
          <w:sz w:val="22"/>
          <w:szCs w:val="22"/>
          <w:lang w:val="es-PR"/>
        </w:rPr>
        <w:t>48 U.S.C. 734</w:t>
      </w:r>
      <w:r w:rsidRPr="00296C54">
        <w:rPr>
          <w:rFonts w:eastAsia="Times New Roman" w:cs="Times New Roman"/>
          <w:sz w:val="22"/>
          <w:szCs w:val="22"/>
          <w:lang w:val="es-PR"/>
        </w:rPr>
        <w:t>.</w:t>
      </w:r>
    </w:p>
  </w:footnote>
  <w:footnote w:id="19">
    <w:p w14:paraId="7F79283D" w14:textId="77777777" w:rsidR="005369FB" w:rsidRPr="00296C54" w:rsidRDefault="005369FB" w:rsidP="00F71EEA">
      <w:pPr>
        <w:pStyle w:val="FootnoteText"/>
        <w:jc w:val="both"/>
        <w:rPr>
          <w:rFonts w:eastAsia="Times New Roman" w:cs="Times New Roman"/>
          <w:sz w:val="22"/>
          <w:szCs w:val="22"/>
          <w:lang w:val="es-PR"/>
        </w:rPr>
      </w:pPr>
      <w:r w:rsidRPr="00E96454">
        <w:rPr>
          <w:rStyle w:val="FootnoteReference"/>
          <w:rFonts w:cs="Times New Roman"/>
          <w:sz w:val="22"/>
          <w:szCs w:val="22"/>
        </w:rPr>
        <w:footnoteRef/>
      </w:r>
      <w:r w:rsidRPr="00E96454">
        <w:rPr>
          <w:rFonts w:cs="Times New Roman"/>
          <w:sz w:val="22"/>
          <w:szCs w:val="22"/>
          <w:lang w:val="es-PR"/>
        </w:rPr>
        <w:t xml:space="preserve"> </w:t>
      </w:r>
      <w:r w:rsidRPr="00E96454">
        <w:rPr>
          <w:rFonts w:eastAsia="Times New Roman" w:cs="Times New Roman"/>
          <w:sz w:val="22"/>
          <w:szCs w:val="22"/>
          <w:lang w:val="es-PR"/>
        </w:rPr>
        <w:t xml:space="preserve">Desde 2003 se han efectuado </w:t>
      </w:r>
      <w:r>
        <w:rPr>
          <w:rFonts w:eastAsia="Times New Roman" w:cs="Times New Roman"/>
          <w:sz w:val="22"/>
          <w:szCs w:val="22"/>
          <w:lang w:val="es-PR"/>
        </w:rPr>
        <w:t>siete</w:t>
      </w:r>
      <w:r w:rsidRPr="00E96454">
        <w:rPr>
          <w:rFonts w:eastAsia="Times New Roman" w:cs="Times New Roman"/>
          <w:sz w:val="22"/>
          <w:szCs w:val="22"/>
          <w:lang w:val="es-PR"/>
        </w:rPr>
        <w:t xml:space="preserve"> juicios </w:t>
      </w:r>
      <w:r>
        <w:rPr>
          <w:rFonts w:eastAsia="Times New Roman" w:cs="Times New Roman"/>
          <w:sz w:val="22"/>
          <w:szCs w:val="22"/>
          <w:lang w:val="es-PR"/>
        </w:rPr>
        <w:t xml:space="preserve">en el Tribunal de Distrito de Puerto Rico </w:t>
      </w:r>
      <w:r w:rsidRPr="00E96454">
        <w:rPr>
          <w:rFonts w:eastAsia="Times New Roman" w:cs="Times New Roman"/>
          <w:sz w:val="22"/>
          <w:szCs w:val="22"/>
          <w:lang w:val="es-PR"/>
        </w:rPr>
        <w:t xml:space="preserve">en los que los acusados se expusieron a pena capital: </w:t>
      </w:r>
      <w:r w:rsidRPr="00BC7064">
        <w:rPr>
          <w:rFonts w:eastAsia="Times New Roman" w:cs="Times New Roman"/>
          <w:i/>
          <w:sz w:val="22"/>
          <w:szCs w:val="22"/>
          <w:lang w:val="es-PR"/>
        </w:rPr>
        <w:t>U.S. v. Acosta Martínez</w:t>
      </w:r>
      <w:r w:rsidRPr="00E96454">
        <w:rPr>
          <w:rFonts w:eastAsia="Times New Roman" w:cs="Times New Roman"/>
          <w:sz w:val="22"/>
          <w:szCs w:val="22"/>
          <w:lang w:val="es-PR"/>
        </w:rPr>
        <w:t xml:space="preserve">, 106 F. Supp. 2d 311; 2000 U.S. Dist. LEXIS 10370 (núm. caso a nivel Tribunal de Distrito Federal) y 252 F.3d 13 (2001); </w:t>
      </w:r>
      <w:r w:rsidRPr="00BC7064">
        <w:rPr>
          <w:rFonts w:eastAsia="Times New Roman" w:cs="Times New Roman"/>
          <w:i/>
          <w:sz w:val="22"/>
          <w:szCs w:val="22"/>
          <w:lang w:val="es-PR"/>
        </w:rPr>
        <w:t>U.S. v. Hernando Medina Villegas y Lorenzo Vladimir Catalán Román</w:t>
      </w:r>
      <w:r w:rsidRPr="00E96454">
        <w:rPr>
          <w:rFonts w:eastAsia="Times New Roman" w:cs="Times New Roman"/>
          <w:sz w:val="22"/>
          <w:szCs w:val="22"/>
          <w:lang w:val="es-PR"/>
        </w:rPr>
        <w:t xml:space="preserve">, 3:02-cr-00117-PG-3; </w:t>
      </w:r>
      <w:r w:rsidRPr="00BC7064">
        <w:rPr>
          <w:rFonts w:eastAsia="Times New Roman" w:cs="Times New Roman"/>
          <w:i/>
          <w:sz w:val="22"/>
          <w:szCs w:val="22"/>
          <w:lang w:val="es-PR"/>
        </w:rPr>
        <w:t>U.S. v. Carlos Ayala López</w:t>
      </w:r>
      <w:r w:rsidRPr="00E96454">
        <w:rPr>
          <w:rFonts w:eastAsia="Times New Roman" w:cs="Times New Roman"/>
          <w:i/>
          <w:sz w:val="22"/>
          <w:szCs w:val="22"/>
          <w:lang w:val="es-PR"/>
        </w:rPr>
        <w:t xml:space="preserve">, </w:t>
      </w:r>
      <w:r w:rsidRPr="00E96454">
        <w:rPr>
          <w:rFonts w:eastAsia="Times New Roman" w:cs="Times New Roman"/>
          <w:sz w:val="22"/>
          <w:szCs w:val="22"/>
          <w:lang w:val="es-PR"/>
        </w:rPr>
        <w:t xml:space="preserve">3:03-cr-00055-JAG-JA-1; </w:t>
      </w:r>
      <w:r w:rsidRPr="00BC7064">
        <w:rPr>
          <w:rFonts w:eastAsia="Times New Roman" w:cs="Times New Roman"/>
          <w:sz w:val="22"/>
          <w:szCs w:val="22"/>
          <w:lang w:val="es-PR"/>
        </w:rPr>
        <w:t xml:space="preserve">U.S. v. </w:t>
      </w:r>
      <w:r w:rsidRPr="00BC7064">
        <w:rPr>
          <w:rFonts w:eastAsia="Times New Roman" w:cs="Times New Roman"/>
          <w:i/>
          <w:sz w:val="22"/>
          <w:szCs w:val="22"/>
          <w:lang w:val="es-PR"/>
        </w:rPr>
        <w:t>Edison Burgos</w:t>
      </w:r>
      <w:r w:rsidRPr="00E96454">
        <w:rPr>
          <w:rFonts w:eastAsia="Times New Roman" w:cs="Times New Roman"/>
          <w:sz w:val="22"/>
          <w:szCs w:val="22"/>
          <w:lang w:val="es-PR"/>
        </w:rPr>
        <w:t xml:space="preserve">, 06-cr-009 (JAG); </w:t>
      </w:r>
      <w:r w:rsidRPr="00BC7064">
        <w:rPr>
          <w:rFonts w:eastAsia="Times New Roman" w:cs="Times New Roman"/>
          <w:i/>
          <w:sz w:val="22"/>
          <w:szCs w:val="22"/>
          <w:lang w:val="es-PR"/>
        </w:rPr>
        <w:t>U.S v. Lashaun Casey</w:t>
      </w:r>
      <w:r w:rsidRPr="00E96454">
        <w:rPr>
          <w:rFonts w:eastAsia="Times New Roman" w:cs="Times New Roman"/>
          <w:sz w:val="22"/>
          <w:szCs w:val="22"/>
          <w:lang w:val="es-PR"/>
        </w:rPr>
        <w:t xml:space="preserve">, 05-cr-277 (ADC); </w:t>
      </w:r>
      <w:r w:rsidRPr="00BC7064">
        <w:rPr>
          <w:rFonts w:eastAsia="Times New Roman" w:cs="Times New Roman"/>
          <w:i/>
          <w:sz w:val="22"/>
          <w:szCs w:val="22"/>
          <w:lang w:val="es-PR"/>
        </w:rPr>
        <w:t>U.S v. Candelario-Santana</w:t>
      </w:r>
      <w:r w:rsidRPr="00E96454">
        <w:rPr>
          <w:rFonts w:eastAsia="Times New Roman" w:cs="Times New Roman"/>
          <w:sz w:val="22"/>
          <w:szCs w:val="22"/>
          <w:lang w:val="es-PR"/>
        </w:rPr>
        <w:t xml:space="preserve">, 09-cr-427 (JAF) y </w:t>
      </w:r>
      <w:r w:rsidRPr="00BC7064">
        <w:rPr>
          <w:rFonts w:eastAsia="Times New Roman" w:cs="Times New Roman"/>
          <w:i/>
          <w:sz w:val="22"/>
          <w:szCs w:val="22"/>
          <w:lang w:val="es-PR"/>
        </w:rPr>
        <w:t>U.S. v. Jiménez-Benceví</w:t>
      </w:r>
      <w:r w:rsidRPr="00E96454">
        <w:rPr>
          <w:rFonts w:eastAsia="Times New Roman" w:cs="Times New Roman"/>
          <w:sz w:val="22"/>
          <w:szCs w:val="22"/>
          <w:lang w:val="es-PR"/>
        </w:rPr>
        <w:t xml:space="preserve">, et al, 12-cr-221- (JAF). El caso contra Lashaun </w:t>
      </w:r>
      <w:r w:rsidRPr="00296C54">
        <w:rPr>
          <w:rFonts w:eastAsia="Times New Roman" w:cs="Times New Roman"/>
          <w:sz w:val="22"/>
          <w:szCs w:val="22"/>
          <w:lang w:val="es-PR"/>
        </w:rPr>
        <w:t>Casey fue revocado por el Tribunal de Apelaciones para el Primer Circuito, será nuevamente juzgado como caso de pena de muerte</w:t>
      </w:r>
      <w:r>
        <w:rPr>
          <w:rFonts w:eastAsia="Times New Roman" w:cs="Times New Roman"/>
          <w:sz w:val="22"/>
          <w:szCs w:val="22"/>
          <w:lang w:val="es-PR"/>
        </w:rPr>
        <w:t xml:space="preserve"> y está</w:t>
      </w:r>
      <w:r w:rsidRPr="00296C54">
        <w:rPr>
          <w:rFonts w:eastAsia="Times New Roman" w:cs="Times New Roman"/>
          <w:sz w:val="22"/>
          <w:szCs w:val="22"/>
          <w:lang w:val="es-PR"/>
        </w:rPr>
        <w:t xml:space="preserve"> programado para comenzar en abril de 2019. </w:t>
      </w:r>
    </w:p>
  </w:footnote>
  <w:footnote w:id="20">
    <w:p w14:paraId="6609AD56" w14:textId="77777777" w:rsidR="005369FB" w:rsidRPr="00296C54" w:rsidRDefault="005369FB" w:rsidP="00F71EEA">
      <w:pPr>
        <w:spacing w:after="0" w:line="240" w:lineRule="auto"/>
        <w:rPr>
          <w:rFonts w:ascii="Times New Roman" w:eastAsia="Times New Roman" w:hAnsi="Times New Roman" w:cs="Times New Roman"/>
          <w:lang w:val="es-PR"/>
        </w:rPr>
      </w:pPr>
      <w:r w:rsidRPr="00296C54">
        <w:rPr>
          <w:rStyle w:val="FootnoteReference"/>
          <w:rFonts w:ascii="Times New Roman" w:hAnsi="Times New Roman" w:cs="Times New Roman"/>
        </w:rPr>
        <w:footnoteRef/>
      </w:r>
      <w:r w:rsidRPr="00296C54">
        <w:rPr>
          <w:rFonts w:ascii="Times New Roman" w:hAnsi="Times New Roman" w:cs="Times New Roman"/>
          <w:lang w:val="es-PR"/>
        </w:rPr>
        <w:t xml:space="preserve"> </w:t>
      </w:r>
      <w:hyperlink r:id="rId8" w:history="1">
        <w:r w:rsidRPr="00DF538A">
          <w:rPr>
            <w:rStyle w:val="Hyperlink"/>
            <w:rFonts w:ascii="Times New Roman" w:eastAsia="Times New Roman" w:hAnsi="Times New Roman" w:cs="Times New Roman"/>
            <w:lang w:val="es-PR"/>
          </w:rPr>
          <w:t>http://www.capdefnet.org/FDPRC/pubmenu.aspx?menu_id=803&amp;folder_id=5633</w:t>
        </w:r>
      </w:hyperlink>
      <w:r>
        <w:rPr>
          <w:rFonts w:ascii="Times New Roman" w:eastAsia="Times New Roman" w:hAnsi="Times New Roman" w:cs="Times New Roman"/>
          <w:lang w:val="es-PR"/>
        </w:rPr>
        <w:t>.</w:t>
      </w:r>
    </w:p>
  </w:footnote>
  <w:footnote w:id="21">
    <w:p w14:paraId="1C4B9BC7" w14:textId="77777777" w:rsidR="005369FB" w:rsidRPr="00296C54" w:rsidRDefault="005369FB" w:rsidP="00F71EEA">
      <w:pPr>
        <w:pStyle w:val="FootnoteText"/>
        <w:jc w:val="both"/>
        <w:rPr>
          <w:rFonts w:cs="Times New Roman"/>
          <w:sz w:val="22"/>
          <w:szCs w:val="22"/>
          <w:lang w:val="es-PR"/>
        </w:rPr>
      </w:pPr>
      <w:r w:rsidRPr="00296C54">
        <w:rPr>
          <w:rStyle w:val="FootnoteReference"/>
          <w:rFonts w:cs="Times New Roman"/>
          <w:sz w:val="22"/>
          <w:szCs w:val="22"/>
        </w:rPr>
        <w:footnoteRef/>
      </w:r>
      <w:r w:rsidRPr="00296C54">
        <w:rPr>
          <w:rFonts w:cs="Times New Roman"/>
          <w:sz w:val="22"/>
          <w:szCs w:val="22"/>
          <w:lang w:val="es-PR"/>
        </w:rPr>
        <w:t xml:space="preserve"> </w:t>
      </w:r>
      <w:r w:rsidRPr="00296C54">
        <w:rPr>
          <w:rFonts w:eastAsia="Times New Roman" w:cs="Times New Roman"/>
          <w:sz w:val="22"/>
          <w:szCs w:val="22"/>
          <w:lang w:val="es-PR"/>
        </w:rPr>
        <w:t>Caso número 13-2139, 13-2427. La convicción de culpabilidad de Candelario Santana, con sentencia de cadena perpetua, fue revocada porque el juez federal anunció el cierre de los trabajos por ese día y, una vez el público estuvo fuera de Sala, llamó al jurado para escuchar un testigo a puerta cerrada, por lo que se violentó el derecho a un juicio público, según garantiza la 6ta Enmienda de la Constitución de los Estados Unido</w:t>
      </w:r>
      <w:r>
        <w:rPr>
          <w:rFonts w:eastAsia="Times New Roman" w:cs="Times New Roman"/>
          <w:sz w:val="22"/>
          <w:szCs w:val="22"/>
          <w:lang w:val="es-PR"/>
        </w:rPr>
        <w:t>s.</w:t>
      </w:r>
      <w:r w:rsidRPr="00296C54">
        <w:rPr>
          <w:rFonts w:eastAsia="Times New Roman" w:cs="Times New Roman"/>
          <w:sz w:val="22"/>
          <w:szCs w:val="22"/>
          <w:lang w:val="es-PR"/>
        </w:rPr>
        <w:t xml:space="preserve">  </w:t>
      </w:r>
    </w:p>
  </w:footnote>
  <w:footnote w:id="22">
    <w:p w14:paraId="1BA3EB79" w14:textId="77777777" w:rsidR="005369FB" w:rsidRPr="008B75A6" w:rsidRDefault="005369FB" w:rsidP="00F71EEA">
      <w:pPr>
        <w:pStyle w:val="FootnoteText"/>
        <w:jc w:val="both"/>
        <w:rPr>
          <w:lang w:val="es-PR"/>
        </w:rPr>
      </w:pPr>
      <w:r w:rsidRPr="00296C54">
        <w:rPr>
          <w:rStyle w:val="FootnoteReference"/>
          <w:rFonts w:cs="Times New Roman"/>
          <w:sz w:val="22"/>
          <w:szCs w:val="22"/>
        </w:rPr>
        <w:footnoteRef/>
      </w:r>
      <w:r w:rsidRPr="00296C54">
        <w:rPr>
          <w:rFonts w:cs="Times New Roman"/>
          <w:sz w:val="22"/>
          <w:szCs w:val="22"/>
          <w:lang w:val="es-PR"/>
        </w:rPr>
        <w:t xml:space="preserve"> </w:t>
      </w:r>
      <w:r w:rsidRPr="00296C54">
        <w:rPr>
          <w:rFonts w:eastAsia="Times New Roman" w:cs="Times New Roman"/>
          <w:sz w:val="22"/>
          <w:szCs w:val="22"/>
          <w:lang w:val="es-PR"/>
        </w:rPr>
        <w:t xml:space="preserve">Sobre el idioma de la Corte Federal, </w:t>
      </w:r>
      <w:r w:rsidRPr="00296C54">
        <w:rPr>
          <w:rFonts w:eastAsia="Times New Roman" w:cs="Times New Roman"/>
          <w:i/>
          <w:sz w:val="22"/>
          <w:szCs w:val="22"/>
          <w:lang w:val="es-PR"/>
        </w:rPr>
        <w:t>véans</w:t>
      </w:r>
      <w:r w:rsidRPr="00E96454">
        <w:rPr>
          <w:rFonts w:eastAsia="Times New Roman" w:cs="Times New Roman"/>
          <w:i/>
          <w:sz w:val="22"/>
          <w:szCs w:val="22"/>
          <w:lang w:val="es-PR"/>
        </w:rPr>
        <w:t>e</w:t>
      </w:r>
      <w:r w:rsidRPr="00E96454">
        <w:rPr>
          <w:rFonts w:eastAsia="Times New Roman" w:cs="Times New Roman"/>
          <w:sz w:val="22"/>
          <w:szCs w:val="22"/>
          <w:lang w:val="es-PR"/>
        </w:rPr>
        <w:t xml:space="preserve"> 48 U.S.C.A. § 864 y </w:t>
      </w:r>
      <w:r w:rsidRPr="00BA11D0">
        <w:rPr>
          <w:rFonts w:eastAsia="Times New Roman" w:cs="Times New Roman"/>
          <w:i/>
          <w:sz w:val="22"/>
          <w:szCs w:val="22"/>
          <w:lang w:val="es-PR"/>
        </w:rPr>
        <w:t>U.S. v. Rivera-Rosario</w:t>
      </w:r>
      <w:r w:rsidRPr="00296C54">
        <w:rPr>
          <w:rFonts w:eastAsia="Times New Roman" w:cs="Times New Roman"/>
          <w:sz w:val="22"/>
          <w:szCs w:val="22"/>
          <w:lang w:val="es-PR"/>
        </w:rPr>
        <w:t>, 300 F.3d 1, 5-6 (1st Cir.2002).</w:t>
      </w:r>
    </w:p>
  </w:footnote>
  <w:footnote w:id="23">
    <w:p w14:paraId="7A8D540D" w14:textId="77777777" w:rsidR="005369FB" w:rsidRPr="00BA11D0" w:rsidRDefault="005369FB" w:rsidP="00F71EEA">
      <w:pPr>
        <w:pStyle w:val="FootnoteText"/>
        <w:jc w:val="both"/>
        <w:rPr>
          <w:rFonts w:cs="Times New Roman"/>
          <w:sz w:val="22"/>
          <w:lang w:val="es-ES"/>
        </w:rPr>
      </w:pPr>
      <w:r w:rsidRPr="00BA11D0">
        <w:rPr>
          <w:rStyle w:val="FootnoteReference"/>
          <w:rFonts w:cs="Times New Roman"/>
          <w:sz w:val="22"/>
        </w:rPr>
        <w:footnoteRef/>
      </w:r>
      <w:r w:rsidRPr="00BA11D0">
        <w:rPr>
          <w:rFonts w:cs="Times New Roman"/>
          <w:sz w:val="22"/>
          <w:lang w:val="es-ES"/>
        </w:rPr>
        <w:t xml:space="preserve"> Velázquez, B. “Ser bilingües: asignación pendiente”. </w:t>
      </w:r>
      <w:r w:rsidRPr="00BA11D0">
        <w:rPr>
          <w:rFonts w:cs="Times New Roman"/>
          <w:i/>
          <w:sz w:val="22"/>
          <w:lang w:val="es-ES"/>
        </w:rPr>
        <w:t>El Nuevo Día</w:t>
      </w:r>
      <w:r w:rsidRPr="00BA11D0">
        <w:rPr>
          <w:rFonts w:cs="Times New Roman"/>
          <w:sz w:val="22"/>
          <w:lang w:val="es-ES"/>
        </w:rPr>
        <w:t>, 19 de mayo de 2013, pp. 4-6.</w:t>
      </w:r>
    </w:p>
  </w:footnote>
  <w:footnote w:id="24">
    <w:p w14:paraId="1ADE616C" w14:textId="77777777" w:rsidR="005369FB" w:rsidRPr="00A858C0" w:rsidRDefault="005369FB" w:rsidP="00C23312">
      <w:pPr>
        <w:pStyle w:val="FootnoteText"/>
        <w:tabs>
          <w:tab w:val="right" w:pos="0"/>
        </w:tabs>
        <w:ind w:left="90" w:hanging="90"/>
        <w:jc w:val="both"/>
        <w:rPr>
          <w:sz w:val="22"/>
          <w:lang w:val="es-PR"/>
        </w:rPr>
      </w:pPr>
      <w:r w:rsidRPr="00A858C0">
        <w:rPr>
          <w:rStyle w:val="FootnoteReference"/>
          <w:sz w:val="22"/>
        </w:rPr>
        <w:footnoteRef/>
      </w:r>
      <w:r w:rsidRPr="00C23312">
        <w:rPr>
          <w:sz w:val="22"/>
          <w:lang w:val="es-PR"/>
        </w:rPr>
        <w:t xml:space="preserve"> Colegio de Profesionales del Trabajo Social de Puerto Rico, </w:t>
      </w:r>
      <w:r w:rsidRPr="00C23312">
        <w:rPr>
          <w:i/>
          <w:sz w:val="22"/>
          <w:lang w:val="es-PR"/>
        </w:rPr>
        <w:t>16 Días de Activismo contra la Violencia de Género</w:t>
      </w:r>
      <w:r w:rsidRPr="00C23312">
        <w:rPr>
          <w:sz w:val="22"/>
          <w:lang w:val="es-PR"/>
        </w:rPr>
        <w:t xml:space="preserve"> (2018)</w:t>
      </w:r>
      <w:r w:rsidRPr="00A858C0">
        <w:rPr>
          <w:sz w:val="22"/>
          <w:lang w:val="es-PR"/>
        </w:rPr>
        <w:t xml:space="preserve"> p. 6, </w:t>
      </w:r>
      <w:hyperlink r:id="rId9" w:history="1">
        <w:r w:rsidRPr="00A858C0">
          <w:rPr>
            <w:rStyle w:val="Hyperlink"/>
            <w:sz w:val="22"/>
            <w:lang w:val="es-PR"/>
          </w:rPr>
          <w:t>http://cptspr.org/wp-content/uploads/2018/11/Gui%CC%81a-16-Di%CC%81as-2018-F-Digital.pdf</w:t>
        </w:r>
      </w:hyperlink>
      <w:r w:rsidRPr="00A858C0">
        <w:rPr>
          <w:sz w:val="22"/>
          <w:lang w:val="es-PR"/>
        </w:rPr>
        <w:t xml:space="preserve">. </w:t>
      </w:r>
    </w:p>
  </w:footnote>
  <w:footnote w:id="25">
    <w:p w14:paraId="604C38E2" w14:textId="77777777" w:rsidR="005369FB" w:rsidRPr="00491DEE" w:rsidRDefault="005369FB" w:rsidP="00C23312">
      <w:pPr>
        <w:pStyle w:val="FootnoteText"/>
        <w:tabs>
          <w:tab w:val="right" w:pos="0"/>
        </w:tabs>
        <w:rPr>
          <w:sz w:val="22"/>
          <w:lang w:val="es-ES"/>
        </w:rPr>
      </w:pPr>
      <w:r w:rsidRPr="00A858C0">
        <w:rPr>
          <w:rStyle w:val="FootnoteReference"/>
          <w:sz w:val="22"/>
        </w:rPr>
        <w:footnoteRef/>
      </w:r>
      <w:hyperlink r:id="rId10" w:history="1">
        <w:r w:rsidRPr="00C23312">
          <w:rPr>
            <w:rStyle w:val="Hyperlink"/>
            <w:sz w:val="22"/>
            <w:lang w:val="es-PR"/>
          </w:rPr>
          <w:t>http://www.unwomen.org//media/headquarters/attachments/sections/library/publications/2012/12/unw_legislation-handbook_sp1%20pdf.pdf?la=es&amp;vs=1839</w:t>
        </w:r>
      </w:hyperlink>
      <w:r w:rsidRPr="00C23312">
        <w:rPr>
          <w:sz w:val="22"/>
          <w:lang w:val="es-PR"/>
        </w:rPr>
        <w:t xml:space="preserve"> </w:t>
      </w:r>
    </w:p>
  </w:footnote>
  <w:footnote w:id="26">
    <w:p w14:paraId="672F2F55" w14:textId="77777777" w:rsidR="005369FB" w:rsidRPr="00491DEE" w:rsidRDefault="005369FB" w:rsidP="00C23312">
      <w:pPr>
        <w:pStyle w:val="FootnoteText"/>
        <w:tabs>
          <w:tab w:val="right" w:pos="0"/>
        </w:tabs>
        <w:rPr>
          <w:sz w:val="22"/>
          <w:lang w:val="es-ES"/>
        </w:rPr>
      </w:pPr>
      <w:r w:rsidRPr="00A858C0">
        <w:rPr>
          <w:rStyle w:val="FootnoteReference"/>
          <w:sz w:val="22"/>
        </w:rPr>
        <w:footnoteRef/>
      </w:r>
      <w:hyperlink r:id="rId11" w:history="1">
        <w:r w:rsidRPr="00C23312">
          <w:rPr>
            <w:rStyle w:val="Hyperlink"/>
            <w:sz w:val="22"/>
            <w:lang w:val="es-ES"/>
          </w:rPr>
          <w:t>http://www2.unwomen.org/~/media/headquarters/attachments/sections/library/publications/2012/7/handbooknationalactionplansonvaw-es%20pdf.pdf?v=1&amp;d=20141013T121502</w:t>
        </w:r>
      </w:hyperlink>
      <w:r w:rsidRPr="00C23312">
        <w:rPr>
          <w:sz w:val="22"/>
          <w:lang w:val="es-ES"/>
        </w:rPr>
        <w:t xml:space="preserve">  </w:t>
      </w:r>
    </w:p>
  </w:footnote>
  <w:footnote w:id="27">
    <w:p w14:paraId="1837CC0A" w14:textId="77777777" w:rsidR="005369FB" w:rsidRPr="00343832" w:rsidRDefault="005369FB" w:rsidP="00BD2663">
      <w:pPr>
        <w:pStyle w:val="FootnoteText"/>
        <w:tabs>
          <w:tab w:val="right" w:pos="0"/>
        </w:tabs>
        <w:jc w:val="both"/>
        <w:rPr>
          <w:lang w:val="es-PR"/>
        </w:rPr>
      </w:pPr>
      <w:r w:rsidRPr="00343832">
        <w:rPr>
          <w:rStyle w:val="FootnoteReference"/>
          <w:sz w:val="22"/>
        </w:rPr>
        <w:footnoteRef/>
      </w:r>
      <w:r w:rsidRPr="00BD2663">
        <w:rPr>
          <w:sz w:val="22"/>
          <w:lang w:val="es-PR"/>
        </w:rPr>
        <w:t xml:space="preserve"> Maribel Hernández Pérez, </w:t>
      </w:r>
      <w:r w:rsidRPr="00BD2663">
        <w:rPr>
          <w:i/>
          <w:sz w:val="22"/>
          <w:lang w:val="es-PR"/>
        </w:rPr>
        <w:t>ACLU acusa Policía de violar acuerdos de la Reforma Federal el 1 de mayo, Primera Hora</w:t>
      </w:r>
      <w:r w:rsidRPr="00BD2663">
        <w:rPr>
          <w:sz w:val="22"/>
          <w:lang w:val="es-PR"/>
        </w:rPr>
        <w:t xml:space="preserve">, 3 de mayo de 2018, </w:t>
      </w:r>
      <w:hyperlink r:id="rId12" w:history="1">
        <w:r w:rsidRPr="00BD2663">
          <w:rPr>
            <w:rStyle w:val="Hyperlink"/>
            <w:sz w:val="22"/>
            <w:lang w:val="es-PR"/>
          </w:rPr>
          <w:t>https://www.primerahora.com/noticias/policia-tribunales/nota/acluacusapoliciadeviolaracuerdosdelareformafederalel1demayo-1280835/</w:t>
        </w:r>
      </w:hyperlink>
      <w:r w:rsidRPr="00BD2663">
        <w:rPr>
          <w:sz w:val="22"/>
          <w:lang w:val="es-PR"/>
        </w:rPr>
        <w:t xml:space="preserve">. </w:t>
      </w:r>
    </w:p>
  </w:footnote>
  <w:footnote w:id="28">
    <w:p w14:paraId="2F9B4E49" w14:textId="77777777" w:rsidR="005369FB" w:rsidRPr="00666856" w:rsidRDefault="005369FB" w:rsidP="005111D8">
      <w:pPr>
        <w:autoSpaceDE w:val="0"/>
        <w:autoSpaceDN w:val="0"/>
        <w:adjustRightInd w:val="0"/>
        <w:spacing w:after="0" w:line="240" w:lineRule="auto"/>
        <w:jc w:val="both"/>
        <w:rPr>
          <w:rFonts w:ascii="Times New Roman" w:hAnsi="Times New Roman" w:cs="Times New Roman"/>
          <w:i/>
          <w:iCs/>
        </w:rPr>
      </w:pPr>
      <w:r w:rsidRPr="00A60AF9">
        <w:rPr>
          <w:rStyle w:val="FootnoteReference"/>
          <w:rFonts w:ascii="Times New Roman" w:hAnsi="Times New Roman" w:cs="Times New Roman"/>
        </w:rPr>
        <w:footnoteRef/>
      </w:r>
      <w:r w:rsidRPr="00A60AF9">
        <w:rPr>
          <w:rFonts w:ascii="Times New Roman" w:hAnsi="Times New Roman" w:cs="Times New Roman"/>
        </w:rPr>
        <w:t xml:space="preserve"> Samantha Schmidt et al., </w:t>
      </w:r>
      <w:r w:rsidRPr="00A60AF9">
        <w:rPr>
          <w:rFonts w:ascii="Times New Roman" w:hAnsi="Times New Roman" w:cs="Times New Roman"/>
          <w:i/>
          <w:iCs/>
        </w:rPr>
        <w:t>Puerto Rico Entirely Without Power as Hurricane Maria Hammers</w:t>
      </w:r>
      <w:r>
        <w:rPr>
          <w:rFonts w:ascii="Times New Roman" w:hAnsi="Times New Roman" w:cs="Times New Roman"/>
          <w:i/>
          <w:iCs/>
        </w:rPr>
        <w:t xml:space="preserve"> </w:t>
      </w:r>
      <w:r w:rsidRPr="00A60AF9">
        <w:rPr>
          <w:rFonts w:ascii="Times New Roman" w:hAnsi="Times New Roman" w:cs="Times New Roman"/>
          <w:i/>
          <w:iCs/>
        </w:rPr>
        <w:t>Island with Devastating Force</w:t>
      </w:r>
      <w:r w:rsidRPr="00A60AF9">
        <w:rPr>
          <w:rFonts w:ascii="Times New Roman" w:hAnsi="Times New Roman" w:cs="Times New Roman"/>
        </w:rPr>
        <w:t>, Wash. Post (Sept. 20, 2017),</w:t>
      </w:r>
    </w:p>
    <w:p w14:paraId="74171843" w14:textId="77777777" w:rsidR="005369FB" w:rsidRPr="00A60AF9" w:rsidRDefault="008125EA" w:rsidP="005111D8">
      <w:pPr>
        <w:autoSpaceDE w:val="0"/>
        <w:autoSpaceDN w:val="0"/>
        <w:adjustRightInd w:val="0"/>
        <w:spacing w:after="0" w:line="240" w:lineRule="auto"/>
        <w:jc w:val="both"/>
        <w:rPr>
          <w:rFonts w:ascii="Times New Roman" w:hAnsi="Times New Roman" w:cs="Times New Roman"/>
        </w:rPr>
      </w:pPr>
      <w:hyperlink r:id="rId13" w:history="1">
        <w:r w:rsidR="005369FB" w:rsidRPr="00C23A5A">
          <w:rPr>
            <w:rStyle w:val="Hyperlink"/>
            <w:rFonts w:ascii="Times New Roman" w:hAnsi="Times New Roman" w:cs="Times New Roman"/>
          </w:rPr>
          <w:t>https://www.washingtonpost.com/news/post-nation/wp/2017/09/20/hurricane-maria-takes-aimat-puerto-rico-with-force-not-seen-in-modern-history/?noredirect=on&amp;utm_term=.fcc62cc6a1b6</w:t>
        </w:r>
      </w:hyperlink>
      <w:r w:rsidR="005369FB" w:rsidRPr="00A60AF9">
        <w:rPr>
          <w:rFonts w:ascii="Times New Roman" w:hAnsi="Times New Roman" w:cs="Times New Roman"/>
        </w:rPr>
        <w:t>.</w:t>
      </w:r>
      <w:r w:rsidR="005369FB">
        <w:rPr>
          <w:rFonts w:ascii="Times New Roman" w:hAnsi="Times New Roman" w:cs="Times New Roman"/>
        </w:rPr>
        <w:t xml:space="preserve"> </w:t>
      </w:r>
    </w:p>
  </w:footnote>
  <w:footnote w:id="29">
    <w:p w14:paraId="350AC910" w14:textId="77777777" w:rsidR="005369FB" w:rsidRPr="00204239" w:rsidRDefault="005369FB" w:rsidP="005111D8">
      <w:pPr>
        <w:autoSpaceDE w:val="0"/>
        <w:autoSpaceDN w:val="0"/>
        <w:adjustRightInd w:val="0"/>
        <w:spacing w:after="0" w:line="240" w:lineRule="auto"/>
        <w:jc w:val="both"/>
        <w:rPr>
          <w:rFonts w:ascii="Times New Roman" w:hAnsi="Times New Roman" w:cs="Times New Roman"/>
          <w:lang w:val="es-PR"/>
        </w:rPr>
      </w:pPr>
      <w:r w:rsidRPr="00A60AF9">
        <w:rPr>
          <w:rStyle w:val="FootnoteReference"/>
          <w:rFonts w:ascii="Times New Roman" w:hAnsi="Times New Roman" w:cs="Times New Roman"/>
        </w:rPr>
        <w:footnoteRef/>
      </w:r>
      <w:r w:rsidRPr="00C052DB">
        <w:rPr>
          <w:rFonts w:ascii="Times New Roman" w:hAnsi="Times New Roman" w:cs="Times New Roman"/>
          <w:lang w:val="es-PR"/>
        </w:rPr>
        <w:t xml:space="preserve"> La cifra oficial del Gobierno de Puerto Rico</w:t>
      </w:r>
      <w:r>
        <w:rPr>
          <w:rFonts w:ascii="Times New Roman" w:hAnsi="Times New Roman" w:cs="Times New Roman"/>
          <w:lang w:val="es-PR"/>
        </w:rPr>
        <w:t>, tomada de un estudio de George Washington University</w:t>
      </w:r>
      <w:r w:rsidRPr="00C052DB">
        <w:rPr>
          <w:rFonts w:ascii="Times New Roman" w:hAnsi="Times New Roman" w:cs="Times New Roman"/>
          <w:lang w:val="es-PR"/>
        </w:rPr>
        <w:t xml:space="preserve"> es de </w:t>
      </w:r>
      <w:r>
        <w:rPr>
          <w:rFonts w:ascii="Times New Roman" w:hAnsi="Times New Roman" w:cs="Times New Roman"/>
          <w:lang w:val="es-PR"/>
        </w:rPr>
        <w:t xml:space="preserve">2,975 personas muertas, mientras que otro estudio de Harvard University calculó 4,645 muertes. </w:t>
      </w:r>
      <w:r w:rsidRPr="00204239">
        <w:rPr>
          <w:rFonts w:ascii="Times New Roman" w:hAnsi="Times New Roman" w:cs="Times New Roman"/>
          <w:lang w:val="es-PR"/>
        </w:rPr>
        <w:t xml:space="preserve">José A. Delgado, </w:t>
      </w:r>
      <w:r w:rsidRPr="00204239">
        <w:rPr>
          <w:rFonts w:ascii="Times New Roman" w:hAnsi="Times New Roman" w:cs="Times New Roman"/>
          <w:i/>
          <w:lang w:val="es-PR"/>
        </w:rPr>
        <w:t>Un estudio revela que 2,975 personas murieron a causa del huracán María</w:t>
      </w:r>
      <w:r>
        <w:rPr>
          <w:rFonts w:ascii="Times New Roman" w:hAnsi="Times New Roman" w:cs="Times New Roman"/>
          <w:lang w:val="es-PR"/>
        </w:rPr>
        <w:t xml:space="preserve">, endi.com (28 de agosto de 2018) </w:t>
      </w:r>
      <w:hyperlink r:id="rId14" w:history="1">
        <w:r w:rsidRPr="00C23A5A">
          <w:rPr>
            <w:rStyle w:val="Hyperlink"/>
            <w:rFonts w:ascii="Times New Roman" w:hAnsi="Times New Roman" w:cs="Times New Roman"/>
            <w:lang w:val="es-PR"/>
          </w:rPr>
          <w:t>https://www.elnuevodia.com/noticias/locales/nota/unestudiorevelaque2975personasmurieronacausadelhuracanmaria-2443855/</w:t>
        </w:r>
      </w:hyperlink>
      <w:r>
        <w:rPr>
          <w:rFonts w:ascii="Times New Roman" w:hAnsi="Times New Roman" w:cs="Times New Roman"/>
          <w:lang w:val="es-PR"/>
        </w:rPr>
        <w:t xml:space="preserve">. </w:t>
      </w:r>
      <w:r w:rsidRPr="00204239">
        <w:rPr>
          <w:rFonts w:ascii="Times New Roman" w:hAnsi="Times New Roman" w:cs="Times New Roman"/>
          <w:lang w:val="es-PR"/>
        </w:rPr>
        <w:t xml:space="preserve"> </w:t>
      </w:r>
      <w:r>
        <w:rPr>
          <w:rFonts w:ascii="Times New Roman" w:hAnsi="Times New Roman" w:cs="Times New Roman"/>
          <w:lang w:val="es-PR"/>
        </w:rPr>
        <w:t xml:space="preserve"> </w:t>
      </w:r>
    </w:p>
  </w:footnote>
  <w:footnote w:id="30">
    <w:p w14:paraId="79D03510" w14:textId="77777777" w:rsidR="005369FB" w:rsidRPr="00A60AF9" w:rsidRDefault="005369FB" w:rsidP="005111D8">
      <w:pPr>
        <w:autoSpaceDE w:val="0"/>
        <w:autoSpaceDN w:val="0"/>
        <w:adjustRightInd w:val="0"/>
        <w:spacing w:after="0" w:line="240" w:lineRule="auto"/>
        <w:jc w:val="both"/>
        <w:rPr>
          <w:rFonts w:ascii="Times New Roman" w:hAnsi="Times New Roman" w:cs="Times New Roman"/>
        </w:rPr>
      </w:pPr>
      <w:r w:rsidRPr="00A60AF9">
        <w:rPr>
          <w:rStyle w:val="FootnoteReference"/>
          <w:rFonts w:ascii="Times New Roman" w:hAnsi="Times New Roman" w:cs="Times New Roman"/>
        </w:rPr>
        <w:footnoteRef/>
      </w:r>
      <w:r w:rsidRPr="00A60AF9">
        <w:rPr>
          <w:rFonts w:ascii="Times New Roman" w:hAnsi="Times New Roman" w:cs="Times New Roman"/>
        </w:rPr>
        <w:t xml:space="preserve"> Laura Sullivan, </w:t>
      </w:r>
      <w:r w:rsidRPr="00A60AF9">
        <w:rPr>
          <w:rFonts w:ascii="Times New Roman" w:hAnsi="Times New Roman" w:cs="Times New Roman"/>
          <w:i/>
          <w:iCs/>
        </w:rPr>
        <w:t>How FEMA Failed To Help Victims Of Hurricanes in Puerto Rico Recover</w:t>
      </w:r>
      <w:r w:rsidRPr="00A60AF9">
        <w:rPr>
          <w:rFonts w:ascii="Times New Roman" w:hAnsi="Times New Roman" w:cs="Times New Roman"/>
        </w:rPr>
        <w:t>,</w:t>
      </w:r>
      <w:r>
        <w:rPr>
          <w:rFonts w:ascii="Times New Roman" w:hAnsi="Times New Roman" w:cs="Times New Roman"/>
        </w:rPr>
        <w:t xml:space="preserve"> </w:t>
      </w:r>
      <w:r w:rsidRPr="00A60AF9">
        <w:rPr>
          <w:rFonts w:ascii="Times New Roman" w:hAnsi="Times New Roman" w:cs="Times New Roman"/>
        </w:rPr>
        <w:t xml:space="preserve">NPR (May 1, 2018, 4:33 PM), </w:t>
      </w:r>
      <w:hyperlink r:id="rId15" w:history="1">
        <w:r w:rsidRPr="00C23A5A">
          <w:rPr>
            <w:rStyle w:val="Hyperlink"/>
            <w:rFonts w:ascii="Times New Roman" w:hAnsi="Times New Roman" w:cs="Times New Roman"/>
          </w:rPr>
          <w:t>https://www.npr.org/2018/05/01/607483473/how-fema-failed-tohelp-victims-of-hurricanes-in-puerto-rico-recover</w:t>
        </w:r>
      </w:hyperlink>
      <w:r w:rsidRPr="00A60AF9">
        <w:rPr>
          <w:rFonts w:ascii="Times New Roman" w:hAnsi="Times New Roman" w:cs="Times New Roman"/>
        </w:rPr>
        <w:t>.</w:t>
      </w:r>
      <w:r>
        <w:rPr>
          <w:rFonts w:ascii="Times New Roman" w:hAnsi="Times New Roman" w:cs="Times New Roman"/>
        </w:rPr>
        <w:t xml:space="preserve"> </w:t>
      </w:r>
    </w:p>
  </w:footnote>
  <w:footnote w:id="31">
    <w:p w14:paraId="4390A73D" w14:textId="77777777" w:rsidR="005369FB" w:rsidRDefault="005369FB" w:rsidP="005111D8">
      <w:pPr>
        <w:pStyle w:val="FootnoteText"/>
        <w:jc w:val="both"/>
        <w:rPr>
          <w:rFonts w:cs="Times New Roman"/>
          <w:sz w:val="22"/>
          <w:szCs w:val="22"/>
        </w:rPr>
      </w:pPr>
      <w:r w:rsidRPr="00A60AF9">
        <w:rPr>
          <w:rStyle w:val="FootnoteReference"/>
          <w:rFonts w:cs="Times New Roman"/>
          <w:sz w:val="22"/>
          <w:szCs w:val="22"/>
        </w:rPr>
        <w:footnoteRef/>
      </w:r>
      <w:r w:rsidRPr="00A60AF9">
        <w:rPr>
          <w:rFonts w:cs="Times New Roman"/>
          <w:sz w:val="22"/>
          <w:szCs w:val="22"/>
          <w:lang w:val="es-PR"/>
        </w:rPr>
        <w:t xml:space="preserve"> </w:t>
      </w:r>
      <w:r>
        <w:rPr>
          <w:rFonts w:cs="Times New Roman"/>
          <w:sz w:val="22"/>
          <w:szCs w:val="22"/>
          <w:lang w:val="es-PR"/>
        </w:rPr>
        <w:t>FEMA no ha</w:t>
      </w:r>
      <w:r w:rsidRPr="00507FA3">
        <w:rPr>
          <w:rFonts w:cs="Times New Roman"/>
          <w:sz w:val="22"/>
          <w:szCs w:val="22"/>
          <w:lang w:val="es-PR"/>
        </w:rPr>
        <w:t xml:space="preserve"> divulgado </w:t>
      </w:r>
      <w:r>
        <w:rPr>
          <w:rFonts w:cs="Times New Roman"/>
          <w:sz w:val="22"/>
          <w:szCs w:val="22"/>
          <w:lang w:val="es-PR"/>
        </w:rPr>
        <w:t xml:space="preserve">todavía </w:t>
      </w:r>
      <w:r w:rsidRPr="00507FA3">
        <w:rPr>
          <w:rFonts w:cs="Times New Roman"/>
          <w:sz w:val="22"/>
          <w:szCs w:val="22"/>
          <w:lang w:val="es-PR"/>
        </w:rPr>
        <w:t>documentos pertinentes sobre el número de casos cerrados, denegaciones por falta de titularidad formal, planificación previa de preparación para un desastre en Puerto Rico, cantidad y disponibilida</w:t>
      </w:r>
      <w:r>
        <w:rPr>
          <w:rFonts w:cs="Times New Roman"/>
          <w:sz w:val="22"/>
          <w:szCs w:val="22"/>
          <w:lang w:val="es-PR"/>
        </w:rPr>
        <w:t>d de toldos y materiales en la I</w:t>
      </w:r>
      <w:r w:rsidRPr="00507FA3">
        <w:rPr>
          <w:rFonts w:cs="Times New Roman"/>
          <w:sz w:val="22"/>
          <w:szCs w:val="22"/>
          <w:lang w:val="es-PR"/>
        </w:rPr>
        <w:t>sla, capacitación y cantidad de personal e</w:t>
      </w:r>
      <w:r>
        <w:rPr>
          <w:rFonts w:cs="Times New Roman"/>
          <w:sz w:val="22"/>
          <w:szCs w:val="22"/>
          <w:lang w:val="es-PR"/>
        </w:rPr>
        <w:t xml:space="preserve"> información relevante bilingüe</w:t>
      </w:r>
      <w:r w:rsidRPr="00507FA3">
        <w:rPr>
          <w:rFonts w:cs="Times New Roman"/>
          <w:sz w:val="22"/>
          <w:szCs w:val="22"/>
          <w:lang w:val="es-PR"/>
        </w:rPr>
        <w:t xml:space="preserve"> y las políticas públicas declaradas sobre la población puertorriqueña.</w:t>
      </w:r>
      <w:r>
        <w:rPr>
          <w:rFonts w:cs="Times New Roman"/>
          <w:sz w:val="22"/>
          <w:szCs w:val="22"/>
          <w:lang w:val="es-PR"/>
        </w:rPr>
        <w:t xml:space="preserve"> </w:t>
      </w:r>
      <w:r w:rsidRPr="00A60AF9">
        <w:rPr>
          <w:rFonts w:cs="Times New Roman"/>
          <w:sz w:val="22"/>
          <w:szCs w:val="22"/>
          <w:lang w:val="es-PR"/>
        </w:rPr>
        <w:t xml:space="preserve">Después de presentar una petición bajo la Ley de Libertad de Información (conocida como “Freedom of Information Law,” o “FOIL” o “FOIA”), FEMA fue demandada por el Centro de Periodismo Investigativo y LatinoJustice PRLDEF para acceder los documentos que corresponden a su solicitud. </w:t>
      </w:r>
      <w:r w:rsidRPr="00A60AF9">
        <w:rPr>
          <w:rFonts w:cs="Times New Roman"/>
          <w:i/>
          <w:sz w:val="22"/>
          <w:szCs w:val="22"/>
        </w:rPr>
        <w:t xml:space="preserve">LatinoJustice PRLDEF et al., v. Federal Emergency Management Agency, </w:t>
      </w:r>
      <w:r w:rsidRPr="00A60AF9">
        <w:rPr>
          <w:rFonts w:cs="Times New Roman"/>
          <w:sz w:val="22"/>
          <w:szCs w:val="22"/>
        </w:rPr>
        <w:t>18-cv-01794 (RC).</w:t>
      </w:r>
    </w:p>
    <w:p w14:paraId="1F6CB5E4" w14:textId="77777777" w:rsidR="005369FB" w:rsidRPr="00A60AF9" w:rsidRDefault="005369FB" w:rsidP="005111D8">
      <w:pPr>
        <w:pStyle w:val="FootnoteText"/>
        <w:jc w:val="both"/>
        <w:rPr>
          <w:rFonts w:cs="Times New Roman"/>
          <w:sz w:val="22"/>
          <w:szCs w:val="22"/>
        </w:rPr>
      </w:pPr>
      <w:r w:rsidRPr="00507FA3">
        <w:rPr>
          <w:rFonts w:cs="Times New Roman"/>
          <w:sz w:val="22"/>
          <w:szCs w:val="22"/>
          <w:lang w:val="es-PR"/>
        </w:rPr>
        <w:t xml:space="preserve">Como ejemplo de la falta de transparencia y buena fe, FEMA </w:t>
      </w:r>
      <w:r>
        <w:rPr>
          <w:rFonts w:cs="Times New Roman"/>
          <w:sz w:val="22"/>
          <w:szCs w:val="22"/>
          <w:lang w:val="es-PR"/>
        </w:rPr>
        <w:t>elimin</w:t>
      </w:r>
      <w:r w:rsidRPr="00507FA3">
        <w:rPr>
          <w:rFonts w:cs="Times New Roman"/>
          <w:sz w:val="22"/>
          <w:szCs w:val="22"/>
          <w:lang w:val="es-PR"/>
        </w:rPr>
        <w:t xml:space="preserve">ó de su </w:t>
      </w:r>
      <w:r>
        <w:rPr>
          <w:rFonts w:cs="Times New Roman"/>
          <w:sz w:val="22"/>
          <w:szCs w:val="22"/>
          <w:lang w:val="es-PR"/>
        </w:rPr>
        <w:t>página</w:t>
      </w:r>
      <w:r w:rsidRPr="00507FA3">
        <w:rPr>
          <w:rFonts w:cs="Times New Roman"/>
          <w:sz w:val="22"/>
          <w:szCs w:val="22"/>
          <w:lang w:val="es-PR"/>
        </w:rPr>
        <w:t xml:space="preserve"> web datos importantes sobre el acce</w:t>
      </w:r>
      <w:r>
        <w:rPr>
          <w:rFonts w:cs="Times New Roman"/>
          <w:sz w:val="22"/>
          <w:szCs w:val="22"/>
          <w:lang w:val="es-PR"/>
        </w:rPr>
        <w:t>so a agua y electricidad en la I</w:t>
      </w:r>
      <w:r w:rsidRPr="00507FA3">
        <w:rPr>
          <w:rFonts w:cs="Times New Roman"/>
          <w:sz w:val="22"/>
          <w:szCs w:val="22"/>
          <w:lang w:val="es-PR"/>
        </w:rPr>
        <w:t>sla</w:t>
      </w:r>
      <w:r>
        <w:rPr>
          <w:rFonts w:cs="Times New Roman"/>
          <w:sz w:val="22"/>
          <w:szCs w:val="22"/>
          <w:lang w:val="es-PR"/>
        </w:rPr>
        <w:t>. Est</w:t>
      </w:r>
      <w:r w:rsidRPr="00507FA3">
        <w:rPr>
          <w:rFonts w:cs="Times New Roman"/>
          <w:sz w:val="22"/>
          <w:szCs w:val="22"/>
          <w:lang w:val="es-PR"/>
        </w:rPr>
        <w:t xml:space="preserve">os datos </w:t>
      </w:r>
      <w:r>
        <w:rPr>
          <w:rFonts w:cs="Times New Roman"/>
          <w:sz w:val="22"/>
          <w:szCs w:val="22"/>
          <w:lang w:val="es-PR"/>
        </w:rPr>
        <w:t>fueron</w:t>
      </w:r>
      <w:r w:rsidRPr="00507FA3">
        <w:rPr>
          <w:rFonts w:cs="Times New Roman"/>
          <w:sz w:val="22"/>
          <w:szCs w:val="22"/>
          <w:lang w:val="es-PR"/>
        </w:rPr>
        <w:t xml:space="preserve"> restaura</w:t>
      </w:r>
      <w:r>
        <w:rPr>
          <w:rFonts w:cs="Times New Roman"/>
          <w:sz w:val="22"/>
          <w:szCs w:val="22"/>
          <w:lang w:val="es-PR"/>
        </w:rPr>
        <w:t>dos</w:t>
      </w:r>
      <w:r w:rsidRPr="00507FA3">
        <w:rPr>
          <w:rFonts w:cs="Times New Roman"/>
          <w:sz w:val="22"/>
          <w:szCs w:val="22"/>
          <w:lang w:val="es-PR"/>
        </w:rPr>
        <w:t xml:space="preserve"> s</w:t>
      </w:r>
      <w:r>
        <w:rPr>
          <w:rFonts w:cs="Times New Roman"/>
          <w:sz w:val="22"/>
          <w:szCs w:val="22"/>
          <w:lang w:val="es-PR"/>
        </w:rPr>
        <w:t>ó</w:t>
      </w:r>
      <w:r w:rsidRPr="00507FA3">
        <w:rPr>
          <w:rFonts w:cs="Times New Roman"/>
          <w:sz w:val="22"/>
          <w:szCs w:val="22"/>
          <w:lang w:val="es-PR"/>
        </w:rPr>
        <w:t xml:space="preserve">lo después de </w:t>
      </w:r>
      <w:r>
        <w:rPr>
          <w:rFonts w:cs="Times New Roman"/>
          <w:sz w:val="22"/>
          <w:szCs w:val="22"/>
          <w:lang w:val="es-PR"/>
        </w:rPr>
        <w:t xml:space="preserve">que </w:t>
      </w:r>
      <w:r w:rsidRPr="00507FA3">
        <w:rPr>
          <w:rFonts w:cs="Times New Roman"/>
          <w:sz w:val="22"/>
          <w:szCs w:val="22"/>
          <w:lang w:val="es-PR"/>
        </w:rPr>
        <w:t xml:space="preserve">los medios de comunicación </w:t>
      </w:r>
      <w:r>
        <w:rPr>
          <w:rFonts w:cs="Times New Roman"/>
          <w:sz w:val="22"/>
          <w:szCs w:val="22"/>
          <w:lang w:val="es-PR"/>
        </w:rPr>
        <w:t>lo reportar</w:t>
      </w:r>
      <w:r w:rsidRPr="00507FA3">
        <w:rPr>
          <w:rFonts w:cs="Times New Roman"/>
          <w:sz w:val="22"/>
          <w:szCs w:val="22"/>
          <w:lang w:val="es-PR"/>
        </w:rPr>
        <w:t>o</w:t>
      </w:r>
      <w:r>
        <w:rPr>
          <w:rFonts w:cs="Times New Roman"/>
          <w:sz w:val="22"/>
          <w:szCs w:val="22"/>
          <w:lang w:val="es-PR"/>
        </w:rPr>
        <w:t>n</w:t>
      </w:r>
      <w:r w:rsidRPr="00507FA3">
        <w:rPr>
          <w:rFonts w:cs="Times New Roman"/>
          <w:sz w:val="22"/>
          <w:szCs w:val="22"/>
          <w:lang w:val="es-PR"/>
        </w:rPr>
        <w:t xml:space="preserve">. </w:t>
      </w:r>
      <w:r w:rsidRPr="00A60AF9">
        <w:rPr>
          <w:rFonts w:cs="Times New Roman"/>
          <w:sz w:val="22"/>
          <w:szCs w:val="22"/>
        </w:rPr>
        <w:t>Jenna Johnson</w:t>
      </w:r>
      <w:r w:rsidRPr="00A60AF9">
        <w:rPr>
          <w:rFonts w:cs="Times New Roman"/>
          <w:i/>
          <w:sz w:val="22"/>
          <w:szCs w:val="22"/>
        </w:rPr>
        <w:t>, FEMA Removes -- Then Restores -- Statistics About Drinking Water Access and Electricity in Puerto</w:t>
      </w:r>
      <w:r>
        <w:rPr>
          <w:rFonts w:cs="Times New Roman"/>
          <w:i/>
          <w:sz w:val="22"/>
          <w:szCs w:val="22"/>
        </w:rPr>
        <w:t xml:space="preserve"> </w:t>
      </w:r>
      <w:r w:rsidRPr="00A60AF9">
        <w:rPr>
          <w:rFonts w:cs="Times New Roman"/>
          <w:i/>
          <w:sz w:val="22"/>
          <w:szCs w:val="22"/>
        </w:rPr>
        <w:t>Rico From Website</w:t>
      </w:r>
      <w:r w:rsidRPr="00A60AF9">
        <w:rPr>
          <w:rFonts w:cs="Times New Roman"/>
          <w:sz w:val="22"/>
          <w:szCs w:val="22"/>
        </w:rPr>
        <w:t xml:space="preserve">, Wash. Post (Oct. 6, 2017), </w:t>
      </w:r>
      <w:hyperlink r:id="rId16" w:history="1">
        <w:r w:rsidRPr="00C23A5A">
          <w:rPr>
            <w:rStyle w:val="Hyperlink"/>
            <w:rFonts w:cs="Times New Roman"/>
            <w:sz w:val="22"/>
            <w:szCs w:val="22"/>
          </w:rPr>
          <w:t>https://www.washingtonpost.com/news/post-politics/wp/2017/10/05/fema-removes-statisticsabout-drinking-water-access-and-electricity-in-puerto-rico-fromwebsite/?utm_term=.21f4bf62865b</w:t>
        </w:r>
      </w:hyperlink>
      <w:r w:rsidRPr="00A60AF9">
        <w:rPr>
          <w:rFonts w:cs="Times New Roman"/>
          <w:sz w:val="22"/>
          <w:szCs w:val="22"/>
        </w:rPr>
        <w:t>.</w:t>
      </w:r>
      <w:r>
        <w:rPr>
          <w:rFonts w:cs="Times New Roman"/>
          <w:sz w:val="22"/>
          <w:szCs w:val="22"/>
        </w:rPr>
        <w:t xml:space="preserve"> </w:t>
      </w:r>
      <w:r w:rsidRPr="00A60AF9">
        <w:rPr>
          <w:rFonts w:cs="Times New Roman"/>
          <w:sz w:val="22"/>
          <w:szCs w:val="22"/>
        </w:rPr>
        <w:t xml:space="preserve"> </w:t>
      </w:r>
      <w:r>
        <w:rPr>
          <w:rFonts w:cs="Times New Roman"/>
          <w:sz w:val="22"/>
          <w:szCs w:val="22"/>
        </w:rPr>
        <w:t xml:space="preserve"> </w:t>
      </w:r>
    </w:p>
  </w:footnote>
  <w:footnote w:id="32">
    <w:p w14:paraId="288AA06E" w14:textId="77777777" w:rsidR="005369FB" w:rsidRPr="00A60AF9" w:rsidRDefault="005369FB" w:rsidP="005111D8">
      <w:pPr>
        <w:pStyle w:val="FootnoteText"/>
        <w:jc w:val="both"/>
        <w:rPr>
          <w:rFonts w:cs="Times New Roman"/>
          <w:sz w:val="22"/>
          <w:szCs w:val="22"/>
          <w:lang w:val="es-PR"/>
        </w:rPr>
      </w:pPr>
      <w:r w:rsidRPr="00A60AF9">
        <w:rPr>
          <w:rStyle w:val="FootnoteReference"/>
          <w:rFonts w:cs="Times New Roman"/>
          <w:sz w:val="22"/>
          <w:szCs w:val="22"/>
        </w:rPr>
        <w:footnoteRef/>
      </w:r>
      <w:r w:rsidRPr="00A60AF9">
        <w:rPr>
          <w:rFonts w:cs="Times New Roman"/>
          <w:sz w:val="22"/>
          <w:szCs w:val="22"/>
          <w:lang w:val="es-PR"/>
        </w:rPr>
        <w:t xml:space="preserve"> El programa forma parte de la Sección 403 de la Ley Stafford, 42 U.S.C. §§ 5170b(a)(3)(B), 5170b(a)(1).  El reglamento no </w:t>
      </w:r>
      <w:r>
        <w:rPr>
          <w:rFonts w:cs="Times New Roman"/>
          <w:sz w:val="22"/>
          <w:szCs w:val="22"/>
          <w:lang w:val="es-PR"/>
        </w:rPr>
        <w:t>establece</w:t>
      </w:r>
      <w:r w:rsidRPr="00A60AF9">
        <w:rPr>
          <w:rFonts w:cs="Times New Roman"/>
          <w:sz w:val="22"/>
          <w:szCs w:val="22"/>
          <w:lang w:val="es-PR"/>
        </w:rPr>
        <w:t xml:space="preserve"> la</w:t>
      </w:r>
      <w:r>
        <w:rPr>
          <w:rFonts w:cs="Times New Roman"/>
          <w:sz w:val="22"/>
          <w:szCs w:val="22"/>
          <w:lang w:val="es-PR"/>
        </w:rPr>
        <w:t xml:space="preserve"> necesidad de una petición explí</w:t>
      </w:r>
      <w:r w:rsidRPr="00A60AF9">
        <w:rPr>
          <w:rFonts w:cs="Times New Roman"/>
          <w:sz w:val="22"/>
          <w:szCs w:val="22"/>
          <w:lang w:val="es-PR"/>
        </w:rPr>
        <w:t xml:space="preserve">cita </w:t>
      </w:r>
      <w:r>
        <w:rPr>
          <w:rFonts w:cs="Times New Roman"/>
          <w:sz w:val="22"/>
          <w:szCs w:val="22"/>
          <w:lang w:val="es-PR"/>
        </w:rPr>
        <w:t>del g</w:t>
      </w:r>
      <w:r w:rsidRPr="00A60AF9">
        <w:rPr>
          <w:rFonts w:cs="Times New Roman"/>
          <w:sz w:val="22"/>
          <w:szCs w:val="22"/>
          <w:lang w:val="es-PR"/>
        </w:rPr>
        <w:t xml:space="preserve">obernador del territorio afectado </w:t>
      </w:r>
      <w:r>
        <w:rPr>
          <w:rFonts w:cs="Times New Roman"/>
          <w:sz w:val="22"/>
          <w:szCs w:val="22"/>
          <w:lang w:val="es-PR"/>
        </w:rPr>
        <w:t>a</w:t>
      </w:r>
      <w:r w:rsidRPr="00A60AF9">
        <w:rPr>
          <w:rFonts w:cs="Times New Roman"/>
          <w:sz w:val="22"/>
          <w:szCs w:val="22"/>
          <w:lang w:val="es-PR"/>
        </w:rPr>
        <w:t xml:space="preserve"> FEMA decidir extender TSA a una población determinada. 44 C.F.R. § 206.202.</w:t>
      </w:r>
    </w:p>
  </w:footnote>
  <w:footnote w:id="33">
    <w:p w14:paraId="69396311" w14:textId="77777777" w:rsidR="005369FB" w:rsidRPr="00A60AF9" w:rsidRDefault="005369FB" w:rsidP="005111D8">
      <w:pPr>
        <w:pStyle w:val="FootnoteText"/>
        <w:jc w:val="both"/>
        <w:rPr>
          <w:rFonts w:cs="Times New Roman"/>
          <w:sz w:val="22"/>
          <w:szCs w:val="22"/>
        </w:rPr>
      </w:pPr>
      <w:r w:rsidRPr="00A60AF9">
        <w:rPr>
          <w:rStyle w:val="FootnoteReference"/>
          <w:rFonts w:cs="Times New Roman"/>
          <w:sz w:val="22"/>
          <w:szCs w:val="22"/>
        </w:rPr>
        <w:footnoteRef/>
      </w:r>
      <w:r w:rsidRPr="00A60AF9">
        <w:rPr>
          <w:rFonts w:cs="Times New Roman"/>
          <w:sz w:val="22"/>
          <w:szCs w:val="22"/>
          <w:lang w:val="es-PR"/>
        </w:rPr>
        <w:t xml:space="preserve"> </w:t>
      </w:r>
      <w:r w:rsidRPr="00A60AF9">
        <w:rPr>
          <w:rFonts w:cs="Times New Roman"/>
          <w:i/>
          <w:sz w:val="22"/>
          <w:szCs w:val="22"/>
          <w:lang w:val="es-PR"/>
        </w:rPr>
        <w:t>Véase</w:t>
      </w:r>
      <w:r w:rsidRPr="00A60AF9">
        <w:rPr>
          <w:rFonts w:cs="Times New Roman"/>
          <w:sz w:val="22"/>
          <w:szCs w:val="22"/>
          <w:lang w:val="es-PR"/>
        </w:rPr>
        <w:t xml:space="preserve"> Sección 408 de la Ley Stafford, 42 U.S.C. § 5174(b)(1).  FEMA fue demandada </w:t>
      </w:r>
      <w:r>
        <w:rPr>
          <w:rFonts w:cs="Times New Roman"/>
          <w:sz w:val="22"/>
          <w:szCs w:val="22"/>
          <w:lang w:val="es-PR"/>
        </w:rPr>
        <w:t xml:space="preserve">en 2018 </w:t>
      </w:r>
      <w:r w:rsidRPr="00A60AF9">
        <w:rPr>
          <w:rFonts w:cs="Times New Roman"/>
          <w:sz w:val="22"/>
          <w:szCs w:val="22"/>
          <w:lang w:val="es-PR"/>
        </w:rPr>
        <w:t xml:space="preserve">por decidir arbitrariamente no extenderles </w:t>
      </w:r>
      <w:r>
        <w:rPr>
          <w:rFonts w:cs="Times New Roman"/>
          <w:sz w:val="22"/>
          <w:szCs w:val="22"/>
          <w:lang w:val="es-PR"/>
        </w:rPr>
        <w:t xml:space="preserve">vivienda </w:t>
      </w:r>
      <w:r w:rsidRPr="00A60AF9">
        <w:rPr>
          <w:rFonts w:cs="Times New Roman"/>
          <w:sz w:val="22"/>
          <w:szCs w:val="22"/>
          <w:lang w:val="es-PR"/>
        </w:rPr>
        <w:t>a las personas afectadas</w:t>
      </w:r>
      <w:r>
        <w:rPr>
          <w:rFonts w:cs="Times New Roman"/>
          <w:sz w:val="22"/>
          <w:szCs w:val="22"/>
          <w:lang w:val="es-PR"/>
        </w:rPr>
        <w:t>,</w:t>
      </w:r>
      <w:r w:rsidRPr="00A60AF9">
        <w:rPr>
          <w:rFonts w:cs="Times New Roman"/>
          <w:sz w:val="22"/>
          <w:szCs w:val="22"/>
          <w:lang w:val="es-PR"/>
        </w:rPr>
        <w:t xml:space="preserve"> quienes ya habían </w:t>
      </w:r>
      <w:r>
        <w:rPr>
          <w:rFonts w:cs="Times New Roman"/>
          <w:sz w:val="22"/>
          <w:szCs w:val="22"/>
          <w:lang w:val="es-PR"/>
        </w:rPr>
        <w:t>sido cualificadas para recibir a</w:t>
      </w:r>
      <w:r w:rsidRPr="00A60AF9">
        <w:rPr>
          <w:rFonts w:cs="Times New Roman"/>
          <w:sz w:val="22"/>
          <w:szCs w:val="22"/>
          <w:lang w:val="es-PR"/>
        </w:rPr>
        <w:t xml:space="preserve">sistencia </w:t>
      </w:r>
      <w:r>
        <w:rPr>
          <w:rFonts w:cs="Times New Roman"/>
          <w:sz w:val="22"/>
          <w:szCs w:val="22"/>
          <w:lang w:val="es-PR"/>
        </w:rPr>
        <w:t>bajo TSA</w:t>
      </w:r>
      <w:r w:rsidRPr="00A60AF9">
        <w:rPr>
          <w:rFonts w:cs="Times New Roman"/>
          <w:sz w:val="22"/>
          <w:szCs w:val="22"/>
          <w:lang w:val="es-PR"/>
        </w:rPr>
        <w:t xml:space="preserve">. El </w:t>
      </w:r>
      <w:r>
        <w:rPr>
          <w:rFonts w:cs="Times New Roman"/>
          <w:sz w:val="22"/>
          <w:szCs w:val="22"/>
          <w:lang w:val="es-PR"/>
        </w:rPr>
        <w:t>T</w:t>
      </w:r>
      <w:r w:rsidRPr="00A60AF9">
        <w:rPr>
          <w:rFonts w:cs="Times New Roman"/>
          <w:sz w:val="22"/>
          <w:szCs w:val="22"/>
          <w:lang w:val="es-PR"/>
        </w:rPr>
        <w:t xml:space="preserve">ribunal </w:t>
      </w:r>
      <w:r>
        <w:rPr>
          <w:rFonts w:cs="Times New Roman"/>
          <w:sz w:val="22"/>
          <w:szCs w:val="22"/>
          <w:lang w:val="es-PR"/>
        </w:rPr>
        <w:t>F</w:t>
      </w:r>
      <w:r w:rsidRPr="00A60AF9">
        <w:rPr>
          <w:rFonts w:cs="Times New Roman"/>
          <w:sz w:val="22"/>
          <w:szCs w:val="22"/>
          <w:lang w:val="es-PR"/>
        </w:rPr>
        <w:t xml:space="preserve">ederal del Distrito Oeste de Massachusetts </w:t>
      </w:r>
      <w:r>
        <w:rPr>
          <w:rFonts w:cs="Times New Roman"/>
          <w:sz w:val="22"/>
          <w:szCs w:val="22"/>
          <w:lang w:val="es-PR"/>
        </w:rPr>
        <w:t>otorg</w:t>
      </w:r>
      <w:r w:rsidRPr="00A60AF9">
        <w:rPr>
          <w:rFonts w:cs="Times New Roman"/>
          <w:sz w:val="22"/>
          <w:szCs w:val="22"/>
          <w:lang w:val="es-PR"/>
        </w:rPr>
        <w:t xml:space="preserve">ó una medida cautelar urgente por dos meses y medio, pero denegó la petición </w:t>
      </w:r>
      <w:r>
        <w:rPr>
          <w:rFonts w:cs="Times New Roman"/>
          <w:sz w:val="22"/>
          <w:szCs w:val="22"/>
          <w:lang w:val="es-PR"/>
        </w:rPr>
        <w:t>por un período más largo</w:t>
      </w:r>
      <w:r w:rsidRPr="00A60AF9">
        <w:rPr>
          <w:rFonts w:cs="Times New Roman"/>
          <w:sz w:val="22"/>
          <w:szCs w:val="22"/>
          <w:lang w:val="es-PR"/>
        </w:rPr>
        <w:t xml:space="preserve">. </w:t>
      </w:r>
      <w:r w:rsidRPr="00A60AF9">
        <w:rPr>
          <w:rFonts w:cs="Times New Roman"/>
          <w:i/>
          <w:sz w:val="22"/>
          <w:szCs w:val="22"/>
        </w:rPr>
        <w:t>Santos v. Fed. Emergency Mgmt. Agency</w:t>
      </w:r>
      <w:r w:rsidRPr="00A60AF9">
        <w:rPr>
          <w:rFonts w:cs="Times New Roman"/>
          <w:sz w:val="22"/>
          <w:szCs w:val="22"/>
        </w:rPr>
        <w:t>, 327 F. Supp. 3d 328 (D. Mass. 2018).</w:t>
      </w:r>
    </w:p>
  </w:footnote>
  <w:footnote w:id="34">
    <w:p w14:paraId="599A6B7A" w14:textId="77777777" w:rsidR="005369FB" w:rsidRPr="00A60AF9" w:rsidRDefault="005369FB" w:rsidP="005111D8">
      <w:pPr>
        <w:pStyle w:val="FootnoteText"/>
        <w:jc w:val="both"/>
        <w:rPr>
          <w:rFonts w:cs="Times New Roman"/>
          <w:sz w:val="22"/>
          <w:szCs w:val="22"/>
        </w:rPr>
      </w:pPr>
      <w:r w:rsidRPr="00A60AF9">
        <w:rPr>
          <w:rStyle w:val="FootnoteReference"/>
          <w:rFonts w:cs="Times New Roman"/>
          <w:sz w:val="22"/>
          <w:szCs w:val="22"/>
        </w:rPr>
        <w:footnoteRef/>
      </w:r>
      <w:r w:rsidRPr="00A60AF9">
        <w:rPr>
          <w:rFonts w:cs="Times New Roman"/>
          <w:sz w:val="22"/>
          <w:szCs w:val="22"/>
          <w:lang w:val="es-PR"/>
        </w:rPr>
        <w:t xml:space="preserve"> La Ley Stafford prohíbe el trato discriminatorio basado en raza, color de piel, origen nacional y competencia en inglés, entre otras categorías protegidas. </w:t>
      </w:r>
      <w:r w:rsidRPr="00A60AF9">
        <w:rPr>
          <w:rFonts w:cs="Times New Roman"/>
          <w:sz w:val="22"/>
          <w:szCs w:val="22"/>
        </w:rPr>
        <w:t>42 U.S.C. § 5151(a).</w:t>
      </w:r>
    </w:p>
  </w:footnote>
  <w:footnote w:id="35">
    <w:p w14:paraId="1419FB2B" w14:textId="77777777" w:rsidR="005369FB" w:rsidRPr="00A60AF9" w:rsidRDefault="005369FB" w:rsidP="005111D8">
      <w:pPr>
        <w:pStyle w:val="FootnoteText"/>
        <w:jc w:val="both"/>
        <w:rPr>
          <w:rFonts w:cs="Times New Roman"/>
          <w:sz w:val="22"/>
          <w:szCs w:val="22"/>
        </w:rPr>
      </w:pPr>
      <w:r w:rsidRPr="00A60AF9">
        <w:rPr>
          <w:rStyle w:val="FootnoteReference"/>
          <w:rFonts w:cs="Times New Roman"/>
          <w:sz w:val="22"/>
          <w:szCs w:val="22"/>
        </w:rPr>
        <w:footnoteRef/>
      </w:r>
      <w:r w:rsidRPr="00A60AF9">
        <w:rPr>
          <w:rFonts w:cs="Times New Roman"/>
          <w:sz w:val="22"/>
          <w:szCs w:val="22"/>
        </w:rPr>
        <w:t xml:space="preserve"> </w:t>
      </w:r>
      <w:hyperlink r:id="rId17" w:history="1">
        <w:r w:rsidRPr="00C23A5A">
          <w:rPr>
            <w:rStyle w:val="Hyperlink"/>
            <w:rFonts w:cs="Times New Roman"/>
            <w:sz w:val="22"/>
            <w:szCs w:val="22"/>
          </w:rPr>
          <w:t>https://www.fema.gov/news-release/2009/04/07/fema-temporary-housing-program-ending-families-hurricanes-katrina-and-rita</w:t>
        </w:r>
      </w:hyperlink>
      <w:r w:rsidRPr="00A60AF9">
        <w:rPr>
          <w:rFonts w:cs="Times New Roman"/>
          <w:sz w:val="22"/>
          <w:szCs w:val="22"/>
        </w:rPr>
        <w:t>.</w:t>
      </w:r>
      <w:r>
        <w:rPr>
          <w:rFonts w:cs="Times New Roman"/>
          <w:sz w:val="22"/>
          <w:szCs w:val="22"/>
        </w:rPr>
        <w:t xml:space="preserve"> </w:t>
      </w:r>
      <w:r w:rsidRPr="00A60AF9">
        <w:rPr>
          <w:rFonts w:cs="Times New Roman"/>
          <w:sz w:val="22"/>
          <w:szCs w:val="22"/>
        </w:rPr>
        <w:t xml:space="preserve">  </w:t>
      </w:r>
    </w:p>
  </w:footnote>
  <w:footnote w:id="36">
    <w:p w14:paraId="43C55DEA" w14:textId="77777777" w:rsidR="005369FB" w:rsidRPr="00A60AF9" w:rsidRDefault="005369FB" w:rsidP="005111D8">
      <w:pPr>
        <w:pStyle w:val="FootnoteText"/>
        <w:jc w:val="both"/>
        <w:rPr>
          <w:rFonts w:cs="Times New Roman"/>
          <w:sz w:val="22"/>
          <w:szCs w:val="22"/>
        </w:rPr>
      </w:pPr>
      <w:r w:rsidRPr="00A60AF9">
        <w:rPr>
          <w:rStyle w:val="FootnoteReference"/>
          <w:rFonts w:cs="Times New Roman"/>
          <w:sz w:val="22"/>
          <w:szCs w:val="22"/>
        </w:rPr>
        <w:footnoteRef/>
      </w:r>
      <w:r w:rsidRPr="00A60AF9">
        <w:rPr>
          <w:rFonts w:cs="Times New Roman"/>
          <w:sz w:val="22"/>
          <w:szCs w:val="22"/>
        </w:rPr>
        <w:t xml:space="preserve"> 2017 Hurricane Season FEMA After-Action Report (July 12, 2018), 2, </w:t>
      </w:r>
      <w:r w:rsidRPr="00A60AF9">
        <w:rPr>
          <w:rFonts w:cs="Times New Roman"/>
          <w:i/>
          <w:sz w:val="22"/>
          <w:szCs w:val="22"/>
        </w:rPr>
        <w:t>disponible en</w:t>
      </w:r>
      <w:r w:rsidRPr="00A60AF9">
        <w:rPr>
          <w:rFonts w:cs="Times New Roman"/>
          <w:sz w:val="22"/>
          <w:szCs w:val="22"/>
        </w:rPr>
        <w:t xml:space="preserve"> ttps://www.fema.gov/medialibrary/assets/documents/167249.</w:t>
      </w:r>
    </w:p>
  </w:footnote>
  <w:footnote w:id="37">
    <w:p w14:paraId="05B0A3D1" w14:textId="77777777" w:rsidR="005369FB" w:rsidRPr="000A63FF" w:rsidRDefault="005369FB" w:rsidP="005111D8">
      <w:pPr>
        <w:pStyle w:val="FootnoteText"/>
        <w:jc w:val="both"/>
        <w:rPr>
          <w:rFonts w:ascii="Cambria" w:hAnsi="Cambria"/>
        </w:rPr>
      </w:pPr>
      <w:r w:rsidRPr="00A60AF9">
        <w:rPr>
          <w:rStyle w:val="FootnoteReference"/>
          <w:rFonts w:cs="Times New Roman"/>
          <w:sz w:val="22"/>
          <w:szCs w:val="22"/>
        </w:rPr>
        <w:footnoteRef/>
      </w:r>
      <w:r w:rsidRPr="00A60AF9">
        <w:rPr>
          <w:rFonts w:cs="Times New Roman"/>
          <w:sz w:val="22"/>
          <w:szCs w:val="22"/>
        </w:rPr>
        <w:t xml:space="preserve"> </w:t>
      </w:r>
      <w:hyperlink r:id="rId18" w:history="1">
        <w:r w:rsidRPr="00C23A5A">
          <w:rPr>
            <w:rStyle w:val="Hyperlink"/>
            <w:rFonts w:cs="Times New Roman"/>
            <w:sz w:val="22"/>
            <w:szCs w:val="22"/>
          </w:rPr>
          <w:t>https://twitter.com/fema/status/912340037882216449</w:t>
        </w:r>
      </w:hyperlink>
      <w:r w:rsidRPr="00A60AF9">
        <w:rPr>
          <w:rFonts w:cs="Times New Roman"/>
          <w:sz w:val="22"/>
          <w:szCs w:val="22"/>
        </w:rPr>
        <w:t>.</w:t>
      </w:r>
      <w:r>
        <w:rPr>
          <w:rFonts w:cs="Times New Roman"/>
          <w:sz w:val="22"/>
          <w:szCs w:val="22"/>
        </w:rPr>
        <w:t xml:space="preserve"> </w:t>
      </w:r>
    </w:p>
  </w:footnote>
  <w:footnote w:id="38">
    <w:p w14:paraId="6489392D" w14:textId="77777777" w:rsidR="005369FB" w:rsidRPr="000A63FF" w:rsidRDefault="005369FB" w:rsidP="005111D8">
      <w:pPr>
        <w:pStyle w:val="FootnoteText"/>
        <w:jc w:val="both"/>
        <w:rPr>
          <w:rFonts w:ascii="Cambria" w:hAnsi="Cambria"/>
        </w:rPr>
      </w:pPr>
      <w:r w:rsidRPr="00A60AF9">
        <w:rPr>
          <w:rStyle w:val="FootnoteReference"/>
          <w:rFonts w:cs="Times New Roman"/>
          <w:sz w:val="22"/>
          <w:szCs w:val="22"/>
        </w:rPr>
        <w:footnoteRef/>
      </w:r>
      <w:r w:rsidRPr="00A60AF9">
        <w:rPr>
          <w:rFonts w:cs="Times New Roman"/>
          <w:sz w:val="22"/>
          <w:szCs w:val="22"/>
        </w:rPr>
        <w:t xml:space="preserve"> </w:t>
      </w:r>
      <w:hyperlink r:id="rId19" w:history="1">
        <w:r w:rsidRPr="00C23A5A">
          <w:rPr>
            <w:rStyle w:val="Hyperlink"/>
            <w:rFonts w:cs="Times New Roman"/>
            <w:sz w:val="22"/>
            <w:szCs w:val="22"/>
          </w:rPr>
          <w:t>http://www.oas.org/es/cidh/prensa/comunicados/2018/004.asp</w:t>
        </w:r>
      </w:hyperlink>
      <w:r>
        <w:rPr>
          <w:rFonts w:cs="Times New Roman"/>
          <w:sz w:val="22"/>
          <w:szCs w:val="22"/>
        </w:rPr>
        <w:t xml:space="preserve">. </w:t>
      </w:r>
    </w:p>
  </w:footnote>
  <w:footnote w:id="39">
    <w:p w14:paraId="7F6372A6" w14:textId="77777777" w:rsidR="005369FB" w:rsidRPr="00201F81" w:rsidRDefault="005369FB" w:rsidP="00F63942">
      <w:pPr>
        <w:pStyle w:val="FootnoteText"/>
        <w:rPr>
          <w:rFonts w:cs="Times New Roman"/>
          <w:sz w:val="22"/>
          <w:szCs w:val="22"/>
        </w:rPr>
      </w:pPr>
      <w:r w:rsidRPr="00201F81">
        <w:rPr>
          <w:rStyle w:val="FootnoteReference"/>
          <w:rFonts w:cs="Times New Roman"/>
          <w:sz w:val="22"/>
          <w:szCs w:val="22"/>
        </w:rPr>
        <w:footnoteRef/>
      </w:r>
      <w:r w:rsidRPr="00201F81">
        <w:rPr>
          <w:rFonts w:cs="Times New Roman"/>
          <w:sz w:val="22"/>
          <w:szCs w:val="22"/>
        </w:rPr>
        <w:t xml:space="preserve"> Exkstein, Hutfils and Winges, </w:t>
      </w:r>
      <w:r w:rsidRPr="00201F81">
        <w:rPr>
          <w:rFonts w:cs="Times New Roman"/>
          <w:i/>
          <w:sz w:val="22"/>
          <w:szCs w:val="22"/>
        </w:rPr>
        <w:t>Global Climate Risk Index 2019</w:t>
      </w:r>
      <w:r w:rsidRPr="00201F81">
        <w:rPr>
          <w:rFonts w:cs="Times New Roman"/>
          <w:sz w:val="22"/>
          <w:szCs w:val="22"/>
        </w:rPr>
        <w:t>, Who Suffers Most From Extreme Weather Events? Weather-Related Loss Events in 2017 and 1998 to 2017, Germanwatch, at page 4. [https://www.germanwatch.org/sites/germanwatch.org/files/Global%20Climate%20Risk%20Index%202019_2.pdf</w:t>
      </w:r>
      <w:r>
        <w:rPr>
          <w:rFonts w:cs="Times New Roman"/>
          <w:sz w:val="22"/>
          <w:szCs w:val="22"/>
        </w:rPr>
        <w:t xml:space="preserve">  </w:t>
      </w:r>
    </w:p>
  </w:footnote>
  <w:footnote w:id="40">
    <w:p w14:paraId="25323B73" w14:textId="77777777" w:rsidR="005369FB" w:rsidRPr="00201F81" w:rsidRDefault="005369FB" w:rsidP="00F63942">
      <w:pPr>
        <w:pStyle w:val="FootnoteText"/>
        <w:rPr>
          <w:rFonts w:cs="Times New Roman"/>
          <w:sz w:val="22"/>
          <w:szCs w:val="22"/>
        </w:rPr>
      </w:pPr>
      <w:r w:rsidRPr="00201F81">
        <w:rPr>
          <w:rStyle w:val="FootnoteReference"/>
          <w:rFonts w:cs="Times New Roman"/>
          <w:sz w:val="22"/>
          <w:szCs w:val="22"/>
        </w:rPr>
        <w:footnoteRef/>
      </w:r>
      <w:r w:rsidRPr="00201F81">
        <w:rPr>
          <w:rFonts w:cs="Times New Roman"/>
          <w:sz w:val="22"/>
          <w:szCs w:val="22"/>
        </w:rPr>
        <w:t xml:space="preserve"> Ibid.</w:t>
      </w:r>
    </w:p>
  </w:footnote>
  <w:footnote w:id="41">
    <w:p w14:paraId="131F690C" w14:textId="77777777" w:rsidR="005369FB" w:rsidRPr="00201F81" w:rsidRDefault="005369FB" w:rsidP="00F63942">
      <w:pPr>
        <w:pStyle w:val="FootnoteText"/>
        <w:rPr>
          <w:rFonts w:cs="Times New Roman"/>
          <w:sz w:val="22"/>
          <w:szCs w:val="22"/>
        </w:rPr>
      </w:pPr>
      <w:r w:rsidRPr="00201F81">
        <w:rPr>
          <w:rStyle w:val="FootnoteReference"/>
          <w:rFonts w:cs="Times New Roman"/>
          <w:sz w:val="22"/>
          <w:szCs w:val="22"/>
        </w:rPr>
        <w:footnoteRef/>
      </w:r>
      <w:r w:rsidRPr="00201F81">
        <w:rPr>
          <w:rFonts w:cs="Times New Roman"/>
          <w:sz w:val="22"/>
          <w:szCs w:val="22"/>
        </w:rPr>
        <w:t xml:space="preserve"> EPA, What Climate Change Means for Puerto Rico, (August 2016), EPA 430-F-16-063. Available at: </w:t>
      </w:r>
      <w:hyperlink r:id="rId20" w:history="1">
        <w:r w:rsidRPr="00C23A5A">
          <w:rPr>
            <w:rStyle w:val="Hyperlink"/>
            <w:rFonts w:cs="Times New Roman"/>
            <w:sz w:val="22"/>
            <w:szCs w:val="22"/>
          </w:rPr>
          <w:t>http://caribbeanlcc.org/wp-content/uploads/2016/10/EPA_Factsheet_Aug2016.pdf</w:t>
        </w:r>
      </w:hyperlink>
      <w:r>
        <w:rPr>
          <w:rFonts w:cs="Times New Roman"/>
          <w:sz w:val="22"/>
          <w:szCs w:val="22"/>
        </w:rPr>
        <w:t xml:space="preserve"> </w:t>
      </w:r>
    </w:p>
  </w:footnote>
  <w:footnote w:id="42">
    <w:p w14:paraId="370DA2AA" w14:textId="77777777" w:rsidR="005369FB" w:rsidRPr="00201F81" w:rsidRDefault="005369FB" w:rsidP="00F63942">
      <w:pPr>
        <w:pStyle w:val="FootnoteText"/>
        <w:rPr>
          <w:rFonts w:cs="Times New Roman"/>
          <w:sz w:val="22"/>
          <w:szCs w:val="22"/>
          <w:lang w:val="es-PR"/>
        </w:rPr>
      </w:pPr>
      <w:r w:rsidRPr="00201F81">
        <w:rPr>
          <w:rStyle w:val="FootnoteReference"/>
          <w:rFonts w:cs="Times New Roman"/>
          <w:sz w:val="22"/>
          <w:szCs w:val="22"/>
        </w:rPr>
        <w:footnoteRef/>
      </w:r>
      <w:r w:rsidRPr="00F63942">
        <w:rPr>
          <w:rFonts w:cs="Times New Roman"/>
          <w:sz w:val="22"/>
          <w:szCs w:val="22"/>
          <w:lang w:val="es-PR"/>
        </w:rPr>
        <w:t xml:space="preserve"> </w:t>
      </w:r>
      <w:r w:rsidRPr="00201F81">
        <w:rPr>
          <w:rFonts w:cs="Times New Roman"/>
          <w:i/>
          <w:sz w:val="22"/>
          <w:szCs w:val="22"/>
          <w:lang w:val="es-PR"/>
        </w:rPr>
        <w:t>Justicia Ambiental, Desigualdad y Pobreza en Puerto Rico</w:t>
      </w:r>
      <w:r w:rsidRPr="00201F81">
        <w:rPr>
          <w:rFonts w:cs="Times New Roman"/>
          <w:sz w:val="22"/>
          <w:szCs w:val="22"/>
          <w:lang w:val="es-PR"/>
        </w:rPr>
        <w:t>, ICADH (2017), a la pág. 39 [https://noticiasmicrojuris.files.wordpress.com/2018/05/final-informe-cidh-audiencia-pr-dic-2017.pdf].</w:t>
      </w:r>
    </w:p>
  </w:footnote>
  <w:footnote w:id="43">
    <w:p w14:paraId="21261B2B" w14:textId="77777777" w:rsidR="005369FB" w:rsidRPr="00201F81" w:rsidRDefault="005369FB" w:rsidP="00F63942">
      <w:pPr>
        <w:pStyle w:val="FootnoteText"/>
        <w:rPr>
          <w:rFonts w:cs="Times New Roman"/>
          <w:sz w:val="22"/>
          <w:szCs w:val="22"/>
          <w:lang w:val="es-PR"/>
        </w:rPr>
      </w:pPr>
      <w:r w:rsidRPr="00201F81">
        <w:rPr>
          <w:rStyle w:val="FootnoteReference"/>
          <w:rFonts w:cs="Times New Roman"/>
          <w:sz w:val="22"/>
          <w:szCs w:val="22"/>
        </w:rPr>
        <w:footnoteRef/>
      </w:r>
      <w:r w:rsidRPr="00F63942">
        <w:rPr>
          <w:rFonts w:cs="Times New Roman"/>
          <w:sz w:val="22"/>
          <w:szCs w:val="22"/>
          <w:lang w:val="es-PR"/>
        </w:rPr>
        <w:t xml:space="preserve"> Los “superfondos” es una categoría designada por reglamentación federal, para identificar y restaurar zonas que, por su alto nivel de contaminación, representan un peligro para la salud pública. Véase: Comprehensive Environmental Response, Compensation, and Liability Act (CERCLA). En su sección 121, establece que no se requiere autorización federal o estatal para la actividad de restauración.</w:t>
      </w:r>
    </w:p>
  </w:footnote>
  <w:footnote w:id="44">
    <w:p w14:paraId="4DECF811" w14:textId="77777777" w:rsidR="005369FB" w:rsidRPr="00201F81" w:rsidRDefault="005369FB" w:rsidP="00F63942">
      <w:pPr>
        <w:pStyle w:val="FootnoteText"/>
        <w:rPr>
          <w:rFonts w:cs="Times New Roman"/>
          <w:sz w:val="22"/>
          <w:szCs w:val="22"/>
          <w:lang w:val="es-PR"/>
        </w:rPr>
      </w:pPr>
      <w:r w:rsidRPr="00201F81">
        <w:rPr>
          <w:rStyle w:val="FootnoteReference"/>
          <w:rFonts w:cs="Times New Roman"/>
          <w:sz w:val="22"/>
          <w:szCs w:val="22"/>
        </w:rPr>
        <w:footnoteRef/>
      </w:r>
      <w:r w:rsidRPr="00F63942">
        <w:rPr>
          <w:rFonts w:cs="Times New Roman"/>
          <w:sz w:val="22"/>
          <w:szCs w:val="22"/>
          <w:lang w:val="es-PR"/>
        </w:rPr>
        <w:t xml:space="preserve"> </w:t>
      </w:r>
      <w:r w:rsidRPr="00201F81">
        <w:rPr>
          <w:rFonts w:cs="Times New Roman"/>
          <w:sz w:val="22"/>
          <w:szCs w:val="22"/>
          <w:lang w:val="es-PR"/>
        </w:rPr>
        <w:t>Id, a la pág. 40.</w:t>
      </w:r>
    </w:p>
  </w:footnote>
  <w:footnote w:id="45">
    <w:p w14:paraId="16F58DE7" w14:textId="77777777" w:rsidR="005369FB" w:rsidRPr="00201F81" w:rsidRDefault="005369FB" w:rsidP="00F63942">
      <w:pPr>
        <w:pStyle w:val="FootnoteText"/>
        <w:rPr>
          <w:rFonts w:cs="Times New Roman"/>
          <w:sz w:val="22"/>
          <w:szCs w:val="22"/>
          <w:lang w:val="es-PR"/>
        </w:rPr>
      </w:pPr>
      <w:r w:rsidRPr="00201F81">
        <w:rPr>
          <w:rStyle w:val="FootnoteReference"/>
          <w:rFonts w:cs="Times New Roman"/>
          <w:sz w:val="22"/>
          <w:szCs w:val="22"/>
        </w:rPr>
        <w:footnoteRef/>
      </w:r>
      <w:r w:rsidRPr="00F63942">
        <w:rPr>
          <w:rFonts w:cs="Times New Roman"/>
          <w:sz w:val="22"/>
          <w:szCs w:val="22"/>
          <w:lang w:val="es-PR"/>
        </w:rPr>
        <w:t xml:space="preserve"> </w:t>
      </w:r>
      <w:r w:rsidRPr="00201F81">
        <w:rPr>
          <w:rFonts w:cs="Times New Roman"/>
          <w:sz w:val="22"/>
          <w:szCs w:val="22"/>
          <w:lang w:val="es-PR"/>
        </w:rPr>
        <w:t xml:space="preserve">Id. </w:t>
      </w:r>
    </w:p>
  </w:footnote>
  <w:footnote w:id="46">
    <w:p w14:paraId="655195B5" w14:textId="77777777" w:rsidR="005369FB" w:rsidRPr="00201F81" w:rsidRDefault="005369FB" w:rsidP="00F63942">
      <w:pPr>
        <w:pStyle w:val="FootnoteText"/>
        <w:rPr>
          <w:rFonts w:cs="Times New Roman"/>
          <w:sz w:val="22"/>
          <w:szCs w:val="22"/>
          <w:lang w:val="es-PR"/>
        </w:rPr>
      </w:pPr>
      <w:r w:rsidRPr="00201F81">
        <w:rPr>
          <w:rStyle w:val="FootnoteReference"/>
          <w:rFonts w:cs="Times New Roman"/>
          <w:sz w:val="22"/>
          <w:szCs w:val="22"/>
        </w:rPr>
        <w:footnoteRef/>
      </w:r>
      <w:r w:rsidRPr="00F63942">
        <w:rPr>
          <w:rFonts w:cs="Times New Roman"/>
          <w:sz w:val="22"/>
          <w:szCs w:val="22"/>
          <w:lang w:val="es-PR"/>
        </w:rPr>
        <w:t xml:space="preserve"> </w:t>
      </w:r>
      <w:r w:rsidRPr="00201F81">
        <w:rPr>
          <w:rFonts w:cs="Times New Roman"/>
          <w:sz w:val="22"/>
          <w:szCs w:val="22"/>
          <w:lang w:val="es-PR"/>
        </w:rPr>
        <w:t xml:space="preserve">La limpieza de Vieques tardará unos 20 años más, por Eliván Martínez Mercado, Centro de Periodismo Investigativo (22 de febrero de 2017), disponible en: </w:t>
      </w:r>
      <w:hyperlink r:id="rId21" w:history="1">
        <w:r w:rsidRPr="00C23A5A">
          <w:rPr>
            <w:rStyle w:val="Hyperlink"/>
            <w:rFonts w:cs="Times New Roman"/>
            <w:sz w:val="22"/>
            <w:szCs w:val="22"/>
            <w:lang w:val="es-PR"/>
          </w:rPr>
          <w:t>http://periodismoinvestigativo.com/2017/02/la-limpieza-de-vieques-tardara-unos-20-anos-mas/</w:t>
        </w:r>
      </w:hyperlink>
      <w:r>
        <w:rPr>
          <w:rFonts w:cs="Times New Roman"/>
          <w:sz w:val="22"/>
          <w:szCs w:val="22"/>
          <w:lang w:val="es-PR"/>
        </w:rPr>
        <w:t xml:space="preserve"> </w:t>
      </w:r>
    </w:p>
  </w:footnote>
  <w:footnote w:id="47">
    <w:p w14:paraId="05E922D7" w14:textId="77777777" w:rsidR="005369FB" w:rsidRPr="00201F81" w:rsidRDefault="005369FB" w:rsidP="00F63942">
      <w:pPr>
        <w:pStyle w:val="FootnoteText"/>
        <w:rPr>
          <w:rFonts w:cs="Times New Roman"/>
          <w:sz w:val="22"/>
          <w:szCs w:val="22"/>
          <w:lang w:val="es-PR"/>
        </w:rPr>
      </w:pPr>
      <w:r w:rsidRPr="00201F81">
        <w:rPr>
          <w:rStyle w:val="FootnoteReference"/>
          <w:rFonts w:cs="Times New Roman"/>
          <w:sz w:val="22"/>
          <w:szCs w:val="22"/>
        </w:rPr>
        <w:footnoteRef/>
      </w:r>
      <w:r w:rsidRPr="00F63942">
        <w:rPr>
          <w:rFonts w:cs="Times New Roman"/>
          <w:sz w:val="22"/>
          <w:szCs w:val="22"/>
          <w:lang w:val="es-PR"/>
        </w:rPr>
        <w:t xml:space="preserve"> </w:t>
      </w:r>
      <w:r w:rsidRPr="00201F81">
        <w:rPr>
          <w:rFonts w:cs="Times New Roman"/>
          <w:sz w:val="22"/>
          <w:szCs w:val="22"/>
          <w:lang w:val="es-PR"/>
        </w:rPr>
        <w:t>Id. a la pág. 48.</w:t>
      </w:r>
    </w:p>
  </w:footnote>
  <w:footnote w:id="48">
    <w:p w14:paraId="5BEA3CAA" w14:textId="77777777" w:rsidR="005369FB" w:rsidRPr="00201F81" w:rsidRDefault="005369FB" w:rsidP="00F63942">
      <w:pPr>
        <w:pStyle w:val="FootnoteText"/>
        <w:rPr>
          <w:rFonts w:cs="Times New Roman"/>
          <w:sz w:val="22"/>
          <w:szCs w:val="22"/>
          <w:lang w:val="es-PR"/>
        </w:rPr>
      </w:pPr>
      <w:r w:rsidRPr="00201F81">
        <w:rPr>
          <w:rStyle w:val="FootnoteReference"/>
          <w:rFonts w:cs="Times New Roman"/>
          <w:sz w:val="22"/>
          <w:szCs w:val="22"/>
        </w:rPr>
        <w:footnoteRef/>
      </w:r>
      <w:r w:rsidRPr="00F63942">
        <w:rPr>
          <w:rFonts w:cs="Times New Roman"/>
          <w:sz w:val="22"/>
          <w:szCs w:val="22"/>
          <w:lang w:val="es-PR"/>
        </w:rPr>
        <w:t xml:space="preserve"> </w:t>
      </w:r>
      <w:r w:rsidRPr="00201F81">
        <w:rPr>
          <w:rFonts w:cs="Times New Roman"/>
          <w:sz w:val="22"/>
          <w:szCs w:val="22"/>
          <w:lang w:val="es-PR"/>
        </w:rPr>
        <w:t xml:space="preserve">Omar Alfonso, Los tóxicos de las cenizas de AES están contaminando aguas subterráneas, CPI, 14 de marzo de 2018, disponible en: </w:t>
      </w:r>
      <w:hyperlink r:id="rId22" w:history="1">
        <w:r w:rsidRPr="00C23A5A">
          <w:rPr>
            <w:rStyle w:val="Hyperlink"/>
            <w:rFonts w:cs="Times New Roman"/>
            <w:sz w:val="22"/>
            <w:szCs w:val="22"/>
            <w:lang w:val="es-PR"/>
          </w:rPr>
          <w:t>http://periodismoinvestigativo.com/2018/03/los-toxicos-de-las-cenizas-de-aes-estan-contaminando-aguas-subterraneas/</w:t>
        </w:r>
      </w:hyperlink>
      <w:r>
        <w:rPr>
          <w:rFonts w:cs="Times New Roman"/>
          <w:sz w:val="22"/>
          <w:szCs w:val="22"/>
          <w:lang w:val="es-PR"/>
        </w:rPr>
        <w:t xml:space="preserve"> </w:t>
      </w:r>
    </w:p>
  </w:footnote>
  <w:footnote w:id="49">
    <w:p w14:paraId="44262631" w14:textId="77777777" w:rsidR="005369FB" w:rsidRPr="00201F81" w:rsidRDefault="005369FB" w:rsidP="00F63942">
      <w:pPr>
        <w:pStyle w:val="FootnoteText"/>
        <w:rPr>
          <w:rFonts w:cs="Times New Roman"/>
          <w:sz w:val="22"/>
          <w:szCs w:val="22"/>
          <w:lang w:val="es-PR"/>
        </w:rPr>
      </w:pPr>
      <w:r w:rsidRPr="00201F81">
        <w:rPr>
          <w:rStyle w:val="FootnoteReference"/>
          <w:rFonts w:cs="Times New Roman"/>
          <w:sz w:val="22"/>
          <w:szCs w:val="22"/>
        </w:rPr>
        <w:footnoteRef/>
      </w:r>
      <w:r w:rsidRPr="00F63942">
        <w:rPr>
          <w:rFonts w:cs="Times New Roman"/>
          <w:sz w:val="22"/>
          <w:szCs w:val="22"/>
          <w:lang w:val="es-PR"/>
        </w:rPr>
        <w:t xml:space="preserve"> </w:t>
      </w:r>
      <w:r w:rsidRPr="00201F81">
        <w:rPr>
          <w:rFonts w:cs="Times New Roman"/>
          <w:i/>
          <w:sz w:val="22"/>
          <w:szCs w:val="22"/>
          <w:lang w:val="es-PR"/>
        </w:rPr>
        <w:t>Justicia Ambiental, Desigualdad y Pobreza en Puerto Rico</w:t>
      </w:r>
      <w:r w:rsidRPr="00201F81">
        <w:rPr>
          <w:rFonts w:cs="Times New Roman"/>
          <w:sz w:val="22"/>
          <w:szCs w:val="22"/>
          <w:lang w:val="es-PR"/>
        </w:rPr>
        <w:t>, ICADH (2017), a la pág. 48 [https://noticiasmicrojuris.files.wordpress.com/2018/05/final-informe-cidh-audiencia-pr-dic-2017.pdf].</w:t>
      </w:r>
      <w:r>
        <w:rPr>
          <w:rFonts w:cs="Times New Roman"/>
          <w:sz w:val="22"/>
          <w:szCs w:val="22"/>
          <w:lang w:val="es-PR"/>
        </w:rPr>
        <w:t xml:space="preserve"> </w:t>
      </w:r>
    </w:p>
  </w:footnote>
  <w:footnote w:id="50">
    <w:p w14:paraId="0693F6E1" w14:textId="77777777" w:rsidR="005369FB" w:rsidRPr="00201F81" w:rsidRDefault="005369FB" w:rsidP="00F63942">
      <w:pPr>
        <w:pStyle w:val="FootnoteText"/>
        <w:rPr>
          <w:rFonts w:cs="Times New Roman"/>
          <w:sz w:val="22"/>
          <w:szCs w:val="22"/>
          <w:lang w:val="es-PR"/>
        </w:rPr>
      </w:pPr>
      <w:r w:rsidRPr="00201F81">
        <w:rPr>
          <w:rStyle w:val="FootnoteReference"/>
          <w:rFonts w:cs="Times New Roman"/>
          <w:sz w:val="22"/>
          <w:szCs w:val="22"/>
        </w:rPr>
        <w:footnoteRef/>
      </w:r>
      <w:r w:rsidRPr="00F63942">
        <w:rPr>
          <w:rFonts w:cs="Times New Roman"/>
          <w:sz w:val="22"/>
          <w:szCs w:val="22"/>
          <w:lang w:val="es-PR"/>
        </w:rPr>
        <w:t xml:space="preserve"> </w:t>
      </w:r>
      <w:r w:rsidRPr="00201F81">
        <w:rPr>
          <w:rFonts w:cs="Times New Roman"/>
          <w:sz w:val="22"/>
          <w:szCs w:val="22"/>
          <w:lang w:val="es-PR"/>
        </w:rPr>
        <w:t xml:space="preserve">Disponible en: </w:t>
      </w:r>
      <w:hyperlink r:id="rId23" w:history="1">
        <w:r w:rsidRPr="00C23A5A">
          <w:rPr>
            <w:rStyle w:val="Hyperlink"/>
            <w:rFonts w:cs="Times New Roman"/>
            <w:sz w:val="22"/>
            <w:szCs w:val="22"/>
            <w:lang w:val="es-PR"/>
          </w:rPr>
          <w:t>https://tbinternet.ohchr.org/Treaties/CCPR/Shared%20Documents/1_Global/CCPR_C_GC_36_8785_E.pdf</w:t>
        </w:r>
      </w:hyperlink>
      <w:r>
        <w:rPr>
          <w:rFonts w:cs="Times New Roman"/>
          <w:sz w:val="22"/>
          <w:szCs w:val="22"/>
          <w:lang w:val="es-PR"/>
        </w:rPr>
        <w:t xml:space="preserve"> </w:t>
      </w:r>
    </w:p>
  </w:footnote>
  <w:footnote w:id="51">
    <w:p w14:paraId="7572B761" w14:textId="77777777" w:rsidR="005369FB" w:rsidRPr="00201F81" w:rsidRDefault="005369FB" w:rsidP="00F63942">
      <w:pPr>
        <w:pStyle w:val="FootnoteText"/>
        <w:rPr>
          <w:rFonts w:cs="Times New Roman"/>
          <w:sz w:val="22"/>
          <w:szCs w:val="22"/>
          <w:lang w:val="es-PR"/>
        </w:rPr>
      </w:pPr>
      <w:r w:rsidRPr="00201F81">
        <w:rPr>
          <w:rStyle w:val="FootnoteReference"/>
          <w:rFonts w:cs="Times New Roman"/>
          <w:sz w:val="22"/>
          <w:szCs w:val="22"/>
        </w:rPr>
        <w:footnoteRef/>
      </w:r>
      <w:r w:rsidRPr="00F63942">
        <w:rPr>
          <w:rFonts w:cs="Times New Roman"/>
          <w:sz w:val="22"/>
          <w:szCs w:val="22"/>
          <w:lang w:val="es-PR"/>
        </w:rPr>
        <w:t xml:space="preserve"> Disponible en: </w:t>
      </w:r>
      <w:hyperlink r:id="rId24" w:history="1">
        <w:r w:rsidRPr="00C23A5A">
          <w:rPr>
            <w:rStyle w:val="Hyperlink"/>
            <w:rFonts w:cs="Times New Roman"/>
            <w:sz w:val="22"/>
            <w:szCs w:val="22"/>
            <w:lang w:val="es-PR"/>
          </w:rPr>
          <w:t>https://undocs.org/en/A/HRC/38/33/ADD.1</w:t>
        </w:r>
      </w:hyperlink>
      <w:r>
        <w:rPr>
          <w:rFonts w:cs="Times New Roman"/>
          <w:sz w:val="22"/>
          <w:szCs w:val="22"/>
          <w:lang w:val="es-P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87D92"/>
    <w:multiLevelType w:val="hybridMultilevel"/>
    <w:tmpl w:val="2DA815C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1F263CA1"/>
    <w:multiLevelType w:val="hybridMultilevel"/>
    <w:tmpl w:val="4030F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2D4E11"/>
    <w:multiLevelType w:val="hybridMultilevel"/>
    <w:tmpl w:val="D05C15D8"/>
    <w:lvl w:ilvl="0" w:tplc="590C7652">
      <w:start w:val="1"/>
      <w:numFmt w:val="decimal"/>
      <w:lvlText w:val="%1."/>
      <w:lvlJc w:val="left"/>
      <w:pPr>
        <w:ind w:left="360" w:hanging="360"/>
      </w:pPr>
      <w:rPr>
        <w:rFonts w:hint="default"/>
        <w:b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A1A7204"/>
    <w:multiLevelType w:val="hybridMultilevel"/>
    <w:tmpl w:val="493CF2E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5BA401A"/>
    <w:multiLevelType w:val="hybridMultilevel"/>
    <w:tmpl w:val="B7FCB3E6"/>
    <w:lvl w:ilvl="0" w:tplc="F7C4B7E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22B0D87"/>
    <w:multiLevelType w:val="hybridMultilevel"/>
    <w:tmpl w:val="7A024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7577C"/>
    <w:multiLevelType w:val="hybridMultilevel"/>
    <w:tmpl w:val="2EA2806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B7"/>
    <w:rsid w:val="00006634"/>
    <w:rsid w:val="00006C18"/>
    <w:rsid w:val="00064C04"/>
    <w:rsid w:val="000702DB"/>
    <w:rsid w:val="00087CCE"/>
    <w:rsid w:val="000956FD"/>
    <w:rsid w:val="000D0321"/>
    <w:rsid w:val="000F30C2"/>
    <w:rsid w:val="000F7952"/>
    <w:rsid w:val="00103E50"/>
    <w:rsid w:val="001131C0"/>
    <w:rsid w:val="0011329B"/>
    <w:rsid w:val="00132E1C"/>
    <w:rsid w:val="00165C0E"/>
    <w:rsid w:val="001660AE"/>
    <w:rsid w:val="0016701E"/>
    <w:rsid w:val="001D7AC2"/>
    <w:rsid w:val="001E08C8"/>
    <w:rsid w:val="001E0BCC"/>
    <w:rsid w:val="001E2E1D"/>
    <w:rsid w:val="001F2299"/>
    <w:rsid w:val="001F7CEB"/>
    <w:rsid w:val="0021053A"/>
    <w:rsid w:val="00241061"/>
    <w:rsid w:val="00254E07"/>
    <w:rsid w:val="002608B1"/>
    <w:rsid w:val="002709B7"/>
    <w:rsid w:val="002732B6"/>
    <w:rsid w:val="00283E48"/>
    <w:rsid w:val="00284939"/>
    <w:rsid w:val="002854B0"/>
    <w:rsid w:val="00295BEE"/>
    <w:rsid w:val="002A2997"/>
    <w:rsid w:val="002A3E63"/>
    <w:rsid w:val="002B160C"/>
    <w:rsid w:val="002B5B97"/>
    <w:rsid w:val="002F6947"/>
    <w:rsid w:val="002F6A6D"/>
    <w:rsid w:val="003019D8"/>
    <w:rsid w:val="00321BE8"/>
    <w:rsid w:val="0032630D"/>
    <w:rsid w:val="00330936"/>
    <w:rsid w:val="00333EFA"/>
    <w:rsid w:val="0035294C"/>
    <w:rsid w:val="003532AD"/>
    <w:rsid w:val="00374155"/>
    <w:rsid w:val="00393C50"/>
    <w:rsid w:val="0039748E"/>
    <w:rsid w:val="003A4272"/>
    <w:rsid w:val="003A59A4"/>
    <w:rsid w:val="003C1F39"/>
    <w:rsid w:val="00404539"/>
    <w:rsid w:val="0040740F"/>
    <w:rsid w:val="00415DD7"/>
    <w:rsid w:val="00441E61"/>
    <w:rsid w:val="00466C81"/>
    <w:rsid w:val="00472776"/>
    <w:rsid w:val="004A3DF4"/>
    <w:rsid w:val="004B5323"/>
    <w:rsid w:val="004E634D"/>
    <w:rsid w:val="004E7A9E"/>
    <w:rsid w:val="004F6ED7"/>
    <w:rsid w:val="005037D6"/>
    <w:rsid w:val="005111D8"/>
    <w:rsid w:val="005340BD"/>
    <w:rsid w:val="005369FB"/>
    <w:rsid w:val="00545AE5"/>
    <w:rsid w:val="0056234C"/>
    <w:rsid w:val="005708A6"/>
    <w:rsid w:val="0058750F"/>
    <w:rsid w:val="00592A8B"/>
    <w:rsid w:val="0059305E"/>
    <w:rsid w:val="005C32D3"/>
    <w:rsid w:val="005D0E42"/>
    <w:rsid w:val="005E7902"/>
    <w:rsid w:val="005F5FB1"/>
    <w:rsid w:val="00607BA1"/>
    <w:rsid w:val="00633694"/>
    <w:rsid w:val="00645864"/>
    <w:rsid w:val="00657E0F"/>
    <w:rsid w:val="00671ACD"/>
    <w:rsid w:val="00675A5E"/>
    <w:rsid w:val="00682FB7"/>
    <w:rsid w:val="0069495B"/>
    <w:rsid w:val="006A5E7D"/>
    <w:rsid w:val="006B04B6"/>
    <w:rsid w:val="006B56D0"/>
    <w:rsid w:val="006D677F"/>
    <w:rsid w:val="006E7AC8"/>
    <w:rsid w:val="006F3F61"/>
    <w:rsid w:val="0071665F"/>
    <w:rsid w:val="00762110"/>
    <w:rsid w:val="00791EB8"/>
    <w:rsid w:val="007920F7"/>
    <w:rsid w:val="007B5E5F"/>
    <w:rsid w:val="007C6374"/>
    <w:rsid w:val="007D2313"/>
    <w:rsid w:val="007D641D"/>
    <w:rsid w:val="007D7789"/>
    <w:rsid w:val="007F062A"/>
    <w:rsid w:val="00806BA3"/>
    <w:rsid w:val="008125EA"/>
    <w:rsid w:val="00836DC7"/>
    <w:rsid w:val="008469A1"/>
    <w:rsid w:val="0085393E"/>
    <w:rsid w:val="0086435E"/>
    <w:rsid w:val="008755EC"/>
    <w:rsid w:val="0088550F"/>
    <w:rsid w:val="0089369C"/>
    <w:rsid w:val="00897EC0"/>
    <w:rsid w:val="008B15BC"/>
    <w:rsid w:val="008C6309"/>
    <w:rsid w:val="008F037F"/>
    <w:rsid w:val="009167E6"/>
    <w:rsid w:val="00924C9A"/>
    <w:rsid w:val="009416E4"/>
    <w:rsid w:val="00960EAD"/>
    <w:rsid w:val="00964BD7"/>
    <w:rsid w:val="00976A5C"/>
    <w:rsid w:val="009802EF"/>
    <w:rsid w:val="009A3FFD"/>
    <w:rsid w:val="009C1FD6"/>
    <w:rsid w:val="009D43DE"/>
    <w:rsid w:val="009D4E72"/>
    <w:rsid w:val="00A01348"/>
    <w:rsid w:val="00A050C6"/>
    <w:rsid w:val="00A05354"/>
    <w:rsid w:val="00A06762"/>
    <w:rsid w:val="00A17437"/>
    <w:rsid w:val="00A23F9F"/>
    <w:rsid w:val="00A6098F"/>
    <w:rsid w:val="00A63DFD"/>
    <w:rsid w:val="00A90121"/>
    <w:rsid w:val="00A91DCF"/>
    <w:rsid w:val="00A9328E"/>
    <w:rsid w:val="00AA6DBD"/>
    <w:rsid w:val="00AD6BDC"/>
    <w:rsid w:val="00AE56A0"/>
    <w:rsid w:val="00AF2A28"/>
    <w:rsid w:val="00B05FCB"/>
    <w:rsid w:val="00B067CB"/>
    <w:rsid w:val="00B23AF0"/>
    <w:rsid w:val="00B30228"/>
    <w:rsid w:val="00B60835"/>
    <w:rsid w:val="00B62013"/>
    <w:rsid w:val="00B63013"/>
    <w:rsid w:val="00B877E0"/>
    <w:rsid w:val="00BB7FA6"/>
    <w:rsid w:val="00BD175E"/>
    <w:rsid w:val="00BD2663"/>
    <w:rsid w:val="00BD3C51"/>
    <w:rsid w:val="00C0424E"/>
    <w:rsid w:val="00C23312"/>
    <w:rsid w:val="00C271F3"/>
    <w:rsid w:val="00C32C63"/>
    <w:rsid w:val="00C50210"/>
    <w:rsid w:val="00C54825"/>
    <w:rsid w:val="00C6670B"/>
    <w:rsid w:val="00C709B0"/>
    <w:rsid w:val="00CA45C9"/>
    <w:rsid w:val="00CB1738"/>
    <w:rsid w:val="00CB45B2"/>
    <w:rsid w:val="00CD0568"/>
    <w:rsid w:val="00D10EB4"/>
    <w:rsid w:val="00D12FDD"/>
    <w:rsid w:val="00D2595F"/>
    <w:rsid w:val="00D3688C"/>
    <w:rsid w:val="00D42D3B"/>
    <w:rsid w:val="00D555D9"/>
    <w:rsid w:val="00D568E7"/>
    <w:rsid w:val="00D7009F"/>
    <w:rsid w:val="00D7214D"/>
    <w:rsid w:val="00D87CEB"/>
    <w:rsid w:val="00D93AEB"/>
    <w:rsid w:val="00DA23FD"/>
    <w:rsid w:val="00DA2F1C"/>
    <w:rsid w:val="00DB61D9"/>
    <w:rsid w:val="00DD1EB7"/>
    <w:rsid w:val="00DE1379"/>
    <w:rsid w:val="00DE4607"/>
    <w:rsid w:val="00E24CED"/>
    <w:rsid w:val="00E41D5F"/>
    <w:rsid w:val="00E4548B"/>
    <w:rsid w:val="00E62765"/>
    <w:rsid w:val="00E855D2"/>
    <w:rsid w:val="00EB612E"/>
    <w:rsid w:val="00EC2F17"/>
    <w:rsid w:val="00EC4B06"/>
    <w:rsid w:val="00EF1245"/>
    <w:rsid w:val="00EF685E"/>
    <w:rsid w:val="00F10A59"/>
    <w:rsid w:val="00F1700C"/>
    <w:rsid w:val="00F2266B"/>
    <w:rsid w:val="00F32611"/>
    <w:rsid w:val="00F414A4"/>
    <w:rsid w:val="00F56C6E"/>
    <w:rsid w:val="00F577AC"/>
    <w:rsid w:val="00F63942"/>
    <w:rsid w:val="00F65668"/>
    <w:rsid w:val="00F71EEA"/>
    <w:rsid w:val="00F84DA5"/>
    <w:rsid w:val="00F94C13"/>
    <w:rsid w:val="00FB1D21"/>
    <w:rsid w:val="00FB57AF"/>
    <w:rsid w:val="00FB615B"/>
    <w:rsid w:val="00FC05BE"/>
    <w:rsid w:val="00FC2787"/>
    <w:rsid w:val="00FD2AC9"/>
    <w:rsid w:val="00FE0A58"/>
    <w:rsid w:val="00FF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E3E3A"/>
  <w15:docId w15:val="{D51D7EC0-9E45-412A-B6E1-EED8D059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FB7"/>
    <w:pPr>
      <w:ind w:left="720"/>
      <w:contextualSpacing/>
    </w:pPr>
  </w:style>
  <w:style w:type="character" w:styleId="Hyperlink">
    <w:name w:val="Hyperlink"/>
    <w:basedOn w:val="DefaultParagraphFont"/>
    <w:uiPriority w:val="99"/>
    <w:unhideWhenUsed/>
    <w:rsid w:val="00254E07"/>
    <w:rPr>
      <w:color w:val="0563C1" w:themeColor="hyperlink"/>
      <w:u w:val="single"/>
    </w:rPr>
  </w:style>
  <w:style w:type="character" w:customStyle="1" w:styleId="UnresolvedMention1">
    <w:name w:val="Unresolved Mention1"/>
    <w:basedOn w:val="DefaultParagraphFont"/>
    <w:uiPriority w:val="99"/>
    <w:semiHidden/>
    <w:unhideWhenUsed/>
    <w:rsid w:val="00254E07"/>
    <w:rPr>
      <w:color w:val="808080"/>
      <w:shd w:val="clear" w:color="auto" w:fill="E6E6E6"/>
    </w:rPr>
  </w:style>
  <w:style w:type="paragraph" w:styleId="FootnoteText">
    <w:name w:val="footnote text"/>
    <w:basedOn w:val="Normal"/>
    <w:link w:val="FootnoteTextChar"/>
    <w:uiPriority w:val="99"/>
    <w:unhideWhenUsed/>
    <w:rsid w:val="0086435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86435E"/>
    <w:rPr>
      <w:rFonts w:ascii="Times New Roman" w:hAnsi="Times New Roman"/>
      <w:sz w:val="20"/>
      <w:szCs w:val="20"/>
    </w:rPr>
  </w:style>
  <w:style w:type="character" w:styleId="FootnoteReference">
    <w:name w:val="footnote reference"/>
    <w:basedOn w:val="DefaultParagraphFont"/>
    <w:uiPriority w:val="99"/>
    <w:unhideWhenUsed/>
    <w:rsid w:val="0086435E"/>
    <w:rPr>
      <w:vertAlign w:val="superscript"/>
    </w:rPr>
  </w:style>
  <w:style w:type="character" w:styleId="FollowedHyperlink">
    <w:name w:val="FollowedHyperlink"/>
    <w:basedOn w:val="DefaultParagraphFont"/>
    <w:uiPriority w:val="99"/>
    <w:semiHidden/>
    <w:unhideWhenUsed/>
    <w:rsid w:val="0058750F"/>
    <w:rPr>
      <w:color w:val="954F72" w:themeColor="followedHyperlink"/>
      <w:u w:val="single"/>
    </w:rPr>
  </w:style>
  <w:style w:type="paragraph" w:styleId="BalloonText">
    <w:name w:val="Balloon Text"/>
    <w:basedOn w:val="Normal"/>
    <w:link w:val="BalloonTextChar"/>
    <w:uiPriority w:val="99"/>
    <w:semiHidden/>
    <w:unhideWhenUsed/>
    <w:rsid w:val="00FB1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D21"/>
    <w:rPr>
      <w:rFonts w:ascii="Segoe UI" w:hAnsi="Segoe UI" w:cs="Segoe UI"/>
      <w:sz w:val="18"/>
      <w:szCs w:val="18"/>
    </w:rPr>
  </w:style>
  <w:style w:type="paragraph" w:styleId="Header">
    <w:name w:val="header"/>
    <w:basedOn w:val="Normal"/>
    <w:link w:val="HeaderChar"/>
    <w:uiPriority w:val="99"/>
    <w:unhideWhenUsed/>
    <w:rsid w:val="00C70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9B0"/>
  </w:style>
  <w:style w:type="paragraph" w:styleId="Footer">
    <w:name w:val="footer"/>
    <w:basedOn w:val="Normal"/>
    <w:link w:val="FooterChar"/>
    <w:uiPriority w:val="99"/>
    <w:unhideWhenUsed/>
    <w:rsid w:val="00C70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9B0"/>
  </w:style>
  <w:style w:type="character" w:styleId="CommentReference">
    <w:name w:val="annotation reference"/>
    <w:basedOn w:val="DefaultParagraphFont"/>
    <w:uiPriority w:val="99"/>
    <w:semiHidden/>
    <w:unhideWhenUsed/>
    <w:rsid w:val="00F71EEA"/>
    <w:rPr>
      <w:sz w:val="16"/>
      <w:szCs w:val="16"/>
    </w:rPr>
  </w:style>
  <w:style w:type="paragraph" w:styleId="CommentText">
    <w:name w:val="annotation text"/>
    <w:basedOn w:val="Normal"/>
    <w:link w:val="CommentTextChar"/>
    <w:uiPriority w:val="99"/>
    <w:semiHidden/>
    <w:unhideWhenUsed/>
    <w:rsid w:val="00F71EEA"/>
    <w:pPr>
      <w:spacing w:line="240" w:lineRule="auto"/>
    </w:pPr>
    <w:rPr>
      <w:sz w:val="20"/>
      <w:szCs w:val="20"/>
    </w:rPr>
  </w:style>
  <w:style w:type="character" w:customStyle="1" w:styleId="CommentTextChar">
    <w:name w:val="Comment Text Char"/>
    <w:basedOn w:val="DefaultParagraphFont"/>
    <w:link w:val="CommentText"/>
    <w:uiPriority w:val="99"/>
    <w:semiHidden/>
    <w:rsid w:val="00F71EEA"/>
    <w:rPr>
      <w:sz w:val="20"/>
      <w:szCs w:val="20"/>
    </w:rPr>
  </w:style>
  <w:style w:type="character" w:styleId="UnresolvedMention">
    <w:name w:val="Unresolved Mention"/>
    <w:basedOn w:val="DefaultParagraphFont"/>
    <w:uiPriority w:val="99"/>
    <w:semiHidden/>
    <w:unhideWhenUsed/>
    <w:rsid w:val="002849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melocampos@yahoo.com"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capdefnet.org/FDPRC/pubmenu.aspx?menu_id=803&amp;folder_id=5633" TargetMode="External"/><Relationship Id="rId13" Type="http://schemas.openxmlformats.org/officeDocument/2006/relationships/hyperlink" Target="https://www.washingtonpost.com/news/post-nation/wp/2017/09/20/hurricane-maria-takes-aimat-puerto-rico-with-force-not-seen-in-modern-history/?noredirect=on&amp;utm_term=.fcc62cc6a1b6" TargetMode="External"/><Relationship Id="rId18" Type="http://schemas.openxmlformats.org/officeDocument/2006/relationships/hyperlink" Target="https://twitter.com/fema/status/912340037882216449" TargetMode="External"/><Relationship Id="rId3" Type="http://schemas.openxmlformats.org/officeDocument/2006/relationships/hyperlink" Target="http://uscode.house.gov/view.xhtml?path=/prelim@title48/chapter20&amp;edition=prelim" TargetMode="External"/><Relationship Id="rId21" Type="http://schemas.openxmlformats.org/officeDocument/2006/relationships/hyperlink" Target="http://periodismoinvestigativo.com/2017/02/la-limpieza-de-vieques-tardara-unos-20-anos-mas/" TargetMode="External"/><Relationship Id="rId7" Type="http://schemas.openxmlformats.org/officeDocument/2006/relationships/hyperlink" Target="https://www.ohchr.org/sp/NewsEvents/Pages/DisplayNews.aspx?NewsID=22533&amp;LangID=S" TargetMode="External"/><Relationship Id="rId12" Type="http://schemas.openxmlformats.org/officeDocument/2006/relationships/hyperlink" Target="https://www.primerahora.com/noticias/policia-tribunales/nota/acluacusapoliciadeviolaracuerdosdelareformafederalel1demayo-1280835/" TargetMode="External"/><Relationship Id="rId17" Type="http://schemas.openxmlformats.org/officeDocument/2006/relationships/hyperlink" Target="https://www.fema.gov/news-release/2009/04/07/fema-temporary-housing-program-ending-families-hurricanes-katrina-and-rita" TargetMode="External"/><Relationship Id="rId2" Type="http://schemas.openxmlformats.org/officeDocument/2006/relationships/hyperlink" Target="https://undocs.org/es/A/RES/748(VIII)" TargetMode="External"/><Relationship Id="rId16" Type="http://schemas.openxmlformats.org/officeDocument/2006/relationships/hyperlink" Target="https://www.washingtonpost.com/news/post-politics/wp/2017/10/05/fema-removes-statisticsabout-drinking-water-access-and-electricity-in-puerto-rico-fromwebsite/?utm_term=.21f4bf62865b" TargetMode="External"/><Relationship Id="rId20" Type="http://schemas.openxmlformats.org/officeDocument/2006/relationships/hyperlink" Target="http://caribbeanlcc.org/wp-content/uploads/2016/10/EPA_Factsheet_Aug2016.pdf" TargetMode="External"/><Relationship Id="rId1" Type="http://schemas.openxmlformats.org/officeDocument/2006/relationships/hyperlink" Target="http://constitutionus.com/" TargetMode="External"/><Relationship Id="rId6" Type="http://schemas.openxmlformats.org/officeDocument/2006/relationships/hyperlink" Target="https://documents-dds-ny.un.org/doc/UNDOC/LTD/N18/180/29/PDF/N1818029.pdf?OpenElement" TargetMode="External"/><Relationship Id="rId11" Type="http://schemas.openxmlformats.org/officeDocument/2006/relationships/hyperlink" Target="http://www2.unwomen.org/~/media/headquarters/attachments/sections/library/publications/2012/7/handbooknationalactionplansonvaw-es%20pdf.pdf?v=1&amp;d=20141013T121502" TargetMode="External"/><Relationship Id="rId24" Type="http://schemas.openxmlformats.org/officeDocument/2006/relationships/hyperlink" Target="https://undocs.org/en/A/HRC/38/33/ADD.1" TargetMode="External"/><Relationship Id="rId5" Type="http://schemas.openxmlformats.org/officeDocument/2006/relationships/hyperlink" Target="https://caselaw.findlaw.com/us-supreme-court/15-233.html" TargetMode="External"/><Relationship Id="rId15" Type="http://schemas.openxmlformats.org/officeDocument/2006/relationships/hyperlink" Target="https://www.npr.org/2018/05/01/607483473/how-fema-failed-tohelp-victims-of-hurricanes-in-puerto-rico-recover" TargetMode="External"/><Relationship Id="rId23" Type="http://schemas.openxmlformats.org/officeDocument/2006/relationships/hyperlink" Target="https://tbinternet.ohchr.org/Treaties/CCPR/Shared%20Documents/1_Global/CCPR_C_GC_36_8785_E.pdf" TargetMode="External"/><Relationship Id="rId10" Type="http://schemas.openxmlformats.org/officeDocument/2006/relationships/hyperlink" Target="http://www.unwomen.org//media/headquarters/attachments/sections/library/publications/2012/12/unw_legislation-handbook_sp1%20pdf.pdf?la=es&amp;vs=1839" TargetMode="External"/><Relationship Id="rId19" Type="http://schemas.openxmlformats.org/officeDocument/2006/relationships/hyperlink" Target="http://www.oas.org/es/cidh/prensa/comunicados/2018/004.asp" TargetMode="External"/><Relationship Id="rId4" Type="http://schemas.openxmlformats.org/officeDocument/2006/relationships/hyperlink" Target="https://caselaw.findlaw.com/us-supreme-court/15-108.html" TargetMode="External"/><Relationship Id="rId9" Type="http://schemas.openxmlformats.org/officeDocument/2006/relationships/hyperlink" Target="http://cptspr.org/wp-content/uploads/2018/11/Gui%CC%81a-16-Di%CC%81as-2018-F-Digital.pdf" TargetMode="External"/><Relationship Id="rId14" Type="http://schemas.openxmlformats.org/officeDocument/2006/relationships/hyperlink" Target="https://www.elnuevodia.com/noticias/locales/nota/unestudiorevelaque2975personasmurieronacausadelhuracanmaria-2443855/" TargetMode="External"/><Relationship Id="rId22" Type="http://schemas.openxmlformats.org/officeDocument/2006/relationships/hyperlink" Target="http://periodismoinvestigativo.com/2018/03/los-toxicos-de-las-cenizas-de-aes-estan-contaminando-aguas-subterran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2FACA-43DD-41AC-8CEE-14B18046C04C}"/>
</file>

<file path=customXml/itemProps2.xml><?xml version="1.0" encoding="utf-8"?>
<ds:datastoreItem xmlns:ds="http://schemas.openxmlformats.org/officeDocument/2006/customXml" ds:itemID="{D8CC6B51-1E4F-4631-9897-DABBAE4CED8F}"/>
</file>

<file path=customXml/itemProps3.xml><?xml version="1.0" encoding="utf-8"?>
<ds:datastoreItem xmlns:ds="http://schemas.openxmlformats.org/officeDocument/2006/customXml" ds:itemID="{6116948C-1B92-4F3A-8F6E-68C990F254CA}"/>
</file>

<file path=customXml/itemProps4.xml><?xml version="1.0" encoding="utf-8"?>
<ds:datastoreItem xmlns:ds="http://schemas.openxmlformats.org/officeDocument/2006/customXml" ds:itemID="{5C3C82EF-E82C-4A3F-BE52-A5C4527E1A38}"/>
</file>

<file path=docProps/app.xml><?xml version="1.0" encoding="utf-8"?>
<Properties xmlns="http://schemas.openxmlformats.org/officeDocument/2006/extended-properties" xmlns:vt="http://schemas.openxmlformats.org/officeDocument/2006/docPropsVTypes">
  <Template>Normal</Template>
  <TotalTime>2</TotalTime>
  <Pages>15</Pages>
  <Words>5858</Words>
  <Characters>33392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Campos Cruz</dc:creator>
  <cp:keywords/>
  <dc:description/>
  <cp:lastModifiedBy>Carmelo Campos Cruz</cp:lastModifiedBy>
  <cp:revision>2</cp:revision>
  <cp:lastPrinted>2019-01-07T15:01:00Z</cp:lastPrinted>
  <dcterms:created xsi:type="dcterms:W3CDTF">2019-01-13T21:55:00Z</dcterms:created>
  <dcterms:modified xsi:type="dcterms:W3CDTF">2019-01-13T21:55:00Z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