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BCB47" w14:textId="77777777" w:rsidR="00455F41" w:rsidRPr="00674407" w:rsidRDefault="00455F41" w:rsidP="00455F41">
      <w:pPr>
        <w:spacing w:after="0" w:line="240" w:lineRule="auto"/>
        <w:rPr>
          <w:rFonts w:asciiTheme="majorHAnsi" w:eastAsiaTheme="minorEastAsia" w:hAnsiTheme="majorHAnsi" w:cstheme="minorBidi"/>
          <w:b/>
          <w:lang w:val="en-GB"/>
        </w:rPr>
      </w:pPr>
      <w:r w:rsidRPr="00674407">
        <w:rPr>
          <w:rFonts w:asciiTheme="majorHAnsi" w:eastAsiaTheme="minorEastAsia" w:hAnsiTheme="majorHAnsi" w:cstheme="minorBidi"/>
          <w:b/>
          <w:lang w:val="en-GB"/>
        </w:rPr>
        <w:t>1. About this briefing paper</w:t>
      </w:r>
    </w:p>
    <w:p w14:paraId="61C24F5D" w14:textId="77777777" w:rsidR="00455F41" w:rsidRPr="00674407" w:rsidRDefault="00455F41" w:rsidP="00455F41">
      <w:pPr>
        <w:spacing w:after="0" w:line="240" w:lineRule="auto"/>
        <w:rPr>
          <w:rFonts w:asciiTheme="majorHAnsi" w:eastAsiaTheme="minorEastAsia" w:hAnsiTheme="majorHAnsi" w:cstheme="minorBidi"/>
          <w:lang w:val="en-GB"/>
        </w:rPr>
      </w:pPr>
    </w:p>
    <w:p w14:paraId="766B8430" w14:textId="77777777" w:rsidR="00455F41" w:rsidRPr="00674407" w:rsidRDefault="00455F41" w:rsidP="00455F41">
      <w:pPr>
        <w:spacing w:after="0" w:line="240" w:lineRule="auto"/>
        <w:rPr>
          <w:rFonts w:asciiTheme="majorHAnsi" w:eastAsiaTheme="minorEastAsia" w:hAnsiTheme="majorHAnsi" w:cstheme="minorBidi"/>
          <w:lang w:val="en-GB"/>
        </w:rPr>
      </w:pPr>
      <w:r w:rsidRPr="00674407">
        <w:rPr>
          <w:rFonts w:asciiTheme="majorHAnsi" w:eastAsiaTheme="minorEastAsia" w:hAnsiTheme="majorHAnsi" w:cstheme="minorBidi"/>
          <w:bCs/>
          <w:lang w:val="en-GB"/>
        </w:rPr>
        <w:t xml:space="preserve">In the concluding observations of the Human Rights Committee’s (the Committee) previous review of Guatemala in 2012, the Committee expressed concern </w:t>
      </w:r>
      <w:r w:rsidRPr="00674407">
        <w:rPr>
          <w:rFonts w:asciiTheme="majorHAnsi" w:eastAsiaTheme="minorEastAsia" w:hAnsiTheme="majorHAnsi" w:cstheme="minorBidi"/>
          <w:lang w:val="en-GB"/>
        </w:rPr>
        <w:t>at the ‘very high levels of violence against and attacks on human rights defenders’, regretting ‘the lack of sufficient protection mechanisms for human rights defenders, as well as recent campaigns to undermine the initiatives of civil society organizations’.</w:t>
      </w:r>
    </w:p>
    <w:p w14:paraId="15BB2ABD" w14:textId="77777777" w:rsidR="00455F41" w:rsidRPr="00674407" w:rsidRDefault="00455F41" w:rsidP="00455F41">
      <w:pPr>
        <w:spacing w:after="0" w:line="240" w:lineRule="auto"/>
        <w:rPr>
          <w:rFonts w:asciiTheme="majorHAnsi" w:eastAsiaTheme="minorEastAsia" w:hAnsiTheme="majorHAnsi" w:cstheme="minorBidi"/>
          <w:lang w:val="en-GB"/>
        </w:rPr>
      </w:pPr>
    </w:p>
    <w:p w14:paraId="48634D88" w14:textId="77777777" w:rsidR="00455F41" w:rsidRPr="00674407" w:rsidRDefault="00455F41" w:rsidP="00455F41">
      <w:pPr>
        <w:spacing w:after="0" w:line="240" w:lineRule="auto"/>
        <w:rPr>
          <w:rFonts w:asciiTheme="majorHAnsi" w:eastAsiaTheme="minorEastAsia" w:hAnsiTheme="majorHAnsi" w:cstheme="minorBidi"/>
          <w:lang w:val="en-GB"/>
        </w:rPr>
      </w:pPr>
      <w:r w:rsidRPr="00674407">
        <w:rPr>
          <w:rFonts w:asciiTheme="majorHAnsi" w:eastAsiaTheme="minorEastAsia" w:hAnsiTheme="majorHAnsi" w:cstheme="minorBidi"/>
          <w:lang w:val="en-GB"/>
        </w:rPr>
        <w:t>It recommended the State ‘publicly acknowledge the contribution of human rights defenders to justice and democracy. It should also take immediate measures to provide effective protection for defenders whose lives and security are endangered by their professional activities and also to support the immediate, effective and impartial investigation of threats, attacks and assassinations of human rights defenders, and to prosecute and punish the perpetrators’, asking the State to ensure that the institutions charged with defender security be given proper human and financial resources, as well as political backing.</w:t>
      </w:r>
      <w:r w:rsidRPr="00674407">
        <w:rPr>
          <w:rFonts w:asciiTheme="majorHAnsi" w:eastAsiaTheme="minorEastAsia" w:hAnsiTheme="majorHAnsi" w:cstheme="minorBidi"/>
          <w:vertAlign w:val="superscript"/>
          <w:lang w:val="en-GB"/>
        </w:rPr>
        <w:endnoteReference w:id="1"/>
      </w:r>
    </w:p>
    <w:p w14:paraId="24A22F14" w14:textId="77777777" w:rsidR="00455F41" w:rsidRPr="00674407" w:rsidRDefault="00455F41" w:rsidP="00455F41">
      <w:pPr>
        <w:spacing w:after="0" w:line="240" w:lineRule="auto"/>
        <w:rPr>
          <w:rFonts w:asciiTheme="majorHAnsi" w:eastAsiaTheme="minorEastAsia" w:hAnsiTheme="majorHAnsi" w:cstheme="minorBidi"/>
          <w:lang w:val="en-GB"/>
        </w:rPr>
      </w:pPr>
    </w:p>
    <w:p w14:paraId="7CF4CF7B" w14:textId="77777777" w:rsidR="00455F41" w:rsidRPr="00674407" w:rsidRDefault="00455F41" w:rsidP="00455F41">
      <w:pPr>
        <w:spacing w:after="0" w:line="240" w:lineRule="auto"/>
        <w:rPr>
          <w:rFonts w:asciiTheme="majorHAnsi" w:eastAsiaTheme="minorEastAsia" w:hAnsiTheme="majorHAnsi" w:cstheme="minorBidi"/>
          <w:lang w:val="en-GB"/>
        </w:rPr>
      </w:pPr>
      <w:r w:rsidRPr="00674407">
        <w:rPr>
          <w:rFonts w:asciiTheme="majorHAnsi" w:eastAsiaTheme="minorEastAsia" w:hAnsiTheme="majorHAnsi" w:cstheme="minorBidi"/>
          <w:lang w:val="en-GB"/>
        </w:rPr>
        <w:t>Lamentably, as reflected in the concluding observations of the Committee on the Elimination of Racial Discrimination (CERD) to Guatemala this May, the situation for human rights defenders in Guatemala today is no better, with their civil and political rights subject to persistent violation.</w:t>
      </w:r>
      <w:r w:rsidRPr="00674407">
        <w:rPr>
          <w:rFonts w:asciiTheme="majorHAnsi" w:eastAsiaTheme="minorEastAsia" w:hAnsiTheme="majorHAnsi" w:cstheme="minorBidi"/>
          <w:vertAlign w:val="superscript"/>
          <w:lang w:val="en-GB"/>
        </w:rPr>
        <w:endnoteReference w:id="2"/>
      </w:r>
    </w:p>
    <w:p w14:paraId="56C88AE2" w14:textId="77777777" w:rsidR="00455F41" w:rsidRPr="00674407" w:rsidRDefault="00455F41" w:rsidP="00455F41">
      <w:pPr>
        <w:spacing w:after="0" w:line="240" w:lineRule="auto"/>
        <w:rPr>
          <w:rFonts w:asciiTheme="majorHAnsi" w:eastAsiaTheme="minorEastAsia" w:hAnsiTheme="majorHAnsi" w:cstheme="minorBidi"/>
          <w:lang w:val="en-GB"/>
        </w:rPr>
      </w:pPr>
    </w:p>
    <w:p w14:paraId="6684DAD6" w14:textId="77777777" w:rsidR="00455F41" w:rsidRPr="00674407" w:rsidRDefault="00455F41" w:rsidP="00455F41">
      <w:pPr>
        <w:spacing w:after="0" w:line="240" w:lineRule="auto"/>
        <w:rPr>
          <w:rFonts w:asciiTheme="majorHAnsi" w:eastAsiaTheme="minorEastAsia" w:hAnsiTheme="majorHAnsi" w:cstheme="minorBidi"/>
          <w:lang w:val="en-GB"/>
        </w:rPr>
      </w:pPr>
      <w:r w:rsidRPr="00674407">
        <w:rPr>
          <w:rFonts w:asciiTheme="majorHAnsi" w:eastAsiaTheme="minorEastAsia" w:hAnsiTheme="majorHAnsi" w:cstheme="minorBidi"/>
          <w:lang w:val="en-GB"/>
        </w:rPr>
        <w:t>What is more, as demonstrated by the CERD,</w:t>
      </w:r>
      <w:r w:rsidRPr="00674407">
        <w:rPr>
          <w:rFonts w:asciiTheme="majorHAnsi" w:eastAsiaTheme="minorEastAsia" w:hAnsiTheme="majorHAnsi" w:cstheme="minorBidi"/>
          <w:vertAlign w:val="superscript"/>
          <w:lang w:val="en-GB"/>
        </w:rPr>
        <w:endnoteReference w:id="3"/>
      </w:r>
      <w:r w:rsidRPr="00674407">
        <w:rPr>
          <w:rFonts w:asciiTheme="majorHAnsi" w:eastAsiaTheme="minorEastAsia" w:hAnsiTheme="majorHAnsi" w:cstheme="minorBidi"/>
          <w:lang w:val="en-GB"/>
        </w:rPr>
        <w:t xml:space="preserve"> the UN Special Procedures, State and non-governmental actors, human rights defenders working on violations in the context of business operations are one of the most at-risk groups in the country, facing heightened and specific risks.</w:t>
      </w:r>
    </w:p>
    <w:p w14:paraId="11CC42AD" w14:textId="77777777" w:rsidR="00455F41" w:rsidRPr="00674407" w:rsidRDefault="00455F41" w:rsidP="00455F41">
      <w:pPr>
        <w:spacing w:after="0" w:line="240" w:lineRule="auto"/>
        <w:rPr>
          <w:rFonts w:asciiTheme="majorHAnsi" w:eastAsiaTheme="minorEastAsia" w:hAnsiTheme="majorHAnsi" w:cstheme="minorBidi"/>
          <w:lang w:val="en-GB"/>
        </w:rPr>
      </w:pPr>
    </w:p>
    <w:p w14:paraId="64268EC8" w14:textId="77777777" w:rsidR="00455F41" w:rsidRPr="00674407" w:rsidRDefault="00455F41" w:rsidP="00455F41">
      <w:pPr>
        <w:spacing w:after="0" w:line="240" w:lineRule="auto"/>
        <w:rPr>
          <w:rFonts w:asciiTheme="majorHAnsi" w:eastAsiaTheme="minorEastAsia" w:hAnsiTheme="majorHAnsi" w:cstheme="minorBidi"/>
          <w:lang w:val="en-GB"/>
        </w:rPr>
      </w:pPr>
      <w:r w:rsidRPr="00674407">
        <w:rPr>
          <w:rFonts w:asciiTheme="majorHAnsi" w:eastAsiaTheme="minorEastAsia" w:hAnsiTheme="majorHAnsi" w:cstheme="minorBidi"/>
          <w:lang w:val="en-GB"/>
        </w:rPr>
        <w:t>This paper aims to inform the List of Issues Prior to Reporting, on the occasion of the Committee’s 115</w:t>
      </w:r>
      <w:r w:rsidRPr="00674407">
        <w:rPr>
          <w:rFonts w:asciiTheme="majorHAnsi" w:eastAsiaTheme="minorEastAsia" w:hAnsiTheme="majorHAnsi" w:cstheme="minorBidi"/>
          <w:vertAlign w:val="superscript"/>
          <w:lang w:val="en-GB"/>
        </w:rPr>
        <w:t>th</w:t>
      </w:r>
      <w:r w:rsidRPr="00674407">
        <w:rPr>
          <w:rFonts w:asciiTheme="majorHAnsi" w:eastAsiaTheme="minorEastAsia" w:hAnsiTheme="majorHAnsi" w:cstheme="minorBidi"/>
          <w:lang w:val="en-GB"/>
        </w:rPr>
        <w:t xml:space="preserve"> pre-session, so that Guatemala be asked questions regarding what it is doing to ensure a safe and enabling environment for human rights defenders, and for defenders working on business and human rights in particular.</w:t>
      </w:r>
    </w:p>
    <w:p w14:paraId="364087BE" w14:textId="77777777" w:rsidR="00455F41" w:rsidRPr="00674407" w:rsidRDefault="00455F41" w:rsidP="00455F41">
      <w:pPr>
        <w:spacing w:after="0" w:line="240" w:lineRule="auto"/>
        <w:rPr>
          <w:rFonts w:asciiTheme="majorHAnsi" w:eastAsiaTheme="minorEastAsia" w:hAnsiTheme="majorHAnsi" w:cstheme="minorBidi"/>
          <w:lang w:val="en-GB"/>
        </w:rPr>
      </w:pPr>
    </w:p>
    <w:p w14:paraId="64A44BE1" w14:textId="77777777" w:rsidR="00455F41" w:rsidRPr="00674407" w:rsidRDefault="00455F41" w:rsidP="00455F41">
      <w:pPr>
        <w:spacing w:after="0" w:line="240" w:lineRule="auto"/>
        <w:rPr>
          <w:rFonts w:asciiTheme="majorHAnsi" w:eastAsiaTheme="minorEastAsia" w:hAnsiTheme="majorHAnsi" w:cstheme="minorBidi"/>
          <w:lang w:val="en-GB"/>
        </w:rPr>
      </w:pPr>
      <w:proofErr w:type="gramStart"/>
      <w:r w:rsidRPr="00674407">
        <w:rPr>
          <w:rFonts w:asciiTheme="majorHAnsi" w:eastAsiaTheme="minorEastAsia" w:hAnsiTheme="majorHAnsi" w:cstheme="minorBidi"/>
          <w:lang w:val="en-GB"/>
        </w:rPr>
        <w:t>This paper was developed by the International Service for Human Rights</w:t>
      </w:r>
      <w:proofErr w:type="gramEnd"/>
      <w:r w:rsidRPr="00674407">
        <w:rPr>
          <w:rFonts w:asciiTheme="majorHAnsi" w:eastAsiaTheme="minorEastAsia" w:hAnsiTheme="majorHAnsi" w:cstheme="minorBidi"/>
          <w:lang w:val="en-GB"/>
        </w:rPr>
        <w:t xml:space="preserve"> in conjunction with </w:t>
      </w:r>
      <w:r w:rsidRPr="00674407">
        <w:rPr>
          <w:rFonts w:asciiTheme="majorHAnsi" w:eastAsiaTheme="minorEastAsia" w:hAnsiTheme="majorHAnsi" w:cstheme="minorBidi"/>
          <w:i/>
          <w:lang w:val="en-GB"/>
        </w:rPr>
        <w:t xml:space="preserve">International Platform against Impunity </w:t>
      </w:r>
      <w:r w:rsidRPr="00674407">
        <w:rPr>
          <w:rFonts w:asciiTheme="majorHAnsi" w:eastAsiaTheme="minorEastAsia" w:hAnsiTheme="majorHAnsi" w:cstheme="minorBidi"/>
          <w:lang w:val="en-GB"/>
        </w:rPr>
        <w:t xml:space="preserve">(Pi) in Guatemala. It is informed by both local and international sources, as well as first-hand interviews with affected human rights defenders, carried out in Guatemala in January 2015 with the support of </w:t>
      </w:r>
      <w:r w:rsidRPr="00674407">
        <w:rPr>
          <w:rFonts w:asciiTheme="majorHAnsi" w:eastAsiaTheme="minorEastAsia" w:hAnsiTheme="majorHAnsi" w:cstheme="minorBidi"/>
          <w:i/>
          <w:lang w:val="en-GB"/>
        </w:rPr>
        <w:t>Peace Brigades International</w:t>
      </w:r>
      <w:r w:rsidRPr="00674407">
        <w:rPr>
          <w:rFonts w:asciiTheme="majorHAnsi" w:eastAsiaTheme="minorEastAsia" w:hAnsiTheme="majorHAnsi" w:cstheme="minorBidi"/>
          <w:lang w:val="en-GB"/>
        </w:rPr>
        <w:t xml:space="preserve"> (PBI).</w:t>
      </w:r>
      <w:r w:rsidRPr="00674407">
        <w:rPr>
          <w:rFonts w:asciiTheme="majorHAnsi" w:eastAsiaTheme="minorEastAsia" w:hAnsiTheme="majorHAnsi" w:cstheme="minorBidi"/>
          <w:vertAlign w:val="superscript"/>
          <w:lang w:val="en-GB"/>
        </w:rPr>
        <w:endnoteReference w:id="4"/>
      </w:r>
    </w:p>
    <w:p w14:paraId="0DFFD800" w14:textId="77777777" w:rsidR="00455F41" w:rsidRPr="00674407" w:rsidRDefault="00455F41" w:rsidP="00455F41">
      <w:pPr>
        <w:spacing w:after="0" w:line="240" w:lineRule="auto"/>
        <w:rPr>
          <w:rFonts w:asciiTheme="majorHAnsi" w:eastAsiaTheme="minorEastAsia" w:hAnsiTheme="majorHAnsi" w:cstheme="minorBidi"/>
          <w:lang w:val="en-GB"/>
        </w:rPr>
      </w:pPr>
    </w:p>
    <w:p w14:paraId="2B0E22A3" w14:textId="77777777" w:rsidR="00455F41" w:rsidRPr="00674407" w:rsidRDefault="00455F41" w:rsidP="00455F41">
      <w:pPr>
        <w:spacing w:after="0" w:line="240" w:lineRule="auto"/>
        <w:rPr>
          <w:rFonts w:asciiTheme="majorHAnsi" w:eastAsiaTheme="minorEastAsia" w:hAnsiTheme="majorHAnsi" w:cstheme="minorBidi"/>
          <w:b/>
          <w:lang w:val="en-GB"/>
        </w:rPr>
      </w:pPr>
      <w:r w:rsidRPr="00674407">
        <w:rPr>
          <w:rFonts w:asciiTheme="majorHAnsi" w:eastAsiaTheme="minorEastAsia" w:hAnsiTheme="majorHAnsi" w:cstheme="minorBidi"/>
          <w:b/>
          <w:lang w:val="en-GB"/>
        </w:rPr>
        <w:t>2. Human rights defenders working on business and human rights face heightened and specific risks</w:t>
      </w:r>
    </w:p>
    <w:p w14:paraId="58538840" w14:textId="77777777" w:rsidR="00455F41" w:rsidRPr="00674407" w:rsidRDefault="00455F41" w:rsidP="00455F41">
      <w:pPr>
        <w:spacing w:after="0" w:line="240" w:lineRule="auto"/>
        <w:rPr>
          <w:rFonts w:asciiTheme="majorHAnsi" w:eastAsiaTheme="minorEastAsia" w:hAnsiTheme="majorHAnsi" w:cstheme="minorBidi"/>
          <w:lang w:val="en-GB"/>
        </w:rPr>
      </w:pPr>
    </w:p>
    <w:p w14:paraId="179EF291" w14:textId="77777777" w:rsidR="00455F41" w:rsidRPr="00674407" w:rsidRDefault="00455F41" w:rsidP="00455F41">
      <w:pPr>
        <w:spacing w:after="0" w:line="240" w:lineRule="auto"/>
        <w:rPr>
          <w:rFonts w:asciiTheme="majorHAnsi" w:eastAsiaTheme="minorEastAsia" w:hAnsiTheme="majorHAnsi" w:cstheme="minorBidi"/>
          <w:lang w:val="en-GB"/>
        </w:rPr>
      </w:pPr>
      <w:r w:rsidRPr="00674407">
        <w:rPr>
          <w:rFonts w:asciiTheme="majorHAnsi" w:eastAsiaTheme="minorEastAsia" w:hAnsiTheme="majorHAnsi" w:cstheme="minorBidi"/>
          <w:lang w:val="en-GB"/>
        </w:rPr>
        <w:t>In Guatemala human rights defenders are at risk and face obstacles to their work. Nonetheless, those whose work brings them into direct conflict with business interests have consistently been signalled as some of the most at-risk in recent years, reflecting a global trend.</w:t>
      </w:r>
      <w:r w:rsidRPr="00674407">
        <w:rPr>
          <w:rFonts w:asciiTheme="majorHAnsi" w:eastAsiaTheme="minorEastAsia" w:hAnsiTheme="majorHAnsi" w:cstheme="minorBidi"/>
          <w:vertAlign w:val="superscript"/>
          <w:lang w:val="en-GB"/>
        </w:rPr>
        <w:endnoteReference w:id="5"/>
      </w:r>
      <w:r w:rsidRPr="00674407">
        <w:rPr>
          <w:rFonts w:asciiTheme="majorHAnsi" w:eastAsiaTheme="minorEastAsia" w:hAnsiTheme="majorHAnsi" w:cstheme="minorBidi"/>
          <w:lang w:val="en-GB"/>
        </w:rPr>
        <w:t xml:space="preserve"> In Guatemala the majority of defenders in this category are working on issues of land, territorial and environmental rights, although trade unionists demanding labour rights face similar threats.</w:t>
      </w:r>
    </w:p>
    <w:p w14:paraId="47CC6D0E" w14:textId="77777777" w:rsidR="00455F41" w:rsidRPr="00674407" w:rsidRDefault="00455F41" w:rsidP="00455F41">
      <w:pPr>
        <w:spacing w:after="0" w:line="240" w:lineRule="auto"/>
        <w:rPr>
          <w:rFonts w:asciiTheme="majorHAnsi" w:eastAsiaTheme="minorEastAsia" w:hAnsiTheme="majorHAnsi" w:cstheme="minorBidi"/>
          <w:lang w:val="en-GB"/>
        </w:rPr>
      </w:pPr>
    </w:p>
    <w:p w14:paraId="08809DC3" w14:textId="23A4FD2F" w:rsidR="00455F41" w:rsidRPr="00674407" w:rsidRDefault="00455F41" w:rsidP="0065211B">
      <w:pPr>
        <w:numPr>
          <w:ilvl w:val="0"/>
          <w:numId w:val="4"/>
        </w:numPr>
        <w:spacing w:after="0" w:line="240" w:lineRule="auto"/>
        <w:contextualSpacing/>
        <w:rPr>
          <w:rFonts w:asciiTheme="majorHAnsi" w:hAnsiTheme="majorHAnsi"/>
          <w:lang w:val="en-GB"/>
        </w:rPr>
      </w:pPr>
      <w:r w:rsidRPr="00674407">
        <w:rPr>
          <w:rFonts w:asciiTheme="majorHAnsi" w:hAnsiTheme="majorHAnsi"/>
          <w:bCs/>
          <w:lang w:val="en-GB"/>
        </w:rPr>
        <w:t xml:space="preserve">According to documentation by the NGO </w:t>
      </w:r>
      <w:r w:rsidR="00260D8B" w:rsidRPr="00674407">
        <w:rPr>
          <w:rFonts w:asciiTheme="majorHAnsi" w:hAnsiTheme="majorHAnsi"/>
          <w:bCs/>
          <w:lang w:val="en-GB"/>
        </w:rPr>
        <w:t>‘</w:t>
      </w:r>
      <w:r w:rsidRPr="00674407">
        <w:rPr>
          <w:rFonts w:asciiTheme="majorHAnsi" w:hAnsiTheme="majorHAnsi"/>
          <w:lang w:val="en-GB"/>
        </w:rPr>
        <w:t>Unit for the Protection of Human Rights Defenders</w:t>
      </w:r>
      <w:r w:rsidR="00260D8B" w:rsidRPr="00674407">
        <w:rPr>
          <w:rFonts w:asciiTheme="majorHAnsi" w:hAnsiTheme="majorHAnsi"/>
          <w:lang w:val="en-GB"/>
        </w:rPr>
        <w:t>’</w:t>
      </w:r>
      <w:r w:rsidRPr="00674407">
        <w:rPr>
          <w:rFonts w:asciiTheme="majorHAnsi" w:hAnsiTheme="majorHAnsi"/>
          <w:lang w:val="en-GB"/>
        </w:rPr>
        <w:t xml:space="preserve"> (</w:t>
      </w:r>
      <w:proofErr w:type="spellStart"/>
      <w:r w:rsidRPr="00674407">
        <w:rPr>
          <w:rFonts w:asciiTheme="majorHAnsi" w:hAnsiTheme="majorHAnsi"/>
          <w:lang w:val="en-GB"/>
        </w:rPr>
        <w:t>Udefegua</w:t>
      </w:r>
      <w:proofErr w:type="spellEnd"/>
      <w:r w:rsidRPr="00674407">
        <w:rPr>
          <w:rFonts w:asciiTheme="majorHAnsi" w:hAnsiTheme="majorHAnsi"/>
          <w:lang w:val="en-GB"/>
        </w:rPr>
        <w:t>)</w:t>
      </w:r>
      <w:r w:rsidRPr="00674407">
        <w:rPr>
          <w:rFonts w:asciiTheme="majorHAnsi" w:hAnsiTheme="majorHAnsi"/>
          <w:bCs/>
          <w:lang w:val="en-GB"/>
        </w:rPr>
        <w:t>, in</w:t>
      </w:r>
      <w:r w:rsidRPr="00674407">
        <w:rPr>
          <w:rFonts w:asciiTheme="majorHAnsi" w:hAnsiTheme="majorHAnsi"/>
          <w:lang w:val="en-GB"/>
        </w:rPr>
        <w:t xml:space="preserve"> 2014 the highest number of aggressions in the country were against defenders of the rights to land, territory, consultation and the environment: 664 aggressions were registered against this group, meaning that they were victims of 82% of all the aggressions carried out against human rights defenders that year.</w:t>
      </w:r>
      <w:r w:rsidRPr="00674407">
        <w:rPr>
          <w:rFonts w:asciiTheme="majorHAnsi" w:hAnsiTheme="majorHAnsi"/>
          <w:vertAlign w:val="superscript"/>
          <w:lang w:val="fr-CH"/>
        </w:rPr>
        <w:endnoteReference w:id="6"/>
      </w:r>
    </w:p>
    <w:p w14:paraId="3B9D9836" w14:textId="55224C50" w:rsidR="00260D8B" w:rsidRPr="00674407" w:rsidRDefault="00260D8B" w:rsidP="0065211B">
      <w:pPr>
        <w:numPr>
          <w:ilvl w:val="0"/>
          <w:numId w:val="4"/>
        </w:numPr>
        <w:spacing w:after="0" w:line="240" w:lineRule="auto"/>
        <w:contextualSpacing/>
        <w:rPr>
          <w:rFonts w:asciiTheme="majorHAnsi" w:hAnsiTheme="majorHAnsi"/>
          <w:lang w:val="en-GB"/>
        </w:rPr>
      </w:pPr>
      <w:r w:rsidRPr="00674407">
        <w:rPr>
          <w:rFonts w:asciiTheme="majorHAnsi" w:hAnsiTheme="majorHAnsi"/>
          <w:lang w:val="en-GB"/>
        </w:rPr>
        <w:lastRenderedPageBreak/>
        <w:t xml:space="preserve">Of the seven most at-risk groups of defenders identified by </w:t>
      </w:r>
      <w:proofErr w:type="spellStart"/>
      <w:r w:rsidRPr="00674407">
        <w:rPr>
          <w:rFonts w:asciiTheme="majorHAnsi" w:hAnsiTheme="majorHAnsi"/>
          <w:lang w:val="en-GB"/>
        </w:rPr>
        <w:t>Udefegua</w:t>
      </w:r>
      <w:proofErr w:type="spellEnd"/>
      <w:r w:rsidRPr="00674407">
        <w:rPr>
          <w:rFonts w:asciiTheme="majorHAnsi" w:hAnsiTheme="majorHAnsi"/>
          <w:lang w:val="en-GB"/>
        </w:rPr>
        <w:t xml:space="preserve">, using a register of aggressions against human rights defenders between 2000 and 2014, five represent groups whose human rights work often brings them into direct conflict with business interests: environmental defenders, </w:t>
      </w:r>
      <w:r w:rsidR="00F41B66" w:rsidRPr="00674407">
        <w:rPr>
          <w:rFonts w:asciiTheme="majorHAnsi" w:hAnsiTheme="majorHAnsi"/>
          <w:lang w:val="en-GB"/>
        </w:rPr>
        <w:t xml:space="preserve">indigenous defenders, </w:t>
      </w:r>
      <w:proofErr w:type="spellStart"/>
      <w:r w:rsidRPr="00674407">
        <w:rPr>
          <w:rFonts w:asciiTheme="majorHAnsi" w:hAnsiTheme="majorHAnsi"/>
          <w:lang w:val="en-GB"/>
        </w:rPr>
        <w:t>campesino</w:t>
      </w:r>
      <w:proofErr w:type="spellEnd"/>
      <w:r w:rsidRPr="00674407">
        <w:rPr>
          <w:rFonts w:asciiTheme="majorHAnsi" w:hAnsiTheme="majorHAnsi"/>
          <w:lang w:val="en-GB"/>
        </w:rPr>
        <w:t xml:space="preserve"> activists, </w:t>
      </w:r>
      <w:r w:rsidR="00F41B66" w:rsidRPr="00674407">
        <w:rPr>
          <w:rFonts w:asciiTheme="majorHAnsi" w:hAnsiTheme="majorHAnsi"/>
          <w:lang w:val="en-GB"/>
        </w:rPr>
        <w:t>trade unionists and defenders working on development.</w:t>
      </w:r>
      <w:r w:rsidR="00F41B66" w:rsidRPr="00674407">
        <w:rPr>
          <w:rStyle w:val="Refdenotaalfinal"/>
          <w:rFonts w:asciiTheme="majorHAnsi" w:hAnsiTheme="majorHAnsi"/>
          <w:lang w:val="en-GB"/>
        </w:rPr>
        <w:endnoteReference w:id="7"/>
      </w:r>
    </w:p>
    <w:p w14:paraId="4930F5FD" w14:textId="77777777" w:rsidR="00455F41" w:rsidRPr="00674407" w:rsidRDefault="00455F41" w:rsidP="0065211B">
      <w:pPr>
        <w:numPr>
          <w:ilvl w:val="0"/>
          <w:numId w:val="4"/>
        </w:numPr>
        <w:spacing w:after="0" w:line="240" w:lineRule="auto"/>
        <w:contextualSpacing/>
        <w:rPr>
          <w:rFonts w:asciiTheme="majorHAnsi" w:hAnsiTheme="majorHAnsi"/>
          <w:b/>
          <w:u w:val="single"/>
          <w:lang w:val="en-GB"/>
        </w:rPr>
      </w:pPr>
      <w:r w:rsidRPr="00674407">
        <w:rPr>
          <w:rFonts w:asciiTheme="majorHAnsi" w:hAnsiTheme="majorHAnsi"/>
          <w:lang w:val="en-GB"/>
        </w:rPr>
        <w:t xml:space="preserve">According to Frontline defenders, ‘trade unionists, along with </w:t>
      </w:r>
      <w:proofErr w:type="spellStart"/>
      <w:r w:rsidRPr="00674407">
        <w:rPr>
          <w:rFonts w:asciiTheme="majorHAnsi" w:hAnsiTheme="majorHAnsi"/>
          <w:i/>
          <w:lang w:val="en-GB"/>
        </w:rPr>
        <w:t>campesino</w:t>
      </w:r>
      <w:proofErr w:type="spellEnd"/>
      <w:r w:rsidRPr="00674407">
        <w:rPr>
          <w:rFonts w:asciiTheme="majorHAnsi" w:hAnsiTheme="majorHAnsi"/>
          <w:lang w:val="en-GB"/>
        </w:rPr>
        <w:t xml:space="preserve"> and indigenous rights defenders defending the right to prior consultation on development projects, continue to be targeted with a number of killings being reported… those defending the rights to land </w:t>
      </w:r>
      <w:r w:rsidRPr="00674407">
        <w:rPr>
          <w:rFonts w:asciiTheme="majorHAnsi" w:hAnsiTheme="majorHAnsi"/>
          <w:lang w:val="en-US"/>
        </w:rPr>
        <w:t xml:space="preserve">[are] </w:t>
      </w:r>
      <w:r w:rsidRPr="00674407">
        <w:rPr>
          <w:rFonts w:asciiTheme="majorHAnsi" w:hAnsiTheme="majorHAnsi"/>
          <w:lang w:val="en-GB"/>
        </w:rPr>
        <w:t xml:space="preserve">increasingly being targeted and attacked. Environmental rights defenders, especially those working on issues relating to mining and the extractive industries, have been facing increased </w:t>
      </w:r>
      <w:proofErr w:type="gramStart"/>
      <w:r w:rsidRPr="00674407">
        <w:rPr>
          <w:rFonts w:asciiTheme="majorHAnsi" w:hAnsiTheme="majorHAnsi"/>
          <w:lang w:val="en-GB"/>
        </w:rPr>
        <w:t>threats which</w:t>
      </w:r>
      <w:proofErr w:type="gramEnd"/>
      <w:r w:rsidRPr="00674407">
        <w:rPr>
          <w:rFonts w:asciiTheme="majorHAnsi" w:hAnsiTheme="majorHAnsi"/>
          <w:lang w:val="en-GB"/>
        </w:rPr>
        <w:t xml:space="preserve"> include physical attacks and assassination attempts.</w:t>
      </w:r>
      <w:r w:rsidRPr="00674407">
        <w:rPr>
          <w:rFonts w:asciiTheme="majorHAnsi" w:hAnsiTheme="majorHAnsi"/>
          <w:vertAlign w:val="superscript"/>
          <w:lang w:val="en-GB"/>
        </w:rPr>
        <w:endnoteReference w:id="8"/>
      </w:r>
    </w:p>
    <w:p w14:paraId="7659D4EE" w14:textId="77777777" w:rsidR="00455F41" w:rsidRPr="00674407" w:rsidRDefault="00455F41" w:rsidP="0065211B">
      <w:pPr>
        <w:numPr>
          <w:ilvl w:val="0"/>
          <w:numId w:val="4"/>
        </w:numPr>
        <w:spacing w:after="0" w:line="240" w:lineRule="auto"/>
        <w:contextualSpacing/>
        <w:rPr>
          <w:rFonts w:asciiTheme="majorHAnsi" w:hAnsiTheme="majorHAnsi"/>
          <w:lang w:val="en-GB"/>
        </w:rPr>
      </w:pPr>
      <w:r w:rsidRPr="00674407">
        <w:rPr>
          <w:rFonts w:asciiTheme="majorHAnsi" w:hAnsiTheme="majorHAnsi"/>
          <w:lang w:val="en-GB"/>
        </w:rPr>
        <w:t xml:space="preserve">The Observatory for Human Rights Defender (the Observatory) and the US State Department are amongst other international </w:t>
      </w:r>
      <w:proofErr w:type="gramStart"/>
      <w:r w:rsidRPr="00674407">
        <w:rPr>
          <w:rFonts w:asciiTheme="majorHAnsi" w:hAnsiTheme="majorHAnsi"/>
          <w:lang w:val="en-GB"/>
        </w:rPr>
        <w:t>actors which</w:t>
      </w:r>
      <w:proofErr w:type="gramEnd"/>
      <w:r w:rsidRPr="00674407">
        <w:rPr>
          <w:rFonts w:asciiTheme="majorHAnsi" w:hAnsiTheme="majorHAnsi"/>
          <w:lang w:val="en-GB"/>
        </w:rPr>
        <w:t xml:space="preserve"> have signalled this group as one of the most vulnerable to attack.</w:t>
      </w:r>
      <w:r w:rsidRPr="00674407">
        <w:rPr>
          <w:rFonts w:asciiTheme="majorHAnsi" w:hAnsiTheme="majorHAnsi"/>
          <w:vertAlign w:val="superscript"/>
          <w:lang w:val="en-GB"/>
        </w:rPr>
        <w:endnoteReference w:id="9"/>
      </w:r>
    </w:p>
    <w:p w14:paraId="6F4AAF7C" w14:textId="77777777" w:rsidR="00455F41" w:rsidRPr="00674407" w:rsidRDefault="00455F41" w:rsidP="0065211B">
      <w:pPr>
        <w:numPr>
          <w:ilvl w:val="0"/>
          <w:numId w:val="4"/>
        </w:numPr>
        <w:spacing w:after="0" w:line="240" w:lineRule="auto"/>
        <w:contextualSpacing/>
        <w:rPr>
          <w:rFonts w:asciiTheme="majorHAnsi" w:hAnsiTheme="majorHAnsi"/>
          <w:lang w:val="en-GB"/>
        </w:rPr>
      </w:pPr>
      <w:r w:rsidRPr="00674407">
        <w:rPr>
          <w:rFonts w:asciiTheme="majorHAnsi" w:hAnsiTheme="majorHAnsi"/>
          <w:lang w:val="en-GB"/>
        </w:rPr>
        <w:t>Between 2011 and 2014, the UN Special Rapporteur on Freedom of Peaceful Assembly and of Association sent 9 communications to Guatemala regarding the cases of 29 individuals or collectives. These included 12 murders, 8 cases of public stigmatisation/defamation, 3 kidnaps, 2 attempted murders, 2 death threats, 1 arbitrary detention and 1 excessive use of force against protesters. 24 of the 29 victims - including all of the murder victims - were human rights defenders working on business and human rights, whilst the other 5 victims worked supporting human rights defenders including those working on business and human rights.</w:t>
      </w:r>
      <w:r w:rsidRPr="00674407">
        <w:rPr>
          <w:rFonts w:asciiTheme="majorHAnsi" w:hAnsiTheme="majorHAnsi"/>
          <w:vertAlign w:val="superscript"/>
          <w:lang w:val="en-GB"/>
        </w:rPr>
        <w:endnoteReference w:id="10"/>
      </w:r>
    </w:p>
    <w:p w14:paraId="7D391E1B" w14:textId="77777777" w:rsidR="00455F41" w:rsidRPr="00674407" w:rsidRDefault="00455F41" w:rsidP="00455F41">
      <w:pPr>
        <w:spacing w:after="0" w:line="240" w:lineRule="auto"/>
        <w:contextualSpacing/>
        <w:rPr>
          <w:rFonts w:asciiTheme="majorHAnsi" w:hAnsiTheme="majorHAnsi"/>
          <w:lang w:val="en-GB"/>
        </w:rPr>
      </w:pPr>
    </w:p>
    <w:p w14:paraId="1F3B2029" w14:textId="77777777" w:rsidR="00455F41" w:rsidRPr="00674407" w:rsidRDefault="00455F41" w:rsidP="00455F41">
      <w:pPr>
        <w:spacing w:after="0" w:line="240" w:lineRule="auto"/>
        <w:rPr>
          <w:rFonts w:asciiTheme="majorHAnsi" w:eastAsiaTheme="minorEastAsia" w:hAnsiTheme="majorHAnsi" w:cstheme="minorBidi"/>
          <w:b/>
          <w:lang w:val="en-GB"/>
        </w:rPr>
      </w:pPr>
      <w:r w:rsidRPr="00674407">
        <w:rPr>
          <w:rFonts w:asciiTheme="majorHAnsi" w:eastAsiaTheme="minorEastAsia" w:hAnsiTheme="majorHAnsi" w:cstheme="minorBidi"/>
          <w:b/>
          <w:lang w:val="en-GB"/>
        </w:rPr>
        <w:t>3. Stigmatisation and defamation: the foundations for criminalisation and attacks against human rights defenders working on business and human rights</w:t>
      </w:r>
    </w:p>
    <w:p w14:paraId="3A4D7EF7" w14:textId="77777777" w:rsidR="00455F41" w:rsidRPr="00674407" w:rsidRDefault="00455F41" w:rsidP="00455F41">
      <w:pPr>
        <w:spacing w:after="0" w:line="240" w:lineRule="auto"/>
        <w:rPr>
          <w:rFonts w:asciiTheme="majorHAnsi" w:eastAsiaTheme="minorEastAsia" w:hAnsiTheme="majorHAnsi" w:cstheme="minorBidi"/>
          <w:lang w:val="en-GB"/>
        </w:rPr>
      </w:pPr>
    </w:p>
    <w:p w14:paraId="4A0C9ACD" w14:textId="77777777" w:rsidR="00455F41" w:rsidRPr="00674407" w:rsidRDefault="00455F41" w:rsidP="00455F41">
      <w:pPr>
        <w:spacing w:after="0" w:line="240" w:lineRule="auto"/>
        <w:rPr>
          <w:rFonts w:asciiTheme="majorHAnsi" w:eastAsiaTheme="minorEastAsia" w:hAnsiTheme="majorHAnsi" w:cstheme="minorBidi"/>
          <w:lang w:val="en-GB"/>
        </w:rPr>
      </w:pPr>
      <w:r w:rsidRPr="00674407">
        <w:rPr>
          <w:rFonts w:asciiTheme="majorHAnsi" w:eastAsiaTheme="minorEastAsia" w:hAnsiTheme="majorHAnsi" w:cstheme="minorBidi"/>
          <w:lang w:val="en-GB"/>
        </w:rPr>
        <w:t>Human rights defenders working on business and human rights face frequent public stigmatisation by both State and non-State actors, including the media and business representatives. It takes various forms including questioning their motives, labelling them a threat to the State or to public order, and accusing them of crimes which they have not been proven to have committed. Public stigmatisation of defenders makes them more susceptible to other threats and obstacles, such as physical attacks, judicial harassment or difficulties fundraising.</w:t>
      </w:r>
    </w:p>
    <w:p w14:paraId="609B98D7" w14:textId="77777777" w:rsidR="00455F41" w:rsidRPr="00674407" w:rsidRDefault="00455F41" w:rsidP="00455F41">
      <w:pPr>
        <w:spacing w:after="0" w:line="240" w:lineRule="auto"/>
        <w:rPr>
          <w:rFonts w:asciiTheme="majorHAnsi" w:eastAsiaTheme="minorEastAsia" w:hAnsiTheme="majorHAnsi" w:cstheme="minorBidi"/>
          <w:lang w:val="en-GB"/>
        </w:rPr>
      </w:pPr>
    </w:p>
    <w:p w14:paraId="4C435F4C" w14:textId="77777777" w:rsidR="00455F41" w:rsidRPr="00674407" w:rsidRDefault="00455F41" w:rsidP="0065211B">
      <w:pPr>
        <w:numPr>
          <w:ilvl w:val="0"/>
          <w:numId w:val="5"/>
        </w:numPr>
        <w:spacing w:after="0" w:line="240" w:lineRule="auto"/>
        <w:contextualSpacing/>
        <w:rPr>
          <w:rFonts w:asciiTheme="majorHAnsi" w:hAnsiTheme="majorHAnsi"/>
          <w:lang w:val="en-GB"/>
        </w:rPr>
      </w:pPr>
      <w:proofErr w:type="gramStart"/>
      <w:r w:rsidRPr="00674407">
        <w:rPr>
          <w:rFonts w:asciiTheme="majorHAnsi" w:hAnsiTheme="majorHAnsi"/>
          <w:lang w:val="en-GB"/>
        </w:rPr>
        <w:t>Stigmatisation campaigns against defenders have been carried out by transnational companies, right-wing media and State authorities, through formal and social media outlets</w:t>
      </w:r>
      <w:proofErr w:type="gramEnd"/>
      <w:r w:rsidRPr="00674407">
        <w:rPr>
          <w:rFonts w:asciiTheme="majorHAnsi" w:hAnsiTheme="majorHAnsi"/>
          <w:lang w:val="en-GB"/>
        </w:rPr>
        <w:t>.</w:t>
      </w:r>
      <w:r w:rsidRPr="00674407">
        <w:rPr>
          <w:rFonts w:asciiTheme="majorHAnsi" w:hAnsiTheme="majorHAnsi"/>
          <w:vertAlign w:val="superscript"/>
          <w:lang w:val="en-GB"/>
        </w:rPr>
        <w:endnoteReference w:id="11"/>
      </w:r>
    </w:p>
    <w:p w14:paraId="4FABD5BA" w14:textId="77777777" w:rsidR="00455F41" w:rsidRPr="00674407" w:rsidRDefault="00455F41" w:rsidP="0065211B">
      <w:pPr>
        <w:numPr>
          <w:ilvl w:val="0"/>
          <w:numId w:val="5"/>
        </w:numPr>
        <w:spacing w:after="0" w:line="240" w:lineRule="auto"/>
        <w:contextualSpacing/>
        <w:rPr>
          <w:rFonts w:asciiTheme="majorHAnsi" w:hAnsiTheme="majorHAnsi"/>
          <w:lang w:val="en-GB"/>
        </w:rPr>
      </w:pPr>
      <w:r w:rsidRPr="00674407">
        <w:rPr>
          <w:rFonts w:asciiTheme="majorHAnsi" w:hAnsiTheme="majorHAnsi"/>
          <w:lang w:val="en-GB"/>
        </w:rPr>
        <w:t>‘D</w:t>
      </w:r>
      <w:r w:rsidRPr="00674407">
        <w:rPr>
          <w:rFonts w:asciiTheme="majorHAnsi" w:hAnsiTheme="majorHAnsi" w:cs="CandidaStd-Roman"/>
          <w:lang w:val="en-GB"/>
        </w:rPr>
        <w:t>efenders are accused of committing crimes such as: unlawful association; conspiracy; terrorism; inciting crime; acts against homeland security; offenses against the life, security and personal freedoms of others, such as murder, abduction or kidnapping, unlawful detention, etc. Furthermore, community leaders are tendentiously labelled as delinquents’. Defenders reporting violations in the context of business operations have been labelled as ’anti-capitalist’.</w:t>
      </w:r>
      <w:r w:rsidRPr="00674407">
        <w:rPr>
          <w:rFonts w:asciiTheme="majorHAnsi" w:hAnsiTheme="majorHAnsi" w:cs="CandidaStd-Roman"/>
          <w:vertAlign w:val="superscript"/>
          <w:lang w:val="en-GB"/>
        </w:rPr>
        <w:endnoteReference w:id="12"/>
      </w:r>
    </w:p>
    <w:p w14:paraId="0E3328B9" w14:textId="77777777" w:rsidR="00455F41" w:rsidRPr="00674407" w:rsidRDefault="00455F41" w:rsidP="0065211B">
      <w:pPr>
        <w:widowControl w:val="0"/>
        <w:numPr>
          <w:ilvl w:val="0"/>
          <w:numId w:val="5"/>
        </w:numPr>
        <w:autoSpaceDE w:val="0"/>
        <w:autoSpaceDN w:val="0"/>
        <w:adjustRightInd w:val="0"/>
        <w:spacing w:after="0" w:line="240" w:lineRule="auto"/>
        <w:contextualSpacing/>
        <w:rPr>
          <w:rFonts w:asciiTheme="majorHAnsi" w:hAnsiTheme="majorHAnsi" w:cs="CandidaStd-Roman"/>
          <w:lang w:val="en-GB"/>
        </w:rPr>
      </w:pPr>
      <w:r w:rsidRPr="00674407">
        <w:rPr>
          <w:rFonts w:asciiTheme="majorHAnsi" w:hAnsiTheme="majorHAnsi" w:cs="CandidaStd-Roman"/>
          <w:lang w:val="en-GB"/>
        </w:rPr>
        <w:t>‘Newspapers and television reports have accused the international community of financing terrorists and murderers. Several embassies that support local NGOs through financial donations were attacked. These media campaigns have led to the suspension of working partnerships with NGOs, and in the case of one NGO, formal cooperation was withdrawn’.</w:t>
      </w:r>
      <w:r w:rsidRPr="00674407">
        <w:rPr>
          <w:rFonts w:asciiTheme="majorHAnsi" w:hAnsiTheme="majorHAnsi" w:cs="CandidaStd-Roman"/>
          <w:vertAlign w:val="superscript"/>
          <w:lang w:val="en-GB"/>
        </w:rPr>
        <w:endnoteReference w:id="13"/>
      </w:r>
    </w:p>
    <w:p w14:paraId="5BAE071D" w14:textId="77777777" w:rsidR="00455F41" w:rsidRDefault="00455F41" w:rsidP="0065211B">
      <w:pPr>
        <w:numPr>
          <w:ilvl w:val="0"/>
          <w:numId w:val="5"/>
        </w:numPr>
        <w:spacing w:after="0" w:line="240" w:lineRule="auto"/>
        <w:contextualSpacing/>
        <w:rPr>
          <w:rFonts w:asciiTheme="majorHAnsi" w:hAnsiTheme="majorHAnsi"/>
          <w:lang w:val="en-GB"/>
        </w:rPr>
      </w:pPr>
      <w:r w:rsidRPr="00674407">
        <w:rPr>
          <w:rFonts w:asciiTheme="majorHAnsi" w:hAnsiTheme="majorHAnsi"/>
          <w:lang w:val="en-GB"/>
        </w:rPr>
        <w:t>160 of the 172 human rights defenders subjected to defamation campaigns in 2013 were defenders of economic, social and cultural rights.</w:t>
      </w:r>
      <w:r w:rsidRPr="00674407">
        <w:rPr>
          <w:rFonts w:asciiTheme="majorHAnsi" w:hAnsiTheme="majorHAnsi"/>
          <w:vertAlign w:val="superscript"/>
          <w:lang w:val="en-GB"/>
        </w:rPr>
        <w:endnoteReference w:id="14"/>
      </w:r>
    </w:p>
    <w:p w14:paraId="2203E05A" w14:textId="6381C6B6" w:rsidR="004510B2" w:rsidRDefault="004510B2" w:rsidP="0065211B">
      <w:pPr>
        <w:numPr>
          <w:ilvl w:val="0"/>
          <w:numId w:val="5"/>
        </w:numPr>
        <w:spacing w:after="0" w:line="240" w:lineRule="auto"/>
        <w:contextualSpacing/>
        <w:rPr>
          <w:rFonts w:asciiTheme="majorHAnsi" w:hAnsiTheme="majorHAnsi"/>
          <w:lang w:val="en-GB"/>
        </w:rPr>
      </w:pPr>
      <w:r>
        <w:rPr>
          <w:rFonts w:asciiTheme="majorHAnsi" w:hAnsiTheme="majorHAnsi"/>
          <w:lang w:val="en-GB"/>
        </w:rPr>
        <w:t xml:space="preserve">Stigmatisation affects women human rights defenders differently and disproportionately, given that they already face the additional threats of </w:t>
      </w:r>
      <w:r w:rsidRPr="004510B2">
        <w:rPr>
          <w:rFonts w:asciiTheme="majorHAnsi" w:hAnsiTheme="majorHAnsi"/>
          <w:i/>
          <w:lang w:val="en-GB"/>
        </w:rPr>
        <w:t>machismo</w:t>
      </w:r>
      <w:r>
        <w:rPr>
          <w:rFonts w:asciiTheme="majorHAnsi" w:hAnsiTheme="majorHAnsi"/>
          <w:lang w:val="en-GB"/>
        </w:rPr>
        <w:t>. Women are criticised by State and non-State actors, including members of their own communities and households, for taking on roles of leaders and activists and ‘neglecting their duties’ in the home.</w:t>
      </w:r>
      <w:r>
        <w:rPr>
          <w:rStyle w:val="Refdenotaalfinal"/>
          <w:rFonts w:asciiTheme="majorHAnsi" w:hAnsiTheme="majorHAnsi"/>
          <w:lang w:val="en-GB"/>
        </w:rPr>
        <w:endnoteReference w:id="15"/>
      </w:r>
    </w:p>
    <w:p w14:paraId="2E2EE031" w14:textId="05708397" w:rsidR="00C73861" w:rsidRDefault="00C73861" w:rsidP="0065211B">
      <w:pPr>
        <w:numPr>
          <w:ilvl w:val="0"/>
          <w:numId w:val="5"/>
        </w:numPr>
        <w:spacing w:after="0" w:line="240" w:lineRule="auto"/>
        <w:contextualSpacing/>
        <w:rPr>
          <w:rFonts w:asciiTheme="majorHAnsi" w:hAnsiTheme="majorHAnsi"/>
          <w:lang w:val="en-GB"/>
        </w:rPr>
      </w:pPr>
      <w:r>
        <w:rPr>
          <w:rFonts w:asciiTheme="majorHAnsi" w:hAnsiTheme="majorHAnsi"/>
          <w:lang w:val="en-GB"/>
        </w:rPr>
        <w:t>Some NGOs have stated that indigenous defenders face a double-discrimination and stigmatisation due to racist attitudes amongst some authorities.</w:t>
      </w:r>
      <w:r>
        <w:rPr>
          <w:rStyle w:val="Refdenotaalfinal"/>
          <w:rFonts w:asciiTheme="majorHAnsi" w:hAnsiTheme="majorHAnsi"/>
          <w:lang w:val="en-GB"/>
        </w:rPr>
        <w:endnoteReference w:id="16"/>
      </w:r>
    </w:p>
    <w:p w14:paraId="0579D1EF" w14:textId="3B574278" w:rsidR="004E5FC0" w:rsidRPr="00674407" w:rsidRDefault="004E5FC0" w:rsidP="0065211B">
      <w:pPr>
        <w:numPr>
          <w:ilvl w:val="0"/>
          <w:numId w:val="5"/>
        </w:numPr>
        <w:spacing w:after="0" w:line="240" w:lineRule="auto"/>
        <w:contextualSpacing/>
        <w:rPr>
          <w:rFonts w:asciiTheme="majorHAnsi" w:hAnsiTheme="majorHAnsi"/>
          <w:lang w:val="en-GB"/>
        </w:rPr>
      </w:pPr>
      <w:r>
        <w:rPr>
          <w:rFonts w:asciiTheme="majorHAnsi" w:hAnsiTheme="majorHAnsi"/>
          <w:lang w:val="en-GB"/>
        </w:rPr>
        <w:t>Defenders also complain of cases where authorities take the decision unilaterally to end a process of dialogue, but then blame the community or the NGOs, leaving them open to criticism by a range of actors.</w:t>
      </w:r>
      <w:r>
        <w:rPr>
          <w:rStyle w:val="Refdenotaalfinal"/>
          <w:rFonts w:asciiTheme="majorHAnsi" w:hAnsiTheme="majorHAnsi"/>
          <w:lang w:val="en-GB"/>
        </w:rPr>
        <w:endnoteReference w:id="17"/>
      </w:r>
    </w:p>
    <w:p w14:paraId="558F7FA6" w14:textId="77777777" w:rsidR="00455F41" w:rsidRDefault="00455F41" w:rsidP="00455F41">
      <w:pPr>
        <w:spacing w:after="0" w:line="240" w:lineRule="auto"/>
        <w:contextualSpacing/>
        <w:rPr>
          <w:rFonts w:asciiTheme="majorHAnsi" w:hAnsiTheme="majorHAnsi"/>
          <w:lang w:val="en-GB"/>
        </w:rPr>
      </w:pPr>
    </w:p>
    <w:p w14:paraId="2C891EDC" w14:textId="77777777" w:rsidR="00F409A4" w:rsidRDefault="00F409A4" w:rsidP="00455F41">
      <w:pPr>
        <w:spacing w:after="0" w:line="240" w:lineRule="auto"/>
        <w:contextualSpacing/>
        <w:rPr>
          <w:rFonts w:asciiTheme="majorHAnsi" w:hAnsiTheme="majorHAnsi"/>
          <w:lang w:val="en-GB"/>
        </w:rPr>
      </w:pPr>
    </w:p>
    <w:p w14:paraId="2371B42B" w14:textId="77777777" w:rsidR="00F409A4" w:rsidRPr="00674407" w:rsidRDefault="00F409A4" w:rsidP="00455F41">
      <w:pPr>
        <w:spacing w:after="0" w:line="240" w:lineRule="auto"/>
        <w:contextualSpacing/>
        <w:rPr>
          <w:rFonts w:asciiTheme="majorHAnsi" w:hAnsiTheme="majorHAnsi"/>
          <w:lang w:val="en-GB"/>
        </w:rPr>
      </w:pPr>
    </w:p>
    <w:p w14:paraId="2B8DA831" w14:textId="77777777" w:rsidR="00CF182C" w:rsidRDefault="00CF182C" w:rsidP="00455F41">
      <w:pPr>
        <w:spacing w:after="0" w:line="240" w:lineRule="auto"/>
        <w:rPr>
          <w:rFonts w:asciiTheme="majorHAnsi" w:eastAsiaTheme="minorEastAsia" w:hAnsiTheme="majorHAnsi" w:cstheme="minorBidi"/>
          <w:b/>
          <w:lang w:val="en-GB"/>
        </w:rPr>
      </w:pPr>
    </w:p>
    <w:p w14:paraId="4A75A77D" w14:textId="6D6C9EF6" w:rsidR="00CF182C" w:rsidRDefault="00CF182C" w:rsidP="00455F41">
      <w:pPr>
        <w:spacing w:after="0" w:line="240" w:lineRule="auto"/>
        <w:rPr>
          <w:rFonts w:asciiTheme="majorHAnsi" w:eastAsiaTheme="minorEastAsia" w:hAnsiTheme="majorHAnsi" w:cstheme="minorBidi"/>
          <w:b/>
          <w:lang w:val="en-GB"/>
        </w:rPr>
      </w:pPr>
      <w:r w:rsidRPr="00674407">
        <w:rPr>
          <w:rFonts w:asciiTheme="majorHAnsi" w:hAnsiTheme="majorHAnsi"/>
          <w:bCs/>
          <w:i/>
          <w:noProof/>
          <w:lang w:val="es-ES" w:eastAsia="es-ES"/>
        </w:rPr>
        <w:lastRenderedPageBreak/>
        <mc:AlternateContent>
          <mc:Choice Requires="wps">
            <w:drawing>
              <wp:anchor distT="45720" distB="45720" distL="114300" distR="114300" simplePos="0" relativeHeight="251659264" behindDoc="0" locked="0" layoutInCell="1" allowOverlap="1" wp14:anchorId="4CDB05B1" wp14:editId="3E952C50">
                <wp:simplePos x="0" y="0"/>
                <wp:positionH relativeFrom="margin">
                  <wp:posOffset>0</wp:posOffset>
                </wp:positionH>
                <wp:positionV relativeFrom="paragraph">
                  <wp:posOffset>49337</wp:posOffset>
                </wp:positionV>
                <wp:extent cx="6286500" cy="432308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323080"/>
                        </a:xfrm>
                        <a:prstGeom prst="rect">
                          <a:avLst/>
                        </a:prstGeom>
                        <a:solidFill>
                          <a:srgbClr val="FFFFFF"/>
                        </a:solidFill>
                        <a:ln w="9525">
                          <a:solidFill>
                            <a:srgbClr val="000000"/>
                          </a:solidFill>
                          <a:miter lim="800000"/>
                          <a:headEnd/>
                          <a:tailEnd/>
                        </a:ln>
                      </wps:spPr>
                      <wps:txbx>
                        <w:txbxContent>
                          <w:p w14:paraId="6A10ED24" w14:textId="39A95D19" w:rsidR="00F409A4" w:rsidRPr="00455F41" w:rsidRDefault="00F409A4" w:rsidP="00455F41">
                            <w:pPr>
                              <w:rPr>
                                <w:i/>
                                <w:lang w:val="en-GB"/>
                              </w:rPr>
                            </w:pPr>
                            <w:r>
                              <w:rPr>
                                <w:bCs/>
                                <w:i/>
                                <w:lang w:val="en-GB"/>
                              </w:rPr>
                              <w:t>Pacific “</w:t>
                            </w:r>
                            <w:r w:rsidRPr="00322890">
                              <w:rPr>
                                <w:bCs/>
                                <w:i/>
                                <w:lang w:val="en-GB"/>
                              </w:rPr>
                              <w:t xml:space="preserve">Resistencia </w:t>
                            </w:r>
                            <w:r>
                              <w:rPr>
                                <w:bCs/>
                                <w:i/>
                                <w:lang w:val="en-GB"/>
                              </w:rPr>
                              <w:t xml:space="preserve">Nuevo </w:t>
                            </w:r>
                            <w:proofErr w:type="spellStart"/>
                            <w:r>
                              <w:rPr>
                                <w:bCs/>
                                <w:i/>
                                <w:lang w:val="en-GB"/>
                              </w:rPr>
                              <w:t>Amanecer</w:t>
                            </w:r>
                            <w:proofErr w:type="spellEnd"/>
                            <w:r>
                              <w:rPr>
                                <w:bCs/>
                                <w:i/>
                                <w:lang w:val="en-GB"/>
                              </w:rPr>
                              <w:t>”</w:t>
                            </w:r>
                            <w:r w:rsidRPr="00322890">
                              <w:rPr>
                                <w:bCs/>
                                <w:i/>
                                <w:lang w:val="en-GB"/>
                              </w:rPr>
                              <w:t xml:space="preserve"> de Barillas: an emblematic case of the criminalisation of defenders working on human rights in the context of business, having their civil and political rights violated </w:t>
                            </w:r>
                          </w:p>
                          <w:p w14:paraId="4067171C" w14:textId="3165485F" w:rsidR="00F409A4" w:rsidRPr="00322890" w:rsidRDefault="00F409A4" w:rsidP="00455F41">
                            <w:pPr>
                              <w:rPr>
                                <w:lang w:val="en-GB"/>
                              </w:rPr>
                            </w:pPr>
                            <w:r w:rsidRPr="00322890">
                              <w:rPr>
                                <w:lang w:val="en-GB"/>
                              </w:rPr>
                              <w:t>In Santa Cruz Barillas, the</w:t>
                            </w:r>
                            <w:r>
                              <w:rPr>
                                <w:lang w:val="en-GB"/>
                              </w:rPr>
                              <w:t xml:space="preserve"> pacific</w:t>
                            </w:r>
                            <w:r w:rsidRPr="00322890">
                              <w:rPr>
                                <w:lang w:val="en-GB"/>
                              </w:rPr>
                              <w:t xml:space="preserve"> </w:t>
                            </w:r>
                            <w:r w:rsidRPr="00322890">
                              <w:rPr>
                                <w:i/>
                                <w:lang w:val="en-GB"/>
                              </w:rPr>
                              <w:t xml:space="preserve">Resistencia </w:t>
                            </w:r>
                            <w:r>
                              <w:rPr>
                                <w:i/>
                                <w:lang w:val="en-GB"/>
                              </w:rPr>
                              <w:t xml:space="preserve">Nuevo </w:t>
                            </w:r>
                            <w:proofErr w:type="spellStart"/>
                            <w:r>
                              <w:rPr>
                                <w:i/>
                                <w:lang w:val="en-GB"/>
                              </w:rPr>
                              <w:t>Amanecer</w:t>
                            </w:r>
                            <w:proofErr w:type="spellEnd"/>
                            <w:r w:rsidRPr="00322890">
                              <w:rPr>
                                <w:lang w:val="en-GB"/>
                              </w:rPr>
                              <w:t xml:space="preserve"> </w:t>
                            </w:r>
                            <w:proofErr w:type="gramStart"/>
                            <w:r w:rsidRPr="00322890">
                              <w:rPr>
                                <w:lang w:val="en-GB"/>
                              </w:rPr>
                              <w:t>have</w:t>
                            </w:r>
                            <w:proofErr w:type="gramEnd"/>
                            <w:r w:rsidRPr="00322890">
                              <w:rPr>
                                <w:lang w:val="en-GB"/>
                              </w:rPr>
                              <w:t xml:space="preserve"> faced </w:t>
                            </w:r>
                            <w:r w:rsidRPr="00322890">
                              <w:rPr>
                                <w:b/>
                                <w:lang w:val="en-GB"/>
                              </w:rPr>
                              <w:t>judicial harassment</w:t>
                            </w:r>
                            <w:r w:rsidRPr="00322890">
                              <w:rPr>
                                <w:lang w:val="en-GB"/>
                              </w:rPr>
                              <w:t xml:space="preserve"> as a reprisal for their opposition to a hydroelectric project, in a clear case of collusion between authorities and the business.</w:t>
                            </w:r>
                          </w:p>
                          <w:p w14:paraId="4F5CDF77" w14:textId="15963882" w:rsidR="00F409A4" w:rsidRPr="00322890" w:rsidRDefault="00F409A4" w:rsidP="00455F41">
                            <w:pPr>
                              <w:rPr>
                                <w:lang w:val="en-GB"/>
                              </w:rPr>
                            </w:pPr>
                            <w:r w:rsidRPr="00322890">
                              <w:rPr>
                                <w:lang w:val="en-GB"/>
                              </w:rPr>
                              <w:t xml:space="preserve">Since 2008, the </w:t>
                            </w:r>
                            <w:proofErr w:type="spellStart"/>
                            <w:r w:rsidRPr="00322890">
                              <w:rPr>
                                <w:lang w:val="en-GB"/>
                              </w:rPr>
                              <w:t>Hidro</w:t>
                            </w:r>
                            <w:proofErr w:type="spellEnd"/>
                            <w:r w:rsidRPr="00322890">
                              <w:rPr>
                                <w:lang w:val="en-GB"/>
                              </w:rPr>
                              <w:t xml:space="preserve"> Santa Cruz company has filed several complaints against resistance members, accusing them of coercion, intimidation and illegal detention, whilst in 2012, 23 apprehension orders were emitted against members on charges of </w:t>
                            </w:r>
                            <w:r w:rsidRPr="00322890">
                              <w:rPr>
                                <w:b/>
                                <w:lang w:val="en-GB"/>
                              </w:rPr>
                              <w:t>terrorism</w:t>
                            </w:r>
                            <w:r w:rsidRPr="00322890">
                              <w:rPr>
                                <w:lang w:val="en-GB"/>
                              </w:rPr>
                              <w:t>.</w:t>
                            </w:r>
                          </w:p>
                          <w:p w14:paraId="47581035" w14:textId="3F029E74" w:rsidR="00F409A4" w:rsidRPr="00322890" w:rsidRDefault="00F409A4" w:rsidP="00455F41">
                            <w:pPr>
                              <w:rPr>
                                <w:lang w:val="en-GB"/>
                              </w:rPr>
                            </w:pPr>
                            <w:r w:rsidRPr="00322890">
                              <w:rPr>
                                <w:lang w:val="en-GB"/>
                              </w:rPr>
                              <w:t xml:space="preserve">The same year saw community leader </w:t>
                            </w:r>
                            <w:proofErr w:type="spellStart"/>
                            <w:r w:rsidRPr="00322890">
                              <w:rPr>
                                <w:lang w:val="en-GB"/>
                              </w:rPr>
                              <w:t>Andrés</w:t>
                            </w:r>
                            <w:proofErr w:type="spellEnd"/>
                            <w:r w:rsidRPr="00322890">
                              <w:rPr>
                                <w:lang w:val="en-GB"/>
                              </w:rPr>
                              <w:t xml:space="preserve"> Francisco Miguel </w:t>
                            </w:r>
                            <w:r w:rsidRPr="00322890">
                              <w:rPr>
                                <w:b/>
                                <w:lang w:val="en-GB"/>
                              </w:rPr>
                              <w:t>killed</w:t>
                            </w:r>
                            <w:r w:rsidRPr="00322890">
                              <w:rPr>
                                <w:lang w:val="en-GB"/>
                              </w:rPr>
                              <w:t xml:space="preserve"> by members of the company’s </w:t>
                            </w:r>
                            <w:r w:rsidRPr="00322890">
                              <w:rPr>
                                <w:b/>
                                <w:lang w:val="en-GB"/>
                              </w:rPr>
                              <w:t>private security</w:t>
                            </w:r>
                            <w:r w:rsidRPr="00322890">
                              <w:rPr>
                                <w:lang w:val="en-GB"/>
                              </w:rPr>
                              <w:t xml:space="preserve"> firm.</w:t>
                            </w:r>
                          </w:p>
                          <w:p w14:paraId="001674FF" w14:textId="6285B010" w:rsidR="00F409A4" w:rsidRPr="00322890" w:rsidRDefault="00F409A4" w:rsidP="00455F41">
                            <w:pPr>
                              <w:rPr>
                                <w:lang w:val="en-GB"/>
                              </w:rPr>
                            </w:pPr>
                            <w:r w:rsidRPr="00322890">
                              <w:rPr>
                                <w:lang w:val="en-GB"/>
                              </w:rPr>
                              <w:t xml:space="preserve">A </w:t>
                            </w:r>
                            <w:r>
                              <w:rPr>
                                <w:b/>
                                <w:lang w:val="en-GB"/>
                              </w:rPr>
                              <w:t>state of s</w:t>
                            </w:r>
                            <w:r w:rsidRPr="00322890">
                              <w:rPr>
                                <w:b/>
                                <w:lang w:val="en-GB"/>
                              </w:rPr>
                              <w:t>iege</w:t>
                            </w:r>
                            <w:r w:rsidRPr="00322890">
                              <w:rPr>
                                <w:lang w:val="en-GB"/>
                              </w:rPr>
                              <w:t xml:space="preserve"> was declared and nine resistance members arbitrarily </w:t>
                            </w:r>
                            <w:r w:rsidRPr="00322890">
                              <w:rPr>
                                <w:b/>
                                <w:lang w:val="en-GB"/>
                              </w:rPr>
                              <w:t>detained</w:t>
                            </w:r>
                            <w:r w:rsidRPr="00322890">
                              <w:rPr>
                                <w:lang w:val="en-GB"/>
                              </w:rPr>
                              <w:t>, in a case documented by the UN Working Group on Arbitrary Detention. Two more members were detained in 2013.</w:t>
                            </w:r>
                          </w:p>
                          <w:p w14:paraId="3E7FA9F7" w14:textId="3DC0538B" w:rsidR="00F409A4" w:rsidRPr="00322890" w:rsidRDefault="00F409A4" w:rsidP="00455F41">
                            <w:pPr>
                              <w:rPr>
                                <w:lang w:val="en-GB"/>
                              </w:rPr>
                            </w:pPr>
                            <w:r w:rsidRPr="00322890">
                              <w:rPr>
                                <w:lang w:val="en-GB"/>
                              </w:rPr>
                              <w:t xml:space="preserve">In February of this year Arturo Pablo, Francisco Juan and </w:t>
                            </w:r>
                            <w:proofErr w:type="spellStart"/>
                            <w:r w:rsidRPr="00322890">
                              <w:rPr>
                                <w:lang w:val="en-GB"/>
                              </w:rPr>
                              <w:t>Adalberto</w:t>
                            </w:r>
                            <w:proofErr w:type="spellEnd"/>
                            <w:r w:rsidRPr="00322890">
                              <w:rPr>
                                <w:lang w:val="en-GB"/>
                              </w:rPr>
                              <w:t xml:space="preserve"> </w:t>
                            </w:r>
                            <w:proofErr w:type="spellStart"/>
                            <w:r w:rsidRPr="00322890">
                              <w:rPr>
                                <w:lang w:val="en-GB"/>
                              </w:rPr>
                              <w:t>Villatoro</w:t>
                            </w:r>
                            <w:proofErr w:type="spellEnd"/>
                            <w:r w:rsidRPr="00322890">
                              <w:rPr>
                                <w:lang w:val="en-GB"/>
                              </w:rPr>
                              <w:t xml:space="preserve"> were accused diverse crimes including kidnap and illicit protest, and put under orders of </w:t>
                            </w:r>
                            <w:r w:rsidRPr="00322890">
                              <w:rPr>
                                <w:b/>
                                <w:lang w:val="en-GB"/>
                              </w:rPr>
                              <w:t>preventative detention</w:t>
                            </w:r>
                            <w:r w:rsidRPr="00322890">
                              <w:rPr>
                                <w:lang w:val="en-GB"/>
                              </w:rPr>
                              <w:t xml:space="preserve">. The accusations against them were made by </w:t>
                            </w:r>
                            <w:proofErr w:type="spellStart"/>
                            <w:r w:rsidRPr="00322890">
                              <w:rPr>
                                <w:lang w:val="en-GB"/>
                              </w:rPr>
                              <w:t>Hidro</w:t>
                            </w:r>
                            <w:proofErr w:type="spellEnd"/>
                            <w:r w:rsidRPr="00322890">
                              <w:rPr>
                                <w:lang w:val="en-GB"/>
                              </w:rPr>
                              <w:t xml:space="preserve"> Santa Cruz</w:t>
                            </w:r>
                          </w:p>
                          <w:p w14:paraId="42A83DA0" w14:textId="77777777" w:rsidR="00F409A4" w:rsidRPr="00CD7FBE" w:rsidRDefault="00F409A4" w:rsidP="00455F41">
                            <w:pPr>
                              <w:rPr>
                                <w:b/>
                                <w:u w:val="single"/>
                                <w:lang w:val="en-GB"/>
                              </w:rPr>
                            </w:pPr>
                            <w:r>
                              <w:rPr>
                                <w:lang w:val="en-GB"/>
                              </w:rPr>
                              <w:t xml:space="preserve">Pacific </w:t>
                            </w:r>
                            <w:r w:rsidRPr="00322890">
                              <w:rPr>
                                <w:i/>
                                <w:lang w:val="en-GB"/>
                              </w:rPr>
                              <w:t>Resistencia</w:t>
                            </w:r>
                            <w:r>
                              <w:rPr>
                                <w:i/>
                                <w:lang w:val="en-GB"/>
                              </w:rPr>
                              <w:t xml:space="preserve"> Nuevo </w:t>
                            </w:r>
                            <w:proofErr w:type="spellStart"/>
                            <w:r>
                              <w:rPr>
                                <w:i/>
                                <w:lang w:val="en-GB"/>
                              </w:rPr>
                              <w:t>Amanecer</w:t>
                            </w:r>
                            <w:proofErr w:type="spellEnd"/>
                            <w:r>
                              <w:rPr>
                                <w:i/>
                                <w:lang w:val="en-GB"/>
                              </w:rPr>
                              <w:t>,</w:t>
                            </w:r>
                            <w:r w:rsidRPr="00322890">
                              <w:rPr>
                                <w:i/>
                                <w:lang w:val="en-GB"/>
                              </w:rPr>
                              <w:t xml:space="preserve"> de Barillas</w:t>
                            </w:r>
                            <w:r>
                              <w:rPr>
                                <w:i/>
                                <w:lang w:val="en-GB"/>
                              </w:rPr>
                              <w:t>,</w:t>
                            </w:r>
                            <w:r w:rsidRPr="00322890">
                              <w:rPr>
                                <w:lang w:val="en-GB"/>
                              </w:rPr>
                              <w:t xml:space="preserve"> continues to defend the right to free, prior and informed consent, denounce human rights violations and demand that the project be stalled. </w:t>
                            </w:r>
                            <w:r w:rsidRPr="00322890">
                              <w:rPr>
                                <w:rStyle w:val="Refdenotaalfinal"/>
                                <w:lang w:val="en-GB"/>
                              </w:rPr>
                              <w:footnoteRe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4CDB05B1" id="_x0000_t202" coordsize="21600,21600" o:spt="202" path="m,l,21600r21600,l21600,xe">
                <v:stroke joinstyle="miter"/>
                <v:path gradientshapeok="t" o:connecttype="rect"/>
              </v:shapetype>
              <v:shape id="Text Box 2" o:spid="_x0000_s1026" type="#_x0000_t202" style="position:absolute;margin-left:0;margin-top:3.9pt;width:495pt;height:78.2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">
                <v:textbox style="mso-fit-shape-to-text:t">
                  <w:txbxContent>
                    <w:p w14:paraId="6A10ED24" w14:textId="39A95D19" w:rsidR="00F409A4" w:rsidRPr="00455F41" w:rsidRDefault="00F409A4" w:rsidP="00455F41">
                      <w:pPr>
                        <w:rPr>
                          <w:i/>
                          <w:lang w:val="en-GB"/>
                        </w:rPr>
                      </w:pPr>
                      <w:r>
                        <w:rPr>
                          <w:bCs/>
                          <w:i/>
                          <w:lang w:val="en-GB"/>
                        </w:rPr>
                        <w:t>Pacific “</w:t>
                      </w:r>
                      <w:r w:rsidRPr="00322890">
                        <w:rPr>
                          <w:bCs/>
                          <w:i/>
                          <w:lang w:val="en-GB"/>
                        </w:rPr>
                        <w:t xml:space="preserve">Resistencia </w:t>
                      </w:r>
                      <w:r>
                        <w:rPr>
                          <w:bCs/>
                          <w:i/>
                          <w:lang w:val="en-GB"/>
                        </w:rPr>
                        <w:t>Nuevo Amanecer”</w:t>
                      </w:r>
                      <w:r w:rsidRPr="00322890">
                        <w:rPr>
                          <w:bCs/>
                          <w:i/>
                          <w:lang w:val="en-GB"/>
                        </w:rPr>
                        <w:t xml:space="preserve"> de Barillas: an emblematic case of the criminalisation of defenders working on human rights in the context of business, having their civil and political rights violated </w:t>
                      </w:r>
                    </w:p>
                    <w:p w14:paraId="4067171C" w14:textId="3165485F" w:rsidR="00F409A4" w:rsidRPr="00322890" w:rsidRDefault="00F409A4" w:rsidP="00455F41">
                      <w:pPr>
                        <w:rPr>
                          <w:lang w:val="en-GB"/>
                        </w:rPr>
                      </w:pPr>
                      <w:r w:rsidRPr="00322890">
                        <w:rPr>
                          <w:lang w:val="en-GB"/>
                        </w:rPr>
                        <w:t>In Santa Cruz Barillas, the</w:t>
                      </w:r>
                      <w:r>
                        <w:rPr>
                          <w:lang w:val="en-GB"/>
                        </w:rPr>
                        <w:t xml:space="preserve"> pacific</w:t>
                      </w:r>
                      <w:r w:rsidRPr="00322890">
                        <w:rPr>
                          <w:lang w:val="en-GB"/>
                        </w:rPr>
                        <w:t xml:space="preserve"> </w:t>
                      </w:r>
                      <w:r w:rsidRPr="00322890">
                        <w:rPr>
                          <w:i/>
                          <w:lang w:val="en-GB"/>
                        </w:rPr>
                        <w:t xml:space="preserve">Resistencia </w:t>
                      </w:r>
                      <w:r>
                        <w:rPr>
                          <w:i/>
                          <w:lang w:val="en-GB"/>
                        </w:rPr>
                        <w:t>Nuevo Amanecer</w:t>
                      </w:r>
                      <w:r w:rsidRPr="00322890">
                        <w:rPr>
                          <w:lang w:val="en-GB"/>
                        </w:rPr>
                        <w:t xml:space="preserve"> have faced </w:t>
                      </w:r>
                      <w:r w:rsidRPr="00322890">
                        <w:rPr>
                          <w:b/>
                          <w:lang w:val="en-GB"/>
                        </w:rPr>
                        <w:t>judicial harassment</w:t>
                      </w:r>
                      <w:r w:rsidRPr="00322890">
                        <w:rPr>
                          <w:lang w:val="en-GB"/>
                        </w:rPr>
                        <w:t xml:space="preserve"> as a reprisal for their opposition to a hydroelectric project, in a clear case of collusion between authorities and the business.</w:t>
                      </w:r>
                    </w:p>
                    <w:p w14:paraId="4F5CDF77" w14:textId="15963882" w:rsidR="00F409A4" w:rsidRPr="00322890" w:rsidRDefault="00F409A4" w:rsidP="00455F41">
                      <w:pPr>
                        <w:rPr>
                          <w:lang w:val="en-GB"/>
                        </w:rPr>
                      </w:pPr>
                      <w:r w:rsidRPr="00322890">
                        <w:rPr>
                          <w:lang w:val="en-GB"/>
                        </w:rPr>
                        <w:t xml:space="preserve">Since 2008, the Hidro Santa Cruz company has filed several complaints against resistance members, accusing them of coercion, intimidation and illegal detention, whilst in 2012, 23 apprehension orders were emitted against members on charges of </w:t>
                      </w:r>
                      <w:r w:rsidRPr="00322890">
                        <w:rPr>
                          <w:b/>
                          <w:lang w:val="en-GB"/>
                        </w:rPr>
                        <w:t>terrorism</w:t>
                      </w:r>
                      <w:r w:rsidRPr="00322890">
                        <w:rPr>
                          <w:lang w:val="en-GB"/>
                        </w:rPr>
                        <w:t>.</w:t>
                      </w:r>
                    </w:p>
                    <w:p w14:paraId="47581035" w14:textId="3F029E74" w:rsidR="00F409A4" w:rsidRPr="00322890" w:rsidRDefault="00F409A4" w:rsidP="00455F41">
                      <w:pPr>
                        <w:rPr>
                          <w:lang w:val="en-GB"/>
                        </w:rPr>
                      </w:pPr>
                      <w:r w:rsidRPr="00322890">
                        <w:rPr>
                          <w:lang w:val="en-GB"/>
                        </w:rPr>
                        <w:t xml:space="preserve">The same year saw community leader Andrés Francisco Miguel </w:t>
                      </w:r>
                      <w:r w:rsidRPr="00322890">
                        <w:rPr>
                          <w:b/>
                          <w:lang w:val="en-GB"/>
                        </w:rPr>
                        <w:t>killed</w:t>
                      </w:r>
                      <w:r w:rsidRPr="00322890">
                        <w:rPr>
                          <w:lang w:val="en-GB"/>
                        </w:rPr>
                        <w:t xml:space="preserve"> by members of the company’s </w:t>
                      </w:r>
                      <w:r w:rsidRPr="00322890">
                        <w:rPr>
                          <w:b/>
                          <w:lang w:val="en-GB"/>
                        </w:rPr>
                        <w:t>private security</w:t>
                      </w:r>
                      <w:r w:rsidRPr="00322890">
                        <w:rPr>
                          <w:lang w:val="en-GB"/>
                        </w:rPr>
                        <w:t xml:space="preserve"> firm.</w:t>
                      </w:r>
                    </w:p>
                    <w:p w14:paraId="001674FF" w14:textId="6285B010" w:rsidR="00F409A4" w:rsidRPr="00322890" w:rsidRDefault="00F409A4" w:rsidP="00455F41">
                      <w:pPr>
                        <w:rPr>
                          <w:lang w:val="en-GB"/>
                        </w:rPr>
                      </w:pPr>
                      <w:r w:rsidRPr="00322890">
                        <w:rPr>
                          <w:lang w:val="en-GB"/>
                        </w:rPr>
                        <w:t xml:space="preserve">A </w:t>
                      </w:r>
                      <w:r>
                        <w:rPr>
                          <w:b/>
                          <w:lang w:val="en-GB"/>
                        </w:rPr>
                        <w:t>state of s</w:t>
                      </w:r>
                      <w:r w:rsidRPr="00322890">
                        <w:rPr>
                          <w:b/>
                          <w:lang w:val="en-GB"/>
                        </w:rPr>
                        <w:t>iege</w:t>
                      </w:r>
                      <w:r w:rsidRPr="00322890">
                        <w:rPr>
                          <w:lang w:val="en-GB"/>
                        </w:rPr>
                        <w:t xml:space="preserve"> was declared and nine resistance members arbitrarily </w:t>
                      </w:r>
                      <w:r w:rsidRPr="00322890">
                        <w:rPr>
                          <w:b/>
                          <w:lang w:val="en-GB"/>
                        </w:rPr>
                        <w:t>detained</w:t>
                      </w:r>
                      <w:r w:rsidRPr="00322890">
                        <w:rPr>
                          <w:lang w:val="en-GB"/>
                        </w:rPr>
                        <w:t>, in a case documented by the UN Working Group on Arbitrary Detention. Two more members were detained in 2013.</w:t>
                      </w:r>
                    </w:p>
                    <w:p w14:paraId="3E7FA9F7" w14:textId="3DC0538B" w:rsidR="00F409A4" w:rsidRPr="00322890" w:rsidRDefault="00F409A4" w:rsidP="00455F41">
                      <w:pPr>
                        <w:rPr>
                          <w:lang w:val="en-GB"/>
                        </w:rPr>
                      </w:pPr>
                      <w:r w:rsidRPr="00322890">
                        <w:rPr>
                          <w:lang w:val="en-GB"/>
                        </w:rPr>
                        <w:t xml:space="preserve">In February of this year Arturo Pablo, Francisco Juan and Adalberto Villatoro were accused diverse crimes including kidnap and illicit protest, and put under orders of </w:t>
                      </w:r>
                      <w:r w:rsidRPr="00322890">
                        <w:rPr>
                          <w:b/>
                          <w:lang w:val="en-GB"/>
                        </w:rPr>
                        <w:t>preventative detention</w:t>
                      </w:r>
                      <w:r w:rsidRPr="00322890">
                        <w:rPr>
                          <w:lang w:val="en-GB"/>
                        </w:rPr>
                        <w:t>. The accusations against them were made by Hidro Santa Cruz</w:t>
                      </w:r>
                    </w:p>
                    <w:p w14:paraId="42A83DA0" w14:textId="77777777" w:rsidR="00F409A4" w:rsidRPr="00CD7FBE" w:rsidRDefault="00F409A4" w:rsidP="00455F41">
                      <w:pPr>
                        <w:rPr>
                          <w:b/>
                          <w:u w:val="single"/>
                          <w:lang w:val="en-GB"/>
                        </w:rPr>
                      </w:pPr>
                      <w:r>
                        <w:rPr>
                          <w:lang w:val="en-GB"/>
                        </w:rPr>
                        <w:t xml:space="preserve">Pacific </w:t>
                      </w:r>
                      <w:r w:rsidRPr="00322890">
                        <w:rPr>
                          <w:i/>
                          <w:lang w:val="en-GB"/>
                        </w:rPr>
                        <w:t>Resistencia</w:t>
                      </w:r>
                      <w:r>
                        <w:rPr>
                          <w:i/>
                          <w:lang w:val="en-GB"/>
                        </w:rPr>
                        <w:t xml:space="preserve"> Nuevo Amanecer,</w:t>
                      </w:r>
                      <w:r w:rsidRPr="00322890">
                        <w:rPr>
                          <w:i/>
                          <w:lang w:val="en-GB"/>
                        </w:rPr>
                        <w:t xml:space="preserve"> de Barillas</w:t>
                      </w:r>
                      <w:r>
                        <w:rPr>
                          <w:i/>
                          <w:lang w:val="en-GB"/>
                        </w:rPr>
                        <w:t>,</w:t>
                      </w:r>
                      <w:r w:rsidRPr="00322890">
                        <w:rPr>
                          <w:lang w:val="en-GB"/>
                        </w:rPr>
                        <w:t xml:space="preserve"> continues to defend the right to free, prior and informed consent, denounce human rights violations and demand that the project be stalled. </w:t>
                      </w:r>
                      <w:r w:rsidRPr="00322890">
                        <w:rPr>
                          <w:rStyle w:val="EndnoteReference"/>
                          <w:lang w:val="en-GB"/>
                        </w:rPr>
                        <w:footnoteRef/>
                      </w:r>
                    </w:p>
                  </w:txbxContent>
                </v:textbox>
                <w10:wrap type="square" anchorx="margin"/>
              </v:shape>
            </w:pict>
          </mc:Fallback>
        </mc:AlternateContent>
      </w:r>
    </w:p>
    <w:p w14:paraId="3E53CF6F" w14:textId="5ADBB3A1" w:rsidR="00455F41" w:rsidRPr="00674407" w:rsidRDefault="00455F41" w:rsidP="00455F41">
      <w:pPr>
        <w:spacing w:after="0" w:line="240" w:lineRule="auto"/>
        <w:rPr>
          <w:rFonts w:asciiTheme="majorHAnsi" w:eastAsiaTheme="minorEastAsia" w:hAnsiTheme="majorHAnsi" w:cstheme="minorBidi"/>
          <w:b/>
          <w:lang w:val="en-GB"/>
        </w:rPr>
      </w:pPr>
      <w:r w:rsidRPr="00674407">
        <w:rPr>
          <w:rFonts w:asciiTheme="majorHAnsi" w:eastAsiaTheme="minorEastAsia" w:hAnsiTheme="majorHAnsi" w:cstheme="minorBidi"/>
          <w:b/>
          <w:lang w:val="en-GB"/>
        </w:rPr>
        <w:t xml:space="preserve">4. The criminalisation of the defence of human rights defenders in the context of business operations: judicial </w:t>
      </w:r>
      <w:r w:rsidR="000C7C25" w:rsidRPr="00674407">
        <w:rPr>
          <w:rFonts w:asciiTheme="majorHAnsi" w:eastAsiaTheme="minorEastAsia" w:hAnsiTheme="majorHAnsi" w:cstheme="minorBidi"/>
          <w:b/>
          <w:lang w:val="en-GB"/>
        </w:rPr>
        <w:t>harassment</w:t>
      </w:r>
    </w:p>
    <w:p w14:paraId="30499E61" w14:textId="77777777" w:rsidR="00455F41" w:rsidRPr="00674407" w:rsidRDefault="00455F41" w:rsidP="00455F41">
      <w:pPr>
        <w:spacing w:after="0" w:line="240" w:lineRule="auto"/>
        <w:rPr>
          <w:rFonts w:asciiTheme="majorHAnsi" w:eastAsiaTheme="minorEastAsia" w:hAnsiTheme="majorHAnsi" w:cstheme="minorBidi"/>
          <w:b/>
          <w:lang w:val="en-GB"/>
        </w:rPr>
      </w:pPr>
    </w:p>
    <w:p w14:paraId="134DCCE7" w14:textId="77777777" w:rsidR="00455F41" w:rsidRPr="00674407" w:rsidRDefault="00455F41" w:rsidP="00455F41">
      <w:pPr>
        <w:spacing w:after="0" w:line="240" w:lineRule="auto"/>
        <w:rPr>
          <w:rFonts w:asciiTheme="majorHAnsi" w:eastAsiaTheme="minorEastAsia" w:hAnsiTheme="majorHAnsi" w:cstheme="minorBidi"/>
          <w:lang w:val="en-GB"/>
        </w:rPr>
      </w:pPr>
      <w:r w:rsidRPr="00674407">
        <w:rPr>
          <w:rFonts w:asciiTheme="majorHAnsi" w:eastAsiaTheme="minorEastAsia" w:hAnsiTheme="majorHAnsi" w:cstheme="minorBidi"/>
          <w:lang w:val="en-GB"/>
        </w:rPr>
        <w:t xml:space="preserve">Frontline Defenders, PBI, the Observatory and </w:t>
      </w:r>
      <w:proofErr w:type="spellStart"/>
      <w:r w:rsidRPr="00674407">
        <w:rPr>
          <w:rFonts w:asciiTheme="majorHAnsi" w:eastAsiaTheme="minorEastAsia" w:hAnsiTheme="majorHAnsi" w:cstheme="minorBidi"/>
          <w:lang w:val="en-GB"/>
        </w:rPr>
        <w:t>Udefegua</w:t>
      </w:r>
      <w:proofErr w:type="spellEnd"/>
      <w:r w:rsidRPr="00674407">
        <w:rPr>
          <w:rFonts w:asciiTheme="majorHAnsi" w:eastAsiaTheme="minorEastAsia" w:hAnsiTheme="majorHAnsi" w:cstheme="minorBidi"/>
          <w:lang w:val="en-GB"/>
        </w:rPr>
        <w:t xml:space="preserve"> have all signalled the criminalisation of human rights defenders as a phenomenon which has increased, and which has been used disproportionately to paralyse the work of defenders working on business and human rights. ‘The defenders most affected by criminalisation are those who have taken a stand against natural resource extraction projects’.</w:t>
      </w:r>
      <w:r w:rsidRPr="00674407">
        <w:rPr>
          <w:rFonts w:asciiTheme="majorHAnsi" w:eastAsiaTheme="minorEastAsia" w:hAnsiTheme="majorHAnsi" w:cstheme="minorBidi"/>
          <w:vertAlign w:val="superscript"/>
          <w:lang w:val="en-GB"/>
        </w:rPr>
        <w:endnoteReference w:id="18"/>
      </w:r>
      <w:r w:rsidRPr="00674407">
        <w:rPr>
          <w:rFonts w:asciiTheme="majorHAnsi" w:eastAsiaTheme="minorEastAsia" w:hAnsiTheme="majorHAnsi" w:cstheme="minorBidi"/>
          <w:lang w:val="en-GB"/>
        </w:rPr>
        <w:t xml:space="preserve"> With defenders arbitrarily detained and with criminal proceedings opened against them, they are obliged to use resources which ought to support their defence of other rights, to simply defend themselves.</w:t>
      </w:r>
    </w:p>
    <w:p w14:paraId="2ABA6F58" w14:textId="77777777" w:rsidR="00455F41" w:rsidRPr="00674407" w:rsidRDefault="00455F41" w:rsidP="00455F41">
      <w:pPr>
        <w:spacing w:after="0" w:line="240" w:lineRule="auto"/>
        <w:rPr>
          <w:rFonts w:asciiTheme="majorHAnsi" w:eastAsiaTheme="minorEastAsia" w:hAnsiTheme="majorHAnsi" w:cstheme="minorBidi"/>
          <w:lang w:val="en-GB"/>
        </w:rPr>
      </w:pPr>
    </w:p>
    <w:p w14:paraId="4D4E4A00" w14:textId="77777777" w:rsidR="00455F41" w:rsidRPr="00674407" w:rsidRDefault="00455F41" w:rsidP="0065211B">
      <w:pPr>
        <w:numPr>
          <w:ilvl w:val="0"/>
          <w:numId w:val="6"/>
        </w:numPr>
        <w:spacing w:after="0" w:line="240" w:lineRule="auto"/>
        <w:contextualSpacing/>
        <w:rPr>
          <w:rFonts w:asciiTheme="majorHAnsi" w:hAnsiTheme="majorHAnsi"/>
          <w:lang w:val="en-GB"/>
        </w:rPr>
      </w:pPr>
      <w:r w:rsidRPr="00674407">
        <w:rPr>
          <w:rFonts w:asciiTheme="majorHAnsi" w:hAnsiTheme="majorHAnsi"/>
          <w:lang w:val="en-GB"/>
        </w:rPr>
        <w:t>The rise in public defamation/stigmatisation against defenders goes hand in hand with a rise in judicial harassment against them. Between 2009 and 2013, cases of the former rose from 4 to 39, whilst cases of the latter rose from 23 to 67.</w:t>
      </w:r>
      <w:r w:rsidRPr="00674407">
        <w:rPr>
          <w:rFonts w:asciiTheme="majorHAnsi" w:hAnsiTheme="majorHAnsi"/>
          <w:vertAlign w:val="superscript"/>
          <w:lang w:val="en-GB"/>
        </w:rPr>
        <w:endnoteReference w:id="19"/>
      </w:r>
    </w:p>
    <w:p w14:paraId="4F79C355" w14:textId="77777777" w:rsidR="00455F41" w:rsidRPr="00674407" w:rsidRDefault="00455F41" w:rsidP="0065211B">
      <w:pPr>
        <w:widowControl w:val="0"/>
        <w:numPr>
          <w:ilvl w:val="0"/>
          <w:numId w:val="6"/>
        </w:numPr>
        <w:autoSpaceDE w:val="0"/>
        <w:autoSpaceDN w:val="0"/>
        <w:adjustRightInd w:val="0"/>
        <w:spacing w:after="0" w:line="240" w:lineRule="auto"/>
        <w:contextualSpacing/>
        <w:rPr>
          <w:rFonts w:asciiTheme="majorHAnsi" w:hAnsiTheme="majorHAnsi" w:cs="Bookman Old Style"/>
          <w:color w:val="000000"/>
          <w:lang w:val="en-GB"/>
        </w:rPr>
      </w:pPr>
      <w:proofErr w:type="gramStart"/>
      <w:r w:rsidRPr="00674407">
        <w:rPr>
          <w:rFonts w:asciiTheme="majorHAnsi" w:hAnsiTheme="majorHAnsi" w:cs="Bookman Old Style"/>
          <w:color w:val="000000"/>
          <w:lang w:val="en-GB"/>
        </w:rPr>
        <w:t>Judicial harassment of defenders is initiated by authorities, community members, staff and employees of business projects and justice operators amongst others</w:t>
      </w:r>
      <w:proofErr w:type="gramEnd"/>
      <w:r w:rsidRPr="00674407">
        <w:rPr>
          <w:rFonts w:asciiTheme="majorHAnsi" w:hAnsiTheme="majorHAnsi" w:cs="Bookman Old Style"/>
          <w:color w:val="000000"/>
          <w:lang w:val="en-GB"/>
        </w:rPr>
        <w:t>. It often takes the form of preventative imprisonment, the judicial basis for which is unclear.</w:t>
      </w:r>
      <w:r w:rsidRPr="00674407">
        <w:rPr>
          <w:rFonts w:asciiTheme="majorHAnsi" w:hAnsiTheme="majorHAnsi" w:cs="Bookman Old Style"/>
          <w:color w:val="000000"/>
          <w:vertAlign w:val="superscript"/>
          <w:lang w:val="en-GB"/>
        </w:rPr>
        <w:endnoteReference w:id="20"/>
      </w:r>
    </w:p>
    <w:p w14:paraId="0D476BD9" w14:textId="5B8F6A68" w:rsidR="00455F41" w:rsidRDefault="00455F41" w:rsidP="0065211B">
      <w:pPr>
        <w:numPr>
          <w:ilvl w:val="0"/>
          <w:numId w:val="6"/>
        </w:numPr>
        <w:spacing w:after="0" w:line="240" w:lineRule="auto"/>
        <w:contextualSpacing/>
        <w:rPr>
          <w:rFonts w:asciiTheme="majorHAnsi" w:hAnsiTheme="majorHAnsi"/>
          <w:lang w:val="en-GB"/>
        </w:rPr>
      </w:pPr>
      <w:proofErr w:type="gramStart"/>
      <w:r w:rsidRPr="00674407">
        <w:rPr>
          <w:rFonts w:asciiTheme="majorHAnsi" w:hAnsiTheme="majorHAnsi"/>
          <w:lang w:val="en-GB"/>
        </w:rPr>
        <w:t>Many criminal proceedings are launched by private companies related to the mining and hydroelectric sectors, accusing defenders of crimes such as terrorism, usurpation of land, kidnappings and oth</w:t>
      </w:r>
      <w:r w:rsidR="0036587F" w:rsidRPr="00674407">
        <w:rPr>
          <w:rFonts w:asciiTheme="majorHAnsi" w:hAnsiTheme="majorHAnsi"/>
          <w:lang w:val="en-GB"/>
        </w:rPr>
        <w:t>ers</w:t>
      </w:r>
      <w:proofErr w:type="gramEnd"/>
      <w:r w:rsidR="0036587F" w:rsidRPr="00674407">
        <w:rPr>
          <w:rFonts w:asciiTheme="majorHAnsi" w:hAnsiTheme="majorHAnsi"/>
          <w:lang w:val="en-GB"/>
        </w:rPr>
        <w:t>.</w:t>
      </w:r>
      <w:r w:rsidRPr="00674407">
        <w:rPr>
          <w:rFonts w:asciiTheme="majorHAnsi" w:hAnsiTheme="majorHAnsi"/>
          <w:vertAlign w:val="superscript"/>
          <w:lang w:val="en-GB"/>
        </w:rPr>
        <w:endnoteReference w:id="21"/>
      </w:r>
      <w:r w:rsidR="0036587F" w:rsidRPr="00674407">
        <w:rPr>
          <w:rFonts w:asciiTheme="majorHAnsi" w:hAnsiTheme="majorHAnsi"/>
          <w:lang w:val="en-GB"/>
        </w:rPr>
        <w:t xml:space="preserve"> Human rights defenders have also been accused of participating in organised crime.</w:t>
      </w:r>
      <w:r w:rsidR="0036587F" w:rsidRPr="00674407">
        <w:rPr>
          <w:rStyle w:val="Refdenotaalfinal"/>
          <w:rFonts w:asciiTheme="majorHAnsi" w:hAnsiTheme="majorHAnsi"/>
          <w:lang w:val="en-GB"/>
        </w:rPr>
        <w:endnoteReference w:id="22"/>
      </w:r>
    </w:p>
    <w:p w14:paraId="4E4A6F54" w14:textId="7BB7C294" w:rsidR="00F9122F" w:rsidRPr="00674407" w:rsidRDefault="00F9122F" w:rsidP="0065211B">
      <w:pPr>
        <w:numPr>
          <w:ilvl w:val="0"/>
          <w:numId w:val="6"/>
        </w:numPr>
        <w:spacing w:after="0" w:line="240" w:lineRule="auto"/>
        <w:contextualSpacing/>
        <w:rPr>
          <w:rFonts w:asciiTheme="majorHAnsi" w:hAnsiTheme="majorHAnsi"/>
          <w:lang w:val="en-GB"/>
        </w:rPr>
      </w:pPr>
      <w:r>
        <w:rPr>
          <w:rFonts w:asciiTheme="majorHAnsi" w:hAnsiTheme="majorHAnsi"/>
          <w:lang w:val="en-GB"/>
        </w:rPr>
        <w:t>Every human rights defender interviewed by ISHR spoke of how criminalisation is being used to slow their work, with activists in almost every community either subject to apprehension orders (meaning they could be detained in any moment) or preventative prison. The crimes they are accused of are diverse.</w:t>
      </w:r>
      <w:r>
        <w:rPr>
          <w:rStyle w:val="Refdenotaalfinal"/>
          <w:rFonts w:asciiTheme="majorHAnsi" w:hAnsiTheme="majorHAnsi"/>
          <w:lang w:val="en-GB"/>
        </w:rPr>
        <w:endnoteReference w:id="23"/>
      </w:r>
    </w:p>
    <w:p w14:paraId="080120C1" w14:textId="77777777" w:rsidR="00455F41" w:rsidRPr="00674407" w:rsidRDefault="00455F41" w:rsidP="0065211B">
      <w:pPr>
        <w:numPr>
          <w:ilvl w:val="0"/>
          <w:numId w:val="6"/>
        </w:numPr>
        <w:spacing w:after="0" w:line="240" w:lineRule="auto"/>
        <w:contextualSpacing/>
        <w:rPr>
          <w:rFonts w:asciiTheme="majorHAnsi" w:hAnsiTheme="majorHAnsi"/>
          <w:bCs/>
          <w:lang w:val="en-GB"/>
        </w:rPr>
      </w:pPr>
      <w:r w:rsidRPr="00674407">
        <w:rPr>
          <w:rFonts w:asciiTheme="majorHAnsi" w:hAnsiTheme="majorHAnsi"/>
          <w:bCs/>
          <w:lang w:val="en-GB"/>
        </w:rPr>
        <w:t xml:space="preserve">In March in Huehuetenango, local authorities closed down an indigenous community radio station and detained two indigenous leaders on dubious charges of ‘kidnapping, abduction and instigation to commit a crime’. Both the radio station and the leaders were at the forefront of community resistance to </w:t>
      </w:r>
      <w:proofErr w:type="gramStart"/>
      <w:r w:rsidRPr="00674407">
        <w:rPr>
          <w:rFonts w:asciiTheme="majorHAnsi" w:hAnsiTheme="majorHAnsi"/>
          <w:bCs/>
          <w:lang w:val="en-GB"/>
        </w:rPr>
        <w:t>large scale</w:t>
      </w:r>
      <w:proofErr w:type="gramEnd"/>
      <w:r w:rsidRPr="00674407">
        <w:rPr>
          <w:rFonts w:asciiTheme="majorHAnsi" w:hAnsiTheme="majorHAnsi"/>
          <w:bCs/>
          <w:lang w:val="en-GB"/>
        </w:rPr>
        <w:t xml:space="preserve"> development projects with alleged negative human rights impacts.</w:t>
      </w:r>
      <w:r w:rsidRPr="00674407">
        <w:rPr>
          <w:rFonts w:asciiTheme="majorHAnsi" w:hAnsiTheme="majorHAnsi"/>
          <w:bCs/>
          <w:vertAlign w:val="superscript"/>
          <w:lang w:val="en-GB"/>
        </w:rPr>
        <w:endnoteReference w:id="24"/>
      </w:r>
    </w:p>
    <w:p w14:paraId="2E523314" w14:textId="77777777" w:rsidR="00455F41" w:rsidRPr="00674407" w:rsidRDefault="00455F41" w:rsidP="0065211B">
      <w:pPr>
        <w:widowControl w:val="0"/>
        <w:numPr>
          <w:ilvl w:val="0"/>
          <w:numId w:val="6"/>
        </w:numPr>
        <w:autoSpaceDE w:val="0"/>
        <w:autoSpaceDN w:val="0"/>
        <w:adjustRightInd w:val="0"/>
        <w:spacing w:after="0" w:line="240" w:lineRule="auto"/>
        <w:contextualSpacing/>
        <w:rPr>
          <w:rFonts w:asciiTheme="majorHAnsi" w:hAnsiTheme="majorHAnsi" w:cs="CandidaStd-Roman"/>
          <w:lang w:val="en-GB"/>
        </w:rPr>
      </w:pPr>
      <w:r w:rsidRPr="00674407">
        <w:rPr>
          <w:rFonts w:asciiTheme="majorHAnsi" w:hAnsiTheme="majorHAnsi"/>
          <w:lang w:val="en-GB"/>
        </w:rPr>
        <w:t>The Observatory has alleged that ‘t</w:t>
      </w:r>
      <w:r w:rsidRPr="00674407">
        <w:rPr>
          <w:rFonts w:asciiTheme="majorHAnsi" w:hAnsiTheme="majorHAnsi" w:cs="CandidaStd-Roman"/>
          <w:lang w:val="en-GB"/>
        </w:rPr>
        <w:t xml:space="preserve">he Public Prosecutor is attempting to prosecute defenders for serious </w:t>
      </w:r>
      <w:r w:rsidRPr="00674407">
        <w:rPr>
          <w:rFonts w:asciiTheme="majorHAnsi" w:hAnsiTheme="majorHAnsi" w:cs="CandidaStd-Roman"/>
          <w:lang w:val="en-GB"/>
        </w:rPr>
        <w:lastRenderedPageBreak/>
        <w:t xml:space="preserve">crimes without having the evidence to back up the accusations’. </w:t>
      </w:r>
      <w:r w:rsidRPr="00674407">
        <w:rPr>
          <w:rFonts w:asciiTheme="majorHAnsi" w:hAnsiTheme="majorHAnsi" w:cs="CandidaStd-Roman"/>
          <w:vertAlign w:val="superscript"/>
          <w:lang w:val="en-GB"/>
        </w:rPr>
        <w:endnoteReference w:id="25"/>
      </w:r>
      <w:r w:rsidRPr="00674407">
        <w:rPr>
          <w:rFonts w:asciiTheme="majorHAnsi" w:hAnsiTheme="majorHAnsi" w:cs="CandidaStd-Roman"/>
          <w:lang w:val="en-GB"/>
        </w:rPr>
        <w:t xml:space="preserve"> Many cases are of defenders working on business-related issues, exemplified by the cases detailed below. Cases are usually dropped after months of judicial harassment due to the lack of evidence.</w:t>
      </w:r>
    </w:p>
    <w:p w14:paraId="227E4B20" w14:textId="77777777" w:rsidR="00455F41" w:rsidRPr="00674407" w:rsidRDefault="00455F41" w:rsidP="0065211B">
      <w:pPr>
        <w:widowControl w:val="0"/>
        <w:numPr>
          <w:ilvl w:val="0"/>
          <w:numId w:val="6"/>
        </w:numPr>
        <w:autoSpaceDE w:val="0"/>
        <w:autoSpaceDN w:val="0"/>
        <w:adjustRightInd w:val="0"/>
        <w:spacing w:after="0" w:line="240" w:lineRule="auto"/>
        <w:contextualSpacing/>
        <w:rPr>
          <w:rFonts w:asciiTheme="majorHAnsi" w:hAnsiTheme="majorHAnsi"/>
          <w:lang w:val="en-GB"/>
        </w:rPr>
      </w:pPr>
      <w:r w:rsidRPr="00674407">
        <w:rPr>
          <w:rFonts w:asciiTheme="majorHAnsi" w:hAnsiTheme="majorHAnsi"/>
          <w:lang w:val="en-GB"/>
        </w:rPr>
        <w:t xml:space="preserve">For example, </w:t>
      </w:r>
      <w:proofErr w:type="spellStart"/>
      <w:r w:rsidRPr="00674407">
        <w:rPr>
          <w:rFonts w:asciiTheme="majorHAnsi" w:hAnsiTheme="majorHAnsi"/>
          <w:lang w:val="en-GB"/>
        </w:rPr>
        <w:t>Abelardo</w:t>
      </w:r>
      <w:proofErr w:type="spellEnd"/>
      <w:r w:rsidRPr="00674407">
        <w:rPr>
          <w:rFonts w:asciiTheme="majorHAnsi" w:hAnsiTheme="majorHAnsi"/>
          <w:lang w:val="en-GB"/>
        </w:rPr>
        <w:t xml:space="preserve"> </w:t>
      </w:r>
      <w:proofErr w:type="spellStart"/>
      <w:r w:rsidRPr="00674407">
        <w:rPr>
          <w:rFonts w:asciiTheme="majorHAnsi" w:hAnsiTheme="majorHAnsi"/>
          <w:lang w:val="en-GB"/>
        </w:rPr>
        <w:t>Curup</w:t>
      </w:r>
      <w:proofErr w:type="spellEnd"/>
      <w:r w:rsidRPr="00674407">
        <w:rPr>
          <w:rFonts w:asciiTheme="majorHAnsi" w:hAnsiTheme="majorHAnsi"/>
          <w:lang w:val="en-GB"/>
        </w:rPr>
        <w:t xml:space="preserve">, an indigenous leader involved in stopping a </w:t>
      </w:r>
      <w:proofErr w:type="gramStart"/>
      <w:r w:rsidRPr="00674407">
        <w:rPr>
          <w:rFonts w:asciiTheme="majorHAnsi" w:hAnsiTheme="majorHAnsi"/>
          <w:lang w:val="en-GB"/>
        </w:rPr>
        <w:t>cement manufacturing</w:t>
      </w:r>
      <w:proofErr w:type="gramEnd"/>
      <w:r w:rsidRPr="00674407">
        <w:rPr>
          <w:rFonts w:asciiTheme="majorHAnsi" w:hAnsiTheme="majorHAnsi"/>
          <w:lang w:val="en-GB"/>
        </w:rPr>
        <w:t xml:space="preserve"> project, </w:t>
      </w:r>
      <w:r w:rsidRPr="00674407">
        <w:rPr>
          <w:rFonts w:asciiTheme="majorHAnsi" w:hAnsiTheme="majorHAnsi" w:cs="CandidaStd-Roman"/>
          <w:lang w:val="en-GB"/>
        </w:rPr>
        <w:t>was sentenced to 150 years in prison after being charged with the murders of three people. ‘During proceedings certain evidence used against him was entirely fabricated’.</w:t>
      </w:r>
      <w:r w:rsidRPr="00674407">
        <w:rPr>
          <w:rFonts w:asciiTheme="majorHAnsi" w:hAnsiTheme="majorHAnsi" w:cs="CandidaStd-Roman"/>
          <w:vertAlign w:val="superscript"/>
          <w:lang w:val="en-GB"/>
        </w:rPr>
        <w:endnoteReference w:id="26"/>
      </w:r>
    </w:p>
    <w:p w14:paraId="35598900" w14:textId="77777777" w:rsidR="0036587F" w:rsidRPr="00674407" w:rsidRDefault="00455F41" w:rsidP="0065211B">
      <w:pPr>
        <w:numPr>
          <w:ilvl w:val="0"/>
          <w:numId w:val="6"/>
        </w:numPr>
        <w:spacing w:after="0" w:line="240" w:lineRule="auto"/>
        <w:contextualSpacing/>
        <w:rPr>
          <w:rFonts w:asciiTheme="majorHAnsi" w:eastAsiaTheme="minorEastAsia" w:hAnsiTheme="majorHAnsi" w:cstheme="minorBidi"/>
          <w:bCs/>
          <w:i/>
          <w:lang w:val="en-GB"/>
        </w:rPr>
      </w:pPr>
      <w:r w:rsidRPr="00674407">
        <w:rPr>
          <w:rFonts w:asciiTheme="majorHAnsi" w:hAnsiTheme="majorHAnsi" w:cs="Lucida Grande"/>
          <w:lang w:val="en-GB"/>
        </w:rPr>
        <w:t>Last year the Ministry of Government announced the expulsion of two foreign citizens from the NGO Peace Brigades International, who for years have accompanied and observed human rights defenders resisting large scale development projects, for supposed violent acts in violation of their visa terms. The Ministry later reversed its decision, recognising the lack of proof behind the accusations.</w:t>
      </w:r>
      <w:r w:rsidRPr="00674407">
        <w:rPr>
          <w:rFonts w:asciiTheme="majorHAnsi" w:hAnsiTheme="majorHAnsi" w:cs="Lucida Grande"/>
          <w:vertAlign w:val="superscript"/>
          <w:lang w:val="en-GB"/>
        </w:rPr>
        <w:endnoteReference w:id="27"/>
      </w:r>
    </w:p>
    <w:p w14:paraId="25F079CC" w14:textId="1B441555" w:rsidR="00455F41" w:rsidRPr="00F409A4" w:rsidRDefault="00455F41" w:rsidP="0065211B">
      <w:pPr>
        <w:numPr>
          <w:ilvl w:val="0"/>
          <w:numId w:val="6"/>
        </w:numPr>
        <w:spacing w:after="0" w:line="240" w:lineRule="auto"/>
        <w:contextualSpacing/>
        <w:rPr>
          <w:rFonts w:asciiTheme="majorHAnsi" w:eastAsiaTheme="minorEastAsia" w:hAnsiTheme="majorHAnsi" w:cstheme="minorBidi"/>
          <w:bCs/>
          <w:i/>
          <w:lang w:val="en-GB"/>
        </w:rPr>
      </w:pPr>
      <w:r w:rsidRPr="00674407">
        <w:rPr>
          <w:rFonts w:asciiTheme="majorHAnsi" w:hAnsiTheme="majorHAnsi"/>
          <w:lang w:val="en-GB"/>
        </w:rPr>
        <w:t xml:space="preserve">In the emblematic case of the La </w:t>
      </w:r>
      <w:proofErr w:type="spellStart"/>
      <w:r w:rsidRPr="00674407">
        <w:rPr>
          <w:rFonts w:asciiTheme="majorHAnsi" w:hAnsiTheme="majorHAnsi"/>
          <w:lang w:val="en-GB"/>
        </w:rPr>
        <w:t>Puya</w:t>
      </w:r>
      <w:proofErr w:type="spellEnd"/>
      <w:r w:rsidRPr="00674407">
        <w:rPr>
          <w:rFonts w:asciiTheme="majorHAnsi" w:hAnsiTheme="majorHAnsi"/>
          <w:lang w:val="en-GB"/>
        </w:rPr>
        <w:t xml:space="preserve"> pacific resistance movement (which was instrumental in ensuring a recent court decision </w:t>
      </w:r>
      <w:r w:rsidRPr="00674407">
        <w:rPr>
          <w:rFonts w:asciiTheme="majorHAnsi" w:hAnsiTheme="majorHAnsi"/>
          <w:lang w:val="en-US"/>
        </w:rPr>
        <w:t>in favor of the right of residents to be consulted about projects that affect them and ordering the suspension of mine</w:t>
      </w:r>
      <w:r w:rsidRPr="00674407">
        <w:rPr>
          <w:rFonts w:asciiTheme="majorHAnsi" w:hAnsiTheme="majorHAnsi"/>
          <w:lang w:val="en-GB"/>
        </w:rPr>
        <w:t xml:space="preserve"> construction activities</w:t>
      </w:r>
      <w:r w:rsidRPr="00674407">
        <w:rPr>
          <w:rFonts w:asciiTheme="majorHAnsi" w:hAnsiTheme="majorHAnsi"/>
          <w:vertAlign w:val="superscript"/>
          <w:lang w:val="fr-CH"/>
        </w:rPr>
        <w:endnoteReference w:id="28"/>
      </w:r>
      <w:r w:rsidRPr="00674407">
        <w:rPr>
          <w:rFonts w:asciiTheme="majorHAnsi" w:hAnsiTheme="majorHAnsi"/>
          <w:lang w:val="en-GB"/>
        </w:rPr>
        <w:t>), nine activists have faced judicial processes based in accusations of coercion, illegal detention and threats, made by actors linked to the mining company. 3 were sentenced in April 2014 to 9 years in prison. Many experts have questioned whether due process and the principle of judicial independence have been followed in the processes.</w:t>
      </w:r>
      <w:r w:rsidRPr="00674407">
        <w:rPr>
          <w:rFonts w:asciiTheme="majorHAnsi" w:hAnsiTheme="majorHAnsi"/>
          <w:vertAlign w:val="superscript"/>
          <w:lang w:val="en-GB"/>
        </w:rPr>
        <w:endnoteReference w:id="29"/>
      </w:r>
      <w:r w:rsidRPr="00674407">
        <w:rPr>
          <w:rFonts w:asciiTheme="majorHAnsi" w:hAnsiTheme="majorHAnsi"/>
          <w:lang w:val="en-GB"/>
        </w:rPr>
        <w:t xml:space="preserve"> </w:t>
      </w:r>
      <w:proofErr w:type="gramStart"/>
      <w:r w:rsidRPr="00674407">
        <w:rPr>
          <w:rFonts w:asciiTheme="majorHAnsi" w:hAnsiTheme="majorHAnsi"/>
          <w:lang w:val="en-GB"/>
        </w:rPr>
        <w:t>Three dozen</w:t>
      </w:r>
      <w:proofErr w:type="gramEnd"/>
      <w:r w:rsidRPr="00674407">
        <w:rPr>
          <w:rFonts w:asciiTheme="majorHAnsi" w:hAnsiTheme="majorHAnsi"/>
          <w:lang w:val="en-GB"/>
        </w:rPr>
        <w:t xml:space="preserve"> more activists are still under </w:t>
      </w:r>
      <w:proofErr w:type="spellStart"/>
      <w:r w:rsidRPr="00674407">
        <w:rPr>
          <w:rFonts w:asciiTheme="majorHAnsi" w:hAnsiTheme="majorHAnsi"/>
          <w:lang w:val="en-GB"/>
        </w:rPr>
        <w:t>invstigation</w:t>
      </w:r>
      <w:proofErr w:type="spellEnd"/>
      <w:r w:rsidRPr="00674407">
        <w:rPr>
          <w:rFonts w:asciiTheme="majorHAnsi" w:hAnsiTheme="majorHAnsi"/>
          <w:lang w:val="en-GB"/>
        </w:rPr>
        <w:t xml:space="preserve"> for crimes alleged by the company and/or the electricity distribution business. A judge has ordered the investigation of the public prosecutor for falsification of evidence in the first case.</w:t>
      </w:r>
    </w:p>
    <w:p w14:paraId="157D453A" w14:textId="6229DD18" w:rsidR="00455F41" w:rsidRPr="00674407" w:rsidRDefault="00455F41" w:rsidP="00455F41">
      <w:pPr>
        <w:spacing w:after="0" w:line="240" w:lineRule="auto"/>
        <w:rPr>
          <w:rFonts w:asciiTheme="majorHAnsi" w:eastAsiaTheme="minorEastAsia" w:hAnsiTheme="majorHAnsi" w:cstheme="minorBidi"/>
          <w:lang w:val="en-GB"/>
        </w:rPr>
      </w:pPr>
    </w:p>
    <w:p w14:paraId="01D58BCE" w14:textId="77777777" w:rsidR="00455F41" w:rsidRPr="00674407" w:rsidRDefault="00455F41" w:rsidP="00455F41">
      <w:pPr>
        <w:spacing w:after="0" w:line="240" w:lineRule="auto"/>
        <w:rPr>
          <w:rFonts w:asciiTheme="majorHAnsi" w:eastAsiaTheme="minorEastAsia" w:hAnsiTheme="majorHAnsi" w:cstheme="minorBidi"/>
          <w:b/>
          <w:lang w:val="en-GB"/>
        </w:rPr>
      </w:pPr>
      <w:r w:rsidRPr="00674407">
        <w:rPr>
          <w:rFonts w:asciiTheme="majorHAnsi" w:eastAsiaTheme="minorEastAsia" w:hAnsiTheme="majorHAnsi" w:cstheme="minorBidi"/>
          <w:b/>
          <w:lang w:val="en-GB"/>
        </w:rPr>
        <w:t>5. Death threats against, attacks and murders of human rights defenders working on business and human rights</w:t>
      </w:r>
    </w:p>
    <w:p w14:paraId="7861071E" w14:textId="77777777" w:rsidR="00455F41" w:rsidRPr="00674407" w:rsidRDefault="00455F41" w:rsidP="00455F41">
      <w:pPr>
        <w:spacing w:after="0" w:line="240" w:lineRule="auto"/>
        <w:rPr>
          <w:rFonts w:asciiTheme="majorHAnsi" w:eastAsiaTheme="minorEastAsia" w:hAnsiTheme="majorHAnsi" w:cstheme="minorBidi"/>
          <w:lang w:val="en-GB"/>
        </w:rPr>
      </w:pPr>
    </w:p>
    <w:p w14:paraId="3D5B0D53" w14:textId="7546BFA3" w:rsidR="00455F41" w:rsidRPr="00674407" w:rsidRDefault="00D3436D" w:rsidP="00455F41">
      <w:pPr>
        <w:spacing w:after="0" w:line="240" w:lineRule="auto"/>
        <w:rPr>
          <w:rFonts w:asciiTheme="majorHAnsi" w:eastAsiaTheme="minorEastAsia" w:hAnsiTheme="majorHAnsi" w:cstheme="minorBidi"/>
          <w:lang w:val="en-GB"/>
        </w:rPr>
      </w:pPr>
      <w:r w:rsidRPr="00674407">
        <w:rPr>
          <w:rFonts w:asciiTheme="majorHAnsi" w:eastAsiaTheme="minorEastAsia" w:hAnsiTheme="majorHAnsi" w:cstheme="minorBidi"/>
          <w:lang w:val="en-GB"/>
        </w:rPr>
        <w:t>Human rights defenders in Guatemala, including those working on issues related to business projects, are frequently victims of physical attacks and death threats. The impact of such threats is grave given that murders of defenders working on these issues are reported frequently.</w:t>
      </w:r>
    </w:p>
    <w:p w14:paraId="691B0AA2" w14:textId="41C3D8B2" w:rsidR="00455F41" w:rsidRPr="00674407" w:rsidRDefault="00455F41" w:rsidP="0065211B">
      <w:pPr>
        <w:numPr>
          <w:ilvl w:val="0"/>
          <w:numId w:val="6"/>
        </w:numPr>
        <w:spacing w:before="100" w:beforeAutospacing="1" w:after="100" w:afterAutospacing="1" w:line="315" w:lineRule="atLeast"/>
        <w:rPr>
          <w:rFonts w:asciiTheme="majorHAnsi" w:eastAsia="Times New Roman" w:hAnsiTheme="majorHAnsi" w:cs="Arial"/>
          <w:color w:val="000000"/>
          <w:shd w:val="clear" w:color="auto" w:fill="FFFFFF"/>
          <w:lang w:val="en-GB" w:eastAsia="fr-CH"/>
        </w:rPr>
      </w:pPr>
      <w:r w:rsidRPr="00674407">
        <w:rPr>
          <w:rFonts w:asciiTheme="majorHAnsi" w:eastAsia="Times New Roman" w:hAnsiTheme="majorHAnsi" w:cs="Arial"/>
          <w:color w:val="000000"/>
          <w:lang w:val="en-GB" w:eastAsia="fr-CH"/>
        </w:rPr>
        <w:t xml:space="preserve">In June 2013, local communities protested against the proposed construction of the </w:t>
      </w:r>
      <w:proofErr w:type="spellStart"/>
      <w:r w:rsidRPr="00674407">
        <w:rPr>
          <w:rFonts w:asciiTheme="majorHAnsi" w:eastAsia="Times New Roman" w:hAnsiTheme="majorHAnsi" w:cs="Arial"/>
          <w:color w:val="000000"/>
          <w:lang w:val="en-GB" w:eastAsia="fr-CH"/>
        </w:rPr>
        <w:t>Xalalá</w:t>
      </w:r>
      <w:proofErr w:type="spellEnd"/>
      <w:r w:rsidRPr="00674407">
        <w:rPr>
          <w:rFonts w:asciiTheme="majorHAnsi" w:eastAsia="Times New Roman" w:hAnsiTheme="majorHAnsi" w:cs="Arial"/>
          <w:color w:val="000000"/>
          <w:lang w:val="en-GB" w:eastAsia="fr-CH"/>
        </w:rPr>
        <w:t xml:space="preserve"> hydroelectric dam in Alta </w:t>
      </w:r>
      <w:proofErr w:type="spellStart"/>
      <w:r w:rsidRPr="00674407">
        <w:rPr>
          <w:rFonts w:asciiTheme="majorHAnsi" w:eastAsia="Times New Roman" w:hAnsiTheme="majorHAnsi" w:cs="Arial"/>
          <w:color w:val="000000"/>
          <w:lang w:val="en-GB" w:eastAsia="fr-CH"/>
        </w:rPr>
        <w:t>Verapaz</w:t>
      </w:r>
      <w:proofErr w:type="spellEnd"/>
      <w:r w:rsidRPr="00674407">
        <w:rPr>
          <w:rFonts w:asciiTheme="majorHAnsi" w:eastAsia="Times New Roman" w:hAnsiTheme="majorHAnsi" w:cs="Arial"/>
          <w:color w:val="000000"/>
          <w:lang w:val="en-GB" w:eastAsia="fr-CH"/>
        </w:rPr>
        <w:t xml:space="preserve"> and Quiché departments. In August, three people from the community of Monte </w:t>
      </w:r>
      <w:proofErr w:type="spellStart"/>
      <w:r w:rsidRPr="00674407">
        <w:rPr>
          <w:rFonts w:asciiTheme="majorHAnsi" w:eastAsia="Times New Roman" w:hAnsiTheme="majorHAnsi" w:cs="Arial"/>
          <w:color w:val="000000"/>
          <w:lang w:val="en-GB" w:eastAsia="fr-CH"/>
        </w:rPr>
        <w:t>Olivo</w:t>
      </w:r>
      <w:proofErr w:type="spellEnd"/>
      <w:r w:rsidRPr="00674407">
        <w:rPr>
          <w:rFonts w:asciiTheme="majorHAnsi" w:eastAsia="Times New Roman" w:hAnsiTheme="majorHAnsi" w:cs="Arial"/>
          <w:color w:val="000000"/>
          <w:lang w:val="en-GB" w:eastAsia="fr-CH"/>
        </w:rPr>
        <w:t xml:space="preserve">, Alta </w:t>
      </w:r>
      <w:proofErr w:type="spellStart"/>
      <w:r w:rsidRPr="00674407">
        <w:rPr>
          <w:rFonts w:asciiTheme="majorHAnsi" w:eastAsia="Times New Roman" w:hAnsiTheme="majorHAnsi" w:cs="Arial"/>
          <w:color w:val="000000"/>
          <w:lang w:val="en-GB" w:eastAsia="fr-CH"/>
        </w:rPr>
        <w:t>Verapaz</w:t>
      </w:r>
      <w:proofErr w:type="spellEnd"/>
      <w:r w:rsidRPr="00674407">
        <w:rPr>
          <w:rFonts w:asciiTheme="majorHAnsi" w:eastAsia="Times New Roman" w:hAnsiTheme="majorHAnsi" w:cs="Arial"/>
          <w:color w:val="000000"/>
          <w:lang w:val="en-GB" w:eastAsia="fr-CH"/>
        </w:rPr>
        <w:t xml:space="preserve"> department were killed. They were reportedly shot by police officers during the forced eviction of a community opposed to the construction of a hydroelectric project in the area.</w:t>
      </w:r>
      <w:r w:rsidRPr="00674407">
        <w:rPr>
          <w:rFonts w:asciiTheme="majorHAnsi" w:eastAsia="Times New Roman" w:hAnsiTheme="majorHAnsi" w:cs="Arial"/>
          <w:color w:val="000000"/>
          <w:vertAlign w:val="superscript"/>
          <w:lang w:val="en-GB" w:eastAsia="fr-CH"/>
        </w:rPr>
        <w:endnoteReference w:id="30"/>
      </w:r>
      <w:r w:rsidRPr="00674407">
        <w:rPr>
          <w:rFonts w:asciiTheme="majorHAnsi" w:eastAsia="Times New Roman" w:hAnsiTheme="majorHAnsi" w:cs="Arial"/>
          <w:color w:val="000000"/>
          <w:lang w:val="en-GB" w:eastAsia="fr-CH"/>
        </w:rPr>
        <w:t xml:space="preserve"> </w:t>
      </w:r>
    </w:p>
    <w:p w14:paraId="4D73CEC1" w14:textId="247B016D" w:rsidR="00455F41" w:rsidRPr="00674407" w:rsidRDefault="00455F41" w:rsidP="0065211B">
      <w:pPr>
        <w:numPr>
          <w:ilvl w:val="0"/>
          <w:numId w:val="6"/>
        </w:numPr>
        <w:spacing w:after="0" w:line="240" w:lineRule="auto"/>
        <w:contextualSpacing/>
        <w:jc w:val="both"/>
        <w:rPr>
          <w:rFonts w:asciiTheme="majorHAnsi" w:hAnsiTheme="majorHAnsi"/>
          <w:shd w:val="clear" w:color="auto" w:fill="FFFFFF"/>
          <w:lang w:val="en-GB"/>
        </w:rPr>
      </w:pPr>
      <w:r w:rsidRPr="00674407">
        <w:rPr>
          <w:rFonts w:asciiTheme="majorHAnsi" w:hAnsiTheme="majorHAnsi"/>
          <w:color w:val="000000"/>
          <w:lang w:val="en-GB"/>
        </w:rPr>
        <w:t xml:space="preserve">In August 2014, Gustavo </w:t>
      </w:r>
      <w:proofErr w:type="spellStart"/>
      <w:r w:rsidRPr="00674407">
        <w:rPr>
          <w:rFonts w:asciiTheme="majorHAnsi" w:hAnsiTheme="majorHAnsi"/>
          <w:color w:val="000000"/>
          <w:lang w:val="en-GB"/>
        </w:rPr>
        <w:t>Illescas</w:t>
      </w:r>
      <w:proofErr w:type="spellEnd"/>
      <w:r w:rsidRPr="00674407">
        <w:rPr>
          <w:rFonts w:asciiTheme="majorHAnsi" w:hAnsiTheme="majorHAnsi"/>
          <w:color w:val="000000"/>
          <w:lang w:val="en-GB"/>
        </w:rPr>
        <w:t xml:space="preserve">, a journalist with the Independent Media Centre in Guatemala, was threatened after he reported on police violence during the forced eviction in Monte </w:t>
      </w:r>
      <w:proofErr w:type="spellStart"/>
      <w:r w:rsidRPr="00674407">
        <w:rPr>
          <w:rFonts w:asciiTheme="majorHAnsi" w:hAnsiTheme="majorHAnsi"/>
          <w:color w:val="000000"/>
          <w:lang w:val="en-GB"/>
        </w:rPr>
        <w:t>Olivo</w:t>
      </w:r>
      <w:proofErr w:type="spellEnd"/>
      <w:r w:rsidRPr="00674407">
        <w:rPr>
          <w:rFonts w:asciiTheme="majorHAnsi" w:hAnsiTheme="majorHAnsi"/>
          <w:color w:val="000000"/>
          <w:lang w:val="en-GB"/>
        </w:rPr>
        <w:t xml:space="preserve">. One of his colleagues was detained by masked men and told to convey a threatening message to Gustavo </w:t>
      </w:r>
      <w:proofErr w:type="spellStart"/>
      <w:r w:rsidRPr="00674407">
        <w:rPr>
          <w:rFonts w:asciiTheme="majorHAnsi" w:hAnsiTheme="majorHAnsi"/>
          <w:color w:val="000000"/>
          <w:lang w:val="en-GB"/>
        </w:rPr>
        <w:t>Illescas</w:t>
      </w:r>
      <w:proofErr w:type="spellEnd"/>
      <w:r w:rsidRPr="00674407">
        <w:rPr>
          <w:rFonts w:asciiTheme="majorHAnsi" w:hAnsiTheme="majorHAnsi"/>
          <w:color w:val="000000"/>
          <w:lang w:val="en-GB"/>
        </w:rPr>
        <w:t xml:space="preserve">. The colleague was also beaten and sexually assaulted. By the end of the year 2014 nobody had been held to account for his </w:t>
      </w:r>
      <w:proofErr w:type="gramStart"/>
      <w:r w:rsidRPr="00674407">
        <w:rPr>
          <w:rFonts w:asciiTheme="majorHAnsi" w:hAnsiTheme="majorHAnsi"/>
          <w:color w:val="000000"/>
          <w:lang w:val="en-GB"/>
        </w:rPr>
        <w:t>ill-treatment</w:t>
      </w:r>
      <w:proofErr w:type="gramEnd"/>
      <w:r w:rsidRPr="00674407">
        <w:rPr>
          <w:rFonts w:asciiTheme="majorHAnsi" w:hAnsiTheme="majorHAnsi"/>
          <w:color w:val="000000"/>
          <w:lang w:val="en-GB"/>
        </w:rPr>
        <w:t xml:space="preserve"> or for the threats against Gustavo </w:t>
      </w:r>
      <w:proofErr w:type="spellStart"/>
      <w:r w:rsidRPr="00674407">
        <w:rPr>
          <w:rFonts w:asciiTheme="majorHAnsi" w:hAnsiTheme="majorHAnsi"/>
          <w:color w:val="000000"/>
          <w:lang w:val="en-GB"/>
        </w:rPr>
        <w:t>Illescas</w:t>
      </w:r>
      <w:proofErr w:type="spellEnd"/>
      <w:r w:rsidRPr="00674407">
        <w:rPr>
          <w:rFonts w:asciiTheme="majorHAnsi" w:hAnsiTheme="majorHAnsi"/>
          <w:color w:val="000000"/>
          <w:lang w:val="en-GB"/>
        </w:rPr>
        <w:t>.</w:t>
      </w:r>
      <w:r w:rsidRPr="00674407">
        <w:rPr>
          <w:rFonts w:asciiTheme="majorHAnsi" w:hAnsiTheme="majorHAnsi"/>
          <w:color w:val="000000"/>
          <w:vertAlign w:val="superscript"/>
          <w:lang w:val="fr-CH"/>
        </w:rPr>
        <w:endnoteReference w:id="31"/>
      </w:r>
    </w:p>
    <w:p w14:paraId="6ECF9D26" w14:textId="61969270" w:rsidR="00455F41" w:rsidRPr="00674407" w:rsidRDefault="00455F41" w:rsidP="0065211B">
      <w:pPr>
        <w:numPr>
          <w:ilvl w:val="0"/>
          <w:numId w:val="6"/>
        </w:numPr>
        <w:spacing w:after="0" w:line="240" w:lineRule="auto"/>
        <w:contextualSpacing/>
        <w:rPr>
          <w:rFonts w:asciiTheme="majorHAnsi" w:hAnsiTheme="majorHAnsi"/>
          <w:lang w:val="en-GB"/>
        </w:rPr>
      </w:pPr>
      <w:r w:rsidRPr="00674407">
        <w:rPr>
          <w:rFonts w:asciiTheme="majorHAnsi" w:hAnsiTheme="majorHAnsi"/>
          <w:lang w:val="en-GB"/>
        </w:rPr>
        <w:t xml:space="preserve">On 29 July 2015 shots were fired outside the offices of human rights organisation Centro de </w:t>
      </w:r>
      <w:proofErr w:type="spellStart"/>
      <w:r w:rsidRPr="00674407">
        <w:rPr>
          <w:rFonts w:asciiTheme="majorHAnsi" w:hAnsiTheme="majorHAnsi"/>
          <w:lang w:val="en-GB"/>
        </w:rPr>
        <w:t>Acción</w:t>
      </w:r>
      <w:proofErr w:type="spellEnd"/>
      <w:r w:rsidRPr="00674407">
        <w:rPr>
          <w:rFonts w:asciiTheme="majorHAnsi" w:hAnsiTheme="majorHAnsi"/>
          <w:lang w:val="en-GB"/>
        </w:rPr>
        <w:t xml:space="preserve"> Legal </w:t>
      </w:r>
      <w:proofErr w:type="spellStart"/>
      <w:r w:rsidRPr="00674407">
        <w:rPr>
          <w:rFonts w:asciiTheme="majorHAnsi" w:hAnsiTheme="majorHAnsi"/>
          <w:lang w:val="en-GB"/>
        </w:rPr>
        <w:t>Ambiental</w:t>
      </w:r>
      <w:proofErr w:type="spellEnd"/>
      <w:r w:rsidRPr="00674407">
        <w:rPr>
          <w:rFonts w:asciiTheme="majorHAnsi" w:hAnsiTheme="majorHAnsi"/>
          <w:lang w:val="en-GB"/>
        </w:rPr>
        <w:t xml:space="preserve"> y Social de Guatemala (CALAS), which has been active in denouncing abuses committed by mining companies in the region. The threats came one day prior to a scheduled hearing in which evidence would be brought against Mr Alberto </w:t>
      </w:r>
      <w:proofErr w:type="spellStart"/>
      <w:r w:rsidRPr="00674407">
        <w:rPr>
          <w:rFonts w:asciiTheme="majorHAnsi" w:hAnsiTheme="majorHAnsi"/>
          <w:lang w:val="en-GB"/>
        </w:rPr>
        <w:t>Rotondo</w:t>
      </w:r>
      <w:proofErr w:type="spellEnd"/>
      <w:r w:rsidRPr="00674407">
        <w:rPr>
          <w:rFonts w:asciiTheme="majorHAnsi" w:hAnsiTheme="majorHAnsi"/>
          <w:lang w:val="en-GB"/>
        </w:rPr>
        <w:t xml:space="preserve">, the security manager of the San Rafael Mine. Mr </w:t>
      </w:r>
      <w:proofErr w:type="spellStart"/>
      <w:r w:rsidRPr="00674407">
        <w:rPr>
          <w:rFonts w:asciiTheme="majorHAnsi" w:hAnsiTheme="majorHAnsi"/>
          <w:lang w:val="en-GB"/>
        </w:rPr>
        <w:t>Rotondo</w:t>
      </w:r>
      <w:proofErr w:type="spellEnd"/>
      <w:r w:rsidRPr="00674407">
        <w:rPr>
          <w:rFonts w:asciiTheme="majorHAnsi" w:hAnsiTheme="majorHAnsi"/>
          <w:lang w:val="en-GB"/>
        </w:rPr>
        <w:t xml:space="preserve"> is facing criminal charges of assault and obstruction of justice as a result of accusations that he ordered and then attempted to cover up an attack, on 27 April 2013, in which seven members of the community were left injured. It is believed that the shots fired at the CALAS offices were linked to the criminal complaint against Mr </w:t>
      </w:r>
      <w:proofErr w:type="spellStart"/>
      <w:r w:rsidRPr="00674407">
        <w:rPr>
          <w:rFonts w:asciiTheme="majorHAnsi" w:hAnsiTheme="majorHAnsi"/>
          <w:lang w:val="en-GB"/>
        </w:rPr>
        <w:t>Rotondo</w:t>
      </w:r>
      <w:proofErr w:type="spellEnd"/>
      <w:r w:rsidRPr="00674407">
        <w:rPr>
          <w:rFonts w:asciiTheme="majorHAnsi" w:hAnsiTheme="majorHAnsi"/>
          <w:lang w:val="en-GB"/>
        </w:rPr>
        <w:t>.</w:t>
      </w:r>
      <w:r w:rsidRPr="00674407">
        <w:rPr>
          <w:rFonts w:asciiTheme="majorHAnsi" w:hAnsiTheme="majorHAnsi"/>
          <w:vertAlign w:val="superscript"/>
          <w:lang w:val="en-GB"/>
        </w:rPr>
        <w:endnoteReference w:id="32"/>
      </w:r>
      <w:r w:rsidRPr="00674407">
        <w:rPr>
          <w:rFonts w:asciiTheme="majorHAnsi" w:hAnsiTheme="majorHAnsi"/>
          <w:lang w:val="en-GB"/>
        </w:rPr>
        <w:t xml:space="preserve"> PBI, the Observatory and Frontline Defenders have documented several previous death threats against CALAS staff.</w:t>
      </w:r>
    </w:p>
    <w:p w14:paraId="2DCCAF3F" w14:textId="3F7B6DB2" w:rsidR="00455F41" w:rsidRPr="00674407" w:rsidRDefault="00455F41" w:rsidP="0065211B">
      <w:pPr>
        <w:numPr>
          <w:ilvl w:val="0"/>
          <w:numId w:val="6"/>
        </w:numPr>
        <w:spacing w:after="0" w:line="240" w:lineRule="auto"/>
        <w:contextualSpacing/>
        <w:rPr>
          <w:rFonts w:asciiTheme="majorHAnsi" w:hAnsiTheme="majorHAnsi"/>
          <w:lang w:val="en-GB"/>
        </w:rPr>
      </w:pPr>
      <w:r w:rsidRPr="00674407">
        <w:rPr>
          <w:rFonts w:asciiTheme="majorHAnsi" w:hAnsiTheme="majorHAnsi"/>
          <w:shd w:val="clear" w:color="auto" w:fill="FFFFFF"/>
          <w:lang w:val="en-GB"/>
        </w:rPr>
        <w:t xml:space="preserve">Carlos Antonio Hernández Mendoza, leader of the </w:t>
      </w:r>
      <w:proofErr w:type="spellStart"/>
      <w:r w:rsidRPr="00674407">
        <w:rPr>
          <w:rFonts w:asciiTheme="majorHAnsi" w:hAnsiTheme="majorHAnsi"/>
          <w:shd w:val="clear" w:color="auto" w:fill="FFFFFF"/>
          <w:lang w:val="en-GB"/>
        </w:rPr>
        <w:t>Asociación</w:t>
      </w:r>
      <w:proofErr w:type="spellEnd"/>
      <w:r w:rsidRPr="00674407">
        <w:rPr>
          <w:rFonts w:asciiTheme="majorHAnsi" w:hAnsiTheme="majorHAnsi"/>
          <w:shd w:val="clear" w:color="auto" w:fill="FFFFFF"/>
          <w:lang w:val="en-GB"/>
        </w:rPr>
        <w:t xml:space="preserve"> </w:t>
      </w:r>
      <w:proofErr w:type="spellStart"/>
      <w:r w:rsidRPr="00674407">
        <w:rPr>
          <w:rFonts w:asciiTheme="majorHAnsi" w:hAnsiTheme="majorHAnsi"/>
          <w:shd w:val="clear" w:color="auto" w:fill="FFFFFF"/>
          <w:lang w:val="en-GB"/>
        </w:rPr>
        <w:t>Campesina</w:t>
      </w:r>
      <w:proofErr w:type="spellEnd"/>
      <w:r w:rsidRPr="00674407">
        <w:rPr>
          <w:rFonts w:asciiTheme="majorHAnsi" w:hAnsiTheme="majorHAnsi"/>
          <w:shd w:val="clear" w:color="auto" w:fill="FFFFFF"/>
          <w:lang w:val="en-GB"/>
        </w:rPr>
        <w:t xml:space="preserve"> </w:t>
      </w:r>
      <w:proofErr w:type="spellStart"/>
      <w:r w:rsidRPr="00674407">
        <w:rPr>
          <w:rFonts w:asciiTheme="majorHAnsi" w:hAnsiTheme="majorHAnsi"/>
          <w:shd w:val="clear" w:color="auto" w:fill="FFFFFF"/>
          <w:lang w:val="en-GB"/>
        </w:rPr>
        <w:t>Camoteca</w:t>
      </w:r>
      <w:proofErr w:type="spellEnd"/>
      <w:r w:rsidRPr="00674407">
        <w:rPr>
          <w:rFonts w:asciiTheme="majorHAnsi" w:hAnsiTheme="majorHAnsi"/>
          <w:shd w:val="clear" w:color="auto" w:fill="FFFFFF"/>
          <w:lang w:val="en-GB"/>
        </w:rPr>
        <w:t xml:space="preserve"> from the department of Chiquimula, was killed by several gunshots on March 8, 2013, as the culmination of a series of threats, attacks and criminal persecution that Carlos Antonio suffered as a result of his human rights activities and for organising protests to defend the natural resources of indigenous peoples.</w:t>
      </w:r>
      <w:r w:rsidRPr="00674407">
        <w:rPr>
          <w:rFonts w:asciiTheme="majorHAnsi" w:hAnsiTheme="majorHAnsi"/>
          <w:shd w:val="clear" w:color="auto" w:fill="FFFFFF"/>
          <w:vertAlign w:val="superscript"/>
          <w:lang w:val="fr-CH"/>
        </w:rPr>
        <w:endnoteReference w:id="33"/>
      </w:r>
    </w:p>
    <w:p w14:paraId="206BC1DB" w14:textId="77777777" w:rsidR="00455F41" w:rsidRPr="00674407" w:rsidRDefault="00455F41" w:rsidP="0065211B">
      <w:pPr>
        <w:numPr>
          <w:ilvl w:val="0"/>
          <w:numId w:val="6"/>
        </w:numPr>
        <w:spacing w:after="0" w:line="240" w:lineRule="auto"/>
        <w:contextualSpacing/>
        <w:rPr>
          <w:rFonts w:asciiTheme="majorHAnsi" w:hAnsiTheme="majorHAnsi"/>
          <w:lang w:val="en-GB"/>
        </w:rPr>
      </w:pPr>
      <w:r w:rsidRPr="00674407">
        <w:rPr>
          <w:rFonts w:asciiTheme="majorHAnsi" w:hAnsiTheme="majorHAnsi"/>
          <w:lang w:val="en-GB"/>
        </w:rPr>
        <w:t xml:space="preserve">On 13 June 2012, in San José del </w:t>
      </w:r>
      <w:proofErr w:type="spellStart"/>
      <w:r w:rsidRPr="00674407">
        <w:rPr>
          <w:rFonts w:asciiTheme="majorHAnsi" w:hAnsiTheme="majorHAnsi"/>
          <w:lang w:val="en-GB"/>
        </w:rPr>
        <w:t>Golfo</w:t>
      </w:r>
      <w:proofErr w:type="spellEnd"/>
      <w:r w:rsidRPr="00674407">
        <w:rPr>
          <w:rFonts w:asciiTheme="majorHAnsi" w:hAnsiTheme="majorHAnsi"/>
          <w:lang w:val="en-GB"/>
        </w:rPr>
        <w:t xml:space="preserve">, Yolanda </w:t>
      </w:r>
      <w:proofErr w:type="spellStart"/>
      <w:r w:rsidRPr="00674407">
        <w:rPr>
          <w:rFonts w:asciiTheme="majorHAnsi" w:hAnsiTheme="majorHAnsi"/>
          <w:lang w:val="en-GB"/>
        </w:rPr>
        <w:t>Oquelí</w:t>
      </w:r>
      <w:proofErr w:type="spellEnd"/>
      <w:r w:rsidRPr="00674407">
        <w:rPr>
          <w:rFonts w:asciiTheme="majorHAnsi" w:hAnsiTheme="majorHAnsi"/>
          <w:lang w:val="en-GB"/>
        </w:rPr>
        <w:t xml:space="preserve"> – La </w:t>
      </w:r>
      <w:proofErr w:type="spellStart"/>
      <w:r w:rsidRPr="00674407">
        <w:rPr>
          <w:rFonts w:asciiTheme="majorHAnsi" w:hAnsiTheme="majorHAnsi"/>
          <w:lang w:val="en-GB"/>
        </w:rPr>
        <w:t>Puya</w:t>
      </w:r>
      <w:proofErr w:type="spellEnd"/>
      <w:r w:rsidRPr="00674407">
        <w:rPr>
          <w:rFonts w:asciiTheme="majorHAnsi" w:hAnsiTheme="majorHAnsi"/>
          <w:lang w:val="en-GB"/>
        </w:rPr>
        <w:t xml:space="preserve"> activist campaigning on business and human rights issues – was walking home from a protest when </w:t>
      </w:r>
      <w:proofErr w:type="gramStart"/>
      <w:r w:rsidRPr="00674407">
        <w:rPr>
          <w:rFonts w:asciiTheme="majorHAnsi" w:hAnsiTheme="majorHAnsi"/>
          <w:lang w:val="en-GB"/>
        </w:rPr>
        <w:t>she was shot by an unknown subject on motorbike</w:t>
      </w:r>
      <w:proofErr w:type="gramEnd"/>
      <w:r w:rsidRPr="00674407">
        <w:rPr>
          <w:rFonts w:asciiTheme="majorHAnsi" w:hAnsiTheme="majorHAnsi"/>
          <w:lang w:val="en-GB"/>
        </w:rPr>
        <w:t>. One bullet entered her body above her right kidney. To date the bullet has not been extracted and the case remains in impunity.</w:t>
      </w:r>
    </w:p>
    <w:p w14:paraId="2E9424C6" w14:textId="73157775" w:rsidR="00455F41" w:rsidRDefault="00455F41" w:rsidP="0065211B">
      <w:pPr>
        <w:numPr>
          <w:ilvl w:val="0"/>
          <w:numId w:val="6"/>
        </w:numPr>
        <w:spacing w:after="0" w:line="240" w:lineRule="auto"/>
        <w:contextualSpacing/>
        <w:rPr>
          <w:rFonts w:asciiTheme="majorHAnsi" w:hAnsiTheme="majorHAnsi"/>
          <w:lang w:val="en-GB"/>
        </w:rPr>
      </w:pPr>
      <w:r w:rsidRPr="00674407">
        <w:rPr>
          <w:rFonts w:asciiTheme="majorHAnsi" w:hAnsiTheme="majorHAnsi"/>
          <w:lang w:val="en-GB"/>
        </w:rPr>
        <w:lastRenderedPageBreak/>
        <w:t xml:space="preserve">As well as explicit death threats against activists, many communities in resistance to </w:t>
      </w:r>
      <w:proofErr w:type="gramStart"/>
      <w:r w:rsidRPr="00674407">
        <w:rPr>
          <w:rFonts w:asciiTheme="majorHAnsi" w:hAnsiTheme="majorHAnsi"/>
          <w:lang w:val="en-GB"/>
        </w:rPr>
        <w:t>large scale</w:t>
      </w:r>
      <w:proofErr w:type="gramEnd"/>
      <w:r w:rsidRPr="00674407">
        <w:rPr>
          <w:rFonts w:asciiTheme="majorHAnsi" w:hAnsiTheme="majorHAnsi"/>
          <w:lang w:val="en-GB"/>
        </w:rPr>
        <w:t xml:space="preserve"> development projects are subject to an excessive presence of State and non-State security forces,</w:t>
      </w:r>
      <w:r w:rsidRPr="00674407">
        <w:rPr>
          <w:rFonts w:asciiTheme="majorHAnsi" w:hAnsiTheme="majorHAnsi"/>
          <w:vertAlign w:val="superscript"/>
          <w:lang w:val="en-GB"/>
        </w:rPr>
        <w:endnoteReference w:id="34"/>
      </w:r>
      <w:r w:rsidRPr="00674407">
        <w:rPr>
          <w:rFonts w:asciiTheme="majorHAnsi" w:hAnsiTheme="majorHAnsi"/>
          <w:lang w:val="en-GB"/>
        </w:rPr>
        <w:t xml:space="preserve"> which is often interpreted as a</w:t>
      </w:r>
      <w:r w:rsidR="00D972D7" w:rsidRPr="00674407">
        <w:rPr>
          <w:rFonts w:asciiTheme="majorHAnsi" w:hAnsiTheme="majorHAnsi"/>
          <w:lang w:val="en-GB"/>
        </w:rPr>
        <w:t xml:space="preserve"> militarised</w:t>
      </w:r>
      <w:r w:rsidRPr="00674407">
        <w:rPr>
          <w:rFonts w:asciiTheme="majorHAnsi" w:hAnsiTheme="majorHAnsi"/>
          <w:lang w:val="en-GB"/>
        </w:rPr>
        <w:t xml:space="preserve"> threat against possible actions of protest and human rights defence.</w:t>
      </w:r>
      <w:r w:rsidR="00D972D7" w:rsidRPr="00674407">
        <w:rPr>
          <w:rStyle w:val="Refdenotaalfinal"/>
          <w:rFonts w:asciiTheme="majorHAnsi" w:hAnsiTheme="majorHAnsi"/>
          <w:lang w:val="en-GB"/>
        </w:rPr>
        <w:endnoteReference w:id="35"/>
      </w:r>
    </w:p>
    <w:p w14:paraId="1A42C26B" w14:textId="614FC0E3" w:rsidR="00583F71" w:rsidRPr="00674407" w:rsidRDefault="00583F71" w:rsidP="0065211B">
      <w:pPr>
        <w:numPr>
          <w:ilvl w:val="0"/>
          <w:numId w:val="6"/>
        </w:numPr>
        <w:spacing w:after="0" w:line="240" w:lineRule="auto"/>
        <w:contextualSpacing/>
        <w:rPr>
          <w:rFonts w:asciiTheme="majorHAnsi" w:hAnsiTheme="majorHAnsi"/>
          <w:lang w:val="en-GB"/>
        </w:rPr>
      </w:pPr>
      <w:r>
        <w:rPr>
          <w:rFonts w:asciiTheme="majorHAnsi" w:hAnsiTheme="majorHAnsi"/>
          <w:lang w:val="en-GB"/>
        </w:rPr>
        <w:t>Activists also complain that criminals associated with organised crime are sometimes contracted to kill human rights defenders who are exposing human rights violations around business projects.</w:t>
      </w:r>
      <w:r>
        <w:rPr>
          <w:rStyle w:val="Refdenotaalfinal"/>
          <w:rFonts w:asciiTheme="majorHAnsi" w:hAnsiTheme="majorHAnsi"/>
          <w:lang w:val="en-GB"/>
        </w:rPr>
        <w:endnoteReference w:id="36"/>
      </w:r>
    </w:p>
    <w:p w14:paraId="3EAC1696" w14:textId="1E7C86E9" w:rsidR="00455F41" w:rsidRPr="00674407" w:rsidRDefault="00455F41" w:rsidP="0065211B">
      <w:pPr>
        <w:numPr>
          <w:ilvl w:val="0"/>
          <w:numId w:val="6"/>
        </w:numPr>
        <w:spacing w:after="0" w:line="240" w:lineRule="auto"/>
        <w:contextualSpacing/>
        <w:rPr>
          <w:rFonts w:asciiTheme="majorHAnsi" w:hAnsiTheme="majorHAnsi"/>
          <w:lang w:val="en-GB"/>
        </w:rPr>
      </w:pPr>
      <w:r w:rsidRPr="00674407">
        <w:rPr>
          <w:rFonts w:asciiTheme="majorHAnsi" w:hAnsiTheme="majorHAnsi" w:cs="Lucida Grande"/>
          <w:lang w:val="en-GB"/>
        </w:rPr>
        <w:t xml:space="preserve">The US State Department have documented credible reports of retaliation by employers against workers who exercise their rights or participate in union activity. ‘Common practices included termination and harassment of workers who attempted to form workplace unions, creation of illegal company-supported unions to counter legally established unions, blacklisting of union organizers, and threats of factory closures’. </w:t>
      </w:r>
      <w:r w:rsidRPr="00674407">
        <w:rPr>
          <w:rFonts w:asciiTheme="majorHAnsi" w:hAnsiTheme="majorHAnsi" w:cs="Lucida Grande"/>
          <w:vertAlign w:val="superscript"/>
          <w:lang w:val="en-GB"/>
        </w:rPr>
        <w:endnoteReference w:id="37"/>
      </w:r>
    </w:p>
    <w:p w14:paraId="6AEB54CD" w14:textId="3B77B975" w:rsidR="00455F41" w:rsidRPr="00674407" w:rsidRDefault="00CF182C" w:rsidP="00455F41">
      <w:pPr>
        <w:spacing w:after="0" w:line="240" w:lineRule="auto"/>
        <w:rPr>
          <w:rFonts w:asciiTheme="majorHAnsi" w:eastAsiaTheme="minorEastAsia" w:hAnsiTheme="majorHAnsi" w:cstheme="minorBidi"/>
          <w:lang w:val="en-GB"/>
        </w:rPr>
      </w:pPr>
      <w:r w:rsidRPr="00674407">
        <w:rPr>
          <w:rFonts w:asciiTheme="majorHAnsi" w:hAnsiTheme="majorHAnsi"/>
          <w:noProof/>
          <w:lang w:val="es-ES" w:eastAsia="es-ES"/>
        </w:rPr>
        <mc:AlternateContent>
          <mc:Choice Requires="wps">
            <w:drawing>
              <wp:anchor distT="45720" distB="45720" distL="114300" distR="114300" simplePos="0" relativeHeight="251660288" behindDoc="0" locked="0" layoutInCell="1" allowOverlap="1" wp14:anchorId="1456BA20" wp14:editId="2E943922">
                <wp:simplePos x="0" y="0"/>
                <wp:positionH relativeFrom="margin">
                  <wp:posOffset>2540</wp:posOffset>
                </wp:positionH>
                <wp:positionV relativeFrom="page">
                  <wp:posOffset>2307397</wp:posOffset>
                </wp:positionV>
                <wp:extent cx="6457950" cy="4853940"/>
                <wp:effectExtent l="0" t="0" r="1905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853940"/>
                        </a:xfrm>
                        <a:prstGeom prst="rect">
                          <a:avLst/>
                        </a:prstGeom>
                        <a:solidFill>
                          <a:srgbClr val="FFFFFF"/>
                        </a:solidFill>
                        <a:ln w="9525">
                          <a:solidFill>
                            <a:srgbClr val="000000"/>
                          </a:solidFill>
                          <a:miter lim="800000"/>
                          <a:headEnd/>
                          <a:tailEnd/>
                        </a:ln>
                      </wps:spPr>
                      <wps:txbx>
                        <w:txbxContent>
                          <w:p w14:paraId="7BDD4EB8" w14:textId="25EB8057" w:rsidR="00F409A4" w:rsidRPr="00455F41" w:rsidRDefault="00F409A4" w:rsidP="00455F41">
                            <w:pPr>
                              <w:rPr>
                                <w:bCs/>
                                <w:i/>
                                <w:lang w:val="en-GB"/>
                              </w:rPr>
                            </w:pPr>
                            <w:r w:rsidRPr="00175207">
                              <w:rPr>
                                <w:i/>
                                <w:lang w:val="en-GB"/>
                              </w:rPr>
                              <w:t xml:space="preserve">Lolita Chavez </w:t>
                            </w:r>
                            <w:proofErr w:type="spellStart"/>
                            <w:r w:rsidRPr="00175207">
                              <w:rPr>
                                <w:bCs/>
                                <w:i/>
                                <w:lang w:val="en-GB"/>
                              </w:rPr>
                              <w:t>Ixcaquic</w:t>
                            </w:r>
                            <w:proofErr w:type="spellEnd"/>
                            <w:r w:rsidRPr="00175207">
                              <w:rPr>
                                <w:rStyle w:val="Refdenotaalfinal"/>
                                <w:bCs/>
                                <w:i/>
                                <w:lang w:val="en-GB"/>
                              </w:rPr>
                              <w:footnoteRef/>
                            </w:r>
                            <w:r w:rsidRPr="00175207">
                              <w:rPr>
                                <w:bCs/>
                                <w:i/>
                                <w:lang w:val="en-GB"/>
                              </w:rPr>
                              <w:t>: facing exacerbated risks as an indigenous woman defending human rights in the face of big business</w:t>
                            </w:r>
                          </w:p>
                          <w:p w14:paraId="5443DFB0" w14:textId="56A7482B" w:rsidR="00F409A4" w:rsidRPr="00175207" w:rsidRDefault="00F409A4" w:rsidP="00455F41">
                            <w:pPr>
                              <w:rPr>
                                <w:lang w:val="en-GB"/>
                              </w:rPr>
                            </w:pPr>
                            <w:r w:rsidRPr="00175207">
                              <w:rPr>
                                <w:lang w:val="en-GB"/>
                              </w:rPr>
                              <w:t xml:space="preserve">Lolita Chavez, leader of the Council of K’iche’ Peoples in </w:t>
                            </w:r>
                            <w:proofErr w:type="spellStart"/>
                            <w:r w:rsidRPr="00175207">
                              <w:rPr>
                                <w:lang w:val="en-GB"/>
                              </w:rPr>
                              <w:t>Defense</w:t>
                            </w:r>
                            <w:proofErr w:type="spellEnd"/>
                            <w:r w:rsidRPr="00175207">
                              <w:rPr>
                                <w:lang w:val="en-GB"/>
                              </w:rPr>
                              <w:t xml:space="preserve"> of Life, Mother Nature, Earth and Territory (CPK), an organisation grouping 87 communities and their traditional authorities that work to protect their land and resources, has suffered frequent </w:t>
                            </w:r>
                            <w:r w:rsidRPr="00175207">
                              <w:rPr>
                                <w:b/>
                                <w:lang w:val="en-GB"/>
                              </w:rPr>
                              <w:t>threats</w:t>
                            </w:r>
                            <w:r w:rsidRPr="00175207">
                              <w:rPr>
                                <w:lang w:val="en-GB"/>
                              </w:rPr>
                              <w:t xml:space="preserve">, </w:t>
                            </w:r>
                            <w:r w:rsidRPr="00175207">
                              <w:rPr>
                                <w:b/>
                                <w:lang w:val="en-GB"/>
                              </w:rPr>
                              <w:t>attacks</w:t>
                            </w:r>
                            <w:r w:rsidRPr="00175207">
                              <w:rPr>
                                <w:lang w:val="en-GB"/>
                              </w:rPr>
                              <w:t xml:space="preserve"> and </w:t>
                            </w:r>
                            <w:r w:rsidRPr="00175207">
                              <w:rPr>
                                <w:b/>
                                <w:lang w:val="en-GB"/>
                              </w:rPr>
                              <w:t>criminalisation</w:t>
                            </w:r>
                            <w:r w:rsidRPr="00175207">
                              <w:rPr>
                                <w:lang w:val="en-GB"/>
                              </w:rPr>
                              <w:t>. Many of the communities in the Council have voted against large-scale mining and hydroelectric projects.</w:t>
                            </w:r>
                          </w:p>
                          <w:p w14:paraId="736851F5" w14:textId="6A888D29" w:rsidR="00F409A4" w:rsidRPr="00944C92" w:rsidRDefault="00F409A4" w:rsidP="00455F41">
                            <w:pPr>
                              <w:rPr>
                                <w:lang w:val="es-ES"/>
                              </w:rPr>
                            </w:pPr>
                            <w:r w:rsidRPr="00175207">
                              <w:rPr>
                                <w:lang w:val="en-GB"/>
                              </w:rPr>
                              <w:t xml:space="preserve">In 2012, Lolita was ambushed along with her companions on a bus, by a group of men armed with machetes, knives and sticks. She has faced trumped-up criminal charges, and accused of representing a threat to national security, on several occasions. She was granted </w:t>
                            </w:r>
                            <w:r w:rsidRPr="00175207">
                              <w:rPr>
                                <w:b/>
                                <w:lang w:val="en-GB"/>
                              </w:rPr>
                              <w:t>precautionary measures</w:t>
                            </w:r>
                            <w:r w:rsidRPr="00175207">
                              <w:rPr>
                                <w:lang w:val="en-GB"/>
                              </w:rPr>
                              <w:t xml:space="preserve"> by the Inter-American Commission on Human Rights due the threats against her life that require the government to provide protection but they have not been properly implemented. </w:t>
                            </w:r>
                            <w:r>
                              <w:rPr>
                                <w:lang w:val="en-GB"/>
                              </w:rPr>
                              <w:t xml:space="preserve"> </w:t>
                            </w:r>
                            <w:r w:rsidRPr="00944C92">
                              <w:rPr>
                                <w:lang w:val="es-ES"/>
                              </w:rPr>
                              <w:t>Por ejemplo, en enero de 2015, la defensora estuvo más de tres semanas sin protección del Estado, debido a un cambio en su esquema decidido unilateralmente por las autoridades (sin informar ni consultarle previamente).  La protección se reanudó gracias a la mediación de una ONG internacional y la Oficina del Alto Comisionado de las Naciones Unidas para los Derechos Humanos.</w:t>
                            </w:r>
                          </w:p>
                          <w:p w14:paraId="6D64929A" w14:textId="139C3B2F" w:rsidR="00F409A4" w:rsidRPr="00175207" w:rsidRDefault="00F409A4" w:rsidP="00455F41">
                            <w:pPr>
                              <w:rPr>
                                <w:lang w:val="en-GB"/>
                              </w:rPr>
                            </w:pPr>
                            <w:r w:rsidRPr="00175207">
                              <w:rPr>
                                <w:lang w:val="en-GB"/>
                              </w:rPr>
                              <w:t xml:space="preserve">Lolita explains that the backlash is even stronger against indigenous women human rights defenders given the </w:t>
                            </w:r>
                            <w:r w:rsidRPr="00175207">
                              <w:rPr>
                                <w:b/>
                                <w:lang w:val="en-GB"/>
                              </w:rPr>
                              <w:t>discrimination</w:t>
                            </w:r>
                            <w:r w:rsidRPr="00175207">
                              <w:rPr>
                                <w:lang w:val="en-GB"/>
                              </w:rPr>
                              <w:t xml:space="preserve"> that those groups already face and official and community opposition to their role in decision-making, whilst it is also extremely difficult to gather the financial resources necessary to stand up to such large interests. </w:t>
                            </w:r>
                          </w:p>
                          <w:p w14:paraId="46590BA4" w14:textId="0B5644AC" w:rsidR="00F409A4" w:rsidRPr="00D73106" w:rsidRDefault="00F409A4" w:rsidP="00455F41">
                            <w:pPr>
                              <w:rPr>
                                <w:lang w:val="en-GB"/>
                              </w:rPr>
                            </w:pPr>
                            <w:r w:rsidRPr="00175207">
                              <w:rPr>
                                <w:lang w:val="en-GB"/>
                              </w:rPr>
                              <w:t>Five international NGOs</w:t>
                            </w:r>
                            <w:r w:rsidRPr="00175207">
                              <w:rPr>
                                <w:rStyle w:val="Refdenotaalfinal"/>
                                <w:lang w:val="en-GB"/>
                              </w:rPr>
                              <w:footnoteRef/>
                            </w:r>
                            <w:r w:rsidRPr="00175207">
                              <w:rPr>
                                <w:lang w:val="en-GB"/>
                              </w:rPr>
                              <w:t xml:space="preserve"> have said that Lolita’s case is emblematic of the wider issues: ‘It is precisely this, the process of isolating, wearing down and requiring inordinate outlay of time, energy, money and legal supports from activists and their allies that is central to the strategy of </w:t>
                            </w:r>
                            <w:r w:rsidRPr="00175207">
                              <w:rPr>
                                <w:b/>
                                <w:lang w:val="en-GB"/>
                              </w:rPr>
                              <w:t>stigm</w:t>
                            </w:r>
                            <w:r w:rsidR="000C7C25">
                              <w:rPr>
                                <w:b/>
                                <w:lang w:val="en-GB"/>
                              </w:rPr>
                              <w:t>atis</w:t>
                            </w:r>
                            <w:r w:rsidRPr="00175207">
                              <w:rPr>
                                <w:b/>
                                <w:lang w:val="en-GB"/>
                              </w:rPr>
                              <w:t>ation</w:t>
                            </w:r>
                            <w:r w:rsidRPr="00175207">
                              <w:rPr>
                                <w:lang w:val="en-GB"/>
                              </w:rPr>
                              <w:t xml:space="preserve"> and criminalization of dissent’.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456BA20" id="_x0000_s1027" type="#_x0000_t202" style="position:absolute;margin-left:.2pt;margin-top:181.7pt;width:508.5pt;height:382.2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">
                <v:textbox style="mso-fit-shape-to-text:t">
                  <w:txbxContent>
                    <w:p w14:paraId="7BDD4EB8" w14:textId="25EB8057" w:rsidR="00F409A4" w:rsidRPr="00455F41" w:rsidRDefault="00F409A4" w:rsidP="00455F41">
                      <w:pPr>
                        <w:rPr>
                          <w:bCs/>
                          <w:i/>
                          <w:lang w:val="en-GB"/>
                        </w:rPr>
                      </w:pPr>
                      <w:r w:rsidRPr="00175207">
                        <w:rPr>
                          <w:i/>
                          <w:lang w:val="en-GB"/>
                        </w:rPr>
                        <w:t xml:space="preserve">Lolita Chavez </w:t>
                      </w:r>
                      <w:r w:rsidRPr="00175207">
                        <w:rPr>
                          <w:bCs/>
                          <w:i/>
                          <w:lang w:val="en-GB"/>
                        </w:rPr>
                        <w:t>Ixcaquic</w:t>
                      </w:r>
                      <w:r w:rsidRPr="00175207">
                        <w:rPr>
                          <w:rStyle w:val="EndnoteReference"/>
                          <w:bCs/>
                          <w:i/>
                          <w:lang w:val="en-GB"/>
                        </w:rPr>
                        <w:footnoteRef/>
                      </w:r>
                      <w:r w:rsidRPr="00175207">
                        <w:rPr>
                          <w:bCs/>
                          <w:i/>
                          <w:lang w:val="en-GB"/>
                        </w:rPr>
                        <w:t>: facing exacerbated risks as an indigenous woman defending human rights in the face of big business</w:t>
                      </w:r>
                    </w:p>
                    <w:p w14:paraId="5443DFB0" w14:textId="56A7482B" w:rsidR="00F409A4" w:rsidRPr="00175207" w:rsidRDefault="00F409A4" w:rsidP="00455F41">
                      <w:pPr>
                        <w:rPr>
                          <w:lang w:val="en-GB"/>
                        </w:rPr>
                      </w:pPr>
                      <w:r w:rsidRPr="00175207">
                        <w:rPr>
                          <w:lang w:val="en-GB"/>
                        </w:rPr>
                        <w:t xml:space="preserve">Lolita Chavez, leader of the Council of K’iche’ Peoples in Defense of Life, Mother Nature, Earth and Territory (CPK), an organisation grouping 87 communities and their traditional authorities that work to protect their land and resources, has suffered frequent </w:t>
                      </w:r>
                      <w:r w:rsidRPr="00175207">
                        <w:rPr>
                          <w:b/>
                          <w:lang w:val="en-GB"/>
                        </w:rPr>
                        <w:t>threats</w:t>
                      </w:r>
                      <w:r w:rsidRPr="00175207">
                        <w:rPr>
                          <w:lang w:val="en-GB"/>
                        </w:rPr>
                        <w:t xml:space="preserve">, </w:t>
                      </w:r>
                      <w:r w:rsidRPr="00175207">
                        <w:rPr>
                          <w:b/>
                          <w:lang w:val="en-GB"/>
                        </w:rPr>
                        <w:t>attacks</w:t>
                      </w:r>
                      <w:r w:rsidRPr="00175207">
                        <w:rPr>
                          <w:lang w:val="en-GB"/>
                        </w:rPr>
                        <w:t xml:space="preserve"> and </w:t>
                      </w:r>
                      <w:r w:rsidRPr="00175207">
                        <w:rPr>
                          <w:b/>
                          <w:lang w:val="en-GB"/>
                        </w:rPr>
                        <w:t>criminalisation</w:t>
                      </w:r>
                      <w:r w:rsidRPr="00175207">
                        <w:rPr>
                          <w:lang w:val="en-GB"/>
                        </w:rPr>
                        <w:t>. Many of the communities in the Council have voted against large-scale mining and hydroelectric projects.</w:t>
                      </w:r>
                    </w:p>
                    <w:p w14:paraId="736851F5" w14:textId="6A888D29" w:rsidR="00F409A4" w:rsidRPr="00944C92" w:rsidRDefault="00F409A4" w:rsidP="00455F41">
                      <w:pPr>
                        <w:rPr>
                          <w:lang w:val="es-ES"/>
                        </w:rPr>
                      </w:pPr>
                      <w:r w:rsidRPr="00175207">
                        <w:rPr>
                          <w:lang w:val="en-GB"/>
                        </w:rPr>
                        <w:t xml:space="preserve">In 2012, Lolita was ambushed along with her companions on a bus, by a group of men armed with machetes, knives and sticks. She has faced trumped-up criminal charges, and accused of representing a threat to national security, on several occasions. She was granted </w:t>
                      </w:r>
                      <w:r w:rsidRPr="00175207">
                        <w:rPr>
                          <w:b/>
                          <w:lang w:val="en-GB"/>
                        </w:rPr>
                        <w:t>precautionary measures</w:t>
                      </w:r>
                      <w:r w:rsidRPr="00175207">
                        <w:rPr>
                          <w:lang w:val="en-GB"/>
                        </w:rPr>
                        <w:t xml:space="preserve"> by the Inter-American Commission on Human Rights due the threats against her life that require the government to provide protection but they have not been properly implemented. </w:t>
                      </w:r>
                      <w:r>
                        <w:rPr>
                          <w:lang w:val="en-GB"/>
                        </w:rPr>
                        <w:t xml:space="preserve"> </w:t>
                      </w:r>
                      <w:r w:rsidRPr="00944C92">
                        <w:rPr>
                          <w:lang w:val="es-ES"/>
                        </w:rPr>
                        <w:t>Por ejemplo, en enero de 2015, la defensora estuvo más de tres semanas sin protección del Estado, debido a un cambio en su esquema decidido unilateralmente por las autoridades (sin informar ni consultarle previamente).  La protección se reanudó gracias a la mediación de una ONG internacional y la Oficina del Alto Comisionado de las Naciones Unidas para los Derechos Humanos.</w:t>
                      </w:r>
                    </w:p>
                    <w:p w14:paraId="6D64929A" w14:textId="139C3B2F" w:rsidR="00F409A4" w:rsidRPr="00175207" w:rsidRDefault="00F409A4" w:rsidP="00455F41">
                      <w:pPr>
                        <w:rPr>
                          <w:lang w:val="en-GB"/>
                        </w:rPr>
                      </w:pPr>
                      <w:r w:rsidRPr="00175207">
                        <w:rPr>
                          <w:lang w:val="en-GB"/>
                        </w:rPr>
                        <w:t xml:space="preserve">Lolita explains that the backlash is even stronger against indigenous women human rights defenders given the </w:t>
                      </w:r>
                      <w:r w:rsidRPr="00175207">
                        <w:rPr>
                          <w:b/>
                          <w:lang w:val="en-GB"/>
                        </w:rPr>
                        <w:t>discrimination</w:t>
                      </w:r>
                      <w:r w:rsidRPr="00175207">
                        <w:rPr>
                          <w:lang w:val="en-GB"/>
                        </w:rPr>
                        <w:t xml:space="preserve"> that those groups already face and official and community opposition to their role in decision-making, whilst it is also extremely difficult to gather the financial resources necessary to stand up to such large interests. </w:t>
                      </w:r>
                    </w:p>
                    <w:p w14:paraId="46590BA4" w14:textId="0B5644AC" w:rsidR="00F409A4" w:rsidRPr="00D73106" w:rsidRDefault="00F409A4" w:rsidP="00455F41">
                      <w:pPr>
                        <w:rPr>
                          <w:lang w:val="en-GB"/>
                        </w:rPr>
                      </w:pPr>
                      <w:r w:rsidRPr="00175207">
                        <w:rPr>
                          <w:lang w:val="en-GB"/>
                        </w:rPr>
                        <w:t>Five international NGOs</w:t>
                      </w:r>
                      <w:r w:rsidRPr="00175207">
                        <w:rPr>
                          <w:rStyle w:val="EndnoteReference"/>
                          <w:lang w:val="en-GB"/>
                        </w:rPr>
                        <w:footnoteRef/>
                      </w:r>
                      <w:r w:rsidRPr="00175207">
                        <w:rPr>
                          <w:lang w:val="en-GB"/>
                        </w:rPr>
                        <w:t xml:space="preserve"> have said that Lolita’s case is emblematic of the wider issues: ‘It is precisely this, the process of isolating, wearing down and requiring inordinate outlay of time, energy, money and legal supports from activists and their allies that is central to the strategy of </w:t>
                      </w:r>
                      <w:r w:rsidRPr="00175207">
                        <w:rPr>
                          <w:b/>
                          <w:lang w:val="en-GB"/>
                        </w:rPr>
                        <w:t>stigm</w:t>
                      </w:r>
                      <w:r w:rsidR="000C7C25">
                        <w:rPr>
                          <w:b/>
                          <w:lang w:val="en-GB"/>
                        </w:rPr>
                        <w:t>atis</w:t>
                      </w:r>
                      <w:r w:rsidRPr="00175207">
                        <w:rPr>
                          <w:b/>
                          <w:lang w:val="en-GB"/>
                        </w:rPr>
                        <w:t>ation</w:t>
                      </w:r>
                      <w:r w:rsidRPr="00175207">
                        <w:rPr>
                          <w:lang w:val="en-GB"/>
                        </w:rPr>
                        <w:t xml:space="preserve"> and criminalization of dissent’.</w:t>
                      </w:r>
                    </w:p>
                  </w:txbxContent>
                </v:textbox>
                <w10:wrap type="square" anchorx="margin" anchory="page"/>
              </v:shape>
            </w:pict>
          </mc:Fallback>
        </mc:AlternateContent>
      </w:r>
    </w:p>
    <w:p w14:paraId="61213448" w14:textId="5BBEA2C8" w:rsidR="00455F41" w:rsidRPr="00674407" w:rsidRDefault="00455F41" w:rsidP="00455F41">
      <w:pPr>
        <w:spacing w:after="0" w:line="240" w:lineRule="auto"/>
        <w:rPr>
          <w:rFonts w:asciiTheme="majorHAnsi" w:eastAsiaTheme="minorEastAsia" w:hAnsiTheme="majorHAnsi" w:cstheme="minorBidi"/>
          <w:b/>
          <w:lang w:val="en-GB"/>
        </w:rPr>
      </w:pPr>
      <w:r w:rsidRPr="00674407">
        <w:rPr>
          <w:rFonts w:asciiTheme="majorHAnsi" w:eastAsiaTheme="minorEastAsia" w:hAnsiTheme="majorHAnsi" w:cstheme="minorBidi"/>
          <w:b/>
          <w:lang w:val="en-GB"/>
        </w:rPr>
        <w:t>6. Forced evictions (</w:t>
      </w:r>
      <w:proofErr w:type="spellStart"/>
      <w:r w:rsidRPr="00674407">
        <w:rPr>
          <w:rFonts w:asciiTheme="majorHAnsi" w:eastAsiaTheme="minorEastAsia" w:hAnsiTheme="majorHAnsi" w:cstheme="minorBidi"/>
          <w:b/>
          <w:i/>
          <w:lang w:val="en-GB"/>
        </w:rPr>
        <w:t>desalojos</w:t>
      </w:r>
      <w:proofErr w:type="spellEnd"/>
      <w:r w:rsidRPr="00674407">
        <w:rPr>
          <w:rFonts w:asciiTheme="majorHAnsi" w:eastAsiaTheme="minorEastAsia" w:hAnsiTheme="majorHAnsi" w:cstheme="minorBidi"/>
          <w:b/>
          <w:lang w:val="en-GB"/>
        </w:rPr>
        <w:t>) of social protests against human rights abuses in the context of business operations</w:t>
      </w:r>
    </w:p>
    <w:p w14:paraId="51DF9914" w14:textId="41F8B62C" w:rsidR="00455F41" w:rsidRPr="00674407" w:rsidRDefault="00455F41" w:rsidP="00455F41">
      <w:pPr>
        <w:spacing w:after="0" w:line="240" w:lineRule="auto"/>
        <w:rPr>
          <w:rFonts w:asciiTheme="majorHAnsi" w:eastAsiaTheme="minorEastAsia" w:hAnsiTheme="majorHAnsi" w:cstheme="minorBidi"/>
          <w:b/>
          <w:lang w:val="en-GB"/>
        </w:rPr>
      </w:pPr>
    </w:p>
    <w:p w14:paraId="0A0075D3" w14:textId="299914D9" w:rsidR="00455F41" w:rsidRPr="00674407" w:rsidRDefault="00455F41" w:rsidP="00455F41">
      <w:pPr>
        <w:spacing w:after="0" w:line="240" w:lineRule="auto"/>
        <w:rPr>
          <w:rFonts w:asciiTheme="majorHAnsi" w:eastAsiaTheme="minorEastAsia" w:hAnsiTheme="majorHAnsi" w:cstheme="minorBidi"/>
          <w:lang w:val="en-GB"/>
        </w:rPr>
      </w:pPr>
      <w:r w:rsidRPr="00674407">
        <w:rPr>
          <w:rFonts w:asciiTheme="majorHAnsi" w:eastAsiaTheme="minorEastAsia" w:hAnsiTheme="majorHAnsi" w:cstheme="minorBidi"/>
          <w:lang w:val="en-GB"/>
        </w:rPr>
        <w:t>Last October, Peace Brigades International spoke out against the increase in forced evictions (</w:t>
      </w:r>
      <w:proofErr w:type="spellStart"/>
      <w:r w:rsidRPr="00674407">
        <w:rPr>
          <w:rFonts w:asciiTheme="majorHAnsi" w:eastAsiaTheme="minorEastAsia" w:hAnsiTheme="majorHAnsi" w:cstheme="minorBidi"/>
          <w:i/>
          <w:lang w:val="en-GB"/>
        </w:rPr>
        <w:t>desalojos</w:t>
      </w:r>
      <w:proofErr w:type="spellEnd"/>
      <w:r w:rsidRPr="00674407">
        <w:rPr>
          <w:rFonts w:asciiTheme="majorHAnsi" w:eastAsiaTheme="minorEastAsia" w:hAnsiTheme="majorHAnsi" w:cstheme="minorBidi"/>
          <w:lang w:val="en-GB"/>
        </w:rPr>
        <w:t>) against protests, particularly when they question economic investments, land rights and natural resource exploitation.</w:t>
      </w:r>
      <w:r w:rsidRPr="00674407">
        <w:rPr>
          <w:rFonts w:asciiTheme="majorHAnsi" w:eastAsiaTheme="minorEastAsia" w:hAnsiTheme="majorHAnsi" w:cstheme="minorBidi"/>
          <w:vertAlign w:val="superscript"/>
          <w:lang w:val="en-GB"/>
        </w:rPr>
        <w:endnoteReference w:id="38"/>
      </w:r>
      <w:r w:rsidRPr="00674407">
        <w:rPr>
          <w:rFonts w:asciiTheme="majorHAnsi" w:eastAsiaTheme="minorEastAsia" w:hAnsiTheme="majorHAnsi" w:cstheme="minorBidi"/>
          <w:lang w:val="en-GB"/>
        </w:rPr>
        <w:t xml:space="preserve"> Forced evictions are often accompanied by judicial harassment and an excessive use of public force.</w:t>
      </w:r>
      <w:r w:rsidR="0036587F" w:rsidRPr="00674407">
        <w:rPr>
          <w:rFonts w:asciiTheme="majorHAnsi" w:eastAsiaTheme="minorEastAsia" w:hAnsiTheme="majorHAnsi" w:cstheme="minorBidi"/>
          <w:lang w:val="en-GB"/>
        </w:rPr>
        <w:t xml:space="preserve"> Local defenders allege that violent </w:t>
      </w:r>
      <w:proofErr w:type="spellStart"/>
      <w:r w:rsidR="0036587F" w:rsidRPr="00674407">
        <w:rPr>
          <w:rFonts w:asciiTheme="majorHAnsi" w:eastAsiaTheme="minorEastAsia" w:hAnsiTheme="majorHAnsi" w:cstheme="minorBidi"/>
          <w:i/>
          <w:lang w:val="en-GB"/>
        </w:rPr>
        <w:t>desalojos</w:t>
      </w:r>
      <w:proofErr w:type="spellEnd"/>
      <w:r w:rsidR="0036587F" w:rsidRPr="00674407">
        <w:rPr>
          <w:rFonts w:asciiTheme="majorHAnsi" w:eastAsiaTheme="minorEastAsia" w:hAnsiTheme="majorHAnsi" w:cstheme="minorBidi"/>
          <w:lang w:val="en-GB"/>
        </w:rPr>
        <w:t xml:space="preserve"> are often planned and carried out in collusion between the </w:t>
      </w:r>
      <w:proofErr w:type="spellStart"/>
      <w:r w:rsidR="0036587F" w:rsidRPr="00674407">
        <w:rPr>
          <w:rFonts w:asciiTheme="majorHAnsi" w:hAnsiTheme="majorHAnsi"/>
          <w:lang w:val="en-GB"/>
        </w:rPr>
        <w:t>Policía</w:t>
      </w:r>
      <w:proofErr w:type="spellEnd"/>
      <w:r w:rsidR="0036587F" w:rsidRPr="00674407">
        <w:rPr>
          <w:rFonts w:asciiTheme="majorHAnsi" w:hAnsiTheme="majorHAnsi"/>
          <w:lang w:val="en-GB"/>
        </w:rPr>
        <w:t xml:space="preserve"> </w:t>
      </w:r>
      <w:proofErr w:type="spellStart"/>
      <w:r w:rsidR="0036587F" w:rsidRPr="00674407">
        <w:rPr>
          <w:rFonts w:asciiTheme="majorHAnsi" w:hAnsiTheme="majorHAnsi"/>
          <w:lang w:val="en-GB"/>
        </w:rPr>
        <w:t>Nacional</w:t>
      </w:r>
      <w:proofErr w:type="spellEnd"/>
      <w:r w:rsidR="0036587F" w:rsidRPr="00674407">
        <w:rPr>
          <w:rFonts w:asciiTheme="majorHAnsi" w:hAnsiTheme="majorHAnsi"/>
          <w:lang w:val="en-GB"/>
        </w:rPr>
        <w:t xml:space="preserve"> Civil (PNC) and private security firms employed by the business which feels threatened by the activities of human rights organisations and resistance movements.</w:t>
      </w:r>
      <w:r w:rsidR="003631C2">
        <w:rPr>
          <w:rFonts w:asciiTheme="majorHAnsi" w:hAnsiTheme="majorHAnsi"/>
          <w:lang w:val="en-GB"/>
        </w:rPr>
        <w:t xml:space="preserve"> Some allege that individuals and groups associated with organised crime also form part of this violent collusion to repress community resistance.</w:t>
      </w:r>
      <w:r w:rsidR="0036587F" w:rsidRPr="00674407">
        <w:rPr>
          <w:rStyle w:val="Refdenotaalfinal"/>
          <w:rFonts w:asciiTheme="majorHAnsi" w:hAnsiTheme="majorHAnsi"/>
          <w:lang w:val="en-GB"/>
        </w:rPr>
        <w:endnoteReference w:id="39"/>
      </w:r>
    </w:p>
    <w:p w14:paraId="4EB4E629" w14:textId="4E106ED4" w:rsidR="00455F41" w:rsidRPr="00674407" w:rsidRDefault="00455F41" w:rsidP="00455F41">
      <w:pPr>
        <w:spacing w:after="0" w:line="240" w:lineRule="auto"/>
        <w:rPr>
          <w:rFonts w:asciiTheme="majorHAnsi" w:eastAsiaTheme="minorEastAsia" w:hAnsiTheme="majorHAnsi" w:cstheme="minorBidi"/>
          <w:lang w:val="en-GB"/>
        </w:rPr>
      </w:pPr>
    </w:p>
    <w:p w14:paraId="0CEE89D1" w14:textId="34310697" w:rsidR="00455F41" w:rsidRPr="00674407" w:rsidRDefault="00455F41" w:rsidP="0065211B">
      <w:pPr>
        <w:numPr>
          <w:ilvl w:val="0"/>
          <w:numId w:val="7"/>
        </w:numPr>
        <w:spacing w:after="0" w:line="240" w:lineRule="auto"/>
        <w:contextualSpacing/>
        <w:rPr>
          <w:rFonts w:asciiTheme="majorHAnsi" w:hAnsiTheme="majorHAnsi"/>
          <w:lang w:val="en-GB"/>
        </w:rPr>
      </w:pPr>
      <w:r w:rsidRPr="00674407">
        <w:rPr>
          <w:rFonts w:asciiTheme="majorHAnsi" w:hAnsiTheme="majorHAnsi"/>
          <w:lang w:val="en-GB"/>
        </w:rPr>
        <w:t xml:space="preserve">In September 2014, international observers from PBI reported that protesters in </w:t>
      </w:r>
      <w:proofErr w:type="spellStart"/>
      <w:r w:rsidRPr="00674407">
        <w:rPr>
          <w:rFonts w:asciiTheme="majorHAnsi" w:hAnsiTheme="majorHAnsi"/>
          <w:lang w:val="en-GB"/>
        </w:rPr>
        <w:t>Ch'orti</w:t>
      </w:r>
      <w:proofErr w:type="spellEnd"/>
      <w:r w:rsidRPr="00674407">
        <w:rPr>
          <w:rFonts w:asciiTheme="majorHAnsi" w:hAnsiTheme="majorHAnsi"/>
          <w:lang w:val="en-GB"/>
        </w:rPr>
        <w:t xml:space="preserve">' de </w:t>
      </w:r>
      <w:proofErr w:type="spellStart"/>
      <w:r w:rsidRPr="00674407">
        <w:rPr>
          <w:rFonts w:asciiTheme="majorHAnsi" w:hAnsiTheme="majorHAnsi"/>
          <w:lang w:val="en-GB"/>
        </w:rPr>
        <w:t>Camotán</w:t>
      </w:r>
      <w:proofErr w:type="spellEnd"/>
      <w:r w:rsidRPr="00674407">
        <w:rPr>
          <w:rFonts w:asciiTheme="majorHAnsi" w:hAnsiTheme="majorHAnsi"/>
          <w:lang w:val="en-GB"/>
        </w:rPr>
        <w:t xml:space="preserve"> y </w:t>
      </w:r>
      <w:proofErr w:type="spellStart"/>
      <w:r w:rsidRPr="00674407">
        <w:rPr>
          <w:rFonts w:asciiTheme="majorHAnsi" w:hAnsiTheme="majorHAnsi"/>
          <w:lang w:val="en-GB"/>
        </w:rPr>
        <w:t>Jocotán</w:t>
      </w:r>
      <w:proofErr w:type="spellEnd"/>
      <w:r w:rsidRPr="00674407">
        <w:rPr>
          <w:rFonts w:asciiTheme="majorHAnsi" w:hAnsiTheme="majorHAnsi"/>
          <w:lang w:val="en-GB"/>
        </w:rPr>
        <w:t xml:space="preserve"> were subject to </w:t>
      </w:r>
      <w:proofErr w:type="spellStart"/>
      <w:r w:rsidRPr="00674407">
        <w:rPr>
          <w:rFonts w:asciiTheme="majorHAnsi" w:hAnsiTheme="majorHAnsi"/>
          <w:i/>
          <w:lang w:val="en-GB"/>
        </w:rPr>
        <w:t>desalojo</w:t>
      </w:r>
      <w:proofErr w:type="spellEnd"/>
      <w:r w:rsidR="0036587F" w:rsidRPr="00674407">
        <w:rPr>
          <w:rFonts w:asciiTheme="majorHAnsi" w:hAnsiTheme="majorHAnsi"/>
          <w:lang w:val="en-GB"/>
        </w:rPr>
        <w:t xml:space="preserve"> by the PNC</w:t>
      </w:r>
      <w:r w:rsidRPr="00674407">
        <w:rPr>
          <w:rFonts w:asciiTheme="majorHAnsi" w:hAnsiTheme="majorHAnsi"/>
          <w:lang w:val="en-GB"/>
        </w:rPr>
        <w:t xml:space="preserve"> using firearms, tear gas bombs, rocks and stones, leaving several injured, including one with a bullet wound. Human rights defenders from </w:t>
      </w:r>
      <w:r w:rsidRPr="00674407">
        <w:rPr>
          <w:rFonts w:asciiTheme="majorHAnsi" w:hAnsiTheme="majorHAnsi"/>
          <w:bCs/>
          <w:lang w:val="en-GB"/>
        </w:rPr>
        <w:t xml:space="preserve">Central </w:t>
      </w:r>
      <w:proofErr w:type="spellStart"/>
      <w:r w:rsidRPr="00674407">
        <w:rPr>
          <w:rFonts w:asciiTheme="majorHAnsi" w:hAnsiTheme="majorHAnsi"/>
          <w:bCs/>
          <w:lang w:val="en-GB"/>
        </w:rPr>
        <w:t>Campesina</w:t>
      </w:r>
      <w:proofErr w:type="spellEnd"/>
      <w:r w:rsidRPr="00674407">
        <w:rPr>
          <w:rFonts w:asciiTheme="majorHAnsi" w:hAnsiTheme="majorHAnsi"/>
          <w:bCs/>
          <w:lang w:val="en-GB"/>
        </w:rPr>
        <w:t xml:space="preserve"> </w:t>
      </w:r>
      <w:proofErr w:type="spellStart"/>
      <w:r w:rsidRPr="00674407">
        <w:rPr>
          <w:rFonts w:asciiTheme="majorHAnsi" w:hAnsiTheme="majorHAnsi"/>
          <w:bCs/>
          <w:lang w:val="en-GB"/>
        </w:rPr>
        <w:t>Ch'orti</w:t>
      </w:r>
      <w:proofErr w:type="spellEnd"/>
      <w:r w:rsidRPr="00674407">
        <w:rPr>
          <w:rFonts w:asciiTheme="majorHAnsi" w:hAnsiTheme="majorHAnsi"/>
          <w:bCs/>
          <w:lang w:val="en-GB"/>
        </w:rPr>
        <w:t xml:space="preserve">' Nuevo </w:t>
      </w:r>
      <w:proofErr w:type="spellStart"/>
      <w:r w:rsidRPr="00674407">
        <w:rPr>
          <w:rFonts w:asciiTheme="majorHAnsi" w:hAnsiTheme="majorHAnsi"/>
          <w:bCs/>
          <w:lang w:val="en-GB"/>
        </w:rPr>
        <w:lastRenderedPageBreak/>
        <w:t>Día</w:t>
      </w:r>
      <w:proofErr w:type="spellEnd"/>
      <w:r w:rsidRPr="00674407">
        <w:rPr>
          <w:rFonts w:asciiTheme="majorHAnsi" w:hAnsiTheme="majorHAnsi"/>
          <w:bCs/>
          <w:lang w:val="en-GB"/>
        </w:rPr>
        <w:t xml:space="preserve"> were detained for three days under unfounded allegations of threatening public order. Frontline defenders labelled this </w:t>
      </w:r>
      <w:proofErr w:type="gramStart"/>
      <w:r w:rsidRPr="00674407">
        <w:rPr>
          <w:rFonts w:asciiTheme="majorHAnsi" w:hAnsiTheme="majorHAnsi"/>
          <w:bCs/>
          <w:lang w:val="en-GB"/>
        </w:rPr>
        <w:t>an ‘attempt</w:t>
      </w:r>
      <w:proofErr w:type="gramEnd"/>
      <w:r w:rsidRPr="00674407">
        <w:rPr>
          <w:rFonts w:asciiTheme="majorHAnsi" w:hAnsiTheme="majorHAnsi"/>
          <w:bCs/>
          <w:lang w:val="en-GB"/>
        </w:rPr>
        <w:t xml:space="preserve"> by the authorities to criminalise human rights defenders’ with the objective of ‘causing fear amongst those who defend their land and rights against the interests of national and foreign extractive businesses’.</w:t>
      </w:r>
      <w:r w:rsidRPr="00674407">
        <w:rPr>
          <w:rFonts w:asciiTheme="majorHAnsi" w:hAnsiTheme="majorHAnsi"/>
          <w:bCs/>
          <w:vertAlign w:val="superscript"/>
          <w:lang w:val="en-GB"/>
        </w:rPr>
        <w:endnoteReference w:id="40"/>
      </w:r>
    </w:p>
    <w:p w14:paraId="3629BF03" w14:textId="0CEBEA01" w:rsidR="00455F41" w:rsidRDefault="00455F41" w:rsidP="0065211B">
      <w:pPr>
        <w:numPr>
          <w:ilvl w:val="0"/>
          <w:numId w:val="7"/>
        </w:numPr>
        <w:spacing w:after="0" w:line="240" w:lineRule="auto"/>
        <w:contextualSpacing/>
        <w:rPr>
          <w:rFonts w:asciiTheme="majorHAnsi" w:hAnsiTheme="majorHAnsi"/>
          <w:lang w:val="en-GB"/>
        </w:rPr>
      </w:pPr>
      <w:r w:rsidRPr="00674407">
        <w:rPr>
          <w:rFonts w:asciiTheme="majorHAnsi" w:hAnsiTheme="majorHAnsi"/>
          <w:lang w:val="en-GB"/>
        </w:rPr>
        <w:t xml:space="preserve">In May 2014, during an </w:t>
      </w:r>
      <w:proofErr w:type="spellStart"/>
      <w:r w:rsidRPr="00674407">
        <w:rPr>
          <w:rFonts w:asciiTheme="majorHAnsi" w:hAnsiTheme="majorHAnsi"/>
          <w:lang w:val="en-GB"/>
        </w:rPr>
        <w:t>ongoing</w:t>
      </w:r>
      <w:proofErr w:type="spellEnd"/>
      <w:r w:rsidRPr="00674407">
        <w:rPr>
          <w:rFonts w:asciiTheme="majorHAnsi" w:hAnsiTheme="majorHAnsi"/>
          <w:lang w:val="en-GB"/>
        </w:rPr>
        <w:t xml:space="preserve"> process of a high level dialogue between the community, the President and State institutions regarding opposition to a mining project, activists protesting as part of the Resistencia </w:t>
      </w:r>
      <w:proofErr w:type="spellStart"/>
      <w:r w:rsidRPr="00674407">
        <w:rPr>
          <w:rFonts w:asciiTheme="majorHAnsi" w:hAnsiTheme="majorHAnsi"/>
          <w:lang w:val="en-GB"/>
        </w:rPr>
        <w:t>Pacífica</w:t>
      </w:r>
      <w:proofErr w:type="spellEnd"/>
      <w:r w:rsidRPr="00674407">
        <w:rPr>
          <w:rFonts w:asciiTheme="majorHAnsi" w:hAnsiTheme="majorHAnsi"/>
          <w:lang w:val="en-GB"/>
        </w:rPr>
        <w:t xml:space="preserve"> de La </w:t>
      </w:r>
      <w:proofErr w:type="spellStart"/>
      <w:r w:rsidRPr="00674407">
        <w:rPr>
          <w:rFonts w:asciiTheme="majorHAnsi" w:hAnsiTheme="majorHAnsi"/>
          <w:lang w:val="en-GB"/>
        </w:rPr>
        <w:t>Puya</w:t>
      </w:r>
      <w:proofErr w:type="spellEnd"/>
      <w:r w:rsidRPr="00674407">
        <w:rPr>
          <w:rFonts w:asciiTheme="majorHAnsi" w:hAnsiTheme="majorHAnsi"/>
          <w:lang w:val="en-GB"/>
        </w:rPr>
        <w:t xml:space="preserve">, were violently moved from a protest camp by elements of the PNC.  PBI observers reported an excessive use of force, whilst </w:t>
      </w:r>
      <w:proofErr w:type="spellStart"/>
      <w:r w:rsidRPr="00674407">
        <w:rPr>
          <w:rFonts w:asciiTheme="majorHAnsi" w:hAnsiTheme="majorHAnsi"/>
          <w:lang w:val="en-GB"/>
        </w:rPr>
        <w:t>Udefegua</w:t>
      </w:r>
      <w:proofErr w:type="spellEnd"/>
      <w:r w:rsidRPr="00674407">
        <w:rPr>
          <w:rFonts w:asciiTheme="majorHAnsi" w:hAnsiTheme="majorHAnsi"/>
          <w:lang w:val="en-GB"/>
        </w:rPr>
        <w:t xml:space="preserve"> reported 23 people injured.  Witnesses stated that the majority of injured persons were women, with two of them receiving tear gas canister injuries after PNC agents fired them at their bodies and heads. Resistencia </w:t>
      </w:r>
      <w:proofErr w:type="spellStart"/>
      <w:r w:rsidRPr="00674407">
        <w:rPr>
          <w:rFonts w:asciiTheme="majorHAnsi" w:hAnsiTheme="majorHAnsi"/>
          <w:lang w:val="en-GB"/>
        </w:rPr>
        <w:t>Pacífica</w:t>
      </w:r>
      <w:proofErr w:type="spellEnd"/>
      <w:r w:rsidRPr="00674407">
        <w:rPr>
          <w:rFonts w:asciiTheme="majorHAnsi" w:hAnsiTheme="majorHAnsi"/>
          <w:lang w:val="en-GB"/>
        </w:rPr>
        <w:t xml:space="preserve"> de la </w:t>
      </w:r>
      <w:proofErr w:type="spellStart"/>
      <w:r w:rsidRPr="00674407">
        <w:rPr>
          <w:rFonts w:asciiTheme="majorHAnsi" w:hAnsiTheme="majorHAnsi"/>
          <w:lang w:val="en-GB"/>
        </w:rPr>
        <w:t>Puya</w:t>
      </w:r>
      <w:proofErr w:type="spellEnd"/>
      <w:r w:rsidRPr="00674407">
        <w:rPr>
          <w:rFonts w:asciiTheme="majorHAnsi" w:hAnsiTheme="majorHAnsi"/>
          <w:lang w:val="en-GB"/>
        </w:rPr>
        <w:t xml:space="preserve"> have faced persistent risks as a reprisal for their demands regarding access to information and consultation around gold extraction, whilst denouncing the lack of community participation and the negative environmental impact of the projects.</w:t>
      </w:r>
      <w:r w:rsidRPr="00674407">
        <w:rPr>
          <w:rFonts w:asciiTheme="majorHAnsi" w:hAnsiTheme="majorHAnsi"/>
          <w:vertAlign w:val="superscript"/>
          <w:lang w:val="fr-CH"/>
        </w:rPr>
        <w:endnoteReference w:id="41"/>
      </w:r>
    </w:p>
    <w:p w14:paraId="6A481994" w14:textId="50B77A4B" w:rsidR="00281E3E" w:rsidRPr="00674407" w:rsidRDefault="00281E3E" w:rsidP="0065211B">
      <w:pPr>
        <w:numPr>
          <w:ilvl w:val="0"/>
          <w:numId w:val="7"/>
        </w:numPr>
        <w:spacing w:after="0" w:line="240" w:lineRule="auto"/>
        <w:contextualSpacing/>
        <w:rPr>
          <w:rFonts w:asciiTheme="majorHAnsi" w:hAnsiTheme="majorHAnsi"/>
          <w:lang w:val="en-GB"/>
        </w:rPr>
      </w:pPr>
      <w:r>
        <w:rPr>
          <w:rFonts w:asciiTheme="majorHAnsi" w:hAnsiTheme="majorHAnsi"/>
          <w:lang w:val="en-GB"/>
        </w:rPr>
        <w:t xml:space="preserve">Many defenders complain that the collusion between State and private security forces to carry out </w:t>
      </w:r>
      <w:proofErr w:type="spellStart"/>
      <w:r w:rsidRPr="00281E3E">
        <w:rPr>
          <w:rFonts w:asciiTheme="majorHAnsi" w:hAnsiTheme="majorHAnsi"/>
          <w:i/>
          <w:lang w:val="en-GB"/>
        </w:rPr>
        <w:t>desalojos</w:t>
      </w:r>
      <w:proofErr w:type="spellEnd"/>
      <w:r>
        <w:rPr>
          <w:rFonts w:asciiTheme="majorHAnsi" w:hAnsiTheme="majorHAnsi"/>
          <w:lang w:val="en-GB"/>
        </w:rPr>
        <w:t xml:space="preserve"> is emblematic of the more general priority use of State resources to protect private business enterprises.</w:t>
      </w:r>
      <w:r>
        <w:rPr>
          <w:rStyle w:val="Refdenotaalfinal"/>
          <w:rFonts w:asciiTheme="majorHAnsi" w:hAnsiTheme="majorHAnsi"/>
          <w:lang w:val="en-GB"/>
        </w:rPr>
        <w:endnoteReference w:id="42"/>
      </w:r>
    </w:p>
    <w:p w14:paraId="57CDE7F2" w14:textId="0A52B987" w:rsidR="004D3473" w:rsidRPr="00674407" w:rsidRDefault="004D3473" w:rsidP="004D3473">
      <w:pPr>
        <w:spacing w:after="0" w:line="240" w:lineRule="auto"/>
        <w:contextualSpacing/>
        <w:rPr>
          <w:rFonts w:asciiTheme="majorHAnsi" w:hAnsiTheme="majorHAnsi"/>
          <w:lang w:val="en-GB"/>
        </w:rPr>
      </w:pPr>
    </w:p>
    <w:p w14:paraId="7A91B6BE" w14:textId="2018D2BF" w:rsidR="00455F41" w:rsidRPr="00674407" w:rsidRDefault="00455F41" w:rsidP="00455F41">
      <w:pPr>
        <w:spacing w:after="0" w:line="240" w:lineRule="auto"/>
        <w:rPr>
          <w:rFonts w:asciiTheme="majorHAnsi" w:eastAsiaTheme="minorEastAsia" w:hAnsiTheme="majorHAnsi" w:cstheme="minorBidi"/>
          <w:b/>
          <w:lang w:val="en-GB"/>
        </w:rPr>
      </w:pPr>
      <w:r w:rsidRPr="00674407">
        <w:rPr>
          <w:rFonts w:asciiTheme="majorHAnsi" w:eastAsiaTheme="minorEastAsia" w:hAnsiTheme="majorHAnsi" w:cstheme="minorBidi"/>
          <w:b/>
          <w:lang w:val="en-GB"/>
        </w:rPr>
        <w:t>7. A restrictive legal environment for the defence of human rights</w:t>
      </w:r>
    </w:p>
    <w:p w14:paraId="431CA35D" w14:textId="68266281" w:rsidR="00455F41" w:rsidRPr="00674407" w:rsidRDefault="00455F41" w:rsidP="00455F41">
      <w:pPr>
        <w:spacing w:after="0" w:line="240" w:lineRule="auto"/>
        <w:rPr>
          <w:rFonts w:asciiTheme="majorHAnsi" w:eastAsiaTheme="minorEastAsia" w:hAnsiTheme="majorHAnsi" w:cstheme="minorBidi"/>
          <w:b/>
          <w:lang w:val="en-GB"/>
        </w:rPr>
      </w:pPr>
    </w:p>
    <w:p w14:paraId="3CB408DE" w14:textId="180F9E12" w:rsidR="00455F41" w:rsidRPr="00674407" w:rsidRDefault="00455F41" w:rsidP="00455F41">
      <w:pPr>
        <w:spacing w:after="0" w:line="240" w:lineRule="auto"/>
        <w:rPr>
          <w:rFonts w:asciiTheme="majorHAnsi" w:eastAsiaTheme="minorEastAsia" w:hAnsiTheme="majorHAnsi" w:cstheme="minorBidi"/>
          <w:lang w:val="en-GB"/>
        </w:rPr>
      </w:pPr>
      <w:r w:rsidRPr="00674407">
        <w:rPr>
          <w:rFonts w:asciiTheme="majorHAnsi" w:eastAsiaTheme="minorEastAsia" w:hAnsiTheme="majorHAnsi" w:cstheme="minorBidi"/>
          <w:lang w:val="en-GB"/>
        </w:rPr>
        <w:t>In Guatemala, vague laws are arbitrarily used to criminalise and restrict the work of human rights defenders. In recent years, this restrictive legal environment has had a disproportionate effect upon defenders whose work threatens business interests.</w:t>
      </w:r>
    </w:p>
    <w:p w14:paraId="61C4FD92" w14:textId="519C722F" w:rsidR="00455F41" w:rsidRPr="00674407" w:rsidRDefault="00455F41" w:rsidP="00455F41">
      <w:pPr>
        <w:spacing w:after="0" w:line="240" w:lineRule="auto"/>
        <w:rPr>
          <w:rFonts w:asciiTheme="majorHAnsi" w:eastAsiaTheme="minorEastAsia" w:hAnsiTheme="majorHAnsi" w:cstheme="minorBidi"/>
          <w:lang w:val="en-GB"/>
        </w:rPr>
      </w:pPr>
    </w:p>
    <w:p w14:paraId="5D40AA78" w14:textId="3692F0C3" w:rsidR="00455F41" w:rsidRPr="00674407" w:rsidRDefault="00455F41" w:rsidP="00455F41">
      <w:pPr>
        <w:spacing w:after="0" w:line="240" w:lineRule="auto"/>
        <w:rPr>
          <w:rFonts w:asciiTheme="majorHAnsi" w:eastAsiaTheme="minorEastAsia" w:hAnsiTheme="majorHAnsi" w:cstheme="minorBidi"/>
          <w:u w:val="single"/>
          <w:lang w:val="en-GB"/>
        </w:rPr>
      </w:pPr>
      <w:r w:rsidRPr="00674407">
        <w:rPr>
          <w:rFonts w:asciiTheme="majorHAnsi" w:eastAsiaTheme="minorEastAsia" w:hAnsiTheme="majorHAnsi" w:cstheme="minorBidi"/>
          <w:u w:val="single"/>
          <w:lang w:val="en-GB"/>
        </w:rPr>
        <w:t>A. The arbitrary and abusive use of states of siege and or emergency</w:t>
      </w:r>
    </w:p>
    <w:p w14:paraId="14D8B508" w14:textId="640155AC" w:rsidR="00455F41" w:rsidRPr="00674407" w:rsidRDefault="00455F41" w:rsidP="0065211B">
      <w:pPr>
        <w:numPr>
          <w:ilvl w:val="0"/>
          <w:numId w:val="9"/>
        </w:numPr>
        <w:spacing w:after="0" w:line="240" w:lineRule="auto"/>
        <w:ind w:left="360"/>
        <w:contextualSpacing/>
        <w:rPr>
          <w:rFonts w:asciiTheme="majorHAnsi" w:hAnsiTheme="majorHAnsi"/>
          <w:lang w:val="en-GB"/>
        </w:rPr>
      </w:pPr>
      <w:r w:rsidRPr="00674407">
        <w:rPr>
          <w:rFonts w:asciiTheme="majorHAnsi" w:hAnsiTheme="majorHAnsi"/>
          <w:lang w:val="en-GB"/>
        </w:rPr>
        <w:t xml:space="preserve">In Guatemala the Public Order and State of Siege Act (la Ley de </w:t>
      </w:r>
      <w:proofErr w:type="spellStart"/>
      <w:r w:rsidRPr="00674407">
        <w:rPr>
          <w:rFonts w:asciiTheme="majorHAnsi" w:hAnsiTheme="majorHAnsi"/>
          <w:lang w:val="en-GB"/>
        </w:rPr>
        <w:t>Orden</w:t>
      </w:r>
      <w:proofErr w:type="spellEnd"/>
      <w:r w:rsidRPr="00674407">
        <w:rPr>
          <w:rFonts w:asciiTheme="majorHAnsi" w:hAnsiTheme="majorHAnsi"/>
          <w:lang w:val="en-GB"/>
        </w:rPr>
        <w:t xml:space="preserve"> </w:t>
      </w:r>
      <w:proofErr w:type="spellStart"/>
      <w:r w:rsidRPr="00674407">
        <w:rPr>
          <w:rFonts w:asciiTheme="majorHAnsi" w:hAnsiTheme="majorHAnsi"/>
          <w:lang w:val="en-GB"/>
        </w:rPr>
        <w:t>Público</w:t>
      </w:r>
      <w:proofErr w:type="spellEnd"/>
      <w:r w:rsidRPr="00674407">
        <w:rPr>
          <w:rFonts w:asciiTheme="majorHAnsi" w:hAnsiTheme="majorHAnsi"/>
          <w:lang w:val="en-GB"/>
        </w:rPr>
        <w:t xml:space="preserve">) </w:t>
      </w:r>
      <w:proofErr w:type="gramStart"/>
      <w:r w:rsidRPr="00674407">
        <w:rPr>
          <w:rFonts w:asciiTheme="majorHAnsi" w:hAnsiTheme="majorHAnsi"/>
          <w:lang w:val="en-GB"/>
        </w:rPr>
        <w:t>has</w:t>
      </w:r>
      <w:proofErr w:type="gramEnd"/>
      <w:r w:rsidRPr="00674407">
        <w:rPr>
          <w:rFonts w:asciiTheme="majorHAnsi" w:hAnsiTheme="majorHAnsi"/>
          <w:lang w:val="en-GB"/>
        </w:rPr>
        <w:t xml:space="preserve"> been repeatedly invoked to limit excessively the right to peaceful assembly and to violently repress human rights defence in the context of business operations.</w:t>
      </w:r>
      <w:r w:rsidRPr="00674407">
        <w:rPr>
          <w:rFonts w:asciiTheme="majorHAnsi" w:hAnsiTheme="majorHAnsi"/>
          <w:vertAlign w:val="superscript"/>
          <w:lang w:val="fr-FR"/>
        </w:rPr>
        <w:endnoteReference w:id="43"/>
      </w:r>
    </w:p>
    <w:p w14:paraId="58A5BBE9" w14:textId="38188DC1" w:rsidR="00455F41" w:rsidRPr="00674407" w:rsidRDefault="00455F41" w:rsidP="0065211B">
      <w:pPr>
        <w:numPr>
          <w:ilvl w:val="0"/>
          <w:numId w:val="9"/>
        </w:numPr>
        <w:spacing w:after="0" w:line="240" w:lineRule="auto"/>
        <w:ind w:left="360"/>
        <w:contextualSpacing/>
        <w:rPr>
          <w:rFonts w:asciiTheme="majorHAnsi" w:hAnsiTheme="majorHAnsi"/>
          <w:lang w:val="en-GB"/>
        </w:rPr>
      </w:pPr>
      <w:r w:rsidRPr="00674407">
        <w:rPr>
          <w:rFonts w:asciiTheme="majorHAnsi" w:hAnsiTheme="majorHAnsi"/>
          <w:lang w:val="en-GB"/>
        </w:rPr>
        <w:t xml:space="preserve">The Ley de </w:t>
      </w:r>
      <w:proofErr w:type="spellStart"/>
      <w:r w:rsidRPr="00674407">
        <w:rPr>
          <w:rFonts w:asciiTheme="majorHAnsi" w:hAnsiTheme="majorHAnsi"/>
          <w:lang w:val="en-GB"/>
        </w:rPr>
        <w:t>Orden</w:t>
      </w:r>
      <w:proofErr w:type="spellEnd"/>
      <w:r w:rsidRPr="00674407">
        <w:rPr>
          <w:rFonts w:asciiTheme="majorHAnsi" w:hAnsiTheme="majorHAnsi"/>
          <w:lang w:val="en-GB"/>
        </w:rPr>
        <w:t xml:space="preserve"> </w:t>
      </w:r>
      <w:proofErr w:type="spellStart"/>
      <w:r w:rsidRPr="00674407">
        <w:rPr>
          <w:rFonts w:asciiTheme="majorHAnsi" w:hAnsiTheme="majorHAnsi"/>
          <w:lang w:val="en-GB"/>
        </w:rPr>
        <w:t>Público</w:t>
      </w:r>
      <w:proofErr w:type="spellEnd"/>
      <w:r w:rsidRPr="00674407">
        <w:rPr>
          <w:rFonts w:asciiTheme="majorHAnsi" w:hAnsiTheme="majorHAnsi"/>
          <w:lang w:val="en-GB"/>
        </w:rPr>
        <w:t xml:space="preserve"> was created in 1965 in contradiction to the rights </w:t>
      </w:r>
      <w:r w:rsidR="000C7C25" w:rsidRPr="00674407">
        <w:rPr>
          <w:rFonts w:asciiTheme="majorHAnsi" w:hAnsiTheme="majorHAnsi"/>
          <w:lang w:val="en-GB"/>
        </w:rPr>
        <w:t>recognised</w:t>
      </w:r>
      <w:r w:rsidRPr="00674407">
        <w:rPr>
          <w:rFonts w:asciiTheme="majorHAnsi" w:hAnsiTheme="majorHAnsi"/>
          <w:lang w:val="en-GB"/>
        </w:rPr>
        <w:t xml:space="preserve"> in the Guatemalan constitution since 1985.</w:t>
      </w:r>
    </w:p>
    <w:p w14:paraId="7B5EA390" w14:textId="763B0244" w:rsidR="004D3473" w:rsidRPr="00674407" w:rsidRDefault="00455F41" w:rsidP="0065211B">
      <w:pPr>
        <w:widowControl w:val="0"/>
        <w:numPr>
          <w:ilvl w:val="0"/>
          <w:numId w:val="9"/>
        </w:numPr>
        <w:autoSpaceDE w:val="0"/>
        <w:autoSpaceDN w:val="0"/>
        <w:adjustRightInd w:val="0"/>
        <w:spacing w:after="0" w:line="240" w:lineRule="auto"/>
        <w:ind w:left="360"/>
        <w:contextualSpacing/>
        <w:rPr>
          <w:rFonts w:asciiTheme="majorHAnsi" w:hAnsiTheme="majorHAnsi" w:cs="CandidaStd-Roman"/>
          <w:lang w:val="en-GB"/>
        </w:rPr>
      </w:pPr>
      <w:r w:rsidRPr="00674407">
        <w:rPr>
          <w:rFonts w:asciiTheme="majorHAnsi" w:hAnsiTheme="majorHAnsi" w:cs="CandidaStd-Roman"/>
          <w:lang w:val="en-GB"/>
        </w:rPr>
        <w:t xml:space="preserve">According to </w:t>
      </w:r>
      <w:proofErr w:type="spellStart"/>
      <w:r w:rsidRPr="00674407">
        <w:rPr>
          <w:rFonts w:asciiTheme="majorHAnsi" w:hAnsiTheme="majorHAnsi" w:cs="CandidaStd-Roman"/>
          <w:lang w:val="en-GB"/>
        </w:rPr>
        <w:t>Udefegua</w:t>
      </w:r>
      <w:proofErr w:type="spellEnd"/>
      <w:r w:rsidRPr="00674407">
        <w:rPr>
          <w:rFonts w:asciiTheme="majorHAnsi" w:hAnsiTheme="majorHAnsi" w:cs="CandidaStd-Roman"/>
          <w:lang w:val="en-GB"/>
        </w:rPr>
        <w:t xml:space="preserve">, States of </w:t>
      </w:r>
      <w:proofErr w:type="spellStart"/>
      <w:r w:rsidRPr="00674407">
        <w:rPr>
          <w:rFonts w:asciiTheme="majorHAnsi" w:hAnsiTheme="majorHAnsi" w:cs="CandidaStd-Roman"/>
          <w:lang w:val="en-GB"/>
        </w:rPr>
        <w:t>Seige</w:t>
      </w:r>
      <w:proofErr w:type="spellEnd"/>
      <w:r w:rsidRPr="00674407">
        <w:rPr>
          <w:rFonts w:asciiTheme="majorHAnsi" w:hAnsiTheme="majorHAnsi" w:cs="CandidaStd-Roman"/>
          <w:lang w:val="en-GB"/>
        </w:rPr>
        <w:t xml:space="preserve"> are called with arbitrary regularity and under </w:t>
      </w:r>
      <w:proofErr w:type="gramStart"/>
      <w:r w:rsidRPr="00674407">
        <w:rPr>
          <w:rFonts w:asciiTheme="majorHAnsi" w:hAnsiTheme="majorHAnsi" w:cs="CandidaStd-Roman"/>
          <w:lang w:val="en-GB"/>
        </w:rPr>
        <w:t>conditions which fall out of those</w:t>
      </w:r>
      <w:proofErr w:type="gramEnd"/>
      <w:r w:rsidRPr="00674407">
        <w:rPr>
          <w:rFonts w:asciiTheme="majorHAnsi" w:hAnsiTheme="majorHAnsi" w:cs="CandidaStd-Roman"/>
          <w:lang w:val="en-GB"/>
        </w:rPr>
        <w:t xml:space="preserve"> permitted by international law.</w:t>
      </w:r>
      <w:r w:rsidRPr="00674407">
        <w:rPr>
          <w:rFonts w:asciiTheme="majorHAnsi" w:hAnsiTheme="majorHAnsi" w:cs="CandidaStd-Roman"/>
          <w:vertAlign w:val="superscript"/>
          <w:lang w:val="en-GB"/>
        </w:rPr>
        <w:endnoteReference w:id="44"/>
      </w:r>
      <w:r w:rsidRPr="00674407">
        <w:rPr>
          <w:rFonts w:asciiTheme="majorHAnsi" w:hAnsiTheme="majorHAnsi" w:cs="CandidaStd-Roman"/>
          <w:lang w:val="en-GB"/>
        </w:rPr>
        <w:t xml:space="preserve"> </w:t>
      </w:r>
      <w:proofErr w:type="gramStart"/>
      <w:r w:rsidRPr="00674407">
        <w:rPr>
          <w:rFonts w:asciiTheme="majorHAnsi" w:hAnsiTheme="majorHAnsi" w:cs="CandidaStd-Roman"/>
          <w:lang w:val="en-GB"/>
        </w:rPr>
        <w:t>and</w:t>
      </w:r>
      <w:proofErr w:type="gramEnd"/>
      <w:r w:rsidRPr="00674407">
        <w:rPr>
          <w:rFonts w:asciiTheme="majorHAnsi" w:hAnsiTheme="majorHAnsi" w:cs="CandidaStd-Roman"/>
          <w:lang w:val="en-GB"/>
        </w:rPr>
        <w:t xml:space="preserve"> with the effect of granting the public forces free reign to break up meetings, repress social movements by force and arbitrarily detain their members without a court order.</w:t>
      </w:r>
      <w:r w:rsidRPr="00674407">
        <w:rPr>
          <w:rFonts w:asciiTheme="majorHAnsi" w:hAnsiTheme="majorHAnsi" w:cs="CandidaStd-Roman"/>
          <w:vertAlign w:val="superscript"/>
          <w:lang w:val="en-GB"/>
        </w:rPr>
        <w:endnoteReference w:id="45"/>
      </w:r>
    </w:p>
    <w:p w14:paraId="50D2F16C" w14:textId="05020607" w:rsidR="00674407" w:rsidRPr="00674407" w:rsidRDefault="00674407" w:rsidP="00674407">
      <w:pPr>
        <w:widowControl w:val="0"/>
        <w:autoSpaceDE w:val="0"/>
        <w:autoSpaceDN w:val="0"/>
        <w:adjustRightInd w:val="0"/>
        <w:spacing w:after="0" w:line="240" w:lineRule="auto"/>
        <w:contextualSpacing/>
        <w:rPr>
          <w:rFonts w:asciiTheme="majorHAnsi" w:hAnsiTheme="majorHAnsi" w:cs="CandidaStd-Roman"/>
          <w:lang w:val="en-GB"/>
        </w:rPr>
      </w:pPr>
    </w:p>
    <w:p w14:paraId="11A1E813" w14:textId="03B63451" w:rsidR="00455F41" w:rsidRPr="00674407" w:rsidRDefault="00455F41" w:rsidP="00455F41">
      <w:pPr>
        <w:spacing w:after="0" w:line="240" w:lineRule="auto"/>
        <w:rPr>
          <w:rFonts w:asciiTheme="majorHAnsi" w:eastAsiaTheme="minorEastAsia" w:hAnsiTheme="majorHAnsi" w:cstheme="minorBidi"/>
          <w:u w:val="single"/>
          <w:lang w:val="es-ES"/>
        </w:rPr>
      </w:pPr>
      <w:r w:rsidRPr="00674407">
        <w:rPr>
          <w:rFonts w:asciiTheme="majorHAnsi" w:eastAsiaTheme="minorEastAsia" w:hAnsiTheme="majorHAnsi" w:cstheme="minorBidi"/>
          <w:u w:val="single"/>
          <w:lang w:val="es-ES"/>
        </w:rPr>
        <w:t>B.  La ley de Túmulos</w:t>
      </w:r>
      <w:r w:rsidRPr="00674407">
        <w:rPr>
          <w:rFonts w:asciiTheme="majorHAnsi" w:eastAsiaTheme="minorEastAsia" w:hAnsiTheme="majorHAnsi" w:cstheme="minorBidi"/>
          <w:u w:val="single"/>
          <w:vertAlign w:val="superscript"/>
          <w:lang w:val="en-GB"/>
        </w:rPr>
        <w:endnoteReference w:id="46"/>
      </w:r>
    </w:p>
    <w:p w14:paraId="0B50E6D0" w14:textId="77777777" w:rsidR="00455F41" w:rsidRPr="00674407" w:rsidRDefault="00455F41" w:rsidP="0065211B">
      <w:pPr>
        <w:widowControl w:val="0"/>
        <w:numPr>
          <w:ilvl w:val="0"/>
          <w:numId w:val="8"/>
        </w:numPr>
        <w:autoSpaceDE w:val="0"/>
        <w:autoSpaceDN w:val="0"/>
        <w:adjustRightInd w:val="0"/>
        <w:spacing w:after="0" w:line="240" w:lineRule="auto"/>
        <w:contextualSpacing/>
        <w:rPr>
          <w:rFonts w:asciiTheme="majorHAnsi" w:hAnsiTheme="majorHAnsi" w:cs="CandidaStd-Roman"/>
          <w:lang w:val="en-GB"/>
        </w:rPr>
      </w:pPr>
      <w:r w:rsidRPr="00674407">
        <w:rPr>
          <w:rFonts w:asciiTheme="majorHAnsi" w:hAnsiTheme="majorHAnsi" w:cs="CandidaStd-Roman"/>
          <w:lang w:val="en-GB"/>
        </w:rPr>
        <w:t>In February 2014, the Traffic Circulation and Obstruction of Roads Act (Decree 8- 2014),</w:t>
      </w:r>
      <w:r w:rsidRPr="00674407">
        <w:rPr>
          <w:rFonts w:asciiTheme="majorHAnsi" w:hAnsiTheme="majorHAnsi" w:cs="CandidaStd-Roman"/>
          <w:vertAlign w:val="superscript"/>
          <w:lang w:val="en-GB"/>
        </w:rPr>
        <w:endnoteReference w:id="47"/>
      </w:r>
      <w:r w:rsidRPr="00674407">
        <w:rPr>
          <w:rFonts w:asciiTheme="majorHAnsi" w:hAnsiTheme="majorHAnsi" w:cs="CandidaStd-Roman"/>
          <w:lang w:val="en-GB"/>
        </w:rPr>
        <w:t xml:space="preserve"> known as </w:t>
      </w:r>
      <w:r w:rsidRPr="00674407">
        <w:rPr>
          <w:rFonts w:asciiTheme="majorHAnsi" w:hAnsiTheme="majorHAnsi" w:cs="CandidaStd-Roman"/>
          <w:i/>
          <w:iCs/>
          <w:lang w:val="en-GB"/>
        </w:rPr>
        <w:t xml:space="preserve">Ley de </w:t>
      </w:r>
      <w:proofErr w:type="spellStart"/>
      <w:r w:rsidRPr="00674407">
        <w:rPr>
          <w:rFonts w:asciiTheme="majorHAnsi" w:hAnsiTheme="majorHAnsi" w:cs="CandidaStd-Roman"/>
          <w:i/>
          <w:iCs/>
          <w:lang w:val="en-GB"/>
        </w:rPr>
        <w:t>Túmulos</w:t>
      </w:r>
      <w:proofErr w:type="spellEnd"/>
      <w:r w:rsidRPr="00674407">
        <w:rPr>
          <w:rFonts w:asciiTheme="majorHAnsi" w:hAnsiTheme="majorHAnsi" w:cs="CandidaStd-Roman"/>
          <w:lang w:val="en-GB"/>
        </w:rPr>
        <w:t xml:space="preserve"> was adopted. ‘This Decree opens the door to the prohibition of demonstrations held to exercise the legitimate right to assembly and demonstration, and it particularly affects the fights of indigenous peoples as well as pacific community protests against mining’.</w:t>
      </w:r>
    </w:p>
    <w:p w14:paraId="39B37F19" w14:textId="32A3D5C7" w:rsidR="00455F41" w:rsidRPr="00674407" w:rsidRDefault="00455F41" w:rsidP="0065211B">
      <w:pPr>
        <w:widowControl w:val="0"/>
        <w:numPr>
          <w:ilvl w:val="0"/>
          <w:numId w:val="8"/>
        </w:numPr>
        <w:autoSpaceDE w:val="0"/>
        <w:autoSpaceDN w:val="0"/>
        <w:adjustRightInd w:val="0"/>
        <w:spacing w:after="0" w:line="240" w:lineRule="auto"/>
        <w:contextualSpacing/>
        <w:rPr>
          <w:rFonts w:asciiTheme="majorHAnsi" w:hAnsiTheme="majorHAnsi" w:cs="CandidaStd-Roman"/>
          <w:lang w:val="en-GB"/>
        </w:rPr>
      </w:pPr>
      <w:r w:rsidRPr="00674407">
        <w:rPr>
          <w:rFonts w:asciiTheme="majorHAnsi" w:hAnsiTheme="majorHAnsi" w:cs="CandidaStd-Roman"/>
          <w:lang w:val="en-GB"/>
        </w:rPr>
        <w:t>Administrative sanctions of up to USD $650 will apply to those deemed to have erected fences, mounds or other obstacles on the country’s roads without permission of the Directorate-General for Roads.</w:t>
      </w:r>
    </w:p>
    <w:p w14:paraId="361FAB23" w14:textId="77777777" w:rsidR="00455F41" w:rsidRPr="00674407" w:rsidRDefault="00455F41" w:rsidP="0065211B">
      <w:pPr>
        <w:widowControl w:val="0"/>
        <w:numPr>
          <w:ilvl w:val="0"/>
          <w:numId w:val="8"/>
        </w:numPr>
        <w:autoSpaceDE w:val="0"/>
        <w:autoSpaceDN w:val="0"/>
        <w:adjustRightInd w:val="0"/>
        <w:spacing w:after="0" w:line="240" w:lineRule="auto"/>
        <w:contextualSpacing/>
        <w:rPr>
          <w:rFonts w:asciiTheme="majorHAnsi" w:hAnsiTheme="majorHAnsi" w:cs="CandidaStd-Roman"/>
          <w:lang w:val="en-GB"/>
        </w:rPr>
      </w:pPr>
      <w:r w:rsidRPr="00674407">
        <w:rPr>
          <w:rFonts w:asciiTheme="majorHAnsi" w:hAnsiTheme="majorHAnsi" w:cs="CandidaStd-Roman"/>
          <w:lang w:val="en-GB"/>
        </w:rPr>
        <w:t xml:space="preserve">Criminal sanctions mean that prison terms or fines can imposed upon anybody deemed to have seriously endangered vehicle circulation ‘by any other means’ or </w:t>
      </w:r>
      <w:r w:rsidRPr="00674407">
        <w:rPr>
          <w:rFonts w:asciiTheme="majorHAnsi" w:hAnsiTheme="majorHAnsi" w:cs="CandidaStd-Roman"/>
          <w:iCs/>
          <w:lang w:val="en-GB"/>
        </w:rPr>
        <w:t>‘those who encourage others to set up mounds, barrels or other obstacles on the country’s roads’</w:t>
      </w:r>
      <w:r w:rsidRPr="00674407">
        <w:rPr>
          <w:rFonts w:asciiTheme="majorHAnsi" w:hAnsiTheme="majorHAnsi" w:cs="CandidaStd-Roman"/>
          <w:lang w:val="en-GB"/>
        </w:rPr>
        <w:t>.</w:t>
      </w:r>
    </w:p>
    <w:p w14:paraId="15F3ADAA" w14:textId="3DAA5A37" w:rsidR="00455F41" w:rsidRPr="00674407" w:rsidRDefault="00455F41" w:rsidP="0065211B">
      <w:pPr>
        <w:widowControl w:val="0"/>
        <w:numPr>
          <w:ilvl w:val="0"/>
          <w:numId w:val="8"/>
        </w:numPr>
        <w:autoSpaceDE w:val="0"/>
        <w:autoSpaceDN w:val="0"/>
        <w:adjustRightInd w:val="0"/>
        <w:spacing w:after="0" w:line="240" w:lineRule="auto"/>
        <w:contextualSpacing/>
        <w:rPr>
          <w:rFonts w:asciiTheme="majorHAnsi" w:hAnsiTheme="majorHAnsi" w:cs="CandidaStd-Roman"/>
          <w:i/>
          <w:iCs/>
          <w:lang w:val="en-GB"/>
        </w:rPr>
      </w:pPr>
      <w:r w:rsidRPr="00674407">
        <w:rPr>
          <w:rFonts w:asciiTheme="majorHAnsi" w:hAnsiTheme="majorHAnsi" w:cs="CandidaStd-Roman"/>
          <w:lang w:val="en-GB"/>
        </w:rPr>
        <w:t>These vague and arbitrary terms mean the law violates the Convention, as well as the Guatemalan constitution, which states that ‘</w:t>
      </w:r>
      <w:r w:rsidRPr="00674407">
        <w:rPr>
          <w:rFonts w:asciiTheme="majorHAnsi" w:hAnsiTheme="majorHAnsi" w:cs="CandidaStd-Roman"/>
          <w:i/>
          <w:lang w:val="en-GB"/>
        </w:rPr>
        <w:t>T</w:t>
      </w:r>
      <w:r w:rsidRPr="00674407">
        <w:rPr>
          <w:rFonts w:asciiTheme="majorHAnsi" w:hAnsiTheme="majorHAnsi" w:cs="CandidaStd-Roman"/>
          <w:i/>
          <w:iCs/>
          <w:lang w:val="en-GB"/>
        </w:rPr>
        <w:t>he rights to assembly and public demonstration cannot be restricted, diminished or undermined; and law will regulate them for the sole purpose of guaranteeing public order’.</w:t>
      </w:r>
    </w:p>
    <w:p w14:paraId="4B886C14" w14:textId="77777777" w:rsidR="004D3473" w:rsidRPr="00674407" w:rsidRDefault="004D3473" w:rsidP="004D3473">
      <w:pPr>
        <w:widowControl w:val="0"/>
        <w:autoSpaceDE w:val="0"/>
        <w:autoSpaceDN w:val="0"/>
        <w:adjustRightInd w:val="0"/>
        <w:spacing w:after="0" w:line="240" w:lineRule="auto"/>
        <w:contextualSpacing/>
        <w:rPr>
          <w:rFonts w:asciiTheme="majorHAnsi" w:hAnsiTheme="majorHAnsi" w:cs="CandidaStd-Roman"/>
          <w:i/>
          <w:lang w:val="en-GB"/>
        </w:rPr>
      </w:pPr>
    </w:p>
    <w:p w14:paraId="405A19DD" w14:textId="75C2B999" w:rsidR="00455F41" w:rsidRPr="00674407" w:rsidRDefault="00455F41" w:rsidP="00455F41">
      <w:pPr>
        <w:spacing w:after="0" w:line="240" w:lineRule="auto"/>
        <w:rPr>
          <w:rFonts w:asciiTheme="majorHAnsi" w:eastAsiaTheme="minorEastAsia" w:hAnsiTheme="majorHAnsi" w:cstheme="minorBidi"/>
          <w:u w:val="single"/>
          <w:lang w:val="en-GB"/>
        </w:rPr>
      </w:pPr>
      <w:r w:rsidRPr="00674407">
        <w:rPr>
          <w:rFonts w:asciiTheme="majorHAnsi" w:eastAsiaTheme="minorEastAsia" w:hAnsiTheme="majorHAnsi" w:cstheme="minorBidi"/>
          <w:u w:val="single"/>
          <w:lang w:val="en-GB"/>
        </w:rPr>
        <w:t>C.</w:t>
      </w:r>
      <w:r w:rsidR="00674407" w:rsidRPr="00674407">
        <w:rPr>
          <w:rFonts w:asciiTheme="majorHAnsi" w:eastAsiaTheme="minorEastAsia" w:hAnsiTheme="majorHAnsi" w:cstheme="minorBidi"/>
          <w:u w:val="single"/>
          <w:lang w:val="en-GB"/>
        </w:rPr>
        <w:t xml:space="preserve"> Counter-terrorism legislation</w:t>
      </w:r>
    </w:p>
    <w:p w14:paraId="5B9F1B95" w14:textId="77777777" w:rsidR="00455F41" w:rsidRPr="00674407" w:rsidRDefault="00455F41" w:rsidP="0065211B">
      <w:pPr>
        <w:numPr>
          <w:ilvl w:val="0"/>
          <w:numId w:val="10"/>
        </w:numPr>
        <w:spacing w:after="0" w:line="240" w:lineRule="auto"/>
        <w:contextualSpacing/>
        <w:rPr>
          <w:rFonts w:asciiTheme="majorHAnsi" w:hAnsiTheme="majorHAnsi"/>
          <w:lang w:val="en-GB"/>
        </w:rPr>
      </w:pPr>
      <w:proofErr w:type="spellStart"/>
      <w:r w:rsidRPr="00674407">
        <w:rPr>
          <w:rFonts w:asciiTheme="majorHAnsi" w:hAnsiTheme="majorHAnsi"/>
          <w:lang w:val="en-GB"/>
        </w:rPr>
        <w:t>Udefegua</w:t>
      </w:r>
      <w:proofErr w:type="spellEnd"/>
      <w:r w:rsidRPr="00674407">
        <w:rPr>
          <w:rFonts w:asciiTheme="majorHAnsi" w:hAnsiTheme="majorHAnsi"/>
          <w:lang w:val="en-GB"/>
        </w:rPr>
        <w:t xml:space="preserve"> have documented the widespread use of the terrorism law to criminalise activists, with criminal processes often instigated by private businesses related to mining or hydroelectricity projects. Many cases are closed given the lack of evidence beyond individual testimony.</w:t>
      </w:r>
      <w:r w:rsidRPr="00674407">
        <w:rPr>
          <w:rFonts w:asciiTheme="majorHAnsi" w:hAnsiTheme="majorHAnsi"/>
          <w:vertAlign w:val="superscript"/>
          <w:lang w:val="en-GB"/>
        </w:rPr>
        <w:endnoteReference w:id="48"/>
      </w:r>
    </w:p>
    <w:p w14:paraId="01F21D57" w14:textId="0B90F880" w:rsidR="00455F41" w:rsidRPr="00674407" w:rsidRDefault="00455F41" w:rsidP="0065211B">
      <w:pPr>
        <w:widowControl w:val="0"/>
        <w:numPr>
          <w:ilvl w:val="0"/>
          <w:numId w:val="10"/>
        </w:numPr>
        <w:autoSpaceDE w:val="0"/>
        <w:autoSpaceDN w:val="0"/>
        <w:adjustRightInd w:val="0"/>
        <w:spacing w:after="0" w:line="240" w:lineRule="auto"/>
        <w:contextualSpacing/>
        <w:rPr>
          <w:rFonts w:asciiTheme="majorHAnsi" w:hAnsiTheme="majorHAnsi" w:cs="CandidaStd-Roman"/>
          <w:lang w:val="en-GB"/>
        </w:rPr>
      </w:pPr>
      <w:r w:rsidRPr="00674407">
        <w:rPr>
          <w:rFonts w:asciiTheme="majorHAnsi" w:hAnsiTheme="majorHAnsi" w:cs="CandidaStd-Roman"/>
          <w:lang w:val="en-GB"/>
        </w:rPr>
        <w:t>A bill being debated since May 2014 in the Guatemalan parliament to prevent terrorism and commercial and industrial espionage (</w:t>
      </w:r>
      <w:proofErr w:type="spellStart"/>
      <w:r w:rsidRPr="00674407">
        <w:rPr>
          <w:rFonts w:asciiTheme="majorHAnsi" w:hAnsiTheme="majorHAnsi" w:cs="CandidaStd-Roman"/>
          <w:lang w:val="en-GB"/>
        </w:rPr>
        <w:t>Iniciativa</w:t>
      </w:r>
      <w:proofErr w:type="spellEnd"/>
      <w:r w:rsidRPr="00674407">
        <w:rPr>
          <w:rFonts w:asciiTheme="majorHAnsi" w:hAnsiTheme="majorHAnsi" w:cs="CandidaStd-Roman"/>
          <w:lang w:val="en-GB"/>
        </w:rPr>
        <w:t xml:space="preserve"> 4843), has been signalled as potentially threatening to journalists, given that – under its current terms – it could criminalise any person who emits an opinion regarding the activities of a business or who denounces abuses against the rights of consumers of the product.</w:t>
      </w:r>
      <w:r w:rsidRPr="00674407">
        <w:rPr>
          <w:rFonts w:asciiTheme="majorHAnsi" w:hAnsiTheme="majorHAnsi" w:cs="CandidaStd-Roman"/>
          <w:vertAlign w:val="superscript"/>
          <w:lang w:val="en-GB"/>
        </w:rPr>
        <w:endnoteReference w:id="49"/>
      </w:r>
    </w:p>
    <w:p w14:paraId="15586670" w14:textId="77777777" w:rsidR="004D3473" w:rsidRPr="00674407" w:rsidRDefault="004D3473" w:rsidP="004D3473">
      <w:pPr>
        <w:widowControl w:val="0"/>
        <w:autoSpaceDE w:val="0"/>
        <w:autoSpaceDN w:val="0"/>
        <w:adjustRightInd w:val="0"/>
        <w:spacing w:after="0" w:line="240" w:lineRule="auto"/>
        <w:contextualSpacing/>
        <w:rPr>
          <w:rFonts w:asciiTheme="majorHAnsi" w:hAnsiTheme="majorHAnsi" w:cs="CandidaStd-Roman"/>
          <w:lang w:val="en-GB"/>
        </w:rPr>
      </w:pPr>
    </w:p>
    <w:p w14:paraId="405C4FE6" w14:textId="158BCBAF" w:rsidR="00455F41" w:rsidRPr="00674407" w:rsidRDefault="00455F41" w:rsidP="00455F41">
      <w:pPr>
        <w:spacing w:after="0" w:line="240" w:lineRule="auto"/>
        <w:rPr>
          <w:rFonts w:asciiTheme="majorHAnsi" w:eastAsiaTheme="minorEastAsia" w:hAnsiTheme="majorHAnsi" w:cstheme="minorBidi"/>
          <w:u w:val="single"/>
          <w:lang w:val="en-GB"/>
        </w:rPr>
      </w:pPr>
      <w:r w:rsidRPr="00674407">
        <w:rPr>
          <w:rFonts w:asciiTheme="majorHAnsi" w:eastAsiaTheme="minorEastAsia" w:hAnsiTheme="majorHAnsi" w:cstheme="minorBidi"/>
          <w:u w:val="single"/>
          <w:lang w:val="en-GB"/>
        </w:rPr>
        <w:lastRenderedPageBreak/>
        <w:t>D Legislation restricting freedom of expression and access to information</w:t>
      </w:r>
    </w:p>
    <w:p w14:paraId="3071F45D" w14:textId="77777777" w:rsidR="00455F41" w:rsidRPr="00674407" w:rsidRDefault="00455F41" w:rsidP="0065211B">
      <w:pPr>
        <w:numPr>
          <w:ilvl w:val="0"/>
          <w:numId w:val="11"/>
        </w:numPr>
        <w:spacing w:after="0" w:line="240" w:lineRule="auto"/>
        <w:contextualSpacing/>
        <w:rPr>
          <w:rFonts w:asciiTheme="majorHAnsi" w:hAnsiTheme="majorHAnsi"/>
          <w:lang w:val="en-GB"/>
        </w:rPr>
      </w:pPr>
      <w:r w:rsidRPr="00674407">
        <w:rPr>
          <w:rFonts w:asciiTheme="majorHAnsi" w:hAnsiTheme="majorHAnsi"/>
          <w:lang w:val="en-GB"/>
        </w:rPr>
        <w:t>The criminalisation of some community radio stations in Guatemala is of concern, given the crucial role they often play in exposing business violations and educating communities regarding their rights, usually in the local language.</w:t>
      </w:r>
    </w:p>
    <w:p w14:paraId="1EB85B0B" w14:textId="77777777" w:rsidR="00455F41" w:rsidRPr="00674407" w:rsidRDefault="00455F41" w:rsidP="0065211B">
      <w:pPr>
        <w:numPr>
          <w:ilvl w:val="0"/>
          <w:numId w:val="11"/>
        </w:numPr>
        <w:spacing w:after="0" w:line="240" w:lineRule="auto"/>
        <w:contextualSpacing/>
        <w:rPr>
          <w:rFonts w:asciiTheme="majorHAnsi" w:hAnsiTheme="majorHAnsi"/>
          <w:lang w:val="en-GB"/>
        </w:rPr>
      </w:pPr>
      <w:r w:rsidRPr="00674407">
        <w:rPr>
          <w:rFonts w:asciiTheme="majorHAnsi" w:hAnsiTheme="majorHAnsi"/>
          <w:lang w:val="en-GB"/>
        </w:rPr>
        <w:t xml:space="preserve">Few efforts have been made to ensure that community radio stations can obtain legal frequencies, leaving them vulnerable to possible closure or seizure of their equipment, given that the authorities view them as illegal. The 2012 telecommunications law exacerbated the situation as, according to Reporters Without Borders, it endorsed concentration of media ownership in few, establishment, </w:t>
      </w:r>
      <w:proofErr w:type="gramStart"/>
      <w:r w:rsidRPr="00674407">
        <w:rPr>
          <w:rFonts w:asciiTheme="majorHAnsi" w:hAnsiTheme="majorHAnsi"/>
          <w:lang w:val="en-GB"/>
        </w:rPr>
        <w:t>hands</w:t>
      </w:r>
      <w:proofErr w:type="gramEnd"/>
      <w:r w:rsidRPr="00674407">
        <w:rPr>
          <w:rFonts w:asciiTheme="majorHAnsi" w:hAnsiTheme="majorHAnsi"/>
          <w:lang w:val="en-GB"/>
        </w:rPr>
        <w:t>.</w:t>
      </w:r>
      <w:r w:rsidRPr="00674407">
        <w:rPr>
          <w:rFonts w:asciiTheme="majorHAnsi" w:hAnsiTheme="majorHAnsi"/>
          <w:vertAlign w:val="superscript"/>
          <w:lang w:val="en-GB"/>
        </w:rPr>
        <w:endnoteReference w:id="50"/>
      </w:r>
    </w:p>
    <w:p w14:paraId="1F3DC54A" w14:textId="77777777" w:rsidR="004D3473" w:rsidRPr="00674407" w:rsidRDefault="004D3473" w:rsidP="004D3473">
      <w:pPr>
        <w:spacing w:after="0" w:line="240" w:lineRule="auto"/>
        <w:contextualSpacing/>
        <w:rPr>
          <w:rFonts w:asciiTheme="majorHAnsi" w:hAnsiTheme="majorHAnsi"/>
          <w:lang w:val="en-GB"/>
        </w:rPr>
      </w:pPr>
    </w:p>
    <w:p w14:paraId="218984DF" w14:textId="17E0DC06" w:rsidR="00455F41" w:rsidRPr="00674407" w:rsidRDefault="00455F41" w:rsidP="00455F41">
      <w:pPr>
        <w:spacing w:after="0" w:line="240" w:lineRule="auto"/>
        <w:rPr>
          <w:rFonts w:asciiTheme="majorHAnsi" w:eastAsiaTheme="minorEastAsia" w:hAnsiTheme="majorHAnsi" w:cstheme="minorBidi"/>
          <w:b/>
          <w:lang w:val="en-GB"/>
        </w:rPr>
      </w:pPr>
      <w:r w:rsidRPr="00674407">
        <w:rPr>
          <w:rFonts w:asciiTheme="majorHAnsi" w:eastAsiaTheme="minorEastAsia" w:hAnsiTheme="majorHAnsi" w:cstheme="minorBidi"/>
          <w:b/>
          <w:lang w:val="en-GB"/>
        </w:rPr>
        <w:t>8. The lack of free, prior and informed consent: the root cause of risk</w:t>
      </w:r>
    </w:p>
    <w:p w14:paraId="33BB2A9E" w14:textId="77777777" w:rsidR="00455F41" w:rsidRPr="00674407" w:rsidRDefault="00455F41" w:rsidP="00455F41">
      <w:pPr>
        <w:spacing w:after="0" w:line="240" w:lineRule="auto"/>
        <w:rPr>
          <w:rFonts w:asciiTheme="majorHAnsi" w:eastAsiaTheme="minorEastAsia" w:hAnsiTheme="majorHAnsi" w:cstheme="minorBidi"/>
          <w:b/>
          <w:lang w:val="en-GB"/>
        </w:rPr>
      </w:pPr>
    </w:p>
    <w:p w14:paraId="2E5EAD71" w14:textId="1FC72E49" w:rsidR="00455F41" w:rsidRPr="00674407" w:rsidRDefault="00455F41" w:rsidP="00455F41">
      <w:pPr>
        <w:spacing w:after="0" w:line="240" w:lineRule="auto"/>
        <w:rPr>
          <w:rFonts w:asciiTheme="majorHAnsi" w:eastAsiaTheme="minorEastAsia" w:hAnsiTheme="majorHAnsi" w:cstheme="minorBidi"/>
          <w:lang w:val="en-GB"/>
        </w:rPr>
      </w:pPr>
      <w:r w:rsidRPr="00674407">
        <w:rPr>
          <w:rFonts w:asciiTheme="majorHAnsi" w:eastAsiaTheme="minorEastAsia" w:hAnsiTheme="majorHAnsi" w:cstheme="minorBidi"/>
          <w:lang w:val="en-GB"/>
        </w:rPr>
        <w:t xml:space="preserve">An adequate response by the State to the risks facing defenders working on business and human rights would have to address the root causes of the </w:t>
      </w:r>
      <w:proofErr w:type="gramStart"/>
      <w:r w:rsidRPr="00674407">
        <w:rPr>
          <w:rFonts w:asciiTheme="majorHAnsi" w:eastAsiaTheme="minorEastAsia" w:hAnsiTheme="majorHAnsi" w:cstheme="minorBidi"/>
          <w:lang w:val="en-GB"/>
        </w:rPr>
        <w:t>violations which</w:t>
      </w:r>
      <w:proofErr w:type="gramEnd"/>
      <w:r w:rsidRPr="00674407">
        <w:rPr>
          <w:rFonts w:asciiTheme="majorHAnsi" w:eastAsiaTheme="minorEastAsia" w:hAnsiTheme="majorHAnsi" w:cstheme="minorBidi"/>
          <w:lang w:val="en-GB"/>
        </w:rPr>
        <w:t xml:space="preserve"> these activists expose, given that these also represent the roots of the threats they face. These are to be found in the ‘systematic violation’</w:t>
      </w:r>
      <w:r w:rsidRPr="00674407">
        <w:rPr>
          <w:rFonts w:asciiTheme="majorHAnsi" w:eastAsiaTheme="minorEastAsia" w:hAnsiTheme="majorHAnsi" w:cstheme="minorBidi"/>
          <w:vertAlign w:val="superscript"/>
          <w:lang w:val="en-GB"/>
        </w:rPr>
        <w:endnoteReference w:id="51"/>
      </w:r>
      <w:r w:rsidRPr="00674407">
        <w:rPr>
          <w:rFonts w:asciiTheme="majorHAnsi" w:eastAsiaTheme="minorEastAsia" w:hAnsiTheme="majorHAnsi" w:cstheme="minorBidi"/>
          <w:lang w:val="en-GB"/>
        </w:rPr>
        <w:t xml:space="preserve"> of the right of communities to a free, prior and informed consultation and consent before any business project goes ahead w</w:t>
      </w:r>
      <w:r w:rsidR="00590993" w:rsidRPr="00674407">
        <w:rPr>
          <w:rFonts w:asciiTheme="majorHAnsi" w:eastAsiaTheme="minorEastAsia" w:hAnsiTheme="majorHAnsi" w:cstheme="minorBidi"/>
          <w:lang w:val="en-GB"/>
        </w:rPr>
        <w:t xml:space="preserve">hich might affect their rights. </w:t>
      </w:r>
      <w:r w:rsidR="0036587F" w:rsidRPr="00674407">
        <w:rPr>
          <w:rFonts w:asciiTheme="majorHAnsi" w:eastAsiaTheme="minorEastAsia" w:hAnsiTheme="majorHAnsi" w:cstheme="minorBidi"/>
          <w:lang w:val="en-GB"/>
        </w:rPr>
        <w:t>It is under these conditions which communities feel obliged to become human rights defenders.</w:t>
      </w:r>
      <w:r w:rsidR="0036587F" w:rsidRPr="00674407">
        <w:rPr>
          <w:rStyle w:val="Refdenotaalfinal"/>
          <w:rFonts w:asciiTheme="majorHAnsi" w:eastAsiaTheme="minorEastAsia" w:hAnsiTheme="majorHAnsi" w:cstheme="minorBidi"/>
          <w:lang w:val="en-GB"/>
        </w:rPr>
        <w:endnoteReference w:id="52"/>
      </w:r>
    </w:p>
    <w:p w14:paraId="01308AD1" w14:textId="459A0C00" w:rsidR="00455F41" w:rsidRPr="00674407" w:rsidRDefault="00455F41" w:rsidP="00455F41">
      <w:pPr>
        <w:spacing w:after="0" w:line="240" w:lineRule="auto"/>
        <w:rPr>
          <w:rFonts w:asciiTheme="majorHAnsi" w:eastAsiaTheme="minorEastAsia" w:hAnsiTheme="majorHAnsi" w:cstheme="minorBidi"/>
          <w:lang w:val="en-GB"/>
        </w:rPr>
      </w:pPr>
    </w:p>
    <w:p w14:paraId="3E4A2155" w14:textId="77777777" w:rsidR="00455F41" w:rsidRPr="00674407" w:rsidRDefault="00455F41" w:rsidP="0065211B">
      <w:pPr>
        <w:numPr>
          <w:ilvl w:val="0"/>
          <w:numId w:val="12"/>
        </w:numPr>
        <w:spacing w:after="0" w:line="240" w:lineRule="auto"/>
        <w:contextualSpacing/>
        <w:rPr>
          <w:rFonts w:asciiTheme="majorHAnsi" w:hAnsiTheme="majorHAnsi"/>
          <w:lang w:val="en-GB"/>
        </w:rPr>
      </w:pPr>
      <w:r w:rsidRPr="00674407">
        <w:rPr>
          <w:rFonts w:asciiTheme="majorHAnsi" w:hAnsiTheme="majorHAnsi"/>
          <w:lang w:val="en-GB"/>
        </w:rPr>
        <w:t>The ILO has stated that the lack of a consultation mechanism and of specific consultation with regard to the exploitation of natural resources through projects dealing with hydroelectricity, mining and monocultures are ‘the main reason for the existing unrest’ in Guatemalan communities.</w:t>
      </w:r>
      <w:r w:rsidRPr="00674407">
        <w:rPr>
          <w:rFonts w:asciiTheme="majorHAnsi" w:hAnsiTheme="majorHAnsi"/>
          <w:vertAlign w:val="superscript"/>
          <w:lang w:val="en-GB"/>
        </w:rPr>
        <w:endnoteReference w:id="53"/>
      </w:r>
    </w:p>
    <w:p w14:paraId="3CED9691" w14:textId="77777777" w:rsidR="00455F41" w:rsidRPr="00674407" w:rsidRDefault="00455F41" w:rsidP="0065211B">
      <w:pPr>
        <w:widowControl w:val="0"/>
        <w:numPr>
          <w:ilvl w:val="0"/>
          <w:numId w:val="12"/>
        </w:numPr>
        <w:autoSpaceDE w:val="0"/>
        <w:autoSpaceDN w:val="0"/>
        <w:adjustRightInd w:val="0"/>
        <w:spacing w:after="0" w:line="240" w:lineRule="auto"/>
        <w:contextualSpacing/>
        <w:rPr>
          <w:rFonts w:asciiTheme="majorHAnsi" w:hAnsiTheme="majorHAnsi" w:cs="CandidaStd-Roman"/>
          <w:lang w:val="en-GB"/>
        </w:rPr>
      </w:pPr>
      <w:r w:rsidRPr="00674407">
        <w:rPr>
          <w:rFonts w:asciiTheme="majorHAnsi" w:hAnsiTheme="majorHAnsi" w:cs="CandidaStd-Roman"/>
          <w:lang w:val="en-GB"/>
        </w:rPr>
        <w:t>The Observatory has argued that legislative changes (such as the Small-Scale Mining Act and reforms to the Mining Act) aimed at making it easier to grant mining permits and eliminating the need for express written permission from the landowner for a mining project, have ‘contributed to the increasing amount to social conflict surrounding land tenure‘. The State of Guatemala has systematically contravened its obligation to consult on every licence granted to date’.</w:t>
      </w:r>
      <w:r w:rsidRPr="00674407">
        <w:rPr>
          <w:rFonts w:asciiTheme="majorHAnsi" w:hAnsiTheme="majorHAnsi" w:cs="CandidaStd-Roman"/>
          <w:vertAlign w:val="superscript"/>
          <w:lang w:val="en-GB"/>
        </w:rPr>
        <w:endnoteReference w:id="54"/>
      </w:r>
    </w:p>
    <w:p w14:paraId="01B61212" w14:textId="77777777" w:rsidR="00455F41" w:rsidRPr="00674407" w:rsidRDefault="00455F41" w:rsidP="0065211B">
      <w:pPr>
        <w:widowControl w:val="0"/>
        <w:numPr>
          <w:ilvl w:val="0"/>
          <w:numId w:val="12"/>
        </w:numPr>
        <w:autoSpaceDE w:val="0"/>
        <w:autoSpaceDN w:val="0"/>
        <w:adjustRightInd w:val="0"/>
        <w:spacing w:after="0" w:line="240" w:lineRule="auto"/>
        <w:contextualSpacing/>
        <w:rPr>
          <w:rFonts w:asciiTheme="majorHAnsi" w:hAnsiTheme="majorHAnsi" w:cs="CandidaStd-Roman"/>
          <w:lang w:val="en-GB"/>
        </w:rPr>
      </w:pPr>
      <w:r w:rsidRPr="00674407">
        <w:rPr>
          <w:rFonts w:asciiTheme="majorHAnsi" w:hAnsiTheme="majorHAnsi" w:cs="CandidaStd-Roman"/>
          <w:lang w:val="en-GB"/>
        </w:rPr>
        <w:t>From 2005 to 2014, 72 communities affected by extractive industries and hydroelectric dams organised and held community consultations processes, as registered by the organization Resistencia de los Pueblos.</w:t>
      </w:r>
      <w:r w:rsidRPr="00674407">
        <w:rPr>
          <w:rFonts w:asciiTheme="majorHAnsi" w:hAnsiTheme="majorHAnsi" w:cs="CandidaStd-Roman"/>
          <w:vertAlign w:val="superscript"/>
          <w:lang w:val="fr-CH"/>
        </w:rPr>
        <w:endnoteReference w:id="55"/>
      </w:r>
      <w:r w:rsidRPr="00674407">
        <w:rPr>
          <w:rFonts w:asciiTheme="majorHAnsi" w:hAnsiTheme="majorHAnsi" w:cs="CandidaStd-Roman"/>
          <w:vertAlign w:val="superscript"/>
          <w:lang w:val="en-GB"/>
        </w:rPr>
        <w:t xml:space="preserve"> </w:t>
      </w:r>
      <w:r w:rsidRPr="00674407">
        <w:rPr>
          <w:rFonts w:asciiTheme="majorHAnsi" w:hAnsiTheme="majorHAnsi" w:cs="CandidaStd-Roman"/>
          <w:lang w:val="en-GB"/>
        </w:rPr>
        <w:t xml:space="preserve"> The consultations were organised by invoking the ILO Convention 169, the UN Declaration on Indigenous Peoples, and the Guatemalan Municipal Code.</w:t>
      </w:r>
      <w:r w:rsidRPr="00674407">
        <w:rPr>
          <w:rFonts w:asciiTheme="majorHAnsi" w:hAnsiTheme="majorHAnsi" w:cs="CandidaStd-Roman"/>
          <w:vertAlign w:val="superscript"/>
          <w:lang w:val="fr-CH"/>
        </w:rPr>
        <w:endnoteReference w:id="56"/>
      </w:r>
      <w:r w:rsidRPr="00674407">
        <w:rPr>
          <w:rFonts w:asciiTheme="majorHAnsi" w:hAnsiTheme="majorHAnsi" w:cs="CandidaStd-Roman"/>
          <w:lang w:val="en-GB"/>
        </w:rPr>
        <w:t xml:space="preserve"> None of these consultation processes were initiated by the State and only a handful have been recognised by the authorities.</w:t>
      </w:r>
    </w:p>
    <w:p w14:paraId="40DFE467" w14:textId="77777777" w:rsidR="00455F41" w:rsidRPr="00674407" w:rsidRDefault="00455F41" w:rsidP="0065211B">
      <w:pPr>
        <w:widowControl w:val="0"/>
        <w:numPr>
          <w:ilvl w:val="0"/>
          <w:numId w:val="12"/>
        </w:numPr>
        <w:autoSpaceDE w:val="0"/>
        <w:autoSpaceDN w:val="0"/>
        <w:adjustRightInd w:val="0"/>
        <w:spacing w:after="0" w:line="240" w:lineRule="auto"/>
        <w:contextualSpacing/>
        <w:rPr>
          <w:rFonts w:asciiTheme="majorHAnsi" w:hAnsiTheme="majorHAnsi" w:cs="CandidaStd-Roman"/>
          <w:lang w:val="en-GB"/>
        </w:rPr>
      </w:pPr>
      <w:r w:rsidRPr="00674407">
        <w:rPr>
          <w:rFonts w:asciiTheme="majorHAnsi" w:hAnsiTheme="majorHAnsi" w:cs="CandidaStd-Roman"/>
          <w:lang w:val="en-GB"/>
        </w:rPr>
        <w:t>‘Since 2005 to the present day the Government has delegitimized the Community consultations carried out by the population being affected by these projects. For its part, the Constitutional Court has declared those consultations valid but “non-binding”’.</w:t>
      </w:r>
      <w:r w:rsidRPr="00674407">
        <w:rPr>
          <w:rFonts w:asciiTheme="majorHAnsi" w:hAnsiTheme="majorHAnsi" w:cs="CandidaStd-Roman"/>
          <w:vertAlign w:val="superscript"/>
          <w:lang w:val="en-GB"/>
        </w:rPr>
        <w:endnoteReference w:id="57"/>
      </w:r>
    </w:p>
    <w:p w14:paraId="684A0F2C" w14:textId="77777777" w:rsidR="00455F41" w:rsidRPr="00674407" w:rsidRDefault="00455F41" w:rsidP="0065211B">
      <w:pPr>
        <w:widowControl w:val="0"/>
        <w:numPr>
          <w:ilvl w:val="0"/>
          <w:numId w:val="12"/>
        </w:numPr>
        <w:autoSpaceDE w:val="0"/>
        <w:autoSpaceDN w:val="0"/>
        <w:adjustRightInd w:val="0"/>
        <w:spacing w:after="0" w:line="240" w:lineRule="auto"/>
        <w:contextualSpacing/>
        <w:rPr>
          <w:rFonts w:asciiTheme="majorHAnsi" w:hAnsiTheme="majorHAnsi" w:cs="CandidaStd-Roman"/>
          <w:lang w:val="en-GB"/>
        </w:rPr>
      </w:pPr>
      <w:r w:rsidRPr="00674407">
        <w:rPr>
          <w:rFonts w:asciiTheme="majorHAnsi" w:hAnsiTheme="majorHAnsi" w:cs="Lucida Grande"/>
          <w:lang w:val="en-GB"/>
        </w:rPr>
        <w:t>Indigenous representatives expressed concerns that a number of regional development projects failed to consult meaningfully with local communities and disproportionately benefited corporations, government officials, and their associates, while posing risks to indigenous lands and cultures.</w:t>
      </w:r>
      <w:r w:rsidRPr="00674407">
        <w:rPr>
          <w:rFonts w:asciiTheme="majorHAnsi" w:hAnsiTheme="majorHAnsi" w:cs="Lucida Grande"/>
          <w:vertAlign w:val="superscript"/>
          <w:lang w:val="en-GB"/>
        </w:rPr>
        <w:endnoteReference w:id="58"/>
      </w:r>
    </w:p>
    <w:p w14:paraId="7C34EDF6" w14:textId="77777777" w:rsidR="00455F41" w:rsidRPr="00674407" w:rsidRDefault="00455F41" w:rsidP="0065211B">
      <w:pPr>
        <w:numPr>
          <w:ilvl w:val="0"/>
          <w:numId w:val="12"/>
        </w:numPr>
        <w:spacing w:after="0" w:line="240" w:lineRule="auto"/>
        <w:contextualSpacing/>
        <w:rPr>
          <w:rFonts w:asciiTheme="majorHAnsi" w:hAnsiTheme="majorHAnsi"/>
          <w:lang w:val="en-GB"/>
        </w:rPr>
      </w:pPr>
      <w:r w:rsidRPr="00674407">
        <w:rPr>
          <w:rFonts w:asciiTheme="majorHAnsi" w:hAnsiTheme="majorHAnsi"/>
          <w:lang w:val="en-GB"/>
        </w:rPr>
        <w:t>According to the Ministry of Energy and Mines currently there are 342 mining exploration and production licenses with another 552 in process,</w:t>
      </w:r>
      <w:r w:rsidRPr="00674407">
        <w:rPr>
          <w:rFonts w:asciiTheme="majorHAnsi" w:hAnsiTheme="majorHAnsi"/>
          <w:vertAlign w:val="superscript"/>
          <w:lang w:val="fr-CH"/>
        </w:rPr>
        <w:endnoteReference w:id="59"/>
      </w:r>
      <w:proofErr w:type="gramStart"/>
      <w:r w:rsidRPr="00674407">
        <w:rPr>
          <w:rFonts w:asciiTheme="majorHAnsi" w:hAnsiTheme="majorHAnsi"/>
          <w:lang w:val="en-GB"/>
        </w:rPr>
        <w:t xml:space="preserve"> </w:t>
      </w:r>
      <w:r w:rsidRPr="00674407">
        <w:rPr>
          <w:rFonts w:asciiTheme="majorHAnsi" w:hAnsiTheme="majorHAnsi"/>
          <w:vertAlign w:val="superscript"/>
          <w:lang w:val="en-GB"/>
        </w:rPr>
        <w:t xml:space="preserve"> </w:t>
      </w:r>
      <w:r w:rsidRPr="00674407">
        <w:rPr>
          <w:rFonts w:asciiTheme="majorHAnsi" w:hAnsiTheme="majorHAnsi"/>
          <w:lang w:val="en-GB"/>
        </w:rPr>
        <w:t>58</w:t>
      </w:r>
      <w:proofErr w:type="gramEnd"/>
      <w:r w:rsidRPr="00674407">
        <w:rPr>
          <w:rFonts w:asciiTheme="majorHAnsi" w:hAnsiTheme="majorHAnsi"/>
          <w:lang w:val="en-GB"/>
        </w:rPr>
        <w:t xml:space="preserve"> hydroelectric projects,</w:t>
      </w:r>
      <w:r w:rsidRPr="00674407">
        <w:rPr>
          <w:rFonts w:asciiTheme="majorHAnsi" w:hAnsiTheme="majorHAnsi"/>
          <w:vertAlign w:val="superscript"/>
          <w:lang w:val="fr-CH"/>
        </w:rPr>
        <w:endnoteReference w:id="60"/>
      </w:r>
      <w:r w:rsidRPr="00674407">
        <w:rPr>
          <w:rFonts w:asciiTheme="majorHAnsi" w:hAnsiTheme="majorHAnsi"/>
          <w:vertAlign w:val="superscript"/>
          <w:lang w:val="en-GB"/>
        </w:rPr>
        <w:t xml:space="preserve"> </w:t>
      </w:r>
      <w:r w:rsidRPr="00674407">
        <w:rPr>
          <w:rFonts w:asciiTheme="majorHAnsi" w:hAnsiTheme="majorHAnsi"/>
          <w:lang w:val="en-GB"/>
        </w:rPr>
        <w:t>and 4 oil production contracts.</w:t>
      </w:r>
      <w:r w:rsidRPr="00674407">
        <w:rPr>
          <w:rFonts w:asciiTheme="majorHAnsi" w:hAnsiTheme="majorHAnsi"/>
          <w:vertAlign w:val="superscript"/>
          <w:lang w:val="fr-CH"/>
        </w:rPr>
        <w:endnoteReference w:id="61"/>
      </w:r>
      <w:r w:rsidRPr="00674407">
        <w:rPr>
          <w:rFonts w:asciiTheme="majorHAnsi" w:hAnsiTheme="majorHAnsi"/>
          <w:vertAlign w:val="superscript"/>
          <w:lang w:val="en-GB"/>
        </w:rPr>
        <w:t xml:space="preserve"> </w:t>
      </w:r>
      <w:proofErr w:type="gramStart"/>
      <w:r w:rsidRPr="00674407">
        <w:rPr>
          <w:rFonts w:asciiTheme="majorHAnsi" w:hAnsiTheme="majorHAnsi"/>
          <w:lang w:val="en-GB"/>
        </w:rPr>
        <w:t>None of these have been accompanied by a formal consultation process</w:t>
      </w:r>
      <w:proofErr w:type="gramEnd"/>
      <w:r w:rsidRPr="00674407">
        <w:rPr>
          <w:rFonts w:asciiTheme="majorHAnsi" w:hAnsiTheme="majorHAnsi"/>
          <w:lang w:val="en-GB"/>
        </w:rPr>
        <w:t>. It is concerning, therefore, that the seeds of future conflicts and threats for communities and defenders continue to be sown.</w:t>
      </w:r>
    </w:p>
    <w:p w14:paraId="1599F48D" w14:textId="77777777" w:rsidR="00455F41" w:rsidRPr="00674407" w:rsidRDefault="00455F41" w:rsidP="0065211B">
      <w:pPr>
        <w:numPr>
          <w:ilvl w:val="0"/>
          <w:numId w:val="12"/>
        </w:numPr>
        <w:spacing w:after="0" w:line="240" w:lineRule="auto"/>
        <w:contextualSpacing/>
        <w:rPr>
          <w:rFonts w:asciiTheme="majorHAnsi" w:hAnsiTheme="majorHAnsi"/>
          <w:lang w:val="en-GB"/>
        </w:rPr>
      </w:pPr>
      <w:r w:rsidRPr="00674407">
        <w:rPr>
          <w:rFonts w:asciiTheme="majorHAnsi" w:hAnsiTheme="majorHAnsi"/>
          <w:lang w:val="en-GB"/>
        </w:rPr>
        <w:t>The Central American Institute for Fiscal Studies in a 2014 study on mining in Guatemala reported that in municipalities that have mining projects, 70% report conflicts whereas only 10% of municipalities without mining report conflicts.</w:t>
      </w:r>
      <w:r w:rsidRPr="00674407">
        <w:rPr>
          <w:rFonts w:asciiTheme="majorHAnsi" w:hAnsiTheme="majorHAnsi"/>
          <w:vertAlign w:val="superscript"/>
          <w:lang w:val="en-GB"/>
        </w:rPr>
        <w:t xml:space="preserve"> </w:t>
      </w:r>
      <w:r w:rsidRPr="00674407">
        <w:rPr>
          <w:rFonts w:asciiTheme="majorHAnsi" w:hAnsiTheme="majorHAnsi"/>
          <w:vertAlign w:val="superscript"/>
          <w:lang w:val="fr-CH"/>
        </w:rPr>
        <w:endnoteReference w:id="62"/>
      </w:r>
    </w:p>
    <w:p w14:paraId="4E477434" w14:textId="10BC08F0" w:rsidR="00455F41" w:rsidRDefault="00455F41" w:rsidP="0065211B">
      <w:pPr>
        <w:numPr>
          <w:ilvl w:val="0"/>
          <w:numId w:val="12"/>
        </w:numPr>
        <w:spacing w:after="0" w:line="240" w:lineRule="auto"/>
        <w:contextualSpacing/>
        <w:rPr>
          <w:rFonts w:asciiTheme="majorHAnsi" w:hAnsiTheme="majorHAnsi"/>
          <w:lang w:val="en-GB"/>
        </w:rPr>
      </w:pPr>
      <w:r w:rsidRPr="00674407">
        <w:rPr>
          <w:rFonts w:asciiTheme="majorHAnsi" w:hAnsiTheme="majorHAnsi"/>
          <w:lang w:val="en-GB"/>
        </w:rPr>
        <w:t>Former Special Rapporteur for Indigenous Peoples, James Anaya, has made explicit statements generally and in reference to Guatemala that indigenous communities have the full right to reject projects on their territories.</w:t>
      </w:r>
      <w:r w:rsidRPr="00674407">
        <w:rPr>
          <w:rFonts w:asciiTheme="majorHAnsi" w:hAnsiTheme="majorHAnsi"/>
          <w:vertAlign w:val="superscript"/>
          <w:lang w:val="fr-CH"/>
        </w:rPr>
        <w:endnoteReference w:id="63"/>
      </w:r>
      <w:r w:rsidRPr="00674407">
        <w:rPr>
          <w:rFonts w:asciiTheme="majorHAnsi" w:hAnsiTheme="majorHAnsi"/>
          <w:lang w:val="en-GB"/>
        </w:rPr>
        <w:t xml:space="preserve"> Nonetheless, State and non-State actors frequently assert that community opposition is unacceptable. This damages public perception of indigenous rights groups and the consultation process, whilst creating further threats to the ability of human rights defenders to conduct their work on the issue free from ha</w:t>
      </w:r>
      <w:r w:rsidR="003631C2">
        <w:rPr>
          <w:rFonts w:asciiTheme="majorHAnsi" w:hAnsiTheme="majorHAnsi"/>
          <w:lang w:val="en-GB"/>
        </w:rPr>
        <w:t>rassment and physical violence.</w:t>
      </w:r>
    </w:p>
    <w:p w14:paraId="78B5B316" w14:textId="1FDA76EC" w:rsidR="004D3473" w:rsidRDefault="003631C2" w:rsidP="0065211B">
      <w:pPr>
        <w:numPr>
          <w:ilvl w:val="0"/>
          <w:numId w:val="12"/>
        </w:numPr>
        <w:spacing w:after="0" w:line="240" w:lineRule="auto"/>
        <w:contextualSpacing/>
        <w:rPr>
          <w:rFonts w:asciiTheme="majorHAnsi" w:hAnsiTheme="majorHAnsi"/>
          <w:lang w:val="en-GB"/>
        </w:rPr>
      </w:pPr>
      <w:r w:rsidRPr="003631C2">
        <w:rPr>
          <w:rFonts w:asciiTheme="majorHAnsi" w:hAnsiTheme="majorHAnsi"/>
          <w:lang w:val="en-GB"/>
        </w:rPr>
        <w:t xml:space="preserve">Local activists complain that the current government has closed the few </w:t>
      </w:r>
      <w:proofErr w:type="gramStart"/>
      <w:r w:rsidRPr="003631C2">
        <w:rPr>
          <w:rFonts w:asciiTheme="majorHAnsi" w:hAnsiTheme="majorHAnsi"/>
          <w:lang w:val="en-GB"/>
        </w:rPr>
        <w:t>spaces which</w:t>
      </w:r>
      <w:proofErr w:type="gramEnd"/>
      <w:r w:rsidRPr="003631C2">
        <w:rPr>
          <w:rFonts w:asciiTheme="majorHAnsi" w:hAnsiTheme="majorHAnsi"/>
          <w:lang w:val="en-GB"/>
        </w:rPr>
        <w:t xml:space="preserve"> used to exist for dialogue between the authorities and civil society particularly regarding business projects. They analyse that this closure of dialogue, when coupled with the militarisation of public spaces, leaves defen</w:t>
      </w:r>
      <w:r>
        <w:rPr>
          <w:rFonts w:asciiTheme="majorHAnsi" w:hAnsiTheme="majorHAnsi"/>
          <w:lang w:val="en-GB"/>
        </w:rPr>
        <w:t>ders exposed to increased risks.</w:t>
      </w:r>
      <w:r>
        <w:rPr>
          <w:rStyle w:val="Refdenotaalfinal"/>
          <w:rFonts w:asciiTheme="majorHAnsi" w:hAnsiTheme="majorHAnsi"/>
          <w:lang w:val="en-GB"/>
        </w:rPr>
        <w:endnoteReference w:id="64"/>
      </w:r>
    </w:p>
    <w:p w14:paraId="17F89E78" w14:textId="77777777" w:rsidR="003631C2" w:rsidRPr="003631C2" w:rsidRDefault="003631C2" w:rsidP="003631C2">
      <w:pPr>
        <w:spacing w:after="0" w:line="240" w:lineRule="auto"/>
        <w:contextualSpacing/>
        <w:rPr>
          <w:rFonts w:asciiTheme="majorHAnsi" w:hAnsiTheme="majorHAnsi"/>
          <w:lang w:val="en-GB"/>
        </w:rPr>
      </w:pPr>
    </w:p>
    <w:p w14:paraId="2641C476" w14:textId="77777777" w:rsidR="00455F41" w:rsidRPr="00674407" w:rsidRDefault="00455F41" w:rsidP="00455F41">
      <w:pPr>
        <w:spacing w:after="0" w:line="240" w:lineRule="auto"/>
        <w:rPr>
          <w:rFonts w:asciiTheme="majorHAnsi" w:eastAsiaTheme="minorEastAsia" w:hAnsiTheme="majorHAnsi" w:cstheme="minorBidi"/>
          <w:b/>
          <w:lang w:val="en-GB"/>
        </w:rPr>
      </w:pPr>
      <w:r w:rsidRPr="00674407">
        <w:rPr>
          <w:rFonts w:asciiTheme="majorHAnsi" w:eastAsiaTheme="minorEastAsia" w:hAnsiTheme="majorHAnsi" w:cstheme="minorBidi"/>
          <w:b/>
          <w:lang w:val="en-GB"/>
        </w:rPr>
        <w:lastRenderedPageBreak/>
        <w:t>9. Impunity: green light to aggressors</w:t>
      </w:r>
    </w:p>
    <w:p w14:paraId="441AA6FA" w14:textId="77777777" w:rsidR="00455F41" w:rsidRPr="00674407" w:rsidRDefault="00455F41" w:rsidP="00455F41">
      <w:pPr>
        <w:spacing w:after="0" w:line="240" w:lineRule="auto"/>
        <w:rPr>
          <w:rFonts w:asciiTheme="majorHAnsi" w:eastAsiaTheme="minorEastAsia" w:hAnsiTheme="majorHAnsi" w:cstheme="minorBidi"/>
          <w:lang w:val="en-GB"/>
        </w:rPr>
      </w:pPr>
    </w:p>
    <w:p w14:paraId="4D84A2EE" w14:textId="77777777" w:rsidR="00455F41" w:rsidRPr="00674407" w:rsidRDefault="00455F41" w:rsidP="00455F41">
      <w:pPr>
        <w:spacing w:after="0" w:line="240" w:lineRule="auto"/>
        <w:rPr>
          <w:rFonts w:asciiTheme="majorHAnsi" w:eastAsiaTheme="minorEastAsia" w:hAnsiTheme="majorHAnsi" w:cstheme="minorBidi"/>
          <w:lang w:val="en-GB"/>
        </w:rPr>
      </w:pPr>
      <w:r w:rsidRPr="00674407">
        <w:rPr>
          <w:rFonts w:asciiTheme="majorHAnsi" w:eastAsiaTheme="minorEastAsia" w:hAnsiTheme="majorHAnsi" w:cstheme="minorBidi"/>
          <w:lang w:val="en-GB"/>
        </w:rPr>
        <w:t>A climate of impunity prevails regarding crimes against human rights defenders, in spite of the country having taken the positive step of appointing a Special Prosecutor for crimes against human rights activists (</w:t>
      </w:r>
      <w:proofErr w:type="spellStart"/>
      <w:r w:rsidRPr="00674407">
        <w:rPr>
          <w:rFonts w:asciiTheme="majorHAnsi" w:eastAsiaTheme="minorEastAsia" w:hAnsiTheme="majorHAnsi" w:cstheme="minorBidi"/>
          <w:i/>
          <w:lang w:val="en-GB"/>
        </w:rPr>
        <w:t>Fiscalia</w:t>
      </w:r>
      <w:proofErr w:type="spellEnd"/>
      <w:r w:rsidRPr="00674407">
        <w:rPr>
          <w:rFonts w:asciiTheme="majorHAnsi" w:eastAsiaTheme="minorEastAsia" w:hAnsiTheme="majorHAnsi" w:cstheme="minorBidi"/>
          <w:i/>
          <w:lang w:val="en-GB"/>
        </w:rPr>
        <w:t xml:space="preserve"> </w:t>
      </w:r>
      <w:proofErr w:type="spellStart"/>
      <w:r w:rsidRPr="00674407">
        <w:rPr>
          <w:rFonts w:asciiTheme="majorHAnsi" w:eastAsiaTheme="minorEastAsia" w:hAnsiTheme="majorHAnsi" w:cstheme="minorBidi"/>
          <w:i/>
          <w:lang w:val="en-GB"/>
        </w:rPr>
        <w:t>para</w:t>
      </w:r>
      <w:proofErr w:type="spellEnd"/>
      <w:r w:rsidRPr="00674407">
        <w:rPr>
          <w:rFonts w:asciiTheme="majorHAnsi" w:eastAsiaTheme="minorEastAsia" w:hAnsiTheme="majorHAnsi" w:cstheme="minorBidi"/>
          <w:i/>
          <w:lang w:val="en-GB"/>
        </w:rPr>
        <w:t xml:space="preserve"> </w:t>
      </w:r>
      <w:proofErr w:type="spellStart"/>
      <w:r w:rsidRPr="00674407">
        <w:rPr>
          <w:rFonts w:asciiTheme="majorHAnsi" w:eastAsiaTheme="minorEastAsia" w:hAnsiTheme="majorHAnsi" w:cstheme="minorBidi"/>
          <w:i/>
          <w:lang w:val="en-GB"/>
        </w:rPr>
        <w:t>activistas</w:t>
      </w:r>
      <w:proofErr w:type="spellEnd"/>
      <w:r w:rsidRPr="00674407">
        <w:rPr>
          <w:rFonts w:asciiTheme="majorHAnsi" w:eastAsiaTheme="minorEastAsia" w:hAnsiTheme="majorHAnsi" w:cstheme="minorBidi"/>
          <w:i/>
          <w:lang w:val="en-GB"/>
        </w:rPr>
        <w:t xml:space="preserve"> de </w:t>
      </w:r>
      <w:proofErr w:type="spellStart"/>
      <w:r w:rsidRPr="00674407">
        <w:rPr>
          <w:rFonts w:asciiTheme="majorHAnsi" w:eastAsiaTheme="minorEastAsia" w:hAnsiTheme="majorHAnsi" w:cstheme="minorBidi"/>
          <w:i/>
          <w:lang w:val="en-GB"/>
        </w:rPr>
        <w:t>derechos</w:t>
      </w:r>
      <w:proofErr w:type="spellEnd"/>
      <w:r w:rsidRPr="00674407">
        <w:rPr>
          <w:rFonts w:asciiTheme="majorHAnsi" w:eastAsiaTheme="minorEastAsia" w:hAnsiTheme="majorHAnsi" w:cstheme="minorBidi"/>
          <w:i/>
          <w:lang w:val="en-GB"/>
        </w:rPr>
        <w:t xml:space="preserve"> </w:t>
      </w:r>
      <w:proofErr w:type="spellStart"/>
      <w:r w:rsidRPr="00674407">
        <w:rPr>
          <w:rFonts w:asciiTheme="majorHAnsi" w:eastAsiaTheme="minorEastAsia" w:hAnsiTheme="majorHAnsi" w:cstheme="minorBidi"/>
          <w:i/>
          <w:lang w:val="en-GB"/>
        </w:rPr>
        <w:t>humanos</w:t>
      </w:r>
      <w:proofErr w:type="spellEnd"/>
      <w:r w:rsidRPr="00674407">
        <w:rPr>
          <w:rFonts w:asciiTheme="majorHAnsi" w:eastAsiaTheme="minorEastAsia" w:hAnsiTheme="majorHAnsi" w:cstheme="minorBidi"/>
          <w:lang w:val="en-GB"/>
        </w:rPr>
        <w:t>).</w:t>
      </w:r>
    </w:p>
    <w:p w14:paraId="746B63B1" w14:textId="77777777" w:rsidR="00455F41" w:rsidRPr="00674407" w:rsidRDefault="00455F41" w:rsidP="00455F41">
      <w:pPr>
        <w:spacing w:after="0" w:line="240" w:lineRule="auto"/>
        <w:rPr>
          <w:rFonts w:asciiTheme="majorHAnsi" w:eastAsiaTheme="minorEastAsia" w:hAnsiTheme="majorHAnsi" w:cstheme="minorBidi"/>
          <w:lang w:val="en-GB"/>
        </w:rPr>
      </w:pPr>
    </w:p>
    <w:p w14:paraId="56DC7855" w14:textId="77777777" w:rsidR="00455F41" w:rsidRPr="00674407" w:rsidRDefault="00455F41" w:rsidP="0065211B">
      <w:pPr>
        <w:numPr>
          <w:ilvl w:val="0"/>
          <w:numId w:val="13"/>
        </w:numPr>
        <w:spacing w:after="0" w:line="240" w:lineRule="auto"/>
        <w:contextualSpacing/>
        <w:rPr>
          <w:rFonts w:asciiTheme="majorHAnsi" w:hAnsiTheme="majorHAnsi"/>
          <w:lang w:val="en-GB"/>
        </w:rPr>
      </w:pPr>
      <w:r w:rsidRPr="00674407">
        <w:rPr>
          <w:rFonts w:asciiTheme="majorHAnsi" w:hAnsiTheme="majorHAnsi"/>
          <w:lang w:val="en-GB"/>
        </w:rPr>
        <w:t xml:space="preserve">In 2012 </w:t>
      </w:r>
      <w:proofErr w:type="spellStart"/>
      <w:r w:rsidRPr="00674407">
        <w:rPr>
          <w:rFonts w:asciiTheme="majorHAnsi" w:hAnsiTheme="majorHAnsi"/>
          <w:lang w:val="en-GB"/>
        </w:rPr>
        <w:t>Udefegua</w:t>
      </w:r>
      <w:proofErr w:type="spellEnd"/>
      <w:r w:rsidRPr="00674407">
        <w:rPr>
          <w:rFonts w:asciiTheme="majorHAnsi" w:hAnsiTheme="majorHAnsi"/>
          <w:lang w:val="en-GB"/>
        </w:rPr>
        <w:t xml:space="preserve"> registered 305 human rights violations against defenders. This translated into 80 cases filed within the public prosecutor’s office, with 22 of them passing to the Special Prosecutor for crimes against human rights activists. Of the 80 total cases, only 7 were resolved, 2 of them within the office of the Special Prosecutor.</w:t>
      </w:r>
      <w:r w:rsidRPr="00674407">
        <w:rPr>
          <w:rFonts w:asciiTheme="majorHAnsi" w:hAnsiTheme="majorHAnsi"/>
          <w:vertAlign w:val="superscript"/>
          <w:lang w:val="en-GB"/>
        </w:rPr>
        <w:endnoteReference w:id="65"/>
      </w:r>
    </w:p>
    <w:p w14:paraId="6301389B" w14:textId="77777777" w:rsidR="00455F41" w:rsidRPr="00674407" w:rsidRDefault="00455F41" w:rsidP="0065211B">
      <w:pPr>
        <w:numPr>
          <w:ilvl w:val="0"/>
          <w:numId w:val="13"/>
        </w:numPr>
        <w:spacing w:after="0" w:line="240" w:lineRule="auto"/>
        <w:contextualSpacing/>
        <w:rPr>
          <w:rFonts w:asciiTheme="majorHAnsi" w:hAnsiTheme="majorHAnsi"/>
          <w:lang w:val="en-GB"/>
        </w:rPr>
      </w:pPr>
      <w:r w:rsidRPr="00674407">
        <w:rPr>
          <w:rFonts w:asciiTheme="majorHAnsi" w:hAnsiTheme="majorHAnsi"/>
          <w:lang w:val="en-GB"/>
        </w:rPr>
        <w:t>There is a clear disparity in the way in which the justice system deals with crimes reported in which a human rights defender is the victim, and those where the defender is the alleged perpetrator. In cases of the former, impunity is the likely outcome. In the latter case (as documented earlier under section 4), judicial harassment and presumption of guilt are the likelier outcome.</w:t>
      </w:r>
    </w:p>
    <w:p w14:paraId="40E58972" w14:textId="77777777" w:rsidR="00455F41" w:rsidRPr="00674407" w:rsidRDefault="00455F41" w:rsidP="00455F41">
      <w:pPr>
        <w:spacing w:after="0" w:line="240" w:lineRule="auto"/>
        <w:rPr>
          <w:rFonts w:asciiTheme="majorHAnsi" w:eastAsiaTheme="minorEastAsia" w:hAnsiTheme="majorHAnsi" w:cstheme="minorBidi"/>
          <w:b/>
          <w:lang w:val="en-GB"/>
        </w:rPr>
      </w:pPr>
    </w:p>
    <w:p w14:paraId="40D6ACE9" w14:textId="77777777" w:rsidR="00455F41" w:rsidRPr="00674407" w:rsidRDefault="00455F41" w:rsidP="00455F41">
      <w:pPr>
        <w:spacing w:after="0" w:line="240" w:lineRule="auto"/>
        <w:rPr>
          <w:rFonts w:asciiTheme="majorHAnsi" w:eastAsiaTheme="minorEastAsia" w:hAnsiTheme="majorHAnsi" w:cstheme="minorBidi"/>
          <w:b/>
          <w:lang w:val="en-GB"/>
        </w:rPr>
      </w:pPr>
      <w:r w:rsidRPr="00674407">
        <w:rPr>
          <w:rFonts w:asciiTheme="majorHAnsi" w:eastAsiaTheme="minorEastAsia" w:hAnsiTheme="majorHAnsi" w:cstheme="minorBidi"/>
          <w:b/>
          <w:lang w:val="en-GB"/>
        </w:rPr>
        <w:t>10. The response of the Guatemalan State to the risks and obstacles facing human rights defenders</w:t>
      </w:r>
    </w:p>
    <w:p w14:paraId="06B43FF6" w14:textId="77777777" w:rsidR="00455F41" w:rsidRPr="00674407" w:rsidRDefault="00455F41" w:rsidP="00455F41">
      <w:pPr>
        <w:spacing w:after="0" w:line="240" w:lineRule="auto"/>
        <w:rPr>
          <w:rFonts w:asciiTheme="majorHAnsi" w:eastAsiaTheme="minorEastAsia" w:hAnsiTheme="majorHAnsi" w:cstheme="minorBidi"/>
          <w:b/>
          <w:lang w:val="en-GB"/>
        </w:rPr>
      </w:pPr>
    </w:p>
    <w:p w14:paraId="4C0687A0" w14:textId="77777777" w:rsidR="00455F41" w:rsidRPr="00674407" w:rsidRDefault="00455F41" w:rsidP="00455F41">
      <w:pPr>
        <w:spacing w:after="0" w:line="240" w:lineRule="auto"/>
        <w:rPr>
          <w:rFonts w:asciiTheme="majorHAnsi" w:eastAsiaTheme="minorEastAsia" w:hAnsiTheme="majorHAnsi" w:cstheme="minorBidi"/>
          <w:lang w:val="en-GB"/>
        </w:rPr>
      </w:pPr>
      <w:r w:rsidRPr="00674407">
        <w:rPr>
          <w:rFonts w:asciiTheme="majorHAnsi" w:eastAsiaTheme="minorEastAsia" w:hAnsiTheme="majorHAnsi" w:cstheme="minorBidi"/>
          <w:lang w:val="en-GB"/>
        </w:rPr>
        <w:t>Guatemala has an array of mechanisms</w:t>
      </w:r>
      <w:r w:rsidRPr="00674407">
        <w:rPr>
          <w:rFonts w:asciiTheme="majorHAnsi" w:eastAsiaTheme="minorEastAsia" w:hAnsiTheme="majorHAnsi" w:cstheme="minorBidi"/>
          <w:vertAlign w:val="superscript"/>
          <w:lang w:val="en-GB"/>
        </w:rPr>
        <w:endnoteReference w:id="66"/>
      </w:r>
      <w:r w:rsidRPr="00674407">
        <w:rPr>
          <w:rFonts w:asciiTheme="majorHAnsi" w:eastAsiaTheme="minorEastAsia" w:hAnsiTheme="majorHAnsi" w:cstheme="minorBidi"/>
          <w:lang w:val="en-GB"/>
        </w:rPr>
        <w:t xml:space="preserve"> through which the State, on paper, ought to articulate actions for the recognition and the protection of human rights defenders. Nonetheless, none of them are currently fully functional. </w:t>
      </w:r>
      <w:proofErr w:type="gramStart"/>
      <w:r w:rsidRPr="00674407">
        <w:rPr>
          <w:rFonts w:asciiTheme="majorHAnsi" w:eastAsiaTheme="minorEastAsia" w:hAnsiTheme="majorHAnsi" w:cstheme="minorBidi"/>
          <w:lang w:val="en-GB"/>
        </w:rPr>
        <w:t>Serious political will, proper resourcing and a real effort to work together with civil society for their implementation.</w:t>
      </w:r>
      <w:proofErr w:type="gramEnd"/>
      <w:r w:rsidRPr="00674407">
        <w:rPr>
          <w:rFonts w:asciiTheme="majorHAnsi" w:eastAsiaTheme="minorEastAsia" w:hAnsiTheme="majorHAnsi" w:cstheme="minorBidi"/>
          <w:lang w:val="en-GB"/>
        </w:rPr>
        <w:t xml:space="preserve"> Some of the </w:t>
      </w:r>
      <w:proofErr w:type="gramStart"/>
      <w:r w:rsidRPr="00674407">
        <w:rPr>
          <w:rFonts w:asciiTheme="majorHAnsi" w:eastAsiaTheme="minorEastAsia" w:hAnsiTheme="majorHAnsi" w:cstheme="minorBidi"/>
          <w:lang w:val="en-GB"/>
        </w:rPr>
        <w:t>bodies which require strengthening</w:t>
      </w:r>
      <w:proofErr w:type="gramEnd"/>
      <w:r w:rsidRPr="00674407">
        <w:rPr>
          <w:rFonts w:asciiTheme="majorHAnsi" w:eastAsiaTheme="minorEastAsia" w:hAnsiTheme="majorHAnsi" w:cstheme="minorBidi"/>
          <w:lang w:val="en-GB"/>
        </w:rPr>
        <w:t xml:space="preserve"> are as follows:</w:t>
      </w:r>
    </w:p>
    <w:p w14:paraId="318DD500" w14:textId="77777777" w:rsidR="00455F41" w:rsidRPr="00674407" w:rsidRDefault="00455F41" w:rsidP="00455F41">
      <w:pPr>
        <w:spacing w:after="0" w:line="240" w:lineRule="auto"/>
        <w:rPr>
          <w:rFonts w:asciiTheme="majorHAnsi" w:eastAsiaTheme="minorEastAsia" w:hAnsiTheme="majorHAnsi" w:cstheme="minorBidi"/>
          <w:lang w:val="en-GB"/>
        </w:rPr>
      </w:pPr>
    </w:p>
    <w:p w14:paraId="29312C9B" w14:textId="0213E1D5" w:rsidR="00455F41" w:rsidRPr="00674407" w:rsidRDefault="00455F41" w:rsidP="0065211B">
      <w:pPr>
        <w:numPr>
          <w:ilvl w:val="0"/>
          <w:numId w:val="14"/>
        </w:numPr>
        <w:spacing w:after="0" w:line="240" w:lineRule="auto"/>
        <w:contextualSpacing/>
        <w:rPr>
          <w:rFonts w:asciiTheme="majorHAnsi" w:hAnsiTheme="majorHAnsi"/>
          <w:lang w:val="en-GB"/>
        </w:rPr>
      </w:pPr>
      <w:r w:rsidRPr="00674407">
        <w:rPr>
          <w:rFonts w:asciiTheme="majorHAnsi" w:hAnsiTheme="majorHAnsi"/>
          <w:lang w:val="en-GB"/>
        </w:rPr>
        <w:t xml:space="preserve">The </w:t>
      </w:r>
      <w:r w:rsidRPr="00674407">
        <w:rPr>
          <w:rFonts w:asciiTheme="majorHAnsi" w:hAnsiTheme="majorHAnsi"/>
          <w:i/>
          <w:lang w:val="en-GB"/>
        </w:rPr>
        <w:t>Institute for the Analysis of Attacks against Human Rights Defenders</w:t>
      </w:r>
      <w:r w:rsidRPr="00674407">
        <w:rPr>
          <w:rFonts w:asciiTheme="majorHAnsi" w:hAnsiTheme="majorHAnsi"/>
          <w:lang w:val="en-GB"/>
        </w:rPr>
        <w:t xml:space="preserve"> (found within the Interior Ministry in 2007, but mandated to incorporate civil society representatives) is effectively inoperative, having been consistently weakened since 2009 and fully undermined since 2012. The institute ought to process complaints of aggressions against defenders and analyse their patterns and causes with the aim of formulate recommendations to the Attorney General Office and other national institutions.</w:t>
      </w:r>
      <w:r w:rsidRPr="00674407">
        <w:rPr>
          <w:rFonts w:asciiTheme="majorHAnsi" w:hAnsiTheme="majorHAnsi"/>
          <w:vertAlign w:val="superscript"/>
          <w:lang w:val="fr-CH"/>
        </w:rPr>
        <w:endnoteReference w:id="67"/>
      </w:r>
    </w:p>
    <w:p w14:paraId="5E88F459" w14:textId="77777777" w:rsidR="00455F41" w:rsidRPr="00674407" w:rsidRDefault="00455F41" w:rsidP="0065211B">
      <w:pPr>
        <w:numPr>
          <w:ilvl w:val="0"/>
          <w:numId w:val="14"/>
        </w:numPr>
        <w:spacing w:after="0" w:line="240" w:lineRule="auto"/>
        <w:contextualSpacing/>
        <w:rPr>
          <w:rFonts w:asciiTheme="majorHAnsi" w:hAnsiTheme="majorHAnsi"/>
          <w:lang w:val="en-GB"/>
        </w:rPr>
      </w:pPr>
      <w:r w:rsidRPr="00674407">
        <w:rPr>
          <w:rFonts w:asciiTheme="majorHAnsi" w:hAnsiTheme="majorHAnsi"/>
          <w:lang w:val="en-GB"/>
        </w:rPr>
        <w:t xml:space="preserve">The </w:t>
      </w:r>
      <w:r w:rsidRPr="00674407">
        <w:rPr>
          <w:rFonts w:asciiTheme="majorHAnsi" w:hAnsiTheme="majorHAnsi"/>
          <w:i/>
          <w:lang w:val="en-GB"/>
        </w:rPr>
        <w:t>Journalist Protection Program</w:t>
      </w:r>
      <w:r w:rsidRPr="00674407">
        <w:rPr>
          <w:rFonts w:asciiTheme="majorHAnsi" w:hAnsiTheme="majorHAnsi"/>
          <w:lang w:val="en-GB"/>
        </w:rPr>
        <w:t xml:space="preserve"> was announced in 2013, with the aim of receiving complaints of crimes against journalists, ensuring judicial investigations, guarantee their security and train them in protection. Implementation has been slow.  In August 2014, the UN Special Rapporteur on freedom of opinion and expression said that the level of aggression against the press had reached a level not seen in a decade.  Between August and September 2015 the </w:t>
      </w:r>
      <w:proofErr w:type="gramStart"/>
      <w:r w:rsidRPr="00674407">
        <w:rPr>
          <w:rFonts w:asciiTheme="majorHAnsi" w:hAnsiTheme="majorHAnsi"/>
          <w:lang w:val="en-GB"/>
        </w:rPr>
        <w:t>Program should be validated by the President</w:t>
      </w:r>
      <w:proofErr w:type="gramEnd"/>
      <w:r w:rsidRPr="00674407">
        <w:rPr>
          <w:rFonts w:asciiTheme="majorHAnsi" w:hAnsiTheme="majorHAnsi"/>
          <w:lang w:val="en-GB"/>
        </w:rPr>
        <w:t xml:space="preserve">. </w:t>
      </w:r>
      <w:r w:rsidRPr="00674407">
        <w:rPr>
          <w:rFonts w:asciiTheme="majorHAnsi" w:hAnsiTheme="majorHAnsi"/>
          <w:vertAlign w:val="superscript"/>
          <w:lang w:val="fr-CH"/>
        </w:rPr>
        <w:endnoteReference w:id="68"/>
      </w:r>
    </w:p>
    <w:p w14:paraId="4712E375" w14:textId="2926DD5F" w:rsidR="00455F41" w:rsidRPr="00674407" w:rsidRDefault="00455F41" w:rsidP="0065211B">
      <w:pPr>
        <w:numPr>
          <w:ilvl w:val="0"/>
          <w:numId w:val="14"/>
        </w:numPr>
        <w:spacing w:after="0" w:line="240" w:lineRule="auto"/>
        <w:contextualSpacing/>
        <w:rPr>
          <w:rFonts w:asciiTheme="majorHAnsi" w:hAnsiTheme="majorHAnsi"/>
          <w:lang w:val="en-GB"/>
        </w:rPr>
      </w:pPr>
      <w:r w:rsidRPr="00674407">
        <w:rPr>
          <w:rFonts w:asciiTheme="majorHAnsi" w:hAnsiTheme="majorHAnsi"/>
          <w:lang w:val="en-GB"/>
        </w:rPr>
        <w:t xml:space="preserve">The </w:t>
      </w:r>
      <w:r w:rsidRPr="00674407">
        <w:rPr>
          <w:rFonts w:asciiTheme="majorHAnsi" w:hAnsiTheme="majorHAnsi"/>
          <w:i/>
          <w:lang w:val="en-GB"/>
        </w:rPr>
        <w:t>Department of Protection Mechanisms for Human Rights Defenders</w:t>
      </w:r>
      <w:r w:rsidRPr="00674407">
        <w:rPr>
          <w:rFonts w:asciiTheme="majorHAnsi" w:hAnsiTheme="majorHAnsi"/>
          <w:lang w:val="en-GB"/>
        </w:rPr>
        <w:t>, within the Presidential Human Rights Commission (COPREDEH) is mandated to guarantee the safety of those activists beneficiaries of precautionary or interim measures granted by the Inter-American human rights system. Its effectiveness has recently weakened, with accusations that it has questioned the legitimacy of defenders working on issues related to business and human rights, as well as the seriousness of the risks they face.</w:t>
      </w:r>
      <w:r w:rsidR="00583F71">
        <w:rPr>
          <w:rFonts w:asciiTheme="majorHAnsi" w:hAnsiTheme="majorHAnsi"/>
          <w:lang w:val="en-GB"/>
        </w:rPr>
        <w:t xml:space="preserve"> Implementation is slow.</w:t>
      </w:r>
      <w:r w:rsidRPr="00674407">
        <w:rPr>
          <w:rFonts w:asciiTheme="majorHAnsi" w:hAnsiTheme="majorHAnsi"/>
          <w:vertAlign w:val="superscript"/>
          <w:lang w:val="fr-CH"/>
        </w:rPr>
        <w:endnoteReference w:id="69"/>
      </w:r>
    </w:p>
    <w:p w14:paraId="3AACD346" w14:textId="77777777" w:rsidR="00455F41" w:rsidRPr="00674407" w:rsidRDefault="00455F41" w:rsidP="0065211B">
      <w:pPr>
        <w:numPr>
          <w:ilvl w:val="0"/>
          <w:numId w:val="14"/>
        </w:numPr>
        <w:spacing w:after="0" w:line="240" w:lineRule="auto"/>
        <w:contextualSpacing/>
        <w:rPr>
          <w:rFonts w:asciiTheme="majorHAnsi" w:hAnsiTheme="majorHAnsi"/>
          <w:lang w:val="en-GB"/>
        </w:rPr>
      </w:pPr>
      <w:r w:rsidRPr="00674407">
        <w:rPr>
          <w:rFonts w:asciiTheme="majorHAnsi" w:hAnsiTheme="majorHAnsi"/>
          <w:lang w:val="en-GB"/>
        </w:rPr>
        <w:t xml:space="preserve">In 2014, the Interior Ministry enacted an internal </w:t>
      </w:r>
      <w:r w:rsidRPr="00674407">
        <w:rPr>
          <w:rFonts w:asciiTheme="majorHAnsi" w:hAnsiTheme="majorHAnsi"/>
          <w:i/>
          <w:lang w:val="en-GB"/>
        </w:rPr>
        <w:t>Protocol for the Implementation of Immediate and Preventive Security Measures for Human Rights Activists</w:t>
      </w:r>
      <w:r w:rsidRPr="00674407">
        <w:rPr>
          <w:rFonts w:asciiTheme="majorHAnsi" w:hAnsiTheme="majorHAnsi"/>
          <w:lang w:val="en-GB"/>
        </w:rPr>
        <w:t>. However these guidelines were not previously consulted with civil society organizations and human rights defenders and the risk analysis methodology required has not been fully finalised.  So far, the Protocol is not being successfully implemented.</w:t>
      </w:r>
      <w:r w:rsidRPr="00674407">
        <w:rPr>
          <w:rFonts w:asciiTheme="majorHAnsi" w:hAnsiTheme="majorHAnsi"/>
          <w:vertAlign w:val="superscript"/>
          <w:lang w:val="en-GB"/>
        </w:rPr>
        <w:endnoteReference w:id="70"/>
      </w:r>
    </w:p>
    <w:p w14:paraId="1332011E" w14:textId="77777777" w:rsidR="00455F41" w:rsidRPr="00674407" w:rsidRDefault="00455F41" w:rsidP="0065211B">
      <w:pPr>
        <w:numPr>
          <w:ilvl w:val="0"/>
          <w:numId w:val="14"/>
        </w:numPr>
        <w:spacing w:after="0" w:line="240" w:lineRule="auto"/>
        <w:contextualSpacing/>
        <w:rPr>
          <w:rFonts w:asciiTheme="majorHAnsi" w:hAnsiTheme="majorHAnsi"/>
          <w:lang w:val="en-GB"/>
        </w:rPr>
      </w:pPr>
      <w:r w:rsidRPr="00674407">
        <w:rPr>
          <w:rFonts w:asciiTheme="majorHAnsi" w:hAnsiTheme="majorHAnsi"/>
          <w:lang w:val="en-GB"/>
        </w:rPr>
        <w:t xml:space="preserve">As discussed in section 9, the </w:t>
      </w:r>
      <w:r w:rsidRPr="00674407">
        <w:rPr>
          <w:rFonts w:asciiTheme="majorHAnsi" w:hAnsiTheme="majorHAnsi"/>
          <w:i/>
          <w:lang w:val="en-GB"/>
        </w:rPr>
        <w:t>Special Prosecutor’s Office for Crimes against Human Rights Activists</w:t>
      </w:r>
      <w:r w:rsidRPr="00674407">
        <w:rPr>
          <w:rFonts w:asciiTheme="majorHAnsi" w:hAnsiTheme="majorHAnsi"/>
          <w:lang w:val="en-GB"/>
        </w:rPr>
        <w:t xml:space="preserve"> requires strengthening if it is to tackle the impunity for violations against defenders.</w:t>
      </w:r>
    </w:p>
    <w:p w14:paraId="0061A9D4" w14:textId="0E2C55A0" w:rsidR="00455F41" w:rsidRPr="00674407" w:rsidRDefault="00455F41" w:rsidP="0065211B">
      <w:pPr>
        <w:numPr>
          <w:ilvl w:val="0"/>
          <w:numId w:val="14"/>
        </w:numPr>
        <w:spacing w:after="0" w:line="240" w:lineRule="auto"/>
        <w:contextualSpacing/>
        <w:rPr>
          <w:rFonts w:asciiTheme="majorHAnsi" w:hAnsiTheme="majorHAnsi"/>
          <w:lang w:val="en-GB"/>
        </w:rPr>
      </w:pPr>
      <w:r w:rsidRPr="00674407">
        <w:rPr>
          <w:rFonts w:asciiTheme="majorHAnsi" w:hAnsiTheme="majorHAnsi"/>
          <w:lang w:val="en-GB"/>
        </w:rPr>
        <w:t>In October last year, the Inter-American Court of Human Rights found the Guatemalan State guilty of failing to adequately investigate the de</w:t>
      </w:r>
      <w:r w:rsidR="003615D7">
        <w:rPr>
          <w:rFonts w:asciiTheme="majorHAnsi" w:hAnsiTheme="majorHAnsi"/>
          <w:lang w:val="en-GB"/>
        </w:rPr>
        <w:t xml:space="preserve">ath of a human rights defender </w:t>
      </w:r>
      <w:r w:rsidRPr="00674407">
        <w:rPr>
          <w:rFonts w:asciiTheme="majorHAnsi" w:hAnsiTheme="majorHAnsi"/>
          <w:lang w:val="en-GB"/>
        </w:rPr>
        <w:t xml:space="preserve">in the </w:t>
      </w:r>
      <w:r w:rsidRPr="00674407">
        <w:rPr>
          <w:rFonts w:asciiTheme="majorHAnsi" w:hAnsiTheme="majorHAnsi" w:cs="CandidaStd-Bold"/>
          <w:iCs/>
          <w:lang w:val="en-GB"/>
        </w:rPr>
        <w:t>“</w:t>
      </w:r>
      <w:r w:rsidRPr="00674407">
        <w:rPr>
          <w:rFonts w:asciiTheme="majorHAnsi" w:hAnsiTheme="majorHAnsi" w:cs="CandidaStd-Bold"/>
          <w:i/>
          <w:iCs/>
          <w:lang w:val="en-GB"/>
        </w:rPr>
        <w:t>Case human rights defender and others</w:t>
      </w:r>
      <w:r w:rsidRPr="00674407">
        <w:rPr>
          <w:rFonts w:asciiTheme="majorHAnsi" w:hAnsiTheme="majorHAnsi" w:cs="CandidaStd-Bold"/>
          <w:iCs/>
          <w:lang w:val="en-GB"/>
        </w:rPr>
        <w:t xml:space="preserve"> </w:t>
      </w:r>
      <w:proofErr w:type="spellStart"/>
      <w:r w:rsidRPr="00674407">
        <w:rPr>
          <w:rFonts w:asciiTheme="majorHAnsi" w:hAnsiTheme="majorHAnsi" w:cs="CandidaStd-Bold"/>
          <w:i/>
          <w:iCs/>
          <w:lang w:val="en-GB"/>
        </w:rPr>
        <w:t>vs</w:t>
      </w:r>
      <w:proofErr w:type="spellEnd"/>
      <w:r w:rsidRPr="00674407">
        <w:rPr>
          <w:rFonts w:asciiTheme="majorHAnsi" w:hAnsiTheme="majorHAnsi" w:cs="CandidaStd-Bold"/>
          <w:i/>
          <w:iCs/>
          <w:lang w:val="en-GB"/>
        </w:rPr>
        <w:t xml:space="preserve"> Guatemala</w:t>
      </w:r>
      <w:r w:rsidRPr="00674407">
        <w:rPr>
          <w:rFonts w:asciiTheme="majorHAnsi" w:hAnsiTheme="majorHAnsi" w:cs="CandidaStd-Bold"/>
          <w:iCs/>
          <w:lang w:val="en-GB"/>
        </w:rPr>
        <w:t>” from August 28, 2014</w:t>
      </w:r>
      <w:r w:rsidRPr="00674407">
        <w:rPr>
          <w:rFonts w:asciiTheme="majorHAnsi" w:hAnsiTheme="majorHAnsi"/>
          <w:lang w:val="en-GB"/>
        </w:rPr>
        <w:t>, as well in failing to protect the activist’s daughter. The sentence obliged the Guatemalan State to implement public policies of legislative, institutional and judicial character to guarantee the protection of defenders, yet all of the defenders interviewed by ISHR complained of a lack of implementation of protective measures.</w:t>
      </w:r>
      <w:r w:rsidRPr="00674407">
        <w:rPr>
          <w:rFonts w:asciiTheme="majorHAnsi" w:hAnsiTheme="majorHAnsi"/>
          <w:vertAlign w:val="superscript"/>
          <w:lang w:val="en-GB"/>
        </w:rPr>
        <w:endnoteReference w:id="71"/>
      </w:r>
    </w:p>
    <w:p w14:paraId="3DBCD9E5" w14:textId="77777777" w:rsidR="00455F41" w:rsidRDefault="00455F41" w:rsidP="00455F41">
      <w:pPr>
        <w:spacing w:after="0" w:line="240" w:lineRule="auto"/>
        <w:rPr>
          <w:rFonts w:asciiTheme="majorHAnsi" w:eastAsiaTheme="minorEastAsia" w:hAnsiTheme="majorHAnsi" w:cstheme="minorBidi"/>
          <w:lang w:val="en-GB"/>
        </w:rPr>
      </w:pPr>
    </w:p>
    <w:p w14:paraId="0760A53F" w14:textId="77777777" w:rsidR="00CF182C" w:rsidRDefault="00CF182C" w:rsidP="00455F41">
      <w:pPr>
        <w:spacing w:after="0" w:line="240" w:lineRule="auto"/>
        <w:rPr>
          <w:rFonts w:asciiTheme="majorHAnsi" w:eastAsiaTheme="minorEastAsia" w:hAnsiTheme="majorHAnsi" w:cstheme="minorBidi"/>
          <w:lang w:val="en-GB"/>
        </w:rPr>
      </w:pPr>
    </w:p>
    <w:p w14:paraId="73CBA541" w14:textId="77777777" w:rsidR="00CF182C" w:rsidRDefault="00CF182C" w:rsidP="00455F41">
      <w:pPr>
        <w:spacing w:after="0" w:line="240" w:lineRule="auto"/>
        <w:rPr>
          <w:rFonts w:asciiTheme="majorHAnsi" w:eastAsiaTheme="minorEastAsia" w:hAnsiTheme="majorHAnsi" w:cstheme="minorBidi"/>
          <w:lang w:val="en-GB"/>
        </w:rPr>
      </w:pPr>
    </w:p>
    <w:p w14:paraId="55DD8515" w14:textId="77777777" w:rsidR="003615D7" w:rsidRDefault="003615D7" w:rsidP="00455F41">
      <w:pPr>
        <w:spacing w:after="0" w:line="240" w:lineRule="auto"/>
        <w:rPr>
          <w:rFonts w:asciiTheme="majorHAnsi" w:eastAsiaTheme="minorEastAsia" w:hAnsiTheme="majorHAnsi" w:cstheme="minorBidi"/>
          <w:lang w:val="en-GB"/>
        </w:rPr>
      </w:pPr>
      <w:bookmarkStart w:id="0" w:name="_GoBack"/>
      <w:bookmarkEnd w:id="0"/>
    </w:p>
    <w:p w14:paraId="668FAD8A" w14:textId="77777777" w:rsidR="00CF182C" w:rsidRPr="00674407" w:rsidRDefault="00CF182C" w:rsidP="00455F41">
      <w:pPr>
        <w:spacing w:after="0" w:line="240" w:lineRule="auto"/>
        <w:rPr>
          <w:rFonts w:asciiTheme="majorHAnsi" w:eastAsiaTheme="minorEastAsia" w:hAnsiTheme="majorHAnsi" w:cstheme="minorBidi"/>
          <w:lang w:val="en-GB"/>
        </w:rPr>
      </w:pPr>
    </w:p>
    <w:p w14:paraId="110002A8" w14:textId="77777777" w:rsidR="00455F41" w:rsidRPr="00674407" w:rsidRDefault="00455F41" w:rsidP="00455F41">
      <w:pPr>
        <w:spacing w:after="0" w:line="240" w:lineRule="auto"/>
        <w:rPr>
          <w:rFonts w:asciiTheme="majorHAnsi" w:eastAsiaTheme="minorEastAsia" w:hAnsiTheme="majorHAnsi" w:cstheme="minorBidi"/>
          <w:b/>
          <w:lang w:val="en-GB"/>
        </w:rPr>
      </w:pPr>
      <w:r w:rsidRPr="00674407">
        <w:rPr>
          <w:rFonts w:asciiTheme="majorHAnsi" w:eastAsiaTheme="minorEastAsia" w:hAnsiTheme="majorHAnsi" w:cstheme="minorBidi"/>
          <w:b/>
          <w:lang w:val="en-GB"/>
        </w:rPr>
        <w:lastRenderedPageBreak/>
        <w:t>11. Conclusion</w:t>
      </w:r>
    </w:p>
    <w:p w14:paraId="38EB4371" w14:textId="77777777" w:rsidR="00745970" w:rsidRPr="00674407" w:rsidRDefault="00745970" w:rsidP="00455F41">
      <w:pPr>
        <w:spacing w:after="0" w:line="240" w:lineRule="auto"/>
        <w:rPr>
          <w:rFonts w:asciiTheme="majorHAnsi" w:eastAsiaTheme="minorEastAsia" w:hAnsiTheme="majorHAnsi" w:cstheme="minorBidi"/>
          <w:b/>
          <w:lang w:val="en-GB"/>
        </w:rPr>
      </w:pPr>
    </w:p>
    <w:p w14:paraId="3487140D" w14:textId="5E6C79C4" w:rsidR="00745970" w:rsidRPr="00674407" w:rsidRDefault="00745970" w:rsidP="00455F41">
      <w:pPr>
        <w:spacing w:after="0" w:line="240" w:lineRule="auto"/>
        <w:rPr>
          <w:rFonts w:asciiTheme="majorHAnsi" w:eastAsiaTheme="minorEastAsia" w:hAnsiTheme="majorHAnsi" w:cstheme="minorBidi"/>
          <w:lang w:val="en-GB"/>
        </w:rPr>
      </w:pPr>
      <w:r w:rsidRPr="00674407">
        <w:rPr>
          <w:rFonts w:asciiTheme="majorHAnsi" w:eastAsiaTheme="minorEastAsia" w:hAnsiTheme="majorHAnsi" w:cstheme="minorBidi"/>
          <w:lang w:val="en-GB"/>
        </w:rPr>
        <w:t>Guatemala is not protecting the civil and political rights of human rights defenders, with those working on issues related to business facing increased and particular risks and obstacles to their activities. These activists are particularly susceptible to having their rights to a fair trial (articles 14-16</w:t>
      </w:r>
      <w:r w:rsidR="00721790" w:rsidRPr="00674407">
        <w:rPr>
          <w:rFonts w:asciiTheme="majorHAnsi" w:eastAsiaTheme="minorEastAsia" w:hAnsiTheme="majorHAnsi" w:cstheme="minorBidi"/>
          <w:lang w:val="en-GB"/>
        </w:rPr>
        <w:t xml:space="preserve"> of the Covenant</w:t>
      </w:r>
      <w:r w:rsidRPr="00674407">
        <w:rPr>
          <w:rFonts w:asciiTheme="majorHAnsi" w:eastAsiaTheme="minorEastAsia" w:hAnsiTheme="majorHAnsi" w:cstheme="minorBidi"/>
          <w:lang w:val="en-GB"/>
        </w:rPr>
        <w:t xml:space="preserve">) and to freedom of expression, peaceful assembly and association (articles 17-22) violated. </w:t>
      </w:r>
      <w:r w:rsidR="00721790" w:rsidRPr="00674407">
        <w:rPr>
          <w:rFonts w:asciiTheme="majorHAnsi" w:eastAsiaTheme="minorEastAsia" w:hAnsiTheme="majorHAnsi" w:cstheme="minorBidi"/>
          <w:lang w:val="en-GB"/>
        </w:rPr>
        <w:t>Those who are women and/or indigenous defenders face additional discrimination, in violation to articles 26 and 27.</w:t>
      </w:r>
      <w:r w:rsidR="00E550D8" w:rsidRPr="00674407">
        <w:rPr>
          <w:rFonts w:asciiTheme="majorHAnsi" w:eastAsiaTheme="minorEastAsia" w:hAnsiTheme="majorHAnsi" w:cstheme="minorBidi"/>
          <w:lang w:val="en-GB"/>
        </w:rPr>
        <w:t xml:space="preserve"> What is more it is the persistent violation of article 25 of the Covenant, through the denial of free, prior and informed consultation and consent of communities affected by business projects, which represents the root cause of all other threats to the rights of these defenders.</w:t>
      </w:r>
    </w:p>
    <w:p w14:paraId="4872AE70" w14:textId="77777777" w:rsidR="00455F41" w:rsidRPr="00674407" w:rsidRDefault="00455F41" w:rsidP="00455F41">
      <w:pPr>
        <w:spacing w:after="0" w:line="240" w:lineRule="auto"/>
        <w:rPr>
          <w:rFonts w:asciiTheme="majorHAnsi" w:eastAsiaTheme="minorEastAsia" w:hAnsiTheme="majorHAnsi" w:cstheme="minorBidi"/>
          <w:b/>
          <w:lang w:val="en-GB"/>
        </w:rPr>
      </w:pPr>
    </w:p>
    <w:p w14:paraId="70DB2632" w14:textId="0AF2AFAE" w:rsidR="00745970" w:rsidRPr="00674407" w:rsidRDefault="00745970" w:rsidP="00745970">
      <w:pPr>
        <w:spacing w:after="0" w:line="240" w:lineRule="auto"/>
        <w:rPr>
          <w:rFonts w:asciiTheme="majorHAnsi" w:eastAsiaTheme="minorEastAsia" w:hAnsiTheme="majorHAnsi" w:cstheme="minorBidi"/>
          <w:lang w:val="en-GB"/>
        </w:rPr>
      </w:pPr>
      <w:r w:rsidRPr="00674407">
        <w:rPr>
          <w:rFonts w:asciiTheme="majorHAnsi" w:eastAsiaTheme="minorEastAsia" w:hAnsiTheme="majorHAnsi" w:cstheme="minorBidi"/>
          <w:lang w:val="en-GB"/>
        </w:rPr>
        <w:t xml:space="preserve">What it more, the undue suppression of NGOs, human rights defenders and communities in resistance who work to prevent the violation of, and seek to advance, the civil and political rights enshrined in the Covenant, is a corollary violation of those self-same rights. </w:t>
      </w:r>
    </w:p>
    <w:p w14:paraId="3FFA46B7" w14:textId="77777777" w:rsidR="00745970" w:rsidRPr="00674407" w:rsidRDefault="00745970" w:rsidP="00745970">
      <w:pPr>
        <w:spacing w:after="0" w:line="240" w:lineRule="auto"/>
        <w:rPr>
          <w:rFonts w:asciiTheme="majorHAnsi" w:eastAsiaTheme="minorEastAsia" w:hAnsiTheme="majorHAnsi" w:cstheme="minorBidi"/>
          <w:lang w:val="en-GB"/>
        </w:rPr>
      </w:pPr>
    </w:p>
    <w:p w14:paraId="02884F2A" w14:textId="102EAA75" w:rsidR="00E550D8" w:rsidRPr="00674407" w:rsidRDefault="00E550D8" w:rsidP="00745970">
      <w:pPr>
        <w:spacing w:after="0" w:line="240" w:lineRule="auto"/>
        <w:rPr>
          <w:rFonts w:asciiTheme="majorHAnsi" w:eastAsiaTheme="minorEastAsia" w:hAnsiTheme="majorHAnsi" w:cstheme="minorBidi"/>
          <w:lang w:val="en-GB"/>
        </w:rPr>
      </w:pPr>
      <w:r w:rsidRPr="00674407">
        <w:rPr>
          <w:rFonts w:asciiTheme="majorHAnsi" w:eastAsiaTheme="minorEastAsia" w:hAnsiTheme="majorHAnsi" w:cstheme="minorBidi"/>
          <w:lang w:val="en-GB"/>
        </w:rPr>
        <w:t xml:space="preserve">Both State and non-State actors are violating the rights of human rights defenders working on business and human rights. The present administration not only has done little to prevent, mitigate and remedy violations against human rights defenders, </w:t>
      </w:r>
      <w:proofErr w:type="gramStart"/>
      <w:r w:rsidRPr="00674407">
        <w:rPr>
          <w:rFonts w:asciiTheme="majorHAnsi" w:eastAsiaTheme="minorEastAsia" w:hAnsiTheme="majorHAnsi" w:cstheme="minorBidi"/>
          <w:lang w:val="en-GB"/>
        </w:rPr>
        <w:t>but</w:t>
      </w:r>
      <w:proofErr w:type="gramEnd"/>
      <w:r w:rsidRPr="00674407">
        <w:rPr>
          <w:rFonts w:asciiTheme="majorHAnsi" w:eastAsiaTheme="minorEastAsia" w:hAnsiTheme="majorHAnsi" w:cstheme="minorBidi"/>
          <w:lang w:val="en-GB"/>
        </w:rPr>
        <w:t xml:space="preserve"> has overseen a weakening of the very institutions designed to protect them and an increase in the public stigmatisation of their work.</w:t>
      </w:r>
    </w:p>
    <w:p w14:paraId="4251B482" w14:textId="77777777" w:rsidR="00E550D8" w:rsidRPr="00674407" w:rsidRDefault="00E550D8" w:rsidP="00745970">
      <w:pPr>
        <w:spacing w:after="0" w:line="240" w:lineRule="auto"/>
        <w:rPr>
          <w:rFonts w:asciiTheme="majorHAnsi" w:eastAsiaTheme="minorEastAsia" w:hAnsiTheme="majorHAnsi" w:cstheme="minorBidi"/>
          <w:lang w:val="en-GB"/>
        </w:rPr>
      </w:pPr>
    </w:p>
    <w:p w14:paraId="2255513D" w14:textId="34C178E8" w:rsidR="00745970" w:rsidRPr="00674407" w:rsidRDefault="00E550D8" w:rsidP="00745970">
      <w:pPr>
        <w:spacing w:after="0" w:line="240" w:lineRule="auto"/>
        <w:rPr>
          <w:rFonts w:asciiTheme="majorHAnsi" w:eastAsiaTheme="minorEastAsia" w:hAnsiTheme="majorHAnsi" w:cstheme="minorBidi"/>
          <w:lang w:val="en-GB"/>
        </w:rPr>
      </w:pPr>
      <w:r w:rsidRPr="00674407">
        <w:rPr>
          <w:rFonts w:asciiTheme="majorHAnsi" w:eastAsiaTheme="minorEastAsia" w:hAnsiTheme="majorHAnsi" w:cstheme="minorBidi"/>
          <w:lang w:val="en-GB"/>
        </w:rPr>
        <w:t>The Human Rights Committee must therefore ask Guatemala to outline how it will act to protect human rights defenders, particularly when their work involves signalling abuses carried out in the context of business operations.</w:t>
      </w:r>
    </w:p>
    <w:p w14:paraId="48827C25" w14:textId="3787718E" w:rsidR="00745970" w:rsidRPr="00674407" w:rsidRDefault="00745970" w:rsidP="00455F41">
      <w:pPr>
        <w:spacing w:after="0" w:line="240" w:lineRule="auto"/>
        <w:rPr>
          <w:rFonts w:asciiTheme="majorHAnsi" w:eastAsiaTheme="minorEastAsia" w:hAnsiTheme="majorHAnsi" w:cstheme="minorBidi"/>
          <w:b/>
          <w:lang w:val="en-GB"/>
        </w:rPr>
      </w:pPr>
    </w:p>
    <w:p w14:paraId="50E17CD2" w14:textId="33D66A5B" w:rsidR="00745970" w:rsidRPr="00674407" w:rsidRDefault="00745970" w:rsidP="00455F41">
      <w:pPr>
        <w:spacing w:after="0" w:line="240" w:lineRule="auto"/>
        <w:rPr>
          <w:rFonts w:asciiTheme="majorHAnsi" w:eastAsiaTheme="minorEastAsia" w:hAnsiTheme="majorHAnsi" w:cstheme="minorBidi"/>
          <w:b/>
          <w:lang w:val="en-GB"/>
        </w:rPr>
      </w:pPr>
    </w:p>
    <w:p w14:paraId="729ADC7F" w14:textId="752C7991" w:rsidR="00455F41" w:rsidRPr="000C7C25" w:rsidRDefault="00455F41" w:rsidP="00455F41">
      <w:pPr>
        <w:spacing w:after="0" w:line="240" w:lineRule="auto"/>
        <w:rPr>
          <w:rFonts w:asciiTheme="majorHAnsi" w:eastAsiaTheme="minorEastAsia" w:hAnsiTheme="majorHAnsi" w:cstheme="minorBidi"/>
          <w:b/>
          <w:color w:val="FF0000"/>
          <w:lang w:val="en-GB"/>
        </w:rPr>
      </w:pPr>
      <w:r w:rsidRPr="000C7C25">
        <w:rPr>
          <w:rFonts w:asciiTheme="majorHAnsi" w:eastAsiaTheme="minorEastAsia" w:hAnsiTheme="majorHAnsi" w:cstheme="minorBidi"/>
          <w:b/>
          <w:color w:val="FF0000"/>
          <w:lang w:val="en-GB"/>
        </w:rPr>
        <w:t>12. Questions to the Guatemalan State</w:t>
      </w:r>
    </w:p>
    <w:p w14:paraId="3A09DDDC" w14:textId="77777777" w:rsidR="00455F41" w:rsidRPr="00674407" w:rsidRDefault="00455F41" w:rsidP="00455F41">
      <w:pPr>
        <w:spacing w:after="0" w:line="240" w:lineRule="auto"/>
        <w:rPr>
          <w:rFonts w:asciiTheme="majorHAnsi" w:eastAsiaTheme="minorEastAsia" w:hAnsiTheme="majorHAnsi" w:cstheme="minorBidi"/>
          <w:b/>
          <w:lang w:val="en-GB"/>
        </w:rPr>
      </w:pPr>
    </w:p>
    <w:p w14:paraId="3BA8CBCE" w14:textId="77777777" w:rsidR="006C3F26" w:rsidRPr="00674407" w:rsidRDefault="00AD6CEB" w:rsidP="0065211B">
      <w:pPr>
        <w:numPr>
          <w:ilvl w:val="0"/>
          <w:numId w:val="3"/>
        </w:numPr>
        <w:spacing w:after="0" w:line="240" w:lineRule="auto"/>
        <w:rPr>
          <w:rFonts w:asciiTheme="majorHAnsi" w:eastAsiaTheme="minorEastAsia" w:hAnsiTheme="majorHAnsi" w:cstheme="minorBidi"/>
          <w:lang w:val="en-GB"/>
        </w:rPr>
      </w:pPr>
      <w:r w:rsidRPr="00674407">
        <w:rPr>
          <w:rFonts w:asciiTheme="majorHAnsi" w:eastAsiaTheme="minorEastAsia" w:hAnsiTheme="majorHAnsi" w:cstheme="minorBidi"/>
          <w:lang w:val="en-GB"/>
        </w:rPr>
        <w:t xml:space="preserve">What steps is the Guatemalan State taking to prevent attacks against </w:t>
      </w:r>
      <w:r w:rsidR="006C3F26" w:rsidRPr="00674407">
        <w:rPr>
          <w:rFonts w:asciiTheme="majorHAnsi" w:eastAsiaTheme="minorEastAsia" w:hAnsiTheme="majorHAnsi" w:cstheme="minorBidi"/>
          <w:lang w:val="en-GB"/>
        </w:rPr>
        <w:t>those defenders working on issues related to business and human rights</w:t>
      </w:r>
      <w:r w:rsidRPr="00674407">
        <w:rPr>
          <w:rFonts w:asciiTheme="majorHAnsi" w:eastAsiaTheme="minorEastAsia" w:hAnsiTheme="majorHAnsi" w:cstheme="minorBidi"/>
          <w:lang w:val="en-GB"/>
        </w:rPr>
        <w:t>, including through ensuring that non-State actors such as businesses make contributions to a safe and enabling environment for local activists, guaranteeing the free prior and informed consent of affected communities and through the implementation of the UN Guiding Principles on Business and Human Rights?</w:t>
      </w:r>
    </w:p>
    <w:p w14:paraId="34251BBF" w14:textId="77777777" w:rsidR="006C3F26" w:rsidRPr="00674407" w:rsidRDefault="006C3F26" w:rsidP="0065211B">
      <w:pPr>
        <w:numPr>
          <w:ilvl w:val="0"/>
          <w:numId w:val="3"/>
        </w:numPr>
        <w:spacing w:after="0" w:line="240" w:lineRule="auto"/>
        <w:rPr>
          <w:rFonts w:asciiTheme="majorHAnsi" w:eastAsiaTheme="minorEastAsia" w:hAnsiTheme="majorHAnsi" w:cs="CandidaStd-Bold"/>
          <w:iCs/>
          <w:lang w:val="en-GB"/>
        </w:rPr>
      </w:pPr>
      <w:r w:rsidRPr="00674407">
        <w:rPr>
          <w:rFonts w:asciiTheme="majorHAnsi" w:eastAsiaTheme="minorEastAsia" w:hAnsiTheme="majorHAnsi" w:cs="CandidaStd-Bold"/>
          <w:iCs/>
          <w:lang w:val="en-GB"/>
        </w:rPr>
        <w:t xml:space="preserve">What actions has the Guatemalan State taken in order to implement the Inter-American Court sentence in the case of “human rights defender and others </w:t>
      </w:r>
      <w:proofErr w:type="spellStart"/>
      <w:r w:rsidRPr="00674407">
        <w:rPr>
          <w:rFonts w:asciiTheme="majorHAnsi" w:eastAsiaTheme="minorEastAsia" w:hAnsiTheme="majorHAnsi" w:cs="CandidaStd-Bold"/>
          <w:iCs/>
          <w:lang w:val="en-GB"/>
        </w:rPr>
        <w:t>vs</w:t>
      </w:r>
      <w:proofErr w:type="spellEnd"/>
      <w:r w:rsidRPr="00674407">
        <w:rPr>
          <w:rFonts w:asciiTheme="majorHAnsi" w:eastAsiaTheme="minorEastAsia" w:hAnsiTheme="majorHAnsi" w:cs="CandidaStd-Bold"/>
          <w:iCs/>
          <w:lang w:val="en-GB"/>
        </w:rPr>
        <w:t xml:space="preserve"> Guatemala”, which ordered the State to implement an effective public policy for the protection of human rights defenders? What have the principal advances in implementation been and what does this sentence mean for the future of existing institutions responsible for the protection of human rights defenders?</w:t>
      </w:r>
    </w:p>
    <w:p w14:paraId="433E74B2" w14:textId="38E0A5C3" w:rsidR="006C3F26" w:rsidRPr="00674407" w:rsidRDefault="006C3F26" w:rsidP="0065211B">
      <w:pPr>
        <w:numPr>
          <w:ilvl w:val="0"/>
          <w:numId w:val="3"/>
        </w:numPr>
        <w:spacing w:after="0" w:line="240" w:lineRule="auto"/>
        <w:rPr>
          <w:rFonts w:asciiTheme="majorHAnsi" w:eastAsiaTheme="minorEastAsia" w:hAnsiTheme="majorHAnsi" w:cs="CandidaStd-Bold"/>
          <w:iCs/>
          <w:lang w:val="en-GB"/>
        </w:rPr>
      </w:pPr>
      <w:r w:rsidRPr="00674407">
        <w:rPr>
          <w:rFonts w:asciiTheme="majorHAnsi" w:hAnsiTheme="majorHAnsi" w:cs="Arial"/>
          <w:lang w:val="en-GB"/>
        </w:rPr>
        <w:t>What steps will the Guatemalan State take to guarantee due pr</w:t>
      </w:r>
      <w:r w:rsidR="00E731BA" w:rsidRPr="00674407">
        <w:rPr>
          <w:rFonts w:asciiTheme="majorHAnsi" w:hAnsiTheme="majorHAnsi" w:cs="Arial"/>
          <w:lang w:val="en-GB"/>
        </w:rPr>
        <w:t xml:space="preserve">ocess to human rights defenders, </w:t>
      </w:r>
      <w:r w:rsidRPr="00674407">
        <w:rPr>
          <w:rFonts w:asciiTheme="majorHAnsi" w:hAnsiTheme="majorHAnsi" w:cs="Arial"/>
          <w:lang w:val="en-GB"/>
        </w:rPr>
        <w:t xml:space="preserve">end the criminalisation of their work, </w:t>
      </w:r>
      <w:r w:rsidR="00E731BA" w:rsidRPr="00674407">
        <w:rPr>
          <w:rFonts w:asciiTheme="majorHAnsi" w:hAnsiTheme="majorHAnsi" w:cs="Arial"/>
          <w:lang w:val="en-GB"/>
        </w:rPr>
        <w:t>and sanction those responsible (</w:t>
      </w:r>
      <w:r w:rsidRPr="00674407">
        <w:rPr>
          <w:rFonts w:asciiTheme="majorHAnsi" w:hAnsiTheme="majorHAnsi" w:cs="Arial"/>
          <w:lang w:val="en-GB"/>
        </w:rPr>
        <w:t>both in terms of public stigmatisation and judicial harassment</w:t>
      </w:r>
      <w:r w:rsidR="00E731BA" w:rsidRPr="00674407">
        <w:rPr>
          <w:rFonts w:asciiTheme="majorHAnsi" w:hAnsiTheme="majorHAnsi" w:cs="Arial"/>
          <w:lang w:val="en-GB"/>
        </w:rPr>
        <w:t>)</w:t>
      </w:r>
      <w:r w:rsidRPr="00674407">
        <w:rPr>
          <w:rFonts w:asciiTheme="majorHAnsi" w:hAnsiTheme="majorHAnsi" w:cs="Arial"/>
          <w:lang w:val="en-GB"/>
        </w:rPr>
        <w:t>?</w:t>
      </w:r>
    </w:p>
    <w:p w14:paraId="55BB6190" w14:textId="7416B8B7" w:rsidR="006C3F26" w:rsidRPr="00674407" w:rsidRDefault="006C3F26" w:rsidP="0065211B">
      <w:pPr>
        <w:pStyle w:val="Prrafodelista"/>
        <w:numPr>
          <w:ilvl w:val="0"/>
          <w:numId w:val="3"/>
        </w:numPr>
        <w:spacing w:after="0" w:line="240" w:lineRule="auto"/>
        <w:rPr>
          <w:rFonts w:asciiTheme="majorHAnsi" w:eastAsiaTheme="minorEastAsia" w:hAnsiTheme="majorHAnsi" w:cs="CandidaStd-Bold"/>
          <w:iCs/>
          <w:lang w:val="en-GB"/>
        </w:rPr>
      </w:pPr>
      <w:r w:rsidRPr="00674407">
        <w:rPr>
          <w:rFonts w:asciiTheme="majorHAnsi" w:eastAsiaTheme="minorEastAsia" w:hAnsiTheme="majorHAnsi" w:cs="CandidaStd-Bold"/>
          <w:iCs/>
          <w:lang w:val="en-GB"/>
        </w:rPr>
        <w:t>What is the Guatemalan State doing to review the</w:t>
      </w:r>
      <w:r w:rsidR="00A94122" w:rsidRPr="00674407">
        <w:rPr>
          <w:rFonts w:asciiTheme="majorHAnsi" w:eastAsiaTheme="minorEastAsia" w:hAnsiTheme="majorHAnsi" w:cs="CandidaStd-Bold"/>
          <w:iCs/>
          <w:lang w:val="en-GB"/>
        </w:rPr>
        <w:t xml:space="preserve"> nature and the use of the</w:t>
      </w:r>
      <w:r w:rsidRPr="00674407">
        <w:rPr>
          <w:rFonts w:asciiTheme="majorHAnsi" w:eastAsiaTheme="minorEastAsia" w:hAnsiTheme="majorHAnsi" w:cs="CandidaStd-Bold"/>
          <w:iCs/>
          <w:lang w:val="en-GB"/>
        </w:rPr>
        <w:t xml:space="preserve"> existing legislative framework in order to guarantee a safe and enabling environment for human rights defenders</w:t>
      </w:r>
      <w:r w:rsidR="00A94122" w:rsidRPr="00674407">
        <w:rPr>
          <w:rFonts w:asciiTheme="majorHAnsi" w:eastAsiaTheme="minorEastAsia" w:hAnsiTheme="majorHAnsi" w:cs="CandidaStd-Bold"/>
          <w:iCs/>
          <w:lang w:val="en-GB"/>
        </w:rPr>
        <w:t xml:space="preserve">, in particular those working on business and human rights? </w:t>
      </w:r>
      <w:r w:rsidR="00455895" w:rsidRPr="00674407">
        <w:rPr>
          <w:rFonts w:asciiTheme="majorHAnsi" w:eastAsiaTheme="minorEastAsia" w:hAnsiTheme="majorHAnsi" w:cs="CandidaStd-Bold"/>
          <w:iCs/>
          <w:lang w:val="en-GB"/>
        </w:rPr>
        <w:t>Such a review should include an appraisal of the use and abuse of exceptional figures such as states of siege.</w:t>
      </w:r>
    </w:p>
    <w:p w14:paraId="0E4D2556" w14:textId="32594851" w:rsidR="006C0DBC" w:rsidRPr="00674407" w:rsidRDefault="006C0DBC" w:rsidP="0065211B">
      <w:pPr>
        <w:pStyle w:val="Prrafodelista"/>
        <w:numPr>
          <w:ilvl w:val="0"/>
          <w:numId w:val="3"/>
        </w:numPr>
        <w:spacing w:after="0" w:line="240" w:lineRule="auto"/>
        <w:rPr>
          <w:rFonts w:asciiTheme="majorHAnsi" w:eastAsiaTheme="minorEastAsia" w:hAnsiTheme="majorHAnsi" w:cs="CandidaStd-Bold"/>
          <w:iCs/>
          <w:lang w:val="en-GB"/>
        </w:rPr>
      </w:pPr>
      <w:r w:rsidRPr="00674407">
        <w:rPr>
          <w:rFonts w:asciiTheme="majorHAnsi" w:eastAsiaTheme="minorEastAsia" w:hAnsiTheme="majorHAnsi" w:cs="CandidaStd-Bold"/>
          <w:iCs/>
          <w:lang w:val="en-GB"/>
        </w:rPr>
        <w:t xml:space="preserve">What has the Guatemalan State done to avoid impunity for attacks against human right defenders? Currently, what percentage of reported crimes against defenders are sentenced? How has the analysis of the </w:t>
      </w:r>
      <w:r w:rsidRPr="00674407">
        <w:rPr>
          <w:rFonts w:asciiTheme="majorHAnsi" w:hAnsiTheme="majorHAnsi"/>
          <w:lang w:val="en-GB"/>
        </w:rPr>
        <w:t>Institute for the Analysis of Attacks against Human Rights Defenders been used to strengthen investigations of crimes against defenders and avoid new cases?</w:t>
      </w:r>
    </w:p>
    <w:p w14:paraId="63A2175C" w14:textId="77777777" w:rsidR="00CF182C" w:rsidRDefault="00CF182C" w:rsidP="00455F41">
      <w:pPr>
        <w:rPr>
          <w:rFonts w:asciiTheme="majorHAnsi" w:hAnsiTheme="majorHAnsi"/>
          <w:lang w:val="es-ES"/>
        </w:rPr>
      </w:pPr>
    </w:p>
    <w:p w14:paraId="5F832417" w14:textId="2542DB18" w:rsidR="00CF182C" w:rsidRDefault="00CF182C" w:rsidP="00455F41">
      <w:pPr>
        <w:rPr>
          <w:rFonts w:asciiTheme="majorHAnsi" w:hAnsiTheme="majorHAnsi"/>
          <w:lang w:val="es-ES"/>
        </w:rPr>
      </w:pPr>
      <w:r w:rsidRPr="00674407">
        <w:rPr>
          <w:rFonts w:asciiTheme="majorHAnsi" w:eastAsiaTheme="minorEastAsia" w:hAnsiTheme="majorHAnsi" w:cstheme="minorBidi"/>
          <w:b/>
          <w:noProof/>
          <w:lang w:val="es-ES" w:eastAsia="es-ES"/>
        </w:rPr>
        <w:lastRenderedPageBreak/>
        <mc:AlternateContent>
          <mc:Choice Requires="wps">
            <w:drawing>
              <wp:anchor distT="45720" distB="45720" distL="114300" distR="114300" simplePos="0" relativeHeight="251661312" behindDoc="0" locked="0" layoutInCell="1" allowOverlap="1" wp14:anchorId="51FA1E39" wp14:editId="67DD062D">
                <wp:simplePos x="0" y="0"/>
                <wp:positionH relativeFrom="margin">
                  <wp:align>right</wp:align>
                </wp:positionH>
                <wp:positionV relativeFrom="paragraph">
                  <wp:posOffset>415980</wp:posOffset>
                </wp:positionV>
                <wp:extent cx="6448425" cy="4022090"/>
                <wp:effectExtent l="0" t="0" r="28575" b="1651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022090"/>
                        </a:xfrm>
                        <a:prstGeom prst="rect">
                          <a:avLst/>
                        </a:prstGeom>
                        <a:solidFill>
                          <a:srgbClr val="FFFFFF"/>
                        </a:solidFill>
                        <a:ln w="9525">
                          <a:solidFill>
                            <a:srgbClr val="000000"/>
                          </a:solidFill>
                          <a:miter lim="800000"/>
                          <a:headEnd/>
                          <a:tailEnd/>
                        </a:ln>
                      </wps:spPr>
                      <wps:txbx>
                        <w:txbxContent>
                          <w:p w14:paraId="33791BB8" w14:textId="51A5D31A" w:rsidR="00F409A4" w:rsidRPr="004D3473" w:rsidRDefault="00F409A4" w:rsidP="00455F41">
                            <w:pPr>
                              <w:rPr>
                                <w:i/>
                                <w:lang w:val="en-GB"/>
                              </w:rPr>
                            </w:pPr>
                            <w:r w:rsidRPr="005B020F">
                              <w:rPr>
                                <w:i/>
                                <w:lang w:val="en-GB"/>
                              </w:rPr>
                              <w:t>Recent treaty body recommendations to Guatemala regarding the prote</w:t>
                            </w:r>
                            <w:r>
                              <w:rPr>
                                <w:i/>
                                <w:lang w:val="en-GB"/>
                              </w:rPr>
                              <w:t>ction of human rights defenders</w:t>
                            </w:r>
                          </w:p>
                          <w:p w14:paraId="48292042" w14:textId="77777777" w:rsidR="00F409A4" w:rsidRDefault="00F409A4" w:rsidP="00455F41">
                            <w:pPr>
                              <w:rPr>
                                <w:lang w:val="en-GB"/>
                              </w:rPr>
                            </w:pPr>
                            <w:r>
                              <w:rPr>
                                <w:lang w:val="en-GB"/>
                              </w:rPr>
                              <w:t>The Committee on the Elimination of Racial Discrimination recently recognised the additional risks facing defenders working on issues of business and human rights, and made pertinent recommendations to Guatemala in that respect,</w:t>
                            </w:r>
                            <w:r>
                              <w:rPr>
                                <w:rStyle w:val="Refdenotaalfinal"/>
                                <w:lang w:val="en-GB"/>
                              </w:rPr>
                              <w:footnoteRef/>
                            </w:r>
                            <w:r>
                              <w:rPr>
                                <w:lang w:val="en-GB"/>
                              </w:rPr>
                              <w:t xml:space="preserve"> including:</w:t>
                            </w:r>
                          </w:p>
                          <w:p w14:paraId="6CC76994" w14:textId="77777777" w:rsidR="00F409A4" w:rsidRDefault="00F409A4" w:rsidP="0065211B">
                            <w:pPr>
                              <w:pStyle w:val="Prrafodelista"/>
                              <w:numPr>
                                <w:ilvl w:val="0"/>
                                <w:numId w:val="15"/>
                              </w:numPr>
                              <w:rPr>
                                <w:lang w:val="en-GB"/>
                              </w:rPr>
                            </w:pPr>
                            <w:r>
                              <w:rPr>
                                <w:lang w:val="en-GB"/>
                              </w:rPr>
                              <w:t>Investigate and sanction those responsible for attacks on human rights defenders, in particular those working on indigenous rights;</w:t>
                            </w:r>
                          </w:p>
                          <w:p w14:paraId="392A384B" w14:textId="77777777" w:rsidR="00F409A4" w:rsidRDefault="00F409A4" w:rsidP="0065211B">
                            <w:pPr>
                              <w:pStyle w:val="Prrafodelista"/>
                              <w:numPr>
                                <w:ilvl w:val="0"/>
                                <w:numId w:val="15"/>
                              </w:numPr>
                              <w:rPr>
                                <w:lang w:val="en-GB"/>
                              </w:rPr>
                            </w:pPr>
                            <w:r>
                              <w:rPr>
                                <w:lang w:val="en-GB"/>
                              </w:rPr>
                              <w:t>Adopt and implement, in consultation with civil society and indigenous peoples, an effective protection mechanism for human rights defenders and journalists, taking into account the danger in which indigenous leaders are found defending their right to consultation, to the land and to their natural resources.</w:t>
                            </w:r>
                          </w:p>
                          <w:p w14:paraId="23BE73E2" w14:textId="77777777" w:rsidR="00F409A4" w:rsidRPr="00BD57D6" w:rsidRDefault="00F409A4" w:rsidP="00455F41">
                            <w:pPr>
                              <w:rPr>
                                <w:rFonts w:cs="CandidaStd-Bold"/>
                                <w:iCs/>
                                <w:lang w:val="en-GB"/>
                              </w:rPr>
                            </w:pPr>
                            <w:r>
                              <w:rPr>
                                <w:rFonts w:cs="CandidaStd-Bold"/>
                                <w:iCs/>
                                <w:lang w:val="en-GB"/>
                              </w:rPr>
                              <w:t>Last year, meanwhile, the Committee against Torture also spoke out on human rights defender issues,</w:t>
                            </w:r>
                            <w:r>
                              <w:rPr>
                                <w:rStyle w:val="Refdenotaalfinal"/>
                                <w:rFonts w:cs="CandidaStd-Bold"/>
                                <w:iCs/>
                                <w:lang w:val="en-GB"/>
                              </w:rPr>
                              <w:footnoteRef/>
                            </w:r>
                            <w:r>
                              <w:rPr>
                                <w:rFonts w:cs="CandidaStd-Bold"/>
                                <w:iCs/>
                                <w:lang w:val="en-GB"/>
                              </w:rPr>
                              <w:t xml:space="preserve"> recommending that Guatemala:</w:t>
                            </w:r>
                          </w:p>
                          <w:p w14:paraId="5C706863" w14:textId="77777777" w:rsidR="00F409A4" w:rsidRPr="00944C92" w:rsidRDefault="00F409A4" w:rsidP="0065211B">
                            <w:pPr>
                              <w:pStyle w:val="Prrafodelista"/>
                              <w:numPr>
                                <w:ilvl w:val="0"/>
                                <w:numId w:val="16"/>
                              </w:numPr>
                              <w:spacing w:after="0" w:line="240" w:lineRule="auto"/>
                              <w:rPr>
                                <w:rFonts w:cs="CandidaStd-Bold"/>
                                <w:iCs/>
                                <w:lang w:val="en-GB"/>
                              </w:rPr>
                            </w:pPr>
                            <w:r w:rsidRPr="00944C92">
                              <w:rPr>
                                <w:rFonts w:cs="CandidaStd-Bold"/>
                                <w:iCs/>
                                <w:lang w:val="en-GB"/>
                              </w:rPr>
                              <w:t>Redouble its efforts to guarantee the protection, safety and physical integrity of human rights defenders against any threats or attacks they could be exposed to.</w:t>
                            </w:r>
                          </w:p>
                          <w:p w14:paraId="5F617C26" w14:textId="77777777" w:rsidR="00F409A4" w:rsidRPr="00944C92" w:rsidRDefault="00F409A4" w:rsidP="0065211B">
                            <w:pPr>
                              <w:pStyle w:val="Prrafodelista"/>
                              <w:numPr>
                                <w:ilvl w:val="0"/>
                                <w:numId w:val="16"/>
                              </w:numPr>
                              <w:spacing w:after="0" w:line="240" w:lineRule="auto"/>
                              <w:rPr>
                                <w:rFonts w:cs="CandidaStd-Bold"/>
                                <w:iCs/>
                                <w:lang w:val="en-GB"/>
                              </w:rPr>
                            </w:pPr>
                            <w:r w:rsidRPr="00944C92">
                              <w:rPr>
                                <w:rFonts w:cs="CandidaStd-Bold"/>
                                <w:iCs/>
                                <w:lang w:val="en-GB"/>
                              </w:rPr>
                              <w:t xml:space="preserve">Ensure the prompt, thorough and effective investigation of all threats and </w:t>
                            </w:r>
                            <w:proofErr w:type="gramStart"/>
                            <w:r w:rsidRPr="00944C92">
                              <w:rPr>
                                <w:rFonts w:cs="CandidaStd-Bold"/>
                                <w:iCs/>
                                <w:lang w:val="en-GB"/>
                              </w:rPr>
                              <w:t>attacks  against</w:t>
                            </w:r>
                            <w:proofErr w:type="gramEnd"/>
                            <w:r w:rsidRPr="00944C92">
                              <w:rPr>
                                <w:rFonts w:cs="CandidaStd-Bold"/>
                                <w:iCs/>
                                <w:lang w:val="en-GB"/>
                              </w:rPr>
                              <w:t xml:space="preserve"> human rights defenders, and also ensure that all those responsible for such actions are prosecuted and duly  punished.</w:t>
                            </w:r>
                          </w:p>
                          <w:p w14:paraId="39E4A402" w14:textId="77777777" w:rsidR="00F409A4" w:rsidRPr="005B020F" w:rsidRDefault="00F409A4" w:rsidP="0065211B">
                            <w:pPr>
                              <w:pStyle w:val="Prrafodelista"/>
                              <w:numPr>
                                <w:ilvl w:val="0"/>
                                <w:numId w:val="16"/>
                              </w:numPr>
                              <w:spacing w:after="0" w:line="240" w:lineRule="auto"/>
                              <w:rPr>
                                <w:rFonts w:cs="CandidaStd-Bold"/>
                                <w:iCs/>
                                <w:lang w:val="en-US"/>
                              </w:rPr>
                            </w:pPr>
                            <w:r w:rsidRPr="00944C92">
                              <w:rPr>
                                <w:rFonts w:cs="CandidaStd-Bold"/>
                                <w:iCs/>
                                <w:lang w:val="en-GB"/>
                              </w:rPr>
                              <w:t>Guarantee the continued services of the Support Institute for the Analysis of Attacks against Human Rights Defenders.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1FA1E39" id="Text Box 6" o:spid="_x0000_s1028" type="#_x0000_t202" style="position:absolute;margin-left:456.55pt;margin-top:32.75pt;width:507.75pt;height:78.25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">
                <v:textbox style="mso-fit-shape-to-text:t">
                  <w:txbxContent>
                    <w:p w14:paraId="33791BB8" w14:textId="51A5D31A" w:rsidR="00F409A4" w:rsidRPr="004D3473" w:rsidRDefault="00F409A4" w:rsidP="00455F41">
                      <w:pPr>
                        <w:rPr>
                          <w:i/>
                          <w:lang w:val="en-GB"/>
                        </w:rPr>
                      </w:pPr>
                      <w:r w:rsidRPr="005B020F">
                        <w:rPr>
                          <w:i/>
                          <w:lang w:val="en-GB"/>
                        </w:rPr>
                        <w:t>Recent treaty body recommendations to Guatemala regarding the prote</w:t>
                      </w:r>
                      <w:r>
                        <w:rPr>
                          <w:i/>
                          <w:lang w:val="en-GB"/>
                        </w:rPr>
                        <w:t>ction of human rights defenders</w:t>
                      </w:r>
                    </w:p>
                    <w:p w14:paraId="48292042" w14:textId="77777777" w:rsidR="00F409A4" w:rsidRDefault="00F409A4" w:rsidP="00455F41">
                      <w:pPr>
                        <w:rPr>
                          <w:lang w:val="en-GB"/>
                        </w:rPr>
                      </w:pPr>
                      <w:r>
                        <w:rPr>
                          <w:lang w:val="en-GB"/>
                        </w:rPr>
                        <w:t>The Committee on the Elimination of Racial Discrimination recently recognised the additional risks facing defenders working on issues of business and human rights, and made pertinent recommendations to Guatemala in that respect,</w:t>
                      </w:r>
                      <w:r>
                        <w:rPr>
                          <w:rStyle w:val="EndnoteReference"/>
                          <w:lang w:val="en-GB"/>
                        </w:rPr>
                        <w:footnoteRef/>
                      </w:r>
                      <w:r>
                        <w:rPr>
                          <w:lang w:val="en-GB"/>
                        </w:rPr>
                        <w:t xml:space="preserve"> including:</w:t>
                      </w:r>
                    </w:p>
                    <w:p w14:paraId="6CC76994" w14:textId="77777777" w:rsidR="00F409A4" w:rsidRDefault="00F409A4" w:rsidP="0065211B">
                      <w:pPr>
                        <w:pStyle w:val="ListParagraph"/>
                        <w:numPr>
                          <w:ilvl w:val="0"/>
                          <w:numId w:val="15"/>
                        </w:numPr>
                        <w:rPr>
                          <w:lang w:val="en-GB"/>
                        </w:rPr>
                      </w:pPr>
                      <w:r>
                        <w:rPr>
                          <w:lang w:val="en-GB"/>
                        </w:rPr>
                        <w:t>Investigate and sanction those responsible for attacks on human rights defenders, in particular those working on indigenous rights;</w:t>
                      </w:r>
                    </w:p>
                    <w:p w14:paraId="392A384B" w14:textId="77777777" w:rsidR="00F409A4" w:rsidRDefault="00F409A4" w:rsidP="0065211B">
                      <w:pPr>
                        <w:pStyle w:val="ListParagraph"/>
                        <w:numPr>
                          <w:ilvl w:val="0"/>
                          <w:numId w:val="15"/>
                        </w:numPr>
                        <w:rPr>
                          <w:lang w:val="en-GB"/>
                        </w:rPr>
                      </w:pPr>
                      <w:r>
                        <w:rPr>
                          <w:lang w:val="en-GB"/>
                        </w:rPr>
                        <w:t>Adopt and implement, in consultation with civil society and indigenous peoples, an effective protection mechanism for human rights defenders and journalists, taking into account the danger in which indigenous leaders are found defending their right to consultation, to the land and to their natural resources.</w:t>
                      </w:r>
                    </w:p>
                    <w:p w14:paraId="23BE73E2" w14:textId="77777777" w:rsidR="00F409A4" w:rsidRPr="00BD57D6" w:rsidRDefault="00F409A4" w:rsidP="00455F41">
                      <w:pPr>
                        <w:rPr>
                          <w:rFonts w:cs="CandidaStd-Bold"/>
                          <w:iCs/>
                          <w:lang w:val="en-GB"/>
                        </w:rPr>
                      </w:pPr>
                      <w:r>
                        <w:rPr>
                          <w:rFonts w:cs="CandidaStd-Bold"/>
                          <w:iCs/>
                          <w:lang w:val="en-GB"/>
                        </w:rPr>
                        <w:t>Last year, meanwhile, the Committee against Torture also spoke out on human rights defender issues,</w:t>
                      </w:r>
                      <w:r>
                        <w:rPr>
                          <w:rStyle w:val="EndnoteReference"/>
                          <w:rFonts w:cs="CandidaStd-Bold"/>
                          <w:iCs/>
                          <w:lang w:val="en-GB"/>
                        </w:rPr>
                        <w:footnoteRef/>
                      </w:r>
                      <w:r>
                        <w:rPr>
                          <w:rFonts w:cs="CandidaStd-Bold"/>
                          <w:iCs/>
                          <w:lang w:val="en-GB"/>
                        </w:rPr>
                        <w:t xml:space="preserve"> recommending that Guatemala:</w:t>
                      </w:r>
                    </w:p>
                    <w:p w14:paraId="5C706863" w14:textId="77777777" w:rsidR="00F409A4" w:rsidRPr="00944C92" w:rsidRDefault="00F409A4" w:rsidP="0065211B">
                      <w:pPr>
                        <w:pStyle w:val="ListParagraph"/>
                        <w:numPr>
                          <w:ilvl w:val="0"/>
                          <w:numId w:val="16"/>
                        </w:numPr>
                        <w:spacing w:after="0" w:line="240" w:lineRule="auto"/>
                        <w:rPr>
                          <w:rFonts w:cs="CandidaStd-Bold"/>
                          <w:iCs/>
                          <w:lang w:val="en-GB"/>
                        </w:rPr>
                      </w:pPr>
                      <w:r w:rsidRPr="00944C92">
                        <w:rPr>
                          <w:rFonts w:cs="CandidaStd-Bold"/>
                          <w:iCs/>
                          <w:lang w:val="en-GB"/>
                        </w:rPr>
                        <w:t>Redouble its efforts to guarantee the protection, safety and physical integrity of human rights defenders against any threats or attacks they could be exposed to.</w:t>
                      </w:r>
                    </w:p>
                    <w:p w14:paraId="5F617C26" w14:textId="77777777" w:rsidR="00F409A4" w:rsidRPr="00944C92" w:rsidRDefault="00F409A4" w:rsidP="0065211B">
                      <w:pPr>
                        <w:pStyle w:val="ListParagraph"/>
                        <w:numPr>
                          <w:ilvl w:val="0"/>
                          <w:numId w:val="16"/>
                        </w:numPr>
                        <w:spacing w:after="0" w:line="240" w:lineRule="auto"/>
                        <w:rPr>
                          <w:rFonts w:cs="CandidaStd-Bold"/>
                          <w:iCs/>
                          <w:lang w:val="en-GB"/>
                        </w:rPr>
                      </w:pPr>
                      <w:r w:rsidRPr="00944C92">
                        <w:rPr>
                          <w:rFonts w:cs="CandidaStd-Bold"/>
                          <w:iCs/>
                          <w:lang w:val="en-GB"/>
                        </w:rPr>
                        <w:t>Ensure the prompt, thorough and effective investigation of all threats and attacks  against human rights defenders, and also ensure that all those responsible for such actions are prosecuted and duly  punished.</w:t>
                      </w:r>
                    </w:p>
                    <w:p w14:paraId="39E4A402" w14:textId="77777777" w:rsidR="00F409A4" w:rsidRPr="005B020F" w:rsidRDefault="00F409A4" w:rsidP="0065211B">
                      <w:pPr>
                        <w:pStyle w:val="ListParagraph"/>
                        <w:numPr>
                          <w:ilvl w:val="0"/>
                          <w:numId w:val="16"/>
                        </w:numPr>
                        <w:spacing w:after="0" w:line="240" w:lineRule="auto"/>
                        <w:rPr>
                          <w:rFonts w:cs="CandidaStd-Bold"/>
                          <w:iCs/>
                          <w:lang w:val="en-US"/>
                        </w:rPr>
                      </w:pPr>
                      <w:r w:rsidRPr="00944C92">
                        <w:rPr>
                          <w:rFonts w:cs="CandidaStd-Bold"/>
                          <w:iCs/>
                          <w:lang w:val="en-GB"/>
                        </w:rPr>
                        <w:t>Guarantee the continued services of the Support Institute for the Analysis of Attacks against Human Rights Defenders.</w:t>
                      </w:r>
                    </w:p>
                  </w:txbxContent>
                </v:textbox>
                <w10:wrap type="square" anchorx="margin"/>
              </v:shape>
            </w:pict>
          </mc:Fallback>
        </mc:AlternateContent>
      </w:r>
    </w:p>
    <w:p w14:paraId="10DBED08" w14:textId="73F22C17" w:rsidR="007454F7" w:rsidRPr="00CF182C" w:rsidRDefault="007454F7" w:rsidP="00CF182C">
      <w:pPr>
        <w:rPr>
          <w:rFonts w:asciiTheme="majorHAnsi" w:hAnsiTheme="majorHAnsi"/>
          <w:lang w:val="es-ES"/>
        </w:rPr>
      </w:pPr>
    </w:p>
    <w:sectPr w:rsidR="007454F7" w:rsidRPr="00CF182C" w:rsidSect="00496F07">
      <w:footerReference w:type="default" r:id="rId9"/>
      <w:headerReference w:type="first" r:id="rId10"/>
      <w:endnotePr>
        <w:numFmt w:val="decimal"/>
      </w:endnotePr>
      <w:pgSz w:w="11906" w:h="16838"/>
      <w:pgMar w:top="851" w:right="851" w:bottom="851" w:left="85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3E306" w14:textId="77777777" w:rsidR="00D27E93" w:rsidRDefault="00D27E93" w:rsidP="00717498">
      <w:pPr>
        <w:spacing w:after="0" w:line="240" w:lineRule="auto"/>
      </w:pPr>
      <w:r>
        <w:separator/>
      </w:r>
    </w:p>
  </w:endnote>
  <w:endnote w:type="continuationSeparator" w:id="0">
    <w:p w14:paraId="5990C266" w14:textId="77777777" w:rsidR="00D27E93" w:rsidRDefault="00D27E93" w:rsidP="00717498">
      <w:pPr>
        <w:spacing w:after="0" w:line="240" w:lineRule="auto"/>
      </w:pPr>
      <w:r>
        <w:continuationSeparator/>
      </w:r>
    </w:p>
  </w:endnote>
  <w:endnote w:id="1">
    <w:p w14:paraId="093AAC86" w14:textId="05961CBD" w:rsidR="00F409A4" w:rsidRPr="00674407" w:rsidRDefault="00F409A4" w:rsidP="00F41B66">
      <w:pPr>
        <w:pStyle w:val="Textonotaalfinal"/>
        <w:rPr>
          <w:rFonts w:asciiTheme="majorHAnsi" w:hAnsiTheme="majorHAnsi"/>
          <w:lang w:val="en-GB"/>
        </w:rPr>
      </w:pPr>
      <w:r w:rsidRPr="00674407">
        <w:rPr>
          <w:rStyle w:val="Refdenotaalfinal"/>
          <w:rFonts w:asciiTheme="majorHAnsi" w:hAnsiTheme="majorHAnsi"/>
        </w:rPr>
        <w:endnoteRef/>
      </w:r>
      <w:r w:rsidRPr="00674407">
        <w:rPr>
          <w:rFonts w:asciiTheme="majorHAnsi" w:hAnsiTheme="majorHAnsi"/>
          <w:lang w:val="en-GB"/>
        </w:rPr>
        <w:t xml:space="preserve"> Concluding observations, </w:t>
      </w:r>
      <w:hyperlink r:id="rId1" w:history="1">
        <w:r w:rsidRPr="00674407">
          <w:rPr>
            <w:rStyle w:val="Hipervnculo"/>
            <w:rFonts w:asciiTheme="majorHAnsi" w:hAnsiTheme="majorHAnsi"/>
            <w:lang w:val="en-GB"/>
          </w:rPr>
          <w:t>Human Rights Committee review of Guatemala</w:t>
        </w:r>
      </w:hyperlink>
      <w:r w:rsidRPr="00674407">
        <w:rPr>
          <w:rFonts w:asciiTheme="majorHAnsi" w:hAnsiTheme="majorHAnsi"/>
          <w:lang w:val="en-GB"/>
        </w:rPr>
        <w:t xml:space="preserve"> (</w:t>
      </w:r>
      <w:r w:rsidRPr="00674407">
        <w:rPr>
          <w:rFonts w:asciiTheme="majorHAnsi" w:hAnsiTheme="majorHAnsi"/>
          <w:bCs/>
          <w:lang w:val="en-GB"/>
        </w:rPr>
        <w:t>CCPR/C/GTM/CO/3)</w:t>
      </w:r>
      <w:r w:rsidRPr="00674407">
        <w:rPr>
          <w:rFonts w:asciiTheme="majorHAnsi" w:hAnsiTheme="majorHAnsi"/>
          <w:lang w:val="en-GB"/>
        </w:rPr>
        <w:t>, 19 April 2012.</w:t>
      </w:r>
    </w:p>
  </w:endnote>
  <w:endnote w:id="2">
    <w:p w14:paraId="363475AA" w14:textId="6AD923D3" w:rsidR="00F409A4" w:rsidRPr="00674407" w:rsidRDefault="00F409A4" w:rsidP="00F41B66">
      <w:pPr>
        <w:spacing w:after="0"/>
        <w:rPr>
          <w:rFonts w:asciiTheme="majorHAnsi" w:hAnsiTheme="majorHAnsi"/>
          <w:sz w:val="20"/>
          <w:szCs w:val="20"/>
          <w:lang w:val="en-GB"/>
        </w:rPr>
      </w:pPr>
      <w:r w:rsidRPr="00674407">
        <w:rPr>
          <w:rStyle w:val="Refdenotaalfinal"/>
          <w:rFonts w:asciiTheme="majorHAnsi" w:hAnsiTheme="majorHAnsi"/>
          <w:sz w:val="20"/>
          <w:szCs w:val="20"/>
        </w:rPr>
        <w:endnoteRef/>
      </w:r>
      <w:r w:rsidRPr="00674407">
        <w:rPr>
          <w:rFonts w:asciiTheme="majorHAnsi" w:hAnsiTheme="majorHAnsi"/>
          <w:sz w:val="20"/>
          <w:szCs w:val="20"/>
        </w:rPr>
        <w:t xml:space="preserve"> Concluding observations, </w:t>
      </w:r>
      <w:hyperlink r:id="rId2" w:history="1">
        <w:r w:rsidRPr="00674407">
          <w:rPr>
            <w:rStyle w:val="Hipervnculo"/>
            <w:rFonts w:asciiTheme="majorHAnsi" w:hAnsiTheme="majorHAnsi"/>
            <w:sz w:val="20"/>
            <w:szCs w:val="20"/>
          </w:rPr>
          <w:t>Committee on the Elimination of Racial Discrimination review of Guatemala</w:t>
        </w:r>
      </w:hyperlink>
      <w:r w:rsidRPr="00674407">
        <w:rPr>
          <w:rFonts w:asciiTheme="majorHAnsi" w:hAnsiTheme="majorHAnsi"/>
          <w:sz w:val="20"/>
          <w:szCs w:val="20"/>
        </w:rPr>
        <w:t xml:space="preserve"> (</w:t>
      </w:r>
      <w:r w:rsidRPr="00674407">
        <w:rPr>
          <w:rFonts w:asciiTheme="majorHAnsi" w:hAnsiTheme="majorHAnsi"/>
          <w:bCs/>
          <w:sz w:val="20"/>
          <w:szCs w:val="20"/>
        </w:rPr>
        <w:t>CERD/C/GTM/CO/14-15)</w:t>
      </w:r>
      <w:r w:rsidRPr="00674407">
        <w:rPr>
          <w:rFonts w:asciiTheme="majorHAnsi" w:hAnsiTheme="majorHAnsi"/>
          <w:sz w:val="20"/>
          <w:szCs w:val="20"/>
        </w:rPr>
        <w:t xml:space="preserve">, </w:t>
      </w:r>
      <w:r w:rsidRPr="00674407">
        <w:rPr>
          <w:rFonts w:asciiTheme="majorHAnsi" w:hAnsiTheme="majorHAnsi"/>
          <w:bCs/>
          <w:sz w:val="20"/>
          <w:szCs w:val="20"/>
        </w:rPr>
        <w:t>15 May 2015.</w:t>
      </w:r>
    </w:p>
  </w:endnote>
  <w:endnote w:id="3">
    <w:p w14:paraId="1592C10B" w14:textId="77777777" w:rsidR="00F409A4" w:rsidRPr="00674407" w:rsidRDefault="00F409A4" w:rsidP="00F41B66">
      <w:pPr>
        <w:pStyle w:val="Textonotaalfinal"/>
        <w:rPr>
          <w:rFonts w:asciiTheme="majorHAnsi" w:hAnsiTheme="majorHAnsi"/>
          <w:lang w:val="en-GB"/>
        </w:rPr>
      </w:pPr>
      <w:r w:rsidRPr="00674407">
        <w:rPr>
          <w:rStyle w:val="Refdenotaalfinal"/>
          <w:rFonts w:asciiTheme="majorHAnsi" w:hAnsiTheme="majorHAnsi"/>
        </w:rPr>
        <w:endnoteRef/>
      </w:r>
      <w:r w:rsidRPr="00674407">
        <w:rPr>
          <w:rFonts w:asciiTheme="majorHAnsi" w:hAnsiTheme="majorHAnsi"/>
          <w:lang w:val="en-GB"/>
        </w:rPr>
        <w:t xml:space="preserve"> </w:t>
      </w:r>
      <w:r w:rsidRPr="00674407">
        <w:rPr>
          <w:rFonts w:asciiTheme="majorHAnsi" w:hAnsiTheme="majorHAnsi"/>
          <w:i/>
          <w:lang w:val="en-GB"/>
        </w:rPr>
        <w:t>Ibid</w:t>
      </w:r>
      <w:proofErr w:type="gramStart"/>
      <w:r w:rsidRPr="00674407">
        <w:rPr>
          <w:rFonts w:asciiTheme="majorHAnsi" w:hAnsiTheme="majorHAnsi"/>
          <w:lang w:val="en-GB"/>
        </w:rPr>
        <w:t>.,</w:t>
      </w:r>
      <w:proofErr w:type="gramEnd"/>
      <w:r w:rsidRPr="00674407">
        <w:rPr>
          <w:rFonts w:asciiTheme="majorHAnsi" w:hAnsiTheme="majorHAnsi"/>
          <w:lang w:val="en-GB"/>
        </w:rPr>
        <w:t xml:space="preserve"> The Committee ‘observed that in many cases, attacks and murders occurred in the context of conflicts linked to the exploitation of natural resources’ and made recommendations regarding the high risk faced by indigenous leaders defending their rights to consultation, land and their natural resources.</w:t>
      </w:r>
    </w:p>
  </w:endnote>
  <w:endnote w:id="4">
    <w:p w14:paraId="3A048502" w14:textId="77777777" w:rsidR="00F409A4" w:rsidRPr="00674407" w:rsidRDefault="00F409A4" w:rsidP="00F41B66">
      <w:pPr>
        <w:pStyle w:val="Textonotaalfinal"/>
        <w:rPr>
          <w:rFonts w:asciiTheme="majorHAnsi" w:hAnsiTheme="majorHAnsi"/>
          <w:lang w:val="en-GB"/>
        </w:rPr>
      </w:pPr>
      <w:r w:rsidRPr="00674407">
        <w:rPr>
          <w:rStyle w:val="Refdenotaalfinal"/>
          <w:rFonts w:asciiTheme="majorHAnsi" w:hAnsiTheme="majorHAnsi"/>
        </w:rPr>
        <w:endnoteRef/>
      </w:r>
      <w:r w:rsidRPr="00674407">
        <w:rPr>
          <w:rFonts w:asciiTheme="majorHAnsi" w:hAnsiTheme="majorHAnsi"/>
          <w:lang w:val="en-GB"/>
        </w:rPr>
        <w:t xml:space="preserve"> ISHR interviewed several internationally respected Guatemalan defenders, including Rafael Maldonado, Director and Lawyer with the Centro de </w:t>
      </w:r>
      <w:proofErr w:type="spellStart"/>
      <w:r w:rsidRPr="00674407">
        <w:rPr>
          <w:rFonts w:asciiTheme="majorHAnsi" w:hAnsiTheme="majorHAnsi"/>
          <w:lang w:val="en-GB"/>
        </w:rPr>
        <w:t>Acción</w:t>
      </w:r>
      <w:proofErr w:type="spellEnd"/>
      <w:r w:rsidRPr="00674407">
        <w:rPr>
          <w:rFonts w:asciiTheme="majorHAnsi" w:hAnsiTheme="majorHAnsi"/>
          <w:lang w:val="en-GB"/>
        </w:rPr>
        <w:t xml:space="preserve"> Legal-</w:t>
      </w:r>
      <w:proofErr w:type="spellStart"/>
      <w:r w:rsidRPr="00674407">
        <w:rPr>
          <w:rFonts w:asciiTheme="majorHAnsi" w:hAnsiTheme="majorHAnsi"/>
          <w:lang w:val="en-GB"/>
        </w:rPr>
        <w:t>Ambiental</w:t>
      </w:r>
      <w:proofErr w:type="spellEnd"/>
      <w:r w:rsidRPr="00674407">
        <w:rPr>
          <w:rFonts w:asciiTheme="majorHAnsi" w:hAnsiTheme="majorHAnsi"/>
          <w:lang w:val="en-GB"/>
        </w:rPr>
        <w:t xml:space="preserve"> y Social de Guatemala (CALAS), Antonio Reyes of La </w:t>
      </w:r>
      <w:proofErr w:type="spellStart"/>
      <w:r w:rsidRPr="00674407">
        <w:rPr>
          <w:rFonts w:asciiTheme="majorHAnsi" w:hAnsiTheme="majorHAnsi"/>
          <w:lang w:val="en-GB"/>
        </w:rPr>
        <w:t>Puya</w:t>
      </w:r>
      <w:proofErr w:type="spellEnd"/>
      <w:r w:rsidRPr="00674407">
        <w:rPr>
          <w:rFonts w:asciiTheme="majorHAnsi" w:hAnsiTheme="majorHAnsi"/>
          <w:lang w:val="en-GB"/>
        </w:rPr>
        <w:t xml:space="preserve">, Lorena </w:t>
      </w:r>
      <w:proofErr w:type="spellStart"/>
      <w:r w:rsidRPr="00674407">
        <w:rPr>
          <w:rFonts w:asciiTheme="majorHAnsi" w:hAnsiTheme="majorHAnsi"/>
          <w:lang w:val="en-GB"/>
        </w:rPr>
        <w:t>Cabnal</w:t>
      </w:r>
      <w:proofErr w:type="spellEnd"/>
      <w:r w:rsidRPr="00674407">
        <w:rPr>
          <w:rFonts w:asciiTheme="majorHAnsi" w:hAnsiTheme="majorHAnsi"/>
          <w:lang w:val="en-GB"/>
        </w:rPr>
        <w:t xml:space="preserve"> of AMISMAXAJ and Omar </w:t>
      </w:r>
      <w:proofErr w:type="spellStart"/>
      <w:r w:rsidRPr="00674407">
        <w:rPr>
          <w:rFonts w:asciiTheme="majorHAnsi" w:hAnsiTheme="majorHAnsi"/>
          <w:lang w:val="en-GB"/>
        </w:rPr>
        <w:t>Jeronimo</w:t>
      </w:r>
      <w:proofErr w:type="spellEnd"/>
      <w:r w:rsidRPr="00674407">
        <w:rPr>
          <w:rFonts w:asciiTheme="majorHAnsi" w:hAnsiTheme="majorHAnsi"/>
          <w:lang w:val="en-GB"/>
        </w:rPr>
        <w:t xml:space="preserve"> of </w:t>
      </w:r>
      <w:proofErr w:type="spellStart"/>
      <w:r w:rsidRPr="00674407">
        <w:rPr>
          <w:rFonts w:asciiTheme="majorHAnsi" w:hAnsiTheme="majorHAnsi"/>
          <w:lang w:val="en-GB"/>
        </w:rPr>
        <w:t>Chortí</w:t>
      </w:r>
      <w:proofErr w:type="spellEnd"/>
      <w:r w:rsidRPr="00674407">
        <w:rPr>
          <w:rFonts w:asciiTheme="majorHAnsi" w:hAnsiTheme="majorHAnsi"/>
          <w:lang w:val="en-GB"/>
        </w:rPr>
        <w:t xml:space="preserve"> Nuevo </w:t>
      </w:r>
      <w:proofErr w:type="spellStart"/>
      <w:r w:rsidRPr="00674407">
        <w:rPr>
          <w:rFonts w:asciiTheme="majorHAnsi" w:hAnsiTheme="majorHAnsi"/>
          <w:lang w:val="en-GB"/>
        </w:rPr>
        <w:t>Día</w:t>
      </w:r>
      <w:proofErr w:type="spellEnd"/>
      <w:r w:rsidRPr="00674407">
        <w:rPr>
          <w:rFonts w:asciiTheme="majorHAnsi" w:hAnsiTheme="majorHAnsi"/>
          <w:lang w:val="en-GB"/>
        </w:rPr>
        <w:t xml:space="preserve">. See </w:t>
      </w:r>
      <w:hyperlink r:id="rId3" w:anchor="sthash.MOx9F491.dpuf" w:history="1">
        <w:r w:rsidRPr="00674407">
          <w:rPr>
            <w:rStyle w:val="Hipervnculo"/>
            <w:rFonts w:asciiTheme="majorHAnsi" w:hAnsiTheme="majorHAnsi"/>
            <w:lang w:val="en-GB"/>
          </w:rPr>
          <w:t>http://www.ishr.ch/news/guatemala-protect-human-rights-defenders-working-corporate-accountability-and-land-rights#sthash.MOx9F491.dpuf</w:t>
        </w:r>
      </w:hyperlink>
      <w:r w:rsidRPr="00674407">
        <w:rPr>
          <w:rFonts w:asciiTheme="majorHAnsi" w:hAnsiTheme="majorHAnsi"/>
          <w:lang w:val="en-GB"/>
        </w:rPr>
        <w:t xml:space="preserve"> </w:t>
      </w:r>
    </w:p>
  </w:endnote>
  <w:endnote w:id="5">
    <w:p w14:paraId="5A6F788A" w14:textId="27403317" w:rsidR="00F409A4" w:rsidRPr="00674407" w:rsidRDefault="00F409A4" w:rsidP="00F41B66">
      <w:pPr>
        <w:pStyle w:val="Textonotaalfinal"/>
        <w:rPr>
          <w:rFonts w:asciiTheme="majorHAnsi" w:hAnsiTheme="majorHAnsi"/>
          <w:lang w:val="en-GB"/>
        </w:rPr>
      </w:pPr>
      <w:r w:rsidRPr="00674407">
        <w:rPr>
          <w:rStyle w:val="Refdenotaalfinal"/>
          <w:rFonts w:asciiTheme="majorHAnsi" w:hAnsiTheme="majorHAnsi"/>
        </w:rPr>
        <w:endnoteRef/>
      </w:r>
      <w:r w:rsidRPr="00674407">
        <w:rPr>
          <w:rFonts w:asciiTheme="majorHAnsi" w:hAnsiTheme="majorHAnsi"/>
          <w:lang w:val="en-GB"/>
        </w:rPr>
        <w:t xml:space="preserve"> </w:t>
      </w:r>
      <w:r w:rsidRPr="00674407">
        <w:rPr>
          <w:rFonts w:asciiTheme="majorHAnsi" w:hAnsiTheme="majorHAnsi" w:cs="Arial"/>
          <w:lang w:val="en-GB"/>
        </w:rPr>
        <w:t xml:space="preserve">Last year, the UN Special Rapporteur on human rights defenders identified human rights defenders working on economic, social and cultural rights and minority rights, environmental defenders, and defenders who work in the area of business and human rights as three of the five most vulnerable groups of defenders, recommending that States pay particular attention to them (A/HRC/28/63, paragraph 54). Meanwhile, The Inter-American Commission for Human Rights has identified trade unionists, </w:t>
      </w:r>
      <w:proofErr w:type="spellStart"/>
      <w:r w:rsidRPr="00674407">
        <w:rPr>
          <w:rFonts w:asciiTheme="majorHAnsi" w:hAnsiTheme="majorHAnsi" w:cs="Arial"/>
          <w:i/>
          <w:lang w:val="en-GB"/>
        </w:rPr>
        <w:t>campesino</w:t>
      </w:r>
      <w:proofErr w:type="spellEnd"/>
      <w:r w:rsidRPr="00674407">
        <w:rPr>
          <w:rFonts w:asciiTheme="majorHAnsi" w:hAnsiTheme="majorHAnsi" w:cs="Arial"/>
          <w:lang w:val="en-GB"/>
        </w:rPr>
        <w:t xml:space="preserve"> and community leaders, indigenous and </w:t>
      </w:r>
      <w:proofErr w:type="spellStart"/>
      <w:r w:rsidRPr="00674407">
        <w:rPr>
          <w:rFonts w:asciiTheme="majorHAnsi" w:hAnsiTheme="majorHAnsi" w:cs="Arial"/>
          <w:lang w:val="en-GB"/>
        </w:rPr>
        <w:t>afrodescendent</w:t>
      </w:r>
      <w:proofErr w:type="spellEnd"/>
      <w:r w:rsidRPr="00674407">
        <w:rPr>
          <w:rFonts w:asciiTheme="majorHAnsi" w:hAnsiTheme="majorHAnsi" w:cs="Arial"/>
          <w:lang w:val="en-GB"/>
        </w:rPr>
        <w:t xml:space="preserve"> leaders, environmental rights defenders and migrant workers’ rights defenders as five of the seven groups of defenders facing a special situation of risk (</w:t>
      </w:r>
      <w:r w:rsidRPr="00674407">
        <w:rPr>
          <w:rFonts w:asciiTheme="majorHAnsi" w:hAnsiTheme="majorHAnsi" w:cs="Arial"/>
          <w:bCs/>
          <w:lang w:val="en-GB"/>
        </w:rPr>
        <w:t xml:space="preserve">Segundo </w:t>
      </w:r>
      <w:proofErr w:type="spellStart"/>
      <w:r w:rsidRPr="00674407">
        <w:rPr>
          <w:rFonts w:asciiTheme="majorHAnsi" w:hAnsiTheme="majorHAnsi" w:cs="Arial"/>
          <w:bCs/>
          <w:lang w:val="en-GB"/>
        </w:rPr>
        <w:t>Informe</w:t>
      </w:r>
      <w:proofErr w:type="spellEnd"/>
      <w:r w:rsidRPr="00674407">
        <w:rPr>
          <w:rFonts w:asciiTheme="majorHAnsi" w:hAnsiTheme="majorHAnsi" w:cs="Arial"/>
          <w:bCs/>
          <w:lang w:val="en-GB"/>
        </w:rPr>
        <w:t xml:space="preserve"> </w:t>
      </w:r>
      <w:proofErr w:type="spellStart"/>
      <w:r w:rsidRPr="00674407">
        <w:rPr>
          <w:rFonts w:asciiTheme="majorHAnsi" w:hAnsiTheme="majorHAnsi" w:cs="Arial"/>
          <w:bCs/>
          <w:lang w:val="en-GB"/>
        </w:rPr>
        <w:t>sobre</w:t>
      </w:r>
      <w:proofErr w:type="spellEnd"/>
      <w:r w:rsidRPr="00674407">
        <w:rPr>
          <w:rFonts w:asciiTheme="majorHAnsi" w:hAnsiTheme="majorHAnsi" w:cs="Arial"/>
          <w:bCs/>
          <w:lang w:val="en-GB"/>
        </w:rPr>
        <w:t xml:space="preserve"> la </w:t>
      </w:r>
      <w:proofErr w:type="spellStart"/>
      <w:r w:rsidRPr="00674407">
        <w:rPr>
          <w:rFonts w:asciiTheme="majorHAnsi" w:hAnsiTheme="majorHAnsi" w:cs="Arial"/>
          <w:bCs/>
          <w:lang w:val="en-GB"/>
        </w:rPr>
        <w:t>Situación</w:t>
      </w:r>
      <w:proofErr w:type="spellEnd"/>
      <w:r w:rsidRPr="00674407">
        <w:rPr>
          <w:rFonts w:asciiTheme="majorHAnsi" w:hAnsiTheme="majorHAnsi" w:cs="Arial"/>
          <w:bCs/>
          <w:lang w:val="en-GB"/>
        </w:rPr>
        <w:t xml:space="preserve"> de </w:t>
      </w:r>
      <w:proofErr w:type="spellStart"/>
      <w:r w:rsidRPr="00674407">
        <w:rPr>
          <w:rFonts w:asciiTheme="majorHAnsi" w:hAnsiTheme="majorHAnsi" w:cs="Arial"/>
          <w:bCs/>
          <w:lang w:val="en-GB"/>
        </w:rPr>
        <w:t>las</w:t>
      </w:r>
      <w:proofErr w:type="spellEnd"/>
      <w:r w:rsidRPr="00674407">
        <w:rPr>
          <w:rFonts w:asciiTheme="majorHAnsi" w:hAnsiTheme="majorHAnsi" w:cs="Arial"/>
          <w:bCs/>
          <w:lang w:val="en-GB"/>
        </w:rPr>
        <w:t xml:space="preserve"> </w:t>
      </w:r>
      <w:proofErr w:type="spellStart"/>
      <w:r w:rsidRPr="00674407">
        <w:rPr>
          <w:rFonts w:asciiTheme="majorHAnsi" w:hAnsiTheme="majorHAnsi" w:cs="Arial"/>
          <w:bCs/>
          <w:lang w:val="en-GB"/>
        </w:rPr>
        <w:t>Defensoras</w:t>
      </w:r>
      <w:proofErr w:type="spellEnd"/>
      <w:r w:rsidRPr="00674407">
        <w:rPr>
          <w:rFonts w:asciiTheme="majorHAnsi" w:hAnsiTheme="majorHAnsi" w:cs="Arial"/>
          <w:bCs/>
          <w:lang w:val="en-GB"/>
        </w:rPr>
        <w:t xml:space="preserve"> y </w:t>
      </w:r>
      <w:proofErr w:type="spellStart"/>
      <w:r w:rsidRPr="00674407">
        <w:rPr>
          <w:rFonts w:asciiTheme="majorHAnsi" w:hAnsiTheme="majorHAnsi" w:cs="Arial"/>
          <w:bCs/>
          <w:lang w:val="en-GB"/>
        </w:rPr>
        <w:t>Defensores</w:t>
      </w:r>
      <w:proofErr w:type="spellEnd"/>
      <w:r w:rsidRPr="00674407">
        <w:rPr>
          <w:rFonts w:asciiTheme="majorHAnsi" w:hAnsiTheme="majorHAnsi" w:cs="Arial"/>
          <w:bCs/>
          <w:lang w:val="en-GB"/>
        </w:rPr>
        <w:t xml:space="preserve"> de </w:t>
      </w:r>
      <w:proofErr w:type="spellStart"/>
      <w:r w:rsidRPr="00674407">
        <w:rPr>
          <w:rFonts w:asciiTheme="majorHAnsi" w:hAnsiTheme="majorHAnsi" w:cs="Arial"/>
          <w:bCs/>
          <w:lang w:val="en-GB"/>
        </w:rPr>
        <w:t>Derechos</w:t>
      </w:r>
      <w:proofErr w:type="spellEnd"/>
      <w:r w:rsidRPr="00674407">
        <w:rPr>
          <w:rFonts w:asciiTheme="majorHAnsi" w:hAnsiTheme="majorHAnsi" w:cs="Arial"/>
          <w:bCs/>
          <w:lang w:val="en-GB"/>
        </w:rPr>
        <w:t xml:space="preserve"> </w:t>
      </w:r>
      <w:proofErr w:type="spellStart"/>
      <w:r w:rsidRPr="00674407">
        <w:rPr>
          <w:rFonts w:asciiTheme="majorHAnsi" w:hAnsiTheme="majorHAnsi" w:cs="Arial"/>
          <w:bCs/>
          <w:lang w:val="en-GB"/>
        </w:rPr>
        <w:t>Humanos</w:t>
      </w:r>
      <w:proofErr w:type="spellEnd"/>
      <w:r w:rsidRPr="00674407">
        <w:rPr>
          <w:rFonts w:asciiTheme="majorHAnsi" w:hAnsiTheme="majorHAnsi" w:cs="Arial"/>
          <w:bCs/>
          <w:lang w:val="en-GB"/>
        </w:rPr>
        <w:t xml:space="preserve"> en </w:t>
      </w:r>
      <w:proofErr w:type="spellStart"/>
      <w:r w:rsidRPr="00674407">
        <w:rPr>
          <w:rFonts w:asciiTheme="majorHAnsi" w:hAnsiTheme="majorHAnsi" w:cs="Arial"/>
          <w:bCs/>
          <w:lang w:val="en-GB"/>
        </w:rPr>
        <w:t>las</w:t>
      </w:r>
      <w:proofErr w:type="spellEnd"/>
      <w:r w:rsidRPr="00674407">
        <w:rPr>
          <w:rFonts w:asciiTheme="majorHAnsi" w:hAnsiTheme="majorHAnsi" w:cs="Arial"/>
          <w:bCs/>
          <w:lang w:val="en-GB"/>
        </w:rPr>
        <w:t xml:space="preserve"> </w:t>
      </w:r>
      <w:proofErr w:type="spellStart"/>
      <w:r w:rsidRPr="00674407">
        <w:rPr>
          <w:rFonts w:asciiTheme="majorHAnsi" w:hAnsiTheme="majorHAnsi" w:cs="Arial"/>
          <w:bCs/>
          <w:lang w:val="en-GB"/>
        </w:rPr>
        <w:t>Américas</w:t>
      </w:r>
      <w:proofErr w:type="spellEnd"/>
      <w:r w:rsidRPr="00674407">
        <w:rPr>
          <w:rFonts w:asciiTheme="majorHAnsi" w:hAnsiTheme="majorHAnsi" w:cs="Arial"/>
          <w:lang w:val="en-GB"/>
        </w:rPr>
        <w:t>, 2012).</w:t>
      </w:r>
    </w:p>
  </w:endnote>
  <w:endnote w:id="6">
    <w:p w14:paraId="017025AC" w14:textId="03317F6A" w:rsidR="00F409A4" w:rsidRPr="00674407" w:rsidRDefault="00F409A4" w:rsidP="00F41B66">
      <w:pPr>
        <w:pStyle w:val="Textonotaalfinal"/>
        <w:rPr>
          <w:rFonts w:asciiTheme="majorHAnsi" w:hAnsiTheme="majorHAnsi"/>
          <w:lang w:val="es-ES"/>
        </w:rPr>
      </w:pPr>
      <w:r w:rsidRPr="00674407">
        <w:rPr>
          <w:rStyle w:val="Refdenotaalfinal"/>
          <w:rFonts w:asciiTheme="majorHAnsi" w:hAnsiTheme="majorHAnsi"/>
        </w:rPr>
        <w:endnoteRef/>
      </w:r>
      <w:r w:rsidRPr="00674407">
        <w:rPr>
          <w:rFonts w:asciiTheme="majorHAnsi" w:hAnsiTheme="majorHAnsi"/>
          <w:lang w:val="es-ES"/>
        </w:rPr>
        <w:t xml:space="preserve"> </w:t>
      </w:r>
      <w:proofErr w:type="spellStart"/>
      <w:r w:rsidRPr="00674407">
        <w:rPr>
          <w:rFonts w:asciiTheme="majorHAnsi" w:hAnsiTheme="majorHAnsi"/>
          <w:lang w:val="es-ES"/>
        </w:rPr>
        <w:t>Information</w:t>
      </w:r>
      <w:proofErr w:type="spellEnd"/>
      <w:r w:rsidRPr="00674407">
        <w:rPr>
          <w:rFonts w:asciiTheme="majorHAnsi" w:hAnsiTheme="majorHAnsi"/>
          <w:lang w:val="es-ES"/>
        </w:rPr>
        <w:t xml:space="preserve"> </w:t>
      </w:r>
      <w:proofErr w:type="spellStart"/>
      <w:r w:rsidRPr="00674407">
        <w:rPr>
          <w:rFonts w:asciiTheme="majorHAnsi" w:hAnsiTheme="majorHAnsi"/>
          <w:lang w:val="es-ES"/>
        </w:rPr>
        <w:t>provided</w:t>
      </w:r>
      <w:proofErr w:type="spellEnd"/>
      <w:r w:rsidRPr="00674407">
        <w:rPr>
          <w:rFonts w:asciiTheme="majorHAnsi" w:hAnsiTheme="majorHAnsi"/>
          <w:lang w:val="es-ES"/>
        </w:rPr>
        <w:t xml:space="preserve"> </w:t>
      </w:r>
      <w:proofErr w:type="spellStart"/>
      <w:r w:rsidRPr="00674407">
        <w:rPr>
          <w:rFonts w:asciiTheme="majorHAnsi" w:hAnsiTheme="majorHAnsi"/>
          <w:lang w:val="es-ES"/>
        </w:rPr>
        <w:t>by</w:t>
      </w:r>
      <w:proofErr w:type="spellEnd"/>
      <w:r w:rsidRPr="00674407">
        <w:rPr>
          <w:rFonts w:asciiTheme="majorHAnsi" w:hAnsiTheme="majorHAnsi"/>
          <w:lang w:val="es-ES"/>
        </w:rPr>
        <w:t xml:space="preserve"> </w:t>
      </w:r>
      <w:proofErr w:type="spellStart"/>
      <w:r w:rsidRPr="00674407">
        <w:rPr>
          <w:rFonts w:asciiTheme="majorHAnsi" w:hAnsiTheme="majorHAnsi"/>
          <w:lang w:val="es-ES"/>
        </w:rPr>
        <w:t>the</w:t>
      </w:r>
      <w:proofErr w:type="spellEnd"/>
      <w:r w:rsidRPr="00674407">
        <w:rPr>
          <w:rFonts w:asciiTheme="majorHAnsi" w:hAnsiTheme="majorHAnsi"/>
          <w:lang w:val="es-ES"/>
        </w:rPr>
        <w:t xml:space="preserve"> Unidad de Defensores y Defensoras de Derechos Humanos de Guatemala  (UDEFEGUA) </w:t>
      </w:r>
    </w:p>
  </w:endnote>
  <w:endnote w:id="7">
    <w:p w14:paraId="1FD675D3" w14:textId="25762E38" w:rsidR="00F409A4" w:rsidRPr="00674407" w:rsidRDefault="00F409A4" w:rsidP="00F41B66">
      <w:pPr>
        <w:pStyle w:val="Textonotaalfinal"/>
        <w:rPr>
          <w:rFonts w:asciiTheme="majorHAnsi" w:hAnsiTheme="majorHAnsi"/>
          <w:lang w:val="es-ES"/>
        </w:rPr>
      </w:pPr>
      <w:r w:rsidRPr="00674407">
        <w:rPr>
          <w:rStyle w:val="Refdenotaalfinal"/>
          <w:rFonts w:asciiTheme="majorHAnsi" w:hAnsiTheme="majorHAnsi"/>
        </w:rPr>
        <w:endnoteRef/>
      </w:r>
      <w:r w:rsidRPr="00674407">
        <w:rPr>
          <w:rFonts w:asciiTheme="majorHAnsi" w:hAnsiTheme="majorHAnsi"/>
          <w:lang w:val="es-ES"/>
        </w:rPr>
        <w:t xml:space="preserve"> </w:t>
      </w:r>
      <w:hyperlink r:id="rId4" w:history="1">
        <w:r w:rsidRPr="00674407">
          <w:rPr>
            <w:rStyle w:val="Hipervnculo"/>
            <w:rFonts w:asciiTheme="majorHAnsi" w:hAnsiTheme="majorHAnsi"/>
            <w:lang w:val="es-ES"/>
          </w:rPr>
          <w:t>http://udefegua.org/wp-content/uploads/2015/08/informe_final_2014.pdf</w:t>
        </w:r>
      </w:hyperlink>
      <w:r w:rsidRPr="00674407">
        <w:rPr>
          <w:rFonts w:asciiTheme="majorHAnsi" w:hAnsiTheme="majorHAnsi"/>
          <w:lang w:val="es-ES"/>
        </w:rPr>
        <w:t xml:space="preserve"> </w:t>
      </w:r>
    </w:p>
  </w:endnote>
  <w:endnote w:id="8">
    <w:p w14:paraId="4661DB4D" w14:textId="77777777" w:rsidR="00F409A4" w:rsidRPr="00674407" w:rsidRDefault="00F409A4" w:rsidP="00F41B66">
      <w:pPr>
        <w:pStyle w:val="Textonotaalfinal"/>
        <w:rPr>
          <w:rFonts w:asciiTheme="majorHAnsi" w:hAnsiTheme="majorHAnsi"/>
          <w:lang w:val="es-ES"/>
        </w:rPr>
      </w:pPr>
      <w:r w:rsidRPr="00674407">
        <w:rPr>
          <w:rStyle w:val="Refdenotaalfinal"/>
          <w:rFonts w:asciiTheme="majorHAnsi" w:hAnsiTheme="majorHAnsi"/>
        </w:rPr>
        <w:endnoteRef/>
      </w:r>
      <w:r w:rsidRPr="00674407">
        <w:rPr>
          <w:rFonts w:asciiTheme="majorHAnsi" w:hAnsiTheme="majorHAnsi"/>
          <w:lang w:val="es-ES"/>
        </w:rPr>
        <w:t xml:space="preserve"> </w:t>
      </w:r>
      <w:hyperlink r:id="rId5" w:anchor="sthash.aq9cxWAn.dpuf" w:history="1">
        <w:r w:rsidRPr="00674407">
          <w:rPr>
            <w:rStyle w:val="Hipervnculo"/>
            <w:rFonts w:asciiTheme="majorHAnsi" w:hAnsiTheme="majorHAnsi"/>
            <w:lang w:val="es-ES"/>
          </w:rPr>
          <w:t>https://www.frontlinedefenders.org/guatemala#sthash.aq9cxWAn.dpuf</w:t>
        </w:r>
      </w:hyperlink>
    </w:p>
  </w:endnote>
  <w:endnote w:id="9">
    <w:p w14:paraId="3326EC12" w14:textId="77777777" w:rsidR="00F409A4" w:rsidRPr="00674407" w:rsidRDefault="00F409A4" w:rsidP="00F41B66">
      <w:pPr>
        <w:pStyle w:val="Textonotaalfinal"/>
        <w:rPr>
          <w:rStyle w:val="Hipervnculo"/>
          <w:rFonts w:asciiTheme="majorHAnsi" w:hAnsiTheme="majorHAnsi"/>
          <w:lang w:val="en-GB"/>
        </w:rPr>
      </w:pPr>
      <w:r w:rsidRPr="00674407">
        <w:rPr>
          <w:rStyle w:val="Refdenotaalfinal"/>
          <w:rFonts w:asciiTheme="majorHAnsi" w:hAnsiTheme="majorHAnsi"/>
        </w:rPr>
        <w:endnoteRef/>
      </w:r>
      <w:r w:rsidRPr="00674407">
        <w:rPr>
          <w:rFonts w:asciiTheme="majorHAnsi" w:hAnsiTheme="majorHAnsi"/>
          <w:lang w:val="en-GB"/>
        </w:rPr>
        <w:t xml:space="preserve"> </w:t>
      </w:r>
      <w:r w:rsidRPr="00674407">
        <w:rPr>
          <w:rFonts w:asciiTheme="majorHAnsi" w:hAnsiTheme="majorHAnsi"/>
          <w:lang w:val="en-GB"/>
        </w:rPr>
        <w:fldChar w:fldCharType="begin"/>
      </w:r>
      <w:r w:rsidRPr="00674407">
        <w:rPr>
          <w:rFonts w:asciiTheme="majorHAnsi" w:hAnsiTheme="majorHAnsi"/>
          <w:lang w:val="en-GB"/>
        </w:rPr>
        <w:instrText xml:space="preserve"> HYPERLINK "http://www.omct.org/files/2015/02/23002/v1.2_w_en_rpprtguatemala_obs15.pdf" </w:instrText>
      </w:r>
      <w:r w:rsidRPr="00674407">
        <w:rPr>
          <w:rFonts w:asciiTheme="majorHAnsi" w:hAnsiTheme="majorHAnsi"/>
          <w:lang w:val="en-GB"/>
        </w:rPr>
        <w:fldChar w:fldCharType="separate"/>
      </w:r>
      <w:r w:rsidRPr="00674407">
        <w:rPr>
          <w:rStyle w:val="Hipervnculo"/>
          <w:rFonts w:asciiTheme="majorHAnsi" w:hAnsiTheme="majorHAnsi"/>
          <w:lang w:val="en-GB"/>
        </w:rPr>
        <w:t>Guatemala “Stronger than David”: The struggle of human rights defenders</w:t>
      </w:r>
    </w:p>
    <w:p w14:paraId="773B3E56" w14:textId="30810209" w:rsidR="00F409A4" w:rsidRPr="00674407" w:rsidRDefault="00F409A4" w:rsidP="00F41B66">
      <w:pPr>
        <w:pStyle w:val="Textonotaalfinal"/>
        <w:rPr>
          <w:rFonts w:asciiTheme="majorHAnsi" w:hAnsiTheme="majorHAnsi"/>
          <w:lang w:val="en-GB"/>
        </w:rPr>
      </w:pPr>
      <w:r w:rsidRPr="00674407">
        <w:rPr>
          <w:rStyle w:val="Hipervnculo"/>
          <w:rFonts w:asciiTheme="majorHAnsi" w:hAnsiTheme="majorHAnsi"/>
          <w:lang w:val="en-GB"/>
        </w:rPr>
        <w:t>International Fact-finding mission report</w:t>
      </w:r>
      <w:r w:rsidRPr="00674407">
        <w:rPr>
          <w:rFonts w:asciiTheme="majorHAnsi" w:hAnsiTheme="majorHAnsi"/>
        </w:rPr>
        <w:fldChar w:fldCharType="end"/>
      </w:r>
      <w:r w:rsidRPr="00674407">
        <w:rPr>
          <w:rFonts w:asciiTheme="majorHAnsi" w:hAnsiTheme="majorHAnsi"/>
          <w:lang w:val="en-GB"/>
        </w:rPr>
        <w:t xml:space="preserve">, The Observatory for Human Rights Defenders (International Federation for Human Rights, FIDH, and World Organization against Torture, OMCT, with </w:t>
      </w:r>
      <w:proofErr w:type="spellStart"/>
      <w:r w:rsidRPr="00674407">
        <w:rPr>
          <w:rFonts w:asciiTheme="majorHAnsi" w:hAnsiTheme="majorHAnsi"/>
          <w:lang w:val="en-GB"/>
        </w:rPr>
        <w:t>Udefegua</w:t>
      </w:r>
      <w:proofErr w:type="spellEnd"/>
      <w:r w:rsidRPr="00674407">
        <w:rPr>
          <w:rFonts w:asciiTheme="majorHAnsi" w:hAnsiTheme="majorHAnsi"/>
          <w:lang w:val="en-GB"/>
        </w:rPr>
        <w:t>), February 2015.</w:t>
      </w:r>
    </w:p>
  </w:endnote>
  <w:endnote w:id="10">
    <w:p w14:paraId="36D3543E" w14:textId="77777777" w:rsidR="00F409A4" w:rsidRPr="00674407" w:rsidRDefault="00F409A4" w:rsidP="00F41B66">
      <w:pPr>
        <w:pStyle w:val="Textonotaalfinal"/>
        <w:rPr>
          <w:rFonts w:asciiTheme="majorHAnsi" w:hAnsiTheme="majorHAnsi"/>
          <w:lang w:val="en-GB"/>
        </w:rPr>
      </w:pPr>
      <w:r w:rsidRPr="00674407">
        <w:rPr>
          <w:rStyle w:val="Refdenotaalfinal"/>
          <w:rFonts w:asciiTheme="majorHAnsi" w:hAnsiTheme="majorHAnsi"/>
        </w:rPr>
        <w:endnoteRef/>
      </w:r>
      <w:r w:rsidRPr="00674407">
        <w:rPr>
          <w:rFonts w:asciiTheme="majorHAnsi" w:hAnsiTheme="majorHAnsi"/>
          <w:lang w:val="en-GB"/>
        </w:rPr>
        <w:t xml:space="preserve"> </w:t>
      </w:r>
      <w:hyperlink r:id="rId6" w:history="1">
        <w:r w:rsidRPr="00674407">
          <w:rPr>
            <w:rStyle w:val="Hipervnculo"/>
            <w:rFonts w:asciiTheme="majorHAnsi" w:hAnsiTheme="majorHAnsi"/>
            <w:lang w:val="en-GB"/>
          </w:rPr>
          <w:t>http://freeassembly.net/rapporteurreports/guatemala-communications/</w:t>
        </w:r>
      </w:hyperlink>
      <w:r w:rsidRPr="00674407">
        <w:rPr>
          <w:rFonts w:asciiTheme="majorHAnsi" w:hAnsiTheme="majorHAnsi"/>
          <w:lang w:val="en-GB"/>
        </w:rPr>
        <w:t xml:space="preserve"> </w:t>
      </w:r>
    </w:p>
  </w:endnote>
  <w:endnote w:id="11">
    <w:p w14:paraId="645390AF" w14:textId="77777777" w:rsidR="00F409A4" w:rsidRPr="00674407" w:rsidRDefault="00F409A4" w:rsidP="00F41B66">
      <w:pPr>
        <w:pStyle w:val="Textonotaalfinal"/>
        <w:rPr>
          <w:rFonts w:asciiTheme="majorHAnsi" w:hAnsiTheme="majorHAnsi"/>
          <w:lang w:val="en-GB"/>
        </w:rPr>
      </w:pPr>
      <w:r w:rsidRPr="00674407">
        <w:rPr>
          <w:rStyle w:val="Refdenotaalfinal"/>
          <w:rFonts w:asciiTheme="majorHAnsi" w:hAnsiTheme="majorHAnsi"/>
        </w:rPr>
        <w:endnoteRef/>
      </w:r>
      <w:r w:rsidRPr="00674407">
        <w:rPr>
          <w:rFonts w:asciiTheme="majorHAnsi" w:hAnsiTheme="majorHAnsi"/>
          <w:lang w:val="en-GB"/>
        </w:rPr>
        <w:t xml:space="preserve"> </w:t>
      </w:r>
      <w:hyperlink r:id="rId7" w:anchor="sthash.aq9cxWAn.dpuf" w:history="1">
        <w:r w:rsidRPr="00674407">
          <w:rPr>
            <w:rStyle w:val="Hipervnculo"/>
            <w:rFonts w:asciiTheme="majorHAnsi" w:hAnsiTheme="majorHAnsi"/>
            <w:lang w:val="en-GB"/>
          </w:rPr>
          <w:t>https://www.frontlinedefenders.org/guatemala#sthash.aq9cxWAn.dpuf</w:t>
        </w:r>
      </w:hyperlink>
      <w:r w:rsidRPr="00674407">
        <w:rPr>
          <w:rFonts w:asciiTheme="majorHAnsi" w:hAnsiTheme="majorHAnsi"/>
          <w:lang w:val="en-GB"/>
        </w:rPr>
        <w:t xml:space="preserve"> </w:t>
      </w:r>
    </w:p>
  </w:endnote>
  <w:endnote w:id="12">
    <w:p w14:paraId="74E27252" w14:textId="77777777" w:rsidR="00F409A4" w:rsidRPr="00674407" w:rsidRDefault="00F409A4" w:rsidP="00F41B66">
      <w:pPr>
        <w:pStyle w:val="Textonotaalfinal"/>
        <w:rPr>
          <w:rFonts w:asciiTheme="majorHAnsi" w:hAnsiTheme="majorHAnsi"/>
          <w:lang w:val="en-GB"/>
        </w:rPr>
      </w:pPr>
      <w:r w:rsidRPr="00674407">
        <w:rPr>
          <w:rStyle w:val="Refdenotaalfinal"/>
          <w:rFonts w:asciiTheme="majorHAnsi" w:hAnsiTheme="majorHAnsi"/>
        </w:rPr>
        <w:endnoteRef/>
      </w:r>
      <w:r w:rsidRPr="00674407">
        <w:rPr>
          <w:rFonts w:asciiTheme="majorHAnsi" w:hAnsiTheme="majorHAnsi"/>
          <w:lang w:val="en-GB"/>
        </w:rPr>
        <w:t xml:space="preserve"> </w:t>
      </w:r>
      <w:hyperlink r:id="rId8" w:anchor="sthash.aq9cxWAn.dpuf" w:history="1">
        <w:r w:rsidRPr="00674407">
          <w:rPr>
            <w:rStyle w:val="Hipervnculo"/>
            <w:rFonts w:asciiTheme="majorHAnsi" w:hAnsiTheme="majorHAnsi"/>
            <w:lang w:val="en-GB"/>
          </w:rPr>
          <w:t>https://www.frontlinedefenders.org/guatemala#sthash.aq9cxWAn.dpuf</w:t>
        </w:r>
      </w:hyperlink>
    </w:p>
    <w:p w14:paraId="35CC2D6B" w14:textId="6037E251" w:rsidR="00F409A4" w:rsidRPr="00674407" w:rsidRDefault="00F409A4" w:rsidP="00F41B66">
      <w:pPr>
        <w:pStyle w:val="Textonotaalfinal"/>
        <w:rPr>
          <w:rFonts w:asciiTheme="majorHAnsi" w:hAnsiTheme="majorHAnsi"/>
          <w:lang w:val="en-GB"/>
        </w:rPr>
      </w:pPr>
      <w:r w:rsidRPr="00674407">
        <w:rPr>
          <w:rStyle w:val="Refdenotaalfinal"/>
          <w:rFonts w:asciiTheme="majorHAnsi" w:hAnsiTheme="majorHAnsi"/>
        </w:rPr>
        <w:endnoteRef/>
      </w:r>
      <w:r w:rsidRPr="00674407">
        <w:rPr>
          <w:rFonts w:asciiTheme="majorHAnsi" w:hAnsiTheme="majorHAnsi"/>
          <w:lang w:val="en-GB"/>
        </w:rPr>
        <w:t xml:space="preserve"> </w:t>
      </w:r>
      <w:hyperlink r:id="rId9" w:history="1">
        <w:proofErr w:type="gramStart"/>
        <w:r w:rsidRPr="00674407">
          <w:rPr>
            <w:rStyle w:val="Hipervnculo"/>
            <w:rFonts w:asciiTheme="majorHAnsi" w:hAnsiTheme="majorHAnsi"/>
            <w:lang w:val="en-GB"/>
          </w:rPr>
          <w:t>Guatemala “Stronger than David”</w:t>
        </w:r>
      </w:hyperlink>
      <w:r w:rsidRPr="00674407">
        <w:rPr>
          <w:rFonts w:asciiTheme="majorHAnsi" w:hAnsiTheme="majorHAnsi"/>
          <w:lang w:val="en-GB"/>
        </w:rPr>
        <w:t>, Observatory.</w:t>
      </w:r>
      <w:proofErr w:type="gramEnd"/>
    </w:p>
  </w:endnote>
  <w:endnote w:id="13">
    <w:p w14:paraId="74F734E4" w14:textId="77777777" w:rsidR="00F409A4" w:rsidRPr="00674407" w:rsidRDefault="00F409A4" w:rsidP="00F41B66">
      <w:pPr>
        <w:pStyle w:val="Textonotaalfinal"/>
        <w:rPr>
          <w:rFonts w:asciiTheme="majorHAnsi" w:hAnsiTheme="majorHAnsi"/>
          <w:lang w:val="en-GB"/>
        </w:rPr>
      </w:pPr>
      <w:r w:rsidRPr="00674407">
        <w:rPr>
          <w:rStyle w:val="Refdenotaalfinal"/>
          <w:rFonts w:asciiTheme="majorHAnsi" w:hAnsiTheme="majorHAnsi"/>
        </w:rPr>
        <w:endnoteRef/>
      </w:r>
      <w:r w:rsidRPr="00674407">
        <w:rPr>
          <w:rFonts w:asciiTheme="majorHAnsi" w:hAnsiTheme="majorHAnsi"/>
          <w:lang w:val="en-GB"/>
        </w:rPr>
        <w:t xml:space="preserve"> </w:t>
      </w:r>
      <w:r w:rsidRPr="00674407">
        <w:rPr>
          <w:rFonts w:asciiTheme="majorHAnsi" w:hAnsiTheme="majorHAnsi"/>
          <w:i/>
          <w:lang w:val="en-GB"/>
        </w:rPr>
        <w:t>Ibid</w:t>
      </w:r>
      <w:r w:rsidRPr="00674407">
        <w:rPr>
          <w:rFonts w:asciiTheme="majorHAnsi" w:hAnsiTheme="majorHAnsi"/>
          <w:lang w:val="en-GB"/>
        </w:rPr>
        <w:t>.</w:t>
      </w:r>
    </w:p>
  </w:endnote>
  <w:endnote w:id="14">
    <w:p w14:paraId="4AB4F28F" w14:textId="77777777" w:rsidR="00F409A4" w:rsidRPr="00674407" w:rsidRDefault="00F409A4" w:rsidP="00F41B66">
      <w:pPr>
        <w:pStyle w:val="Textonotaalfinal"/>
        <w:rPr>
          <w:rFonts w:asciiTheme="majorHAnsi" w:hAnsiTheme="majorHAnsi"/>
          <w:lang w:val="es-ES"/>
        </w:rPr>
      </w:pPr>
      <w:r w:rsidRPr="00674407">
        <w:rPr>
          <w:rStyle w:val="Refdenotaalfinal"/>
          <w:rFonts w:asciiTheme="majorHAnsi" w:hAnsiTheme="majorHAnsi"/>
        </w:rPr>
        <w:endnoteRef/>
      </w:r>
      <w:r w:rsidRPr="00674407">
        <w:rPr>
          <w:rFonts w:asciiTheme="majorHAnsi" w:hAnsiTheme="majorHAnsi"/>
          <w:lang w:val="es-ES"/>
        </w:rPr>
        <w:t xml:space="preserve"> </w:t>
      </w:r>
      <w:hyperlink r:id="rId10" w:history="1">
        <w:r w:rsidRPr="00674407">
          <w:rPr>
            <w:rStyle w:val="Hipervnculo"/>
            <w:rFonts w:asciiTheme="majorHAnsi" w:hAnsiTheme="majorHAnsi"/>
            <w:lang w:val="es-ES"/>
          </w:rPr>
          <w:t>http://protectionline.org/files/2014/09/5_UDEFEGUA_informe-anual-2013.pdf</w:t>
        </w:r>
      </w:hyperlink>
      <w:r w:rsidRPr="00674407">
        <w:rPr>
          <w:rFonts w:asciiTheme="majorHAnsi" w:hAnsiTheme="majorHAnsi"/>
          <w:lang w:val="es-ES"/>
        </w:rPr>
        <w:t xml:space="preserve"> </w:t>
      </w:r>
    </w:p>
  </w:endnote>
  <w:endnote w:id="15">
    <w:p w14:paraId="04B130A7" w14:textId="347DF744" w:rsidR="00F409A4" w:rsidRPr="004510B2" w:rsidRDefault="00F409A4">
      <w:pPr>
        <w:pStyle w:val="Textonotaalfinal"/>
        <w:rPr>
          <w:lang w:val="en-GB"/>
        </w:rPr>
      </w:pPr>
      <w:r>
        <w:rPr>
          <w:rStyle w:val="Refdenotaalfinal"/>
        </w:rPr>
        <w:endnoteRef/>
      </w:r>
      <w:r w:rsidRPr="004510B2">
        <w:rPr>
          <w:lang w:val="en-GB"/>
        </w:rPr>
        <w:t xml:space="preserve"> </w:t>
      </w:r>
      <w:r w:rsidRPr="00944C92">
        <w:rPr>
          <w:rFonts w:asciiTheme="majorHAnsi" w:hAnsiTheme="majorHAnsi"/>
          <w:lang w:val="en-GB"/>
        </w:rPr>
        <w:t>Interviews</w:t>
      </w:r>
      <w:r>
        <w:rPr>
          <w:rFonts w:asciiTheme="majorHAnsi" w:hAnsiTheme="majorHAnsi"/>
          <w:lang w:val="en-GB"/>
        </w:rPr>
        <w:t xml:space="preserve"> with Guatemalan human rights defenders,</w:t>
      </w:r>
      <w:r w:rsidRPr="00944C92">
        <w:rPr>
          <w:rFonts w:asciiTheme="majorHAnsi" w:hAnsiTheme="majorHAnsi"/>
          <w:lang w:val="en-GB"/>
        </w:rPr>
        <w:t xml:space="preserve"> carried out by ISHR</w:t>
      </w:r>
      <w:r>
        <w:rPr>
          <w:rFonts w:asciiTheme="majorHAnsi" w:hAnsiTheme="majorHAnsi"/>
          <w:lang w:val="en-GB"/>
        </w:rPr>
        <w:t>, January 2015.</w:t>
      </w:r>
    </w:p>
  </w:endnote>
  <w:endnote w:id="16">
    <w:p w14:paraId="4874FE37" w14:textId="4A7E2F5B" w:rsidR="00F409A4" w:rsidRPr="00C73861" w:rsidRDefault="00F409A4">
      <w:pPr>
        <w:pStyle w:val="Textonotaalfinal"/>
        <w:rPr>
          <w:lang w:val="en-GB"/>
        </w:rPr>
      </w:pPr>
      <w:r>
        <w:rPr>
          <w:rStyle w:val="Refdenotaalfinal"/>
        </w:rPr>
        <w:endnoteRef/>
      </w:r>
      <w:r w:rsidRPr="00CF182C">
        <w:rPr>
          <w:lang w:val="en-GB"/>
        </w:rPr>
        <w:t xml:space="preserve"> </w:t>
      </w:r>
      <w:r w:rsidRPr="00C73861">
        <w:rPr>
          <w:i/>
          <w:lang w:val="en-GB"/>
        </w:rPr>
        <w:t>Ibid</w:t>
      </w:r>
      <w:r>
        <w:rPr>
          <w:lang w:val="en-GB"/>
        </w:rPr>
        <w:t>.</w:t>
      </w:r>
    </w:p>
  </w:endnote>
  <w:endnote w:id="17">
    <w:p w14:paraId="1D9DC026" w14:textId="783494E3" w:rsidR="00F409A4" w:rsidRPr="004E5FC0" w:rsidRDefault="00F409A4">
      <w:pPr>
        <w:pStyle w:val="Textonotaalfinal"/>
        <w:rPr>
          <w:lang w:val="en-GB"/>
        </w:rPr>
      </w:pPr>
      <w:r>
        <w:rPr>
          <w:rStyle w:val="Refdenotaalfinal"/>
        </w:rPr>
        <w:endnoteRef/>
      </w:r>
      <w:r w:rsidRPr="004E5FC0">
        <w:rPr>
          <w:lang w:val="en-GB"/>
        </w:rPr>
        <w:t xml:space="preserve"> </w:t>
      </w:r>
      <w:r w:rsidRPr="004E5FC0">
        <w:rPr>
          <w:rFonts w:asciiTheme="majorHAnsi" w:hAnsiTheme="majorHAnsi"/>
          <w:i/>
          <w:lang w:val="en-GB"/>
        </w:rPr>
        <w:t>Ibid</w:t>
      </w:r>
      <w:r>
        <w:rPr>
          <w:rFonts w:asciiTheme="majorHAnsi" w:hAnsiTheme="majorHAnsi"/>
          <w:lang w:val="en-GB"/>
        </w:rPr>
        <w:t>.</w:t>
      </w:r>
    </w:p>
  </w:endnote>
  <w:endnote w:id="18">
    <w:p w14:paraId="1ACA28CD" w14:textId="4BA99FF3" w:rsidR="00F409A4" w:rsidRPr="00674407" w:rsidRDefault="00F409A4" w:rsidP="00F41B66">
      <w:pPr>
        <w:pStyle w:val="Textonotaalfinal"/>
        <w:rPr>
          <w:rFonts w:asciiTheme="majorHAnsi" w:hAnsiTheme="majorHAnsi"/>
          <w:lang w:val="en-GB"/>
        </w:rPr>
      </w:pPr>
      <w:r w:rsidRPr="00674407">
        <w:rPr>
          <w:rStyle w:val="Refdenotaalfinal"/>
          <w:rFonts w:asciiTheme="majorHAnsi" w:hAnsiTheme="majorHAnsi"/>
        </w:rPr>
        <w:endnoteRef/>
      </w:r>
      <w:r w:rsidRPr="00674407">
        <w:rPr>
          <w:rFonts w:asciiTheme="majorHAnsi" w:hAnsiTheme="majorHAnsi"/>
          <w:lang w:val="en-GB"/>
        </w:rPr>
        <w:t xml:space="preserve"> </w:t>
      </w:r>
      <w:hyperlink r:id="rId11" w:history="1">
        <w:proofErr w:type="gramStart"/>
        <w:r w:rsidRPr="00674407">
          <w:rPr>
            <w:rStyle w:val="Hipervnculo"/>
            <w:rFonts w:asciiTheme="majorHAnsi" w:hAnsiTheme="majorHAnsi"/>
            <w:lang w:val="en-GB"/>
          </w:rPr>
          <w:t>Guatemala “Stronger than David”</w:t>
        </w:r>
      </w:hyperlink>
      <w:r w:rsidRPr="00674407">
        <w:rPr>
          <w:rFonts w:asciiTheme="majorHAnsi" w:hAnsiTheme="majorHAnsi"/>
          <w:lang w:val="en-GB"/>
        </w:rPr>
        <w:t>, Observatory.</w:t>
      </w:r>
      <w:proofErr w:type="gramEnd"/>
    </w:p>
  </w:endnote>
  <w:endnote w:id="19">
    <w:p w14:paraId="588BF393" w14:textId="77777777" w:rsidR="00F409A4" w:rsidRPr="00674407" w:rsidRDefault="00F409A4" w:rsidP="00F41B66">
      <w:pPr>
        <w:pStyle w:val="Textonotaalfinal"/>
        <w:rPr>
          <w:rFonts w:asciiTheme="majorHAnsi" w:hAnsiTheme="majorHAnsi"/>
          <w:lang w:val="en-GB"/>
        </w:rPr>
      </w:pPr>
      <w:r w:rsidRPr="00674407">
        <w:rPr>
          <w:rStyle w:val="Refdenotaalfinal"/>
          <w:rFonts w:asciiTheme="majorHAnsi" w:hAnsiTheme="majorHAnsi"/>
        </w:rPr>
        <w:endnoteRef/>
      </w:r>
      <w:r w:rsidRPr="00674407">
        <w:rPr>
          <w:rFonts w:asciiTheme="majorHAnsi" w:hAnsiTheme="majorHAnsi"/>
          <w:lang w:val="en-GB"/>
        </w:rPr>
        <w:t xml:space="preserve"> </w:t>
      </w:r>
      <w:hyperlink r:id="rId12" w:history="1">
        <w:r w:rsidRPr="00674407">
          <w:rPr>
            <w:rStyle w:val="Hipervnculo"/>
            <w:rFonts w:asciiTheme="majorHAnsi" w:hAnsiTheme="majorHAnsi"/>
            <w:lang w:val="en-GB"/>
          </w:rPr>
          <w:t>http://protectionline.org/files/2014/09/5_UDEFEGUA_informe-anual-2013.pdf</w:t>
        </w:r>
      </w:hyperlink>
    </w:p>
  </w:endnote>
  <w:endnote w:id="20">
    <w:p w14:paraId="0C0C2399" w14:textId="77777777" w:rsidR="00F409A4" w:rsidRPr="00674407" w:rsidRDefault="00F409A4" w:rsidP="00F41B66">
      <w:pPr>
        <w:pStyle w:val="Textonotaalfinal"/>
        <w:rPr>
          <w:rFonts w:asciiTheme="majorHAnsi" w:hAnsiTheme="majorHAnsi"/>
          <w:lang w:val="es-ES"/>
        </w:rPr>
      </w:pPr>
      <w:r w:rsidRPr="00674407">
        <w:rPr>
          <w:rStyle w:val="Refdenotaalfinal"/>
          <w:rFonts w:asciiTheme="majorHAnsi" w:hAnsiTheme="majorHAnsi"/>
        </w:rPr>
        <w:endnoteRef/>
      </w:r>
      <w:r w:rsidRPr="00674407">
        <w:rPr>
          <w:rFonts w:asciiTheme="majorHAnsi" w:hAnsiTheme="majorHAnsi"/>
          <w:lang w:val="es-ES"/>
        </w:rPr>
        <w:t xml:space="preserve"> </w:t>
      </w:r>
      <w:proofErr w:type="spellStart"/>
      <w:r w:rsidRPr="00674407">
        <w:rPr>
          <w:rFonts w:asciiTheme="majorHAnsi" w:hAnsiTheme="majorHAnsi"/>
          <w:i/>
          <w:lang w:val="es-ES"/>
        </w:rPr>
        <w:t>Ibid</w:t>
      </w:r>
      <w:proofErr w:type="spellEnd"/>
      <w:r w:rsidRPr="00674407">
        <w:rPr>
          <w:rFonts w:asciiTheme="majorHAnsi" w:hAnsiTheme="majorHAnsi"/>
          <w:lang w:val="es-ES"/>
        </w:rPr>
        <w:t>.</w:t>
      </w:r>
    </w:p>
  </w:endnote>
  <w:endnote w:id="21">
    <w:p w14:paraId="48BE6C37" w14:textId="77777777" w:rsidR="00F409A4" w:rsidRPr="00674407" w:rsidRDefault="00F409A4" w:rsidP="00F41B66">
      <w:pPr>
        <w:pStyle w:val="Textonotaalfinal"/>
        <w:rPr>
          <w:rFonts w:asciiTheme="majorHAnsi" w:hAnsiTheme="majorHAnsi"/>
          <w:lang w:val="es-ES"/>
        </w:rPr>
      </w:pPr>
      <w:r w:rsidRPr="00674407">
        <w:rPr>
          <w:rStyle w:val="Refdenotaalfinal"/>
          <w:rFonts w:asciiTheme="majorHAnsi" w:hAnsiTheme="majorHAnsi"/>
        </w:rPr>
        <w:endnoteRef/>
      </w:r>
      <w:r w:rsidRPr="00674407">
        <w:rPr>
          <w:rFonts w:asciiTheme="majorHAnsi" w:hAnsiTheme="majorHAnsi"/>
          <w:lang w:val="es-ES"/>
        </w:rPr>
        <w:t xml:space="preserve"> </w:t>
      </w:r>
      <w:hyperlink r:id="rId13" w:anchor="sthash.aq9cxWAn.dpuf" w:history="1">
        <w:r w:rsidRPr="00674407">
          <w:rPr>
            <w:rStyle w:val="Hipervnculo"/>
            <w:rFonts w:asciiTheme="majorHAnsi" w:hAnsiTheme="majorHAnsi"/>
            <w:lang w:val="es-ES"/>
          </w:rPr>
          <w:t>https://www.frontlinedefenders.org/guatemala#sthash.aq9cxWAn.dpuf</w:t>
        </w:r>
      </w:hyperlink>
    </w:p>
  </w:endnote>
  <w:endnote w:id="22">
    <w:p w14:paraId="27F1ED6D" w14:textId="0406A05B" w:rsidR="00F409A4" w:rsidRPr="00674407" w:rsidRDefault="00F409A4">
      <w:pPr>
        <w:pStyle w:val="Textonotaalfinal"/>
        <w:rPr>
          <w:rFonts w:asciiTheme="majorHAnsi" w:hAnsiTheme="majorHAnsi"/>
          <w:lang w:val="en-GB"/>
        </w:rPr>
      </w:pPr>
      <w:r w:rsidRPr="00674407">
        <w:rPr>
          <w:rStyle w:val="Refdenotaalfinal"/>
          <w:rFonts w:asciiTheme="majorHAnsi" w:hAnsiTheme="majorHAnsi"/>
        </w:rPr>
        <w:endnoteRef/>
      </w:r>
      <w:r w:rsidRPr="00674407">
        <w:rPr>
          <w:rFonts w:asciiTheme="majorHAnsi" w:hAnsiTheme="majorHAnsi"/>
          <w:lang w:val="en-GB"/>
        </w:rPr>
        <w:t xml:space="preserve"> Interviews with Guatemalan human rights defenders, carried out by ISHR, January 2015.</w:t>
      </w:r>
    </w:p>
  </w:endnote>
  <w:endnote w:id="23">
    <w:p w14:paraId="53B097B5" w14:textId="1E1F1B3A" w:rsidR="00F409A4" w:rsidRPr="00F9122F" w:rsidRDefault="00F409A4">
      <w:pPr>
        <w:pStyle w:val="Textonotaalfinal"/>
        <w:rPr>
          <w:lang w:val="en-GB"/>
        </w:rPr>
      </w:pPr>
      <w:r>
        <w:rPr>
          <w:rStyle w:val="Refdenotaalfinal"/>
        </w:rPr>
        <w:endnoteRef/>
      </w:r>
      <w:r w:rsidRPr="00F9122F">
        <w:rPr>
          <w:lang w:val="en-GB"/>
        </w:rPr>
        <w:t xml:space="preserve"> </w:t>
      </w:r>
      <w:r w:rsidRPr="00F9122F">
        <w:rPr>
          <w:i/>
          <w:lang w:val="en-GB"/>
        </w:rPr>
        <w:t>Ibid</w:t>
      </w:r>
      <w:r>
        <w:rPr>
          <w:lang w:val="en-GB"/>
        </w:rPr>
        <w:t>.</w:t>
      </w:r>
    </w:p>
  </w:endnote>
  <w:endnote w:id="24">
    <w:p w14:paraId="4C4A4655" w14:textId="77777777" w:rsidR="00F409A4" w:rsidRPr="00F9122F" w:rsidRDefault="00F409A4" w:rsidP="00F41B66">
      <w:pPr>
        <w:pStyle w:val="Textonotaalfinal"/>
        <w:rPr>
          <w:rFonts w:asciiTheme="majorHAnsi" w:hAnsiTheme="majorHAnsi"/>
          <w:lang w:val="en-GB"/>
        </w:rPr>
      </w:pPr>
      <w:r w:rsidRPr="00674407">
        <w:rPr>
          <w:rStyle w:val="Refdenotaalfinal"/>
          <w:rFonts w:asciiTheme="majorHAnsi" w:hAnsiTheme="majorHAnsi"/>
        </w:rPr>
        <w:endnoteRef/>
      </w:r>
      <w:r w:rsidRPr="00F9122F">
        <w:rPr>
          <w:rFonts w:asciiTheme="majorHAnsi" w:hAnsiTheme="majorHAnsi"/>
          <w:lang w:val="en-GB"/>
        </w:rPr>
        <w:t xml:space="preserve"> </w:t>
      </w:r>
      <w:hyperlink r:id="rId14" w:history="1">
        <w:r w:rsidRPr="00F9122F">
          <w:rPr>
            <w:rStyle w:val="Hipervnculo"/>
            <w:rFonts w:asciiTheme="majorHAnsi" w:hAnsiTheme="majorHAnsi"/>
            <w:lang w:val="en-GB"/>
          </w:rPr>
          <w:t>http://www.pbi-guatemala.org/fileadmin/user_files/projects/guatemala/files/spanish/PIM_138.pdf</w:t>
        </w:r>
      </w:hyperlink>
      <w:r w:rsidRPr="00F9122F">
        <w:rPr>
          <w:rFonts w:asciiTheme="majorHAnsi" w:hAnsiTheme="majorHAnsi"/>
          <w:lang w:val="en-GB"/>
        </w:rPr>
        <w:t xml:space="preserve"> </w:t>
      </w:r>
    </w:p>
  </w:endnote>
  <w:endnote w:id="25">
    <w:p w14:paraId="363DF270" w14:textId="0EC56567" w:rsidR="00F409A4" w:rsidRPr="00674407" w:rsidRDefault="00F409A4" w:rsidP="00F50A13">
      <w:pPr>
        <w:pStyle w:val="Textonotaalfinal"/>
        <w:rPr>
          <w:rFonts w:asciiTheme="majorHAnsi" w:hAnsiTheme="majorHAnsi"/>
          <w:lang w:val="en-GB"/>
        </w:rPr>
      </w:pPr>
      <w:r w:rsidRPr="00674407">
        <w:rPr>
          <w:rStyle w:val="Refdenotaalfinal"/>
          <w:rFonts w:asciiTheme="majorHAnsi" w:hAnsiTheme="majorHAnsi"/>
        </w:rPr>
        <w:endnoteRef/>
      </w:r>
      <w:r w:rsidRPr="00674407">
        <w:rPr>
          <w:rFonts w:asciiTheme="majorHAnsi" w:hAnsiTheme="majorHAnsi"/>
          <w:lang w:val="en-GB"/>
        </w:rPr>
        <w:t xml:space="preserve"> </w:t>
      </w:r>
      <w:hyperlink r:id="rId15" w:history="1">
        <w:proofErr w:type="gramStart"/>
        <w:r w:rsidRPr="00674407">
          <w:rPr>
            <w:rStyle w:val="Hipervnculo"/>
            <w:rFonts w:asciiTheme="majorHAnsi" w:hAnsiTheme="majorHAnsi"/>
            <w:lang w:val="en-GB"/>
          </w:rPr>
          <w:t>Guatemala “Stronger than David”</w:t>
        </w:r>
      </w:hyperlink>
      <w:r w:rsidRPr="00674407">
        <w:rPr>
          <w:rFonts w:asciiTheme="majorHAnsi" w:hAnsiTheme="majorHAnsi"/>
          <w:lang w:val="en-GB"/>
        </w:rPr>
        <w:t>, Observatory.</w:t>
      </w:r>
      <w:proofErr w:type="gramEnd"/>
    </w:p>
  </w:endnote>
  <w:endnote w:id="26">
    <w:p w14:paraId="3AE4CCB9" w14:textId="22ED5416" w:rsidR="00F409A4" w:rsidRPr="00CF182C" w:rsidRDefault="00F409A4" w:rsidP="00F50A13">
      <w:pPr>
        <w:pStyle w:val="Textonotaalfinal"/>
        <w:rPr>
          <w:rFonts w:asciiTheme="majorHAnsi" w:hAnsiTheme="majorHAnsi"/>
          <w:lang w:val="es-ES"/>
        </w:rPr>
      </w:pPr>
      <w:r w:rsidRPr="00674407">
        <w:rPr>
          <w:rStyle w:val="Refdenotaalfinal"/>
          <w:rFonts w:asciiTheme="majorHAnsi" w:hAnsiTheme="majorHAnsi"/>
        </w:rPr>
        <w:endnoteRef/>
      </w:r>
      <w:r w:rsidRPr="00CF182C">
        <w:rPr>
          <w:rFonts w:asciiTheme="majorHAnsi" w:hAnsiTheme="majorHAnsi"/>
          <w:lang w:val="es-ES"/>
        </w:rPr>
        <w:t xml:space="preserve"> </w:t>
      </w:r>
      <w:proofErr w:type="spellStart"/>
      <w:r w:rsidRPr="00674407">
        <w:rPr>
          <w:rFonts w:asciiTheme="majorHAnsi" w:hAnsiTheme="majorHAnsi"/>
          <w:i/>
          <w:lang w:val="es-ES"/>
        </w:rPr>
        <w:t>Ibid</w:t>
      </w:r>
      <w:proofErr w:type="spellEnd"/>
      <w:r w:rsidRPr="00674407">
        <w:rPr>
          <w:rFonts w:asciiTheme="majorHAnsi" w:hAnsiTheme="majorHAnsi"/>
          <w:lang w:val="es-ES"/>
        </w:rPr>
        <w:t>.</w:t>
      </w:r>
    </w:p>
  </w:endnote>
  <w:endnote w:id="27">
    <w:p w14:paraId="768EBB42" w14:textId="77777777" w:rsidR="00F409A4" w:rsidRPr="00CF182C" w:rsidRDefault="00F409A4" w:rsidP="00F41B66">
      <w:pPr>
        <w:spacing w:after="0"/>
        <w:rPr>
          <w:rFonts w:asciiTheme="majorHAnsi" w:hAnsiTheme="majorHAnsi" w:cs="Lucida Grande"/>
          <w:sz w:val="20"/>
          <w:szCs w:val="20"/>
          <w:lang w:val="es-ES"/>
        </w:rPr>
      </w:pPr>
      <w:r w:rsidRPr="00674407">
        <w:rPr>
          <w:rStyle w:val="Refdenotaalfinal"/>
          <w:rFonts w:asciiTheme="majorHAnsi" w:hAnsiTheme="majorHAnsi"/>
          <w:sz w:val="20"/>
          <w:szCs w:val="20"/>
        </w:rPr>
        <w:endnoteRef/>
      </w:r>
      <w:r w:rsidRPr="00CF182C">
        <w:rPr>
          <w:rFonts w:asciiTheme="majorHAnsi" w:hAnsiTheme="majorHAnsi"/>
          <w:sz w:val="20"/>
          <w:szCs w:val="20"/>
          <w:lang w:val="es-ES"/>
        </w:rPr>
        <w:t xml:space="preserve"> </w:t>
      </w:r>
      <w:hyperlink r:id="rId16" w:anchor="wrapper" w:history="1">
        <w:r w:rsidRPr="00CF182C">
          <w:rPr>
            <w:rStyle w:val="Hipervnculo"/>
            <w:rFonts w:asciiTheme="majorHAnsi" w:hAnsiTheme="majorHAnsi" w:cs="Lucida Grande"/>
            <w:sz w:val="20"/>
            <w:szCs w:val="20"/>
            <w:lang w:val="es-ES"/>
          </w:rPr>
          <w:t>http://www.state.gov/j/drl/rls/hrrpt/humanrightsreport/index.htm#wrapper</w:t>
        </w:r>
      </w:hyperlink>
    </w:p>
  </w:endnote>
  <w:endnote w:id="28">
    <w:p w14:paraId="5CB2C76A" w14:textId="77777777" w:rsidR="00F409A4" w:rsidRPr="00CF182C" w:rsidRDefault="00F409A4" w:rsidP="00F41B66">
      <w:pPr>
        <w:pStyle w:val="Textonotaalfinal"/>
        <w:rPr>
          <w:rFonts w:asciiTheme="majorHAnsi" w:hAnsiTheme="majorHAnsi"/>
          <w:lang w:val="es-ES"/>
        </w:rPr>
      </w:pPr>
      <w:r w:rsidRPr="00674407">
        <w:rPr>
          <w:rStyle w:val="Refdenotaalfinal"/>
          <w:rFonts w:asciiTheme="majorHAnsi" w:hAnsiTheme="majorHAnsi"/>
        </w:rPr>
        <w:endnoteRef/>
      </w:r>
      <w:r w:rsidRPr="00CF182C">
        <w:rPr>
          <w:rFonts w:asciiTheme="majorHAnsi" w:hAnsiTheme="majorHAnsi"/>
          <w:lang w:val="es-ES"/>
        </w:rPr>
        <w:t xml:space="preserve"> </w:t>
      </w:r>
      <w:hyperlink r:id="rId17" w:history="1">
        <w:r w:rsidRPr="00CF182C">
          <w:rPr>
            <w:rStyle w:val="Hipervnculo"/>
            <w:rFonts w:asciiTheme="majorHAnsi" w:hAnsiTheme="majorHAnsi"/>
            <w:lang w:val="es-ES"/>
          </w:rPr>
          <w:t>https://ghrcusa.wordpress.com/2015/07/17/victory-for-la-puya-guatemalan-court-orders-suspension-of-construction-operations-at-the-el-tambor-mine/</w:t>
        </w:r>
      </w:hyperlink>
      <w:r w:rsidRPr="00CF182C">
        <w:rPr>
          <w:rFonts w:asciiTheme="majorHAnsi" w:hAnsiTheme="majorHAnsi"/>
          <w:lang w:val="es-ES"/>
        </w:rPr>
        <w:t xml:space="preserve"> </w:t>
      </w:r>
    </w:p>
  </w:endnote>
  <w:endnote w:id="29">
    <w:p w14:paraId="519911D6" w14:textId="77777777" w:rsidR="00F409A4" w:rsidRPr="00674407" w:rsidRDefault="00F409A4" w:rsidP="00F41B66">
      <w:pPr>
        <w:pStyle w:val="Textonotaalfinal"/>
        <w:rPr>
          <w:rFonts w:asciiTheme="majorHAnsi" w:hAnsiTheme="majorHAnsi"/>
          <w:lang w:val="en-GB"/>
        </w:rPr>
      </w:pPr>
      <w:r w:rsidRPr="00674407">
        <w:rPr>
          <w:rStyle w:val="Refdenotaalfinal"/>
          <w:rFonts w:asciiTheme="majorHAnsi" w:hAnsiTheme="majorHAnsi"/>
        </w:rPr>
        <w:endnoteRef/>
      </w:r>
      <w:r w:rsidRPr="00674407">
        <w:rPr>
          <w:rFonts w:asciiTheme="majorHAnsi" w:hAnsiTheme="majorHAnsi"/>
          <w:lang w:val="en-GB"/>
        </w:rPr>
        <w:t xml:space="preserve"> </w:t>
      </w:r>
      <w:hyperlink r:id="rId18" w:history="1">
        <w:r w:rsidRPr="00674407">
          <w:rPr>
            <w:rStyle w:val="Hipervnculo"/>
            <w:rFonts w:asciiTheme="majorHAnsi" w:hAnsiTheme="majorHAnsi"/>
            <w:lang w:val="en-GB"/>
          </w:rPr>
          <w:t>http://www.pbi-guatemala.org/field-projects/pbi-guatemala/latest-news/news/?no_cache=1&amp;L=0&amp;tx_ttnews%5Btt_news%5D=4272&amp;cHash=e2a749c4c1508c6e7a7ff9e3d37166c2</w:t>
        </w:r>
      </w:hyperlink>
      <w:r w:rsidRPr="00674407">
        <w:rPr>
          <w:rFonts w:asciiTheme="majorHAnsi" w:hAnsiTheme="majorHAnsi"/>
          <w:lang w:val="en-GB"/>
        </w:rPr>
        <w:t xml:space="preserve"> </w:t>
      </w:r>
    </w:p>
  </w:endnote>
  <w:endnote w:id="30">
    <w:p w14:paraId="784E20E5" w14:textId="631D798D" w:rsidR="00F409A4" w:rsidRPr="00674407" w:rsidRDefault="00F409A4" w:rsidP="00F41B66">
      <w:pPr>
        <w:pStyle w:val="Textonotaalfinal"/>
        <w:rPr>
          <w:rFonts w:asciiTheme="majorHAnsi" w:hAnsiTheme="majorHAnsi"/>
          <w:lang w:val="es-ES"/>
        </w:rPr>
      </w:pPr>
      <w:r w:rsidRPr="00674407">
        <w:rPr>
          <w:rStyle w:val="Refdenotaalfinal"/>
          <w:rFonts w:asciiTheme="majorHAnsi" w:hAnsiTheme="majorHAnsi"/>
        </w:rPr>
        <w:endnoteRef/>
      </w:r>
      <w:r w:rsidRPr="00674407">
        <w:rPr>
          <w:rFonts w:asciiTheme="majorHAnsi" w:hAnsiTheme="majorHAnsi"/>
          <w:lang w:val="es-ES"/>
        </w:rPr>
        <w:t xml:space="preserve"> </w:t>
      </w:r>
      <w:proofErr w:type="spellStart"/>
      <w:r w:rsidRPr="00674407">
        <w:rPr>
          <w:rFonts w:asciiTheme="majorHAnsi" w:hAnsiTheme="majorHAnsi"/>
          <w:i/>
          <w:lang w:val="es-ES"/>
        </w:rPr>
        <w:t>Ibid</w:t>
      </w:r>
      <w:proofErr w:type="spellEnd"/>
      <w:r w:rsidRPr="00674407">
        <w:rPr>
          <w:rFonts w:asciiTheme="majorHAnsi" w:hAnsiTheme="majorHAnsi"/>
          <w:lang w:val="es-ES"/>
        </w:rPr>
        <w:t>.</w:t>
      </w:r>
    </w:p>
  </w:endnote>
  <w:endnote w:id="31">
    <w:p w14:paraId="6850EF72" w14:textId="51244474" w:rsidR="00F409A4" w:rsidRPr="00674407" w:rsidRDefault="00F409A4" w:rsidP="00F41B66">
      <w:pPr>
        <w:pStyle w:val="Textonotaalfinal"/>
        <w:rPr>
          <w:rFonts w:asciiTheme="majorHAnsi" w:hAnsiTheme="majorHAnsi"/>
          <w:lang w:val="es-CO"/>
        </w:rPr>
      </w:pPr>
      <w:r w:rsidRPr="00674407">
        <w:rPr>
          <w:rStyle w:val="Refdenotaalfinal"/>
          <w:rFonts w:asciiTheme="majorHAnsi" w:hAnsiTheme="majorHAnsi"/>
        </w:rPr>
        <w:endnoteRef/>
      </w:r>
      <w:r w:rsidRPr="00674407">
        <w:rPr>
          <w:rFonts w:asciiTheme="majorHAnsi" w:hAnsiTheme="majorHAnsi"/>
          <w:lang w:val="es-CO"/>
        </w:rPr>
        <w:t xml:space="preserve"> </w:t>
      </w:r>
      <w:hyperlink r:id="rId19" w:history="1">
        <w:r w:rsidRPr="00674407">
          <w:rPr>
            <w:rStyle w:val="Hipervnculo"/>
            <w:rFonts w:asciiTheme="majorHAnsi" w:hAnsiTheme="majorHAnsi"/>
            <w:lang w:val="es-CO"/>
          </w:rPr>
          <w:t>https://www.amnesty.org/en/countries/americas/guatemala/report-guatemala/</w:t>
        </w:r>
      </w:hyperlink>
      <w:r w:rsidRPr="00674407">
        <w:rPr>
          <w:rFonts w:asciiTheme="majorHAnsi" w:hAnsiTheme="majorHAnsi"/>
          <w:lang w:val="es-CO"/>
        </w:rPr>
        <w:t xml:space="preserve"> </w:t>
      </w:r>
    </w:p>
  </w:endnote>
  <w:endnote w:id="32">
    <w:p w14:paraId="03FEC4CE" w14:textId="77777777" w:rsidR="00F409A4" w:rsidRPr="00674407" w:rsidRDefault="00F409A4" w:rsidP="00F41B66">
      <w:pPr>
        <w:spacing w:after="0"/>
        <w:rPr>
          <w:rFonts w:asciiTheme="majorHAnsi" w:hAnsiTheme="majorHAnsi"/>
          <w:sz w:val="20"/>
          <w:szCs w:val="20"/>
          <w:lang w:val="es-CO"/>
        </w:rPr>
      </w:pPr>
      <w:r w:rsidRPr="00674407">
        <w:rPr>
          <w:rStyle w:val="Refdenotaalfinal"/>
          <w:rFonts w:asciiTheme="majorHAnsi" w:hAnsiTheme="majorHAnsi"/>
          <w:sz w:val="20"/>
          <w:szCs w:val="20"/>
        </w:rPr>
        <w:endnoteRef/>
      </w:r>
      <w:r w:rsidRPr="00674407">
        <w:rPr>
          <w:rFonts w:asciiTheme="majorHAnsi" w:hAnsiTheme="majorHAnsi"/>
          <w:sz w:val="20"/>
          <w:szCs w:val="20"/>
          <w:lang w:val="es-CO"/>
        </w:rPr>
        <w:t xml:space="preserve"> </w:t>
      </w:r>
      <w:hyperlink r:id="rId20" w:anchor="sthash.Nt0eiUgV.dpuf" w:history="1">
        <w:r w:rsidRPr="00674407">
          <w:rPr>
            <w:rStyle w:val="Hipervnculo"/>
            <w:rFonts w:asciiTheme="majorHAnsi" w:hAnsiTheme="majorHAnsi"/>
            <w:sz w:val="20"/>
            <w:szCs w:val="20"/>
            <w:lang w:val="es-CO"/>
          </w:rPr>
          <w:t>https://www.frontlinedefenders.org/node/29261#sthash.Nt0eiUgV.dpuf</w:t>
        </w:r>
      </w:hyperlink>
    </w:p>
  </w:endnote>
  <w:endnote w:id="33">
    <w:p w14:paraId="5FD0C4E3" w14:textId="01F092B3" w:rsidR="00F409A4" w:rsidRPr="00674407" w:rsidRDefault="00F409A4" w:rsidP="00F41B66">
      <w:pPr>
        <w:pStyle w:val="Textonotaalfinal"/>
        <w:rPr>
          <w:rFonts w:asciiTheme="majorHAnsi" w:hAnsiTheme="majorHAnsi"/>
          <w:lang w:val="es-CO"/>
        </w:rPr>
      </w:pPr>
      <w:r w:rsidRPr="00674407">
        <w:rPr>
          <w:rStyle w:val="Refdenotaalfinal"/>
          <w:rFonts w:asciiTheme="majorHAnsi" w:hAnsiTheme="majorHAnsi"/>
        </w:rPr>
        <w:endnoteRef/>
      </w:r>
      <w:r w:rsidRPr="00674407">
        <w:rPr>
          <w:rFonts w:asciiTheme="majorHAnsi" w:hAnsiTheme="majorHAnsi"/>
          <w:lang w:val="es-CO"/>
        </w:rPr>
        <w:t xml:space="preserve"> </w:t>
      </w:r>
      <w:hyperlink r:id="rId21" w:history="1">
        <w:r w:rsidRPr="00674407">
          <w:rPr>
            <w:rStyle w:val="Hipervnculo"/>
            <w:rFonts w:asciiTheme="majorHAnsi" w:hAnsiTheme="majorHAnsi"/>
            <w:lang w:val="es-CO"/>
          </w:rPr>
          <w:t>https://www.fidh.org/IMG/pdf/obsreportgtm2015eng.pdf</w:t>
        </w:r>
      </w:hyperlink>
      <w:r w:rsidRPr="00674407">
        <w:rPr>
          <w:rFonts w:asciiTheme="majorHAnsi" w:hAnsiTheme="majorHAnsi"/>
          <w:lang w:val="es-CO"/>
        </w:rPr>
        <w:t xml:space="preserve"> </w:t>
      </w:r>
    </w:p>
  </w:endnote>
  <w:endnote w:id="34">
    <w:p w14:paraId="671E1F31" w14:textId="77777777" w:rsidR="00F409A4" w:rsidRPr="00674407" w:rsidRDefault="00F409A4" w:rsidP="00F41B66">
      <w:pPr>
        <w:pStyle w:val="Textonotaalfinal"/>
        <w:rPr>
          <w:rFonts w:asciiTheme="majorHAnsi" w:hAnsiTheme="majorHAnsi"/>
          <w:lang w:val="es-CO"/>
        </w:rPr>
      </w:pPr>
      <w:r w:rsidRPr="00674407">
        <w:rPr>
          <w:rStyle w:val="Refdenotaalfinal"/>
          <w:rFonts w:asciiTheme="majorHAnsi" w:hAnsiTheme="majorHAnsi"/>
        </w:rPr>
        <w:endnoteRef/>
      </w:r>
      <w:r w:rsidRPr="00674407">
        <w:rPr>
          <w:rFonts w:asciiTheme="majorHAnsi" w:hAnsiTheme="majorHAnsi"/>
          <w:lang w:val="es-CO"/>
        </w:rPr>
        <w:t xml:space="preserve"> </w:t>
      </w:r>
      <w:hyperlink r:id="rId22" w:history="1">
        <w:r w:rsidRPr="00674407">
          <w:rPr>
            <w:rStyle w:val="Hipervnculo"/>
            <w:rFonts w:asciiTheme="majorHAnsi" w:hAnsiTheme="majorHAnsi"/>
            <w:lang w:val="es-CO"/>
          </w:rPr>
          <w:t>http://www.pbi-guatemala.org/field-projects/pbi-guatemala/publications/monthly-information-package/</w:t>
        </w:r>
      </w:hyperlink>
      <w:r w:rsidRPr="00674407">
        <w:rPr>
          <w:rFonts w:asciiTheme="majorHAnsi" w:hAnsiTheme="majorHAnsi"/>
          <w:lang w:val="es-CO"/>
        </w:rPr>
        <w:t xml:space="preserve"> </w:t>
      </w:r>
    </w:p>
  </w:endnote>
  <w:endnote w:id="35">
    <w:p w14:paraId="1994A789" w14:textId="6F5A13EF" w:rsidR="00F409A4" w:rsidRPr="00674407" w:rsidRDefault="00F409A4">
      <w:pPr>
        <w:pStyle w:val="Textonotaalfinal"/>
        <w:rPr>
          <w:rFonts w:asciiTheme="majorHAnsi" w:hAnsiTheme="majorHAnsi"/>
          <w:lang w:val="en-GB"/>
        </w:rPr>
      </w:pPr>
      <w:r w:rsidRPr="00674407">
        <w:rPr>
          <w:rStyle w:val="Refdenotaalfinal"/>
          <w:rFonts w:asciiTheme="majorHAnsi" w:hAnsiTheme="majorHAnsi"/>
        </w:rPr>
        <w:endnoteRef/>
      </w:r>
      <w:r w:rsidRPr="00674407">
        <w:rPr>
          <w:rFonts w:asciiTheme="majorHAnsi" w:hAnsiTheme="majorHAnsi"/>
          <w:lang w:val="en-GB"/>
        </w:rPr>
        <w:t xml:space="preserve"> Interviews with Guatemalan human rights defenders, carried out by ISHR, January 2015.</w:t>
      </w:r>
    </w:p>
  </w:endnote>
  <w:endnote w:id="36">
    <w:p w14:paraId="4BA7A45F" w14:textId="21F5A2F3" w:rsidR="00F409A4" w:rsidRPr="00583F71" w:rsidRDefault="00F409A4">
      <w:pPr>
        <w:pStyle w:val="Textonotaalfinal"/>
        <w:rPr>
          <w:lang w:val="en-GB"/>
        </w:rPr>
      </w:pPr>
      <w:r>
        <w:rPr>
          <w:rStyle w:val="Refdenotaalfinal"/>
        </w:rPr>
        <w:endnoteRef/>
      </w:r>
      <w:r w:rsidRPr="00583F71">
        <w:rPr>
          <w:lang w:val="en-GB"/>
        </w:rPr>
        <w:t xml:space="preserve"> </w:t>
      </w:r>
      <w:r w:rsidRPr="00583F71">
        <w:rPr>
          <w:rFonts w:asciiTheme="majorHAnsi" w:hAnsiTheme="majorHAnsi"/>
          <w:i/>
          <w:lang w:val="en-GB"/>
        </w:rPr>
        <w:t>Ibid</w:t>
      </w:r>
      <w:r>
        <w:rPr>
          <w:rFonts w:asciiTheme="majorHAnsi" w:hAnsiTheme="majorHAnsi"/>
          <w:lang w:val="en-GB"/>
        </w:rPr>
        <w:t>.</w:t>
      </w:r>
    </w:p>
  </w:endnote>
  <w:endnote w:id="37">
    <w:p w14:paraId="099F75C4" w14:textId="77777777" w:rsidR="00F409A4" w:rsidRPr="00583F71" w:rsidRDefault="00F409A4" w:rsidP="00F41B66">
      <w:pPr>
        <w:spacing w:after="0"/>
        <w:rPr>
          <w:rFonts w:asciiTheme="majorHAnsi" w:hAnsiTheme="majorHAnsi" w:cs="Lucida Grande"/>
          <w:sz w:val="20"/>
          <w:szCs w:val="20"/>
          <w:lang w:val="en-GB"/>
        </w:rPr>
      </w:pPr>
      <w:r w:rsidRPr="00674407">
        <w:rPr>
          <w:rStyle w:val="Refdenotaalfinal"/>
          <w:rFonts w:asciiTheme="majorHAnsi" w:hAnsiTheme="majorHAnsi"/>
          <w:sz w:val="20"/>
          <w:szCs w:val="20"/>
        </w:rPr>
        <w:endnoteRef/>
      </w:r>
      <w:r w:rsidRPr="00583F71">
        <w:rPr>
          <w:rFonts w:asciiTheme="majorHAnsi" w:hAnsiTheme="majorHAnsi"/>
          <w:sz w:val="20"/>
          <w:szCs w:val="20"/>
          <w:lang w:val="en-GB"/>
        </w:rPr>
        <w:t xml:space="preserve"> </w:t>
      </w:r>
      <w:hyperlink r:id="rId23" w:history="1">
        <w:r w:rsidRPr="00583F71">
          <w:rPr>
            <w:rStyle w:val="Hipervnculo"/>
            <w:rFonts w:asciiTheme="majorHAnsi" w:hAnsiTheme="majorHAnsi"/>
            <w:sz w:val="20"/>
            <w:szCs w:val="20"/>
            <w:lang w:val="en-GB"/>
          </w:rPr>
          <w:t>http://www.state.gov/j/drl/rls/hrrpt/2014/wha/236692.htm</w:t>
        </w:r>
      </w:hyperlink>
      <w:r w:rsidRPr="00583F71">
        <w:rPr>
          <w:rFonts w:asciiTheme="majorHAnsi" w:hAnsiTheme="majorHAnsi"/>
          <w:sz w:val="20"/>
          <w:szCs w:val="20"/>
          <w:lang w:val="en-GB"/>
        </w:rPr>
        <w:t xml:space="preserve"> </w:t>
      </w:r>
    </w:p>
  </w:endnote>
  <w:endnote w:id="38">
    <w:p w14:paraId="4575A74F" w14:textId="77777777" w:rsidR="00F409A4" w:rsidRPr="00674407" w:rsidRDefault="00F409A4" w:rsidP="00F41B66">
      <w:pPr>
        <w:pStyle w:val="Textonotaalfinal"/>
        <w:rPr>
          <w:rFonts w:asciiTheme="majorHAnsi" w:hAnsiTheme="majorHAnsi"/>
          <w:lang w:val="es-CO"/>
        </w:rPr>
      </w:pPr>
      <w:r w:rsidRPr="00674407">
        <w:rPr>
          <w:rStyle w:val="Refdenotaalfinal"/>
          <w:rFonts w:asciiTheme="majorHAnsi" w:hAnsiTheme="majorHAnsi"/>
        </w:rPr>
        <w:endnoteRef/>
      </w:r>
      <w:r w:rsidRPr="00674407">
        <w:rPr>
          <w:rFonts w:asciiTheme="majorHAnsi" w:hAnsiTheme="majorHAnsi"/>
          <w:lang w:val="es-CO"/>
        </w:rPr>
        <w:t xml:space="preserve"> </w:t>
      </w:r>
      <w:hyperlink r:id="rId24" w:history="1">
        <w:r w:rsidRPr="00674407">
          <w:rPr>
            <w:rStyle w:val="Hipervnculo"/>
            <w:rFonts w:asciiTheme="majorHAnsi" w:hAnsiTheme="majorHAnsi"/>
            <w:lang w:val="es-CO"/>
          </w:rPr>
          <w:t>http://www.pbi-guatemala.org/field-projects/pbi-guatemala/latest-news/news/?no_cache=1&amp;L=0&amp;tx_ttnews%5Btt_news%5D=4438&amp;cHash=ffa307dfc5f278053d2cc504191b7ee8</w:t>
        </w:r>
      </w:hyperlink>
      <w:r w:rsidRPr="00674407">
        <w:rPr>
          <w:rFonts w:asciiTheme="majorHAnsi" w:hAnsiTheme="majorHAnsi"/>
          <w:lang w:val="es-CO"/>
        </w:rPr>
        <w:t xml:space="preserve"> </w:t>
      </w:r>
    </w:p>
  </w:endnote>
  <w:endnote w:id="39">
    <w:p w14:paraId="286C5719" w14:textId="02EDF667" w:rsidR="00F409A4" w:rsidRPr="00674407" w:rsidRDefault="00F409A4">
      <w:pPr>
        <w:pStyle w:val="Textonotaalfinal"/>
        <w:rPr>
          <w:rFonts w:asciiTheme="majorHAnsi" w:hAnsiTheme="majorHAnsi"/>
          <w:lang w:val="en-GB"/>
        </w:rPr>
      </w:pPr>
      <w:r w:rsidRPr="00674407">
        <w:rPr>
          <w:rStyle w:val="Refdenotaalfinal"/>
          <w:rFonts w:asciiTheme="majorHAnsi" w:hAnsiTheme="majorHAnsi"/>
        </w:rPr>
        <w:endnoteRef/>
      </w:r>
      <w:r w:rsidRPr="00674407">
        <w:rPr>
          <w:rFonts w:asciiTheme="majorHAnsi" w:hAnsiTheme="majorHAnsi"/>
          <w:lang w:val="en-GB"/>
        </w:rPr>
        <w:t xml:space="preserve"> Interviews with Guatemalan human rights defenders, carried out by ISHR, January 2015.</w:t>
      </w:r>
    </w:p>
  </w:endnote>
  <w:endnote w:id="40">
    <w:p w14:paraId="4DA06A00" w14:textId="77777777" w:rsidR="00F409A4" w:rsidRPr="00674407" w:rsidRDefault="00F409A4" w:rsidP="00F41B66">
      <w:pPr>
        <w:pStyle w:val="Textonotaalfinal"/>
        <w:rPr>
          <w:rFonts w:asciiTheme="majorHAnsi" w:hAnsiTheme="majorHAnsi"/>
          <w:lang w:val="es-CO"/>
        </w:rPr>
      </w:pPr>
      <w:r w:rsidRPr="00674407">
        <w:rPr>
          <w:rStyle w:val="Refdenotaalfinal"/>
          <w:rFonts w:asciiTheme="majorHAnsi" w:hAnsiTheme="majorHAnsi"/>
        </w:rPr>
        <w:endnoteRef/>
      </w:r>
      <w:r w:rsidRPr="00674407">
        <w:rPr>
          <w:rFonts w:asciiTheme="majorHAnsi" w:hAnsiTheme="majorHAnsi"/>
          <w:lang w:val="es-CO"/>
        </w:rPr>
        <w:t xml:space="preserve"> </w:t>
      </w:r>
      <w:hyperlink r:id="rId25" w:history="1">
        <w:r w:rsidRPr="00674407">
          <w:rPr>
            <w:rStyle w:val="Hipervnculo"/>
            <w:rFonts w:asciiTheme="majorHAnsi" w:hAnsiTheme="majorHAnsi"/>
            <w:lang w:val="es-CO"/>
          </w:rPr>
          <w:t>http://www.pbi-guatemala.org/field-projects/pbi-guatemala/latest-news/news/?no_cache=1&amp;L=0&amp;tx_ttnews%5Btt_news%5D=4438&amp;cHash=ffa307dfc5f278053d2cc504191b7ee8</w:t>
        </w:r>
      </w:hyperlink>
      <w:r w:rsidRPr="00674407">
        <w:rPr>
          <w:rFonts w:asciiTheme="majorHAnsi" w:hAnsiTheme="majorHAnsi"/>
          <w:lang w:val="es-CO"/>
        </w:rPr>
        <w:t xml:space="preserve"> </w:t>
      </w:r>
    </w:p>
  </w:endnote>
  <w:endnote w:id="41">
    <w:p w14:paraId="1E0F55D9" w14:textId="77777777" w:rsidR="00F409A4" w:rsidRPr="00674407" w:rsidRDefault="00F409A4" w:rsidP="00F41B66">
      <w:pPr>
        <w:pStyle w:val="Textonotaalfinal"/>
        <w:rPr>
          <w:rFonts w:asciiTheme="majorHAnsi" w:hAnsiTheme="majorHAnsi"/>
          <w:lang w:val="es-CO"/>
        </w:rPr>
      </w:pPr>
      <w:r w:rsidRPr="00674407">
        <w:rPr>
          <w:rStyle w:val="Refdenotaalfinal"/>
          <w:rFonts w:asciiTheme="majorHAnsi" w:hAnsiTheme="majorHAnsi"/>
        </w:rPr>
        <w:endnoteRef/>
      </w:r>
      <w:r w:rsidRPr="00674407">
        <w:rPr>
          <w:rFonts w:asciiTheme="majorHAnsi" w:hAnsiTheme="majorHAnsi"/>
          <w:lang w:val="es-CO"/>
        </w:rPr>
        <w:t xml:space="preserve"> </w:t>
      </w:r>
      <w:hyperlink r:id="rId26" w:history="1">
        <w:r w:rsidRPr="00674407">
          <w:rPr>
            <w:rStyle w:val="Hipervnculo"/>
            <w:rFonts w:asciiTheme="majorHAnsi" w:hAnsiTheme="majorHAnsi"/>
            <w:lang w:val="es-CO"/>
          </w:rPr>
          <w:t>http://www.pbi-guatemala.org/field-projects/pbi-guatemala/latest-news/news/?no_cache=1&amp;L=0&amp;tx_ttnews%5Btt_news%5D=4272&amp;cHash=e2a749c4c1508c6e7a7ff9e3d37166c2</w:t>
        </w:r>
      </w:hyperlink>
      <w:r w:rsidRPr="00674407">
        <w:rPr>
          <w:rFonts w:asciiTheme="majorHAnsi" w:hAnsiTheme="majorHAnsi"/>
          <w:lang w:val="es-CO"/>
        </w:rPr>
        <w:t xml:space="preserve"> </w:t>
      </w:r>
    </w:p>
  </w:endnote>
  <w:endnote w:id="42">
    <w:p w14:paraId="29DB826A" w14:textId="11735D91" w:rsidR="00F409A4" w:rsidRPr="00281E3E" w:rsidRDefault="00F409A4">
      <w:pPr>
        <w:pStyle w:val="Textonotaalfinal"/>
        <w:rPr>
          <w:lang w:val="en-GB"/>
        </w:rPr>
      </w:pPr>
      <w:r>
        <w:rPr>
          <w:rStyle w:val="Refdenotaalfinal"/>
        </w:rPr>
        <w:endnoteRef/>
      </w:r>
      <w:r w:rsidRPr="00281E3E">
        <w:rPr>
          <w:lang w:val="en-GB"/>
        </w:rPr>
        <w:t xml:space="preserve"> </w:t>
      </w:r>
      <w:r w:rsidRPr="00944C92">
        <w:rPr>
          <w:rFonts w:asciiTheme="majorHAnsi" w:hAnsiTheme="majorHAnsi"/>
          <w:lang w:val="en-GB"/>
        </w:rPr>
        <w:t>Interviews</w:t>
      </w:r>
      <w:r>
        <w:rPr>
          <w:rFonts w:asciiTheme="majorHAnsi" w:hAnsiTheme="majorHAnsi"/>
          <w:lang w:val="en-GB"/>
        </w:rPr>
        <w:t xml:space="preserve"> with Guatemalan human rights defenders,</w:t>
      </w:r>
      <w:r w:rsidRPr="00944C92">
        <w:rPr>
          <w:rFonts w:asciiTheme="majorHAnsi" w:hAnsiTheme="majorHAnsi"/>
          <w:lang w:val="en-GB"/>
        </w:rPr>
        <w:t xml:space="preserve"> carried out by ISHR</w:t>
      </w:r>
      <w:r>
        <w:rPr>
          <w:rFonts w:asciiTheme="majorHAnsi" w:hAnsiTheme="majorHAnsi"/>
          <w:lang w:val="en-GB"/>
        </w:rPr>
        <w:t>, January 2015.</w:t>
      </w:r>
    </w:p>
  </w:endnote>
  <w:endnote w:id="43">
    <w:p w14:paraId="4D5D231F" w14:textId="774BAD1B" w:rsidR="00F409A4" w:rsidRPr="00674407" w:rsidRDefault="00F409A4" w:rsidP="00F41B66">
      <w:pPr>
        <w:pStyle w:val="Textonotaalfinal"/>
        <w:rPr>
          <w:rFonts w:asciiTheme="majorHAnsi" w:hAnsiTheme="majorHAnsi"/>
          <w:lang w:val="en-GB"/>
        </w:rPr>
      </w:pPr>
      <w:r w:rsidRPr="00674407">
        <w:rPr>
          <w:rStyle w:val="Refdenotaalfinal"/>
          <w:rFonts w:asciiTheme="majorHAnsi" w:hAnsiTheme="majorHAnsi"/>
        </w:rPr>
        <w:endnoteRef/>
      </w:r>
      <w:r w:rsidRPr="00674407">
        <w:rPr>
          <w:rFonts w:asciiTheme="majorHAnsi" w:hAnsiTheme="majorHAnsi"/>
          <w:lang w:val="en-GB"/>
        </w:rPr>
        <w:t xml:space="preserve"> </w:t>
      </w:r>
      <w:r w:rsidRPr="00281E3E">
        <w:rPr>
          <w:rFonts w:asciiTheme="majorHAnsi" w:hAnsiTheme="majorHAnsi"/>
          <w:i/>
          <w:lang w:val="en-GB"/>
        </w:rPr>
        <w:t>Ibid</w:t>
      </w:r>
      <w:r>
        <w:rPr>
          <w:rFonts w:asciiTheme="majorHAnsi" w:hAnsiTheme="majorHAnsi"/>
          <w:lang w:val="en-GB"/>
        </w:rPr>
        <w:t>.</w:t>
      </w:r>
    </w:p>
  </w:endnote>
  <w:endnote w:id="44">
    <w:p w14:paraId="09194C6F" w14:textId="281891C8" w:rsidR="00F409A4" w:rsidRPr="00674407" w:rsidRDefault="00F409A4" w:rsidP="00F41B66">
      <w:pPr>
        <w:widowControl w:val="0"/>
        <w:autoSpaceDE w:val="0"/>
        <w:autoSpaceDN w:val="0"/>
        <w:adjustRightInd w:val="0"/>
        <w:spacing w:after="0"/>
        <w:rPr>
          <w:rFonts w:asciiTheme="majorHAnsi" w:hAnsiTheme="majorHAnsi" w:cs="CandidaStd-Roman"/>
          <w:sz w:val="20"/>
          <w:szCs w:val="20"/>
          <w:lang w:val="en-GB"/>
        </w:rPr>
      </w:pPr>
      <w:r w:rsidRPr="00674407">
        <w:rPr>
          <w:rStyle w:val="Refdenotaalfinal"/>
          <w:rFonts w:asciiTheme="majorHAnsi" w:hAnsiTheme="majorHAnsi"/>
          <w:sz w:val="20"/>
          <w:szCs w:val="20"/>
        </w:rPr>
        <w:endnoteRef/>
      </w:r>
      <w:r w:rsidRPr="00674407">
        <w:rPr>
          <w:rFonts w:asciiTheme="majorHAnsi" w:hAnsiTheme="majorHAnsi"/>
          <w:sz w:val="20"/>
          <w:szCs w:val="20"/>
        </w:rPr>
        <w:t xml:space="preserve"> </w:t>
      </w:r>
      <w:r w:rsidRPr="00674407">
        <w:rPr>
          <w:rFonts w:asciiTheme="majorHAnsi" w:hAnsiTheme="majorHAnsi"/>
          <w:sz w:val="20"/>
          <w:szCs w:val="20"/>
          <w:lang w:val="en-GB"/>
        </w:rPr>
        <w:t xml:space="preserve">The conditions under which a State of siege may be called are set forth in </w:t>
      </w:r>
      <w:r w:rsidRPr="00674407">
        <w:rPr>
          <w:rFonts w:asciiTheme="majorHAnsi" w:hAnsiTheme="majorHAnsi" w:cs="CandidaStd-Roman"/>
          <w:sz w:val="20"/>
          <w:szCs w:val="20"/>
          <w:lang w:val="en-GB"/>
        </w:rPr>
        <w:t>in Article 4 of the Covenant, as well as under Article 27 of the American Convention on Human Rights, both of ratified by Guatemala. What is more, certain rights remain in force regardless, including the right to safeguards against the arbitrary deprivation of liberty, the right to an impartial trial, and the right to the presumption of innocence.</w:t>
      </w:r>
    </w:p>
  </w:endnote>
  <w:endnote w:id="45">
    <w:p w14:paraId="2A95EE94" w14:textId="5060FC0F" w:rsidR="00F409A4" w:rsidRPr="00674407" w:rsidRDefault="00F409A4" w:rsidP="00F41B66">
      <w:pPr>
        <w:pStyle w:val="Textonotaalfinal"/>
        <w:rPr>
          <w:rFonts w:asciiTheme="majorHAnsi" w:hAnsiTheme="majorHAnsi"/>
          <w:lang w:val="en-GB"/>
        </w:rPr>
      </w:pPr>
      <w:r w:rsidRPr="00674407">
        <w:rPr>
          <w:rStyle w:val="Refdenotaalfinal"/>
          <w:rFonts w:asciiTheme="majorHAnsi" w:hAnsiTheme="majorHAnsi"/>
        </w:rPr>
        <w:endnoteRef/>
      </w:r>
      <w:r w:rsidRPr="00674407">
        <w:rPr>
          <w:rFonts w:asciiTheme="majorHAnsi" w:hAnsiTheme="majorHAnsi"/>
          <w:lang w:val="en-GB"/>
        </w:rPr>
        <w:t xml:space="preserve"> </w:t>
      </w:r>
      <w:hyperlink r:id="rId27" w:history="1">
        <w:r w:rsidRPr="00674407">
          <w:rPr>
            <w:rStyle w:val="Hipervnculo"/>
            <w:rFonts w:asciiTheme="majorHAnsi" w:hAnsiTheme="majorHAnsi"/>
            <w:lang w:val="en-GB"/>
          </w:rPr>
          <w:t>http://protectionline.org/files/2014/09/5_UDEFEGUA_informe-anual-2013.pdf</w:t>
        </w:r>
      </w:hyperlink>
    </w:p>
  </w:endnote>
  <w:endnote w:id="46">
    <w:p w14:paraId="5C32F688" w14:textId="2D9C7D72" w:rsidR="00F409A4" w:rsidRPr="00674407" w:rsidRDefault="00F409A4" w:rsidP="00F41B66">
      <w:pPr>
        <w:pStyle w:val="Textonotaalfinal"/>
        <w:rPr>
          <w:rFonts w:asciiTheme="majorHAnsi" w:hAnsiTheme="majorHAnsi"/>
          <w:lang w:val="en-GB"/>
        </w:rPr>
      </w:pPr>
      <w:r w:rsidRPr="00674407">
        <w:rPr>
          <w:rStyle w:val="Refdenotaalfinal"/>
          <w:rFonts w:asciiTheme="majorHAnsi" w:hAnsiTheme="majorHAnsi"/>
        </w:rPr>
        <w:endnoteRef/>
      </w:r>
      <w:r w:rsidRPr="00674407">
        <w:rPr>
          <w:rFonts w:asciiTheme="majorHAnsi" w:hAnsiTheme="majorHAnsi"/>
          <w:lang w:val="en-GB"/>
        </w:rPr>
        <w:t xml:space="preserve"> The analysis of the law contained in this paper is taken </w:t>
      </w:r>
      <w:proofErr w:type="gramStart"/>
      <w:r w:rsidRPr="00674407">
        <w:rPr>
          <w:rFonts w:asciiTheme="majorHAnsi" w:hAnsiTheme="majorHAnsi"/>
          <w:lang w:val="en-GB"/>
        </w:rPr>
        <w:t xml:space="preserve">from  </w:t>
      </w:r>
      <w:proofErr w:type="gramEnd"/>
      <w:r w:rsidR="003615D7">
        <w:fldChar w:fldCharType="begin"/>
      </w:r>
      <w:r w:rsidR="003615D7">
        <w:instrText xml:space="preserve"> HYPERLINK "http://www.</w:instrText>
      </w:r>
      <w:r w:rsidR="003615D7">
        <w:instrText xml:space="preserve">omct.org/files/2015/02/23002/v1.2_w_en_rpprtguatemala_obs15.pdf" </w:instrText>
      </w:r>
      <w:r w:rsidR="003615D7">
        <w:fldChar w:fldCharType="separate"/>
      </w:r>
      <w:hyperlink r:id="rId28" w:history="1">
        <w:r w:rsidRPr="00674407">
          <w:rPr>
            <w:rStyle w:val="Hipervnculo"/>
            <w:rFonts w:asciiTheme="majorHAnsi" w:hAnsiTheme="majorHAnsi"/>
            <w:lang w:val="en-GB"/>
          </w:rPr>
          <w:t>Guatemala “Stronger than David”</w:t>
        </w:r>
      </w:hyperlink>
      <w:r w:rsidRPr="00674407">
        <w:rPr>
          <w:rFonts w:asciiTheme="majorHAnsi" w:hAnsiTheme="majorHAnsi"/>
          <w:lang w:val="en-GB"/>
        </w:rPr>
        <w:t>, Observatory</w:t>
      </w:r>
      <w:r w:rsidR="003615D7">
        <w:rPr>
          <w:rFonts w:asciiTheme="majorHAnsi" w:hAnsiTheme="majorHAnsi"/>
          <w:lang w:val="en-GB"/>
        </w:rPr>
        <w:fldChar w:fldCharType="end"/>
      </w:r>
      <w:r w:rsidRPr="00674407">
        <w:rPr>
          <w:rFonts w:asciiTheme="majorHAnsi" w:hAnsiTheme="majorHAnsi"/>
          <w:lang w:val="en-GB"/>
        </w:rPr>
        <w:t xml:space="preserve"> and interviews with Guatemalan human rights defenders, carried out by ISHR, January 2015. All </w:t>
      </w:r>
      <w:proofErr w:type="spellStart"/>
      <w:r w:rsidRPr="00674407">
        <w:rPr>
          <w:rFonts w:asciiTheme="majorHAnsi" w:hAnsiTheme="majorHAnsi"/>
          <w:lang w:val="en-GB"/>
        </w:rPr>
        <w:t>uncited</w:t>
      </w:r>
      <w:proofErr w:type="spellEnd"/>
      <w:r w:rsidRPr="00674407">
        <w:rPr>
          <w:rFonts w:asciiTheme="majorHAnsi" w:hAnsiTheme="majorHAnsi"/>
          <w:lang w:val="en-GB"/>
        </w:rPr>
        <w:t xml:space="preserve"> quotes are taken from “Stronger than David”.</w:t>
      </w:r>
    </w:p>
  </w:endnote>
  <w:endnote w:id="47">
    <w:p w14:paraId="2A28A3E3" w14:textId="77777777" w:rsidR="00F409A4" w:rsidRPr="00674407" w:rsidRDefault="00F409A4" w:rsidP="00F41B66">
      <w:pPr>
        <w:pStyle w:val="Textonotaalfinal"/>
        <w:rPr>
          <w:rFonts w:asciiTheme="majorHAnsi" w:hAnsiTheme="majorHAnsi"/>
          <w:lang w:val="en-GB"/>
        </w:rPr>
      </w:pPr>
      <w:r w:rsidRPr="00674407">
        <w:rPr>
          <w:rStyle w:val="Refdenotaalfinal"/>
          <w:rFonts w:asciiTheme="majorHAnsi" w:hAnsiTheme="majorHAnsi"/>
        </w:rPr>
        <w:endnoteRef/>
      </w:r>
      <w:r w:rsidRPr="00674407">
        <w:rPr>
          <w:rFonts w:asciiTheme="majorHAnsi" w:hAnsiTheme="majorHAnsi"/>
          <w:lang w:val="en-GB"/>
        </w:rPr>
        <w:t xml:space="preserve"> </w:t>
      </w:r>
      <w:hyperlink r:id="rId29" w:history="1">
        <w:r w:rsidRPr="00674407">
          <w:rPr>
            <w:rStyle w:val="Hipervnculo"/>
            <w:rFonts w:asciiTheme="majorHAnsi" w:hAnsiTheme="majorHAnsi"/>
            <w:lang w:val="en-GB"/>
          </w:rPr>
          <w:t>http://www.scp.gob.gt/dam/municipalidad-scp/documentos/Decretos/2014/DECRETO-8-2014/DECRETO%208-2014.pdf</w:t>
        </w:r>
      </w:hyperlink>
    </w:p>
  </w:endnote>
  <w:endnote w:id="48">
    <w:p w14:paraId="74240531" w14:textId="77777777" w:rsidR="00F409A4" w:rsidRPr="00674407" w:rsidRDefault="00F409A4" w:rsidP="00F41B66">
      <w:pPr>
        <w:pStyle w:val="Textonotaalfinal"/>
        <w:rPr>
          <w:rFonts w:asciiTheme="majorHAnsi" w:hAnsiTheme="majorHAnsi"/>
          <w:lang w:val="en-GB"/>
        </w:rPr>
      </w:pPr>
      <w:r w:rsidRPr="00674407">
        <w:rPr>
          <w:rStyle w:val="Refdenotaalfinal"/>
          <w:rFonts w:asciiTheme="majorHAnsi" w:hAnsiTheme="majorHAnsi"/>
        </w:rPr>
        <w:endnoteRef/>
      </w:r>
      <w:r w:rsidRPr="00674407">
        <w:rPr>
          <w:rFonts w:asciiTheme="majorHAnsi" w:hAnsiTheme="majorHAnsi"/>
          <w:lang w:val="en-GB"/>
        </w:rPr>
        <w:t xml:space="preserve"> </w:t>
      </w:r>
      <w:hyperlink r:id="rId30" w:history="1">
        <w:r w:rsidRPr="00674407">
          <w:rPr>
            <w:rStyle w:val="Hipervnculo"/>
            <w:rFonts w:asciiTheme="majorHAnsi" w:hAnsiTheme="majorHAnsi"/>
            <w:lang w:val="en-GB"/>
          </w:rPr>
          <w:t>http://protectionline.org/files/2014/09/5_UDEFEGUA_informe-anual-2013.pdf</w:t>
        </w:r>
      </w:hyperlink>
    </w:p>
  </w:endnote>
  <w:endnote w:id="49">
    <w:p w14:paraId="77F2EEB2" w14:textId="468A7928" w:rsidR="00F409A4" w:rsidRPr="00674407" w:rsidRDefault="00F409A4" w:rsidP="00F50A13">
      <w:pPr>
        <w:pStyle w:val="Textonotaalfinal"/>
        <w:rPr>
          <w:rFonts w:asciiTheme="majorHAnsi" w:hAnsiTheme="majorHAnsi"/>
          <w:lang w:val="en-GB"/>
        </w:rPr>
      </w:pPr>
      <w:r w:rsidRPr="00674407">
        <w:rPr>
          <w:rStyle w:val="Refdenotaalfinal"/>
          <w:rFonts w:asciiTheme="majorHAnsi" w:hAnsiTheme="majorHAnsi"/>
        </w:rPr>
        <w:endnoteRef/>
      </w:r>
      <w:r w:rsidRPr="00674407">
        <w:rPr>
          <w:rFonts w:asciiTheme="majorHAnsi" w:hAnsiTheme="majorHAnsi"/>
          <w:lang w:val="en-GB"/>
        </w:rPr>
        <w:t xml:space="preserve">  </w:t>
      </w:r>
      <w:hyperlink r:id="rId31" w:history="1">
        <w:r w:rsidRPr="00674407">
          <w:rPr>
            <w:rStyle w:val="Hipervnculo"/>
            <w:rFonts w:asciiTheme="majorHAnsi" w:hAnsiTheme="majorHAnsi"/>
            <w:lang w:val="en-GB"/>
          </w:rPr>
          <w:t>Guatemala “Stronger than David”</w:t>
        </w:r>
      </w:hyperlink>
      <w:r w:rsidRPr="00674407">
        <w:rPr>
          <w:rFonts w:asciiTheme="majorHAnsi" w:hAnsiTheme="majorHAnsi"/>
          <w:lang w:val="en-GB"/>
        </w:rPr>
        <w:t xml:space="preserve">, Observatory, and </w:t>
      </w:r>
      <w:hyperlink r:id="rId32" w:history="1">
        <w:r w:rsidRPr="00674407">
          <w:rPr>
            <w:rStyle w:val="Hipervnculo"/>
            <w:rFonts w:asciiTheme="majorHAnsi" w:hAnsiTheme="majorHAnsi"/>
            <w:lang w:val="en-GB"/>
          </w:rPr>
          <w:t>http://www.plazapublica.com.gt/content/lider-propone-carcel-para-quien-desacredite-empresas-o-las-investigue-sin-su-autorizacion</w:t>
        </w:r>
      </w:hyperlink>
    </w:p>
  </w:endnote>
  <w:endnote w:id="50">
    <w:p w14:paraId="3DBC1A66" w14:textId="77777777" w:rsidR="00F409A4" w:rsidRPr="00674407" w:rsidRDefault="00F409A4" w:rsidP="00F41B66">
      <w:pPr>
        <w:pStyle w:val="Textonotaalfinal"/>
        <w:rPr>
          <w:rFonts w:asciiTheme="majorHAnsi" w:hAnsiTheme="majorHAnsi"/>
          <w:lang w:val="en-GB"/>
        </w:rPr>
      </w:pPr>
      <w:r w:rsidRPr="00674407">
        <w:rPr>
          <w:rStyle w:val="Refdenotaalfinal"/>
          <w:rFonts w:asciiTheme="majorHAnsi" w:hAnsiTheme="majorHAnsi"/>
        </w:rPr>
        <w:endnoteRef/>
      </w:r>
      <w:r w:rsidRPr="00674407">
        <w:rPr>
          <w:rFonts w:asciiTheme="majorHAnsi" w:hAnsiTheme="majorHAnsi"/>
          <w:lang w:val="en-GB"/>
        </w:rPr>
        <w:t xml:space="preserve"> </w:t>
      </w:r>
      <w:hyperlink r:id="rId33" w:history="1">
        <w:r w:rsidRPr="00674407">
          <w:rPr>
            <w:rStyle w:val="Hipervnculo"/>
            <w:rFonts w:asciiTheme="majorHAnsi" w:hAnsiTheme="majorHAnsi"/>
            <w:lang w:val="en-GB"/>
          </w:rPr>
          <w:t>http://en.rsf.org/guatemala-officials-prevent-indigenous-radio-26-03-2015,47734.html</w:t>
        </w:r>
      </w:hyperlink>
      <w:r w:rsidRPr="00674407">
        <w:rPr>
          <w:rFonts w:asciiTheme="majorHAnsi" w:hAnsiTheme="majorHAnsi"/>
          <w:lang w:val="en-GB"/>
        </w:rPr>
        <w:t xml:space="preserve"> </w:t>
      </w:r>
    </w:p>
  </w:endnote>
  <w:endnote w:id="51">
    <w:p w14:paraId="744D9F15" w14:textId="77777777" w:rsidR="00F409A4" w:rsidRPr="00674407" w:rsidRDefault="00F409A4" w:rsidP="00F41B66">
      <w:pPr>
        <w:pStyle w:val="Textonotaalfinal"/>
        <w:rPr>
          <w:rFonts w:asciiTheme="majorHAnsi" w:hAnsiTheme="majorHAnsi"/>
          <w:lang w:val="en-GB"/>
        </w:rPr>
      </w:pPr>
      <w:r w:rsidRPr="00674407">
        <w:rPr>
          <w:rStyle w:val="Refdenotaalfinal"/>
          <w:rFonts w:asciiTheme="majorHAnsi" w:hAnsiTheme="majorHAnsi"/>
        </w:rPr>
        <w:endnoteRef/>
      </w:r>
      <w:r w:rsidRPr="00674407">
        <w:rPr>
          <w:rFonts w:asciiTheme="majorHAnsi" w:hAnsiTheme="majorHAnsi"/>
          <w:lang w:val="en-GB"/>
        </w:rPr>
        <w:t xml:space="preserve"> </w:t>
      </w:r>
      <w:hyperlink r:id="rId34" w:history="1">
        <w:r w:rsidRPr="00674407">
          <w:rPr>
            <w:rStyle w:val="Hipervnculo"/>
            <w:rFonts w:asciiTheme="majorHAnsi" w:hAnsiTheme="majorHAnsi"/>
            <w:lang w:val="en-GB"/>
          </w:rPr>
          <w:t>https://www.fidh.org/International-Federation-for-Human-Rights/americas/guatemala/17046-mas-pequenos-que-david-the-struggle-of-human-rights-defenders-in-guatemala</w:t>
        </w:r>
      </w:hyperlink>
      <w:r w:rsidRPr="00674407">
        <w:rPr>
          <w:rFonts w:asciiTheme="majorHAnsi" w:hAnsiTheme="majorHAnsi"/>
          <w:lang w:val="en-GB"/>
        </w:rPr>
        <w:t xml:space="preserve"> and </w:t>
      </w:r>
      <w:hyperlink r:id="rId35" w:anchor="wrapper" w:history="1">
        <w:r w:rsidRPr="00674407">
          <w:rPr>
            <w:rStyle w:val="Hipervnculo"/>
            <w:rFonts w:asciiTheme="majorHAnsi" w:hAnsiTheme="majorHAnsi" w:cs="Lucida Grande"/>
            <w:lang w:val="en-GB"/>
          </w:rPr>
          <w:t>http://www.state.gov/j/drl/rls/hrrpt/humanrightsreport/index.htm#wrapper</w:t>
        </w:r>
      </w:hyperlink>
    </w:p>
  </w:endnote>
  <w:endnote w:id="52">
    <w:p w14:paraId="374778A4" w14:textId="352276CD" w:rsidR="00F409A4" w:rsidRPr="00674407" w:rsidRDefault="00F409A4">
      <w:pPr>
        <w:pStyle w:val="Textonotaalfinal"/>
        <w:rPr>
          <w:rFonts w:asciiTheme="majorHAnsi" w:hAnsiTheme="majorHAnsi"/>
          <w:lang w:val="en-GB"/>
        </w:rPr>
      </w:pPr>
      <w:r w:rsidRPr="00674407">
        <w:rPr>
          <w:rStyle w:val="Refdenotaalfinal"/>
          <w:rFonts w:asciiTheme="majorHAnsi" w:hAnsiTheme="majorHAnsi"/>
        </w:rPr>
        <w:endnoteRef/>
      </w:r>
      <w:r w:rsidRPr="00674407">
        <w:rPr>
          <w:rFonts w:asciiTheme="majorHAnsi" w:hAnsiTheme="majorHAnsi"/>
          <w:lang w:val="en-GB"/>
        </w:rPr>
        <w:t xml:space="preserve"> Interviews with Guatemalan human rights defenders, carried out by ISHR, January 2015.</w:t>
      </w:r>
    </w:p>
  </w:endnote>
  <w:endnote w:id="53">
    <w:p w14:paraId="60DCD546" w14:textId="77777777" w:rsidR="00F409A4" w:rsidRPr="00674407" w:rsidRDefault="00F409A4" w:rsidP="00F41B66">
      <w:pPr>
        <w:pStyle w:val="Textonotaalfinal"/>
        <w:rPr>
          <w:rFonts w:asciiTheme="majorHAnsi" w:hAnsiTheme="majorHAnsi"/>
          <w:lang w:val="en-GB"/>
        </w:rPr>
      </w:pPr>
      <w:r w:rsidRPr="00674407">
        <w:rPr>
          <w:rStyle w:val="Refdenotaalfinal"/>
          <w:rFonts w:asciiTheme="majorHAnsi" w:hAnsiTheme="majorHAnsi"/>
        </w:rPr>
        <w:endnoteRef/>
      </w:r>
      <w:r w:rsidRPr="00674407">
        <w:rPr>
          <w:rFonts w:asciiTheme="majorHAnsi" w:hAnsiTheme="majorHAnsi"/>
          <w:lang w:val="en-GB"/>
        </w:rPr>
        <w:t xml:space="preserve"> </w:t>
      </w:r>
      <w:r w:rsidRPr="00674407">
        <w:rPr>
          <w:rFonts w:asciiTheme="majorHAnsi" w:hAnsiTheme="majorHAnsi" w:cs="CandidaStd-Roman"/>
          <w:lang w:val="en-GB"/>
        </w:rPr>
        <w:t xml:space="preserve">ILO, </w:t>
      </w:r>
      <w:r w:rsidRPr="00674407">
        <w:rPr>
          <w:rFonts w:asciiTheme="majorHAnsi" w:hAnsiTheme="majorHAnsi" w:cs="CandidaStd-Roman"/>
          <w:i/>
          <w:iCs/>
          <w:lang w:val="en-GB"/>
        </w:rPr>
        <w:t xml:space="preserve">Observation </w:t>
      </w:r>
      <w:r w:rsidRPr="00674407">
        <w:rPr>
          <w:rFonts w:asciiTheme="majorHAnsi" w:hAnsiTheme="majorHAnsi" w:cs="CandidaStd-Roman"/>
          <w:lang w:val="en-GB"/>
        </w:rPr>
        <w:t xml:space="preserve">(CEACR), Agreement 169 Guatemala, Adopted: 2011, Publication: 101st Session CIT, 2012. </w:t>
      </w:r>
    </w:p>
  </w:endnote>
  <w:endnote w:id="54">
    <w:p w14:paraId="6D536763" w14:textId="2120120D" w:rsidR="00F409A4" w:rsidRPr="00674407" w:rsidRDefault="00F409A4" w:rsidP="00F50A13">
      <w:pPr>
        <w:pStyle w:val="Textonotaalfinal"/>
        <w:rPr>
          <w:rFonts w:asciiTheme="majorHAnsi" w:hAnsiTheme="majorHAnsi"/>
          <w:lang w:val="en-GB"/>
        </w:rPr>
      </w:pPr>
      <w:r w:rsidRPr="00674407">
        <w:rPr>
          <w:rStyle w:val="Refdenotaalfinal"/>
          <w:rFonts w:asciiTheme="majorHAnsi" w:hAnsiTheme="majorHAnsi"/>
        </w:rPr>
        <w:endnoteRef/>
      </w:r>
      <w:r w:rsidRPr="00674407">
        <w:rPr>
          <w:rFonts w:asciiTheme="majorHAnsi" w:hAnsiTheme="majorHAnsi"/>
          <w:lang w:val="en-GB"/>
        </w:rPr>
        <w:t xml:space="preserve"> </w:t>
      </w:r>
      <w:hyperlink r:id="rId36" w:history="1">
        <w:proofErr w:type="gramStart"/>
        <w:r w:rsidRPr="00674407">
          <w:rPr>
            <w:rStyle w:val="Hipervnculo"/>
            <w:rFonts w:asciiTheme="majorHAnsi" w:hAnsiTheme="majorHAnsi"/>
            <w:lang w:val="en-GB"/>
          </w:rPr>
          <w:t>Guatemala “Stronger than David”</w:t>
        </w:r>
      </w:hyperlink>
      <w:r w:rsidRPr="00674407">
        <w:rPr>
          <w:rFonts w:asciiTheme="majorHAnsi" w:hAnsiTheme="majorHAnsi"/>
          <w:lang w:val="en-GB"/>
        </w:rPr>
        <w:t>, Observatory.</w:t>
      </w:r>
      <w:proofErr w:type="gramEnd"/>
    </w:p>
  </w:endnote>
  <w:endnote w:id="55">
    <w:p w14:paraId="33B23E9F" w14:textId="77777777" w:rsidR="00F409A4" w:rsidRPr="00674407" w:rsidRDefault="00F409A4" w:rsidP="00F41B66">
      <w:pPr>
        <w:pStyle w:val="Textonotaalfinal"/>
        <w:rPr>
          <w:rFonts w:asciiTheme="majorHAnsi" w:hAnsiTheme="majorHAnsi"/>
          <w:lang w:val="es-GT"/>
        </w:rPr>
      </w:pPr>
      <w:r w:rsidRPr="00674407">
        <w:rPr>
          <w:rStyle w:val="Refdenotaalfinal"/>
          <w:rFonts w:asciiTheme="majorHAnsi" w:hAnsiTheme="majorHAnsi"/>
        </w:rPr>
        <w:endnoteRef/>
      </w:r>
      <w:r w:rsidRPr="00674407">
        <w:rPr>
          <w:rFonts w:asciiTheme="majorHAnsi" w:hAnsiTheme="majorHAnsi"/>
          <w:lang w:val="es-GT"/>
        </w:rPr>
        <w:t xml:space="preserve"> </w:t>
      </w:r>
      <w:r w:rsidRPr="00674407">
        <w:rPr>
          <w:rFonts w:asciiTheme="majorHAnsi" w:hAnsiTheme="majorHAnsi"/>
          <w:lang w:val="es-GT"/>
        </w:rPr>
        <w:t>Instituto Centroamericano de Estudios Fiscales, 2014, ¨La Minería en Guatemala: Realidad y desafíos frente a la democracia y el desarrollo¨, Guatemala: ICEFI: 34.</w:t>
      </w:r>
    </w:p>
  </w:endnote>
  <w:endnote w:id="56">
    <w:p w14:paraId="581924C4" w14:textId="001EF83B" w:rsidR="00F409A4" w:rsidRPr="00674407" w:rsidRDefault="00F409A4" w:rsidP="00F41B66">
      <w:pPr>
        <w:pStyle w:val="Textonotaalfinal"/>
        <w:rPr>
          <w:rFonts w:asciiTheme="majorHAnsi" w:hAnsiTheme="majorHAnsi"/>
          <w:lang w:val="es-ES"/>
        </w:rPr>
      </w:pPr>
      <w:r w:rsidRPr="00674407">
        <w:rPr>
          <w:rStyle w:val="Refdenotaalfinal"/>
          <w:rFonts w:asciiTheme="majorHAnsi" w:hAnsiTheme="majorHAnsi"/>
        </w:rPr>
        <w:endnoteRef/>
      </w:r>
      <w:r w:rsidRPr="00674407">
        <w:rPr>
          <w:rFonts w:asciiTheme="majorHAnsi" w:hAnsiTheme="majorHAnsi"/>
          <w:lang w:val="es-ES"/>
        </w:rPr>
        <w:t xml:space="preserve"> </w:t>
      </w:r>
      <w:r w:rsidRPr="00674407">
        <w:rPr>
          <w:rFonts w:asciiTheme="majorHAnsi" w:hAnsiTheme="majorHAnsi"/>
          <w:lang w:val="es-ES"/>
        </w:rPr>
        <w:t>Código Municipal de Guatemala, artículos: 17, 35, 63, 64, 65, 66, and 109.</w:t>
      </w:r>
    </w:p>
  </w:endnote>
  <w:endnote w:id="57">
    <w:p w14:paraId="5426DC70" w14:textId="3994256D" w:rsidR="00F409A4" w:rsidRPr="00674407" w:rsidRDefault="00F409A4" w:rsidP="00F50A13">
      <w:pPr>
        <w:pStyle w:val="Textonotaalfinal"/>
        <w:rPr>
          <w:rFonts w:asciiTheme="majorHAnsi" w:hAnsiTheme="majorHAnsi"/>
          <w:lang w:val="en-GB"/>
        </w:rPr>
      </w:pPr>
      <w:r w:rsidRPr="00674407">
        <w:rPr>
          <w:rStyle w:val="Refdenotaalfinal"/>
          <w:rFonts w:asciiTheme="majorHAnsi" w:hAnsiTheme="majorHAnsi"/>
        </w:rPr>
        <w:endnoteRef/>
      </w:r>
      <w:r w:rsidRPr="00674407">
        <w:rPr>
          <w:rFonts w:asciiTheme="majorHAnsi" w:hAnsiTheme="majorHAnsi"/>
          <w:lang w:val="en-GB"/>
        </w:rPr>
        <w:t xml:space="preserve"> </w:t>
      </w:r>
      <w:hyperlink r:id="rId37" w:history="1">
        <w:proofErr w:type="gramStart"/>
        <w:r w:rsidRPr="00674407">
          <w:rPr>
            <w:rStyle w:val="Hipervnculo"/>
            <w:rFonts w:asciiTheme="majorHAnsi" w:hAnsiTheme="majorHAnsi"/>
            <w:lang w:val="en-GB"/>
          </w:rPr>
          <w:t>Guatemala “Stronger than David”</w:t>
        </w:r>
      </w:hyperlink>
      <w:r w:rsidRPr="00674407">
        <w:rPr>
          <w:rFonts w:asciiTheme="majorHAnsi" w:hAnsiTheme="majorHAnsi"/>
          <w:lang w:val="en-GB"/>
        </w:rPr>
        <w:t>, Observatory.</w:t>
      </w:r>
      <w:proofErr w:type="gramEnd"/>
    </w:p>
  </w:endnote>
  <w:endnote w:id="58">
    <w:p w14:paraId="71E38575" w14:textId="77777777" w:rsidR="00F409A4" w:rsidRPr="00674407" w:rsidRDefault="00F409A4" w:rsidP="00F41B66">
      <w:pPr>
        <w:spacing w:after="0"/>
        <w:rPr>
          <w:rFonts w:asciiTheme="majorHAnsi" w:hAnsiTheme="majorHAnsi" w:cs="Lucida Grande"/>
          <w:sz w:val="20"/>
          <w:szCs w:val="20"/>
          <w:lang w:val="en-GB"/>
        </w:rPr>
      </w:pPr>
      <w:r w:rsidRPr="00674407">
        <w:rPr>
          <w:rStyle w:val="Refdenotaalfinal"/>
          <w:rFonts w:asciiTheme="majorHAnsi" w:hAnsiTheme="majorHAnsi"/>
          <w:sz w:val="20"/>
          <w:szCs w:val="20"/>
        </w:rPr>
        <w:endnoteRef/>
      </w:r>
      <w:r w:rsidRPr="00674407">
        <w:rPr>
          <w:rFonts w:asciiTheme="majorHAnsi" w:hAnsiTheme="majorHAnsi"/>
          <w:sz w:val="20"/>
          <w:szCs w:val="20"/>
          <w:lang w:val="en-GB"/>
        </w:rPr>
        <w:t xml:space="preserve"> </w:t>
      </w:r>
      <w:hyperlink r:id="rId38" w:anchor="wrapper" w:history="1">
        <w:r w:rsidRPr="00674407">
          <w:rPr>
            <w:rStyle w:val="Hipervnculo"/>
            <w:rFonts w:asciiTheme="majorHAnsi" w:hAnsiTheme="majorHAnsi" w:cs="Lucida Grande"/>
            <w:sz w:val="20"/>
            <w:szCs w:val="20"/>
            <w:lang w:val="en-GB"/>
          </w:rPr>
          <w:t>http://www.state.gov/j/drl/rls/hrrpt/humanrightsreport/index.htm#wrapper</w:t>
        </w:r>
      </w:hyperlink>
    </w:p>
  </w:endnote>
  <w:endnote w:id="59">
    <w:p w14:paraId="4083D25D" w14:textId="77777777" w:rsidR="00F409A4" w:rsidRPr="00674407" w:rsidRDefault="00F409A4" w:rsidP="00F41B66">
      <w:pPr>
        <w:pStyle w:val="Textonotaalfinal"/>
        <w:rPr>
          <w:rFonts w:asciiTheme="majorHAnsi" w:hAnsiTheme="majorHAnsi"/>
          <w:lang w:val="es-GT"/>
        </w:rPr>
      </w:pPr>
      <w:r w:rsidRPr="00674407">
        <w:rPr>
          <w:rStyle w:val="Refdenotaalfinal"/>
          <w:rFonts w:asciiTheme="majorHAnsi" w:hAnsiTheme="majorHAnsi"/>
        </w:rPr>
        <w:endnoteRef/>
      </w:r>
      <w:r w:rsidRPr="00674407">
        <w:rPr>
          <w:rFonts w:asciiTheme="majorHAnsi" w:hAnsiTheme="majorHAnsi"/>
          <w:lang w:val="es-GT"/>
        </w:rPr>
        <w:t xml:space="preserve"> </w:t>
      </w:r>
      <w:r w:rsidRPr="00674407">
        <w:rPr>
          <w:rFonts w:asciiTheme="majorHAnsi" w:hAnsiTheme="majorHAnsi"/>
          <w:lang w:val="es-GT"/>
        </w:rPr>
        <w:t xml:space="preserve">Ministerio de Energía y Minas, 2015, ¨Estadísticas Mineras,¨ visto 11 agosto 2015: </w:t>
      </w:r>
      <w:r w:rsidR="003615D7">
        <w:fldChar w:fldCharType="begin"/>
      </w:r>
      <w:r w:rsidR="003615D7">
        <w:instrText xml:space="preserve"> HYPERLINK "http://www.mem.gob.gt/vicemin</w:instrText>
      </w:r>
      <w:r w:rsidR="003615D7">
        <w:instrText xml:space="preserve">isterio-de-mineria-e-hidrocarburos-2/estadisticas-mineras/" </w:instrText>
      </w:r>
      <w:r w:rsidR="003615D7">
        <w:fldChar w:fldCharType="separate"/>
      </w:r>
      <w:r w:rsidRPr="00674407">
        <w:rPr>
          <w:rStyle w:val="Hipervnculo"/>
          <w:rFonts w:asciiTheme="majorHAnsi" w:hAnsiTheme="majorHAnsi"/>
          <w:lang w:val="es-GT"/>
        </w:rPr>
        <w:t>http://www.mem.gob.gt/viceministerio-de-mineria-e-hidrocarburos-2/estadisticas-mineras/</w:t>
      </w:r>
      <w:r w:rsidR="003615D7">
        <w:rPr>
          <w:rStyle w:val="Hipervnculo"/>
          <w:rFonts w:asciiTheme="majorHAnsi" w:hAnsiTheme="majorHAnsi"/>
          <w:lang w:val="es-GT"/>
        </w:rPr>
        <w:fldChar w:fldCharType="end"/>
      </w:r>
    </w:p>
  </w:endnote>
  <w:endnote w:id="60">
    <w:p w14:paraId="1C2A132D" w14:textId="77777777" w:rsidR="00F409A4" w:rsidRPr="00674407" w:rsidRDefault="00F409A4" w:rsidP="00F41B66">
      <w:pPr>
        <w:pStyle w:val="Textonotaalfinal"/>
        <w:rPr>
          <w:rFonts w:asciiTheme="majorHAnsi" w:hAnsiTheme="majorHAnsi"/>
          <w:lang w:val="es-GT"/>
        </w:rPr>
      </w:pPr>
      <w:r w:rsidRPr="00674407">
        <w:rPr>
          <w:rStyle w:val="Refdenotaalfinal"/>
          <w:rFonts w:asciiTheme="majorHAnsi" w:hAnsiTheme="majorHAnsi"/>
        </w:rPr>
        <w:endnoteRef/>
      </w:r>
      <w:r w:rsidRPr="00674407">
        <w:rPr>
          <w:rFonts w:asciiTheme="majorHAnsi" w:hAnsiTheme="majorHAnsi"/>
          <w:lang w:val="es-GT"/>
        </w:rPr>
        <w:t xml:space="preserve"> </w:t>
      </w:r>
      <w:r w:rsidRPr="00674407">
        <w:rPr>
          <w:rFonts w:asciiTheme="majorHAnsi" w:hAnsiTheme="majorHAnsi"/>
          <w:lang w:val="es-GT"/>
        </w:rPr>
        <w:t xml:space="preserve">Ministerios de Energía y Minas, 2014, ¨ Informe de Estadísticas Energéticas Subsector Eléctrico 2014,¨ visto 11 de agosto 2015: </w:t>
      </w:r>
      <w:r w:rsidR="003615D7">
        <w:fldChar w:fldCharType="begin"/>
      </w:r>
      <w:r w:rsidR="003615D7">
        <w:instrText xml:space="preserve"> HYPERLINK "http://www.mem.gob.gt/viceministerio-del-area-energetica-2/direccion-general-del-area-energetica/estadisticas/" </w:instrText>
      </w:r>
      <w:r w:rsidR="003615D7">
        <w:fldChar w:fldCharType="separate"/>
      </w:r>
      <w:r w:rsidRPr="00674407">
        <w:rPr>
          <w:rStyle w:val="Hipervnculo"/>
          <w:rFonts w:asciiTheme="majorHAnsi" w:hAnsiTheme="majorHAnsi"/>
          <w:lang w:val="es-GT"/>
        </w:rPr>
        <w:t>http://www.mem.gob.gt/viceministerio-del-area-energetica-2/direccion-general-del-area-energetica/estadisticas/</w:t>
      </w:r>
      <w:r w:rsidR="003615D7">
        <w:rPr>
          <w:rStyle w:val="Hipervnculo"/>
          <w:rFonts w:asciiTheme="majorHAnsi" w:hAnsiTheme="majorHAnsi"/>
          <w:lang w:val="es-GT"/>
        </w:rPr>
        <w:fldChar w:fldCharType="end"/>
      </w:r>
    </w:p>
  </w:endnote>
  <w:endnote w:id="61">
    <w:p w14:paraId="152E7393" w14:textId="77777777" w:rsidR="00F409A4" w:rsidRPr="00674407" w:rsidRDefault="00F409A4" w:rsidP="00F41B66">
      <w:pPr>
        <w:pStyle w:val="Textonotaalfinal"/>
        <w:rPr>
          <w:rFonts w:asciiTheme="majorHAnsi" w:hAnsiTheme="majorHAnsi"/>
          <w:lang w:val="es-GT"/>
        </w:rPr>
      </w:pPr>
      <w:r w:rsidRPr="00674407">
        <w:rPr>
          <w:rStyle w:val="Refdenotaalfinal"/>
          <w:rFonts w:asciiTheme="majorHAnsi" w:hAnsiTheme="majorHAnsi"/>
        </w:rPr>
        <w:endnoteRef/>
      </w:r>
      <w:r w:rsidRPr="00674407">
        <w:rPr>
          <w:rFonts w:asciiTheme="majorHAnsi" w:hAnsiTheme="majorHAnsi"/>
          <w:lang w:val="es-GT"/>
        </w:rPr>
        <w:t xml:space="preserve"> </w:t>
      </w:r>
      <w:r w:rsidRPr="00674407">
        <w:rPr>
          <w:rFonts w:asciiTheme="majorHAnsi" w:hAnsiTheme="majorHAnsi"/>
          <w:lang w:val="es-GT"/>
        </w:rPr>
        <w:t xml:space="preserve">Ministerio de Engería y Minas, ¨Estadísticas: Petróleo Crudo Nacional¨, visto 11 de agosto 2015: </w:t>
      </w:r>
      <w:r w:rsidR="003615D7">
        <w:fldChar w:fldCharType="begin"/>
      </w:r>
      <w:r w:rsidR="003615D7">
        <w:instrText xml:space="preserve"> HYPERLINK "http://www.mem.gob.gt/viceminist</w:instrText>
      </w:r>
      <w:r w:rsidR="003615D7">
        <w:instrText xml:space="preserve">erio-de-mineria-e-hidrocarburos-2/direccion-general-de-hidrocarburos/estadisticas/petroleo-crudo-nacional/" </w:instrText>
      </w:r>
      <w:r w:rsidR="003615D7">
        <w:fldChar w:fldCharType="separate"/>
      </w:r>
      <w:r w:rsidRPr="00674407">
        <w:rPr>
          <w:rStyle w:val="Hipervnculo"/>
          <w:rFonts w:asciiTheme="majorHAnsi" w:hAnsiTheme="majorHAnsi"/>
          <w:lang w:val="es-GT"/>
        </w:rPr>
        <w:t>http://www.mem.gob.gt/viceministerio-de-mineria-e-hidrocarburos-2/direccion-general-de-hidrocarburos/estadisticas/petroleo-crudo-nacional/</w:t>
      </w:r>
      <w:r w:rsidR="003615D7">
        <w:rPr>
          <w:rStyle w:val="Hipervnculo"/>
          <w:rFonts w:asciiTheme="majorHAnsi" w:hAnsiTheme="majorHAnsi"/>
          <w:lang w:val="es-GT"/>
        </w:rPr>
        <w:fldChar w:fldCharType="end"/>
      </w:r>
    </w:p>
  </w:endnote>
  <w:endnote w:id="62">
    <w:p w14:paraId="32149A28" w14:textId="77777777" w:rsidR="00F409A4" w:rsidRPr="00674407" w:rsidRDefault="00F409A4" w:rsidP="00F41B66">
      <w:pPr>
        <w:pStyle w:val="Textonotaalfinal"/>
        <w:rPr>
          <w:rFonts w:asciiTheme="majorHAnsi" w:hAnsiTheme="majorHAnsi"/>
          <w:lang w:val="es-GT"/>
        </w:rPr>
      </w:pPr>
      <w:r w:rsidRPr="00674407">
        <w:rPr>
          <w:rStyle w:val="Refdenotaalfinal"/>
          <w:rFonts w:asciiTheme="majorHAnsi" w:hAnsiTheme="majorHAnsi"/>
        </w:rPr>
        <w:endnoteRef/>
      </w:r>
      <w:r w:rsidRPr="00674407">
        <w:rPr>
          <w:rFonts w:asciiTheme="majorHAnsi" w:hAnsiTheme="majorHAnsi"/>
          <w:lang w:val="es-GT"/>
        </w:rPr>
        <w:t xml:space="preserve"> </w:t>
      </w:r>
      <w:r w:rsidRPr="00674407">
        <w:rPr>
          <w:rFonts w:asciiTheme="majorHAnsi" w:hAnsiTheme="majorHAnsi"/>
          <w:lang w:val="es-GT"/>
        </w:rPr>
        <w:t>Instituto Centroamericano de Estudios Fiscales, 2014, ¨La Minería en Guatemala: Realidad y desafíos frente a la democracia y el desarrollo¨, Guatemala: ICEFI: 34.</w:t>
      </w:r>
    </w:p>
  </w:endnote>
  <w:endnote w:id="63">
    <w:p w14:paraId="5B6ABC82" w14:textId="77777777" w:rsidR="00F409A4" w:rsidRPr="00674407" w:rsidRDefault="00F409A4" w:rsidP="00F41B66">
      <w:pPr>
        <w:pStyle w:val="Textonotaalfinal"/>
        <w:rPr>
          <w:rFonts w:asciiTheme="majorHAnsi" w:hAnsiTheme="majorHAnsi"/>
          <w:lang w:val="es-GT"/>
        </w:rPr>
      </w:pPr>
      <w:r w:rsidRPr="00674407">
        <w:rPr>
          <w:rStyle w:val="Refdenotaalfinal"/>
          <w:rFonts w:asciiTheme="majorHAnsi" w:hAnsiTheme="majorHAnsi"/>
        </w:rPr>
        <w:endnoteRef/>
      </w:r>
      <w:r w:rsidRPr="00674407">
        <w:rPr>
          <w:rFonts w:asciiTheme="majorHAnsi" w:hAnsiTheme="majorHAnsi"/>
          <w:lang w:val="en-GB"/>
        </w:rPr>
        <w:t xml:space="preserve"> James Anaya, 2013, ¨Report of the Special Rapporteur on the rights of indigenous peoples, James Anaya: Extractive industries and indigenous peoples</w:t>
      </w:r>
      <w:proofErr w:type="gramStart"/>
      <w:r w:rsidRPr="00674407">
        <w:rPr>
          <w:rFonts w:asciiTheme="majorHAnsi" w:hAnsiTheme="majorHAnsi"/>
          <w:lang w:val="en-GB"/>
        </w:rPr>
        <w:t>,¨</w:t>
      </w:r>
      <w:proofErr w:type="gramEnd"/>
      <w:r w:rsidRPr="00674407">
        <w:rPr>
          <w:rFonts w:asciiTheme="majorHAnsi" w:hAnsiTheme="majorHAnsi"/>
          <w:lang w:val="en-GB"/>
        </w:rPr>
        <w:t xml:space="preserve"> Human Rights Council: A/HRC/24/41 : </w:t>
      </w:r>
      <w:proofErr w:type="spellStart"/>
      <w:r w:rsidRPr="00674407">
        <w:rPr>
          <w:rFonts w:asciiTheme="majorHAnsi" w:hAnsiTheme="majorHAnsi"/>
          <w:lang w:val="en-GB"/>
        </w:rPr>
        <w:t>parr</w:t>
      </w:r>
      <w:proofErr w:type="spellEnd"/>
      <w:r w:rsidRPr="00674407">
        <w:rPr>
          <w:rFonts w:asciiTheme="majorHAnsi" w:hAnsiTheme="majorHAnsi"/>
          <w:lang w:val="en-GB"/>
        </w:rPr>
        <w:t xml:space="preserve">. </w:t>
      </w:r>
      <w:r w:rsidRPr="00674407">
        <w:rPr>
          <w:rFonts w:asciiTheme="majorHAnsi" w:hAnsiTheme="majorHAnsi"/>
          <w:lang w:val="es-GT"/>
        </w:rPr>
        <w:t>24, page 8 ; and Informe del Relator Especial de Naciones Unidas sobre los derechos de los pueblos indígenas, James Anaya, misión a Guatemala, 2010, A/HRC/18/35/Add.3.</w:t>
      </w:r>
    </w:p>
  </w:endnote>
  <w:endnote w:id="64">
    <w:p w14:paraId="1B10F0F0" w14:textId="15C14C52" w:rsidR="00F409A4" w:rsidRPr="003631C2" w:rsidRDefault="00F409A4">
      <w:pPr>
        <w:pStyle w:val="Textonotaalfinal"/>
        <w:rPr>
          <w:lang w:val="en-GB"/>
        </w:rPr>
      </w:pPr>
      <w:r>
        <w:rPr>
          <w:rStyle w:val="Refdenotaalfinal"/>
        </w:rPr>
        <w:endnoteRef/>
      </w:r>
      <w:r w:rsidRPr="003631C2">
        <w:rPr>
          <w:lang w:val="en-GB"/>
        </w:rPr>
        <w:t xml:space="preserve"> </w:t>
      </w:r>
      <w:r w:rsidRPr="00944C92">
        <w:rPr>
          <w:rFonts w:asciiTheme="majorHAnsi" w:hAnsiTheme="majorHAnsi"/>
          <w:lang w:val="en-GB"/>
        </w:rPr>
        <w:t>Interviews</w:t>
      </w:r>
      <w:r>
        <w:rPr>
          <w:rFonts w:asciiTheme="majorHAnsi" w:hAnsiTheme="majorHAnsi"/>
          <w:lang w:val="en-GB"/>
        </w:rPr>
        <w:t xml:space="preserve"> with Guatemalan human rights defenders,</w:t>
      </w:r>
      <w:r w:rsidRPr="00944C92">
        <w:rPr>
          <w:rFonts w:asciiTheme="majorHAnsi" w:hAnsiTheme="majorHAnsi"/>
          <w:lang w:val="en-GB"/>
        </w:rPr>
        <w:t xml:space="preserve"> carried out by ISHR</w:t>
      </w:r>
      <w:r>
        <w:rPr>
          <w:rFonts w:asciiTheme="majorHAnsi" w:hAnsiTheme="majorHAnsi"/>
          <w:lang w:val="en-GB"/>
        </w:rPr>
        <w:t>, January 2015.</w:t>
      </w:r>
    </w:p>
  </w:endnote>
  <w:endnote w:id="65">
    <w:p w14:paraId="28CEA81C" w14:textId="1CBF16E0" w:rsidR="00F409A4" w:rsidRPr="00674407" w:rsidRDefault="00F409A4" w:rsidP="00F41B66">
      <w:pPr>
        <w:pStyle w:val="Textonotaalfinal"/>
        <w:rPr>
          <w:rFonts w:asciiTheme="majorHAnsi" w:hAnsiTheme="majorHAnsi"/>
          <w:lang w:val="es-GT"/>
        </w:rPr>
      </w:pPr>
      <w:r w:rsidRPr="00674407">
        <w:rPr>
          <w:rStyle w:val="Refdenotaalfinal"/>
          <w:rFonts w:asciiTheme="majorHAnsi" w:hAnsiTheme="majorHAnsi"/>
        </w:rPr>
        <w:endnoteRef/>
      </w:r>
      <w:r w:rsidRPr="00674407">
        <w:rPr>
          <w:rFonts w:asciiTheme="majorHAnsi" w:hAnsiTheme="majorHAnsi"/>
          <w:lang w:val="es-GT"/>
        </w:rPr>
        <w:t xml:space="preserve"> </w:t>
      </w:r>
      <w:hyperlink r:id="rId39" w:history="1">
        <w:r w:rsidRPr="00674407">
          <w:rPr>
            <w:rStyle w:val="Hipervnculo"/>
            <w:rFonts w:asciiTheme="majorHAnsi" w:hAnsiTheme="majorHAnsi"/>
            <w:lang w:val="es-ES"/>
          </w:rPr>
          <w:t>http://protectionline.org/files/2014/09/5_UDEFEGUA_informe-anual-2013.pdf</w:t>
        </w:r>
      </w:hyperlink>
    </w:p>
  </w:endnote>
  <w:endnote w:id="66">
    <w:p w14:paraId="6B8471F1" w14:textId="5FB6398C" w:rsidR="00F409A4" w:rsidRPr="00674407" w:rsidRDefault="00F409A4" w:rsidP="00F50A13">
      <w:pPr>
        <w:pStyle w:val="Textonotaalfinal"/>
        <w:rPr>
          <w:rFonts w:asciiTheme="majorHAnsi" w:hAnsiTheme="majorHAnsi"/>
          <w:lang w:val="en-GB"/>
        </w:rPr>
      </w:pPr>
      <w:r w:rsidRPr="00674407">
        <w:rPr>
          <w:rStyle w:val="Refdenotaalfinal"/>
          <w:rFonts w:asciiTheme="majorHAnsi" w:hAnsiTheme="majorHAnsi"/>
        </w:rPr>
        <w:endnoteRef/>
      </w:r>
      <w:r w:rsidRPr="00674407">
        <w:rPr>
          <w:rFonts w:asciiTheme="majorHAnsi" w:hAnsiTheme="majorHAnsi"/>
          <w:lang w:val="en-GB"/>
        </w:rPr>
        <w:t xml:space="preserve"> For an overview of all of the distinct entities with specific </w:t>
      </w:r>
      <w:proofErr w:type="spellStart"/>
      <w:r w:rsidRPr="00674407">
        <w:rPr>
          <w:rFonts w:asciiTheme="majorHAnsi" w:hAnsiTheme="majorHAnsi"/>
          <w:lang w:val="en-GB"/>
        </w:rPr>
        <w:t>responsbibilities</w:t>
      </w:r>
      <w:proofErr w:type="spellEnd"/>
      <w:r w:rsidRPr="00674407">
        <w:rPr>
          <w:rFonts w:asciiTheme="majorHAnsi" w:hAnsiTheme="majorHAnsi"/>
          <w:lang w:val="en-GB"/>
        </w:rPr>
        <w:t xml:space="preserve"> for human rights defender protection, see </w:t>
      </w:r>
      <w:hyperlink r:id="rId40" w:history="1">
        <w:r w:rsidRPr="00674407">
          <w:rPr>
            <w:rStyle w:val="Hipervnculo"/>
            <w:rFonts w:asciiTheme="majorHAnsi" w:hAnsiTheme="majorHAnsi"/>
            <w:lang w:val="en-GB"/>
          </w:rPr>
          <w:t>Guatemala “Stronger than David”</w:t>
        </w:r>
      </w:hyperlink>
      <w:r w:rsidRPr="00674407">
        <w:rPr>
          <w:rFonts w:asciiTheme="majorHAnsi" w:hAnsiTheme="majorHAnsi"/>
          <w:lang w:val="en-GB"/>
        </w:rPr>
        <w:t>, Observatory, pp. 18-20</w:t>
      </w:r>
    </w:p>
  </w:endnote>
  <w:endnote w:id="67">
    <w:p w14:paraId="53141BFE" w14:textId="6A687F33" w:rsidR="00F409A4" w:rsidRPr="00674407" w:rsidRDefault="00F409A4" w:rsidP="00F41B66">
      <w:pPr>
        <w:pStyle w:val="Textonotaalfinal"/>
        <w:rPr>
          <w:rFonts w:asciiTheme="majorHAnsi" w:hAnsiTheme="majorHAnsi"/>
          <w:lang w:val="en-GB"/>
        </w:rPr>
      </w:pPr>
      <w:r w:rsidRPr="00674407">
        <w:rPr>
          <w:rStyle w:val="Refdenotaalfinal"/>
          <w:rFonts w:asciiTheme="majorHAnsi" w:hAnsiTheme="majorHAnsi"/>
        </w:rPr>
        <w:endnoteRef/>
      </w:r>
      <w:r w:rsidRPr="00674407">
        <w:rPr>
          <w:rFonts w:asciiTheme="majorHAnsi" w:hAnsiTheme="majorHAnsi"/>
          <w:lang w:val="en-GB"/>
        </w:rPr>
        <w:t xml:space="preserve"> </w:t>
      </w:r>
      <w:hyperlink r:id="rId41" w:history="1">
        <w:r w:rsidRPr="00674407">
          <w:rPr>
            <w:rStyle w:val="Hipervnculo"/>
            <w:rFonts w:asciiTheme="majorHAnsi" w:hAnsiTheme="majorHAnsi"/>
            <w:lang w:val="en-GB"/>
          </w:rPr>
          <w:t>http://protectionline.org/files/2014/09/5_UDEFEGUA_informe-anual-2013.pdf</w:t>
        </w:r>
      </w:hyperlink>
      <w:r w:rsidRPr="00674407">
        <w:rPr>
          <w:rFonts w:asciiTheme="majorHAnsi" w:hAnsiTheme="majorHAnsi"/>
          <w:lang w:val="en-GB"/>
        </w:rPr>
        <w:t xml:space="preserve">, </w:t>
      </w:r>
      <w:hyperlink r:id="rId42" w:history="1">
        <w:r w:rsidRPr="00674407">
          <w:rPr>
            <w:rStyle w:val="Hipervnculo"/>
            <w:rFonts w:asciiTheme="majorHAnsi" w:hAnsiTheme="majorHAnsi"/>
            <w:lang w:val="en-GB"/>
          </w:rPr>
          <w:t>Guatemala “Stronger than David”</w:t>
        </w:r>
      </w:hyperlink>
      <w:r w:rsidRPr="00674407">
        <w:rPr>
          <w:rFonts w:asciiTheme="majorHAnsi" w:hAnsiTheme="majorHAnsi"/>
          <w:lang w:val="en-GB"/>
        </w:rPr>
        <w:t xml:space="preserve">, Observatory, and </w:t>
      </w:r>
      <w:hyperlink r:id="rId43" w:history="1">
        <w:r w:rsidRPr="00674407">
          <w:rPr>
            <w:rStyle w:val="Hipervnculo"/>
            <w:rFonts w:asciiTheme="majorHAnsi" w:hAnsiTheme="majorHAnsi"/>
            <w:lang w:val="en-GB"/>
          </w:rPr>
          <w:t>http://protectioninternational.org/2014/12/05/new-publication-by-protection-international-focus-2014-report/</w:t>
        </w:r>
      </w:hyperlink>
      <w:r w:rsidRPr="00674407">
        <w:rPr>
          <w:rFonts w:asciiTheme="majorHAnsi" w:hAnsiTheme="majorHAnsi"/>
          <w:lang w:val="en-GB"/>
        </w:rPr>
        <w:t xml:space="preserve"> </w:t>
      </w:r>
    </w:p>
  </w:endnote>
  <w:endnote w:id="68">
    <w:p w14:paraId="4582B96A" w14:textId="6222D1B2" w:rsidR="00F409A4" w:rsidRPr="00674407" w:rsidRDefault="00F409A4" w:rsidP="00F41B66">
      <w:pPr>
        <w:pStyle w:val="Textonotaalfinal"/>
        <w:rPr>
          <w:rFonts w:asciiTheme="majorHAnsi" w:hAnsiTheme="majorHAnsi"/>
          <w:lang w:val="en-GB"/>
        </w:rPr>
      </w:pPr>
      <w:r w:rsidRPr="00674407">
        <w:rPr>
          <w:rStyle w:val="Refdenotaalfinal"/>
          <w:rFonts w:asciiTheme="majorHAnsi" w:hAnsiTheme="majorHAnsi"/>
        </w:rPr>
        <w:endnoteRef/>
      </w:r>
      <w:r w:rsidRPr="00674407">
        <w:rPr>
          <w:rFonts w:asciiTheme="majorHAnsi" w:hAnsiTheme="majorHAnsi"/>
          <w:lang w:val="en-GB"/>
        </w:rPr>
        <w:t xml:space="preserve"> </w:t>
      </w:r>
      <w:hyperlink r:id="rId44" w:history="1">
        <w:r w:rsidRPr="00674407">
          <w:rPr>
            <w:rStyle w:val="Hipervnculo"/>
            <w:rFonts w:asciiTheme="majorHAnsi" w:hAnsiTheme="majorHAnsi"/>
            <w:lang w:val="en-GB"/>
          </w:rPr>
          <w:t>Guatemala “Stronger than David”</w:t>
        </w:r>
      </w:hyperlink>
      <w:r w:rsidRPr="00674407">
        <w:rPr>
          <w:rFonts w:asciiTheme="majorHAnsi" w:hAnsiTheme="majorHAnsi"/>
          <w:lang w:val="en-GB"/>
        </w:rPr>
        <w:t xml:space="preserve">, Observatory, </w:t>
      </w:r>
      <w:hyperlink r:id="rId45" w:history="1">
        <w:r w:rsidRPr="00674407">
          <w:rPr>
            <w:rStyle w:val="Hipervnculo"/>
            <w:rFonts w:asciiTheme="majorHAnsi" w:hAnsiTheme="majorHAnsi"/>
            <w:lang w:val="en-GB"/>
          </w:rPr>
          <w:t>http://protectioninternational.org/2014/12/05/new-publication-by-protection-international-focus-2014-report/</w:t>
        </w:r>
      </w:hyperlink>
      <w:r w:rsidRPr="00674407">
        <w:rPr>
          <w:rFonts w:asciiTheme="majorHAnsi" w:hAnsiTheme="majorHAnsi"/>
          <w:lang w:val="en-GB"/>
        </w:rPr>
        <w:t xml:space="preserve"> and </w:t>
      </w:r>
      <w:hyperlink r:id="rId46" w:history="1">
        <w:r w:rsidRPr="00674407">
          <w:rPr>
            <w:rStyle w:val="Hipervnculo"/>
            <w:rFonts w:asciiTheme="majorHAnsi" w:hAnsiTheme="majorHAnsi"/>
            <w:lang w:val="en-GB"/>
          </w:rPr>
          <w:t>https://www.hrw.org/world-report/2014/country-chapters/guatemala</w:t>
        </w:r>
      </w:hyperlink>
      <w:r w:rsidRPr="00674407">
        <w:rPr>
          <w:rFonts w:asciiTheme="majorHAnsi" w:hAnsiTheme="majorHAnsi"/>
          <w:lang w:val="en-GB"/>
        </w:rPr>
        <w:t xml:space="preserve"> </w:t>
      </w:r>
    </w:p>
  </w:endnote>
  <w:endnote w:id="69">
    <w:p w14:paraId="430FDEB1" w14:textId="70F52EF6" w:rsidR="00F409A4" w:rsidRPr="00674407" w:rsidRDefault="00F409A4" w:rsidP="00F41B66">
      <w:pPr>
        <w:pStyle w:val="Textonotaalfinal"/>
        <w:rPr>
          <w:rFonts w:asciiTheme="majorHAnsi" w:hAnsiTheme="majorHAnsi"/>
          <w:lang w:val="en-GB"/>
        </w:rPr>
      </w:pPr>
      <w:r w:rsidRPr="00674407">
        <w:rPr>
          <w:rStyle w:val="Refdenotaalfinal"/>
          <w:rFonts w:asciiTheme="majorHAnsi" w:hAnsiTheme="majorHAnsi"/>
        </w:rPr>
        <w:endnoteRef/>
      </w:r>
      <w:r w:rsidRPr="00674407">
        <w:rPr>
          <w:rFonts w:asciiTheme="majorHAnsi" w:hAnsiTheme="majorHAnsi"/>
          <w:lang w:val="en-GB"/>
        </w:rPr>
        <w:t xml:space="preserve"> </w:t>
      </w:r>
      <w:hyperlink r:id="rId47" w:history="1">
        <w:proofErr w:type="gramStart"/>
        <w:r w:rsidRPr="00674407">
          <w:rPr>
            <w:rStyle w:val="Hipervnculo"/>
            <w:rFonts w:asciiTheme="majorHAnsi" w:hAnsiTheme="majorHAnsi"/>
            <w:lang w:val="en-GB"/>
          </w:rPr>
          <w:t>http://protectionline.org/files/2014/09/5_UDEFEGUA_informe-anual-2013.pdf</w:t>
        </w:r>
      </w:hyperlink>
      <w:r w:rsidRPr="00674407">
        <w:rPr>
          <w:rFonts w:asciiTheme="majorHAnsi" w:hAnsiTheme="majorHAnsi"/>
          <w:lang w:val="en-GB"/>
        </w:rPr>
        <w:t xml:space="preserve"> and </w:t>
      </w:r>
      <w:hyperlink r:id="rId48" w:history="1">
        <w:r w:rsidRPr="00674407">
          <w:rPr>
            <w:rStyle w:val="Hipervnculo"/>
            <w:rFonts w:asciiTheme="majorHAnsi" w:hAnsiTheme="majorHAnsi"/>
            <w:lang w:val="en-GB"/>
          </w:rPr>
          <w:t>Guatemala “Stronger than David”</w:t>
        </w:r>
      </w:hyperlink>
      <w:r w:rsidRPr="00674407">
        <w:rPr>
          <w:rFonts w:asciiTheme="majorHAnsi" w:hAnsiTheme="majorHAnsi"/>
          <w:lang w:val="en-GB"/>
        </w:rPr>
        <w:t>, Observatory.</w:t>
      </w:r>
      <w:proofErr w:type="gramEnd"/>
    </w:p>
  </w:endnote>
  <w:endnote w:id="70">
    <w:p w14:paraId="52DEF535" w14:textId="77777777" w:rsidR="00F409A4" w:rsidRPr="00674407" w:rsidRDefault="00F409A4" w:rsidP="00F41B66">
      <w:pPr>
        <w:pStyle w:val="Textonotaalfinal"/>
        <w:rPr>
          <w:rFonts w:asciiTheme="majorHAnsi" w:hAnsiTheme="majorHAnsi"/>
          <w:lang w:val="en-GB"/>
        </w:rPr>
      </w:pPr>
      <w:r w:rsidRPr="00674407">
        <w:rPr>
          <w:rStyle w:val="Refdenotaalfinal"/>
          <w:rFonts w:asciiTheme="majorHAnsi" w:hAnsiTheme="majorHAnsi"/>
        </w:rPr>
        <w:endnoteRef/>
      </w:r>
      <w:r w:rsidRPr="00674407">
        <w:rPr>
          <w:rFonts w:asciiTheme="majorHAnsi" w:hAnsiTheme="majorHAnsi"/>
          <w:lang w:val="en-GB"/>
        </w:rPr>
        <w:t xml:space="preserve"> </w:t>
      </w:r>
      <w:hyperlink r:id="rId49" w:history="1">
        <w:r w:rsidRPr="00674407">
          <w:rPr>
            <w:rStyle w:val="Hipervnculo"/>
            <w:rFonts w:asciiTheme="majorHAnsi" w:hAnsiTheme="majorHAnsi"/>
            <w:lang w:val="en-GB"/>
          </w:rPr>
          <w:t>http://www.state.gov/j/drl/rls/hrrpt/2014/wha/236692.htm</w:t>
        </w:r>
      </w:hyperlink>
      <w:r w:rsidRPr="00674407">
        <w:rPr>
          <w:rFonts w:asciiTheme="majorHAnsi" w:hAnsiTheme="majorHAnsi"/>
          <w:lang w:val="en-GB"/>
        </w:rPr>
        <w:t xml:space="preserve"> </w:t>
      </w:r>
    </w:p>
  </w:endnote>
  <w:endnote w:id="71">
    <w:p w14:paraId="4E71C1FA" w14:textId="17049EC8" w:rsidR="00F409A4" w:rsidRPr="00674407" w:rsidRDefault="00F409A4" w:rsidP="00F41B66">
      <w:pPr>
        <w:pStyle w:val="Textonotaalfinal"/>
        <w:rPr>
          <w:rFonts w:asciiTheme="majorHAnsi" w:hAnsiTheme="majorHAnsi"/>
          <w:lang w:val="en-GB"/>
        </w:rPr>
      </w:pPr>
      <w:r w:rsidRPr="00674407">
        <w:rPr>
          <w:rStyle w:val="Refdenotaalfinal"/>
          <w:rFonts w:asciiTheme="majorHAnsi" w:hAnsiTheme="majorHAnsi"/>
        </w:rPr>
        <w:endnoteRef/>
      </w:r>
      <w:r w:rsidRPr="00674407">
        <w:rPr>
          <w:rFonts w:asciiTheme="majorHAnsi" w:hAnsiTheme="majorHAnsi"/>
          <w:lang w:val="en-GB"/>
        </w:rPr>
        <w:t xml:space="preserve"> </w:t>
      </w:r>
      <w:hyperlink r:id="rId50" w:history="1">
        <w:r w:rsidRPr="00674407">
          <w:rPr>
            <w:rStyle w:val="Hipervnculo"/>
            <w:rFonts w:asciiTheme="majorHAnsi" w:hAnsiTheme="majorHAnsi"/>
            <w:lang w:val="en-GB"/>
          </w:rPr>
          <w:t>http://www.corteidh.or.cr/docs/casos/articulos/seriec_283_esp.pdf</w:t>
        </w:r>
      </w:hyperlink>
      <w:r w:rsidRPr="00674407">
        <w:rPr>
          <w:rFonts w:asciiTheme="majorHAnsi" w:hAnsiTheme="majorHAnsi"/>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ndida BT">
    <w:altName w:val="Cambria"/>
    <w:panose1 w:val="00000000000000000000"/>
    <w:charset w:val="00"/>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ato Black">
    <w:altName w:val="Calibri"/>
    <w:charset w:val="00"/>
    <w:family w:val="auto"/>
    <w:pitch w:val="variable"/>
    <w:sig w:usb0="00000003" w:usb1="4000604A" w:usb2="00000000" w:usb3="00000000" w:csb0="00000001" w:csb1="00000000"/>
  </w:font>
  <w:font w:name="CandidaStd-Roman">
    <w:altName w:val="Cambria"/>
    <w:panose1 w:val="00000000000000000000"/>
    <w:charset w:val="4D"/>
    <w:family w:val="auto"/>
    <w:notTrueType/>
    <w:pitch w:val="default"/>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ndidaStd-Bold">
    <w:altName w:val="Cambria"/>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Gill Sans">
    <w:panose1 w:val="020B0502020104020203"/>
    <w:charset w:val="00"/>
    <w:family w:val="auto"/>
    <w:pitch w:val="variable"/>
    <w:sig w:usb0="80000267" w:usb1="00000000" w:usb2="00000000" w:usb3="00000000" w:csb0="000001F7"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AD7AE" w14:textId="77777777" w:rsidR="00F409A4" w:rsidRDefault="00F409A4">
    <w:pPr>
      <w:pStyle w:val="Piedepgina"/>
      <w:jc w:val="center"/>
    </w:pPr>
    <w:r>
      <w:fldChar w:fldCharType="begin"/>
    </w:r>
    <w:r>
      <w:instrText xml:space="preserve"> PAGE   \* MERGEFORMAT </w:instrText>
    </w:r>
    <w:r>
      <w:fldChar w:fldCharType="separate"/>
    </w:r>
    <w:r w:rsidR="003615D7">
      <w:rPr>
        <w:noProof/>
      </w:rPr>
      <w:t>9</w:t>
    </w:r>
    <w:r>
      <w:fldChar w:fldCharType="end"/>
    </w:r>
  </w:p>
  <w:p w14:paraId="7BC0F16B" w14:textId="77777777" w:rsidR="00F409A4" w:rsidRDefault="00F409A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7DB18" w14:textId="77777777" w:rsidR="00D27E93" w:rsidRDefault="00D27E93" w:rsidP="00717498">
      <w:pPr>
        <w:spacing w:after="0" w:line="240" w:lineRule="auto"/>
      </w:pPr>
      <w:r>
        <w:separator/>
      </w:r>
    </w:p>
  </w:footnote>
  <w:footnote w:type="continuationSeparator" w:id="0">
    <w:p w14:paraId="48C28093" w14:textId="77777777" w:rsidR="00D27E93" w:rsidRDefault="00D27E93" w:rsidP="007174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0352F" w14:textId="611D3EAE" w:rsidR="00F409A4" w:rsidRDefault="00F409A4" w:rsidP="00455F41">
    <w:pPr>
      <w:tabs>
        <w:tab w:val="left" w:pos="7470"/>
      </w:tabs>
    </w:pPr>
    <w:r w:rsidRPr="00257FAC">
      <w:rPr>
        <w:rFonts w:asciiTheme="majorHAnsi" w:hAnsiTheme="majorHAnsi"/>
        <w:i/>
        <w:noProof/>
        <w:lang w:val="es-ES" w:eastAsia="es-ES"/>
      </w:rPr>
      <w:drawing>
        <wp:anchor distT="0" distB="0" distL="114300" distR="114300" simplePos="0" relativeHeight="251658240" behindDoc="0" locked="0" layoutInCell="1" allowOverlap="1" wp14:anchorId="7A74FC23" wp14:editId="73A74CBE">
          <wp:simplePos x="0" y="0"/>
          <wp:positionH relativeFrom="column">
            <wp:posOffset>3650615</wp:posOffset>
          </wp:positionH>
          <wp:positionV relativeFrom="paragraph">
            <wp:posOffset>-135255</wp:posOffset>
          </wp:positionV>
          <wp:extent cx="2409825" cy="849630"/>
          <wp:effectExtent l="0" t="0" r="9525" b="7620"/>
          <wp:wrapThrough wrapText="bothSides">
            <wp:wrapPolygon edited="0">
              <wp:start x="0" y="0"/>
              <wp:lineTo x="0" y="21309"/>
              <wp:lineTo x="21515" y="21309"/>
              <wp:lineTo x="21515" y="0"/>
              <wp:lineTo x="0" y="0"/>
            </wp:wrapPolygon>
          </wp:wrapThrough>
          <wp:docPr id="3" name="Picture 3" descr="C:\Users\Ben\Pictures\Platafo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Pictures\Platafor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49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inline distT="0" distB="0" distL="0" distR="0" wp14:anchorId="3226B838" wp14:editId="43ECE4B4">
          <wp:extent cx="3490913" cy="400050"/>
          <wp:effectExtent l="0" t="0" r="0" b="0"/>
          <wp:docPr id="2" name="Picture 2" descr="C:\Users\w.ramsay\Desktop\Design\Pictures\logo_doc_is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amsay\Desktop\Design\Pictures\logo_doc_ish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09128" cy="402137"/>
                  </a:xfrm>
                  <a:prstGeom prst="rect">
                    <a:avLst/>
                  </a:prstGeom>
                  <a:noFill/>
                  <a:ln>
                    <a:noFill/>
                  </a:ln>
                </pic:spPr>
              </pic:pic>
            </a:graphicData>
          </a:graphic>
        </wp:inline>
      </w:drawing>
    </w:r>
    <w:r>
      <w:tab/>
    </w:r>
  </w:p>
  <w:tbl>
    <w:tblPr>
      <w:tblW w:w="10375" w:type="dxa"/>
      <w:tblLook w:val="01E0" w:firstRow="1" w:lastRow="1" w:firstColumn="1" w:lastColumn="1" w:noHBand="0" w:noVBand="0"/>
    </w:tblPr>
    <w:tblGrid>
      <w:gridCol w:w="5495"/>
      <w:gridCol w:w="4880"/>
    </w:tblGrid>
    <w:tr w:rsidR="00F409A4" w:rsidRPr="00E34398" w14:paraId="0C68F90A" w14:textId="77777777" w:rsidTr="00671369">
      <w:trPr>
        <w:trHeight w:val="1408"/>
      </w:trPr>
      <w:tc>
        <w:tcPr>
          <w:tcW w:w="5495" w:type="dxa"/>
          <w:shd w:val="clear" w:color="auto" w:fill="auto"/>
        </w:tcPr>
        <w:p w14:paraId="74957E66" w14:textId="1E8753C4" w:rsidR="00F409A4" w:rsidRPr="0023077F" w:rsidRDefault="00F409A4" w:rsidP="00455F41">
          <w:pPr>
            <w:spacing w:before="100" w:beforeAutospacing="1" w:after="100" w:afterAutospacing="1" w:line="240" w:lineRule="auto"/>
            <w:rPr>
              <w:rFonts w:cs="Arial"/>
              <w:b/>
              <w:sz w:val="32"/>
              <w:lang w:val="en-US"/>
            </w:rPr>
          </w:pPr>
          <w:r w:rsidRPr="00F60E8E">
            <w:rPr>
              <w:rFonts w:ascii="Gill Sans MT" w:eastAsiaTheme="minorEastAsia" w:hAnsi="Gill Sans MT"/>
              <w:color w:val="565456"/>
              <w:sz w:val="52"/>
              <w:szCs w:val="52"/>
              <w:lang w:val="pt-BR"/>
            </w:rPr>
            <w:t xml:space="preserve">THE SITUATION OF </w:t>
          </w:r>
          <w:r w:rsidRPr="00F60E8E">
            <w:rPr>
              <w:rFonts w:ascii="Gill Sans MT" w:eastAsiaTheme="minorEastAsia" w:hAnsi="Gill Sans MT"/>
              <w:color w:val="565456"/>
              <w:sz w:val="36"/>
              <w:szCs w:val="36"/>
              <w:lang w:val="pt-BR"/>
            </w:rPr>
            <w:t>HUMAN RIGHTS DEFENDERS</w:t>
          </w:r>
          <w:r>
            <w:rPr>
              <w:rFonts w:ascii="Gill Sans MT" w:eastAsiaTheme="minorEastAsia" w:hAnsi="Gill Sans MT"/>
              <w:color w:val="565456"/>
              <w:sz w:val="36"/>
              <w:szCs w:val="36"/>
              <w:lang w:val="pt-BR"/>
            </w:rPr>
            <w:t xml:space="preserve"> WORKING ON ISSUES OF BUSINESS &amp; HUMAN RIGHTS</w:t>
          </w:r>
        </w:p>
      </w:tc>
      <w:tc>
        <w:tcPr>
          <w:tcW w:w="4880" w:type="dxa"/>
          <w:shd w:val="clear" w:color="auto" w:fill="auto"/>
        </w:tcPr>
        <w:p w14:paraId="743818BF" w14:textId="77777777" w:rsidR="00F409A4" w:rsidRPr="00455F41" w:rsidRDefault="00F409A4" w:rsidP="004949FF">
          <w:pPr>
            <w:spacing w:before="100" w:beforeAutospacing="1" w:after="100" w:afterAutospacing="1" w:line="240" w:lineRule="auto"/>
            <w:rPr>
              <w:rFonts w:ascii="Gill Sans MT" w:eastAsiaTheme="minorEastAsia" w:hAnsi="Gill Sans MT"/>
              <w:color w:val="565456"/>
              <w:sz w:val="20"/>
              <w:szCs w:val="20"/>
              <w:lang w:val="pt-BR"/>
            </w:rPr>
          </w:pPr>
        </w:p>
        <w:p w14:paraId="4D3C7BD6" w14:textId="3D66FD6D" w:rsidR="00F409A4" w:rsidRPr="004949FF" w:rsidRDefault="00F409A4" w:rsidP="004949FF">
          <w:pPr>
            <w:spacing w:before="100" w:beforeAutospacing="1" w:after="100" w:afterAutospacing="1" w:line="240" w:lineRule="auto"/>
            <w:rPr>
              <w:rFonts w:ascii="Times" w:eastAsiaTheme="minorEastAsia" w:hAnsi="Times"/>
              <w:sz w:val="66"/>
              <w:szCs w:val="66"/>
              <w:lang w:val="pt-BR"/>
            </w:rPr>
          </w:pPr>
          <w:r>
            <w:rPr>
              <w:rFonts w:ascii="Gill Sans MT" w:eastAsiaTheme="minorEastAsia" w:hAnsi="Gill Sans MT"/>
              <w:color w:val="565456"/>
              <w:sz w:val="70"/>
              <w:szCs w:val="70"/>
              <w:lang w:val="pt-BR"/>
            </w:rPr>
            <w:t>GUATEMALA</w:t>
          </w:r>
        </w:p>
      </w:tc>
    </w:tr>
  </w:tbl>
  <w:p w14:paraId="7DF233BF" w14:textId="637D1422" w:rsidR="00F409A4" w:rsidRPr="002561F2" w:rsidRDefault="00F409A4" w:rsidP="002561F2">
    <w:pPr>
      <w:pStyle w:val="NormalWeb"/>
      <w:jc w:val="right"/>
    </w:pPr>
    <w:r w:rsidRPr="00A43279">
      <w:rPr>
        <w:rFonts w:ascii="Gill Sans" w:hAnsi="Gill Sans" w:cs="Gill Sans"/>
        <w:b/>
        <w:bCs/>
        <w:color w:val="E50044"/>
        <w:sz w:val="24"/>
        <w:szCs w:val="24"/>
        <w:lang w:val="en-GB"/>
      </w:rPr>
      <w:t>Human Rights Committee Briefing Paper –</w:t>
    </w:r>
    <w:r>
      <w:rPr>
        <w:rFonts w:ascii="Gill Sans" w:hAnsi="Gill Sans" w:cs="Gill Sans"/>
        <w:b/>
        <w:bCs/>
        <w:color w:val="E50044"/>
        <w:sz w:val="24"/>
        <w:szCs w:val="24"/>
      </w:rPr>
      <w:t xml:space="preserve"> August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726C"/>
    <w:multiLevelType w:val="hybridMultilevel"/>
    <w:tmpl w:val="DA905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D86582"/>
    <w:multiLevelType w:val="hybridMultilevel"/>
    <w:tmpl w:val="D5909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22561D"/>
    <w:multiLevelType w:val="hybridMultilevel"/>
    <w:tmpl w:val="A9CCA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6A7D20"/>
    <w:multiLevelType w:val="hybridMultilevel"/>
    <w:tmpl w:val="93A0C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8A5B96"/>
    <w:multiLevelType w:val="hybridMultilevel"/>
    <w:tmpl w:val="AC4EB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C56603"/>
    <w:multiLevelType w:val="hybridMultilevel"/>
    <w:tmpl w:val="812AB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C4090E"/>
    <w:multiLevelType w:val="hybridMultilevel"/>
    <w:tmpl w:val="228CB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D6C6106"/>
    <w:multiLevelType w:val="hybridMultilevel"/>
    <w:tmpl w:val="E92CC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AE4EB7"/>
    <w:multiLevelType w:val="hybridMultilevel"/>
    <w:tmpl w:val="2016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3D2780"/>
    <w:multiLevelType w:val="hybridMultilevel"/>
    <w:tmpl w:val="030C4C3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0">
    <w:nsid w:val="5FA50999"/>
    <w:multiLevelType w:val="hybridMultilevel"/>
    <w:tmpl w:val="7E50674C"/>
    <w:lvl w:ilvl="0" w:tplc="3D5077AC">
      <w:start w:val="1"/>
      <w:numFmt w:val="decimal"/>
      <w:pStyle w:val="Briefingpaper-heading"/>
      <w:lvlText w:val="%1."/>
      <w:lvlJc w:val="left"/>
      <w:pPr>
        <w:ind w:left="2160" w:hanging="360"/>
      </w:pPr>
      <w:rPr>
        <w:rFonts w:hint="default"/>
      </w:rPr>
    </w:lvl>
    <w:lvl w:ilvl="1" w:tplc="100C0019">
      <w:start w:val="1"/>
      <w:numFmt w:val="lowerLetter"/>
      <w:lvlText w:val="%2."/>
      <w:lvlJc w:val="left"/>
      <w:pPr>
        <w:ind w:left="2880" w:hanging="360"/>
      </w:pPr>
    </w:lvl>
    <w:lvl w:ilvl="2" w:tplc="100C001B" w:tentative="1">
      <w:start w:val="1"/>
      <w:numFmt w:val="lowerRoman"/>
      <w:lvlText w:val="%3."/>
      <w:lvlJc w:val="right"/>
      <w:pPr>
        <w:ind w:left="3600" w:hanging="180"/>
      </w:pPr>
    </w:lvl>
    <w:lvl w:ilvl="3" w:tplc="100C000F" w:tentative="1">
      <w:start w:val="1"/>
      <w:numFmt w:val="decimal"/>
      <w:lvlText w:val="%4."/>
      <w:lvlJc w:val="left"/>
      <w:pPr>
        <w:ind w:left="4320" w:hanging="360"/>
      </w:pPr>
    </w:lvl>
    <w:lvl w:ilvl="4" w:tplc="100C0019" w:tentative="1">
      <w:start w:val="1"/>
      <w:numFmt w:val="lowerLetter"/>
      <w:lvlText w:val="%5."/>
      <w:lvlJc w:val="left"/>
      <w:pPr>
        <w:ind w:left="5040" w:hanging="360"/>
      </w:pPr>
    </w:lvl>
    <w:lvl w:ilvl="5" w:tplc="100C001B" w:tentative="1">
      <w:start w:val="1"/>
      <w:numFmt w:val="lowerRoman"/>
      <w:lvlText w:val="%6."/>
      <w:lvlJc w:val="right"/>
      <w:pPr>
        <w:ind w:left="5760" w:hanging="180"/>
      </w:pPr>
    </w:lvl>
    <w:lvl w:ilvl="6" w:tplc="100C000F" w:tentative="1">
      <w:start w:val="1"/>
      <w:numFmt w:val="decimal"/>
      <w:lvlText w:val="%7."/>
      <w:lvlJc w:val="left"/>
      <w:pPr>
        <w:ind w:left="6480" w:hanging="360"/>
      </w:pPr>
    </w:lvl>
    <w:lvl w:ilvl="7" w:tplc="100C0019" w:tentative="1">
      <w:start w:val="1"/>
      <w:numFmt w:val="lowerLetter"/>
      <w:lvlText w:val="%8."/>
      <w:lvlJc w:val="left"/>
      <w:pPr>
        <w:ind w:left="7200" w:hanging="360"/>
      </w:pPr>
    </w:lvl>
    <w:lvl w:ilvl="8" w:tplc="100C001B" w:tentative="1">
      <w:start w:val="1"/>
      <w:numFmt w:val="lowerRoman"/>
      <w:lvlText w:val="%9."/>
      <w:lvlJc w:val="right"/>
      <w:pPr>
        <w:ind w:left="7920" w:hanging="180"/>
      </w:pPr>
    </w:lvl>
  </w:abstractNum>
  <w:abstractNum w:abstractNumId="11">
    <w:nsid w:val="60D813BE"/>
    <w:multiLevelType w:val="hybridMultilevel"/>
    <w:tmpl w:val="12687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92A3C86"/>
    <w:multiLevelType w:val="hybridMultilevel"/>
    <w:tmpl w:val="4802D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B75395E"/>
    <w:multiLevelType w:val="hybridMultilevel"/>
    <w:tmpl w:val="A532E966"/>
    <w:lvl w:ilvl="0" w:tplc="A9800982">
      <w:start w:val="1"/>
      <w:numFmt w:val="bullet"/>
      <w:pStyle w:val="Briefingpaper-list"/>
      <w:lvlText w:val=""/>
      <w:lvlJc w:val="left"/>
      <w:pPr>
        <w:ind w:left="360" w:hanging="360"/>
      </w:pPr>
      <w:rPr>
        <w:rFonts w:ascii="Symbol" w:hAnsi="Symbol" w:hint="default"/>
        <w:color w:val="auto"/>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4">
    <w:nsid w:val="7B4D09DB"/>
    <w:multiLevelType w:val="hybridMultilevel"/>
    <w:tmpl w:val="9BE06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CBE5CCF"/>
    <w:multiLevelType w:val="hybridMultilevel"/>
    <w:tmpl w:val="6B2AC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9"/>
  </w:num>
  <w:num w:numId="4">
    <w:abstractNumId w:val="12"/>
  </w:num>
  <w:num w:numId="5">
    <w:abstractNumId w:val="11"/>
  </w:num>
  <w:num w:numId="6">
    <w:abstractNumId w:val="5"/>
  </w:num>
  <w:num w:numId="7">
    <w:abstractNumId w:val="4"/>
  </w:num>
  <w:num w:numId="8">
    <w:abstractNumId w:val="3"/>
  </w:num>
  <w:num w:numId="9">
    <w:abstractNumId w:val="8"/>
  </w:num>
  <w:num w:numId="10">
    <w:abstractNumId w:val="2"/>
  </w:num>
  <w:num w:numId="11">
    <w:abstractNumId w:val="15"/>
  </w:num>
  <w:num w:numId="12">
    <w:abstractNumId w:val="6"/>
  </w:num>
  <w:num w:numId="13">
    <w:abstractNumId w:val="1"/>
  </w:num>
  <w:num w:numId="14">
    <w:abstractNumId w:val="14"/>
  </w:num>
  <w:num w:numId="15">
    <w:abstractNumId w:val="7"/>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60"/>
    <w:rsid w:val="000065E8"/>
    <w:rsid w:val="000202DE"/>
    <w:rsid w:val="000322C0"/>
    <w:rsid w:val="0003507D"/>
    <w:rsid w:val="000662AA"/>
    <w:rsid w:val="00072FA3"/>
    <w:rsid w:val="00086A4E"/>
    <w:rsid w:val="00092817"/>
    <w:rsid w:val="00093C1F"/>
    <w:rsid w:val="000B0180"/>
    <w:rsid w:val="000C1025"/>
    <w:rsid w:val="000C7C25"/>
    <w:rsid w:val="000D1E70"/>
    <w:rsid w:val="000D2DFA"/>
    <w:rsid w:val="000D6224"/>
    <w:rsid w:val="000E0851"/>
    <w:rsid w:val="000E44A5"/>
    <w:rsid w:val="000F39A8"/>
    <w:rsid w:val="00135BEF"/>
    <w:rsid w:val="00140C20"/>
    <w:rsid w:val="001510B8"/>
    <w:rsid w:val="00155313"/>
    <w:rsid w:val="001642C2"/>
    <w:rsid w:val="00165CA7"/>
    <w:rsid w:val="001661A8"/>
    <w:rsid w:val="001669DE"/>
    <w:rsid w:val="00193DBD"/>
    <w:rsid w:val="001941AA"/>
    <w:rsid w:val="00196B6E"/>
    <w:rsid w:val="001B1A32"/>
    <w:rsid w:val="001B4846"/>
    <w:rsid w:val="001B5CB9"/>
    <w:rsid w:val="001B65BD"/>
    <w:rsid w:val="001D2F36"/>
    <w:rsid w:val="001D5D59"/>
    <w:rsid w:val="002248EF"/>
    <w:rsid w:val="002314C8"/>
    <w:rsid w:val="00242E03"/>
    <w:rsid w:val="00247E9A"/>
    <w:rsid w:val="002520CD"/>
    <w:rsid w:val="002561F2"/>
    <w:rsid w:val="00260D8B"/>
    <w:rsid w:val="00281E3E"/>
    <w:rsid w:val="002826C5"/>
    <w:rsid w:val="0028492B"/>
    <w:rsid w:val="002854F2"/>
    <w:rsid w:val="002A3971"/>
    <w:rsid w:val="002A5DEA"/>
    <w:rsid w:val="002B2EFA"/>
    <w:rsid w:val="002C7102"/>
    <w:rsid w:val="002D0101"/>
    <w:rsid w:val="002D6890"/>
    <w:rsid w:val="002E0182"/>
    <w:rsid w:val="002E4A93"/>
    <w:rsid w:val="003107F8"/>
    <w:rsid w:val="00322109"/>
    <w:rsid w:val="003410BB"/>
    <w:rsid w:val="003471B3"/>
    <w:rsid w:val="003615D7"/>
    <w:rsid w:val="003631C2"/>
    <w:rsid w:val="0036386E"/>
    <w:rsid w:val="0036587F"/>
    <w:rsid w:val="003757C5"/>
    <w:rsid w:val="00381546"/>
    <w:rsid w:val="003872C1"/>
    <w:rsid w:val="00394A68"/>
    <w:rsid w:val="00395BFA"/>
    <w:rsid w:val="003A3964"/>
    <w:rsid w:val="003A598E"/>
    <w:rsid w:val="003B7F5D"/>
    <w:rsid w:val="003E0C06"/>
    <w:rsid w:val="003F62C8"/>
    <w:rsid w:val="004219E1"/>
    <w:rsid w:val="00445BCA"/>
    <w:rsid w:val="004510B2"/>
    <w:rsid w:val="00455895"/>
    <w:rsid w:val="00455F41"/>
    <w:rsid w:val="00456BA8"/>
    <w:rsid w:val="00460523"/>
    <w:rsid w:val="00460EFF"/>
    <w:rsid w:val="004664FD"/>
    <w:rsid w:val="004723A4"/>
    <w:rsid w:val="004949FF"/>
    <w:rsid w:val="00496F07"/>
    <w:rsid w:val="004A61F2"/>
    <w:rsid w:val="004A64DD"/>
    <w:rsid w:val="004D3473"/>
    <w:rsid w:val="004D71CF"/>
    <w:rsid w:val="004E5FC0"/>
    <w:rsid w:val="004F59DF"/>
    <w:rsid w:val="00506782"/>
    <w:rsid w:val="005426F1"/>
    <w:rsid w:val="00562E59"/>
    <w:rsid w:val="00562EC9"/>
    <w:rsid w:val="00573BAF"/>
    <w:rsid w:val="005754E5"/>
    <w:rsid w:val="00580D9B"/>
    <w:rsid w:val="00583F71"/>
    <w:rsid w:val="00590993"/>
    <w:rsid w:val="00590DE5"/>
    <w:rsid w:val="005A3454"/>
    <w:rsid w:val="005A6056"/>
    <w:rsid w:val="005B0316"/>
    <w:rsid w:val="005B3A30"/>
    <w:rsid w:val="005C1073"/>
    <w:rsid w:val="005C3EC0"/>
    <w:rsid w:val="005F23BE"/>
    <w:rsid w:val="00617E4A"/>
    <w:rsid w:val="00636BCA"/>
    <w:rsid w:val="0065211B"/>
    <w:rsid w:val="006544D2"/>
    <w:rsid w:val="0065498A"/>
    <w:rsid w:val="00665335"/>
    <w:rsid w:val="00671369"/>
    <w:rsid w:val="00674407"/>
    <w:rsid w:val="00683AEF"/>
    <w:rsid w:val="0068458F"/>
    <w:rsid w:val="006947FB"/>
    <w:rsid w:val="006A24E3"/>
    <w:rsid w:val="006A5F78"/>
    <w:rsid w:val="006B0E64"/>
    <w:rsid w:val="006B6A98"/>
    <w:rsid w:val="006C0DBC"/>
    <w:rsid w:val="006C3F26"/>
    <w:rsid w:val="006C7AB6"/>
    <w:rsid w:val="006D5076"/>
    <w:rsid w:val="006E3C76"/>
    <w:rsid w:val="006F6786"/>
    <w:rsid w:val="006F6909"/>
    <w:rsid w:val="0070253E"/>
    <w:rsid w:val="00702BFB"/>
    <w:rsid w:val="00704280"/>
    <w:rsid w:val="00710705"/>
    <w:rsid w:val="007120F2"/>
    <w:rsid w:val="00713911"/>
    <w:rsid w:val="00717498"/>
    <w:rsid w:val="00721790"/>
    <w:rsid w:val="007220D2"/>
    <w:rsid w:val="00742263"/>
    <w:rsid w:val="007454F7"/>
    <w:rsid w:val="00745970"/>
    <w:rsid w:val="00754A71"/>
    <w:rsid w:val="007550F5"/>
    <w:rsid w:val="00765AA2"/>
    <w:rsid w:val="00766F51"/>
    <w:rsid w:val="00771A57"/>
    <w:rsid w:val="00774C90"/>
    <w:rsid w:val="00795894"/>
    <w:rsid w:val="007A1E15"/>
    <w:rsid w:val="007B320C"/>
    <w:rsid w:val="007D2671"/>
    <w:rsid w:val="007E156D"/>
    <w:rsid w:val="007E27C0"/>
    <w:rsid w:val="007E6D07"/>
    <w:rsid w:val="007E6EE0"/>
    <w:rsid w:val="007F2578"/>
    <w:rsid w:val="00805906"/>
    <w:rsid w:val="00811C37"/>
    <w:rsid w:val="00821B41"/>
    <w:rsid w:val="00830AC4"/>
    <w:rsid w:val="008336BB"/>
    <w:rsid w:val="00835E61"/>
    <w:rsid w:val="0085230F"/>
    <w:rsid w:val="008571FD"/>
    <w:rsid w:val="0087149E"/>
    <w:rsid w:val="00884A53"/>
    <w:rsid w:val="00886883"/>
    <w:rsid w:val="00897405"/>
    <w:rsid w:val="008A5F7C"/>
    <w:rsid w:val="008B6805"/>
    <w:rsid w:val="008D3FFB"/>
    <w:rsid w:val="008E408B"/>
    <w:rsid w:val="008E59D5"/>
    <w:rsid w:val="008F0F91"/>
    <w:rsid w:val="008F3399"/>
    <w:rsid w:val="009039CE"/>
    <w:rsid w:val="009142E6"/>
    <w:rsid w:val="009252E9"/>
    <w:rsid w:val="00943602"/>
    <w:rsid w:val="00957AD2"/>
    <w:rsid w:val="009707B9"/>
    <w:rsid w:val="00973F05"/>
    <w:rsid w:val="009752B6"/>
    <w:rsid w:val="00984D80"/>
    <w:rsid w:val="00990B8F"/>
    <w:rsid w:val="009978AB"/>
    <w:rsid w:val="009A219A"/>
    <w:rsid w:val="009B011A"/>
    <w:rsid w:val="009C382D"/>
    <w:rsid w:val="009C731B"/>
    <w:rsid w:val="009F0869"/>
    <w:rsid w:val="009F659A"/>
    <w:rsid w:val="00A00B49"/>
    <w:rsid w:val="00A02080"/>
    <w:rsid w:val="00A04982"/>
    <w:rsid w:val="00A26729"/>
    <w:rsid w:val="00A374F7"/>
    <w:rsid w:val="00A4117D"/>
    <w:rsid w:val="00A419D2"/>
    <w:rsid w:val="00A43279"/>
    <w:rsid w:val="00A434C4"/>
    <w:rsid w:val="00A53C9E"/>
    <w:rsid w:val="00A7601C"/>
    <w:rsid w:val="00A83132"/>
    <w:rsid w:val="00A923A2"/>
    <w:rsid w:val="00A94122"/>
    <w:rsid w:val="00AB0D7A"/>
    <w:rsid w:val="00AC1A9C"/>
    <w:rsid w:val="00AC49A2"/>
    <w:rsid w:val="00AC6CBA"/>
    <w:rsid w:val="00AC7846"/>
    <w:rsid w:val="00AD6CEB"/>
    <w:rsid w:val="00B5295C"/>
    <w:rsid w:val="00B65F75"/>
    <w:rsid w:val="00B91BBA"/>
    <w:rsid w:val="00B92037"/>
    <w:rsid w:val="00B936F1"/>
    <w:rsid w:val="00B95D23"/>
    <w:rsid w:val="00BA22E0"/>
    <w:rsid w:val="00BA5E16"/>
    <w:rsid w:val="00BA688B"/>
    <w:rsid w:val="00BA6FED"/>
    <w:rsid w:val="00BA724E"/>
    <w:rsid w:val="00BA7A24"/>
    <w:rsid w:val="00BB78DB"/>
    <w:rsid w:val="00BC0350"/>
    <w:rsid w:val="00BC25E7"/>
    <w:rsid w:val="00BC4F92"/>
    <w:rsid w:val="00BC5EB5"/>
    <w:rsid w:val="00BF0F5C"/>
    <w:rsid w:val="00BF20AB"/>
    <w:rsid w:val="00C07000"/>
    <w:rsid w:val="00C32D13"/>
    <w:rsid w:val="00C54D60"/>
    <w:rsid w:val="00C73861"/>
    <w:rsid w:val="00C853B4"/>
    <w:rsid w:val="00C9456E"/>
    <w:rsid w:val="00C96872"/>
    <w:rsid w:val="00CB079B"/>
    <w:rsid w:val="00CB1C95"/>
    <w:rsid w:val="00CF182C"/>
    <w:rsid w:val="00CF479F"/>
    <w:rsid w:val="00CF6049"/>
    <w:rsid w:val="00D03157"/>
    <w:rsid w:val="00D120BB"/>
    <w:rsid w:val="00D240D2"/>
    <w:rsid w:val="00D27E93"/>
    <w:rsid w:val="00D3436D"/>
    <w:rsid w:val="00D40EDF"/>
    <w:rsid w:val="00D41E6A"/>
    <w:rsid w:val="00D45EE4"/>
    <w:rsid w:val="00D6600E"/>
    <w:rsid w:val="00D671EB"/>
    <w:rsid w:val="00D717E9"/>
    <w:rsid w:val="00D842A5"/>
    <w:rsid w:val="00D87242"/>
    <w:rsid w:val="00D94F5B"/>
    <w:rsid w:val="00D972D7"/>
    <w:rsid w:val="00DA5BF7"/>
    <w:rsid w:val="00DB3170"/>
    <w:rsid w:val="00DB6A31"/>
    <w:rsid w:val="00DC30E2"/>
    <w:rsid w:val="00DC54AA"/>
    <w:rsid w:val="00DC5BCB"/>
    <w:rsid w:val="00DC73FF"/>
    <w:rsid w:val="00DE28EA"/>
    <w:rsid w:val="00DE5907"/>
    <w:rsid w:val="00DE6365"/>
    <w:rsid w:val="00E24980"/>
    <w:rsid w:val="00E40580"/>
    <w:rsid w:val="00E4123F"/>
    <w:rsid w:val="00E44634"/>
    <w:rsid w:val="00E550D8"/>
    <w:rsid w:val="00E655C6"/>
    <w:rsid w:val="00E721CB"/>
    <w:rsid w:val="00E731BA"/>
    <w:rsid w:val="00E969C2"/>
    <w:rsid w:val="00EC0CC7"/>
    <w:rsid w:val="00EC17AA"/>
    <w:rsid w:val="00ED557A"/>
    <w:rsid w:val="00ED71BD"/>
    <w:rsid w:val="00EE09A2"/>
    <w:rsid w:val="00EE7692"/>
    <w:rsid w:val="00EF0238"/>
    <w:rsid w:val="00EF3E4B"/>
    <w:rsid w:val="00F03B46"/>
    <w:rsid w:val="00F16990"/>
    <w:rsid w:val="00F171C5"/>
    <w:rsid w:val="00F22C27"/>
    <w:rsid w:val="00F37432"/>
    <w:rsid w:val="00F409A4"/>
    <w:rsid w:val="00F41B66"/>
    <w:rsid w:val="00F4363E"/>
    <w:rsid w:val="00F50A13"/>
    <w:rsid w:val="00F80D9D"/>
    <w:rsid w:val="00F814EF"/>
    <w:rsid w:val="00F83F42"/>
    <w:rsid w:val="00F9122F"/>
    <w:rsid w:val="00FA7726"/>
    <w:rsid w:val="00FB3B19"/>
    <w:rsid w:val="00FC2E58"/>
    <w:rsid w:val="00FD11D7"/>
    <w:rsid w:val="00FD2CF8"/>
    <w:rsid w:val="00FF54F7"/>
    <w:rsid w:val="00FF679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EA40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98"/>
    <w:pPr>
      <w:spacing w:after="200" w:line="276" w:lineRule="auto"/>
    </w:pPr>
    <w:rPr>
      <w:rFonts w:ascii="Calibri" w:eastAsia="Calibri" w:hAnsi="Calibri" w:cs="Times New Roman"/>
      <w:sz w:val="22"/>
      <w:szCs w:val="22"/>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5_G"/>
    <w:basedOn w:val="Normal"/>
    <w:link w:val="TextonotapieCar"/>
    <w:unhideWhenUsed/>
    <w:qFormat/>
    <w:rsid w:val="00717498"/>
    <w:pPr>
      <w:spacing w:after="0" w:line="240" w:lineRule="auto"/>
    </w:pPr>
    <w:rPr>
      <w:sz w:val="20"/>
      <w:szCs w:val="20"/>
    </w:rPr>
  </w:style>
  <w:style w:type="character" w:customStyle="1" w:styleId="TextonotapieCar">
    <w:name w:val="Texto nota pie Car"/>
    <w:aliases w:val="5_G Car"/>
    <w:basedOn w:val="Fuentedeprrafopredeter"/>
    <w:link w:val="Textonotapie"/>
    <w:rsid w:val="00717498"/>
    <w:rPr>
      <w:rFonts w:ascii="Calibri" w:eastAsia="Calibri" w:hAnsi="Calibri" w:cs="Times New Roman"/>
      <w:sz w:val="20"/>
      <w:szCs w:val="20"/>
      <w:lang w:val="en-AU"/>
    </w:rPr>
  </w:style>
  <w:style w:type="character" w:styleId="Refdenotaalpie">
    <w:name w:val="footnote reference"/>
    <w:aliases w:val="4_G"/>
    <w:unhideWhenUsed/>
    <w:qFormat/>
    <w:rsid w:val="00717498"/>
    <w:rPr>
      <w:vertAlign w:val="superscript"/>
    </w:rPr>
  </w:style>
  <w:style w:type="paragraph" w:styleId="Prrafodelista">
    <w:name w:val="List Paragraph"/>
    <w:basedOn w:val="Normal"/>
    <w:uiPriority w:val="34"/>
    <w:qFormat/>
    <w:rsid w:val="00717498"/>
    <w:pPr>
      <w:ind w:left="720"/>
      <w:contextualSpacing/>
    </w:pPr>
    <w:rPr>
      <w:lang w:val="fr-CH"/>
    </w:rPr>
  </w:style>
  <w:style w:type="character" w:styleId="Hipervnculo">
    <w:name w:val="Hyperlink"/>
    <w:uiPriority w:val="99"/>
    <w:unhideWhenUsed/>
    <w:rsid w:val="00717498"/>
    <w:rPr>
      <w:color w:val="0000FF"/>
      <w:u w:val="single"/>
    </w:rPr>
  </w:style>
  <w:style w:type="paragraph" w:styleId="Textonotaalfinal">
    <w:name w:val="endnote text"/>
    <w:basedOn w:val="Normal"/>
    <w:link w:val="TextonotaalfinalCar"/>
    <w:uiPriority w:val="99"/>
    <w:unhideWhenUsed/>
    <w:rsid w:val="00717498"/>
    <w:pPr>
      <w:spacing w:after="0" w:line="240" w:lineRule="auto"/>
    </w:pPr>
    <w:rPr>
      <w:sz w:val="20"/>
      <w:szCs w:val="20"/>
      <w:lang w:val="fr-CH"/>
    </w:rPr>
  </w:style>
  <w:style w:type="character" w:customStyle="1" w:styleId="TextonotaalfinalCar">
    <w:name w:val="Texto nota al final Car"/>
    <w:basedOn w:val="Fuentedeprrafopredeter"/>
    <w:link w:val="Textonotaalfinal"/>
    <w:uiPriority w:val="99"/>
    <w:rsid w:val="00717498"/>
    <w:rPr>
      <w:rFonts w:ascii="Calibri" w:eastAsia="Calibri" w:hAnsi="Calibri" w:cs="Times New Roman"/>
      <w:sz w:val="20"/>
      <w:szCs w:val="20"/>
      <w:lang w:val="fr-CH"/>
    </w:rPr>
  </w:style>
  <w:style w:type="character" w:styleId="Refdecomentario">
    <w:name w:val="annotation reference"/>
    <w:uiPriority w:val="99"/>
    <w:semiHidden/>
    <w:unhideWhenUsed/>
    <w:rsid w:val="00717498"/>
    <w:rPr>
      <w:sz w:val="16"/>
      <w:szCs w:val="16"/>
    </w:rPr>
  </w:style>
  <w:style w:type="paragraph" w:styleId="Textocomentario">
    <w:name w:val="annotation text"/>
    <w:basedOn w:val="Normal"/>
    <w:link w:val="TextocomentarioCar"/>
    <w:uiPriority w:val="99"/>
    <w:semiHidden/>
    <w:unhideWhenUsed/>
    <w:rsid w:val="007174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7498"/>
    <w:rPr>
      <w:rFonts w:ascii="Calibri" w:eastAsia="Calibri" w:hAnsi="Calibri" w:cs="Times New Roman"/>
      <w:sz w:val="20"/>
      <w:szCs w:val="20"/>
      <w:lang w:val="en-AU"/>
    </w:rPr>
  </w:style>
  <w:style w:type="character" w:customStyle="1" w:styleId="A5">
    <w:name w:val="A5"/>
    <w:uiPriority w:val="99"/>
    <w:rsid w:val="00717498"/>
    <w:rPr>
      <w:rFonts w:cs="Candida BT"/>
      <w:color w:val="000000"/>
      <w:sz w:val="19"/>
      <w:szCs w:val="19"/>
    </w:rPr>
  </w:style>
  <w:style w:type="paragraph" w:styleId="Piedepgina">
    <w:name w:val="footer"/>
    <w:basedOn w:val="Normal"/>
    <w:link w:val="PiedepginaCar"/>
    <w:uiPriority w:val="99"/>
    <w:unhideWhenUsed/>
    <w:rsid w:val="0071749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717498"/>
    <w:rPr>
      <w:rFonts w:ascii="Calibri" w:eastAsia="Calibri" w:hAnsi="Calibri" w:cs="Times New Roman"/>
      <w:sz w:val="22"/>
      <w:szCs w:val="22"/>
      <w:lang w:val="en-AU"/>
    </w:rPr>
  </w:style>
  <w:style w:type="paragraph" w:styleId="Textodeglobo">
    <w:name w:val="Balloon Text"/>
    <w:basedOn w:val="Normal"/>
    <w:link w:val="TextodegloboCar"/>
    <w:uiPriority w:val="99"/>
    <w:semiHidden/>
    <w:unhideWhenUsed/>
    <w:rsid w:val="0071749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17498"/>
    <w:rPr>
      <w:rFonts w:ascii="Lucida Grande" w:eastAsia="Calibri" w:hAnsi="Lucida Grande" w:cs="Lucida Grande"/>
      <w:sz w:val="18"/>
      <w:szCs w:val="18"/>
      <w:lang w:val="en-AU"/>
    </w:rPr>
  </w:style>
  <w:style w:type="character" w:styleId="Hipervnculovisitado">
    <w:name w:val="FollowedHyperlink"/>
    <w:basedOn w:val="Fuentedeprrafopredeter"/>
    <w:uiPriority w:val="99"/>
    <w:semiHidden/>
    <w:unhideWhenUsed/>
    <w:rsid w:val="00717498"/>
    <w:rPr>
      <w:color w:val="800080" w:themeColor="followedHyperlink"/>
      <w:u w:val="single"/>
    </w:rPr>
  </w:style>
  <w:style w:type="paragraph" w:styleId="NormalWeb">
    <w:name w:val="Normal (Web)"/>
    <w:basedOn w:val="Normal"/>
    <w:uiPriority w:val="99"/>
    <w:unhideWhenUsed/>
    <w:rsid w:val="00140C20"/>
    <w:pPr>
      <w:spacing w:before="100" w:beforeAutospacing="1" w:after="100" w:afterAutospacing="1" w:line="240" w:lineRule="auto"/>
    </w:pPr>
    <w:rPr>
      <w:rFonts w:ascii="Times" w:eastAsiaTheme="minorEastAsia" w:hAnsi="Times"/>
      <w:sz w:val="20"/>
      <w:szCs w:val="20"/>
      <w:lang w:val="pt-BR"/>
    </w:rPr>
  </w:style>
  <w:style w:type="paragraph" w:styleId="Encabezado">
    <w:name w:val="header"/>
    <w:basedOn w:val="Normal"/>
    <w:link w:val="EncabezadoCar"/>
    <w:uiPriority w:val="99"/>
    <w:unhideWhenUsed/>
    <w:rsid w:val="00D240D2"/>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D240D2"/>
    <w:rPr>
      <w:rFonts w:ascii="Calibri" w:eastAsia="Calibri" w:hAnsi="Calibri" w:cs="Times New Roman"/>
      <w:sz w:val="22"/>
      <w:szCs w:val="22"/>
      <w:lang w:val="en-AU"/>
    </w:rPr>
  </w:style>
  <w:style w:type="character" w:styleId="Refdenotaalfinal">
    <w:name w:val="endnote reference"/>
    <w:basedOn w:val="Fuentedeprrafopredeter"/>
    <w:uiPriority w:val="99"/>
    <w:unhideWhenUsed/>
    <w:rsid w:val="00D240D2"/>
    <w:rPr>
      <w:vertAlign w:val="superscript"/>
    </w:rPr>
  </w:style>
  <w:style w:type="paragraph" w:customStyle="1" w:styleId="Briefingpaper-list">
    <w:name w:val="Briefingpaper-list"/>
    <w:basedOn w:val="Prrafodelista"/>
    <w:qFormat/>
    <w:rsid w:val="00AC49A2"/>
    <w:pPr>
      <w:numPr>
        <w:numId w:val="1"/>
      </w:numPr>
      <w:jc w:val="both"/>
    </w:pPr>
    <w:rPr>
      <w:rFonts w:ascii="Helvetica" w:eastAsiaTheme="minorHAnsi" w:hAnsi="Helvetica" w:cs="Arial"/>
      <w:sz w:val="20"/>
      <w:szCs w:val="20"/>
      <w:lang w:val="en-GB"/>
    </w:rPr>
  </w:style>
  <w:style w:type="paragraph" w:customStyle="1" w:styleId="Briefingpaper-heading">
    <w:name w:val="Briefingpaper-heading"/>
    <w:basedOn w:val="Prrafodelista"/>
    <w:qFormat/>
    <w:rsid w:val="00F814EF"/>
    <w:pPr>
      <w:numPr>
        <w:numId w:val="2"/>
      </w:numPr>
      <w:spacing w:after="0"/>
      <w:ind w:left="357" w:hanging="357"/>
      <w:jc w:val="both"/>
    </w:pPr>
    <w:rPr>
      <w:rFonts w:ascii="Helvetica" w:eastAsiaTheme="minorHAnsi" w:hAnsi="Helvetica" w:cs="Arial"/>
      <w:b/>
      <w:sz w:val="20"/>
      <w:szCs w:val="20"/>
      <w:lang w:val="en-GB"/>
    </w:rPr>
  </w:style>
  <w:style w:type="paragraph" w:customStyle="1" w:styleId="Briefingpaper-conclusion">
    <w:name w:val="Briefingpaper-conclusion"/>
    <w:basedOn w:val="Normal"/>
    <w:qFormat/>
    <w:rsid w:val="00F814EF"/>
    <w:pPr>
      <w:jc w:val="both"/>
    </w:pPr>
    <w:rPr>
      <w:rFonts w:ascii="Lato Black" w:eastAsiaTheme="minorHAnsi" w:hAnsi="Lato Black" w:cs="Arial"/>
      <w:sz w:val="20"/>
      <w:szCs w:val="20"/>
      <w:lang w:val="en-GB"/>
    </w:rPr>
  </w:style>
  <w:style w:type="paragraph" w:customStyle="1" w:styleId="Default">
    <w:name w:val="Default"/>
    <w:rsid w:val="009F0869"/>
    <w:pPr>
      <w:autoSpaceDE w:val="0"/>
      <w:autoSpaceDN w:val="0"/>
      <w:adjustRightInd w:val="0"/>
    </w:pPr>
    <w:rPr>
      <w:rFonts w:ascii="Cambria" w:eastAsia="Calibri" w:hAnsi="Cambria" w:cs="Cambria"/>
      <w:color w:val="000000"/>
      <w:lang w:val="en-AU"/>
    </w:rPr>
  </w:style>
  <w:style w:type="paragraph" w:customStyle="1" w:styleId="H1G">
    <w:name w:val="_ H_1_G"/>
    <w:basedOn w:val="Normal"/>
    <w:next w:val="Normal"/>
    <w:rsid w:val="00193DBD"/>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paragraph" w:customStyle="1" w:styleId="footnote">
    <w:name w:val="footnote"/>
    <w:basedOn w:val="Normal"/>
    <w:rsid w:val="00193DBD"/>
    <w:pPr>
      <w:spacing w:after="0" w:line="240" w:lineRule="auto"/>
    </w:pPr>
    <w:rPr>
      <w:sz w:val="20"/>
      <w:szCs w:val="20"/>
    </w:rPr>
  </w:style>
  <w:style w:type="character" w:styleId="Textoennegrita">
    <w:name w:val="Strong"/>
    <w:basedOn w:val="Fuentedeprrafopredeter"/>
    <w:uiPriority w:val="22"/>
    <w:qFormat/>
    <w:rsid w:val="00CB1C95"/>
    <w:rPr>
      <w:b/>
      <w:bCs/>
    </w:rPr>
  </w:style>
  <w:style w:type="character" w:customStyle="1" w:styleId="apple-converted-space">
    <w:name w:val="apple-converted-space"/>
    <w:basedOn w:val="Fuentedeprrafopredeter"/>
    <w:rsid w:val="00CB1C95"/>
  </w:style>
  <w:style w:type="paragraph" w:styleId="Revisin">
    <w:name w:val="Revision"/>
    <w:hidden/>
    <w:uiPriority w:val="99"/>
    <w:semiHidden/>
    <w:rsid w:val="00671369"/>
    <w:rPr>
      <w:rFonts w:ascii="Calibri" w:eastAsia="Calibri" w:hAnsi="Calibri" w:cs="Times New Roman"/>
      <w:sz w:val="22"/>
      <w:szCs w:val="22"/>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98"/>
    <w:pPr>
      <w:spacing w:after="200" w:line="276" w:lineRule="auto"/>
    </w:pPr>
    <w:rPr>
      <w:rFonts w:ascii="Calibri" w:eastAsia="Calibri" w:hAnsi="Calibri" w:cs="Times New Roman"/>
      <w:sz w:val="22"/>
      <w:szCs w:val="22"/>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5_G"/>
    <w:basedOn w:val="Normal"/>
    <w:link w:val="TextonotapieCar"/>
    <w:unhideWhenUsed/>
    <w:qFormat/>
    <w:rsid w:val="00717498"/>
    <w:pPr>
      <w:spacing w:after="0" w:line="240" w:lineRule="auto"/>
    </w:pPr>
    <w:rPr>
      <w:sz w:val="20"/>
      <w:szCs w:val="20"/>
    </w:rPr>
  </w:style>
  <w:style w:type="character" w:customStyle="1" w:styleId="TextonotapieCar">
    <w:name w:val="Texto nota pie Car"/>
    <w:aliases w:val="5_G Car"/>
    <w:basedOn w:val="Fuentedeprrafopredeter"/>
    <w:link w:val="Textonotapie"/>
    <w:rsid w:val="00717498"/>
    <w:rPr>
      <w:rFonts w:ascii="Calibri" w:eastAsia="Calibri" w:hAnsi="Calibri" w:cs="Times New Roman"/>
      <w:sz w:val="20"/>
      <w:szCs w:val="20"/>
      <w:lang w:val="en-AU"/>
    </w:rPr>
  </w:style>
  <w:style w:type="character" w:styleId="Refdenotaalpie">
    <w:name w:val="footnote reference"/>
    <w:aliases w:val="4_G"/>
    <w:unhideWhenUsed/>
    <w:qFormat/>
    <w:rsid w:val="00717498"/>
    <w:rPr>
      <w:vertAlign w:val="superscript"/>
    </w:rPr>
  </w:style>
  <w:style w:type="paragraph" w:styleId="Prrafodelista">
    <w:name w:val="List Paragraph"/>
    <w:basedOn w:val="Normal"/>
    <w:uiPriority w:val="34"/>
    <w:qFormat/>
    <w:rsid w:val="00717498"/>
    <w:pPr>
      <w:ind w:left="720"/>
      <w:contextualSpacing/>
    </w:pPr>
    <w:rPr>
      <w:lang w:val="fr-CH"/>
    </w:rPr>
  </w:style>
  <w:style w:type="character" w:styleId="Hipervnculo">
    <w:name w:val="Hyperlink"/>
    <w:uiPriority w:val="99"/>
    <w:unhideWhenUsed/>
    <w:rsid w:val="00717498"/>
    <w:rPr>
      <w:color w:val="0000FF"/>
      <w:u w:val="single"/>
    </w:rPr>
  </w:style>
  <w:style w:type="paragraph" w:styleId="Textonotaalfinal">
    <w:name w:val="endnote text"/>
    <w:basedOn w:val="Normal"/>
    <w:link w:val="TextonotaalfinalCar"/>
    <w:uiPriority w:val="99"/>
    <w:unhideWhenUsed/>
    <w:rsid w:val="00717498"/>
    <w:pPr>
      <w:spacing w:after="0" w:line="240" w:lineRule="auto"/>
    </w:pPr>
    <w:rPr>
      <w:sz w:val="20"/>
      <w:szCs w:val="20"/>
      <w:lang w:val="fr-CH"/>
    </w:rPr>
  </w:style>
  <w:style w:type="character" w:customStyle="1" w:styleId="TextonotaalfinalCar">
    <w:name w:val="Texto nota al final Car"/>
    <w:basedOn w:val="Fuentedeprrafopredeter"/>
    <w:link w:val="Textonotaalfinal"/>
    <w:uiPriority w:val="99"/>
    <w:rsid w:val="00717498"/>
    <w:rPr>
      <w:rFonts w:ascii="Calibri" w:eastAsia="Calibri" w:hAnsi="Calibri" w:cs="Times New Roman"/>
      <w:sz w:val="20"/>
      <w:szCs w:val="20"/>
      <w:lang w:val="fr-CH"/>
    </w:rPr>
  </w:style>
  <w:style w:type="character" w:styleId="Refdecomentario">
    <w:name w:val="annotation reference"/>
    <w:uiPriority w:val="99"/>
    <w:semiHidden/>
    <w:unhideWhenUsed/>
    <w:rsid w:val="00717498"/>
    <w:rPr>
      <w:sz w:val="16"/>
      <w:szCs w:val="16"/>
    </w:rPr>
  </w:style>
  <w:style w:type="paragraph" w:styleId="Textocomentario">
    <w:name w:val="annotation text"/>
    <w:basedOn w:val="Normal"/>
    <w:link w:val="TextocomentarioCar"/>
    <w:uiPriority w:val="99"/>
    <w:semiHidden/>
    <w:unhideWhenUsed/>
    <w:rsid w:val="007174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7498"/>
    <w:rPr>
      <w:rFonts w:ascii="Calibri" w:eastAsia="Calibri" w:hAnsi="Calibri" w:cs="Times New Roman"/>
      <w:sz w:val="20"/>
      <w:szCs w:val="20"/>
      <w:lang w:val="en-AU"/>
    </w:rPr>
  </w:style>
  <w:style w:type="character" w:customStyle="1" w:styleId="A5">
    <w:name w:val="A5"/>
    <w:uiPriority w:val="99"/>
    <w:rsid w:val="00717498"/>
    <w:rPr>
      <w:rFonts w:cs="Candida BT"/>
      <w:color w:val="000000"/>
      <w:sz w:val="19"/>
      <w:szCs w:val="19"/>
    </w:rPr>
  </w:style>
  <w:style w:type="paragraph" w:styleId="Piedepgina">
    <w:name w:val="footer"/>
    <w:basedOn w:val="Normal"/>
    <w:link w:val="PiedepginaCar"/>
    <w:uiPriority w:val="99"/>
    <w:unhideWhenUsed/>
    <w:rsid w:val="0071749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717498"/>
    <w:rPr>
      <w:rFonts w:ascii="Calibri" w:eastAsia="Calibri" w:hAnsi="Calibri" w:cs="Times New Roman"/>
      <w:sz w:val="22"/>
      <w:szCs w:val="22"/>
      <w:lang w:val="en-AU"/>
    </w:rPr>
  </w:style>
  <w:style w:type="paragraph" w:styleId="Textodeglobo">
    <w:name w:val="Balloon Text"/>
    <w:basedOn w:val="Normal"/>
    <w:link w:val="TextodegloboCar"/>
    <w:uiPriority w:val="99"/>
    <w:semiHidden/>
    <w:unhideWhenUsed/>
    <w:rsid w:val="0071749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17498"/>
    <w:rPr>
      <w:rFonts w:ascii="Lucida Grande" w:eastAsia="Calibri" w:hAnsi="Lucida Grande" w:cs="Lucida Grande"/>
      <w:sz w:val="18"/>
      <w:szCs w:val="18"/>
      <w:lang w:val="en-AU"/>
    </w:rPr>
  </w:style>
  <w:style w:type="character" w:styleId="Hipervnculovisitado">
    <w:name w:val="FollowedHyperlink"/>
    <w:basedOn w:val="Fuentedeprrafopredeter"/>
    <w:uiPriority w:val="99"/>
    <w:semiHidden/>
    <w:unhideWhenUsed/>
    <w:rsid w:val="00717498"/>
    <w:rPr>
      <w:color w:val="800080" w:themeColor="followedHyperlink"/>
      <w:u w:val="single"/>
    </w:rPr>
  </w:style>
  <w:style w:type="paragraph" w:styleId="NormalWeb">
    <w:name w:val="Normal (Web)"/>
    <w:basedOn w:val="Normal"/>
    <w:uiPriority w:val="99"/>
    <w:unhideWhenUsed/>
    <w:rsid w:val="00140C20"/>
    <w:pPr>
      <w:spacing w:before="100" w:beforeAutospacing="1" w:after="100" w:afterAutospacing="1" w:line="240" w:lineRule="auto"/>
    </w:pPr>
    <w:rPr>
      <w:rFonts w:ascii="Times" w:eastAsiaTheme="minorEastAsia" w:hAnsi="Times"/>
      <w:sz w:val="20"/>
      <w:szCs w:val="20"/>
      <w:lang w:val="pt-BR"/>
    </w:rPr>
  </w:style>
  <w:style w:type="paragraph" w:styleId="Encabezado">
    <w:name w:val="header"/>
    <w:basedOn w:val="Normal"/>
    <w:link w:val="EncabezadoCar"/>
    <w:uiPriority w:val="99"/>
    <w:unhideWhenUsed/>
    <w:rsid w:val="00D240D2"/>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D240D2"/>
    <w:rPr>
      <w:rFonts w:ascii="Calibri" w:eastAsia="Calibri" w:hAnsi="Calibri" w:cs="Times New Roman"/>
      <w:sz w:val="22"/>
      <w:szCs w:val="22"/>
      <w:lang w:val="en-AU"/>
    </w:rPr>
  </w:style>
  <w:style w:type="character" w:styleId="Refdenotaalfinal">
    <w:name w:val="endnote reference"/>
    <w:basedOn w:val="Fuentedeprrafopredeter"/>
    <w:uiPriority w:val="99"/>
    <w:unhideWhenUsed/>
    <w:rsid w:val="00D240D2"/>
    <w:rPr>
      <w:vertAlign w:val="superscript"/>
    </w:rPr>
  </w:style>
  <w:style w:type="paragraph" w:customStyle="1" w:styleId="Briefingpaper-list">
    <w:name w:val="Briefingpaper-list"/>
    <w:basedOn w:val="Prrafodelista"/>
    <w:qFormat/>
    <w:rsid w:val="00AC49A2"/>
    <w:pPr>
      <w:numPr>
        <w:numId w:val="1"/>
      </w:numPr>
      <w:jc w:val="both"/>
    </w:pPr>
    <w:rPr>
      <w:rFonts w:ascii="Helvetica" w:eastAsiaTheme="minorHAnsi" w:hAnsi="Helvetica" w:cs="Arial"/>
      <w:sz w:val="20"/>
      <w:szCs w:val="20"/>
      <w:lang w:val="en-GB"/>
    </w:rPr>
  </w:style>
  <w:style w:type="paragraph" w:customStyle="1" w:styleId="Briefingpaper-heading">
    <w:name w:val="Briefingpaper-heading"/>
    <w:basedOn w:val="Prrafodelista"/>
    <w:qFormat/>
    <w:rsid w:val="00F814EF"/>
    <w:pPr>
      <w:numPr>
        <w:numId w:val="2"/>
      </w:numPr>
      <w:spacing w:after="0"/>
      <w:ind w:left="357" w:hanging="357"/>
      <w:jc w:val="both"/>
    </w:pPr>
    <w:rPr>
      <w:rFonts w:ascii="Helvetica" w:eastAsiaTheme="minorHAnsi" w:hAnsi="Helvetica" w:cs="Arial"/>
      <w:b/>
      <w:sz w:val="20"/>
      <w:szCs w:val="20"/>
      <w:lang w:val="en-GB"/>
    </w:rPr>
  </w:style>
  <w:style w:type="paragraph" w:customStyle="1" w:styleId="Briefingpaper-conclusion">
    <w:name w:val="Briefingpaper-conclusion"/>
    <w:basedOn w:val="Normal"/>
    <w:qFormat/>
    <w:rsid w:val="00F814EF"/>
    <w:pPr>
      <w:jc w:val="both"/>
    </w:pPr>
    <w:rPr>
      <w:rFonts w:ascii="Lato Black" w:eastAsiaTheme="minorHAnsi" w:hAnsi="Lato Black" w:cs="Arial"/>
      <w:sz w:val="20"/>
      <w:szCs w:val="20"/>
      <w:lang w:val="en-GB"/>
    </w:rPr>
  </w:style>
  <w:style w:type="paragraph" w:customStyle="1" w:styleId="Default">
    <w:name w:val="Default"/>
    <w:rsid w:val="009F0869"/>
    <w:pPr>
      <w:autoSpaceDE w:val="0"/>
      <w:autoSpaceDN w:val="0"/>
      <w:adjustRightInd w:val="0"/>
    </w:pPr>
    <w:rPr>
      <w:rFonts w:ascii="Cambria" w:eastAsia="Calibri" w:hAnsi="Cambria" w:cs="Cambria"/>
      <w:color w:val="000000"/>
      <w:lang w:val="en-AU"/>
    </w:rPr>
  </w:style>
  <w:style w:type="paragraph" w:customStyle="1" w:styleId="H1G">
    <w:name w:val="_ H_1_G"/>
    <w:basedOn w:val="Normal"/>
    <w:next w:val="Normal"/>
    <w:rsid w:val="00193DBD"/>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paragraph" w:customStyle="1" w:styleId="footnote">
    <w:name w:val="footnote"/>
    <w:basedOn w:val="Normal"/>
    <w:rsid w:val="00193DBD"/>
    <w:pPr>
      <w:spacing w:after="0" w:line="240" w:lineRule="auto"/>
    </w:pPr>
    <w:rPr>
      <w:sz w:val="20"/>
      <w:szCs w:val="20"/>
    </w:rPr>
  </w:style>
  <w:style w:type="character" w:styleId="Textoennegrita">
    <w:name w:val="Strong"/>
    <w:basedOn w:val="Fuentedeprrafopredeter"/>
    <w:uiPriority w:val="22"/>
    <w:qFormat/>
    <w:rsid w:val="00CB1C95"/>
    <w:rPr>
      <w:b/>
      <w:bCs/>
    </w:rPr>
  </w:style>
  <w:style w:type="character" w:customStyle="1" w:styleId="apple-converted-space">
    <w:name w:val="apple-converted-space"/>
    <w:basedOn w:val="Fuentedeprrafopredeter"/>
    <w:rsid w:val="00CB1C95"/>
  </w:style>
  <w:style w:type="paragraph" w:styleId="Revisin">
    <w:name w:val="Revision"/>
    <w:hidden/>
    <w:uiPriority w:val="99"/>
    <w:semiHidden/>
    <w:rsid w:val="00671369"/>
    <w:rPr>
      <w:rFonts w:ascii="Calibri" w:eastAsia="Calibri" w:hAnsi="Calibri" w:cs="Times New Roman"/>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2888">
      <w:bodyDiv w:val="1"/>
      <w:marLeft w:val="0"/>
      <w:marRight w:val="0"/>
      <w:marTop w:val="0"/>
      <w:marBottom w:val="0"/>
      <w:divBdr>
        <w:top w:val="none" w:sz="0" w:space="0" w:color="auto"/>
        <w:left w:val="none" w:sz="0" w:space="0" w:color="auto"/>
        <w:bottom w:val="none" w:sz="0" w:space="0" w:color="auto"/>
        <w:right w:val="none" w:sz="0" w:space="0" w:color="auto"/>
      </w:divBdr>
      <w:divsChild>
        <w:div w:id="66847481">
          <w:marLeft w:val="0"/>
          <w:marRight w:val="0"/>
          <w:marTop w:val="0"/>
          <w:marBottom w:val="0"/>
          <w:divBdr>
            <w:top w:val="none" w:sz="0" w:space="0" w:color="auto"/>
            <w:left w:val="none" w:sz="0" w:space="0" w:color="auto"/>
            <w:bottom w:val="none" w:sz="0" w:space="0" w:color="auto"/>
            <w:right w:val="none" w:sz="0" w:space="0" w:color="auto"/>
          </w:divBdr>
          <w:divsChild>
            <w:div w:id="1911571284">
              <w:marLeft w:val="0"/>
              <w:marRight w:val="0"/>
              <w:marTop w:val="0"/>
              <w:marBottom w:val="0"/>
              <w:divBdr>
                <w:top w:val="none" w:sz="0" w:space="0" w:color="auto"/>
                <w:left w:val="none" w:sz="0" w:space="0" w:color="auto"/>
                <w:bottom w:val="none" w:sz="0" w:space="0" w:color="auto"/>
                <w:right w:val="none" w:sz="0" w:space="0" w:color="auto"/>
              </w:divBdr>
              <w:divsChild>
                <w:div w:id="7559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6755">
      <w:bodyDiv w:val="1"/>
      <w:marLeft w:val="0"/>
      <w:marRight w:val="0"/>
      <w:marTop w:val="0"/>
      <w:marBottom w:val="0"/>
      <w:divBdr>
        <w:top w:val="none" w:sz="0" w:space="0" w:color="auto"/>
        <w:left w:val="none" w:sz="0" w:space="0" w:color="auto"/>
        <w:bottom w:val="none" w:sz="0" w:space="0" w:color="auto"/>
        <w:right w:val="none" w:sz="0" w:space="0" w:color="auto"/>
      </w:divBdr>
      <w:divsChild>
        <w:div w:id="1794907690">
          <w:marLeft w:val="0"/>
          <w:marRight w:val="0"/>
          <w:marTop w:val="0"/>
          <w:marBottom w:val="0"/>
          <w:divBdr>
            <w:top w:val="none" w:sz="0" w:space="0" w:color="auto"/>
            <w:left w:val="none" w:sz="0" w:space="0" w:color="auto"/>
            <w:bottom w:val="none" w:sz="0" w:space="0" w:color="auto"/>
            <w:right w:val="none" w:sz="0" w:space="0" w:color="auto"/>
          </w:divBdr>
          <w:divsChild>
            <w:div w:id="1463310765">
              <w:marLeft w:val="0"/>
              <w:marRight w:val="0"/>
              <w:marTop w:val="0"/>
              <w:marBottom w:val="0"/>
              <w:divBdr>
                <w:top w:val="none" w:sz="0" w:space="0" w:color="auto"/>
                <w:left w:val="none" w:sz="0" w:space="0" w:color="auto"/>
                <w:bottom w:val="none" w:sz="0" w:space="0" w:color="auto"/>
                <w:right w:val="none" w:sz="0" w:space="0" w:color="auto"/>
              </w:divBdr>
              <w:divsChild>
                <w:div w:id="14330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32422">
      <w:bodyDiv w:val="1"/>
      <w:marLeft w:val="0"/>
      <w:marRight w:val="0"/>
      <w:marTop w:val="0"/>
      <w:marBottom w:val="0"/>
      <w:divBdr>
        <w:top w:val="none" w:sz="0" w:space="0" w:color="auto"/>
        <w:left w:val="none" w:sz="0" w:space="0" w:color="auto"/>
        <w:bottom w:val="none" w:sz="0" w:space="0" w:color="auto"/>
        <w:right w:val="none" w:sz="0" w:space="0" w:color="auto"/>
      </w:divBdr>
      <w:divsChild>
        <w:div w:id="681589710">
          <w:marLeft w:val="0"/>
          <w:marRight w:val="0"/>
          <w:marTop w:val="0"/>
          <w:marBottom w:val="0"/>
          <w:divBdr>
            <w:top w:val="none" w:sz="0" w:space="0" w:color="auto"/>
            <w:left w:val="none" w:sz="0" w:space="0" w:color="auto"/>
            <w:bottom w:val="none" w:sz="0" w:space="0" w:color="auto"/>
            <w:right w:val="none" w:sz="0" w:space="0" w:color="auto"/>
          </w:divBdr>
          <w:divsChild>
            <w:div w:id="899633472">
              <w:marLeft w:val="0"/>
              <w:marRight w:val="0"/>
              <w:marTop w:val="0"/>
              <w:marBottom w:val="0"/>
              <w:divBdr>
                <w:top w:val="none" w:sz="0" w:space="0" w:color="auto"/>
                <w:left w:val="none" w:sz="0" w:space="0" w:color="auto"/>
                <w:bottom w:val="none" w:sz="0" w:space="0" w:color="auto"/>
                <w:right w:val="none" w:sz="0" w:space="0" w:color="auto"/>
              </w:divBdr>
              <w:divsChild>
                <w:div w:id="118568905">
                  <w:marLeft w:val="0"/>
                  <w:marRight w:val="0"/>
                  <w:marTop w:val="0"/>
                  <w:marBottom w:val="0"/>
                  <w:divBdr>
                    <w:top w:val="none" w:sz="0" w:space="0" w:color="auto"/>
                    <w:left w:val="none" w:sz="0" w:space="0" w:color="auto"/>
                    <w:bottom w:val="none" w:sz="0" w:space="0" w:color="auto"/>
                    <w:right w:val="none" w:sz="0" w:space="0" w:color="auto"/>
                  </w:divBdr>
                  <w:divsChild>
                    <w:div w:id="11199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482">
      <w:bodyDiv w:val="1"/>
      <w:marLeft w:val="0"/>
      <w:marRight w:val="0"/>
      <w:marTop w:val="0"/>
      <w:marBottom w:val="0"/>
      <w:divBdr>
        <w:top w:val="none" w:sz="0" w:space="0" w:color="auto"/>
        <w:left w:val="none" w:sz="0" w:space="0" w:color="auto"/>
        <w:bottom w:val="none" w:sz="0" w:space="0" w:color="auto"/>
        <w:right w:val="none" w:sz="0" w:space="0" w:color="auto"/>
      </w:divBdr>
      <w:divsChild>
        <w:div w:id="1000427121">
          <w:marLeft w:val="0"/>
          <w:marRight w:val="0"/>
          <w:marTop w:val="0"/>
          <w:marBottom w:val="0"/>
          <w:divBdr>
            <w:top w:val="none" w:sz="0" w:space="0" w:color="auto"/>
            <w:left w:val="none" w:sz="0" w:space="0" w:color="auto"/>
            <w:bottom w:val="none" w:sz="0" w:space="0" w:color="auto"/>
            <w:right w:val="none" w:sz="0" w:space="0" w:color="auto"/>
          </w:divBdr>
          <w:divsChild>
            <w:div w:id="1272279880">
              <w:marLeft w:val="0"/>
              <w:marRight w:val="0"/>
              <w:marTop w:val="0"/>
              <w:marBottom w:val="0"/>
              <w:divBdr>
                <w:top w:val="none" w:sz="0" w:space="0" w:color="auto"/>
                <w:left w:val="none" w:sz="0" w:space="0" w:color="auto"/>
                <w:bottom w:val="none" w:sz="0" w:space="0" w:color="auto"/>
                <w:right w:val="none" w:sz="0" w:space="0" w:color="auto"/>
              </w:divBdr>
              <w:divsChild>
                <w:div w:id="9095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46" Type="http://schemas.openxmlformats.org/officeDocument/2006/relationships/hyperlink" Target="https://www.hrw.org/world-report/2014/country-chapters/guatemala" TargetMode="External"/><Relationship Id="rId47" Type="http://schemas.openxmlformats.org/officeDocument/2006/relationships/hyperlink" Target="http://protectionline.org/files/2014/09/5_UDEFEGUA_informe-anual-2013.pdf" TargetMode="External"/><Relationship Id="rId48" Type="http://schemas.openxmlformats.org/officeDocument/2006/relationships/hyperlink" Target="http://www.omct.org/files/2015/02/23002/v1.2_w_en_rpprtguatemala_obs15.pdf" TargetMode="External"/><Relationship Id="rId49" Type="http://schemas.openxmlformats.org/officeDocument/2006/relationships/hyperlink" Target="http://www.state.gov/j/drl/rls/hrrpt/2014/wha/236692.htm" TargetMode="External"/><Relationship Id="rId20" Type="http://schemas.openxmlformats.org/officeDocument/2006/relationships/hyperlink" Target="https://www.frontlinedefenders.org/node/29261" TargetMode="External"/><Relationship Id="rId21" Type="http://schemas.openxmlformats.org/officeDocument/2006/relationships/hyperlink" Target="https://www.fidh.org/IMG/pdf/obsreportgtm2015eng.pdf" TargetMode="External"/><Relationship Id="rId22" Type="http://schemas.openxmlformats.org/officeDocument/2006/relationships/hyperlink" Target="http://www.pbi-guatemala.org/field-projects/pbi-guatemala/publications/monthly-information-package/" TargetMode="External"/><Relationship Id="rId23" Type="http://schemas.openxmlformats.org/officeDocument/2006/relationships/hyperlink" Target="http://www.state.gov/j/drl/rls/hrrpt/2014/wha/236692.htm" TargetMode="External"/><Relationship Id="rId24" Type="http://schemas.openxmlformats.org/officeDocument/2006/relationships/hyperlink" Target="http://www.pbi-guatemala.org/field-projects/pbi-guatemala/latest-news/news/?no_cache=1&amp;L=0&amp;tx_ttnews%5Btt_news%5D=4438&amp;cHash=ffa307dfc5f278053d2cc504191b7ee8" TargetMode="External"/><Relationship Id="rId25" Type="http://schemas.openxmlformats.org/officeDocument/2006/relationships/hyperlink" Target="http://www.pbi-guatemala.org/field-projects/pbi-guatemala/latest-news/news/?no_cache=1&amp;L=0&amp;tx_ttnews%5Btt_news%5D=4438&amp;cHash=ffa307dfc5f278053d2cc504191b7ee8" TargetMode="External"/><Relationship Id="rId26" Type="http://schemas.openxmlformats.org/officeDocument/2006/relationships/hyperlink" Target="http://www.pbi-guatemala.org/field-projects/pbi-guatemala/latest-news/news/?no_cache=1&amp;L=0&amp;tx_ttnews%5Btt_news%5D=4272&amp;cHash=e2a749c4c1508c6e7a7ff9e3d37166c2" TargetMode="External"/><Relationship Id="rId27" Type="http://schemas.openxmlformats.org/officeDocument/2006/relationships/hyperlink" Target="http://protectionline.org/files/2014/09/5_UDEFEGUA_informe-anual-2013.pdf" TargetMode="External"/><Relationship Id="rId28" Type="http://schemas.openxmlformats.org/officeDocument/2006/relationships/hyperlink" Target="http://www.omct.org/files/2015/02/23002/v1.2_w_en_rpprtguatemala_obs15.pdf" TargetMode="External"/><Relationship Id="rId29" Type="http://schemas.openxmlformats.org/officeDocument/2006/relationships/hyperlink" Target="http://www.scp.gob.gt/dam/municipalidad-scp/documentos/Decretos/2014/DECRETO-8-2014/DECRETO%208-2014.pdf" TargetMode="External"/><Relationship Id="rId50" Type="http://schemas.openxmlformats.org/officeDocument/2006/relationships/hyperlink" Target="http://www.corteidh.or.cr/docs/casos/articulos/seriec_283_esp.pdf" TargetMode="External"/><Relationship Id="rId1" Type="http://schemas.openxmlformats.org/officeDocument/2006/relationships/hyperlink" Target="http://tbinternet.ohchr.org/_layouts/treatybodyexternal/Download.aspx?symbolno=CCPR%2fC%2fGTM%2fCO%2f3&amp;Lang=en" TargetMode="External"/><Relationship Id="rId2" Type="http://schemas.openxmlformats.org/officeDocument/2006/relationships/hyperlink" Target="http://tbinternet.ohchr.org/Treaties/CERD/Shared%20Documents/GTM/INT_CERD_COC_GTM_20494_S.pdf" TargetMode="External"/><Relationship Id="rId3" Type="http://schemas.openxmlformats.org/officeDocument/2006/relationships/hyperlink" Target="http://www.ishr.ch/news/guatemala-protect-human-rights-defenders-working-corporate-accountability-and-land-rights" TargetMode="External"/><Relationship Id="rId4" Type="http://schemas.openxmlformats.org/officeDocument/2006/relationships/hyperlink" Target="http://udefegua.org/wp-content/uploads/2015/08/informe_final_2014.pdf" TargetMode="External"/><Relationship Id="rId5" Type="http://schemas.openxmlformats.org/officeDocument/2006/relationships/hyperlink" Target="https://www.frontlinedefenders.org/guatemala" TargetMode="External"/><Relationship Id="rId30" Type="http://schemas.openxmlformats.org/officeDocument/2006/relationships/hyperlink" Target="http://protectionline.org/files/2014/09/5_UDEFEGUA_informe-anual-2013.pdf" TargetMode="External"/><Relationship Id="rId31" Type="http://schemas.openxmlformats.org/officeDocument/2006/relationships/hyperlink" Target="http://www.omct.org/files/2015/02/23002/v1.2_w_en_rpprtguatemala_obs15.pdf" TargetMode="External"/><Relationship Id="rId32" Type="http://schemas.openxmlformats.org/officeDocument/2006/relationships/hyperlink" Target="http://www.plazapublica.com.gt/content/lider-propone-carcel-para-quien-desacredite-empresas-o-las-investigue-sin-su-autorizacion" TargetMode="External"/><Relationship Id="rId9" Type="http://schemas.openxmlformats.org/officeDocument/2006/relationships/hyperlink" Target="http://www.omct.org/files/2015/02/23002/v1.2_w_en_rpprtguatemala_obs15.pdf" TargetMode="External"/><Relationship Id="rId6" Type="http://schemas.openxmlformats.org/officeDocument/2006/relationships/hyperlink" Target="http://freeassembly.net/rapporteurreports/guatemala-communications/" TargetMode="External"/><Relationship Id="rId7" Type="http://schemas.openxmlformats.org/officeDocument/2006/relationships/hyperlink" Target="https://www.frontlinedefenders.org/guatemala" TargetMode="External"/><Relationship Id="rId8" Type="http://schemas.openxmlformats.org/officeDocument/2006/relationships/hyperlink" Target="https://www.frontlinedefenders.org/guatemala" TargetMode="External"/><Relationship Id="rId33" Type="http://schemas.openxmlformats.org/officeDocument/2006/relationships/hyperlink" Target="http://en.rsf.org/guatemala-officials-prevent-indigenous-radio-26-03-2015,47734.html" TargetMode="External"/><Relationship Id="rId34" Type="http://schemas.openxmlformats.org/officeDocument/2006/relationships/hyperlink" Target="https://www.fidh.org/International-Federation-for-Human-Rights/americas/guatemala/17046-mas-pequenos-que-david-the-struggle-of-human-rights-defenders-in-guatemala" TargetMode="External"/><Relationship Id="rId35" Type="http://schemas.openxmlformats.org/officeDocument/2006/relationships/hyperlink" Target="http://www.state.gov/j/drl/rls/hrrpt/humanrightsreport/index.htm" TargetMode="External"/><Relationship Id="rId36" Type="http://schemas.openxmlformats.org/officeDocument/2006/relationships/hyperlink" Target="http://www.omct.org/files/2015/02/23002/v1.2_w_en_rpprtguatemala_obs15.pdf" TargetMode="External"/><Relationship Id="rId10" Type="http://schemas.openxmlformats.org/officeDocument/2006/relationships/hyperlink" Target="http://protectionline.org/files/2014/09/5_UDEFEGUA_informe-anual-2013.pdf" TargetMode="External"/><Relationship Id="rId11" Type="http://schemas.openxmlformats.org/officeDocument/2006/relationships/hyperlink" Target="http://www.omct.org/files/2015/02/23002/v1.2_w_en_rpprtguatemala_obs15.pdf" TargetMode="External"/><Relationship Id="rId12" Type="http://schemas.openxmlformats.org/officeDocument/2006/relationships/hyperlink" Target="http://protectionline.org/files/2014/09/5_UDEFEGUA_informe-anual-2013.pdf" TargetMode="External"/><Relationship Id="rId13" Type="http://schemas.openxmlformats.org/officeDocument/2006/relationships/hyperlink" Target="https://www.frontlinedefenders.org/guatemala" TargetMode="External"/><Relationship Id="rId14" Type="http://schemas.openxmlformats.org/officeDocument/2006/relationships/hyperlink" Target="http://www.pbi-guatemala.org/fileadmin/user_files/projects/guatemala/files/spanish/PIM_138.pdf" TargetMode="External"/><Relationship Id="rId15" Type="http://schemas.openxmlformats.org/officeDocument/2006/relationships/hyperlink" Target="http://www.omct.org/files/2015/02/23002/v1.2_w_en_rpprtguatemala_obs15.pdf" TargetMode="External"/><Relationship Id="rId16" Type="http://schemas.openxmlformats.org/officeDocument/2006/relationships/hyperlink" Target="http://www.state.gov/j/drl/rls/hrrpt/humanrightsreport/index.htm" TargetMode="External"/><Relationship Id="rId17" Type="http://schemas.openxmlformats.org/officeDocument/2006/relationships/hyperlink" Target="https://ghrcusa.wordpress.com/2015/07/17/victory-for-la-puya-guatemalan-court-orders-suspension-of-construction-operations-at-the-el-tambor-mine/" TargetMode="External"/><Relationship Id="rId18" Type="http://schemas.openxmlformats.org/officeDocument/2006/relationships/hyperlink" Target="http://www.pbi-guatemala.org/field-projects/pbi-guatemala/latest-news/news/?no_cache=1&amp;L=0&amp;tx_ttnews%5Btt_news%5D=4272&amp;cHash=e2a749c4c1508c6e7a7ff9e3d37166c2" TargetMode="External"/><Relationship Id="rId19" Type="http://schemas.openxmlformats.org/officeDocument/2006/relationships/hyperlink" Target="https://www.amnesty.org/en/countries/americas/guatemala/report-guatemala/" TargetMode="External"/><Relationship Id="rId37" Type="http://schemas.openxmlformats.org/officeDocument/2006/relationships/hyperlink" Target="http://www.omct.org/files/2015/02/23002/v1.2_w_en_rpprtguatemala_obs15.pdf" TargetMode="External"/><Relationship Id="rId38" Type="http://schemas.openxmlformats.org/officeDocument/2006/relationships/hyperlink" Target="http://www.state.gov/j/drl/rls/hrrpt/humanrightsreport/index.htm" TargetMode="External"/><Relationship Id="rId39" Type="http://schemas.openxmlformats.org/officeDocument/2006/relationships/hyperlink" Target="http://protectionline.org/files/2014/09/5_UDEFEGUA_informe-anual-2013.pdf" TargetMode="External"/><Relationship Id="rId40" Type="http://schemas.openxmlformats.org/officeDocument/2006/relationships/hyperlink" Target="http://www.omct.org/files/2015/02/23002/v1.2_w_en_rpprtguatemala_obs15.pdf" TargetMode="External"/><Relationship Id="rId41" Type="http://schemas.openxmlformats.org/officeDocument/2006/relationships/hyperlink" Target="http://protectionline.org/files/2014/09/5_UDEFEGUA_informe-anual-2013.pdf" TargetMode="External"/><Relationship Id="rId42" Type="http://schemas.openxmlformats.org/officeDocument/2006/relationships/hyperlink" Target="http://www.omct.org/files/2015/02/23002/v1.2_w_en_rpprtguatemala_obs15.pdf" TargetMode="External"/><Relationship Id="rId43" Type="http://schemas.openxmlformats.org/officeDocument/2006/relationships/hyperlink" Target="http://protectioninternational.org/2014/12/05/new-publication-by-protection-international-focus-2014-report/" TargetMode="External"/><Relationship Id="rId44" Type="http://schemas.openxmlformats.org/officeDocument/2006/relationships/hyperlink" Target="http://www.omct.org/files/2015/02/23002/v1.2_w_en_rpprtguatemala_obs15.pdf" TargetMode="External"/><Relationship Id="rId45" Type="http://schemas.openxmlformats.org/officeDocument/2006/relationships/hyperlink" Target="http://protectioninternational.org/2014/12/05/new-publication-by-protection-international-focus-2014-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DBD96E-1EEC-44ED-B7B5-513DC30561F1}"/>
</file>

<file path=customXml/itemProps2.xml><?xml version="1.0" encoding="utf-8"?>
<ds:datastoreItem xmlns:ds="http://schemas.openxmlformats.org/officeDocument/2006/customXml" ds:itemID="{5CF34D78-C196-804B-A6A1-FD0CDA5B5300}"/>
</file>

<file path=customXml/itemProps3.xml><?xml version="1.0" encoding="utf-8"?>
<ds:datastoreItem xmlns:ds="http://schemas.openxmlformats.org/officeDocument/2006/customXml" ds:itemID="{76D81D78-20FF-41AE-A9A4-F9EADCB93D62}"/>
</file>

<file path=customXml/itemProps4.xml><?xml version="1.0" encoding="utf-8"?>
<ds:datastoreItem xmlns:ds="http://schemas.openxmlformats.org/officeDocument/2006/customXml" ds:itemID="{310A009C-71FA-40E2-8FFD-CAA120B46770}"/>
</file>

<file path=docProps/app.xml><?xml version="1.0" encoding="utf-8"?>
<Properties xmlns="http://schemas.openxmlformats.org/officeDocument/2006/extended-properties" xmlns:vt="http://schemas.openxmlformats.org/officeDocument/2006/docPropsVTypes">
  <Template>Normal.dotm</Template>
  <TotalTime>6</TotalTime>
  <Pages>12</Pages>
  <Words>5174</Words>
  <Characters>28463</Characters>
  <Application>Microsoft Macintosh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Baracho</Company>
  <LinksUpToDate>false</LinksUpToDate>
  <CharactersWithSpaces>33570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Raissa Urquiza</dc:creator>
  <cp:keywords/>
  <dc:description/>
  <cp:lastModifiedBy>Anabella Sibrián</cp:lastModifiedBy>
  <cp:revision>3</cp:revision>
  <cp:lastPrinted>2015-08-13T14:09:00Z</cp:lastPrinted>
  <dcterms:created xsi:type="dcterms:W3CDTF">2015-08-14T18:47:00Z</dcterms:created>
  <dcterms:modified xsi:type="dcterms:W3CDTF">2015-08-14T18:48:00Z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