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0E18" w14:textId="05C7EBB1" w:rsidR="00035E42" w:rsidRPr="00BC4C9B" w:rsidRDefault="00A92D1D" w:rsidP="00035E42">
      <w:pPr>
        <w:pStyle w:val="Header"/>
        <w:jc w:val="center"/>
        <w:rPr>
          <w:lang w:val="fr-CH"/>
        </w:rPr>
      </w:pPr>
      <w:bookmarkStart w:id="0" w:name="_GoBack"/>
      <w:bookmarkEnd w:id="0"/>
      <w:r w:rsidRPr="00BC4C9B">
        <w:rPr>
          <w:rFonts w:ascii="Courier New" w:hAnsi="Courier New" w:cs="Courier New"/>
          <w:noProof/>
          <w:lang w:val="en-GB" w:eastAsia="en-GB"/>
        </w:rPr>
        <w:drawing>
          <wp:inline distT="0" distB="0" distL="0" distR="0" wp14:anchorId="110741FB" wp14:editId="79D1EEED">
            <wp:extent cx="1343025" cy="1047750"/>
            <wp:effectExtent l="0" t="0" r="9525" b="0"/>
            <wp:docPr id="1" name="Picture 1" descr="Alkar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karama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43025" cy="1047750"/>
                    </a:xfrm>
                    <a:prstGeom prst="rect">
                      <a:avLst/>
                    </a:prstGeom>
                    <a:noFill/>
                    <a:ln>
                      <a:noFill/>
                    </a:ln>
                  </pic:spPr>
                </pic:pic>
              </a:graphicData>
            </a:graphic>
          </wp:inline>
        </w:drawing>
      </w:r>
    </w:p>
    <w:p w14:paraId="12D88198" w14:textId="77777777" w:rsidR="00035E42" w:rsidRPr="00BC4C9B" w:rsidRDefault="00035E42" w:rsidP="00035E42">
      <w:pPr>
        <w:rPr>
          <w:lang w:val="fr-CH"/>
        </w:rPr>
      </w:pPr>
    </w:p>
    <w:p w14:paraId="16F053A7" w14:textId="77777777" w:rsidR="00035E42" w:rsidRPr="00BC4C9B" w:rsidRDefault="00035E42" w:rsidP="00035E42">
      <w:pPr>
        <w:rPr>
          <w:lang w:val="fr-CH"/>
        </w:rPr>
      </w:pPr>
    </w:p>
    <w:p w14:paraId="1CC5E052" w14:textId="77777777" w:rsidR="00035E42" w:rsidRPr="00BC4C9B" w:rsidRDefault="00035E42" w:rsidP="00035E42">
      <w:pPr>
        <w:rPr>
          <w:lang w:val="fr-CH"/>
        </w:rPr>
      </w:pPr>
    </w:p>
    <w:p w14:paraId="6E3B7B89" w14:textId="77777777" w:rsidR="00035E42" w:rsidRPr="00BC4C9B" w:rsidRDefault="00035E42" w:rsidP="00035E42">
      <w:pPr>
        <w:rPr>
          <w:lang w:val="fr-CH"/>
        </w:rPr>
      </w:pPr>
    </w:p>
    <w:p w14:paraId="7AFF1720" w14:textId="77777777" w:rsidR="00035E42" w:rsidRPr="00BC4C9B" w:rsidRDefault="00035E42" w:rsidP="00035E42">
      <w:pPr>
        <w:rPr>
          <w:lang w:val="fr-CH"/>
        </w:rPr>
      </w:pPr>
    </w:p>
    <w:p w14:paraId="2727173E" w14:textId="77777777" w:rsidR="00035E42" w:rsidRPr="00BC4C9B" w:rsidRDefault="00035E42" w:rsidP="00035E42">
      <w:pPr>
        <w:rPr>
          <w:lang w:val="fr-CH"/>
        </w:rPr>
      </w:pPr>
    </w:p>
    <w:p w14:paraId="21B37FAA" w14:textId="77777777" w:rsidR="00035E42" w:rsidRPr="00BC4C9B" w:rsidRDefault="00035E42" w:rsidP="00035E42">
      <w:pPr>
        <w:rPr>
          <w:lang w:val="fr-CH"/>
        </w:rPr>
      </w:pPr>
    </w:p>
    <w:p w14:paraId="7E3563F0" w14:textId="77777777" w:rsidR="00035E42" w:rsidRPr="00BC4C9B" w:rsidRDefault="00035E42" w:rsidP="00035E42">
      <w:pPr>
        <w:rPr>
          <w:lang w:val="fr-CH"/>
        </w:rPr>
      </w:pPr>
    </w:p>
    <w:p w14:paraId="6147DD74" w14:textId="77777777" w:rsidR="00035E42" w:rsidRPr="00352AB6" w:rsidRDefault="00342566" w:rsidP="00035E42">
      <w:pPr>
        <w:jc w:val="center"/>
        <w:rPr>
          <w:b/>
          <w:bCs/>
          <w:sz w:val="40"/>
          <w:lang w:val="fr-CH"/>
        </w:rPr>
      </w:pPr>
      <w:r w:rsidRPr="00352AB6">
        <w:rPr>
          <w:b/>
          <w:bCs/>
          <w:sz w:val="40"/>
          <w:lang w:val="fr-CH"/>
        </w:rPr>
        <w:t>ALGERIE</w:t>
      </w:r>
    </w:p>
    <w:p w14:paraId="1D07A14E" w14:textId="77777777" w:rsidR="00035E42" w:rsidRPr="00BC4C9B" w:rsidRDefault="00035E42" w:rsidP="00035E42">
      <w:pPr>
        <w:jc w:val="center"/>
        <w:rPr>
          <w:b/>
          <w:bCs/>
          <w:sz w:val="28"/>
          <w:lang w:val="fr-CH"/>
        </w:rPr>
      </w:pPr>
    </w:p>
    <w:p w14:paraId="48C3F1F8" w14:textId="77777777" w:rsidR="00035E42" w:rsidRPr="00BC4C9B" w:rsidRDefault="00035E42" w:rsidP="00035E42">
      <w:pPr>
        <w:jc w:val="center"/>
        <w:rPr>
          <w:b/>
          <w:bCs/>
          <w:sz w:val="28"/>
          <w:lang w:val="fr-CH"/>
        </w:rPr>
      </w:pPr>
    </w:p>
    <w:p w14:paraId="20269F9F" w14:textId="77777777" w:rsidR="00035E42" w:rsidRPr="00BC4C9B" w:rsidRDefault="00035E42" w:rsidP="00035E42">
      <w:pPr>
        <w:jc w:val="center"/>
        <w:rPr>
          <w:b/>
          <w:bCs/>
          <w:sz w:val="28"/>
          <w:lang w:val="fr-CH"/>
        </w:rPr>
      </w:pPr>
    </w:p>
    <w:p w14:paraId="04C65927" w14:textId="77777777" w:rsidR="00035E42" w:rsidRPr="00BC4C9B" w:rsidRDefault="00035E42" w:rsidP="00035E42">
      <w:pPr>
        <w:jc w:val="center"/>
        <w:rPr>
          <w:b/>
          <w:bCs/>
          <w:sz w:val="28"/>
          <w:lang w:val="fr-CH"/>
        </w:rPr>
      </w:pPr>
    </w:p>
    <w:p w14:paraId="4856DE19" w14:textId="77777777" w:rsidR="00035E42" w:rsidRPr="00BC4C9B" w:rsidRDefault="00035E42" w:rsidP="00035E42">
      <w:pPr>
        <w:jc w:val="center"/>
        <w:rPr>
          <w:b/>
          <w:bCs/>
          <w:sz w:val="28"/>
          <w:lang w:val="fr-CH"/>
        </w:rPr>
      </w:pPr>
    </w:p>
    <w:p w14:paraId="47933003" w14:textId="2D98B200" w:rsidR="00AC4B87" w:rsidRPr="00BC4C9B" w:rsidRDefault="00AC4B87" w:rsidP="00AC4B87">
      <w:pPr>
        <w:jc w:val="center"/>
        <w:rPr>
          <w:b/>
          <w:bCs/>
          <w:sz w:val="28"/>
          <w:lang w:val="fr-CH"/>
        </w:rPr>
      </w:pPr>
      <w:r w:rsidRPr="00BC4C9B">
        <w:rPr>
          <w:b/>
          <w:bCs/>
          <w:sz w:val="28"/>
          <w:lang w:val="fr-CH"/>
        </w:rPr>
        <w:t xml:space="preserve">Soumission de la liste des questions dans le cadre de l'examen du </w:t>
      </w:r>
      <w:r w:rsidR="00FB2AC4">
        <w:rPr>
          <w:b/>
          <w:bCs/>
          <w:sz w:val="28"/>
          <w:lang w:val="fr-CH"/>
        </w:rPr>
        <w:t>quatrième</w:t>
      </w:r>
      <w:r w:rsidR="00342566" w:rsidRPr="00BC4C9B">
        <w:rPr>
          <w:b/>
          <w:bCs/>
          <w:sz w:val="28"/>
          <w:lang w:val="fr-CH"/>
        </w:rPr>
        <w:t xml:space="preserve"> rapport périodique de l’Algérie</w:t>
      </w:r>
      <w:r w:rsidRPr="00BC4C9B">
        <w:rPr>
          <w:b/>
          <w:bCs/>
          <w:sz w:val="28"/>
          <w:lang w:val="fr-CH"/>
        </w:rPr>
        <w:t xml:space="preserve"> </w:t>
      </w:r>
    </w:p>
    <w:p w14:paraId="74A5AF24" w14:textId="77777777" w:rsidR="00AC4B87" w:rsidRPr="00BC4C9B" w:rsidRDefault="00AC4B87" w:rsidP="00342566">
      <w:pPr>
        <w:jc w:val="center"/>
        <w:rPr>
          <w:b/>
          <w:bCs/>
          <w:sz w:val="28"/>
          <w:lang w:val="fr-CH"/>
        </w:rPr>
      </w:pPr>
      <w:r w:rsidRPr="00BC4C9B">
        <w:rPr>
          <w:b/>
          <w:bCs/>
          <w:sz w:val="28"/>
          <w:lang w:val="fr-CH"/>
        </w:rPr>
        <w:t xml:space="preserve">par le </w:t>
      </w:r>
      <w:r w:rsidR="00342566" w:rsidRPr="00BC4C9B">
        <w:rPr>
          <w:b/>
          <w:bCs/>
          <w:sz w:val="28"/>
          <w:lang w:val="fr-CH"/>
        </w:rPr>
        <w:t>Comité des droits de l’homme</w:t>
      </w:r>
      <w:r w:rsidRPr="00BC4C9B">
        <w:rPr>
          <w:b/>
          <w:bCs/>
          <w:sz w:val="28"/>
          <w:lang w:val="fr-CH"/>
        </w:rPr>
        <w:t xml:space="preserve"> </w:t>
      </w:r>
    </w:p>
    <w:p w14:paraId="133CDFEF" w14:textId="77777777" w:rsidR="00035E42" w:rsidRPr="00BC4C9B" w:rsidRDefault="00035E42" w:rsidP="00035E42">
      <w:pPr>
        <w:jc w:val="center"/>
        <w:rPr>
          <w:b/>
          <w:bCs/>
          <w:sz w:val="28"/>
          <w:lang w:val="fr-CH"/>
        </w:rPr>
      </w:pPr>
    </w:p>
    <w:p w14:paraId="21677E03" w14:textId="77777777" w:rsidR="00035E42" w:rsidRPr="00BC4C9B" w:rsidRDefault="00035E42" w:rsidP="00035E42">
      <w:pPr>
        <w:jc w:val="center"/>
        <w:rPr>
          <w:b/>
          <w:bCs/>
          <w:sz w:val="28"/>
          <w:lang w:val="fr-CH"/>
        </w:rPr>
      </w:pPr>
    </w:p>
    <w:p w14:paraId="1A59F6AF" w14:textId="77777777" w:rsidR="00035E42" w:rsidRPr="00BC4C9B" w:rsidRDefault="00035E42" w:rsidP="00035E42">
      <w:pPr>
        <w:jc w:val="center"/>
        <w:rPr>
          <w:b/>
          <w:bCs/>
          <w:sz w:val="28"/>
          <w:lang w:val="fr-CH"/>
        </w:rPr>
      </w:pPr>
    </w:p>
    <w:p w14:paraId="085956E4" w14:textId="77777777" w:rsidR="00035E42" w:rsidRPr="00BC4C9B" w:rsidRDefault="00035E42" w:rsidP="00035E42">
      <w:pPr>
        <w:jc w:val="center"/>
        <w:rPr>
          <w:b/>
          <w:bCs/>
          <w:sz w:val="28"/>
          <w:lang w:val="fr-CH"/>
        </w:rPr>
      </w:pPr>
    </w:p>
    <w:p w14:paraId="66672EF6" w14:textId="4E794D27" w:rsidR="00035E42" w:rsidRPr="00BC4C9B" w:rsidRDefault="007D2A63" w:rsidP="00352AB6">
      <w:pPr>
        <w:jc w:val="center"/>
        <w:rPr>
          <w:b/>
          <w:bCs/>
          <w:sz w:val="24"/>
          <w:szCs w:val="24"/>
          <w:lang w:val="fr-CH"/>
        </w:rPr>
      </w:pPr>
      <w:r w:rsidRPr="00BC4C9B">
        <w:rPr>
          <w:b/>
          <w:bCs/>
          <w:sz w:val="24"/>
          <w:szCs w:val="24"/>
          <w:lang w:val="fr-CH"/>
        </w:rPr>
        <w:t xml:space="preserve">Fondation Alkarama – </w:t>
      </w:r>
      <w:r w:rsidR="00352AB6">
        <w:rPr>
          <w:b/>
          <w:bCs/>
          <w:sz w:val="24"/>
          <w:szCs w:val="24"/>
          <w:lang w:val="fr-CH"/>
        </w:rPr>
        <w:t>24</w:t>
      </w:r>
      <w:r w:rsidR="00342566" w:rsidRPr="00BC4C9B">
        <w:rPr>
          <w:b/>
          <w:bCs/>
          <w:sz w:val="24"/>
          <w:szCs w:val="24"/>
          <w:lang w:val="fr-CH"/>
        </w:rPr>
        <w:t xml:space="preserve"> juillet</w:t>
      </w:r>
      <w:r w:rsidR="00035E42" w:rsidRPr="00BC4C9B">
        <w:rPr>
          <w:b/>
          <w:bCs/>
          <w:sz w:val="24"/>
          <w:szCs w:val="24"/>
          <w:lang w:val="fr-CH"/>
        </w:rPr>
        <w:t xml:space="preserve"> </w:t>
      </w:r>
      <w:r w:rsidR="00342566" w:rsidRPr="00BC4C9B">
        <w:rPr>
          <w:b/>
          <w:bCs/>
          <w:sz w:val="24"/>
          <w:szCs w:val="24"/>
          <w:lang w:val="fr-CH"/>
        </w:rPr>
        <w:t>2017</w:t>
      </w:r>
    </w:p>
    <w:p w14:paraId="1F816DCF" w14:textId="77777777" w:rsidR="00035E42" w:rsidRPr="00BC4C9B" w:rsidRDefault="00035E42" w:rsidP="00035E42">
      <w:pPr>
        <w:jc w:val="center"/>
        <w:rPr>
          <w:b/>
          <w:bCs/>
          <w:lang w:val="fr-CH"/>
        </w:rPr>
      </w:pPr>
    </w:p>
    <w:p w14:paraId="435E5AE4" w14:textId="77777777" w:rsidR="00035E42" w:rsidRPr="00BC4C9B" w:rsidRDefault="00035E42" w:rsidP="00A44985">
      <w:pPr>
        <w:pStyle w:val="Heading1"/>
        <w:numPr>
          <w:ilvl w:val="0"/>
          <w:numId w:val="0"/>
        </w:numPr>
        <w:ind w:left="720" w:hanging="360"/>
        <w:rPr>
          <w:lang w:val="fr-CH"/>
        </w:rPr>
      </w:pPr>
      <w:r w:rsidRPr="00BC4C9B">
        <w:rPr>
          <w:lang w:val="fr-CH"/>
        </w:rPr>
        <w:br w:type="page"/>
      </w:r>
      <w:bookmarkStart w:id="1" w:name="_Toc488662959"/>
      <w:r w:rsidRPr="00BC4C9B">
        <w:rPr>
          <w:lang w:val="fr-CH"/>
        </w:rPr>
        <w:lastRenderedPageBreak/>
        <w:t>Table des matières</w:t>
      </w:r>
      <w:bookmarkEnd w:id="1"/>
    </w:p>
    <w:p w14:paraId="2A174742" w14:textId="77777777" w:rsidR="00035E42" w:rsidRPr="00BC4C9B" w:rsidRDefault="00035E42" w:rsidP="00035E42">
      <w:pPr>
        <w:pStyle w:val="TOC1"/>
        <w:tabs>
          <w:tab w:val="left" w:pos="440"/>
          <w:tab w:val="right" w:leader="dot" w:pos="9062"/>
        </w:tabs>
        <w:rPr>
          <w:lang w:val="fr-CH"/>
        </w:rPr>
      </w:pPr>
    </w:p>
    <w:p w14:paraId="04A65D18" w14:textId="77777777" w:rsidR="00ED28E2" w:rsidRDefault="00035E42">
      <w:pPr>
        <w:pStyle w:val="TOC1"/>
        <w:tabs>
          <w:tab w:val="right" w:leader="dot" w:pos="9062"/>
        </w:tabs>
        <w:rPr>
          <w:rFonts w:asciiTheme="minorHAnsi" w:eastAsiaTheme="minorEastAsia" w:hAnsiTheme="minorHAnsi" w:cstheme="minorBidi"/>
          <w:b w:val="0"/>
          <w:bCs w:val="0"/>
          <w:caps w:val="0"/>
          <w:noProof/>
          <w:sz w:val="22"/>
          <w:szCs w:val="22"/>
          <w:lang w:val="fr-CH" w:eastAsia="fr-CH"/>
        </w:rPr>
      </w:pPr>
      <w:r w:rsidRPr="00BC4C9B">
        <w:rPr>
          <w:rFonts w:ascii="Tahoma" w:hAnsi="Tahoma" w:cs="Tahoma"/>
          <w:i/>
          <w:iCs/>
          <w:caps w:val="0"/>
          <w:lang w:val="fr-CH"/>
        </w:rPr>
        <w:fldChar w:fldCharType="begin"/>
      </w:r>
      <w:r w:rsidRPr="00BC4C9B">
        <w:rPr>
          <w:rFonts w:ascii="Tahoma" w:hAnsi="Tahoma" w:cs="Tahoma"/>
          <w:i/>
          <w:iCs/>
          <w:caps w:val="0"/>
          <w:lang w:val="fr-CH"/>
        </w:rPr>
        <w:instrText xml:space="preserve"> TOC \o "1-3" \h \z \u </w:instrText>
      </w:r>
      <w:r w:rsidRPr="00BC4C9B">
        <w:rPr>
          <w:rFonts w:ascii="Tahoma" w:hAnsi="Tahoma" w:cs="Tahoma"/>
          <w:i/>
          <w:iCs/>
          <w:caps w:val="0"/>
          <w:lang w:val="fr-CH"/>
        </w:rPr>
        <w:fldChar w:fldCharType="separate"/>
      </w:r>
      <w:hyperlink w:anchor="_Toc488662959" w:history="1">
        <w:r w:rsidR="00ED28E2" w:rsidRPr="004845ED">
          <w:rPr>
            <w:rStyle w:val="Hyperlink"/>
            <w:noProof/>
            <w:lang w:val="fr-CH"/>
          </w:rPr>
          <w:t>Table des matières</w:t>
        </w:r>
        <w:r w:rsidR="00ED28E2">
          <w:rPr>
            <w:noProof/>
            <w:webHidden/>
          </w:rPr>
          <w:tab/>
        </w:r>
        <w:r w:rsidR="00ED28E2">
          <w:rPr>
            <w:noProof/>
            <w:webHidden/>
          </w:rPr>
          <w:fldChar w:fldCharType="begin"/>
        </w:r>
        <w:r w:rsidR="00ED28E2">
          <w:rPr>
            <w:noProof/>
            <w:webHidden/>
          </w:rPr>
          <w:instrText xml:space="preserve"> PAGEREF _Toc488662959 \h </w:instrText>
        </w:r>
        <w:r w:rsidR="00ED28E2">
          <w:rPr>
            <w:noProof/>
            <w:webHidden/>
          </w:rPr>
        </w:r>
        <w:r w:rsidR="00ED28E2">
          <w:rPr>
            <w:noProof/>
            <w:webHidden/>
          </w:rPr>
          <w:fldChar w:fldCharType="separate"/>
        </w:r>
        <w:r w:rsidR="00ED28E2">
          <w:rPr>
            <w:noProof/>
            <w:webHidden/>
          </w:rPr>
          <w:t>2</w:t>
        </w:r>
        <w:r w:rsidR="00ED28E2">
          <w:rPr>
            <w:noProof/>
            <w:webHidden/>
          </w:rPr>
          <w:fldChar w:fldCharType="end"/>
        </w:r>
      </w:hyperlink>
    </w:p>
    <w:p w14:paraId="7D4E12B8" w14:textId="77777777" w:rsidR="00ED28E2" w:rsidRDefault="00321E6E">
      <w:pPr>
        <w:pStyle w:val="TOC1"/>
        <w:tabs>
          <w:tab w:val="left" w:pos="400"/>
          <w:tab w:val="right" w:leader="dot" w:pos="9062"/>
        </w:tabs>
        <w:rPr>
          <w:rFonts w:asciiTheme="minorHAnsi" w:eastAsiaTheme="minorEastAsia" w:hAnsiTheme="minorHAnsi" w:cstheme="minorBidi"/>
          <w:b w:val="0"/>
          <w:bCs w:val="0"/>
          <w:caps w:val="0"/>
          <w:noProof/>
          <w:sz w:val="22"/>
          <w:szCs w:val="22"/>
          <w:lang w:val="fr-CH" w:eastAsia="fr-CH"/>
        </w:rPr>
      </w:pPr>
      <w:hyperlink w:anchor="_Toc488662960" w:history="1">
        <w:r w:rsidR="00ED28E2" w:rsidRPr="004845ED">
          <w:rPr>
            <w:rStyle w:val="Hyperlink"/>
            <w:noProof/>
          </w:rPr>
          <w:t>1.</w:t>
        </w:r>
        <w:r w:rsidR="00ED28E2">
          <w:rPr>
            <w:rFonts w:asciiTheme="minorHAnsi" w:eastAsiaTheme="minorEastAsia" w:hAnsiTheme="minorHAnsi" w:cstheme="minorBidi"/>
            <w:b w:val="0"/>
            <w:bCs w:val="0"/>
            <w:caps w:val="0"/>
            <w:noProof/>
            <w:sz w:val="22"/>
            <w:szCs w:val="22"/>
            <w:lang w:val="fr-CH" w:eastAsia="fr-CH"/>
          </w:rPr>
          <w:tab/>
        </w:r>
        <w:r w:rsidR="00ED28E2" w:rsidRPr="004845ED">
          <w:rPr>
            <w:rStyle w:val="Hyperlink"/>
            <w:noProof/>
          </w:rPr>
          <w:t>Introduction</w:t>
        </w:r>
        <w:r w:rsidR="00ED28E2">
          <w:rPr>
            <w:noProof/>
            <w:webHidden/>
          </w:rPr>
          <w:tab/>
        </w:r>
        <w:r w:rsidR="00ED28E2">
          <w:rPr>
            <w:noProof/>
            <w:webHidden/>
          </w:rPr>
          <w:fldChar w:fldCharType="begin"/>
        </w:r>
        <w:r w:rsidR="00ED28E2">
          <w:rPr>
            <w:noProof/>
            <w:webHidden/>
          </w:rPr>
          <w:instrText xml:space="preserve"> PAGEREF _Toc488662960 \h </w:instrText>
        </w:r>
        <w:r w:rsidR="00ED28E2">
          <w:rPr>
            <w:noProof/>
            <w:webHidden/>
          </w:rPr>
        </w:r>
        <w:r w:rsidR="00ED28E2">
          <w:rPr>
            <w:noProof/>
            <w:webHidden/>
          </w:rPr>
          <w:fldChar w:fldCharType="separate"/>
        </w:r>
        <w:r w:rsidR="00ED28E2">
          <w:rPr>
            <w:noProof/>
            <w:webHidden/>
          </w:rPr>
          <w:t>3</w:t>
        </w:r>
        <w:r w:rsidR="00ED28E2">
          <w:rPr>
            <w:noProof/>
            <w:webHidden/>
          </w:rPr>
          <w:fldChar w:fldCharType="end"/>
        </w:r>
      </w:hyperlink>
    </w:p>
    <w:p w14:paraId="3731151B"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61" w:history="1">
        <w:r w:rsidR="00ED28E2" w:rsidRPr="004845ED">
          <w:rPr>
            <w:rStyle w:val="Hyperlink"/>
            <w:noProof/>
          </w:rPr>
          <w:t>1.1</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Cadre constitutionnel et législatif</w:t>
        </w:r>
        <w:r w:rsidR="00ED28E2">
          <w:rPr>
            <w:noProof/>
            <w:webHidden/>
          </w:rPr>
          <w:tab/>
        </w:r>
        <w:r w:rsidR="00ED28E2">
          <w:rPr>
            <w:noProof/>
            <w:webHidden/>
          </w:rPr>
          <w:fldChar w:fldCharType="begin"/>
        </w:r>
        <w:r w:rsidR="00ED28E2">
          <w:rPr>
            <w:noProof/>
            <w:webHidden/>
          </w:rPr>
          <w:instrText xml:space="preserve"> PAGEREF _Toc488662961 \h </w:instrText>
        </w:r>
        <w:r w:rsidR="00ED28E2">
          <w:rPr>
            <w:noProof/>
            <w:webHidden/>
          </w:rPr>
        </w:r>
        <w:r w:rsidR="00ED28E2">
          <w:rPr>
            <w:noProof/>
            <w:webHidden/>
          </w:rPr>
          <w:fldChar w:fldCharType="separate"/>
        </w:r>
        <w:r w:rsidR="00ED28E2">
          <w:rPr>
            <w:noProof/>
            <w:webHidden/>
          </w:rPr>
          <w:t>3</w:t>
        </w:r>
        <w:r w:rsidR="00ED28E2">
          <w:rPr>
            <w:noProof/>
            <w:webHidden/>
          </w:rPr>
          <w:fldChar w:fldCharType="end"/>
        </w:r>
      </w:hyperlink>
    </w:p>
    <w:p w14:paraId="710374D0"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62" w:history="1">
        <w:r w:rsidR="00ED28E2" w:rsidRPr="004845ED">
          <w:rPr>
            <w:rStyle w:val="Hyperlink"/>
            <w:noProof/>
          </w:rPr>
          <w:t>1.2</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Questions relatives au statut de l’Institution nationale des droits de l’homme</w:t>
        </w:r>
        <w:r w:rsidR="00ED28E2">
          <w:rPr>
            <w:noProof/>
            <w:webHidden/>
          </w:rPr>
          <w:tab/>
        </w:r>
        <w:r w:rsidR="00ED28E2">
          <w:rPr>
            <w:noProof/>
            <w:webHidden/>
          </w:rPr>
          <w:fldChar w:fldCharType="begin"/>
        </w:r>
        <w:r w:rsidR="00ED28E2">
          <w:rPr>
            <w:noProof/>
            <w:webHidden/>
          </w:rPr>
          <w:instrText xml:space="preserve"> PAGEREF _Toc488662962 \h </w:instrText>
        </w:r>
        <w:r w:rsidR="00ED28E2">
          <w:rPr>
            <w:noProof/>
            <w:webHidden/>
          </w:rPr>
        </w:r>
        <w:r w:rsidR="00ED28E2">
          <w:rPr>
            <w:noProof/>
            <w:webHidden/>
          </w:rPr>
          <w:fldChar w:fldCharType="separate"/>
        </w:r>
        <w:r w:rsidR="00ED28E2">
          <w:rPr>
            <w:noProof/>
            <w:webHidden/>
          </w:rPr>
          <w:t>3</w:t>
        </w:r>
        <w:r w:rsidR="00ED28E2">
          <w:rPr>
            <w:noProof/>
            <w:webHidden/>
          </w:rPr>
          <w:fldChar w:fldCharType="end"/>
        </w:r>
      </w:hyperlink>
    </w:p>
    <w:p w14:paraId="2CA53EC2" w14:textId="77777777" w:rsidR="00ED28E2" w:rsidRDefault="00321E6E">
      <w:pPr>
        <w:pStyle w:val="TOC1"/>
        <w:tabs>
          <w:tab w:val="left" w:pos="400"/>
          <w:tab w:val="right" w:leader="dot" w:pos="9062"/>
        </w:tabs>
        <w:rPr>
          <w:rFonts w:asciiTheme="minorHAnsi" w:eastAsiaTheme="minorEastAsia" w:hAnsiTheme="minorHAnsi" w:cstheme="minorBidi"/>
          <w:b w:val="0"/>
          <w:bCs w:val="0"/>
          <w:caps w:val="0"/>
          <w:noProof/>
          <w:sz w:val="22"/>
          <w:szCs w:val="22"/>
          <w:lang w:val="fr-CH" w:eastAsia="fr-CH"/>
        </w:rPr>
      </w:pPr>
      <w:hyperlink w:anchor="_Toc488662963" w:history="1">
        <w:r w:rsidR="00ED28E2" w:rsidRPr="004845ED">
          <w:rPr>
            <w:rStyle w:val="Hyperlink"/>
            <w:noProof/>
            <w:lang w:val="fr-CH"/>
          </w:rPr>
          <w:t>2.</w:t>
        </w:r>
        <w:r w:rsidR="00ED28E2">
          <w:rPr>
            <w:rFonts w:asciiTheme="minorHAnsi" w:eastAsiaTheme="minorEastAsia" w:hAnsiTheme="minorHAnsi" w:cstheme="minorBidi"/>
            <w:b w:val="0"/>
            <w:bCs w:val="0"/>
            <w:caps w:val="0"/>
            <w:noProof/>
            <w:sz w:val="22"/>
            <w:szCs w:val="22"/>
            <w:lang w:val="fr-CH" w:eastAsia="fr-CH"/>
          </w:rPr>
          <w:tab/>
        </w:r>
        <w:r w:rsidR="00ED28E2" w:rsidRPr="004845ED">
          <w:rPr>
            <w:rStyle w:val="Hyperlink"/>
            <w:noProof/>
            <w:lang w:val="fr-CH" w:eastAsia="fr-FR"/>
          </w:rPr>
          <w:t>Obligations générales (article 2)</w:t>
        </w:r>
        <w:r w:rsidR="00ED28E2">
          <w:rPr>
            <w:noProof/>
            <w:webHidden/>
          </w:rPr>
          <w:tab/>
        </w:r>
        <w:r w:rsidR="00ED28E2">
          <w:rPr>
            <w:noProof/>
            <w:webHidden/>
          </w:rPr>
          <w:fldChar w:fldCharType="begin"/>
        </w:r>
        <w:r w:rsidR="00ED28E2">
          <w:rPr>
            <w:noProof/>
            <w:webHidden/>
          </w:rPr>
          <w:instrText xml:space="preserve"> PAGEREF _Toc488662963 \h </w:instrText>
        </w:r>
        <w:r w:rsidR="00ED28E2">
          <w:rPr>
            <w:noProof/>
            <w:webHidden/>
          </w:rPr>
        </w:r>
        <w:r w:rsidR="00ED28E2">
          <w:rPr>
            <w:noProof/>
            <w:webHidden/>
          </w:rPr>
          <w:fldChar w:fldCharType="separate"/>
        </w:r>
        <w:r w:rsidR="00ED28E2">
          <w:rPr>
            <w:noProof/>
            <w:webHidden/>
          </w:rPr>
          <w:t>5</w:t>
        </w:r>
        <w:r w:rsidR="00ED28E2">
          <w:rPr>
            <w:noProof/>
            <w:webHidden/>
          </w:rPr>
          <w:fldChar w:fldCharType="end"/>
        </w:r>
      </w:hyperlink>
    </w:p>
    <w:p w14:paraId="5A65613B"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64" w:history="1">
        <w:r w:rsidR="00ED28E2" w:rsidRPr="004845ED">
          <w:rPr>
            <w:rStyle w:val="Hyperlink"/>
            <w:noProof/>
          </w:rPr>
          <w:t>2.1</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Non-discrimination (article 2 § 1)</w:t>
        </w:r>
        <w:r w:rsidR="00ED28E2">
          <w:rPr>
            <w:noProof/>
            <w:webHidden/>
          </w:rPr>
          <w:tab/>
        </w:r>
        <w:r w:rsidR="00ED28E2">
          <w:rPr>
            <w:noProof/>
            <w:webHidden/>
          </w:rPr>
          <w:fldChar w:fldCharType="begin"/>
        </w:r>
        <w:r w:rsidR="00ED28E2">
          <w:rPr>
            <w:noProof/>
            <w:webHidden/>
          </w:rPr>
          <w:instrText xml:space="preserve"> PAGEREF _Toc488662964 \h </w:instrText>
        </w:r>
        <w:r w:rsidR="00ED28E2">
          <w:rPr>
            <w:noProof/>
            <w:webHidden/>
          </w:rPr>
        </w:r>
        <w:r w:rsidR="00ED28E2">
          <w:rPr>
            <w:noProof/>
            <w:webHidden/>
          </w:rPr>
          <w:fldChar w:fldCharType="separate"/>
        </w:r>
        <w:r w:rsidR="00ED28E2">
          <w:rPr>
            <w:noProof/>
            <w:webHidden/>
          </w:rPr>
          <w:t>5</w:t>
        </w:r>
        <w:r w:rsidR="00ED28E2">
          <w:rPr>
            <w:noProof/>
            <w:webHidden/>
          </w:rPr>
          <w:fldChar w:fldCharType="end"/>
        </w:r>
      </w:hyperlink>
    </w:p>
    <w:p w14:paraId="7E4FFC95"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65" w:history="1">
        <w:r w:rsidR="00ED28E2" w:rsidRPr="004845ED">
          <w:rPr>
            <w:rStyle w:val="Hyperlink"/>
            <w:noProof/>
          </w:rPr>
          <w:t>2.2</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Obligation générale de donner effet aux droits reconnus dans le Pacte (article 2 § 2)</w:t>
        </w:r>
        <w:r w:rsidR="00ED28E2">
          <w:rPr>
            <w:noProof/>
            <w:webHidden/>
          </w:rPr>
          <w:tab/>
        </w:r>
        <w:r w:rsidR="00ED28E2">
          <w:rPr>
            <w:noProof/>
            <w:webHidden/>
          </w:rPr>
          <w:fldChar w:fldCharType="begin"/>
        </w:r>
        <w:r w:rsidR="00ED28E2">
          <w:rPr>
            <w:noProof/>
            <w:webHidden/>
          </w:rPr>
          <w:instrText xml:space="preserve"> PAGEREF _Toc488662965 \h </w:instrText>
        </w:r>
        <w:r w:rsidR="00ED28E2">
          <w:rPr>
            <w:noProof/>
            <w:webHidden/>
          </w:rPr>
        </w:r>
        <w:r w:rsidR="00ED28E2">
          <w:rPr>
            <w:noProof/>
            <w:webHidden/>
          </w:rPr>
          <w:fldChar w:fldCharType="separate"/>
        </w:r>
        <w:r w:rsidR="00ED28E2">
          <w:rPr>
            <w:noProof/>
            <w:webHidden/>
          </w:rPr>
          <w:t>6</w:t>
        </w:r>
        <w:r w:rsidR="00ED28E2">
          <w:rPr>
            <w:noProof/>
            <w:webHidden/>
          </w:rPr>
          <w:fldChar w:fldCharType="end"/>
        </w:r>
      </w:hyperlink>
    </w:p>
    <w:p w14:paraId="5D99CC66"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66" w:history="1">
        <w:r w:rsidR="00ED28E2" w:rsidRPr="004845ED">
          <w:rPr>
            <w:rStyle w:val="Hyperlink"/>
            <w:noProof/>
            <w:lang w:val="fr-CH"/>
          </w:rPr>
          <w:t>2.2.1</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Applicabilité directe du pacte</w:t>
        </w:r>
        <w:r w:rsidR="00ED28E2">
          <w:rPr>
            <w:noProof/>
            <w:webHidden/>
          </w:rPr>
          <w:tab/>
        </w:r>
        <w:r w:rsidR="00ED28E2">
          <w:rPr>
            <w:noProof/>
            <w:webHidden/>
          </w:rPr>
          <w:fldChar w:fldCharType="begin"/>
        </w:r>
        <w:r w:rsidR="00ED28E2">
          <w:rPr>
            <w:noProof/>
            <w:webHidden/>
          </w:rPr>
          <w:instrText xml:space="preserve"> PAGEREF _Toc488662966 \h </w:instrText>
        </w:r>
        <w:r w:rsidR="00ED28E2">
          <w:rPr>
            <w:noProof/>
            <w:webHidden/>
          </w:rPr>
        </w:r>
        <w:r w:rsidR="00ED28E2">
          <w:rPr>
            <w:noProof/>
            <w:webHidden/>
          </w:rPr>
          <w:fldChar w:fldCharType="separate"/>
        </w:r>
        <w:r w:rsidR="00ED28E2">
          <w:rPr>
            <w:noProof/>
            <w:webHidden/>
          </w:rPr>
          <w:t>6</w:t>
        </w:r>
        <w:r w:rsidR="00ED28E2">
          <w:rPr>
            <w:noProof/>
            <w:webHidden/>
          </w:rPr>
          <w:fldChar w:fldCharType="end"/>
        </w:r>
      </w:hyperlink>
    </w:p>
    <w:p w14:paraId="70435106"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67" w:history="1">
        <w:r w:rsidR="00ED28E2" w:rsidRPr="004845ED">
          <w:rPr>
            <w:rStyle w:val="Hyperlink"/>
            <w:noProof/>
            <w:lang w:val="fr-CH"/>
          </w:rPr>
          <w:t>2.2.2</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Législation nationale de l’État partie faisant obstacle à l‘effectivité des droits protégés par le Pacte : le cas de l’Ordonnance 06-01 de 2006</w:t>
        </w:r>
        <w:r w:rsidR="00ED28E2">
          <w:rPr>
            <w:noProof/>
            <w:webHidden/>
          </w:rPr>
          <w:tab/>
        </w:r>
        <w:r w:rsidR="00ED28E2">
          <w:rPr>
            <w:noProof/>
            <w:webHidden/>
          </w:rPr>
          <w:fldChar w:fldCharType="begin"/>
        </w:r>
        <w:r w:rsidR="00ED28E2">
          <w:rPr>
            <w:noProof/>
            <w:webHidden/>
          </w:rPr>
          <w:instrText xml:space="preserve"> PAGEREF _Toc488662967 \h </w:instrText>
        </w:r>
        <w:r w:rsidR="00ED28E2">
          <w:rPr>
            <w:noProof/>
            <w:webHidden/>
          </w:rPr>
        </w:r>
        <w:r w:rsidR="00ED28E2">
          <w:rPr>
            <w:noProof/>
            <w:webHidden/>
          </w:rPr>
          <w:fldChar w:fldCharType="separate"/>
        </w:r>
        <w:r w:rsidR="00ED28E2">
          <w:rPr>
            <w:noProof/>
            <w:webHidden/>
          </w:rPr>
          <w:t>6</w:t>
        </w:r>
        <w:r w:rsidR="00ED28E2">
          <w:rPr>
            <w:noProof/>
            <w:webHidden/>
          </w:rPr>
          <w:fldChar w:fldCharType="end"/>
        </w:r>
      </w:hyperlink>
    </w:p>
    <w:p w14:paraId="61884991"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68" w:history="1">
        <w:r w:rsidR="00ED28E2" w:rsidRPr="004845ED">
          <w:rPr>
            <w:rStyle w:val="Hyperlink"/>
            <w:noProof/>
          </w:rPr>
          <w:t>2.3</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Accès à un recours effectif (article 2 § 3)</w:t>
        </w:r>
        <w:r w:rsidR="00ED28E2">
          <w:rPr>
            <w:noProof/>
            <w:webHidden/>
          </w:rPr>
          <w:tab/>
        </w:r>
        <w:r w:rsidR="00ED28E2">
          <w:rPr>
            <w:noProof/>
            <w:webHidden/>
          </w:rPr>
          <w:fldChar w:fldCharType="begin"/>
        </w:r>
        <w:r w:rsidR="00ED28E2">
          <w:rPr>
            <w:noProof/>
            <w:webHidden/>
          </w:rPr>
          <w:instrText xml:space="preserve"> PAGEREF _Toc488662968 \h </w:instrText>
        </w:r>
        <w:r w:rsidR="00ED28E2">
          <w:rPr>
            <w:noProof/>
            <w:webHidden/>
          </w:rPr>
        </w:r>
        <w:r w:rsidR="00ED28E2">
          <w:rPr>
            <w:noProof/>
            <w:webHidden/>
          </w:rPr>
          <w:fldChar w:fldCharType="separate"/>
        </w:r>
        <w:r w:rsidR="00ED28E2">
          <w:rPr>
            <w:noProof/>
            <w:webHidden/>
          </w:rPr>
          <w:t>7</w:t>
        </w:r>
        <w:r w:rsidR="00ED28E2">
          <w:rPr>
            <w:noProof/>
            <w:webHidden/>
          </w:rPr>
          <w:fldChar w:fldCharType="end"/>
        </w:r>
      </w:hyperlink>
    </w:p>
    <w:p w14:paraId="447B1937"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69" w:history="1">
        <w:r w:rsidR="00ED28E2" w:rsidRPr="004845ED">
          <w:rPr>
            <w:rStyle w:val="Hyperlink"/>
            <w:noProof/>
            <w:lang w:val="fr-CH"/>
          </w:rPr>
          <w:t>2.3.1</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Impunité et amnisties</w:t>
        </w:r>
        <w:r w:rsidR="00ED28E2">
          <w:rPr>
            <w:noProof/>
            <w:webHidden/>
          </w:rPr>
          <w:tab/>
        </w:r>
        <w:r w:rsidR="00ED28E2">
          <w:rPr>
            <w:noProof/>
            <w:webHidden/>
          </w:rPr>
          <w:fldChar w:fldCharType="begin"/>
        </w:r>
        <w:r w:rsidR="00ED28E2">
          <w:rPr>
            <w:noProof/>
            <w:webHidden/>
          </w:rPr>
          <w:instrText xml:space="preserve"> PAGEREF _Toc488662969 \h </w:instrText>
        </w:r>
        <w:r w:rsidR="00ED28E2">
          <w:rPr>
            <w:noProof/>
            <w:webHidden/>
          </w:rPr>
        </w:r>
        <w:r w:rsidR="00ED28E2">
          <w:rPr>
            <w:noProof/>
            <w:webHidden/>
          </w:rPr>
          <w:fldChar w:fldCharType="separate"/>
        </w:r>
        <w:r w:rsidR="00ED28E2">
          <w:rPr>
            <w:noProof/>
            <w:webHidden/>
          </w:rPr>
          <w:t>7</w:t>
        </w:r>
        <w:r w:rsidR="00ED28E2">
          <w:rPr>
            <w:noProof/>
            <w:webHidden/>
          </w:rPr>
          <w:fldChar w:fldCharType="end"/>
        </w:r>
      </w:hyperlink>
    </w:p>
    <w:p w14:paraId="41832F24"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70" w:history="1">
        <w:r w:rsidR="00ED28E2" w:rsidRPr="004845ED">
          <w:rPr>
            <w:rStyle w:val="Hyperlink"/>
            <w:noProof/>
            <w:lang w:val="fr-CH"/>
          </w:rPr>
          <w:t>2.3.2</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Questions spécifiques au droit au recours effectif des familles de disparus</w:t>
        </w:r>
        <w:r w:rsidR="00ED28E2">
          <w:rPr>
            <w:noProof/>
            <w:webHidden/>
          </w:rPr>
          <w:tab/>
        </w:r>
        <w:r w:rsidR="00ED28E2">
          <w:rPr>
            <w:noProof/>
            <w:webHidden/>
          </w:rPr>
          <w:fldChar w:fldCharType="begin"/>
        </w:r>
        <w:r w:rsidR="00ED28E2">
          <w:rPr>
            <w:noProof/>
            <w:webHidden/>
          </w:rPr>
          <w:instrText xml:space="preserve"> PAGEREF _Toc488662970 \h </w:instrText>
        </w:r>
        <w:r w:rsidR="00ED28E2">
          <w:rPr>
            <w:noProof/>
            <w:webHidden/>
          </w:rPr>
        </w:r>
        <w:r w:rsidR="00ED28E2">
          <w:rPr>
            <w:noProof/>
            <w:webHidden/>
          </w:rPr>
          <w:fldChar w:fldCharType="separate"/>
        </w:r>
        <w:r w:rsidR="00ED28E2">
          <w:rPr>
            <w:noProof/>
            <w:webHidden/>
          </w:rPr>
          <w:t>8</w:t>
        </w:r>
        <w:r w:rsidR="00ED28E2">
          <w:rPr>
            <w:noProof/>
            <w:webHidden/>
          </w:rPr>
          <w:fldChar w:fldCharType="end"/>
        </w:r>
      </w:hyperlink>
    </w:p>
    <w:p w14:paraId="60B461F3"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71" w:history="1">
        <w:r w:rsidR="00ED28E2" w:rsidRPr="004845ED">
          <w:rPr>
            <w:rStyle w:val="Hyperlink"/>
            <w:noProof/>
            <w:lang w:val="fr-CH"/>
          </w:rPr>
          <w:t>2.3.3</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Absence de coopération de bonne foi avec le Comité et représailles</w:t>
        </w:r>
        <w:r w:rsidR="00ED28E2">
          <w:rPr>
            <w:noProof/>
            <w:webHidden/>
          </w:rPr>
          <w:tab/>
        </w:r>
        <w:r w:rsidR="00ED28E2">
          <w:rPr>
            <w:noProof/>
            <w:webHidden/>
          </w:rPr>
          <w:fldChar w:fldCharType="begin"/>
        </w:r>
        <w:r w:rsidR="00ED28E2">
          <w:rPr>
            <w:noProof/>
            <w:webHidden/>
          </w:rPr>
          <w:instrText xml:space="preserve"> PAGEREF _Toc488662971 \h </w:instrText>
        </w:r>
        <w:r w:rsidR="00ED28E2">
          <w:rPr>
            <w:noProof/>
            <w:webHidden/>
          </w:rPr>
        </w:r>
        <w:r w:rsidR="00ED28E2">
          <w:rPr>
            <w:noProof/>
            <w:webHidden/>
          </w:rPr>
          <w:fldChar w:fldCharType="separate"/>
        </w:r>
        <w:r w:rsidR="00ED28E2">
          <w:rPr>
            <w:noProof/>
            <w:webHidden/>
          </w:rPr>
          <w:t>8</w:t>
        </w:r>
        <w:r w:rsidR="00ED28E2">
          <w:rPr>
            <w:noProof/>
            <w:webHidden/>
          </w:rPr>
          <w:fldChar w:fldCharType="end"/>
        </w:r>
      </w:hyperlink>
    </w:p>
    <w:p w14:paraId="031E9A5F" w14:textId="77777777" w:rsidR="00ED28E2" w:rsidRDefault="00321E6E">
      <w:pPr>
        <w:pStyle w:val="TOC1"/>
        <w:tabs>
          <w:tab w:val="left" w:pos="400"/>
          <w:tab w:val="right" w:leader="dot" w:pos="9062"/>
        </w:tabs>
        <w:rPr>
          <w:rFonts w:asciiTheme="minorHAnsi" w:eastAsiaTheme="minorEastAsia" w:hAnsiTheme="minorHAnsi" w:cstheme="minorBidi"/>
          <w:b w:val="0"/>
          <w:bCs w:val="0"/>
          <w:caps w:val="0"/>
          <w:noProof/>
          <w:sz w:val="22"/>
          <w:szCs w:val="22"/>
          <w:lang w:val="fr-CH" w:eastAsia="fr-CH"/>
        </w:rPr>
      </w:pPr>
      <w:hyperlink w:anchor="_Toc488662972" w:history="1">
        <w:r w:rsidR="00ED28E2" w:rsidRPr="004845ED">
          <w:rPr>
            <w:rStyle w:val="Hyperlink"/>
            <w:noProof/>
            <w:lang w:val="fr-CH" w:eastAsia="fr-FR"/>
          </w:rPr>
          <w:t>3.</w:t>
        </w:r>
        <w:r w:rsidR="00ED28E2">
          <w:rPr>
            <w:rFonts w:asciiTheme="minorHAnsi" w:eastAsiaTheme="minorEastAsia" w:hAnsiTheme="minorHAnsi" w:cstheme="minorBidi"/>
            <w:b w:val="0"/>
            <w:bCs w:val="0"/>
            <w:caps w:val="0"/>
            <w:noProof/>
            <w:sz w:val="22"/>
            <w:szCs w:val="22"/>
            <w:lang w:val="fr-CH" w:eastAsia="fr-CH"/>
          </w:rPr>
          <w:tab/>
        </w:r>
        <w:r w:rsidR="00ED28E2" w:rsidRPr="004845ED">
          <w:rPr>
            <w:rStyle w:val="Hyperlink"/>
            <w:noProof/>
            <w:lang w:val="fr-CH" w:eastAsia="fr-FR"/>
          </w:rPr>
          <w:t>État d’urgence et dérogations aux dispositions du Pacte (article 4)</w:t>
        </w:r>
        <w:r w:rsidR="00ED28E2">
          <w:rPr>
            <w:noProof/>
            <w:webHidden/>
          </w:rPr>
          <w:tab/>
        </w:r>
        <w:r w:rsidR="00ED28E2">
          <w:rPr>
            <w:noProof/>
            <w:webHidden/>
          </w:rPr>
          <w:fldChar w:fldCharType="begin"/>
        </w:r>
        <w:r w:rsidR="00ED28E2">
          <w:rPr>
            <w:noProof/>
            <w:webHidden/>
          </w:rPr>
          <w:instrText xml:space="preserve"> PAGEREF _Toc488662972 \h </w:instrText>
        </w:r>
        <w:r w:rsidR="00ED28E2">
          <w:rPr>
            <w:noProof/>
            <w:webHidden/>
          </w:rPr>
        </w:r>
        <w:r w:rsidR="00ED28E2">
          <w:rPr>
            <w:noProof/>
            <w:webHidden/>
          </w:rPr>
          <w:fldChar w:fldCharType="separate"/>
        </w:r>
        <w:r w:rsidR="00ED28E2">
          <w:rPr>
            <w:noProof/>
            <w:webHidden/>
          </w:rPr>
          <w:t>9</w:t>
        </w:r>
        <w:r w:rsidR="00ED28E2">
          <w:rPr>
            <w:noProof/>
            <w:webHidden/>
          </w:rPr>
          <w:fldChar w:fldCharType="end"/>
        </w:r>
      </w:hyperlink>
    </w:p>
    <w:p w14:paraId="4814E1FD"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73" w:history="1">
        <w:r w:rsidR="00ED28E2" w:rsidRPr="004845ED">
          <w:rPr>
            <w:rStyle w:val="Hyperlink"/>
            <w:noProof/>
          </w:rPr>
          <w:t>3.2</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 xml:space="preserve">Absence d’enquête sur les violations des normes de </w:t>
        </w:r>
        <w:r w:rsidR="00ED28E2" w:rsidRPr="004845ED">
          <w:rPr>
            <w:rStyle w:val="Hyperlink"/>
            <w:i/>
            <w:noProof/>
          </w:rPr>
          <w:t>jus cogens</w:t>
        </w:r>
        <w:r w:rsidR="00ED28E2">
          <w:rPr>
            <w:noProof/>
            <w:webHidden/>
          </w:rPr>
          <w:tab/>
        </w:r>
        <w:r w:rsidR="00ED28E2">
          <w:rPr>
            <w:noProof/>
            <w:webHidden/>
          </w:rPr>
          <w:fldChar w:fldCharType="begin"/>
        </w:r>
        <w:r w:rsidR="00ED28E2">
          <w:rPr>
            <w:noProof/>
            <w:webHidden/>
          </w:rPr>
          <w:instrText xml:space="preserve"> PAGEREF _Toc488662973 \h </w:instrText>
        </w:r>
        <w:r w:rsidR="00ED28E2">
          <w:rPr>
            <w:noProof/>
            <w:webHidden/>
          </w:rPr>
        </w:r>
        <w:r w:rsidR="00ED28E2">
          <w:rPr>
            <w:noProof/>
            <w:webHidden/>
          </w:rPr>
          <w:fldChar w:fldCharType="separate"/>
        </w:r>
        <w:r w:rsidR="00ED28E2">
          <w:rPr>
            <w:noProof/>
            <w:webHidden/>
          </w:rPr>
          <w:t>9</w:t>
        </w:r>
        <w:r w:rsidR="00ED28E2">
          <w:rPr>
            <w:noProof/>
            <w:webHidden/>
          </w:rPr>
          <w:fldChar w:fldCharType="end"/>
        </w:r>
      </w:hyperlink>
    </w:p>
    <w:p w14:paraId="642E7895"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74" w:history="1">
        <w:r w:rsidR="00ED28E2" w:rsidRPr="004845ED">
          <w:rPr>
            <w:rStyle w:val="Hyperlink"/>
            <w:noProof/>
          </w:rPr>
          <w:t>3.3</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Cadre légal de la lutte anti-terroriste</w:t>
        </w:r>
        <w:r w:rsidR="00ED28E2">
          <w:rPr>
            <w:noProof/>
            <w:webHidden/>
          </w:rPr>
          <w:tab/>
        </w:r>
        <w:r w:rsidR="00ED28E2">
          <w:rPr>
            <w:noProof/>
            <w:webHidden/>
          </w:rPr>
          <w:fldChar w:fldCharType="begin"/>
        </w:r>
        <w:r w:rsidR="00ED28E2">
          <w:rPr>
            <w:noProof/>
            <w:webHidden/>
          </w:rPr>
          <w:instrText xml:space="preserve"> PAGEREF _Toc488662974 \h </w:instrText>
        </w:r>
        <w:r w:rsidR="00ED28E2">
          <w:rPr>
            <w:noProof/>
            <w:webHidden/>
          </w:rPr>
        </w:r>
        <w:r w:rsidR="00ED28E2">
          <w:rPr>
            <w:noProof/>
            <w:webHidden/>
          </w:rPr>
          <w:fldChar w:fldCharType="separate"/>
        </w:r>
        <w:r w:rsidR="00ED28E2">
          <w:rPr>
            <w:noProof/>
            <w:webHidden/>
          </w:rPr>
          <w:t>9</w:t>
        </w:r>
        <w:r w:rsidR="00ED28E2">
          <w:rPr>
            <w:noProof/>
            <w:webHidden/>
          </w:rPr>
          <w:fldChar w:fldCharType="end"/>
        </w:r>
      </w:hyperlink>
    </w:p>
    <w:p w14:paraId="65D4DC85" w14:textId="77777777" w:rsidR="00ED28E2" w:rsidRDefault="00321E6E">
      <w:pPr>
        <w:pStyle w:val="TOC1"/>
        <w:tabs>
          <w:tab w:val="left" w:pos="400"/>
          <w:tab w:val="right" w:leader="dot" w:pos="9062"/>
        </w:tabs>
        <w:rPr>
          <w:rFonts w:asciiTheme="minorHAnsi" w:eastAsiaTheme="minorEastAsia" w:hAnsiTheme="minorHAnsi" w:cstheme="minorBidi"/>
          <w:b w:val="0"/>
          <w:bCs w:val="0"/>
          <w:caps w:val="0"/>
          <w:noProof/>
          <w:sz w:val="22"/>
          <w:szCs w:val="22"/>
          <w:lang w:val="fr-CH" w:eastAsia="fr-CH"/>
        </w:rPr>
      </w:pPr>
      <w:hyperlink w:anchor="_Toc488662975" w:history="1">
        <w:r w:rsidR="00ED28E2" w:rsidRPr="004845ED">
          <w:rPr>
            <w:rStyle w:val="Hyperlink"/>
            <w:noProof/>
            <w:lang w:val="fr-CH"/>
          </w:rPr>
          <w:t>4.</w:t>
        </w:r>
        <w:r w:rsidR="00ED28E2">
          <w:rPr>
            <w:rFonts w:asciiTheme="minorHAnsi" w:eastAsiaTheme="minorEastAsia" w:hAnsiTheme="minorHAnsi" w:cstheme="minorBidi"/>
            <w:b w:val="0"/>
            <w:bCs w:val="0"/>
            <w:caps w:val="0"/>
            <w:noProof/>
            <w:sz w:val="22"/>
            <w:szCs w:val="22"/>
            <w:lang w:val="fr-CH" w:eastAsia="fr-CH"/>
          </w:rPr>
          <w:tab/>
        </w:r>
        <w:r w:rsidR="00ED28E2" w:rsidRPr="004845ED">
          <w:rPr>
            <w:rStyle w:val="Hyperlink"/>
            <w:noProof/>
            <w:lang w:val="fr-CH"/>
          </w:rPr>
          <w:t>Droit à la vie, interdiction de la torture et des traitements cruels, inhumains ou dégradants et traitement des prisonniers (articles 6, 7 et 10)</w:t>
        </w:r>
        <w:r w:rsidR="00ED28E2">
          <w:rPr>
            <w:noProof/>
            <w:webHidden/>
          </w:rPr>
          <w:tab/>
        </w:r>
        <w:r w:rsidR="00ED28E2">
          <w:rPr>
            <w:noProof/>
            <w:webHidden/>
          </w:rPr>
          <w:fldChar w:fldCharType="begin"/>
        </w:r>
        <w:r w:rsidR="00ED28E2">
          <w:rPr>
            <w:noProof/>
            <w:webHidden/>
          </w:rPr>
          <w:instrText xml:space="preserve"> PAGEREF _Toc488662975 \h </w:instrText>
        </w:r>
        <w:r w:rsidR="00ED28E2">
          <w:rPr>
            <w:noProof/>
            <w:webHidden/>
          </w:rPr>
        </w:r>
        <w:r w:rsidR="00ED28E2">
          <w:rPr>
            <w:noProof/>
            <w:webHidden/>
          </w:rPr>
          <w:fldChar w:fldCharType="separate"/>
        </w:r>
        <w:r w:rsidR="00ED28E2">
          <w:rPr>
            <w:noProof/>
            <w:webHidden/>
          </w:rPr>
          <w:t>10</w:t>
        </w:r>
        <w:r w:rsidR="00ED28E2">
          <w:rPr>
            <w:noProof/>
            <w:webHidden/>
          </w:rPr>
          <w:fldChar w:fldCharType="end"/>
        </w:r>
      </w:hyperlink>
    </w:p>
    <w:p w14:paraId="321CC5D7"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76" w:history="1">
        <w:r w:rsidR="00ED28E2" w:rsidRPr="004845ED">
          <w:rPr>
            <w:rStyle w:val="Hyperlink"/>
            <w:noProof/>
          </w:rPr>
          <w:t>4.1</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Droit à la vie, obligation d’enquête en cas d’exécution extrajudiciaire (article 6)</w:t>
        </w:r>
        <w:r w:rsidR="00ED28E2">
          <w:rPr>
            <w:noProof/>
            <w:webHidden/>
          </w:rPr>
          <w:tab/>
        </w:r>
        <w:r w:rsidR="00ED28E2">
          <w:rPr>
            <w:noProof/>
            <w:webHidden/>
          </w:rPr>
          <w:fldChar w:fldCharType="begin"/>
        </w:r>
        <w:r w:rsidR="00ED28E2">
          <w:rPr>
            <w:noProof/>
            <w:webHidden/>
          </w:rPr>
          <w:instrText xml:space="preserve"> PAGEREF _Toc488662976 \h </w:instrText>
        </w:r>
        <w:r w:rsidR="00ED28E2">
          <w:rPr>
            <w:noProof/>
            <w:webHidden/>
          </w:rPr>
        </w:r>
        <w:r w:rsidR="00ED28E2">
          <w:rPr>
            <w:noProof/>
            <w:webHidden/>
          </w:rPr>
          <w:fldChar w:fldCharType="separate"/>
        </w:r>
        <w:r w:rsidR="00ED28E2">
          <w:rPr>
            <w:noProof/>
            <w:webHidden/>
          </w:rPr>
          <w:t>10</w:t>
        </w:r>
        <w:r w:rsidR="00ED28E2">
          <w:rPr>
            <w:noProof/>
            <w:webHidden/>
          </w:rPr>
          <w:fldChar w:fldCharType="end"/>
        </w:r>
      </w:hyperlink>
    </w:p>
    <w:p w14:paraId="14DE95AF"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77" w:history="1">
        <w:r w:rsidR="00ED28E2" w:rsidRPr="004845ED">
          <w:rPr>
            <w:rStyle w:val="Hyperlink"/>
            <w:noProof/>
          </w:rPr>
          <w:t>4.2</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Torture et peines ou traitements cruels, inhumains ou dégradants (article 7)</w:t>
        </w:r>
        <w:r w:rsidR="00ED28E2">
          <w:rPr>
            <w:noProof/>
            <w:webHidden/>
          </w:rPr>
          <w:tab/>
        </w:r>
        <w:r w:rsidR="00ED28E2">
          <w:rPr>
            <w:noProof/>
            <w:webHidden/>
          </w:rPr>
          <w:fldChar w:fldCharType="begin"/>
        </w:r>
        <w:r w:rsidR="00ED28E2">
          <w:rPr>
            <w:noProof/>
            <w:webHidden/>
          </w:rPr>
          <w:instrText xml:space="preserve"> PAGEREF _Toc488662977 \h </w:instrText>
        </w:r>
        <w:r w:rsidR="00ED28E2">
          <w:rPr>
            <w:noProof/>
            <w:webHidden/>
          </w:rPr>
        </w:r>
        <w:r w:rsidR="00ED28E2">
          <w:rPr>
            <w:noProof/>
            <w:webHidden/>
          </w:rPr>
          <w:fldChar w:fldCharType="separate"/>
        </w:r>
        <w:r w:rsidR="00ED28E2">
          <w:rPr>
            <w:noProof/>
            <w:webHidden/>
          </w:rPr>
          <w:t>10</w:t>
        </w:r>
        <w:r w:rsidR="00ED28E2">
          <w:rPr>
            <w:noProof/>
            <w:webHidden/>
          </w:rPr>
          <w:fldChar w:fldCharType="end"/>
        </w:r>
      </w:hyperlink>
    </w:p>
    <w:p w14:paraId="3A21267A"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78" w:history="1">
        <w:r w:rsidR="00ED28E2" w:rsidRPr="004845ED">
          <w:rPr>
            <w:rStyle w:val="Hyperlink"/>
            <w:noProof/>
          </w:rPr>
          <w:t>4.3</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Traitement des prisonniers</w:t>
        </w:r>
        <w:r w:rsidR="00ED28E2">
          <w:rPr>
            <w:noProof/>
            <w:webHidden/>
          </w:rPr>
          <w:tab/>
        </w:r>
        <w:r w:rsidR="00ED28E2">
          <w:rPr>
            <w:noProof/>
            <w:webHidden/>
          </w:rPr>
          <w:fldChar w:fldCharType="begin"/>
        </w:r>
        <w:r w:rsidR="00ED28E2">
          <w:rPr>
            <w:noProof/>
            <w:webHidden/>
          </w:rPr>
          <w:instrText xml:space="preserve"> PAGEREF _Toc488662978 \h </w:instrText>
        </w:r>
        <w:r w:rsidR="00ED28E2">
          <w:rPr>
            <w:noProof/>
            <w:webHidden/>
          </w:rPr>
        </w:r>
        <w:r w:rsidR="00ED28E2">
          <w:rPr>
            <w:noProof/>
            <w:webHidden/>
          </w:rPr>
          <w:fldChar w:fldCharType="separate"/>
        </w:r>
        <w:r w:rsidR="00ED28E2">
          <w:rPr>
            <w:noProof/>
            <w:webHidden/>
          </w:rPr>
          <w:t>11</w:t>
        </w:r>
        <w:r w:rsidR="00ED28E2">
          <w:rPr>
            <w:noProof/>
            <w:webHidden/>
          </w:rPr>
          <w:fldChar w:fldCharType="end"/>
        </w:r>
      </w:hyperlink>
    </w:p>
    <w:p w14:paraId="24CDF03C" w14:textId="77777777" w:rsidR="00ED28E2" w:rsidRDefault="00321E6E">
      <w:pPr>
        <w:pStyle w:val="TOC1"/>
        <w:tabs>
          <w:tab w:val="left" w:pos="400"/>
          <w:tab w:val="right" w:leader="dot" w:pos="9062"/>
        </w:tabs>
        <w:rPr>
          <w:rFonts w:asciiTheme="minorHAnsi" w:eastAsiaTheme="minorEastAsia" w:hAnsiTheme="minorHAnsi" w:cstheme="minorBidi"/>
          <w:b w:val="0"/>
          <w:bCs w:val="0"/>
          <w:caps w:val="0"/>
          <w:noProof/>
          <w:sz w:val="22"/>
          <w:szCs w:val="22"/>
          <w:lang w:val="fr-CH" w:eastAsia="fr-CH"/>
        </w:rPr>
      </w:pPr>
      <w:hyperlink w:anchor="_Toc488662979" w:history="1">
        <w:r w:rsidR="00ED28E2" w:rsidRPr="004845ED">
          <w:rPr>
            <w:rStyle w:val="Hyperlink"/>
            <w:noProof/>
            <w:lang w:val="fr-CH"/>
          </w:rPr>
          <w:t>5.</w:t>
        </w:r>
        <w:r w:rsidR="00ED28E2">
          <w:rPr>
            <w:rFonts w:asciiTheme="minorHAnsi" w:eastAsiaTheme="minorEastAsia" w:hAnsiTheme="minorHAnsi" w:cstheme="minorBidi"/>
            <w:b w:val="0"/>
            <w:bCs w:val="0"/>
            <w:caps w:val="0"/>
            <w:noProof/>
            <w:sz w:val="22"/>
            <w:szCs w:val="22"/>
            <w:lang w:val="fr-CH" w:eastAsia="fr-CH"/>
          </w:rPr>
          <w:tab/>
        </w:r>
        <w:r w:rsidR="00ED28E2" w:rsidRPr="004845ED">
          <w:rPr>
            <w:rStyle w:val="Hyperlink"/>
            <w:noProof/>
            <w:lang w:val="fr-CH"/>
          </w:rPr>
          <w:t>Droit à la liberté et à la sécurité et au procès équitable (articles 9 et 14)</w:t>
        </w:r>
        <w:r w:rsidR="00ED28E2">
          <w:rPr>
            <w:noProof/>
            <w:webHidden/>
          </w:rPr>
          <w:tab/>
        </w:r>
        <w:r w:rsidR="00ED28E2">
          <w:rPr>
            <w:noProof/>
            <w:webHidden/>
          </w:rPr>
          <w:fldChar w:fldCharType="begin"/>
        </w:r>
        <w:r w:rsidR="00ED28E2">
          <w:rPr>
            <w:noProof/>
            <w:webHidden/>
          </w:rPr>
          <w:instrText xml:space="preserve"> PAGEREF _Toc488662979 \h </w:instrText>
        </w:r>
        <w:r w:rsidR="00ED28E2">
          <w:rPr>
            <w:noProof/>
            <w:webHidden/>
          </w:rPr>
        </w:r>
        <w:r w:rsidR="00ED28E2">
          <w:rPr>
            <w:noProof/>
            <w:webHidden/>
          </w:rPr>
          <w:fldChar w:fldCharType="separate"/>
        </w:r>
        <w:r w:rsidR="00ED28E2">
          <w:rPr>
            <w:noProof/>
            <w:webHidden/>
          </w:rPr>
          <w:t>11</w:t>
        </w:r>
        <w:r w:rsidR="00ED28E2">
          <w:rPr>
            <w:noProof/>
            <w:webHidden/>
          </w:rPr>
          <w:fldChar w:fldCharType="end"/>
        </w:r>
      </w:hyperlink>
    </w:p>
    <w:p w14:paraId="0B860671"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80" w:history="1">
        <w:r w:rsidR="00ED28E2" w:rsidRPr="004845ED">
          <w:rPr>
            <w:rStyle w:val="Hyperlink"/>
            <w:noProof/>
          </w:rPr>
          <w:t>5.1</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Garanties fondamentales, droit à la liberté et à la sécurité (article 9)</w:t>
        </w:r>
        <w:r w:rsidR="00ED28E2">
          <w:rPr>
            <w:noProof/>
            <w:webHidden/>
          </w:rPr>
          <w:tab/>
        </w:r>
        <w:r w:rsidR="00ED28E2">
          <w:rPr>
            <w:noProof/>
            <w:webHidden/>
          </w:rPr>
          <w:fldChar w:fldCharType="begin"/>
        </w:r>
        <w:r w:rsidR="00ED28E2">
          <w:rPr>
            <w:noProof/>
            <w:webHidden/>
          </w:rPr>
          <w:instrText xml:space="preserve"> PAGEREF _Toc488662980 \h </w:instrText>
        </w:r>
        <w:r w:rsidR="00ED28E2">
          <w:rPr>
            <w:noProof/>
            <w:webHidden/>
          </w:rPr>
        </w:r>
        <w:r w:rsidR="00ED28E2">
          <w:rPr>
            <w:noProof/>
            <w:webHidden/>
          </w:rPr>
          <w:fldChar w:fldCharType="separate"/>
        </w:r>
        <w:r w:rsidR="00ED28E2">
          <w:rPr>
            <w:noProof/>
            <w:webHidden/>
          </w:rPr>
          <w:t>11</w:t>
        </w:r>
        <w:r w:rsidR="00ED28E2">
          <w:rPr>
            <w:noProof/>
            <w:webHidden/>
          </w:rPr>
          <w:fldChar w:fldCharType="end"/>
        </w:r>
      </w:hyperlink>
    </w:p>
    <w:p w14:paraId="2FB1CBF5"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81" w:history="1">
        <w:r w:rsidR="00ED28E2" w:rsidRPr="004845ED">
          <w:rPr>
            <w:rStyle w:val="Hyperlink"/>
            <w:noProof/>
          </w:rPr>
          <w:t>5.1.1</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rPr>
          <w:t>Régime de la garde à vue</w:t>
        </w:r>
        <w:r w:rsidR="00ED28E2">
          <w:rPr>
            <w:noProof/>
            <w:webHidden/>
          </w:rPr>
          <w:tab/>
        </w:r>
        <w:r w:rsidR="00ED28E2">
          <w:rPr>
            <w:noProof/>
            <w:webHidden/>
          </w:rPr>
          <w:fldChar w:fldCharType="begin"/>
        </w:r>
        <w:r w:rsidR="00ED28E2">
          <w:rPr>
            <w:noProof/>
            <w:webHidden/>
          </w:rPr>
          <w:instrText xml:space="preserve"> PAGEREF _Toc488662981 \h </w:instrText>
        </w:r>
        <w:r w:rsidR="00ED28E2">
          <w:rPr>
            <w:noProof/>
            <w:webHidden/>
          </w:rPr>
        </w:r>
        <w:r w:rsidR="00ED28E2">
          <w:rPr>
            <w:noProof/>
            <w:webHidden/>
          </w:rPr>
          <w:fldChar w:fldCharType="separate"/>
        </w:r>
        <w:r w:rsidR="00ED28E2">
          <w:rPr>
            <w:noProof/>
            <w:webHidden/>
          </w:rPr>
          <w:t>11</w:t>
        </w:r>
        <w:r w:rsidR="00ED28E2">
          <w:rPr>
            <w:noProof/>
            <w:webHidden/>
          </w:rPr>
          <w:fldChar w:fldCharType="end"/>
        </w:r>
      </w:hyperlink>
    </w:p>
    <w:p w14:paraId="52EA449A"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82" w:history="1">
        <w:r w:rsidR="00ED28E2" w:rsidRPr="004845ED">
          <w:rPr>
            <w:rStyle w:val="Hyperlink"/>
            <w:noProof/>
          </w:rPr>
          <w:t>5.1.2</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rPr>
          <w:t>Réparation en cas de détention arbitraire</w:t>
        </w:r>
        <w:r w:rsidR="00ED28E2">
          <w:rPr>
            <w:noProof/>
            <w:webHidden/>
          </w:rPr>
          <w:tab/>
        </w:r>
        <w:r w:rsidR="00ED28E2">
          <w:rPr>
            <w:noProof/>
            <w:webHidden/>
          </w:rPr>
          <w:fldChar w:fldCharType="begin"/>
        </w:r>
        <w:r w:rsidR="00ED28E2">
          <w:rPr>
            <w:noProof/>
            <w:webHidden/>
          </w:rPr>
          <w:instrText xml:space="preserve"> PAGEREF _Toc488662982 \h </w:instrText>
        </w:r>
        <w:r w:rsidR="00ED28E2">
          <w:rPr>
            <w:noProof/>
            <w:webHidden/>
          </w:rPr>
        </w:r>
        <w:r w:rsidR="00ED28E2">
          <w:rPr>
            <w:noProof/>
            <w:webHidden/>
          </w:rPr>
          <w:fldChar w:fldCharType="separate"/>
        </w:r>
        <w:r w:rsidR="00ED28E2">
          <w:rPr>
            <w:noProof/>
            <w:webHidden/>
          </w:rPr>
          <w:t>12</w:t>
        </w:r>
        <w:r w:rsidR="00ED28E2">
          <w:rPr>
            <w:noProof/>
            <w:webHidden/>
          </w:rPr>
          <w:fldChar w:fldCharType="end"/>
        </w:r>
      </w:hyperlink>
    </w:p>
    <w:p w14:paraId="0056B68B"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83" w:history="1">
        <w:r w:rsidR="00ED28E2" w:rsidRPr="004845ED">
          <w:rPr>
            <w:rStyle w:val="Hyperlink"/>
            <w:noProof/>
          </w:rPr>
          <w:t>5.2</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Droit à un procès équitable (article 14)</w:t>
        </w:r>
        <w:r w:rsidR="00ED28E2">
          <w:rPr>
            <w:noProof/>
            <w:webHidden/>
          </w:rPr>
          <w:tab/>
        </w:r>
        <w:r w:rsidR="00ED28E2">
          <w:rPr>
            <w:noProof/>
            <w:webHidden/>
          </w:rPr>
          <w:fldChar w:fldCharType="begin"/>
        </w:r>
        <w:r w:rsidR="00ED28E2">
          <w:rPr>
            <w:noProof/>
            <w:webHidden/>
          </w:rPr>
          <w:instrText xml:space="preserve"> PAGEREF _Toc488662983 \h </w:instrText>
        </w:r>
        <w:r w:rsidR="00ED28E2">
          <w:rPr>
            <w:noProof/>
            <w:webHidden/>
          </w:rPr>
        </w:r>
        <w:r w:rsidR="00ED28E2">
          <w:rPr>
            <w:noProof/>
            <w:webHidden/>
          </w:rPr>
          <w:fldChar w:fldCharType="separate"/>
        </w:r>
        <w:r w:rsidR="00ED28E2">
          <w:rPr>
            <w:noProof/>
            <w:webHidden/>
          </w:rPr>
          <w:t>12</w:t>
        </w:r>
        <w:r w:rsidR="00ED28E2">
          <w:rPr>
            <w:noProof/>
            <w:webHidden/>
          </w:rPr>
          <w:fldChar w:fldCharType="end"/>
        </w:r>
      </w:hyperlink>
    </w:p>
    <w:p w14:paraId="19A5A9DF"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84" w:history="1">
        <w:r w:rsidR="00ED28E2" w:rsidRPr="004845ED">
          <w:rPr>
            <w:rStyle w:val="Hyperlink"/>
            <w:noProof/>
            <w:lang w:val="fr-CH"/>
          </w:rPr>
          <w:t>5.2.1</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Utilisation de preuves obtenues sous la torture</w:t>
        </w:r>
        <w:r w:rsidR="00ED28E2">
          <w:rPr>
            <w:noProof/>
            <w:webHidden/>
          </w:rPr>
          <w:tab/>
        </w:r>
        <w:r w:rsidR="00ED28E2">
          <w:rPr>
            <w:noProof/>
            <w:webHidden/>
          </w:rPr>
          <w:fldChar w:fldCharType="begin"/>
        </w:r>
        <w:r w:rsidR="00ED28E2">
          <w:rPr>
            <w:noProof/>
            <w:webHidden/>
          </w:rPr>
          <w:instrText xml:space="preserve"> PAGEREF _Toc488662984 \h </w:instrText>
        </w:r>
        <w:r w:rsidR="00ED28E2">
          <w:rPr>
            <w:noProof/>
            <w:webHidden/>
          </w:rPr>
        </w:r>
        <w:r w:rsidR="00ED28E2">
          <w:rPr>
            <w:noProof/>
            <w:webHidden/>
          </w:rPr>
          <w:fldChar w:fldCharType="separate"/>
        </w:r>
        <w:r w:rsidR="00ED28E2">
          <w:rPr>
            <w:noProof/>
            <w:webHidden/>
          </w:rPr>
          <w:t>12</w:t>
        </w:r>
        <w:r w:rsidR="00ED28E2">
          <w:rPr>
            <w:noProof/>
            <w:webHidden/>
          </w:rPr>
          <w:fldChar w:fldCharType="end"/>
        </w:r>
      </w:hyperlink>
    </w:p>
    <w:p w14:paraId="03728C69"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85" w:history="1">
        <w:r w:rsidR="00ED28E2" w:rsidRPr="004845ED">
          <w:rPr>
            <w:rStyle w:val="Hyperlink"/>
            <w:noProof/>
            <w:lang w:val="fr-CH"/>
          </w:rPr>
          <w:t>5.2.2</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Accès à la justice et aide juridique</w:t>
        </w:r>
        <w:r w:rsidR="00ED28E2">
          <w:rPr>
            <w:noProof/>
            <w:webHidden/>
          </w:rPr>
          <w:tab/>
        </w:r>
        <w:r w:rsidR="00ED28E2">
          <w:rPr>
            <w:noProof/>
            <w:webHidden/>
          </w:rPr>
          <w:fldChar w:fldCharType="begin"/>
        </w:r>
        <w:r w:rsidR="00ED28E2">
          <w:rPr>
            <w:noProof/>
            <w:webHidden/>
          </w:rPr>
          <w:instrText xml:space="preserve"> PAGEREF _Toc488662985 \h </w:instrText>
        </w:r>
        <w:r w:rsidR="00ED28E2">
          <w:rPr>
            <w:noProof/>
            <w:webHidden/>
          </w:rPr>
        </w:r>
        <w:r w:rsidR="00ED28E2">
          <w:rPr>
            <w:noProof/>
            <w:webHidden/>
          </w:rPr>
          <w:fldChar w:fldCharType="separate"/>
        </w:r>
        <w:r w:rsidR="00ED28E2">
          <w:rPr>
            <w:noProof/>
            <w:webHidden/>
          </w:rPr>
          <w:t>12</w:t>
        </w:r>
        <w:r w:rsidR="00ED28E2">
          <w:rPr>
            <w:noProof/>
            <w:webHidden/>
          </w:rPr>
          <w:fldChar w:fldCharType="end"/>
        </w:r>
      </w:hyperlink>
    </w:p>
    <w:p w14:paraId="5C81430F"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86" w:history="1">
        <w:r w:rsidR="00ED28E2" w:rsidRPr="004845ED">
          <w:rPr>
            <w:rStyle w:val="Hyperlink"/>
            <w:noProof/>
          </w:rPr>
          <w:t>5.2.3</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rPr>
          <w:t>Indépendance de la justice</w:t>
        </w:r>
        <w:r w:rsidR="00ED28E2">
          <w:rPr>
            <w:noProof/>
            <w:webHidden/>
          </w:rPr>
          <w:tab/>
        </w:r>
        <w:r w:rsidR="00ED28E2">
          <w:rPr>
            <w:noProof/>
            <w:webHidden/>
          </w:rPr>
          <w:fldChar w:fldCharType="begin"/>
        </w:r>
        <w:r w:rsidR="00ED28E2">
          <w:rPr>
            <w:noProof/>
            <w:webHidden/>
          </w:rPr>
          <w:instrText xml:space="preserve"> PAGEREF _Toc488662986 \h </w:instrText>
        </w:r>
        <w:r w:rsidR="00ED28E2">
          <w:rPr>
            <w:noProof/>
            <w:webHidden/>
          </w:rPr>
        </w:r>
        <w:r w:rsidR="00ED28E2">
          <w:rPr>
            <w:noProof/>
            <w:webHidden/>
          </w:rPr>
          <w:fldChar w:fldCharType="separate"/>
        </w:r>
        <w:r w:rsidR="00ED28E2">
          <w:rPr>
            <w:noProof/>
            <w:webHidden/>
          </w:rPr>
          <w:t>13</w:t>
        </w:r>
        <w:r w:rsidR="00ED28E2">
          <w:rPr>
            <w:noProof/>
            <w:webHidden/>
          </w:rPr>
          <w:fldChar w:fldCharType="end"/>
        </w:r>
      </w:hyperlink>
    </w:p>
    <w:p w14:paraId="65F67B35" w14:textId="77777777" w:rsidR="00ED28E2" w:rsidRDefault="00321E6E">
      <w:pPr>
        <w:pStyle w:val="TOC1"/>
        <w:tabs>
          <w:tab w:val="left" w:pos="400"/>
          <w:tab w:val="right" w:leader="dot" w:pos="9062"/>
        </w:tabs>
        <w:rPr>
          <w:rFonts w:asciiTheme="minorHAnsi" w:eastAsiaTheme="minorEastAsia" w:hAnsiTheme="minorHAnsi" w:cstheme="minorBidi"/>
          <w:b w:val="0"/>
          <w:bCs w:val="0"/>
          <w:caps w:val="0"/>
          <w:noProof/>
          <w:sz w:val="22"/>
          <w:szCs w:val="22"/>
          <w:lang w:val="fr-CH" w:eastAsia="fr-CH"/>
        </w:rPr>
      </w:pPr>
      <w:hyperlink w:anchor="_Toc488662987" w:history="1">
        <w:r w:rsidR="00ED28E2" w:rsidRPr="004845ED">
          <w:rPr>
            <w:rStyle w:val="Hyperlink"/>
            <w:noProof/>
            <w:lang w:val="fr-CH"/>
          </w:rPr>
          <w:t>6.</w:t>
        </w:r>
        <w:r w:rsidR="00ED28E2">
          <w:rPr>
            <w:rFonts w:asciiTheme="minorHAnsi" w:eastAsiaTheme="minorEastAsia" w:hAnsiTheme="minorHAnsi" w:cstheme="minorBidi"/>
            <w:b w:val="0"/>
            <w:bCs w:val="0"/>
            <w:caps w:val="0"/>
            <w:noProof/>
            <w:sz w:val="22"/>
            <w:szCs w:val="22"/>
            <w:lang w:val="fr-CH" w:eastAsia="fr-CH"/>
          </w:rPr>
          <w:tab/>
        </w:r>
        <w:r w:rsidR="00ED28E2" w:rsidRPr="004845ED">
          <w:rPr>
            <w:rStyle w:val="Hyperlink"/>
            <w:noProof/>
            <w:lang w:val="fr-CH"/>
          </w:rPr>
          <w:t>Libertés fondamentales (articles 18, 19, 21, 22, 25)</w:t>
        </w:r>
        <w:r w:rsidR="00ED28E2">
          <w:rPr>
            <w:noProof/>
            <w:webHidden/>
          </w:rPr>
          <w:tab/>
        </w:r>
        <w:r w:rsidR="00ED28E2">
          <w:rPr>
            <w:noProof/>
            <w:webHidden/>
          </w:rPr>
          <w:fldChar w:fldCharType="begin"/>
        </w:r>
        <w:r w:rsidR="00ED28E2">
          <w:rPr>
            <w:noProof/>
            <w:webHidden/>
          </w:rPr>
          <w:instrText xml:space="preserve"> PAGEREF _Toc488662987 \h </w:instrText>
        </w:r>
        <w:r w:rsidR="00ED28E2">
          <w:rPr>
            <w:noProof/>
            <w:webHidden/>
          </w:rPr>
        </w:r>
        <w:r w:rsidR="00ED28E2">
          <w:rPr>
            <w:noProof/>
            <w:webHidden/>
          </w:rPr>
          <w:fldChar w:fldCharType="separate"/>
        </w:r>
        <w:r w:rsidR="00ED28E2">
          <w:rPr>
            <w:noProof/>
            <w:webHidden/>
          </w:rPr>
          <w:t>13</w:t>
        </w:r>
        <w:r w:rsidR="00ED28E2">
          <w:rPr>
            <w:noProof/>
            <w:webHidden/>
          </w:rPr>
          <w:fldChar w:fldCharType="end"/>
        </w:r>
      </w:hyperlink>
    </w:p>
    <w:p w14:paraId="3BE18DBA"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88" w:history="1">
        <w:r w:rsidR="00ED28E2" w:rsidRPr="004845ED">
          <w:rPr>
            <w:rStyle w:val="Hyperlink"/>
            <w:noProof/>
          </w:rPr>
          <w:t>6.2</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Liberté d’opinion et d’expression (article 19)</w:t>
        </w:r>
        <w:r w:rsidR="00ED28E2">
          <w:rPr>
            <w:noProof/>
            <w:webHidden/>
          </w:rPr>
          <w:tab/>
        </w:r>
        <w:r w:rsidR="00ED28E2">
          <w:rPr>
            <w:noProof/>
            <w:webHidden/>
          </w:rPr>
          <w:fldChar w:fldCharType="begin"/>
        </w:r>
        <w:r w:rsidR="00ED28E2">
          <w:rPr>
            <w:noProof/>
            <w:webHidden/>
          </w:rPr>
          <w:instrText xml:space="preserve"> PAGEREF _Toc488662988 \h </w:instrText>
        </w:r>
        <w:r w:rsidR="00ED28E2">
          <w:rPr>
            <w:noProof/>
            <w:webHidden/>
          </w:rPr>
        </w:r>
        <w:r w:rsidR="00ED28E2">
          <w:rPr>
            <w:noProof/>
            <w:webHidden/>
          </w:rPr>
          <w:fldChar w:fldCharType="separate"/>
        </w:r>
        <w:r w:rsidR="00ED28E2">
          <w:rPr>
            <w:noProof/>
            <w:webHidden/>
          </w:rPr>
          <w:t>13</w:t>
        </w:r>
        <w:r w:rsidR="00ED28E2">
          <w:rPr>
            <w:noProof/>
            <w:webHidden/>
          </w:rPr>
          <w:fldChar w:fldCharType="end"/>
        </w:r>
      </w:hyperlink>
    </w:p>
    <w:p w14:paraId="5706DA82"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89" w:history="1">
        <w:r w:rsidR="00ED28E2" w:rsidRPr="004845ED">
          <w:rPr>
            <w:rStyle w:val="Hyperlink"/>
            <w:noProof/>
            <w:lang w:val="fr-CH"/>
          </w:rPr>
          <w:t>6.2.1</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Cadre juridique</w:t>
        </w:r>
        <w:r w:rsidR="00ED28E2">
          <w:rPr>
            <w:noProof/>
            <w:webHidden/>
          </w:rPr>
          <w:tab/>
        </w:r>
        <w:r w:rsidR="00ED28E2">
          <w:rPr>
            <w:noProof/>
            <w:webHidden/>
          </w:rPr>
          <w:fldChar w:fldCharType="begin"/>
        </w:r>
        <w:r w:rsidR="00ED28E2">
          <w:rPr>
            <w:noProof/>
            <w:webHidden/>
          </w:rPr>
          <w:instrText xml:space="preserve"> PAGEREF _Toc488662989 \h </w:instrText>
        </w:r>
        <w:r w:rsidR="00ED28E2">
          <w:rPr>
            <w:noProof/>
            <w:webHidden/>
          </w:rPr>
        </w:r>
        <w:r w:rsidR="00ED28E2">
          <w:rPr>
            <w:noProof/>
            <w:webHidden/>
          </w:rPr>
          <w:fldChar w:fldCharType="separate"/>
        </w:r>
        <w:r w:rsidR="00ED28E2">
          <w:rPr>
            <w:noProof/>
            <w:webHidden/>
          </w:rPr>
          <w:t>13</w:t>
        </w:r>
        <w:r w:rsidR="00ED28E2">
          <w:rPr>
            <w:noProof/>
            <w:webHidden/>
          </w:rPr>
          <w:fldChar w:fldCharType="end"/>
        </w:r>
      </w:hyperlink>
    </w:p>
    <w:p w14:paraId="3CF98112"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90" w:history="1">
        <w:r w:rsidR="00ED28E2" w:rsidRPr="004845ED">
          <w:rPr>
            <w:rStyle w:val="Hyperlink"/>
            <w:noProof/>
            <w:lang w:val="fr-CH"/>
          </w:rPr>
          <w:t>6.2.2</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Liberté de la presse</w:t>
        </w:r>
        <w:r w:rsidR="00ED28E2">
          <w:rPr>
            <w:noProof/>
            <w:webHidden/>
          </w:rPr>
          <w:tab/>
        </w:r>
        <w:r w:rsidR="00ED28E2">
          <w:rPr>
            <w:noProof/>
            <w:webHidden/>
          </w:rPr>
          <w:fldChar w:fldCharType="begin"/>
        </w:r>
        <w:r w:rsidR="00ED28E2">
          <w:rPr>
            <w:noProof/>
            <w:webHidden/>
          </w:rPr>
          <w:instrText xml:space="preserve"> PAGEREF _Toc488662990 \h </w:instrText>
        </w:r>
        <w:r w:rsidR="00ED28E2">
          <w:rPr>
            <w:noProof/>
            <w:webHidden/>
          </w:rPr>
        </w:r>
        <w:r w:rsidR="00ED28E2">
          <w:rPr>
            <w:noProof/>
            <w:webHidden/>
          </w:rPr>
          <w:fldChar w:fldCharType="separate"/>
        </w:r>
        <w:r w:rsidR="00ED28E2">
          <w:rPr>
            <w:noProof/>
            <w:webHidden/>
          </w:rPr>
          <w:t>14</w:t>
        </w:r>
        <w:r w:rsidR="00ED28E2">
          <w:rPr>
            <w:noProof/>
            <w:webHidden/>
          </w:rPr>
          <w:fldChar w:fldCharType="end"/>
        </w:r>
      </w:hyperlink>
    </w:p>
    <w:p w14:paraId="4AD97331"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91" w:history="1">
        <w:r w:rsidR="00ED28E2" w:rsidRPr="004845ED">
          <w:rPr>
            <w:rStyle w:val="Hyperlink"/>
            <w:noProof/>
            <w:lang w:val="fr-CH"/>
          </w:rPr>
          <w:t>6.2.1</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Conséquences de la Charte de 2006 sur la liberté d’expression</w:t>
        </w:r>
        <w:r w:rsidR="00ED28E2">
          <w:rPr>
            <w:noProof/>
            <w:webHidden/>
          </w:rPr>
          <w:tab/>
        </w:r>
        <w:r w:rsidR="00ED28E2">
          <w:rPr>
            <w:noProof/>
            <w:webHidden/>
          </w:rPr>
          <w:fldChar w:fldCharType="begin"/>
        </w:r>
        <w:r w:rsidR="00ED28E2">
          <w:rPr>
            <w:noProof/>
            <w:webHidden/>
          </w:rPr>
          <w:instrText xml:space="preserve"> PAGEREF _Toc488662991 \h </w:instrText>
        </w:r>
        <w:r w:rsidR="00ED28E2">
          <w:rPr>
            <w:noProof/>
            <w:webHidden/>
          </w:rPr>
        </w:r>
        <w:r w:rsidR="00ED28E2">
          <w:rPr>
            <w:noProof/>
            <w:webHidden/>
          </w:rPr>
          <w:fldChar w:fldCharType="separate"/>
        </w:r>
        <w:r w:rsidR="00ED28E2">
          <w:rPr>
            <w:noProof/>
            <w:webHidden/>
          </w:rPr>
          <w:t>14</w:t>
        </w:r>
        <w:r w:rsidR="00ED28E2">
          <w:rPr>
            <w:noProof/>
            <w:webHidden/>
          </w:rPr>
          <w:fldChar w:fldCharType="end"/>
        </w:r>
      </w:hyperlink>
    </w:p>
    <w:p w14:paraId="13250EF9" w14:textId="77777777" w:rsidR="00ED28E2" w:rsidRDefault="00321E6E">
      <w:pPr>
        <w:pStyle w:val="TOC3"/>
        <w:tabs>
          <w:tab w:val="left" w:pos="1100"/>
          <w:tab w:val="right" w:leader="dot" w:pos="9062"/>
        </w:tabs>
        <w:rPr>
          <w:rFonts w:asciiTheme="minorHAnsi" w:eastAsiaTheme="minorEastAsia" w:hAnsiTheme="minorHAnsi" w:cstheme="minorBidi"/>
          <w:i w:val="0"/>
          <w:iCs w:val="0"/>
          <w:noProof/>
          <w:sz w:val="22"/>
          <w:szCs w:val="22"/>
          <w:lang w:val="fr-CH" w:eastAsia="fr-CH"/>
        </w:rPr>
      </w:pPr>
      <w:hyperlink w:anchor="_Toc488662992" w:history="1">
        <w:r w:rsidR="00ED28E2" w:rsidRPr="004845ED">
          <w:rPr>
            <w:rStyle w:val="Hyperlink"/>
            <w:noProof/>
            <w:lang w:val="fr-CH"/>
          </w:rPr>
          <w:t>6.2.2</w:t>
        </w:r>
        <w:r w:rsidR="00ED28E2">
          <w:rPr>
            <w:rFonts w:asciiTheme="minorHAnsi" w:eastAsiaTheme="minorEastAsia" w:hAnsiTheme="minorHAnsi" w:cstheme="minorBidi"/>
            <w:i w:val="0"/>
            <w:iCs w:val="0"/>
            <w:noProof/>
            <w:sz w:val="22"/>
            <w:szCs w:val="22"/>
            <w:lang w:val="fr-CH" w:eastAsia="fr-CH"/>
          </w:rPr>
          <w:tab/>
        </w:r>
        <w:r w:rsidR="00ED28E2" w:rsidRPr="004845ED">
          <w:rPr>
            <w:rStyle w:val="Hyperlink"/>
            <w:noProof/>
            <w:lang w:val="fr-CH"/>
          </w:rPr>
          <w:t>Restrictions dues à la loi antiterroriste</w:t>
        </w:r>
        <w:r w:rsidR="00ED28E2">
          <w:rPr>
            <w:noProof/>
            <w:webHidden/>
          </w:rPr>
          <w:tab/>
        </w:r>
        <w:r w:rsidR="00ED28E2">
          <w:rPr>
            <w:noProof/>
            <w:webHidden/>
          </w:rPr>
          <w:fldChar w:fldCharType="begin"/>
        </w:r>
        <w:r w:rsidR="00ED28E2">
          <w:rPr>
            <w:noProof/>
            <w:webHidden/>
          </w:rPr>
          <w:instrText xml:space="preserve"> PAGEREF _Toc488662992 \h </w:instrText>
        </w:r>
        <w:r w:rsidR="00ED28E2">
          <w:rPr>
            <w:noProof/>
            <w:webHidden/>
          </w:rPr>
        </w:r>
        <w:r w:rsidR="00ED28E2">
          <w:rPr>
            <w:noProof/>
            <w:webHidden/>
          </w:rPr>
          <w:fldChar w:fldCharType="separate"/>
        </w:r>
        <w:r w:rsidR="00ED28E2">
          <w:rPr>
            <w:noProof/>
            <w:webHidden/>
          </w:rPr>
          <w:t>15</w:t>
        </w:r>
        <w:r w:rsidR="00ED28E2">
          <w:rPr>
            <w:noProof/>
            <w:webHidden/>
          </w:rPr>
          <w:fldChar w:fldCharType="end"/>
        </w:r>
      </w:hyperlink>
    </w:p>
    <w:p w14:paraId="0FBC16B7"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93" w:history="1">
        <w:r w:rsidR="00ED28E2" w:rsidRPr="004845ED">
          <w:rPr>
            <w:rStyle w:val="Hyperlink"/>
            <w:noProof/>
          </w:rPr>
          <w:t>6.3</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Liberté d’assemblée et de réunion pacifique</w:t>
        </w:r>
        <w:r w:rsidR="00ED28E2">
          <w:rPr>
            <w:noProof/>
            <w:webHidden/>
          </w:rPr>
          <w:tab/>
        </w:r>
        <w:r w:rsidR="00ED28E2">
          <w:rPr>
            <w:noProof/>
            <w:webHidden/>
          </w:rPr>
          <w:fldChar w:fldCharType="begin"/>
        </w:r>
        <w:r w:rsidR="00ED28E2">
          <w:rPr>
            <w:noProof/>
            <w:webHidden/>
          </w:rPr>
          <w:instrText xml:space="preserve"> PAGEREF _Toc488662993 \h </w:instrText>
        </w:r>
        <w:r w:rsidR="00ED28E2">
          <w:rPr>
            <w:noProof/>
            <w:webHidden/>
          </w:rPr>
        </w:r>
        <w:r w:rsidR="00ED28E2">
          <w:rPr>
            <w:noProof/>
            <w:webHidden/>
          </w:rPr>
          <w:fldChar w:fldCharType="separate"/>
        </w:r>
        <w:r w:rsidR="00ED28E2">
          <w:rPr>
            <w:noProof/>
            <w:webHidden/>
          </w:rPr>
          <w:t>15</w:t>
        </w:r>
        <w:r w:rsidR="00ED28E2">
          <w:rPr>
            <w:noProof/>
            <w:webHidden/>
          </w:rPr>
          <w:fldChar w:fldCharType="end"/>
        </w:r>
      </w:hyperlink>
    </w:p>
    <w:p w14:paraId="3DC01D0F" w14:textId="77777777" w:rsidR="00ED28E2" w:rsidRDefault="00321E6E">
      <w:pPr>
        <w:pStyle w:val="TOC2"/>
        <w:tabs>
          <w:tab w:val="left" w:pos="880"/>
          <w:tab w:val="right" w:leader="dot" w:pos="9062"/>
        </w:tabs>
        <w:rPr>
          <w:rFonts w:asciiTheme="minorHAnsi" w:eastAsiaTheme="minorEastAsia" w:hAnsiTheme="minorHAnsi" w:cstheme="minorBidi"/>
          <w:smallCaps w:val="0"/>
          <w:noProof/>
          <w:sz w:val="22"/>
          <w:szCs w:val="22"/>
          <w:lang w:val="fr-CH" w:eastAsia="fr-CH"/>
        </w:rPr>
      </w:pPr>
      <w:hyperlink w:anchor="_Toc488662994" w:history="1">
        <w:r w:rsidR="00ED28E2" w:rsidRPr="004845ED">
          <w:rPr>
            <w:rStyle w:val="Hyperlink"/>
            <w:noProof/>
          </w:rPr>
          <w:t>6.4</w:t>
        </w:r>
        <w:r w:rsidR="00ED28E2">
          <w:rPr>
            <w:rFonts w:asciiTheme="minorHAnsi" w:eastAsiaTheme="minorEastAsia" w:hAnsiTheme="minorHAnsi" w:cstheme="minorBidi"/>
            <w:smallCaps w:val="0"/>
            <w:noProof/>
            <w:sz w:val="22"/>
            <w:szCs w:val="22"/>
            <w:lang w:val="fr-CH" w:eastAsia="fr-CH"/>
          </w:rPr>
          <w:tab/>
        </w:r>
        <w:r w:rsidR="00ED28E2" w:rsidRPr="004845ED">
          <w:rPr>
            <w:rStyle w:val="Hyperlink"/>
            <w:noProof/>
          </w:rPr>
          <w:t>Liberté d’association</w:t>
        </w:r>
        <w:r w:rsidR="00ED28E2">
          <w:rPr>
            <w:noProof/>
            <w:webHidden/>
          </w:rPr>
          <w:tab/>
        </w:r>
        <w:r w:rsidR="00ED28E2">
          <w:rPr>
            <w:noProof/>
            <w:webHidden/>
          </w:rPr>
          <w:fldChar w:fldCharType="begin"/>
        </w:r>
        <w:r w:rsidR="00ED28E2">
          <w:rPr>
            <w:noProof/>
            <w:webHidden/>
          </w:rPr>
          <w:instrText xml:space="preserve"> PAGEREF _Toc488662994 \h </w:instrText>
        </w:r>
        <w:r w:rsidR="00ED28E2">
          <w:rPr>
            <w:noProof/>
            <w:webHidden/>
          </w:rPr>
        </w:r>
        <w:r w:rsidR="00ED28E2">
          <w:rPr>
            <w:noProof/>
            <w:webHidden/>
          </w:rPr>
          <w:fldChar w:fldCharType="separate"/>
        </w:r>
        <w:r w:rsidR="00ED28E2">
          <w:rPr>
            <w:noProof/>
            <w:webHidden/>
          </w:rPr>
          <w:t>15</w:t>
        </w:r>
        <w:r w:rsidR="00ED28E2">
          <w:rPr>
            <w:noProof/>
            <w:webHidden/>
          </w:rPr>
          <w:fldChar w:fldCharType="end"/>
        </w:r>
      </w:hyperlink>
    </w:p>
    <w:p w14:paraId="0ACC05EB" w14:textId="58A511F7" w:rsidR="00035E42" w:rsidRDefault="00035E42" w:rsidP="00F839DE">
      <w:pPr>
        <w:rPr>
          <w:lang w:val="fr-CH"/>
        </w:rPr>
      </w:pPr>
      <w:r w:rsidRPr="00BC4C9B">
        <w:rPr>
          <w:lang w:val="fr-CH"/>
        </w:rPr>
        <w:fldChar w:fldCharType="end"/>
      </w:r>
    </w:p>
    <w:p w14:paraId="257D6D72" w14:textId="77777777" w:rsidR="00D72B1D" w:rsidRDefault="00D72B1D" w:rsidP="00F839DE">
      <w:pPr>
        <w:rPr>
          <w:lang w:val="fr-CH"/>
        </w:rPr>
      </w:pPr>
    </w:p>
    <w:p w14:paraId="57DC68A2" w14:textId="77777777" w:rsidR="00D72B1D" w:rsidRDefault="00D72B1D" w:rsidP="00F839DE">
      <w:pPr>
        <w:rPr>
          <w:lang w:val="fr-CH"/>
        </w:rPr>
      </w:pPr>
    </w:p>
    <w:p w14:paraId="08F55CCC" w14:textId="77777777" w:rsidR="00FB2AC4" w:rsidRDefault="00FB2AC4" w:rsidP="00F839DE">
      <w:pPr>
        <w:rPr>
          <w:lang w:val="fr-CH"/>
        </w:rPr>
      </w:pPr>
    </w:p>
    <w:p w14:paraId="77E6350B" w14:textId="77777777" w:rsidR="00FB2AC4" w:rsidRDefault="00FB2AC4" w:rsidP="00F839DE">
      <w:pPr>
        <w:rPr>
          <w:lang w:val="fr-CH"/>
        </w:rPr>
      </w:pPr>
    </w:p>
    <w:p w14:paraId="558DD823" w14:textId="77777777" w:rsidR="00FB2AC4" w:rsidRDefault="00FB2AC4" w:rsidP="00F839DE">
      <w:pPr>
        <w:rPr>
          <w:lang w:val="fr-CH"/>
        </w:rPr>
      </w:pPr>
    </w:p>
    <w:p w14:paraId="3DA99B58" w14:textId="77777777" w:rsidR="00FB2AC4" w:rsidRDefault="00FB2AC4" w:rsidP="00F839DE">
      <w:pPr>
        <w:rPr>
          <w:lang w:val="fr-CH"/>
        </w:rPr>
      </w:pPr>
    </w:p>
    <w:p w14:paraId="2EB956A3" w14:textId="77777777" w:rsidR="00FB2AC4" w:rsidRPr="00BC4C9B" w:rsidRDefault="00FB2AC4" w:rsidP="00F839DE">
      <w:pPr>
        <w:rPr>
          <w:lang w:val="fr-CH"/>
        </w:rPr>
      </w:pPr>
    </w:p>
    <w:p w14:paraId="500BBE3E" w14:textId="5B394221" w:rsidR="00035E42" w:rsidRPr="00BC4C9B" w:rsidRDefault="00035E42" w:rsidP="00A44985">
      <w:pPr>
        <w:pStyle w:val="Heading1"/>
      </w:pPr>
      <w:bookmarkStart w:id="2" w:name="_Toc222226007"/>
      <w:bookmarkStart w:id="3" w:name="_Toc222895125"/>
      <w:bookmarkStart w:id="4" w:name="_Toc488662960"/>
      <w:r w:rsidRPr="00BC4C9B">
        <w:lastRenderedPageBreak/>
        <w:t>Introduction</w:t>
      </w:r>
      <w:bookmarkEnd w:id="2"/>
      <w:bookmarkEnd w:id="3"/>
      <w:bookmarkEnd w:id="4"/>
    </w:p>
    <w:p w14:paraId="39FE453D" w14:textId="77777777" w:rsidR="005A41C4" w:rsidRDefault="005A41C4" w:rsidP="005A41C4">
      <w:pPr>
        <w:pStyle w:val="ListParagraph"/>
        <w:ind w:left="0"/>
      </w:pPr>
    </w:p>
    <w:p w14:paraId="0452C6E8" w14:textId="03CCD0C7" w:rsidR="00FB2AC4" w:rsidRDefault="00FB2AC4" w:rsidP="00FB2AC4">
      <w:pPr>
        <w:pStyle w:val="ListParagraph"/>
        <w:ind w:left="0"/>
        <w:rPr>
          <w:szCs w:val="20"/>
        </w:rPr>
      </w:pPr>
      <w:r>
        <w:t>Dans le cadre de sa contribution au quatrième examen périodique de l’Algérie, Alkarama a pris connaissance</w:t>
      </w:r>
      <w:r>
        <w:rPr>
          <w:szCs w:val="20"/>
        </w:rPr>
        <w:t xml:space="preserve"> avec attention du rapport national de l’État partie soumis avec un retard de plus de cinq années et souhaite soulever certaines questions.</w:t>
      </w:r>
    </w:p>
    <w:p w14:paraId="05405ACA" w14:textId="77777777" w:rsidR="00FB2AC4" w:rsidRDefault="00FB2AC4" w:rsidP="005A41C4">
      <w:pPr>
        <w:pStyle w:val="ListParagraph"/>
        <w:ind w:left="0"/>
        <w:rPr>
          <w:szCs w:val="20"/>
        </w:rPr>
      </w:pPr>
    </w:p>
    <w:p w14:paraId="10E7A9F6" w14:textId="19D97080" w:rsidR="00FB2AC4" w:rsidRDefault="00FB2AC4" w:rsidP="00FB2AC4">
      <w:pPr>
        <w:pStyle w:val="ListParagraph"/>
        <w:ind w:left="0"/>
      </w:pPr>
      <w:r>
        <w:rPr>
          <w:lang w:eastAsia="fr-FR"/>
        </w:rPr>
        <w:t>La présente contribution se base sur les informations collectées par Alkarama auprès de la société civile, notamment dans le cadre de la documentation de cas individuels de violations auprès des procédures spéciales ainsi qu’aux organes de traités.</w:t>
      </w:r>
    </w:p>
    <w:p w14:paraId="1D46041D" w14:textId="77777777" w:rsidR="00FB2AC4" w:rsidRPr="00BC4C9B" w:rsidRDefault="00FB2AC4" w:rsidP="005A41C4">
      <w:pPr>
        <w:pStyle w:val="ListParagraph"/>
        <w:ind w:left="0"/>
      </w:pPr>
    </w:p>
    <w:p w14:paraId="0A64D1EA" w14:textId="77777777" w:rsidR="00035E42" w:rsidRPr="00120021" w:rsidRDefault="00342566" w:rsidP="00A44985">
      <w:pPr>
        <w:pStyle w:val="Heading2"/>
        <w:numPr>
          <w:ilvl w:val="1"/>
          <w:numId w:val="14"/>
        </w:numPr>
      </w:pPr>
      <w:bookmarkStart w:id="5" w:name="_Toc488662961"/>
      <w:r w:rsidRPr="00120021">
        <w:t>Cadre constitutionnel et législatif</w:t>
      </w:r>
      <w:bookmarkEnd w:id="5"/>
    </w:p>
    <w:p w14:paraId="58D5A1E6" w14:textId="77777777" w:rsidR="00035E42" w:rsidRPr="00BC4C9B" w:rsidRDefault="00035E42" w:rsidP="00035E42">
      <w:pPr>
        <w:rPr>
          <w:lang w:val="fr-CH" w:eastAsia="fr-FR"/>
        </w:rPr>
      </w:pPr>
    </w:p>
    <w:p w14:paraId="16B0CE9F" w14:textId="31A16E44" w:rsidR="00035E42" w:rsidRPr="00BC4C9B" w:rsidRDefault="00342566" w:rsidP="00843095">
      <w:pPr>
        <w:rPr>
          <w:lang w:val="fr-CH" w:eastAsia="fr-FR"/>
        </w:rPr>
      </w:pPr>
      <w:r w:rsidRPr="00BC4C9B">
        <w:rPr>
          <w:lang w:val="fr-CH" w:eastAsia="fr-FR"/>
        </w:rPr>
        <w:t>Le 7 février 2016, le Parlement a adopté le projet constitutionnel annoncé en 2011 par le Président de la République. Cette réforme réintroduit la limitation à deux mandats présidentiels (article 179), qui avait été levée par le Président en 2008 pour être réélu.</w:t>
      </w:r>
      <w:r w:rsidR="00361F6B" w:rsidRPr="00BC4C9B">
        <w:rPr>
          <w:lang w:val="fr-CH" w:eastAsia="fr-FR"/>
        </w:rPr>
        <w:t xml:space="preserve"> L’État partie indique que cette révision Constitutionnelle couronnant un processus de réforme qui avait débuté avec la levée de l’état d’urgence en 2011</w:t>
      </w:r>
      <w:r w:rsidR="00361F6B" w:rsidRPr="00BC4C9B">
        <w:rPr>
          <w:rStyle w:val="FootnoteReference"/>
          <w:lang w:val="fr-CH" w:eastAsia="fr-FR"/>
        </w:rPr>
        <w:footnoteReference w:id="1"/>
      </w:r>
      <w:r w:rsidR="00361F6B" w:rsidRPr="00BC4C9B">
        <w:rPr>
          <w:lang w:val="fr-CH" w:eastAsia="fr-FR"/>
        </w:rPr>
        <w:t xml:space="preserve">.  </w:t>
      </w:r>
    </w:p>
    <w:p w14:paraId="4CC69D13" w14:textId="77777777" w:rsidR="00361F6B" w:rsidRPr="00BC4C9B" w:rsidRDefault="00361F6B" w:rsidP="00843095">
      <w:pPr>
        <w:rPr>
          <w:lang w:val="fr-CH" w:eastAsia="fr-FR"/>
        </w:rPr>
      </w:pPr>
    </w:p>
    <w:p w14:paraId="4BD708C3" w14:textId="246B46D6" w:rsidR="006D1956" w:rsidRPr="00BC4C9B" w:rsidRDefault="006D1956" w:rsidP="00B00EB5">
      <w:pPr>
        <w:rPr>
          <w:lang w:val="fr-CH" w:eastAsia="fr-FR"/>
        </w:rPr>
      </w:pPr>
      <w:r w:rsidRPr="00BC4C9B">
        <w:rPr>
          <w:lang w:val="fr-CH" w:eastAsia="fr-FR"/>
        </w:rPr>
        <w:t xml:space="preserve">Dans son quatrième rapport périodique l’État partie affirme que les </w:t>
      </w:r>
      <w:r w:rsidRPr="00BC4C9B">
        <w:rPr>
          <w:spacing w:val="-3"/>
          <w:lang w:val="fr-CH" w:eastAsia="fr-FR"/>
        </w:rPr>
        <w:t xml:space="preserve">questions de droits de l’homme sont prises en charge au niveau des commissions permanentes </w:t>
      </w:r>
      <w:r w:rsidR="00361F6B" w:rsidRPr="00BC4C9B">
        <w:rPr>
          <w:spacing w:val="-3"/>
          <w:lang w:val="fr-CH" w:eastAsia="fr-FR"/>
        </w:rPr>
        <w:t>au sein du</w:t>
      </w:r>
      <w:r w:rsidR="00B00EB5" w:rsidRPr="00BC4C9B">
        <w:rPr>
          <w:spacing w:val="-3"/>
          <w:lang w:val="fr-CH" w:eastAsia="fr-FR"/>
        </w:rPr>
        <w:t xml:space="preserve"> Parlement</w:t>
      </w:r>
      <w:r w:rsidR="00843095" w:rsidRPr="00BC4C9B">
        <w:rPr>
          <w:rStyle w:val="FootnoteReference"/>
          <w:lang w:val="fr-CH" w:eastAsia="fr-FR"/>
        </w:rPr>
        <w:footnoteReference w:id="2"/>
      </w:r>
      <w:r w:rsidR="00B00EB5" w:rsidRPr="00BC4C9B">
        <w:rPr>
          <w:spacing w:val="-3"/>
          <w:lang w:val="fr-CH" w:eastAsia="fr-FR"/>
        </w:rPr>
        <w:t>.</w:t>
      </w:r>
    </w:p>
    <w:p w14:paraId="17F369FA" w14:textId="77777777" w:rsidR="00342566" w:rsidRPr="00BC4C9B" w:rsidRDefault="00342566" w:rsidP="00342566">
      <w:pPr>
        <w:rPr>
          <w:lang w:val="fr-CH" w:eastAsia="fr-FR"/>
        </w:rPr>
      </w:pPr>
    </w:p>
    <w:p w14:paraId="5F5482F3" w14:textId="2ACE5A89" w:rsidR="00DB235D" w:rsidRPr="00BC4C9B" w:rsidRDefault="00DB235D" w:rsidP="00A44985">
      <w:pPr>
        <w:pStyle w:val="Question"/>
        <w:ind w:right="0"/>
        <w:rPr>
          <w:spacing w:val="0"/>
          <w:lang w:eastAsia="en-US"/>
        </w:rPr>
      </w:pPr>
      <w:r w:rsidRPr="00BC4C9B">
        <w:t xml:space="preserve">Existe-t-il une commission des droits de l’homme au Parlement, quel est son rôle ? A-t-elle compétence pour soumettre des projets de lois et le cas échéant, celle-ci a-t-elle soumis des projets de lois en lien avec les droits de l’homme ? </w:t>
      </w:r>
    </w:p>
    <w:p w14:paraId="3FA2394F" w14:textId="58E1B92F" w:rsidR="006D1956" w:rsidRDefault="006D1956" w:rsidP="00A44985">
      <w:pPr>
        <w:rPr>
          <w:lang w:val="fr-CH" w:eastAsia="fr-FR"/>
        </w:rPr>
      </w:pPr>
      <w:r w:rsidRPr="00B21C7C">
        <w:rPr>
          <w:lang w:val="fr-CH"/>
        </w:rPr>
        <w:t xml:space="preserve">L’État partie indique dans son </w:t>
      </w:r>
      <w:r w:rsidRPr="00B21C7C">
        <w:rPr>
          <w:lang w:val="fr-CH" w:eastAsia="fr-FR"/>
        </w:rPr>
        <w:t>quatrième rapport périodique avoir « entrepris plusieurs actions dont la plus significative concerne la ratification des textes juridiques internationaux relatifs aux droits de l’homme et le renforcement de la coopération avec les mécanismes régionaux et universels des droits de l’homme »</w:t>
      </w:r>
      <w:r w:rsidR="00A44985" w:rsidRPr="00B21C7C">
        <w:rPr>
          <w:rStyle w:val="FootnoteReference"/>
          <w:lang w:val="fr-CH" w:eastAsia="fr-FR"/>
        </w:rPr>
        <w:footnoteReference w:id="3"/>
      </w:r>
      <w:r w:rsidRPr="00B21C7C">
        <w:rPr>
          <w:lang w:val="fr-CH" w:eastAsia="fr-FR"/>
        </w:rPr>
        <w:t>.</w:t>
      </w:r>
    </w:p>
    <w:p w14:paraId="4B6DFD3B" w14:textId="77777777" w:rsidR="00120021" w:rsidRPr="00120021" w:rsidRDefault="00120021" w:rsidP="00120021">
      <w:pPr>
        <w:rPr>
          <w:lang w:val="fr-CH"/>
        </w:rPr>
      </w:pPr>
    </w:p>
    <w:p w14:paraId="1C006744" w14:textId="5A05613F" w:rsidR="00DB235D" w:rsidRPr="00BC4C9B" w:rsidRDefault="00A44985" w:rsidP="00A44985">
      <w:pPr>
        <w:pStyle w:val="Question"/>
        <w:ind w:right="0"/>
      </w:pPr>
      <w:r>
        <w:t xml:space="preserve">Quelles ont été </w:t>
      </w:r>
      <w:r w:rsidR="005A41C4">
        <w:t>les</w:t>
      </w:r>
      <w:r w:rsidR="00DB235D" w:rsidRPr="00BC4C9B">
        <w:t xml:space="preserve"> mesure</w:t>
      </w:r>
      <w:r w:rsidR="005A41C4">
        <w:t>s</w:t>
      </w:r>
      <w:r w:rsidR="00DB235D" w:rsidRPr="00BC4C9B">
        <w:t xml:space="preserve"> </w:t>
      </w:r>
      <w:r w:rsidR="005A41C4">
        <w:t xml:space="preserve">de </w:t>
      </w:r>
      <w:r w:rsidR="00DB235D" w:rsidRPr="00BC4C9B">
        <w:t xml:space="preserve">coopération avec les mécanismes régionaux et universels des droits de l’homme </w:t>
      </w:r>
      <w:r w:rsidR="005A41C4">
        <w:t>prises et e</w:t>
      </w:r>
      <w:r>
        <w:t>n quoi ont-elles été renforcées ?</w:t>
      </w:r>
    </w:p>
    <w:p w14:paraId="0AA86BFA" w14:textId="05EF7F43" w:rsidR="00A04B3C" w:rsidRPr="00A44985" w:rsidRDefault="00A04B3C" w:rsidP="00B00EB5">
      <w:pPr>
        <w:rPr>
          <w:rFonts w:cs="Tahoma"/>
          <w:szCs w:val="20"/>
          <w:lang w:val="fr-CH"/>
        </w:rPr>
      </w:pPr>
      <w:r w:rsidRPr="00A44985">
        <w:rPr>
          <w:rFonts w:cs="Tahoma"/>
          <w:lang w:val="fr-CH"/>
        </w:rPr>
        <w:t>L</w:t>
      </w:r>
      <w:r w:rsidR="00B00EB5" w:rsidRPr="00A44985">
        <w:rPr>
          <w:rFonts w:cs="Tahoma"/>
          <w:lang w:val="fr-CH"/>
        </w:rPr>
        <w:t>’État partie précise que</w:t>
      </w:r>
      <w:r w:rsidRPr="00A44985">
        <w:rPr>
          <w:rFonts w:cs="Tahoma"/>
          <w:lang w:val="fr-CH"/>
        </w:rPr>
        <w:t xml:space="preserve"> </w:t>
      </w:r>
      <w:r w:rsidR="005A41C4" w:rsidRPr="00A44985">
        <w:rPr>
          <w:rFonts w:cs="Tahoma"/>
          <w:lang w:val="fr-CH"/>
        </w:rPr>
        <w:t xml:space="preserve">le </w:t>
      </w:r>
      <w:r w:rsidRPr="00A44985">
        <w:rPr>
          <w:rFonts w:cs="Tahoma"/>
          <w:lang w:val="fr-CH"/>
        </w:rPr>
        <w:t xml:space="preserve">Conseil Constitutionnel est chargé de veiller au respect de la Constitution, de la régularité des élections et peut être saisi </w:t>
      </w:r>
      <w:r w:rsidRPr="00A44985">
        <w:rPr>
          <w:rFonts w:cs="Tahoma"/>
          <w:lang w:val="fr-CH" w:eastAsia="fr-FR"/>
        </w:rPr>
        <w:t>par le Président de la République, le Président du Conseil de la Nation, le Président de l’Assemblée Populaire Nationale ou le Premier ministre. Il peut être saisi également par 50 députés ou 30 membres du Conseil de la Nation. Selon l’article 183 de la Constitution, l</w:t>
      </w:r>
      <w:r w:rsidRPr="00A44985">
        <w:rPr>
          <w:rFonts w:cs="Tahoma"/>
          <w:szCs w:val="20"/>
          <w:lang w:val="fr-CH"/>
        </w:rPr>
        <w:t>e Conseil constitutionnel est composé de 12 membres dont quatre sont désignés par le Président de la République dont le Président et le Vice-Président du Conseil</w:t>
      </w:r>
      <w:r w:rsidRPr="00A44985">
        <w:rPr>
          <w:rFonts w:cs="Tahoma"/>
          <w:vertAlign w:val="superscript"/>
          <w:lang w:val="fr-CH"/>
        </w:rPr>
        <w:footnoteReference w:id="4"/>
      </w:r>
      <w:r w:rsidRPr="00A44985">
        <w:rPr>
          <w:rFonts w:cs="Tahoma"/>
          <w:szCs w:val="20"/>
          <w:lang w:val="fr-CH"/>
        </w:rPr>
        <w:t xml:space="preserve">. </w:t>
      </w:r>
    </w:p>
    <w:p w14:paraId="42894700" w14:textId="77777777" w:rsidR="00B00EB5" w:rsidRPr="00A44985" w:rsidRDefault="00B00EB5" w:rsidP="00A04B3C">
      <w:pPr>
        <w:rPr>
          <w:rFonts w:cs="Tahoma"/>
          <w:szCs w:val="20"/>
          <w:lang w:val="fr-CH"/>
        </w:rPr>
      </w:pPr>
    </w:p>
    <w:p w14:paraId="3C8BB516" w14:textId="0AE14B1D" w:rsidR="00DB235D" w:rsidRPr="00A44985" w:rsidRDefault="00843095" w:rsidP="00A44985">
      <w:pPr>
        <w:pStyle w:val="Question"/>
        <w:ind w:right="0"/>
      </w:pPr>
      <w:r w:rsidRPr="00A44985">
        <w:t>Quelles sont les mesures prises pour s’assurer de l’indépendance de</w:t>
      </w:r>
      <w:r w:rsidR="005A41C4" w:rsidRPr="00A44985">
        <w:t>s</w:t>
      </w:r>
      <w:r w:rsidRPr="00A44985">
        <w:t xml:space="preserve"> membres du Conseil Constitutionnel vis-à-vis de l’exécutif ?</w:t>
      </w:r>
    </w:p>
    <w:p w14:paraId="703568D8" w14:textId="77777777" w:rsidR="00342566" w:rsidRPr="00BC4C9B" w:rsidRDefault="00342566" w:rsidP="00342566">
      <w:pPr>
        <w:rPr>
          <w:lang w:val="fr-CH" w:eastAsia="fr-FR"/>
        </w:rPr>
      </w:pPr>
    </w:p>
    <w:p w14:paraId="496210D2" w14:textId="3B0B219E" w:rsidR="00B00EB5" w:rsidRPr="00120021" w:rsidRDefault="00B00EB5" w:rsidP="00120021">
      <w:pPr>
        <w:pStyle w:val="Heading2"/>
      </w:pPr>
      <w:bookmarkStart w:id="6" w:name="_Toc488662962"/>
      <w:r w:rsidRPr="00120021">
        <w:t>Questions relatives au statut de l’Institution nationale des droits de l’homme</w:t>
      </w:r>
      <w:bookmarkEnd w:id="6"/>
    </w:p>
    <w:p w14:paraId="32B9CD4A" w14:textId="77777777" w:rsidR="00843095" w:rsidRPr="00BC4C9B" w:rsidRDefault="00843095" w:rsidP="00B00EB5">
      <w:pPr>
        <w:rPr>
          <w:lang w:val="fr-CH"/>
        </w:rPr>
      </w:pPr>
    </w:p>
    <w:p w14:paraId="736DD31C" w14:textId="26395543" w:rsidR="00843095" w:rsidRPr="00BC4C9B" w:rsidRDefault="00843095" w:rsidP="00A44985">
      <w:pPr>
        <w:rPr>
          <w:lang w:val="fr-CH"/>
        </w:rPr>
      </w:pPr>
      <w:r w:rsidRPr="00BC4C9B">
        <w:rPr>
          <w:lang w:val="fr-CH"/>
        </w:rPr>
        <w:lastRenderedPageBreak/>
        <w:t>La Commission Nationale Consultative pour la Promotion et la Protection des Droits de l’Homme (CNCPPDH)</w:t>
      </w:r>
      <w:r w:rsidR="00A44985">
        <w:rPr>
          <w:lang w:val="fr-CH"/>
        </w:rPr>
        <w:t>,</w:t>
      </w:r>
      <w:r w:rsidRPr="00BC4C9B">
        <w:rPr>
          <w:lang w:val="fr-CH"/>
        </w:rPr>
        <w:t xml:space="preserve"> </w:t>
      </w:r>
      <w:r w:rsidR="005A41C4">
        <w:rPr>
          <w:lang w:val="fr-CH"/>
        </w:rPr>
        <w:t>première</w:t>
      </w:r>
      <w:r w:rsidR="00A44985">
        <w:rPr>
          <w:lang w:val="fr-CH"/>
        </w:rPr>
        <w:t xml:space="preserve"> institution nationale des droits de l’homme</w:t>
      </w:r>
      <w:r w:rsidR="001D2B87">
        <w:rPr>
          <w:lang w:val="fr-CH"/>
        </w:rPr>
        <w:t xml:space="preserve"> (INDH)</w:t>
      </w:r>
      <w:r w:rsidR="005A41C4">
        <w:rPr>
          <w:lang w:val="fr-CH"/>
        </w:rPr>
        <w:t xml:space="preserve">, </w:t>
      </w:r>
      <w:r w:rsidRPr="00BC4C9B">
        <w:rPr>
          <w:lang w:val="fr-CH"/>
        </w:rPr>
        <w:t>a</w:t>
      </w:r>
      <w:r w:rsidR="005A41C4">
        <w:rPr>
          <w:lang w:val="fr-CH"/>
        </w:rPr>
        <w:t>vait</w:t>
      </w:r>
      <w:r w:rsidRPr="00BC4C9B">
        <w:rPr>
          <w:lang w:val="fr-CH"/>
        </w:rPr>
        <w:t xml:space="preserve"> été instituée le 25 mars 2001. En 2008, </w:t>
      </w:r>
      <w:r w:rsidR="005A41C4">
        <w:rPr>
          <w:lang w:val="fr-CH"/>
        </w:rPr>
        <w:t xml:space="preserve">le </w:t>
      </w:r>
      <w:r w:rsidRPr="00BC4C9B">
        <w:rPr>
          <w:lang w:val="fr-CH"/>
        </w:rPr>
        <w:t>Sous-Comité d’Accréditation (SCA) du Comité International de Coordination des Institutions Nationales des Droits Humains (CIC) l’a rétrogradé au statut B en raison de sa non-conformité avec les principes de Paris et notamment son absence d'indépendance vis-à-vis de l’exécutif</w:t>
      </w:r>
      <w:r w:rsidR="00A44985" w:rsidRPr="00A44985">
        <w:rPr>
          <w:rStyle w:val="FootnoteReference"/>
          <w:lang w:val="fr-CH"/>
        </w:rPr>
        <w:footnoteReference w:id="5"/>
      </w:r>
      <w:r w:rsidRPr="00BC4C9B">
        <w:rPr>
          <w:lang w:val="fr-CH"/>
        </w:rPr>
        <w:t>.</w:t>
      </w:r>
    </w:p>
    <w:p w14:paraId="6EFEEB9F" w14:textId="77777777" w:rsidR="00843095" w:rsidRPr="00BC4C9B" w:rsidRDefault="00843095" w:rsidP="00843095">
      <w:pPr>
        <w:rPr>
          <w:lang w:val="fr-CH"/>
        </w:rPr>
      </w:pPr>
    </w:p>
    <w:p w14:paraId="0E86CB10" w14:textId="1423122E" w:rsidR="00843095" w:rsidRPr="00BC4C9B" w:rsidRDefault="00843095" w:rsidP="00336A5C">
      <w:pPr>
        <w:rPr>
          <w:rFonts w:ascii="Arial" w:hAnsi="Arial" w:cs="Arial"/>
          <w:color w:val="000000"/>
          <w:sz w:val="22"/>
          <w:lang w:val="fr-CH" w:eastAsia="fr-CH"/>
        </w:rPr>
      </w:pPr>
      <w:r w:rsidRPr="00BC4C9B">
        <w:rPr>
          <w:lang w:val="fr-CH"/>
        </w:rPr>
        <w:t>Dans son rapport</w:t>
      </w:r>
      <w:r w:rsidR="005A41C4">
        <w:rPr>
          <w:lang w:val="fr-CH"/>
        </w:rPr>
        <w:t>,</w:t>
      </w:r>
      <w:r w:rsidRPr="00BC4C9B">
        <w:rPr>
          <w:lang w:val="fr-CH"/>
        </w:rPr>
        <w:t xml:space="preserve"> le SCA avait notamment exprimé sa préoccupation « sur le fait </w:t>
      </w:r>
      <w:r w:rsidR="005A41C4">
        <w:rPr>
          <w:lang w:val="fr-CH"/>
        </w:rPr>
        <w:t xml:space="preserve">que </w:t>
      </w:r>
      <w:r w:rsidRPr="00BC4C9B">
        <w:rPr>
          <w:lang w:val="fr-CH"/>
        </w:rPr>
        <w:t>la CNCPPDH soit créée par décret présidentiel, qui est un acte de l’Exécutif, au lieu d'un texte constitutionnel ou législatif comme stipulé dans les Principes de Paris » ainsi que sur l’absence de transparence dans le processus de sélection de ses membres</w:t>
      </w:r>
      <w:r w:rsidR="00336A5C" w:rsidRPr="00BC4C9B">
        <w:rPr>
          <w:lang w:val="fr-CH"/>
        </w:rPr>
        <w:t xml:space="preserve">. Il avait par ailleurs réitéré la nécessité pour la CNCPPDH </w:t>
      </w:r>
      <w:r w:rsidR="00336A5C" w:rsidRPr="00A44985">
        <w:rPr>
          <w:lang w:val="fr-CH"/>
        </w:rPr>
        <w:t>« d'interagir effectivement et de façon indépendante avec le système des droits de l'homme des Nations</w:t>
      </w:r>
      <w:r w:rsidR="00A204BB" w:rsidRPr="00A44985">
        <w:rPr>
          <w:lang w:val="fr-CH"/>
        </w:rPr>
        <w:t xml:space="preserve"> Unies</w:t>
      </w:r>
      <w:r w:rsidR="00A44985" w:rsidRPr="00A44985">
        <w:rPr>
          <w:lang w:val="fr-CH"/>
        </w:rPr>
        <w:t> »</w:t>
      </w:r>
      <w:r w:rsidRPr="00A44985">
        <w:rPr>
          <w:rStyle w:val="FootnoteReference"/>
          <w:lang w:val="fr-CH"/>
        </w:rPr>
        <w:footnoteReference w:id="6"/>
      </w:r>
      <w:r w:rsidR="00336A5C" w:rsidRPr="00A44985">
        <w:rPr>
          <w:lang w:val="fr-CH"/>
        </w:rPr>
        <w:t>.</w:t>
      </w:r>
    </w:p>
    <w:p w14:paraId="5748CCDC" w14:textId="77777777" w:rsidR="00843095" w:rsidRPr="00BC4C9B" w:rsidRDefault="00843095" w:rsidP="00336A5C">
      <w:pPr>
        <w:rPr>
          <w:lang w:val="fr-CH"/>
        </w:rPr>
      </w:pPr>
    </w:p>
    <w:p w14:paraId="1EE7FF26" w14:textId="0406C8CB" w:rsidR="00843095" w:rsidRPr="00BC4C9B" w:rsidRDefault="00843095" w:rsidP="00A204BB">
      <w:pPr>
        <w:rPr>
          <w:lang w:val="fr-CH"/>
        </w:rPr>
      </w:pPr>
      <w:r w:rsidRPr="00BC4C9B">
        <w:rPr>
          <w:lang w:val="fr-CH"/>
        </w:rPr>
        <w:t xml:space="preserve">Suite à la révision constitutionnelle de 2014, </w:t>
      </w:r>
      <w:r w:rsidR="00336A5C" w:rsidRPr="00BC4C9B">
        <w:rPr>
          <w:lang w:val="fr-CH"/>
        </w:rPr>
        <w:t xml:space="preserve">et afin de se conformer aux principes de Paris, </w:t>
      </w:r>
      <w:r w:rsidRPr="00BC4C9B">
        <w:rPr>
          <w:lang w:val="fr-CH"/>
        </w:rPr>
        <w:t xml:space="preserve">la CNCPPDH a été </w:t>
      </w:r>
      <w:r w:rsidR="00A204BB">
        <w:rPr>
          <w:lang w:val="fr-CH"/>
        </w:rPr>
        <w:t>remplacée par un</w:t>
      </w:r>
      <w:r w:rsidRPr="00BC4C9B">
        <w:rPr>
          <w:lang w:val="fr-CH"/>
        </w:rPr>
        <w:t xml:space="preserve"> « Conseil national</w:t>
      </w:r>
      <w:r w:rsidR="00336A5C" w:rsidRPr="00BC4C9B">
        <w:rPr>
          <w:lang w:val="fr-CH"/>
        </w:rPr>
        <w:t xml:space="preserve"> des droits de l'Homme » (CNDH) </w:t>
      </w:r>
      <w:r w:rsidR="00A204BB">
        <w:rPr>
          <w:lang w:val="fr-CH"/>
        </w:rPr>
        <w:t>dont la composition, l’</w:t>
      </w:r>
      <w:r w:rsidRPr="00BC4C9B">
        <w:rPr>
          <w:lang w:val="fr-CH"/>
        </w:rPr>
        <w:t xml:space="preserve">organisation et </w:t>
      </w:r>
      <w:r w:rsidR="00A204BB">
        <w:rPr>
          <w:lang w:val="fr-CH"/>
        </w:rPr>
        <w:t xml:space="preserve">le </w:t>
      </w:r>
      <w:r w:rsidRPr="00BC4C9B">
        <w:rPr>
          <w:lang w:val="fr-CH"/>
        </w:rPr>
        <w:t xml:space="preserve">fonctionnement, ainsi que les modalités de désignation de ses membres </w:t>
      </w:r>
      <w:r w:rsidR="00A204BB">
        <w:rPr>
          <w:lang w:val="fr-CH"/>
        </w:rPr>
        <w:t>ont</w:t>
      </w:r>
      <w:r w:rsidR="00336A5C" w:rsidRPr="00BC4C9B">
        <w:rPr>
          <w:lang w:val="fr-CH"/>
        </w:rPr>
        <w:t xml:space="preserve"> été </w:t>
      </w:r>
      <w:r w:rsidR="00A204BB">
        <w:rPr>
          <w:lang w:val="fr-CH"/>
        </w:rPr>
        <w:t>fixés par une loi promulguée en n</w:t>
      </w:r>
      <w:r w:rsidR="00336A5C" w:rsidRPr="00BC4C9B">
        <w:rPr>
          <w:lang w:val="fr-CH"/>
        </w:rPr>
        <w:t>ovembre 2016</w:t>
      </w:r>
      <w:r w:rsidR="00336A5C" w:rsidRPr="00BC4C9B">
        <w:rPr>
          <w:rStyle w:val="FootnoteReference"/>
          <w:lang w:val="fr-CH"/>
        </w:rPr>
        <w:footnoteReference w:id="7"/>
      </w:r>
      <w:r w:rsidR="00336A5C" w:rsidRPr="00BC4C9B">
        <w:rPr>
          <w:lang w:val="fr-CH"/>
        </w:rPr>
        <w:t xml:space="preserve">. </w:t>
      </w:r>
    </w:p>
    <w:p w14:paraId="734D575A" w14:textId="77777777" w:rsidR="00336A5C" w:rsidRPr="00BC4C9B" w:rsidRDefault="00336A5C" w:rsidP="00336A5C">
      <w:pPr>
        <w:rPr>
          <w:lang w:val="fr-CH"/>
        </w:rPr>
      </w:pPr>
    </w:p>
    <w:p w14:paraId="14F7D946" w14:textId="7E420D85" w:rsidR="00336A5C" w:rsidRPr="00BC4C9B" w:rsidRDefault="00A204BB" w:rsidP="00A204BB">
      <w:pPr>
        <w:rPr>
          <w:lang w:val="fr-CH"/>
        </w:rPr>
      </w:pPr>
      <w:r>
        <w:rPr>
          <w:lang w:val="fr-CH"/>
        </w:rPr>
        <w:t>L</w:t>
      </w:r>
      <w:r w:rsidR="00336A5C" w:rsidRPr="00BC4C9B">
        <w:rPr>
          <w:rFonts w:eastAsia="Times New Roman" w:cs="Times New Roman"/>
          <w:lang w:val="fr-CH"/>
        </w:rPr>
        <w:t xml:space="preserve">es articles 198 et 199 de la Constitution de 2016 </w:t>
      </w:r>
      <w:r>
        <w:rPr>
          <w:rFonts w:eastAsia="Times New Roman" w:cs="Times New Roman"/>
          <w:lang w:val="fr-CH"/>
        </w:rPr>
        <w:t xml:space="preserve">dispose que </w:t>
      </w:r>
      <w:r w:rsidR="00336A5C" w:rsidRPr="00BC4C9B">
        <w:rPr>
          <w:rFonts w:eastAsia="Times New Roman" w:cs="Times New Roman"/>
          <w:lang w:val="fr-CH"/>
        </w:rPr>
        <w:t>le CNDH « est un organisme indépendant</w:t>
      </w:r>
      <w:r w:rsidR="00D51577" w:rsidRPr="00BC4C9B">
        <w:rPr>
          <w:rFonts w:eastAsia="Times New Roman" w:cs="Times New Roman"/>
          <w:lang w:val="fr-CH"/>
        </w:rPr>
        <w:t xml:space="preserve"> » </w:t>
      </w:r>
      <w:r>
        <w:rPr>
          <w:rFonts w:eastAsia="Times New Roman" w:cs="Times New Roman"/>
          <w:lang w:val="fr-CH"/>
        </w:rPr>
        <w:t xml:space="preserve">tout </w:t>
      </w:r>
      <w:r w:rsidR="00D51577" w:rsidRPr="00BC4C9B">
        <w:rPr>
          <w:rFonts w:eastAsia="Times New Roman" w:cs="Times New Roman"/>
          <w:lang w:val="fr-CH"/>
        </w:rPr>
        <w:t>en ajoutant toutefois qu’il est « </w:t>
      </w:r>
      <w:r w:rsidR="00336A5C" w:rsidRPr="00BC4C9B">
        <w:rPr>
          <w:rFonts w:eastAsia="Times New Roman" w:cs="Times New Roman"/>
          <w:lang w:val="fr-CH"/>
        </w:rPr>
        <w:t xml:space="preserve">placé auprès du Président de la République, garant de la Constitution », doté de la personnalité juridique et de l’autonomie financière et administrative. Ses membres ont été désignés </w:t>
      </w:r>
      <w:r>
        <w:rPr>
          <w:rFonts w:eastAsia="Times New Roman" w:cs="Times New Roman"/>
          <w:lang w:val="fr-CH"/>
        </w:rPr>
        <w:t>en mars 2017 par l’exécutif sans que la société civile n’ait été consultée</w:t>
      </w:r>
      <w:r w:rsidR="00336A5C" w:rsidRPr="00BC4C9B">
        <w:rPr>
          <w:rFonts w:eastAsia="Times New Roman" w:cs="Times New Roman"/>
          <w:lang w:val="fr-CH"/>
        </w:rPr>
        <w:t xml:space="preserve">. </w:t>
      </w:r>
    </w:p>
    <w:p w14:paraId="6D0DBA28" w14:textId="77777777" w:rsidR="00336A5C" w:rsidRPr="00BC4C9B" w:rsidRDefault="00336A5C" w:rsidP="00336A5C">
      <w:pPr>
        <w:rPr>
          <w:lang w:val="fr-CH"/>
        </w:rPr>
      </w:pPr>
    </w:p>
    <w:p w14:paraId="45340582" w14:textId="470DA51F" w:rsidR="00843095" w:rsidRPr="00BC4C9B" w:rsidRDefault="00931456" w:rsidP="00931456">
      <w:pPr>
        <w:rPr>
          <w:lang w:val="fr-CH"/>
        </w:rPr>
      </w:pPr>
      <w:r w:rsidRPr="00BC4C9B">
        <w:rPr>
          <w:lang w:val="fr-CH"/>
        </w:rPr>
        <w:t>L</w:t>
      </w:r>
      <w:r w:rsidR="000F619C" w:rsidRPr="00BC4C9B">
        <w:rPr>
          <w:lang w:val="fr-CH"/>
        </w:rPr>
        <w:t>e Comité dans ses observations finales issues du troisième examen de l’État partie</w:t>
      </w:r>
      <w:r w:rsidRPr="00BC4C9B">
        <w:rPr>
          <w:lang w:val="fr-CH"/>
        </w:rPr>
        <w:t xml:space="preserve">, </w:t>
      </w:r>
      <w:r w:rsidRPr="00BC4C9B">
        <w:rPr>
          <w:rFonts w:eastAsia="Times New Roman" w:cs="Times New Roman"/>
          <w:lang w:val="fr-CH"/>
        </w:rPr>
        <w:t xml:space="preserve">avait </w:t>
      </w:r>
      <w:r w:rsidR="00A204BB">
        <w:rPr>
          <w:rFonts w:eastAsia="Times New Roman" w:cs="Times New Roman"/>
          <w:lang w:val="fr-CH"/>
        </w:rPr>
        <w:t xml:space="preserve">déjà </w:t>
      </w:r>
      <w:r w:rsidRPr="00BC4C9B">
        <w:rPr>
          <w:rFonts w:eastAsia="Times New Roman" w:cs="Times New Roman"/>
          <w:lang w:val="fr-CH"/>
        </w:rPr>
        <w:t>constaté avec préoccupation le peu d’informations sur les résultats du travail de la CNCPPDH, en raison notamment de la non-publication de ses rapports annuels</w:t>
      </w:r>
      <w:r w:rsidR="0036780B" w:rsidRPr="00BC4C9B">
        <w:rPr>
          <w:rStyle w:val="FootnoteReference"/>
          <w:lang w:val="fr-CH"/>
        </w:rPr>
        <w:footnoteReference w:id="8"/>
      </w:r>
      <w:r w:rsidRPr="00BC4C9B">
        <w:rPr>
          <w:rFonts w:eastAsia="Times New Roman" w:cs="Times New Roman"/>
          <w:lang w:val="fr-CH"/>
        </w:rPr>
        <w:t>.</w:t>
      </w:r>
    </w:p>
    <w:p w14:paraId="3C3A3731" w14:textId="77777777" w:rsidR="0036780B" w:rsidRPr="00BC4C9B" w:rsidRDefault="0036780B" w:rsidP="00336A5C">
      <w:pPr>
        <w:rPr>
          <w:lang w:val="fr-CH"/>
        </w:rPr>
      </w:pPr>
    </w:p>
    <w:p w14:paraId="45C568EA" w14:textId="77777777" w:rsidR="00A204BB" w:rsidRPr="00BC4C9B" w:rsidRDefault="00A204BB" w:rsidP="00A44985">
      <w:pPr>
        <w:pStyle w:val="Question"/>
        <w:ind w:right="0"/>
      </w:pPr>
      <w:r w:rsidRPr="00BC4C9B">
        <w:t>Quelles ont été les mesures prises pour remédier aux insuffisances soulignées par le SCA et par le Comité des droits de l’homme afin de s’assurer de la conformité du CNDH avec les Principes de Paris ?</w:t>
      </w:r>
    </w:p>
    <w:p w14:paraId="5B2A1482" w14:textId="77777777" w:rsidR="00A204BB" w:rsidRPr="00BC4C9B" w:rsidRDefault="00A204BB" w:rsidP="00A44985">
      <w:pPr>
        <w:pStyle w:val="Question"/>
        <w:ind w:right="0"/>
      </w:pPr>
      <w:r w:rsidRPr="00BC4C9B">
        <w:t>Quelles sont les règles applicables à la sélection des membres issus de la société civile ?</w:t>
      </w:r>
    </w:p>
    <w:p w14:paraId="24A0D009" w14:textId="75303A2A" w:rsidR="00A204BB" w:rsidRPr="00BC4C9B" w:rsidRDefault="00A204BB" w:rsidP="00A44985">
      <w:pPr>
        <w:pStyle w:val="Question"/>
        <w:ind w:right="0"/>
      </w:pPr>
      <w:r w:rsidRPr="00BC4C9B">
        <w:t xml:space="preserve">Quels ont été les critères adoptés dans le choix des membres du CNDH ? </w:t>
      </w:r>
    </w:p>
    <w:p w14:paraId="77C4289C" w14:textId="30670CAA" w:rsidR="00843095" w:rsidRPr="00BC4C9B" w:rsidRDefault="00931456" w:rsidP="00A44985">
      <w:pPr>
        <w:pStyle w:val="Question"/>
        <w:ind w:right="0"/>
      </w:pPr>
      <w:r w:rsidRPr="00BC4C9B">
        <w:t>Quelles sont les procédures et moyens mis à la disposition du CNDH pour faire connaitre largement au public ses missions et ses rapports d’activités ?</w:t>
      </w:r>
    </w:p>
    <w:p w14:paraId="087BC73F" w14:textId="3A0DFBDD" w:rsidR="001603D6" w:rsidRPr="00BC4C9B" w:rsidRDefault="00931456" w:rsidP="00A44985">
      <w:pPr>
        <w:pStyle w:val="ListParagraph"/>
        <w:ind w:left="0"/>
      </w:pPr>
      <w:r w:rsidRPr="00BC4C9B">
        <w:t>Alkarama note que l</w:t>
      </w:r>
      <w:r w:rsidR="001603D6" w:rsidRPr="00BC4C9B">
        <w:t>’article 4 de la loi de novembre 2016 indique les missions du CNDH</w:t>
      </w:r>
      <w:r w:rsidR="00A44985">
        <w:t>, y compris</w:t>
      </w:r>
      <w:r w:rsidR="001603D6" w:rsidRPr="00BC4C9B">
        <w:t xml:space="preserve"> celle de « de contribuer à l’élaboration des rapports présentés périodiquement par l’Algérie devant les mécanismes et Instances des Nations Unies et institutions régionales en application de ses obligations internationales »</w:t>
      </w:r>
      <w:r w:rsidR="001603D6" w:rsidRPr="00BC4C9B">
        <w:rPr>
          <w:rStyle w:val="FootnoteReference"/>
        </w:rPr>
        <w:footnoteReference w:id="9"/>
      </w:r>
      <w:r w:rsidR="001603D6" w:rsidRPr="00BC4C9B">
        <w:t xml:space="preserve">.  </w:t>
      </w:r>
    </w:p>
    <w:p w14:paraId="6DF0D6D7" w14:textId="77777777" w:rsidR="001603D6" w:rsidRPr="00BC4C9B" w:rsidRDefault="001603D6" w:rsidP="001603D6">
      <w:pPr>
        <w:pStyle w:val="ListParagraph"/>
        <w:ind w:left="0"/>
      </w:pPr>
    </w:p>
    <w:p w14:paraId="4B6EF08A" w14:textId="348F92B3" w:rsidR="001603D6" w:rsidRPr="00BC4C9B" w:rsidRDefault="001603D6" w:rsidP="00A44985">
      <w:pPr>
        <w:pStyle w:val="Question"/>
        <w:ind w:right="0"/>
      </w:pPr>
      <w:r w:rsidRPr="00BC4C9B">
        <w:t>Est-il prévu que le CNDH soumette ses propres rapports aux mécanismes internationaux de droits de l’homme, indépendamment de ceux de l’État partie ?</w:t>
      </w:r>
    </w:p>
    <w:p w14:paraId="13CE95C4" w14:textId="62A65A87" w:rsidR="001603D6" w:rsidRPr="00BC4C9B" w:rsidRDefault="000451E9" w:rsidP="000451E9">
      <w:pPr>
        <w:pStyle w:val="ListParagraph"/>
        <w:ind w:left="0"/>
      </w:pPr>
      <w:r w:rsidRPr="00BC4C9B">
        <w:t>L’État partie indique dans son quatrième rapport périodique que le CNDH « contribue également au suivi des observations faites au gouvernement algérien par les organes de traités »</w:t>
      </w:r>
      <w:r w:rsidRPr="00BC4C9B">
        <w:rPr>
          <w:rStyle w:val="FootnoteReference"/>
        </w:rPr>
        <w:footnoteReference w:id="10"/>
      </w:r>
      <w:r w:rsidRPr="00BC4C9B">
        <w:t xml:space="preserve">. Il ajoute que </w:t>
      </w:r>
      <w:r w:rsidRPr="00BC4C9B">
        <w:lastRenderedPageBreak/>
        <w:t>des « Comités de suivis</w:t>
      </w:r>
      <w:r w:rsidR="00A204BB">
        <w:t xml:space="preserve"> » ont été installés entre 2010 et </w:t>
      </w:r>
      <w:r w:rsidRPr="00BC4C9B">
        <w:t>2014 pour s’assurer du suivi des recommandations de plusieurs organes de traités</w:t>
      </w:r>
      <w:r w:rsidRPr="00BC4C9B">
        <w:rPr>
          <w:rStyle w:val="FootnoteReference"/>
        </w:rPr>
        <w:footnoteReference w:id="11"/>
      </w:r>
      <w:r w:rsidRPr="00BC4C9B">
        <w:t xml:space="preserve">. </w:t>
      </w:r>
    </w:p>
    <w:p w14:paraId="2C728463" w14:textId="77777777" w:rsidR="000451E9" w:rsidRPr="00BC4C9B" w:rsidRDefault="000451E9" w:rsidP="000451E9">
      <w:pPr>
        <w:pStyle w:val="ListParagraph"/>
        <w:ind w:left="0"/>
      </w:pPr>
    </w:p>
    <w:p w14:paraId="66051862" w14:textId="7CC86864" w:rsidR="000451E9" w:rsidRPr="00BC4C9B" w:rsidRDefault="000451E9" w:rsidP="00A44985">
      <w:pPr>
        <w:pStyle w:val="Question"/>
        <w:ind w:right="0"/>
      </w:pPr>
      <w:r w:rsidRPr="00BC4C9B">
        <w:t>Quelles ont été les mesures envisagées par le CNDH pour faciliter la mise en œuvre des recommandations contenues da</w:t>
      </w:r>
      <w:r w:rsidR="00A204BB">
        <w:t>ns les observations finales du C</w:t>
      </w:r>
      <w:r w:rsidRPr="00BC4C9B">
        <w:t xml:space="preserve">omité des droits de l’homme adoptés à l’issue du troisième examen périodique ainsi que les observations finales adoptées par le Comité contre la torture ? </w:t>
      </w:r>
    </w:p>
    <w:p w14:paraId="404D9139" w14:textId="1DEF32FA" w:rsidR="000451E9" w:rsidRPr="00BC4C9B" w:rsidRDefault="000451E9" w:rsidP="00A44985">
      <w:pPr>
        <w:pStyle w:val="Question"/>
        <w:ind w:right="0"/>
      </w:pPr>
      <w:r w:rsidRPr="00BC4C9B">
        <w:t xml:space="preserve">L’État partie envisage-t-il </w:t>
      </w:r>
      <w:r w:rsidR="00A204BB">
        <w:t xml:space="preserve">également </w:t>
      </w:r>
      <w:r w:rsidRPr="00BC4C9B">
        <w:t>de mettre en place des « comités de suivis » concernant les observations finales du Comité des droits de l’homme et du Comité contre la torture ?</w:t>
      </w:r>
    </w:p>
    <w:p w14:paraId="68259C96" w14:textId="7A3389C5" w:rsidR="007A7B5D" w:rsidRPr="00BC4C9B" w:rsidRDefault="001D2B87" w:rsidP="007A7B5D">
      <w:pPr>
        <w:pStyle w:val="ListParagraph"/>
        <w:ind w:left="0"/>
      </w:pPr>
      <w:r>
        <w:t>Par ailleurs, l</w:t>
      </w:r>
      <w:r w:rsidR="007A7B5D" w:rsidRPr="00BC4C9B">
        <w:t>’État partie fourni</w:t>
      </w:r>
      <w:r w:rsidR="00AB6935" w:rsidRPr="00BC4C9B">
        <w:t>t</w:t>
      </w:r>
      <w:r w:rsidR="007A7B5D" w:rsidRPr="00BC4C9B">
        <w:t xml:space="preserve"> des statistiques dans son quatrième rapport périodique concernant le nombre de requêtes enregistrées et traité</w:t>
      </w:r>
      <w:r w:rsidR="00A204BB">
        <w:t>e</w:t>
      </w:r>
      <w:r w:rsidR="007A7B5D" w:rsidRPr="00BC4C9B">
        <w:t>s par son INDH entre 2008 et 2015</w:t>
      </w:r>
      <w:r w:rsidR="007A7B5D" w:rsidRPr="00BC4C9B">
        <w:rPr>
          <w:rStyle w:val="FootnoteReference"/>
        </w:rPr>
        <w:footnoteReference w:id="12"/>
      </w:r>
      <w:r w:rsidR="007A7B5D" w:rsidRPr="00BC4C9B">
        <w:t xml:space="preserve">. Il ne précise toutefois pas la nature de ces requêtes et les suites qui leur ont été données. Il est aussi à noter qu’entre 2008 et 2015, le nombre de requêtes enregistrées et traitées a diminué de plus de moitié (1257 en 2008 contre 588 en 2015).  </w:t>
      </w:r>
    </w:p>
    <w:p w14:paraId="100DD139" w14:textId="77777777" w:rsidR="007A7B5D" w:rsidRPr="00BC4C9B" w:rsidRDefault="007A7B5D" w:rsidP="007A7B5D">
      <w:pPr>
        <w:pStyle w:val="ListParagraph"/>
        <w:ind w:left="0"/>
      </w:pPr>
    </w:p>
    <w:p w14:paraId="7D204149" w14:textId="152A5B0D" w:rsidR="007A7B5D" w:rsidRPr="00BC4C9B" w:rsidRDefault="007A7B5D" w:rsidP="001D2B87">
      <w:pPr>
        <w:pStyle w:val="Question"/>
        <w:ind w:right="0"/>
      </w:pPr>
      <w:r w:rsidRPr="00BC4C9B">
        <w:t xml:space="preserve">L’État partie pourrait-il préciser les statistiques fournies dans les paragraphes 69 et 70 de son rapport périodique et ventiler les données par genre et âge des requérants ainsi que par type de requête, </w:t>
      </w:r>
      <w:r w:rsidR="00F964E3" w:rsidRPr="00BC4C9B">
        <w:t xml:space="preserve">le </w:t>
      </w:r>
      <w:r w:rsidRPr="00BC4C9B">
        <w:t xml:space="preserve">droit concerné par la requête, et suites données ainsi qu’un ratio de requêtes traitées ayant abouties à une réparation </w:t>
      </w:r>
      <w:r w:rsidR="00F964E3" w:rsidRPr="00BC4C9B">
        <w:t xml:space="preserve">pour la victime </w:t>
      </w:r>
      <w:r w:rsidRPr="00BC4C9B">
        <w:t>de la violation par rapport aux requêtes enregistrées ?</w:t>
      </w:r>
    </w:p>
    <w:p w14:paraId="3204ECA4" w14:textId="42DA4A55" w:rsidR="00035E42" w:rsidRPr="00BC4C9B" w:rsidRDefault="007A7B5D" w:rsidP="001D2B87">
      <w:pPr>
        <w:pStyle w:val="Question"/>
        <w:ind w:right="0"/>
      </w:pPr>
      <w:r w:rsidRPr="00BC4C9B">
        <w:t>L’État partie pourrait-il expliquer la raison de la baisse importante du nombre de requêtes enregistrées e</w:t>
      </w:r>
      <w:r w:rsidR="0007498F">
        <w:t>t</w:t>
      </w:r>
      <w:r w:rsidRPr="00BC4C9B">
        <w:t xml:space="preserve"> traitées entre 2008 et 2015 ?</w:t>
      </w:r>
    </w:p>
    <w:p w14:paraId="01F70F32" w14:textId="77777777" w:rsidR="00035E42" w:rsidRPr="00BC4C9B" w:rsidRDefault="00035E42" w:rsidP="00035E42">
      <w:pPr>
        <w:rPr>
          <w:lang w:val="fr-CH" w:eastAsia="fr-FR"/>
        </w:rPr>
      </w:pPr>
    </w:p>
    <w:p w14:paraId="69DA0DA7" w14:textId="5CFDF1AA" w:rsidR="00EF03B6" w:rsidRPr="00BC4C9B" w:rsidRDefault="00EF03B6" w:rsidP="005A41C4">
      <w:pPr>
        <w:pStyle w:val="Heading1"/>
        <w:rPr>
          <w:lang w:val="fr-CH"/>
        </w:rPr>
      </w:pPr>
      <w:bookmarkStart w:id="7" w:name="_Toc488662963"/>
      <w:r w:rsidRPr="00BC4C9B">
        <w:rPr>
          <w:lang w:val="fr-CH" w:eastAsia="fr-FR"/>
        </w:rPr>
        <w:t xml:space="preserve">Obligations générales </w:t>
      </w:r>
      <w:r w:rsidR="005A41C4">
        <w:rPr>
          <w:lang w:val="fr-CH" w:eastAsia="fr-FR"/>
        </w:rPr>
        <w:t>(</w:t>
      </w:r>
      <w:r w:rsidRPr="00BC4C9B">
        <w:rPr>
          <w:lang w:val="fr-CH" w:eastAsia="fr-FR"/>
        </w:rPr>
        <w:t>article 2</w:t>
      </w:r>
      <w:r w:rsidR="005A41C4">
        <w:rPr>
          <w:lang w:val="fr-CH" w:eastAsia="fr-FR"/>
        </w:rPr>
        <w:t>)</w:t>
      </w:r>
      <w:bookmarkEnd w:id="7"/>
    </w:p>
    <w:p w14:paraId="63D5AC0A" w14:textId="77777777" w:rsidR="00EF03B6" w:rsidRPr="00BC4C9B" w:rsidRDefault="00EF03B6" w:rsidP="00EF03B6">
      <w:pPr>
        <w:rPr>
          <w:lang w:val="fr-CH"/>
        </w:rPr>
      </w:pPr>
    </w:p>
    <w:p w14:paraId="1735F58B" w14:textId="68529E1A" w:rsidR="00EF03B6" w:rsidRPr="00120021" w:rsidRDefault="00EF03B6" w:rsidP="00944A66">
      <w:pPr>
        <w:pStyle w:val="Heading2"/>
        <w:numPr>
          <w:ilvl w:val="1"/>
          <w:numId w:val="2"/>
        </w:numPr>
        <w:ind w:left="709"/>
      </w:pPr>
      <w:bookmarkStart w:id="8" w:name="_Toc488662964"/>
      <w:r w:rsidRPr="00120021">
        <w:t xml:space="preserve">Non-discrimination (article 2 </w:t>
      </w:r>
      <w:r w:rsidR="00944A66">
        <w:t xml:space="preserve">§ </w:t>
      </w:r>
      <w:r w:rsidRPr="00120021">
        <w:t>1)</w:t>
      </w:r>
      <w:bookmarkEnd w:id="8"/>
    </w:p>
    <w:p w14:paraId="0C199D48" w14:textId="77777777" w:rsidR="00EF03B6" w:rsidRPr="00BC4C9B" w:rsidRDefault="00EF03B6" w:rsidP="00EF03B6">
      <w:pPr>
        <w:rPr>
          <w:lang w:val="fr-CH"/>
        </w:rPr>
      </w:pPr>
    </w:p>
    <w:p w14:paraId="4DB38715" w14:textId="7C54D9D9" w:rsidR="00EF03B6" w:rsidRPr="00BC4C9B" w:rsidRDefault="00EF03B6" w:rsidP="001D2B87">
      <w:pPr>
        <w:rPr>
          <w:lang w:val="fr-CH" w:eastAsia="fr-FR"/>
        </w:rPr>
      </w:pPr>
      <w:r w:rsidRPr="00BC4C9B">
        <w:rPr>
          <w:lang w:val="fr-CH" w:eastAsia="fr-FR"/>
        </w:rPr>
        <w:t xml:space="preserve">Dans son Observation générale n° 31 sur la nature de l’obligation juridique générale imposée aux États parties au Pacte, le Comité a établi que l’article 2, qui définit la portée des obligations juridiques contractées par les États parties au Pacte, leur impose une « obligation générale de respecter les droits énoncés dans le Pacte et de les garantir </w:t>
      </w:r>
      <w:r w:rsidRPr="001D2B87">
        <w:rPr>
          <w:lang w:val="fr-CH" w:eastAsia="fr-FR"/>
        </w:rPr>
        <w:t>à tous les individus se trouvant sur leur territoire et relevant de leur compétence</w:t>
      </w:r>
      <w:r w:rsidRPr="00BC4C9B">
        <w:rPr>
          <w:lang w:val="fr-CH" w:eastAsia="fr-FR"/>
        </w:rPr>
        <w:t> ». L’article 2</w:t>
      </w:r>
      <w:r w:rsidR="00944A66">
        <w:rPr>
          <w:lang w:val="fr-CH" w:eastAsia="fr-FR"/>
        </w:rPr>
        <w:t>§</w:t>
      </w:r>
      <w:r w:rsidRPr="00BC4C9B">
        <w:rPr>
          <w:lang w:val="fr-CH" w:eastAsia="fr-FR"/>
        </w:rPr>
        <w:t>1 requiert que les États prennent des mesures positives pour mettre</w:t>
      </w:r>
      <w:r w:rsidR="0007498F">
        <w:rPr>
          <w:lang w:val="fr-CH" w:eastAsia="fr-FR"/>
        </w:rPr>
        <w:t xml:space="preserve"> en œuvre</w:t>
      </w:r>
      <w:r w:rsidR="00625688">
        <w:rPr>
          <w:lang w:val="fr-CH" w:eastAsia="fr-FR"/>
        </w:rPr>
        <w:t xml:space="preserve"> les droits prévus par le P</w:t>
      </w:r>
      <w:r w:rsidRPr="00BC4C9B">
        <w:rPr>
          <w:lang w:val="fr-CH" w:eastAsia="fr-FR"/>
        </w:rPr>
        <w:t xml:space="preserve">acte sans discrimination. </w:t>
      </w:r>
    </w:p>
    <w:p w14:paraId="7B5205BF" w14:textId="77777777" w:rsidR="00EF03B6" w:rsidRPr="00BC4C9B" w:rsidRDefault="00EF03B6" w:rsidP="00EF03B6">
      <w:pPr>
        <w:rPr>
          <w:lang w:val="fr-CH" w:eastAsia="fr-FR"/>
        </w:rPr>
      </w:pPr>
    </w:p>
    <w:p w14:paraId="14B3576B" w14:textId="4FA88FFD" w:rsidR="00EF03B6" w:rsidRPr="00BC4C9B" w:rsidRDefault="00EF03B6" w:rsidP="00625688">
      <w:pPr>
        <w:rPr>
          <w:lang w:val="fr-CH" w:eastAsia="fr-FR"/>
        </w:rPr>
      </w:pPr>
      <w:r w:rsidRPr="00BC4C9B">
        <w:rPr>
          <w:lang w:val="fr-CH" w:eastAsia="fr-FR"/>
        </w:rPr>
        <w:t>Or</w:t>
      </w:r>
      <w:r w:rsidR="00625688">
        <w:rPr>
          <w:lang w:val="fr-CH" w:eastAsia="fr-FR"/>
        </w:rPr>
        <w:t>,</w:t>
      </w:r>
      <w:r w:rsidRPr="00BC4C9B">
        <w:rPr>
          <w:lang w:val="fr-CH" w:eastAsia="fr-FR"/>
        </w:rPr>
        <w:t xml:space="preserve"> selon des informations reçues par Alkarama dans le cadre de </w:t>
      </w:r>
      <w:r w:rsidR="0007498F">
        <w:rPr>
          <w:lang w:val="fr-CH" w:eastAsia="fr-FR"/>
        </w:rPr>
        <w:t xml:space="preserve">communications individuelles </w:t>
      </w:r>
      <w:r w:rsidR="00625688">
        <w:rPr>
          <w:lang w:val="fr-CH" w:eastAsia="fr-FR"/>
        </w:rPr>
        <w:t xml:space="preserve">soumises </w:t>
      </w:r>
      <w:r w:rsidRPr="00BC4C9B">
        <w:rPr>
          <w:lang w:val="fr-CH" w:eastAsia="fr-FR"/>
        </w:rPr>
        <w:t xml:space="preserve">au Comité, l’État partie a transféré </w:t>
      </w:r>
      <w:r w:rsidRPr="00BC4C9B">
        <w:rPr>
          <w:i/>
          <w:iCs/>
          <w:lang w:val="fr-CH" w:eastAsia="fr-FR"/>
        </w:rPr>
        <w:t>de facto</w:t>
      </w:r>
      <w:r w:rsidRPr="00BC4C9B">
        <w:rPr>
          <w:lang w:val="fr-CH" w:eastAsia="fr-FR"/>
        </w:rPr>
        <w:t xml:space="preserve"> ses pouvoirs juridictionnels au Polisario pour les territoires sur lesquels les camps de réfugiés ont été établis dans la ville de Tindouf. Ces territoires placés sous le contrôle du Polisario échappent au contrôle juridictionnel des tribunaux algériens et les personnes qui y demeurent se voient dans l’obligation de s’adresser au Polisario pour tout recours concernant un droit protégé par le Pacte. </w:t>
      </w:r>
      <w:r w:rsidRPr="00BC4C9B">
        <w:rPr>
          <w:lang w:val="fr-CH"/>
        </w:rPr>
        <w:t>Le Polisario dispose en effet d’un système judicaire, carcéral et policier propres, auquel doivent être soumis toutes les personnes vivant dans les camps de Tindouf et toute personne ayant le statut de réfugié sahraoui</w:t>
      </w:r>
      <w:r w:rsidRPr="00BC4C9B">
        <w:rPr>
          <w:vertAlign w:val="superscript"/>
          <w:lang w:val="fr-CH"/>
        </w:rPr>
        <w:footnoteReference w:id="13"/>
      </w:r>
      <w:r w:rsidRPr="00BC4C9B">
        <w:rPr>
          <w:lang w:val="fr-CH"/>
        </w:rPr>
        <w:t>.</w:t>
      </w:r>
      <w:r w:rsidR="00625688">
        <w:rPr>
          <w:lang w:val="fr-CH"/>
        </w:rPr>
        <w:t xml:space="preserve"> </w:t>
      </w:r>
      <w:r w:rsidRPr="00BC4C9B">
        <w:rPr>
          <w:lang w:val="fr-CH" w:eastAsia="fr-FR"/>
        </w:rPr>
        <w:t>Un système gouvernemental et juridictionnel « parallèle » est mis en place sur les camps de réfugiés de Tindouf par le Polisario, avec l’accord tacite des autorités algériennes</w:t>
      </w:r>
      <w:r w:rsidR="00625688">
        <w:rPr>
          <w:lang w:val="fr-CH" w:eastAsia="fr-FR"/>
        </w:rPr>
        <w:t xml:space="preserve"> en violation de l’</w:t>
      </w:r>
      <w:r w:rsidR="00944A66">
        <w:rPr>
          <w:lang w:val="fr-CH" w:eastAsia="fr-FR"/>
        </w:rPr>
        <w:t>article 2§1</w:t>
      </w:r>
      <w:r w:rsidRPr="00BC4C9B">
        <w:rPr>
          <w:lang w:val="fr-CH" w:eastAsia="fr-FR"/>
        </w:rPr>
        <w:t xml:space="preserve">. </w:t>
      </w:r>
    </w:p>
    <w:p w14:paraId="3F2D4E0E" w14:textId="77777777" w:rsidR="00EF03B6" w:rsidRPr="00BC4C9B" w:rsidRDefault="00EF03B6" w:rsidP="00EF03B6">
      <w:pPr>
        <w:rPr>
          <w:lang w:val="fr-CH" w:eastAsia="fr-FR"/>
        </w:rPr>
      </w:pPr>
    </w:p>
    <w:p w14:paraId="4818530A" w14:textId="4E0B81EE" w:rsidR="00EF03B6" w:rsidRPr="00BC4C9B" w:rsidRDefault="00EF03B6" w:rsidP="00625688">
      <w:pPr>
        <w:pStyle w:val="CASES"/>
        <w:ind w:left="0"/>
      </w:pPr>
      <w:r w:rsidRPr="00BC4C9B">
        <w:t>Cette situation a constitué u</w:t>
      </w:r>
      <w:r w:rsidR="00625688">
        <w:t>n obstacle pour la famille d’</w:t>
      </w:r>
      <w:r w:rsidRPr="00BC4C9B">
        <w:rPr>
          <w:b/>
          <w:bCs/>
        </w:rPr>
        <w:t>Ahmed Khalil Mahmoud BRAIH</w:t>
      </w:r>
      <w:r w:rsidR="00625688" w:rsidRPr="00944A66">
        <w:rPr>
          <w:rStyle w:val="FootnoteReference"/>
        </w:rPr>
        <w:footnoteReference w:id="14"/>
      </w:r>
      <w:r w:rsidRPr="00944A66">
        <w:t xml:space="preserve">, </w:t>
      </w:r>
      <w:r w:rsidRPr="00BC4C9B">
        <w:t>un haut-responsable du Polisario qui avait été arrêté le 6 janvier 2009 à Alger et détenu depuis au secret par les autorités algériennes. Malgré les nombreuses tentatives de</w:t>
      </w:r>
      <w:r w:rsidR="00625688">
        <w:t xml:space="preserve"> </w:t>
      </w:r>
      <w:r w:rsidRPr="00BC4C9B">
        <w:t>s</w:t>
      </w:r>
      <w:r w:rsidR="00625688">
        <w:t>es</w:t>
      </w:r>
      <w:r w:rsidRPr="00BC4C9B">
        <w:t xml:space="preserve"> ayants-droits à introduire un recours auprès des juridictions algériennes contre l’enlèvement et la disparition de leur proch</w:t>
      </w:r>
      <w:r w:rsidR="00625688">
        <w:t>e, s</w:t>
      </w:r>
      <w:r w:rsidRPr="00BC4C9B">
        <w:t xml:space="preserve">a </w:t>
      </w:r>
      <w:r w:rsidRPr="00BC4C9B">
        <w:lastRenderedPageBreak/>
        <w:t xml:space="preserve">famille a été constamment renvoyée vers les autorités du Polisario pour tout recours, du simple fait de leur statut de réfugié Sahraoui.  </w:t>
      </w:r>
    </w:p>
    <w:p w14:paraId="2C351B9B" w14:textId="77777777" w:rsidR="00EF03B6" w:rsidRPr="00BC4C9B" w:rsidRDefault="00EF03B6" w:rsidP="00944A66">
      <w:pPr>
        <w:rPr>
          <w:lang w:val="fr-CH" w:eastAsia="fr-FR"/>
        </w:rPr>
      </w:pPr>
    </w:p>
    <w:p w14:paraId="4AD12865" w14:textId="3842CA7F" w:rsidR="00944A66" w:rsidRPr="00625688" w:rsidRDefault="00EF03B6" w:rsidP="00944A66">
      <w:pPr>
        <w:pStyle w:val="Question"/>
        <w:tabs>
          <w:tab w:val="left" w:pos="7938"/>
        </w:tabs>
        <w:ind w:right="0"/>
      </w:pPr>
      <w:r w:rsidRPr="00BC4C9B">
        <w:t>Quelles mesures l’État partie envisage</w:t>
      </w:r>
      <w:r w:rsidR="0007498F">
        <w:t>-t-il</w:t>
      </w:r>
      <w:r w:rsidRPr="00BC4C9B">
        <w:t xml:space="preserve"> de prendre pour mettre fin à cette situation contraire à ses</w:t>
      </w:r>
      <w:r w:rsidR="0007498F">
        <w:t xml:space="preserve"> obligations générales </w:t>
      </w:r>
      <w:r w:rsidRPr="00BC4C9B">
        <w:t>afin d’assurer le resp</w:t>
      </w:r>
      <w:r w:rsidR="0007498F">
        <w:t>ect des droits garantis par le P</w:t>
      </w:r>
      <w:r w:rsidRPr="00BC4C9B">
        <w:t xml:space="preserve">acte pour toute personne se trouvant sur son territoire et sa juridiction, et ce quel que soit son statut ? </w:t>
      </w:r>
    </w:p>
    <w:p w14:paraId="18850C3F" w14:textId="3220C3DB" w:rsidR="00EF03B6" w:rsidRPr="00BC4C9B" w:rsidRDefault="00EF03B6" w:rsidP="00B53417">
      <w:pPr>
        <w:pStyle w:val="Heading2"/>
      </w:pPr>
      <w:bookmarkStart w:id="9" w:name="_Toc488662965"/>
      <w:r w:rsidRPr="00BC4C9B">
        <w:t>Obligation générale de donner effet aux droits reconnus dans le Pact</w:t>
      </w:r>
      <w:r w:rsidR="00B53417">
        <w:t xml:space="preserve">e (article 2 § </w:t>
      </w:r>
      <w:r w:rsidRPr="00BC4C9B">
        <w:t>2)</w:t>
      </w:r>
      <w:bookmarkEnd w:id="9"/>
    </w:p>
    <w:p w14:paraId="43337C77" w14:textId="77777777" w:rsidR="00EF03B6" w:rsidRPr="00BC4C9B" w:rsidRDefault="00EF03B6" w:rsidP="00EF03B6">
      <w:pPr>
        <w:rPr>
          <w:lang w:val="fr-CH" w:eastAsia="x-none"/>
        </w:rPr>
      </w:pPr>
    </w:p>
    <w:p w14:paraId="293AC82F" w14:textId="77777777" w:rsidR="00EF03B6" w:rsidRPr="00BC4C9B" w:rsidRDefault="00EF03B6" w:rsidP="00EF03B6">
      <w:pPr>
        <w:pStyle w:val="Heading3"/>
        <w:rPr>
          <w:lang w:val="fr-CH"/>
        </w:rPr>
      </w:pPr>
      <w:bookmarkStart w:id="10" w:name="_Toc488662966"/>
      <w:r w:rsidRPr="00BC4C9B">
        <w:rPr>
          <w:lang w:val="fr-CH"/>
        </w:rPr>
        <w:t>Applicabilité directe du pacte</w:t>
      </w:r>
      <w:bookmarkEnd w:id="10"/>
      <w:r w:rsidRPr="00BC4C9B">
        <w:rPr>
          <w:lang w:val="fr-CH"/>
        </w:rPr>
        <w:t xml:space="preserve"> </w:t>
      </w:r>
    </w:p>
    <w:p w14:paraId="4F1E7C94" w14:textId="77777777" w:rsidR="00EF03B6" w:rsidRPr="00BC4C9B" w:rsidRDefault="00EF03B6" w:rsidP="00EF03B6">
      <w:pPr>
        <w:rPr>
          <w:lang w:val="fr-CH"/>
        </w:rPr>
      </w:pPr>
    </w:p>
    <w:p w14:paraId="5F9E1ADF" w14:textId="4C605A91" w:rsidR="00EF03B6" w:rsidRPr="00BC4C9B" w:rsidRDefault="00EF03B6" w:rsidP="0007498F">
      <w:pPr>
        <w:rPr>
          <w:lang w:val="fr-CH"/>
        </w:rPr>
      </w:pPr>
      <w:r w:rsidRPr="00BC4C9B">
        <w:rPr>
          <w:lang w:val="fr-CH"/>
        </w:rPr>
        <w:t>Dans ses observations finales adoptées à l’issue du troisième examen périodique de l’Algérie, le Comité avait noté que si le Pacte était d’application directe, les droits protégés par le Pacte n’étaient pas été pleinement intégrés da</w:t>
      </w:r>
      <w:r w:rsidR="0007498F">
        <w:rPr>
          <w:lang w:val="fr-CH"/>
        </w:rPr>
        <w:t>ns la législation interne et qu’il</w:t>
      </w:r>
      <w:r w:rsidRPr="00BC4C9B">
        <w:rPr>
          <w:lang w:val="fr-CH"/>
        </w:rPr>
        <w:t xml:space="preserve"> </w:t>
      </w:r>
      <w:r w:rsidR="0007498F">
        <w:rPr>
          <w:lang w:val="fr-CH"/>
        </w:rPr>
        <w:t>n’était</w:t>
      </w:r>
      <w:r w:rsidRPr="00BC4C9B">
        <w:rPr>
          <w:lang w:val="fr-CH"/>
        </w:rPr>
        <w:t xml:space="preserve"> </w:t>
      </w:r>
      <w:r w:rsidR="0007498F">
        <w:rPr>
          <w:lang w:val="fr-CH"/>
        </w:rPr>
        <w:t xml:space="preserve">pas </w:t>
      </w:r>
      <w:r w:rsidRPr="00BC4C9B">
        <w:rPr>
          <w:lang w:val="fr-CH"/>
        </w:rPr>
        <w:t>suffisamment diffusé de sorte qu’il puisse être régulièrement invoqué devant les tribunaux et les autorités administratives. Il avait recommandé à ce titre à l’État partie de s’assurer que sa législation donne plein effet aux droits consacrés par le Pacte, notamment concernant les voies de recours existantes pour garantir l’exercice de ces droits et la publicité du Pacte</w:t>
      </w:r>
      <w:r w:rsidRPr="00BC4C9B">
        <w:rPr>
          <w:vertAlign w:val="superscript"/>
          <w:lang w:val="fr-CH"/>
        </w:rPr>
        <w:footnoteReference w:id="15"/>
      </w:r>
      <w:r w:rsidRPr="00BC4C9B">
        <w:rPr>
          <w:lang w:val="fr-CH"/>
        </w:rPr>
        <w:t xml:space="preserve">. </w:t>
      </w:r>
    </w:p>
    <w:p w14:paraId="4F79C66F" w14:textId="77777777" w:rsidR="00EF03B6" w:rsidRPr="00BC4C9B" w:rsidRDefault="00EF03B6" w:rsidP="00EF03B6">
      <w:pPr>
        <w:rPr>
          <w:lang w:val="fr-CH"/>
        </w:rPr>
      </w:pPr>
    </w:p>
    <w:p w14:paraId="0DBE7FF9" w14:textId="0D7176F4" w:rsidR="00EF03B6" w:rsidRPr="00BC4C9B" w:rsidRDefault="00944A66" w:rsidP="0007498F">
      <w:pPr>
        <w:rPr>
          <w:lang w:val="fr-CH"/>
        </w:rPr>
      </w:pPr>
      <w:r>
        <w:rPr>
          <w:lang w:val="fr-CH"/>
        </w:rPr>
        <w:t>A cet égard, l</w:t>
      </w:r>
      <w:r w:rsidR="00EF03B6" w:rsidRPr="00944A66">
        <w:rPr>
          <w:lang w:val="fr-CH"/>
        </w:rPr>
        <w:t xml:space="preserve">’État partie indique avoir « à maintes occasions » fait recours « aux traités internationaux pour rendre des décisions », donnant l’exemple d’une décision du tribunal de Constantine de juin 2011 </w:t>
      </w:r>
      <w:r w:rsidR="0007498F" w:rsidRPr="00944A66">
        <w:rPr>
          <w:lang w:val="fr-CH"/>
        </w:rPr>
        <w:t xml:space="preserve">faisant référence </w:t>
      </w:r>
      <w:r w:rsidR="00EF03B6" w:rsidRPr="00944A66">
        <w:rPr>
          <w:lang w:val="fr-CH"/>
        </w:rPr>
        <w:t>à la Charte africaine des droits de l’homme et des peuples</w:t>
      </w:r>
      <w:r w:rsidR="00EF03B6" w:rsidRPr="00944A66">
        <w:rPr>
          <w:rStyle w:val="FootnoteReference"/>
          <w:lang w:val="fr-CH"/>
        </w:rPr>
        <w:footnoteReference w:id="16"/>
      </w:r>
      <w:r w:rsidR="00EF03B6" w:rsidRPr="00944A66">
        <w:rPr>
          <w:lang w:val="fr-CH"/>
        </w:rPr>
        <w:t xml:space="preserve">. Si une telle pratique est recommandable, l’État partie ne donne toutefois pas d’exemple de prise en compte </w:t>
      </w:r>
      <w:r w:rsidR="0007498F" w:rsidRPr="00944A66">
        <w:rPr>
          <w:lang w:val="fr-CH"/>
        </w:rPr>
        <w:t xml:space="preserve">du Pacte ou </w:t>
      </w:r>
      <w:r w:rsidR="00EF03B6" w:rsidRPr="00944A66">
        <w:rPr>
          <w:lang w:val="fr-CH"/>
        </w:rPr>
        <w:t>d’autres instruments internationaux de protection des droits de l’homme</w:t>
      </w:r>
      <w:r w:rsidR="0007498F" w:rsidRPr="00944A66">
        <w:rPr>
          <w:lang w:val="fr-CH"/>
        </w:rPr>
        <w:t>.</w:t>
      </w:r>
      <w:r w:rsidR="00EF03B6" w:rsidRPr="00BC4C9B">
        <w:rPr>
          <w:lang w:val="fr-CH"/>
        </w:rPr>
        <w:t xml:space="preserve"> </w:t>
      </w:r>
    </w:p>
    <w:p w14:paraId="6040194B" w14:textId="77777777" w:rsidR="00EF03B6" w:rsidRPr="00BC4C9B" w:rsidRDefault="00EF03B6" w:rsidP="00EF03B6">
      <w:pPr>
        <w:rPr>
          <w:lang w:val="fr-CH"/>
        </w:rPr>
      </w:pPr>
    </w:p>
    <w:p w14:paraId="3B82B74A" w14:textId="29545B70" w:rsidR="009214A5" w:rsidRPr="00BC4C9B" w:rsidRDefault="0007498F" w:rsidP="00944A66">
      <w:pPr>
        <w:pStyle w:val="Question"/>
        <w:ind w:right="0"/>
      </w:pPr>
      <w:r>
        <w:t>P</w:t>
      </w:r>
      <w:r w:rsidR="009214A5">
        <w:t>roduire des exemples de</w:t>
      </w:r>
      <w:r w:rsidR="00EF03B6" w:rsidRPr="00BC4C9B">
        <w:t xml:space="preserve"> décisions de justice dans lesquelles les juges ont </w:t>
      </w:r>
      <w:r>
        <w:t xml:space="preserve">fait référence au Pacte ou à tout autre instrument international </w:t>
      </w:r>
      <w:r w:rsidR="009214A5" w:rsidRPr="00B1389F">
        <w:t xml:space="preserve">permettant </w:t>
      </w:r>
      <w:r w:rsidR="009214A5">
        <w:t xml:space="preserve">ainsi </w:t>
      </w:r>
      <w:r w:rsidR="009214A5" w:rsidRPr="00B1389F">
        <w:t xml:space="preserve">d’établir que cette pratique </w:t>
      </w:r>
      <w:r w:rsidR="009214A5">
        <w:t xml:space="preserve">est courante et non pas limité à un seul cas d’espèce ? </w:t>
      </w:r>
    </w:p>
    <w:p w14:paraId="4894B15D" w14:textId="77777777" w:rsidR="00EF03B6" w:rsidRPr="00BC4C9B" w:rsidRDefault="00EF03B6" w:rsidP="00EF03B6">
      <w:pPr>
        <w:pStyle w:val="Heading3"/>
        <w:rPr>
          <w:lang w:val="fr-CH"/>
        </w:rPr>
      </w:pPr>
      <w:bookmarkStart w:id="11" w:name="_Toc488662967"/>
      <w:r w:rsidRPr="00BC4C9B">
        <w:rPr>
          <w:lang w:val="fr-CH"/>
        </w:rPr>
        <w:t>Législation nationale de l’État partie faisant obstacle à l‘effectivité des droits protégés par le Pacte : le cas de l’Ordonnance 06-01 de 2006</w:t>
      </w:r>
      <w:bookmarkEnd w:id="11"/>
    </w:p>
    <w:p w14:paraId="0B6523AA" w14:textId="77777777" w:rsidR="00EF03B6" w:rsidRPr="00BC4C9B" w:rsidRDefault="00EF03B6" w:rsidP="00EF03B6">
      <w:pPr>
        <w:rPr>
          <w:lang w:val="fr-CH"/>
        </w:rPr>
      </w:pPr>
    </w:p>
    <w:p w14:paraId="4215F34B" w14:textId="313E4829" w:rsidR="00EF03B6" w:rsidRPr="00944A66" w:rsidRDefault="009214A5" w:rsidP="00EF03B6">
      <w:pPr>
        <w:rPr>
          <w:lang w:val="fr-CH"/>
        </w:rPr>
      </w:pPr>
      <w:r>
        <w:rPr>
          <w:lang w:val="fr-CH"/>
        </w:rPr>
        <w:t>L</w:t>
      </w:r>
      <w:r w:rsidR="00EF03B6" w:rsidRPr="00BC4C9B">
        <w:rPr>
          <w:lang w:val="fr-CH"/>
        </w:rPr>
        <w:t>’État partie confirme dans son quatrième rapport périodique « </w:t>
      </w:r>
      <w:r w:rsidR="00EF03B6" w:rsidRPr="00944A66">
        <w:rPr>
          <w:lang w:val="fr-CH"/>
        </w:rPr>
        <w:t>le principe consacré dans la Constitution selon lequel les traités internationaux ratifiés sont supérieurs à la loi interne », rappelant que l’article 150 énonce que « [L]es traités ratifiés par le Président de la République, dans les conditions prévues par la Constitution, sont supérieurs à la loi »</w:t>
      </w:r>
      <w:r w:rsidR="00EF03B6" w:rsidRPr="00944A66">
        <w:rPr>
          <w:rStyle w:val="FootnoteReference"/>
          <w:lang w:val="fr-CH"/>
        </w:rPr>
        <w:footnoteReference w:id="17"/>
      </w:r>
      <w:r w:rsidR="00EF03B6" w:rsidRPr="00944A66">
        <w:rPr>
          <w:lang w:val="fr-CH"/>
        </w:rPr>
        <w:t xml:space="preserve">. </w:t>
      </w:r>
    </w:p>
    <w:p w14:paraId="5F236979" w14:textId="77777777" w:rsidR="00EF03B6" w:rsidRPr="00BC4C9B" w:rsidRDefault="00EF03B6" w:rsidP="00EF03B6">
      <w:pPr>
        <w:rPr>
          <w:lang w:val="fr-CH" w:eastAsia="x-none"/>
        </w:rPr>
      </w:pPr>
    </w:p>
    <w:p w14:paraId="6C923001" w14:textId="2E06663A" w:rsidR="00EF03B6" w:rsidRDefault="00EF03B6" w:rsidP="00944A66">
      <w:pPr>
        <w:rPr>
          <w:lang w:val="fr-CH" w:eastAsia="fr-FR"/>
        </w:rPr>
      </w:pPr>
      <w:r w:rsidRPr="00BC4C9B">
        <w:rPr>
          <w:lang w:val="fr-CH"/>
        </w:rPr>
        <w:t xml:space="preserve">Toutefois, l’Ordonnance n° 06-01 de 2006, </w:t>
      </w:r>
      <w:r w:rsidRPr="00BC4C9B">
        <w:rPr>
          <w:lang w:val="fr-CH" w:eastAsia="fr-CH"/>
        </w:rPr>
        <w:t>portant mise en œuvre de la Charte pour la paix et la réconciliation nationale demeure aujourd’hui en vigueur</w:t>
      </w:r>
      <w:r w:rsidRPr="00BC4C9B">
        <w:rPr>
          <w:vertAlign w:val="superscript"/>
          <w:lang w:val="fr-CH"/>
        </w:rPr>
        <w:footnoteReference w:id="18"/>
      </w:r>
      <w:r w:rsidRPr="00BC4C9B">
        <w:rPr>
          <w:lang w:val="fr-CH" w:eastAsia="x-none"/>
        </w:rPr>
        <w:t xml:space="preserve">. </w:t>
      </w:r>
      <w:r w:rsidRPr="00BC4C9B">
        <w:rPr>
          <w:lang w:val="fr-CH" w:eastAsia="fr-FR"/>
        </w:rPr>
        <w:t xml:space="preserve">Cette ordonnance </w:t>
      </w:r>
      <w:r w:rsidRPr="00BC4C9B">
        <w:rPr>
          <w:lang w:val="fr-CH" w:eastAsia="fr-CH"/>
        </w:rPr>
        <w:t>qui a été qualifiée à de nombreuses reprises par le Comité comme étant cont</w:t>
      </w:r>
      <w:r>
        <w:rPr>
          <w:lang w:val="fr-CH" w:eastAsia="fr-CH"/>
        </w:rPr>
        <w:t xml:space="preserve">raire aux dispositions du Pacte, </w:t>
      </w:r>
      <w:r>
        <w:rPr>
          <w:lang w:val="fr-CH" w:eastAsia="fr-FR"/>
        </w:rPr>
        <w:t>a</w:t>
      </w:r>
      <w:r w:rsidR="00944A66">
        <w:rPr>
          <w:lang w:val="fr-CH" w:eastAsia="fr-FR"/>
        </w:rPr>
        <w:t>yant</w:t>
      </w:r>
      <w:r>
        <w:rPr>
          <w:lang w:val="fr-CH" w:eastAsia="fr-FR"/>
        </w:rPr>
        <w:t xml:space="preserve"> </w:t>
      </w:r>
      <w:r w:rsidRPr="00BC4C9B">
        <w:rPr>
          <w:lang w:val="fr-CH" w:eastAsia="fr-FR"/>
        </w:rPr>
        <w:t xml:space="preserve">pour effet d’inscrire dans le cadre législatif de l’État partie </w:t>
      </w:r>
      <w:r w:rsidR="00944A66">
        <w:rPr>
          <w:lang w:val="fr-CH" w:eastAsia="fr-FR"/>
        </w:rPr>
        <w:t>un</w:t>
      </w:r>
      <w:r w:rsidR="00B53417">
        <w:rPr>
          <w:lang w:val="fr-CH" w:eastAsia="fr-FR"/>
        </w:rPr>
        <w:t>e</w:t>
      </w:r>
      <w:r w:rsidR="00944A66">
        <w:rPr>
          <w:lang w:val="fr-CH" w:eastAsia="fr-FR"/>
        </w:rPr>
        <w:t xml:space="preserve"> </w:t>
      </w:r>
      <w:r w:rsidRPr="00BC4C9B">
        <w:rPr>
          <w:lang w:val="fr-CH" w:eastAsia="fr-FR"/>
        </w:rPr>
        <w:t>impossibilité légale d’introduire un recours effectif en violation de l’article 2 § 3.</w:t>
      </w:r>
    </w:p>
    <w:p w14:paraId="3F488987" w14:textId="77777777" w:rsidR="00EF03B6" w:rsidRDefault="00EF03B6" w:rsidP="00EF03B6">
      <w:pPr>
        <w:rPr>
          <w:lang w:val="fr-CH" w:eastAsia="fr-FR"/>
        </w:rPr>
      </w:pPr>
      <w:r w:rsidRPr="00BC4C9B">
        <w:rPr>
          <w:lang w:val="fr-CH" w:eastAsia="fr-FR"/>
        </w:rPr>
        <w:t xml:space="preserve"> </w:t>
      </w:r>
    </w:p>
    <w:p w14:paraId="33C58013" w14:textId="0728143A" w:rsidR="00EF03B6" w:rsidRDefault="00EF03B6" w:rsidP="004C0190">
      <w:pPr>
        <w:rPr>
          <w:lang w:val="fr-CH"/>
        </w:rPr>
      </w:pPr>
      <w:r w:rsidRPr="00F839DE">
        <w:rPr>
          <w:lang w:val="fr-CH"/>
        </w:rPr>
        <w:t xml:space="preserve">L’État partie affirme que la </w:t>
      </w:r>
      <w:r w:rsidRPr="00F839DE">
        <w:t>Charte pour la Paix et la réconciliation nationale « a été adoptée par le Parlement et soumise à référendum et que son amendement ne peut intervenir par conséquent que selon les mêmes formes », ajoutant qu’ « elle n’est pas amendable, ni par le gouvernement ni par tout autre acteur national ou international »</w:t>
      </w:r>
      <w:r w:rsidRPr="00F839DE">
        <w:rPr>
          <w:rStyle w:val="FootnoteReference"/>
        </w:rPr>
        <w:t xml:space="preserve"> </w:t>
      </w:r>
      <w:r w:rsidRPr="00F839DE">
        <w:rPr>
          <w:rStyle w:val="FootnoteReference"/>
        </w:rPr>
        <w:footnoteReference w:id="19"/>
      </w:r>
      <w:r w:rsidRPr="00F839DE">
        <w:rPr>
          <w:lang w:val="fr-CH"/>
        </w:rPr>
        <w:t>. Ceci contredit l’affirmation de l’État partie selon laquelle</w:t>
      </w:r>
      <w:r w:rsidRPr="00B1389F">
        <w:rPr>
          <w:lang w:val="fr-CH"/>
        </w:rPr>
        <w:t xml:space="preserve"> </w:t>
      </w:r>
      <w:r w:rsidRPr="00BC4C9B">
        <w:rPr>
          <w:lang w:val="fr-CH"/>
        </w:rPr>
        <w:t xml:space="preserve">le Pacte a valeur </w:t>
      </w:r>
      <w:r w:rsidRPr="004C0190">
        <w:rPr>
          <w:lang w:val="fr-CH"/>
        </w:rPr>
        <w:t>de « norme supranationale », et que ses dispositions « constituent des références impératives dans l’élaboration de ses textes juridiques, de la loi organique jusqu’au simple arrêté »</w:t>
      </w:r>
      <w:r w:rsidRPr="004C0190">
        <w:rPr>
          <w:rStyle w:val="FootnoteReference"/>
          <w:lang w:val="fr-CH"/>
        </w:rPr>
        <w:footnoteReference w:id="20"/>
      </w:r>
      <w:r w:rsidRPr="004C0190">
        <w:rPr>
          <w:lang w:val="fr-CH"/>
        </w:rPr>
        <w:t>.</w:t>
      </w:r>
      <w:r>
        <w:rPr>
          <w:lang w:val="fr-CH"/>
        </w:rPr>
        <w:t xml:space="preserve"> </w:t>
      </w:r>
      <w:r w:rsidR="009214A5">
        <w:rPr>
          <w:lang w:val="fr-CH" w:eastAsia="x-none"/>
        </w:rPr>
        <w:t>A cet égard, l</w:t>
      </w:r>
      <w:r>
        <w:rPr>
          <w:lang w:val="fr-CH" w:eastAsia="x-none"/>
        </w:rPr>
        <w:t>e principe de p</w:t>
      </w:r>
      <w:r w:rsidR="009214A5">
        <w:rPr>
          <w:lang w:val="fr-CH" w:eastAsia="x-none"/>
        </w:rPr>
        <w:t>arallélisme des formes invoqué</w:t>
      </w:r>
      <w:r>
        <w:rPr>
          <w:lang w:val="fr-CH" w:eastAsia="x-none"/>
        </w:rPr>
        <w:t xml:space="preserve"> par l’État partie ne s</w:t>
      </w:r>
      <w:r w:rsidR="009214A5">
        <w:rPr>
          <w:lang w:val="fr-CH" w:eastAsia="x-none"/>
        </w:rPr>
        <w:t xml:space="preserve">aurait être </w:t>
      </w:r>
      <w:r w:rsidR="009214A5">
        <w:rPr>
          <w:lang w:val="fr-CH" w:eastAsia="x-none"/>
        </w:rPr>
        <w:lastRenderedPageBreak/>
        <w:t xml:space="preserve">contredit si l’ordonnance </w:t>
      </w:r>
      <w:r w:rsidR="004C0190">
        <w:rPr>
          <w:lang w:val="fr-CH" w:eastAsia="x-none"/>
        </w:rPr>
        <w:t xml:space="preserve">n° 06-01 </w:t>
      </w:r>
      <w:r w:rsidR="009214A5">
        <w:rPr>
          <w:lang w:val="fr-CH" w:eastAsia="x-none"/>
        </w:rPr>
        <w:t xml:space="preserve">était révisée par une autre ordonnance dans le but de mettre en œuvre le Pacte. </w:t>
      </w:r>
    </w:p>
    <w:p w14:paraId="51F7482E" w14:textId="77777777" w:rsidR="009214A5" w:rsidRDefault="009214A5" w:rsidP="009214A5">
      <w:pPr>
        <w:rPr>
          <w:lang w:val="fr-CH" w:eastAsia="x-none"/>
        </w:rPr>
      </w:pPr>
    </w:p>
    <w:p w14:paraId="5B23E609" w14:textId="374BBE3B" w:rsidR="004C0190" w:rsidRPr="004C0190" w:rsidRDefault="008B7A0E" w:rsidP="008B7A0E">
      <w:pPr>
        <w:pStyle w:val="Question"/>
        <w:numPr>
          <w:ilvl w:val="0"/>
          <w:numId w:val="15"/>
        </w:numPr>
        <w:ind w:right="0"/>
        <w:rPr>
          <w:lang w:eastAsia="x-none"/>
        </w:rPr>
      </w:pPr>
      <w:r>
        <w:t xml:space="preserve">L’Etat partie envisage-t-il de maintenir les dispositions de l’Ordonnance contraire aux Pacte malgré la supériorité de ce dernier dans la hiérarchie des normes ? </w:t>
      </w:r>
    </w:p>
    <w:p w14:paraId="3ACF32E4" w14:textId="07EBD1B6" w:rsidR="00EF03B6" w:rsidRPr="00BC4C9B" w:rsidRDefault="00EF03B6" w:rsidP="004C0190">
      <w:pPr>
        <w:pStyle w:val="Heading2"/>
      </w:pPr>
      <w:bookmarkStart w:id="12" w:name="_Toc488662968"/>
      <w:r w:rsidRPr="00BC4C9B">
        <w:t>Accès à un recours effectif</w:t>
      </w:r>
      <w:r>
        <w:t xml:space="preserve"> (article 2 </w:t>
      </w:r>
      <w:r w:rsidR="004C0190">
        <w:t xml:space="preserve">§ </w:t>
      </w:r>
      <w:r>
        <w:t>3)</w:t>
      </w:r>
      <w:bookmarkEnd w:id="12"/>
    </w:p>
    <w:p w14:paraId="39E03470" w14:textId="77777777" w:rsidR="00EF03B6" w:rsidRPr="00BC4C9B" w:rsidRDefault="00EF03B6" w:rsidP="00EF03B6">
      <w:pPr>
        <w:rPr>
          <w:lang w:val="fr-CH"/>
        </w:rPr>
      </w:pPr>
    </w:p>
    <w:p w14:paraId="69487DD5" w14:textId="5BC0AD49" w:rsidR="00EF03B6" w:rsidRDefault="00EF03B6" w:rsidP="004C0190">
      <w:pPr>
        <w:rPr>
          <w:lang w:val="fr-CH"/>
        </w:rPr>
      </w:pPr>
      <w:r w:rsidRPr="00402BAA">
        <w:rPr>
          <w:lang w:val="fr-CH"/>
        </w:rPr>
        <w:t>Dans ses observations finales, le Comité a recommandé à l’État partie de « veiller à ce qu’il existe des voies de recours pour garantir l’exercice » des droits protégés par</w:t>
      </w:r>
      <w:r w:rsidR="006E0709">
        <w:rPr>
          <w:lang w:val="fr-CH"/>
        </w:rPr>
        <w:t xml:space="preserve"> le Pacte et notamment</w:t>
      </w:r>
      <w:r w:rsidRPr="00402BAA">
        <w:rPr>
          <w:lang w:val="fr-CH"/>
        </w:rPr>
        <w:t xml:space="preserve"> </w:t>
      </w:r>
      <w:r w:rsidR="004C0190">
        <w:rPr>
          <w:lang w:val="fr-CH"/>
        </w:rPr>
        <w:t>l’articl</w:t>
      </w:r>
      <w:r w:rsidRPr="00402BAA">
        <w:rPr>
          <w:lang w:val="fr-CH"/>
        </w:rPr>
        <w:t>e 2</w:t>
      </w:r>
      <w:r w:rsidR="004C0190">
        <w:rPr>
          <w:lang w:val="fr-CH"/>
        </w:rPr>
        <w:t>§3</w:t>
      </w:r>
      <w:r w:rsidRPr="00402BAA">
        <w:rPr>
          <w:rStyle w:val="FootnoteReference"/>
          <w:lang w:val="fr-CH"/>
        </w:rPr>
        <w:footnoteReference w:id="21"/>
      </w:r>
      <w:r w:rsidRPr="00402BAA">
        <w:rPr>
          <w:lang w:val="fr-CH"/>
        </w:rPr>
        <w:t>.</w:t>
      </w:r>
    </w:p>
    <w:p w14:paraId="1D1049B8" w14:textId="77777777" w:rsidR="00EF03B6" w:rsidRPr="00BC4C9B" w:rsidRDefault="00EF03B6" w:rsidP="00EF03B6">
      <w:pPr>
        <w:rPr>
          <w:lang w:val="fr-CH"/>
        </w:rPr>
      </w:pPr>
    </w:p>
    <w:p w14:paraId="14E8DC8E" w14:textId="6D5ED2D2" w:rsidR="00EF03B6" w:rsidRDefault="00EF03B6" w:rsidP="006E0709">
      <w:pPr>
        <w:rPr>
          <w:lang w:val="fr-CH"/>
        </w:rPr>
      </w:pPr>
      <w:r w:rsidRPr="00BC4C9B">
        <w:rPr>
          <w:lang w:val="fr-CH"/>
        </w:rPr>
        <w:t>L’État partie affirme dans son rapport qu’il s’est engagé à mettre en œuvre les dispositions contenues dans les traités ratifiés, « en vue de leur donner la plénitude de leur effectivité »</w:t>
      </w:r>
      <w:r w:rsidRPr="00BC4C9B">
        <w:rPr>
          <w:rStyle w:val="FootnoteReference"/>
          <w:lang w:val="fr-CH"/>
        </w:rPr>
        <w:footnoteReference w:id="22"/>
      </w:r>
      <w:r w:rsidRPr="00BC4C9B">
        <w:rPr>
          <w:lang w:val="fr-CH"/>
        </w:rPr>
        <w:t xml:space="preserve"> mais ne répond pas aux préoccupations exprimées par le Comité dans ses observations finales</w:t>
      </w:r>
      <w:r w:rsidRPr="00BC4C9B">
        <w:rPr>
          <w:rStyle w:val="FootnoteReference"/>
          <w:lang w:val="fr-CH"/>
        </w:rPr>
        <w:footnoteReference w:id="23"/>
      </w:r>
      <w:r w:rsidRPr="00BC4C9B">
        <w:rPr>
          <w:lang w:val="fr-CH"/>
        </w:rPr>
        <w:t xml:space="preserve">. </w:t>
      </w:r>
      <w:r w:rsidR="006E0709">
        <w:rPr>
          <w:lang w:val="fr-CH"/>
        </w:rPr>
        <w:t>Le rapport ne contient aucun</w:t>
      </w:r>
      <w:r w:rsidRPr="00BC4C9B">
        <w:rPr>
          <w:lang w:val="fr-CH"/>
        </w:rPr>
        <w:t xml:space="preserve"> élément concernant son obligation d’enquêter de manière efficace, rapide, exhaustive et impartiale sur les violations et de prendre, le cas échéant, des mesures contre les personnes qui en seraient responsables ; d’assurer à ceux qui affirment être victimes d’une violation des droits de l’homme ou du droit humanitaire l’accès effectif à la justice ; et d’offrir aux victimes des recours utiles, y compris la réparation</w:t>
      </w:r>
      <w:r w:rsidRPr="00BC4C9B">
        <w:rPr>
          <w:rStyle w:val="FootnoteReference"/>
          <w:rFonts w:ascii="CenturyGothic-Identity-H" w:hAnsi="CenturyGothic-Identity-H" w:cs="CenturyGothic-Identity-H"/>
          <w:color w:val="231F20"/>
          <w:sz w:val="24"/>
          <w:szCs w:val="24"/>
          <w:lang w:val="fr-CH" w:eastAsia="fr-CH"/>
        </w:rPr>
        <w:footnoteReference w:id="24"/>
      </w:r>
      <w:r w:rsidRPr="00BC4C9B">
        <w:rPr>
          <w:lang w:val="fr-CH"/>
        </w:rPr>
        <w:t>.</w:t>
      </w:r>
      <w:r>
        <w:rPr>
          <w:lang w:val="fr-CH"/>
        </w:rPr>
        <w:t xml:space="preserve"> </w:t>
      </w:r>
    </w:p>
    <w:p w14:paraId="4461FCB7" w14:textId="77777777" w:rsidR="00EF03B6" w:rsidRPr="00BC4C9B" w:rsidRDefault="00EF03B6" w:rsidP="00EF03B6">
      <w:pPr>
        <w:rPr>
          <w:lang w:val="fr-CH"/>
        </w:rPr>
      </w:pPr>
    </w:p>
    <w:p w14:paraId="7E28DD1B" w14:textId="77777777" w:rsidR="00EF03B6" w:rsidRPr="00BC4C9B" w:rsidRDefault="00EF03B6" w:rsidP="00EF03B6">
      <w:pPr>
        <w:pStyle w:val="Heading3"/>
        <w:rPr>
          <w:lang w:val="fr-CH"/>
        </w:rPr>
      </w:pPr>
      <w:bookmarkStart w:id="13" w:name="_Toc488662969"/>
      <w:r w:rsidRPr="00BC4C9B">
        <w:rPr>
          <w:lang w:val="fr-CH"/>
        </w:rPr>
        <w:t>Impunité et amnisties</w:t>
      </w:r>
      <w:bookmarkEnd w:id="13"/>
      <w:r w:rsidRPr="00BC4C9B">
        <w:rPr>
          <w:lang w:val="fr-CH"/>
        </w:rPr>
        <w:t xml:space="preserve"> </w:t>
      </w:r>
    </w:p>
    <w:p w14:paraId="00B752D8" w14:textId="77777777" w:rsidR="00EF03B6" w:rsidRPr="00BC4C9B" w:rsidRDefault="00EF03B6" w:rsidP="00EF03B6">
      <w:pPr>
        <w:rPr>
          <w:lang w:val="fr-CH"/>
        </w:rPr>
      </w:pPr>
    </w:p>
    <w:p w14:paraId="13F1C9AA" w14:textId="60EB880E" w:rsidR="00EF03B6" w:rsidRPr="00275CCB" w:rsidRDefault="00EF03B6" w:rsidP="006E0709">
      <w:pPr>
        <w:rPr>
          <w:lang w:val="fr-CH"/>
        </w:rPr>
      </w:pPr>
      <w:r>
        <w:rPr>
          <w:lang w:val="fr-CH"/>
        </w:rPr>
        <w:t>L’ordonnance</w:t>
      </w:r>
      <w:r w:rsidR="004C0190">
        <w:rPr>
          <w:lang w:val="fr-CH"/>
        </w:rPr>
        <w:t xml:space="preserve"> n°</w:t>
      </w:r>
      <w:r>
        <w:rPr>
          <w:lang w:val="fr-CH"/>
        </w:rPr>
        <w:t xml:space="preserve"> 01-06</w:t>
      </w:r>
      <w:r w:rsidRPr="00576ECC">
        <w:rPr>
          <w:lang w:val="fr-CH"/>
        </w:rPr>
        <w:t xml:space="preserve"> institue une amnistie </w:t>
      </w:r>
      <w:r w:rsidR="006E0709">
        <w:rPr>
          <w:lang w:val="fr-CH"/>
        </w:rPr>
        <w:t>générale</w:t>
      </w:r>
      <w:r w:rsidRPr="00576ECC">
        <w:rPr>
          <w:lang w:val="fr-CH"/>
        </w:rPr>
        <w:t xml:space="preserve"> et </w:t>
      </w:r>
      <w:r w:rsidRPr="00576ECC">
        <w:rPr>
          <w:i/>
          <w:iCs/>
          <w:lang w:val="fr-CH"/>
        </w:rPr>
        <w:t>de jure</w:t>
      </w:r>
      <w:r w:rsidRPr="00576ECC">
        <w:rPr>
          <w:lang w:val="fr-CH"/>
        </w:rPr>
        <w:t xml:space="preserve"> pour l’ensemble des forces étatiques et paraétatiques y compris pour les violations graves du droit humanitaire et des droits de l’homme</w:t>
      </w:r>
      <w:r w:rsidR="006E0709">
        <w:rPr>
          <w:lang w:val="fr-CH"/>
        </w:rPr>
        <w:t xml:space="preserve">. Le Comité a souligné qu’elle </w:t>
      </w:r>
      <w:r w:rsidR="006E0709">
        <w:rPr>
          <w:rFonts w:cs="Tahoma"/>
          <w:lang w:val="fr-CH"/>
        </w:rPr>
        <w:t>promeut</w:t>
      </w:r>
      <w:r w:rsidRPr="00576ECC">
        <w:rPr>
          <w:rFonts w:cs="Tahoma"/>
          <w:lang w:val="fr-CH"/>
        </w:rPr>
        <w:t xml:space="preserve"> un climat </w:t>
      </w:r>
      <w:r w:rsidRPr="00576ECC">
        <w:rPr>
          <w:lang w:val="fr-CH"/>
        </w:rPr>
        <w:t>d’impunité</w:t>
      </w:r>
      <w:r w:rsidRPr="00576ECC">
        <w:rPr>
          <w:rStyle w:val="FootnoteReference"/>
          <w:rFonts w:cs="Tahoma"/>
          <w:lang w:val="fr-CH"/>
        </w:rPr>
        <w:footnoteReference w:id="25"/>
      </w:r>
      <w:r>
        <w:rPr>
          <w:rFonts w:cs="Tahoma"/>
          <w:lang w:val="fr-CH"/>
        </w:rPr>
        <w:t xml:space="preserve"> et </w:t>
      </w:r>
      <w:r w:rsidR="006E0709">
        <w:rPr>
          <w:rFonts w:cs="Tahoma"/>
          <w:lang w:val="fr-CH"/>
        </w:rPr>
        <w:t>viole</w:t>
      </w:r>
      <w:r w:rsidRPr="00576ECC">
        <w:rPr>
          <w:rFonts w:cs="Tahoma"/>
          <w:lang w:val="fr-CH"/>
        </w:rPr>
        <w:t xml:space="preserve"> le principe de non-dérogeabilité de l’interdiction de ces crimes</w:t>
      </w:r>
      <w:r w:rsidRPr="00576ECC">
        <w:rPr>
          <w:vertAlign w:val="superscript"/>
          <w:lang w:val="fr-CH"/>
        </w:rPr>
        <w:footnoteReference w:id="26"/>
      </w:r>
      <w:r w:rsidRPr="00576ECC">
        <w:rPr>
          <w:rFonts w:cs="Tahoma"/>
          <w:lang w:val="fr-CH"/>
        </w:rPr>
        <w:t>.</w:t>
      </w:r>
    </w:p>
    <w:p w14:paraId="3DD24425" w14:textId="77777777" w:rsidR="00EF03B6" w:rsidRDefault="00EF03B6" w:rsidP="00EF03B6">
      <w:pPr>
        <w:rPr>
          <w:rFonts w:ascii="CenturyGothic-Identity-H" w:hAnsi="CenturyGothic-Identity-H" w:cs="CenturyGothic-Identity-H"/>
          <w:color w:val="231F20"/>
          <w:sz w:val="24"/>
          <w:szCs w:val="24"/>
          <w:lang w:val="fr-CH" w:eastAsia="fr-CH"/>
        </w:rPr>
      </w:pPr>
    </w:p>
    <w:p w14:paraId="468D0610" w14:textId="5FB00787" w:rsidR="00EF03B6" w:rsidRPr="00275CCB" w:rsidRDefault="00EF03B6" w:rsidP="00EF03B6">
      <w:pPr>
        <w:rPr>
          <w:rFonts w:ascii="CenturyGothic-Identity-H" w:hAnsi="CenturyGothic-Identity-H" w:cs="CenturyGothic-Identity-H"/>
          <w:color w:val="231F20"/>
          <w:sz w:val="24"/>
          <w:szCs w:val="24"/>
          <w:lang w:eastAsia="fr-CH"/>
        </w:rPr>
      </w:pPr>
      <w:r w:rsidRPr="004C0190">
        <w:rPr>
          <w:lang w:val="fr-CH"/>
        </w:rPr>
        <w:t>L’État partie semble c</w:t>
      </w:r>
      <w:r w:rsidR="006E0709" w:rsidRPr="004C0190">
        <w:rPr>
          <w:lang w:val="fr-CH"/>
        </w:rPr>
        <w:t>onfirmer les préoccupations du C</w:t>
      </w:r>
      <w:r w:rsidRPr="004C0190">
        <w:rPr>
          <w:lang w:val="fr-CH"/>
        </w:rPr>
        <w:t xml:space="preserve">omité en indiquant que </w:t>
      </w:r>
      <w:r w:rsidRPr="004C0190">
        <w:t>la Charte indique qu’à l’exclusion des agents chargés de l’application de la loi et tous ceux qui étaient engagés dans les opérations de la lutte antiterroriste dans l’exercice de leurs missions, les juridictions peuvent connaitre des faits à caractère pénal et traiter toute allégation de violation des droits de l’homme et de lui donner les suites appropriées</w:t>
      </w:r>
      <w:r w:rsidRPr="004C0190">
        <w:rPr>
          <w:rStyle w:val="FootnoteReference"/>
        </w:rPr>
        <w:footnoteReference w:id="27"/>
      </w:r>
      <w:r w:rsidRPr="004C0190">
        <w:t>.</w:t>
      </w:r>
    </w:p>
    <w:p w14:paraId="2B2E620A" w14:textId="77777777" w:rsidR="00EF03B6" w:rsidRPr="00BC4C9B" w:rsidRDefault="00EF03B6" w:rsidP="00EF03B6">
      <w:pPr>
        <w:rPr>
          <w:rFonts w:ascii="CenturyGothic-Identity-H" w:hAnsi="CenturyGothic-Identity-H" w:cs="CenturyGothic-Identity-H"/>
          <w:color w:val="231F20"/>
          <w:sz w:val="24"/>
          <w:szCs w:val="24"/>
          <w:lang w:val="fr-CH" w:eastAsia="fr-CH"/>
        </w:rPr>
      </w:pPr>
    </w:p>
    <w:p w14:paraId="36D264C3" w14:textId="0CF42BD8" w:rsidR="006E0709" w:rsidRPr="004C0190" w:rsidRDefault="006E0709" w:rsidP="004C0190">
      <w:pPr>
        <w:pStyle w:val="Question"/>
        <w:ind w:right="0"/>
      </w:pPr>
      <w:r w:rsidRPr="004C0190">
        <w:t>L’État partie envisage-t-il d’amender l’article 45 de l’ordonnance nº06-01 afin de préciser qu’il ne s’applique pas aux crimes graves tels que la torture, les exécutions extrajudiciaires et les disparitions forcées commis par des agents de l’Etat ?</w:t>
      </w:r>
    </w:p>
    <w:p w14:paraId="449EDEBF" w14:textId="4716298C" w:rsidR="006E0709" w:rsidRPr="004C0190" w:rsidRDefault="004C0190" w:rsidP="004C0190">
      <w:pPr>
        <w:pStyle w:val="Question"/>
        <w:ind w:right="0"/>
      </w:pPr>
      <w:r w:rsidRPr="004C0190">
        <w:t>L’État partie</w:t>
      </w:r>
      <w:r>
        <w:t xml:space="preserve"> peut-il</w:t>
      </w:r>
      <w:r w:rsidRPr="004C0190">
        <w:t xml:space="preserve"> </w:t>
      </w:r>
      <w:r>
        <w:t>d</w:t>
      </w:r>
      <w:r w:rsidR="006E0709" w:rsidRPr="004C0190">
        <w:t xml:space="preserve">étailler les mesures prises pour garantir que les violations graves des droits de l’homme fassent l’objet d’enquêtes, et que les responsables de telles violations </w:t>
      </w:r>
      <w:r>
        <w:t>soient</w:t>
      </w:r>
      <w:r w:rsidR="006E0709" w:rsidRPr="004C0190">
        <w:t xml:space="preserve"> poursuivis et répondent </w:t>
      </w:r>
      <w:r>
        <w:t>de leurs actes ?</w:t>
      </w:r>
    </w:p>
    <w:p w14:paraId="10D13CD4" w14:textId="6F8D07DE" w:rsidR="006E0709" w:rsidRPr="004C0190" w:rsidRDefault="004C0190" w:rsidP="004C0190">
      <w:pPr>
        <w:pStyle w:val="Question"/>
        <w:ind w:right="0"/>
      </w:pPr>
      <w:r w:rsidRPr="004C0190">
        <w:t>L’État partie</w:t>
      </w:r>
      <w:r>
        <w:t xml:space="preserve"> peut-il</w:t>
      </w:r>
      <w:r w:rsidR="006E0709" w:rsidRPr="004C0190">
        <w:t xml:space="preserve"> indiquer les moyens mis en place afin d’informer le public et, plus particulièrement, les victimes de violations flagrantes du droit international des droits de l’homme sur leurs droits et les recours</w:t>
      </w:r>
      <w:r>
        <w:t xml:space="preserve"> disponibles ?</w:t>
      </w:r>
    </w:p>
    <w:p w14:paraId="066BFEC9" w14:textId="1F0F9447" w:rsidR="006E0709" w:rsidRDefault="004C0190" w:rsidP="006E0709">
      <w:r>
        <w:t>En outre, l</w:t>
      </w:r>
      <w:r w:rsidR="006E0709">
        <w:t>’État partie ne</w:t>
      </w:r>
      <w:r>
        <w:t xml:space="preserve"> précise pas</w:t>
      </w:r>
      <w:r w:rsidR="006E0709">
        <w:t xml:space="preserve"> les </w:t>
      </w:r>
      <w:r w:rsidR="006E0709" w:rsidRPr="004C0190">
        <w:rPr>
          <w:rStyle w:val="Emphasis"/>
          <w:i w:val="0"/>
          <w:iCs w:val="0"/>
        </w:rPr>
        <w:t>garanties</w:t>
      </w:r>
      <w:r w:rsidR="006E0709" w:rsidRPr="00BC4C9B">
        <w:rPr>
          <w:rStyle w:val="Emphasis"/>
        </w:rPr>
        <w:t xml:space="preserve"> </w:t>
      </w:r>
      <w:r w:rsidR="006E0709" w:rsidRPr="004C0190">
        <w:rPr>
          <w:rStyle w:val="Emphasis"/>
          <w:i w:val="0"/>
          <w:iCs w:val="0"/>
        </w:rPr>
        <w:t>de</w:t>
      </w:r>
      <w:r w:rsidR="006E0709" w:rsidRPr="00BC4C9B">
        <w:rPr>
          <w:rStyle w:val="Emphasis"/>
        </w:rPr>
        <w:t xml:space="preserve"> </w:t>
      </w:r>
      <w:r w:rsidR="006E0709" w:rsidRPr="006E0709">
        <w:rPr>
          <w:rStyle w:val="Emphasis"/>
          <w:i w:val="0"/>
          <w:iCs w:val="0"/>
        </w:rPr>
        <w:t>non-répétition</w:t>
      </w:r>
      <w:r w:rsidR="006E0709" w:rsidRPr="00BC4C9B">
        <w:t xml:space="preserve"> </w:t>
      </w:r>
      <w:r w:rsidR="006E0709">
        <w:t xml:space="preserve">établies en relation avec les violations commises par les agents de l’État y compris les disparitions forcées et les exécutions extrajudiciaires. </w:t>
      </w:r>
    </w:p>
    <w:p w14:paraId="781A107A" w14:textId="77777777" w:rsidR="006E0709" w:rsidRDefault="006E0709" w:rsidP="006E0709"/>
    <w:p w14:paraId="1AF6FFA6" w14:textId="428E62EE" w:rsidR="006E0709" w:rsidRDefault="004C0190" w:rsidP="004C0190">
      <w:pPr>
        <w:pStyle w:val="Question"/>
        <w:ind w:right="0"/>
      </w:pPr>
      <w:r w:rsidRPr="004C0190">
        <w:t>L’État partie</w:t>
      </w:r>
      <w:r>
        <w:t xml:space="preserve"> peut-il</w:t>
      </w:r>
      <w:r w:rsidRPr="004C0190">
        <w:t xml:space="preserve"> </w:t>
      </w:r>
      <w:r w:rsidR="006E0709">
        <w:t xml:space="preserve">indiquer les mesures prises au titre des </w:t>
      </w:r>
      <w:r w:rsidR="006E0709" w:rsidRPr="006E0709">
        <w:t>garanties de non-répétition</w:t>
      </w:r>
      <w:r w:rsidR="006E0709" w:rsidRPr="00BC4C9B">
        <w:t xml:space="preserve"> </w:t>
      </w:r>
      <w:r w:rsidR="006E0709">
        <w:t>en relation avec les violations graves des droits de l’homme commises par les agents de l’État</w:t>
      </w:r>
      <w:r>
        <w:t> ?</w:t>
      </w:r>
      <w:r w:rsidR="006E0709">
        <w:t xml:space="preserve"> </w:t>
      </w:r>
    </w:p>
    <w:p w14:paraId="3C579ED8" w14:textId="77777777" w:rsidR="00EF03B6" w:rsidRPr="00BC4C9B" w:rsidRDefault="00EF03B6" w:rsidP="00EF03B6">
      <w:pPr>
        <w:rPr>
          <w:lang w:val="fr-CH"/>
        </w:rPr>
      </w:pPr>
    </w:p>
    <w:p w14:paraId="08759A1E" w14:textId="77777777" w:rsidR="00EF03B6" w:rsidRPr="00BC4C9B" w:rsidRDefault="00EF03B6" w:rsidP="00EF03B6">
      <w:pPr>
        <w:pStyle w:val="Heading3"/>
        <w:rPr>
          <w:lang w:val="fr-CH"/>
        </w:rPr>
      </w:pPr>
      <w:bookmarkStart w:id="14" w:name="_Toc488662970"/>
      <w:r w:rsidRPr="00BC4C9B">
        <w:rPr>
          <w:lang w:val="fr-CH"/>
        </w:rPr>
        <w:t>Questions spécifiques au droit au recours effectif des familles de disparus</w:t>
      </w:r>
      <w:bookmarkEnd w:id="14"/>
      <w:r w:rsidRPr="00BC4C9B">
        <w:rPr>
          <w:lang w:val="fr-CH"/>
        </w:rPr>
        <w:t xml:space="preserve"> </w:t>
      </w:r>
    </w:p>
    <w:p w14:paraId="22A6159E" w14:textId="77777777" w:rsidR="00EF03B6" w:rsidRPr="00BC4C9B" w:rsidRDefault="00EF03B6" w:rsidP="00EF03B6">
      <w:pPr>
        <w:rPr>
          <w:b/>
          <w:bCs/>
          <w:lang w:val="fr-CH"/>
        </w:rPr>
      </w:pPr>
    </w:p>
    <w:p w14:paraId="58980206" w14:textId="73C29C5D" w:rsidR="00EF03B6" w:rsidRDefault="00EF03B6" w:rsidP="007A4AB2">
      <w:pPr>
        <w:rPr>
          <w:lang w:val="fr-CH"/>
        </w:rPr>
      </w:pPr>
      <w:r w:rsidRPr="00772658">
        <w:rPr>
          <w:lang w:val="fr-CH"/>
        </w:rPr>
        <w:t xml:space="preserve">L’Algérie est le cinquième pays </w:t>
      </w:r>
      <w:r w:rsidR="007A4AB2">
        <w:rPr>
          <w:lang w:val="fr-CH"/>
        </w:rPr>
        <w:t>au monde relativement aux</w:t>
      </w:r>
      <w:r w:rsidRPr="00772658">
        <w:rPr>
          <w:lang w:val="fr-CH"/>
        </w:rPr>
        <w:t xml:space="preserve"> pendant</w:t>
      </w:r>
      <w:r w:rsidR="007A4AB2">
        <w:rPr>
          <w:lang w:val="fr-CH"/>
        </w:rPr>
        <w:t>s</w:t>
      </w:r>
      <w:r w:rsidRPr="00772658">
        <w:rPr>
          <w:lang w:val="fr-CH"/>
        </w:rPr>
        <w:t xml:space="preserve"> devant le G</w:t>
      </w:r>
      <w:r w:rsidR="007A4AB2">
        <w:rPr>
          <w:lang w:val="fr-CH"/>
        </w:rPr>
        <w:t xml:space="preserve">roupe de </w:t>
      </w:r>
      <w:r w:rsidRPr="00772658">
        <w:rPr>
          <w:lang w:val="fr-CH"/>
        </w:rPr>
        <w:t>T</w:t>
      </w:r>
      <w:r w:rsidR="007A4AB2">
        <w:rPr>
          <w:lang w:val="fr-CH"/>
        </w:rPr>
        <w:t xml:space="preserve">ravail sur les </w:t>
      </w:r>
      <w:r w:rsidRPr="00772658">
        <w:rPr>
          <w:lang w:val="fr-CH"/>
        </w:rPr>
        <w:t>D</w:t>
      </w:r>
      <w:r w:rsidR="007A4AB2">
        <w:rPr>
          <w:lang w:val="fr-CH"/>
        </w:rPr>
        <w:t xml:space="preserve">isparitions </w:t>
      </w:r>
      <w:r w:rsidRPr="00772658">
        <w:rPr>
          <w:lang w:val="fr-CH"/>
        </w:rPr>
        <w:t>F</w:t>
      </w:r>
      <w:r w:rsidR="007A4AB2">
        <w:rPr>
          <w:lang w:val="fr-CH"/>
        </w:rPr>
        <w:t xml:space="preserve">orcées ou </w:t>
      </w:r>
      <w:r w:rsidRPr="00772658">
        <w:rPr>
          <w:lang w:val="fr-CH"/>
        </w:rPr>
        <w:t>I</w:t>
      </w:r>
      <w:r w:rsidR="007A4AB2">
        <w:rPr>
          <w:lang w:val="fr-CH"/>
        </w:rPr>
        <w:t>nvolontaires (GTDFI)</w:t>
      </w:r>
      <w:r w:rsidRPr="00772658">
        <w:rPr>
          <w:lang w:val="fr-CH"/>
        </w:rPr>
        <w:t xml:space="preserve"> avec 3139 cas de disparitions forcées non résolus</w:t>
      </w:r>
      <w:r w:rsidRPr="00772658">
        <w:rPr>
          <w:rStyle w:val="FootnoteReference"/>
          <w:lang w:val="fr-CH"/>
        </w:rPr>
        <w:footnoteReference w:id="28"/>
      </w:r>
      <w:r w:rsidRPr="00772658">
        <w:rPr>
          <w:lang w:val="fr-CH"/>
        </w:rPr>
        <w:t xml:space="preserve"> du fait de l’absence de coopération des autorités.</w:t>
      </w:r>
      <w:r>
        <w:rPr>
          <w:lang w:val="fr-CH"/>
        </w:rPr>
        <w:t xml:space="preserve"> </w:t>
      </w:r>
      <w:r w:rsidRPr="00576ECC">
        <w:rPr>
          <w:lang w:val="fr-CH"/>
        </w:rPr>
        <w:t>La visite demandée par le GTDFI en 2000</w:t>
      </w:r>
      <w:r w:rsidRPr="00576ECC">
        <w:rPr>
          <w:rStyle w:val="FootnoteReference"/>
          <w:lang w:val="fr-CH"/>
        </w:rPr>
        <w:footnoteReference w:id="29"/>
      </w:r>
      <w:r w:rsidRPr="00576ECC">
        <w:rPr>
          <w:lang w:val="fr-CH"/>
        </w:rPr>
        <w:t xml:space="preserve"> ne s’est toujours pas concrétisée</w:t>
      </w:r>
      <w:r w:rsidRPr="00576ECC">
        <w:rPr>
          <w:rStyle w:val="FootnoteReference"/>
          <w:lang w:val="fr-CH"/>
        </w:rPr>
        <w:footnoteReference w:id="30"/>
      </w:r>
      <w:r w:rsidRPr="00576ECC">
        <w:rPr>
          <w:lang w:val="fr-CH"/>
        </w:rPr>
        <w:t xml:space="preserve"> malgré plusieurs rappels</w:t>
      </w:r>
      <w:r w:rsidR="007A4AB2">
        <w:rPr>
          <w:lang w:val="fr-CH"/>
        </w:rPr>
        <w:t xml:space="preserve"> des experts</w:t>
      </w:r>
      <w:r>
        <w:rPr>
          <w:lang w:val="fr-CH"/>
        </w:rPr>
        <w:t>.</w:t>
      </w:r>
    </w:p>
    <w:p w14:paraId="5A927FC9" w14:textId="77777777" w:rsidR="00EF03B6" w:rsidRDefault="00EF03B6" w:rsidP="00EF03B6">
      <w:pPr>
        <w:rPr>
          <w:lang w:val="fr-CH"/>
        </w:rPr>
      </w:pPr>
    </w:p>
    <w:p w14:paraId="413D3988" w14:textId="2B89F3CF" w:rsidR="00EF03B6" w:rsidRDefault="007A4AB2" w:rsidP="00EF03B6">
      <w:pPr>
        <w:rPr>
          <w:lang w:val="fr-CH"/>
        </w:rPr>
      </w:pPr>
      <w:r>
        <w:rPr>
          <w:lang w:val="fr-CH"/>
        </w:rPr>
        <w:t>D’autre part, l</w:t>
      </w:r>
      <w:r w:rsidR="00EF03B6" w:rsidRPr="00F839DE">
        <w:rPr>
          <w:lang w:val="fr-CH"/>
        </w:rPr>
        <w:t>’État partie n’a toujours pas pris les mesures nécessaires pour donner suite aux Constatations du Comité, de façon à garantir le droit à un recours utile tel que consacré au paragraphe 3 de l’article 2 du Pacte et à ce jour</w:t>
      </w:r>
      <w:r w:rsidR="008B7A0E">
        <w:rPr>
          <w:lang w:val="fr-CH"/>
        </w:rPr>
        <w:t>,</w:t>
      </w:r>
      <w:r w:rsidR="00EF03B6" w:rsidRPr="00F839DE">
        <w:rPr>
          <w:lang w:val="fr-CH"/>
        </w:rPr>
        <w:t xml:space="preserve"> aucune décision du Comité n’a été mise en œuvre.</w:t>
      </w:r>
      <w:r w:rsidR="00EF03B6" w:rsidRPr="00BC4C9B">
        <w:rPr>
          <w:lang w:val="fr-CH"/>
        </w:rPr>
        <w:t xml:space="preserve">  </w:t>
      </w:r>
    </w:p>
    <w:p w14:paraId="64D4E561" w14:textId="77777777" w:rsidR="00EF03B6" w:rsidRDefault="00EF03B6" w:rsidP="00EF03B6">
      <w:pPr>
        <w:rPr>
          <w:lang w:val="fr-CH"/>
        </w:rPr>
      </w:pPr>
    </w:p>
    <w:p w14:paraId="3A82B731" w14:textId="20AB3251" w:rsidR="00EF03B6" w:rsidRPr="004C0190" w:rsidRDefault="00EF03B6" w:rsidP="004C0190">
      <w:pPr>
        <w:pStyle w:val="Question"/>
        <w:tabs>
          <w:tab w:val="left" w:pos="7230"/>
        </w:tabs>
        <w:ind w:right="0"/>
      </w:pPr>
      <w:r w:rsidRPr="004C0190">
        <w:t>Quelles mesures concrètes ont été prises pour donner suite aux Constatations du Comité, de façon à garantir le droit à un recours utile tel que consacré au paragraphe 3 de l’article 2 du Pacte ?</w:t>
      </w:r>
    </w:p>
    <w:p w14:paraId="43BAB76E" w14:textId="77777777" w:rsidR="00EF03B6" w:rsidRDefault="00EF03B6" w:rsidP="00EF03B6">
      <w:pPr>
        <w:rPr>
          <w:lang w:val="fr-CH"/>
        </w:rPr>
      </w:pPr>
      <w:r>
        <w:rPr>
          <w:lang w:val="fr-CH"/>
        </w:rPr>
        <w:t xml:space="preserve">Certaines familles de victimes ont rapporté que des fosses communes avaient été découvertes près de villes où de nombreuses disparitions ont eu lieu durant le conflit armé interne et qu’aucune mesure n’a été prise pour identifier les victimes malgré les demandes des familles à identifier les corps à travers des analyses ADN. </w:t>
      </w:r>
    </w:p>
    <w:p w14:paraId="6D1BCEA0" w14:textId="77777777" w:rsidR="00EF03B6" w:rsidRDefault="00EF03B6" w:rsidP="00EF03B6">
      <w:pPr>
        <w:rPr>
          <w:lang w:val="fr-CH"/>
        </w:rPr>
      </w:pPr>
    </w:p>
    <w:p w14:paraId="082D4199" w14:textId="22532729" w:rsidR="00EF03B6" w:rsidRPr="007A4AB2" w:rsidRDefault="008B7A0E" w:rsidP="008B7A0E">
      <w:pPr>
        <w:pStyle w:val="Question"/>
        <w:tabs>
          <w:tab w:val="left" w:pos="7088"/>
        </w:tabs>
        <w:ind w:right="0"/>
      </w:pPr>
      <w:r w:rsidRPr="008B7A0E">
        <w:t>L’État partie peut</w:t>
      </w:r>
      <w:r>
        <w:t>-il</w:t>
      </w:r>
      <w:r w:rsidR="00EF03B6">
        <w:t xml:space="preserve"> indiquer les mesures prises pour </w:t>
      </w:r>
      <w:r w:rsidR="007A4AB2">
        <w:t>procéder</w:t>
      </w:r>
      <w:r w:rsidR="00EF03B6">
        <w:t xml:space="preserve"> à l’identification des </w:t>
      </w:r>
      <w:r w:rsidR="00EF03B6" w:rsidRPr="00BC4C9B">
        <w:t xml:space="preserve">corps </w:t>
      </w:r>
      <w:r w:rsidR="007A4AB2">
        <w:t>découverts dans les fosses communes, déterminer la date et causes de leurs décès</w:t>
      </w:r>
      <w:r w:rsidR="00EF03B6">
        <w:t xml:space="preserve"> et </w:t>
      </w:r>
      <w:r w:rsidR="007A4AB2">
        <w:t xml:space="preserve">les </w:t>
      </w:r>
      <w:r w:rsidR="00EF03B6">
        <w:t xml:space="preserve">ré-inhumer </w:t>
      </w:r>
      <w:r w:rsidR="00EF03B6" w:rsidRPr="00BC4C9B">
        <w:t>co</w:t>
      </w:r>
      <w:r w:rsidR="00EF03B6">
        <w:t>nformément aux vœux exprimés par les</w:t>
      </w:r>
      <w:r w:rsidR="00EF03B6" w:rsidRPr="00BC4C9B">
        <w:t xml:space="preserve"> </w:t>
      </w:r>
      <w:r w:rsidR="00EF03B6">
        <w:t xml:space="preserve">familles de </w:t>
      </w:r>
      <w:r w:rsidR="007A4AB2" w:rsidRPr="00BC4C9B">
        <w:t>victime</w:t>
      </w:r>
      <w:r w:rsidR="007A4AB2">
        <w:t>s</w:t>
      </w:r>
      <w:r w:rsidR="007A4AB2" w:rsidRPr="00BC4C9B">
        <w:t> ?</w:t>
      </w:r>
    </w:p>
    <w:p w14:paraId="02B9CD1C" w14:textId="7D672A7C" w:rsidR="007513FD" w:rsidRDefault="008B7A0E" w:rsidP="00136E99">
      <w:pPr>
        <w:rPr>
          <w:lang w:val="fr-CH"/>
        </w:rPr>
      </w:pPr>
      <w:r>
        <w:rPr>
          <w:lang w:val="fr-CH"/>
        </w:rPr>
        <w:t>En outre, l</w:t>
      </w:r>
      <w:r w:rsidR="00136E99">
        <w:rPr>
          <w:lang w:val="fr-CH"/>
        </w:rPr>
        <w:t xml:space="preserve">’Etat partie n’apporte aucune information sur les mesures de réparation et de </w:t>
      </w:r>
      <w:r w:rsidR="00AB4E7A">
        <w:rPr>
          <w:lang w:val="fr-CH"/>
        </w:rPr>
        <w:t>réhabilitation prises en faveur</w:t>
      </w:r>
      <w:r w:rsidR="00136E99">
        <w:rPr>
          <w:lang w:val="fr-CH"/>
        </w:rPr>
        <w:t xml:space="preserve"> des ayants droits des victimes de disparitions forcées</w:t>
      </w:r>
      <w:r w:rsidR="007513FD" w:rsidRPr="007513FD">
        <w:rPr>
          <w:lang w:val="fr-CH"/>
        </w:rPr>
        <w:t xml:space="preserve"> </w:t>
      </w:r>
      <w:r w:rsidR="007513FD">
        <w:rPr>
          <w:lang w:val="fr-CH"/>
        </w:rPr>
        <w:t xml:space="preserve">et semble considérer que les indemnisations pécuniaires offertes aux familles de victimes de disparition suffisent à remplir leurs obligations. </w:t>
      </w:r>
    </w:p>
    <w:p w14:paraId="19ACCDB0" w14:textId="77777777" w:rsidR="007513FD" w:rsidRDefault="007513FD" w:rsidP="00136E99">
      <w:pPr>
        <w:rPr>
          <w:lang w:val="fr-CH"/>
        </w:rPr>
      </w:pPr>
    </w:p>
    <w:p w14:paraId="13035CA6" w14:textId="1D232FFD" w:rsidR="007513FD" w:rsidRPr="008B7A0E" w:rsidRDefault="007513FD" w:rsidP="008B7A0E">
      <w:pPr>
        <w:pStyle w:val="Question"/>
        <w:tabs>
          <w:tab w:val="left" w:pos="7371"/>
        </w:tabs>
        <w:ind w:right="0"/>
      </w:pPr>
      <w:r w:rsidRPr="008B7A0E">
        <w:t xml:space="preserve">L’État partie impose-t-il toujours aux familles de disparus d’attester la mort du membre de la famille disparu pour obtenir </w:t>
      </w:r>
      <w:r w:rsidR="00AB4E7A" w:rsidRPr="008B7A0E">
        <w:t>une compensation pécuniaire</w:t>
      </w:r>
      <w:r w:rsidRPr="008B7A0E">
        <w:t> ?</w:t>
      </w:r>
    </w:p>
    <w:p w14:paraId="33BBAC6A" w14:textId="2145DE94" w:rsidR="007513FD" w:rsidRPr="006229D8" w:rsidRDefault="008B7A0E" w:rsidP="006229D8">
      <w:pPr>
        <w:pStyle w:val="Question"/>
        <w:tabs>
          <w:tab w:val="left" w:pos="7371"/>
        </w:tabs>
        <w:ind w:right="0"/>
      </w:pPr>
      <w:r w:rsidRPr="006229D8">
        <w:t xml:space="preserve">L’État partie peut-il </w:t>
      </w:r>
      <w:r w:rsidR="006229D8" w:rsidRPr="006229D8">
        <w:t>indiquer</w:t>
      </w:r>
      <w:r w:rsidR="007513FD" w:rsidRPr="006229D8">
        <w:t xml:space="preserve"> en quoi les indemnisations offertes aux familles reflètent de façon adéquate la gravité de la violation et du préjudice subi</w:t>
      </w:r>
      <w:r w:rsidRPr="006229D8">
        <w:t> ?</w:t>
      </w:r>
    </w:p>
    <w:p w14:paraId="157F8AB5" w14:textId="423BDB15" w:rsidR="00EF03B6" w:rsidRDefault="008B7A0E" w:rsidP="00C12C3C">
      <w:r>
        <w:rPr>
          <w:lang w:val="fr-CH"/>
        </w:rPr>
        <w:t>Enfin, l</w:t>
      </w:r>
      <w:r w:rsidR="007513FD">
        <w:rPr>
          <w:lang w:val="fr-CH"/>
        </w:rPr>
        <w:t>’</w:t>
      </w:r>
      <w:r w:rsidRPr="008B7A0E">
        <w:t>État</w:t>
      </w:r>
      <w:r>
        <w:rPr>
          <w:lang w:val="fr-CH"/>
        </w:rPr>
        <w:t xml:space="preserve"> </w:t>
      </w:r>
      <w:r w:rsidR="007513FD">
        <w:rPr>
          <w:lang w:val="fr-CH"/>
        </w:rPr>
        <w:t xml:space="preserve">partie n’apporte aucune information sur les mesures </w:t>
      </w:r>
      <w:r w:rsidR="00136E99">
        <w:rPr>
          <w:lang w:val="fr-CH"/>
        </w:rPr>
        <w:t>prise</w:t>
      </w:r>
      <w:r w:rsidR="00AB4E7A">
        <w:rPr>
          <w:lang w:val="fr-CH"/>
        </w:rPr>
        <w:t>s</w:t>
      </w:r>
      <w:r w:rsidR="00136E99">
        <w:rPr>
          <w:lang w:val="fr-CH"/>
        </w:rPr>
        <w:t xml:space="preserve"> pour permettre </w:t>
      </w:r>
      <w:r w:rsidR="007513FD">
        <w:rPr>
          <w:lang w:val="fr-CH"/>
        </w:rPr>
        <w:t xml:space="preserve">aux familles de </w:t>
      </w:r>
      <w:r w:rsidR="007513FD" w:rsidRPr="006229D8">
        <w:rPr>
          <w:lang w:val="fr-CH"/>
        </w:rPr>
        <w:t xml:space="preserve">disparus </w:t>
      </w:r>
      <w:r w:rsidR="00136E99" w:rsidRPr="006229D8">
        <w:rPr>
          <w:lang w:val="fr-CH"/>
        </w:rPr>
        <w:t>de savoir</w:t>
      </w:r>
      <w:r w:rsidR="00EF03B6" w:rsidRPr="006229D8">
        <w:t xml:space="preserve"> la vérité sur </w:t>
      </w:r>
      <w:r w:rsidR="00136E99" w:rsidRPr="006229D8">
        <w:t>le sort de leurs proches</w:t>
      </w:r>
      <w:r w:rsidR="00EF03B6" w:rsidRPr="006229D8">
        <w:t>.</w:t>
      </w:r>
      <w:r w:rsidR="00EF03B6" w:rsidRPr="00BC4C9B">
        <w:t xml:space="preserve"> </w:t>
      </w:r>
    </w:p>
    <w:p w14:paraId="58F90F27" w14:textId="77777777" w:rsidR="00EF03B6" w:rsidRDefault="00EF03B6" w:rsidP="00EF03B6"/>
    <w:p w14:paraId="2673F197" w14:textId="315C8012" w:rsidR="00EF03B6" w:rsidRPr="007513FD" w:rsidRDefault="006229D8" w:rsidP="006229D8">
      <w:pPr>
        <w:pStyle w:val="Question"/>
        <w:ind w:right="0"/>
      </w:pPr>
      <w:r w:rsidRPr="008B7A0E">
        <w:t xml:space="preserve">L’État partie </w:t>
      </w:r>
      <w:r>
        <w:t>peut-il</w:t>
      </w:r>
      <w:r w:rsidR="00EF03B6">
        <w:t xml:space="preserve"> indiquer les mesures prises pour donner accès aux familles de victimes </w:t>
      </w:r>
      <w:r w:rsidR="00AB4E7A">
        <w:t>disparitions forcées sur les causes et circonstances des disparitions et plus généralement sur leur</w:t>
      </w:r>
      <w:r>
        <w:t>s sorts ?</w:t>
      </w:r>
    </w:p>
    <w:p w14:paraId="4907FC15" w14:textId="77777777" w:rsidR="00EF03B6" w:rsidRPr="00BC4C9B" w:rsidRDefault="00EF03B6" w:rsidP="00EF03B6">
      <w:pPr>
        <w:pStyle w:val="Heading3"/>
        <w:rPr>
          <w:lang w:val="fr-CH"/>
        </w:rPr>
      </w:pPr>
      <w:bookmarkStart w:id="15" w:name="_Toc488662971"/>
      <w:r w:rsidRPr="00BC4C9B">
        <w:rPr>
          <w:lang w:val="fr-CH"/>
        </w:rPr>
        <w:t>Absence de coopération de bonne foi avec le Comité et représailles</w:t>
      </w:r>
      <w:bookmarkEnd w:id="15"/>
    </w:p>
    <w:p w14:paraId="525E7D61" w14:textId="77777777" w:rsidR="00EF03B6" w:rsidRPr="00BC4C9B" w:rsidRDefault="00EF03B6" w:rsidP="00EF03B6">
      <w:pPr>
        <w:rPr>
          <w:lang w:val="fr-CH" w:eastAsia="fr-FR"/>
        </w:rPr>
      </w:pPr>
    </w:p>
    <w:p w14:paraId="76834A4B" w14:textId="0D5085B4" w:rsidR="00EF03B6" w:rsidRDefault="00AB4E7A" w:rsidP="00C12C3C">
      <w:pPr>
        <w:rPr>
          <w:lang w:val="fr-CH"/>
        </w:rPr>
      </w:pPr>
      <w:r>
        <w:rPr>
          <w:lang w:val="fr-CH"/>
        </w:rPr>
        <w:t>J</w:t>
      </w:r>
      <w:r w:rsidR="00EF03B6" w:rsidRPr="00BC4C9B">
        <w:rPr>
          <w:lang w:val="fr-CH"/>
        </w:rPr>
        <w:t xml:space="preserve">usqu’à présent l’État partie se contente de soumettre </w:t>
      </w:r>
      <w:r w:rsidR="006229D8">
        <w:rPr>
          <w:lang w:val="fr-CH"/>
        </w:rPr>
        <w:t>comme</w:t>
      </w:r>
      <w:r w:rsidR="00EF03B6" w:rsidRPr="00BC4C9B">
        <w:rPr>
          <w:lang w:val="fr-CH"/>
        </w:rPr>
        <w:t xml:space="preserve"> réponse aux allégations de violations graves des droits de l’homme commises par les forces étatiques, un </w:t>
      </w:r>
      <w:r>
        <w:rPr>
          <w:lang w:val="fr-CH"/>
        </w:rPr>
        <w:t>document général type intitulé « </w:t>
      </w:r>
      <w:r w:rsidR="00EF03B6">
        <w:rPr>
          <w:lang w:val="fr-CH"/>
        </w:rPr>
        <w:t>aide-mémoire</w:t>
      </w:r>
      <w:r>
        <w:rPr>
          <w:lang w:val="fr-CH"/>
        </w:rPr>
        <w:t> »</w:t>
      </w:r>
      <w:r w:rsidR="00EF03B6" w:rsidRPr="00BC4C9B">
        <w:rPr>
          <w:lang w:val="fr-CH"/>
        </w:rPr>
        <w:t xml:space="preserve"> </w:t>
      </w:r>
      <w:r>
        <w:rPr>
          <w:lang w:val="fr-CH"/>
        </w:rPr>
        <w:t>en s’abstenant de répondre aux allégations soumises au Comité</w:t>
      </w:r>
      <w:r w:rsidR="007513FD">
        <w:rPr>
          <w:lang w:val="fr-CH"/>
        </w:rPr>
        <w:t>,</w:t>
      </w:r>
      <w:r w:rsidR="00EF03B6" w:rsidRPr="00BC4C9B">
        <w:rPr>
          <w:lang w:val="fr-CH"/>
        </w:rPr>
        <w:t xml:space="preserve"> malgré les demandes répétées</w:t>
      </w:r>
      <w:r>
        <w:rPr>
          <w:lang w:val="fr-CH"/>
        </w:rPr>
        <w:t xml:space="preserve"> du Comité de cesser cette pratique</w:t>
      </w:r>
      <w:r w:rsidR="00EF03B6" w:rsidRPr="00BC4C9B">
        <w:rPr>
          <w:lang w:val="fr-CH"/>
        </w:rPr>
        <w:t>.</w:t>
      </w:r>
    </w:p>
    <w:p w14:paraId="78860D02" w14:textId="77777777" w:rsidR="006229D8" w:rsidRPr="00BC4C9B" w:rsidRDefault="006229D8" w:rsidP="00AB4E7A">
      <w:pPr>
        <w:rPr>
          <w:lang w:val="fr-CH"/>
        </w:rPr>
      </w:pPr>
    </w:p>
    <w:p w14:paraId="3A7DE9DF" w14:textId="67842B77" w:rsidR="00EF03B6" w:rsidRPr="00BC4C9B" w:rsidRDefault="006229D8" w:rsidP="006229D8">
      <w:pPr>
        <w:pStyle w:val="Question"/>
        <w:ind w:right="0"/>
      </w:pPr>
      <w:r w:rsidRPr="008B7A0E">
        <w:t xml:space="preserve">L’État partie </w:t>
      </w:r>
      <w:r>
        <w:t>peut-il p</w:t>
      </w:r>
      <w:r w:rsidR="007513FD">
        <w:t xml:space="preserve">réciser les mesures prises pour </w:t>
      </w:r>
      <w:r w:rsidRPr="00BC4C9B">
        <w:t>répondre au</w:t>
      </w:r>
      <w:r>
        <w:t>x allégations soumises par les</w:t>
      </w:r>
      <w:r w:rsidRPr="00BC4C9B">
        <w:t xml:space="preserve"> auteurs </w:t>
      </w:r>
      <w:r>
        <w:t xml:space="preserve">de communications et </w:t>
      </w:r>
      <w:r w:rsidR="007513FD">
        <w:t>cesser d’</w:t>
      </w:r>
      <w:r>
        <w:t>y opposer</w:t>
      </w:r>
      <w:r w:rsidR="00D56307">
        <w:t xml:space="preserve"> l’ « aide-mémoire »</w:t>
      </w:r>
      <w:r>
        <w:t> ?</w:t>
      </w:r>
    </w:p>
    <w:p w14:paraId="0B81F279" w14:textId="6EC8A7EC" w:rsidR="00EF03B6" w:rsidRPr="00BC4C9B" w:rsidRDefault="006229D8" w:rsidP="006229D8">
      <w:pPr>
        <w:pStyle w:val="Question"/>
        <w:ind w:right="0"/>
      </w:pPr>
      <w:r w:rsidRPr="008B7A0E">
        <w:t xml:space="preserve">L’État partie </w:t>
      </w:r>
      <w:r>
        <w:t>peut-il d</w:t>
      </w:r>
      <w:r w:rsidR="00AB4E7A">
        <w:t xml:space="preserve">étailler les mesures prises pour mettre en œuvre </w:t>
      </w:r>
      <w:r w:rsidR="00EF03B6" w:rsidRPr="00BC4C9B">
        <w:t>les constatations finales adoptées dans le cadre de c</w:t>
      </w:r>
      <w:r w:rsidR="00AB4E7A">
        <w:t>ommunications individuelles</w:t>
      </w:r>
      <w:r>
        <w:t> ?</w:t>
      </w:r>
    </w:p>
    <w:p w14:paraId="133FB2FF" w14:textId="4EC624AA" w:rsidR="00EF03B6" w:rsidRPr="00BC4C9B" w:rsidRDefault="00EF03B6" w:rsidP="00D56307">
      <w:pPr>
        <w:rPr>
          <w:lang w:val="fr-CH"/>
        </w:rPr>
      </w:pPr>
      <w:r w:rsidRPr="00BC4C9B">
        <w:rPr>
          <w:lang w:val="fr-CH"/>
        </w:rPr>
        <w:t>De plus, alors que ses obligations internationales sous le paragraphe 3 de l’article 2 lui imposent de protéger et de soutenir les victimes et témoins de violations des droits de l’homme</w:t>
      </w:r>
      <w:r w:rsidRPr="00BC4C9B">
        <w:rPr>
          <w:rStyle w:val="FootnoteReference"/>
          <w:lang w:val="fr-CH"/>
        </w:rPr>
        <w:footnoteReference w:id="31"/>
      </w:r>
      <w:r w:rsidRPr="00BC4C9B">
        <w:rPr>
          <w:lang w:val="fr-CH"/>
        </w:rPr>
        <w:t xml:space="preserve">, l’État partie semble au contraire </w:t>
      </w:r>
      <w:r w:rsidR="00D56307">
        <w:rPr>
          <w:lang w:val="fr-CH"/>
        </w:rPr>
        <w:t>recourir</w:t>
      </w:r>
      <w:r w:rsidRPr="00BC4C9B">
        <w:rPr>
          <w:lang w:val="fr-CH"/>
        </w:rPr>
        <w:t xml:space="preserve"> à des représailles contre </w:t>
      </w:r>
      <w:r w:rsidR="00D56307">
        <w:rPr>
          <w:lang w:val="fr-CH"/>
        </w:rPr>
        <w:t>certains</w:t>
      </w:r>
      <w:r w:rsidRPr="00BC4C9B">
        <w:rPr>
          <w:lang w:val="fr-CH"/>
        </w:rPr>
        <w:t xml:space="preserve"> auteurs de communications au Comité</w:t>
      </w:r>
      <w:r w:rsidRPr="00BC4C9B">
        <w:rPr>
          <w:lang w:val="fr-CH" w:eastAsia="fr-FR"/>
        </w:rPr>
        <w:t xml:space="preserve">. </w:t>
      </w:r>
    </w:p>
    <w:p w14:paraId="0DC2AC78" w14:textId="77777777" w:rsidR="00EF03B6" w:rsidRPr="00BC4C9B" w:rsidRDefault="00EF03B6" w:rsidP="00EF03B6">
      <w:pPr>
        <w:rPr>
          <w:lang w:val="fr-CH" w:eastAsia="fr-FR"/>
        </w:rPr>
      </w:pPr>
    </w:p>
    <w:p w14:paraId="005F242E" w14:textId="37F3F5AF" w:rsidR="00EF03B6" w:rsidRPr="00B1389F" w:rsidRDefault="00EF03B6" w:rsidP="006229D8">
      <w:pPr>
        <w:pStyle w:val="CASES"/>
        <w:ind w:left="0"/>
        <w:rPr>
          <w:rFonts w:ascii="CIDFont+F3" w:hAnsi="CIDFont+F3" w:cs="CIDFont+F3"/>
          <w:sz w:val="21"/>
          <w:szCs w:val="21"/>
          <w:lang w:eastAsia="fr-CH"/>
        </w:rPr>
      </w:pPr>
      <w:r w:rsidRPr="00BC4C9B">
        <w:rPr>
          <w:b/>
          <w:bCs/>
        </w:rPr>
        <w:t>M. Rafik Belamrania</w:t>
      </w:r>
      <w:r w:rsidRPr="00BC4C9B">
        <w:t>, a</w:t>
      </w:r>
      <w:r w:rsidRPr="00BC4C9B">
        <w:rPr>
          <w:lang w:eastAsia="en-US"/>
        </w:rPr>
        <w:t xml:space="preserve">uteur de la communication No. 2157/2012, concernant son père victime d’exécution extra-judiciaire, </w:t>
      </w:r>
      <w:r w:rsidR="00AB4E7A">
        <w:rPr>
          <w:lang w:eastAsia="en-US"/>
        </w:rPr>
        <w:t xml:space="preserve">a été arrêté et interrogé </w:t>
      </w:r>
      <w:r w:rsidR="00D56307">
        <w:rPr>
          <w:lang w:eastAsia="en-US"/>
        </w:rPr>
        <w:t xml:space="preserve">le 20 février 2017, </w:t>
      </w:r>
      <w:r w:rsidR="00AB4E7A">
        <w:rPr>
          <w:lang w:eastAsia="en-US"/>
        </w:rPr>
        <w:t xml:space="preserve">suite à la transmission par le Comité de ses constations à l’Etat partie. </w:t>
      </w:r>
      <w:r w:rsidRPr="00BC4C9B">
        <w:rPr>
          <w:lang w:eastAsia="en-US"/>
        </w:rPr>
        <w:t>Placé sous mandat de dépôt sous le chef d’inculpation d’ « encouragement au terrorisme »</w:t>
      </w:r>
      <w:r w:rsidR="00D56307">
        <w:rPr>
          <w:lang w:eastAsia="en-US"/>
        </w:rPr>
        <w:t>, il demeure aujourd’hui détenu</w:t>
      </w:r>
      <w:r w:rsidRPr="00AB4E7A">
        <w:rPr>
          <w:lang w:eastAsia="en-US"/>
        </w:rPr>
        <w:t xml:space="preserve"> à la prison de Jijel</w:t>
      </w:r>
      <w:r w:rsidR="00082CF6">
        <w:rPr>
          <w:rStyle w:val="FootnoteReference"/>
          <w:lang w:eastAsia="en-US"/>
        </w:rPr>
        <w:footnoteReference w:id="32"/>
      </w:r>
      <w:r w:rsidRPr="00AB4E7A">
        <w:rPr>
          <w:lang w:eastAsia="en-US"/>
        </w:rPr>
        <w:t>.</w:t>
      </w:r>
    </w:p>
    <w:p w14:paraId="5CFBAF1C" w14:textId="77777777" w:rsidR="00EF03B6" w:rsidRPr="00BC4C9B" w:rsidRDefault="00EF03B6" w:rsidP="00EF03B6">
      <w:pPr>
        <w:pStyle w:val="CASES"/>
        <w:ind w:left="0"/>
      </w:pPr>
    </w:p>
    <w:p w14:paraId="3E799A11" w14:textId="6172901F" w:rsidR="00EF03B6" w:rsidRPr="00BC4C9B" w:rsidRDefault="00EF03B6" w:rsidP="00082CF6">
      <w:pPr>
        <w:pStyle w:val="Question"/>
        <w:ind w:right="0"/>
      </w:pPr>
      <w:r w:rsidRPr="00BC4C9B">
        <w:t xml:space="preserve">Quelles mesures sont envisagées par l’État partie afin d’abandonner les poursuites engagées contre M. Rafik Belamrania et qu’il soit remis immédiatement en liberté ainsi que de lui offrir </w:t>
      </w:r>
      <w:r w:rsidR="00D56307">
        <w:t xml:space="preserve">un droit à </w:t>
      </w:r>
      <w:r w:rsidRPr="00BC4C9B">
        <w:t>réparation ?</w:t>
      </w:r>
    </w:p>
    <w:p w14:paraId="5A185EAF" w14:textId="7BDE6FD7" w:rsidR="00EF03B6" w:rsidRPr="00BC4C9B" w:rsidRDefault="00EF03B6" w:rsidP="00C12C3C">
      <w:pPr>
        <w:pStyle w:val="Question"/>
        <w:tabs>
          <w:tab w:val="left" w:pos="7230"/>
          <w:tab w:val="left" w:pos="7371"/>
          <w:tab w:val="left" w:pos="7655"/>
        </w:tabs>
        <w:ind w:right="0"/>
      </w:pPr>
      <w:r w:rsidRPr="00BC4C9B">
        <w:t>Quelles mesures sont mises en place par l’État partie afin que tout autre aute</w:t>
      </w:r>
      <w:r w:rsidR="00C12C3C">
        <w:t>ur de communication auprès du Co</w:t>
      </w:r>
      <w:r w:rsidRPr="00BC4C9B">
        <w:t>mité ou d’un autre organe de traité des Na</w:t>
      </w:r>
      <w:r w:rsidR="00C12C3C">
        <w:t>tions Unies soit protégé contre</w:t>
      </w:r>
      <w:r w:rsidRPr="00BC4C9B">
        <w:t xml:space="preserve"> toute forme de représailles ?</w:t>
      </w:r>
    </w:p>
    <w:p w14:paraId="0A511420" w14:textId="77777777" w:rsidR="0037031C" w:rsidRPr="00BC4C9B" w:rsidRDefault="0037031C">
      <w:pPr>
        <w:rPr>
          <w:lang w:val="fr-CH"/>
        </w:rPr>
      </w:pPr>
    </w:p>
    <w:p w14:paraId="48C99519" w14:textId="3826ACD5" w:rsidR="00FF695B" w:rsidRPr="00BC4C9B" w:rsidRDefault="00FF695B" w:rsidP="00C12C3C">
      <w:pPr>
        <w:pStyle w:val="Heading1"/>
        <w:rPr>
          <w:lang w:val="fr-CH" w:eastAsia="fr-FR"/>
        </w:rPr>
      </w:pPr>
      <w:bookmarkStart w:id="16" w:name="_Toc488662972"/>
      <w:r w:rsidRPr="00BC4C9B">
        <w:rPr>
          <w:lang w:val="fr-CH" w:eastAsia="fr-FR"/>
        </w:rPr>
        <w:t>État d’urgence et dérogations aux dispositions du Pacte (</w:t>
      </w:r>
      <w:r w:rsidR="00C12C3C">
        <w:rPr>
          <w:lang w:val="fr-CH" w:eastAsia="fr-FR"/>
        </w:rPr>
        <w:t>a</w:t>
      </w:r>
      <w:r w:rsidRPr="00BC4C9B">
        <w:rPr>
          <w:lang w:val="fr-CH" w:eastAsia="fr-FR"/>
        </w:rPr>
        <w:t>rticle 4)</w:t>
      </w:r>
      <w:bookmarkEnd w:id="16"/>
      <w:r w:rsidRPr="00BC4C9B">
        <w:rPr>
          <w:lang w:val="fr-CH" w:eastAsia="fr-FR"/>
        </w:rPr>
        <w:t xml:space="preserve"> </w:t>
      </w:r>
    </w:p>
    <w:p w14:paraId="7869CBFA" w14:textId="77777777" w:rsidR="00FF695B" w:rsidRPr="00BC4C9B" w:rsidRDefault="00FF695B" w:rsidP="00FF695B">
      <w:pPr>
        <w:rPr>
          <w:lang w:val="fr-CH"/>
        </w:rPr>
      </w:pPr>
    </w:p>
    <w:p w14:paraId="0DC3253E" w14:textId="77777777" w:rsidR="00FF695B" w:rsidRPr="00B06FEC" w:rsidRDefault="00FF695B" w:rsidP="00136E99">
      <w:pPr>
        <w:pStyle w:val="Heading2"/>
        <w:numPr>
          <w:ilvl w:val="1"/>
          <w:numId w:val="2"/>
        </w:numPr>
      </w:pPr>
      <w:bookmarkStart w:id="17" w:name="_Toc488662973"/>
      <w:r w:rsidRPr="00B06FEC">
        <w:t xml:space="preserve">Absence d’enquête sur les violations des normes de </w:t>
      </w:r>
      <w:r w:rsidRPr="00B06FEC">
        <w:rPr>
          <w:i/>
        </w:rPr>
        <w:t>jus cogens</w:t>
      </w:r>
      <w:bookmarkEnd w:id="17"/>
      <w:r w:rsidRPr="00B06FEC">
        <w:t xml:space="preserve"> </w:t>
      </w:r>
    </w:p>
    <w:p w14:paraId="127872E6" w14:textId="77777777" w:rsidR="00FF695B" w:rsidRPr="00B06FEC" w:rsidRDefault="00FF695B" w:rsidP="00FF695B">
      <w:pPr>
        <w:rPr>
          <w:lang w:val="fr-CH" w:eastAsia="en-GB"/>
        </w:rPr>
      </w:pPr>
    </w:p>
    <w:p w14:paraId="31DC9DF3" w14:textId="131D2F47" w:rsidR="00FF695B" w:rsidRPr="00B06FEC" w:rsidRDefault="00FF695B" w:rsidP="00D56307">
      <w:pPr>
        <w:rPr>
          <w:lang w:val="fr-CH" w:eastAsia="en-GB"/>
        </w:rPr>
      </w:pPr>
      <w:r w:rsidRPr="00B06FEC">
        <w:rPr>
          <w:lang w:val="fr-CH" w:eastAsia="en-GB"/>
        </w:rPr>
        <w:t xml:space="preserve">Alkarama relève que dans ses soumissions au Comité dans le cadre des communications individuelles et des examens périodiques, l’État partie semble vouloir </w:t>
      </w:r>
      <w:r w:rsidR="00D56307">
        <w:rPr>
          <w:lang w:val="fr-CH" w:eastAsia="en-GB"/>
        </w:rPr>
        <w:t>justifier</w:t>
      </w:r>
      <w:r w:rsidRPr="00B06FEC">
        <w:rPr>
          <w:lang w:val="fr-CH" w:eastAsia="en-GB"/>
        </w:rPr>
        <w:t xml:space="preserve"> la commission de violations graves du dro</w:t>
      </w:r>
      <w:r w:rsidR="00D56307">
        <w:rPr>
          <w:lang w:val="fr-CH" w:eastAsia="en-GB"/>
        </w:rPr>
        <w:t xml:space="preserve">it international et l’absence d’enquête et de poursuites de leurs auteurs </w:t>
      </w:r>
      <w:r w:rsidRPr="00B06FEC">
        <w:rPr>
          <w:lang w:val="fr-CH" w:eastAsia="en-GB"/>
        </w:rPr>
        <w:t>par « </w:t>
      </w:r>
      <w:r w:rsidRPr="00B06FEC">
        <w:t xml:space="preserve">le contexte de la criminalité terroriste » </w:t>
      </w:r>
      <w:r w:rsidRPr="00B06FEC">
        <w:rPr>
          <w:lang w:val="fr-CH" w:eastAsia="en-GB"/>
        </w:rPr>
        <w:t>connu par le pays durant la période où ces violation</w:t>
      </w:r>
      <w:r w:rsidR="00D56307">
        <w:rPr>
          <w:lang w:val="fr-CH" w:eastAsia="en-GB"/>
        </w:rPr>
        <w:t>s</w:t>
      </w:r>
      <w:r w:rsidRPr="00B06FEC">
        <w:rPr>
          <w:lang w:val="fr-CH" w:eastAsia="en-GB"/>
        </w:rPr>
        <w:t xml:space="preserve"> ont été commises</w:t>
      </w:r>
      <w:r w:rsidRPr="00B06FEC">
        <w:rPr>
          <w:rStyle w:val="FootnoteReference"/>
          <w:lang w:val="fr-CH" w:eastAsia="en-GB"/>
        </w:rPr>
        <w:footnoteReference w:id="33"/>
      </w:r>
      <w:r w:rsidRPr="00B06FEC">
        <w:rPr>
          <w:lang w:val="fr-CH" w:eastAsia="en-GB"/>
        </w:rPr>
        <w:t xml:space="preserve">.  </w:t>
      </w:r>
    </w:p>
    <w:p w14:paraId="77A4362F" w14:textId="77777777" w:rsidR="00FF695B" w:rsidRDefault="00FF695B" w:rsidP="00FF695B">
      <w:pPr>
        <w:rPr>
          <w:highlight w:val="lightGray"/>
          <w:lang w:val="fr-CH" w:eastAsia="en-GB"/>
        </w:rPr>
      </w:pPr>
    </w:p>
    <w:p w14:paraId="091DC7A4" w14:textId="6F56BA4D" w:rsidR="00FF695B" w:rsidRPr="00997A36" w:rsidRDefault="00997A36" w:rsidP="00997A36">
      <w:pPr>
        <w:pStyle w:val="Question"/>
        <w:ind w:right="0"/>
      </w:pPr>
      <w:r w:rsidRPr="00997A36">
        <w:t>Quelles</w:t>
      </w:r>
      <w:r w:rsidR="00FF695B" w:rsidRPr="00997A36">
        <w:t xml:space="preserve"> mesures </w:t>
      </w:r>
      <w:r w:rsidRPr="00997A36">
        <w:t xml:space="preserve">ont été </w:t>
      </w:r>
      <w:r w:rsidR="00FF695B" w:rsidRPr="00997A36">
        <w:t xml:space="preserve">prises pour s’assurer que les violations </w:t>
      </w:r>
      <w:r w:rsidR="00D56307" w:rsidRPr="00997A36">
        <w:t>graves</w:t>
      </w:r>
      <w:r w:rsidR="00FF695B" w:rsidRPr="00997A36">
        <w:t xml:space="preserve"> fasse</w:t>
      </w:r>
      <w:r w:rsidR="00D56307" w:rsidRPr="00997A36">
        <w:t>nt l’objet d’enquête</w:t>
      </w:r>
      <w:r w:rsidR="00FF695B" w:rsidRPr="00997A36">
        <w:t>s</w:t>
      </w:r>
      <w:r w:rsidR="00D56307" w:rsidRPr="00997A36">
        <w:t xml:space="preserve">, que leurs auteurs soient </w:t>
      </w:r>
      <w:r w:rsidR="00FF695B" w:rsidRPr="00997A36">
        <w:t>poursui</w:t>
      </w:r>
      <w:r w:rsidR="00D56307" w:rsidRPr="00997A36">
        <w:t>vis, q</w:t>
      </w:r>
      <w:r w:rsidR="00FF695B" w:rsidRPr="00997A36">
        <w:t>uelles qu’aient été les circonstances de leurs commission</w:t>
      </w:r>
      <w:r w:rsidRPr="00997A36">
        <w:t> ?</w:t>
      </w:r>
    </w:p>
    <w:p w14:paraId="568092F4" w14:textId="77777777" w:rsidR="00FF695B" w:rsidRPr="00BC4C9B" w:rsidRDefault="00FF695B" w:rsidP="00FF695B">
      <w:pPr>
        <w:pStyle w:val="Heading2"/>
      </w:pPr>
      <w:bookmarkStart w:id="18" w:name="_Toc488662974"/>
      <w:r w:rsidRPr="00BC4C9B">
        <w:t>Cadre légal de la lutte anti-terroriste</w:t>
      </w:r>
      <w:bookmarkEnd w:id="18"/>
      <w:r w:rsidRPr="00BC4C9B">
        <w:t xml:space="preserve"> </w:t>
      </w:r>
    </w:p>
    <w:p w14:paraId="1D927335" w14:textId="77777777" w:rsidR="00FF695B" w:rsidRPr="00BC4C9B" w:rsidRDefault="00FF695B" w:rsidP="00FF695B">
      <w:pPr>
        <w:rPr>
          <w:lang w:val="fr-CH"/>
        </w:rPr>
      </w:pPr>
    </w:p>
    <w:p w14:paraId="165A868F" w14:textId="6358FC98" w:rsidR="00FF695B" w:rsidRPr="00BC4C9B" w:rsidRDefault="00FF695B" w:rsidP="0092154D">
      <w:pPr>
        <w:rPr>
          <w:lang w:val="fr-CH"/>
        </w:rPr>
      </w:pPr>
      <w:r w:rsidRPr="00BC4C9B">
        <w:rPr>
          <w:lang w:val="fr-CH"/>
        </w:rPr>
        <w:t>La définition du terrorisme en droit inte</w:t>
      </w:r>
      <w:r w:rsidR="0092154D">
        <w:rPr>
          <w:lang w:val="fr-CH"/>
        </w:rPr>
        <w:t>rne demeure problématique en ce qu’elle est trop générale</w:t>
      </w:r>
      <w:r w:rsidRPr="00BC4C9B">
        <w:rPr>
          <w:lang w:val="fr-CH"/>
        </w:rPr>
        <w:t xml:space="preserve">. L’article 87 </w:t>
      </w:r>
      <w:r w:rsidRPr="00BC4C9B">
        <w:rPr>
          <w:i/>
          <w:iCs/>
          <w:lang w:val="fr-CH"/>
        </w:rPr>
        <w:t>bis</w:t>
      </w:r>
      <w:r w:rsidRPr="00BC4C9B">
        <w:rPr>
          <w:lang w:val="fr-CH"/>
        </w:rPr>
        <w:t xml:space="preserve"> du CP modifié par la loi n° 14-01 du 4 février 2014 criminalise</w:t>
      </w:r>
      <w:r w:rsidR="0092154D">
        <w:rPr>
          <w:lang w:val="fr-CH"/>
        </w:rPr>
        <w:t xml:space="preserve"> en effet</w:t>
      </w:r>
      <w:r w:rsidRPr="00BC4C9B">
        <w:rPr>
          <w:lang w:val="fr-CH"/>
        </w:rPr>
        <w:t xml:space="preserve"> des actes relevant de la liberté d’opinion, d’expression et de rassemblement pacifique et associe aux actes « terroristes » les actes dits « subversifs »</w:t>
      </w:r>
      <w:r w:rsidRPr="00BC4C9B">
        <w:rPr>
          <w:vertAlign w:val="superscript"/>
          <w:lang w:val="fr-CH"/>
        </w:rPr>
        <w:footnoteReference w:id="34"/>
      </w:r>
      <w:r w:rsidRPr="00BC4C9B">
        <w:rPr>
          <w:lang w:val="fr-CH"/>
        </w:rPr>
        <w:t>.</w:t>
      </w:r>
    </w:p>
    <w:p w14:paraId="29E8C84F" w14:textId="77777777" w:rsidR="00FF695B" w:rsidRPr="00BC4C9B" w:rsidRDefault="00FF695B" w:rsidP="00FF695B">
      <w:pPr>
        <w:rPr>
          <w:lang w:val="fr-CH"/>
        </w:rPr>
      </w:pPr>
    </w:p>
    <w:p w14:paraId="6259468E" w14:textId="6CC07BE7" w:rsidR="00FF695B" w:rsidRPr="00BC4C9B" w:rsidRDefault="00FF695B" w:rsidP="00997A36">
      <w:pPr>
        <w:rPr>
          <w:lang w:val="fr-CH"/>
        </w:rPr>
      </w:pPr>
      <w:r w:rsidRPr="00BC4C9B">
        <w:rPr>
          <w:lang w:val="fr-CH"/>
        </w:rPr>
        <w:t xml:space="preserve">De plus, les règles applicables au traitement des personnes suspectées de terrorisme sont contraires aux dispositions impératives du Pacte, y compris l’article 9, 10 et 14 et 2 </w:t>
      </w:r>
      <w:r w:rsidR="00997A36">
        <w:rPr>
          <w:lang w:val="fr-CH"/>
        </w:rPr>
        <w:t>§</w:t>
      </w:r>
      <w:r w:rsidRPr="00BC4C9B">
        <w:rPr>
          <w:lang w:val="fr-CH"/>
        </w:rPr>
        <w:t xml:space="preserve"> 3. </w:t>
      </w:r>
    </w:p>
    <w:p w14:paraId="15F496D9" w14:textId="77777777" w:rsidR="00FF695B" w:rsidRPr="00BC4C9B" w:rsidRDefault="00FF695B" w:rsidP="00FF695B">
      <w:pPr>
        <w:rPr>
          <w:lang w:val="fr-CH"/>
        </w:rPr>
      </w:pPr>
    </w:p>
    <w:p w14:paraId="634BAD77" w14:textId="77777777" w:rsidR="00FF695B" w:rsidRPr="00BC4C9B" w:rsidRDefault="00FF695B" w:rsidP="00997A36">
      <w:pPr>
        <w:pStyle w:val="Question"/>
        <w:ind w:right="0"/>
      </w:pPr>
      <w:r w:rsidRPr="00BC4C9B">
        <w:t>L’État partie prévoit-il une révision de la définition du terrorisme de manière à la rendre conforme aux standards applicables du droit international ?</w:t>
      </w:r>
    </w:p>
    <w:p w14:paraId="694A95A1" w14:textId="07495FA9" w:rsidR="00FF695B" w:rsidRPr="00BC4C9B" w:rsidRDefault="00FF695B" w:rsidP="00997A36">
      <w:pPr>
        <w:pStyle w:val="Question"/>
        <w:ind w:right="0"/>
      </w:pPr>
      <w:r w:rsidRPr="00BC4C9B">
        <w:t xml:space="preserve">Quelles mesures sont envisagées pour </w:t>
      </w:r>
      <w:r w:rsidR="0092154D">
        <w:t xml:space="preserve">garantir </w:t>
      </w:r>
      <w:r w:rsidRPr="00BC4C9B">
        <w:t xml:space="preserve">aux personnes suspectées d’actes de terrorisme </w:t>
      </w:r>
      <w:r w:rsidR="0092154D">
        <w:t>le respect des normes</w:t>
      </w:r>
      <w:r w:rsidRPr="00BC4C9B">
        <w:t xml:space="preserve"> impératives du Pacte ? </w:t>
      </w:r>
    </w:p>
    <w:p w14:paraId="5F058B37" w14:textId="205BC6FD" w:rsidR="00FF695B" w:rsidRPr="007A4E03" w:rsidRDefault="00FF695B" w:rsidP="00997A36">
      <w:pPr>
        <w:pStyle w:val="Question"/>
        <w:ind w:right="0"/>
      </w:pPr>
      <w:r w:rsidRPr="00BC4C9B">
        <w:t xml:space="preserve">L’État partie peut-il détailler les mesures prises pour s’assurer que toutes les limitations aux droits protégés par le pacte </w:t>
      </w:r>
      <w:r w:rsidR="007A4E03">
        <w:t>respectent les conditions de nécessité</w:t>
      </w:r>
      <w:r w:rsidRPr="00BC4C9B">
        <w:t xml:space="preserve">, </w:t>
      </w:r>
      <w:r w:rsidR="007A4E03">
        <w:t>de proportionnalité et de non-discrimination</w:t>
      </w:r>
      <w:r w:rsidRPr="00BC4C9B">
        <w:t> ?</w:t>
      </w:r>
    </w:p>
    <w:p w14:paraId="1AC04389" w14:textId="77777777" w:rsidR="00F769E7" w:rsidRPr="00BC4C9B" w:rsidRDefault="00F769E7">
      <w:pPr>
        <w:rPr>
          <w:lang w:val="fr-CH"/>
        </w:rPr>
      </w:pPr>
    </w:p>
    <w:p w14:paraId="58B0FDC4" w14:textId="77777777" w:rsidR="00FF695B" w:rsidRPr="00BC4C9B" w:rsidRDefault="00FF695B" w:rsidP="00FF695B">
      <w:pPr>
        <w:pStyle w:val="Heading1"/>
        <w:rPr>
          <w:lang w:val="fr-CH"/>
        </w:rPr>
      </w:pPr>
      <w:bookmarkStart w:id="19" w:name="_Toc488662975"/>
      <w:r w:rsidRPr="00BC4C9B">
        <w:rPr>
          <w:lang w:val="fr-CH"/>
        </w:rPr>
        <w:t>Droit à la vie, interdiction de la torture et des traitements cruels, inhumains ou dégradants et traitement des prisonniers (articles 6, 7 et 10)</w:t>
      </w:r>
      <w:bookmarkEnd w:id="19"/>
    </w:p>
    <w:p w14:paraId="190439B9" w14:textId="77777777" w:rsidR="00FF695B" w:rsidRPr="00BC4C9B" w:rsidRDefault="00FF695B" w:rsidP="00FF695B">
      <w:pPr>
        <w:rPr>
          <w:lang w:val="fr-CH"/>
        </w:rPr>
      </w:pPr>
    </w:p>
    <w:p w14:paraId="522728CD" w14:textId="77777777" w:rsidR="00FF695B" w:rsidRPr="00BC4C9B" w:rsidRDefault="00FF695B" w:rsidP="00136E99">
      <w:pPr>
        <w:pStyle w:val="Heading2"/>
        <w:numPr>
          <w:ilvl w:val="1"/>
          <w:numId w:val="8"/>
        </w:numPr>
      </w:pPr>
      <w:bookmarkStart w:id="20" w:name="_Toc488662976"/>
      <w:r w:rsidRPr="00BC4C9B">
        <w:t>Droit à la vie, obligation d’enquête en cas d’exécution extrajudiciaire (article 6)</w:t>
      </w:r>
      <w:bookmarkEnd w:id="20"/>
      <w:r w:rsidRPr="00BC4C9B">
        <w:t xml:space="preserve">  </w:t>
      </w:r>
    </w:p>
    <w:p w14:paraId="43551BF6" w14:textId="77777777" w:rsidR="00FF695B" w:rsidRPr="00BC4C9B" w:rsidRDefault="00FF695B" w:rsidP="00FF695B">
      <w:pPr>
        <w:rPr>
          <w:lang w:val="fr-CH"/>
        </w:rPr>
      </w:pPr>
    </w:p>
    <w:p w14:paraId="331E7DE4" w14:textId="2FA0AFA7" w:rsidR="00FF695B" w:rsidRPr="00BC4C9B" w:rsidRDefault="00FF695B" w:rsidP="00FF695B">
      <w:pPr>
        <w:rPr>
          <w:szCs w:val="20"/>
          <w:lang w:val="fr-CH"/>
        </w:rPr>
      </w:pPr>
      <w:r w:rsidRPr="00BC4C9B">
        <w:rPr>
          <w:szCs w:val="20"/>
          <w:lang w:val="fr-CH"/>
        </w:rPr>
        <w:t xml:space="preserve">L’État partie indique que </w:t>
      </w:r>
      <w:r w:rsidRPr="00BC4C9B">
        <w:rPr>
          <w:lang w:val="fr-CH"/>
        </w:rPr>
        <w:t>depuis septembre 1993, aucune peine de mort n’a été exécutée et qu’elle a été abrogée en ce qui concerne plus d’une dizaine d’infractions</w:t>
      </w:r>
      <w:r w:rsidRPr="00BC4C9B">
        <w:rPr>
          <w:rStyle w:val="FootnoteReference"/>
          <w:lang w:val="fr-CH"/>
        </w:rPr>
        <w:footnoteReference w:id="35"/>
      </w:r>
      <w:r w:rsidRPr="00BC4C9B">
        <w:rPr>
          <w:lang w:val="fr-CH"/>
        </w:rPr>
        <w:t>.</w:t>
      </w:r>
      <w:r w:rsidRPr="00BC4C9B">
        <w:rPr>
          <w:szCs w:val="20"/>
          <w:lang w:val="fr-CH"/>
        </w:rPr>
        <w:t xml:space="preserve"> Toutefois, en dépit du moratoire de fait sur la peine capitale en vigueur depuis 1993, la peine de mort est encore </w:t>
      </w:r>
      <w:r w:rsidR="007A4E03">
        <w:rPr>
          <w:szCs w:val="20"/>
          <w:lang w:val="fr-CH"/>
        </w:rPr>
        <w:t xml:space="preserve">fréquemment </w:t>
      </w:r>
      <w:r w:rsidRPr="00BC4C9B">
        <w:rPr>
          <w:szCs w:val="20"/>
          <w:lang w:val="fr-CH"/>
        </w:rPr>
        <w:t>prononcée notamment en matière de terrorisme.</w:t>
      </w:r>
    </w:p>
    <w:p w14:paraId="33D05F48" w14:textId="77777777" w:rsidR="00FF695B" w:rsidRPr="00BC4C9B" w:rsidRDefault="00FF695B" w:rsidP="00FF695B">
      <w:pPr>
        <w:rPr>
          <w:lang w:val="fr-CH" w:eastAsia="en-GB"/>
        </w:rPr>
      </w:pPr>
    </w:p>
    <w:p w14:paraId="5BE4239F" w14:textId="1F166C0E" w:rsidR="00FF695B" w:rsidRDefault="00FF695B" w:rsidP="00BC6B7A">
      <w:pPr>
        <w:rPr>
          <w:lang w:val="fr-CH" w:eastAsia="en-GB"/>
        </w:rPr>
      </w:pPr>
      <w:r>
        <w:rPr>
          <w:lang w:val="fr-CH" w:eastAsia="en-GB"/>
        </w:rPr>
        <w:t>L</w:t>
      </w:r>
      <w:r w:rsidRPr="00BC4C9B">
        <w:rPr>
          <w:lang w:val="fr-CH" w:eastAsia="en-GB"/>
        </w:rPr>
        <w:t xml:space="preserve">’État partie n’apporte aucun élément concernant les autres aspects de l’article 6 </w:t>
      </w:r>
      <w:r w:rsidR="007A4E03">
        <w:rPr>
          <w:lang w:val="fr-CH" w:eastAsia="en-GB"/>
        </w:rPr>
        <w:t xml:space="preserve">notamment </w:t>
      </w:r>
      <w:r w:rsidRPr="00BC4C9B">
        <w:rPr>
          <w:lang w:val="fr-CH" w:eastAsia="en-GB"/>
        </w:rPr>
        <w:t xml:space="preserve">l’obligation de mener des enquêtes promptes, impartiales et exhaustives sur les cas </w:t>
      </w:r>
      <w:r w:rsidR="007A4E03">
        <w:rPr>
          <w:lang w:val="fr-CH" w:eastAsia="en-GB"/>
        </w:rPr>
        <w:t>d’exécutions extrajudiciaires. Aucun</w:t>
      </w:r>
      <w:r w:rsidRPr="00BC4C9B">
        <w:rPr>
          <w:lang w:val="fr-CH" w:eastAsia="en-GB"/>
        </w:rPr>
        <w:t xml:space="preserve"> cas d’exécution extrajudic</w:t>
      </w:r>
      <w:r w:rsidR="007A4E03">
        <w:rPr>
          <w:lang w:val="fr-CH" w:eastAsia="en-GB"/>
        </w:rPr>
        <w:t>iaire</w:t>
      </w:r>
      <w:r w:rsidRPr="00BC4C9B">
        <w:rPr>
          <w:lang w:val="fr-CH" w:eastAsia="en-GB"/>
        </w:rPr>
        <w:t xml:space="preserve"> commis lors du conflit armé inte</w:t>
      </w:r>
      <w:r w:rsidR="007A4E03">
        <w:rPr>
          <w:lang w:val="fr-CH" w:eastAsia="en-GB"/>
        </w:rPr>
        <w:t>rne n’a fait l’objet d’enquête, en dépit de constatations</w:t>
      </w:r>
      <w:r w:rsidRPr="00BC4C9B">
        <w:rPr>
          <w:lang w:val="fr-CH" w:eastAsia="en-GB"/>
        </w:rPr>
        <w:t xml:space="preserve"> </w:t>
      </w:r>
      <w:r w:rsidR="007A4E03">
        <w:rPr>
          <w:lang w:val="fr-CH" w:eastAsia="en-GB"/>
        </w:rPr>
        <w:t>finales du</w:t>
      </w:r>
      <w:r w:rsidRPr="00BC4C9B">
        <w:rPr>
          <w:lang w:val="fr-CH" w:eastAsia="en-GB"/>
        </w:rPr>
        <w:t xml:space="preserve"> Comité</w:t>
      </w:r>
      <w:r w:rsidR="007A4E03">
        <w:rPr>
          <w:lang w:val="fr-CH" w:eastAsia="en-GB"/>
        </w:rPr>
        <w:t xml:space="preserve"> </w:t>
      </w:r>
      <w:r w:rsidR="00BC6B7A">
        <w:rPr>
          <w:lang w:val="fr-CH" w:eastAsia="en-GB"/>
        </w:rPr>
        <w:t>en ce sens</w:t>
      </w:r>
      <w:r>
        <w:rPr>
          <w:rStyle w:val="FootnoteReference"/>
          <w:szCs w:val="20"/>
          <w:lang w:val="fr-CH"/>
        </w:rPr>
        <w:footnoteReference w:id="36"/>
      </w:r>
      <w:r w:rsidRPr="00BC4C9B">
        <w:rPr>
          <w:szCs w:val="20"/>
          <w:lang w:val="fr-CH"/>
        </w:rPr>
        <w:t>.</w:t>
      </w:r>
      <w:r w:rsidRPr="00BC4C9B">
        <w:rPr>
          <w:lang w:val="fr-CH" w:eastAsia="en-GB"/>
        </w:rPr>
        <w:t xml:space="preserve">  </w:t>
      </w:r>
    </w:p>
    <w:p w14:paraId="2BF7E90D" w14:textId="77777777" w:rsidR="007A4E03" w:rsidRPr="00BC4C9B" w:rsidRDefault="007A4E03" w:rsidP="00FF695B">
      <w:pPr>
        <w:rPr>
          <w:lang w:val="fr-CH" w:eastAsia="en-GB"/>
        </w:rPr>
      </w:pPr>
    </w:p>
    <w:p w14:paraId="02AE3AA2" w14:textId="5B0E2638" w:rsidR="007A4E03" w:rsidRDefault="00BC6B7A" w:rsidP="00BC6B7A">
      <w:pPr>
        <w:pStyle w:val="Question"/>
        <w:ind w:right="0"/>
      </w:pPr>
      <w:r>
        <w:t>L’Etat partie envisage-</w:t>
      </w:r>
      <w:r w:rsidR="007A4E03">
        <w:t xml:space="preserve">t-il de mettre en œuvre les constatations finales du Comité à la suite des communications relatives à des cas d’exécutions extrajudiciaires ? </w:t>
      </w:r>
    </w:p>
    <w:p w14:paraId="0E62E248" w14:textId="6C6D4303" w:rsidR="00FF695B" w:rsidRPr="00BC4C9B" w:rsidRDefault="00FF695B" w:rsidP="00BC6B7A">
      <w:pPr>
        <w:rPr>
          <w:lang w:val="fr-CH" w:eastAsia="en-GB"/>
        </w:rPr>
      </w:pPr>
      <w:r w:rsidRPr="00BC4C9B">
        <w:rPr>
          <w:lang w:val="fr-CH" w:eastAsia="en-GB"/>
        </w:rPr>
        <w:t xml:space="preserve">L’article 6 impose </w:t>
      </w:r>
      <w:r w:rsidR="007A4E03">
        <w:rPr>
          <w:lang w:val="fr-CH" w:eastAsia="en-GB"/>
        </w:rPr>
        <w:t>également</w:t>
      </w:r>
      <w:r w:rsidRPr="00BC4C9B">
        <w:rPr>
          <w:lang w:val="fr-CH" w:eastAsia="en-GB"/>
        </w:rPr>
        <w:t xml:space="preserve"> à l’État de prévenir tout décès de personne se trouvant privée de liberté sous son contrôle</w:t>
      </w:r>
      <w:r w:rsidR="00BC6B7A">
        <w:rPr>
          <w:lang w:val="fr-CH" w:eastAsia="en-GB"/>
        </w:rPr>
        <w:t xml:space="preserve"> et d’ouvrir</w:t>
      </w:r>
      <w:r w:rsidRPr="00BC4C9B">
        <w:rPr>
          <w:lang w:val="fr-CH" w:eastAsia="en-GB"/>
        </w:rPr>
        <w:t xml:space="preserve"> une enquête prompte, indépendante et exhaustive sur tout cas de décès en détention. </w:t>
      </w:r>
    </w:p>
    <w:p w14:paraId="028F904B" w14:textId="77777777" w:rsidR="00FF695B" w:rsidRPr="00BC4C9B" w:rsidRDefault="00FF695B" w:rsidP="00FF695B">
      <w:pPr>
        <w:rPr>
          <w:lang w:val="fr-CH" w:eastAsia="en-GB"/>
        </w:rPr>
      </w:pPr>
    </w:p>
    <w:p w14:paraId="589F4032" w14:textId="04D84128" w:rsidR="00FF695B" w:rsidRPr="00BC4C9B" w:rsidRDefault="00FF695B" w:rsidP="00BC6B7A">
      <w:pPr>
        <w:pStyle w:val="CASES"/>
        <w:ind w:left="0"/>
      </w:pPr>
      <w:r w:rsidRPr="00BC4C9B">
        <w:t xml:space="preserve">Le journaliste algéro-britannique Mohamed </w:t>
      </w:r>
      <w:r w:rsidRPr="00BC4C9B">
        <w:rPr>
          <w:b/>
          <w:bCs/>
        </w:rPr>
        <w:t>Tamalt</w:t>
      </w:r>
      <w:r w:rsidR="00BC6B7A">
        <w:rPr>
          <w:rStyle w:val="FootnoteReference"/>
          <w:b/>
          <w:bCs/>
        </w:rPr>
        <w:footnoteReference w:id="37"/>
      </w:r>
      <w:r w:rsidRPr="00BC4C9B">
        <w:t xml:space="preserve">, âgé de 42 ans, est décédé </w:t>
      </w:r>
      <w:r w:rsidR="00BC6B7A">
        <w:t xml:space="preserve">le </w:t>
      </w:r>
      <w:r w:rsidRPr="00BC4C9B">
        <w:t xml:space="preserve">11 décembre 2016 à Alger </w:t>
      </w:r>
      <w:r w:rsidR="007A4E03">
        <w:t xml:space="preserve">à la suite d’une </w:t>
      </w:r>
      <w:r w:rsidR="00BC6B7A">
        <w:t>grève de la faim et d’</w:t>
      </w:r>
      <w:r w:rsidRPr="00BC4C9B">
        <w:t>un coma de trois mois survenu dans des circon</w:t>
      </w:r>
      <w:r>
        <w:t>stances suspectes</w:t>
      </w:r>
      <w:r w:rsidRPr="00BC4C9B">
        <w:t>.</w:t>
      </w:r>
      <w:r w:rsidR="007A4E03">
        <w:t xml:space="preserve"> S</w:t>
      </w:r>
      <w:r w:rsidRPr="00BC4C9B">
        <w:t>on frère a</w:t>
      </w:r>
      <w:r w:rsidR="007A4E03">
        <w:t>vait</w:t>
      </w:r>
      <w:r w:rsidRPr="00BC4C9B">
        <w:t xml:space="preserve"> dénoncé le fait que </w:t>
      </w:r>
      <w:r w:rsidR="007A4E03">
        <w:t>la victime</w:t>
      </w:r>
      <w:r w:rsidRPr="00BC4C9B">
        <w:t xml:space="preserve"> avait </w:t>
      </w:r>
      <w:r w:rsidR="007A4E03">
        <w:t xml:space="preserve">été battue et </w:t>
      </w:r>
      <w:r w:rsidR="00BC6B7A">
        <w:t xml:space="preserve">que </w:t>
      </w:r>
      <w:r w:rsidR="007A4E03">
        <w:t>ni</w:t>
      </w:r>
      <w:r w:rsidRPr="00BC4C9B">
        <w:t xml:space="preserve"> </w:t>
      </w:r>
      <w:r w:rsidR="007A4E03">
        <w:t>sa famille ni ses</w:t>
      </w:r>
      <w:r w:rsidRPr="00BC4C9B">
        <w:t xml:space="preserve"> avocats n’avaient </w:t>
      </w:r>
      <w:r w:rsidR="007A4E03">
        <w:t xml:space="preserve">été </w:t>
      </w:r>
      <w:r w:rsidRPr="00BC4C9B">
        <w:t xml:space="preserve">autorisés à lui rendre visite </w:t>
      </w:r>
      <w:r w:rsidR="007A4E03">
        <w:t xml:space="preserve">pendant plusieurs mois ou à </w:t>
      </w:r>
      <w:r w:rsidRPr="00BC4C9B">
        <w:t xml:space="preserve">obtenir des informations sur son état de santé, se voyant refuser l’accès à </w:t>
      </w:r>
      <w:r w:rsidR="007A4E03" w:rsidRPr="00BC4C9B">
        <w:t>son dossier</w:t>
      </w:r>
      <w:r w:rsidRPr="00BC4C9B">
        <w:t xml:space="preserve"> médical.</w:t>
      </w:r>
      <w:r w:rsidR="007A4E03">
        <w:t xml:space="preserve"> </w:t>
      </w:r>
      <w:r>
        <w:t xml:space="preserve"> </w:t>
      </w:r>
    </w:p>
    <w:p w14:paraId="706EABC9" w14:textId="77777777" w:rsidR="00FF695B" w:rsidRPr="00BC4C9B" w:rsidRDefault="00FF695B" w:rsidP="00FF695B">
      <w:pPr>
        <w:pStyle w:val="CASES"/>
        <w:ind w:left="0"/>
      </w:pPr>
    </w:p>
    <w:p w14:paraId="60C124E5" w14:textId="6C7CA593" w:rsidR="00FF695B" w:rsidRPr="00BC4C9B" w:rsidRDefault="00FF695B" w:rsidP="00BC6B7A">
      <w:pPr>
        <w:pStyle w:val="Question"/>
        <w:ind w:right="0"/>
      </w:pPr>
      <w:r w:rsidRPr="00BC4C9B">
        <w:t xml:space="preserve">L’État partie peut-il fournir des statistiques sur le nombre de décès en détention et les mesures prises pour enquêter sur ces décès ? Des examens médicaux sont-ils pratiqués sur les détenus </w:t>
      </w:r>
      <w:r w:rsidR="007A4E03">
        <w:t xml:space="preserve">suite à des allégations de </w:t>
      </w:r>
      <w:r w:rsidRPr="00BC4C9B">
        <w:t xml:space="preserve">torture ou de mauvais traitements en cas de décès en </w:t>
      </w:r>
      <w:r w:rsidR="007A4E03" w:rsidRPr="00BC4C9B">
        <w:t xml:space="preserve">détention ? </w:t>
      </w:r>
    </w:p>
    <w:p w14:paraId="69108D74" w14:textId="14A982BC" w:rsidR="00FF695B" w:rsidRPr="009533F2" w:rsidRDefault="00FF695B" w:rsidP="00BC6B7A">
      <w:pPr>
        <w:pStyle w:val="Question"/>
        <w:ind w:right="0"/>
      </w:pPr>
      <w:r w:rsidRPr="00BC4C9B">
        <w:t xml:space="preserve">Quelles mesures ont été prises depuis le décès de Mohamed Tamalt afin </w:t>
      </w:r>
      <w:r w:rsidR="009533F2">
        <w:t>d’ouvrir</w:t>
      </w:r>
      <w:r w:rsidRPr="00BC4C9B">
        <w:t xml:space="preserve"> une enquête prompte, indépendante et exhau</w:t>
      </w:r>
      <w:r w:rsidR="009533F2">
        <w:t xml:space="preserve">stive sur son cas et poursuivre, le cas échéant, </w:t>
      </w:r>
      <w:r w:rsidRPr="00BC4C9B">
        <w:t>les personnes responsables ?</w:t>
      </w:r>
    </w:p>
    <w:p w14:paraId="3B0F8012" w14:textId="77777777" w:rsidR="00FF695B" w:rsidRPr="00BC4C9B" w:rsidRDefault="00FF695B" w:rsidP="00FF695B">
      <w:pPr>
        <w:pStyle w:val="Heading2"/>
      </w:pPr>
      <w:bookmarkStart w:id="21" w:name="_Toc488662977"/>
      <w:r w:rsidRPr="00BC4C9B">
        <w:t>Torture et peines ou traitements cruels, inhumains ou dégradants (article 7)</w:t>
      </w:r>
      <w:bookmarkEnd w:id="21"/>
    </w:p>
    <w:p w14:paraId="46092EE7" w14:textId="77777777" w:rsidR="009533F2" w:rsidRDefault="009533F2" w:rsidP="00FF695B">
      <w:pPr>
        <w:rPr>
          <w:lang w:val="fr-CH" w:eastAsia="x-none"/>
        </w:rPr>
      </w:pPr>
    </w:p>
    <w:p w14:paraId="0D4EECC5" w14:textId="77777777" w:rsidR="00FF695B" w:rsidRPr="00BC6B7A" w:rsidRDefault="00FF695B" w:rsidP="00FF695B">
      <w:pPr>
        <w:rPr>
          <w:rFonts w:cs="Tahoma"/>
          <w:lang w:val="fr-CH"/>
        </w:rPr>
      </w:pPr>
      <w:r w:rsidRPr="00BC6B7A">
        <w:rPr>
          <w:rFonts w:cs="Tahoma"/>
          <w:lang w:val="fr-CH"/>
        </w:rPr>
        <w:t xml:space="preserve">Si le Code Pénal algérien incrimine séparément la torture, il la définit dans son article </w:t>
      </w:r>
      <w:r w:rsidRPr="00BC6B7A">
        <w:rPr>
          <w:rFonts w:cs="Tahoma"/>
          <w:lang w:val="fr-CH" w:eastAsia="fr-CH"/>
        </w:rPr>
        <w:t xml:space="preserve">263 </w:t>
      </w:r>
      <w:r w:rsidRPr="00BC6B7A">
        <w:rPr>
          <w:rFonts w:cs="Tahoma"/>
          <w:i/>
          <w:iCs/>
          <w:lang w:val="fr-CH" w:eastAsia="fr-CH"/>
        </w:rPr>
        <w:t>bis</w:t>
      </w:r>
      <w:r w:rsidRPr="00BC6B7A">
        <w:rPr>
          <w:rFonts w:cs="Tahoma"/>
          <w:lang w:val="fr-CH" w:eastAsia="fr-CH"/>
        </w:rPr>
        <w:t xml:space="preserve"> comme « tout acte par lequel une douleur ou des souffrances aiguës, physiques ou mentales sont intentionnellement infligées à une personne quel qu’en soit le mobile », définition qui demeure incomplète et non-conforme à l’article 1 de la Convention contre la torture à laquelle l’Algérie est partie. </w:t>
      </w:r>
    </w:p>
    <w:p w14:paraId="27DDFA84" w14:textId="77777777" w:rsidR="00FF695B" w:rsidRPr="00BC4C9B" w:rsidRDefault="00FF695B" w:rsidP="00FF695B">
      <w:pPr>
        <w:rPr>
          <w:lang w:val="fr-CH"/>
        </w:rPr>
      </w:pPr>
    </w:p>
    <w:p w14:paraId="09E04F3B" w14:textId="4BAEFF33" w:rsidR="00FF695B" w:rsidRDefault="00FF695B" w:rsidP="007D63CE">
      <w:pPr>
        <w:rPr>
          <w:lang w:val="fr-CH" w:eastAsia="x-none"/>
        </w:rPr>
      </w:pPr>
      <w:r w:rsidRPr="00BC4C9B">
        <w:rPr>
          <w:lang w:val="fr-CH"/>
        </w:rPr>
        <w:t xml:space="preserve">L’observation générale 20 </w:t>
      </w:r>
      <w:r w:rsidR="009533F2">
        <w:rPr>
          <w:lang w:val="fr-CH"/>
        </w:rPr>
        <w:t>pose le principe « </w:t>
      </w:r>
      <w:r w:rsidRPr="00BC4C9B">
        <w:rPr>
          <w:lang w:val="fr-CH"/>
        </w:rPr>
        <w:t>du droit à un recours utile, y compris le droit à une indemnisation et à la réadaptation la plus complète possible</w:t>
      </w:r>
      <w:r w:rsidR="00BC6B7A">
        <w:rPr>
          <w:lang w:val="fr-CH"/>
        </w:rPr>
        <w:t> »</w:t>
      </w:r>
      <w:r w:rsidRPr="00BC4C9B">
        <w:rPr>
          <w:lang w:val="fr-CH"/>
        </w:rPr>
        <w:t>.</w:t>
      </w:r>
      <w:r w:rsidRPr="00BC4C9B">
        <w:rPr>
          <w:lang w:val="fr-CH" w:eastAsia="x-none"/>
        </w:rPr>
        <w:t xml:space="preserve"> </w:t>
      </w:r>
      <w:r w:rsidRPr="00BC4C9B">
        <w:rPr>
          <w:lang w:val="fr-CH"/>
        </w:rPr>
        <w:t xml:space="preserve">Alkarama n’a pas </w:t>
      </w:r>
      <w:r w:rsidR="009533F2" w:rsidRPr="00BC4C9B">
        <w:rPr>
          <w:lang w:val="fr-CH"/>
        </w:rPr>
        <w:t>été informé</w:t>
      </w:r>
      <w:r w:rsidR="007D63CE">
        <w:rPr>
          <w:lang w:val="fr-CH"/>
        </w:rPr>
        <w:t>e</w:t>
      </w:r>
      <w:r w:rsidRPr="00BC4C9B">
        <w:rPr>
          <w:lang w:val="fr-CH"/>
        </w:rPr>
        <w:t xml:space="preserve"> de mesures prises pour donner ou faciliter l’accès à</w:t>
      </w:r>
      <w:r w:rsidRPr="00BC4C9B">
        <w:rPr>
          <w:rFonts w:ascii="CenturyGothic-Identity-H" w:hAnsi="CenturyGothic-Identity-H" w:cs="CenturyGothic-Identity-H"/>
          <w:color w:val="231F20"/>
          <w:sz w:val="24"/>
          <w:szCs w:val="24"/>
          <w:lang w:val="fr-CH" w:eastAsia="en-GB"/>
        </w:rPr>
        <w:t xml:space="preserve"> </w:t>
      </w:r>
      <w:r w:rsidRPr="00BC4C9B">
        <w:rPr>
          <w:lang w:val="fr-CH"/>
        </w:rPr>
        <w:t xml:space="preserve">la réhabilitation et aux compensations pour les victimes </w:t>
      </w:r>
      <w:r w:rsidR="009533F2">
        <w:rPr>
          <w:lang w:val="fr-CH"/>
        </w:rPr>
        <w:t>de torture</w:t>
      </w:r>
      <w:r w:rsidRPr="00BC4C9B">
        <w:rPr>
          <w:lang w:val="fr-CH"/>
        </w:rPr>
        <w:t xml:space="preserve">. </w:t>
      </w:r>
    </w:p>
    <w:p w14:paraId="7D4C4387" w14:textId="77777777" w:rsidR="00FF695B" w:rsidRPr="00E34B88" w:rsidRDefault="00FF695B" w:rsidP="007D63CE">
      <w:pPr>
        <w:rPr>
          <w:lang w:val="fr-CH" w:eastAsia="x-none"/>
        </w:rPr>
      </w:pPr>
    </w:p>
    <w:p w14:paraId="71C77B9D" w14:textId="12AC8E42" w:rsidR="00FF695B" w:rsidRPr="00BC4C9B" w:rsidRDefault="007D63CE" w:rsidP="007D63CE">
      <w:pPr>
        <w:pStyle w:val="Question"/>
        <w:ind w:right="0"/>
      </w:pPr>
      <w:r w:rsidRPr="00BC4C9B">
        <w:t xml:space="preserve">L’État partie peut-il </w:t>
      </w:r>
      <w:r>
        <w:t>f</w:t>
      </w:r>
      <w:r w:rsidR="009533F2">
        <w:t xml:space="preserve">ournir des </w:t>
      </w:r>
      <w:r w:rsidR="00FF695B" w:rsidRPr="00BC4C9B">
        <w:t xml:space="preserve">statistiques quant au nombre de plaintes </w:t>
      </w:r>
      <w:r w:rsidR="009533F2">
        <w:t xml:space="preserve">portées par des victimes de </w:t>
      </w:r>
      <w:r>
        <w:t>torture et mauvais traitements ?</w:t>
      </w:r>
    </w:p>
    <w:p w14:paraId="0CDE33B1" w14:textId="7D9AEF90" w:rsidR="00FF695B" w:rsidRPr="00BC4C9B" w:rsidRDefault="007D63CE" w:rsidP="007D63CE">
      <w:pPr>
        <w:pStyle w:val="Question"/>
        <w:ind w:right="0"/>
      </w:pPr>
      <w:r w:rsidRPr="00BC4C9B">
        <w:t xml:space="preserve">L’État partie peut-il </w:t>
      </w:r>
      <w:r>
        <w:t>apporter des détails concernant</w:t>
      </w:r>
      <w:r w:rsidR="00FF695B" w:rsidRPr="00BC4C9B">
        <w:t xml:space="preserve"> les enquêtes indépendantes menées suite à des allégations de torture et de mauvais traitements à l’encontre</w:t>
      </w:r>
      <w:r>
        <w:t xml:space="preserve"> des personnes détenues ?</w:t>
      </w:r>
    </w:p>
    <w:p w14:paraId="4371D84E" w14:textId="1D54B3D7" w:rsidR="00FF695B" w:rsidRPr="00BC4C9B" w:rsidRDefault="007D63CE" w:rsidP="007D63CE">
      <w:pPr>
        <w:pStyle w:val="Question"/>
        <w:ind w:right="0"/>
      </w:pPr>
      <w:r w:rsidRPr="00BC4C9B">
        <w:t xml:space="preserve">L’État partie peut-il </w:t>
      </w:r>
      <w:r>
        <w:t>f</w:t>
      </w:r>
      <w:r w:rsidR="00FF695B" w:rsidRPr="00BC4C9B">
        <w:t>ournir des exemples de poursuites d’</w:t>
      </w:r>
      <w:r>
        <w:t>agents de l’État pour torture ?</w:t>
      </w:r>
    </w:p>
    <w:p w14:paraId="3F4EB5CA" w14:textId="35C50C7D" w:rsidR="00FF695B" w:rsidRPr="00BC4C9B" w:rsidRDefault="007D63CE" w:rsidP="007D63CE">
      <w:pPr>
        <w:pStyle w:val="Question"/>
        <w:tabs>
          <w:tab w:val="left" w:pos="7513"/>
        </w:tabs>
        <w:ind w:right="0"/>
      </w:pPr>
      <w:r w:rsidRPr="00BC4C9B">
        <w:t xml:space="preserve">L’État partie peut-il </w:t>
      </w:r>
      <w:r>
        <w:t>d</w:t>
      </w:r>
      <w:r w:rsidR="00FF695B" w:rsidRPr="00BC4C9B">
        <w:t>étailler les mesures prises pour donner accès aux victimes de torture à la réhabilitation et aux compensations</w:t>
      </w:r>
      <w:r>
        <w:t> ?</w:t>
      </w:r>
    </w:p>
    <w:p w14:paraId="49A0D728" w14:textId="77777777" w:rsidR="00FF695B" w:rsidRPr="00BC4C9B" w:rsidRDefault="00FF695B" w:rsidP="00FF695B">
      <w:pPr>
        <w:pStyle w:val="Heading2"/>
      </w:pPr>
      <w:bookmarkStart w:id="22" w:name="_Toc488662978"/>
      <w:r w:rsidRPr="00BC4C9B">
        <w:t>Traitement des prisonniers</w:t>
      </w:r>
      <w:bookmarkEnd w:id="22"/>
      <w:r w:rsidRPr="00BC4C9B">
        <w:t xml:space="preserve"> </w:t>
      </w:r>
    </w:p>
    <w:p w14:paraId="3A6AF77E" w14:textId="77777777" w:rsidR="00FF695B" w:rsidRDefault="00FF695B" w:rsidP="00FF695B">
      <w:pPr>
        <w:rPr>
          <w:rFonts w:ascii="Times New Roman" w:eastAsia="Times New Roman" w:hAnsi="Times New Roman" w:cs="Times New Roman"/>
          <w:szCs w:val="20"/>
          <w:lang w:val="fr-CH"/>
        </w:rPr>
      </w:pPr>
    </w:p>
    <w:p w14:paraId="34A56E12" w14:textId="0E86F05C" w:rsidR="00FF695B" w:rsidRPr="00BC4C9B" w:rsidRDefault="00FF695B" w:rsidP="009533F2">
      <w:pPr>
        <w:rPr>
          <w:lang w:val="fr-CH"/>
        </w:rPr>
      </w:pPr>
      <w:r w:rsidRPr="00BC4C9B">
        <w:rPr>
          <w:lang w:val="fr-CH"/>
        </w:rPr>
        <w:t xml:space="preserve">L’État partie indique dans son rapport périodique avoir introduit de nouvelles règles dans son Code de procédure pénale prévoyant des mécanismes pour assurer un traitement humain aux </w:t>
      </w:r>
      <w:r w:rsidR="009533F2">
        <w:rPr>
          <w:lang w:val="fr-CH"/>
        </w:rPr>
        <w:t xml:space="preserve">personnes </w:t>
      </w:r>
      <w:r w:rsidRPr="00BC4C9B">
        <w:rPr>
          <w:lang w:val="fr-CH"/>
        </w:rPr>
        <w:t>gardé</w:t>
      </w:r>
      <w:r w:rsidR="007D63CE">
        <w:rPr>
          <w:lang w:val="fr-CH"/>
        </w:rPr>
        <w:t>e</w:t>
      </w:r>
      <w:r w:rsidRPr="00BC4C9B">
        <w:rPr>
          <w:lang w:val="fr-CH"/>
        </w:rPr>
        <w:t xml:space="preserve">s à vue et précise à ce titre que l’examen médical est obligatoire à l’expiration du délai de garde à vue (art. 51 </w:t>
      </w:r>
      <w:r w:rsidRPr="00BC4C9B">
        <w:rPr>
          <w:i/>
          <w:iCs/>
          <w:lang w:val="fr-CH"/>
        </w:rPr>
        <w:t>bis</w:t>
      </w:r>
      <w:r w:rsidRPr="00BC4C9B">
        <w:rPr>
          <w:lang w:val="fr-CH"/>
        </w:rPr>
        <w:t xml:space="preserve"> 1, alinéa 2 du CPP)</w:t>
      </w:r>
      <w:r w:rsidRPr="00BC4C9B">
        <w:rPr>
          <w:rStyle w:val="FootnoteReference"/>
          <w:lang w:val="fr-CH"/>
        </w:rPr>
        <w:footnoteReference w:id="38"/>
      </w:r>
      <w:r w:rsidRPr="00BC4C9B">
        <w:rPr>
          <w:lang w:val="fr-CH"/>
        </w:rPr>
        <w:t>.</w:t>
      </w:r>
    </w:p>
    <w:p w14:paraId="497C8573" w14:textId="77777777" w:rsidR="00FF695B" w:rsidRPr="00BC4C9B" w:rsidRDefault="00FF695B" w:rsidP="007D63CE">
      <w:pPr>
        <w:rPr>
          <w:lang w:val="fr-CH"/>
        </w:rPr>
      </w:pPr>
    </w:p>
    <w:p w14:paraId="497E7D8D" w14:textId="473B70C4" w:rsidR="00FF695B" w:rsidRPr="009533F2" w:rsidRDefault="007D63CE" w:rsidP="007D63CE">
      <w:pPr>
        <w:pStyle w:val="Question"/>
        <w:ind w:right="0"/>
      </w:pPr>
      <w:r w:rsidRPr="00BC4C9B">
        <w:t xml:space="preserve">L’État partie peut-il </w:t>
      </w:r>
      <w:r>
        <w:t>d</w:t>
      </w:r>
      <w:r w:rsidR="00FF695B" w:rsidRPr="009533F2">
        <w:t xml:space="preserve">étailler le nombre de médecin disponibles à cet effet, ainsi que les mesures prises pour assurer leur indépendance et leur formation adéquate, conformément au Protocole </w:t>
      </w:r>
      <w:r w:rsidR="00FF695B" w:rsidRPr="00A3151E">
        <w:rPr>
          <w:rFonts w:eastAsia="Calibri" w:cs="Helvetica"/>
          <w:spacing w:val="0"/>
          <w:lang w:eastAsia="en-US"/>
        </w:rPr>
        <w:t>d’Istanbul</w:t>
      </w:r>
      <w:r w:rsidR="00FF695B" w:rsidRPr="009533F2">
        <w:t> </w:t>
      </w:r>
      <w:r w:rsidR="00FF695B" w:rsidRPr="009533F2">
        <w:rPr>
          <w:rStyle w:val="st"/>
        </w:rPr>
        <w:t xml:space="preserve">pour enquêter efficacement sur la torture et autres peines ou traitements, cruels, inhumains ou </w:t>
      </w:r>
      <w:r w:rsidR="009533F2" w:rsidRPr="009533F2">
        <w:rPr>
          <w:rStyle w:val="st"/>
        </w:rPr>
        <w:t>dégradants</w:t>
      </w:r>
      <w:r w:rsidR="00A3151E">
        <w:rPr>
          <w:rStyle w:val="st"/>
        </w:rPr>
        <w:t> </w:t>
      </w:r>
      <w:r w:rsidR="00A3151E">
        <w:t>?</w:t>
      </w:r>
    </w:p>
    <w:p w14:paraId="14A367D0" w14:textId="3677D10F" w:rsidR="00FF695B" w:rsidRPr="009533F2" w:rsidRDefault="007D63CE" w:rsidP="007D63CE">
      <w:pPr>
        <w:pStyle w:val="Question"/>
        <w:ind w:right="0"/>
      </w:pPr>
      <w:r w:rsidRPr="00BC4C9B">
        <w:t xml:space="preserve">L’État partie peut-il </w:t>
      </w:r>
      <w:r>
        <w:t>e</w:t>
      </w:r>
      <w:r w:rsidR="00FF695B" w:rsidRPr="009533F2">
        <w:t>xpliquer les types de mécanismes de contrôle indépendants des lieux de détention et procédures de plaintes ainsi que les mesures prises pour s’assurer que les détenus aient les informations nécessaires sur ces mécanismes de plaintes</w:t>
      </w:r>
      <w:r w:rsidR="00A3151E">
        <w:t> ?</w:t>
      </w:r>
    </w:p>
    <w:p w14:paraId="30276A2C" w14:textId="69CBAFBF" w:rsidR="009533F2" w:rsidRPr="007D63CE" w:rsidRDefault="00FF695B" w:rsidP="007D63CE">
      <w:pPr>
        <w:pStyle w:val="Question"/>
        <w:ind w:right="0"/>
      </w:pPr>
      <w:r w:rsidRPr="007D63CE">
        <w:t xml:space="preserve">Des visites régulières du Comité international de la Croix-Rouge, sont-elles autorisées pour les </w:t>
      </w:r>
      <w:r w:rsidR="00BB0946" w:rsidRPr="007D63CE">
        <w:t>prisons</w:t>
      </w:r>
      <w:r w:rsidRPr="007D63CE">
        <w:t xml:space="preserve"> militaires ?  </w:t>
      </w:r>
    </w:p>
    <w:p w14:paraId="0DBE3DEC" w14:textId="2D9C0252" w:rsidR="00FF695B" w:rsidRPr="00BC4C9B" w:rsidRDefault="00FF695B" w:rsidP="00FF695B">
      <w:pPr>
        <w:pStyle w:val="Heading1"/>
        <w:rPr>
          <w:lang w:val="fr-CH"/>
        </w:rPr>
      </w:pPr>
      <w:bookmarkStart w:id="23" w:name="_Toc488662979"/>
      <w:r w:rsidRPr="00BC4C9B">
        <w:rPr>
          <w:lang w:val="fr-CH"/>
        </w:rPr>
        <w:t xml:space="preserve">Droit à la liberté et à la sécurité et </w:t>
      </w:r>
      <w:r>
        <w:rPr>
          <w:lang w:val="fr-CH"/>
        </w:rPr>
        <w:t>au procès équitable (article</w:t>
      </w:r>
      <w:r w:rsidR="00A3151E">
        <w:rPr>
          <w:lang w:val="fr-CH"/>
        </w:rPr>
        <w:t>s</w:t>
      </w:r>
      <w:r>
        <w:rPr>
          <w:lang w:val="fr-CH"/>
        </w:rPr>
        <w:t xml:space="preserve"> 9 </w:t>
      </w:r>
      <w:r w:rsidRPr="00BC4C9B">
        <w:rPr>
          <w:lang w:val="fr-CH"/>
        </w:rPr>
        <w:t>et 14)</w:t>
      </w:r>
      <w:bookmarkEnd w:id="23"/>
    </w:p>
    <w:p w14:paraId="565A4167" w14:textId="77777777" w:rsidR="00FF695B" w:rsidRDefault="00FF695B" w:rsidP="00FF695B">
      <w:pPr>
        <w:rPr>
          <w:lang w:val="fr-CH" w:eastAsia="x-none"/>
        </w:rPr>
      </w:pPr>
    </w:p>
    <w:p w14:paraId="5F8BFA60" w14:textId="77777777" w:rsidR="00FF695B" w:rsidRPr="00B13360" w:rsidRDefault="00FF695B" w:rsidP="009533F2">
      <w:pPr>
        <w:pStyle w:val="Heading2"/>
        <w:numPr>
          <w:ilvl w:val="1"/>
          <w:numId w:val="9"/>
        </w:numPr>
        <w:ind w:left="426" w:hanging="426"/>
      </w:pPr>
      <w:bookmarkStart w:id="24" w:name="_Toc488662980"/>
      <w:r w:rsidRPr="00B13360">
        <w:t>Garanties fondamentales, droit à la liberté et à la sécurité (article 9)</w:t>
      </w:r>
      <w:bookmarkEnd w:id="24"/>
    </w:p>
    <w:p w14:paraId="181110E4" w14:textId="77777777" w:rsidR="00FF695B" w:rsidRDefault="00FF695B" w:rsidP="00FF695B">
      <w:pPr>
        <w:rPr>
          <w:lang w:val="fr-CH" w:eastAsia="x-none"/>
        </w:rPr>
      </w:pPr>
    </w:p>
    <w:p w14:paraId="61C1B066" w14:textId="77777777" w:rsidR="00FF695B" w:rsidRDefault="00FF695B" w:rsidP="00FF695B">
      <w:pPr>
        <w:pStyle w:val="Heading3"/>
      </w:pPr>
      <w:bookmarkStart w:id="25" w:name="_Toc488662981"/>
      <w:r>
        <w:t>Régime de la garde à vue</w:t>
      </w:r>
      <w:bookmarkEnd w:id="25"/>
      <w:r>
        <w:t xml:space="preserve"> </w:t>
      </w:r>
    </w:p>
    <w:p w14:paraId="5E993463" w14:textId="77777777" w:rsidR="00FF695B" w:rsidRDefault="00FF695B" w:rsidP="00FF695B">
      <w:pPr>
        <w:rPr>
          <w:lang w:eastAsia="fr-FR"/>
        </w:rPr>
      </w:pPr>
    </w:p>
    <w:p w14:paraId="462225C7" w14:textId="77777777" w:rsidR="00BB0946" w:rsidRDefault="00FF695B" w:rsidP="00FF695B">
      <w:r w:rsidRPr="00476597">
        <w:t xml:space="preserve">La durée légale de garde à vue est de 48 heures, pouvant être renouvelée jusqu’à cinq fois sur autorisation du procureur de la république lorsqu’il s’agit de crimes qualifiés de terroristes ou subversifs, soit 12 jours au total. </w:t>
      </w:r>
      <w:r w:rsidRPr="00476597">
        <w:rPr>
          <w:rFonts w:cs="Tahoma"/>
          <w:szCs w:val="20"/>
        </w:rPr>
        <w:t>Dans la pratique, ce renouvellement est systématique.</w:t>
      </w:r>
      <w:r>
        <w:t xml:space="preserve"> </w:t>
      </w:r>
    </w:p>
    <w:p w14:paraId="2EA80521" w14:textId="77777777" w:rsidR="00BB0946" w:rsidRDefault="00BB0946" w:rsidP="00FF695B"/>
    <w:p w14:paraId="367B930E" w14:textId="5511BD68" w:rsidR="00FF695B" w:rsidRDefault="00FF695B" w:rsidP="00A3151E">
      <w:r w:rsidRPr="00476597">
        <w:t xml:space="preserve">Le 23 juillet 2015, le Code de procédure pénale a été amendé par l’ordonnance n°15-02 qui dispose que chaque personne gardée à vue a le droit de communiquer </w:t>
      </w:r>
      <w:r w:rsidRPr="00BB0946">
        <w:rPr>
          <w:i/>
          <w:iCs/>
        </w:rPr>
        <w:t>soit</w:t>
      </w:r>
      <w:r w:rsidRPr="00BB0946">
        <w:t xml:space="preserve"> avec un membre de sa famille</w:t>
      </w:r>
      <w:r w:rsidRPr="00BB0946" w:rsidDel="00B55097">
        <w:t xml:space="preserve"> </w:t>
      </w:r>
      <w:r w:rsidRPr="00BB0946">
        <w:rPr>
          <w:i/>
          <w:iCs/>
        </w:rPr>
        <w:t>soit</w:t>
      </w:r>
      <w:r w:rsidRPr="00476597">
        <w:t xml:space="preserve"> avec un avocat</w:t>
      </w:r>
      <w:r w:rsidRPr="00476597">
        <w:rPr>
          <w:rStyle w:val="FootnoteReference"/>
        </w:rPr>
        <w:footnoteReference w:id="39"/>
      </w:r>
      <w:r w:rsidRPr="00476597">
        <w:t xml:space="preserve"> </w:t>
      </w:r>
      <w:r w:rsidR="00BB0946">
        <w:t>et</w:t>
      </w:r>
      <w:r w:rsidRPr="00476597">
        <w:t xml:space="preserve"> restreint l’entrevue avec l’avocat à 30 minutes.</w:t>
      </w:r>
      <w:r>
        <w:t xml:space="preserve"> Enfin, l’ordonnance</w:t>
      </w:r>
      <w:r w:rsidRPr="00476597">
        <w:t xml:space="preserve"> impose la présence d’un officier de police judiciaire lors des entretiens de la personne gardée à vue avec son avocat</w:t>
      </w:r>
      <w:r w:rsidRPr="00476597">
        <w:rPr>
          <w:rStyle w:val="FootnoteReference"/>
        </w:rPr>
        <w:footnoteReference w:id="40"/>
      </w:r>
      <w:r w:rsidR="00BB0946">
        <w:t>.</w:t>
      </w:r>
    </w:p>
    <w:p w14:paraId="227BA3D3" w14:textId="77777777" w:rsidR="00BB0946" w:rsidRDefault="00BB0946" w:rsidP="00BB0946"/>
    <w:p w14:paraId="50C288D5" w14:textId="77777777" w:rsidR="00BB0946" w:rsidRPr="00F910BD" w:rsidRDefault="00BB0946" w:rsidP="00BB0946">
      <w:pPr>
        <w:pStyle w:val="ListParagraph"/>
        <w:ind w:left="0"/>
      </w:pPr>
      <w:r w:rsidRPr="00F910BD">
        <w:t>En matière de terrorisme, si en droit l’accès à un avocat n’est garanti qu’à l’expiration de la moitié de la durée maximale de garde à vue, soit après six jours</w:t>
      </w:r>
      <w:r w:rsidRPr="00F910BD">
        <w:rPr>
          <w:rStyle w:val="FootnoteReference"/>
        </w:rPr>
        <w:footnoteReference w:id="41"/>
      </w:r>
      <w:r w:rsidRPr="00F910BD">
        <w:t>, en fait ces garanties procédurales déjà insuffisantes, ne sont jamais respectées.</w:t>
      </w:r>
    </w:p>
    <w:p w14:paraId="3DC558CD" w14:textId="77777777" w:rsidR="00FF695B" w:rsidRDefault="00FF695B" w:rsidP="00FF695B"/>
    <w:p w14:paraId="56EC8CB5" w14:textId="531E19F5" w:rsidR="00FF695B" w:rsidRDefault="00A3151E" w:rsidP="00A3151E">
      <w:pPr>
        <w:pStyle w:val="Question"/>
        <w:ind w:right="0"/>
      </w:pPr>
      <w:r w:rsidRPr="00BC4C9B">
        <w:t xml:space="preserve">L’État partie peut-il </w:t>
      </w:r>
      <w:r>
        <w:t>d</w:t>
      </w:r>
      <w:r w:rsidR="00FF695B">
        <w:t xml:space="preserve">étailler les mesures prises pour s’assurer du respect de </w:t>
      </w:r>
      <w:r w:rsidR="00FF695B" w:rsidRPr="00BC4C9B">
        <w:t>l’article 9 du PIDCP dans toutes les arrestations notamment en permettant aux personnes arrêtées d’avoir accès sans délai à un avocat </w:t>
      </w:r>
      <w:r w:rsidR="00FF695B">
        <w:t>et à un médecin et à contacter leurs familles dès le début de la privation de liberté</w:t>
      </w:r>
      <w:r>
        <w:t> ?</w:t>
      </w:r>
    </w:p>
    <w:p w14:paraId="57786EDF" w14:textId="7B8BB332" w:rsidR="00FF695B" w:rsidRPr="00BB0946" w:rsidRDefault="00BB0946" w:rsidP="00A3151E">
      <w:pPr>
        <w:pStyle w:val="Question"/>
        <w:tabs>
          <w:tab w:val="left" w:pos="7513"/>
        </w:tabs>
        <w:ind w:right="0"/>
      </w:pPr>
      <w:r>
        <w:t>L’Etat partie envisage-t-il de réduire la</w:t>
      </w:r>
      <w:r w:rsidR="00FF695B" w:rsidRPr="00BC4C9B">
        <w:t xml:space="preserve"> </w:t>
      </w:r>
      <w:r>
        <w:t xml:space="preserve">période excessive de garde à vue de 12 jours à 48 heures </w:t>
      </w:r>
      <w:r w:rsidR="00FF695B" w:rsidRPr="00BC4C9B">
        <w:t>en toute matière</w:t>
      </w:r>
      <w:r>
        <w:t xml:space="preserve"> conformément au droit international ?</w:t>
      </w:r>
    </w:p>
    <w:p w14:paraId="42423D8C" w14:textId="77777777" w:rsidR="00FF695B" w:rsidRDefault="00FF695B" w:rsidP="00A3151E">
      <w:pPr>
        <w:pStyle w:val="Question"/>
        <w:tabs>
          <w:tab w:val="left" w:pos="7513"/>
        </w:tabs>
        <w:ind w:right="0"/>
      </w:pPr>
      <w:r>
        <w:t>L’État partie envisage-t-il de prendre les mesures nécessaires afin d’accorder aux personnes poursuivies pour « terrorisme » « subversion » ou « apologie du terrorisme » les garanties fondamentales prévues par les articles 9 et 14 du Pacte ?</w:t>
      </w:r>
    </w:p>
    <w:p w14:paraId="02400A37" w14:textId="77777777" w:rsidR="00FF695B" w:rsidRPr="00B13360" w:rsidRDefault="00FF695B" w:rsidP="00FF695B">
      <w:pPr>
        <w:rPr>
          <w:lang w:val="fr-CH"/>
        </w:rPr>
      </w:pPr>
    </w:p>
    <w:p w14:paraId="6DD49819" w14:textId="77777777" w:rsidR="00FF695B" w:rsidRDefault="00FF695B" w:rsidP="00FF695B">
      <w:pPr>
        <w:pStyle w:val="Heading3"/>
      </w:pPr>
      <w:bookmarkStart w:id="26" w:name="_Toc488662982"/>
      <w:r>
        <w:t>Réparation en cas de détention arbitraire</w:t>
      </w:r>
      <w:bookmarkEnd w:id="26"/>
    </w:p>
    <w:p w14:paraId="0FDBF92A" w14:textId="77777777" w:rsidR="00FF695B" w:rsidRDefault="00FF695B" w:rsidP="00FF695B"/>
    <w:p w14:paraId="3B00536C" w14:textId="03303563" w:rsidR="00FF695B" w:rsidRDefault="00FF695B" w:rsidP="00F5095F">
      <w:r w:rsidRPr="00A27514">
        <w:rPr>
          <w:lang w:val="fr-CH" w:eastAsia="fr-CH"/>
        </w:rPr>
        <w:t>L’État partie n’a pas précisé les mesures prises pour mettre fin aux cas de détention arbitraires portés devant les procédures spéciales des Nations Unies</w:t>
      </w:r>
      <w:r w:rsidR="00A3151E">
        <w:rPr>
          <w:lang w:val="fr-CH" w:eastAsia="fr-CH"/>
        </w:rPr>
        <w:t>,</w:t>
      </w:r>
      <w:r w:rsidRPr="00A27514">
        <w:rPr>
          <w:lang w:val="fr-CH" w:eastAsia="fr-CH"/>
        </w:rPr>
        <w:t xml:space="preserve"> à l’instar </w:t>
      </w:r>
      <w:r w:rsidRPr="00A27514">
        <w:rPr>
          <w:lang w:val="fr-CH"/>
        </w:rPr>
        <w:t xml:space="preserve">de </w:t>
      </w:r>
      <w:r w:rsidRPr="00A27514">
        <w:rPr>
          <w:b/>
          <w:bCs/>
          <w:lang w:val="fr-CH"/>
        </w:rPr>
        <w:t>Djameleddine Laskri</w:t>
      </w:r>
      <w:r w:rsidRPr="00A27514">
        <w:rPr>
          <w:lang w:val="fr-CH"/>
        </w:rPr>
        <w:t xml:space="preserve"> emprisonné arbitraire</w:t>
      </w:r>
      <w:r w:rsidR="00BB0946">
        <w:rPr>
          <w:lang w:val="fr-CH"/>
        </w:rPr>
        <w:t>ment depuis 24 ans, malgré une O</w:t>
      </w:r>
      <w:r w:rsidRPr="00A27514">
        <w:rPr>
          <w:lang w:val="fr-CH"/>
        </w:rPr>
        <w:t xml:space="preserve">pinion du Groupe de Travail des Nations Unies sur la Détention Arbitraire </w:t>
      </w:r>
      <w:r w:rsidR="00BB0946">
        <w:rPr>
          <w:lang w:val="fr-CH"/>
        </w:rPr>
        <w:t xml:space="preserve">(GTDA) </w:t>
      </w:r>
      <w:r w:rsidRPr="00A27514">
        <w:rPr>
          <w:lang w:val="fr-CH"/>
        </w:rPr>
        <w:t>appelant à sa libération.</w:t>
      </w:r>
      <w:r w:rsidR="00F5095F">
        <w:rPr>
          <w:lang w:val="fr-CH"/>
        </w:rPr>
        <w:t xml:space="preserve"> </w:t>
      </w:r>
      <w:r>
        <w:rPr>
          <w:lang w:val="fr-CH"/>
        </w:rPr>
        <w:t xml:space="preserve">De plus, </w:t>
      </w:r>
      <w:r>
        <w:t xml:space="preserve">l’État partie n’offre pas d’exemple de poursuites ou réparation accordée suite à des détentions arbitraires. </w:t>
      </w:r>
    </w:p>
    <w:p w14:paraId="168D16FA" w14:textId="77777777" w:rsidR="00FF695B" w:rsidRDefault="00FF695B" w:rsidP="00FF695B"/>
    <w:p w14:paraId="3DB725E6" w14:textId="1FA27870" w:rsidR="00FF695B" w:rsidRPr="00A27514" w:rsidRDefault="00A3151E" w:rsidP="00A3151E">
      <w:pPr>
        <w:pStyle w:val="Question"/>
        <w:ind w:right="0"/>
      </w:pPr>
      <w:r w:rsidRPr="00BC4C9B">
        <w:t xml:space="preserve">L’État partie peut-il </w:t>
      </w:r>
      <w:r>
        <w:t>d</w:t>
      </w:r>
      <w:r w:rsidR="00FF695B">
        <w:t>éfinir les mesures prises en cas d’allégations de violations de l’article 9 et notamment les mesure prises pour</w:t>
      </w:r>
      <w:r>
        <w:t xml:space="preserve"> mettre en œuvre l’opinion n° 17/2014</w:t>
      </w:r>
      <w:r w:rsidR="00FF695B">
        <w:t xml:space="preserve"> du GTDA</w:t>
      </w:r>
      <w:r>
        <w:t> ?</w:t>
      </w:r>
    </w:p>
    <w:p w14:paraId="474A100B" w14:textId="198FF125" w:rsidR="00FF695B" w:rsidRPr="00A3151E" w:rsidRDefault="00FF695B" w:rsidP="00A3151E">
      <w:pPr>
        <w:pStyle w:val="Question"/>
        <w:ind w:right="0"/>
      </w:pPr>
      <w:r>
        <w:t xml:space="preserve">L’État partie peut-il fournir des exemples de jurisprudence </w:t>
      </w:r>
      <w:r w:rsidRPr="00BC4C9B">
        <w:t>relative aux</w:t>
      </w:r>
      <w:r>
        <w:t xml:space="preserve"> poursuites et</w:t>
      </w:r>
      <w:r w:rsidRPr="00BC4C9B">
        <w:t xml:space="preserve"> réparations en cas de détention illégale</w:t>
      </w:r>
      <w:r>
        <w:t> ?</w:t>
      </w:r>
      <w:r w:rsidRPr="008F3CFD">
        <w:rPr>
          <w:bCs/>
        </w:rPr>
        <w:tab/>
      </w:r>
      <w:r w:rsidRPr="00BC4C9B">
        <w:t xml:space="preserve"> </w:t>
      </w:r>
    </w:p>
    <w:p w14:paraId="7F565E98" w14:textId="7D8A1013" w:rsidR="00FF695B" w:rsidRDefault="00FF695B" w:rsidP="00FF695B">
      <w:pPr>
        <w:pStyle w:val="Heading2"/>
      </w:pPr>
      <w:bookmarkStart w:id="27" w:name="_Toc488662983"/>
      <w:r>
        <w:t>D</w:t>
      </w:r>
      <w:r w:rsidR="00A3151E">
        <w:t>roit à un procès équitable (a</w:t>
      </w:r>
      <w:r>
        <w:t>rticle 14)</w:t>
      </w:r>
      <w:bookmarkEnd w:id="27"/>
      <w:r>
        <w:t xml:space="preserve"> </w:t>
      </w:r>
    </w:p>
    <w:p w14:paraId="3497AB94" w14:textId="77777777" w:rsidR="00A3151E" w:rsidRDefault="00A3151E" w:rsidP="00A3151E">
      <w:pPr>
        <w:pStyle w:val="Heading3"/>
        <w:numPr>
          <w:ilvl w:val="0"/>
          <w:numId w:val="0"/>
        </w:numPr>
        <w:ind w:left="1080"/>
        <w:rPr>
          <w:lang w:val="fr-CH"/>
        </w:rPr>
      </w:pPr>
    </w:p>
    <w:p w14:paraId="7BE569F0" w14:textId="77777777" w:rsidR="00FF695B" w:rsidRDefault="00FF695B" w:rsidP="00FF695B">
      <w:pPr>
        <w:pStyle w:val="Heading3"/>
        <w:rPr>
          <w:lang w:val="fr-CH"/>
        </w:rPr>
      </w:pPr>
      <w:bookmarkStart w:id="28" w:name="_Toc488662984"/>
      <w:r>
        <w:rPr>
          <w:lang w:val="fr-CH"/>
        </w:rPr>
        <w:t>Utilisation de preuves obtenues sous la torture</w:t>
      </w:r>
      <w:bookmarkEnd w:id="28"/>
      <w:r>
        <w:rPr>
          <w:lang w:val="fr-CH"/>
        </w:rPr>
        <w:t xml:space="preserve"> </w:t>
      </w:r>
    </w:p>
    <w:p w14:paraId="2B1E18CB" w14:textId="77777777" w:rsidR="00FF695B" w:rsidRDefault="00FF695B" w:rsidP="00FF695B">
      <w:pPr>
        <w:autoSpaceDE w:val="0"/>
        <w:autoSpaceDN w:val="0"/>
        <w:adjustRightInd w:val="0"/>
        <w:rPr>
          <w:rFonts w:ascii="CenturyGothic" w:hAnsi="CenturyGothic" w:cs="CenturyGothic"/>
          <w:color w:val="231F20"/>
          <w:sz w:val="24"/>
          <w:szCs w:val="24"/>
          <w:lang w:val="fr-CH" w:eastAsia="en-GB"/>
        </w:rPr>
      </w:pPr>
    </w:p>
    <w:p w14:paraId="3CAA0048" w14:textId="420B404C" w:rsidR="00FF695B" w:rsidRPr="00576ECC" w:rsidRDefault="00FF695B" w:rsidP="00FF695B">
      <w:pPr>
        <w:rPr>
          <w:lang w:eastAsia="en-GB"/>
        </w:rPr>
      </w:pPr>
      <w:r w:rsidRPr="00647D48">
        <w:rPr>
          <w:lang w:val="fr-CH"/>
        </w:rPr>
        <w:t>Alkarama relève que la législation interne ne prévoit pas que toute déclaration dont il est établi qu'elle a été obtenue par la torture</w:t>
      </w:r>
      <w:r w:rsidR="00A3151E">
        <w:rPr>
          <w:lang w:val="fr-CH"/>
        </w:rPr>
        <w:t xml:space="preserve"> ne puisse</w:t>
      </w:r>
      <w:r w:rsidRPr="00647D48">
        <w:rPr>
          <w:lang w:val="fr-CH"/>
        </w:rPr>
        <w:t xml:space="preserve"> être invoquée </w:t>
      </w:r>
      <w:r>
        <w:rPr>
          <w:lang w:val="fr-CH"/>
        </w:rPr>
        <w:t>comme preuve dans une procédure</w:t>
      </w:r>
      <w:r w:rsidRPr="00647D48">
        <w:rPr>
          <w:lang w:val="fr-CH"/>
        </w:rPr>
        <w:t>. Or, de nombreuses personnes ayant été condamnées sur la base de déclarations obtenues sous la torture continuent d’être privées de liberté</w:t>
      </w:r>
      <w:r w:rsidRPr="00647D48">
        <w:rPr>
          <w:rStyle w:val="FootnoteReference"/>
          <w:lang w:val="fr-CH"/>
        </w:rPr>
        <w:footnoteReference w:id="42"/>
      </w:r>
      <w:r w:rsidRPr="00647D48">
        <w:rPr>
          <w:lang w:val="fr-CH"/>
        </w:rPr>
        <w:t xml:space="preserve">. </w:t>
      </w:r>
      <w:r>
        <w:rPr>
          <w:lang w:eastAsia="en-GB"/>
        </w:rPr>
        <w:t>L’État partie ne détaille pas les c</w:t>
      </w:r>
      <w:r w:rsidRPr="00576ECC">
        <w:rPr>
          <w:lang w:eastAsia="en-GB"/>
        </w:rPr>
        <w:t>onditions d’admissibilité en cas de plaintes pour mauvais traitements</w:t>
      </w:r>
      <w:r>
        <w:rPr>
          <w:lang w:eastAsia="en-GB"/>
        </w:rPr>
        <w:t xml:space="preserve"> et celles relatives à l’a</w:t>
      </w:r>
      <w:r w:rsidRPr="00576ECC">
        <w:rPr>
          <w:lang w:eastAsia="en-GB"/>
        </w:rPr>
        <w:t>dministration de la preuve en cas d’allégation de torture</w:t>
      </w:r>
      <w:r>
        <w:rPr>
          <w:lang w:eastAsia="en-GB"/>
        </w:rPr>
        <w:t>.</w:t>
      </w:r>
      <w:r w:rsidRPr="00576ECC">
        <w:rPr>
          <w:lang w:eastAsia="en-GB"/>
        </w:rPr>
        <w:t> </w:t>
      </w:r>
    </w:p>
    <w:p w14:paraId="60D9B082" w14:textId="77777777" w:rsidR="00FF695B" w:rsidRDefault="00FF695B" w:rsidP="00A3151E">
      <w:pPr>
        <w:autoSpaceDE w:val="0"/>
        <w:autoSpaceDN w:val="0"/>
        <w:adjustRightInd w:val="0"/>
        <w:rPr>
          <w:rFonts w:ascii="CenturyGothic" w:hAnsi="CenturyGothic" w:cs="CenturyGothic"/>
          <w:color w:val="231F20"/>
          <w:sz w:val="24"/>
          <w:szCs w:val="24"/>
          <w:lang w:val="fr-CH" w:eastAsia="en-GB"/>
        </w:rPr>
      </w:pPr>
    </w:p>
    <w:p w14:paraId="1A5549B7" w14:textId="6B57F7D1" w:rsidR="00FF695B" w:rsidRDefault="00BB0946" w:rsidP="00A3151E">
      <w:pPr>
        <w:pStyle w:val="Question"/>
        <w:ind w:right="0"/>
      </w:pPr>
      <w:r>
        <w:t>L’Etat partie envisage-t-il d’</w:t>
      </w:r>
      <w:r w:rsidR="00FF695B" w:rsidRPr="00BC4C9B">
        <w:t xml:space="preserve">inclure dans le CPP une disposition prévoyant l’exclusion des preuves obtenues sous la </w:t>
      </w:r>
      <w:r w:rsidRPr="00BC4C9B">
        <w:t>torture</w:t>
      </w:r>
      <w:r>
        <w:t> ?</w:t>
      </w:r>
    </w:p>
    <w:p w14:paraId="1BBCF55B" w14:textId="246B774A" w:rsidR="000E331D" w:rsidRDefault="00A3151E" w:rsidP="00A3151E">
      <w:pPr>
        <w:pStyle w:val="Question"/>
        <w:ind w:right="0"/>
      </w:pPr>
      <w:r w:rsidRPr="00BC4C9B">
        <w:t xml:space="preserve">L’État partie peut-il </w:t>
      </w:r>
      <w:r>
        <w:t>p</w:t>
      </w:r>
      <w:r w:rsidR="00FF695B">
        <w:t>réciser si des juges ont déclaré irrecevables des aveux obtenus sous la torture et les suites données</w:t>
      </w:r>
      <w:r w:rsidR="00BB0946">
        <w:t xml:space="preserve"> aux allégations des </w:t>
      </w:r>
      <w:r w:rsidR="000E331D">
        <w:t>personnes poursuivies</w:t>
      </w:r>
      <w:r>
        <w:t> ?</w:t>
      </w:r>
    </w:p>
    <w:p w14:paraId="2C1BBAD2" w14:textId="6561C5D3" w:rsidR="000E331D" w:rsidRPr="000E331D" w:rsidRDefault="000E331D" w:rsidP="00A3151E">
      <w:pPr>
        <w:pStyle w:val="Question"/>
        <w:ind w:right="0"/>
      </w:pPr>
      <w:r>
        <w:t>Quelle valeur juridique les juridictions de l’</w:t>
      </w:r>
      <w:r w:rsidR="00A3151E" w:rsidRPr="00BC4C9B">
        <w:t>É</w:t>
      </w:r>
      <w:r>
        <w:t xml:space="preserve">tat partie accordent-elles aux procès-verbaux établis dans le cadre d’enquêtes préliminaires par les différents services de sécurité ? </w:t>
      </w:r>
    </w:p>
    <w:p w14:paraId="4C4FB174" w14:textId="77777777" w:rsidR="00FF695B" w:rsidRDefault="00FF695B" w:rsidP="00FF695B">
      <w:pPr>
        <w:pStyle w:val="Heading3"/>
        <w:rPr>
          <w:lang w:val="fr-CH"/>
        </w:rPr>
      </w:pPr>
      <w:bookmarkStart w:id="29" w:name="_Toc488662985"/>
      <w:r w:rsidRPr="00BC4C9B">
        <w:rPr>
          <w:lang w:val="fr-CH"/>
        </w:rPr>
        <w:t>Accès à la justice </w:t>
      </w:r>
      <w:r>
        <w:rPr>
          <w:lang w:val="fr-CH"/>
        </w:rPr>
        <w:t>et aide juridique</w:t>
      </w:r>
      <w:bookmarkEnd w:id="29"/>
      <w:r>
        <w:rPr>
          <w:lang w:val="fr-CH"/>
        </w:rPr>
        <w:t xml:space="preserve"> </w:t>
      </w:r>
    </w:p>
    <w:p w14:paraId="28579605" w14:textId="77777777" w:rsidR="00FF695B" w:rsidRDefault="00FF695B" w:rsidP="00FF695B">
      <w:pPr>
        <w:rPr>
          <w:rFonts w:cs="Tahoma"/>
          <w:lang w:val="fr-CH"/>
        </w:rPr>
      </w:pPr>
    </w:p>
    <w:p w14:paraId="22C2B8D4" w14:textId="77777777" w:rsidR="000E331D" w:rsidRPr="00A3151E" w:rsidRDefault="00FF695B" w:rsidP="00FF695B">
      <w:pPr>
        <w:rPr>
          <w:rFonts w:cs="Tahoma"/>
          <w:szCs w:val="20"/>
          <w:lang w:val="fr-CH" w:eastAsia="fr-CH"/>
        </w:rPr>
      </w:pPr>
      <w:r w:rsidRPr="00A3151E">
        <w:rPr>
          <w:rFonts w:cs="Tahoma"/>
          <w:szCs w:val="20"/>
          <w:lang w:val="fr-CH" w:eastAsia="fr-CH"/>
        </w:rPr>
        <w:t>L’accès à la justice doit être facilité par « l’aide juridictionnelle gratuite à des personnes n’ayant pas les moyens de rémunérer elles-mêmes un défenseur » et ne pas être entravé par « l’imposition d’une charge financière telle qu’elles ne puissent de fait avoir accès aux tribunaux »</w:t>
      </w:r>
      <w:r w:rsidRPr="00A3151E">
        <w:rPr>
          <w:rStyle w:val="FootnoteReference"/>
          <w:rFonts w:cs="Tahoma"/>
          <w:color w:val="231F20"/>
          <w:szCs w:val="20"/>
          <w:lang w:val="fr-CH" w:eastAsia="fr-CH"/>
        </w:rPr>
        <w:footnoteReference w:id="43"/>
      </w:r>
      <w:r w:rsidRPr="00A3151E">
        <w:rPr>
          <w:rFonts w:cs="Tahoma"/>
          <w:szCs w:val="20"/>
          <w:lang w:val="fr-CH" w:eastAsia="fr-CH"/>
        </w:rPr>
        <w:t xml:space="preserve">. </w:t>
      </w:r>
    </w:p>
    <w:p w14:paraId="6C7239AC" w14:textId="77777777" w:rsidR="000E331D" w:rsidRDefault="000E331D" w:rsidP="00FF695B">
      <w:pPr>
        <w:rPr>
          <w:lang w:val="fr-CH" w:eastAsia="fr-CH"/>
        </w:rPr>
      </w:pPr>
    </w:p>
    <w:p w14:paraId="4323005A" w14:textId="117CA465" w:rsidR="00FF695B" w:rsidRDefault="00FF695B" w:rsidP="000E331D">
      <w:r>
        <w:rPr>
          <w:lang w:val="fr-CH" w:eastAsia="fr-CH"/>
        </w:rPr>
        <w:t xml:space="preserve">Le nouvel article 57 de la Constitution de 2016 dispose que </w:t>
      </w:r>
      <w:r w:rsidR="000E331D">
        <w:rPr>
          <w:lang w:eastAsia="fr-FR"/>
        </w:rPr>
        <w:t>l</w:t>
      </w:r>
      <w:r w:rsidRPr="00BC4C9B">
        <w:rPr>
          <w:lang w:eastAsia="fr-FR"/>
        </w:rPr>
        <w:t xml:space="preserve">es personnes démunies ont </w:t>
      </w:r>
      <w:r>
        <w:rPr>
          <w:lang w:eastAsia="fr-FR"/>
        </w:rPr>
        <w:t>droit à l’assistance judiciaire mais la loi d’application semble restreindre ce droit à certaines catégories de personnes</w:t>
      </w:r>
      <w:r>
        <w:rPr>
          <w:rStyle w:val="FootnoteReference"/>
          <w:lang w:eastAsia="fr-FR"/>
        </w:rPr>
        <w:footnoteReference w:id="44"/>
      </w:r>
      <w:r>
        <w:rPr>
          <w:lang w:eastAsia="fr-FR"/>
        </w:rPr>
        <w:t xml:space="preserve">. </w:t>
      </w:r>
      <w:r w:rsidRPr="00BC4C9B">
        <w:t>L’État partie indique que dans certains cas le concours gratuit d’un avocat est accordé</w:t>
      </w:r>
      <w:r>
        <w:rPr>
          <w:rStyle w:val="FootnoteReference"/>
          <w:lang w:val="fr-CH"/>
        </w:rPr>
        <w:footnoteReference w:id="45"/>
      </w:r>
      <w:r w:rsidRPr="00BC4C9B">
        <w:t xml:space="preserve"> mais ne précise pas les modalités de demandes et d’accord d’un tel concourt.</w:t>
      </w:r>
      <w:r>
        <w:t xml:space="preserve"> </w:t>
      </w:r>
    </w:p>
    <w:p w14:paraId="30D161ED" w14:textId="77777777" w:rsidR="00FF695B" w:rsidRDefault="00FF695B" w:rsidP="00FF695B"/>
    <w:p w14:paraId="6E1A82D2" w14:textId="0B29DEE3" w:rsidR="00FF695B" w:rsidRPr="00BC4C9B" w:rsidRDefault="00FF695B" w:rsidP="006C0A85">
      <w:pPr>
        <w:pStyle w:val="Question"/>
        <w:tabs>
          <w:tab w:val="left" w:pos="7371"/>
        </w:tabs>
        <w:ind w:right="0"/>
      </w:pPr>
      <w:r>
        <w:t xml:space="preserve">L’État partie peut-il préciser les modalités d’attribution de l’aide juridictionnelle ou du </w:t>
      </w:r>
      <w:r w:rsidRPr="00BC4C9B">
        <w:t>concours gratuit d’un avocat</w:t>
      </w:r>
      <w:r>
        <w:t xml:space="preserve"> pour les catégories de personnes non listées dans les paragraphes 317 et suivant</w:t>
      </w:r>
      <w:r w:rsidR="000E331D">
        <w:t>s</w:t>
      </w:r>
      <w:r>
        <w:t xml:space="preserve"> de son quatrième rapport périodique ?</w:t>
      </w:r>
      <w:r w:rsidR="000E331D">
        <w:t xml:space="preserve"> Envisage-t-il d’étendre l’aide juridictionnelle à toute personne qui en aurait besoin ?</w:t>
      </w:r>
    </w:p>
    <w:p w14:paraId="0A19932D" w14:textId="77777777" w:rsidR="00FF695B" w:rsidRDefault="00FF695B" w:rsidP="00FF695B">
      <w:pPr>
        <w:pStyle w:val="Heading3"/>
      </w:pPr>
      <w:bookmarkStart w:id="30" w:name="_Toc488662986"/>
      <w:r>
        <w:t>Indépendance de la justice</w:t>
      </w:r>
      <w:bookmarkEnd w:id="30"/>
      <w:r>
        <w:t xml:space="preserve"> </w:t>
      </w:r>
    </w:p>
    <w:p w14:paraId="1293E7DA" w14:textId="77777777" w:rsidR="000E331D" w:rsidRDefault="000E331D" w:rsidP="00FF695B">
      <w:pPr>
        <w:rPr>
          <w:rFonts w:ascii="Times New Roman" w:eastAsia="Times New Roman" w:hAnsi="Times New Roman" w:cs="Times New Roman"/>
          <w:szCs w:val="20"/>
          <w:lang w:val="fr-CH"/>
        </w:rPr>
      </w:pPr>
    </w:p>
    <w:p w14:paraId="087E97FB" w14:textId="77777777" w:rsidR="0085334F" w:rsidRDefault="00FF695B" w:rsidP="00FF695B">
      <w:pPr>
        <w:rPr>
          <w:lang w:val="fr-CH"/>
        </w:rPr>
      </w:pPr>
      <w:r w:rsidRPr="00647D48">
        <w:rPr>
          <w:lang w:val="fr-CH"/>
        </w:rPr>
        <w:t>Si la nouvelle Constitution consacre l’indépendance du pouvoir judiciaire (article 156), l’exécutif exerce toutefois un rôle prépondérant dans le processus de nomination et d’avancement de carrière des magistrats. Le Conseil supérieur de la magistrature, censé garantir l’indépendance organique des magistrats, est lui-même placé sous le contrôle direct de l’exécutif qui nomme la majorité de ses membres</w:t>
      </w:r>
      <w:r w:rsidRPr="00647D48">
        <w:rPr>
          <w:rStyle w:val="FootnoteReference"/>
          <w:lang w:val="fr-CH"/>
        </w:rPr>
        <w:footnoteReference w:id="46"/>
      </w:r>
      <w:r w:rsidRPr="00647D48">
        <w:rPr>
          <w:lang w:val="fr-CH"/>
        </w:rPr>
        <w:t>.</w:t>
      </w:r>
      <w:r w:rsidRPr="00BC4C9B">
        <w:rPr>
          <w:lang w:val="fr-CH"/>
        </w:rPr>
        <w:t xml:space="preserve"> </w:t>
      </w:r>
    </w:p>
    <w:p w14:paraId="3F633619" w14:textId="77777777" w:rsidR="0085334F" w:rsidRDefault="0085334F" w:rsidP="00FF695B">
      <w:pPr>
        <w:rPr>
          <w:lang w:val="fr-CH"/>
        </w:rPr>
      </w:pPr>
    </w:p>
    <w:p w14:paraId="4FD4B160" w14:textId="16305147" w:rsidR="00FF695B" w:rsidRPr="00BC4C9B" w:rsidRDefault="00FF695B" w:rsidP="0085334F">
      <w:pPr>
        <w:rPr>
          <w:lang w:val="fr-CH"/>
        </w:rPr>
      </w:pPr>
      <w:r w:rsidRPr="0085334F">
        <w:rPr>
          <w:lang w:val="fr-CH"/>
        </w:rPr>
        <w:t>L’État partie indique dans son rapport avoir parachevé la réforme de la justice</w:t>
      </w:r>
      <w:r w:rsidRPr="0085334F">
        <w:rPr>
          <w:rStyle w:val="FootnoteReference"/>
          <w:lang w:val="fr-CH"/>
        </w:rPr>
        <w:footnoteReference w:id="47"/>
      </w:r>
      <w:r w:rsidRPr="0085334F">
        <w:rPr>
          <w:lang w:val="fr-CH"/>
        </w:rPr>
        <w:t xml:space="preserve"> sans toutefois préciser dans quelle mes</w:t>
      </w:r>
      <w:r w:rsidR="0085334F" w:rsidRPr="0085334F">
        <w:rPr>
          <w:lang w:val="fr-CH"/>
        </w:rPr>
        <w:t xml:space="preserve">ure ces réformes ont renforcé son </w:t>
      </w:r>
      <w:r w:rsidRPr="0085334F">
        <w:rPr>
          <w:lang w:val="fr-CH"/>
        </w:rPr>
        <w:t>indépendance</w:t>
      </w:r>
      <w:r w:rsidR="0085334F" w:rsidRPr="0085334F">
        <w:rPr>
          <w:lang w:val="fr-CH"/>
        </w:rPr>
        <w:t>.</w:t>
      </w:r>
      <w:r w:rsidRPr="0085334F">
        <w:rPr>
          <w:lang w:val="fr-CH"/>
        </w:rPr>
        <w:t xml:space="preserve"> </w:t>
      </w:r>
      <w:r w:rsidR="0085334F" w:rsidRPr="0085334F">
        <w:rPr>
          <w:lang w:val="fr-CH"/>
        </w:rPr>
        <w:t>Toutefois, la majorité des membres du Conseil Supérieur de la Magistrature demeure nommée par le pouvoir exécutif.</w:t>
      </w:r>
    </w:p>
    <w:p w14:paraId="2DA59D32" w14:textId="77777777" w:rsidR="00FF695B" w:rsidRPr="00BC4C9B" w:rsidRDefault="00FF695B" w:rsidP="00FF695B">
      <w:pPr>
        <w:pStyle w:val="SingleTxtG"/>
        <w:ind w:left="0"/>
      </w:pPr>
    </w:p>
    <w:p w14:paraId="7D5658E4" w14:textId="7A547C55" w:rsidR="00FF695B" w:rsidRPr="0085334F" w:rsidRDefault="006C0A85" w:rsidP="006C0A85">
      <w:pPr>
        <w:pStyle w:val="Question"/>
        <w:ind w:right="0"/>
      </w:pPr>
      <w:r>
        <w:t>L’État partie peut-il p</w:t>
      </w:r>
      <w:r w:rsidR="0085334F">
        <w:t xml:space="preserve">réciser les mesures prises dans le cadre de la réforme de la justice afin de </w:t>
      </w:r>
      <w:r w:rsidR="00FF695B">
        <w:t>s</w:t>
      </w:r>
      <w:r w:rsidR="00FF695B" w:rsidRPr="00BC4C9B">
        <w:t>’assurer de l’indépendance du Conseil supérieur de la magistrature</w:t>
      </w:r>
      <w:r>
        <w:t> ?</w:t>
      </w:r>
      <w:r w:rsidR="00FF695B">
        <w:t xml:space="preserve"> </w:t>
      </w:r>
    </w:p>
    <w:p w14:paraId="749D1A09" w14:textId="77777777" w:rsidR="00FF695B" w:rsidRDefault="00FF695B" w:rsidP="006C0A85">
      <w:pPr>
        <w:pStyle w:val="Question"/>
        <w:ind w:right="0"/>
      </w:pPr>
      <w:r>
        <w:t>L’État partie peut-il donner des statistiques relatives aux enquêtes et éventuelles poursuites en cas de corruption dans le système judiciaire ?</w:t>
      </w:r>
    </w:p>
    <w:p w14:paraId="08B3222D" w14:textId="77777777" w:rsidR="00FF695B" w:rsidRPr="00BC4C9B" w:rsidRDefault="00FF695B" w:rsidP="00FF695B">
      <w:pPr>
        <w:rPr>
          <w:lang w:val="fr-CH" w:eastAsia="x-none"/>
        </w:rPr>
      </w:pPr>
    </w:p>
    <w:p w14:paraId="5B32DBB5" w14:textId="77777777" w:rsidR="00FF695B" w:rsidRPr="00BC4C9B" w:rsidRDefault="00FF695B" w:rsidP="00FF695B">
      <w:pPr>
        <w:pStyle w:val="Heading1"/>
        <w:rPr>
          <w:lang w:val="fr-CH"/>
        </w:rPr>
      </w:pPr>
      <w:bookmarkStart w:id="31" w:name="_Toc488662987"/>
      <w:r w:rsidRPr="00BC4C9B">
        <w:rPr>
          <w:lang w:val="fr-CH"/>
        </w:rPr>
        <w:t>Libertés fondamentales (articles 18, 19, 21, 22, 25)</w:t>
      </w:r>
      <w:bookmarkEnd w:id="31"/>
    </w:p>
    <w:p w14:paraId="492393E8" w14:textId="77777777" w:rsidR="00FF695B" w:rsidRDefault="00FF695B" w:rsidP="00FF695B">
      <w:pPr>
        <w:rPr>
          <w:lang w:val="fr-CH"/>
        </w:rPr>
      </w:pPr>
    </w:p>
    <w:p w14:paraId="2D13DBA9" w14:textId="0B93A907" w:rsidR="000E1CBC" w:rsidRPr="00BC4C9B" w:rsidRDefault="000E1CBC" w:rsidP="000E1CBC">
      <w:pPr>
        <w:rPr>
          <w:lang w:val="fr-CH"/>
        </w:rPr>
      </w:pPr>
      <w:r w:rsidRPr="00BC4C9B">
        <w:rPr>
          <w:lang w:eastAsia="en-GB"/>
        </w:rPr>
        <w:t>L’État partie affirme dans son rapport périodique « </w:t>
      </w:r>
      <w:r w:rsidRPr="006C0A85">
        <w:rPr>
          <w:lang w:eastAsia="en-GB"/>
        </w:rPr>
        <w:t xml:space="preserve">qu’il </w:t>
      </w:r>
      <w:r w:rsidRPr="006C0A85">
        <w:t>n’existe actuellement aucune mesure dérogatoire en Algérie, puisque l’État d’urgence a été levé en février 2011</w:t>
      </w:r>
      <w:r w:rsidRPr="00BC4C9B">
        <w:t> »</w:t>
      </w:r>
      <w:r w:rsidRPr="00BC4C9B">
        <w:rPr>
          <w:rStyle w:val="FootnoteReference"/>
          <w:lang w:val="fr-CH"/>
        </w:rPr>
        <w:footnoteReference w:id="48"/>
      </w:r>
      <w:r w:rsidRPr="00BC4C9B">
        <w:t xml:space="preserve">. </w:t>
      </w:r>
      <w:r w:rsidRPr="00BC4C9B">
        <w:rPr>
          <w:lang w:val="fr-CH"/>
        </w:rPr>
        <w:t>Toutefois</w:t>
      </w:r>
      <w:r w:rsidR="006C0A85">
        <w:rPr>
          <w:lang w:val="fr-CH"/>
        </w:rPr>
        <w:t>,</w:t>
      </w:r>
      <w:r w:rsidRPr="00BC4C9B">
        <w:rPr>
          <w:lang w:val="fr-CH"/>
        </w:rPr>
        <w:t xml:space="preserve"> une analyse des lois </w:t>
      </w:r>
      <w:r>
        <w:rPr>
          <w:lang w:val="fr-CH"/>
        </w:rPr>
        <w:t xml:space="preserve">promulguées démontre </w:t>
      </w:r>
      <w:r w:rsidRPr="00BC4C9B">
        <w:rPr>
          <w:lang w:val="fr-CH"/>
        </w:rPr>
        <w:t>montre que les dispositions d’exception contenues dans le décret d’état d’urgence</w:t>
      </w:r>
      <w:r w:rsidRPr="00BC4C9B">
        <w:rPr>
          <w:rStyle w:val="FootnoteReference"/>
          <w:lang w:val="fr-CH"/>
        </w:rPr>
        <w:footnoteReference w:id="49"/>
      </w:r>
      <w:r w:rsidRPr="00BC4C9B">
        <w:rPr>
          <w:lang w:val="fr-CH"/>
        </w:rPr>
        <w:t xml:space="preserve"> ont été </w:t>
      </w:r>
      <w:r>
        <w:rPr>
          <w:lang w:val="fr-CH"/>
        </w:rPr>
        <w:t xml:space="preserve">simplement </w:t>
      </w:r>
      <w:r w:rsidRPr="00BC4C9B">
        <w:rPr>
          <w:lang w:val="fr-CH"/>
        </w:rPr>
        <w:t>transposées dans le droit commun à travers les lois régulant les partis politiques, l’information, les associations et les rassemblements pacifiques</w:t>
      </w:r>
      <w:r w:rsidRPr="00BC4C9B">
        <w:rPr>
          <w:rStyle w:val="FootnoteReference"/>
          <w:lang w:val="fr-CH"/>
        </w:rPr>
        <w:footnoteReference w:id="50"/>
      </w:r>
      <w:r w:rsidRPr="00BC4C9B">
        <w:rPr>
          <w:lang w:val="fr-CH"/>
        </w:rPr>
        <w:t xml:space="preserve">. </w:t>
      </w:r>
    </w:p>
    <w:p w14:paraId="44E555A8" w14:textId="77777777" w:rsidR="000E1CBC" w:rsidRDefault="000E1CBC" w:rsidP="00FF695B">
      <w:pPr>
        <w:rPr>
          <w:lang w:val="fr-CH"/>
        </w:rPr>
      </w:pPr>
    </w:p>
    <w:p w14:paraId="74EE0D5C" w14:textId="77777777" w:rsidR="00FF695B" w:rsidRDefault="00FF695B" w:rsidP="00FF695B">
      <w:pPr>
        <w:pStyle w:val="Heading2"/>
      </w:pPr>
      <w:bookmarkStart w:id="32" w:name="_Toc488662988"/>
      <w:r w:rsidRPr="00BC4C9B">
        <w:t>Liberté d’opinion et d’expression (article 19)</w:t>
      </w:r>
      <w:bookmarkEnd w:id="32"/>
    </w:p>
    <w:p w14:paraId="6B8379B5" w14:textId="77777777" w:rsidR="00FF695B" w:rsidRPr="00940864" w:rsidRDefault="00FF695B" w:rsidP="00FF695B">
      <w:pPr>
        <w:rPr>
          <w:lang w:val="fr-CH" w:eastAsia="x-none"/>
        </w:rPr>
      </w:pPr>
    </w:p>
    <w:p w14:paraId="2DE0F530" w14:textId="77777777" w:rsidR="00FF695B" w:rsidRDefault="00FF695B" w:rsidP="00FF695B">
      <w:pPr>
        <w:pStyle w:val="Heading3"/>
        <w:rPr>
          <w:lang w:val="fr-CH"/>
        </w:rPr>
      </w:pPr>
      <w:bookmarkStart w:id="33" w:name="_Toc488662989"/>
      <w:r>
        <w:rPr>
          <w:lang w:val="fr-CH"/>
        </w:rPr>
        <w:t>Cadre juridique</w:t>
      </w:r>
      <w:bookmarkEnd w:id="33"/>
      <w:r>
        <w:rPr>
          <w:lang w:val="fr-CH"/>
        </w:rPr>
        <w:t xml:space="preserve"> </w:t>
      </w:r>
    </w:p>
    <w:p w14:paraId="2A2B0396" w14:textId="77777777" w:rsidR="00FF695B" w:rsidRDefault="00FF695B" w:rsidP="00FF695B">
      <w:pPr>
        <w:rPr>
          <w:lang w:val="fr-CH"/>
        </w:rPr>
      </w:pPr>
    </w:p>
    <w:p w14:paraId="75247C20" w14:textId="77777777" w:rsidR="0085334F" w:rsidRDefault="00FF695B" w:rsidP="0085334F">
      <w:r>
        <w:rPr>
          <w:lang w:val="fr-CH"/>
        </w:rPr>
        <w:t xml:space="preserve">A l’issue de sa visite en Algérie, le </w:t>
      </w:r>
      <w:r w:rsidR="0085334F" w:rsidRPr="00940864">
        <w:t xml:space="preserve">Rapporteur des Nations unies sur la promotion et la protection du droit à la liberté d’opinion et d’expression (SRLOE) </w:t>
      </w:r>
      <w:r>
        <w:t>a</w:t>
      </w:r>
      <w:r w:rsidR="0085334F">
        <w:t>vait</w:t>
      </w:r>
      <w:r>
        <w:t xml:space="preserve"> exprimé sa crainte que le cadre juridique actuel « ne limite indûment le droit à la liberté d’opinion et d’expression et le droit à la liberté de réunion et de manifestation pacifiques »</w:t>
      </w:r>
      <w:r>
        <w:rPr>
          <w:rStyle w:val="FootnoteReference"/>
        </w:rPr>
        <w:footnoteReference w:id="51"/>
      </w:r>
      <w:r>
        <w:t xml:space="preserve">. </w:t>
      </w:r>
    </w:p>
    <w:p w14:paraId="4DC2A04D" w14:textId="77777777" w:rsidR="00FF695B" w:rsidRDefault="00FF695B" w:rsidP="00FF695B"/>
    <w:p w14:paraId="3E8C9977" w14:textId="2F67C0AD" w:rsidR="00FF695B" w:rsidRDefault="006C0A85" w:rsidP="00FF695B">
      <w:r>
        <w:t>L’article 97 de la loi n°</w:t>
      </w:r>
      <w:r w:rsidR="00FF695B">
        <w:t> 90-07, dispose que quiconque « offense délibérément le chef d’État en exercice est puni d’un mois à un an d’emprisonnement et d’une amende de 3 000 à 30 000 dinars algériens ou de l’une de ces deux peines ». En 2001, les restrictions imposées aux médias on</w:t>
      </w:r>
      <w:r w:rsidR="0085334F">
        <w:t>t</w:t>
      </w:r>
      <w:r w:rsidR="00FF695B">
        <w:t xml:space="preserve"> été étendues à la publication d’informations qui offensent « un magistrat, un fonctionnaire, un officier public, un commandant ou un agent de la force publique ». Des sanctions peuvent être prises à l’encontre de l’auteur de l’infraction, du directeur de publication, de l’éditeur, et d</w:t>
      </w:r>
      <w:r>
        <w:t>e la publication elle-même (article</w:t>
      </w:r>
      <w:r w:rsidR="00FF695B">
        <w:t xml:space="preserve"> 144 </w:t>
      </w:r>
      <w:r w:rsidR="00FF695B">
        <w:rPr>
          <w:i/>
          <w:iCs/>
        </w:rPr>
        <w:t>bis</w:t>
      </w:r>
      <w:r w:rsidR="00FF695B">
        <w:t xml:space="preserve"> et 146 du Code pénal).</w:t>
      </w:r>
    </w:p>
    <w:p w14:paraId="32E84EDC" w14:textId="77777777" w:rsidR="00FF695B" w:rsidRDefault="00FF695B" w:rsidP="00FF695B"/>
    <w:p w14:paraId="15262597" w14:textId="52490CC1" w:rsidR="00FF695B" w:rsidRDefault="00FF695B" w:rsidP="00DD4FDD">
      <w:pPr>
        <w:pStyle w:val="CASES"/>
        <w:ind w:left="0"/>
      </w:pPr>
      <w:r w:rsidRPr="00940864">
        <w:rPr>
          <w:b/>
          <w:bCs/>
        </w:rPr>
        <w:t>Hassan Bouras</w:t>
      </w:r>
      <w:r w:rsidRPr="00275CCB">
        <w:t xml:space="preserve">, membre dirigeant de la Ligue algérienne pour la défense des droits de l'homme (LADDH) connu pour ses </w:t>
      </w:r>
      <w:r w:rsidR="0085334F">
        <w:t>articles critiques</w:t>
      </w:r>
      <w:r w:rsidRPr="00275CCB">
        <w:t xml:space="preserve"> vis-à-vis du gouvernement sur les réseaux sociaux et sur sa dénonciation de la corruption a subi à de nombreuses reprises des représailles y compris des poursuites «</w:t>
      </w:r>
      <w:r w:rsidR="00DD4FDD">
        <w:t xml:space="preserve"> </w:t>
      </w:r>
      <w:r w:rsidRPr="00275CCB">
        <w:t xml:space="preserve">outrage à corps </w:t>
      </w:r>
      <w:r w:rsidRPr="00DD4FDD">
        <w:t>constitué</w:t>
      </w:r>
      <w:r w:rsidR="00DD4FDD" w:rsidRPr="00DD4FDD">
        <w:t xml:space="preserve"> </w:t>
      </w:r>
      <w:r w:rsidRPr="00DD4FDD">
        <w:t>»</w:t>
      </w:r>
      <w:r w:rsidRPr="00DD4FDD">
        <w:rPr>
          <w:rStyle w:val="FootnoteReference"/>
        </w:rPr>
        <w:footnoteReference w:id="52"/>
      </w:r>
      <w:r w:rsidRPr="00DD4FDD">
        <w:t>.</w:t>
      </w:r>
      <w:r w:rsidR="0085334F" w:rsidRPr="00DD4FDD">
        <w:t xml:space="preserve"> Il a été condamné le </w:t>
      </w:r>
      <w:r w:rsidR="00DD4FDD" w:rsidRPr="00DD4FDD">
        <w:t>28 novembre 2016</w:t>
      </w:r>
      <w:r w:rsidR="0085334F" w:rsidRPr="00DD4FDD">
        <w:t xml:space="preserve"> à un an d’emprisonnement.</w:t>
      </w:r>
    </w:p>
    <w:p w14:paraId="737CD942" w14:textId="77777777" w:rsidR="00FF695B" w:rsidRPr="0085334F" w:rsidRDefault="00FF695B" w:rsidP="00FF695B">
      <w:pPr>
        <w:rPr>
          <w:lang w:val="fr-CH"/>
        </w:rPr>
      </w:pPr>
    </w:p>
    <w:p w14:paraId="3D2562EC" w14:textId="720169CC" w:rsidR="0085334F" w:rsidRDefault="00FF695B" w:rsidP="00FF695B">
      <w:r>
        <w:t>L’article 96 du Code pénal, punit quiconque «</w:t>
      </w:r>
      <w:r w:rsidR="00DD4FDD">
        <w:t xml:space="preserve"> </w:t>
      </w:r>
      <w:r>
        <w:t>distribue ou vend des tracts «</w:t>
      </w:r>
      <w:r w:rsidR="00DD4FDD">
        <w:t xml:space="preserve"> </w:t>
      </w:r>
      <w:r>
        <w:t>de nature à nuire à l’intérêt national est puni d’une peine d’emprisonnement allant de six mois à trois ans et d’une amende de 3 600 à 36 000 DA » et ajoute que lorsque les « tracts, bulletins ou papillons sont d’origine ou d’inspiration étrangère, l’emprisonnement peut être porté à cinq ans</w:t>
      </w:r>
      <w:r w:rsidR="00DD4FDD">
        <w:t xml:space="preserve"> </w:t>
      </w:r>
      <w:r>
        <w:t xml:space="preserve">». </w:t>
      </w:r>
    </w:p>
    <w:p w14:paraId="5F7EAF50" w14:textId="77777777" w:rsidR="0085334F" w:rsidRDefault="0085334F" w:rsidP="00FF695B"/>
    <w:p w14:paraId="17A7BD27" w14:textId="77159DA6" w:rsidR="00FF695B" w:rsidRDefault="0085334F" w:rsidP="00FF695B">
      <w:r>
        <w:t>Enfin, s</w:t>
      </w:r>
      <w:r w:rsidR="00FF695B">
        <w:t xml:space="preserve">i les délits de presses ont été dépénalisés, le montant des amendes encourues ont été multipliées et sont tellement importantes que les sanctions pécuniaires demeurent dissuasives.  </w:t>
      </w:r>
    </w:p>
    <w:p w14:paraId="19104488" w14:textId="77777777" w:rsidR="00FF695B" w:rsidRPr="00BC4C9B" w:rsidRDefault="00FF695B" w:rsidP="00FF695B">
      <w:pPr>
        <w:rPr>
          <w:lang w:val="fr-CH"/>
        </w:rPr>
      </w:pPr>
    </w:p>
    <w:p w14:paraId="2021D433" w14:textId="73ABE30E" w:rsidR="00FF695B" w:rsidRDefault="00FF695B" w:rsidP="00DD4FDD">
      <w:pPr>
        <w:pStyle w:val="Question"/>
        <w:ind w:right="0"/>
      </w:pPr>
      <w:r w:rsidRPr="00BC4C9B">
        <w:t xml:space="preserve">Quelles ont été les mesures prises pour mettre en œuvre les recommandations du </w:t>
      </w:r>
      <w:r w:rsidR="00FB18B2" w:rsidRPr="00940864">
        <w:t>SRLOE</w:t>
      </w:r>
      <w:r w:rsidR="00FB18B2" w:rsidRPr="00BC4C9B">
        <w:t xml:space="preserve"> </w:t>
      </w:r>
      <w:r>
        <w:t>suite à sa visite du pays ?</w:t>
      </w:r>
    </w:p>
    <w:p w14:paraId="4CD6643F" w14:textId="24328C78" w:rsidR="00FF695B" w:rsidRDefault="00FF695B" w:rsidP="00DD4FDD">
      <w:pPr>
        <w:pStyle w:val="Question"/>
        <w:ind w:right="0"/>
      </w:pPr>
      <w:r>
        <w:t>L’État partie envisage-t-il d’abroger les dispositions du Code Pénal qui criminalise</w:t>
      </w:r>
      <w:r w:rsidR="00FB18B2">
        <w:t>nt</w:t>
      </w:r>
      <w:r>
        <w:t xml:space="preserve"> la liberté d’expression ? </w:t>
      </w:r>
    </w:p>
    <w:p w14:paraId="781006A1" w14:textId="295EB8CA" w:rsidR="00FF695B" w:rsidRPr="00FB18B2" w:rsidRDefault="00FF695B" w:rsidP="00DD4FDD">
      <w:pPr>
        <w:pStyle w:val="Question"/>
        <w:ind w:right="0"/>
      </w:pPr>
      <w:r>
        <w:t>L’État partie envisage-t-il de réduire le montant des sanctions pécuniaires pour les délits de presses ?</w:t>
      </w:r>
    </w:p>
    <w:p w14:paraId="19DB45ED" w14:textId="77777777" w:rsidR="00FF695B" w:rsidRPr="00BC4C9B" w:rsidRDefault="00FF695B" w:rsidP="00FF695B">
      <w:pPr>
        <w:pStyle w:val="Heading3"/>
        <w:rPr>
          <w:lang w:val="fr-CH"/>
        </w:rPr>
      </w:pPr>
      <w:bookmarkStart w:id="34" w:name="_Toc488662990"/>
      <w:r>
        <w:rPr>
          <w:lang w:val="fr-CH"/>
        </w:rPr>
        <w:t>Liberté de la presse</w:t>
      </w:r>
      <w:bookmarkEnd w:id="34"/>
      <w:r>
        <w:rPr>
          <w:lang w:val="fr-CH"/>
        </w:rPr>
        <w:t xml:space="preserve"> </w:t>
      </w:r>
    </w:p>
    <w:p w14:paraId="0C165D42" w14:textId="77777777" w:rsidR="00FF695B" w:rsidRDefault="00FF695B" w:rsidP="00FF695B">
      <w:pPr>
        <w:pStyle w:val="ListParagraph"/>
        <w:ind w:left="0"/>
      </w:pPr>
    </w:p>
    <w:p w14:paraId="51045D61" w14:textId="37D90656" w:rsidR="00FF695B" w:rsidRDefault="00FF695B" w:rsidP="00FB18B2">
      <w:pPr>
        <w:pStyle w:val="ListParagraph"/>
        <w:ind w:left="0"/>
        <w:rPr>
          <w:rFonts w:cs="Tahoma"/>
        </w:rPr>
      </w:pPr>
      <w:r>
        <w:rPr>
          <w:rFonts w:cs="Tahoma"/>
          <w:bCs/>
          <w:lang w:eastAsia="fr-FR"/>
        </w:rPr>
        <w:t xml:space="preserve">Le paysage médiatique algérien demeure dominé par les chaînes </w:t>
      </w:r>
      <w:r w:rsidR="00FB18B2">
        <w:rPr>
          <w:rFonts w:cs="Tahoma"/>
          <w:bCs/>
          <w:lang w:eastAsia="fr-FR"/>
        </w:rPr>
        <w:t xml:space="preserve">et presses </w:t>
      </w:r>
      <w:r>
        <w:rPr>
          <w:rFonts w:cs="Tahoma"/>
          <w:bCs/>
          <w:lang w:eastAsia="fr-FR"/>
        </w:rPr>
        <w:t xml:space="preserve">étatiques </w:t>
      </w:r>
      <w:r w:rsidR="00FB18B2">
        <w:rPr>
          <w:rFonts w:cs="Tahoma"/>
          <w:bCs/>
          <w:lang w:eastAsia="fr-FR"/>
        </w:rPr>
        <w:t>tandis que les médias privés considéré</w:t>
      </w:r>
      <w:r>
        <w:rPr>
          <w:rFonts w:cs="Tahoma"/>
          <w:bCs/>
          <w:lang w:eastAsia="fr-FR"/>
        </w:rPr>
        <w:t xml:space="preserve">s comme critiques envers les autorités font l’objet de représailles. </w:t>
      </w:r>
      <w:r w:rsidRPr="00940864">
        <w:rPr>
          <w:rFonts w:cs="Tahoma"/>
          <w:bCs/>
          <w:lang w:eastAsia="fr-FR"/>
        </w:rPr>
        <w:t xml:space="preserve">Suite aux élections présidentielles d’avril 2014, plusieurs mouvements de contestation pacifique ont été violemment réprimés par les autorités qui ont procédé à des arrestations de journalistes. Plusieurs médias ont été censurés à l’image de </w:t>
      </w:r>
      <w:r w:rsidR="00DD4FDD">
        <w:rPr>
          <w:rFonts w:cs="Tahoma"/>
        </w:rPr>
        <w:t xml:space="preserve">la chaîne de télévision Al </w:t>
      </w:r>
      <w:r w:rsidRPr="00940864">
        <w:rPr>
          <w:rFonts w:cs="Tahoma"/>
        </w:rPr>
        <w:t>Atlas qui avait couvert ces manifestations et diffusé des émissions critiquant les candidatures répétées de Bouteflika</w:t>
      </w:r>
      <w:r w:rsidR="00FB18B2">
        <w:rPr>
          <w:rFonts w:cs="Tahoma"/>
        </w:rPr>
        <w:t xml:space="preserve"> à la présidence de la République. La chaine a été suspendue et s</w:t>
      </w:r>
      <w:r w:rsidRPr="00940864">
        <w:rPr>
          <w:rFonts w:cs="Tahoma"/>
        </w:rPr>
        <w:t>es locaux fermés le 12 mars 2014 sans motif légitime ni procédure légale</w:t>
      </w:r>
      <w:r w:rsidRPr="00940864">
        <w:rPr>
          <w:rStyle w:val="FootnoteReference"/>
          <w:rFonts w:cs="Tahoma"/>
        </w:rPr>
        <w:footnoteReference w:id="53"/>
      </w:r>
      <w:r w:rsidRPr="00940864">
        <w:rPr>
          <w:rFonts w:cs="Tahoma"/>
        </w:rPr>
        <w:t>.</w:t>
      </w:r>
      <w:r w:rsidR="00FB18B2">
        <w:rPr>
          <w:rFonts w:cs="Tahoma"/>
        </w:rPr>
        <w:t xml:space="preserve"> </w:t>
      </w:r>
    </w:p>
    <w:p w14:paraId="2F7F391E" w14:textId="77777777" w:rsidR="00FF695B" w:rsidRPr="00940864" w:rsidRDefault="00FF695B" w:rsidP="00FF695B">
      <w:pPr>
        <w:pStyle w:val="ListParagraph"/>
        <w:ind w:left="0"/>
        <w:rPr>
          <w:rFonts w:eastAsia="Calibri" w:cs="Tahoma"/>
          <w:szCs w:val="20"/>
        </w:rPr>
      </w:pPr>
    </w:p>
    <w:p w14:paraId="3EBEF66F" w14:textId="301DAD69" w:rsidR="00FF695B" w:rsidRDefault="00DD4FDD" w:rsidP="00DD4FDD">
      <w:pPr>
        <w:pStyle w:val="Question"/>
        <w:ind w:right="0"/>
      </w:pPr>
      <w:r>
        <w:t>Quelles</w:t>
      </w:r>
      <w:r w:rsidR="00FF695B" w:rsidRPr="00940864">
        <w:t xml:space="preserve"> mesures </w:t>
      </w:r>
      <w:r>
        <w:t xml:space="preserve">ont été </w:t>
      </w:r>
      <w:r w:rsidR="00FF695B" w:rsidRPr="00940864">
        <w:t xml:space="preserve">prises pour assurer aux </w:t>
      </w:r>
      <w:r w:rsidR="00FB18B2">
        <w:t xml:space="preserve">médias privés la possibilité d’exercer </w:t>
      </w:r>
      <w:r w:rsidR="00FF695B" w:rsidRPr="00940864">
        <w:t>leurs activités librement</w:t>
      </w:r>
      <w:r>
        <w:t> ?</w:t>
      </w:r>
    </w:p>
    <w:p w14:paraId="20733B46" w14:textId="2A379C44" w:rsidR="00FF695B" w:rsidRPr="0085334F" w:rsidRDefault="00DD4FDD" w:rsidP="00DD4FDD">
      <w:pPr>
        <w:pStyle w:val="Question"/>
        <w:ind w:right="0"/>
      </w:pPr>
      <w:r>
        <w:t>Quelles</w:t>
      </w:r>
      <w:r w:rsidRPr="00940864">
        <w:t xml:space="preserve"> mesures </w:t>
      </w:r>
      <w:r>
        <w:t xml:space="preserve">ont été </w:t>
      </w:r>
      <w:r w:rsidRPr="00940864">
        <w:t xml:space="preserve">prises </w:t>
      </w:r>
      <w:r w:rsidR="00FF695B">
        <w:t>p</w:t>
      </w:r>
      <w:r>
        <w:t>our assurer l</w:t>
      </w:r>
      <w:r w:rsidR="00FF695B">
        <w:t xml:space="preserve">’indépendance du </w:t>
      </w:r>
      <w:r w:rsidR="00FF695B" w:rsidRPr="00BC4C9B">
        <w:t>Conseil Supérieur de l’Ethique et de la Déontologie</w:t>
      </w:r>
      <w:r>
        <w:t> ?</w:t>
      </w:r>
    </w:p>
    <w:p w14:paraId="7FB5B93A" w14:textId="3C697B8B" w:rsidR="00FF695B" w:rsidRPr="00940864" w:rsidRDefault="00FF695B" w:rsidP="00136E99">
      <w:pPr>
        <w:pStyle w:val="Heading3"/>
        <w:numPr>
          <w:ilvl w:val="2"/>
          <w:numId w:val="7"/>
        </w:numPr>
        <w:rPr>
          <w:lang w:val="fr-CH"/>
        </w:rPr>
      </w:pPr>
      <w:bookmarkStart w:id="35" w:name="_Toc488662991"/>
      <w:r w:rsidRPr="00940864">
        <w:rPr>
          <w:lang w:val="fr-CH"/>
        </w:rPr>
        <w:t>Conséquences de la Charte de 2006 sur la liberté d’expression</w:t>
      </w:r>
      <w:bookmarkEnd w:id="35"/>
    </w:p>
    <w:p w14:paraId="0ACED432" w14:textId="77777777" w:rsidR="0085334F" w:rsidRDefault="0085334F" w:rsidP="00FF695B">
      <w:pPr>
        <w:rPr>
          <w:lang w:val="fr-CH" w:eastAsia="fr-FR"/>
        </w:rPr>
      </w:pPr>
    </w:p>
    <w:p w14:paraId="218D3114" w14:textId="346AE901" w:rsidR="00FF695B" w:rsidRPr="00940864" w:rsidRDefault="00FF695B" w:rsidP="00FB18B2">
      <w:pPr>
        <w:rPr>
          <w:rFonts w:cs="Tahoma"/>
          <w:bCs/>
          <w:lang w:val="fr-CH" w:eastAsia="fr-FR"/>
        </w:rPr>
      </w:pPr>
      <w:r>
        <w:rPr>
          <w:lang w:val="fr-CH"/>
        </w:rPr>
        <w:t xml:space="preserve">Le Comité a exprimé à maintes reprises sa </w:t>
      </w:r>
      <w:r w:rsidRPr="00DD4FDD">
        <w:rPr>
          <w:szCs w:val="20"/>
          <w:lang w:val="fr-CH"/>
        </w:rPr>
        <w:t>préoccupation</w:t>
      </w:r>
      <w:r w:rsidRPr="00DD4FDD">
        <w:rPr>
          <w:rStyle w:val="FootnoteReference"/>
          <w:szCs w:val="20"/>
          <w:lang w:val="fr-CH"/>
        </w:rPr>
        <w:footnoteReference w:id="54"/>
      </w:r>
      <w:r w:rsidRPr="00DD4FDD">
        <w:rPr>
          <w:szCs w:val="20"/>
          <w:lang w:val="fr-CH"/>
        </w:rPr>
        <w:t xml:space="preserve"> quant</w:t>
      </w:r>
      <w:r>
        <w:rPr>
          <w:lang w:val="fr-CH"/>
        </w:rPr>
        <w:t xml:space="preserve"> à l</w:t>
      </w:r>
      <w:r w:rsidRPr="00BC4C9B">
        <w:rPr>
          <w:lang w:val="fr-CH"/>
        </w:rPr>
        <w:t>’article 46 de</w:t>
      </w:r>
      <w:r w:rsidR="00FB18B2">
        <w:rPr>
          <w:lang w:val="fr-CH"/>
        </w:rPr>
        <w:t xml:space="preserve"> l’Ordonnance de 2006 qui prévoit des peines d’emprisonnement de trois à cinq ans contre toute personne qui dénonce les violations commises par les agents de l’Etat durant le conflit armé interne</w:t>
      </w:r>
      <w:r w:rsidRPr="00BC4C9B">
        <w:rPr>
          <w:lang w:val="fr-CH"/>
        </w:rPr>
        <w:t>. Cette</w:t>
      </w:r>
      <w:r w:rsidRPr="00BC4C9B">
        <w:rPr>
          <w:rFonts w:cs="Tahoma"/>
          <w:bCs/>
          <w:lang w:val="fr-CH" w:eastAsia="fr-FR"/>
        </w:rPr>
        <w:t xml:space="preserve"> disposition qui viole </w:t>
      </w:r>
      <w:r w:rsidRPr="00BC4C9B">
        <w:rPr>
          <w:rFonts w:cs="Tahoma"/>
          <w:lang w:val="fr-CH" w:eastAsia="fr-FR"/>
        </w:rPr>
        <w:t xml:space="preserve">les obligations internationales de l’Algérie en vertu de l’article 19 du PIDCP est utilisée pour réduire au silence toute demande de vérité et de justice des victimes de violations graves commises durant la guerre civile et de leurs familles.  </w:t>
      </w:r>
    </w:p>
    <w:p w14:paraId="40A07FBE" w14:textId="77777777" w:rsidR="00FF695B" w:rsidRDefault="00FF695B" w:rsidP="00FF695B">
      <w:pPr>
        <w:rPr>
          <w:rFonts w:cs="Tahoma"/>
          <w:lang w:val="fr-CH" w:eastAsia="fr-FR"/>
        </w:rPr>
      </w:pPr>
    </w:p>
    <w:p w14:paraId="68516DB1" w14:textId="59E64C86" w:rsidR="00FF695B" w:rsidRPr="00940864" w:rsidRDefault="00FF695B" w:rsidP="00DD4FDD">
      <w:pPr>
        <w:pStyle w:val="Question"/>
        <w:ind w:right="0"/>
      </w:pPr>
      <w:r>
        <w:t xml:space="preserve">L’État partie envisage-t-il d’abroger l’article 46 de l’Ordonnance </w:t>
      </w:r>
      <w:r w:rsidR="00DD4FDD">
        <w:t>n°</w:t>
      </w:r>
      <w:r>
        <w:t xml:space="preserve">01-06 afin de le rendre conforme à l’article </w:t>
      </w:r>
      <w:r w:rsidR="00FB18B2">
        <w:t>19 du Pacte ?</w:t>
      </w:r>
    </w:p>
    <w:p w14:paraId="16EA1F0E" w14:textId="77777777" w:rsidR="00FF695B" w:rsidRPr="00AB33E2" w:rsidRDefault="00FF695B" w:rsidP="00FF695B">
      <w:pPr>
        <w:pStyle w:val="Heading3"/>
        <w:rPr>
          <w:lang w:val="fr-CH"/>
        </w:rPr>
      </w:pPr>
      <w:bookmarkStart w:id="36" w:name="_Toc488662992"/>
      <w:r w:rsidRPr="00AB33E2">
        <w:rPr>
          <w:lang w:val="fr-CH"/>
        </w:rPr>
        <w:t>Restrictions dues à la loi antiterroriste</w:t>
      </w:r>
      <w:bookmarkEnd w:id="36"/>
      <w:r w:rsidRPr="00AB33E2">
        <w:rPr>
          <w:lang w:val="fr-CH"/>
        </w:rPr>
        <w:t xml:space="preserve"> </w:t>
      </w:r>
    </w:p>
    <w:p w14:paraId="2EB62A50" w14:textId="77777777" w:rsidR="00FF695B" w:rsidRPr="00AB33E2" w:rsidRDefault="00FF695B" w:rsidP="00FF695B">
      <w:pPr>
        <w:rPr>
          <w:lang w:val="fr-CH"/>
        </w:rPr>
      </w:pPr>
    </w:p>
    <w:p w14:paraId="1D820AD1" w14:textId="467EFAAF" w:rsidR="00FF695B" w:rsidRDefault="00FF695B" w:rsidP="00DD4FDD">
      <w:r w:rsidRPr="00AB33E2">
        <w:t xml:space="preserve">L’article 87 </w:t>
      </w:r>
      <w:r w:rsidRPr="00AB33E2">
        <w:rPr>
          <w:i/>
          <w:iCs/>
        </w:rPr>
        <w:t>bis</w:t>
      </w:r>
      <w:r w:rsidRPr="00AB33E2">
        <w:t xml:space="preserve"> du CP modifié par la loi n° 14-01 du 4 février 2014 ne définit pas l’acte de terrorisme de manière claire, précise et prévisible et criminalise des actes relevant de la liberté d’opinion, d’expression et de rassemblement pacifique.</w:t>
      </w:r>
      <w:r>
        <w:t xml:space="preserve"> </w:t>
      </w:r>
      <w:r w:rsidR="00FB18B2">
        <w:t>C’est n</w:t>
      </w:r>
      <w:r>
        <w:t>otamment, l</w:t>
      </w:r>
      <w:r w:rsidRPr="00AB33E2">
        <w:t xml:space="preserve">e </w:t>
      </w:r>
      <w:r w:rsidR="00FB18B2">
        <w:t xml:space="preserve">cas du </w:t>
      </w:r>
      <w:r w:rsidRPr="00AB33E2">
        <w:t>crime d’« apologie du terrorisme »</w:t>
      </w:r>
      <w:r w:rsidRPr="00AB33E2">
        <w:rPr>
          <w:rStyle w:val="FootnoteReference"/>
        </w:rPr>
        <w:footnoteReference w:id="55"/>
      </w:r>
      <w:r w:rsidRPr="00AB33E2">
        <w:t xml:space="preserve"> prévu par ce texte criminalise les critiques </w:t>
      </w:r>
      <w:r w:rsidR="00FB18B2">
        <w:t>exprimées par des bloggeurs et autres activistes pacifiques sur les réseaux sociaux</w:t>
      </w:r>
      <w:r w:rsidRPr="00AB33E2">
        <w:t xml:space="preserve">. </w:t>
      </w:r>
    </w:p>
    <w:p w14:paraId="20E5BFE8" w14:textId="77777777" w:rsidR="00FF695B" w:rsidRDefault="00FF695B" w:rsidP="00FF695B"/>
    <w:p w14:paraId="7B8649FD" w14:textId="73128785" w:rsidR="00FF695B" w:rsidRPr="00DD4FDD" w:rsidRDefault="00FF695B" w:rsidP="00DD4FDD">
      <w:pPr>
        <w:pStyle w:val="CASES"/>
        <w:ind w:left="0"/>
      </w:pPr>
      <w:r w:rsidRPr="00AB33E2">
        <w:t xml:space="preserve">Ainsi, en juillet 2012, </w:t>
      </w:r>
      <w:r w:rsidRPr="00AB33E2">
        <w:rPr>
          <w:b/>
          <w:bCs/>
        </w:rPr>
        <w:t>Saber Saidi</w:t>
      </w:r>
      <w:r w:rsidRPr="00AB33E2">
        <w:t xml:space="preserve"> a été arrêté et inculpé pour avoir mis en ligne des vidéos en rapport avec le printemps arabe</w:t>
      </w:r>
      <w:r w:rsidRPr="00AB33E2">
        <w:rPr>
          <w:rStyle w:val="FootnoteReference"/>
          <w:rFonts w:cs="Tahoma"/>
          <w:szCs w:val="20"/>
        </w:rPr>
        <w:footnoteReference w:id="56"/>
      </w:r>
      <w:r w:rsidRPr="00AB33E2">
        <w:t xml:space="preserve">, et en novembre 2015 deux jeunes activistes des droits de l’homme, </w:t>
      </w:r>
      <w:r w:rsidRPr="00AB33E2">
        <w:rPr>
          <w:b/>
          <w:bCs/>
        </w:rPr>
        <w:t>Tijani Ben Derrah</w:t>
      </w:r>
      <w:r w:rsidRPr="00AB33E2">
        <w:t xml:space="preserve"> et </w:t>
      </w:r>
      <w:r w:rsidRPr="00AB33E2">
        <w:rPr>
          <w:b/>
          <w:bCs/>
        </w:rPr>
        <w:t>Adel Al Ayachi</w:t>
      </w:r>
      <w:r w:rsidRPr="00AB33E2">
        <w:t>, ont été poursuivis pour avoir manifesté pacifiquement pour la liberté d'expression et la libération d’autre activistes emprisonnés</w:t>
      </w:r>
      <w:r w:rsidRPr="00AB33E2">
        <w:rPr>
          <w:rStyle w:val="FootnoteReference"/>
          <w:rFonts w:cs="Tahoma"/>
          <w:szCs w:val="20"/>
        </w:rPr>
        <w:footnoteReference w:id="57"/>
      </w:r>
      <w:r w:rsidRPr="00AB33E2">
        <w:t xml:space="preserve">. </w:t>
      </w:r>
    </w:p>
    <w:p w14:paraId="69D16AEA" w14:textId="77777777" w:rsidR="00FF695B" w:rsidRPr="00BC4C9B" w:rsidRDefault="00FF695B" w:rsidP="00FF695B">
      <w:pPr>
        <w:rPr>
          <w:lang w:val="fr-CH"/>
        </w:rPr>
      </w:pPr>
    </w:p>
    <w:p w14:paraId="21FF8487" w14:textId="7C15B8D5" w:rsidR="00FF695B" w:rsidRPr="00A27514" w:rsidRDefault="00DA5EEA" w:rsidP="00FF695B">
      <w:pPr>
        <w:pStyle w:val="Heading2"/>
      </w:pPr>
      <w:bookmarkStart w:id="37" w:name="_Toc488662993"/>
      <w:r>
        <w:t>L</w:t>
      </w:r>
      <w:r w:rsidR="00FF695B" w:rsidRPr="00A27514">
        <w:t>iberté d’assemblée et de réunion pacifique</w:t>
      </w:r>
      <w:bookmarkEnd w:id="37"/>
    </w:p>
    <w:p w14:paraId="628BE9A3" w14:textId="77777777" w:rsidR="00FF695B" w:rsidRPr="00A27514" w:rsidRDefault="00FF695B" w:rsidP="00FF695B">
      <w:pPr>
        <w:rPr>
          <w:lang w:val="fr-CH"/>
        </w:rPr>
      </w:pPr>
    </w:p>
    <w:p w14:paraId="2C8EEDB4" w14:textId="57548018" w:rsidR="00FF695B" w:rsidRPr="00A27514" w:rsidRDefault="00DD4FDD" w:rsidP="00DD4FDD">
      <w:pPr>
        <w:rPr>
          <w:lang w:val="fr-CH"/>
        </w:rPr>
      </w:pPr>
      <w:r>
        <w:rPr>
          <w:lang w:val="fr-CH"/>
        </w:rPr>
        <w:t>La loi n°</w:t>
      </w:r>
      <w:r w:rsidR="00FF695B" w:rsidRPr="00A27514">
        <w:rPr>
          <w:lang w:val="fr-CH"/>
        </w:rPr>
        <w:t xml:space="preserve"> 91-19 </w:t>
      </w:r>
      <w:r w:rsidR="00DA5EEA">
        <w:rPr>
          <w:lang w:val="fr-CH"/>
        </w:rPr>
        <w:t>restreint de manière draconienne la liberté de rassemblement pacifique.</w:t>
      </w:r>
      <w:r>
        <w:rPr>
          <w:lang w:val="fr-CH"/>
        </w:rPr>
        <w:t xml:space="preserve"> </w:t>
      </w:r>
      <w:r w:rsidR="00DA5EEA">
        <w:rPr>
          <w:lang w:val="fr-CH"/>
        </w:rPr>
        <w:t>Les manifestations sont soumises à une autorisation de l’exécutif et à un préavis excessif de</w:t>
      </w:r>
      <w:r w:rsidR="00FF695B" w:rsidRPr="00A27514">
        <w:rPr>
          <w:lang w:val="fr-CH"/>
        </w:rPr>
        <w:t xml:space="preserve"> huit jours</w:t>
      </w:r>
      <w:r w:rsidR="00DA5EEA">
        <w:rPr>
          <w:lang w:val="fr-CH"/>
        </w:rPr>
        <w:t xml:space="preserve">. La loi prévoit des sanctions pénales </w:t>
      </w:r>
      <w:r w:rsidR="00FF695B" w:rsidRPr="00A27514">
        <w:rPr>
          <w:lang w:val="fr-CH"/>
        </w:rPr>
        <w:t xml:space="preserve">pour tout regroupement ne remplissant pas ces conditions. </w:t>
      </w:r>
    </w:p>
    <w:p w14:paraId="0241E3EB" w14:textId="77777777" w:rsidR="00FF695B" w:rsidRPr="00A27514" w:rsidRDefault="00FF695B" w:rsidP="00FF695B">
      <w:pPr>
        <w:rPr>
          <w:lang w:val="fr-CH"/>
        </w:rPr>
      </w:pPr>
    </w:p>
    <w:p w14:paraId="2C6E5579" w14:textId="290BB847" w:rsidR="00DA5EEA" w:rsidRDefault="00DD4FDD" w:rsidP="00FF695B">
      <w:pPr>
        <w:rPr>
          <w:lang w:val="fr-CH"/>
        </w:rPr>
      </w:pPr>
      <w:r>
        <w:rPr>
          <w:lang w:val="fr-CH"/>
        </w:rPr>
        <w:t>En outre, l</w:t>
      </w:r>
      <w:r w:rsidR="00FF695B" w:rsidRPr="00A27514">
        <w:rPr>
          <w:lang w:val="fr-CH"/>
        </w:rPr>
        <w:t>’article 98 du Code pénal criminalise les « attroupements non armés »</w:t>
      </w:r>
      <w:r w:rsidR="00DA5EEA">
        <w:rPr>
          <w:lang w:val="fr-CH"/>
        </w:rPr>
        <w:t xml:space="preserve"> c'est-à-dire les manifestations pacifiques non autorisées par l’exécutif</w:t>
      </w:r>
      <w:r w:rsidR="00FF695B" w:rsidRPr="00A27514">
        <w:rPr>
          <w:lang w:val="fr-CH"/>
        </w:rPr>
        <w:t xml:space="preserve">. </w:t>
      </w:r>
    </w:p>
    <w:p w14:paraId="4F6F8288" w14:textId="77777777" w:rsidR="00DA5EEA" w:rsidRDefault="00DA5EEA" w:rsidP="00FF695B">
      <w:pPr>
        <w:rPr>
          <w:lang w:val="fr-CH"/>
        </w:rPr>
      </w:pPr>
    </w:p>
    <w:p w14:paraId="34D15376" w14:textId="16726E9B" w:rsidR="00FF695B" w:rsidRDefault="00DA5EEA" w:rsidP="00DA5EEA">
      <w:pPr>
        <w:rPr>
          <w:lang w:val="fr-CH"/>
        </w:rPr>
      </w:pPr>
      <w:r>
        <w:rPr>
          <w:lang w:val="fr-CH"/>
        </w:rPr>
        <w:t>Enfin</w:t>
      </w:r>
      <w:r w:rsidR="00DD4FDD">
        <w:rPr>
          <w:lang w:val="fr-CH"/>
        </w:rPr>
        <w:t>,</w:t>
      </w:r>
      <w:r>
        <w:rPr>
          <w:lang w:val="fr-CH"/>
        </w:rPr>
        <w:t xml:space="preserve"> et n</w:t>
      </w:r>
      <w:r w:rsidR="00FF695B" w:rsidRPr="00A27514">
        <w:rPr>
          <w:lang w:val="fr-CH"/>
        </w:rPr>
        <w:t>onobstant la levée de l’</w:t>
      </w:r>
      <w:r>
        <w:rPr>
          <w:lang w:val="fr-CH"/>
        </w:rPr>
        <w:t>état d’urgence en 2011, l’interdiction de manifester est maintenu</w:t>
      </w:r>
      <w:r w:rsidR="00DD4FDD">
        <w:rPr>
          <w:lang w:val="fr-CH"/>
        </w:rPr>
        <w:t>e</w:t>
      </w:r>
      <w:r>
        <w:rPr>
          <w:lang w:val="fr-CH"/>
        </w:rPr>
        <w:t xml:space="preserve"> </w:t>
      </w:r>
      <w:r w:rsidR="00FF695B" w:rsidRPr="00A27514">
        <w:rPr>
          <w:lang w:val="fr-CH"/>
        </w:rPr>
        <w:t xml:space="preserve">dans la capitale. En vertu d'un décret promulgué en 2011, les réunions publiques restent interdites dans la </w:t>
      </w:r>
      <w:r w:rsidR="00FF695B" w:rsidRPr="00A27514">
        <w:rPr>
          <w:i/>
          <w:iCs/>
          <w:lang w:val="fr-CH"/>
        </w:rPr>
        <w:t>wilaya</w:t>
      </w:r>
      <w:r w:rsidR="00FF695B" w:rsidRPr="00A27514">
        <w:rPr>
          <w:lang w:val="fr-CH"/>
        </w:rPr>
        <w:t xml:space="preserve"> d’Alger et sont violemment réprimées, notamment les manifestations pacifiques de </w:t>
      </w:r>
      <w:r>
        <w:rPr>
          <w:lang w:val="fr-CH"/>
        </w:rPr>
        <w:t>mères de disparus</w:t>
      </w:r>
      <w:r w:rsidR="00FF695B" w:rsidRPr="00A27514">
        <w:rPr>
          <w:lang w:val="fr-CH"/>
        </w:rPr>
        <w:t xml:space="preserve">. </w:t>
      </w:r>
    </w:p>
    <w:p w14:paraId="5D7BAC56" w14:textId="77777777" w:rsidR="00FF695B" w:rsidRPr="00A27514" w:rsidRDefault="00FF695B" w:rsidP="00FF695B">
      <w:pPr>
        <w:rPr>
          <w:lang w:val="fr-CH"/>
        </w:rPr>
      </w:pPr>
    </w:p>
    <w:p w14:paraId="6C8F413F" w14:textId="195E01FD" w:rsidR="00FF695B" w:rsidRPr="00A27514" w:rsidRDefault="00FF695B" w:rsidP="00DD4FDD">
      <w:pPr>
        <w:pStyle w:val="Question"/>
        <w:tabs>
          <w:tab w:val="left" w:pos="7371"/>
        </w:tabs>
        <w:ind w:right="0"/>
      </w:pPr>
      <w:r w:rsidRPr="00A27514">
        <w:t xml:space="preserve">L’État partie </w:t>
      </w:r>
      <w:r w:rsidR="00DA5EEA">
        <w:t>envisage-t-il de</w:t>
      </w:r>
      <w:r w:rsidRPr="00A27514">
        <w:t xml:space="preserve"> réviser la loi </w:t>
      </w:r>
      <w:r w:rsidR="00DD4FDD">
        <w:t>n°</w:t>
      </w:r>
      <w:r w:rsidRPr="00A27514">
        <w:t xml:space="preserve">91-19 </w:t>
      </w:r>
      <w:r w:rsidR="00DA5EEA">
        <w:t>pour autoriser les manifestations pacifiques sans restrictions</w:t>
      </w:r>
      <w:r w:rsidRPr="00A27514">
        <w:t xml:space="preserve"> ? </w:t>
      </w:r>
    </w:p>
    <w:p w14:paraId="4EC6FE34" w14:textId="3236C7D7" w:rsidR="00FF695B" w:rsidRPr="00A27514" w:rsidRDefault="00DD4FDD" w:rsidP="00DD4FDD">
      <w:pPr>
        <w:pStyle w:val="Question"/>
        <w:tabs>
          <w:tab w:val="left" w:pos="7371"/>
        </w:tabs>
        <w:ind w:right="0"/>
      </w:pPr>
      <w:r>
        <w:t>L’État partie peut-il p</w:t>
      </w:r>
      <w:r w:rsidR="00FF695B" w:rsidRPr="00A27514">
        <w:t>réciser les critères pour déclarer qu’une réunion est illégale ou menace l’ordre public et fournir des statistiques relatives au nombre de refus</w:t>
      </w:r>
      <w:r>
        <w:t> ?</w:t>
      </w:r>
    </w:p>
    <w:p w14:paraId="39DA09C8" w14:textId="7A07D407" w:rsidR="00DA5EEA" w:rsidRPr="00DA5EEA" w:rsidRDefault="00DD4FDD" w:rsidP="00DD4FDD">
      <w:pPr>
        <w:pStyle w:val="Question"/>
        <w:tabs>
          <w:tab w:val="left" w:pos="7371"/>
        </w:tabs>
        <w:ind w:right="0"/>
      </w:pPr>
      <w:r>
        <w:t>L’État partie peut-il p</w:t>
      </w:r>
      <w:r w:rsidR="00FF695B" w:rsidRPr="00A27514">
        <w:t>réciser les mesures prises pour prévenir le recours excessif à la force par les agents de la force publique en cas de dispersement de rassemblements</w:t>
      </w:r>
      <w:r>
        <w:t> ?</w:t>
      </w:r>
    </w:p>
    <w:p w14:paraId="471B78F4" w14:textId="77777777" w:rsidR="00FF695B" w:rsidRPr="00BC4C9B" w:rsidRDefault="00FF695B" w:rsidP="00FF695B">
      <w:pPr>
        <w:pStyle w:val="Heading2"/>
      </w:pPr>
      <w:bookmarkStart w:id="38" w:name="_Toc488662994"/>
      <w:r w:rsidRPr="00BC4C9B">
        <w:t>Liberté d’association</w:t>
      </w:r>
      <w:bookmarkEnd w:id="38"/>
    </w:p>
    <w:p w14:paraId="03FC0674" w14:textId="77777777" w:rsidR="00FF695B" w:rsidRPr="00BC4C9B" w:rsidRDefault="00FF695B" w:rsidP="00FF695B">
      <w:pPr>
        <w:rPr>
          <w:rFonts w:ascii="CenturyGothic" w:hAnsi="CenturyGothic" w:cs="CenturyGothic"/>
          <w:color w:val="231F20"/>
          <w:sz w:val="24"/>
          <w:szCs w:val="24"/>
          <w:lang w:val="fr-CH" w:eastAsia="fr-CH"/>
        </w:rPr>
      </w:pPr>
      <w:r w:rsidRPr="00BC4C9B">
        <w:rPr>
          <w:rFonts w:ascii="CenturyGothic" w:hAnsi="CenturyGothic" w:cs="CenturyGothic"/>
          <w:color w:val="231F20"/>
          <w:sz w:val="24"/>
          <w:szCs w:val="24"/>
          <w:lang w:val="fr-CH" w:eastAsia="fr-CH"/>
        </w:rPr>
        <w:t xml:space="preserve"> </w:t>
      </w:r>
    </w:p>
    <w:p w14:paraId="76905380" w14:textId="2BEDB75F" w:rsidR="00FF695B" w:rsidRDefault="00FF695B" w:rsidP="00DA5EEA">
      <w:pPr>
        <w:rPr>
          <w:lang w:eastAsia="fr-FR"/>
        </w:rPr>
      </w:pPr>
      <w:r w:rsidRPr="001C7ABD">
        <w:t xml:space="preserve">Si </w:t>
      </w:r>
      <w:r w:rsidRPr="00DA5EEA">
        <w:t xml:space="preserve">la loi </w:t>
      </w:r>
      <w:r w:rsidR="00DA5EEA" w:rsidRPr="00DA5EEA">
        <w:t>n°</w:t>
      </w:r>
      <w:r w:rsidRPr="00DA5EEA">
        <w:t xml:space="preserve"> 12-06 du 12 janvier 2012 relative aux associations prévoit un régime déclaratoire, </w:t>
      </w:r>
      <w:r w:rsidR="00DA5EEA">
        <w:t xml:space="preserve">de fait </w:t>
      </w:r>
      <w:r w:rsidRPr="00DA5EEA">
        <w:t xml:space="preserve">les </w:t>
      </w:r>
      <w:r w:rsidR="00DA5EEA">
        <w:t>associations</w:t>
      </w:r>
      <w:r w:rsidRPr="00DA5EEA">
        <w:rPr>
          <w:lang w:eastAsia="fr-FR"/>
        </w:rPr>
        <w:t xml:space="preserve"> de droits de l’homme notamment se voient</w:t>
      </w:r>
      <w:r>
        <w:rPr>
          <w:lang w:eastAsia="fr-FR"/>
        </w:rPr>
        <w:t xml:space="preserve"> </w:t>
      </w:r>
      <w:r w:rsidR="00DA5EEA">
        <w:rPr>
          <w:lang w:eastAsia="fr-FR"/>
        </w:rPr>
        <w:t xml:space="preserve">systématiquement </w:t>
      </w:r>
      <w:r>
        <w:rPr>
          <w:lang w:eastAsia="fr-FR"/>
        </w:rPr>
        <w:t>refuser le récépissé</w:t>
      </w:r>
      <w:r w:rsidR="00DA5EEA">
        <w:rPr>
          <w:lang w:eastAsia="fr-FR"/>
        </w:rPr>
        <w:t xml:space="preserve"> de dépôt de dossier</w:t>
      </w:r>
      <w:r>
        <w:rPr>
          <w:lang w:eastAsia="fr-FR"/>
        </w:rPr>
        <w:t xml:space="preserve"> </w:t>
      </w:r>
      <w:r w:rsidR="00DA5EEA">
        <w:rPr>
          <w:lang w:eastAsia="fr-FR"/>
        </w:rPr>
        <w:t xml:space="preserve">sans motif </w:t>
      </w:r>
      <w:r>
        <w:rPr>
          <w:lang w:eastAsia="fr-FR"/>
        </w:rPr>
        <w:t>e</w:t>
      </w:r>
      <w:r w:rsidR="00DA5EEA">
        <w:rPr>
          <w:lang w:eastAsia="fr-FR"/>
        </w:rPr>
        <w:t>t</w:t>
      </w:r>
      <w:r>
        <w:rPr>
          <w:lang w:eastAsia="fr-FR"/>
        </w:rPr>
        <w:t xml:space="preserve"> leurs activités sont en pratique interdites. </w:t>
      </w:r>
    </w:p>
    <w:p w14:paraId="19E03AA8" w14:textId="77777777" w:rsidR="00FF695B" w:rsidRDefault="00FF695B" w:rsidP="00FF695B">
      <w:pPr>
        <w:rPr>
          <w:lang w:eastAsia="fr-FR"/>
        </w:rPr>
      </w:pPr>
    </w:p>
    <w:p w14:paraId="4A36FAE6" w14:textId="3F22DB55" w:rsidR="00FF695B" w:rsidRPr="00BC4C9B" w:rsidRDefault="00DA5EEA" w:rsidP="009A658B">
      <w:pPr>
        <w:rPr>
          <w:rFonts w:cs="Tahoma"/>
          <w:lang w:val="fr-CH"/>
        </w:rPr>
      </w:pPr>
      <w:r>
        <w:rPr>
          <w:rFonts w:cs="Tahoma"/>
          <w:lang w:val="fr-CH"/>
        </w:rPr>
        <w:t>En effet, cette loi</w:t>
      </w:r>
      <w:r w:rsidR="00FF695B" w:rsidRPr="00BC4C9B">
        <w:rPr>
          <w:rFonts w:cs="Tahoma"/>
          <w:lang w:val="fr-CH"/>
        </w:rPr>
        <w:t xml:space="preserve"> imp</w:t>
      </w:r>
      <w:r>
        <w:rPr>
          <w:rFonts w:cs="Tahoma"/>
          <w:lang w:val="fr-CH"/>
        </w:rPr>
        <w:t xml:space="preserve">ose qui de nombreuses restrictions donne à </w:t>
      </w:r>
      <w:r w:rsidR="00FF695B" w:rsidRPr="00BC4C9B">
        <w:rPr>
          <w:rFonts w:cs="Tahoma"/>
          <w:lang w:val="fr-CH"/>
        </w:rPr>
        <w:t xml:space="preserve">l’exécutif le pouvoir discrétionnaire de refuser l’enregistrement d’associations au prétexte qu’elles seraient contraires aux « constantes et aux valeurs nationales, à l’ordre public, aux bonnes mœurs et aux dispositions des lois en vigueur ». Suite à l’adoption de </w:t>
      </w:r>
      <w:r w:rsidR="009A658B">
        <w:rPr>
          <w:rFonts w:cs="Tahoma"/>
          <w:lang w:val="fr-CH"/>
        </w:rPr>
        <w:t>la</w:t>
      </w:r>
      <w:r w:rsidR="00FF695B" w:rsidRPr="00BC4C9B">
        <w:rPr>
          <w:rFonts w:cs="Tahoma"/>
          <w:lang w:val="fr-CH"/>
        </w:rPr>
        <w:t xml:space="preserve"> loi, </w:t>
      </w:r>
      <w:r w:rsidR="00FF695B" w:rsidRPr="00BC4C9B">
        <w:rPr>
          <w:rFonts w:cs="Tahoma"/>
          <w:color w:val="000000"/>
          <w:lang w:val="fr-CH"/>
        </w:rPr>
        <w:t>deux tiers des associations officiellement recensées à la fin 2011 par le ministère de l’Intérieur auraient disparu ou n’auraient pas</w:t>
      </w:r>
      <w:r w:rsidR="009A658B">
        <w:rPr>
          <w:rFonts w:cs="Tahoma"/>
          <w:color w:val="000000"/>
          <w:lang w:val="fr-CH"/>
        </w:rPr>
        <w:t xml:space="preserve"> pu </w:t>
      </w:r>
      <w:r w:rsidR="009A658B" w:rsidRPr="00BC4C9B">
        <w:rPr>
          <w:rFonts w:cs="Tahoma"/>
          <w:color w:val="000000"/>
          <w:lang w:val="fr-CH"/>
        </w:rPr>
        <w:t>renouveler</w:t>
      </w:r>
      <w:r w:rsidR="00FF695B" w:rsidRPr="00BC4C9B">
        <w:rPr>
          <w:rFonts w:cs="Tahoma"/>
          <w:color w:val="000000"/>
          <w:lang w:val="fr-CH"/>
        </w:rPr>
        <w:t xml:space="preserve"> leur agrément </w:t>
      </w:r>
      <w:r w:rsidR="009A658B">
        <w:rPr>
          <w:rFonts w:cs="Tahoma"/>
          <w:color w:val="000000"/>
          <w:lang w:val="fr-CH"/>
        </w:rPr>
        <w:t>en</w:t>
      </w:r>
      <w:r w:rsidR="00FF695B" w:rsidRPr="00BC4C9B">
        <w:rPr>
          <w:rFonts w:cs="Tahoma"/>
          <w:color w:val="000000"/>
          <w:lang w:val="fr-CH"/>
        </w:rPr>
        <w:t xml:space="preserve"> 2015</w:t>
      </w:r>
      <w:r w:rsidR="00FF695B" w:rsidRPr="00BC4C9B">
        <w:rPr>
          <w:rStyle w:val="FootnoteReference"/>
          <w:rFonts w:cs="Tahoma"/>
          <w:color w:val="000000"/>
          <w:lang w:val="fr-CH"/>
        </w:rPr>
        <w:footnoteReference w:id="58"/>
      </w:r>
      <w:r w:rsidR="00FF695B" w:rsidRPr="00BC4C9B">
        <w:rPr>
          <w:rFonts w:cs="Tahoma"/>
          <w:color w:val="000000"/>
          <w:lang w:val="fr-CH"/>
        </w:rPr>
        <w:t xml:space="preserve">. </w:t>
      </w:r>
    </w:p>
    <w:p w14:paraId="3A44286A" w14:textId="77777777" w:rsidR="00FF695B" w:rsidRDefault="00FF695B" w:rsidP="00FF695B">
      <w:pPr>
        <w:rPr>
          <w:lang w:eastAsia="fr-FR"/>
        </w:rPr>
      </w:pPr>
    </w:p>
    <w:p w14:paraId="63CF42B2" w14:textId="5E8F6E49" w:rsidR="00FF695B" w:rsidRDefault="00FF695B" w:rsidP="00B37CC1">
      <w:pPr>
        <w:rPr>
          <w:lang w:eastAsia="fr-FR"/>
        </w:rPr>
      </w:pPr>
      <w:r>
        <w:rPr>
          <w:lang w:eastAsia="fr-FR"/>
        </w:rPr>
        <w:t xml:space="preserve">Les articles 23 et 30 de la loi </w:t>
      </w:r>
      <w:r w:rsidR="00DD4FDD">
        <w:rPr>
          <w:lang w:eastAsia="fr-FR"/>
        </w:rPr>
        <w:t>n°</w:t>
      </w:r>
      <w:r>
        <w:rPr>
          <w:lang w:eastAsia="fr-FR"/>
        </w:rPr>
        <w:t xml:space="preserve">12-06 </w:t>
      </w:r>
      <w:r w:rsidR="009A658B">
        <w:rPr>
          <w:lang w:eastAsia="fr-FR"/>
        </w:rPr>
        <w:t>prévoient</w:t>
      </w:r>
      <w:r>
        <w:rPr>
          <w:lang w:eastAsia="fr-FR"/>
        </w:rPr>
        <w:t xml:space="preserve"> que la coopération des associations avec des organisations internationales et étrangères ainsi que le financemen</w:t>
      </w:r>
      <w:r w:rsidR="009A658B">
        <w:rPr>
          <w:lang w:eastAsia="fr-FR"/>
        </w:rPr>
        <w:t>t de l’étranger sont soumises à</w:t>
      </w:r>
      <w:r>
        <w:rPr>
          <w:lang w:eastAsia="fr-FR"/>
        </w:rPr>
        <w:t xml:space="preserve"> un accord préalable de l’exécutif. </w:t>
      </w:r>
      <w:r w:rsidRPr="00E3578A">
        <w:t>Enfin toute association considérée comme faisant « ingérence dans les affaires internes du pays ou d’atteinte à la souveraineté nationale » font l’objet d’une suspension de leurs activités</w:t>
      </w:r>
      <w:r w:rsidR="00B37CC1">
        <w:t xml:space="preserve"> (article 39)</w:t>
      </w:r>
      <w:r>
        <w:rPr>
          <w:lang w:val="fr-CH" w:eastAsia="fr-CH"/>
        </w:rPr>
        <w:t>.</w:t>
      </w:r>
    </w:p>
    <w:p w14:paraId="213E9EDA" w14:textId="77777777" w:rsidR="00FF695B" w:rsidRPr="00576ECC" w:rsidRDefault="00FF695B" w:rsidP="00FF695B">
      <w:pPr>
        <w:autoSpaceDE w:val="0"/>
        <w:autoSpaceDN w:val="0"/>
        <w:adjustRightInd w:val="0"/>
        <w:jc w:val="left"/>
        <w:rPr>
          <w:spacing w:val="-3"/>
          <w:lang w:val="fr-CH" w:eastAsia="fr-FR"/>
        </w:rPr>
      </w:pPr>
    </w:p>
    <w:p w14:paraId="7A60D228" w14:textId="6CA3B8BA" w:rsidR="00FF695B" w:rsidRDefault="007B572F" w:rsidP="007B572F">
      <w:pPr>
        <w:pStyle w:val="Question"/>
        <w:ind w:right="0"/>
      </w:pPr>
      <w:r>
        <w:t>L’État partie peut-il f</w:t>
      </w:r>
      <w:r w:rsidR="00FF695B">
        <w:t>ournir des s</w:t>
      </w:r>
      <w:r w:rsidR="00FF695B" w:rsidRPr="00BC4C9B">
        <w:t>tatistiques sur les demandes d’enregistrement, les refus et les raisons</w:t>
      </w:r>
      <w:r w:rsidR="00FF695B">
        <w:t xml:space="preserve"> i</w:t>
      </w:r>
      <w:r w:rsidR="00FF695B" w:rsidRPr="00BC4C9B">
        <w:t>nvoquées</w:t>
      </w:r>
      <w:r>
        <w:t> ?</w:t>
      </w:r>
    </w:p>
    <w:p w14:paraId="6F6B34E0" w14:textId="74427831" w:rsidR="00FF695B" w:rsidRPr="00940864" w:rsidRDefault="007B572F" w:rsidP="007B572F">
      <w:pPr>
        <w:pStyle w:val="Question"/>
        <w:ind w:right="0"/>
      </w:pPr>
      <w:r>
        <w:t>L’État partie peut-il f</w:t>
      </w:r>
      <w:r w:rsidR="00FF695B">
        <w:t>ournir des exemples de recours introduits en justice par des associations et les suites données à ces recours</w:t>
      </w:r>
      <w:r>
        <w:t> ?</w:t>
      </w:r>
    </w:p>
    <w:p w14:paraId="4F299746" w14:textId="04F68124" w:rsidR="00FF695B" w:rsidRDefault="004436B2" w:rsidP="009A658B">
      <w:pPr>
        <w:rPr>
          <w:lang w:eastAsia="fr-FR"/>
        </w:rPr>
      </w:pPr>
      <w:r>
        <w:rPr>
          <w:lang w:eastAsia="fr-FR"/>
        </w:rPr>
        <w:t>Enfin, l</w:t>
      </w:r>
      <w:r w:rsidR="00FF695B" w:rsidRPr="00AA2F9F">
        <w:rPr>
          <w:lang w:eastAsia="fr-FR"/>
        </w:rPr>
        <w:t>es modalités d’exercice du droit syndical sont déterminées par la loi n</w:t>
      </w:r>
      <w:r w:rsidR="00FF695B" w:rsidRPr="00AA2F9F">
        <w:rPr>
          <w:vertAlign w:val="superscript"/>
          <w:lang w:eastAsia="fr-FR"/>
        </w:rPr>
        <w:t>o</w:t>
      </w:r>
      <w:r w:rsidR="00FF695B" w:rsidRPr="00AA2F9F">
        <w:rPr>
          <w:lang w:eastAsia="fr-FR"/>
        </w:rPr>
        <w:t> 90-14 du 2 juin 1990, modifiée et complétée par la loi n</w:t>
      </w:r>
      <w:r w:rsidR="00FF695B" w:rsidRPr="00AA2F9F">
        <w:rPr>
          <w:vertAlign w:val="superscript"/>
          <w:lang w:eastAsia="fr-FR"/>
        </w:rPr>
        <w:t>o</w:t>
      </w:r>
      <w:r w:rsidR="00FF695B" w:rsidRPr="00AA2F9F">
        <w:rPr>
          <w:lang w:eastAsia="fr-FR"/>
        </w:rPr>
        <w:t> 91-30 du 21/12/1991 et l’ordonnance n</w:t>
      </w:r>
      <w:r w:rsidR="00FF695B" w:rsidRPr="00AA2F9F">
        <w:rPr>
          <w:vertAlign w:val="superscript"/>
          <w:lang w:eastAsia="fr-FR"/>
        </w:rPr>
        <w:t>o</w:t>
      </w:r>
      <w:r w:rsidR="00FF695B" w:rsidRPr="00AA2F9F">
        <w:rPr>
          <w:lang w:eastAsia="fr-FR"/>
        </w:rPr>
        <w:t xml:space="preserve"> 96-12 du 10/06/1996. </w:t>
      </w:r>
      <w:r w:rsidR="00FF695B" w:rsidRPr="00AA2F9F">
        <w:t>La procédure applicable à l’enregistrement des syndicats est déclarative selon la loi mais en pratique les syndicats indépendants font face au refus de l</w:t>
      </w:r>
      <w:r w:rsidR="009A658B">
        <w:t>’administration d’enregistrer leur</w:t>
      </w:r>
      <w:r w:rsidR="00FF695B" w:rsidRPr="00AA2F9F">
        <w:t xml:space="preserve"> création.</w:t>
      </w:r>
      <w:r w:rsidR="00FF695B" w:rsidRPr="00AA2F9F">
        <w:rPr>
          <w:rFonts w:ascii="Arial" w:eastAsia="Times New Roman" w:hAnsi="Arial" w:cs="Arial"/>
          <w:sz w:val="28"/>
          <w:szCs w:val="28"/>
          <w:lang w:val="fr-CH" w:eastAsia="fr-CH"/>
        </w:rPr>
        <w:t xml:space="preserve"> </w:t>
      </w:r>
    </w:p>
    <w:p w14:paraId="11D0691F" w14:textId="77777777" w:rsidR="009A658B" w:rsidRPr="009A658B" w:rsidRDefault="009A658B" w:rsidP="009A658B">
      <w:pPr>
        <w:rPr>
          <w:lang w:eastAsia="fr-FR"/>
        </w:rPr>
      </w:pPr>
    </w:p>
    <w:p w14:paraId="526E9D4A" w14:textId="17EBD25A" w:rsidR="00F910BD" w:rsidRPr="00BC4C9B" w:rsidRDefault="004436B2" w:rsidP="004436B2">
      <w:pPr>
        <w:pStyle w:val="Question"/>
        <w:ind w:right="0"/>
      </w:pPr>
      <w:r>
        <w:t>L’État partie peut-il i</w:t>
      </w:r>
      <w:r w:rsidR="00FF695B">
        <w:t xml:space="preserve">ndiquer le nombre de plaintes introduites par </w:t>
      </w:r>
      <w:r w:rsidR="009A658B">
        <w:t>les</w:t>
      </w:r>
      <w:r w:rsidR="00FF695B">
        <w:t xml:space="preserve"> syndicats </w:t>
      </w:r>
      <w:r w:rsidR="00FF695B" w:rsidRPr="00A801DE">
        <w:t>auprès du Ministère du Travail</w:t>
      </w:r>
      <w:r w:rsidR="00FF695B">
        <w:t xml:space="preserve"> suite à des refus d’enregistrement et les suites qui leur ont été données</w:t>
      </w:r>
      <w:r>
        <w:t> ?</w:t>
      </w:r>
    </w:p>
    <w:sectPr w:rsidR="00F910BD" w:rsidRPr="00BC4C9B" w:rsidSect="000270C2">
      <w:headerReference w:type="default" r:id="rId14"/>
      <w:footerReference w:type="default" r:id="rId15"/>
      <w:footerReference w:type="first" r:id="rId16"/>
      <w:pgSz w:w="11906" w:h="16838"/>
      <w:pgMar w:top="1417" w:right="1417" w:bottom="1417" w:left="1417" w:header="567"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BB080" w14:textId="77777777" w:rsidR="00A44985" w:rsidRDefault="00A44985" w:rsidP="00035E42">
      <w:r>
        <w:separator/>
      </w:r>
    </w:p>
  </w:endnote>
  <w:endnote w:type="continuationSeparator" w:id="0">
    <w:p w14:paraId="243B8452" w14:textId="77777777" w:rsidR="00A44985" w:rsidRDefault="00A44985" w:rsidP="0003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Gothic-Identity-H">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AR PL UMing HK">
    <w:altName w:val="MS Mincho"/>
    <w:charset w:val="80"/>
    <w:family w:val="auto"/>
    <w:pitch w:val="variable"/>
  </w:font>
  <w:font w:name="Lohit Hindi">
    <w:altName w:val="MS Mincho"/>
    <w:charset w:val="80"/>
    <w:family w:val="auto"/>
    <w:pitch w:val="variable"/>
  </w:font>
  <w:font w:name="CenturyGoth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3164" w14:textId="77777777" w:rsidR="00A44985" w:rsidRDefault="00A44985">
    <w:pPr>
      <w:pStyle w:val="Footer"/>
      <w:jc w:val="right"/>
    </w:pPr>
    <w:r>
      <w:fldChar w:fldCharType="begin"/>
    </w:r>
    <w:r>
      <w:instrText xml:space="preserve"> PAGE   \* MERGEFORMAT </w:instrText>
    </w:r>
    <w:r>
      <w:fldChar w:fldCharType="separate"/>
    </w:r>
    <w:r w:rsidR="00321E6E">
      <w:rPr>
        <w:noProof/>
      </w:rPr>
      <w:t>6</w:t>
    </w:r>
    <w:r>
      <w:fldChar w:fldCharType="end"/>
    </w:r>
  </w:p>
  <w:p w14:paraId="01EC9F80" w14:textId="3BCB8E60" w:rsidR="00A44985" w:rsidRDefault="00A44985" w:rsidP="001B504D">
    <w:pPr>
      <w:pStyle w:val="Header"/>
      <w:spacing w:before="20"/>
      <w:jc w:val="center"/>
      <w:rPr>
        <w:rFonts w:ascii="Arial" w:hAnsi="Arial" w:cs="Arial"/>
        <w:lang w:val="fr-CH"/>
      </w:rPr>
    </w:pPr>
    <w:r>
      <w:rPr>
        <w:rFonts w:ascii="Arial" w:hAnsi="Arial" w:cs="Arial"/>
        <w:lang w:val="fr-CH"/>
      </w:rPr>
      <w:t>Alkarama Foundation – 150 route</w:t>
    </w:r>
    <w:r w:rsidR="00C12C3C">
      <w:rPr>
        <w:rFonts w:ascii="Arial" w:hAnsi="Arial" w:cs="Arial"/>
        <w:lang w:val="fr-CH"/>
      </w:rPr>
      <w:t xml:space="preserve"> de Ferney, C.P. 2100 CH – 1211</w:t>
    </w:r>
    <w:r>
      <w:rPr>
        <w:rFonts w:ascii="Arial" w:hAnsi="Arial" w:cs="Arial"/>
        <w:lang w:val="fr-CH"/>
      </w:rPr>
      <w:t xml:space="preserve"> Genève 2 – Switzerland</w:t>
    </w:r>
  </w:p>
  <w:p w14:paraId="6DAFA0A1" w14:textId="77777777" w:rsidR="00A44985" w:rsidRDefault="00A44985" w:rsidP="00D1444F">
    <w:pPr>
      <w:pStyle w:val="Header"/>
      <w:spacing w:before="20"/>
      <w:jc w:val="center"/>
      <w:rPr>
        <w:rFonts w:ascii="Arial" w:hAnsi="Arial" w:cs="Arial"/>
        <w:lang w:val="fr-CH"/>
      </w:rPr>
    </w:pPr>
    <w:r>
      <w:rPr>
        <w:rFonts w:ascii="Arial Narrow" w:hAnsi="Arial Narrow"/>
        <w:szCs w:val="22"/>
      </w:rPr>
      <w:sym w:font="Wingdings" w:char="0028"/>
    </w:r>
    <w:r>
      <w:rPr>
        <w:rFonts w:ascii="Arial" w:hAnsi="Arial" w:cs="Arial"/>
        <w:lang w:val="fr-CH"/>
      </w:rPr>
      <w:t xml:space="preserve"> +41 22 734 10 06 – </w:t>
    </w:r>
    <w:r>
      <w:rPr>
        <w:rFonts w:ascii="Arial Narrow" w:hAnsi="Arial Narrow"/>
        <w:szCs w:val="22"/>
      </w:rPr>
      <w:sym w:font="Wingdings 2" w:char="0037"/>
    </w:r>
    <w:r>
      <w:rPr>
        <w:rFonts w:ascii="Arial" w:hAnsi="Arial" w:cs="Arial"/>
        <w:lang w:val="fr-CH"/>
      </w:rPr>
      <w:t xml:space="preserve"> +41 22 734 10 34 – </w:t>
    </w:r>
    <w:r>
      <w:rPr>
        <w:rFonts w:ascii="Arial" w:hAnsi="Arial" w:cs="Arial"/>
      </w:rPr>
      <w:sym w:font="Wingdings" w:char="002A"/>
    </w:r>
    <w:r>
      <w:rPr>
        <w:rFonts w:ascii="Arial" w:hAnsi="Arial" w:cs="Arial"/>
        <w:lang w:val="fr-CH"/>
      </w:rPr>
      <w:t xml:space="preserve"> info@alkarama.org – </w:t>
    </w:r>
    <w:r>
      <w:rPr>
        <w:rFonts w:ascii="Arial" w:hAnsi="Arial" w:cs="Arial"/>
      </w:rPr>
      <w:sym w:font="Wingdings" w:char="0038"/>
    </w:r>
    <w:r>
      <w:rPr>
        <w:rFonts w:ascii="Arial" w:hAnsi="Arial" w:cs="Arial"/>
        <w:lang w:val="fr-CH"/>
      </w:rPr>
      <w:t xml:space="preserve"> www.alkarama.org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BC096" w14:textId="77777777" w:rsidR="00A44985" w:rsidRDefault="00A44985" w:rsidP="001B504D">
    <w:pPr>
      <w:pStyle w:val="Header"/>
      <w:spacing w:before="20"/>
      <w:jc w:val="center"/>
      <w:rPr>
        <w:rFonts w:ascii="Arial" w:hAnsi="Arial" w:cs="Arial"/>
        <w:lang w:val="fr-CH"/>
      </w:rPr>
    </w:pPr>
    <w:r>
      <w:rPr>
        <w:rFonts w:ascii="Arial" w:hAnsi="Arial" w:cs="Arial"/>
        <w:lang w:val="fr-CH"/>
      </w:rPr>
      <w:t>Alkarama Foundation – 150 route de Ferney, C.P. 2100 CH – 1211  Genève 2 – Switzerland</w:t>
    </w:r>
  </w:p>
  <w:p w14:paraId="29B7F0E4" w14:textId="210C92F5" w:rsidR="00A44985" w:rsidRDefault="00A44985" w:rsidP="00A44985">
    <w:pPr>
      <w:pStyle w:val="Header"/>
      <w:spacing w:before="20"/>
      <w:jc w:val="center"/>
      <w:rPr>
        <w:rFonts w:ascii="Arial" w:hAnsi="Arial" w:cs="Arial"/>
        <w:lang w:val="fr-CH"/>
      </w:rPr>
    </w:pPr>
    <w:r>
      <w:rPr>
        <w:rFonts w:ascii="Arial Narrow" w:hAnsi="Arial Narrow"/>
        <w:szCs w:val="22"/>
      </w:rPr>
      <w:sym w:font="Wingdings" w:char="0028"/>
    </w:r>
    <w:r>
      <w:rPr>
        <w:rFonts w:ascii="Arial" w:hAnsi="Arial" w:cs="Arial"/>
        <w:lang w:val="fr-CH"/>
      </w:rPr>
      <w:t xml:space="preserve"> +41 22 734 10 06 – </w:t>
    </w:r>
    <w:r>
      <w:rPr>
        <w:rFonts w:ascii="Arial Narrow" w:hAnsi="Arial Narrow"/>
        <w:szCs w:val="22"/>
      </w:rPr>
      <w:sym w:font="Wingdings 2" w:char="0037"/>
    </w:r>
    <w:r>
      <w:rPr>
        <w:rFonts w:ascii="Arial" w:hAnsi="Arial" w:cs="Arial"/>
        <w:lang w:val="fr-CH"/>
      </w:rPr>
      <w:t xml:space="preserve"> +41 22 734 10 34 – </w:t>
    </w:r>
    <w:r>
      <w:rPr>
        <w:rFonts w:ascii="Arial" w:hAnsi="Arial" w:cs="Arial"/>
      </w:rPr>
      <w:sym w:font="Wingdings" w:char="002A"/>
    </w:r>
    <w:r>
      <w:rPr>
        <w:rFonts w:ascii="Arial" w:hAnsi="Arial" w:cs="Arial"/>
        <w:lang w:val="fr-CH"/>
      </w:rPr>
      <w:t xml:space="preserve"> info@alkarama.org – </w:t>
    </w:r>
    <w:r>
      <w:rPr>
        <w:rFonts w:ascii="Arial" w:hAnsi="Arial" w:cs="Arial"/>
      </w:rPr>
      <w:sym w:font="Wingdings" w:char="0038"/>
    </w:r>
    <w:r>
      <w:rPr>
        <w:rFonts w:ascii="Arial" w:hAnsi="Arial" w:cs="Arial"/>
        <w:lang w:val="fr-CH"/>
      </w:rPr>
      <w:t xml:space="preserve"> www.alkarama.org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D22EC" w14:textId="77777777" w:rsidR="00A44985" w:rsidRDefault="00A44985" w:rsidP="00035E42">
      <w:r>
        <w:separator/>
      </w:r>
    </w:p>
  </w:footnote>
  <w:footnote w:type="continuationSeparator" w:id="0">
    <w:p w14:paraId="0641A000" w14:textId="77777777" w:rsidR="00A44985" w:rsidRDefault="00A44985" w:rsidP="00035E42">
      <w:r>
        <w:continuationSeparator/>
      </w:r>
    </w:p>
  </w:footnote>
  <w:footnote w:id="1">
    <w:p w14:paraId="642EB4CE" w14:textId="77777777" w:rsidR="00A44985" w:rsidRPr="00DD4FDD" w:rsidRDefault="00A44985" w:rsidP="001D2B87">
      <w:pPr>
        <w:pStyle w:val="FootnoteText"/>
        <w:rPr>
          <w:rFonts w:cs="Tahoma"/>
          <w:i/>
          <w:iCs/>
          <w:szCs w:val="16"/>
          <w:lang w:val="fr-CH"/>
        </w:rPr>
      </w:pPr>
      <w:r w:rsidRPr="00DD4FDD">
        <w:rPr>
          <w:rStyle w:val="FootnoteReference"/>
          <w:szCs w:val="16"/>
        </w:rPr>
        <w:footnoteRef/>
      </w:r>
      <w:r w:rsidRPr="00DD4FDD">
        <w:rPr>
          <w:szCs w:val="16"/>
        </w:rPr>
        <w:t xml:space="preserve"> </w:t>
      </w:r>
      <w:r w:rsidRPr="00DD4FDD">
        <w:rPr>
          <w:rFonts w:cs="Tahoma"/>
          <w:szCs w:val="16"/>
          <w:lang w:val="fr-CH"/>
        </w:rPr>
        <w:t>Comité des droits de l’homme, « </w:t>
      </w:r>
      <w:r w:rsidRPr="00DD4FDD">
        <w:rPr>
          <w:rFonts w:cs="Tahoma"/>
          <w:i/>
          <w:iCs/>
          <w:szCs w:val="16"/>
          <w:lang w:val="fr-CH"/>
        </w:rPr>
        <w:t>Examen des rapports soumis par les États parties en application de l’article 40 du Pacte</w:t>
      </w:r>
    </w:p>
    <w:p w14:paraId="190FF0F6" w14:textId="207D1BF8" w:rsidR="00A44985" w:rsidRPr="00DD4FDD" w:rsidRDefault="00A44985" w:rsidP="001D2B87">
      <w:pPr>
        <w:pStyle w:val="FootnoteText"/>
        <w:rPr>
          <w:szCs w:val="16"/>
        </w:rPr>
      </w:pPr>
      <w:r w:rsidRPr="00DD4FDD">
        <w:rPr>
          <w:rFonts w:cs="Tahoma"/>
          <w:i/>
          <w:iCs/>
          <w:szCs w:val="16"/>
          <w:lang w:val="fr-CH"/>
        </w:rPr>
        <w:t>Quatrièmes rapports périodiques des États parties attendus en 2011, Algérie</w:t>
      </w:r>
      <w:r w:rsidRPr="00DD4FDD">
        <w:rPr>
          <w:rFonts w:cs="Tahoma"/>
          <w:szCs w:val="16"/>
          <w:lang w:val="fr-CH"/>
        </w:rPr>
        <w:t> », CCPR/C/DZA/4, 23 février 2017, (ci-après « </w:t>
      </w:r>
      <w:r w:rsidRPr="00DD4FDD">
        <w:rPr>
          <w:rFonts w:cs="Tahoma"/>
          <w:i/>
          <w:iCs/>
          <w:szCs w:val="16"/>
          <w:lang w:val="fr-CH"/>
        </w:rPr>
        <w:t>Quatrième rapport périodique »</w:t>
      </w:r>
      <w:r w:rsidRPr="00DD4FDD">
        <w:rPr>
          <w:rFonts w:cs="Tahoma"/>
          <w:szCs w:val="16"/>
          <w:lang w:val="fr-CH"/>
        </w:rPr>
        <w:t>, § 6.</w:t>
      </w:r>
    </w:p>
  </w:footnote>
  <w:footnote w:id="2">
    <w:p w14:paraId="3B5A6CDB" w14:textId="6D43A7C6" w:rsidR="00A44985" w:rsidRPr="00DD4FDD" w:rsidRDefault="00A44985" w:rsidP="001D2B87">
      <w:pPr>
        <w:pStyle w:val="FootnoteText"/>
        <w:rPr>
          <w:rFonts w:cs="Tahoma"/>
          <w:szCs w:val="16"/>
          <w:lang w:val="fr-CH"/>
        </w:rPr>
      </w:pPr>
      <w:r w:rsidRPr="00DD4FDD">
        <w:rPr>
          <w:rStyle w:val="FootnoteReference"/>
          <w:rFonts w:cs="Tahoma"/>
          <w:szCs w:val="16"/>
        </w:rPr>
        <w:footnoteRef/>
      </w:r>
      <w:r w:rsidRPr="00DD4FDD">
        <w:rPr>
          <w:rFonts w:cs="Tahoma"/>
          <w:szCs w:val="16"/>
        </w:rPr>
        <w:t xml:space="preserve"> </w:t>
      </w:r>
      <w:r w:rsidRPr="00DD4FDD">
        <w:rPr>
          <w:rFonts w:cs="Tahoma"/>
          <w:i/>
          <w:iCs/>
          <w:szCs w:val="16"/>
          <w:lang w:val="fr-CH"/>
        </w:rPr>
        <w:t>Quatrième rapport périodique</w:t>
      </w:r>
      <w:r w:rsidRPr="00DD4FDD">
        <w:rPr>
          <w:rFonts w:cs="Tahoma"/>
          <w:szCs w:val="16"/>
          <w:lang w:val="fr-CH"/>
        </w:rPr>
        <w:t xml:space="preserve">, </w:t>
      </w:r>
      <w:r w:rsidRPr="00DD4FDD">
        <w:rPr>
          <w:rFonts w:cs="Tahoma"/>
          <w:i/>
          <w:iCs/>
          <w:szCs w:val="16"/>
          <w:lang w:val="fr-CH"/>
        </w:rPr>
        <w:t>op.cit</w:t>
      </w:r>
      <w:r w:rsidRPr="00DD4FDD">
        <w:rPr>
          <w:rFonts w:cs="Tahoma"/>
          <w:szCs w:val="16"/>
          <w:lang w:val="fr-CH"/>
        </w:rPr>
        <w:t xml:space="preserve">., § 17. </w:t>
      </w:r>
    </w:p>
  </w:footnote>
  <w:footnote w:id="3">
    <w:p w14:paraId="3DA664A3" w14:textId="22FF767C"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 xml:space="preserve"> </w:t>
      </w:r>
      <w:r w:rsidRPr="00DD4FDD">
        <w:rPr>
          <w:rFonts w:cs="Tahoma"/>
          <w:i/>
          <w:iCs/>
          <w:szCs w:val="16"/>
          <w:lang w:val="fr-CH"/>
        </w:rPr>
        <w:t>Quatrième rapport périodique</w:t>
      </w:r>
      <w:r w:rsidRPr="00DD4FDD">
        <w:rPr>
          <w:rFonts w:cs="Tahoma"/>
          <w:szCs w:val="16"/>
          <w:lang w:val="fr-CH"/>
        </w:rPr>
        <w:t xml:space="preserve">, </w:t>
      </w:r>
      <w:r w:rsidRPr="00DD4FDD">
        <w:rPr>
          <w:rFonts w:cs="Tahoma"/>
          <w:i/>
          <w:iCs/>
          <w:szCs w:val="16"/>
          <w:lang w:val="fr-CH"/>
        </w:rPr>
        <w:t>op.cit.,</w:t>
      </w:r>
      <w:r w:rsidRPr="00DD4FDD">
        <w:rPr>
          <w:rFonts w:cs="Tahoma"/>
          <w:szCs w:val="16"/>
          <w:lang w:val="fr-CH"/>
        </w:rPr>
        <w:t xml:space="preserve"> § 22.</w:t>
      </w:r>
    </w:p>
  </w:footnote>
  <w:footnote w:id="4">
    <w:p w14:paraId="78384093" w14:textId="18208CA5"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 xml:space="preserve"> Article 183 - Le Conseil constitutionnel est composé de douze (12) membres : quatre (4) désignés par le Président de la République dont le Président et le Vice-Président du Conseil, deux (2) élus par l’Assemblée Populaire Nationale, deux (2) élus par le Conseil de la Nation, deux (2) élus par la Cour Suprême et deux (2) élus par le Conseil d’État.</w:t>
      </w:r>
    </w:p>
    <w:p w14:paraId="55465792" w14:textId="1EE97BEA" w:rsidR="00A44985" w:rsidRPr="00DD4FDD" w:rsidRDefault="00A44985" w:rsidP="001D2B87">
      <w:pPr>
        <w:pStyle w:val="FootnoteText"/>
        <w:rPr>
          <w:rFonts w:cs="Tahoma"/>
          <w:szCs w:val="16"/>
        </w:rPr>
      </w:pPr>
      <w:r w:rsidRPr="00DD4FDD">
        <w:rPr>
          <w:rFonts w:cs="Tahoma"/>
          <w:szCs w:val="16"/>
        </w:rPr>
        <w:t xml:space="preserve">En cas d’égalité de voix entre les membres du Conseil Constitutionnel, la voix de son Président est prépondérante. </w:t>
      </w:r>
    </w:p>
    <w:p w14:paraId="5E308722" w14:textId="191DAC24" w:rsidR="00A44985" w:rsidRPr="00DD4FDD" w:rsidRDefault="00A44985" w:rsidP="001D2B87">
      <w:pPr>
        <w:pStyle w:val="FootnoteText"/>
        <w:rPr>
          <w:rFonts w:cs="Tahoma"/>
          <w:szCs w:val="16"/>
        </w:rPr>
      </w:pPr>
      <w:r w:rsidRPr="00DD4FDD">
        <w:rPr>
          <w:rFonts w:cs="Tahoma"/>
          <w:szCs w:val="16"/>
        </w:rPr>
        <w:t>Aussitôt élus ou désignés, les membres du Conseil constitutionnel cessent tout autre mandat, fonction, charge, mission, ainsi que toute autre activité ou profession libérale. Le Président de la République désigne, pour un mandat unique de huit (8) ans le Président et le Vice-Président du Conseil Constitutionnel. Les autres membres du Conseil constitutionnel remplissent un mandat unique de huit (8) ans et sont renouvelés par moitié tous les quatre (4) ans.</w:t>
      </w:r>
    </w:p>
  </w:footnote>
  <w:footnote w:id="5">
    <w:p w14:paraId="68BF61D6" w14:textId="77777777"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 xml:space="preserve"> Comité International de Coordination des Institutions Nationales pour la Promotion et la Protection des Droits de L'homme, « </w:t>
      </w:r>
      <w:r w:rsidRPr="00DD4FDD">
        <w:rPr>
          <w:rFonts w:cs="Tahoma"/>
          <w:i/>
          <w:iCs/>
          <w:szCs w:val="16"/>
        </w:rPr>
        <w:t>Rapport et recommandations de la session du Sous-comité d'accréditation Genève, 26-30 mars 2009</w:t>
      </w:r>
      <w:r w:rsidRPr="00DD4FDD">
        <w:rPr>
          <w:rFonts w:cs="Tahoma"/>
          <w:szCs w:val="16"/>
        </w:rPr>
        <w:t xml:space="preserve"> », p. 9. </w:t>
      </w:r>
    </w:p>
  </w:footnote>
  <w:footnote w:id="6">
    <w:p w14:paraId="6281C823" w14:textId="10476A7F"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 xml:space="preserve"> </w:t>
      </w:r>
      <w:r w:rsidRPr="00DD4FDD">
        <w:rPr>
          <w:rFonts w:cs="Tahoma"/>
          <w:i/>
          <w:iCs/>
          <w:szCs w:val="16"/>
        </w:rPr>
        <w:t>Ibidem</w:t>
      </w:r>
      <w:r w:rsidRPr="00DD4FDD">
        <w:rPr>
          <w:rFonts w:cs="Tahoma"/>
          <w:szCs w:val="16"/>
        </w:rPr>
        <w:t xml:space="preserve">. </w:t>
      </w:r>
    </w:p>
  </w:footnote>
  <w:footnote w:id="7">
    <w:p w14:paraId="4A18D6D6" w14:textId="15837B1E" w:rsidR="00A44985" w:rsidRPr="00DD4FDD" w:rsidRDefault="00A44985" w:rsidP="001D2B87">
      <w:pPr>
        <w:pStyle w:val="FootnoteText"/>
        <w:rPr>
          <w:rFonts w:cs="Tahoma"/>
          <w:szCs w:val="16"/>
        </w:rPr>
      </w:pPr>
      <w:r w:rsidRPr="00DD4FDD">
        <w:rPr>
          <w:rStyle w:val="FootnoteReference"/>
          <w:rFonts w:cs="Tahoma"/>
          <w:szCs w:val="16"/>
        </w:rPr>
        <w:footnoteRef/>
      </w:r>
      <w:r w:rsidR="001D2B87" w:rsidRPr="00DD4FDD">
        <w:rPr>
          <w:rFonts w:cs="Tahoma"/>
          <w:szCs w:val="16"/>
        </w:rPr>
        <w:t xml:space="preserve"> Loi n° 16-13 du 3 Safar 1438 </w:t>
      </w:r>
      <w:r w:rsidRPr="00DD4FDD">
        <w:rPr>
          <w:rFonts w:cs="Tahoma"/>
          <w:szCs w:val="16"/>
        </w:rPr>
        <w:t>correspondant  au 3 novembre 2016 fixant la composition et les modalités de désignation des membres du Conseil National des Droits de l’homme ainsi que les règles relatives à son organisation et à son fonctionnement.</w:t>
      </w:r>
    </w:p>
  </w:footnote>
  <w:footnote w:id="8">
    <w:p w14:paraId="70BB35C0" w14:textId="3741F120"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 xml:space="preserve"> Comité des Droits de l’Homme, Examen des Rapports Présentés par les États Parties conformément à l’article 40 Du Pacte, Observations finales du Comité des droits de l’homme, Algérie, CCPR/C/DZA/CO/3, 12 décembre 2007, (ci-après « </w:t>
      </w:r>
      <w:r w:rsidRPr="00DD4FDD">
        <w:rPr>
          <w:rFonts w:cs="Tahoma"/>
          <w:i/>
          <w:iCs/>
          <w:szCs w:val="16"/>
        </w:rPr>
        <w:t>Observations finales</w:t>
      </w:r>
      <w:r w:rsidRPr="00DD4FDD">
        <w:rPr>
          <w:rFonts w:cs="Tahoma"/>
          <w:szCs w:val="16"/>
        </w:rPr>
        <w:t> »), Observation n° 10.</w:t>
      </w:r>
    </w:p>
  </w:footnote>
  <w:footnote w:id="9">
    <w:p w14:paraId="308F6CB6" w14:textId="2F0D99B9"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Loi n° 16-13 du 3 novembre 2016, article 4.</w:t>
      </w:r>
    </w:p>
  </w:footnote>
  <w:footnote w:id="10">
    <w:p w14:paraId="2F70A4BD" w14:textId="3891BFE5"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 xml:space="preserve"> </w:t>
      </w:r>
      <w:r w:rsidRPr="00DD4FDD">
        <w:rPr>
          <w:rFonts w:cs="Tahoma"/>
          <w:i/>
          <w:iCs/>
          <w:szCs w:val="16"/>
          <w:lang w:val="fr-CH"/>
        </w:rPr>
        <w:t>Quatrième rapport périodique</w:t>
      </w:r>
      <w:r w:rsidRPr="00DD4FDD">
        <w:rPr>
          <w:rFonts w:cs="Tahoma"/>
          <w:szCs w:val="16"/>
          <w:lang w:val="fr-CH"/>
        </w:rPr>
        <w:t xml:space="preserve">, </w:t>
      </w:r>
      <w:r w:rsidR="001D2B87" w:rsidRPr="00DD4FDD">
        <w:rPr>
          <w:rFonts w:cs="Tahoma"/>
          <w:szCs w:val="16"/>
          <w:lang w:val="fr-CH"/>
        </w:rPr>
        <w:t>§</w:t>
      </w:r>
      <w:r w:rsidRPr="00DD4FDD">
        <w:rPr>
          <w:rFonts w:cs="Tahoma"/>
          <w:szCs w:val="16"/>
          <w:lang w:val="fr-CH"/>
        </w:rPr>
        <w:t xml:space="preserve"> 65.</w:t>
      </w:r>
    </w:p>
  </w:footnote>
  <w:footnote w:id="11">
    <w:p w14:paraId="4A30464A" w14:textId="7F7DAC2A"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 xml:space="preserve"> </w:t>
      </w:r>
      <w:r w:rsidRPr="00DD4FDD">
        <w:rPr>
          <w:rFonts w:cs="Tahoma"/>
          <w:i/>
          <w:iCs/>
          <w:szCs w:val="16"/>
        </w:rPr>
        <w:t>Ibid</w:t>
      </w:r>
      <w:r w:rsidRPr="00DD4FDD">
        <w:rPr>
          <w:rFonts w:cs="Tahoma"/>
          <w:szCs w:val="16"/>
        </w:rPr>
        <w:t xml:space="preserve">., </w:t>
      </w:r>
      <w:r w:rsidR="001D2B87" w:rsidRPr="00DD4FDD">
        <w:rPr>
          <w:rFonts w:cs="Tahoma"/>
          <w:szCs w:val="16"/>
        </w:rPr>
        <w:t>§</w:t>
      </w:r>
      <w:r w:rsidRPr="00DD4FDD">
        <w:rPr>
          <w:rFonts w:cs="Tahoma"/>
          <w:szCs w:val="16"/>
        </w:rPr>
        <w:t xml:space="preserve"> 66. </w:t>
      </w:r>
    </w:p>
  </w:footnote>
  <w:footnote w:id="12">
    <w:p w14:paraId="41B0957B" w14:textId="24E8F0EB" w:rsidR="00A44985" w:rsidRPr="00DD4FDD" w:rsidRDefault="00A44985" w:rsidP="001D2B87">
      <w:pPr>
        <w:pStyle w:val="FootnoteText"/>
        <w:rPr>
          <w:rFonts w:cs="Tahoma"/>
          <w:szCs w:val="16"/>
          <w:lang w:val="en-US"/>
        </w:rPr>
      </w:pPr>
      <w:r w:rsidRPr="00DD4FDD">
        <w:rPr>
          <w:rStyle w:val="FootnoteReference"/>
          <w:rFonts w:cs="Tahoma"/>
          <w:szCs w:val="16"/>
        </w:rPr>
        <w:footnoteRef/>
      </w:r>
      <w:r w:rsidRPr="00DD4FDD">
        <w:rPr>
          <w:rFonts w:cs="Tahoma"/>
          <w:szCs w:val="16"/>
          <w:lang w:val="en-US"/>
        </w:rPr>
        <w:t xml:space="preserve"> </w:t>
      </w:r>
      <w:r w:rsidRPr="00DD4FDD">
        <w:rPr>
          <w:rFonts w:cs="Tahoma"/>
          <w:i/>
          <w:iCs/>
          <w:szCs w:val="16"/>
          <w:lang w:val="en-US"/>
        </w:rPr>
        <w:t>Ibid</w:t>
      </w:r>
      <w:r w:rsidRPr="00DD4FDD">
        <w:rPr>
          <w:rFonts w:cs="Tahoma"/>
          <w:szCs w:val="16"/>
          <w:lang w:val="en-US"/>
        </w:rPr>
        <w:t xml:space="preserve">., </w:t>
      </w:r>
      <w:r w:rsidR="001D2B87" w:rsidRPr="00DD4FDD">
        <w:rPr>
          <w:rFonts w:cs="Tahoma"/>
          <w:szCs w:val="16"/>
          <w:lang w:val="en-US"/>
        </w:rPr>
        <w:t>§</w:t>
      </w:r>
      <w:r w:rsidRPr="00DD4FDD">
        <w:rPr>
          <w:rFonts w:cs="Tahoma"/>
          <w:szCs w:val="16"/>
          <w:lang w:val="en-US"/>
        </w:rPr>
        <w:t xml:space="preserve"> 70</w:t>
      </w:r>
      <w:r w:rsidR="001D2B87" w:rsidRPr="00DD4FDD">
        <w:rPr>
          <w:rFonts w:cs="Tahoma"/>
          <w:szCs w:val="16"/>
          <w:lang w:val="en-US"/>
        </w:rPr>
        <w:t>.</w:t>
      </w:r>
    </w:p>
  </w:footnote>
  <w:footnote w:id="13">
    <w:p w14:paraId="21636C49" w14:textId="0ECFDDA5" w:rsidR="00A44985" w:rsidRPr="00DD4FDD" w:rsidRDefault="00A44985" w:rsidP="001D2B87">
      <w:pPr>
        <w:pStyle w:val="FootnoteText"/>
        <w:ind w:left="142" w:hanging="142"/>
        <w:rPr>
          <w:rFonts w:cs="Tahoma"/>
          <w:szCs w:val="16"/>
          <w:lang w:val="en-GB"/>
        </w:rPr>
      </w:pPr>
      <w:r w:rsidRPr="00DD4FDD">
        <w:rPr>
          <w:rStyle w:val="FootnoteReference"/>
          <w:rFonts w:cs="Tahoma"/>
          <w:szCs w:val="16"/>
        </w:rPr>
        <w:footnoteRef/>
      </w:r>
      <w:r w:rsidR="00944A66" w:rsidRPr="00DD4FDD">
        <w:rPr>
          <w:rFonts w:cs="Tahoma"/>
          <w:szCs w:val="16"/>
          <w:lang w:val="en-US"/>
        </w:rPr>
        <w:t xml:space="preserve"> Michael Bhatia,</w:t>
      </w:r>
      <w:r w:rsidRPr="00DD4FDD">
        <w:rPr>
          <w:rFonts w:cs="Tahoma"/>
          <w:szCs w:val="16"/>
          <w:lang w:val="en-US"/>
        </w:rPr>
        <w:t xml:space="preserve"> </w:t>
      </w:r>
      <w:r w:rsidR="00944A66" w:rsidRPr="00DD4FDD">
        <w:rPr>
          <w:szCs w:val="16"/>
          <w:lang w:val="en-US"/>
        </w:rPr>
        <w:t xml:space="preserve">« </w:t>
      </w:r>
      <w:r w:rsidRPr="00DD4FDD">
        <w:rPr>
          <w:rFonts w:cs="Tahoma"/>
          <w:szCs w:val="16"/>
          <w:lang w:val="en-US"/>
        </w:rPr>
        <w:t>The Western Sahara under Polisario Control</w:t>
      </w:r>
      <w:r w:rsidR="00944A66" w:rsidRPr="00DD4FDD">
        <w:rPr>
          <w:rFonts w:cs="Tahoma"/>
          <w:szCs w:val="16"/>
          <w:lang w:val="en-US"/>
        </w:rPr>
        <w:t xml:space="preserve"> </w:t>
      </w:r>
      <w:r w:rsidR="00944A66" w:rsidRPr="00DD4FDD">
        <w:rPr>
          <w:szCs w:val="16"/>
          <w:lang w:val="en-US"/>
        </w:rPr>
        <w:t>»</w:t>
      </w:r>
      <w:r w:rsidR="00944A66" w:rsidRPr="00DD4FDD">
        <w:rPr>
          <w:rFonts w:cs="Tahoma"/>
          <w:szCs w:val="16"/>
          <w:lang w:val="en-US"/>
        </w:rPr>
        <w:t>,</w:t>
      </w:r>
      <w:r w:rsidRPr="00DD4FDD">
        <w:rPr>
          <w:rFonts w:cs="Tahoma"/>
          <w:szCs w:val="16"/>
          <w:lang w:val="en-US"/>
        </w:rPr>
        <w:t xml:space="preserve"> </w:t>
      </w:r>
      <w:r w:rsidRPr="00DD4FDD">
        <w:rPr>
          <w:rFonts w:cs="Tahoma"/>
          <w:i/>
          <w:iCs/>
          <w:szCs w:val="16"/>
          <w:lang w:val="en-US"/>
        </w:rPr>
        <w:t>Review of African Political Economy</w:t>
      </w:r>
      <w:r w:rsidRPr="00DD4FDD">
        <w:rPr>
          <w:rFonts w:cs="Tahoma"/>
          <w:szCs w:val="16"/>
          <w:lang w:val="en-US"/>
        </w:rPr>
        <w:t>, vol. 28, no. 88, 2001, pp. 291–298.</w:t>
      </w:r>
    </w:p>
  </w:footnote>
  <w:footnote w:id="14">
    <w:p w14:paraId="2A846F9D" w14:textId="57F173F8" w:rsidR="00625688" w:rsidRPr="00DD4FDD" w:rsidRDefault="00625688">
      <w:pPr>
        <w:pStyle w:val="FootnoteText"/>
        <w:rPr>
          <w:szCs w:val="16"/>
          <w:lang w:val="fr-CH"/>
        </w:rPr>
      </w:pPr>
      <w:r w:rsidRPr="00DD4FDD">
        <w:rPr>
          <w:rStyle w:val="FootnoteReference"/>
          <w:szCs w:val="16"/>
        </w:rPr>
        <w:footnoteRef/>
      </w:r>
      <w:r w:rsidRPr="00DD4FDD">
        <w:rPr>
          <w:szCs w:val="16"/>
        </w:rPr>
        <w:t xml:space="preserve"> </w:t>
      </w:r>
      <w:r w:rsidRPr="00DD4FDD">
        <w:rPr>
          <w:szCs w:val="16"/>
          <w:lang w:val="fr-CH"/>
        </w:rPr>
        <w:t xml:space="preserve">Alkarama, </w:t>
      </w:r>
      <w:r w:rsidRPr="00DD4FDD">
        <w:rPr>
          <w:i/>
          <w:iCs/>
          <w:szCs w:val="16"/>
          <w:lang w:val="fr-CH"/>
        </w:rPr>
        <w:t>Algérie</w:t>
      </w:r>
      <w:r w:rsidR="00944A66" w:rsidRPr="00DD4FDD">
        <w:rPr>
          <w:i/>
          <w:iCs/>
          <w:szCs w:val="16"/>
          <w:lang w:val="fr-CH"/>
        </w:rPr>
        <w:t> </w:t>
      </w:r>
      <w:r w:rsidRPr="00DD4FDD">
        <w:rPr>
          <w:i/>
          <w:iCs/>
          <w:szCs w:val="16"/>
          <w:lang w:val="fr-CH"/>
        </w:rPr>
        <w:t>: l'affaire de l'enlèvement au centre d'Alger d'un haut responsable du Polisario devant l'ONU</w:t>
      </w:r>
      <w:r w:rsidRPr="00DD4FDD">
        <w:rPr>
          <w:szCs w:val="16"/>
          <w:lang w:val="fr-CH"/>
        </w:rPr>
        <w:t xml:space="preserve">, 22 novembre 2016, </w:t>
      </w:r>
      <w:hyperlink r:id="rId1" w:history="1">
        <w:r w:rsidRPr="00DD4FDD">
          <w:rPr>
            <w:rStyle w:val="Hyperlink"/>
            <w:szCs w:val="16"/>
            <w:lang w:val="fr-CH"/>
          </w:rPr>
          <w:t>https://www.alkarama.org/fr/articles/algerie-laffaire-de-lenlevement-au-centre-dalger-dun-haut-responsable-du-polisario-devant</w:t>
        </w:r>
      </w:hyperlink>
      <w:r w:rsidRPr="00DD4FDD">
        <w:rPr>
          <w:szCs w:val="16"/>
          <w:lang w:val="fr-CH"/>
        </w:rPr>
        <w:t xml:space="preserve"> (consulté le 24 juillet 2017). </w:t>
      </w:r>
    </w:p>
  </w:footnote>
  <w:footnote w:id="15">
    <w:p w14:paraId="7E3DF5DF" w14:textId="42652399"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 xml:space="preserve"> </w:t>
      </w:r>
      <w:r w:rsidRPr="00DD4FDD">
        <w:rPr>
          <w:rFonts w:cs="Tahoma"/>
          <w:i/>
          <w:iCs/>
          <w:szCs w:val="16"/>
        </w:rPr>
        <w:t>Observations finales</w:t>
      </w:r>
      <w:r w:rsidR="004C0190" w:rsidRPr="00DD4FDD">
        <w:rPr>
          <w:rFonts w:cs="Tahoma"/>
          <w:szCs w:val="16"/>
        </w:rPr>
        <w:t>, §</w:t>
      </w:r>
      <w:r w:rsidRPr="00DD4FDD">
        <w:rPr>
          <w:rFonts w:cs="Tahoma"/>
          <w:szCs w:val="16"/>
        </w:rPr>
        <w:t xml:space="preserve">6. </w:t>
      </w:r>
    </w:p>
  </w:footnote>
  <w:footnote w:id="16">
    <w:p w14:paraId="2A0E658C" w14:textId="2E2286AD" w:rsidR="00A44985" w:rsidRPr="00DD4FDD" w:rsidRDefault="00A44985" w:rsidP="004C0190">
      <w:pPr>
        <w:pStyle w:val="FootnoteText"/>
        <w:rPr>
          <w:szCs w:val="16"/>
          <w:lang w:val="fr-CH"/>
        </w:rPr>
      </w:pPr>
      <w:r w:rsidRPr="00DD4FDD">
        <w:rPr>
          <w:rStyle w:val="FootnoteReference"/>
          <w:szCs w:val="16"/>
        </w:rPr>
        <w:footnoteRef/>
      </w:r>
      <w:r w:rsidRPr="00DD4FDD">
        <w:rPr>
          <w:szCs w:val="16"/>
        </w:rPr>
        <w:t xml:space="preserve"> </w:t>
      </w:r>
      <w:r w:rsidRPr="00DD4FDD">
        <w:rPr>
          <w:rFonts w:cs="Tahoma"/>
          <w:i/>
          <w:iCs/>
          <w:szCs w:val="16"/>
        </w:rPr>
        <w:t>Quatrième rapport périodique</w:t>
      </w:r>
      <w:r w:rsidRPr="00DD4FDD">
        <w:rPr>
          <w:rFonts w:cs="Tahoma"/>
          <w:szCs w:val="16"/>
        </w:rPr>
        <w:t xml:space="preserve">, </w:t>
      </w:r>
      <w:r w:rsidR="004C0190" w:rsidRPr="00DD4FDD">
        <w:rPr>
          <w:rFonts w:cs="Tahoma"/>
          <w:szCs w:val="16"/>
        </w:rPr>
        <w:t>§§</w:t>
      </w:r>
      <w:r w:rsidRPr="00DD4FDD">
        <w:rPr>
          <w:rFonts w:cs="Tahoma"/>
          <w:szCs w:val="16"/>
        </w:rPr>
        <w:t>52-53.</w:t>
      </w:r>
    </w:p>
  </w:footnote>
  <w:footnote w:id="17">
    <w:p w14:paraId="055A7751" w14:textId="679F2D25" w:rsidR="00A44985" w:rsidRPr="00DD4FDD" w:rsidRDefault="00A44985" w:rsidP="004C0190">
      <w:pPr>
        <w:pStyle w:val="FootnoteText"/>
        <w:rPr>
          <w:rFonts w:cs="Tahoma"/>
          <w:szCs w:val="16"/>
        </w:rPr>
      </w:pPr>
      <w:r w:rsidRPr="00DD4FDD">
        <w:rPr>
          <w:rStyle w:val="FootnoteReference"/>
          <w:rFonts w:cs="Tahoma"/>
          <w:szCs w:val="16"/>
        </w:rPr>
        <w:footnoteRef/>
      </w:r>
      <w:r w:rsidRPr="00DD4FDD">
        <w:rPr>
          <w:rFonts w:cs="Tahoma"/>
          <w:szCs w:val="16"/>
        </w:rPr>
        <w:t xml:space="preserve"> </w:t>
      </w:r>
      <w:r w:rsidRPr="00DD4FDD">
        <w:rPr>
          <w:rFonts w:cs="Tahoma"/>
          <w:i/>
          <w:iCs/>
          <w:szCs w:val="16"/>
        </w:rPr>
        <w:t>Quatrième rapport périodique</w:t>
      </w:r>
      <w:r w:rsidRPr="00DD4FDD">
        <w:rPr>
          <w:rFonts w:cs="Tahoma"/>
          <w:szCs w:val="16"/>
        </w:rPr>
        <w:t xml:space="preserve">, </w:t>
      </w:r>
      <w:r w:rsidR="004C0190" w:rsidRPr="00DD4FDD">
        <w:rPr>
          <w:rFonts w:cs="Tahoma"/>
          <w:szCs w:val="16"/>
        </w:rPr>
        <w:t>§</w:t>
      </w:r>
      <w:r w:rsidRPr="00DD4FDD">
        <w:rPr>
          <w:rFonts w:cs="Tahoma"/>
          <w:szCs w:val="16"/>
        </w:rPr>
        <w:t xml:space="preserve"> 38. </w:t>
      </w:r>
    </w:p>
  </w:footnote>
  <w:footnote w:id="18">
    <w:p w14:paraId="7AA00E87" w14:textId="77777777" w:rsidR="00A44985" w:rsidRPr="00DD4FDD" w:rsidRDefault="00A44985" w:rsidP="001D2B87">
      <w:pPr>
        <w:pStyle w:val="FootnoteText"/>
        <w:ind w:left="142" w:hanging="142"/>
        <w:rPr>
          <w:rFonts w:cs="Tahoma"/>
          <w:szCs w:val="16"/>
          <w:lang w:val="fr-CH"/>
        </w:rPr>
      </w:pPr>
      <w:r w:rsidRPr="00DD4FDD">
        <w:rPr>
          <w:rStyle w:val="FootnoteReference"/>
          <w:rFonts w:cs="Tahoma"/>
          <w:szCs w:val="16"/>
        </w:rPr>
        <w:footnoteRef/>
      </w:r>
      <w:r w:rsidRPr="00DD4FDD">
        <w:rPr>
          <w:rFonts w:cs="Tahoma"/>
          <w:szCs w:val="16"/>
        </w:rPr>
        <w:t xml:space="preserve"> Ordonnance n°06-01 du 28 Moharram 1427 correspondant au 27 février 2006 portant mise en œuvre de la Charte pour la paix et la réconciliation nationale</w:t>
      </w:r>
    </w:p>
  </w:footnote>
  <w:footnote w:id="19">
    <w:p w14:paraId="695A4268" w14:textId="71102B4D" w:rsidR="00A44985" w:rsidRPr="00DD4FDD" w:rsidRDefault="00A44985" w:rsidP="004C0190">
      <w:pPr>
        <w:pStyle w:val="FootnoteText"/>
        <w:rPr>
          <w:szCs w:val="16"/>
          <w:lang w:val="fr-CH"/>
        </w:rPr>
      </w:pPr>
      <w:r w:rsidRPr="00DD4FDD">
        <w:rPr>
          <w:rStyle w:val="FootnoteReference"/>
          <w:szCs w:val="16"/>
        </w:rPr>
        <w:footnoteRef/>
      </w:r>
      <w:r w:rsidRPr="00DD4FDD">
        <w:rPr>
          <w:szCs w:val="16"/>
        </w:rPr>
        <w:t xml:space="preserve"> </w:t>
      </w:r>
      <w:r w:rsidR="004C0190" w:rsidRPr="00DD4FDD">
        <w:rPr>
          <w:rFonts w:cs="Tahoma"/>
          <w:i/>
          <w:iCs/>
          <w:szCs w:val="16"/>
        </w:rPr>
        <w:t>Quatrième rapport périodique</w:t>
      </w:r>
      <w:r w:rsidR="004C0190" w:rsidRPr="00DD4FDD">
        <w:rPr>
          <w:rFonts w:cs="Tahoma"/>
          <w:szCs w:val="16"/>
        </w:rPr>
        <w:t xml:space="preserve">, </w:t>
      </w:r>
      <w:r w:rsidR="004C0190" w:rsidRPr="00DD4FDD">
        <w:rPr>
          <w:szCs w:val="16"/>
          <w:lang w:val="fr-CH"/>
        </w:rPr>
        <w:t xml:space="preserve">§ </w:t>
      </w:r>
      <w:r w:rsidRPr="00DD4FDD">
        <w:rPr>
          <w:szCs w:val="16"/>
          <w:lang w:val="fr-CH"/>
        </w:rPr>
        <w:t>59</w:t>
      </w:r>
      <w:r w:rsidR="004C0190" w:rsidRPr="00DD4FDD">
        <w:rPr>
          <w:szCs w:val="16"/>
          <w:lang w:val="fr-CH"/>
        </w:rPr>
        <w:t>.</w:t>
      </w:r>
    </w:p>
  </w:footnote>
  <w:footnote w:id="20">
    <w:p w14:paraId="46B2893D" w14:textId="75FAFC48" w:rsidR="00A44985" w:rsidRPr="00DD4FDD" w:rsidRDefault="00A44985" w:rsidP="004C0190">
      <w:pPr>
        <w:pStyle w:val="FootnoteText"/>
        <w:rPr>
          <w:szCs w:val="16"/>
        </w:rPr>
      </w:pPr>
      <w:r w:rsidRPr="00DD4FDD">
        <w:rPr>
          <w:rStyle w:val="FootnoteReference"/>
          <w:szCs w:val="16"/>
        </w:rPr>
        <w:footnoteRef/>
      </w:r>
      <w:r w:rsidRPr="00DD4FDD">
        <w:rPr>
          <w:szCs w:val="16"/>
        </w:rPr>
        <w:t xml:space="preserve"> </w:t>
      </w:r>
      <w:r w:rsidRPr="00DD4FDD">
        <w:rPr>
          <w:rFonts w:cs="Tahoma"/>
          <w:i/>
          <w:iCs/>
          <w:szCs w:val="16"/>
        </w:rPr>
        <w:t>Quatrième rapport périodique</w:t>
      </w:r>
      <w:r w:rsidRPr="00DD4FDD">
        <w:rPr>
          <w:rFonts w:cs="Tahoma"/>
          <w:szCs w:val="16"/>
        </w:rPr>
        <w:t xml:space="preserve">, </w:t>
      </w:r>
      <w:r w:rsidR="004C0190" w:rsidRPr="00DD4FDD">
        <w:rPr>
          <w:rFonts w:cs="Tahoma"/>
          <w:szCs w:val="16"/>
        </w:rPr>
        <w:t xml:space="preserve">§ </w:t>
      </w:r>
      <w:r w:rsidRPr="00DD4FDD">
        <w:rPr>
          <w:rFonts w:cs="Tahoma"/>
          <w:szCs w:val="16"/>
        </w:rPr>
        <w:t>135</w:t>
      </w:r>
      <w:r w:rsidR="004C0190" w:rsidRPr="00DD4FDD">
        <w:rPr>
          <w:rFonts w:cs="Tahoma"/>
          <w:szCs w:val="16"/>
        </w:rPr>
        <w:t>.</w:t>
      </w:r>
    </w:p>
  </w:footnote>
  <w:footnote w:id="21">
    <w:p w14:paraId="4A47D3DC" w14:textId="69AC3DA3" w:rsidR="00A44985" w:rsidRPr="00DD4FDD" w:rsidRDefault="00A44985" w:rsidP="004C0190">
      <w:pPr>
        <w:pStyle w:val="FootnoteText"/>
        <w:rPr>
          <w:szCs w:val="16"/>
        </w:rPr>
      </w:pPr>
      <w:r w:rsidRPr="00DD4FDD">
        <w:rPr>
          <w:rStyle w:val="FootnoteReference"/>
          <w:szCs w:val="16"/>
        </w:rPr>
        <w:footnoteRef/>
      </w:r>
      <w:r w:rsidRPr="00DD4FDD">
        <w:rPr>
          <w:szCs w:val="16"/>
        </w:rPr>
        <w:t xml:space="preserve"> </w:t>
      </w:r>
      <w:r w:rsidRPr="00DD4FDD">
        <w:rPr>
          <w:i/>
          <w:iCs/>
          <w:szCs w:val="16"/>
        </w:rPr>
        <w:t>Observations Finales</w:t>
      </w:r>
      <w:r w:rsidRPr="00DD4FDD">
        <w:rPr>
          <w:szCs w:val="16"/>
        </w:rPr>
        <w:t xml:space="preserve">, </w:t>
      </w:r>
      <w:r w:rsidR="004C0190" w:rsidRPr="00DD4FDD">
        <w:rPr>
          <w:szCs w:val="16"/>
        </w:rPr>
        <w:t>§</w:t>
      </w:r>
      <w:r w:rsidRPr="00DD4FDD">
        <w:rPr>
          <w:szCs w:val="16"/>
        </w:rPr>
        <w:t xml:space="preserve"> 6.</w:t>
      </w:r>
    </w:p>
  </w:footnote>
  <w:footnote w:id="22">
    <w:p w14:paraId="40976B93" w14:textId="0DE9018F" w:rsidR="00A44985" w:rsidRPr="00DD4FDD" w:rsidRDefault="00A44985" w:rsidP="004C0190">
      <w:pPr>
        <w:pStyle w:val="FootnoteText"/>
        <w:rPr>
          <w:szCs w:val="16"/>
        </w:rPr>
      </w:pPr>
      <w:r w:rsidRPr="00DD4FDD">
        <w:rPr>
          <w:rStyle w:val="FootnoteReference"/>
          <w:szCs w:val="16"/>
        </w:rPr>
        <w:footnoteRef/>
      </w:r>
      <w:r w:rsidRPr="00DD4FDD">
        <w:rPr>
          <w:szCs w:val="16"/>
        </w:rPr>
        <w:t xml:space="preserve"> </w:t>
      </w:r>
      <w:r w:rsidRPr="00DD4FDD">
        <w:rPr>
          <w:i/>
          <w:iCs/>
          <w:szCs w:val="16"/>
        </w:rPr>
        <w:t xml:space="preserve">Quatrième </w:t>
      </w:r>
      <w:r w:rsidR="004C0190" w:rsidRPr="00DD4FDD">
        <w:rPr>
          <w:i/>
          <w:iCs/>
          <w:szCs w:val="16"/>
        </w:rPr>
        <w:t>r</w:t>
      </w:r>
      <w:r w:rsidRPr="00DD4FDD">
        <w:rPr>
          <w:i/>
          <w:iCs/>
          <w:szCs w:val="16"/>
        </w:rPr>
        <w:t xml:space="preserve">apport </w:t>
      </w:r>
      <w:r w:rsidR="004C0190" w:rsidRPr="00DD4FDD">
        <w:rPr>
          <w:i/>
          <w:iCs/>
          <w:szCs w:val="16"/>
        </w:rPr>
        <w:t>p</w:t>
      </w:r>
      <w:r w:rsidRPr="00DD4FDD">
        <w:rPr>
          <w:i/>
          <w:iCs/>
          <w:szCs w:val="16"/>
        </w:rPr>
        <w:t>ériodique</w:t>
      </w:r>
      <w:r w:rsidRPr="00DD4FDD">
        <w:rPr>
          <w:szCs w:val="16"/>
        </w:rPr>
        <w:t xml:space="preserve">, </w:t>
      </w:r>
      <w:r w:rsidR="004C0190" w:rsidRPr="00DD4FDD">
        <w:rPr>
          <w:szCs w:val="16"/>
        </w:rPr>
        <w:t>§</w:t>
      </w:r>
      <w:r w:rsidRPr="00DD4FDD">
        <w:rPr>
          <w:szCs w:val="16"/>
        </w:rPr>
        <w:t xml:space="preserve"> 49. </w:t>
      </w:r>
    </w:p>
  </w:footnote>
  <w:footnote w:id="23">
    <w:p w14:paraId="0C06B947" w14:textId="2E86555C" w:rsidR="00A44985" w:rsidRPr="00DD4FDD" w:rsidRDefault="00A44985" w:rsidP="004C0190">
      <w:pPr>
        <w:pStyle w:val="FootnoteText"/>
        <w:rPr>
          <w:szCs w:val="16"/>
        </w:rPr>
      </w:pPr>
      <w:r w:rsidRPr="00DD4FDD">
        <w:rPr>
          <w:rStyle w:val="FootnoteReference"/>
          <w:szCs w:val="16"/>
        </w:rPr>
        <w:footnoteRef/>
      </w:r>
      <w:r w:rsidRPr="00DD4FDD">
        <w:rPr>
          <w:szCs w:val="16"/>
        </w:rPr>
        <w:t xml:space="preserve"> </w:t>
      </w:r>
      <w:r w:rsidRPr="00DD4FDD">
        <w:rPr>
          <w:i/>
          <w:iCs/>
          <w:szCs w:val="16"/>
        </w:rPr>
        <w:t>Observations Finales</w:t>
      </w:r>
      <w:r w:rsidRPr="00DD4FDD">
        <w:rPr>
          <w:szCs w:val="16"/>
        </w:rPr>
        <w:t xml:space="preserve">, </w:t>
      </w:r>
      <w:r w:rsidR="004C0190" w:rsidRPr="00DD4FDD">
        <w:rPr>
          <w:szCs w:val="16"/>
        </w:rPr>
        <w:t>§</w:t>
      </w:r>
      <w:r w:rsidRPr="00DD4FDD">
        <w:rPr>
          <w:szCs w:val="16"/>
        </w:rPr>
        <w:t xml:space="preserve"> 6.</w:t>
      </w:r>
    </w:p>
  </w:footnote>
  <w:footnote w:id="24">
    <w:p w14:paraId="78FE8838" w14:textId="50FC90CC" w:rsidR="00A44985" w:rsidRPr="00DD4FDD" w:rsidRDefault="00A44985" w:rsidP="004C0190">
      <w:pPr>
        <w:pStyle w:val="FootnoteText"/>
        <w:rPr>
          <w:szCs w:val="16"/>
        </w:rPr>
      </w:pPr>
      <w:r w:rsidRPr="00DD4FDD">
        <w:rPr>
          <w:rStyle w:val="FootnoteReference"/>
          <w:szCs w:val="16"/>
        </w:rPr>
        <w:footnoteRef/>
      </w:r>
      <w:r w:rsidRPr="00DD4FDD">
        <w:rPr>
          <w:szCs w:val="16"/>
        </w:rPr>
        <w:t xml:space="preserve"> Principes fondamentaux et directives concernant le droit à un recours et à réparation des victimes de violations flagrantes du droit international des droits de l’homme et de violations graves du droit international humanitaire</w:t>
      </w:r>
      <w:r w:rsidR="004C0190" w:rsidRPr="00DD4FDD">
        <w:rPr>
          <w:szCs w:val="16"/>
        </w:rPr>
        <w:t>,</w:t>
      </w:r>
      <w:r w:rsidRPr="00DD4FDD">
        <w:rPr>
          <w:szCs w:val="16"/>
        </w:rPr>
        <w:t xml:space="preserve"> Résolution </w:t>
      </w:r>
      <w:r w:rsidR="004C0190" w:rsidRPr="00DD4FDD">
        <w:rPr>
          <w:szCs w:val="16"/>
        </w:rPr>
        <w:t xml:space="preserve">60/147 </w:t>
      </w:r>
      <w:r w:rsidRPr="00DD4FDD">
        <w:rPr>
          <w:szCs w:val="16"/>
        </w:rPr>
        <w:t>adoptée par l’Assemblée générale le 16 décembre 2005</w:t>
      </w:r>
      <w:r w:rsidR="008B7A0E" w:rsidRPr="00DD4FDD">
        <w:rPr>
          <w:szCs w:val="16"/>
        </w:rPr>
        <w:t>.</w:t>
      </w:r>
    </w:p>
  </w:footnote>
  <w:footnote w:id="25">
    <w:p w14:paraId="57BCCBB9" w14:textId="76AA26A4" w:rsidR="00A44985" w:rsidRPr="00DD4FDD" w:rsidRDefault="00A44985" w:rsidP="004C0190">
      <w:pPr>
        <w:pStyle w:val="FootnoteText"/>
        <w:tabs>
          <w:tab w:val="left" w:pos="284"/>
        </w:tabs>
        <w:contextualSpacing/>
        <w:rPr>
          <w:rFonts w:cs="Tahoma"/>
          <w:szCs w:val="16"/>
        </w:rPr>
      </w:pPr>
      <w:r w:rsidRPr="00DD4FDD">
        <w:rPr>
          <w:rStyle w:val="FootnoteReference"/>
          <w:rFonts w:cs="Tahoma"/>
          <w:szCs w:val="16"/>
        </w:rPr>
        <w:footnoteRef/>
      </w:r>
      <w:r w:rsidRPr="00DD4FDD">
        <w:rPr>
          <w:rFonts w:cs="Tahoma"/>
          <w:szCs w:val="16"/>
        </w:rPr>
        <w:t xml:space="preserve"> </w:t>
      </w:r>
      <w:r w:rsidRPr="00DD4FDD">
        <w:rPr>
          <w:rFonts w:cs="Tahoma"/>
          <w:szCs w:val="16"/>
          <w:lang w:val="fr-CH"/>
        </w:rPr>
        <w:t xml:space="preserve">Observations finales du Comité des droits de l’homme, 12 décembre 2007, CCPR/C/DZA/CO/3, </w:t>
      </w:r>
      <w:r w:rsidR="004C0190" w:rsidRPr="00DD4FDD">
        <w:rPr>
          <w:rFonts w:cs="Tahoma"/>
          <w:szCs w:val="16"/>
          <w:lang w:val="fr-CH"/>
        </w:rPr>
        <w:t>§</w:t>
      </w:r>
      <w:r w:rsidRPr="00DD4FDD">
        <w:rPr>
          <w:rFonts w:cs="Tahoma"/>
          <w:szCs w:val="16"/>
          <w:lang w:val="fr-CH"/>
        </w:rPr>
        <w:t xml:space="preserve"> 7.</w:t>
      </w:r>
    </w:p>
  </w:footnote>
  <w:footnote w:id="26">
    <w:p w14:paraId="00E049F5" w14:textId="2B556D73" w:rsidR="00A44985" w:rsidRPr="00DD4FDD" w:rsidRDefault="00A44985" w:rsidP="004C0190">
      <w:pPr>
        <w:pStyle w:val="FootnoteText"/>
        <w:tabs>
          <w:tab w:val="left" w:pos="142"/>
        </w:tabs>
        <w:contextualSpacing/>
        <w:rPr>
          <w:rFonts w:cs="Tahoma"/>
          <w:i/>
          <w:iCs/>
          <w:szCs w:val="16"/>
        </w:rPr>
      </w:pPr>
      <w:r w:rsidRPr="00DD4FDD">
        <w:rPr>
          <w:rStyle w:val="FootnoteReference"/>
          <w:rFonts w:cs="Tahoma"/>
          <w:szCs w:val="16"/>
        </w:rPr>
        <w:footnoteRef/>
      </w:r>
      <w:r w:rsidRPr="00DD4FDD">
        <w:rPr>
          <w:rFonts w:cs="Tahoma"/>
          <w:szCs w:val="16"/>
        </w:rPr>
        <w:t xml:space="preserve"> </w:t>
      </w:r>
      <w:r w:rsidR="004C0190" w:rsidRPr="00DD4FDD">
        <w:rPr>
          <w:rFonts w:cs="Tahoma"/>
          <w:i/>
          <w:iCs/>
          <w:szCs w:val="16"/>
        </w:rPr>
        <w:t>I</w:t>
      </w:r>
      <w:r w:rsidRPr="00DD4FDD">
        <w:rPr>
          <w:rFonts w:cs="Tahoma"/>
          <w:i/>
          <w:iCs/>
          <w:szCs w:val="16"/>
          <w:lang w:val="fr-CH"/>
        </w:rPr>
        <w:t>bidem</w:t>
      </w:r>
      <w:r w:rsidRPr="00DD4FDD">
        <w:rPr>
          <w:rFonts w:cs="Tahoma"/>
          <w:szCs w:val="16"/>
          <w:lang w:val="fr-CH"/>
        </w:rPr>
        <w:t xml:space="preserve">, faisant référence à : </w:t>
      </w:r>
      <w:r w:rsidRPr="00DD4FDD">
        <w:rPr>
          <w:rFonts w:cs="Tahoma"/>
          <w:szCs w:val="16"/>
        </w:rPr>
        <w:t>Comité contre la torture</w:t>
      </w:r>
      <w:r w:rsidRPr="00DD4FDD">
        <w:rPr>
          <w:rFonts w:cs="Tahoma"/>
          <w:i/>
          <w:iCs/>
          <w:szCs w:val="16"/>
        </w:rPr>
        <w:t>, Observation générale nº2 (2007)</w:t>
      </w:r>
      <w:r w:rsidRPr="00DD4FDD">
        <w:rPr>
          <w:rFonts w:cs="Tahoma"/>
          <w:szCs w:val="16"/>
        </w:rPr>
        <w:t xml:space="preserve">, </w:t>
      </w:r>
      <w:r w:rsidRPr="00DD4FDD">
        <w:rPr>
          <w:rFonts w:cs="Tahoma"/>
          <w:szCs w:val="16"/>
          <w:lang w:val="fr-CH"/>
        </w:rPr>
        <w:t>24</w:t>
      </w:r>
      <w:r w:rsidRPr="00DD4FDD">
        <w:rPr>
          <w:rFonts w:cs="Tahoma"/>
          <w:szCs w:val="16"/>
        </w:rPr>
        <w:t xml:space="preserve"> janvier 2008, CAT/C/GC/2</w:t>
      </w:r>
      <w:r w:rsidRPr="00DD4FDD">
        <w:rPr>
          <w:rFonts w:cs="Tahoma"/>
          <w:szCs w:val="16"/>
          <w:lang w:val="fr-CH"/>
        </w:rPr>
        <w:t xml:space="preserve">, </w:t>
      </w:r>
      <w:r w:rsidR="004C0190" w:rsidRPr="00DD4FDD">
        <w:rPr>
          <w:rFonts w:cs="Tahoma"/>
          <w:szCs w:val="16"/>
        </w:rPr>
        <w:t>§</w:t>
      </w:r>
      <w:r w:rsidRPr="00DD4FDD">
        <w:rPr>
          <w:rFonts w:cs="Tahoma"/>
          <w:szCs w:val="16"/>
          <w:lang w:val="fr-CH"/>
        </w:rPr>
        <w:t xml:space="preserve"> </w:t>
      </w:r>
      <w:r w:rsidRPr="00DD4FDD">
        <w:rPr>
          <w:rFonts w:cs="Tahoma"/>
          <w:szCs w:val="16"/>
        </w:rPr>
        <w:t xml:space="preserve">5. </w:t>
      </w:r>
    </w:p>
  </w:footnote>
  <w:footnote w:id="27">
    <w:p w14:paraId="3781F600" w14:textId="6DC608B7" w:rsidR="00A44985" w:rsidRPr="00DD4FDD" w:rsidRDefault="00A44985" w:rsidP="004C0190">
      <w:pPr>
        <w:pStyle w:val="FootnoteText"/>
        <w:rPr>
          <w:szCs w:val="16"/>
          <w:lang w:val="fr-CH"/>
        </w:rPr>
      </w:pPr>
      <w:r w:rsidRPr="00DD4FDD">
        <w:rPr>
          <w:rStyle w:val="FootnoteReference"/>
          <w:szCs w:val="16"/>
        </w:rPr>
        <w:footnoteRef/>
      </w:r>
      <w:r w:rsidRPr="00DD4FDD">
        <w:rPr>
          <w:szCs w:val="16"/>
        </w:rPr>
        <w:t xml:space="preserve"> </w:t>
      </w:r>
      <w:r w:rsidR="004C0190" w:rsidRPr="00DD4FDD">
        <w:rPr>
          <w:i/>
          <w:iCs/>
          <w:szCs w:val="16"/>
        </w:rPr>
        <w:t>Quatrième rapport périodique</w:t>
      </w:r>
      <w:r w:rsidR="004C0190" w:rsidRPr="00DD4FDD">
        <w:rPr>
          <w:szCs w:val="16"/>
        </w:rPr>
        <w:t xml:space="preserve">, </w:t>
      </w:r>
      <w:r w:rsidR="004C0190" w:rsidRPr="00DD4FDD">
        <w:rPr>
          <w:szCs w:val="16"/>
          <w:lang w:val="fr-CH"/>
        </w:rPr>
        <w:t>§</w:t>
      </w:r>
      <w:r w:rsidRPr="00DD4FDD">
        <w:rPr>
          <w:szCs w:val="16"/>
          <w:lang w:val="fr-CH"/>
        </w:rPr>
        <w:t xml:space="preserve"> 57</w:t>
      </w:r>
      <w:r w:rsidR="004C0190" w:rsidRPr="00DD4FDD">
        <w:rPr>
          <w:szCs w:val="16"/>
          <w:lang w:val="fr-CH"/>
        </w:rPr>
        <w:t>.</w:t>
      </w:r>
    </w:p>
  </w:footnote>
  <w:footnote w:id="28">
    <w:p w14:paraId="0FC7281C" w14:textId="77777777" w:rsidR="00A44985" w:rsidRPr="00DD4FDD" w:rsidRDefault="00A44985" w:rsidP="001D2B87">
      <w:pPr>
        <w:pStyle w:val="Default"/>
        <w:ind w:left="284" w:hanging="284"/>
        <w:jc w:val="both"/>
        <w:rPr>
          <w:rFonts w:ascii="Tahoma" w:hAnsi="Tahoma" w:cs="Tahoma"/>
          <w:sz w:val="16"/>
          <w:szCs w:val="16"/>
          <w:lang w:val="fr-CH"/>
        </w:rPr>
      </w:pPr>
      <w:r w:rsidRPr="00DD4FDD">
        <w:rPr>
          <w:rStyle w:val="FootnoteReference"/>
          <w:rFonts w:ascii="Tahoma" w:hAnsi="Tahoma" w:cs="Tahoma"/>
          <w:sz w:val="16"/>
          <w:szCs w:val="16"/>
        </w:rPr>
        <w:footnoteRef/>
      </w:r>
      <w:r w:rsidRPr="00DD4FDD">
        <w:rPr>
          <w:rFonts w:ascii="Tahoma" w:hAnsi="Tahoma" w:cs="Tahoma"/>
          <w:i/>
          <w:iCs/>
          <w:color w:val="auto"/>
          <w:sz w:val="16"/>
          <w:szCs w:val="16"/>
          <w:lang w:val="fr-CH"/>
        </w:rPr>
        <w:t>Rapport du Groupe de travail sur les disparitions forcées ou involontaires</w:t>
      </w:r>
      <w:r w:rsidRPr="00DD4FDD">
        <w:rPr>
          <w:rFonts w:ascii="Tahoma" w:hAnsi="Tahoma" w:cs="Tahoma"/>
          <w:color w:val="auto"/>
          <w:sz w:val="16"/>
          <w:szCs w:val="16"/>
          <w:lang w:val="fr-CH"/>
        </w:rPr>
        <w:t>, 28 juillet 2016, A/HRC/33/51, p. 14.</w:t>
      </w:r>
    </w:p>
  </w:footnote>
  <w:footnote w:id="29">
    <w:p w14:paraId="665A6B66" w14:textId="5998B68A" w:rsidR="00A44985" w:rsidRPr="00DD4FDD" w:rsidRDefault="00A44985" w:rsidP="004C0190">
      <w:pPr>
        <w:pStyle w:val="FootnoteText"/>
        <w:tabs>
          <w:tab w:val="left" w:pos="142"/>
        </w:tabs>
        <w:ind w:left="142" w:hanging="142"/>
        <w:contextualSpacing/>
        <w:rPr>
          <w:rFonts w:cs="Tahoma"/>
          <w:szCs w:val="16"/>
        </w:rPr>
      </w:pPr>
      <w:r w:rsidRPr="00DD4FDD">
        <w:rPr>
          <w:rStyle w:val="FootnoteReference"/>
          <w:rFonts w:cs="Tahoma"/>
          <w:szCs w:val="16"/>
        </w:rPr>
        <w:footnoteRef/>
      </w:r>
      <w:r w:rsidRPr="00DD4FDD">
        <w:rPr>
          <w:rFonts w:cs="Tahoma"/>
          <w:szCs w:val="16"/>
        </w:rPr>
        <w:t xml:space="preserve"> </w:t>
      </w:r>
      <w:r w:rsidRPr="00DD4FDD">
        <w:rPr>
          <w:rFonts w:cs="Tahoma"/>
          <w:i/>
          <w:iCs/>
          <w:szCs w:val="16"/>
          <w:lang w:val="fr-CH"/>
        </w:rPr>
        <w:t>Rapport annuel du Groupe de travail sur les disparitions forcées ou involontaires</w:t>
      </w:r>
      <w:r w:rsidRPr="00DD4FDD">
        <w:rPr>
          <w:rFonts w:cs="Tahoma"/>
          <w:szCs w:val="16"/>
          <w:lang w:val="fr-CH"/>
        </w:rPr>
        <w:t xml:space="preserve">, 18 décembre 2000, </w:t>
      </w:r>
      <w:r w:rsidRPr="00DD4FDD">
        <w:rPr>
          <w:rFonts w:cs="Tahoma"/>
          <w:szCs w:val="16"/>
        </w:rPr>
        <w:t>E/CN.4/2001/68</w:t>
      </w:r>
      <w:r w:rsidRPr="00DD4FDD">
        <w:rPr>
          <w:rFonts w:cs="Tahoma"/>
          <w:szCs w:val="16"/>
          <w:lang w:val="fr-CH"/>
        </w:rPr>
        <w:t xml:space="preserve">, </w:t>
      </w:r>
      <w:r w:rsidR="004C0190" w:rsidRPr="00DD4FDD">
        <w:rPr>
          <w:rFonts w:cs="Tahoma"/>
          <w:szCs w:val="16"/>
          <w:lang w:val="fr-CH"/>
        </w:rPr>
        <w:t>§</w:t>
      </w:r>
      <w:r w:rsidRPr="00DD4FDD">
        <w:rPr>
          <w:rFonts w:cs="Tahoma"/>
          <w:szCs w:val="16"/>
          <w:lang w:val="fr-CH"/>
        </w:rPr>
        <w:t xml:space="preserve"> 14.</w:t>
      </w:r>
    </w:p>
  </w:footnote>
  <w:footnote w:id="30">
    <w:p w14:paraId="35D70EDB" w14:textId="6DA58AC9" w:rsidR="00A44985" w:rsidRPr="00DD4FDD" w:rsidRDefault="00A44985" w:rsidP="004C0190">
      <w:pPr>
        <w:pStyle w:val="FootnoteText"/>
        <w:rPr>
          <w:rFonts w:cs="Tahoma"/>
          <w:szCs w:val="16"/>
        </w:rPr>
      </w:pPr>
      <w:r w:rsidRPr="00DD4FDD">
        <w:rPr>
          <w:rStyle w:val="FootnoteReference"/>
          <w:rFonts w:cs="Tahoma"/>
          <w:szCs w:val="16"/>
        </w:rPr>
        <w:footnoteRef/>
      </w:r>
      <w:r w:rsidRPr="00DD4FDD">
        <w:rPr>
          <w:rFonts w:cs="Tahoma"/>
          <w:szCs w:val="16"/>
        </w:rPr>
        <w:t xml:space="preserve"> </w:t>
      </w:r>
      <w:r w:rsidRPr="00DD4FDD">
        <w:rPr>
          <w:rFonts w:cs="Tahoma"/>
          <w:i/>
          <w:iCs/>
          <w:szCs w:val="16"/>
          <w:lang w:val="fr-CH"/>
        </w:rPr>
        <w:t>Rapport du Groupe de travail sur les disparitions forcées ou involontaires</w:t>
      </w:r>
      <w:r w:rsidRPr="00DD4FDD">
        <w:rPr>
          <w:rFonts w:cs="Tahoma"/>
          <w:szCs w:val="16"/>
          <w:lang w:val="fr-CH"/>
        </w:rPr>
        <w:t xml:space="preserve">, 28 juillet 2016, A/HRC/33/51, </w:t>
      </w:r>
      <w:r w:rsidR="004C0190" w:rsidRPr="00DD4FDD">
        <w:rPr>
          <w:rFonts w:cs="Tahoma"/>
          <w:szCs w:val="16"/>
          <w:lang w:val="fr-CH"/>
        </w:rPr>
        <w:t>§</w:t>
      </w:r>
      <w:r w:rsidRPr="00DD4FDD">
        <w:rPr>
          <w:rFonts w:cs="Tahoma"/>
          <w:szCs w:val="16"/>
          <w:lang w:val="fr-CH"/>
        </w:rPr>
        <w:t xml:space="preserve"> 30</w:t>
      </w:r>
      <w:r w:rsidR="004C0190" w:rsidRPr="00DD4FDD">
        <w:rPr>
          <w:rFonts w:cs="Tahoma"/>
          <w:szCs w:val="16"/>
          <w:lang w:val="fr-CH"/>
        </w:rPr>
        <w:t>.</w:t>
      </w:r>
    </w:p>
  </w:footnote>
  <w:footnote w:id="31">
    <w:p w14:paraId="768E18D2" w14:textId="77777777" w:rsidR="00A44985" w:rsidRPr="00DD4FDD" w:rsidRDefault="00A44985" w:rsidP="001D2B87">
      <w:pPr>
        <w:pStyle w:val="FootnoteText"/>
        <w:rPr>
          <w:szCs w:val="16"/>
          <w:lang w:val="fr-CH"/>
        </w:rPr>
      </w:pPr>
      <w:r w:rsidRPr="00DD4FDD">
        <w:rPr>
          <w:rStyle w:val="FootnoteReference"/>
          <w:szCs w:val="16"/>
        </w:rPr>
        <w:footnoteRef/>
      </w:r>
      <w:r w:rsidRPr="00DD4FDD">
        <w:rPr>
          <w:szCs w:val="16"/>
        </w:rPr>
        <w:t xml:space="preserve"> « Principes fondamentaux et directives concernant le droit à un recours et à réparation des victimes de violations flagrantes du droit international des droits de l’homme et de violations graves du droit international humanitaire », </w:t>
      </w:r>
      <w:r w:rsidRPr="00DD4FDD">
        <w:rPr>
          <w:i/>
          <w:iCs/>
          <w:szCs w:val="16"/>
        </w:rPr>
        <w:t>op.cit.</w:t>
      </w:r>
      <w:r w:rsidRPr="00DD4FDD">
        <w:rPr>
          <w:szCs w:val="16"/>
        </w:rPr>
        <w:t>, partie V.</w:t>
      </w:r>
    </w:p>
  </w:footnote>
  <w:footnote w:id="32">
    <w:p w14:paraId="2525196F" w14:textId="45886EAD" w:rsidR="00082CF6" w:rsidRPr="00DD4FDD" w:rsidRDefault="00082CF6">
      <w:pPr>
        <w:pStyle w:val="FootnoteText"/>
        <w:rPr>
          <w:szCs w:val="16"/>
          <w:lang w:val="fr-CH"/>
        </w:rPr>
      </w:pPr>
      <w:r w:rsidRPr="00DD4FDD">
        <w:rPr>
          <w:rStyle w:val="FootnoteReference"/>
          <w:szCs w:val="16"/>
        </w:rPr>
        <w:footnoteRef/>
      </w:r>
      <w:r w:rsidRPr="00DD4FDD">
        <w:rPr>
          <w:szCs w:val="16"/>
        </w:rPr>
        <w:t xml:space="preserve"> Alkarama, </w:t>
      </w:r>
      <w:r w:rsidRPr="00DD4FDD">
        <w:rPr>
          <w:i/>
          <w:iCs/>
          <w:szCs w:val="16"/>
        </w:rPr>
        <w:t xml:space="preserve">Algérie : Le fils d’une victime d’exécution sommaire arrêté en représailles à une décision du Comité des Droits de l’Homme, </w:t>
      </w:r>
      <w:r w:rsidRPr="00DD4FDD">
        <w:rPr>
          <w:szCs w:val="16"/>
        </w:rPr>
        <w:t xml:space="preserve">2 mars 2017, </w:t>
      </w:r>
      <w:hyperlink r:id="rId2" w:history="1">
        <w:r w:rsidRPr="00DD4FDD">
          <w:rPr>
            <w:rStyle w:val="Hyperlink"/>
            <w:szCs w:val="16"/>
          </w:rPr>
          <w:t>https://www.alkarama.org/fr/articles/algerie-le-fils-dune-victime-dexecution-sommaire-arrete-en-represailles-une-decision-du</w:t>
        </w:r>
      </w:hyperlink>
      <w:r w:rsidRPr="00DD4FDD">
        <w:rPr>
          <w:szCs w:val="16"/>
        </w:rPr>
        <w:t xml:space="preserve"> (consulté le 24 juillet 2017).</w:t>
      </w:r>
    </w:p>
  </w:footnote>
  <w:footnote w:id="33">
    <w:p w14:paraId="72BAA8CD" w14:textId="638000C1" w:rsidR="00A44985" w:rsidRPr="00DD4FDD" w:rsidRDefault="00A44985" w:rsidP="00997A36">
      <w:pPr>
        <w:pStyle w:val="FootnoteText"/>
        <w:rPr>
          <w:szCs w:val="16"/>
          <w:lang w:val="fr-CH"/>
        </w:rPr>
      </w:pPr>
      <w:r w:rsidRPr="00DD4FDD">
        <w:rPr>
          <w:rStyle w:val="FootnoteReference"/>
          <w:szCs w:val="16"/>
        </w:rPr>
        <w:footnoteRef/>
      </w:r>
      <w:r w:rsidRPr="00DD4FDD">
        <w:rPr>
          <w:szCs w:val="16"/>
        </w:rPr>
        <w:t xml:space="preserve"> </w:t>
      </w:r>
      <w:r w:rsidR="00997A36" w:rsidRPr="00DD4FDD">
        <w:rPr>
          <w:i/>
          <w:iCs/>
          <w:szCs w:val="16"/>
        </w:rPr>
        <w:t>Quatrième rapport périodique</w:t>
      </w:r>
      <w:r w:rsidR="00997A36" w:rsidRPr="00DD4FDD">
        <w:rPr>
          <w:szCs w:val="16"/>
        </w:rPr>
        <w:t>,</w:t>
      </w:r>
      <w:r w:rsidRPr="00DD4FDD">
        <w:rPr>
          <w:szCs w:val="16"/>
          <w:lang w:val="fr-CH"/>
        </w:rPr>
        <w:t xml:space="preserve"> </w:t>
      </w:r>
      <w:r w:rsidR="00997A36" w:rsidRPr="00DD4FDD">
        <w:rPr>
          <w:szCs w:val="16"/>
          <w:lang w:val="fr-CH"/>
        </w:rPr>
        <w:t xml:space="preserve">§ </w:t>
      </w:r>
      <w:r w:rsidRPr="00DD4FDD">
        <w:rPr>
          <w:szCs w:val="16"/>
          <w:lang w:val="fr-CH"/>
        </w:rPr>
        <w:t>62</w:t>
      </w:r>
      <w:r w:rsidR="00997A36" w:rsidRPr="00DD4FDD">
        <w:rPr>
          <w:szCs w:val="16"/>
          <w:lang w:val="fr-CH"/>
        </w:rPr>
        <w:t>.</w:t>
      </w:r>
      <w:r w:rsidRPr="00DD4FDD">
        <w:rPr>
          <w:szCs w:val="16"/>
          <w:lang w:val="fr-CH"/>
        </w:rPr>
        <w:t xml:space="preserve"> </w:t>
      </w:r>
    </w:p>
  </w:footnote>
  <w:footnote w:id="34">
    <w:p w14:paraId="63F18A5A" w14:textId="0CA5E58C" w:rsidR="00A44985" w:rsidRPr="00DD4FDD" w:rsidRDefault="00A44985" w:rsidP="001D2B87">
      <w:pPr>
        <w:pStyle w:val="FootnoteText"/>
        <w:tabs>
          <w:tab w:val="left" w:pos="2295"/>
        </w:tabs>
        <w:rPr>
          <w:rFonts w:eastAsia="AR PL UMing HK" w:cs="Lohit Hindi"/>
          <w:szCs w:val="16"/>
        </w:rPr>
      </w:pPr>
      <w:r w:rsidRPr="00DD4FDD">
        <w:rPr>
          <w:rStyle w:val="FootnoteReference"/>
          <w:szCs w:val="16"/>
        </w:rPr>
        <w:footnoteRef/>
      </w:r>
      <w:r w:rsidR="00997A36" w:rsidRPr="00DD4FDD">
        <w:rPr>
          <w:szCs w:val="16"/>
        </w:rPr>
        <w:t xml:space="preserve"> Article</w:t>
      </w:r>
      <w:r w:rsidRPr="00DD4FDD">
        <w:rPr>
          <w:szCs w:val="16"/>
        </w:rPr>
        <w:t xml:space="preserve"> 87 </w:t>
      </w:r>
      <w:r w:rsidRPr="00DD4FDD">
        <w:rPr>
          <w:i/>
          <w:iCs/>
          <w:szCs w:val="16"/>
        </w:rPr>
        <w:t>bis</w:t>
      </w:r>
      <w:r w:rsidRPr="00DD4FDD">
        <w:rPr>
          <w:szCs w:val="16"/>
        </w:rPr>
        <w:t xml:space="preserve"> : « Est considéré comme acte terroriste ou subversif, tout acte visant la sûreté de l'Etat, l'intégrité du territoire, la stabilité et le fonctionnement normal des institutions par toute action ayant pour objet de :</w:t>
      </w:r>
    </w:p>
    <w:p w14:paraId="44559143" w14:textId="77777777" w:rsidR="00A44985" w:rsidRPr="00DD4FDD" w:rsidRDefault="00A44985" w:rsidP="001D2B87">
      <w:pPr>
        <w:pStyle w:val="FootnoteText"/>
        <w:tabs>
          <w:tab w:val="left" w:pos="2295"/>
        </w:tabs>
        <w:rPr>
          <w:szCs w:val="16"/>
        </w:rPr>
      </w:pPr>
      <w:r w:rsidRPr="00DD4FDD">
        <w:rPr>
          <w:szCs w:val="16"/>
        </w:rPr>
        <w:t>- semer l'effroi au sein de la population et créer un climat d'insécurité, en portant atteinte moralement ou physiquement aux personnes ou en mettant en danger leur vie, leur liberté ou leur sécurité, ou en portant atteinte à leur biens ;</w:t>
      </w:r>
    </w:p>
    <w:p w14:paraId="21B286C4" w14:textId="77777777" w:rsidR="00A44985" w:rsidRPr="00DD4FDD" w:rsidRDefault="00A44985" w:rsidP="001D2B87">
      <w:pPr>
        <w:pStyle w:val="FootnoteText"/>
        <w:tabs>
          <w:tab w:val="left" w:pos="2295"/>
        </w:tabs>
        <w:rPr>
          <w:szCs w:val="16"/>
        </w:rPr>
      </w:pPr>
      <w:r w:rsidRPr="00DD4FDD">
        <w:rPr>
          <w:szCs w:val="16"/>
        </w:rPr>
        <w:t>- entraver la circulation ou la liberté de mouvement sur les voies et occuper les places publiques par des attroupements ;</w:t>
      </w:r>
    </w:p>
    <w:p w14:paraId="58E8D55C" w14:textId="77777777" w:rsidR="00A44985" w:rsidRPr="00DD4FDD" w:rsidRDefault="00A44985" w:rsidP="001D2B87">
      <w:pPr>
        <w:pStyle w:val="FootnoteText"/>
        <w:tabs>
          <w:tab w:val="left" w:pos="2295"/>
        </w:tabs>
        <w:rPr>
          <w:szCs w:val="16"/>
        </w:rPr>
      </w:pPr>
      <w:r w:rsidRPr="00DD4FDD">
        <w:rPr>
          <w:szCs w:val="16"/>
        </w:rPr>
        <w:t>- attenter aux symboles de la Nation et de la République et profaner les sépultures ;</w:t>
      </w:r>
    </w:p>
    <w:p w14:paraId="774E0130" w14:textId="77777777" w:rsidR="00A44985" w:rsidRPr="00DD4FDD" w:rsidRDefault="00A44985" w:rsidP="001D2B87">
      <w:pPr>
        <w:pStyle w:val="FootnoteText"/>
        <w:tabs>
          <w:tab w:val="left" w:pos="2295"/>
        </w:tabs>
        <w:rPr>
          <w:szCs w:val="16"/>
        </w:rPr>
      </w:pPr>
      <w:r w:rsidRPr="00DD4FDD">
        <w:rPr>
          <w:szCs w:val="16"/>
        </w:rPr>
        <w:t>- porter atteinte aux moyens de communication et de transport, aux propriétés publiques ou privées, d'en prendre possession ou de les occuper indûment ;</w:t>
      </w:r>
    </w:p>
    <w:p w14:paraId="06907551" w14:textId="77777777" w:rsidR="00A44985" w:rsidRPr="00DD4FDD" w:rsidRDefault="00A44985" w:rsidP="001D2B87">
      <w:pPr>
        <w:pStyle w:val="FootnoteText"/>
        <w:tabs>
          <w:tab w:val="left" w:pos="2295"/>
        </w:tabs>
        <w:rPr>
          <w:szCs w:val="16"/>
        </w:rPr>
      </w:pPr>
      <w:r w:rsidRPr="00DD4FDD">
        <w:rPr>
          <w:szCs w:val="16"/>
        </w:rPr>
        <w:t>- porter atteinte à l'environnement ou introduire dans l'atmosphère, sur le sol, dans le sous-sol ou dans les eaux y compris celles de la mer territoriale, une substance de nature à mettre en péril la santé de l'homme ou des animaux ou le milieu naturel ;</w:t>
      </w:r>
    </w:p>
    <w:p w14:paraId="6EF16709" w14:textId="77777777" w:rsidR="00A44985" w:rsidRPr="00DD4FDD" w:rsidRDefault="00A44985" w:rsidP="001D2B87">
      <w:pPr>
        <w:pStyle w:val="FootnoteText"/>
        <w:tabs>
          <w:tab w:val="left" w:pos="2295"/>
        </w:tabs>
        <w:rPr>
          <w:szCs w:val="16"/>
        </w:rPr>
      </w:pPr>
      <w:r w:rsidRPr="00DD4FDD">
        <w:rPr>
          <w:szCs w:val="16"/>
        </w:rPr>
        <w:t>- faire obstacle à l'action des autorités publiques ou au libre exercice de culte et des libertés publiques ainsi qu'au fonctionnement des établissements concourant au service public ;</w:t>
      </w:r>
    </w:p>
    <w:p w14:paraId="3E0AB077" w14:textId="77777777" w:rsidR="00A44985" w:rsidRPr="00DD4FDD" w:rsidRDefault="00A44985" w:rsidP="001D2B87">
      <w:pPr>
        <w:pStyle w:val="FootnoteText"/>
        <w:tabs>
          <w:tab w:val="left" w:pos="2295"/>
        </w:tabs>
        <w:rPr>
          <w:szCs w:val="16"/>
        </w:rPr>
      </w:pPr>
      <w:r w:rsidRPr="00DD4FDD">
        <w:rPr>
          <w:szCs w:val="16"/>
        </w:rPr>
        <w:t>- faire obstacle au fonctionnement des institutions publiques ou porter atteinte à la vie ou aux biens de leurs agents, ou faire obstacle à l'application des lois et règlements. »</w:t>
      </w:r>
    </w:p>
  </w:footnote>
  <w:footnote w:id="35">
    <w:p w14:paraId="2CAE9BF9" w14:textId="52C30016" w:rsidR="00A44985" w:rsidRPr="00DD4FDD" w:rsidRDefault="00A44985" w:rsidP="001D2B87">
      <w:pPr>
        <w:pStyle w:val="FootnoteText"/>
        <w:rPr>
          <w:szCs w:val="16"/>
        </w:rPr>
      </w:pPr>
      <w:r w:rsidRPr="00DD4FDD">
        <w:rPr>
          <w:rStyle w:val="FootnoteReference"/>
          <w:szCs w:val="16"/>
        </w:rPr>
        <w:footnoteRef/>
      </w:r>
      <w:r w:rsidRPr="00DD4FDD">
        <w:rPr>
          <w:szCs w:val="16"/>
        </w:rPr>
        <w:t xml:space="preserve"> </w:t>
      </w:r>
      <w:r w:rsidRPr="00DD4FDD">
        <w:rPr>
          <w:i/>
          <w:iCs/>
          <w:szCs w:val="16"/>
        </w:rPr>
        <w:t>Qu</w:t>
      </w:r>
      <w:r w:rsidR="007D63CE" w:rsidRPr="00DD4FDD">
        <w:rPr>
          <w:i/>
          <w:iCs/>
          <w:szCs w:val="16"/>
        </w:rPr>
        <w:t>atrième Rapport Périodique</w:t>
      </w:r>
      <w:r w:rsidR="007D63CE" w:rsidRPr="00DD4FDD">
        <w:rPr>
          <w:szCs w:val="16"/>
        </w:rPr>
        <w:t>, §§</w:t>
      </w:r>
      <w:r w:rsidRPr="00DD4FDD">
        <w:rPr>
          <w:szCs w:val="16"/>
        </w:rPr>
        <w:t xml:space="preserve">155 et 157. </w:t>
      </w:r>
    </w:p>
  </w:footnote>
  <w:footnote w:id="36">
    <w:p w14:paraId="1A924E12" w14:textId="1DCC3D77" w:rsidR="00BC6B7A" w:rsidRPr="00DD4FDD" w:rsidRDefault="00A44985" w:rsidP="00BC6B7A">
      <w:pPr>
        <w:pStyle w:val="FootnoteText"/>
        <w:rPr>
          <w:szCs w:val="16"/>
        </w:rPr>
      </w:pPr>
      <w:r w:rsidRPr="00DD4FDD">
        <w:rPr>
          <w:rStyle w:val="FootnoteReference"/>
          <w:szCs w:val="16"/>
        </w:rPr>
        <w:footnoteRef/>
      </w:r>
      <w:r w:rsidRPr="00DD4FDD">
        <w:rPr>
          <w:szCs w:val="16"/>
        </w:rPr>
        <w:t xml:space="preserve"> </w:t>
      </w:r>
      <w:r w:rsidR="00BC6B7A" w:rsidRPr="00DD4FDD">
        <w:rPr>
          <w:szCs w:val="16"/>
        </w:rPr>
        <w:t xml:space="preserve">Dans </w:t>
      </w:r>
      <w:r w:rsidR="00BC6B7A" w:rsidRPr="00DD4FDD">
        <w:rPr>
          <w:i/>
          <w:iCs/>
          <w:szCs w:val="16"/>
        </w:rPr>
        <w:t>Rafik Belamrania c. Algérie</w:t>
      </w:r>
      <w:r w:rsidR="00BC6B7A" w:rsidRPr="00DD4FDD">
        <w:rPr>
          <w:szCs w:val="16"/>
        </w:rPr>
        <w:t>, Communication n°2157/2012, 27 octobre 2016, le Comité a enjoint aux autorités de :</w:t>
      </w:r>
    </w:p>
    <w:p w14:paraId="73297D14" w14:textId="77777777" w:rsidR="00BC6B7A" w:rsidRPr="00DD4FDD" w:rsidRDefault="00BC6B7A" w:rsidP="00BC6B7A">
      <w:pPr>
        <w:pStyle w:val="FootnoteText"/>
        <w:rPr>
          <w:szCs w:val="16"/>
          <w:lang w:val="fr-CH"/>
        </w:rPr>
      </w:pPr>
      <w:r w:rsidRPr="00DD4FDD">
        <w:rPr>
          <w:szCs w:val="16"/>
          <w:lang w:val="fr-CH"/>
        </w:rPr>
        <w:t xml:space="preserve">a) mener une enquête approfondie et rigoureuse sur l’exécution sommaire présumée ; </w:t>
      </w:r>
    </w:p>
    <w:p w14:paraId="19B04DCC" w14:textId="77777777" w:rsidR="00BC6B7A" w:rsidRPr="00DD4FDD" w:rsidRDefault="00BC6B7A" w:rsidP="00BC6B7A">
      <w:pPr>
        <w:pStyle w:val="FootnoteText"/>
        <w:rPr>
          <w:szCs w:val="16"/>
          <w:lang w:val="fr-CH"/>
        </w:rPr>
      </w:pPr>
      <w:r w:rsidRPr="00DD4FDD">
        <w:rPr>
          <w:szCs w:val="16"/>
          <w:lang w:val="fr-CH"/>
        </w:rPr>
        <w:t xml:space="preserve">b) de fournir à la famille de la victime des informations détaillées quant aux résultats de cette enquête ; </w:t>
      </w:r>
    </w:p>
    <w:p w14:paraId="1BA54362" w14:textId="77777777" w:rsidR="00BC6B7A" w:rsidRPr="00DD4FDD" w:rsidRDefault="00BC6B7A" w:rsidP="00BC6B7A">
      <w:pPr>
        <w:pStyle w:val="FootnoteText"/>
        <w:rPr>
          <w:szCs w:val="16"/>
          <w:lang w:val="fr-CH"/>
        </w:rPr>
      </w:pPr>
      <w:r w:rsidRPr="00DD4FDD">
        <w:rPr>
          <w:szCs w:val="16"/>
          <w:lang w:val="fr-CH"/>
        </w:rPr>
        <w:t xml:space="preserve">c) de poursuivre, juger et punir les responsables des violations commises ; </w:t>
      </w:r>
    </w:p>
    <w:p w14:paraId="41A25A0D" w14:textId="31B9D4CA" w:rsidR="00A44985" w:rsidRPr="00DD4FDD" w:rsidRDefault="00BC6B7A" w:rsidP="00BC6B7A">
      <w:pPr>
        <w:pStyle w:val="FootnoteText"/>
        <w:rPr>
          <w:szCs w:val="16"/>
          <w:lang w:val="fr-CH"/>
        </w:rPr>
      </w:pPr>
      <w:r w:rsidRPr="00DD4FDD">
        <w:rPr>
          <w:szCs w:val="16"/>
          <w:lang w:val="fr-CH"/>
        </w:rPr>
        <w:t>d) d’indemniser de manière appropriée la famille de la victime et lui fournir des mesures de satisfaction appropriées.</w:t>
      </w:r>
    </w:p>
  </w:footnote>
  <w:footnote w:id="37">
    <w:p w14:paraId="50FA3BEA" w14:textId="26FC92B6" w:rsidR="00BC6B7A" w:rsidRPr="00DD4FDD" w:rsidRDefault="00BC6B7A" w:rsidP="00BC6B7A">
      <w:pPr>
        <w:pStyle w:val="FootnoteText"/>
        <w:rPr>
          <w:b/>
          <w:bCs/>
          <w:szCs w:val="16"/>
          <w:lang w:val="fr-CH"/>
        </w:rPr>
      </w:pPr>
      <w:r w:rsidRPr="00DD4FDD">
        <w:rPr>
          <w:rStyle w:val="FootnoteReference"/>
          <w:szCs w:val="16"/>
        </w:rPr>
        <w:footnoteRef/>
      </w:r>
      <w:r w:rsidRPr="00DD4FDD">
        <w:rPr>
          <w:szCs w:val="16"/>
        </w:rPr>
        <w:t xml:space="preserve"> </w:t>
      </w:r>
      <w:r w:rsidRPr="00DD4FDD">
        <w:rPr>
          <w:szCs w:val="16"/>
          <w:lang w:val="fr-CH"/>
        </w:rPr>
        <w:t xml:space="preserve">Alkarama, </w:t>
      </w:r>
      <w:r w:rsidRPr="00DD4FDD">
        <w:rPr>
          <w:i/>
          <w:iCs/>
          <w:szCs w:val="16"/>
          <w:lang w:val="fr-CH"/>
        </w:rPr>
        <w:t>Algérie : Décès suspect en détention du journaliste Mohamed Tamalt</w:t>
      </w:r>
      <w:r w:rsidRPr="00DD4FDD">
        <w:rPr>
          <w:szCs w:val="16"/>
          <w:lang w:val="fr-CH"/>
        </w:rPr>
        <w:t xml:space="preserve">, 12 décembre 2016, </w:t>
      </w:r>
      <w:hyperlink r:id="rId3" w:history="1">
        <w:r w:rsidRPr="00DD4FDD">
          <w:rPr>
            <w:rStyle w:val="Hyperlink"/>
            <w:szCs w:val="16"/>
            <w:lang w:val="fr-CH"/>
          </w:rPr>
          <w:t>https://www.alkarama.org/fr/articles/algerie-deces-suspect-en-detention-du-journaliste-mohamed-tamalt</w:t>
        </w:r>
      </w:hyperlink>
      <w:r w:rsidRPr="00DD4FDD">
        <w:rPr>
          <w:szCs w:val="16"/>
          <w:lang w:val="fr-CH"/>
        </w:rPr>
        <w:t xml:space="preserve"> (consulté le 24 juillet 2017).</w:t>
      </w:r>
    </w:p>
  </w:footnote>
  <w:footnote w:id="38">
    <w:p w14:paraId="2CF46924" w14:textId="5C83B221" w:rsidR="00A44985" w:rsidRPr="00DD4FDD" w:rsidRDefault="00A44985" w:rsidP="00A3151E">
      <w:pPr>
        <w:pStyle w:val="FootnoteText"/>
        <w:rPr>
          <w:szCs w:val="16"/>
        </w:rPr>
      </w:pPr>
      <w:r w:rsidRPr="00DD4FDD">
        <w:rPr>
          <w:rStyle w:val="FootnoteReference"/>
          <w:szCs w:val="16"/>
        </w:rPr>
        <w:footnoteRef/>
      </w:r>
      <w:r w:rsidRPr="00DD4FDD">
        <w:rPr>
          <w:szCs w:val="16"/>
        </w:rPr>
        <w:t xml:space="preserve"> </w:t>
      </w:r>
      <w:r w:rsidRPr="00DD4FDD">
        <w:rPr>
          <w:i/>
          <w:iCs/>
          <w:szCs w:val="16"/>
        </w:rPr>
        <w:t>Quatrième rapport périodique</w:t>
      </w:r>
      <w:r w:rsidRPr="00DD4FDD">
        <w:rPr>
          <w:szCs w:val="16"/>
        </w:rPr>
        <w:t xml:space="preserve">, </w:t>
      </w:r>
      <w:r w:rsidR="00A3151E" w:rsidRPr="00DD4FDD">
        <w:rPr>
          <w:szCs w:val="16"/>
        </w:rPr>
        <w:t>§</w:t>
      </w:r>
      <w:r w:rsidRPr="00DD4FDD">
        <w:rPr>
          <w:szCs w:val="16"/>
        </w:rPr>
        <w:t xml:space="preserve"> 164. </w:t>
      </w:r>
    </w:p>
  </w:footnote>
  <w:footnote w:id="39">
    <w:p w14:paraId="020B333A" w14:textId="0CD2B01E" w:rsidR="00A44985" w:rsidRPr="00DD4FDD" w:rsidRDefault="00A44985" w:rsidP="001D2B87">
      <w:pPr>
        <w:pStyle w:val="FootnoteText"/>
        <w:rPr>
          <w:szCs w:val="16"/>
        </w:rPr>
      </w:pPr>
      <w:r w:rsidRPr="00DD4FDD">
        <w:rPr>
          <w:rStyle w:val="FootnoteReference"/>
          <w:szCs w:val="16"/>
        </w:rPr>
        <w:footnoteRef/>
      </w:r>
      <w:r w:rsidR="00A3151E" w:rsidRPr="00DD4FDD">
        <w:rPr>
          <w:szCs w:val="16"/>
        </w:rPr>
        <w:t xml:space="preserve"> Article 51</w:t>
      </w:r>
      <w:r w:rsidRPr="00DD4FDD">
        <w:rPr>
          <w:szCs w:val="16"/>
        </w:rPr>
        <w:t xml:space="preserve"> </w:t>
      </w:r>
      <w:r w:rsidRPr="00DD4FDD">
        <w:rPr>
          <w:i/>
          <w:iCs/>
          <w:szCs w:val="16"/>
        </w:rPr>
        <w:t>bis</w:t>
      </w:r>
      <w:r w:rsidRPr="00DD4FDD">
        <w:rPr>
          <w:szCs w:val="16"/>
        </w:rPr>
        <w:t xml:space="preserve"> 1 : « Tout en veillant au secret de l’enquête et de son bon déroulement, l’officier de police judiciaire est tenu de mettre à la disposition de la personne gardée à vue, tout moyen lui permettant de communiquer immédiatement avec une personne de son choix parmi ses ascendants, descendants, frères et sœurs ou conjoint et de recevoir sa visite ou de contacter son avocat ».</w:t>
      </w:r>
    </w:p>
  </w:footnote>
  <w:footnote w:id="40">
    <w:p w14:paraId="02B8DC31" w14:textId="17D60292" w:rsidR="00A44985" w:rsidRPr="00DD4FDD" w:rsidRDefault="00A44985" w:rsidP="00A3151E">
      <w:pPr>
        <w:pStyle w:val="FootnoteText"/>
        <w:rPr>
          <w:szCs w:val="16"/>
        </w:rPr>
      </w:pPr>
      <w:r w:rsidRPr="00DD4FDD">
        <w:rPr>
          <w:rStyle w:val="FootnoteReference"/>
          <w:szCs w:val="16"/>
        </w:rPr>
        <w:footnoteRef/>
      </w:r>
      <w:r w:rsidRPr="00DD4FDD">
        <w:rPr>
          <w:szCs w:val="16"/>
        </w:rPr>
        <w:t xml:space="preserve"> </w:t>
      </w:r>
      <w:r w:rsidR="00A3151E" w:rsidRPr="00DD4FDD">
        <w:rPr>
          <w:szCs w:val="16"/>
        </w:rPr>
        <w:t>Article</w:t>
      </w:r>
      <w:r w:rsidRPr="00DD4FDD">
        <w:rPr>
          <w:szCs w:val="16"/>
        </w:rPr>
        <w:t xml:space="preserve"> 51 </w:t>
      </w:r>
      <w:r w:rsidRPr="00DD4FDD">
        <w:rPr>
          <w:i/>
          <w:iCs/>
          <w:szCs w:val="16"/>
        </w:rPr>
        <w:t>bis</w:t>
      </w:r>
      <w:r w:rsidRPr="00DD4FDD">
        <w:rPr>
          <w:szCs w:val="16"/>
        </w:rPr>
        <w:t xml:space="preserve"> 1</w:t>
      </w:r>
      <w:r w:rsidR="00A3151E" w:rsidRPr="00DD4FDD">
        <w:rPr>
          <w:szCs w:val="16"/>
        </w:rPr>
        <w:t xml:space="preserve"> § </w:t>
      </w:r>
      <w:r w:rsidRPr="00DD4FDD">
        <w:rPr>
          <w:szCs w:val="16"/>
        </w:rPr>
        <w:t>5 : « La visite se déroule dans un espace sécurisé garantissant le secret de l’entretien sous le regard de l’officier de police judiciaire ».</w:t>
      </w:r>
    </w:p>
  </w:footnote>
  <w:footnote w:id="41">
    <w:p w14:paraId="5BFE0C44" w14:textId="7274FA66" w:rsidR="00A44985" w:rsidRPr="00DD4FDD" w:rsidRDefault="00A44985" w:rsidP="00A3151E">
      <w:pPr>
        <w:ind w:left="284" w:hanging="284"/>
        <w:rPr>
          <w:rFonts w:cs="Tahoma"/>
          <w:sz w:val="16"/>
          <w:szCs w:val="16"/>
        </w:rPr>
      </w:pPr>
      <w:r w:rsidRPr="00DD4FDD">
        <w:rPr>
          <w:rStyle w:val="FootnoteReference"/>
          <w:rFonts w:cs="Tahoma"/>
          <w:sz w:val="16"/>
          <w:szCs w:val="16"/>
        </w:rPr>
        <w:footnoteRef/>
      </w:r>
      <w:r w:rsidRPr="00DD4FDD">
        <w:rPr>
          <w:rFonts w:cs="Tahoma"/>
          <w:sz w:val="16"/>
          <w:szCs w:val="16"/>
        </w:rPr>
        <w:t xml:space="preserve"> </w:t>
      </w:r>
      <w:r w:rsidR="00A3151E" w:rsidRPr="00DD4FDD">
        <w:rPr>
          <w:rFonts w:cs="Tahoma"/>
          <w:sz w:val="16"/>
          <w:szCs w:val="16"/>
        </w:rPr>
        <w:t>Article</w:t>
      </w:r>
      <w:r w:rsidRPr="00DD4FDD">
        <w:rPr>
          <w:rFonts w:cs="Tahoma"/>
          <w:sz w:val="16"/>
          <w:szCs w:val="16"/>
        </w:rPr>
        <w:t xml:space="preserve"> 51 </w:t>
      </w:r>
      <w:r w:rsidRPr="00DD4FDD">
        <w:rPr>
          <w:rFonts w:cs="Tahoma"/>
          <w:i/>
          <w:iCs/>
          <w:sz w:val="16"/>
          <w:szCs w:val="16"/>
        </w:rPr>
        <w:t>bis</w:t>
      </w:r>
      <w:r w:rsidR="00A3151E" w:rsidRPr="00DD4FDD">
        <w:rPr>
          <w:rFonts w:cs="Tahoma"/>
          <w:sz w:val="16"/>
          <w:szCs w:val="16"/>
        </w:rPr>
        <w:t xml:space="preserve"> 1 § </w:t>
      </w:r>
      <w:r w:rsidRPr="00DD4FDD">
        <w:rPr>
          <w:rFonts w:cs="Tahoma"/>
          <w:sz w:val="16"/>
          <w:szCs w:val="16"/>
        </w:rPr>
        <w:t xml:space="preserve">3 : « Toutefois, lorsque l’enquête en cours porte sur les infractions de trafic de drogue, de crime transnational </w:t>
      </w:r>
    </w:p>
    <w:p w14:paraId="5208463E" w14:textId="37AA0F04" w:rsidR="00A44985" w:rsidRPr="00DD4FDD" w:rsidRDefault="00A44985" w:rsidP="001D2B87">
      <w:pPr>
        <w:rPr>
          <w:rFonts w:cs="Tahoma"/>
          <w:sz w:val="16"/>
          <w:szCs w:val="16"/>
        </w:rPr>
      </w:pPr>
      <w:r w:rsidRPr="00DD4FDD">
        <w:rPr>
          <w:rFonts w:cs="Tahoma"/>
          <w:sz w:val="16"/>
          <w:szCs w:val="16"/>
        </w:rPr>
        <w:t>organisé, d'atteinte aux systèmes de traitement automatisé de données, de blanchiment d'argent, de terrorisme et d’infractions relatives à la législation des changes et de corruption, la personne gardée à vue peut recevoir la visite de son avocat à l’expiration de la moitié de la durée maximale prévue à l’article 51 de la présente loi. »</w:t>
      </w:r>
    </w:p>
  </w:footnote>
  <w:footnote w:id="42">
    <w:p w14:paraId="29FD2536" w14:textId="01B5D8E5" w:rsidR="00A44985" w:rsidRPr="00DD4FDD" w:rsidRDefault="00A44985" w:rsidP="00A3151E">
      <w:pPr>
        <w:pStyle w:val="FootnoteText"/>
        <w:rPr>
          <w:rFonts w:cs="Tahoma"/>
          <w:szCs w:val="16"/>
          <w:lang w:val="fr-CH"/>
        </w:rPr>
      </w:pPr>
      <w:r w:rsidRPr="00DD4FDD">
        <w:rPr>
          <w:rStyle w:val="FootnoteReference"/>
          <w:rFonts w:cs="Tahoma"/>
          <w:szCs w:val="16"/>
        </w:rPr>
        <w:footnoteRef/>
      </w:r>
      <w:r w:rsidRPr="00DD4FDD">
        <w:rPr>
          <w:rFonts w:cs="Tahoma"/>
          <w:szCs w:val="16"/>
        </w:rPr>
        <w:t xml:space="preserve"> Alkarama, </w:t>
      </w:r>
      <w:r w:rsidRPr="00DD4FDD">
        <w:rPr>
          <w:rFonts w:cs="Tahoma"/>
          <w:i/>
          <w:iCs/>
          <w:szCs w:val="16"/>
        </w:rPr>
        <w:t xml:space="preserve">Algérie: Torture et détention arbitraire d'un membre de la Ligue Algérienne pour la Défense Droits de l'Homme depuis plus de 8 mois, </w:t>
      </w:r>
      <w:r w:rsidRPr="00DD4FDD">
        <w:rPr>
          <w:rStyle w:val="itemdatecreated"/>
          <w:rFonts w:cs="Tahoma"/>
          <w:szCs w:val="16"/>
        </w:rPr>
        <w:t>12 octobre 2015,</w:t>
      </w:r>
      <w:r w:rsidRPr="00DD4FDD">
        <w:rPr>
          <w:rFonts w:cs="Tahoma"/>
          <w:i/>
          <w:iCs/>
          <w:szCs w:val="16"/>
        </w:rPr>
        <w:t xml:space="preserve"> </w:t>
      </w:r>
      <w:hyperlink r:id="rId4" w:history="1">
        <w:r w:rsidR="00A3151E" w:rsidRPr="00DD4FDD">
          <w:rPr>
            <w:rStyle w:val="Hyperlink"/>
            <w:rFonts w:cs="Tahoma"/>
            <w:i/>
            <w:iCs/>
            <w:szCs w:val="16"/>
          </w:rPr>
          <w:t>https://www.alkarama.org/fr/articles/algerie-torture-et-detention-arbitraire-dun-membre-de-la-ligue-algerienne-pour-la-defense</w:t>
        </w:r>
      </w:hyperlink>
      <w:r w:rsidR="00A3151E" w:rsidRPr="00DD4FDD">
        <w:rPr>
          <w:rFonts w:cs="Tahoma"/>
          <w:i/>
          <w:iCs/>
          <w:szCs w:val="16"/>
        </w:rPr>
        <w:t xml:space="preserve"> </w:t>
      </w:r>
      <w:r w:rsidR="00A3151E" w:rsidRPr="00DD4FDD">
        <w:rPr>
          <w:rFonts w:cs="Tahoma"/>
          <w:szCs w:val="16"/>
        </w:rPr>
        <w:t>(consulté le 24 juillet 2017).</w:t>
      </w:r>
    </w:p>
  </w:footnote>
  <w:footnote w:id="43">
    <w:p w14:paraId="6F894613" w14:textId="6EEB2E4F" w:rsidR="00A44985" w:rsidRPr="00DD4FDD" w:rsidRDefault="00A44985" w:rsidP="00A3151E">
      <w:pPr>
        <w:pStyle w:val="FootnoteText"/>
        <w:rPr>
          <w:szCs w:val="16"/>
        </w:rPr>
      </w:pPr>
      <w:r w:rsidRPr="00DD4FDD">
        <w:rPr>
          <w:rStyle w:val="FootnoteReference"/>
          <w:szCs w:val="16"/>
        </w:rPr>
        <w:footnoteRef/>
      </w:r>
      <w:r w:rsidRPr="00DD4FDD">
        <w:rPr>
          <w:szCs w:val="16"/>
        </w:rPr>
        <w:t xml:space="preserve"> </w:t>
      </w:r>
      <w:r w:rsidR="00A3151E" w:rsidRPr="00DD4FDD">
        <w:rPr>
          <w:szCs w:val="16"/>
        </w:rPr>
        <w:t>Observation générale n°34, §§10-11.</w:t>
      </w:r>
    </w:p>
  </w:footnote>
  <w:footnote w:id="44">
    <w:p w14:paraId="00523D25" w14:textId="26F4345F" w:rsidR="00A44985" w:rsidRPr="00DD4FDD" w:rsidRDefault="00A44985" w:rsidP="00A3151E">
      <w:pPr>
        <w:pStyle w:val="FootnoteText"/>
        <w:rPr>
          <w:szCs w:val="16"/>
          <w:lang w:val="fr-CH"/>
        </w:rPr>
      </w:pPr>
      <w:r w:rsidRPr="00DD4FDD">
        <w:rPr>
          <w:rStyle w:val="FootnoteReference"/>
          <w:szCs w:val="16"/>
        </w:rPr>
        <w:footnoteRef/>
      </w:r>
      <w:r w:rsidRPr="00DD4FDD">
        <w:rPr>
          <w:szCs w:val="16"/>
        </w:rPr>
        <w:t xml:space="preserve"> La loi </w:t>
      </w:r>
      <w:r w:rsidRPr="00DD4FDD">
        <w:rPr>
          <w:szCs w:val="16"/>
          <w:lang w:eastAsia="fr-FR"/>
        </w:rPr>
        <w:t>n</w:t>
      </w:r>
      <w:r w:rsidRPr="00DD4FDD">
        <w:rPr>
          <w:szCs w:val="16"/>
          <w:vertAlign w:val="superscript"/>
          <w:lang w:eastAsia="fr-FR"/>
        </w:rPr>
        <w:t>o</w:t>
      </w:r>
      <w:r w:rsidRPr="00DD4FDD">
        <w:rPr>
          <w:szCs w:val="16"/>
          <w:lang w:eastAsia="fr-FR"/>
        </w:rPr>
        <w:t> </w:t>
      </w:r>
      <w:r w:rsidRPr="00DD4FDD">
        <w:rPr>
          <w:szCs w:val="16"/>
        </w:rPr>
        <w:t xml:space="preserve">09-02 du 25 février 2009 modifiant et complétant la loi </w:t>
      </w:r>
      <w:r w:rsidRPr="00DD4FDD">
        <w:rPr>
          <w:szCs w:val="16"/>
          <w:lang w:eastAsia="fr-FR"/>
        </w:rPr>
        <w:t>n</w:t>
      </w:r>
      <w:r w:rsidRPr="00DD4FDD">
        <w:rPr>
          <w:szCs w:val="16"/>
          <w:vertAlign w:val="superscript"/>
          <w:lang w:eastAsia="fr-FR"/>
        </w:rPr>
        <w:t>o</w:t>
      </w:r>
      <w:r w:rsidRPr="00DD4FDD">
        <w:rPr>
          <w:szCs w:val="16"/>
          <w:lang w:eastAsia="fr-FR"/>
        </w:rPr>
        <w:t> </w:t>
      </w:r>
      <w:r w:rsidRPr="00DD4FDD">
        <w:rPr>
          <w:szCs w:val="16"/>
        </w:rPr>
        <w:t xml:space="preserve">71-57 du 5 août 1971 et </w:t>
      </w:r>
      <w:r w:rsidRPr="00DD4FDD">
        <w:rPr>
          <w:i/>
          <w:iCs/>
          <w:szCs w:val="16"/>
        </w:rPr>
        <w:t>Quatrième rapport périodique</w:t>
      </w:r>
      <w:r w:rsidR="00A3151E" w:rsidRPr="00DD4FDD">
        <w:rPr>
          <w:i/>
          <w:iCs/>
          <w:szCs w:val="16"/>
        </w:rPr>
        <w:t>,</w:t>
      </w:r>
      <w:r w:rsidRPr="00DD4FDD">
        <w:rPr>
          <w:szCs w:val="16"/>
        </w:rPr>
        <w:t xml:space="preserve"> </w:t>
      </w:r>
      <w:r w:rsidR="00A3151E" w:rsidRPr="00DD4FDD">
        <w:rPr>
          <w:szCs w:val="16"/>
        </w:rPr>
        <w:t xml:space="preserve">§§ 200 - </w:t>
      </w:r>
      <w:r w:rsidRPr="00DD4FDD">
        <w:rPr>
          <w:szCs w:val="16"/>
        </w:rPr>
        <w:t xml:space="preserve">204. </w:t>
      </w:r>
    </w:p>
  </w:footnote>
  <w:footnote w:id="45">
    <w:p w14:paraId="6E0059D4" w14:textId="214CD9A0" w:rsidR="00A44985" w:rsidRPr="00DD4FDD" w:rsidRDefault="00A44985" w:rsidP="00A3151E">
      <w:pPr>
        <w:pStyle w:val="FootnoteText"/>
        <w:rPr>
          <w:szCs w:val="16"/>
          <w:lang w:val="fr-CH"/>
        </w:rPr>
      </w:pPr>
      <w:r w:rsidRPr="00DD4FDD">
        <w:rPr>
          <w:rStyle w:val="FootnoteReference"/>
          <w:szCs w:val="16"/>
        </w:rPr>
        <w:footnoteRef/>
      </w:r>
      <w:r w:rsidRPr="00DD4FDD">
        <w:rPr>
          <w:szCs w:val="16"/>
        </w:rPr>
        <w:t xml:space="preserve"> </w:t>
      </w:r>
      <w:r w:rsidRPr="00DD4FDD">
        <w:rPr>
          <w:rFonts w:cs="Tahoma"/>
          <w:i/>
          <w:iCs/>
          <w:szCs w:val="16"/>
          <w:lang w:val="fr-CH"/>
        </w:rPr>
        <w:t>Quatrième rapport périodique</w:t>
      </w:r>
      <w:r w:rsidRPr="00DD4FDD">
        <w:rPr>
          <w:rFonts w:cs="Tahoma"/>
          <w:szCs w:val="16"/>
          <w:lang w:val="fr-CH"/>
        </w:rPr>
        <w:t xml:space="preserve">, </w:t>
      </w:r>
      <w:r w:rsidR="00A3151E" w:rsidRPr="00DD4FDD">
        <w:rPr>
          <w:rFonts w:cs="Tahoma"/>
          <w:szCs w:val="16"/>
          <w:lang w:val="fr-CH"/>
        </w:rPr>
        <w:t xml:space="preserve">§ </w:t>
      </w:r>
      <w:r w:rsidRPr="00DD4FDD">
        <w:rPr>
          <w:rFonts w:cs="Tahoma"/>
          <w:szCs w:val="16"/>
          <w:lang w:val="fr-CH"/>
        </w:rPr>
        <w:t>317</w:t>
      </w:r>
      <w:r w:rsidR="00A3151E" w:rsidRPr="00DD4FDD">
        <w:rPr>
          <w:rFonts w:cs="Tahoma"/>
          <w:szCs w:val="16"/>
          <w:lang w:val="fr-CH"/>
        </w:rPr>
        <w:t>.</w:t>
      </w:r>
    </w:p>
  </w:footnote>
  <w:footnote w:id="46">
    <w:p w14:paraId="1E830C5C" w14:textId="49868EBD" w:rsidR="00A44985" w:rsidRPr="00DD4FDD" w:rsidRDefault="00A44985" w:rsidP="001D2B87">
      <w:pPr>
        <w:pStyle w:val="FootnoteText"/>
        <w:rPr>
          <w:rFonts w:cs="Tahoma"/>
          <w:szCs w:val="16"/>
          <w:lang w:val="fr-CH"/>
        </w:rPr>
      </w:pPr>
      <w:r w:rsidRPr="00DD4FDD">
        <w:rPr>
          <w:rStyle w:val="FootnoteReference"/>
          <w:rFonts w:cs="Tahoma"/>
          <w:szCs w:val="16"/>
        </w:rPr>
        <w:footnoteRef/>
      </w:r>
      <w:r w:rsidRPr="00DD4FDD">
        <w:rPr>
          <w:rFonts w:cs="Tahoma"/>
          <w:szCs w:val="16"/>
        </w:rPr>
        <w:t xml:space="preserve"> </w:t>
      </w:r>
      <w:r w:rsidR="006C0A85" w:rsidRPr="00DD4FDD">
        <w:rPr>
          <w:rFonts w:cs="Tahoma"/>
          <w:szCs w:val="16"/>
        </w:rPr>
        <w:t>Loi organique n° 04-12 du</w:t>
      </w:r>
      <w:r w:rsidRPr="00DD4FDD">
        <w:rPr>
          <w:rFonts w:cs="Tahoma"/>
          <w:szCs w:val="16"/>
        </w:rPr>
        <w:t xml:space="preserve"> 6 septembre 2004 fixant la composition, le fonctionnement et les attributions du conseil supérieur de la magistrature.</w:t>
      </w:r>
    </w:p>
  </w:footnote>
  <w:footnote w:id="47">
    <w:p w14:paraId="247DEE54" w14:textId="7938533C" w:rsidR="00A44985" w:rsidRPr="00DD4FDD" w:rsidRDefault="00A44985" w:rsidP="006C0A85">
      <w:pPr>
        <w:pStyle w:val="FootnoteText"/>
        <w:rPr>
          <w:rFonts w:cs="Tahoma"/>
          <w:szCs w:val="16"/>
          <w:lang w:val="fr-CH"/>
        </w:rPr>
      </w:pPr>
      <w:r w:rsidRPr="00DD4FDD">
        <w:rPr>
          <w:rStyle w:val="FootnoteReference"/>
          <w:rFonts w:cs="Tahoma"/>
          <w:szCs w:val="16"/>
        </w:rPr>
        <w:footnoteRef/>
      </w:r>
      <w:r w:rsidRPr="00DD4FDD">
        <w:rPr>
          <w:rFonts w:cs="Tahoma"/>
          <w:szCs w:val="16"/>
        </w:rPr>
        <w:t xml:space="preserve"> </w:t>
      </w:r>
      <w:r w:rsidRPr="00DD4FDD">
        <w:rPr>
          <w:rFonts w:cs="Tahoma"/>
          <w:i/>
          <w:iCs/>
          <w:szCs w:val="16"/>
          <w:lang w:val="fr-CH"/>
        </w:rPr>
        <w:t>Quatrième rapport périodique</w:t>
      </w:r>
      <w:r w:rsidRPr="00DD4FDD">
        <w:rPr>
          <w:rFonts w:cs="Tahoma"/>
          <w:szCs w:val="16"/>
          <w:lang w:val="fr-CH"/>
        </w:rPr>
        <w:t>,</w:t>
      </w:r>
      <w:r w:rsidR="006C0A85" w:rsidRPr="00DD4FDD">
        <w:rPr>
          <w:rFonts w:cs="Tahoma"/>
          <w:szCs w:val="16"/>
          <w:lang w:val="fr-CH"/>
        </w:rPr>
        <w:t xml:space="preserve"> §</w:t>
      </w:r>
      <w:r w:rsidRPr="00DD4FDD">
        <w:rPr>
          <w:rFonts w:cs="Tahoma"/>
          <w:szCs w:val="16"/>
          <w:lang w:val="fr-CH"/>
        </w:rPr>
        <w:t>12</w:t>
      </w:r>
      <w:r w:rsidR="006C0A85" w:rsidRPr="00DD4FDD">
        <w:rPr>
          <w:rFonts w:cs="Tahoma"/>
          <w:szCs w:val="16"/>
          <w:lang w:val="fr-CH"/>
        </w:rPr>
        <w:t>.</w:t>
      </w:r>
    </w:p>
  </w:footnote>
  <w:footnote w:id="48">
    <w:p w14:paraId="6DDE9CC3" w14:textId="63AEB4A5" w:rsidR="00A44985" w:rsidRPr="00DD4FDD" w:rsidRDefault="00A44985" w:rsidP="006C0A85">
      <w:pPr>
        <w:pStyle w:val="FootnoteText"/>
        <w:rPr>
          <w:szCs w:val="16"/>
        </w:rPr>
      </w:pPr>
      <w:r w:rsidRPr="00DD4FDD">
        <w:rPr>
          <w:rStyle w:val="FootnoteReference"/>
          <w:szCs w:val="16"/>
        </w:rPr>
        <w:footnoteRef/>
      </w:r>
      <w:r w:rsidRPr="00DD4FDD">
        <w:rPr>
          <w:szCs w:val="16"/>
        </w:rPr>
        <w:t xml:space="preserve"> </w:t>
      </w:r>
      <w:r w:rsidRPr="00DD4FDD">
        <w:rPr>
          <w:i/>
          <w:iCs/>
          <w:szCs w:val="16"/>
        </w:rPr>
        <w:t>Quatrième rapport périodique</w:t>
      </w:r>
      <w:r w:rsidRPr="00DD4FDD">
        <w:rPr>
          <w:szCs w:val="16"/>
        </w:rPr>
        <w:t xml:space="preserve">, </w:t>
      </w:r>
      <w:r w:rsidR="006C0A85" w:rsidRPr="00DD4FDD">
        <w:rPr>
          <w:szCs w:val="16"/>
        </w:rPr>
        <w:t>§</w:t>
      </w:r>
      <w:r w:rsidRPr="00DD4FDD">
        <w:rPr>
          <w:szCs w:val="16"/>
        </w:rPr>
        <w:t>154</w:t>
      </w:r>
      <w:r w:rsidR="006C0A85" w:rsidRPr="00DD4FDD">
        <w:rPr>
          <w:szCs w:val="16"/>
        </w:rPr>
        <w:t>.</w:t>
      </w:r>
    </w:p>
  </w:footnote>
  <w:footnote w:id="49">
    <w:p w14:paraId="1030D1CA" w14:textId="40551B13" w:rsidR="00A44985" w:rsidRPr="00DD4FDD" w:rsidRDefault="00A44985" w:rsidP="001D2B87">
      <w:pPr>
        <w:pStyle w:val="FootnoteText"/>
        <w:rPr>
          <w:rFonts w:cs="Tahoma"/>
          <w:szCs w:val="16"/>
          <w:lang w:val="fr-CH"/>
        </w:rPr>
      </w:pPr>
      <w:r w:rsidRPr="00DD4FDD">
        <w:rPr>
          <w:rStyle w:val="FootnoteReference"/>
          <w:rFonts w:cs="Tahoma"/>
          <w:szCs w:val="16"/>
        </w:rPr>
        <w:footnoteRef/>
      </w:r>
      <w:r w:rsidRPr="00DD4FDD">
        <w:rPr>
          <w:rFonts w:cs="Tahoma"/>
          <w:szCs w:val="16"/>
        </w:rPr>
        <w:t xml:space="preserve"> </w:t>
      </w:r>
      <w:r w:rsidRPr="00DD4FDD">
        <w:rPr>
          <w:rFonts w:cs="Tahoma"/>
          <w:szCs w:val="16"/>
          <w:lang w:val="fr-CH"/>
        </w:rPr>
        <w:t xml:space="preserve">Décret présidentiel </w:t>
      </w:r>
      <w:r w:rsidR="006C0A85" w:rsidRPr="00DD4FDD">
        <w:rPr>
          <w:rFonts w:cs="Tahoma"/>
          <w:szCs w:val="16"/>
          <w:lang w:val="fr-CH"/>
        </w:rPr>
        <w:t>n°</w:t>
      </w:r>
      <w:r w:rsidRPr="00DD4FDD">
        <w:rPr>
          <w:rFonts w:cs="Tahoma"/>
          <w:szCs w:val="16"/>
          <w:lang w:val="fr-CH"/>
        </w:rPr>
        <w:t>92-44 du 1992 portant instauration de l'état d'urgence.</w:t>
      </w:r>
    </w:p>
  </w:footnote>
  <w:footnote w:id="50">
    <w:p w14:paraId="3BECEA0E" w14:textId="77777777" w:rsidR="00A44985" w:rsidRPr="00DD4FDD" w:rsidRDefault="00A44985" w:rsidP="001D2B87">
      <w:pPr>
        <w:pStyle w:val="FootnoteText"/>
        <w:rPr>
          <w:szCs w:val="16"/>
        </w:rPr>
      </w:pPr>
      <w:r w:rsidRPr="00DD4FDD">
        <w:rPr>
          <w:rStyle w:val="FootnoteReference"/>
          <w:szCs w:val="16"/>
        </w:rPr>
        <w:footnoteRef/>
      </w:r>
      <w:r w:rsidRPr="00DD4FDD">
        <w:rPr>
          <w:szCs w:val="16"/>
        </w:rPr>
        <w:t xml:space="preserve"> Voir ci-dessous, partie 7, Libertés fondamentales </w:t>
      </w:r>
    </w:p>
  </w:footnote>
  <w:footnote w:id="51">
    <w:p w14:paraId="6F114D90" w14:textId="037018F2" w:rsidR="00A44985" w:rsidRPr="00DD4FDD" w:rsidRDefault="00A44985" w:rsidP="006C0A85">
      <w:pPr>
        <w:pStyle w:val="FootnoteText"/>
        <w:rPr>
          <w:szCs w:val="16"/>
          <w:lang w:val="fr-CH"/>
        </w:rPr>
      </w:pPr>
      <w:r w:rsidRPr="00DD4FDD">
        <w:rPr>
          <w:rStyle w:val="FootnoteReference"/>
          <w:szCs w:val="16"/>
        </w:rPr>
        <w:footnoteRef/>
      </w:r>
      <w:r w:rsidR="006C0A85" w:rsidRPr="00DD4FDD">
        <w:rPr>
          <w:szCs w:val="16"/>
          <w:lang w:val="fr-CH"/>
        </w:rPr>
        <w:t xml:space="preserve"> Rapport du Rapporteur spécial sur la promotion et la protection du droit à la liberté d’opinion et d’expression, Frank La Rue, 12 juin 2012, A/HRC/20/17/Add.1, §</w:t>
      </w:r>
      <w:r w:rsidRPr="00DD4FDD">
        <w:rPr>
          <w:szCs w:val="16"/>
        </w:rPr>
        <w:t xml:space="preserve"> 15</w:t>
      </w:r>
      <w:r w:rsidR="006C0A85" w:rsidRPr="00DD4FDD">
        <w:rPr>
          <w:szCs w:val="16"/>
        </w:rPr>
        <w:t>.</w:t>
      </w:r>
    </w:p>
  </w:footnote>
  <w:footnote w:id="52">
    <w:p w14:paraId="05D981AE" w14:textId="2B068C52" w:rsidR="00A44985" w:rsidRPr="00DD4FDD" w:rsidRDefault="00A44985" w:rsidP="00DD4FDD">
      <w:pPr>
        <w:rPr>
          <w:rFonts w:cs="Tahoma"/>
          <w:sz w:val="16"/>
          <w:szCs w:val="16"/>
        </w:rPr>
      </w:pPr>
      <w:r w:rsidRPr="00DD4FDD">
        <w:rPr>
          <w:rStyle w:val="FootnoteReference"/>
          <w:rFonts w:cs="Tahoma"/>
          <w:sz w:val="16"/>
          <w:szCs w:val="16"/>
        </w:rPr>
        <w:footnoteRef/>
      </w:r>
      <w:r w:rsidR="00DD4FDD" w:rsidRPr="00DD4FDD">
        <w:rPr>
          <w:rFonts w:cs="Tahoma"/>
          <w:sz w:val="16"/>
          <w:szCs w:val="16"/>
        </w:rPr>
        <w:t xml:space="preserve"> </w:t>
      </w:r>
      <w:r w:rsidRPr="00DD4FDD">
        <w:rPr>
          <w:rFonts w:cs="Tahoma"/>
          <w:sz w:val="16"/>
          <w:szCs w:val="16"/>
        </w:rPr>
        <w:t xml:space="preserve">Alkarama, </w:t>
      </w:r>
      <w:r w:rsidRPr="00DD4FDD">
        <w:rPr>
          <w:rFonts w:cs="Tahoma"/>
          <w:i/>
          <w:iCs/>
          <w:sz w:val="16"/>
          <w:szCs w:val="16"/>
        </w:rPr>
        <w:t>Algérie: Journaliste et membre du conseil de la Ligue Algérienne pour la Défense des Droits de l'Homme fait une grève de la faim pour protester contre la détention arbitraire</w:t>
      </w:r>
      <w:r w:rsidRPr="00DD4FDD">
        <w:rPr>
          <w:rFonts w:cs="Tahoma"/>
          <w:sz w:val="16"/>
          <w:szCs w:val="16"/>
        </w:rPr>
        <w:t>, 6 octobre 2015,</w:t>
      </w:r>
      <w:r w:rsidR="00DD4FDD" w:rsidRPr="00DD4FDD">
        <w:rPr>
          <w:rFonts w:cs="Tahoma"/>
          <w:sz w:val="16"/>
          <w:szCs w:val="16"/>
        </w:rPr>
        <w:t xml:space="preserve"> </w:t>
      </w:r>
      <w:hyperlink r:id="rId5" w:history="1">
        <w:r w:rsidR="00DD4FDD" w:rsidRPr="00DD4FDD">
          <w:rPr>
            <w:rStyle w:val="Hyperlink"/>
            <w:rFonts w:cs="Tahoma"/>
            <w:sz w:val="16"/>
            <w:szCs w:val="16"/>
          </w:rPr>
          <w:t>https://www.alkarama.org/fr/articles/algerie-hassan-bouras-condamne-un-de-prison-ferme-pour-avoir-mediatise-des-cas-de-violence</w:t>
        </w:r>
      </w:hyperlink>
      <w:r w:rsidR="00DD4FDD" w:rsidRPr="00DD4FDD">
        <w:rPr>
          <w:rFonts w:cs="Tahoma"/>
          <w:sz w:val="16"/>
          <w:szCs w:val="16"/>
        </w:rPr>
        <w:t xml:space="preserve"> </w:t>
      </w:r>
      <w:r w:rsidRPr="00DD4FDD">
        <w:rPr>
          <w:rFonts w:cs="Tahoma"/>
          <w:sz w:val="16"/>
          <w:szCs w:val="16"/>
        </w:rPr>
        <w:t xml:space="preserve">(consulté le </w:t>
      </w:r>
      <w:r w:rsidR="00DD4FDD" w:rsidRPr="00DD4FDD">
        <w:rPr>
          <w:rFonts w:cs="Tahoma"/>
          <w:sz w:val="16"/>
          <w:szCs w:val="16"/>
        </w:rPr>
        <w:t>24 juillet 2017</w:t>
      </w:r>
      <w:r w:rsidRPr="00DD4FDD">
        <w:rPr>
          <w:rFonts w:cs="Tahoma"/>
          <w:sz w:val="16"/>
          <w:szCs w:val="16"/>
        </w:rPr>
        <w:t>).</w:t>
      </w:r>
    </w:p>
  </w:footnote>
  <w:footnote w:id="53">
    <w:p w14:paraId="0450A723" w14:textId="07DD40D9" w:rsidR="00A44985" w:rsidRPr="00DD4FDD" w:rsidRDefault="00A44985" w:rsidP="00DD4FDD">
      <w:pPr>
        <w:pStyle w:val="FootnoteText"/>
        <w:rPr>
          <w:rFonts w:cs="Tahoma"/>
          <w:szCs w:val="16"/>
          <w:lang w:val="fr-CH"/>
        </w:rPr>
      </w:pPr>
      <w:r w:rsidRPr="00DD4FDD">
        <w:rPr>
          <w:rStyle w:val="FootnoteReference"/>
          <w:rFonts w:cs="Tahoma"/>
          <w:szCs w:val="16"/>
        </w:rPr>
        <w:footnoteRef/>
      </w:r>
      <w:r w:rsidR="00DD4FDD" w:rsidRPr="00DD4FDD">
        <w:rPr>
          <w:rFonts w:cs="Tahoma"/>
          <w:szCs w:val="16"/>
        </w:rPr>
        <w:t xml:space="preserve"> </w:t>
      </w:r>
      <w:r w:rsidRPr="00DD4FDD">
        <w:rPr>
          <w:rFonts w:cs="Tahoma"/>
          <w:szCs w:val="16"/>
          <w:lang w:val="fr-CH"/>
        </w:rPr>
        <w:t xml:space="preserve">Alkarama, </w:t>
      </w:r>
      <w:r w:rsidRPr="00DD4FDD">
        <w:rPr>
          <w:rFonts w:cs="Tahoma"/>
          <w:i/>
          <w:iCs/>
          <w:szCs w:val="16"/>
          <w:lang w:val="fr-CH"/>
        </w:rPr>
        <w:t>Algérie : Fermeture arbitraire et perquisition de la chaîne de TV Al Atlas</w:t>
      </w:r>
      <w:r w:rsidRPr="00DD4FDD">
        <w:rPr>
          <w:rFonts w:cs="Tahoma"/>
          <w:szCs w:val="16"/>
          <w:lang w:val="fr-CH"/>
        </w:rPr>
        <w:t xml:space="preserve">, 13 mars 2014, </w:t>
      </w:r>
      <w:hyperlink r:id="rId6" w:history="1">
        <w:r w:rsidR="00DD4FDD" w:rsidRPr="00DD4FDD">
          <w:rPr>
            <w:rStyle w:val="Hyperlink"/>
            <w:rFonts w:cs="Tahoma"/>
            <w:szCs w:val="16"/>
            <w:lang w:val="fr-CH"/>
          </w:rPr>
          <w:t>https://www.alkarama.org/fr/articles/algerie-fermeture-arbitraire-et-perquisition-de-la-chaine-de-tv-al-atlas</w:t>
        </w:r>
      </w:hyperlink>
      <w:r w:rsidR="00DD4FDD" w:rsidRPr="00DD4FDD">
        <w:rPr>
          <w:rFonts w:cs="Tahoma"/>
          <w:szCs w:val="16"/>
          <w:lang w:val="fr-CH"/>
        </w:rPr>
        <w:t xml:space="preserve"> </w:t>
      </w:r>
      <w:r w:rsidRPr="00DD4FDD">
        <w:rPr>
          <w:rFonts w:cs="Tahoma"/>
          <w:szCs w:val="16"/>
          <w:lang w:val="fr-CH"/>
        </w:rPr>
        <w:t xml:space="preserve">(consulté le </w:t>
      </w:r>
      <w:r w:rsidR="00DD4FDD" w:rsidRPr="00DD4FDD">
        <w:rPr>
          <w:rFonts w:cs="Tahoma"/>
          <w:szCs w:val="16"/>
          <w:lang w:val="fr-CH"/>
        </w:rPr>
        <w:t>24 juillet 2017</w:t>
      </w:r>
      <w:r w:rsidRPr="00DD4FDD">
        <w:rPr>
          <w:rFonts w:cs="Tahoma"/>
          <w:szCs w:val="16"/>
          <w:lang w:val="fr-CH"/>
        </w:rPr>
        <w:t>).</w:t>
      </w:r>
    </w:p>
  </w:footnote>
  <w:footnote w:id="54">
    <w:p w14:paraId="2528A2AA" w14:textId="1706C341" w:rsidR="00A44985" w:rsidRPr="00DD4FDD" w:rsidRDefault="00A44985" w:rsidP="00DD4FDD">
      <w:pPr>
        <w:pStyle w:val="FootnoteText"/>
        <w:rPr>
          <w:szCs w:val="16"/>
        </w:rPr>
      </w:pPr>
      <w:r w:rsidRPr="00DD4FDD">
        <w:rPr>
          <w:rStyle w:val="FootnoteReference"/>
          <w:szCs w:val="16"/>
        </w:rPr>
        <w:footnoteRef/>
      </w:r>
      <w:r w:rsidRPr="00DD4FDD">
        <w:rPr>
          <w:szCs w:val="16"/>
        </w:rPr>
        <w:t xml:space="preserve"> Observations finales, </w:t>
      </w:r>
      <w:r w:rsidR="00DD4FDD" w:rsidRPr="00DD4FDD">
        <w:rPr>
          <w:szCs w:val="16"/>
        </w:rPr>
        <w:t>§</w:t>
      </w:r>
      <w:r w:rsidRPr="00DD4FDD">
        <w:rPr>
          <w:szCs w:val="16"/>
        </w:rPr>
        <w:t xml:space="preserve"> 8</w:t>
      </w:r>
      <w:r w:rsidR="00DD4FDD" w:rsidRPr="00DD4FDD">
        <w:rPr>
          <w:szCs w:val="16"/>
        </w:rPr>
        <w:t>.</w:t>
      </w:r>
    </w:p>
  </w:footnote>
  <w:footnote w:id="55">
    <w:p w14:paraId="38D07C4F" w14:textId="54AD825B" w:rsidR="00A44985" w:rsidRPr="00DD4FDD" w:rsidRDefault="00A44985" w:rsidP="001D2B87">
      <w:pPr>
        <w:pStyle w:val="FootnoteText"/>
        <w:rPr>
          <w:rFonts w:cs="Tahoma"/>
          <w:szCs w:val="16"/>
        </w:rPr>
      </w:pPr>
      <w:r w:rsidRPr="00DD4FDD">
        <w:rPr>
          <w:rStyle w:val="FootnoteReference"/>
          <w:rFonts w:cs="Tahoma"/>
          <w:szCs w:val="16"/>
        </w:rPr>
        <w:footnoteRef/>
      </w:r>
      <w:r w:rsidRPr="00DD4FDD">
        <w:rPr>
          <w:rFonts w:cs="Tahoma"/>
          <w:szCs w:val="16"/>
        </w:rPr>
        <w:t xml:space="preserve"> </w:t>
      </w:r>
      <w:r w:rsidR="00DD4FDD">
        <w:rPr>
          <w:rFonts w:cs="Tahoma"/>
          <w:szCs w:val="16"/>
        </w:rPr>
        <w:t>Article</w:t>
      </w:r>
      <w:r w:rsidRPr="00DD4FDD">
        <w:rPr>
          <w:rFonts w:cs="Tahoma"/>
          <w:szCs w:val="16"/>
        </w:rPr>
        <w:t xml:space="preserve"> 87 </w:t>
      </w:r>
      <w:r w:rsidRPr="00DD4FDD">
        <w:rPr>
          <w:rFonts w:cs="Tahoma"/>
          <w:i/>
          <w:iCs/>
          <w:szCs w:val="16"/>
        </w:rPr>
        <w:t>bis</w:t>
      </w:r>
      <w:r w:rsidRPr="00DD4FDD">
        <w:rPr>
          <w:rFonts w:cs="Tahoma"/>
          <w:szCs w:val="16"/>
        </w:rPr>
        <w:t xml:space="preserve"> 4: « Quiconque fait l’apologie, encourage ou finance, par quelque moyen que ce soit, des actes visés à la présente section, est puni d’une peine de réclusion à temps de cinq (5) à dix (10) ans et d’une amende de cent mille (100.000) DA à cinq cents mille (500.000) DA »</w:t>
      </w:r>
      <w:r w:rsidR="00DD4FDD">
        <w:rPr>
          <w:rFonts w:cs="Tahoma"/>
          <w:szCs w:val="16"/>
        </w:rPr>
        <w:t>,</w:t>
      </w:r>
    </w:p>
  </w:footnote>
  <w:footnote w:id="56">
    <w:p w14:paraId="313DA862" w14:textId="6388E087" w:rsidR="00A44985" w:rsidRPr="00DD4FDD" w:rsidRDefault="00A44985" w:rsidP="00DD4FDD">
      <w:pPr>
        <w:pStyle w:val="FootnoteText"/>
        <w:rPr>
          <w:rFonts w:cs="Tahoma"/>
          <w:szCs w:val="16"/>
          <w:lang w:val="fr-CH"/>
        </w:rPr>
      </w:pPr>
      <w:r w:rsidRPr="00DD4FDD">
        <w:rPr>
          <w:rStyle w:val="FootnoteReference"/>
          <w:rFonts w:cs="Tahoma"/>
          <w:szCs w:val="16"/>
        </w:rPr>
        <w:footnoteRef/>
      </w:r>
      <w:r w:rsidRPr="00DD4FDD">
        <w:rPr>
          <w:rFonts w:cs="Tahoma"/>
          <w:szCs w:val="16"/>
        </w:rPr>
        <w:t xml:space="preserve"> Alkarama, </w:t>
      </w:r>
      <w:r w:rsidRPr="00DD4FDD">
        <w:rPr>
          <w:rFonts w:cs="Tahoma"/>
          <w:i/>
          <w:iCs/>
          <w:szCs w:val="16"/>
        </w:rPr>
        <w:t>Algérie : Saber Saidi est libre!,</w:t>
      </w:r>
      <w:r w:rsidRPr="00DD4FDD">
        <w:rPr>
          <w:rFonts w:cs="Tahoma"/>
          <w:szCs w:val="16"/>
        </w:rPr>
        <w:t xml:space="preserve"> </w:t>
      </w:r>
      <w:r w:rsidRPr="00DD4FDD">
        <w:rPr>
          <w:rStyle w:val="itemdatecreated"/>
          <w:rFonts w:cs="Tahoma"/>
          <w:szCs w:val="16"/>
        </w:rPr>
        <w:t>10 avril 2013,</w:t>
      </w:r>
      <w:r w:rsidRPr="00DD4FDD">
        <w:rPr>
          <w:rFonts w:cs="Tahoma"/>
          <w:szCs w:val="16"/>
        </w:rPr>
        <w:t xml:space="preserve"> </w:t>
      </w:r>
      <w:hyperlink r:id="rId7" w:history="1">
        <w:r w:rsidR="00DD4FDD" w:rsidRPr="00F537F7">
          <w:rPr>
            <w:rStyle w:val="Hyperlink"/>
            <w:rFonts w:cs="Tahoma"/>
            <w:szCs w:val="16"/>
          </w:rPr>
          <w:t>https://www.alkarama.org/fr/articles/algerie-saber-saidi-est-libre</w:t>
        </w:r>
      </w:hyperlink>
      <w:r w:rsidR="00DD4FDD">
        <w:rPr>
          <w:rFonts w:cs="Tahoma"/>
          <w:szCs w:val="16"/>
        </w:rPr>
        <w:t xml:space="preserve"> </w:t>
      </w:r>
      <w:r w:rsidRPr="00DD4FDD">
        <w:rPr>
          <w:rFonts w:cs="Tahoma"/>
          <w:szCs w:val="16"/>
        </w:rPr>
        <w:t>(consulté le 14 juillet 2017).</w:t>
      </w:r>
    </w:p>
  </w:footnote>
  <w:footnote w:id="57">
    <w:p w14:paraId="25718E98" w14:textId="6BBC7BD1" w:rsidR="00A44985" w:rsidRPr="00DD4FDD" w:rsidRDefault="00A44985" w:rsidP="00DD4FDD">
      <w:pPr>
        <w:pStyle w:val="FootnoteText"/>
        <w:rPr>
          <w:rFonts w:cs="Tahoma"/>
          <w:szCs w:val="16"/>
        </w:rPr>
      </w:pPr>
      <w:r w:rsidRPr="00DD4FDD">
        <w:rPr>
          <w:rStyle w:val="FootnoteReference"/>
          <w:rFonts w:cs="Tahoma"/>
          <w:szCs w:val="16"/>
        </w:rPr>
        <w:footnoteRef/>
      </w:r>
      <w:r w:rsidRPr="00DD4FDD">
        <w:rPr>
          <w:rFonts w:cs="Tahoma"/>
          <w:szCs w:val="16"/>
        </w:rPr>
        <w:t xml:space="preserve"> Alkarama</w:t>
      </w:r>
      <w:r w:rsidR="00FB2AC4">
        <w:rPr>
          <w:rFonts w:cs="Tahoma"/>
          <w:szCs w:val="16"/>
        </w:rPr>
        <w:t>,</w:t>
      </w:r>
      <w:r w:rsidRPr="00DD4FDD">
        <w:rPr>
          <w:rFonts w:cs="Tahoma"/>
          <w:i/>
          <w:iCs/>
          <w:szCs w:val="16"/>
        </w:rPr>
        <w:t xml:space="preserve"> Algérie: Deux militants des droits de l'homme détenus arbitrairement</w:t>
      </w:r>
      <w:r w:rsidRPr="00DD4FDD">
        <w:rPr>
          <w:rFonts w:cs="Tahoma"/>
          <w:szCs w:val="16"/>
        </w:rPr>
        <w:t>, 9 février 2016</w:t>
      </w:r>
      <w:r w:rsidR="00B37CC1">
        <w:rPr>
          <w:rFonts w:cs="Tahoma"/>
          <w:szCs w:val="16"/>
        </w:rPr>
        <w:t xml:space="preserve">, </w:t>
      </w:r>
      <w:hyperlink r:id="rId8" w:history="1">
        <w:r w:rsidR="00B37CC1" w:rsidRPr="00F537F7">
          <w:rPr>
            <w:rStyle w:val="Hyperlink"/>
            <w:rFonts w:cs="Tahoma"/>
            <w:szCs w:val="16"/>
          </w:rPr>
          <w:t>https://www.alkarama.org/fr/articles/algerie-deux-militants-des-droits-de-lhomme-detenus-arbitrairement</w:t>
        </w:r>
      </w:hyperlink>
      <w:r w:rsidR="00B37CC1">
        <w:rPr>
          <w:rFonts w:cs="Tahoma"/>
          <w:szCs w:val="16"/>
        </w:rPr>
        <w:t xml:space="preserve"> </w:t>
      </w:r>
      <w:r w:rsidRPr="00DD4FDD">
        <w:rPr>
          <w:rFonts w:cs="Tahoma"/>
          <w:szCs w:val="16"/>
        </w:rPr>
        <w:t xml:space="preserve">(consulté le </w:t>
      </w:r>
      <w:r w:rsidR="00B37CC1">
        <w:rPr>
          <w:rFonts w:cs="Tahoma"/>
          <w:szCs w:val="16"/>
        </w:rPr>
        <w:t>24</w:t>
      </w:r>
      <w:r w:rsidRPr="00DD4FDD">
        <w:rPr>
          <w:rFonts w:cs="Tahoma"/>
          <w:szCs w:val="16"/>
        </w:rPr>
        <w:t xml:space="preserve"> juillet 2017).</w:t>
      </w:r>
    </w:p>
  </w:footnote>
  <w:footnote w:id="58">
    <w:p w14:paraId="107832A4" w14:textId="20CEAE26" w:rsidR="00A44985" w:rsidRPr="00DD4FDD" w:rsidRDefault="00A44985" w:rsidP="001D2B87">
      <w:pPr>
        <w:pStyle w:val="FootnoteText"/>
        <w:rPr>
          <w:rFonts w:cs="Tahoma"/>
          <w:szCs w:val="16"/>
          <w:lang w:val="fr-CH"/>
        </w:rPr>
      </w:pPr>
      <w:r w:rsidRPr="00DD4FDD">
        <w:rPr>
          <w:rStyle w:val="FootnoteReference"/>
          <w:rFonts w:cs="Tahoma"/>
          <w:szCs w:val="16"/>
        </w:rPr>
        <w:footnoteRef/>
      </w:r>
      <w:r w:rsidRPr="00DD4FDD">
        <w:rPr>
          <w:rFonts w:cs="Tahoma"/>
          <w:szCs w:val="16"/>
        </w:rPr>
        <w:t xml:space="preserve"> Djamel Benramdane, </w:t>
      </w:r>
      <w:r w:rsidRPr="00DD4FDD">
        <w:rPr>
          <w:rFonts w:cs="Tahoma"/>
          <w:i/>
          <w:iCs/>
          <w:szCs w:val="16"/>
        </w:rPr>
        <w:t xml:space="preserve">Les associations algériennes des acteurs émergents en quête de reconnaissance, </w:t>
      </w:r>
      <w:r w:rsidRPr="00DD4FDD">
        <w:rPr>
          <w:rFonts w:cs="Tahoma"/>
          <w:szCs w:val="16"/>
        </w:rPr>
        <w:t xml:space="preserve">juin 2015, p. 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7017F" w14:textId="77777777" w:rsidR="00A44985" w:rsidRDefault="00A44985">
    <w:pPr>
      <w:pStyle w:val="Header"/>
      <w:jc w:val="right"/>
    </w:pPr>
  </w:p>
  <w:p w14:paraId="78111BF2" w14:textId="77777777" w:rsidR="00A44985" w:rsidRPr="006F2A9F" w:rsidRDefault="00A44985" w:rsidP="006F057F">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AD2C158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49730141"/>
    <w:multiLevelType w:val="hybridMultilevel"/>
    <w:tmpl w:val="92B6FAB8"/>
    <w:lvl w:ilvl="0" w:tplc="B6CAE58C">
      <w:start w:val="1"/>
      <w:numFmt w:val="decimal"/>
      <w:pStyle w:val="Question"/>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68AD07B2"/>
    <w:multiLevelType w:val="hybridMultilevel"/>
    <w:tmpl w:val="8D1CFF8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19426CC6">
      <w:numFmt w:val="bullet"/>
      <w:lvlText w:val="-"/>
      <w:lvlJc w:val="left"/>
      <w:pPr>
        <w:ind w:left="3141" w:hanging="360"/>
      </w:pPr>
      <w:rPr>
        <w:rFonts w:ascii="Times New Roman" w:eastAsia="Times New Roman" w:hAnsi="Times New Roman" w:cs="Times New Roman"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4F07A40"/>
    <w:multiLevelType w:val="multilevel"/>
    <w:tmpl w:val="1B784D26"/>
    <w:lvl w:ilvl="0">
      <w:start w:val="1"/>
      <w:numFmt w:val="decimal"/>
      <w:pStyle w:val="Heading1"/>
      <w:lvlText w:val="%1."/>
      <w:lvlJc w:val="left"/>
      <w:pPr>
        <w:ind w:left="720" w:hanging="360"/>
      </w:pPr>
      <w:rPr>
        <w:rFonts w:hint="default"/>
      </w:rPr>
    </w:lvl>
    <w:lvl w:ilvl="1">
      <w:start w:val="2"/>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1"/>
    <w:lvlOverride w:ilvl="0">
      <w:startOverride w:val="1"/>
    </w:lvlOverride>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1"/>
    <w:lvlOverride w:ilvl="0">
      <w:startOverride w:val="1"/>
    </w:lvlOverride>
  </w:num>
  <w:num w:numId="12">
    <w:abstractNumId w:val="1"/>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66"/>
    <w:rsid w:val="000012F5"/>
    <w:rsid w:val="000078B6"/>
    <w:rsid w:val="00020B60"/>
    <w:rsid w:val="000270C2"/>
    <w:rsid w:val="00027ADE"/>
    <w:rsid w:val="00035E42"/>
    <w:rsid w:val="000451E9"/>
    <w:rsid w:val="0007498F"/>
    <w:rsid w:val="00082CF6"/>
    <w:rsid w:val="000E1CBC"/>
    <w:rsid w:val="000E331D"/>
    <w:rsid w:val="000F619C"/>
    <w:rsid w:val="0011075D"/>
    <w:rsid w:val="00120021"/>
    <w:rsid w:val="00136E99"/>
    <w:rsid w:val="001444BA"/>
    <w:rsid w:val="001603D6"/>
    <w:rsid w:val="001A2375"/>
    <w:rsid w:val="001B504D"/>
    <w:rsid w:val="001C7ABD"/>
    <w:rsid w:val="001D2B87"/>
    <w:rsid w:val="00216E23"/>
    <w:rsid w:val="00224CA8"/>
    <w:rsid w:val="002619ED"/>
    <w:rsid w:val="00275CCB"/>
    <w:rsid w:val="00286945"/>
    <w:rsid w:val="002D0A78"/>
    <w:rsid w:val="00306A1A"/>
    <w:rsid w:val="00314026"/>
    <w:rsid w:val="00321C8B"/>
    <w:rsid w:val="00321E6E"/>
    <w:rsid w:val="00336A5C"/>
    <w:rsid w:val="003378AB"/>
    <w:rsid w:val="00342566"/>
    <w:rsid w:val="00352AB6"/>
    <w:rsid w:val="00361F6B"/>
    <w:rsid w:val="0036780B"/>
    <w:rsid w:val="0037031C"/>
    <w:rsid w:val="003824D0"/>
    <w:rsid w:val="00395B53"/>
    <w:rsid w:val="00396156"/>
    <w:rsid w:val="003A0EB4"/>
    <w:rsid w:val="003E1635"/>
    <w:rsid w:val="003E20A0"/>
    <w:rsid w:val="00402BAA"/>
    <w:rsid w:val="004436B2"/>
    <w:rsid w:val="00455FBA"/>
    <w:rsid w:val="004653ED"/>
    <w:rsid w:val="004C0190"/>
    <w:rsid w:val="00537F17"/>
    <w:rsid w:val="00546781"/>
    <w:rsid w:val="00576ECC"/>
    <w:rsid w:val="005A41C4"/>
    <w:rsid w:val="005D1B5C"/>
    <w:rsid w:val="006229D8"/>
    <w:rsid w:val="00625688"/>
    <w:rsid w:val="006329DF"/>
    <w:rsid w:val="00647D48"/>
    <w:rsid w:val="00687744"/>
    <w:rsid w:val="00690926"/>
    <w:rsid w:val="006960C5"/>
    <w:rsid w:val="006C0A85"/>
    <w:rsid w:val="006D1956"/>
    <w:rsid w:val="006E0709"/>
    <w:rsid w:val="006F057F"/>
    <w:rsid w:val="006F35F1"/>
    <w:rsid w:val="006F7BFD"/>
    <w:rsid w:val="00726DC7"/>
    <w:rsid w:val="00734C6F"/>
    <w:rsid w:val="007513FD"/>
    <w:rsid w:val="00772658"/>
    <w:rsid w:val="0079365B"/>
    <w:rsid w:val="007A4AB2"/>
    <w:rsid w:val="007A4E03"/>
    <w:rsid w:val="007A7B5D"/>
    <w:rsid w:val="007B572F"/>
    <w:rsid w:val="007C25FB"/>
    <w:rsid w:val="007D00BC"/>
    <w:rsid w:val="007D2A63"/>
    <w:rsid w:val="007D63CE"/>
    <w:rsid w:val="007F2DD7"/>
    <w:rsid w:val="00836F83"/>
    <w:rsid w:val="00843095"/>
    <w:rsid w:val="0085334F"/>
    <w:rsid w:val="00856BDB"/>
    <w:rsid w:val="00885A4D"/>
    <w:rsid w:val="008A0570"/>
    <w:rsid w:val="008B7A0E"/>
    <w:rsid w:val="008F3CFD"/>
    <w:rsid w:val="009214A5"/>
    <w:rsid w:val="0092154D"/>
    <w:rsid w:val="00925065"/>
    <w:rsid w:val="00931456"/>
    <w:rsid w:val="00943F4B"/>
    <w:rsid w:val="00944A66"/>
    <w:rsid w:val="009457AA"/>
    <w:rsid w:val="00947B7A"/>
    <w:rsid w:val="009533F2"/>
    <w:rsid w:val="00997A36"/>
    <w:rsid w:val="009A658B"/>
    <w:rsid w:val="009E5CEF"/>
    <w:rsid w:val="00A04B3C"/>
    <w:rsid w:val="00A204BB"/>
    <w:rsid w:val="00A3151E"/>
    <w:rsid w:val="00A34FE9"/>
    <w:rsid w:val="00A44985"/>
    <w:rsid w:val="00A801DE"/>
    <w:rsid w:val="00A92D1D"/>
    <w:rsid w:val="00AA2F9F"/>
    <w:rsid w:val="00AB33E2"/>
    <w:rsid w:val="00AB4E7A"/>
    <w:rsid w:val="00AB6935"/>
    <w:rsid w:val="00AC4B87"/>
    <w:rsid w:val="00AC717D"/>
    <w:rsid w:val="00AE3336"/>
    <w:rsid w:val="00AF553C"/>
    <w:rsid w:val="00B00EB5"/>
    <w:rsid w:val="00B06FEC"/>
    <w:rsid w:val="00B13360"/>
    <w:rsid w:val="00B1389F"/>
    <w:rsid w:val="00B21C7C"/>
    <w:rsid w:val="00B35D19"/>
    <w:rsid w:val="00B37CC1"/>
    <w:rsid w:val="00B40EF8"/>
    <w:rsid w:val="00B53417"/>
    <w:rsid w:val="00B86FB9"/>
    <w:rsid w:val="00BA5291"/>
    <w:rsid w:val="00BB0946"/>
    <w:rsid w:val="00BC4C9B"/>
    <w:rsid w:val="00BC6B7A"/>
    <w:rsid w:val="00BD05B6"/>
    <w:rsid w:val="00BD5511"/>
    <w:rsid w:val="00C067A9"/>
    <w:rsid w:val="00C12C3C"/>
    <w:rsid w:val="00C427C8"/>
    <w:rsid w:val="00C6447F"/>
    <w:rsid w:val="00D1444F"/>
    <w:rsid w:val="00D2143D"/>
    <w:rsid w:val="00D37AA1"/>
    <w:rsid w:val="00D5017C"/>
    <w:rsid w:val="00D51577"/>
    <w:rsid w:val="00D56307"/>
    <w:rsid w:val="00D72B1D"/>
    <w:rsid w:val="00D901A5"/>
    <w:rsid w:val="00D90418"/>
    <w:rsid w:val="00D913FE"/>
    <w:rsid w:val="00DA5EEA"/>
    <w:rsid w:val="00DB235D"/>
    <w:rsid w:val="00DB7725"/>
    <w:rsid w:val="00DC445B"/>
    <w:rsid w:val="00DD4FDD"/>
    <w:rsid w:val="00E3578A"/>
    <w:rsid w:val="00ED28E2"/>
    <w:rsid w:val="00EF03B6"/>
    <w:rsid w:val="00EF6E23"/>
    <w:rsid w:val="00EF7A57"/>
    <w:rsid w:val="00F126FA"/>
    <w:rsid w:val="00F43D05"/>
    <w:rsid w:val="00F5095F"/>
    <w:rsid w:val="00F53E08"/>
    <w:rsid w:val="00F769E7"/>
    <w:rsid w:val="00F839DE"/>
    <w:rsid w:val="00F910BD"/>
    <w:rsid w:val="00F964E3"/>
    <w:rsid w:val="00FA39E4"/>
    <w:rsid w:val="00FB18B2"/>
    <w:rsid w:val="00FB2AC4"/>
    <w:rsid w:val="00FF695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42"/>
    <w:pPr>
      <w:jc w:val="both"/>
    </w:pPr>
    <w:rPr>
      <w:rFonts w:ascii="Tahoma" w:hAnsi="Tahoma" w:cs="Helvetica"/>
      <w:szCs w:val="22"/>
      <w:lang w:val="fr-FR" w:eastAsia="en-US"/>
    </w:rPr>
  </w:style>
  <w:style w:type="paragraph" w:styleId="Heading1">
    <w:name w:val="heading 1"/>
    <w:basedOn w:val="Normal"/>
    <w:next w:val="Normal"/>
    <w:link w:val="Heading1Char"/>
    <w:uiPriority w:val="9"/>
    <w:qFormat/>
    <w:rsid w:val="00035E42"/>
    <w:pPr>
      <w:keepNext/>
      <w:numPr>
        <w:numId w:val="1"/>
      </w:numPr>
      <w:pBdr>
        <w:bottom w:val="single" w:sz="12" w:space="1" w:color="auto"/>
      </w:pBdr>
      <w:shd w:val="clear" w:color="auto" w:fill="FFFFFF"/>
      <w:outlineLvl w:val="0"/>
    </w:pPr>
    <w:rPr>
      <w:rFonts w:eastAsia="Times New Roman" w:cs="Times New Roman"/>
      <w:b/>
      <w:bCs/>
      <w:kern w:val="32"/>
      <w:sz w:val="24"/>
      <w:szCs w:val="32"/>
      <w:lang w:val="en-US" w:eastAsia="x-none"/>
    </w:rPr>
  </w:style>
  <w:style w:type="paragraph" w:styleId="Heading2">
    <w:name w:val="heading 2"/>
    <w:basedOn w:val="Normal"/>
    <w:next w:val="Normal"/>
    <w:link w:val="Heading2Char"/>
    <w:uiPriority w:val="9"/>
    <w:qFormat/>
    <w:rsid w:val="00120021"/>
    <w:pPr>
      <w:keepNext/>
      <w:numPr>
        <w:ilvl w:val="1"/>
        <w:numId w:val="1"/>
      </w:numPr>
      <w:shd w:val="clear" w:color="auto" w:fill="FFFFFF"/>
      <w:outlineLvl w:val="1"/>
    </w:pPr>
    <w:rPr>
      <w:rFonts w:eastAsia="Times New Roman" w:cs="Times New Roman"/>
      <w:b/>
      <w:bCs/>
      <w:iCs/>
      <w:szCs w:val="28"/>
      <w:lang w:val="fr-CH" w:eastAsia="x-none"/>
    </w:rPr>
  </w:style>
  <w:style w:type="paragraph" w:styleId="Heading3">
    <w:name w:val="heading 3"/>
    <w:basedOn w:val="Normal"/>
    <w:next w:val="Normal"/>
    <w:link w:val="Heading3Char"/>
    <w:uiPriority w:val="9"/>
    <w:qFormat/>
    <w:rsid w:val="00035E42"/>
    <w:pPr>
      <w:keepNext/>
      <w:numPr>
        <w:ilvl w:val="2"/>
        <w:numId w:val="1"/>
      </w:numPr>
      <w:outlineLvl w:val="2"/>
    </w:pPr>
    <w:rPr>
      <w:rFonts w:eastAsia="Times New Roman" w:cs="Times New Roman"/>
      <w:b/>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E42"/>
    <w:rPr>
      <w:rFonts w:ascii="Tahoma" w:eastAsia="Times New Roman" w:hAnsi="Tahoma" w:cs="Times New Roman"/>
      <w:b/>
      <w:bCs/>
      <w:kern w:val="32"/>
      <w:sz w:val="24"/>
      <w:szCs w:val="32"/>
      <w:shd w:val="clear" w:color="auto" w:fill="FFFFFF"/>
      <w:lang w:val="en-US" w:eastAsia="x-none"/>
    </w:rPr>
  </w:style>
  <w:style w:type="character" w:customStyle="1" w:styleId="Heading2Char">
    <w:name w:val="Heading 2 Char"/>
    <w:link w:val="Heading2"/>
    <w:uiPriority w:val="9"/>
    <w:rsid w:val="00120021"/>
    <w:rPr>
      <w:rFonts w:ascii="Tahoma" w:eastAsia="Times New Roman" w:hAnsi="Tahoma" w:cs="Times New Roman"/>
      <w:b/>
      <w:bCs/>
      <w:iCs/>
      <w:szCs w:val="28"/>
      <w:shd w:val="clear" w:color="auto" w:fill="FFFFFF"/>
      <w:lang w:eastAsia="x-none"/>
    </w:rPr>
  </w:style>
  <w:style w:type="character" w:customStyle="1" w:styleId="Heading3Char">
    <w:name w:val="Heading 3 Char"/>
    <w:link w:val="Heading3"/>
    <w:uiPriority w:val="9"/>
    <w:rsid w:val="00035E42"/>
    <w:rPr>
      <w:rFonts w:ascii="Tahoma" w:eastAsia="Times New Roman" w:hAnsi="Tahoma" w:cs="Times New Roman"/>
      <w:b/>
      <w:szCs w:val="26"/>
      <w:lang w:val="fr-FR" w:eastAsia="fr-FR"/>
    </w:rPr>
  </w:style>
  <w:style w:type="paragraph" w:styleId="Header">
    <w:name w:val="header"/>
    <w:basedOn w:val="Normal"/>
    <w:link w:val="HeaderChar"/>
    <w:unhideWhenUsed/>
    <w:rsid w:val="00035E42"/>
    <w:pPr>
      <w:tabs>
        <w:tab w:val="center" w:pos="4536"/>
        <w:tab w:val="right" w:pos="9072"/>
      </w:tabs>
    </w:pPr>
    <w:rPr>
      <w:rFonts w:cs="Times New Roman"/>
      <w:szCs w:val="20"/>
      <w:lang w:eastAsia="x-none"/>
    </w:rPr>
  </w:style>
  <w:style w:type="character" w:customStyle="1" w:styleId="HeaderChar">
    <w:name w:val="Header Char"/>
    <w:link w:val="Header"/>
    <w:rsid w:val="00035E42"/>
    <w:rPr>
      <w:rFonts w:ascii="Tahoma" w:eastAsia="Calibri" w:hAnsi="Tahoma" w:cs="Arial"/>
      <w:sz w:val="20"/>
      <w:lang w:val="fr-FR"/>
    </w:rPr>
  </w:style>
  <w:style w:type="paragraph" w:styleId="Footer">
    <w:name w:val="footer"/>
    <w:basedOn w:val="Normal"/>
    <w:link w:val="FooterChar"/>
    <w:uiPriority w:val="99"/>
    <w:unhideWhenUsed/>
    <w:rsid w:val="00035E42"/>
    <w:pPr>
      <w:tabs>
        <w:tab w:val="center" w:pos="4536"/>
        <w:tab w:val="right" w:pos="9072"/>
      </w:tabs>
    </w:pPr>
    <w:rPr>
      <w:rFonts w:cs="Times New Roman"/>
      <w:szCs w:val="20"/>
      <w:lang w:eastAsia="x-none"/>
    </w:rPr>
  </w:style>
  <w:style w:type="character" w:customStyle="1" w:styleId="FooterChar">
    <w:name w:val="Footer Char"/>
    <w:link w:val="Footer"/>
    <w:uiPriority w:val="99"/>
    <w:rsid w:val="00035E42"/>
    <w:rPr>
      <w:rFonts w:ascii="Tahoma" w:eastAsia="Calibri" w:hAnsi="Tahoma" w:cs="Helvetica"/>
      <w:sz w:val="20"/>
      <w:lang w:val="fr-FR"/>
    </w:rPr>
  </w:style>
  <w:style w:type="paragraph" w:styleId="TOC1">
    <w:name w:val="toc 1"/>
    <w:basedOn w:val="Normal"/>
    <w:next w:val="Normal"/>
    <w:autoRedefine/>
    <w:uiPriority w:val="39"/>
    <w:unhideWhenUsed/>
    <w:qFormat/>
    <w:rsid w:val="00035E42"/>
    <w:pPr>
      <w:spacing w:before="120" w:after="120"/>
      <w:jc w:val="left"/>
    </w:pPr>
    <w:rPr>
      <w:rFonts w:ascii="Calibri" w:hAnsi="Calibri" w:cs="Times New Roman"/>
      <w:b/>
      <w:bCs/>
      <w:caps/>
      <w:szCs w:val="24"/>
    </w:rPr>
  </w:style>
  <w:style w:type="paragraph" w:styleId="TOC2">
    <w:name w:val="toc 2"/>
    <w:basedOn w:val="Normal"/>
    <w:next w:val="Normal"/>
    <w:autoRedefine/>
    <w:uiPriority w:val="39"/>
    <w:unhideWhenUsed/>
    <w:qFormat/>
    <w:rsid w:val="00035E42"/>
    <w:pPr>
      <w:ind w:left="200"/>
      <w:jc w:val="left"/>
    </w:pPr>
    <w:rPr>
      <w:rFonts w:ascii="Calibri" w:hAnsi="Calibri" w:cs="Times New Roman"/>
      <w:smallCaps/>
      <w:szCs w:val="24"/>
    </w:rPr>
  </w:style>
  <w:style w:type="character" w:styleId="Hyperlink">
    <w:name w:val="Hyperlink"/>
    <w:uiPriority w:val="99"/>
    <w:unhideWhenUsed/>
    <w:rsid w:val="00035E42"/>
    <w:rPr>
      <w:color w:val="0000FF"/>
      <w:u w:val="single"/>
    </w:rPr>
  </w:style>
  <w:style w:type="paragraph" w:styleId="FootnoteText">
    <w:name w:val="footnote text"/>
    <w:aliases w:val="Car, Car,5_G,Footnote Text Char Char Char Char Char,Footnote Text Char Char Char Char,Footnote reference,FA Fu,Footnote Text Char Char Char,Footnote Reference1"/>
    <w:basedOn w:val="Normal"/>
    <w:link w:val="FootnoteTextChar"/>
    <w:uiPriority w:val="99"/>
    <w:qFormat/>
    <w:rsid w:val="00035E42"/>
    <w:rPr>
      <w:rFonts w:cs="Times New Roman"/>
      <w:sz w:val="16"/>
      <w:szCs w:val="20"/>
      <w:lang w:eastAsia="x-none"/>
    </w:rPr>
  </w:style>
  <w:style w:type="character" w:customStyle="1" w:styleId="FootnoteTextChar">
    <w:name w:val="Footnote Text Char"/>
    <w:aliases w:val="Car Char, Car Char,5_G Char,Footnote Text Char Char Char Char Char Char,Footnote Text Char Char Char Char Char1,Footnote reference Char,FA Fu Char,Footnote Text Char Char Char Char1,Footnote Reference1 Char"/>
    <w:link w:val="FootnoteText"/>
    <w:uiPriority w:val="99"/>
    <w:rsid w:val="00035E42"/>
    <w:rPr>
      <w:rFonts w:ascii="Tahoma" w:eastAsia="Calibri" w:hAnsi="Tahoma" w:cs="Helvetica"/>
      <w:sz w:val="16"/>
      <w:szCs w:val="20"/>
      <w:lang w:val="fr-FR"/>
    </w:rPr>
  </w:style>
  <w:style w:type="character" w:styleId="FootnoteReference">
    <w:name w:val="footnote reference"/>
    <w:aliases w:val="4_G,Footnote number,ftref"/>
    <w:uiPriority w:val="99"/>
    <w:unhideWhenUsed/>
    <w:qFormat/>
    <w:rsid w:val="00035E42"/>
    <w:rPr>
      <w:vertAlign w:val="superscript"/>
    </w:rPr>
  </w:style>
  <w:style w:type="paragraph" w:styleId="TOC3">
    <w:name w:val="toc 3"/>
    <w:basedOn w:val="Normal"/>
    <w:next w:val="Normal"/>
    <w:autoRedefine/>
    <w:uiPriority w:val="39"/>
    <w:unhideWhenUsed/>
    <w:qFormat/>
    <w:rsid w:val="00035E42"/>
    <w:pPr>
      <w:ind w:left="400"/>
      <w:jc w:val="left"/>
    </w:pPr>
    <w:rPr>
      <w:rFonts w:ascii="Calibri" w:hAnsi="Calibri" w:cs="Times New Roman"/>
      <w:i/>
      <w:iCs/>
      <w:szCs w:val="24"/>
    </w:rPr>
  </w:style>
  <w:style w:type="paragraph" w:styleId="BalloonText">
    <w:name w:val="Balloon Text"/>
    <w:basedOn w:val="Normal"/>
    <w:link w:val="BalloonTextChar"/>
    <w:uiPriority w:val="99"/>
    <w:semiHidden/>
    <w:unhideWhenUsed/>
    <w:rsid w:val="00035E42"/>
    <w:rPr>
      <w:rFonts w:cs="Times New Roman"/>
      <w:sz w:val="16"/>
      <w:szCs w:val="16"/>
      <w:lang w:eastAsia="x-none"/>
    </w:rPr>
  </w:style>
  <w:style w:type="character" w:customStyle="1" w:styleId="BalloonTextChar">
    <w:name w:val="Balloon Text Char"/>
    <w:link w:val="BalloonText"/>
    <w:uiPriority w:val="99"/>
    <w:semiHidden/>
    <w:rsid w:val="00035E42"/>
    <w:rPr>
      <w:rFonts w:ascii="Tahoma" w:eastAsia="Calibri" w:hAnsi="Tahoma" w:cs="Tahoma"/>
      <w:sz w:val="16"/>
      <w:szCs w:val="16"/>
      <w:lang w:val="fr-FR"/>
    </w:rPr>
  </w:style>
  <w:style w:type="paragraph" w:styleId="ListParagraph">
    <w:name w:val="List Paragraph"/>
    <w:basedOn w:val="Normal"/>
    <w:link w:val="ListParagraphChar"/>
    <w:uiPriority w:val="34"/>
    <w:qFormat/>
    <w:rsid w:val="00342566"/>
    <w:pPr>
      <w:ind w:left="720"/>
      <w:contextualSpacing/>
    </w:pPr>
    <w:rPr>
      <w:rFonts w:eastAsia="Times New Roman" w:cs="Times New Roman"/>
      <w:lang w:val="fr-CH"/>
    </w:rPr>
  </w:style>
  <w:style w:type="paragraph" w:styleId="NormalWeb">
    <w:name w:val="Normal (Web)"/>
    <w:basedOn w:val="Normal"/>
    <w:uiPriority w:val="99"/>
    <w:unhideWhenUsed/>
    <w:rsid w:val="00A92D1D"/>
    <w:pPr>
      <w:spacing w:before="100" w:beforeAutospacing="1" w:after="100" w:afterAutospacing="1"/>
      <w:jc w:val="left"/>
    </w:pPr>
    <w:rPr>
      <w:rFonts w:ascii="Times New Roman" w:eastAsia="Times New Roman" w:hAnsi="Times New Roman" w:cs="Times New Roman"/>
      <w:sz w:val="24"/>
      <w:szCs w:val="24"/>
      <w:lang w:val="fr-CH" w:eastAsia="fr-CH"/>
    </w:rPr>
  </w:style>
  <w:style w:type="character" w:styleId="Strong">
    <w:name w:val="Strong"/>
    <w:uiPriority w:val="22"/>
    <w:qFormat/>
    <w:rsid w:val="00A92D1D"/>
    <w:rPr>
      <w:b/>
      <w:bCs/>
    </w:rPr>
  </w:style>
  <w:style w:type="paragraph" w:customStyle="1" w:styleId="SingleTxtG">
    <w:name w:val="_ Single Txt_G"/>
    <w:basedOn w:val="Normal"/>
    <w:link w:val="SingleTxtGChar"/>
    <w:rsid w:val="00A92D1D"/>
    <w:pPr>
      <w:suppressAutoHyphens/>
      <w:spacing w:after="120" w:line="240" w:lineRule="atLeast"/>
      <w:ind w:left="1134" w:right="1134"/>
    </w:pPr>
    <w:rPr>
      <w:rFonts w:ascii="Times New Roman" w:eastAsia="Times New Roman" w:hAnsi="Times New Roman" w:cs="Times New Roman"/>
      <w:szCs w:val="20"/>
      <w:lang w:val="fr-CH"/>
    </w:rPr>
  </w:style>
  <w:style w:type="character" w:customStyle="1" w:styleId="SingleTxtGChar">
    <w:name w:val="_ Single Txt_G Char"/>
    <w:link w:val="SingleTxtG"/>
    <w:locked/>
    <w:rsid w:val="00A92D1D"/>
    <w:rPr>
      <w:rFonts w:ascii="Times New Roman" w:eastAsia="Times New Roman" w:hAnsi="Times New Roman" w:cs="Times New Roman"/>
      <w:lang w:eastAsia="en-US"/>
    </w:rPr>
  </w:style>
  <w:style w:type="character" w:customStyle="1" w:styleId="ListParagraphChar">
    <w:name w:val="List Paragraph Char"/>
    <w:link w:val="ListParagraph"/>
    <w:uiPriority w:val="34"/>
    <w:locked/>
    <w:rsid w:val="00A92D1D"/>
    <w:rPr>
      <w:rFonts w:ascii="Tahoma" w:eastAsia="Times New Roman" w:hAnsi="Tahoma" w:cs="Times New Roman"/>
      <w:szCs w:val="22"/>
      <w:lang w:eastAsia="en-US"/>
    </w:rPr>
  </w:style>
  <w:style w:type="character" w:styleId="CommentReference">
    <w:name w:val="annotation reference"/>
    <w:basedOn w:val="DefaultParagraphFont"/>
    <w:semiHidden/>
    <w:unhideWhenUsed/>
    <w:rsid w:val="00A92D1D"/>
    <w:rPr>
      <w:sz w:val="16"/>
      <w:szCs w:val="16"/>
    </w:rPr>
  </w:style>
  <w:style w:type="paragraph" w:styleId="CommentText">
    <w:name w:val="annotation text"/>
    <w:basedOn w:val="Normal"/>
    <w:link w:val="CommentTextChar"/>
    <w:semiHidden/>
    <w:unhideWhenUsed/>
    <w:rsid w:val="00A92D1D"/>
    <w:rPr>
      <w:szCs w:val="20"/>
    </w:rPr>
  </w:style>
  <w:style w:type="character" w:customStyle="1" w:styleId="CommentTextChar">
    <w:name w:val="Comment Text Char"/>
    <w:basedOn w:val="DefaultParagraphFont"/>
    <w:link w:val="CommentText"/>
    <w:semiHidden/>
    <w:rsid w:val="00A92D1D"/>
    <w:rPr>
      <w:rFonts w:ascii="Tahoma" w:hAnsi="Tahoma" w:cs="Helvetica"/>
      <w:lang w:val="fr-FR" w:eastAsia="en-US"/>
    </w:rPr>
  </w:style>
  <w:style w:type="paragraph" w:styleId="CommentSubject">
    <w:name w:val="annotation subject"/>
    <w:basedOn w:val="CommentText"/>
    <w:next w:val="CommentText"/>
    <w:link w:val="CommentSubjectChar"/>
    <w:uiPriority w:val="99"/>
    <w:semiHidden/>
    <w:unhideWhenUsed/>
    <w:rsid w:val="00A92D1D"/>
    <w:rPr>
      <w:b/>
      <w:bCs/>
    </w:rPr>
  </w:style>
  <w:style w:type="character" w:customStyle="1" w:styleId="CommentSubjectChar">
    <w:name w:val="Comment Subject Char"/>
    <w:basedOn w:val="CommentTextChar"/>
    <w:link w:val="CommentSubject"/>
    <w:uiPriority w:val="99"/>
    <w:semiHidden/>
    <w:rsid w:val="00A92D1D"/>
    <w:rPr>
      <w:rFonts w:ascii="Tahoma" w:hAnsi="Tahoma" w:cs="Helvetica"/>
      <w:b/>
      <w:bCs/>
      <w:lang w:val="fr-FR" w:eastAsia="en-US"/>
    </w:rPr>
  </w:style>
  <w:style w:type="paragraph" w:customStyle="1" w:styleId="H23G">
    <w:name w:val="_ H_2/3_G"/>
    <w:basedOn w:val="Normal"/>
    <w:next w:val="Normal"/>
    <w:rsid w:val="00C6447F"/>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Cs w:val="20"/>
      <w:lang w:val="fr-CH"/>
    </w:rPr>
  </w:style>
  <w:style w:type="paragraph" w:customStyle="1" w:styleId="Bullet1G">
    <w:name w:val="_Bullet 1_G"/>
    <w:basedOn w:val="Normal"/>
    <w:rsid w:val="00C6447F"/>
    <w:pPr>
      <w:numPr>
        <w:numId w:val="3"/>
      </w:numPr>
      <w:suppressAutoHyphens/>
      <w:spacing w:after="120" w:line="240" w:lineRule="atLeast"/>
      <w:ind w:right="1134"/>
    </w:pPr>
    <w:rPr>
      <w:rFonts w:ascii="Times New Roman" w:eastAsia="Times New Roman" w:hAnsi="Times New Roman" w:cs="Times New Roman"/>
      <w:szCs w:val="20"/>
      <w:lang w:val="fr-CH"/>
    </w:rPr>
  </w:style>
  <w:style w:type="paragraph" w:customStyle="1" w:styleId="H4G">
    <w:name w:val="_ H_4_G"/>
    <w:basedOn w:val="Normal"/>
    <w:next w:val="Normal"/>
    <w:rsid w:val="001444BA"/>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i/>
      <w:szCs w:val="20"/>
      <w:lang w:val="fr-CH"/>
    </w:rPr>
  </w:style>
  <w:style w:type="paragraph" w:customStyle="1" w:styleId="H56G">
    <w:name w:val="_ H_5/6_G"/>
    <w:basedOn w:val="Normal"/>
    <w:next w:val="Normal"/>
    <w:rsid w:val="001444BA"/>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szCs w:val="20"/>
      <w:lang w:val="fr-CH"/>
    </w:rPr>
  </w:style>
  <w:style w:type="paragraph" w:customStyle="1" w:styleId="Bullet2G">
    <w:name w:val="_Bullet 2_G"/>
    <w:basedOn w:val="Normal"/>
    <w:rsid w:val="001444BA"/>
    <w:pPr>
      <w:numPr>
        <w:numId w:val="4"/>
      </w:numPr>
      <w:suppressAutoHyphens/>
      <w:spacing w:after="120" w:line="240" w:lineRule="atLeast"/>
      <w:ind w:right="1134"/>
    </w:pPr>
    <w:rPr>
      <w:rFonts w:ascii="Times New Roman" w:eastAsia="Times New Roman" w:hAnsi="Times New Roman" w:cs="Times New Roman"/>
      <w:szCs w:val="20"/>
      <w:lang w:val="fr-CH"/>
    </w:rPr>
  </w:style>
  <w:style w:type="character" w:customStyle="1" w:styleId="itemdatecreated">
    <w:name w:val="itemdatecreated"/>
    <w:rsid w:val="00314026"/>
  </w:style>
  <w:style w:type="paragraph" w:customStyle="1" w:styleId="Default">
    <w:name w:val="Default"/>
    <w:rsid w:val="00314026"/>
    <w:pPr>
      <w:autoSpaceDE w:val="0"/>
      <w:autoSpaceDN w:val="0"/>
      <w:adjustRightInd w:val="0"/>
    </w:pPr>
    <w:rPr>
      <w:rFonts w:ascii="Times New Roman" w:hAnsi="Times New Roman" w:cs="Times New Roman"/>
      <w:color w:val="000000"/>
      <w:sz w:val="24"/>
      <w:szCs w:val="24"/>
      <w:lang w:val="fr-FR" w:eastAsia="en-US"/>
    </w:rPr>
  </w:style>
  <w:style w:type="character" w:customStyle="1" w:styleId="Funotenzeichen">
    <w:name w:val="Fußnotenzeichen"/>
    <w:rsid w:val="00314026"/>
    <w:rPr>
      <w:vertAlign w:val="superscript"/>
    </w:rPr>
  </w:style>
  <w:style w:type="character" w:customStyle="1" w:styleId="Appelnotedebasdep2">
    <w:name w:val="Appel note de bas de p.2"/>
    <w:rsid w:val="00314026"/>
    <w:rPr>
      <w:vertAlign w:val="superscript"/>
    </w:rPr>
  </w:style>
  <w:style w:type="character" w:styleId="Emphasis">
    <w:name w:val="Emphasis"/>
    <w:uiPriority w:val="20"/>
    <w:qFormat/>
    <w:rsid w:val="00314026"/>
    <w:rPr>
      <w:i/>
      <w:iCs/>
    </w:rPr>
  </w:style>
  <w:style w:type="paragraph" w:customStyle="1" w:styleId="SingleTxt">
    <w:name w:val="__Single Txt"/>
    <w:basedOn w:val="Normal"/>
    <w:rsid w:val="00DB23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pPr>
    <w:rPr>
      <w:rFonts w:ascii="Times New Roman" w:eastAsia="Times New Roman" w:hAnsi="Times New Roman" w:cs="Times New Roman"/>
      <w:spacing w:val="4"/>
      <w:w w:val="103"/>
      <w:kern w:val="14"/>
      <w:szCs w:val="20"/>
      <w:lang w:val="fr-CA"/>
    </w:rPr>
  </w:style>
  <w:style w:type="paragraph" w:customStyle="1" w:styleId="Question">
    <w:name w:val="Question"/>
    <w:basedOn w:val="SingleTxtG"/>
    <w:link w:val="QuestionChar"/>
    <w:qFormat/>
    <w:rsid w:val="006F35F1"/>
    <w:pPr>
      <w:numPr>
        <w:numId w:val="5"/>
      </w:numPr>
    </w:pPr>
    <w:rPr>
      <w:rFonts w:ascii="Tahoma" w:hAnsi="Tahoma" w:cs="Tahoma"/>
      <w:i/>
      <w:iCs/>
      <w:spacing w:val="-3"/>
      <w:lang w:eastAsia="fr-FR"/>
    </w:rPr>
  </w:style>
  <w:style w:type="paragraph" w:customStyle="1" w:styleId="CASES">
    <w:name w:val="CASES"/>
    <w:basedOn w:val="Normal"/>
    <w:link w:val="CASESChar"/>
    <w:qFormat/>
    <w:rsid w:val="00B35D19"/>
    <w:pPr>
      <w:ind w:left="284"/>
    </w:pPr>
    <w:rPr>
      <w:lang w:val="fr-CH" w:eastAsia="fr-FR"/>
    </w:rPr>
  </w:style>
  <w:style w:type="character" w:customStyle="1" w:styleId="QuestionChar">
    <w:name w:val="Question Char"/>
    <w:basedOn w:val="SingleTxtGChar"/>
    <w:link w:val="Question"/>
    <w:rsid w:val="006F35F1"/>
    <w:rPr>
      <w:rFonts w:ascii="Tahoma" w:eastAsia="Times New Roman" w:hAnsi="Tahoma" w:cs="Tahoma"/>
      <w:i/>
      <w:iCs/>
      <w:spacing w:val="-3"/>
      <w:lang w:eastAsia="fr-FR"/>
    </w:rPr>
  </w:style>
  <w:style w:type="character" w:customStyle="1" w:styleId="st">
    <w:name w:val="st"/>
    <w:basedOn w:val="DefaultParagraphFont"/>
    <w:rsid w:val="00BC4C9B"/>
  </w:style>
  <w:style w:type="character" w:customStyle="1" w:styleId="CASESChar">
    <w:name w:val="CASES Char"/>
    <w:basedOn w:val="DefaultParagraphFont"/>
    <w:link w:val="CASES"/>
    <w:rsid w:val="00B35D19"/>
    <w:rPr>
      <w:rFonts w:ascii="Tahoma" w:hAnsi="Tahoma" w:cs="Helvetica"/>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42"/>
    <w:pPr>
      <w:jc w:val="both"/>
    </w:pPr>
    <w:rPr>
      <w:rFonts w:ascii="Tahoma" w:hAnsi="Tahoma" w:cs="Helvetica"/>
      <w:szCs w:val="22"/>
      <w:lang w:val="fr-FR" w:eastAsia="en-US"/>
    </w:rPr>
  </w:style>
  <w:style w:type="paragraph" w:styleId="Heading1">
    <w:name w:val="heading 1"/>
    <w:basedOn w:val="Normal"/>
    <w:next w:val="Normal"/>
    <w:link w:val="Heading1Char"/>
    <w:uiPriority w:val="9"/>
    <w:qFormat/>
    <w:rsid w:val="00035E42"/>
    <w:pPr>
      <w:keepNext/>
      <w:numPr>
        <w:numId w:val="1"/>
      </w:numPr>
      <w:pBdr>
        <w:bottom w:val="single" w:sz="12" w:space="1" w:color="auto"/>
      </w:pBdr>
      <w:shd w:val="clear" w:color="auto" w:fill="FFFFFF"/>
      <w:outlineLvl w:val="0"/>
    </w:pPr>
    <w:rPr>
      <w:rFonts w:eastAsia="Times New Roman" w:cs="Times New Roman"/>
      <w:b/>
      <w:bCs/>
      <w:kern w:val="32"/>
      <w:sz w:val="24"/>
      <w:szCs w:val="32"/>
      <w:lang w:val="en-US" w:eastAsia="x-none"/>
    </w:rPr>
  </w:style>
  <w:style w:type="paragraph" w:styleId="Heading2">
    <w:name w:val="heading 2"/>
    <w:basedOn w:val="Normal"/>
    <w:next w:val="Normal"/>
    <w:link w:val="Heading2Char"/>
    <w:uiPriority w:val="9"/>
    <w:qFormat/>
    <w:rsid w:val="00120021"/>
    <w:pPr>
      <w:keepNext/>
      <w:numPr>
        <w:ilvl w:val="1"/>
        <w:numId w:val="1"/>
      </w:numPr>
      <w:shd w:val="clear" w:color="auto" w:fill="FFFFFF"/>
      <w:outlineLvl w:val="1"/>
    </w:pPr>
    <w:rPr>
      <w:rFonts w:eastAsia="Times New Roman" w:cs="Times New Roman"/>
      <w:b/>
      <w:bCs/>
      <w:iCs/>
      <w:szCs w:val="28"/>
      <w:lang w:val="fr-CH" w:eastAsia="x-none"/>
    </w:rPr>
  </w:style>
  <w:style w:type="paragraph" w:styleId="Heading3">
    <w:name w:val="heading 3"/>
    <w:basedOn w:val="Normal"/>
    <w:next w:val="Normal"/>
    <w:link w:val="Heading3Char"/>
    <w:uiPriority w:val="9"/>
    <w:qFormat/>
    <w:rsid w:val="00035E42"/>
    <w:pPr>
      <w:keepNext/>
      <w:numPr>
        <w:ilvl w:val="2"/>
        <w:numId w:val="1"/>
      </w:numPr>
      <w:outlineLvl w:val="2"/>
    </w:pPr>
    <w:rPr>
      <w:rFonts w:eastAsia="Times New Roman" w:cs="Times New Roman"/>
      <w:b/>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E42"/>
    <w:rPr>
      <w:rFonts w:ascii="Tahoma" w:eastAsia="Times New Roman" w:hAnsi="Tahoma" w:cs="Times New Roman"/>
      <w:b/>
      <w:bCs/>
      <w:kern w:val="32"/>
      <w:sz w:val="24"/>
      <w:szCs w:val="32"/>
      <w:shd w:val="clear" w:color="auto" w:fill="FFFFFF"/>
      <w:lang w:val="en-US" w:eastAsia="x-none"/>
    </w:rPr>
  </w:style>
  <w:style w:type="character" w:customStyle="1" w:styleId="Heading2Char">
    <w:name w:val="Heading 2 Char"/>
    <w:link w:val="Heading2"/>
    <w:uiPriority w:val="9"/>
    <w:rsid w:val="00120021"/>
    <w:rPr>
      <w:rFonts w:ascii="Tahoma" w:eastAsia="Times New Roman" w:hAnsi="Tahoma" w:cs="Times New Roman"/>
      <w:b/>
      <w:bCs/>
      <w:iCs/>
      <w:szCs w:val="28"/>
      <w:shd w:val="clear" w:color="auto" w:fill="FFFFFF"/>
      <w:lang w:eastAsia="x-none"/>
    </w:rPr>
  </w:style>
  <w:style w:type="character" w:customStyle="1" w:styleId="Heading3Char">
    <w:name w:val="Heading 3 Char"/>
    <w:link w:val="Heading3"/>
    <w:uiPriority w:val="9"/>
    <w:rsid w:val="00035E42"/>
    <w:rPr>
      <w:rFonts w:ascii="Tahoma" w:eastAsia="Times New Roman" w:hAnsi="Tahoma" w:cs="Times New Roman"/>
      <w:b/>
      <w:szCs w:val="26"/>
      <w:lang w:val="fr-FR" w:eastAsia="fr-FR"/>
    </w:rPr>
  </w:style>
  <w:style w:type="paragraph" w:styleId="Header">
    <w:name w:val="header"/>
    <w:basedOn w:val="Normal"/>
    <w:link w:val="HeaderChar"/>
    <w:unhideWhenUsed/>
    <w:rsid w:val="00035E42"/>
    <w:pPr>
      <w:tabs>
        <w:tab w:val="center" w:pos="4536"/>
        <w:tab w:val="right" w:pos="9072"/>
      </w:tabs>
    </w:pPr>
    <w:rPr>
      <w:rFonts w:cs="Times New Roman"/>
      <w:szCs w:val="20"/>
      <w:lang w:eastAsia="x-none"/>
    </w:rPr>
  </w:style>
  <w:style w:type="character" w:customStyle="1" w:styleId="HeaderChar">
    <w:name w:val="Header Char"/>
    <w:link w:val="Header"/>
    <w:rsid w:val="00035E42"/>
    <w:rPr>
      <w:rFonts w:ascii="Tahoma" w:eastAsia="Calibri" w:hAnsi="Tahoma" w:cs="Arial"/>
      <w:sz w:val="20"/>
      <w:lang w:val="fr-FR"/>
    </w:rPr>
  </w:style>
  <w:style w:type="paragraph" w:styleId="Footer">
    <w:name w:val="footer"/>
    <w:basedOn w:val="Normal"/>
    <w:link w:val="FooterChar"/>
    <w:uiPriority w:val="99"/>
    <w:unhideWhenUsed/>
    <w:rsid w:val="00035E42"/>
    <w:pPr>
      <w:tabs>
        <w:tab w:val="center" w:pos="4536"/>
        <w:tab w:val="right" w:pos="9072"/>
      </w:tabs>
    </w:pPr>
    <w:rPr>
      <w:rFonts w:cs="Times New Roman"/>
      <w:szCs w:val="20"/>
      <w:lang w:eastAsia="x-none"/>
    </w:rPr>
  </w:style>
  <w:style w:type="character" w:customStyle="1" w:styleId="FooterChar">
    <w:name w:val="Footer Char"/>
    <w:link w:val="Footer"/>
    <w:uiPriority w:val="99"/>
    <w:rsid w:val="00035E42"/>
    <w:rPr>
      <w:rFonts w:ascii="Tahoma" w:eastAsia="Calibri" w:hAnsi="Tahoma" w:cs="Helvetica"/>
      <w:sz w:val="20"/>
      <w:lang w:val="fr-FR"/>
    </w:rPr>
  </w:style>
  <w:style w:type="paragraph" w:styleId="TOC1">
    <w:name w:val="toc 1"/>
    <w:basedOn w:val="Normal"/>
    <w:next w:val="Normal"/>
    <w:autoRedefine/>
    <w:uiPriority w:val="39"/>
    <w:unhideWhenUsed/>
    <w:qFormat/>
    <w:rsid w:val="00035E42"/>
    <w:pPr>
      <w:spacing w:before="120" w:after="120"/>
      <w:jc w:val="left"/>
    </w:pPr>
    <w:rPr>
      <w:rFonts w:ascii="Calibri" w:hAnsi="Calibri" w:cs="Times New Roman"/>
      <w:b/>
      <w:bCs/>
      <w:caps/>
      <w:szCs w:val="24"/>
    </w:rPr>
  </w:style>
  <w:style w:type="paragraph" w:styleId="TOC2">
    <w:name w:val="toc 2"/>
    <w:basedOn w:val="Normal"/>
    <w:next w:val="Normal"/>
    <w:autoRedefine/>
    <w:uiPriority w:val="39"/>
    <w:unhideWhenUsed/>
    <w:qFormat/>
    <w:rsid w:val="00035E42"/>
    <w:pPr>
      <w:ind w:left="200"/>
      <w:jc w:val="left"/>
    </w:pPr>
    <w:rPr>
      <w:rFonts w:ascii="Calibri" w:hAnsi="Calibri" w:cs="Times New Roman"/>
      <w:smallCaps/>
      <w:szCs w:val="24"/>
    </w:rPr>
  </w:style>
  <w:style w:type="character" w:styleId="Hyperlink">
    <w:name w:val="Hyperlink"/>
    <w:uiPriority w:val="99"/>
    <w:unhideWhenUsed/>
    <w:rsid w:val="00035E42"/>
    <w:rPr>
      <w:color w:val="0000FF"/>
      <w:u w:val="single"/>
    </w:rPr>
  </w:style>
  <w:style w:type="paragraph" w:styleId="FootnoteText">
    <w:name w:val="footnote text"/>
    <w:aliases w:val="Car, Car,5_G,Footnote Text Char Char Char Char Char,Footnote Text Char Char Char Char,Footnote reference,FA Fu,Footnote Text Char Char Char,Footnote Reference1"/>
    <w:basedOn w:val="Normal"/>
    <w:link w:val="FootnoteTextChar"/>
    <w:uiPriority w:val="99"/>
    <w:qFormat/>
    <w:rsid w:val="00035E42"/>
    <w:rPr>
      <w:rFonts w:cs="Times New Roman"/>
      <w:sz w:val="16"/>
      <w:szCs w:val="20"/>
      <w:lang w:eastAsia="x-none"/>
    </w:rPr>
  </w:style>
  <w:style w:type="character" w:customStyle="1" w:styleId="FootnoteTextChar">
    <w:name w:val="Footnote Text Char"/>
    <w:aliases w:val="Car Char, Car Char,5_G Char,Footnote Text Char Char Char Char Char Char,Footnote Text Char Char Char Char Char1,Footnote reference Char,FA Fu Char,Footnote Text Char Char Char Char1,Footnote Reference1 Char"/>
    <w:link w:val="FootnoteText"/>
    <w:uiPriority w:val="99"/>
    <w:rsid w:val="00035E42"/>
    <w:rPr>
      <w:rFonts w:ascii="Tahoma" w:eastAsia="Calibri" w:hAnsi="Tahoma" w:cs="Helvetica"/>
      <w:sz w:val="16"/>
      <w:szCs w:val="20"/>
      <w:lang w:val="fr-FR"/>
    </w:rPr>
  </w:style>
  <w:style w:type="character" w:styleId="FootnoteReference">
    <w:name w:val="footnote reference"/>
    <w:aliases w:val="4_G,Footnote number,ftref"/>
    <w:uiPriority w:val="99"/>
    <w:unhideWhenUsed/>
    <w:qFormat/>
    <w:rsid w:val="00035E42"/>
    <w:rPr>
      <w:vertAlign w:val="superscript"/>
    </w:rPr>
  </w:style>
  <w:style w:type="paragraph" w:styleId="TOC3">
    <w:name w:val="toc 3"/>
    <w:basedOn w:val="Normal"/>
    <w:next w:val="Normal"/>
    <w:autoRedefine/>
    <w:uiPriority w:val="39"/>
    <w:unhideWhenUsed/>
    <w:qFormat/>
    <w:rsid w:val="00035E42"/>
    <w:pPr>
      <w:ind w:left="400"/>
      <w:jc w:val="left"/>
    </w:pPr>
    <w:rPr>
      <w:rFonts w:ascii="Calibri" w:hAnsi="Calibri" w:cs="Times New Roman"/>
      <w:i/>
      <w:iCs/>
      <w:szCs w:val="24"/>
    </w:rPr>
  </w:style>
  <w:style w:type="paragraph" w:styleId="BalloonText">
    <w:name w:val="Balloon Text"/>
    <w:basedOn w:val="Normal"/>
    <w:link w:val="BalloonTextChar"/>
    <w:uiPriority w:val="99"/>
    <w:semiHidden/>
    <w:unhideWhenUsed/>
    <w:rsid w:val="00035E42"/>
    <w:rPr>
      <w:rFonts w:cs="Times New Roman"/>
      <w:sz w:val="16"/>
      <w:szCs w:val="16"/>
      <w:lang w:eastAsia="x-none"/>
    </w:rPr>
  </w:style>
  <w:style w:type="character" w:customStyle="1" w:styleId="BalloonTextChar">
    <w:name w:val="Balloon Text Char"/>
    <w:link w:val="BalloonText"/>
    <w:uiPriority w:val="99"/>
    <w:semiHidden/>
    <w:rsid w:val="00035E42"/>
    <w:rPr>
      <w:rFonts w:ascii="Tahoma" w:eastAsia="Calibri" w:hAnsi="Tahoma" w:cs="Tahoma"/>
      <w:sz w:val="16"/>
      <w:szCs w:val="16"/>
      <w:lang w:val="fr-FR"/>
    </w:rPr>
  </w:style>
  <w:style w:type="paragraph" w:styleId="ListParagraph">
    <w:name w:val="List Paragraph"/>
    <w:basedOn w:val="Normal"/>
    <w:link w:val="ListParagraphChar"/>
    <w:uiPriority w:val="34"/>
    <w:qFormat/>
    <w:rsid w:val="00342566"/>
    <w:pPr>
      <w:ind w:left="720"/>
      <w:contextualSpacing/>
    </w:pPr>
    <w:rPr>
      <w:rFonts w:eastAsia="Times New Roman" w:cs="Times New Roman"/>
      <w:lang w:val="fr-CH"/>
    </w:rPr>
  </w:style>
  <w:style w:type="paragraph" w:styleId="NormalWeb">
    <w:name w:val="Normal (Web)"/>
    <w:basedOn w:val="Normal"/>
    <w:uiPriority w:val="99"/>
    <w:unhideWhenUsed/>
    <w:rsid w:val="00A92D1D"/>
    <w:pPr>
      <w:spacing w:before="100" w:beforeAutospacing="1" w:after="100" w:afterAutospacing="1"/>
      <w:jc w:val="left"/>
    </w:pPr>
    <w:rPr>
      <w:rFonts w:ascii="Times New Roman" w:eastAsia="Times New Roman" w:hAnsi="Times New Roman" w:cs="Times New Roman"/>
      <w:sz w:val="24"/>
      <w:szCs w:val="24"/>
      <w:lang w:val="fr-CH" w:eastAsia="fr-CH"/>
    </w:rPr>
  </w:style>
  <w:style w:type="character" w:styleId="Strong">
    <w:name w:val="Strong"/>
    <w:uiPriority w:val="22"/>
    <w:qFormat/>
    <w:rsid w:val="00A92D1D"/>
    <w:rPr>
      <w:b/>
      <w:bCs/>
    </w:rPr>
  </w:style>
  <w:style w:type="paragraph" w:customStyle="1" w:styleId="SingleTxtG">
    <w:name w:val="_ Single Txt_G"/>
    <w:basedOn w:val="Normal"/>
    <w:link w:val="SingleTxtGChar"/>
    <w:rsid w:val="00A92D1D"/>
    <w:pPr>
      <w:suppressAutoHyphens/>
      <w:spacing w:after="120" w:line="240" w:lineRule="atLeast"/>
      <w:ind w:left="1134" w:right="1134"/>
    </w:pPr>
    <w:rPr>
      <w:rFonts w:ascii="Times New Roman" w:eastAsia="Times New Roman" w:hAnsi="Times New Roman" w:cs="Times New Roman"/>
      <w:szCs w:val="20"/>
      <w:lang w:val="fr-CH"/>
    </w:rPr>
  </w:style>
  <w:style w:type="character" w:customStyle="1" w:styleId="SingleTxtGChar">
    <w:name w:val="_ Single Txt_G Char"/>
    <w:link w:val="SingleTxtG"/>
    <w:locked/>
    <w:rsid w:val="00A92D1D"/>
    <w:rPr>
      <w:rFonts w:ascii="Times New Roman" w:eastAsia="Times New Roman" w:hAnsi="Times New Roman" w:cs="Times New Roman"/>
      <w:lang w:eastAsia="en-US"/>
    </w:rPr>
  </w:style>
  <w:style w:type="character" w:customStyle="1" w:styleId="ListParagraphChar">
    <w:name w:val="List Paragraph Char"/>
    <w:link w:val="ListParagraph"/>
    <w:uiPriority w:val="34"/>
    <w:locked/>
    <w:rsid w:val="00A92D1D"/>
    <w:rPr>
      <w:rFonts w:ascii="Tahoma" w:eastAsia="Times New Roman" w:hAnsi="Tahoma" w:cs="Times New Roman"/>
      <w:szCs w:val="22"/>
      <w:lang w:eastAsia="en-US"/>
    </w:rPr>
  </w:style>
  <w:style w:type="character" w:styleId="CommentReference">
    <w:name w:val="annotation reference"/>
    <w:basedOn w:val="DefaultParagraphFont"/>
    <w:semiHidden/>
    <w:unhideWhenUsed/>
    <w:rsid w:val="00A92D1D"/>
    <w:rPr>
      <w:sz w:val="16"/>
      <w:szCs w:val="16"/>
    </w:rPr>
  </w:style>
  <w:style w:type="paragraph" w:styleId="CommentText">
    <w:name w:val="annotation text"/>
    <w:basedOn w:val="Normal"/>
    <w:link w:val="CommentTextChar"/>
    <w:semiHidden/>
    <w:unhideWhenUsed/>
    <w:rsid w:val="00A92D1D"/>
    <w:rPr>
      <w:szCs w:val="20"/>
    </w:rPr>
  </w:style>
  <w:style w:type="character" w:customStyle="1" w:styleId="CommentTextChar">
    <w:name w:val="Comment Text Char"/>
    <w:basedOn w:val="DefaultParagraphFont"/>
    <w:link w:val="CommentText"/>
    <w:semiHidden/>
    <w:rsid w:val="00A92D1D"/>
    <w:rPr>
      <w:rFonts w:ascii="Tahoma" w:hAnsi="Tahoma" w:cs="Helvetica"/>
      <w:lang w:val="fr-FR" w:eastAsia="en-US"/>
    </w:rPr>
  </w:style>
  <w:style w:type="paragraph" w:styleId="CommentSubject">
    <w:name w:val="annotation subject"/>
    <w:basedOn w:val="CommentText"/>
    <w:next w:val="CommentText"/>
    <w:link w:val="CommentSubjectChar"/>
    <w:uiPriority w:val="99"/>
    <w:semiHidden/>
    <w:unhideWhenUsed/>
    <w:rsid w:val="00A92D1D"/>
    <w:rPr>
      <w:b/>
      <w:bCs/>
    </w:rPr>
  </w:style>
  <w:style w:type="character" w:customStyle="1" w:styleId="CommentSubjectChar">
    <w:name w:val="Comment Subject Char"/>
    <w:basedOn w:val="CommentTextChar"/>
    <w:link w:val="CommentSubject"/>
    <w:uiPriority w:val="99"/>
    <w:semiHidden/>
    <w:rsid w:val="00A92D1D"/>
    <w:rPr>
      <w:rFonts w:ascii="Tahoma" w:hAnsi="Tahoma" w:cs="Helvetica"/>
      <w:b/>
      <w:bCs/>
      <w:lang w:val="fr-FR" w:eastAsia="en-US"/>
    </w:rPr>
  </w:style>
  <w:style w:type="paragraph" w:customStyle="1" w:styleId="H23G">
    <w:name w:val="_ H_2/3_G"/>
    <w:basedOn w:val="Normal"/>
    <w:next w:val="Normal"/>
    <w:rsid w:val="00C6447F"/>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Cs w:val="20"/>
      <w:lang w:val="fr-CH"/>
    </w:rPr>
  </w:style>
  <w:style w:type="paragraph" w:customStyle="1" w:styleId="Bullet1G">
    <w:name w:val="_Bullet 1_G"/>
    <w:basedOn w:val="Normal"/>
    <w:rsid w:val="00C6447F"/>
    <w:pPr>
      <w:numPr>
        <w:numId w:val="3"/>
      </w:numPr>
      <w:suppressAutoHyphens/>
      <w:spacing w:after="120" w:line="240" w:lineRule="atLeast"/>
      <w:ind w:right="1134"/>
    </w:pPr>
    <w:rPr>
      <w:rFonts w:ascii="Times New Roman" w:eastAsia="Times New Roman" w:hAnsi="Times New Roman" w:cs="Times New Roman"/>
      <w:szCs w:val="20"/>
      <w:lang w:val="fr-CH"/>
    </w:rPr>
  </w:style>
  <w:style w:type="paragraph" w:customStyle="1" w:styleId="H4G">
    <w:name w:val="_ H_4_G"/>
    <w:basedOn w:val="Normal"/>
    <w:next w:val="Normal"/>
    <w:rsid w:val="001444BA"/>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i/>
      <w:szCs w:val="20"/>
      <w:lang w:val="fr-CH"/>
    </w:rPr>
  </w:style>
  <w:style w:type="paragraph" w:customStyle="1" w:styleId="H56G">
    <w:name w:val="_ H_5/6_G"/>
    <w:basedOn w:val="Normal"/>
    <w:next w:val="Normal"/>
    <w:rsid w:val="001444BA"/>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szCs w:val="20"/>
      <w:lang w:val="fr-CH"/>
    </w:rPr>
  </w:style>
  <w:style w:type="paragraph" w:customStyle="1" w:styleId="Bullet2G">
    <w:name w:val="_Bullet 2_G"/>
    <w:basedOn w:val="Normal"/>
    <w:rsid w:val="001444BA"/>
    <w:pPr>
      <w:numPr>
        <w:numId w:val="4"/>
      </w:numPr>
      <w:suppressAutoHyphens/>
      <w:spacing w:after="120" w:line="240" w:lineRule="atLeast"/>
      <w:ind w:right="1134"/>
    </w:pPr>
    <w:rPr>
      <w:rFonts w:ascii="Times New Roman" w:eastAsia="Times New Roman" w:hAnsi="Times New Roman" w:cs="Times New Roman"/>
      <w:szCs w:val="20"/>
      <w:lang w:val="fr-CH"/>
    </w:rPr>
  </w:style>
  <w:style w:type="character" w:customStyle="1" w:styleId="itemdatecreated">
    <w:name w:val="itemdatecreated"/>
    <w:rsid w:val="00314026"/>
  </w:style>
  <w:style w:type="paragraph" w:customStyle="1" w:styleId="Default">
    <w:name w:val="Default"/>
    <w:rsid w:val="00314026"/>
    <w:pPr>
      <w:autoSpaceDE w:val="0"/>
      <w:autoSpaceDN w:val="0"/>
      <w:adjustRightInd w:val="0"/>
    </w:pPr>
    <w:rPr>
      <w:rFonts w:ascii="Times New Roman" w:hAnsi="Times New Roman" w:cs="Times New Roman"/>
      <w:color w:val="000000"/>
      <w:sz w:val="24"/>
      <w:szCs w:val="24"/>
      <w:lang w:val="fr-FR" w:eastAsia="en-US"/>
    </w:rPr>
  </w:style>
  <w:style w:type="character" w:customStyle="1" w:styleId="Funotenzeichen">
    <w:name w:val="Fußnotenzeichen"/>
    <w:rsid w:val="00314026"/>
    <w:rPr>
      <w:vertAlign w:val="superscript"/>
    </w:rPr>
  </w:style>
  <w:style w:type="character" w:customStyle="1" w:styleId="Appelnotedebasdep2">
    <w:name w:val="Appel note de bas de p.2"/>
    <w:rsid w:val="00314026"/>
    <w:rPr>
      <w:vertAlign w:val="superscript"/>
    </w:rPr>
  </w:style>
  <w:style w:type="character" w:styleId="Emphasis">
    <w:name w:val="Emphasis"/>
    <w:uiPriority w:val="20"/>
    <w:qFormat/>
    <w:rsid w:val="00314026"/>
    <w:rPr>
      <w:i/>
      <w:iCs/>
    </w:rPr>
  </w:style>
  <w:style w:type="paragraph" w:customStyle="1" w:styleId="SingleTxt">
    <w:name w:val="__Single Txt"/>
    <w:basedOn w:val="Normal"/>
    <w:rsid w:val="00DB23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pPr>
    <w:rPr>
      <w:rFonts w:ascii="Times New Roman" w:eastAsia="Times New Roman" w:hAnsi="Times New Roman" w:cs="Times New Roman"/>
      <w:spacing w:val="4"/>
      <w:w w:val="103"/>
      <w:kern w:val="14"/>
      <w:szCs w:val="20"/>
      <w:lang w:val="fr-CA"/>
    </w:rPr>
  </w:style>
  <w:style w:type="paragraph" w:customStyle="1" w:styleId="Question">
    <w:name w:val="Question"/>
    <w:basedOn w:val="SingleTxtG"/>
    <w:link w:val="QuestionChar"/>
    <w:qFormat/>
    <w:rsid w:val="006F35F1"/>
    <w:pPr>
      <w:numPr>
        <w:numId w:val="5"/>
      </w:numPr>
    </w:pPr>
    <w:rPr>
      <w:rFonts w:ascii="Tahoma" w:hAnsi="Tahoma" w:cs="Tahoma"/>
      <w:i/>
      <w:iCs/>
      <w:spacing w:val="-3"/>
      <w:lang w:eastAsia="fr-FR"/>
    </w:rPr>
  </w:style>
  <w:style w:type="paragraph" w:customStyle="1" w:styleId="CASES">
    <w:name w:val="CASES"/>
    <w:basedOn w:val="Normal"/>
    <w:link w:val="CASESChar"/>
    <w:qFormat/>
    <w:rsid w:val="00B35D19"/>
    <w:pPr>
      <w:ind w:left="284"/>
    </w:pPr>
    <w:rPr>
      <w:lang w:val="fr-CH" w:eastAsia="fr-FR"/>
    </w:rPr>
  </w:style>
  <w:style w:type="character" w:customStyle="1" w:styleId="QuestionChar">
    <w:name w:val="Question Char"/>
    <w:basedOn w:val="SingleTxtGChar"/>
    <w:link w:val="Question"/>
    <w:rsid w:val="006F35F1"/>
    <w:rPr>
      <w:rFonts w:ascii="Tahoma" w:eastAsia="Times New Roman" w:hAnsi="Tahoma" w:cs="Tahoma"/>
      <w:i/>
      <w:iCs/>
      <w:spacing w:val="-3"/>
      <w:lang w:eastAsia="fr-FR"/>
    </w:rPr>
  </w:style>
  <w:style w:type="character" w:customStyle="1" w:styleId="st">
    <w:name w:val="st"/>
    <w:basedOn w:val="DefaultParagraphFont"/>
    <w:rsid w:val="00BC4C9B"/>
  </w:style>
  <w:style w:type="character" w:customStyle="1" w:styleId="CASESChar">
    <w:name w:val="CASES Char"/>
    <w:basedOn w:val="DefaultParagraphFont"/>
    <w:link w:val="CASES"/>
    <w:rsid w:val="00B35D19"/>
    <w:rPr>
      <w:rFonts w:ascii="Tahoma" w:hAnsi="Tahoma" w:cs="Helvetica"/>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6925">
      <w:bodyDiv w:val="1"/>
      <w:marLeft w:val="0"/>
      <w:marRight w:val="0"/>
      <w:marTop w:val="0"/>
      <w:marBottom w:val="0"/>
      <w:divBdr>
        <w:top w:val="none" w:sz="0" w:space="0" w:color="auto"/>
        <w:left w:val="none" w:sz="0" w:space="0" w:color="auto"/>
        <w:bottom w:val="none" w:sz="0" w:space="0" w:color="auto"/>
        <w:right w:val="none" w:sz="0" w:space="0" w:color="auto"/>
      </w:divBdr>
    </w:div>
    <w:div w:id="47807699">
      <w:bodyDiv w:val="1"/>
      <w:marLeft w:val="0"/>
      <w:marRight w:val="0"/>
      <w:marTop w:val="0"/>
      <w:marBottom w:val="0"/>
      <w:divBdr>
        <w:top w:val="none" w:sz="0" w:space="0" w:color="auto"/>
        <w:left w:val="none" w:sz="0" w:space="0" w:color="auto"/>
        <w:bottom w:val="none" w:sz="0" w:space="0" w:color="auto"/>
        <w:right w:val="none" w:sz="0" w:space="0" w:color="auto"/>
      </w:divBdr>
    </w:div>
    <w:div w:id="48840986">
      <w:bodyDiv w:val="1"/>
      <w:marLeft w:val="0"/>
      <w:marRight w:val="0"/>
      <w:marTop w:val="0"/>
      <w:marBottom w:val="0"/>
      <w:divBdr>
        <w:top w:val="none" w:sz="0" w:space="0" w:color="auto"/>
        <w:left w:val="none" w:sz="0" w:space="0" w:color="auto"/>
        <w:bottom w:val="none" w:sz="0" w:space="0" w:color="auto"/>
        <w:right w:val="none" w:sz="0" w:space="0" w:color="auto"/>
      </w:divBdr>
    </w:div>
    <w:div w:id="85082963">
      <w:bodyDiv w:val="1"/>
      <w:marLeft w:val="0"/>
      <w:marRight w:val="0"/>
      <w:marTop w:val="0"/>
      <w:marBottom w:val="0"/>
      <w:divBdr>
        <w:top w:val="none" w:sz="0" w:space="0" w:color="auto"/>
        <w:left w:val="none" w:sz="0" w:space="0" w:color="auto"/>
        <w:bottom w:val="none" w:sz="0" w:space="0" w:color="auto"/>
        <w:right w:val="none" w:sz="0" w:space="0" w:color="auto"/>
      </w:divBdr>
    </w:div>
    <w:div w:id="118887779">
      <w:bodyDiv w:val="1"/>
      <w:marLeft w:val="0"/>
      <w:marRight w:val="0"/>
      <w:marTop w:val="0"/>
      <w:marBottom w:val="0"/>
      <w:divBdr>
        <w:top w:val="none" w:sz="0" w:space="0" w:color="auto"/>
        <w:left w:val="none" w:sz="0" w:space="0" w:color="auto"/>
        <w:bottom w:val="none" w:sz="0" w:space="0" w:color="auto"/>
        <w:right w:val="none" w:sz="0" w:space="0" w:color="auto"/>
      </w:divBdr>
      <w:divsChild>
        <w:div w:id="1080711697">
          <w:marLeft w:val="0"/>
          <w:marRight w:val="0"/>
          <w:marTop w:val="0"/>
          <w:marBottom w:val="0"/>
          <w:divBdr>
            <w:top w:val="none" w:sz="0" w:space="0" w:color="auto"/>
            <w:left w:val="none" w:sz="0" w:space="0" w:color="auto"/>
            <w:bottom w:val="none" w:sz="0" w:space="0" w:color="auto"/>
            <w:right w:val="none" w:sz="0" w:space="0" w:color="auto"/>
          </w:divBdr>
        </w:div>
        <w:div w:id="1685934706">
          <w:marLeft w:val="0"/>
          <w:marRight w:val="0"/>
          <w:marTop w:val="0"/>
          <w:marBottom w:val="0"/>
          <w:divBdr>
            <w:top w:val="none" w:sz="0" w:space="0" w:color="auto"/>
            <w:left w:val="none" w:sz="0" w:space="0" w:color="auto"/>
            <w:bottom w:val="none" w:sz="0" w:space="0" w:color="auto"/>
            <w:right w:val="none" w:sz="0" w:space="0" w:color="auto"/>
          </w:divBdr>
        </w:div>
        <w:div w:id="1825774004">
          <w:marLeft w:val="0"/>
          <w:marRight w:val="0"/>
          <w:marTop w:val="0"/>
          <w:marBottom w:val="0"/>
          <w:divBdr>
            <w:top w:val="none" w:sz="0" w:space="0" w:color="auto"/>
            <w:left w:val="none" w:sz="0" w:space="0" w:color="auto"/>
            <w:bottom w:val="none" w:sz="0" w:space="0" w:color="auto"/>
            <w:right w:val="none" w:sz="0" w:space="0" w:color="auto"/>
          </w:divBdr>
        </w:div>
        <w:div w:id="562568641">
          <w:marLeft w:val="0"/>
          <w:marRight w:val="0"/>
          <w:marTop w:val="0"/>
          <w:marBottom w:val="0"/>
          <w:divBdr>
            <w:top w:val="none" w:sz="0" w:space="0" w:color="auto"/>
            <w:left w:val="none" w:sz="0" w:space="0" w:color="auto"/>
            <w:bottom w:val="none" w:sz="0" w:space="0" w:color="auto"/>
            <w:right w:val="none" w:sz="0" w:space="0" w:color="auto"/>
          </w:divBdr>
        </w:div>
        <w:div w:id="2013412903">
          <w:marLeft w:val="0"/>
          <w:marRight w:val="0"/>
          <w:marTop w:val="0"/>
          <w:marBottom w:val="0"/>
          <w:divBdr>
            <w:top w:val="none" w:sz="0" w:space="0" w:color="auto"/>
            <w:left w:val="none" w:sz="0" w:space="0" w:color="auto"/>
            <w:bottom w:val="none" w:sz="0" w:space="0" w:color="auto"/>
            <w:right w:val="none" w:sz="0" w:space="0" w:color="auto"/>
          </w:divBdr>
        </w:div>
      </w:divsChild>
    </w:div>
    <w:div w:id="130680886">
      <w:bodyDiv w:val="1"/>
      <w:marLeft w:val="0"/>
      <w:marRight w:val="0"/>
      <w:marTop w:val="0"/>
      <w:marBottom w:val="0"/>
      <w:divBdr>
        <w:top w:val="none" w:sz="0" w:space="0" w:color="auto"/>
        <w:left w:val="none" w:sz="0" w:space="0" w:color="auto"/>
        <w:bottom w:val="none" w:sz="0" w:space="0" w:color="auto"/>
        <w:right w:val="none" w:sz="0" w:space="0" w:color="auto"/>
      </w:divBdr>
    </w:div>
    <w:div w:id="144057555">
      <w:bodyDiv w:val="1"/>
      <w:marLeft w:val="0"/>
      <w:marRight w:val="0"/>
      <w:marTop w:val="0"/>
      <w:marBottom w:val="0"/>
      <w:divBdr>
        <w:top w:val="none" w:sz="0" w:space="0" w:color="auto"/>
        <w:left w:val="none" w:sz="0" w:space="0" w:color="auto"/>
        <w:bottom w:val="none" w:sz="0" w:space="0" w:color="auto"/>
        <w:right w:val="none" w:sz="0" w:space="0" w:color="auto"/>
      </w:divBdr>
      <w:divsChild>
        <w:div w:id="201870313">
          <w:marLeft w:val="0"/>
          <w:marRight w:val="0"/>
          <w:marTop w:val="0"/>
          <w:marBottom w:val="0"/>
          <w:divBdr>
            <w:top w:val="none" w:sz="0" w:space="0" w:color="auto"/>
            <w:left w:val="none" w:sz="0" w:space="0" w:color="auto"/>
            <w:bottom w:val="none" w:sz="0" w:space="0" w:color="auto"/>
            <w:right w:val="none" w:sz="0" w:space="0" w:color="auto"/>
          </w:divBdr>
        </w:div>
        <w:div w:id="1202091633">
          <w:marLeft w:val="0"/>
          <w:marRight w:val="0"/>
          <w:marTop w:val="0"/>
          <w:marBottom w:val="0"/>
          <w:divBdr>
            <w:top w:val="none" w:sz="0" w:space="0" w:color="auto"/>
            <w:left w:val="none" w:sz="0" w:space="0" w:color="auto"/>
            <w:bottom w:val="none" w:sz="0" w:space="0" w:color="auto"/>
            <w:right w:val="none" w:sz="0" w:space="0" w:color="auto"/>
          </w:divBdr>
        </w:div>
      </w:divsChild>
    </w:div>
    <w:div w:id="246430503">
      <w:bodyDiv w:val="1"/>
      <w:marLeft w:val="0"/>
      <w:marRight w:val="0"/>
      <w:marTop w:val="0"/>
      <w:marBottom w:val="0"/>
      <w:divBdr>
        <w:top w:val="none" w:sz="0" w:space="0" w:color="auto"/>
        <w:left w:val="none" w:sz="0" w:space="0" w:color="auto"/>
        <w:bottom w:val="none" w:sz="0" w:space="0" w:color="auto"/>
        <w:right w:val="none" w:sz="0" w:space="0" w:color="auto"/>
      </w:divBdr>
    </w:div>
    <w:div w:id="251401744">
      <w:bodyDiv w:val="1"/>
      <w:marLeft w:val="0"/>
      <w:marRight w:val="0"/>
      <w:marTop w:val="0"/>
      <w:marBottom w:val="0"/>
      <w:divBdr>
        <w:top w:val="none" w:sz="0" w:space="0" w:color="auto"/>
        <w:left w:val="none" w:sz="0" w:space="0" w:color="auto"/>
        <w:bottom w:val="none" w:sz="0" w:space="0" w:color="auto"/>
        <w:right w:val="none" w:sz="0" w:space="0" w:color="auto"/>
      </w:divBdr>
    </w:div>
    <w:div w:id="384833710">
      <w:bodyDiv w:val="1"/>
      <w:marLeft w:val="0"/>
      <w:marRight w:val="0"/>
      <w:marTop w:val="0"/>
      <w:marBottom w:val="0"/>
      <w:divBdr>
        <w:top w:val="none" w:sz="0" w:space="0" w:color="auto"/>
        <w:left w:val="none" w:sz="0" w:space="0" w:color="auto"/>
        <w:bottom w:val="none" w:sz="0" w:space="0" w:color="auto"/>
        <w:right w:val="none" w:sz="0" w:space="0" w:color="auto"/>
      </w:divBdr>
      <w:divsChild>
        <w:div w:id="750471323">
          <w:marLeft w:val="0"/>
          <w:marRight w:val="0"/>
          <w:marTop w:val="0"/>
          <w:marBottom w:val="0"/>
          <w:divBdr>
            <w:top w:val="none" w:sz="0" w:space="0" w:color="auto"/>
            <w:left w:val="none" w:sz="0" w:space="0" w:color="auto"/>
            <w:bottom w:val="none" w:sz="0" w:space="0" w:color="auto"/>
            <w:right w:val="none" w:sz="0" w:space="0" w:color="auto"/>
          </w:divBdr>
        </w:div>
        <w:div w:id="1947614837">
          <w:marLeft w:val="0"/>
          <w:marRight w:val="0"/>
          <w:marTop w:val="0"/>
          <w:marBottom w:val="0"/>
          <w:divBdr>
            <w:top w:val="none" w:sz="0" w:space="0" w:color="auto"/>
            <w:left w:val="none" w:sz="0" w:space="0" w:color="auto"/>
            <w:bottom w:val="none" w:sz="0" w:space="0" w:color="auto"/>
            <w:right w:val="none" w:sz="0" w:space="0" w:color="auto"/>
          </w:divBdr>
        </w:div>
        <w:div w:id="657029907">
          <w:marLeft w:val="0"/>
          <w:marRight w:val="0"/>
          <w:marTop w:val="0"/>
          <w:marBottom w:val="0"/>
          <w:divBdr>
            <w:top w:val="none" w:sz="0" w:space="0" w:color="auto"/>
            <w:left w:val="none" w:sz="0" w:space="0" w:color="auto"/>
            <w:bottom w:val="none" w:sz="0" w:space="0" w:color="auto"/>
            <w:right w:val="none" w:sz="0" w:space="0" w:color="auto"/>
          </w:divBdr>
        </w:div>
        <w:div w:id="1019045753">
          <w:marLeft w:val="0"/>
          <w:marRight w:val="0"/>
          <w:marTop w:val="0"/>
          <w:marBottom w:val="0"/>
          <w:divBdr>
            <w:top w:val="none" w:sz="0" w:space="0" w:color="auto"/>
            <w:left w:val="none" w:sz="0" w:space="0" w:color="auto"/>
            <w:bottom w:val="none" w:sz="0" w:space="0" w:color="auto"/>
            <w:right w:val="none" w:sz="0" w:space="0" w:color="auto"/>
          </w:divBdr>
        </w:div>
        <w:div w:id="1159735374">
          <w:marLeft w:val="0"/>
          <w:marRight w:val="0"/>
          <w:marTop w:val="0"/>
          <w:marBottom w:val="0"/>
          <w:divBdr>
            <w:top w:val="none" w:sz="0" w:space="0" w:color="auto"/>
            <w:left w:val="none" w:sz="0" w:space="0" w:color="auto"/>
            <w:bottom w:val="none" w:sz="0" w:space="0" w:color="auto"/>
            <w:right w:val="none" w:sz="0" w:space="0" w:color="auto"/>
          </w:divBdr>
        </w:div>
        <w:div w:id="1064915847">
          <w:marLeft w:val="0"/>
          <w:marRight w:val="0"/>
          <w:marTop w:val="0"/>
          <w:marBottom w:val="0"/>
          <w:divBdr>
            <w:top w:val="none" w:sz="0" w:space="0" w:color="auto"/>
            <w:left w:val="none" w:sz="0" w:space="0" w:color="auto"/>
            <w:bottom w:val="none" w:sz="0" w:space="0" w:color="auto"/>
            <w:right w:val="none" w:sz="0" w:space="0" w:color="auto"/>
          </w:divBdr>
        </w:div>
        <w:div w:id="1966155350">
          <w:marLeft w:val="0"/>
          <w:marRight w:val="0"/>
          <w:marTop w:val="0"/>
          <w:marBottom w:val="0"/>
          <w:divBdr>
            <w:top w:val="none" w:sz="0" w:space="0" w:color="auto"/>
            <w:left w:val="none" w:sz="0" w:space="0" w:color="auto"/>
            <w:bottom w:val="none" w:sz="0" w:space="0" w:color="auto"/>
            <w:right w:val="none" w:sz="0" w:space="0" w:color="auto"/>
          </w:divBdr>
        </w:div>
        <w:div w:id="1379739938">
          <w:marLeft w:val="0"/>
          <w:marRight w:val="0"/>
          <w:marTop w:val="0"/>
          <w:marBottom w:val="0"/>
          <w:divBdr>
            <w:top w:val="none" w:sz="0" w:space="0" w:color="auto"/>
            <w:left w:val="none" w:sz="0" w:space="0" w:color="auto"/>
            <w:bottom w:val="none" w:sz="0" w:space="0" w:color="auto"/>
            <w:right w:val="none" w:sz="0" w:space="0" w:color="auto"/>
          </w:divBdr>
        </w:div>
      </w:divsChild>
    </w:div>
    <w:div w:id="405612491">
      <w:bodyDiv w:val="1"/>
      <w:marLeft w:val="0"/>
      <w:marRight w:val="0"/>
      <w:marTop w:val="0"/>
      <w:marBottom w:val="0"/>
      <w:divBdr>
        <w:top w:val="none" w:sz="0" w:space="0" w:color="auto"/>
        <w:left w:val="none" w:sz="0" w:space="0" w:color="auto"/>
        <w:bottom w:val="none" w:sz="0" w:space="0" w:color="auto"/>
        <w:right w:val="none" w:sz="0" w:space="0" w:color="auto"/>
      </w:divBdr>
    </w:div>
    <w:div w:id="458844680">
      <w:bodyDiv w:val="1"/>
      <w:marLeft w:val="0"/>
      <w:marRight w:val="0"/>
      <w:marTop w:val="0"/>
      <w:marBottom w:val="0"/>
      <w:divBdr>
        <w:top w:val="none" w:sz="0" w:space="0" w:color="auto"/>
        <w:left w:val="none" w:sz="0" w:space="0" w:color="auto"/>
        <w:bottom w:val="none" w:sz="0" w:space="0" w:color="auto"/>
        <w:right w:val="none" w:sz="0" w:space="0" w:color="auto"/>
      </w:divBdr>
    </w:div>
    <w:div w:id="515769803">
      <w:bodyDiv w:val="1"/>
      <w:marLeft w:val="0"/>
      <w:marRight w:val="0"/>
      <w:marTop w:val="0"/>
      <w:marBottom w:val="0"/>
      <w:divBdr>
        <w:top w:val="none" w:sz="0" w:space="0" w:color="auto"/>
        <w:left w:val="none" w:sz="0" w:space="0" w:color="auto"/>
        <w:bottom w:val="none" w:sz="0" w:space="0" w:color="auto"/>
        <w:right w:val="none" w:sz="0" w:space="0" w:color="auto"/>
      </w:divBdr>
    </w:div>
    <w:div w:id="525020421">
      <w:bodyDiv w:val="1"/>
      <w:marLeft w:val="0"/>
      <w:marRight w:val="0"/>
      <w:marTop w:val="0"/>
      <w:marBottom w:val="0"/>
      <w:divBdr>
        <w:top w:val="none" w:sz="0" w:space="0" w:color="auto"/>
        <w:left w:val="none" w:sz="0" w:space="0" w:color="auto"/>
        <w:bottom w:val="none" w:sz="0" w:space="0" w:color="auto"/>
        <w:right w:val="none" w:sz="0" w:space="0" w:color="auto"/>
      </w:divBdr>
    </w:div>
    <w:div w:id="530266569">
      <w:bodyDiv w:val="1"/>
      <w:marLeft w:val="0"/>
      <w:marRight w:val="0"/>
      <w:marTop w:val="0"/>
      <w:marBottom w:val="0"/>
      <w:divBdr>
        <w:top w:val="none" w:sz="0" w:space="0" w:color="auto"/>
        <w:left w:val="none" w:sz="0" w:space="0" w:color="auto"/>
        <w:bottom w:val="none" w:sz="0" w:space="0" w:color="auto"/>
        <w:right w:val="none" w:sz="0" w:space="0" w:color="auto"/>
      </w:divBdr>
      <w:divsChild>
        <w:div w:id="895046115">
          <w:marLeft w:val="0"/>
          <w:marRight w:val="0"/>
          <w:marTop w:val="0"/>
          <w:marBottom w:val="0"/>
          <w:divBdr>
            <w:top w:val="none" w:sz="0" w:space="0" w:color="auto"/>
            <w:left w:val="none" w:sz="0" w:space="0" w:color="auto"/>
            <w:bottom w:val="none" w:sz="0" w:space="0" w:color="auto"/>
            <w:right w:val="none" w:sz="0" w:space="0" w:color="auto"/>
          </w:divBdr>
        </w:div>
        <w:div w:id="278266">
          <w:marLeft w:val="0"/>
          <w:marRight w:val="0"/>
          <w:marTop w:val="0"/>
          <w:marBottom w:val="0"/>
          <w:divBdr>
            <w:top w:val="none" w:sz="0" w:space="0" w:color="auto"/>
            <w:left w:val="none" w:sz="0" w:space="0" w:color="auto"/>
            <w:bottom w:val="none" w:sz="0" w:space="0" w:color="auto"/>
            <w:right w:val="none" w:sz="0" w:space="0" w:color="auto"/>
          </w:divBdr>
        </w:div>
      </w:divsChild>
    </w:div>
    <w:div w:id="575406456">
      <w:bodyDiv w:val="1"/>
      <w:marLeft w:val="0"/>
      <w:marRight w:val="0"/>
      <w:marTop w:val="0"/>
      <w:marBottom w:val="0"/>
      <w:divBdr>
        <w:top w:val="none" w:sz="0" w:space="0" w:color="auto"/>
        <w:left w:val="none" w:sz="0" w:space="0" w:color="auto"/>
        <w:bottom w:val="none" w:sz="0" w:space="0" w:color="auto"/>
        <w:right w:val="none" w:sz="0" w:space="0" w:color="auto"/>
      </w:divBdr>
    </w:div>
    <w:div w:id="575552899">
      <w:bodyDiv w:val="1"/>
      <w:marLeft w:val="0"/>
      <w:marRight w:val="0"/>
      <w:marTop w:val="0"/>
      <w:marBottom w:val="0"/>
      <w:divBdr>
        <w:top w:val="none" w:sz="0" w:space="0" w:color="auto"/>
        <w:left w:val="none" w:sz="0" w:space="0" w:color="auto"/>
        <w:bottom w:val="none" w:sz="0" w:space="0" w:color="auto"/>
        <w:right w:val="none" w:sz="0" w:space="0" w:color="auto"/>
      </w:divBdr>
      <w:divsChild>
        <w:div w:id="722097313">
          <w:marLeft w:val="0"/>
          <w:marRight w:val="0"/>
          <w:marTop w:val="0"/>
          <w:marBottom w:val="0"/>
          <w:divBdr>
            <w:top w:val="none" w:sz="0" w:space="0" w:color="auto"/>
            <w:left w:val="none" w:sz="0" w:space="0" w:color="auto"/>
            <w:bottom w:val="none" w:sz="0" w:space="0" w:color="auto"/>
            <w:right w:val="none" w:sz="0" w:space="0" w:color="auto"/>
          </w:divBdr>
        </w:div>
        <w:div w:id="1378966979">
          <w:marLeft w:val="0"/>
          <w:marRight w:val="0"/>
          <w:marTop w:val="0"/>
          <w:marBottom w:val="0"/>
          <w:divBdr>
            <w:top w:val="none" w:sz="0" w:space="0" w:color="auto"/>
            <w:left w:val="none" w:sz="0" w:space="0" w:color="auto"/>
            <w:bottom w:val="none" w:sz="0" w:space="0" w:color="auto"/>
            <w:right w:val="none" w:sz="0" w:space="0" w:color="auto"/>
          </w:divBdr>
        </w:div>
        <w:div w:id="568076312">
          <w:marLeft w:val="0"/>
          <w:marRight w:val="0"/>
          <w:marTop w:val="0"/>
          <w:marBottom w:val="0"/>
          <w:divBdr>
            <w:top w:val="none" w:sz="0" w:space="0" w:color="auto"/>
            <w:left w:val="none" w:sz="0" w:space="0" w:color="auto"/>
            <w:bottom w:val="none" w:sz="0" w:space="0" w:color="auto"/>
            <w:right w:val="none" w:sz="0" w:space="0" w:color="auto"/>
          </w:divBdr>
        </w:div>
        <w:div w:id="640159847">
          <w:marLeft w:val="0"/>
          <w:marRight w:val="0"/>
          <w:marTop w:val="0"/>
          <w:marBottom w:val="0"/>
          <w:divBdr>
            <w:top w:val="none" w:sz="0" w:space="0" w:color="auto"/>
            <w:left w:val="none" w:sz="0" w:space="0" w:color="auto"/>
            <w:bottom w:val="none" w:sz="0" w:space="0" w:color="auto"/>
            <w:right w:val="none" w:sz="0" w:space="0" w:color="auto"/>
          </w:divBdr>
        </w:div>
        <w:div w:id="1410543992">
          <w:marLeft w:val="0"/>
          <w:marRight w:val="0"/>
          <w:marTop w:val="0"/>
          <w:marBottom w:val="0"/>
          <w:divBdr>
            <w:top w:val="none" w:sz="0" w:space="0" w:color="auto"/>
            <w:left w:val="none" w:sz="0" w:space="0" w:color="auto"/>
            <w:bottom w:val="none" w:sz="0" w:space="0" w:color="auto"/>
            <w:right w:val="none" w:sz="0" w:space="0" w:color="auto"/>
          </w:divBdr>
        </w:div>
        <w:div w:id="1899824048">
          <w:marLeft w:val="0"/>
          <w:marRight w:val="0"/>
          <w:marTop w:val="0"/>
          <w:marBottom w:val="0"/>
          <w:divBdr>
            <w:top w:val="none" w:sz="0" w:space="0" w:color="auto"/>
            <w:left w:val="none" w:sz="0" w:space="0" w:color="auto"/>
            <w:bottom w:val="none" w:sz="0" w:space="0" w:color="auto"/>
            <w:right w:val="none" w:sz="0" w:space="0" w:color="auto"/>
          </w:divBdr>
        </w:div>
        <w:div w:id="1984768583">
          <w:marLeft w:val="0"/>
          <w:marRight w:val="0"/>
          <w:marTop w:val="0"/>
          <w:marBottom w:val="0"/>
          <w:divBdr>
            <w:top w:val="none" w:sz="0" w:space="0" w:color="auto"/>
            <w:left w:val="none" w:sz="0" w:space="0" w:color="auto"/>
            <w:bottom w:val="none" w:sz="0" w:space="0" w:color="auto"/>
            <w:right w:val="none" w:sz="0" w:space="0" w:color="auto"/>
          </w:divBdr>
        </w:div>
        <w:div w:id="2130463914">
          <w:marLeft w:val="0"/>
          <w:marRight w:val="0"/>
          <w:marTop w:val="0"/>
          <w:marBottom w:val="0"/>
          <w:divBdr>
            <w:top w:val="none" w:sz="0" w:space="0" w:color="auto"/>
            <w:left w:val="none" w:sz="0" w:space="0" w:color="auto"/>
            <w:bottom w:val="none" w:sz="0" w:space="0" w:color="auto"/>
            <w:right w:val="none" w:sz="0" w:space="0" w:color="auto"/>
          </w:divBdr>
        </w:div>
        <w:div w:id="1065954761">
          <w:marLeft w:val="0"/>
          <w:marRight w:val="0"/>
          <w:marTop w:val="0"/>
          <w:marBottom w:val="0"/>
          <w:divBdr>
            <w:top w:val="none" w:sz="0" w:space="0" w:color="auto"/>
            <w:left w:val="none" w:sz="0" w:space="0" w:color="auto"/>
            <w:bottom w:val="none" w:sz="0" w:space="0" w:color="auto"/>
            <w:right w:val="none" w:sz="0" w:space="0" w:color="auto"/>
          </w:divBdr>
        </w:div>
        <w:div w:id="521014240">
          <w:marLeft w:val="0"/>
          <w:marRight w:val="0"/>
          <w:marTop w:val="0"/>
          <w:marBottom w:val="0"/>
          <w:divBdr>
            <w:top w:val="none" w:sz="0" w:space="0" w:color="auto"/>
            <w:left w:val="none" w:sz="0" w:space="0" w:color="auto"/>
            <w:bottom w:val="none" w:sz="0" w:space="0" w:color="auto"/>
            <w:right w:val="none" w:sz="0" w:space="0" w:color="auto"/>
          </w:divBdr>
        </w:div>
        <w:div w:id="455835285">
          <w:marLeft w:val="0"/>
          <w:marRight w:val="0"/>
          <w:marTop w:val="0"/>
          <w:marBottom w:val="0"/>
          <w:divBdr>
            <w:top w:val="none" w:sz="0" w:space="0" w:color="auto"/>
            <w:left w:val="none" w:sz="0" w:space="0" w:color="auto"/>
            <w:bottom w:val="none" w:sz="0" w:space="0" w:color="auto"/>
            <w:right w:val="none" w:sz="0" w:space="0" w:color="auto"/>
          </w:divBdr>
        </w:div>
        <w:div w:id="1300646941">
          <w:marLeft w:val="0"/>
          <w:marRight w:val="0"/>
          <w:marTop w:val="0"/>
          <w:marBottom w:val="0"/>
          <w:divBdr>
            <w:top w:val="none" w:sz="0" w:space="0" w:color="auto"/>
            <w:left w:val="none" w:sz="0" w:space="0" w:color="auto"/>
            <w:bottom w:val="none" w:sz="0" w:space="0" w:color="auto"/>
            <w:right w:val="none" w:sz="0" w:space="0" w:color="auto"/>
          </w:divBdr>
        </w:div>
        <w:div w:id="498547991">
          <w:marLeft w:val="0"/>
          <w:marRight w:val="0"/>
          <w:marTop w:val="0"/>
          <w:marBottom w:val="0"/>
          <w:divBdr>
            <w:top w:val="none" w:sz="0" w:space="0" w:color="auto"/>
            <w:left w:val="none" w:sz="0" w:space="0" w:color="auto"/>
            <w:bottom w:val="none" w:sz="0" w:space="0" w:color="auto"/>
            <w:right w:val="none" w:sz="0" w:space="0" w:color="auto"/>
          </w:divBdr>
        </w:div>
        <w:div w:id="628363909">
          <w:marLeft w:val="0"/>
          <w:marRight w:val="0"/>
          <w:marTop w:val="0"/>
          <w:marBottom w:val="0"/>
          <w:divBdr>
            <w:top w:val="none" w:sz="0" w:space="0" w:color="auto"/>
            <w:left w:val="none" w:sz="0" w:space="0" w:color="auto"/>
            <w:bottom w:val="none" w:sz="0" w:space="0" w:color="auto"/>
            <w:right w:val="none" w:sz="0" w:space="0" w:color="auto"/>
          </w:divBdr>
        </w:div>
        <w:div w:id="2101100366">
          <w:marLeft w:val="0"/>
          <w:marRight w:val="0"/>
          <w:marTop w:val="0"/>
          <w:marBottom w:val="0"/>
          <w:divBdr>
            <w:top w:val="none" w:sz="0" w:space="0" w:color="auto"/>
            <w:left w:val="none" w:sz="0" w:space="0" w:color="auto"/>
            <w:bottom w:val="none" w:sz="0" w:space="0" w:color="auto"/>
            <w:right w:val="none" w:sz="0" w:space="0" w:color="auto"/>
          </w:divBdr>
        </w:div>
        <w:div w:id="593126117">
          <w:marLeft w:val="0"/>
          <w:marRight w:val="0"/>
          <w:marTop w:val="0"/>
          <w:marBottom w:val="0"/>
          <w:divBdr>
            <w:top w:val="none" w:sz="0" w:space="0" w:color="auto"/>
            <w:left w:val="none" w:sz="0" w:space="0" w:color="auto"/>
            <w:bottom w:val="none" w:sz="0" w:space="0" w:color="auto"/>
            <w:right w:val="none" w:sz="0" w:space="0" w:color="auto"/>
          </w:divBdr>
        </w:div>
        <w:div w:id="518618299">
          <w:marLeft w:val="0"/>
          <w:marRight w:val="0"/>
          <w:marTop w:val="0"/>
          <w:marBottom w:val="0"/>
          <w:divBdr>
            <w:top w:val="none" w:sz="0" w:space="0" w:color="auto"/>
            <w:left w:val="none" w:sz="0" w:space="0" w:color="auto"/>
            <w:bottom w:val="none" w:sz="0" w:space="0" w:color="auto"/>
            <w:right w:val="none" w:sz="0" w:space="0" w:color="auto"/>
          </w:divBdr>
        </w:div>
        <w:div w:id="1357003595">
          <w:marLeft w:val="0"/>
          <w:marRight w:val="0"/>
          <w:marTop w:val="0"/>
          <w:marBottom w:val="0"/>
          <w:divBdr>
            <w:top w:val="none" w:sz="0" w:space="0" w:color="auto"/>
            <w:left w:val="none" w:sz="0" w:space="0" w:color="auto"/>
            <w:bottom w:val="none" w:sz="0" w:space="0" w:color="auto"/>
            <w:right w:val="none" w:sz="0" w:space="0" w:color="auto"/>
          </w:divBdr>
        </w:div>
        <w:div w:id="1170634465">
          <w:marLeft w:val="0"/>
          <w:marRight w:val="0"/>
          <w:marTop w:val="0"/>
          <w:marBottom w:val="0"/>
          <w:divBdr>
            <w:top w:val="none" w:sz="0" w:space="0" w:color="auto"/>
            <w:left w:val="none" w:sz="0" w:space="0" w:color="auto"/>
            <w:bottom w:val="none" w:sz="0" w:space="0" w:color="auto"/>
            <w:right w:val="none" w:sz="0" w:space="0" w:color="auto"/>
          </w:divBdr>
        </w:div>
        <w:div w:id="809441602">
          <w:marLeft w:val="0"/>
          <w:marRight w:val="0"/>
          <w:marTop w:val="0"/>
          <w:marBottom w:val="0"/>
          <w:divBdr>
            <w:top w:val="none" w:sz="0" w:space="0" w:color="auto"/>
            <w:left w:val="none" w:sz="0" w:space="0" w:color="auto"/>
            <w:bottom w:val="none" w:sz="0" w:space="0" w:color="auto"/>
            <w:right w:val="none" w:sz="0" w:space="0" w:color="auto"/>
          </w:divBdr>
        </w:div>
        <w:div w:id="67075168">
          <w:marLeft w:val="0"/>
          <w:marRight w:val="0"/>
          <w:marTop w:val="0"/>
          <w:marBottom w:val="0"/>
          <w:divBdr>
            <w:top w:val="none" w:sz="0" w:space="0" w:color="auto"/>
            <w:left w:val="none" w:sz="0" w:space="0" w:color="auto"/>
            <w:bottom w:val="none" w:sz="0" w:space="0" w:color="auto"/>
            <w:right w:val="none" w:sz="0" w:space="0" w:color="auto"/>
          </w:divBdr>
        </w:div>
        <w:div w:id="383330318">
          <w:marLeft w:val="0"/>
          <w:marRight w:val="0"/>
          <w:marTop w:val="0"/>
          <w:marBottom w:val="0"/>
          <w:divBdr>
            <w:top w:val="none" w:sz="0" w:space="0" w:color="auto"/>
            <w:left w:val="none" w:sz="0" w:space="0" w:color="auto"/>
            <w:bottom w:val="none" w:sz="0" w:space="0" w:color="auto"/>
            <w:right w:val="none" w:sz="0" w:space="0" w:color="auto"/>
          </w:divBdr>
        </w:div>
        <w:div w:id="647056792">
          <w:marLeft w:val="0"/>
          <w:marRight w:val="0"/>
          <w:marTop w:val="0"/>
          <w:marBottom w:val="0"/>
          <w:divBdr>
            <w:top w:val="none" w:sz="0" w:space="0" w:color="auto"/>
            <w:left w:val="none" w:sz="0" w:space="0" w:color="auto"/>
            <w:bottom w:val="none" w:sz="0" w:space="0" w:color="auto"/>
            <w:right w:val="none" w:sz="0" w:space="0" w:color="auto"/>
          </w:divBdr>
        </w:div>
        <w:div w:id="1724450426">
          <w:marLeft w:val="0"/>
          <w:marRight w:val="0"/>
          <w:marTop w:val="0"/>
          <w:marBottom w:val="0"/>
          <w:divBdr>
            <w:top w:val="none" w:sz="0" w:space="0" w:color="auto"/>
            <w:left w:val="none" w:sz="0" w:space="0" w:color="auto"/>
            <w:bottom w:val="none" w:sz="0" w:space="0" w:color="auto"/>
            <w:right w:val="none" w:sz="0" w:space="0" w:color="auto"/>
          </w:divBdr>
        </w:div>
        <w:div w:id="256642228">
          <w:marLeft w:val="0"/>
          <w:marRight w:val="0"/>
          <w:marTop w:val="0"/>
          <w:marBottom w:val="0"/>
          <w:divBdr>
            <w:top w:val="none" w:sz="0" w:space="0" w:color="auto"/>
            <w:left w:val="none" w:sz="0" w:space="0" w:color="auto"/>
            <w:bottom w:val="none" w:sz="0" w:space="0" w:color="auto"/>
            <w:right w:val="none" w:sz="0" w:space="0" w:color="auto"/>
          </w:divBdr>
        </w:div>
        <w:div w:id="1902254840">
          <w:marLeft w:val="0"/>
          <w:marRight w:val="0"/>
          <w:marTop w:val="0"/>
          <w:marBottom w:val="0"/>
          <w:divBdr>
            <w:top w:val="none" w:sz="0" w:space="0" w:color="auto"/>
            <w:left w:val="none" w:sz="0" w:space="0" w:color="auto"/>
            <w:bottom w:val="none" w:sz="0" w:space="0" w:color="auto"/>
            <w:right w:val="none" w:sz="0" w:space="0" w:color="auto"/>
          </w:divBdr>
        </w:div>
        <w:div w:id="599795576">
          <w:marLeft w:val="0"/>
          <w:marRight w:val="0"/>
          <w:marTop w:val="0"/>
          <w:marBottom w:val="0"/>
          <w:divBdr>
            <w:top w:val="none" w:sz="0" w:space="0" w:color="auto"/>
            <w:left w:val="none" w:sz="0" w:space="0" w:color="auto"/>
            <w:bottom w:val="none" w:sz="0" w:space="0" w:color="auto"/>
            <w:right w:val="none" w:sz="0" w:space="0" w:color="auto"/>
          </w:divBdr>
        </w:div>
        <w:div w:id="1085030598">
          <w:marLeft w:val="0"/>
          <w:marRight w:val="0"/>
          <w:marTop w:val="0"/>
          <w:marBottom w:val="0"/>
          <w:divBdr>
            <w:top w:val="none" w:sz="0" w:space="0" w:color="auto"/>
            <w:left w:val="none" w:sz="0" w:space="0" w:color="auto"/>
            <w:bottom w:val="none" w:sz="0" w:space="0" w:color="auto"/>
            <w:right w:val="none" w:sz="0" w:space="0" w:color="auto"/>
          </w:divBdr>
        </w:div>
        <w:div w:id="265307482">
          <w:marLeft w:val="0"/>
          <w:marRight w:val="0"/>
          <w:marTop w:val="0"/>
          <w:marBottom w:val="0"/>
          <w:divBdr>
            <w:top w:val="none" w:sz="0" w:space="0" w:color="auto"/>
            <w:left w:val="none" w:sz="0" w:space="0" w:color="auto"/>
            <w:bottom w:val="none" w:sz="0" w:space="0" w:color="auto"/>
            <w:right w:val="none" w:sz="0" w:space="0" w:color="auto"/>
          </w:divBdr>
        </w:div>
        <w:div w:id="432239679">
          <w:marLeft w:val="0"/>
          <w:marRight w:val="0"/>
          <w:marTop w:val="0"/>
          <w:marBottom w:val="0"/>
          <w:divBdr>
            <w:top w:val="none" w:sz="0" w:space="0" w:color="auto"/>
            <w:left w:val="none" w:sz="0" w:space="0" w:color="auto"/>
            <w:bottom w:val="none" w:sz="0" w:space="0" w:color="auto"/>
            <w:right w:val="none" w:sz="0" w:space="0" w:color="auto"/>
          </w:divBdr>
        </w:div>
        <w:div w:id="1299725651">
          <w:marLeft w:val="0"/>
          <w:marRight w:val="0"/>
          <w:marTop w:val="0"/>
          <w:marBottom w:val="0"/>
          <w:divBdr>
            <w:top w:val="none" w:sz="0" w:space="0" w:color="auto"/>
            <w:left w:val="none" w:sz="0" w:space="0" w:color="auto"/>
            <w:bottom w:val="none" w:sz="0" w:space="0" w:color="auto"/>
            <w:right w:val="none" w:sz="0" w:space="0" w:color="auto"/>
          </w:divBdr>
        </w:div>
      </w:divsChild>
    </w:div>
    <w:div w:id="579025886">
      <w:bodyDiv w:val="1"/>
      <w:marLeft w:val="0"/>
      <w:marRight w:val="0"/>
      <w:marTop w:val="0"/>
      <w:marBottom w:val="0"/>
      <w:divBdr>
        <w:top w:val="none" w:sz="0" w:space="0" w:color="auto"/>
        <w:left w:val="none" w:sz="0" w:space="0" w:color="auto"/>
        <w:bottom w:val="none" w:sz="0" w:space="0" w:color="auto"/>
        <w:right w:val="none" w:sz="0" w:space="0" w:color="auto"/>
      </w:divBdr>
    </w:div>
    <w:div w:id="654650133">
      <w:bodyDiv w:val="1"/>
      <w:marLeft w:val="0"/>
      <w:marRight w:val="0"/>
      <w:marTop w:val="0"/>
      <w:marBottom w:val="0"/>
      <w:divBdr>
        <w:top w:val="none" w:sz="0" w:space="0" w:color="auto"/>
        <w:left w:val="none" w:sz="0" w:space="0" w:color="auto"/>
        <w:bottom w:val="none" w:sz="0" w:space="0" w:color="auto"/>
        <w:right w:val="none" w:sz="0" w:space="0" w:color="auto"/>
      </w:divBdr>
      <w:divsChild>
        <w:div w:id="1325469766">
          <w:marLeft w:val="0"/>
          <w:marRight w:val="0"/>
          <w:marTop w:val="0"/>
          <w:marBottom w:val="0"/>
          <w:divBdr>
            <w:top w:val="none" w:sz="0" w:space="0" w:color="auto"/>
            <w:left w:val="none" w:sz="0" w:space="0" w:color="auto"/>
            <w:bottom w:val="none" w:sz="0" w:space="0" w:color="auto"/>
            <w:right w:val="none" w:sz="0" w:space="0" w:color="auto"/>
          </w:divBdr>
        </w:div>
        <w:div w:id="1276214149">
          <w:marLeft w:val="0"/>
          <w:marRight w:val="0"/>
          <w:marTop w:val="0"/>
          <w:marBottom w:val="0"/>
          <w:divBdr>
            <w:top w:val="none" w:sz="0" w:space="0" w:color="auto"/>
            <w:left w:val="none" w:sz="0" w:space="0" w:color="auto"/>
            <w:bottom w:val="none" w:sz="0" w:space="0" w:color="auto"/>
            <w:right w:val="none" w:sz="0" w:space="0" w:color="auto"/>
          </w:divBdr>
        </w:div>
        <w:div w:id="1248222574">
          <w:marLeft w:val="0"/>
          <w:marRight w:val="0"/>
          <w:marTop w:val="0"/>
          <w:marBottom w:val="0"/>
          <w:divBdr>
            <w:top w:val="none" w:sz="0" w:space="0" w:color="auto"/>
            <w:left w:val="none" w:sz="0" w:space="0" w:color="auto"/>
            <w:bottom w:val="none" w:sz="0" w:space="0" w:color="auto"/>
            <w:right w:val="none" w:sz="0" w:space="0" w:color="auto"/>
          </w:divBdr>
        </w:div>
        <w:div w:id="2009360906">
          <w:marLeft w:val="0"/>
          <w:marRight w:val="0"/>
          <w:marTop w:val="0"/>
          <w:marBottom w:val="0"/>
          <w:divBdr>
            <w:top w:val="none" w:sz="0" w:space="0" w:color="auto"/>
            <w:left w:val="none" w:sz="0" w:space="0" w:color="auto"/>
            <w:bottom w:val="none" w:sz="0" w:space="0" w:color="auto"/>
            <w:right w:val="none" w:sz="0" w:space="0" w:color="auto"/>
          </w:divBdr>
        </w:div>
        <w:div w:id="375356616">
          <w:marLeft w:val="0"/>
          <w:marRight w:val="0"/>
          <w:marTop w:val="0"/>
          <w:marBottom w:val="0"/>
          <w:divBdr>
            <w:top w:val="none" w:sz="0" w:space="0" w:color="auto"/>
            <w:left w:val="none" w:sz="0" w:space="0" w:color="auto"/>
            <w:bottom w:val="none" w:sz="0" w:space="0" w:color="auto"/>
            <w:right w:val="none" w:sz="0" w:space="0" w:color="auto"/>
          </w:divBdr>
        </w:div>
        <w:div w:id="568468006">
          <w:marLeft w:val="0"/>
          <w:marRight w:val="0"/>
          <w:marTop w:val="0"/>
          <w:marBottom w:val="0"/>
          <w:divBdr>
            <w:top w:val="none" w:sz="0" w:space="0" w:color="auto"/>
            <w:left w:val="none" w:sz="0" w:space="0" w:color="auto"/>
            <w:bottom w:val="none" w:sz="0" w:space="0" w:color="auto"/>
            <w:right w:val="none" w:sz="0" w:space="0" w:color="auto"/>
          </w:divBdr>
        </w:div>
      </w:divsChild>
    </w:div>
    <w:div w:id="710345846">
      <w:bodyDiv w:val="1"/>
      <w:marLeft w:val="0"/>
      <w:marRight w:val="0"/>
      <w:marTop w:val="0"/>
      <w:marBottom w:val="0"/>
      <w:divBdr>
        <w:top w:val="none" w:sz="0" w:space="0" w:color="auto"/>
        <w:left w:val="none" w:sz="0" w:space="0" w:color="auto"/>
        <w:bottom w:val="none" w:sz="0" w:space="0" w:color="auto"/>
        <w:right w:val="none" w:sz="0" w:space="0" w:color="auto"/>
      </w:divBdr>
    </w:div>
    <w:div w:id="714619498">
      <w:bodyDiv w:val="1"/>
      <w:marLeft w:val="0"/>
      <w:marRight w:val="0"/>
      <w:marTop w:val="0"/>
      <w:marBottom w:val="0"/>
      <w:divBdr>
        <w:top w:val="none" w:sz="0" w:space="0" w:color="auto"/>
        <w:left w:val="none" w:sz="0" w:space="0" w:color="auto"/>
        <w:bottom w:val="none" w:sz="0" w:space="0" w:color="auto"/>
        <w:right w:val="none" w:sz="0" w:space="0" w:color="auto"/>
      </w:divBdr>
    </w:div>
    <w:div w:id="852455474">
      <w:bodyDiv w:val="1"/>
      <w:marLeft w:val="0"/>
      <w:marRight w:val="0"/>
      <w:marTop w:val="0"/>
      <w:marBottom w:val="0"/>
      <w:divBdr>
        <w:top w:val="none" w:sz="0" w:space="0" w:color="auto"/>
        <w:left w:val="none" w:sz="0" w:space="0" w:color="auto"/>
        <w:bottom w:val="none" w:sz="0" w:space="0" w:color="auto"/>
        <w:right w:val="none" w:sz="0" w:space="0" w:color="auto"/>
      </w:divBdr>
    </w:div>
    <w:div w:id="853960061">
      <w:bodyDiv w:val="1"/>
      <w:marLeft w:val="0"/>
      <w:marRight w:val="0"/>
      <w:marTop w:val="0"/>
      <w:marBottom w:val="0"/>
      <w:divBdr>
        <w:top w:val="none" w:sz="0" w:space="0" w:color="auto"/>
        <w:left w:val="none" w:sz="0" w:space="0" w:color="auto"/>
        <w:bottom w:val="none" w:sz="0" w:space="0" w:color="auto"/>
        <w:right w:val="none" w:sz="0" w:space="0" w:color="auto"/>
      </w:divBdr>
    </w:div>
    <w:div w:id="862205629">
      <w:bodyDiv w:val="1"/>
      <w:marLeft w:val="0"/>
      <w:marRight w:val="0"/>
      <w:marTop w:val="0"/>
      <w:marBottom w:val="0"/>
      <w:divBdr>
        <w:top w:val="none" w:sz="0" w:space="0" w:color="auto"/>
        <w:left w:val="none" w:sz="0" w:space="0" w:color="auto"/>
        <w:bottom w:val="none" w:sz="0" w:space="0" w:color="auto"/>
        <w:right w:val="none" w:sz="0" w:space="0" w:color="auto"/>
      </w:divBdr>
    </w:div>
    <w:div w:id="874778168">
      <w:bodyDiv w:val="1"/>
      <w:marLeft w:val="0"/>
      <w:marRight w:val="0"/>
      <w:marTop w:val="0"/>
      <w:marBottom w:val="0"/>
      <w:divBdr>
        <w:top w:val="none" w:sz="0" w:space="0" w:color="auto"/>
        <w:left w:val="none" w:sz="0" w:space="0" w:color="auto"/>
        <w:bottom w:val="none" w:sz="0" w:space="0" w:color="auto"/>
        <w:right w:val="none" w:sz="0" w:space="0" w:color="auto"/>
      </w:divBdr>
      <w:divsChild>
        <w:div w:id="2132821496">
          <w:marLeft w:val="0"/>
          <w:marRight w:val="0"/>
          <w:marTop w:val="0"/>
          <w:marBottom w:val="0"/>
          <w:divBdr>
            <w:top w:val="none" w:sz="0" w:space="0" w:color="auto"/>
            <w:left w:val="none" w:sz="0" w:space="0" w:color="auto"/>
            <w:bottom w:val="none" w:sz="0" w:space="0" w:color="auto"/>
            <w:right w:val="none" w:sz="0" w:space="0" w:color="auto"/>
          </w:divBdr>
        </w:div>
        <w:div w:id="1450513863">
          <w:marLeft w:val="0"/>
          <w:marRight w:val="0"/>
          <w:marTop w:val="0"/>
          <w:marBottom w:val="0"/>
          <w:divBdr>
            <w:top w:val="none" w:sz="0" w:space="0" w:color="auto"/>
            <w:left w:val="none" w:sz="0" w:space="0" w:color="auto"/>
            <w:bottom w:val="none" w:sz="0" w:space="0" w:color="auto"/>
            <w:right w:val="none" w:sz="0" w:space="0" w:color="auto"/>
          </w:divBdr>
        </w:div>
        <w:div w:id="1862746171">
          <w:marLeft w:val="0"/>
          <w:marRight w:val="0"/>
          <w:marTop w:val="0"/>
          <w:marBottom w:val="0"/>
          <w:divBdr>
            <w:top w:val="none" w:sz="0" w:space="0" w:color="auto"/>
            <w:left w:val="none" w:sz="0" w:space="0" w:color="auto"/>
            <w:bottom w:val="none" w:sz="0" w:space="0" w:color="auto"/>
            <w:right w:val="none" w:sz="0" w:space="0" w:color="auto"/>
          </w:divBdr>
        </w:div>
        <w:div w:id="547299574">
          <w:marLeft w:val="0"/>
          <w:marRight w:val="0"/>
          <w:marTop w:val="0"/>
          <w:marBottom w:val="0"/>
          <w:divBdr>
            <w:top w:val="none" w:sz="0" w:space="0" w:color="auto"/>
            <w:left w:val="none" w:sz="0" w:space="0" w:color="auto"/>
            <w:bottom w:val="none" w:sz="0" w:space="0" w:color="auto"/>
            <w:right w:val="none" w:sz="0" w:space="0" w:color="auto"/>
          </w:divBdr>
        </w:div>
        <w:div w:id="2089224489">
          <w:marLeft w:val="0"/>
          <w:marRight w:val="0"/>
          <w:marTop w:val="0"/>
          <w:marBottom w:val="0"/>
          <w:divBdr>
            <w:top w:val="none" w:sz="0" w:space="0" w:color="auto"/>
            <w:left w:val="none" w:sz="0" w:space="0" w:color="auto"/>
            <w:bottom w:val="none" w:sz="0" w:space="0" w:color="auto"/>
            <w:right w:val="none" w:sz="0" w:space="0" w:color="auto"/>
          </w:divBdr>
        </w:div>
        <w:div w:id="2044937887">
          <w:marLeft w:val="0"/>
          <w:marRight w:val="0"/>
          <w:marTop w:val="0"/>
          <w:marBottom w:val="0"/>
          <w:divBdr>
            <w:top w:val="none" w:sz="0" w:space="0" w:color="auto"/>
            <w:left w:val="none" w:sz="0" w:space="0" w:color="auto"/>
            <w:bottom w:val="none" w:sz="0" w:space="0" w:color="auto"/>
            <w:right w:val="none" w:sz="0" w:space="0" w:color="auto"/>
          </w:divBdr>
        </w:div>
        <w:div w:id="1332685274">
          <w:marLeft w:val="0"/>
          <w:marRight w:val="0"/>
          <w:marTop w:val="0"/>
          <w:marBottom w:val="0"/>
          <w:divBdr>
            <w:top w:val="none" w:sz="0" w:space="0" w:color="auto"/>
            <w:left w:val="none" w:sz="0" w:space="0" w:color="auto"/>
            <w:bottom w:val="none" w:sz="0" w:space="0" w:color="auto"/>
            <w:right w:val="none" w:sz="0" w:space="0" w:color="auto"/>
          </w:divBdr>
        </w:div>
        <w:div w:id="764695842">
          <w:marLeft w:val="0"/>
          <w:marRight w:val="0"/>
          <w:marTop w:val="0"/>
          <w:marBottom w:val="0"/>
          <w:divBdr>
            <w:top w:val="none" w:sz="0" w:space="0" w:color="auto"/>
            <w:left w:val="none" w:sz="0" w:space="0" w:color="auto"/>
            <w:bottom w:val="none" w:sz="0" w:space="0" w:color="auto"/>
            <w:right w:val="none" w:sz="0" w:space="0" w:color="auto"/>
          </w:divBdr>
        </w:div>
        <w:div w:id="429086781">
          <w:marLeft w:val="0"/>
          <w:marRight w:val="0"/>
          <w:marTop w:val="0"/>
          <w:marBottom w:val="0"/>
          <w:divBdr>
            <w:top w:val="none" w:sz="0" w:space="0" w:color="auto"/>
            <w:left w:val="none" w:sz="0" w:space="0" w:color="auto"/>
            <w:bottom w:val="none" w:sz="0" w:space="0" w:color="auto"/>
            <w:right w:val="none" w:sz="0" w:space="0" w:color="auto"/>
          </w:divBdr>
        </w:div>
      </w:divsChild>
    </w:div>
    <w:div w:id="900167721">
      <w:bodyDiv w:val="1"/>
      <w:marLeft w:val="0"/>
      <w:marRight w:val="0"/>
      <w:marTop w:val="0"/>
      <w:marBottom w:val="0"/>
      <w:divBdr>
        <w:top w:val="none" w:sz="0" w:space="0" w:color="auto"/>
        <w:left w:val="none" w:sz="0" w:space="0" w:color="auto"/>
        <w:bottom w:val="none" w:sz="0" w:space="0" w:color="auto"/>
        <w:right w:val="none" w:sz="0" w:space="0" w:color="auto"/>
      </w:divBdr>
    </w:div>
    <w:div w:id="914893666">
      <w:bodyDiv w:val="1"/>
      <w:marLeft w:val="0"/>
      <w:marRight w:val="0"/>
      <w:marTop w:val="0"/>
      <w:marBottom w:val="0"/>
      <w:divBdr>
        <w:top w:val="none" w:sz="0" w:space="0" w:color="auto"/>
        <w:left w:val="none" w:sz="0" w:space="0" w:color="auto"/>
        <w:bottom w:val="none" w:sz="0" w:space="0" w:color="auto"/>
        <w:right w:val="none" w:sz="0" w:space="0" w:color="auto"/>
      </w:divBdr>
    </w:div>
    <w:div w:id="973292277">
      <w:bodyDiv w:val="1"/>
      <w:marLeft w:val="0"/>
      <w:marRight w:val="0"/>
      <w:marTop w:val="0"/>
      <w:marBottom w:val="0"/>
      <w:divBdr>
        <w:top w:val="none" w:sz="0" w:space="0" w:color="auto"/>
        <w:left w:val="none" w:sz="0" w:space="0" w:color="auto"/>
        <w:bottom w:val="none" w:sz="0" w:space="0" w:color="auto"/>
        <w:right w:val="none" w:sz="0" w:space="0" w:color="auto"/>
      </w:divBdr>
    </w:div>
    <w:div w:id="982856837">
      <w:bodyDiv w:val="1"/>
      <w:marLeft w:val="0"/>
      <w:marRight w:val="0"/>
      <w:marTop w:val="0"/>
      <w:marBottom w:val="0"/>
      <w:divBdr>
        <w:top w:val="none" w:sz="0" w:space="0" w:color="auto"/>
        <w:left w:val="none" w:sz="0" w:space="0" w:color="auto"/>
        <w:bottom w:val="none" w:sz="0" w:space="0" w:color="auto"/>
        <w:right w:val="none" w:sz="0" w:space="0" w:color="auto"/>
      </w:divBdr>
    </w:div>
    <w:div w:id="1006711400">
      <w:bodyDiv w:val="1"/>
      <w:marLeft w:val="0"/>
      <w:marRight w:val="0"/>
      <w:marTop w:val="0"/>
      <w:marBottom w:val="0"/>
      <w:divBdr>
        <w:top w:val="none" w:sz="0" w:space="0" w:color="auto"/>
        <w:left w:val="none" w:sz="0" w:space="0" w:color="auto"/>
        <w:bottom w:val="none" w:sz="0" w:space="0" w:color="auto"/>
        <w:right w:val="none" w:sz="0" w:space="0" w:color="auto"/>
      </w:divBdr>
    </w:div>
    <w:div w:id="1107700989">
      <w:bodyDiv w:val="1"/>
      <w:marLeft w:val="0"/>
      <w:marRight w:val="0"/>
      <w:marTop w:val="0"/>
      <w:marBottom w:val="0"/>
      <w:divBdr>
        <w:top w:val="none" w:sz="0" w:space="0" w:color="auto"/>
        <w:left w:val="none" w:sz="0" w:space="0" w:color="auto"/>
        <w:bottom w:val="none" w:sz="0" w:space="0" w:color="auto"/>
        <w:right w:val="none" w:sz="0" w:space="0" w:color="auto"/>
      </w:divBdr>
    </w:div>
    <w:div w:id="1135028675">
      <w:bodyDiv w:val="1"/>
      <w:marLeft w:val="0"/>
      <w:marRight w:val="0"/>
      <w:marTop w:val="0"/>
      <w:marBottom w:val="0"/>
      <w:divBdr>
        <w:top w:val="none" w:sz="0" w:space="0" w:color="auto"/>
        <w:left w:val="none" w:sz="0" w:space="0" w:color="auto"/>
        <w:bottom w:val="none" w:sz="0" w:space="0" w:color="auto"/>
        <w:right w:val="none" w:sz="0" w:space="0" w:color="auto"/>
      </w:divBdr>
    </w:div>
    <w:div w:id="1213275578">
      <w:bodyDiv w:val="1"/>
      <w:marLeft w:val="0"/>
      <w:marRight w:val="0"/>
      <w:marTop w:val="0"/>
      <w:marBottom w:val="0"/>
      <w:divBdr>
        <w:top w:val="none" w:sz="0" w:space="0" w:color="auto"/>
        <w:left w:val="none" w:sz="0" w:space="0" w:color="auto"/>
        <w:bottom w:val="none" w:sz="0" w:space="0" w:color="auto"/>
        <w:right w:val="none" w:sz="0" w:space="0" w:color="auto"/>
      </w:divBdr>
    </w:div>
    <w:div w:id="1215969918">
      <w:bodyDiv w:val="1"/>
      <w:marLeft w:val="0"/>
      <w:marRight w:val="0"/>
      <w:marTop w:val="0"/>
      <w:marBottom w:val="0"/>
      <w:divBdr>
        <w:top w:val="none" w:sz="0" w:space="0" w:color="auto"/>
        <w:left w:val="none" w:sz="0" w:space="0" w:color="auto"/>
        <w:bottom w:val="none" w:sz="0" w:space="0" w:color="auto"/>
        <w:right w:val="none" w:sz="0" w:space="0" w:color="auto"/>
      </w:divBdr>
    </w:div>
    <w:div w:id="1262059347">
      <w:bodyDiv w:val="1"/>
      <w:marLeft w:val="0"/>
      <w:marRight w:val="0"/>
      <w:marTop w:val="0"/>
      <w:marBottom w:val="0"/>
      <w:divBdr>
        <w:top w:val="none" w:sz="0" w:space="0" w:color="auto"/>
        <w:left w:val="none" w:sz="0" w:space="0" w:color="auto"/>
        <w:bottom w:val="none" w:sz="0" w:space="0" w:color="auto"/>
        <w:right w:val="none" w:sz="0" w:space="0" w:color="auto"/>
      </w:divBdr>
      <w:divsChild>
        <w:div w:id="216551037">
          <w:marLeft w:val="0"/>
          <w:marRight w:val="0"/>
          <w:marTop w:val="0"/>
          <w:marBottom w:val="0"/>
          <w:divBdr>
            <w:top w:val="none" w:sz="0" w:space="0" w:color="auto"/>
            <w:left w:val="none" w:sz="0" w:space="0" w:color="auto"/>
            <w:bottom w:val="none" w:sz="0" w:space="0" w:color="auto"/>
            <w:right w:val="none" w:sz="0" w:space="0" w:color="auto"/>
          </w:divBdr>
        </w:div>
        <w:div w:id="712655849">
          <w:marLeft w:val="0"/>
          <w:marRight w:val="0"/>
          <w:marTop w:val="0"/>
          <w:marBottom w:val="0"/>
          <w:divBdr>
            <w:top w:val="none" w:sz="0" w:space="0" w:color="auto"/>
            <w:left w:val="none" w:sz="0" w:space="0" w:color="auto"/>
            <w:bottom w:val="none" w:sz="0" w:space="0" w:color="auto"/>
            <w:right w:val="none" w:sz="0" w:space="0" w:color="auto"/>
          </w:divBdr>
        </w:div>
      </w:divsChild>
    </w:div>
    <w:div w:id="1284193038">
      <w:bodyDiv w:val="1"/>
      <w:marLeft w:val="0"/>
      <w:marRight w:val="0"/>
      <w:marTop w:val="0"/>
      <w:marBottom w:val="0"/>
      <w:divBdr>
        <w:top w:val="none" w:sz="0" w:space="0" w:color="auto"/>
        <w:left w:val="none" w:sz="0" w:space="0" w:color="auto"/>
        <w:bottom w:val="none" w:sz="0" w:space="0" w:color="auto"/>
        <w:right w:val="none" w:sz="0" w:space="0" w:color="auto"/>
      </w:divBdr>
    </w:div>
    <w:div w:id="1315723072">
      <w:bodyDiv w:val="1"/>
      <w:marLeft w:val="0"/>
      <w:marRight w:val="0"/>
      <w:marTop w:val="0"/>
      <w:marBottom w:val="0"/>
      <w:divBdr>
        <w:top w:val="none" w:sz="0" w:space="0" w:color="auto"/>
        <w:left w:val="none" w:sz="0" w:space="0" w:color="auto"/>
        <w:bottom w:val="none" w:sz="0" w:space="0" w:color="auto"/>
        <w:right w:val="none" w:sz="0" w:space="0" w:color="auto"/>
      </w:divBdr>
      <w:divsChild>
        <w:div w:id="331223254">
          <w:marLeft w:val="0"/>
          <w:marRight w:val="0"/>
          <w:marTop w:val="0"/>
          <w:marBottom w:val="0"/>
          <w:divBdr>
            <w:top w:val="none" w:sz="0" w:space="0" w:color="auto"/>
            <w:left w:val="none" w:sz="0" w:space="0" w:color="auto"/>
            <w:bottom w:val="none" w:sz="0" w:space="0" w:color="auto"/>
            <w:right w:val="none" w:sz="0" w:space="0" w:color="auto"/>
          </w:divBdr>
        </w:div>
        <w:div w:id="2110003682">
          <w:marLeft w:val="0"/>
          <w:marRight w:val="0"/>
          <w:marTop w:val="0"/>
          <w:marBottom w:val="0"/>
          <w:divBdr>
            <w:top w:val="none" w:sz="0" w:space="0" w:color="auto"/>
            <w:left w:val="none" w:sz="0" w:space="0" w:color="auto"/>
            <w:bottom w:val="none" w:sz="0" w:space="0" w:color="auto"/>
            <w:right w:val="none" w:sz="0" w:space="0" w:color="auto"/>
          </w:divBdr>
        </w:div>
        <w:div w:id="161630546">
          <w:marLeft w:val="0"/>
          <w:marRight w:val="0"/>
          <w:marTop w:val="0"/>
          <w:marBottom w:val="0"/>
          <w:divBdr>
            <w:top w:val="none" w:sz="0" w:space="0" w:color="auto"/>
            <w:left w:val="none" w:sz="0" w:space="0" w:color="auto"/>
            <w:bottom w:val="none" w:sz="0" w:space="0" w:color="auto"/>
            <w:right w:val="none" w:sz="0" w:space="0" w:color="auto"/>
          </w:divBdr>
        </w:div>
        <w:div w:id="1801995879">
          <w:marLeft w:val="0"/>
          <w:marRight w:val="0"/>
          <w:marTop w:val="0"/>
          <w:marBottom w:val="0"/>
          <w:divBdr>
            <w:top w:val="none" w:sz="0" w:space="0" w:color="auto"/>
            <w:left w:val="none" w:sz="0" w:space="0" w:color="auto"/>
            <w:bottom w:val="none" w:sz="0" w:space="0" w:color="auto"/>
            <w:right w:val="none" w:sz="0" w:space="0" w:color="auto"/>
          </w:divBdr>
        </w:div>
        <w:div w:id="1881818266">
          <w:marLeft w:val="0"/>
          <w:marRight w:val="0"/>
          <w:marTop w:val="0"/>
          <w:marBottom w:val="0"/>
          <w:divBdr>
            <w:top w:val="none" w:sz="0" w:space="0" w:color="auto"/>
            <w:left w:val="none" w:sz="0" w:space="0" w:color="auto"/>
            <w:bottom w:val="none" w:sz="0" w:space="0" w:color="auto"/>
            <w:right w:val="none" w:sz="0" w:space="0" w:color="auto"/>
          </w:divBdr>
        </w:div>
        <w:div w:id="1980107234">
          <w:marLeft w:val="0"/>
          <w:marRight w:val="0"/>
          <w:marTop w:val="0"/>
          <w:marBottom w:val="0"/>
          <w:divBdr>
            <w:top w:val="none" w:sz="0" w:space="0" w:color="auto"/>
            <w:left w:val="none" w:sz="0" w:space="0" w:color="auto"/>
            <w:bottom w:val="none" w:sz="0" w:space="0" w:color="auto"/>
            <w:right w:val="none" w:sz="0" w:space="0" w:color="auto"/>
          </w:divBdr>
        </w:div>
        <w:div w:id="637733240">
          <w:marLeft w:val="0"/>
          <w:marRight w:val="0"/>
          <w:marTop w:val="0"/>
          <w:marBottom w:val="0"/>
          <w:divBdr>
            <w:top w:val="none" w:sz="0" w:space="0" w:color="auto"/>
            <w:left w:val="none" w:sz="0" w:space="0" w:color="auto"/>
            <w:bottom w:val="none" w:sz="0" w:space="0" w:color="auto"/>
            <w:right w:val="none" w:sz="0" w:space="0" w:color="auto"/>
          </w:divBdr>
        </w:div>
        <w:div w:id="1360274588">
          <w:marLeft w:val="0"/>
          <w:marRight w:val="0"/>
          <w:marTop w:val="0"/>
          <w:marBottom w:val="0"/>
          <w:divBdr>
            <w:top w:val="none" w:sz="0" w:space="0" w:color="auto"/>
            <w:left w:val="none" w:sz="0" w:space="0" w:color="auto"/>
            <w:bottom w:val="none" w:sz="0" w:space="0" w:color="auto"/>
            <w:right w:val="none" w:sz="0" w:space="0" w:color="auto"/>
          </w:divBdr>
        </w:div>
        <w:div w:id="2000842188">
          <w:marLeft w:val="0"/>
          <w:marRight w:val="0"/>
          <w:marTop w:val="0"/>
          <w:marBottom w:val="0"/>
          <w:divBdr>
            <w:top w:val="none" w:sz="0" w:space="0" w:color="auto"/>
            <w:left w:val="none" w:sz="0" w:space="0" w:color="auto"/>
            <w:bottom w:val="none" w:sz="0" w:space="0" w:color="auto"/>
            <w:right w:val="none" w:sz="0" w:space="0" w:color="auto"/>
          </w:divBdr>
        </w:div>
        <w:div w:id="1300843860">
          <w:marLeft w:val="0"/>
          <w:marRight w:val="0"/>
          <w:marTop w:val="0"/>
          <w:marBottom w:val="0"/>
          <w:divBdr>
            <w:top w:val="none" w:sz="0" w:space="0" w:color="auto"/>
            <w:left w:val="none" w:sz="0" w:space="0" w:color="auto"/>
            <w:bottom w:val="none" w:sz="0" w:space="0" w:color="auto"/>
            <w:right w:val="none" w:sz="0" w:space="0" w:color="auto"/>
          </w:divBdr>
        </w:div>
        <w:div w:id="847062657">
          <w:marLeft w:val="0"/>
          <w:marRight w:val="0"/>
          <w:marTop w:val="0"/>
          <w:marBottom w:val="0"/>
          <w:divBdr>
            <w:top w:val="none" w:sz="0" w:space="0" w:color="auto"/>
            <w:left w:val="none" w:sz="0" w:space="0" w:color="auto"/>
            <w:bottom w:val="none" w:sz="0" w:space="0" w:color="auto"/>
            <w:right w:val="none" w:sz="0" w:space="0" w:color="auto"/>
          </w:divBdr>
        </w:div>
        <w:div w:id="1172381366">
          <w:marLeft w:val="0"/>
          <w:marRight w:val="0"/>
          <w:marTop w:val="0"/>
          <w:marBottom w:val="0"/>
          <w:divBdr>
            <w:top w:val="none" w:sz="0" w:space="0" w:color="auto"/>
            <w:left w:val="none" w:sz="0" w:space="0" w:color="auto"/>
            <w:bottom w:val="none" w:sz="0" w:space="0" w:color="auto"/>
            <w:right w:val="none" w:sz="0" w:space="0" w:color="auto"/>
          </w:divBdr>
        </w:div>
        <w:div w:id="1214851856">
          <w:marLeft w:val="0"/>
          <w:marRight w:val="0"/>
          <w:marTop w:val="0"/>
          <w:marBottom w:val="0"/>
          <w:divBdr>
            <w:top w:val="none" w:sz="0" w:space="0" w:color="auto"/>
            <w:left w:val="none" w:sz="0" w:space="0" w:color="auto"/>
            <w:bottom w:val="none" w:sz="0" w:space="0" w:color="auto"/>
            <w:right w:val="none" w:sz="0" w:space="0" w:color="auto"/>
          </w:divBdr>
        </w:div>
        <w:div w:id="468716518">
          <w:marLeft w:val="0"/>
          <w:marRight w:val="0"/>
          <w:marTop w:val="0"/>
          <w:marBottom w:val="0"/>
          <w:divBdr>
            <w:top w:val="none" w:sz="0" w:space="0" w:color="auto"/>
            <w:left w:val="none" w:sz="0" w:space="0" w:color="auto"/>
            <w:bottom w:val="none" w:sz="0" w:space="0" w:color="auto"/>
            <w:right w:val="none" w:sz="0" w:space="0" w:color="auto"/>
          </w:divBdr>
        </w:div>
        <w:div w:id="1924025938">
          <w:marLeft w:val="0"/>
          <w:marRight w:val="0"/>
          <w:marTop w:val="0"/>
          <w:marBottom w:val="0"/>
          <w:divBdr>
            <w:top w:val="none" w:sz="0" w:space="0" w:color="auto"/>
            <w:left w:val="none" w:sz="0" w:space="0" w:color="auto"/>
            <w:bottom w:val="none" w:sz="0" w:space="0" w:color="auto"/>
            <w:right w:val="none" w:sz="0" w:space="0" w:color="auto"/>
          </w:divBdr>
        </w:div>
      </w:divsChild>
    </w:div>
    <w:div w:id="1369262189">
      <w:bodyDiv w:val="1"/>
      <w:marLeft w:val="0"/>
      <w:marRight w:val="0"/>
      <w:marTop w:val="0"/>
      <w:marBottom w:val="0"/>
      <w:divBdr>
        <w:top w:val="none" w:sz="0" w:space="0" w:color="auto"/>
        <w:left w:val="none" w:sz="0" w:space="0" w:color="auto"/>
        <w:bottom w:val="none" w:sz="0" w:space="0" w:color="auto"/>
        <w:right w:val="none" w:sz="0" w:space="0" w:color="auto"/>
      </w:divBdr>
      <w:divsChild>
        <w:div w:id="535779167">
          <w:marLeft w:val="0"/>
          <w:marRight w:val="0"/>
          <w:marTop w:val="0"/>
          <w:marBottom w:val="0"/>
          <w:divBdr>
            <w:top w:val="none" w:sz="0" w:space="0" w:color="auto"/>
            <w:left w:val="none" w:sz="0" w:space="0" w:color="auto"/>
            <w:bottom w:val="none" w:sz="0" w:space="0" w:color="auto"/>
            <w:right w:val="none" w:sz="0" w:space="0" w:color="auto"/>
          </w:divBdr>
        </w:div>
        <w:div w:id="2045517374">
          <w:marLeft w:val="0"/>
          <w:marRight w:val="0"/>
          <w:marTop w:val="0"/>
          <w:marBottom w:val="0"/>
          <w:divBdr>
            <w:top w:val="none" w:sz="0" w:space="0" w:color="auto"/>
            <w:left w:val="none" w:sz="0" w:space="0" w:color="auto"/>
            <w:bottom w:val="none" w:sz="0" w:space="0" w:color="auto"/>
            <w:right w:val="none" w:sz="0" w:space="0" w:color="auto"/>
          </w:divBdr>
        </w:div>
      </w:divsChild>
    </w:div>
    <w:div w:id="1371766038">
      <w:bodyDiv w:val="1"/>
      <w:marLeft w:val="0"/>
      <w:marRight w:val="0"/>
      <w:marTop w:val="0"/>
      <w:marBottom w:val="0"/>
      <w:divBdr>
        <w:top w:val="none" w:sz="0" w:space="0" w:color="auto"/>
        <w:left w:val="none" w:sz="0" w:space="0" w:color="auto"/>
        <w:bottom w:val="none" w:sz="0" w:space="0" w:color="auto"/>
        <w:right w:val="none" w:sz="0" w:space="0" w:color="auto"/>
      </w:divBdr>
    </w:div>
    <w:div w:id="1373267105">
      <w:bodyDiv w:val="1"/>
      <w:marLeft w:val="0"/>
      <w:marRight w:val="0"/>
      <w:marTop w:val="0"/>
      <w:marBottom w:val="0"/>
      <w:divBdr>
        <w:top w:val="none" w:sz="0" w:space="0" w:color="auto"/>
        <w:left w:val="none" w:sz="0" w:space="0" w:color="auto"/>
        <w:bottom w:val="none" w:sz="0" w:space="0" w:color="auto"/>
        <w:right w:val="none" w:sz="0" w:space="0" w:color="auto"/>
      </w:divBdr>
    </w:div>
    <w:div w:id="1375932999">
      <w:bodyDiv w:val="1"/>
      <w:marLeft w:val="0"/>
      <w:marRight w:val="0"/>
      <w:marTop w:val="0"/>
      <w:marBottom w:val="0"/>
      <w:divBdr>
        <w:top w:val="none" w:sz="0" w:space="0" w:color="auto"/>
        <w:left w:val="none" w:sz="0" w:space="0" w:color="auto"/>
        <w:bottom w:val="none" w:sz="0" w:space="0" w:color="auto"/>
        <w:right w:val="none" w:sz="0" w:space="0" w:color="auto"/>
      </w:divBdr>
      <w:divsChild>
        <w:div w:id="1601135694">
          <w:marLeft w:val="0"/>
          <w:marRight w:val="0"/>
          <w:marTop w:val="0"/>
          <w:marBottom w:val="0"/>
          <w:divBdr>
            <w:top w:val="none" w:sz="0" w:space="0" w:color="auto"/>
            <w:left w:val="none" w:sz="0" w:space="0" w:color="auto"/>
            <w:bottom w:val="none" w:sz="0" w:space="0" w:color="auto"/>
            <w:right w:val="none" w:sz="0" w:space="0" w:color="auto"/>
          </w:divBdr>
        </w:div>
        <w:div w:id="736517020">
          <w:marLeft w:val="0"/>
          <w:marRight w:val="0"/>
          <w:marTop w:val="0"/>
          <w:marBottom w:val="0"/>
          <w:divBdr>
            <w:top w:val="none" w:sz="0" w:space="0" w:color="auto"/>
            <w:left w:val="none" w:sz="0" w:space="0" w:color="auto"/>
            <w:bottom w:val="none" w:sz="0" w:space="0" w:color="auto"/>
            <w:right w:val="none" w:sz="0" w:space="0" w:color="auto"/>
          </w:divBdr>
        </w:div>
        <w:div w:id="9383207">
          <w:marLeft w:val="0"/>
          <w:marRight w:val="0"/>
          <w:marTop w:val="0"/>
          <w:marBottom w:val="0"/>
          <w:divBdr>
            <w:top w:val="none" w:sz="0" w:space="0" w:color="auto"/>
            <w:left w:val="none" w:sz="0" w:space="0" w:color="auto"/>
            <w:bottom w:val="none" w:sz="0" w:space="0" w:color="auto"/>
            <w:right w:val="none" w:sz="0" w:space="0" w:color="auto"/>
          </w:divBdr>
        </w:div>
      </w:divsChild>
    </w:div>
    <w:div w:id="1424447304">
      <w:bodyDiv w:val="1"/>
      <w:marLeft w:val="0"/>
      <w:marRight w:val="0"/>
      <w:marTop w:val="0"/>
      <w:marBottom w:val="0"/>
      <w:divBdr>
        <w:top w:val="none" w:sz="0" w:space="0" w:color="auto"/>
        <w:left w:val="none" w:sz="0" w:space="0" w:color="auto"/>
        <w:bottom w:val="none" w:sz="0" w:space="0" w:color="auto"/>
        <w:right w:val="none" w:sz="0" w:space="0" w:color="auto"/>
      </w:divBdr>
      <w:divsChild>
        <w:div w:id="1847741186">
          <w:marLeft w:val="0"/>
          <w:marRight w:val="0"/>
          <w:marTop w:val="0"/>
          <w:marBottom w:val="0"/>
          <w:divBdr>
            <w:top w:val="none" w:sz="0" w:space="0" w:color="auto"/>
            <w:left w:val="none" w:sz="0" w:space="0" w:color="auto"/>
            <w:bottom w:val="none" w:sz="0" w:space="0" w:color="auto"/>
            <w:right w:val="none" w:sz="0" w:space="0" w:color="auto"/>
          </w:divBdr>
        </w:div>
        <w:div w:id="672535340">
          <w:marLeft w:val="0"/>
          <w:marRight w:val="0"/>
          <w:marTop w:val="0"/>
          <w:marBottom w:val="0"/>
          <w:divBdr>
            <w:top w:val="none" w:sz="0" w:space="0" w:color="auto"/>
            <w:left w:val="none" w:sz="0" w:space="0" w:color="auto"/>
            <w:bottom w:val="none" w:sz="0" w:space="0" w:color="auto"/>
            <w:right w:val="none" w:sz="0" w:space="0" w:color="auto"/>
          </w:divBdr>
        </w:div>
        <w:div w:id="294531514">
          <w:marLeft w:val="0"/>
          <w:marRight w:val="0"/>
          <w:marTop w:val="0"/>
          <w:marBottom w:val="0"/>
          <w:divBdr>
            <w:top w:val="none" w:sz="0" w:space="0" w:color="auto"/>
            <w:left w:val="none" w:sz="0" w:space="0" w:color="auto"/>
            <w:bottom w:val="none" w:sz="0" w:space="0" w:color="auto"/>
            <w:right w:val="none" w:sz="0" w:space="0" w:color="auto"/>
          </w:divBdr>
        </w:div>
        <w:div w:id="1179006940">
          <w:marLeft w:val="0"/>
          <w:marRight w:val="0"/>
          <w:marTop w:val="0"/>
          <w:marBottom w:val="0"/>
          <w:divBdr>
            <w:top w:val="none" w:sz="0" w:space="0" w:color="auto"/>
            <w:left w:val="none" w:sz="0" w:space="0" w:color="auto"/>
            <w:bottom w:val="none" w:sz="0" w:space="0" w:color="auto"/>
            <w:right w:val="none" w:sz="0" w:space="0" w:color="auto"/>
          </w:divBdr>
        </w:div>
        <w:div w:id="465856600">
          <w:marLeft w:val="0"/>
          <w:marRight w:val="0"/>
          <w:marTop w:val="0"/>
          <w:marBottom w:val="0"/>
          <w:divBdr>
            <w:top w:val="none" w:sz="0" w:space="0" w:color="auto"/>
            <w:left w:val="none" w:sz="0" w:space="0" w:color="auto"/>
            <w:bottom w:val="none" w:sz="0" w:space="0" w:color="auto"/>
            <w:right w:val="none" w:sz="0" w:space="0" w:color="auto"/>
          </w:divBdr>
        </w:div>
        <w:div w:id="302808641">
          <w:marLeft w:val="0"/>
          <w:marRight w:val="0"/>
          <w:marTop w:val="0"/>
          <w:marBottom w:val="0"/>
          <w:divBdr>
            <w:top w:val="none" w:sz="0" w:space="0" w:color="auto"/>
            <w:left w:val="none" w:sz="0" w:space="0" w:color="auto"/>
            <w:bottom w:val="none" w:sz="0" w:space="0" w:color="auto"/>
            <w:right w:val="none" w:sz="0" w:space="0" w:color="auto"/>
          </w:divBdr>
        </w:div>
        <w:div w:id="1034306032">
          <w:marLeft w:val="0"/>
          <w:marRight w:val="0"/>
          <w:marTop w:val="0"/>
          <w:marBottom w:val="0"/>
          <w:divBdr>
            <w:top w:val="none" w:sz="0" w:space="0" w:color="auto"/>
            <w:left w:val="none" w:sz="0" w:space="0" w:color="auto"/>
            <w:bottom w:val="none" w:sz="0" w:space="0" w:color="auto"/>
            <w:right w:val="none" w:sz="0" w:space="0" w:color="auto"/>
          </w:divBdr>
        </w:div>
        <w:div w:id="1073969686">
          <w:marLeft w:val="0"/>
          <w:marRight w:val="0"/>
          <w:marTop w:val="0"/>
          <w:marBottom w:val="0"/>
          <w:divBdr>
            <w:top w:val="none" w:sz="0" w:space="0" w:color="auto"/>
            <w:left w:val="none" w:sz="0" w:space="0" w:color="auto"/>
            <w:bottom w:val="none" w:sz="0" w:space="0" w:color="auto"/>
            <w:right w:val="none" w:sz="0" w:space="0" w:color="auto"/>
          </w:divBdr>
        </w:div>
        <w:div w:id="1012877959">
          <w:marLeft w:val="0"/>
          <w:marRight w:val="0"/>
          <w:marTop w:val="0"/>
          <w:marBottom w:val="0"/>
          <w:divBdr>
            <w:top w:val="none" w:sz="0" w:space="0" w:color="auto"/>
            <w:left w:val="none" w:sz="0" w:space="0" w:color="auto"/>
            <w:bottom w:val="none" w:sz="0" w:space="0" w:color="auto"/>
            <w:right w:val="none" w:sz="0" w:space="0" w:color="auto"/>
          </w:divBdr>
        </w:div>
        <w:div w:id="900756063">
          <w:marLeft w:val="0"/>
          <w:marRight w:val="0"/>
          <w:marTop w:val="0"/>
          <w:marBottom w:val="0"/>
          <w:divBdr>
            <w:top w:val="none" w:sz="0" w:space="0" w:color="auto"/>
            <w:left w:val="none" w:sz="0" w:space="0" w:color="auto"/>
            <w:bottom w:val="none" w:sz="0" w:space="0" w:color="auto"/>
            <w:right w:val="none" w:sz="0" w:space="0" w:color="auto"/>
          </w:divBdr>
        </w:div>
      </w:divsChild>
    </w:div>
    <w:div w:id="1459567005">
      <w:bodyDiv w:val="1"/>
      <w:marLeft w:val="0"/>
      <w:marRight w:val="0"/>
      <w:marTop w:val="0"/>
      <w:marBottom w:val="0"/>
      <w:divBdr>
        <w:top w:val="none" w:sz="0" w:space="0" w:color="auto"/>
        <w:left w:val="none" w:sz="0" w:space="0" w:color="auto"/>
        <w:bottom w:val="none" w:sz="0" w:space="0" w:color="auto"/>
        <w:right w:val="none" w:sz="0" w:space="0" w:color="auto"/>
      </w:divBdr>
    </w:div>
    <w:div w:id="1465654917">
      <w:bodyDiv w:val="1"/>
      <w:marLeft w:val="0"/>
      <w:marRight w:val="0"/>
      <w:marTop w:val="0"/>
      <w:marBottom w:val="0"/>
      <w:divBdr>
        <w:top w:val="none" w:sz="0" w:space="0" w:color="auto"/>
        <w:left w:val="none" w:sz="0" w:space="0" w:color="auto"/>
        <w:bottom w:val="none" w:sz="0" w:space="0" w:color="auto"/>
        <w:right w:val="none" w:sz="0" w:space="0" w:color="auto"/>
      </w:divBdr>
    </w:div>
    <w:div w:id="1556507593">
      <w:bodyDiv w:val="1"/>
      <w:marLeft w:val="0"/>
      <w:marRight w:val="0"/>
      <w:marTop w:val="0"/>
      <w:marBottom w:val="0"/>
      <w:divBdr>
        <w:top w:val="none" w:sz="0" w:space="0" w:color="auto"/>
        <w:left w:val="none" w:sz="0" w:space="0" w:color="auto"/>
        <w:bottom w:val="none" w:sz="0" w:space="0" w:color="auto"/>
        <w:right w:val="none" w:sz="0" w:space="0" w:color="auto"/>
      </w:divBdr>
    </w:div>
    <w:div w:id="1572537954">
      <w:bodyDiv w:val="1"/>
      <w:marLeft w:val="0"/>
      <w:marRight w:val="0"/>
      <w:marTop w:val="0"/>
      <w:marBottom w:val="0"/>
      <w:divBdr>
        <w:top w:val="none" w:sz="0" w:space="0" w:color="auto"/>
        <w:left w:val="none" w:sz="0" w:space="0" w:color="auto"/>
        <w:bottom w:val="none" w:sz="0" w:space="0" w:color="auto"/>
        <w:right w:val="none" w:sz="0" w:space="0" w:color="auto"/>
      </w:divBdr>
    </w:div>
    <w:div w:id="1572619379">
      <w:bodyDiv w:val="1"/>
      <w:marLeft w:val="0"/>
      <w:marRight w:val="0"/>
      <w:marTop w:val="0"/>
      <w:marBottom w:val="0"/>
      <w:divBdr>
        <w:top w:val="none" w:sz="0" w:space="0" w:color="auto"/>
        <w:left w:val="none" w:sz="0" w:space="0" w:color="auto"/>
        <w:bottom w:val="none" w:sz="0" w:space="0" w:color="auto"/>
        <w:right w:val="none" w:sz="0" w:space="0" w:color="auto"/>
      </w:divBdr>
      <w:divsChild>
        <w:div w:id="123810922">
          <w:marLeft w:val="0"/>
          <w:marRight w:val="0"/>
          <w:marTop w:val="0"/>
          <w:marBottom w:val="0"/>
          <w:divBdr>
            <w:top w:val="none" w:sz="0" w:space="0" w:color="auto"/>
            <w:left w:val="none" w:sz="0" w:space="0" w:color="auto"/>
            <w:bottom w:val="none" w:sz="0" w:space="0" w:color="auto"/>
            <w:right w:val="none" w:sz="0" w:space="0" w:color="auto"/>
          </w:divBdr>
        </w:div>
        <w:div w:id="1311908639">
          <w:marLeft w:val="0"/>
          <w:marRight w:val="0"/>
          <w:marTop w:val="0"/>
          <w:marBottom w:val="0"/>
          <w:divBdr>
            <w:top w:val="none" w:sz="0" w:space="0" w:color="auto"/>
            <w:left w:val="none" w:sz="0" w:space="0" w:color="auto"/>
            <w:bottom w:val="none" w:sz="0" w:space="0" w:color="auto"/>
            <w:right w:val="none" w:sz="0" w:space="0" w:color="auto"/>
          </w:divBdr>
        </w:div>
        <w:div w:id="1703287487">
          <w:marLeft w:val="0"/>
          <w:marRight w:val="0"/>
          <w:marTop w:val="0"/>
          <w:marBottom w:val="0"/>
          <w:divBdr>
            <w:top w:val="none" w:sz="0" w:space="0" w:color="auto"/>
            <w:left w:val="none" w:sz="0" w:space="0" w:color="auto"/>
            <w:bottom w:val="none" w:sz="0" w:space="0" w:color="auto"/>
            <w:right w:val="none" w:sz="0" w:space="0" w:color="auto"/>
          </w:divBdr>
        </w:div>
        <w:div w:id="382144751">
          <w:marLeft w:val="0"/>
          <w:marRight w:val="0"/>
          <w:marTop w:val="0"/>
          <w:marBottom w:val="0"/>
          <w:divBdr>
            <w:top w:val="none" w:sz="0" w:space="0" w:color="auto"/>
            <w:left w:val="none" w:sz="0" w:space="0" w:color="auto"/>
            <w:bottom w:val="none" w:sz="0" w:space="0" w:color="auto"/>
            <w:right w:val="none" w:sz="0" w:space="0" w:color="auto"/>
          </w:divBdr>
        </w:div>
        <w:div w:id="725029941">
          <w:marLeft w:val="0"/>
          <w:marRight w:val="0"/>
          <w:marTop w:val="0"/>
          <w:marBottom w:val="0"/>
          <w:divBdr>
            <w:top w:val="none" w:sz="0" w:space="0" w:color="auto"/>
            <w:left w:val="none" w:sz="0" w:space="0" w:color="auto"/>
            <w:bottom w:val="none" w:sz="0" w:space="0" w:color="auto"/>
            <w:right w:val="none" w:sz="0" w:space="0" w:color="auto"/>
          </w:divBdr>
        </w:div>
        <w:div w:id="1003094414">
          <w:marLeft w:val="0"/>
          <w:marRight w:val="0"/>
          <w:marTop w:val="0"/>
          <w:marBottom w:val="0"/>
          <w:divBdr>
            <w:top w:val="none" w:sz="0" w:space="0" w:color="auto"/>
            <w:left w:val="none" w:sz="0" w:space="0" w:color="auto"/>
            <w:bottom w:val="none" w:sz="0" w:space="0" w:color="auto"/>
            <w:right w:val="none" w:sz="0" w:space="0" w:color="auto"/>
          </w:divBdr>
        </w:div>
        <w:div w:id="929431602">
          <w:marLeft w:val="0"/>
          <w:marRight w:val="0"/>
          <w:marTop w:val="0"/>
          <w:marBottom w:val="0"/>
          <w:divBdr>
            <w:top w:val="none" w:sz="0" w:space="0" w:color="auto"/>
            <w:left w:val="none" w:sz="0" w:space="0" w:color="auto"/>
            <w:bottom w:val="none" w:sz="0" w:space="0" w:color="auto"/>
            <w:right w:val="none" w:sz="0" w:space="0" w:color="auto"/>
          </w:divBdr>
        </w:div>
        <w:div w:id="100149511">
          <w:marLeft w:val="0"/>
          <w:marRight w:val="0"/>
          <w:marTop w:val="0"/>
          <w:marBottom w:val="0"/>
          <w:divBdr>
            <w:top w:val="none" w:sz="0" w:space="0" w:color="auto"/>
            <w:left w:val="none" w:sz="0" w:space="0" w:color="auto"/>
            <w:bottom w:val="none" w:sz="0" w:space="0" w:color="auto"/>
            <w:right w:val="none" w:sz="0" w:space="0" w:color="auto"/>
          </w:divBdr>
        </w:div>
        <w:div w:id="2112360449">
          <w:marLeft w:val="0"/>
          <w:marRight w:val="0"/>
          <w:marTop w:val="0"/>
          <w:marBottom w:val="0"/>
          <w:divBdr>
            <w:top w:val="none" w:sz="0" w:space="0" w:color="auto"/>
            <w:left w:val="none" w:sz="0" w:space="0" w:color="auto"/>
            <w:bottom w:val="none" w:sz="0" w:space="0" w:color="auto"/>
            <w:right w:val="none" w:sz="0" w:space="0" w:color="auto"/>
          </w:divBdr>
        </w:div>
        <w:div w:id="1935438355">
          <w:marLeft w:val="0"/>
          <w:marRight w:val="0"/>
          <w:marTop w:val="0"/>
          <w:marBottom w:val="0"/>
          <w:divBdr>
            <w:top w:val="none" w:sz="0" w:space="0" w:color="auto"/>
            <w:left w:val="none" w:sz="0" w:space="0" w:color="auto"/>
            <w:bottom w:val="none" w:sz="0" w:space="0" w:color="auto"/>
            <w:right w:val="none" w:sz="0" w:space="0" w:color="auto"/>
          </w:divBdr>
        </w:div>
      </w:divsChild>
    </w:div>
    <w:div w:id="1656494129">
      <w:bodyDiv w:val="1"/>
      <w:marLeft w:val="0"/>
      <w:marRight w:val="0"/>
      <w:marTop w:val="0"/>
      <w:marBottom w:val="0"/>
      <w:divBdr>
        <w:top w:val="none" w:sz="0" w:space="0" w:color="auto"/>
        <w:left w:val="none" w:sz="0" w:space="0" w:color="auto"/>
        <w:bottom w:val="none" w:sz="0" w:space="0" w:color="auto"/>
        <w:right w:val="none" w:sz="0" w:space="0" w:color="auto"/>
      </w:divBdr>
    </w:div>
    <w:div w:id="1715234313">
      <w:bodyDiv w:val="1"/>
      <w:marLeft w:val="0"/>
      <w:marRight w:val="0"/>
      <w:marTop w:val="0"/>
      <w:marBottom w:val="0"/>
      <w:divBdr>
        <w:top w:val="none" w:sz="0" w:space="0" w:color="auto"/>
        <w:left w:val="none" w:sz="0" w:space="0" w:color="auto"/>
        <w:bottom w:val="none" w:sz="0" w:space="0" w:color="auto"/>
        <w:right w:val="none" w:sz="0" w:space="0" w:color="auto"/>
      </w:divBdr>
    </w:div>
    <w:div w:id="1727951157">
      <w:bodyDiv w:val="1"/>
      <w:marLeft w:val="0"/>
      <w:marRight w:val="0"/>
      <w:marTop w:val="0"/>
      <w:marBottom w:val="0"/>
      <w:divBdr>
        <w:top w:val="none" w:sz="0" w:space="0" w:color="auto"/>
        <w:left w:val="none" w:sz="0" w:space="0" w:color="auto"/>
        <w:bottom w:val="none" w:sz="0" w:space="0" w:color="auto"/>
        <w:right w:val="none" w:sz="0" w:space="0" w:color="auto"/>
      </w:divBdr>
      <w:divsChild>
        <w:div w:id="2003580894">
          <w:marLeft w:val="0"/>
          <w:marRight w:val="0"/>
          <w:marTop w:val="0"/>
          <w:marBottom w:val="0"/>
          <w:divBdr>
            <w:top w:val="none" w:sz="0" w:space="0" w:color="auto"/>
            <w:left w:val="none" w:sz="0" w:space="0" w:color="auto"/>
            <w:bottom w:val="none" w:sz="0" w:space="0" w:color="auto"/>
            <w:right w:val="none" w:sz="0" w:space="0" w:color="auto"/>
          </w:divBdr>
        </w:div>
        <w:div w:id="1457140762">
          <w:marLeft w:val="0"/>
          <w:marRight w:val="0"/>
          <w:marTop w:val="0"/>
          <w:marBottom w:val="0"/>
          <w:divBdr>
            <w:top w:val="none" w:sz="0" w:space="0" w:color="auto"/>
            <w:left w:val="none" w:sz="0" w:space="0" w:color="auto"/>
            <w:bottom w:val="none" w:sz="0" w:space="0" w:color="auto"/>
            <w:right w:val="none" w:sz="0" w:space="0" w:color="auto"/>
          </w:divBdr>
        </w:div>
      </w:divsChild>
    </w:div>
    <w:div w:id="1778257811">
      <w:bodyDiv w:val="1"/>
      <w:marLeft w:val="0"/>
      <w:marRight w:val="0"/>
      <w:marTop w:val="0"/>
      <w:marBottom w:val="0"/>
      <w:divBdr>
        <w:top w:val="none" w:sz="0" w:space="0" w:color="auto"/>
        <w:left w:val="none" w:sz="0" w:space="0" w:color="auto"/>
        <w:bottom w:val="none" w:sz="0" w:space="0" w:color="auto"/>
        <w:right w:val="none" w:sz="0" w:space="0" w:color="auto"/>
      </w:divBdr>
    </w:div>
    <w:div w:id="1788429948">
      <w:bodyDiv w:val="1"/>
      <w:marLeft w:val="0"/>
      <w:marRight w:val="0"/>
      <w:marTop w:val="0"/>
      <w:marBottom w:val="0"/>
      <w:divBdr>
        <w:top w:val="none" w:sz="0" w:space="0" w:color="auto"/>
        <w:left w:val="none" w:sz="0" w:space="0" w:color="auto"/>
        <w:bottom w:val="none" w:sz="0" w:space="0" w:color="auto"/>
        <w:right w:val="none" w:sz="0" w:space="0" w:color="auto"/>
      </w:divBdr>
    </w:div>
    <w:div w:id="1792168598">
      <w:bodyDiv w:val="1"/>
      <w:marLeft w:val="0"/>
      <w:marRight w:val="0"/>
      <w:marTop w:val="0"/>
      <w:marBottom w:val="0"/>
      <w:divBdr>
        <w:top w:val="none" w:sz="0" w:space="0" w:color="auto"/>
        <w:left w:val="none" w:sz="0" w:space="0" w:color="auto"/>
        <w:bottom w:val="none" w:sz="0" w:space="0" w:color="auto"/>
        <w:right w:val="none" w:sz="0" w:space="0" w:color="auto"/>
      </w:divBdr>
    </w:div>
    <w:div w:id="1829706757">
      <w:bodyDiv w:val="1"/>
      <w:marLeft w:val="0"/>
      <w:marRight w:val="0"/>
      <w:marTop w:val="0"/>
      <w:marBottom w:val="0"/>
      <w:divBdr>
        <w:top w:val="none" w:sz="0" w:space="0" w:color="auto"/>
        <w:left w:val="none" w:sz="0" w:space="0" w:color="auto"/>
        <w:bottom w:val="none" w:sz="0" w:space="0" w:color="auto"/>
        <w:right w:val="none" w:sz="0" w:space="0" w:color="auto"/>
      </w:divBdr>
    </w:div>
    <w:div w:id="1833519556">
      <w:bodyDiv w:val="1"/>
      <w:marLeft w:val="0"/>
      <w:marRight w:val="0"/>
      <w:marTop w:val="0"/>
      <w:marBottom w:val="0"/>
      <w:divBdr>
        <w:top w:val="none" w:sz="0" w:space="0" w:color="auto"/>
        <w:left w:val="none" w:sz="0" w:space="0" w:color="auto"/>
        <w:bottom w:val="none" w:sz="0" w:space="0" w:color="auto"/>
        <w:right w:val="none" w:sz="0" w:space="0" w:color="auto"/>
      </w:divBdr>
    </w:div>
    <w:div w:id="1919753018">
      <w:bodyDiv w:val="1"/>
      <w:marLeft w:val="0"/>
      <w:marRight w:val="0"/>
      <w:marTop w:val="0"/>
      <w:marBottom w:val="0"/>
      <w:divBdr>
        <w:top w:val="none" w:sz="0" w:space="0" w:color="auto"/>
        <w:left w:val="none" w:sz="0" w:space="0" w:color="auto"/>
        <w:bottom w:val="none" w:sz="0" w:space="0" w:color="auto"/>
        <w:right w:val="none" w:sz="0" w:space="0" w:color="auto"/>
      </w:divBdr>
    </w:div>
    <w:div w:id="1927810085">
      <w:bodyDiv w:val="1"/>
      <w:marLeft w:val="0"/>
      <w:marRight w:val="0"/>
      <w:marTop w:val="0"/>
      <w:marBottom w:val="0"/>
      <w:divBdr>
        <w:top w:val="none" w:sz="0" w:space="0" w:color="auto"/>
        <w:left w:val="none" w:sz="0" w:space="0" w:color="auto"/>
        <w:bottom w:val="none" w:sz="0" w:space="0" w:color="auto"/>
        <w:right w:val="none" w:sz="0" w:space="0" w:color="auto"/>
      </w:divBdr>
      <w:divsChild>
        <w:div w:id="542719804">
          <w:marLeft w:val="0"/>
          <w:marRight w:val="0"/>
          <w:marTop w:val="0"/>
          <w:marBottom w:val="0"/>
          <w:divBdr>
            <w:top w:val="none" w:sz="0" w:space="0" w:color="auto"/>
            <w:left w:val="none" w:sz="0" w:space="0" w:color="auto"/>
            <w:bottom w:val="none" w:sz="0" w:space="0" w:color="auto"/>
            <w:right w:val="none" w:sz="0" w:space="0" w:color="auto"/>
          </w:divBdr>
        </w:div>
        <w:div w:id="93597586">
          <w:marLeft w:val="0"/>
          <w:marRight w:val="0"/>
          <w:marTop w:val="0"/>
          <w:marBottom w:val="0"/>
          <w:divBdr>
            <w:top w:val="none" w:sz="0" w:space="0" w:color="auto"/>
            <w:left w:val="none" w:sz="0" w:space="0" w:color="auto"/>
            <w:bottom w:val="none" w:sz="0" w:space="0" w:color="auto"/>
            <w:right w:val="none" w:sz="0" w:space="0" w:color="auto"/>
          </w:divBdr>
        </w:div>
        <w:div w:id="2033648612">
          <w:marLeft w:val="0"/>
          <w:marRight w:val="0"/>
          <w:marTop w:val="0"/>
          <w:marBottom w:val="0"/>
          <w:divBdr>
            <w:top w:val="none" w:sz="0" w:space="0" w:color="auto"/>
            <w:left w:val="none" w:sz="0" w:space="0" w:color="auto"/>
            <w:bottom w:val="none" w:sz="0" w:space="0" w:color="auto"/>
            <w:right w:val="none" w:sz="0" w:space="0" w:color="auto"/>
          </w:divBdr>
        </w:div>
        <w:div w:id="1405958348">
          <w:marLeft w:val="0"/>
          <w:marRight w:val="0"/>
          <w:marTop w:val="0"/>
          <w:marBottom w:val="0"/>
          <w:divBdr>
            <w:top w:val="none" w:sz="0" w:space="0" w:color="auto"/>
            <w:left w:val="none" w:sz="0" w:space="0" w:color="auto"/>
            <w:bottom w:val="none" w:sz="0" w:space="0" w:color="auto"/>
            <w:right w:val="none" w:sz="0" w:space="0" w:color="auto"/>
          </w:divBdr>
        </w:div>
      </w:divsChild>
    </w:div>
    <w:div w:id="1930888029">
      <w:bodyDiv w:val="1"/>
      <w:marLeft w:val="0"/>
      <w:marRight w:val="0"/>
      <w:marTop w:val="0"/>
      <w:marBottom w:val="0"/>
      <w:divBdr>
        <w:top w:val="none" w:sz="0" w:space="0" w:color="auto"/>
        <w:left w:val="none" w:sz="0" w:space="0" w:color="auto"/>
        <w:bottom w:val="none" w:sz="0" w:space="0" w:color="auto"/>
        <w:right w:val="none" w:sz="0" w:space="0" w:color="auto"/>
      </w:divBdr>
      <w:divsChild>
        <w:div w:id="294725015">
          <w:marLeft w:val="0"/>
          <w:marRight w:val="0"/>
          <w:marTop w:val="0"/>
          <w:marBottom w:val="0"/>
          <w:divBdr>
            <w:top w:val="none" w:sz="0" w:space="0" w:color="auto"/>
            <w:left w:val="none" w:sz="0" w:space="0" w:color="auto"/>
            <w:bottom w:val="none" w:sz="0" w:space="0" w:color="auto"/>
            <w:right w:val="none" w:sz="0" w:space="0" w:color="auto"/>
          </w:divBdr>
        </w:div>
        <w:div w:id="501431517">
          <w:marLeft w:val="0"/>
          <w:marRight w:val="0"/>
          <w:marTop w:val="0"/>
          <w:marBottom w:val="0"/>
          <w:divBdr>
            <w:top w:val="none" w:sz="0" w:space="0" w:color="auto"/>
            <w:left w:val="none" w:sz="0" w:space="0" w:color="auto"/>
            <w:bottom w:val="none" w:sz="0" w:space="0" w:color="auto"/>
            <w:right w:val="none" w:sz="0" w:space="0" w:color="auto"/>
          </w:divBdr>
        </w:div>
      </w:divsChild>
    </w:div>
    <w:div w:id="1962572056">
      <w:bodyDiv w:val="1"/>
      <w:marLeft w:val="0"/>
      <w:marRight w:val="0"/>
      <w:marTop w:val="0"/>
      <w:marBottom w:val="0"/>
      <w:divBdr>
        <w:top w:val="none" w:sz="0" w:space="0" w:color="auto"/>
        <w:left w:val="none" w:sz="0" w:space="0" w:color="auto"/>
        <w:bottom w:val="none" w:sz="0" w:space="0" w:color="auto"/>
        <w:right w:val="none" w:sz="0" w:space="0" w:color="auto"/>
      </w:divBdr>
    </w:div>
    <w:div w:id="1999921136">
      <w:bodyDiv w:val="1"/>
      <w:marLeft w:val="0"/>
      <w:marRight w:val="0"/>
      <w:marTop w:val="0"/>
      <w:marBottom w:val="0"/>
      <w:divBdr>
        <w:top w:val="none" w:sz="0" w:space="0" w:color="auto"/>
        <w:left w:val="none" w:sz="0" w:space="0" w:color="auto"/>
        <w:bottom w:val="none" w:sz="0" w:space="0" w:color="auto"/>
        <w:right w:val="none" w:sz="0" w:space="0" w:color="auto"/>
      </w:divBdr>
      <w:divsChild>
        <w:div w:id="2062047053">
          <w:marLeft w:val="0"/>
          <w:marRight w:val="0"/>
          <w:marTop w:val="0"/>
          <w:marBottom w:val="0"/>
          <w:divBdr>
            <w:top w:val="none" w:sz="0" w:space="0" w:color="auto"/>
            <w:left w:val="none" w:sz="0" w:space="0" w:color="auto"/>
            <w:bottom w:val="none" w:sz="0" w:space="0" w:color="auto"/>
            <w:right w:val="none" w:sz="0" w:space="0" w:color="auto"/>
          </w:divBdr>
        </w:div>
        <w:div w:id="1490443346">
          <w:marLeft w:val="0"/>
          <w:marRight w:val="0"/>
          <w:marTop w:val="0"/>
          <w:marBottom w:val="0"/>
          <w:divBdr>
            <w:top w:val="none" w:sz="0" w:space="0" w:color="auto"/>
            <w:left w:val="none" w:sz="0" w:space="0" w:color="auto"/>
            <w:bottom w:val="none" w:sz="0" w:space="0" w:color="auto"/>
            <w:right w:val="none" w:sz="0" w:space="0" w:color="auto"/>
          </w:divBdr>
        </w:div>
        <w:div w:id="1415668721">
          <w:marLeft w:val="0"/>
          <w:marRight w:val="0"/>
          <w:marTop w:val="0"/>
          <w:marBottom w:val="0"/>
          <w:divBdr>
            <w:top w:val="none" w:sz="0" w:space="0" w:color="auto"/>
            <w:left w:val="none" w:sz="0" w:space="0" w:color="auto"/>
            <w:bottom w:val="none" w:sz="0" w:space="0" w:color="auto"/>
            <w:right w:val="none" w:sz="0" w:space="0" w:color="auto"/>
          </w:divBdr>
        </w:div>
        <w:div w:id="1073549630">
          <w:marLeft w:val="0"/>
          <w:marRight w:val="0"/>
          <w:marTop w:val="0"/>
          <w:marBottom w:val="0"/>
          <w:divBdr>
            <w:top w:val="none" w:sz="0" w:space="0" w:color="auto"/>
            <w:left w:val="none" w:sz="0" w:space="0" w:color="auto"/>
            <w:bottom w:val="none" w:sz="0" w:space="0" w:color="auto"/>
            <w:right w:val="none" w:sz="0" w:space="0" w:color="auto"/>
          </w:divBdr>
        </w:div>
        <w:div w:id="1947614353">
          <w:marLeft w:val="0"/>
          <w:marRight w:val="0"/>
          <w:marTop w:val="0"/>
          <w:marBottom w:val="0"/>
          <w:divBdr>
            <w:top w:val="none" w:sz="0" w:space="0" w:color="auto"/>
            <w:left w:val="none" w:sz="0" w:space="0" w:color="auto"/>
            <w:bottom w:val="none" w:sz="0" w:space="0" w:color="auto"/>
            <w:right w:val="none" w:sz="0" w:space="0" w:color="auto"/>
          </w:divBdr>
        </w:div>
        <w:div w:id="262227671">
          <w:marLeft w:val="0"/>
          <w:marRight w:val="0"/>
          <w:marTop w:val="0"/>
          <w:marBottom w:val="0"/>
          <w:divBdr>
            <w:top w:val="none" w:sz="0" w:space="0" w:color="auto"/>
            <w:left w:val="none" w:sz="0" w:space="0" w:color="auto"/>
            <w:bottom w:val="none" w:sz="0" w:space="0" w:color="auto"/>
            <w:right w:val="none" w:sz="0" w:space="0" w:color="auto"/>
          </w:divBdr>
        </w:div>
        <w:div w:id="807285675">
          <w:marLeft w:val="0"/>
          <w:marRight w:val="0"/>
          <w:marTop w:val="0"/>
          <w:marBottom w:val="0"/>
          <w:divBdr>
            <w:top w:val="none" w:sz="0" w:space="0" w:color="auto"/>
            <w:left w:val="none" w:sz="0" w:space="0" w:color="auto"/>
            <w:bottom w:val="none" w:sz="0" w:space="0" w:color="auto"/>
            <w:right w:val="none" w:sz="0" w:space="0" w:color="auto"/>
          </w:divBdr>
        </w:div>
        <w:div w:id="966936203">
          <w:marLeft w:val="0"/>
          <w:marRight w:val="0"/>
          <w:marTop w:val="0"/>
          <w:marBottom w:val="0"/>
          <w:divBdr>
            <w:top w:val="none" w:sz="0" w:space="0" w:color="auto"/>
            <w:left w:val="none" w:sz="0" w:space="0" w:color="auto"/>
            <w:bottom w:val="none" w:sz="0" w:space="0" w:color="auto"/>
            <w:right w:val="none" w:sz="0" w:space="0" w:color="auto"/>
          </w:divBdr>
        </w:div>
        <w:div w:id="1888101654">
          <w:marLeft w:val="0"/>
          <w:marRight w:val="0"/>
          <w:marTop w:val="0"/>
          <w:marBottom w:val="0"/>
          <w:divBdr>
            <w:top w:val="none" w:sz="0" w:space="0" w:color="auto"/>
            <w:left w:val="none" w:sz="0" w:space="0" w:color="auto"/>
            <w:bottom w:val="none" w:sz="0" w:space="0" w:color="auto"/>
            <w:right w:val="none" w:sz="0" w:space="0" w:color="auto"/>
          </w:divBdr>
        </w:div>
        <w:div w:id="1218666252">
          <w:marLeft w:val="0"/>
          <w:marRight w:val="0"/>
          <w:marTop w:val="0"/>
          <w:marBottom w:val="0"/>
          <w:divBdr>
            <w:top w:val="none" w:sz="0" w:space="0" w:color="auto"/>
            <w:left w:val="none" w:sz="0" w:space="0" w:color="auto"/>
            <w:bottom w:val="none" w:sz="0" w:space="0" w:color="auto"/>
            <w:right w:val="none" w:sz="0" w:space="0" w:color="auto"/>
          </w:divBdr>
        </w:div>
      </w:divsChild>
    </w:div>
    <w:div w:id="2089568462">
      <w:bodyDiv w:val="1"/>
      <w:marLeft w:val="0"/>
      <w:marRight w:val="0"/>
      <w:marTop w:val="0"/>
      <w:marBottom w:val="0"/>
      <w:divBdr>
        <w:top w:val="none" w:sz="0" w:space="0" w:color="auto"/>
        <w:left w:val="none" w:sz="0" w:space="0" w:color="auto"/>
        <w:bottom w:val="none" w:sz="0" w:space="0" w:color="auto"/>
        <w:right w:val="none" w:sz="0" w:space="0" w:color="auto"/>
      </w:divBdr>
    </w:div>
    <w:div w:id="2108043069">
      <w:bodyDiv w:val="1"/>
      <w:marLeft w:val="0"/>
      <w:marRight w:val="0"/>
      <w:marTop w:val="0"/>
      <w:marBottom w:val="0"/>
      <w:divBdr>
        <w:top w:val="none" w:sz="0" w:space="0" w:color="auto"/>
        <w:left w:val="none" w:sz="0" w:space="0" w:color="auto"/>
        <w:bottom w:val="none" w:sz="0" w:space="0" w:color="auto"/>
        <w:right w:val="none" w:sz="0" w:space="0" w:color="auto"/>
      </w:divBdr>
    </w:div>
    <w:div w:id="21381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alkarama.org/images/ALK_logo_141x110px.p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lkarama.org/fr/articles/algerie-deux-militants-des-droits-de-lhomme-detenus-arbitrairement" TargetMode="External"/><Relationship Id="rId3" Type="http://schemas.openxmlformats.org/officeDocument/2006/relationships/hyperlink" Target="https://www.alkarama.org/fr/articles/algerie-deces-suspect-en-detention-du-journaliste-mohamed-tamalt" TargetMode="External"/><Relationship Id="rId7" Type="http://schemas.openxmlformats.org/officeDocument/2006/relationships/hyperlink" Target="https://www.alkarama.org/fr/articles/algerie-saber-saidi-est-libre" TargetMode="External"/><Relationship Id="rId2" Type="http://schemas.openxmlformats.org/officeDocument/2006/relationships/hyperlink" Target="https://www.alkarama.org/fr/articles/algerie-le-fils-dune-victime-dexecution-sommaire-arrete-en-represailles-une-decision-du" TargetMode="External"/><Relationship Id="rId1" Type="http://schemas.openxmlformats.org/officeDocument/2006/relationships/hyperlink" Target="https://www.alkarama.org/fr/articles/algerie-laffaire-de-lenlevement-au-centre-dalger-dun-haut-responsable-du-polisario-devant" TargetMode="External"/><Relationship Id="rId6" Type="http://schemas.openxmlformats.org/officeDocument/2006/relationships/hyperlink" Target="https://www.alkarama.org/fr/articles/algerie-fermeture-arbitraire-et-perquisition-de-la-chaine-de-tv-al-atlas" TargetMode="External"/><Relationship Id="rId5" Type="http://schemas.openxmlformats.org/officeDocument/2006/relationships/hyperlink" Target="https://www.alkarama.org/fr/articles/algerie-hassan-bouras-condamne-un-de-prison-ferme-pour-avoir-mediatise-des-cas-de-violence" TargetMode="External"/><Relationship Id="rId4" Type="http://schemas.openxmlformats.org/officeDocument/2006/relationships/hyperlink" Target="https://www.alkarama.org/fr/articles/algerie-torture-et-detention-arbitraire-dun-membre-de-la-ligue-algerienne-pour-la-defe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1.Shared\Questionnaires%20and%20templates\Templates\FR\Rapports\TB_Liste%20des%20ques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14824-C27F-4B87-B7AE-0A1FDD183DB7}"/>
</file>

<file path=customXml/itemProps2.xml><?xml version="1.0" encoding="utf-8"?>
<ds:datastoreItem xmlns:ds="http://schemas.openxmlformats.org/officeDocument/2006/customXml" ds:itemID="{C969BBE5-CFB8-4588-91BD-260074AE1ABB}"/>
</file>

<file path=customXml/itemProps3.xml><?xml version="1.0" encoding="utf-8"?>
<ds:datastoreItem xmlns:ds="http://schemas.openxmlformats.org/officeDocument/2006/customXml" ds:itemID="{DEE9EBA2-A974-4386-8F5A-58E13E6AFFF5}"/>
</file>

<file path=customXml/itemProps4.xml><?xml version="1.0" encoding="utf-8"?>
<ds:datastoreItem xmlns:ds="http://schemas.openxmlformats.org/officeDocument/2006/customXml" ds:itemID="{610A3407-7445-451A-9905-4116B6F32A6C}"/>
</file>

<file path=docProps/app.xml><?xml version="1.0" encoding="utf-8"?>
<Properties xmlns="http://schemas.openxmlformats.org/officeDocument/2006/extended-properties" xmlns:vt="http://schemas.openxmlformats.org/officeDocument/2006/docPropsVTypes">
  <Template>TB_Liste des questions.dot</Template>
  <TotalTime>0</TotalTime>
  <Pages>7</Pages>
  <Words>6940</Words>
  <Characters>39561</Characters>
  <Application>Microsoft Office Word</Application>
  <DocSecurity>4</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46409</CharactersWithSpaces>
  <SharedDoc>false</SharedDoc>
  <HLinks>
    <vt:vector size="78" baseType="variant">
      <vt:variant>
        <vt:i4>1900597</vt:i4>
      </vt:variant>
      <vt:variant>
        <vt:i4>71</vt:i4>
      </vt:variant>
      <vt:variant>
        <vt:i4>0</vt:i4>
      </vt:variant>
      <vt:variant>
        <vt:i4>5</vt:i4>
      </vt:variant>
      <vt:variant>
        <vt:lpwstr/>
      </vt:variant>
      <vt:variant>
        <vt:lpwstr>_Toc224967561</vt:lpwstr>
      </vt:variant>
      <vt:variant>
        <vt:i4>1900597</vt:i4>
      </vt:variant>
      <vt:variant>
        <vt:i4>65</vt:i4>
      </vt:variant>
      <vt:variant>
        <vt:i4>0</vt:i4>
      </vt:variant>
      <vt:variant>
        <vt:i4>5</vt:i4>
      </vt:variant>
      <vt:variant>
        <vt:lpwstr/>
      </vt:variant>
      <vt:variant>
        <vt:lpwstr>_Toc224967560</vt:lpwstr>
      </vt:variant>
      <vt:variant>
        <vt:i4>1966133</vt:i4>
      </vt:variant>
      <vt:variant>
        <vt:i4>59</vt:i4>
      </vt:variant>
      <vt:variant>
        <vt:i4>0</vt:i4>
      </vt:variant>
      <vt:variant>
        <vt:i4>5</vt:i4>
      </vt:variant>
      <vt:variant>
        <vt:lpwstr/>
      </vt:variant>
      <vt:variant>
        <vt:lpwstr>_Toc224967559</vt:lpwstr>
      </vt:variant>
      <vt:variant>
        <vt:i4>1966133</vt:i4>
      </vt:variant>
      <vt:variant>
        <vt:i4>53</vt:i4>
      </vt:variant>
      <vt:variant>
        <vt:i4>0</vt:i4>
      </vt:variant>
      <vt:variant>
        <vt:i4>5</vt:i4>
      </vt:variant>
      <vt:variant>
        <vt:lpwstr/>
      </vt:variant>
      <vt:variant>
        <vt:lpwstr>_Toc224967558</vt:lpwstr>
      </vt:variant>
      <vt:variant>
        <vt:i4>1966133</vt:i4>
      </vt:variant>
      <vt:variant>
        <vt:i4>47</vt:i4>
      </vt:variant>
      <vt:variant>
        <vt:i4>0</vt:i4>
      </vt:variant>
      <vt:variant>
        <vt:i4>5</vt:i4>
      </vt:variant>
      <vt:variant>
        <vt:lpwstr/>
      </vt:variant>
      <vt:variant>
        <vt:lpwstr>_Toc224967557</vt:lpwstr>
      </vt:variant>
      <vt:variant>
        <vt:i4>1966133</vt:i4>
      </vt:variant>
      <vt:variant>
        <vt:i4>41</vt:i4>
      </vt:variant>
      <vt:variant>
        <vt:i4>0</vt:i4>
      </vt:variant>
      <vt:variant>
        <vt:i4>5</vt:i4>
      </vt:variant>
      <vt:variant>
        <vt:lpwstr/>
      </vt:variant>
      <vt:variant>
        <vt:lpwstr>_Toc224967556</vt:lpwstr>
      </vt:variant>
      <vt:variant>
        <vt:i4>1966133</vt:i4>
      </vt:variant>
      <vt:variant>
        <vt:i4>35</vt:i4>
      </vt:variant>
      <vt:variant>
        <vt:i4>0</vt:i4>
      </vt:variant>
      <vt:variant>
        <vt:i4>5</vt:i4>
      </vt:variant>
      <vt:variant>
        <vt:lpwstr/>
      </vt:variant>
      <vt:variant>
        <vt:lpwstr>_Toc224967555</vt:lpwstr>
      </vt:variant>
      <vt:variant>
        <vt:i4>1966133</vt:i4>
      </vt:variant>
      <vt:variant>
        <vt:i4>29</vt:i4>
      </vt:variant>
      <vt:variant>
        <vt:i4>0</vt:i4>
      </vt:variant>
      <vt:variant>
        <vt:i4>5</vt:i4>
      </vt:variant>
      <vt:variant>
        <vt:lpwstr/>
      </vt:variant>
      <vt:variant>
        <vt:lpwstr>_Toc224967554</vt:lpwstr>
      </vt:variant>
      <vt:variant>
        <vt:i4>1966133</vt:i4>
      </vt:variant>
      <vt:variant>
        <vt:i4>23</vt:i4>
      </vt:variant>
      <vt:variant>
        <vt:i4>0</vt:i4>
      </vt:variant>
      <vt:variant>
        <vt:i4>5</vt:i4>
      </vt:variant>
      <vt:variant>
        <vt:lpwstr/>
      </vt:variant>
      <vt:variant>
        <vt:lpwstr>_Toc224967553</vt:lpwstr>
      </vt:variant>
      <vt:variant>
        <vt:i4>1966133</vt:i4>
      </vt:variant>
      <vt:variant>
        <vt:i4>17</vt:i4>
      </vt:variant>
      <vt:variant>
        <vt:i4>0</vt:i4>
      </vt:variant>
      <vt:variant>
        <vt:i4>5</vt:i4>
      </vt:variant>
      <vt:variant>
        <vt:lpwstr/>
      </vt:variant>
      <vt:variant>
        <vt:lpwstr>_Toc224967552</vt:lpwstr>
      </vt:variant>
      <vt:variant>
        <vt:i4>1966133</vt:i4>
      </vt:variant>
      <vt:variant>
        <vt:i4>11</vt:i4>
      </vt:variant>
      <vt:variant>
        <vt:i4>0</vt:i4>
      </vt:variant>
      <vt:variant>
        <vt:i4>5</vt:i4>
      </vt:variant>
      <vt:variant>
        <vt:lpwstr/>
      </vt:variant>
      <vt:variant>
        <vt:lpwstr>_Toc224967551</vt:lpwstr>
      </vt:variant>
      <vt:variant>
        <vt:i4>1966133</vt:i4>
      </vt:variant>
      <vt:variant>
        <vt:i4>5</vt:i4>
      </vt:variant>
      <vt:variant>
        <vt:i4>0</vt:i4>
      </vt:variant>
      <vt:variant>
        <vt:i4>5</vt:i4>
      </vt:variant>
      <vt:variant>
        <vt:lpwstr/>
      </vt:variant>
      <vt:variant>
        <vt:lpwstr>_Toc224967550</vt:lpwstr>
      </vt:variant>
      <vt:variant>
        <vt:i4>2556020</vt:i4>
      </vt:variant>
      <vt:variant>
        <vt:i4>2138</vt:i4>
      </vt:variant>
      <vt:variant>
        <vt:i4>1025</vt:i4>
      </vt:variant>
      <vt:variant>
        <vt:i4>1</vt:i4>
      </vt:variant>
      <vt:variant>
        <vt:lpwstr>http://alkarama.org/images/ALK_logo_141x110px.png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RLO-Maghreb</dc:creator>
  <cp:lastModifiedBy>Elodie Tranchez</cp:lastModifiedBy>
  <cp:revision>2</cp:revision>
  <dcterms:created xsi:type="dcterms:W3CDTF">2017-10-02T13:08:00Z</dcterms:created>
  <dcterms:modified xsi:type="dcterms:W3CDTF">2017-10-02T13:08:00Z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