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gridCol w:w="34"/>
        <w:gridCol w:w="269"/>
        <w:gridCol w:w="8"/>
      </w:tblGrid>
      <w:tr w:rsidR="006B20E4" w:rsidRPr="00E25D75" w14:paraId="7FB9D84A" w14:textId="77777777">
        <w:trPr>
          <w:gridAfter w:val="3"/>
          <w:wAfter w:w="311" w:type="dxa"/>
          <w:trHeight w:val="526"/>
        </w:trPr>
        <w:tc>
          <w:tcPr>
            <w:tcW w:w="9336" w:type="dxa"/>
            <w:shd w:val="clear" w:color="auto" w:fill="FFFFFF"/>
          </w:tcPr>
          <w:p w14:paraId="2C637CDC" w14:textId="77777777" w:rsidR="006B20E4" w:rsidRPr="00E815EC" w:rsidRDefault="00216774" w:rsidP="00B117E9">
            <w:pPr>
              <w:pStyle w:val="Contenudetableau"/>
              <w:spacing w:before="60" w:after="120" w:line="360" w:lineRule="auto"/>
              <w:ind w:left="360" w:right="267"/>
              <w:jc w:val="right"/>
              <w:rPr>
                <w:rFonts w:asciiTheme="majorHAnsi" w:hAnsiTheme="majorHAnsi" w:cstheme="majorHAnsi"/>
                <w:b/>
                <w:bCs/>
                <w:sz w:val="32"/>
                <w:szCs w:val="32"/>
                <w:lang w:val="en-GB"/>
              </w:rPr>
            </w:pPr>
            <w:r w:rsidRPr="00E815EC">
              <w:rPr>
                <w:rFonts w:asciiTheme="majorHAnsi" w:hAnsiTheme="majorHAnsi" w:cstheme="majorHAnsi"/>
                <w:b/>
                <w:bCs/>
                <w:sz w:val="32"/>
                <w:szCs w:val="32"/>
                <w:lang w:val="en-GB"/>
              </w:rPr>
              <w:t>VIET NAM</w:t>
            </w:r>
          </w:p>
        </w:tc>
      </w:tr>
      <w:tr w:rsidR="006B20E4" w:rsidRPr="00E25D75" w14:paraId="3D8EC31C" w14:textId="77777777">
        <w:trPr>
          <w:gridAfter w:val="3"/>
          <w:wAfter w:w="311" w:type="dxa"/>
          <w:trHeight w:val="1415"/>
        </w:trPr>
        <w:tc>
          <w:tcPr>
            <w:tcW w:w="9336" w:type="dxa"/>
            <w:shd w:val="clear" w:color="auto" w:fill="FFFFFF"/>
            <w:tcMar>
              <w:top w:w="55" w:type="dxa"/>
              <w:left w:w="55" w:type="dxa"/>
              <w:bottom w:w="55" w:type="dxa"/>
              <w:right w:w="55" w:type="dxa"/>
            </w:tcMar>
          </w:tcPr>
          <w:p w14:paraId="17AB7CF5" w14:textId="77777777" w:rsidR="006B20E4" w:rsidRPr="00E815EC" w:rsidRDefault="006B20E4" w:rsidP="00B117E9">
            <w:pPr>
              <w:pStyle w:val="Contenudetableau"/>
              <w:spacing w:before="60" w:after="120" w:line="360" w:lineRule="auto"/>
              <w:ind w:left="360" w:right="288"/>
              <w:jc w:val="right"/>
              <w:rPr>
                <w:rFonts w:asciiTheme="majorHAnsi" w:hAnsiTheme="majorHAnsi" w:cstheme="majorHAnsi"/>
                <w:b/>
                <w:color w:val="000000"/>
                <w:sz w:val="28"/>
                <w:szCs w:val="28"/>
                <w:lang w:val="en-GB"/>
              </w:rPr>
            </w:pPr>
          </w:p>
          <w:p w14:paraId="28E5700A" w14:textId="53150AFA" w:rsidR="006B20E4" w:rsidRPr="00E815EC" w:rsidRDefault="006B20E4" w:rsidP="00B117E9">
            <w:pPr>
              <w:pStyle w:val="Contenudetableau"/>
              <w:spacing w:before="60" w:after="120" w:line="360" w:lineRule="auto"/>
              <w:ind w:left="360" w:right="288"/>
              <w:jc w:val="right"/>
              <w:rPr>
                <w:rFonts w:asciiTheme="majorHAnsi" w:hAnsiTheme="majorHAnsi" w:cstheme="majorHAnsi"/>
                <w:b/>
                <w:color w:val="000000"/>
                <w:sz w:val="32"/>
                <w:szCs w:val="32"/>
                <w:lang w:val="en-GB"/>
              </w:rPr>
            </w:pPr>
            <w:r w:rsidRPr="00E815EC">
              <w:rPr>
                <w:rFonts w:asciiTheme="majorHAnsi" w:hAnsiTheme="majorHAnsi" w:cstheme="majorHAnsi"/>
                <w:b/>
                <w:color w:val="000000"/>
                <w:sz w:val="32"/>
                <w:szCs w:val="32"/>
                <w:lang w:val="en-GB"/>
              </w:rPr>
              <w:t>Report on the Implementation of the ICCPR</w:t>
            </w:r>
          </w:p>
          <w:p w14:paraId="6952F19C" w14:textId="00E74A44" w:rsidR="00A44EA4" w:rsidRPr="00E815EC" w:rsidRDefault="00A44EA4" w:rsidP="00B117E9">
            <w:pPr>
              <w:pStyle w:val="Contenudetableau"/>
              <w:spacing w:before="60" w:after="120" w:line="360" w:lineRule="auto"/>
              <w:ind w:left="360" w:right="288"/>
              <w:jc w:val="right"/>
              <w:rPr>
                <w:rFonts w:asciiTheme="majorHAnsi" w:hAnsiTheme="majorHAnsi" w:cstheme="majorHAnsi"/>
                <w:b/>
                <w:color w:val="000000"/>
                <w:sz w:val="32"/>
                <w:szCs w:val="32"/>
                <w:lang w:val="en-GB"/>
              </w:rPr>
            </w:pPr>
            <w:r w:rsidRPr="00E815EC">
              <w:rPr>
                <w:rFonts w:asciiTheme="majorHAnsi" w:hAnsiTheme="majorHAnsi" w:cstheme="majorHAnsi"/>
                <w:b/>
                <w:color w:val="000000"/>
                <w:sz w:val="32"/>
                <w:szCs w:val="32"/>
                <w:lang w:val="en-GB"/>
              </w:rPr>
              <w:t>ON GENDER EQUALITY</w:t>
            </w:r>
          </w:p>
          <w:p w14:paraId="0507E97B" w14:textId="77777777" w:rsidR="006B20E4" w:rsidRPr="00E815EC" w:rsidRDefault="006B20E4" w:rsidP="00B117E9">
            <w:pPr>
              <w:pStyle w:val="Contenudetableau"/>
              <w:spacing w:before="60" w:after="120" w:line="360" w:lineRule="auto"/>
              <w:ind w:left="360" w:right="288"/>
              <w:jc w:val="right"/>
              <w:rPr>
                <w:rFonts w:asciiTheme="majorHAnsi" w:hAnsiTheme="majorHAnsi" w:cstheme="majorHAnsi"/>
                <w:b/>
                <w:color w:val="000000"/>
                <w:sz w:val="32"/>
                <w:szCs w:val="32"/>
                <w:lang w:val="en-GB"/>
              </w:rPr>
            </w:pPr>
            <w:r w:rsidRPr="00E815EC">
              <w:rPr>
                <w:rFonts w:asciiTheme="majorHAnsi" w:hAnsiTheme="majorHAnsi" w:cstheme="majorHAnsi"/>
                <w:b/>
                <w:color w:val="000000"/>
                <w:sz w:val="32"/>
                <w:szCs w:val="32"/>
                <w:lang w:val="en-GB"/>
              </w:rPr>
              <w:t xml:space="preserve">(Replies </w:t>
            </w:r>
            <w:r w:rsidR="003E77EA" w:rsidRPr="00E815EC">
              <w:rPr>
                <w:rFonts w:asciiTheme="majorHAnsi" w:hAnsiTheme="majorHAnsi" w:cstheme="majorHAnsi"/>
                <w:b/>
                <w:color w:val="000000"/>
                <w:sz w:val="32"/>
                <w:szCs w:val="32"/>
                <w:lang w:val="en-GB"/>
              </w:rPr>
              <w:t>to the List of Issues CCPR/C/</w:t>
            </w:r>
            <w:r w:rsidR="00216774" w:rsidRPr="00E815EC">
              <w:rPr>
                <w:rFonts w:asciiTheme="majorHAnsi" w:hAnsiTheme="majorHAnsi" w:cstheme="majorHAnsi"/>
                <w:b/>
                <w:color w:val="000000"/>
                <w:sz w:val="32"/>
                <w:szCs w:val="32"/>
                <w:lang w:val="en-GB"/>
              </w:rPr>
              <w:t>VNM</w:t>
            </w:r>
            <w:r w:rsidR="003E77EA" w:rsidRPr="00E815EC">
              <w:rPr>
                <w:rFonts w:asciiTheme="majorHAnsi" w:hAnsiTheme="majorHAnsi" w:cstheme="majorHAnsi"/>
                <w:b/>
                <w:color w:val="000000"/>
                <w:sz w:val="32"/>
                <w:szCs w:val="32"/>
                <w:lang w:val="en-GB"/>
              </w:rPr>
              <w:t>/Q/</w:t>
            </w:r>
            <w:r w:rsidR="00216774" w:rsidRPr="00E815EC">
              <w:rPr>
                <w:rFonts w:asciiTheme="majorHAnsi" w:hAnsiTheme="majorHAnsi" w:cstheme="majorHAnsi"/>
                <w:b/>
                <w:color w:val="000000"/>
                <w:sz w:val="32"/>
                <w:szCs w:val="32"/>
                <w:lang w:val="en-GB"/>
              </w:rPr>
              <w:t>3</w:t>
            </w:r>
            <w:r w:rsidRPr="00E815EC">
              <w:rPr>
                <w:rFonts w:asciiTheme="majorHAnsi" w:hAnsiTheme="majorHAnsi" w:cstheme="majorHAnsi"/>
                <w:b/>
                <w:color w:val="000000"/>
                <w:sz w:val="32"/>
                <w:szCs w:val="32"/>
                <w:lang w:val="en-GB"/>
              </w:rPr>
              <w:t>)</w:t>
            </w:r>
          </w:p>
          <w:p w14:paraId="1B94CFDB" w14:textId="77777777" w:rsidR="006B20E4" w:rsidRPr="00E815EC" w:rsidRDefault="006B20E4" w:rsidP="00B117E9">
            <w:pPr>
              <w:pStyle w:val="Contenudetableau"/>
              <w:spacing w:before="60" w:after="120" w:line="360" w:lineRule="auto"/>
              <w:ind w:right="288"/>
              <w:jc w:val="right"/>
              <w:rPr>
                <w:rFonts w:asciiTheme="majorHAnsi" w:hAnsiTheme="majorHAnsi" w:cstheme="majorHAnsi"/>
                <w:b/>
                <w:color w:val="000000"/>
                <w:sz w:val="28"/>
                <w:szCs w:val="28"/>
                <w:lang w:val="en-GB"/>
              </w:rPr>
            </w:pPr>
          </w:p>
          <w:p w14:paraId="36F6B291" w14:textId="2994B3D5" w:rsidR="006B20E4" w:rsidRPr="00E815EC" w:rsidRDefault="005E7555" w:rsidP="00B117E9">
            <w:pPr>
              <w:autoSpaceDE w:val="0"/>
              <w:autoSpaceDN w:val="0"/>
              <w:adjustRightInd w:val="0"/>
              <w:spacing w:before="60" w:after="120" w:line="360" w:lineRule="auto"/>
              <w:ind w:left="360" w:right="319"/>
              <w:jc w:val="right"/>
              <w:rPr>
                <w:rFonts w:asciiTheme="majorHAnsi" w:hAnsiTheme="majorHAnsi" w:cstheme="majorHAnsi"/>
                <w:color w:val="000000"/>
                <w:sz w:val="28"/>
                <w:szCs w:val="28"/>
                <w:lang w:val="en-GB"/>
              </w:rPr>
            </w:pPr>
            <w:r w:rsidRPr="00E815EC">
              <w:rPr>
                <w:rFonts w:asciiTheme="majorHAnsi" w:hAnsiTheme="majorHAnsi" w:cstheme="majorHAnsi"/>
                <w:color w:val="000000"/>
                <w:sz w:val="28"/>
                <w:szCs w:val="28"/>
                <w:lang w:val="en-GB"/>
              </w:rPr>
              <w:t>F</w:t>
            </w:r>
            <w:r w:rsidR="006B20E4" w:rsidRPr="00E815EC">
              <w:rPr>
                <w:rFonts w:asciiTheme="majorHAnsi" w:hAnsiTheme="majorHAnsi" w:cstheme="majorHAnsi"/>
                <w:color w:val="000000"/>
                <w:sz w:val="28"/>
                <w:szCs w:val="28"/>
                <w:lang w:val="en-GB"/>
              </w:rPr>
              <w:t xml:space="preserve">or the Review of the </w:t>
            </w:r>
            <w:r w:rsidR="00DD4A29" w:rsidRPr="00E815EC">
              <w:rPr>
                <w:rFonts w:asciiTheme="majorHAnsi" w:hAnsiTheme="majorHAnsi" w:cstheme="majorHAnsi"/>
                <w:color w:val="000000"/>
                <w:sz w:val="28"/>
                <w:szCs w:val="28"/>
                <w:lang w:val="en-GB"/>
              </w:rPr>
              <w:t xml:space="preserve">Third </w:t>
            </w:r>
            <w:r w:rsidR="0036223A" w:rsidRPr="00E815EC">
              <w:rPr>
                <w:rFonts w:asciiTheme="majorHAnsi" w:hAnsiTheme="majorHAnsi" w:cstheme="majorHAnsi"/>
                <w:color w:val="000000"/>
                <w:sz w:val="28"/>
                <w:szCs w:val="28"/>
                <w:lang w:val="en-GB"/>
              </w:rPr>
              <w:t>State</w:t>
            </w:r>
            <w:r w:rsidR="006B20E4" w:rsidRPr="00E815EC">
              <w:rPr>
                <w:rFonts w:asciiTheme="majorHAnsi" w:hAnsiTheme="majorHAnsi" w:cstheme="majorHAnsi"/>
                <w:color w:val="000000"/>
                <w:sz w:val="28"/>
                <w:szCs w:val="28"/>
                <w:lang w:val="en-GB"/>
              </w:rPr>
              <w:t xml:space="preserve"> Report of </w:t>
            </w:r>
            <w:r w:rsidR="00216774" w:rsidRPr="00E815EC">
              <w:rPr>
                <w:rFonts w:asciiTheme="majorHAnsi" w:hAnsiTheme="majorHAnsi" w:cstheme="majorHAnsi"/>
                <w:color w:val="000000"/>
                <w:sz w:val="28"/>
                <w:szCs w:val="28"/>
                <w:lang w:val="en-GB"/>
              </w:rPr>
              <w:t>Viet Nam</w:t>
            </w:r>
            <w:r w:rsidR="006B20E4" w:rsidRPr="00E815EC">
              <w:rPr>
                <w:rFonts w:asciiTheme="majorHAnsi" w:hAnsiTheme="majorHAnsi" w:cstheme="majorHAnsi"/>
                <w:color w:val="000000"/>
                <w:sz w:val="28"/>
                <w:szCs w:val="28"/>
                <w:lang w:val="en-GB"/>
              </w:rPr>
              <w:t xml:space="preserve"> (</w:t>
            </w:r>
            <w:r w:rsidR="003E77EA" w:rsidRPr="00E815EC">
              <w:rPr>
                <w:rFonts w:asciiTheme="majorHAnsi" w:hAnsiTheme="majorHAnsi" w:cstheme="majorHAnsi"/>
                <w:bCs/>
                <w:sz w:val="28"/>
                <w:szCs w:val="28"/>
                <w:lang w:val="en-GB"/>
              </w:rPr>
              <w:t>CCPR/C</w:t>
            </w:r>
            <w:r w:rsidR="00121A64" w:rsidRPr="00E815EC">
              <w:rPr>
                <w:rFonts w:asciiTheme="majorHAnsi" w:hAnsiTheme="majorHAnsi" w:cstheme="majorHAnsi"/>
                <w:bCs/>
                <w:sz w:val="28"/>
                <w:szCs w:val="28"/>
                <w:lang w:val="en-GB"/>
              </w:rPr>
              <w:t>/</w:t>
            </w:r>
            <w:r w:rsidR="00216774" w:rsidRPr="00E815EC">
              <w:rPr>
                <w:rFonts w:asciiTheme="majorHAnsi" w:hAnsiTheme="majorHAnsi" w:cstheme="majorHAnsi"/>
                <w:bCs/>
                <w:sz w:val="28"/>
                <w:szCs w:val="28"/>
                <w:lang w:val="en-GB"/>
              </w:rPr>
              <w:t>VNM/3</w:t>
            </w:r>
            <w:r w:rsidR="006B20E4" w:rsidRPr="00E815EC">
              <w:rPr>
                <w:rFonts w:asciiTheme="majorHAnsi" w:hAnsiTheme="majorHAnsi" w:cstheme="majorHAnsi"/>
                <w:bCs/>
                <w:sz w:val="28"/>
                <w:szCs w:val="28"/>
                <w:lang w:val="en-GB"/>
              </w:rPr>
              <w:t>)</w:t>
            </w:r>
          </w:p>
          <w:p w14:paraId="312D2C62" w14:textId="77777777" w:rsidR="00146A70" w:rsidRPr="00E815EC" w:rsidRDefault="006B20E4" w:rsidP="00B117E9">
            <w:pPr>
              <w:autoSpaceDE w:val="0"/>
              <w:autoSpaceDN w:val="0"/>
              <w:adjustRightInd w:val="0"/>
              <w:spacing w:before="60" w:after="120" w:line="360" w:lineRule="auto"/>
              <w:ind w:left="360" w:right="319"/>
              <w:jc w:val="right"/>
              <w:rPr>
                <w:rFonts w:asciiTheme="majorHAnsi" w:hAnsiTheme="majorHAnsi" w:cstheme="majorHAnsi"/>
                <w:color w:val="000000"/>
                <w:sz w:val="28"/>
                <w:szCs w:val="28"/>
                <w:lang w:val="en-GB"/>
              </w:rPr>
            </w:pPr>
            <w:r w:rsidRPr="00E815EC">
              <w:rPr>
                <w:rFonts w:asciiTheme="majorHAnsi" w:hAnsiTheme="majorHAnsi" w:cstheme="majorHAnsi"/>
                <w:color w:val="000000"/>
                <w:sz w:val="28"/>
                <w:szCs w:val="28"/>
                <w:lang w:val="en-GB"/>
              </w:rPr>
              <w:t xml:space="preserve">At the </w:t>
            </w:r>
            <w:r w:rsidR="00121A64" w:rsidRPr="00E815EC">
              <w:rPr>
                <w:rFonts w:asciiTheme="majorHAnsi" w:hAnsiTheme="majorHAnsi" w:cstheme="majorHAnsi"/>
                <w:color w:val="000000"/>
                <w:sz w:val="28"/>
                <w:szCs w:val="28"/>
                <w:lang w:val="en-GB"/>
              </w:rPr>
              <w:t>1</w:t>
            </w:r>
            <w:r w:rsidR="00216774" w:rsidRPr="00E815EC">
              <w:rPr>
                <w:rFonts w:asciiTheme="majorHAnsi" w:hAnsiTheme="majorHAnsi" w:cstheme="majorHAnsi"/>
                <w:color w:val="000000"/>
                <w:sz w:val="28"/>
                <w:szCs w:val="28"/>
                <w:lang w:val="en-GB"/>
              </w:rPr>
              <w:t>25</w:t>
            </w:r>
            <w:r w:rsidRPr="00E815EC">
              <w:rPr>
                <w:rFonts w:asciiTheme="majorHAnsi" w:hAnsiTheme="majorHAnsi" w:cstheme="majorHAnsi"/>
                <w:color w:val="000000"/>
                <w:sz w:val="28"/>
                <w:szCs w:val="28"/>
                <w:vertAlign w:val="superscript"/>
                <w:lang w:val="en-GB"/>
              </w:rPr>
              <w:t>th</w:t>
            </w:r>
            <w:r w:rsidRPr="00E815EC">
              <w:rPr>
                <w:rFonts w:asciiTheme="majorHAnsi" w:hAnsiTheme="majorHAnsi" w:cstheme="majorHAnsi"/>
                <w:color w:val="000000"/>
                <w:sz w:val="28"/>
                <w:szCs w:val="28"/>
                <w:lang w:val="en-GB"/>
              </w:rPr>
              <w:t xml:space="preserve"> session of the Human Rights Committee </w:t>
            </w:r>
          </w:p>
          <w:p w14:paraId="2D0C7EEC" w14:textId="66980F16" w:rsidR="006B20E4" w:rsidRPr="00E815EC" w:rsidRDefault="006B20E4" w:rsidP="00B117E9">
            <w:pPr>
              <w:autoSpaceDE w:val="0"/>
              <w:autoSpaceDN w:val="0"/>
              <w:adjustRightInd w:val="0"/>
              <w:spacing w:before="60" w:after="120" w:line="360" w:lineRule="auto"/>
              <w:ind w:left="360" w:right="319"/>
              <w:jc w:val="right"/>
              <w:rPr>
                <w:rFonts w:asciiTheme="majorHAnsi" w:hAnsiTheme="majorHAnsi" w:cstheme="majorHAnsi"/>
                <w:color w:val="000000"/>
                <w:sz w:val="28"/>
                <w:szCs w:val="28"/>
                <w:lang w:val="en-GB"/>
              </w:rPr>
            </w:pPr>
            <w:r w:rsidRPr="00E815EC">
              <w:rPr>
                <w:rFonts w:asciiTheme="majorHAnsi" w:hAnsiTheme="majorHAnsi" w:cstheme="majorHAnsi"/>
                <w:color w:val="000000"/>
                <w:sz w:val="28"/>
                <w:szCs w:val="28"/>
                <w:lang w:val="en-GB"/>
              </w:rPr>
              <w:t>(Geneva</w:t>
            </w:r>
            <w:r w:rsidR="00216774" w:rsidRPr="00E815EC">
              <w:rPr>
                <w:rFonts w:asciiTheme="majorHAnsi" w:hAnsiTheme="majorHAnsi" w:cstheme="majorHAnsi"/>
                <w:color w:val="000000"/>
                <w:sz w:val="28"/>
                <w:szCs w:val="28"/>
                <w:lang w:val="en-GB"/>
              </w:rPr>
              <w:t xml:space="preserve">, 4 </w:t>
            </w:r>
            <w:r w:rsidR="00E815EC">
              <w:rPr>
                <w:rFonts w:asciiTheme="majorHAnsi" w:hAnsiTheme="majorHAnsi" w:cstheme="majorHAnsi"/>
                <w:color w:val="000000"/>
                <w:sz w:val="28"/>
                <w:szCs w:val="28"/>
                <w:lang w:val="vi-VN"/>
              </w:rPr>
              <w:t>-</w:t>
            </w:r>
            <w:r w:rsidR="00216774" w:rsidRPr="00E815EC">
              <w:rPr>
                <w:rFonts w:asciiTheme="majorHAnsi" w:hAnsiTheme="majorHAnsi" w:cstheme="majorHAnsi"/>
                <w:color w:val="000000"/>
                <w:sz w:val="28"/>
                <w:szCs w:val="28"/>
                <w:lang w:val="en-GB"/>
              </w:rPr>
              <w:t xml:space="preserve"> 29 </w:t>
            </w:r>
            <w:r w:rsidR="00121A64" w:rsidRPr="00E815EC">
              <w:rPr>
                <w:rFonts w:asciiTheme="majorHAnsi" w:hAnsiTheme="majorHAnsi" w:cstheme="majorHAnsi"/>
                <w:color w:val="000000"/>
                <w:sz w:val="28"/>
                <w:szCs w:val="28"/>
                <w:lang w:val="en-GB"/>
              </w:rPr>
              <w:t>March</w:t>
            </w:r>
            <w:r w:rsidR="005637F8" w:rsidRPr="00E815EC">
              <w:rPr>
                <w:rFonts w:asciiTheme="majorHAnsi" w:hAnsiTheme="majorHAnsi" w:cstheme="majorHAnsi"/>
                <w:color w:val="000000"/>
                <w:sz w:val="28"/>
                <w:szCs w:val="28"/>
                <w:lang w:val="en-GB"/>
              </w:rPr>
              <w:t xml:space="preserve"> </w:t>
            </w:r>
            <w:r w:rsidR="00216774" w:rsidRPr="00E815EC">
              <w:rPr>
                <w:rFonts w:asciiTheme="majorHAnsi" w:hAnsiTheme="majorHAnsi" w:cstheme="majorHAnsi"/>
                <w:color w:val="000000"/>
                <w:sz w:val="28"/>
                <w:szCs w:val="28"/>
                <w:lang w:val="en-GB"/>
              </w:rPr>
              <w:t>2019</w:t>
            </w:r>
            <w:r w:rsidRPr="00E815EC">
              <w:rPr>
                <w:rFonts w:asciiTheme="majorHAnsi" w:hAnsiTheme="majorHAnsi" w:cstheme="majorHAnsi"/>
                <w:color w:val="000000"/>
                <w:sz w:val="28"/>
                <w:szCs w:val="28"/>
                <w:lang w:val="en-GB"/>
              </w:rPr>
              <w:t>)</w:t>
            </w:r>
          </w:p>
          <w:p w14:paraId="536DFCF9" w14:textId="77777777" w:rsidR="006B20E4" w:rsidRPr="00E815EC" w:rsidRDefault="006B20E4" w:rsidP="00B117E9">
            <w:pPr>
              <w:pStyle w:val="Contenudetableau"/>
              <w:spacing w:before="60" w:after="120" w:line="360" w:lineRule="auto"/>
              <w:ind w:right="288"/>
              <w:jc w:val="right"/>
              <w:rPr>
                <w:rFonts w:asciiTheme="majorHAnsi" w:hAnsiTheme="majorHAnsi" w:cstheme="majorHAnsi"/>
                <w:b/>
                <w:color w:val="000000"/>
                <w:sz w:val="28"/>
                <w:szCs w:val="28"/>
                <w:lang w:val="en-GB"/>
              </w:rPr>
            </w:pPr>
          </w:p>
        </w:tc>
      </w:tr>
      <w:tr w:rsidR="006B20E4" w:rsidRPr="00E25D75" w14:paraId="0CFFBDC3" w14:textId="77777777">
        <w:tblPrEx>
          <w:tblBorders>
            <w:right w:val="none" w:sz="0" w:space="0" w:color="auto"/>
          </w:tblBorders>
          <w:shd w:val="clear" w:color="auto" w:fill="auto"/>
          <w:tblCellMar>
            <w:left w:w="108" w:type="dxa"/>
            <w:right w:w="108" w:type="dxa"/>
          </w:tblCellMar>
          <w:tblLook w:val="04A0" w:firstRow="1" w:lastRow="0" w:firstColumn="1" w:lastColumn="0" w:noHBand="0" w:noVBand="1"/>
        </w:tblPrEx>
        <w:trPr>
          <w:gridAfter w:val="1"/>
          <w:wAfter w:w="8" w:type="dxa"/>
        </w:trPr>
        <w:tc>
          <w:tcPr>
            <w:tcW w:w="9639" w:type="dxa"/>
            <w:gridSpan w:val="3"/>
          </w:tcPr>
          <w:p w14:paraId="3F8206BD" w14:textId="77777777" w:rsidR="006B20E4" w:rsidRPr="00425667" w:rsidRDefault="005E7555" w:rsidP="00B117E9">
            <w:pPr>
              <w:spacing w:before="60" w:after="120" w:line="360" w:lineRule="auto"/>
              <w:ind w:left="360"/>
              <w:rPr>
                <w:rFonts w:asciiTheme="majorHAnsi" w:hAnsiTheme="majorHAnsi" w:cstheme="majorHAnsi"/>
                <w:b/>
                <w:lang w:val="en-GB"/>
              </w:rPr>
            </w:pPr>
            <w:r w:rsidRPr="00425667">
              <w:rPr>
                <w:rFonts w:asciiTheme="majorHAnsi" w:hAnsiTheme="majorHAnsi" w:cstheme="majorHAnsi"/>
                <w:b/>
                <w:lang w:val="en-GB"/>
              </w:rPr>
              <w:t xml:space="preserve">Submitted </w:t>
            </w:r>
            <w:r w:rsidR="00415D62" w:rsidRPr="00425667">
              <w:rPr>
                <w:rFonts w:asciiTheme="majorHAnsi" w:hAnsiTheme="majorHAnsi" w:cstheme="majorHAnsi"/>
                <w:b/>
                <w:lang w:val="en-GB"/>
              </w:rPr>
              <w:t xml:space="preserve">by: </w:t>
            </w:r>
            <w:r w:rsidR="00A44EA4" w:rsidRPr="00425667">
              <w:rPr>
                <w:rFonts w:asciiTheme="majorHAnsi" w:hAnsiTheme="majorHAnsi" w:cstheme="majorHAnsi"/>
                <w:b/>
                <w:lang w:val="en-GB"/>
              </w:rPr>
              <w:t>CEPEW</w:t>
            </w:r>
          </w:p>
          <w:p w14:paraId="2F3485DA" w14:textId="46C2F01B" w:rsidR="00367659" w:rsidRPr="00E25D75" w:rsidRDefault="00367659" w:rsidP="00B117E9">
            <w:pPr>
              <w:spacing w:before="60" w:after="120" w:line="360" w:lineRule="auto"/>
              <w:ind w:left="360"/>
              <w:rPr>
                <w:rFonts w:asciiTheme="majorHAnsi" w:hAnsiTheme="majorHAnsi" w:cstheme="majorHAnsi"/>
                <w:b/>
                <w:color w:val="000000"/>
                <w:lang w:val="en-GB"/>
              </w:rPr>
            </w:pPr>
          </w:p>
        </w:tc>
      </w:tr>
      <w:tr w:rsidR="006B20E4" w:rsidRPr="00E25D75" w14:paraId="1F38F015" w14:textId="77777777">
        <w:tblPrEx>
          <w:tblBorders>
            <w:right w:val="none" w:sz="0" w:space="0" w:color="auto"/>
          </w:tblBorders>
          <w:shd w:val="clear" w:color="auto" w:fill="auto"/>
        </w:tblPrEx>
        <w:trPr>
          <w:gridAfter w:val="2"/>
          <w:wAfter w:w="277" w:type="dxa"/>
          <w:trHeight w:val="495"/>
        </w:trPr>
        <w:tc>
          <w:tcPr>
            <w:tcW w:w="9370" w:type="dxa"/>
            <w:gridSpan w:val="2"/>
          </w:tcPr>
          <w:p w14:paraId="38513A5E" w14:textId="3798DC88" w:rsidR="006B20E4" w:rsidRPr="00E25D75" w:rsidRDefault="005637F8" w:rsidP="00B117E9">
            <w:pPr>
              <w:spacing w:before="60" w:after="120" w:line="360" w:lineRule="auto"/>
              <w:ind w:left="360"/>
              <w:jc w:val="right"/>
              <w:rPr>
                <w:rFonts w:asciiTheme="majorHAnsi" w:hAnsiTheme="majorHAnsi" w:cstheme="majorHAnsi"/>
                <w:i/>
                <w:iCs/>
                <w:lang w:val="en-GB"/>
              </w:rPr>
            </w:pPr>
            <w:r w:rsidRPr="00E25D75">
              <w:rPr>
                <w:rFonts w:asciiTheme="majorHAnsi" w:hAnsiTheme="majorHAnsi" w:cstheme="majorHAnsi"/>
                <w:i/>
                <w:iCs/>
                <w:lang w:val="en-GB"/>
              </w:rPr>
              <w:t>Hanoi, 04 February 2019</w:t>
            </w:r>
          </w:p>
        </w:tc>
      </w:tr>
      <w:tr w:rsidR="006B20E4" w:rsidRPr="00E25D75" w14:paraId="7117F989" w14:textId="77777777" w:rsidTr="00773156">
        <w:tblPrEx>
          <w:tblBorders>
            <w:right w:val="none" w:sz="0" w:space="0" w:color="auto"/>
          </w:tblBorders>
          <w:shd w:val="clear" w:color="auto" w:fill="auto"/>
          <w:tblCellMar>
            <w:left w:w="108" w:type="dxa"/>
            <w:right w:w="108" w:type="dxa"/>
          </w:tblCellMar>
          <w:tblLook w:val="04A0" w:firstRow="1" w:lastRow="0" w:firstColumn="1" w:lastColumn="0" w:noHBand="0" w:noVBand="1"/>
        </w:tblPrEx>
        <w:trPr>
          <w:trHeight w:val="1153"/>
        </w:trPr>
        <w:tc>
          <w:tcPr>
            <w:tcW w:w="9647" w:type="dxa"/>
            <w:gridSpan w:val="4"/>
          </w:tcPr>
          <w:tbl>
            <w:tblPr>
              <w:tblW w:w="9669" w:type="dxa"/>
              <w:tblLayout w:type="fixed"/>
              <w:tblLook w:val="04A0" w:firstRow="1" w:lastRow="0" w:firstColumn="1" w:lastColumn="0" w:noHBand="0" w:noVBand="1"/>
            </w:tblPr>
            <w:tblGrid>
              <w:gridCol w:w="4688"/>
              <w:gridCol w:w="4981"/>
            </w:tblGrid>
            <w:tr w:rsidR="00773156" w:rsidRPr="00E25D75" w14:paraId="67200D14" w14:textId="77777777" w:rsidTr="00FE6F98">
              <w:trPr>
                <w:trHeight w:val="362"/>
              </w:trPr>
              <w:tc>
                <w:tcPr>
                  <w:tcW w:w="9669" w:type="dxa"/>
                  <w:gridSpan w:val="2"/>
                  <w:tcBorders>
                    <w:bottom w:val="single" w:sz="36" w:space="0" w:color="C6D9F1"/>
                  </w:tcBorders>
                </w:tcPr>
                <w:p w14:paraId="691509A6" w14:textId="058482D3" w:rsidR="00773156" w:rsidRPr="00E25D75" w:rsidRDefault="00773156" w:rsidP="00B117E9">
                  <w:pPr>
                    <w:framePr w:hSpace="141" w:wrap="around" w:vAnchor="page" w:hAnchor="page" w:x="1541" w:y="2941"/>
                    <w:spacing w:before="60" w:after="120" w:line="360" w:lineRule="auto"/>
                    <w:ind w:left="360"/>
                    <w:rPr>
                      <w:rFonts w:asciiTheme="majorHAnsi" w:hAnsiTheme="majorHAnsi" w:cstheme="majorHAnsi"/>
                      <w:lang w:val="en-GB"/>
                    </w:rPr>
                  </w:pPr>
                  <w:r w:rsidRPr="00E25D75">
                    <w:rPr>
                      <w:rFonts w:asciiTheme="majorHAnsi" w:hAnsiTheme="majorHAnsi" w:cstheme="majorHAnsi"/>
                      <w:b/>
                      <w:color w:val="000000"/>
                      <w:lang w:val="en-GB"/>
                    </w:rPr>
                    <w:t xml:space="preserve">With the support </w:t>
                  </w:r>
                  <w:r w:rsidR="0092698E" w:rsidRPr="00E25D75">
                    <w:rPr>
                      <w:rFonts w:asciiTheme="majorHAnsi" w:hAnsiTheme="majorHAnsi" w:cstheme="majorHAnsi"/>
                      <w:b/>
                      <w:color w:val="000000"/>
                      <w:lang w:val="en-GB"/>
                    </w:rPr>
                    <w:t>from</w:t>
                  </w:r>
                  <w:r w:rsidRPr="00E25D75">
                    <w:rPr>
                      <w:rFonts w:asciiTheme="majorHAnsi" w:hAnsiTheme="majorHAnsi" w:cstheme="majorHAnsi"/>
                      <w:b/>
                      <w:color w:val="000000"/>
                      <w:lang w:val="en-GB"/>
                    </w:rPr>
                    <w:t>:</w:t>
                  </w:r>
                </w:p>
              </w:tc>
            </w:tr>
            <w:tr w:rsidR="00773156" w:rsidRPr="00E25D75" w14:paraId="22162197" w14:textId="77777777" w:rsidTr="00FE6F98">
              <w:trPr>
                <w:gridAfter w:val="1"/>
                <w:wAfter w:w="4981" w:type="dxa"/>
                <w:trHeight w:val="1564"/>
              </w:trPr>
              <w:tc>
                <w:tcPr>
                  <w:tcW w:w="4688" w:type="dxa"/>
                  <w:tcBorders>
                    <w:top w:val="single" w:sz="36" w:space="0" w:color="C6D9F1"/>
                  </w:tcBorders>
                </w:tcPr>
                <w:p w14:paraId="53A2A80F" w14:textId="77777777" w:rsidR="00773156" w:rsidRPr="00E25D75" w:rsidRDefault="00CD5DA8" w:rsidP="00B117E9">
                  <w:pPr>
                    <w:framePr w:hSpace="141" w:wrap="around" w:vAnchor="page" w:hAnchor="page" w:x="1541" w:y="2941"/>
                    <w:spacing w:before="60" w:after="120" w:line="360" w:lineRule="auto"/>
                    <w:ind w:left="360"/>
                    <w:rPr>
                      <w:rFonts w:asciiTheme="majorHAnsi" w:hAnsiTheme="majorHAnsi" w:cstheme="majorHAnsi"/>
                      <w:lang w:val="en-GB"/>
                    </w:rPr>
                  </w:pPr>
                  <w:r w:rsidRPr="00E25D75">
                    <w:rPr>
                      <w:rFonts w:asciiTheme="majorHAnsi" w:hAnsiTheme="majorHAnsi" w:cstheme="majorHAnsi"/>
                      <w:noProof/>
                      <w:lang w:val="en-GB"/>
                    </w:rPr>
                    <w:drawing>
                      <wp:anchor distT="0" distB="0" distL="0" distR="0" simplePos="0" relativeHeight="251657728" behindDoc="0" locked="0" layoutInCell="1" allowOverlap="1" wp14:anchorId="6F9DE65B" wp14:editId="179B201B">
                        <wp:simplePos x="0" y="0"/>
                        <wp:positionH relativeFrom="column">
                          <wp:posOffset>-8890</wp:posOffset>
                        </wp:positionH>
                        <wp:positionV relativeFrom="paragraph">
                          <wp:posOffset>87630</wp:posOffset>
                        </wp:positionV>
                        <wp:extent cx="2230755" cy="632460"/>
                        <wp:effectExtent l="0" t="0" r="4445"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632460"/>
                                </a:xfrm>
                                <a:prstGeom prst="rect">
                                  <a:avLst/>
                                </a:prstGeom>
                                <a:solidFill>
                                  <a:srgbClr val="FFFFFF"/>
                                </a:solidFill>
                                <a:ln>
                                  <a:noFill/>
                                </a:ln>
                              </pic:spPr>
                            </pic:pic>
                          </a:graphicData>
                        </a:graphic>
                      </wp:anchor>
                    </w:drawing>
                  </w:r>
                </w:p>
              </w:tc>
            </w:tr>
          </w:tbl>
          <w:p w14:paraId="4613650A" w14:textId="77777777" w:rsidR="006B20E4" w:rsidRPr="00E25D75" w:rsidRDefault="006B20E4" w:rsidP="00B117E9">
            <w:pPr>
              <w:tabs>
                <w:tab w:val="left" w:pos="2400"/>
              </w:tabs>
              <w:spacing w:before="60" w:after="120" w:line="360" w:lineRule="auto"/>
              <w:rPr>
                <w:rFonts w:asciiTheme="majorHAnsi" w:hAnsiTheme="majorHAnsi" w:cstheme="majorHAnsi"/>
                <w:lang w:val="en-GB"/>
              </w:rPr>
            </w:pPr>
          </w:p>
        </w:tc>
      </w:tr>
    </w:tbl>
    <w:p w14:paraId="3FCCF2DB" w14:textId="77777777" w:rsidR="006B20E4" w:rsidRPr="00E25D75" w:rsidRDefault="006B20E4" w:rsidP="00B117E9">
      <w:pPr>
        <w:spacing w:before="60" w:after="120" w:line="360" w:lineRule="auto"/>
        <w:rPr>
          <w:rFonts w:asciiTheme="majorHAnsi" w:hAnsiTheme="majorHAnsi" w:cstheme="majorHAnsi"/>
          <w:b/>
          <w:color w:val="000000"/>
          <w:lang w:val="en-GB"/>
        </w:rPr>
      </w:pPr>
    </w:p>
    <w:p w14:paraId="348D9F97" w14:textId="77777777" w:rsidR="006B20E4" w:rsidRPr="00E25D75" w:rsidRDefault="006B20E4" w:rsidP="00B117E9">
      <w:pPr>
        <w:autoSpaceDE w:val="0"/>
        <w:autoSpaceDN w:val="0"/>
        <w:adjustRightInd w:val="0"/>
        <w:spacing w:before="60" w:after="120" w:line="360" w:lineRule="auto"/>
        <w:rPr>
          <w:rFonts w:asciiTheme="majorHAnsi" w:hAnsiTheme="majorHAnsi" w:cstheme="majorHAnsi"/>
          <w:b/>
          <w:color w:val="000000"/>
          <w:lang w:val="en-GB"/>
        </w:rPr>
      </w:pPr>
    </w:p>
    <w:p w14:paraId="38302A24" w14:textId="77777777" w:rsidR="006B20E4" w:rsidRPr="00E25D75" w:rsidRDefault="006B20E4" w:rsidP="00B117E9">
      <w:pPr>
        <w:tabs>
          <w:tab w:val="left" w:pos="2540"/>
        </w:tabs>
        <w:autoSpaceDE w:val="0"/>
        <w:autoSpaceDN w:val="0"/>
        <w:adjustRightInd w:val="0"/>
        <w:spacing w:before="60" w:after="120" w:line="360" w:lineRule="auto"/>
        <w:rPr>
          <w:rFonts w:asciiTheme="majorHAnsi" w:hAnsiTheme="majorHAnsi" w:cstheme="majorHAnsi"/>
          <w:b/>
          <w:color w:val="000000"/>
          <w:lang w:val="en-GB"/>
        </w:rPr>
        <w:sectPr w:rsidR="006B20E4" w:rsidRPr="00E25D75" w:rsidSect="004E557F">
          <w:headerReference w:type="default" r:id="rId9"/>
          <w:footerReference w:type="even" r:id="rId10"/>
          <w:footerReference w:type="default" r:id="rId11"/>
          <w:pgSz w:w="11906" w:h="16838"/>
          <w:pgMar w:top="1440" w:right="1440" w:bottom="1440" w:left="1440" w:header="709" w:footer="709" w:gutter="0"/>
          <w:cols w:space="708"/>
          <w:rtlGutter/>
          <w:docGrid w:linePitch="360"/>
        </w:sectPr>
      </w:pPr>
    </w:p>
    <w:sdt>
      <w:sdtPr>
        <w:rPr>
          <w:rFonts w:ascii="Times New Roman" w:eastAsia="Calibri" w:hAnsi="Times New Roman" w:cstheme="majorHAnsi"/>
          <w:b w:val="0"/>
          <w:bCs w:val="0"/>
          <w:color w:val="auto"/>
          <w:sz w:val="22"/>
          <w:szCs w:val="22"/>
          <w:lang w:val="en-GB"/>
        </w:rPr>
        <w:id w:val="55161174"/>
        <w:docPartObj>
          <w:docPartGallery w:val="Table of Contents"/>
          <w:docPartUnique/>
        </w:docPartObj>
      </w:sdtPr>
      <w:sdtEndPr/>
      <w:sdtContent>
        <w:p w14:paraId="2ACD6917" w14:textId="77777777" w:rsidR="00CA5810" w:rsidRPr="00D26E14" w:rsidRDefault="00CA5810" w:rsidP="00D26E14">
          <w:pPr>
            <w:pStyle w:val="TOCHeading"/>
            <w:spacing w:before="60" w:after="120" w:line="360" w:lineRule="auto"/>
            <w:ind w:left="360"/>
            <w:jc w:val="center"/>
            <w:rPr>
              <w:rFonts w:cstheme="majorHAnsi"/>
              <w:lang w:val="en-GB"/>
            </w:rPr>
          </w:pPr>
          <w:r w:rsidRPr="00D26E14">
            <w:rPr>
              <w:rFonts w:cstheme="majorHAnsi"/>
              <w:lang w:val="en-GB"/>
            </w:rPr>
            <w:t>Contents</w:t>
          </w:r>
        </w:p>
        <w:p w14:paraId="15DE7CB0" w14:textId="313FA6AB" w:rsidR="00847491" w:rsidRDefault="00AC254E">
          <w:pPr>
            <w:pStyle w:val="TOC1"/>
            <w:tabs>
              <w:tab w:val="right" w:leader="dot" w:pos="9016"/>
            </w:tabs>
            <w:rPr>
              <w:rFonts w:asciiTheme="minorHAnsi" w:eastAsiaTheme="minorEastAsia" w:hAnsiTheme="minorHAnsi" w:cstheme="minorBidi"/>
              <w:noProof/>
              <w:sz w:val="24"/>
              <w:szCs w:val="24"/>
              <w:lang w:val="en-US"/>
            </w:rPr>
          </w:pPr>
          <w:r w:rsidRPr="00E25D75">
            <w:rPr>
              <w:rFonts w:asciiTheme="majorHAnsi" w:hAnsiTheme="majorHAnsi" w:cstheme="majorHAnsi"/>
              <w:lang w:val="en-GB"/>
            </w:rPr>
            <w:fldChar w:fldCharType="begin"/>
          </w:r>
          <w:r w:rsidR="00CA5810" w:rsidRPr="00E25D75">
            <w:rPr>
              <w:rFonts w:asciiTheme="majorHAnsi" w:hAnsiTheme="majorHAnsi" w:cstheme="majorHAnsi"/>
              <w:lang w:val="en-GB"/>
            </w:rPr>
            <w:instrText xml:space="preserve"> TOC \o "1-3" \h \z \u </w:instrText>
          </w:r>
          <w:r w:rsidRPr="00E25D75">
            <w:rPr>
              <w:rFonts w:asciiTheme="majorHAnsi" w:hAnsiTheme="majorHAnsi" w:cstheme="majorHAnsi"/>
              <w:lang w:val="en-GB"/>
            </w:rPr>
            <w:fldChar w:fldCharType="separate"/>
          </w:r>
          <w:hyperlink w:anchor="_Toc353552" w:history="1">
            <w:r w:rsidR="00847491" w:rsidRPr="00E2745E">
              <w:rPr>
                <w:rStyle w:val="Hyperlink"/>
                <w:rFonts w:asciiTheme="majorHAnsi" w:hAnsiTheme="majorHAnsi" w:cstheme="majorHAnsi"/>
                <w:noProof/>
              </w:rPr>
              <w:t>I - Introduction</w:t>
            </w:r>
            <w:r w:rsidR="00847491">
              <w:rPr>
                <w:noProof/>
                <w:webHidden/>
              </w:rPr>
              <w:tab/>
            </w:r>
            <w:r w:rsidR="00847491">
              <w:rPr>
                <w:noProof/>
                <w:webHidden/>
              </w:rPr>
              <w:fldChar w:fldCharType="begin"/>
            </w:r>
            <w:r w:rsidR="00847491">
              <w:rPr>
                <w:noProof/>
                <w:webHidden/>
              </w:rPr>
              <w:instrText xml:space="preserve"> PAGEREF _Toc353552 \h </w:instrText>
            </w:r>
            <w:r w:rsidR="00847491">
              <w:rPr>
                <w:noProof/>
                <w:webHidden/>
              </w:rPr>
            </w:r>
            <w:r w:rsidR="00847491">
              <w:rPr>
                <w:noProof/>
                <w:webHidden/>
              </w:rPr>
              <w:fldChar w:fldCharType="separate"/>
            </w:r>
            <w:r w:rsidR="00847491">
              <w:rPr>
                <w:noProof/>
                <w:webHidden/>
              </w:rPr>
              <w:t>3</w:t>
            </w:r>
            <w:r w:rsidR="00847491">
              <w:rPr>
                <w:noProof/>
                <w:webHidden/>
              </w:rPr>
              <w:fldChar w:fldCharType="end"/>
            </w:r>
          </w:hyperlink>
        </w:p>
        <w:p w14:paraId="13621A79" w14:textId="35058D2C"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53" w:history="1">
            <w:r w:rsidRPr="00E2745E">
              <w:rPr>
                <w:rStyle w:val="Hyperlink"/>
                <w:noProof/>
              </w:rPr>
              <w:t>1.</w:t>
            </w:r>
            <w:r>
              <w:rPr>
                <w:rFonts w:asciiTheme="minorHAnsi" w:eastAsiaTheme="minorEastAsia" w:hAnsiTheme="minorHAnsi" w:cstheme="minorBidi"/>
                <w:noProof/>
                <w:sz w:val="24"/>
                <w:szCs w:val="24"/>
                <w:lang w:val="en-US"/>
              </w:rPr>
              <w:tab/>
            </w:r>
            <w:r w:rsidRPr="00E2745E">
              <w:rPr>
                <w:rStyle w:val="Hyperlink"/>
                <w:noProof/>
              </w:rPr>
              <w:t>Joining organisations</w:t>
            </w:r>
            <w:r>
              <w:rPr>
                <w:noProof/>
                <w:webHidden/>
              </w:rPr>
              <w:tab/>
            </w:r>
            <w:r>
              <w:rPr>
                <w:noProof/>
                <w:webHidden/>
              </w:rPr>
              <w:fldChar w:fldCharType="begin"/>
            </w:r>
            <w:r>
              <w:rPr>
                <w:noProof/>
                <w:webHidden/>
              </w:rPr>
              <w:instrText xml:space="preserve"> PAGEREF _Toc353553 \h </w:instrText>
            </w:r>
            <w:r>
              <w:rPr>
                <w:noProof/>
                <w:webHidden/>
              </w:rPr>
            </w:r>
            <w:r>
              <w:rPr>
                <w:noProof/>
                <w:webHidden/>
              </w:rPr>
              <w:fldChar w:fldCharType="separate"/>
            </w:r>
            <w:r>
              <w:rPr>
                <w:noProof/>
                <w:webHidden/>
              </w:rPr>
              <w:t>3</w:t>
            </w:r>
            <w:r>
              <w:rPr>
                <w:noProof/>
                <w:webHidden/>
              </w:rPr>
              <w:fldChar w:fldCharType="end"/>
            </w:r>
          </w:hyperlink>
        </w:p>
        <w:p w14:paraId="359E3FB7" w14:textId="64CB8D0C"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54" w:history="1">
            <w:r w:rsidRPr="00E2745E">
              <w:rPr>
                <w:rStyle w:val="Hyperlink"/>
                <w:noProof/>
              </w:rPr>
              <w:t>2.</w:t>
            </w:r>
            <w:r>
              <w:rPr>
                <w:rFonts w:asciiTheme="minorHAnsi" w:eastAsiaTheme="minorEastAsia" w:hAnsiTheme="minorHAnsi" w:cstheme="minorBidi"/>
                <w:noProof/>
                <w:sz w:val="24"/>
                <w:szCs w:val="24"/>
                <w:lang w:val="en-US"/>
              </w:rPr>
              <w:tab/>
            </w:r>
            <w:r w:rsidRPr="00E2745E">
              <w:rPr>
                <w:rStyle w:val="Hyperlink"/>
                <w:noProof/>
              </w:rPr>
              <w:t>Methodology</w:t>
            </w:r>
            <w:r>
              <w:rPr>
                <w:noProof/>
                <w:webHidden/>
              </w:rPr>
              <w:tab/>
            </w:r>
            <w:r>
              <w:rPr>
                <w:noProof/>
                <w:webHidden/>
              </w:rPr>
              <w:fldChar w:fldCharType="begin"/>
            </w:r>
            <w:r>
              <w:rPr>
                <w:noProof/>
                <w:webHidden/>
              </w:rPr>
              <w:instrText xml:space="preserve"> PAGEREF _Toc353554 \h </w:instrText>
            </w:r>
            <w:r>
              <w:rPr>
                <w:noProof/>
                <w:webHidden/>
              </w:rPr>
            </w:r>
            <w:r>
              <w:rPr>
                <w:noProof/>
                <w:webHidden/>
              </w:rPr>
              <w:fldChar w:fldCharType="separate"/>
            </w:r>
            <w:r>
              <w:rPr>
                <w:noProof/>
                <w:webHidden/>
              </w:rPr>
              <w:t>3</w:t>
            </w:r>
            <w:r>
              <w:rPr>
                <w:noProof/>
                <w:webHidden/>
              </w:rPr>
              <w:fldChar w:fldCharType="end"/>
            </w:r>
          </w:hyperlink>
        </w:p>
        <w:p w14:paraId="12FF2C52" w14:textId="1D01CD10"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55" w:history="1">
            <w:r w:rsidRPr="00E2745E">
              <w:rPr>
                <w:rStyle w:val="Hyperlink"/>
                <w:noProof/>
              </w:rPr>
              <w:t>3.</w:t>
            </w:r>
            <w:r>
              <w:rPr>
                <w:rFonts w:asciiTheme="minorHAnsi" w:eastAsiaTheme="minorEastAsia" w:hAnsiTheme="minorHAnsi" w:cstheme="minorBidi"/>
                <w:noProof/>
                <w:sz w:val="24"/>
                <w:szCs w:val="24"/>
                <w:lang w:val="en-US"/>
              </w:rPr>
              <w:tab/>
            </w:r>
            <w:r w:rsidRPr="00E2745E">
              <w:rPr>
                <w:rStyle w:val="Hyperlink"/>
                <w:noProof/>
              </w:rPr>
              <w:t>Contact details</w:t>
            </w:r>
            <w:r>
              <w:rPr>
                <w:noProof/>
                <w:webHidden/>
              </w:rPr>
              <w:tab/>
            </w:r>
            <w:r>
              <w:rPr>
                <w:noProof/>
                <w:webHidden/>
              </w:rPr>
              <w:fldChar w:fldCharType="begin"/>
            </w:r>
            <w:r>
              <w:rPr>
                <w:noProof/>
                <w:webHidden/>
              </w:rPr>
              <w:instrText xml:space="preserve"> PAGEREF _Toc353555 \h </w:instrText>
            </w:r>
            <w:r>
              <w:rPr>
                <w:noProof/>
                <w:webHidden/>
              </w:rPr>
            </w:r>
            <w:r>
              <w:rPr>
                <w:noProof/>
                <w:webHidden/>
              </w:rPr>
              <w:fldChar w:fldCharType="separate"/>
            </w:r>
            <w:r>
              <w:rPr>
                <w:noProof/>
                <w:webHidden/>
              </w:rPr>
              <w:t>3</w:t>
            </w:r>
            <w:r>
              <w:rPr>
                <w:noProof/>
                <w:webHidden/>
              </w:rPr>
              <w:fldChar w:fldCharType="end"/>
            </w:r>
          </w:hyperlink>
        </w:p>
        <w:p w14:paraId="6253FB49" w14:textId="717B4F40" w:rsidR="00847491" w:rsidRDefault="00847491">
          <w:pPr>
            <w:pStyle w:val="TOC1"/>
            <w:tabs>
              <w:tab w:val="right" w:leader="dot" w:pos="9016"/>
            </w:tabs>
            <w:rPr>
              <w:rFonts w:asciiTheme="minorHAnsi" w:eastAsiaTheme="minorEastAsia" w:hAnsiTheme="minorHAnsi" w:cstheme="minorBidi"/>
              <w:noProof/>
              <w:sz w:val="24"/>
              <w:szCs w:val="24"/>
              <w:lang w:val="en-US"/>
            </w:rPr>
          </w:pPr>
          <w:hyperlink w:anchor="_Toc353556" w:history="1">
            <w:r w:rsidRPr="00E2745E">
              <w:rPr>
                <w:rStyle w:val="Hyperlink"/>
                <w:rFonts w:asciiTheme="majorHAnsi" w:hAnsiTheme="majorHAnsi" w:cstheme="majorHAnsi"/>
                <w:noProof/>
              </w:rPr>
              <w:t>II - Responses to the List of Issues</w:t>
            </w:r>
            <w:r>
              <w:rPr>
                <w:noProof/>
                <w:webHidden/>
              </w:rPr>
              <w:tab/>
            </w:r>
            <w:r>
              <w:rPr>
                <w:noProof/>
                <w:webHidden/>
              </w:rPr>
              <w:fldChar w:fldCharType="begin"/>
            </w:r>
            <w:r>
              <w:rPr>
                <w:noProof/>
                <w:webHidden/>
              </w:rPr>
              <w:instrText xml:space="preserve"> PAGEREF _Toc353556 \h </w:instrText>
            </w:r>
            <w:r>
              <w:rPr>
                <w:noProof/>
                <w:webHidden/>
              </w:rPr>
            </w:r>
            <w:r>
              <w:rPr>
                <w:noProof/>
                <w:webHidden/>
              </w:rPr>
              <w:fldChar w:fldCharType="separate"/>
            </w:r>
            <w:r>
              <w:rPr>
                <w:noProof/>
                <w:webHidden/>
              </w:rPr>
              <w:t>4</w:t>
            </w:r>
            <w:r>
              <w:rPr>
                <w:noProof/>
                <w:webHidden/>
              </w:rPr>
              <w:fldChar w:fldCharType="end"/>
            </w:r>
          </w:hyperlink>
        </w:p>
        <w:p w14:paraId="4ADC13E2" w14:textId="52E24C70"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57" w:history="1">
            <w:r w:rsidRPr="00E2745E">
              <w:rPr>
                <w:rStyle w:val="Hyperlink"/>
                <w:noProof/>
              </w:rPr>
              <w:t>1.</w:t>
            </w:r>
            <w:r>
              <w:rPr>
                <w:rFonts w:asciiTheme="minorHAnsi" w:eastAsiaTheme="minorEastAsia" w:hAnsiTheme="minorHAnsi" w:cstheme="minorBidi"/>
                <w:noProof/>
                <w:sz w:val="24"/>
                <w:szCs w:val="24"/>
                <w:lang w:val="en-US"/>
              </w:rPr>
              <w:tab/>
            </w:r>
            <w:r w:rsidRPr="00E2745E">
              <w:rPr>
                <w:rStyle w:val="Hyperlink"/>
                <w:noProof/>
              </w:rPr>
              <w:t>Non-discrimination and gender equality (arts. 2, 3, 20 and 26)</w:t>
            </w:r>
            <w:r>
              <w:rPr>
                <w:noProof/>
                <w:webHidden/>
              </w:rPr>
              <w:tab/>
            </w:r>
            <w:r>
              <w:rPr>
                <w:noProof/>
                <w:webHidden/>
              </w:rPr>
              <w:fldChar w:fldCharType="begin"/>
            </w:r>
            <w:r>
              <w:rPr>
                <w:noProof/>
                <w:webHidden/>
              </w:rPr>
              <w:instrText xml:space="preserve"> PAGEREF _Toc353557 \h </w:instrText>
            </w:r>
            <w:r>
              <w:rPr>
                <w:noProof/>
                <w:webHidden/>
              </w:rPr>
            </w:r>
            <w:r>
              <w:rPr>
                <w:noProof/>
                <w:webHidden/>
              </w:rPr>
              <w:fldChar w:fldCharType="separate"/>
            </w:r>
            <w:r>
              <w:rPr>
                <w:noProof/>
                <w:webHidden/>
              </w:rPr>
              <w:t>4</w:t>
            </w:r>
            <w:r>
              <w:rPr>
                <w:noProof/>
                <w:webHidden/>
              </w:rPr>
              <w:fldChar w:fldCharType="end"/>
            </w:r>
          </w:hyperlink>
        </w:p>
        <w:p w14:paraId="77F3A24F" w14:textId="60F74675"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58" w:history="1">
            <w:r w:rsidRPr="00E2745E">
              <w:rPr>
                <w:rStyle w:val="Hyperlink"/>
                <w:noProof/>
              </w:rPr>
              <w:t>2.</w:t>
            </w:r>
            <w:r>
              <w:rPr>
                <w:rFonts w:asciiTheme="minorHAnsi" w:eastAsiaTheme="minorEastAsia" w:hAnsiTheme="minorHAnsi" w:cstheme="minorBidi"/>
                <w:noProof/>
                <w:sz w:val="24"/>
                <w:szCs w:val="24"/>
                <w:lang w:val="en-US"/>
              </w:rPr>
              <w:tab/>
            </w:r>
            <w:r w:rsidRPr="00E2745E">
              <w:rPr>
                <w:rStyle w:val="Hyperlink"/>
                <w:noProof/>
              </w:rPr>
              <w:t>Measures taken to combat violence against women</w:t>
            </w:r>
            <w:r>
              <w:rPr>
                <w:noProof/>
                <w:webHidden/>
              </w:rPr>
              <w:tab/>
            </w:r>
            <w:r>
              <w:rPr>
                <w:noProof/>
                <w:webHidden/>
              </w:rPr>
              <w:fldChar w:fldCharType="begin"/>
            </w:r>
            <w:r>
              <w:rPr>
                <w:noProof/>
                <w:webHidden/>
              </w:rPr>
              <w:instrText xml:space="preserve"> PAGEREF _Toc353558 \h </w:instrText>
            </w:r>
            <w:r>
              <w:rPr>
                <w:noProof/>
                <w:webHidden/>
              </w:rPr>
            </w:r>
            <w:r>
              <w:rPr>
                <w:noProof/>
                <w:webHidden/>
              </w:rPr>
              <w:fldChar w:fldCharType="separate"/>
            </w:r>
            <w:r>
              <w:rPr>
                <w:noProof/>
                <w:webHidden/>
              </w:rPr>
              <w:t>10</w:t>
            </w:r>
            <w:r>
              <w:rPr>
                <w:noProof/>
                <w:webHidden/>
              </w:rPr>
              <w:fldChar w:fldCharType="end"/>
            </w:r>
          </w:hyperlink>
        </w:p>
        <w:p w14:paraId="58A6AF67" w14:textId="2AEB0447"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59" w:history="1">
            <w:r w:rsidRPr="00E2745E">
              <w:rPr>
                <w:rStyle w:val="Hyperlink"/>
                <w:noProof/>
              </w:rPr>
              <w:t>3.</w:t>
            </w:r>
            <w:r>
              <w:rPr>
                <w:rFonts w:asciiTheme="minorHAnsi" w:eastAsiaTheme="minorEastAsia" w:hAnsiTheme="minorHAnsi" w:cstheme="minorBidi"/>
                <w:noProof/>
                <w:sz w:val="24"/>
                <w:szCs w:val="24"/>
                <w:lang w:val="en-US"/>
              </w:rPr>
              <w:tab/>
            </w:r>
            <w:r w:rsidRPr="00E2745E">
              <w:rPr>
                <w:rStyle w:val="Hyperlink"/>
                <w:noProof/>
              </w:rPr>
              <w:t>Freedom of association</w:t>
            </w:r>
            <w:r w:rsidRPr="00E2745E">
              <w:rPr>
                <w:rStyle w:val="Hyperlink"/>
                <w:noProof/>
                <w:lang w:val="vi-VN"/>
              </w:rPr>
              <w:t xml:space="preserve"> of women</w:t>
            </w:r>
            <w:r>
              <w:rPr>
                <w:noProof/>
                <w:webHidden/>
              </w:rPr>
              <w:tab/>
            </w:r>
            <w:r>
              <w:rPr>
                <w:noProof/>
                <w:webHidden/>
              </w:rPr>
              <w:fldChar w:fldCharType="begin"/>
            </w:r>
            <w:r>
              <w:rPr>
                <w:noProof/>
                <w:webHidden/>
              </w:rPr>
              <w:instrText xml:space="preserve"> PAGEREF _Toc353559 \h </w:instrText>
            </w:r>
            <w:r>
              <w:rPr>
                <w:noProof/>
                <w:webHidden/>
              </w:rPr>
            </w:r>
            <w:r>
              <w:rPr>
                <w:noProof/>
                <w:webHidden/>
              </w:rPr>
              <w:fldChar w:fldCharType="separate"/>
            </w:r>
            <w:r>
              <w:rPr>
                <w:noProof/>
                <w:webHidden/>
              </w:rPr>
              <w:t>12</w:t>
            </w:r>
            <w:r>
              <w:rPr>
                <w:noProof/>
                <w:webHidden/>
              </w:rPr>
              <w:fldChar w:fldCharType="end"/>
            </w:r>
          </w:hyperlink>
        </w:p>
        <w:p w14:paraId="0DA3E241" w14:textId="545BC9B0"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60" w:history="1">
            <w:r w:rsidRPr="00E2745E">
              <w:rPr>
                <w:rStyle w:val="Hyperlink"/>
                <w:noProof/>
              </w:rPr>
              <w:t>4.</w:t>
            </w:r>
            <w:r>
              <w:rPr>
                <w:rFonts w:asciiTheme="minorHAnsi" w:eastAsiaTheme="minorEastAsia" w:hAnsiTheme="minorHAnsi" w:cstheme="minorBidi"/>
                <w:noProof/>
                <w:sz w:val="24"/>
                <w:szCs w:val="24"/>
                <w:lang w:val="en-US"/>
              </w:rPr>
              <w:tab/>
            </w:r>
            <w:r w:rsidRPr="00E2745E">
              <w:rPr>
                <w:rStyle w:val="Hyperlink"/>
                <w:noProof/>
              </w:rPr>
              <w:t>Freedom of peaceful assembly</w:t>
            </w:r>
            <w:r w:rsidRPr="00E2745E">
              <w:rPr>
                <w:rStyle w:val="Hyperlink"/>
                <w:noProof/>
                <w:lang w:val="vi-VN"/>
              </w:rPr>
              <w:t xml:space="preserve"> of women</w:t>
            </w:r>
            <w:r>
              <w:rPr>
                <w:noProof/>
                <w:webHidden/>
              </w:rPr>
              <w:tab/>
            </w:r>
            <w:r>
              <w:rPr>
                <w:noProof/>
                <w:webHidden/>
              </w:rPr>
              <w:fldChar w:fldCharType="begin"/>
            </w:r>
            <w:r>
              <w:rPr>
                <w:noProof/>
                <w:webHidden/>
              </w:rPr>
              <w:instrText xml:space="preserve"> PAGEREF _Toc353560 \h </w:instrText>
            </w:r>
            <w:r>
              <w:rPr>
                <w:noProof/>
                <w:webHidden/>
              </w:rPr>
            </w:r>
            <w:r>
              <w:rPr>
                <w:noProof/>
                <w:webHidden/>
              </w:rPr>
              <w:fldChar w:fldCharType="separate"/>
            </w:r>
            <w:r>
              <w:rPr>
                <w:noProof/>
                <w:webHidden/>
              </w:rPr>
              <w:t>16</w:t>
            </w:r>
            <w:r>
              <w:rPr>
                <w:noProof/>
                <w:webHidden/>
              </w:rPr>
              <w:fldChar w:fldCharType="end"/>
            </w:r>
          </w:hyperlink>
        </w:p>
        <w:p w14:paraId="632B974D" w14:textId="761DD4C2"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61" w:history="1">
            <w:r w:rsidRPr="00E2745E">
              <w:rPr>
                <w:rStyle w:val="Hyperlink"/>
                <w:noProof/>
              </w:rPr>
              <w:t>5.</w:t>
            </w:r>
            <w:r>
              <w:rPr>
                <w:rFonts w:asciiTheme="minorHAnsi" w:eastAsiaTheme="minorEastAsia" w:hAnsiTheme="minorHAnsi" w:cstheme="minorBidi"/>
                <w:noProof/>
                <w:sz w:val="24"/>
                <w:szCs w:val="24"/>
                <w:lang w:val="en-US"/>
              </w:rPr>
              <w:tab/>
            </w:r>
            <w:r w:rsidRPr="00E2745E">
              <w:rPr>
                <w:rStyle w:val="Hyperlink"/>
                <w:noProof/>
              </w:rPr>
              <w:t>Women’s participation in public life</w:t>
            </w:r>
            <w:r>
              <w:rPr>
                <w:noProof/>
                <w:webHidden/>
              </w:rPr>
              <w:tab/>
            </w:r>
            <w:r>
              <w:rPr>
                <w:noProof/>
                <w:webHidden/>
              </w:rPr>
              <w:fldChar w:fldCharType="begin"/>
            </w:r>
            <w:r>
              <w:rPr>
                <w:noProof/>
                <w:webHidden/>
              </w:rPr>
              <w:instrText xml:space="preserve"> PAGEREF _Toc353561 \h </w:instrText>
            </w:r>
            <w:r>
              <w:rPr>
                <w:noProof/>
                <w:webHidden/>
              </w:rPr>
            </w:r>
            <w:r>
              <w:rPr>
                <w:noProof/>
                <w:webHidden/>
              </w:rPr>
              <w:fldChar w:fldCharType="separate"/>
            </w:r>
            <w:r>
              <w:rPr>
                <w:noProof/>
                <w:webHidden/>
              </w:rPr>
              <w:t>17</w:t>
            </w:r>
            <w:r>
              <w:rPr>
                <w:noProof/>
                <w:webHidden/>
              </w:rPr>
              <w:fldChar w:fldCharType="end"/>
            </w:r>
          </w:hyperlink>
        </w:p>
        <w:p w14:paraId="1A584DF3" w14:textId="3A4B3A29" w:rsidR="00847491" w:rsidRDefault="00847491">
          <w:pPr>
            <w:pStyle w:val="TOC2"/>
            <w:tabs>
              <w:tab w:val="left" w:pos="720"/>
              <w:tab w:val="right" w:leader="dot" w:pos="9016"/>
            </w:tabs>
            <w:rPr>
              <w:rFonts w:asciiTheme="minorHAnsi" w:eastAsiaTheme="minorEastAsia" w:hAnsiTheme="minorHAnsi" w:cstheme="minorBidi"/>
              <w:noProof/>
              <w:sz w:val="24"/>
              <w:szCs w:val="24"/>
              <w:lang w:val="en-US"/>
            </w:rPr>
          </w:pPr>
          <w:hyperlink w:anchor="_Toc353562" w:history="1">
            <w:r w:rsidRPr="00E2745E">
              <w:rPr>
                <w:rStyle w:val="Hyperlink"/>
                <w:noProof/>
              </w:rPr>
              <w:t>6.</w:t>
            </w:r>
            <w:r>
              <w:rPr>
                <w:rFonts w:asciiTheme="minorHAnsi" w:eastAsiaTheme="minorEastAsia" w:hAnsiTheme="minorHAnsi" w:cstheme="minorBidi"/>
                <w:noProof/>
                <w:sz w:val="24"/>
                <w:szCs w:val="24"/>
                <w:lang w:val="en-US"/>
              </w:rPr>
              <w:tab/>
            </w:r>
            <w:r w:rsidRPr="00E2745E">
              <w:rPr>
                <w:rStyle w:val="Hyperlink"/>
                <w:noProof/>
              </w:rPr>
              <w:t>Other issues: Protecting the rights of Juvenile offenders</w:t>
            </w:r>
            <w:r>
              <w:rPr>
                <w:noProof/>
                <w:webHidden/>
              </w:rPr>
              <w:tab/>
            </w:r>
            <w:r>
              <w:rPr>
                <w:noProof/>
                <w:webHidden/>
              </w:rPr>
              <w:fldChar w:fldCharType="begin"/>
            </w:r>
            <w:r>
              <w:rPr>
                <w:noProof/>
                <w:webHidden/>
              </w:rPr>
              <w:instrText xml:space="preserve"> PAGEREF _Toc353562 \h </w:instrText>
            </w:r>
            <w:r>
              <w:rPr>
                <w:noProof/>
                <w:webHidden/>
              </w:rPr>
            </w:r>
            <w:r>
              <w:rPr>
                <w:noProof/>
                <w:webHidden/>
              </w:rPr>
              <w:fldChar w:fldCharType="separate"/>
            </w:r>
            <w:r>
              <w:rPr>
                <w:noProof/>
                <w:webHidden/>
              </w:rPr>
              <w:t>19</w:t>
            </w:r>
            <w:r>
              <w:rPr>
                <w:noProof/>
                <w:webHidden/>
              </w:rPr>
              <w:fldChar w:fldCharType="end"/>
            </w:r>
          </w:hyperlink>
        </w:p>
        <w:p w14:paraId="039F7256" w14:textId="008441D3" w:rsidR="00CA5810" w:rsidRPr="00E25D75" w:rsidRDefault="00AC254E" w:rsidP="00B117E9">
          <w:pPr>
            <w:spacing w:before="60" w:after="120" w:line="360" w:lineRule="auto"/>
            <w:rPr>
              <w:rFonts w:asciiTheme="majorHAnsi" w:hAnsiTheme="majorHAnsi" w:cstheme="majorHAnsi"/>
              <w:lang w:val="en-GB"/>
            </w:rPr>
          </w:pPr>
          <w:r w:rsidRPr="00E25D75">
            <w:rPr>
              <w:rFonts w:asciiTheme="majorHAnsi" w:hAnsiTheme="majorHAnsi" w:cstheme="majorHAnsi"/>
              <w:lang w:val="en-GB"/>
            </w:rPr>
            <w:fldChar w:fldCharType="end"/>
          </w:r>
        </w:p>
      </w:sdtContent>
    </w:sdt>
    <w:p w14:paraId="5B3819DA" w14:textId="77777777" w:rsidR="00F33E86" w:rsidRPr="00E25D75" w:rsidRDefault="00F33E86" w:rsidP="00B117E9">
      <w:pPr>
        <w:spacing w:before="60" w:after="120" w:line="360" w:lineRule="auto"/>
        <w:rPr>
          <w:rFonts w:asciiTheme="majorHAnsi" w:hAnsiTheme="majorHAnsi" w:cstheme="majorHAnsi"/>
          <w:lang w:val="en-GB"/>
        </w:rPr>
        <w:sectPr w:rsidR="00F33E86" w:rsidRPr="00E25D75">
          <w:headerReference w:type="first" r:id="rId12"/>
          <w:footerReference w:type="first" r:id="rId13"/>
          <w:pgSz w:w="11906" w:h="16838"/>
          <w:pgMar w:top="1440" w:right="1440" w:bottom="1440" w:left="1440" w:header="708" w:footer="708" w:gutter="0"/>
          <w:cols w:space="708"/>
          <w:titlePg/>
          <w:rtlGutter/>
          <w:docGrid w:linePitch="360"/>
        </w:sectPr>
      </w:pPr>
      <w:bookmarkStart w:id="0" w:name="_GoBack"/>
      <w:bookmarkEnd w:id="0"/>
    </w:p>
    <w:p w14:paraId="1244B563" w14:textId="77777777" w:rsidR="006B20E4" w:rsidRPr="00E25D75" w:rsidRDefault="00916A97" w:rsidP="00B117E9">
      <w:pPr>
        <w:pStyle w:val="Heading1"/>
        <w:spacing w:line="360" w:lineRule="auto"/>
        <w:rPr>
          <w:rFonts w:asciiTheme="majorHAnsi" w:hAnsiTheme="majorHAnsi" w:cstheme="majorHAnsi"/>
          <w:sz w:val="28"/>
          <w:szCs w:val="28"/>
        </w:rPr>
      </w:pPr>
      <w:bookmarkStart w:id="1" w:name="_Toc353552"/>
      <w:r w:rsidRPr="00E25D75">
        <w:rPr>
          <w:rFonts w:asciiTheme="majorHAnsi" w:hAnsiTheme="majorHAnsi" w:cstheme="majorHAnsi"/>
          <w:sz w:val="28"/>
          <w:szCs w:val="28"/>
        </w:rPr>
        <w:lastRenderedPageBreak/>
        <w:t xml:space="preserve">I - </w:t>
      </w:r>
      <w:r w:rsidR="006B20E4" w:rsidRPr="00E25D75">
        <w:rPr>
          <w:rFonts w:asciiTheme="majorHAnsi" w:hAnsiTheme="majorHAnsi" w:cstheme="majorHAnsi"/>
          <w:sz w:val="28"/>
          <w:szCs w:val="28"/>
        </w:rPr>
        <w:t>Introduction</w:t>
      </w:r>
      <w:bookmarkEnd w:id="1"/>
    </w:p>
    <w:p w14:paraId="70EF4DBC" w14:textId="7DFB9E3B" w:rsidR="0028099D" w:rsidRPr="00E815EC" w:rsidRDefault="001A3F4F" w:rsidP="00425667">
      <w:pPr>
        <w:pStyle w:val="Heading2"/>
      </w:pPr>
      <w:bookmarkStart w:id="2" w:name="_Toc353553"/>
      <w:r w:rsidRPr="00E815EC">
        <w:rPr>
          <w:noProof/>
        </w:rPr>
        <w:drawing>
          <wp:anchor distT="0" distB="0" distL="114300" distR="114300" simplePos="0" relativeHeight="251658752" behindDoc="1" locked="0" layoutInCell="1" allowOverlap="1" wp14:anchorId="270AC396" wp14:editId="764C2AAC">
            <wp:simplePos x="0" y="0"/>
            <wp:positionH relativeFrom="column">
              <wp:posOffset>182880</wp:posOffset>
            </wp:positionH>
            <wp:positionV relativeFrom="paragraph">
              <wp:posOffset>202565</wp:posOffset>
            </wp:positionV>
            <wp:extent cx="815340" cy="746760"/>
            <wp:effectExtent l="0" t="0" r="0" b="2540"/>
            <wp:wrapTight wrapText="bothSides">
              <wp:wrapPolygon edited="0">
                <wp:start x="10766" y="0"/>
                <wp:lineTo x="7738" y="2571"/>
                <wp:lineTo x="7402" y="3306"/>
                <wp:lineTo x="8411" y="5878"/>
                <wp:lineTo x="3364" y="7347"/>
                <wp:lineTo x="673" y="9184"/>
                <wp:lineTo x="673" y="11755"/>
                <wp:lineTo x="3364" y="17633"/>
                <wp:lineTo x="3364" y="18367"/>
                <wp:lineTo x="8075" y="21306"/>
                <wp:lineTo x="9421" y="21306"/>
                <wp:lineTo x="12112" y="21306"/>
                <wp:lineTo x="13794" y="21306"/>
                <wp:lineTo x="18505" y="18367"/>
                <wp:lineTo x="20860" y="11755"/>
                <wp:lineTo x="21196" y="9184"/>
                <wp:lineTo x="18505" y="7347"/>
                <wp:lineTo x="13458" y="5878"/>
                <wp:lineTo x="14804" y="5510"/>
                <wp:lineTo x="14804" y="3306"/>
                <wp:lineTo x="13121" y="0"/>
                <wp:lineTo x="10766" y="0"/>
              </wp:wrapPolygon>
            </wp:wrapTight>
            <wp:docPr id="1" name="Picture 1" descr="Description: Description: C:\Users\Administrator\Documents\Talk 1\logo cep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dministrator\Documents\Talk 1\logo cep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534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A70" w:rsidRPr="00E815EC">
        <w:t>Joining o</w:t>
      </w:r>
      <w:r w:rsidR="0028099D" w:rsidRPr="00E815EC">
        <w:t>rganisations</w:t>
      </w:r>
      <w:bookmarkEnd w:id="2"/>
    </w:p>
    <w:p w14:paraId="2AA901EC" w14:textId="60CA27D1" w:rsidR="00425667" w:rsidRPr="00425667" w:rsidRDefault="001A3F4F" w:rsidP="00425667">
      <w:pPr>
        <w:jc w:val="both"/>
        <w:rPr>
          <w:rFonts w:asciiTheme="majorHAnsi" w:hAnsiTheme="majorHAnsi" w:cstheme="majorHAnsi"/>
        </w:rPr>
      </w:pPr>
      <w:r w:rsidRPr="00E25D75">
        <w:rPr>
          <w:rFonts w:asciiTheme="majorHAnsi" w:hAnsiTheme="majorHAnsi" w:cstheme="majorHAnsi"/>
        </w:rPr>
        <w:t xml:space="preserve"> Center for Education Promotion and Empowerment of Women (CEPEW)</w:t>
      </w:r>
      <w:r w:rsidR="007A4A2C">
        <w:rPr>
          <w:rFonts w:asciiTheme="majorHAnsi" w:hAnsiTheme="majorHAnsi" w:cstheme="majorHAnsi"/>
          <w:lang w:val="vi-VN"/>
        </w:rPr>
        <w:t xml:space="preserve"> </w:t>
      </w:r>
      <w:r w:rsidR="00425667">
        <w:rPr>
          <w:rFonts w:asciiTheme="majorHAnsi" w:hAnsiTheme="majorHAnsi" w:cstheme="majorHAnsi"/>
          <w:lang w:val="vi-VN"/>
        </w:rPr>
        <w:t>is a non-governmental organization</w:t>
      </w:r>
      <w:r w:rsidR="00A26225">
        <w:rPr>
          <w:rFonts w:asciiTheme="majorHAnsi" w:hAnsiTheme="majorHAnsi" w:cstheme="majorHAnsi"/>
          <w:lang w:val="vi-VN"/>
        </w:rPr>
        <w:t xml:space="preserve"> (NGO)</w:t>
      </w:r>
      <w:r w:rsidR="00425667">
        <w:rPr>
          <w:rFonts w:asciiTheme="majorHAnsi" w:hAnsiTheme="majorHAnsi" w:cstheme="majorHAnsi"/>
          <w:lang w:val="vi-VN"/>
        </w:rPr>
        <w:t xml:space="preserve"> founded in 1997</w:t>
      </w:r>
      <w:r w:rsidR="00A26225">
        <w:rPr>
          <w:rFonts w:asciiTheme="majorHAnsi" w:hAnsiTheme="majorHAnsi" w:cstheme="majorHAnsi"/>
          <w:lang w:val="vi-VN"/>
        </w:rPr>
        <w:t xml:space="preserve"> in Vietnam</w:t>
      </w:r>
      <w:r w:rsidR="00425667">
        <w:rPr>
          <w:rFonts w:asciiTheme="majorHAnsi" w:hAnsiTheme="majorHAnsi" w:cstheme="majorHAnsi"/>
          <w:lang w:val="vi-VN"/>
        </w:rPr>
        <w:t>. Since the date of establishment, CEPEW has run a number of programs on poverty reduction for poor rural women, literacy for ethnic minority women, strengthening women’s participation in politics and public life, prevention of trafficking in women and domestic violence against women, promotion of grassroots democracy, advocacy for freedom of information. CEPEW has engaged with different United Nation</w:t>
      </w:r>
      <w:r w:rsidR="00A26225">
        <w:rPr>
          <w:rFonts w:asciiTheme="majorHAnsi" w:hAnsiTheme="majorHAnsi" w:cstheme="majorHAnsi"/>
          <w:lang w:val="vi-VN"/>
        </w:rPr>
        <w:t>s</w:t>
      </w:r>
      <w:r w:rsidR="00425667">
        <w:rPr>
          <w:rFonts w:asciiTheme="majorHAnsi" w:hAnsiTheme="majorHAnsi" w:cstheme="majorHAnsi"/>
          <w:lang w:val="vi-VN"/>
        </w:rPr>
        <w:t xml:space="preserve"> Human Rights Mechanisms to promote women’s human rights and gender equality such as Universal Periodical Review and CEDAW.  </w:t>
      </w:r>
    </w:p>
    <w:p w14:paraId="7328CE03" w14:textId="3DF7026C" w:rsidR="001A3F4F" w:rsidRPr="00425667" w:rsidRDefault="00425667" w:rsidP="00425667">
      <w:pPr>
        <w:jc w:val="both"/>
        <w:rPr>
          <w:rFonts w:asciiTheme="majorHAnsi" w:hAnsiTheme="majorHAnsi" w:cstheme="majorHAnsi"/>
          <w:lang w:val="vi-VN"/>
        </w:rPr>
      </w:pPr>
      <w:r>
        <w:rPr>
          <w:rFonts w:asciiTheme="majorHAnsi" w:hAnsiTheme="majorHAnsi" w:cstheme="majorHAnsi"/>
          <w:lang w:val="vi-VN"/>
        </w:rPr>
        <w:t xml:space="preserve">CEPEW </w:t>
      </w:r>
      <w:r w:rsidR="007A4A2C">
        <w:rPr>
          <w:rFonts w:asciiTheme="majorHAnsi" w:hAnsiTheme="majorHAnsi" w:cstheme="majorHAnsi"/>
          <w:lang w:val="vi-VN"/>
        </w:rPr>
        <w:t>and its partners</w:t>
      </w:r>
      <w:r>
        <w:rPr>
          <w:rFonts w:asciiTheme="majorHAnsi" w:hAnsiTheme="majorHAnsi" w:cstheme="majorHAnsi"/>
          <w:lang w:val="vi-VN"/>
        </w:rPr>
        <w:t xml:space="preserve"> would like to submit a report to reply the List of Issues raised by Human Rights Committee to Vietnam with a focus on gender issues and women’s rights. </w:t>
      </w:r>
    </w:p>
    <w:p w14:paraId="57AA449D" w14:textId="6DBC993D" w:rsidR="00C54A90" w:rsidRPr="00E25D75" w:rsidRDefault="00C54A90" w:rsidP="00B117E9">
      <w:pPr>
        <w:spacing w:before="60" w:after="120" w:line="360" w:lineRule="auto"/>
        <w:ind w:left="360"/>
        <w:jc w:val="both"/>
        <w:rPr>
          <w:rFonts w:asciiTheme="majorHAnsi" w:hAnsiTheme="majorHAnsi" w:cstheme="majorHAnsi"/>
          <w:b/>
          <w:bCs/>
          <w:lang w:val="en-GB"/>
        </w:rPr>
      </w:pPr>
    </w:p>
    <w:p w14:paraId="3A172E0D" w14:textId="716A033E" w:rsidR="00F20C1E" w:rsidRPr="007A4A2C" w:rsidRDefault="006B20E4" w:rsidP="00425667">
      <w:pPr>
        <w:pStyle w:val="Heading2"/>
      </w:pPr>
      <w:bookmarkStart w:id="3" w:name="_Toc353554"/>
      <w:r w:rsidRPr="007A4A2C">
        <w:t>Methodology</w:t>
      </w:r>
      <w:bookmarkEnd w:id="3"/>
    </w:p>
    <w:p w14:paraId="6A384B2F" w14:textId="18CB3D00" w:rsidR="001A3F4F" w:rsidRPr="00E25D75" w:rsidRDefault="001A3F4F" w:rsidP="00425667">
      <w:pPr>
        <w:spacing w:before="60" w:after="120" w:line="360" w:lineRule="auto"/>
        <w:jc w:val="both"/>
        <w:rPr>
          <w:rFonts w:asciiTheme="majorHAnsi" w:hAnsiTheme="majorHAnsi" w:cstheme="majorHAnsi"/>
        </w:rPr>
      </w:pPr>
      <w:r w:rsidRPr="00E25D75">
        <w:rPr>
          <w:rFonts w:asciiTheme="majorHAnsi" w:hAnsiTheme="majorHAnsi" w:cstheme="majorHAnsi"/>
          <w:lang w:val="en-US"/>
        </w:rPr>
        <w:t xml:space="preserve">In 2018, CEPEW lead the </w:t>
      </w:r>
      <w:r w:rsidRPr="00E25D75">
        <w:rPr>
          <w:rFonts w:asciiTheme="majorHAnsi" w:hAnsiTheme="majorHAnsi" w:cstheme="majorHAnsi"/>
        </w:rPr>
        <w:t xml:space="preserve">GENDER EQUITY COALITION of </w:t>
      </w:r>
      <w:r w:rsidR="00A26225">
        <w:rPr>
          <w:rFonts w:asciiTheme="majorHAnsi" w:hAnsiTheme="majorHAnsi" w:cstheme="majorHAnsi"/>
        </w:rPr>
        <w:t>NGOs</w:t>
      </w:r>
      <w:r w:rsidRPr="00E25D75">
        <w:rPr>
          <w:rFonts w:asciiTheme="majorHAnsi" w:hAnsiTheme="majorHAnsi" w:cstheme="majorHAnsi"/>
        </w:rPr>
        <w:t>, community-based groups and individuals</w:t>
      </w:r>
      <w:r w:rsidRPr="00E25D75">
        <w:rPr>
          <w:rFonts w:asciiTheme="majorHAnsi" w:hAnsiTheme="majorHAnsi" w:cstheme="majorHAnsi"/>
          <w:lang w:val="en-US"/>
        </w:rPr>
        <w:t xml:space="preserve"> to prepare a joint-submission for the Universal Periodic Review (UPR) of Vietnam in July 2017</w:t>
      </w:r>
      <w:r w:rsidRPr="00E25D75">
        <w:rPr>
          <w:rFonts w:asciiTheme="majorHAnsi" w:hAnsiTheme="majorHAnsi" w:cstheme="majorHAnsi"/>
        </w:rPr>
        <w:t xml:space="preserve">. The joint submission covered thematic reports and testimonies prepared by members. There were 41 people who are representatives of 21 organizations and groups including NGOs, community-based groups, international organizations and individuals provided comments, information, recommendations for the submission through a consultation workshop on </w:t>
      </w:r>
      <w:r w:rsidR="00A26225">
        <w:rPr>
          <w:rFonts w:asciiTheme="majorHAnsi" w:hAnsiTheme="majorHAnsi" w:cstheme="majorHAnsi"/>
        </w:rPr>
        <w:t xml:space="preserve">the </w:t>
      </w:r>
      <w:r w:rsidRPr="00E25D75">
        <w:rPr>
          <w:rFonts w:asciiTheme="majorHAnsi" w:hAnsiTheme="majorHAnsi" w:cstheme="majorHAnsi"/>
        </w:rPr>
        <w:t>27</w:t>
      </w:r>
      <w:r w:rsidRPr="00E25D75">
        <w:rPr>
          <w:rFonts w:asciiTheme="majorHAnsi" w:hAnsiTheme="majorHAnsi" w:cstheme="majorHAnsi"/>
          <w:vertAlign w:val="superscript"/>
        </w:rPr>
        <w:t>th</w:t>
      </w:r>
      <w:r w:rsidRPr="00E25D75">
        <w:rPr>
          <w:rFonts w:asciiTheme="majorHAnsi" w:hAnsiTheme="majorHAnsi" w:cstheme="majorHAnsi"/>
        </w:rPr>
        <w:t xml:space="preserve"> June 2018.</w:t>
      </w:r>
    </w:p>
    <w:p w14:paraId="33CDA8AB" w14:textId="6F2F7DE6" w:rsidR="001A3F4F" w:rsidRPr="00E25D75" w:rsidRDefault="001A3F4F" w:rsidP="00425667">
      <w:p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This report is developed based on relevant information from the joint submission of the </w:t>
      </w:r>
      <w:r w:rsidR="00A26225">
        <w:rPr>
          <w:rFonts w:asciiTheme="majorHAnsi" w:hAnsiTheme="majorHAnsi" w:cstheme="majorHAnsi"/>
          <w:lang w:val="en-GB"/>
        </w:rPr>
        <w:t>C</w:t>
      </w:r>
      <w:r w:rsidRPr="00E25D75">
        <w:rPr>
          <w:rFonts w:asciiTheme="majorHAnsi" w:hAnsiTheme="majorHAnsi" w:cstheme="majorHAnsi"/>
          <w:lang w:val="en-GB"/>
        </w:rPr>
        <w:t xml:space="preserve">oalition, and updated with </w:t>
      </w:r>
      <w:r w:rsidR="00A26225">
        <w:rPr>
          <w:rFonts w:asciiTheme="majorHAnsi" w:hAnsiTheme="majorHAnsi" w:cstheme="majorHAnsi"/>
          <w:lang w:val="en-GB"/>
        </w:rPr>
        <w:t xml:space="preserve">the </w:t>
      </w:r>
      <w:r w:rsidRPr="00E25D75">
        <w:rPr>
          <w:rFonts w:asciiTheme="majorHAnsi" w:hAnsiTheme="majorHAnsi" w:cstheme="majorHAnsi"/>
          <w:lang w:val="en-GB"/>
        </w:rPr>
        <w:t>results of desk research and legal analysis, responding to the List of Issues by the Human Rights Committee</w:t>
      </w:r>
      <w:r w:rsidR="00A26225">
        <w:rPr>
          <w:rFonts w:asciiTheme="majorHAnsi" w:hAnsiTheme="majorHAnsi" w:cstheme="majorHAnsi"/>
          <w:lang w:val="vi-VN"/>
        </w:rPr>
        <w:t xml:space="preserve"> to Vietnam</w:t>
      </w:r>
      <w:r w:rsidRPr="00E25D75">
        <w:rPr>
          <w:rFonts w:asciiTheme="majorHAnsi" w:hAnsiTheme="majorHAnsi" w:cstheme="majorHAnsi"/>
          <w:lang w:val="en-GB"/>
        </w:rPr>
        <w:t xml:space="preserve">. </w:t>
      </w:r>
    </w:p>
    <w:p w14:paraId="1B716D8A" w14:textId="77777777" w:rsidR="005637F8" w:rsidRPr="00E25D75" w:rsidRDefault="005637F8" w:rsidP="00B117E9">
      <w:pPr>
        <w:spacing w:before="60" w:after="120" w:line="360" w:lineRule="auto"/>
        <w:ind w:left="360"/>
        <w:jc w:val="both"/>
        <w:rPr>
          <w:rFonts w:asciiTheme="majorHAnsi" w:hAnsiTheme="majorHAnsi" w:cstheme="majorHAnsi"/>
          <w:lang w:val="en-GB"/>
        </w:rPr>
      </w:pPr>
    </w:p>
    <w:p w14:paraId="2E8698F2" w14:textId="0E3455F1" w:rsidR="005A1437" w:rsidRPr="007A4A2C" w:rsidRDefault="005A1437" w:rsidP="00425667">
      <w:pPr>
        <w:pStyle w:val="Heading2"/>
      </w:pPr>
      <w:bookmarkStart w:id="4" w:name="_Toc353555"/>
      <w:r w:rsidRPr="007A4A2C">
        <w:t>Contact details</w:t>
      </w:r>
      <w:bookmarkEnd w:id="4"/>
    </w:p>
    <w:p w14:paraId="699771C1" w14:textId="66FBD760" w:rsidR="00D26E14" w:rsidRDefault="00D26E14" w:rsidP="00D26E14">
      <w:pPr>
        <w:spacing w:line="240" w:lineRule="auto"/>
        <w:ind w:firstLine="360"/>
        <w:rPr>
          <w:rFonts w:asciiTheme="majorHAnsi" w:hAnsiTheme="majorHAnsi" w:cstheme="majorHAnsi"/>
          <w:lang w:val="vi-VN"/>
        </w:rPr>
      </w:pPr>
      <w:r>
        <w:rPr>
          <w:rFonts w:asciiTheme="majorHAnsi" w:hAnsiTheme="majorHAnsi" w:cstheme="majorHAnsi"/>
        </w:rPr>
        <w:t>Address:</w:t>
      </w:r>
      <w:r>
        <w:rPr>
          <w:rFonts w:asciiTheme="majorHAnsi" w:hAnsiTheme="majorHAnsi" w:cstheme="majorHAnsi"/>
          <w:lang w:val="vi-VN"/>
        </w:rPr>
        <w:t xml:space="preserve"> </w:t>
      </w:r>
      <w:r>
        <w:rPr>
          <w:rFonts w:asciiTheme="majorHAnsi" w:hAnsiTheme="majorHAnsi" w:cstheme="majorHAnsi"/>
          <w:lang w:val="vi-VN"/>
        </w:rPr>
        <w:tab/>
        <w:t>113 D1 Trung Tu, Dong Da, Hanoi, Vietnam</w:t>
      </w:r>
    </w:p>
    <w:p w14:paraId="668260A1" w14:textId="7A342FFF" w:rsidR="00D26E14" w:rsidRPr="00D26E14" w:rsidRDefault="00D26E14" w:rsidP="00D26E14">
      <w:pPr>
        <w:spacing w:line="240" w:lineRule="auto"/>
        <w:ind w:firstLine="360"/>
        <w:rPr>
          <w:rFonts w:asciiTheme="majorHAnsi" w:hAnsiTheme="majorHAnsi" w:cstheme="majorHAnsi"/>
          <w:lang w:val="vi-VN"/>
        </w:rPr>
      </w:pPr>
      <w:r>
        <w:rPr>
          <w:rFonts w:asciiTheme="majorHAnsi" w:hAnsiTheme="majorHAnsi" w:cstheme="majorHAnsi"/>
          <w:lang w:val="vi-VN"/>
        </w:rPr>
        <w:t>Phone:</w:t>
      </w:r>
      <w:r>
        <w:rPr>
          <w:rFonts w:asciiTheme="majorHAnsi" w:hAnsiTheme="majorHAnsi" w:cstheme="majorHAnsi"/>
          <w:lang w:val="vi-VN"/>
        </w:rPr>
        <w:tab/>
        <w:t>+84.2435745999</w:t>
      </w:r>
    </w:p>
    <w:p w14:paraId="53068DD2" w14:textId="0E5B7DF5" w:rsidR="001A3F4F" w:rsidRPr="00E25D75" w:rsidRDefault="001A3F4F" w:rsidP="00D26E14">
      <w:pPr>
        <w:spacing w:line="240" w:lineRule="auto"/>
        <w:ind w:firstLine="360"/>
        <w:rPr>
          <w:rStyle w:val="Hyperlink"/>
          <w:rFonts w:asciiTheme="majorHAnsi" w:hAnsiTheme="majorHAnsi" w:cstheme="majorHAnsi"/>
        </w:rPr>
      </w:pPr>
      <w:r w:rsidRPr="00E25D75">
        <w:rPr>
          <w:rFonts w:asciiTheme="majorHAnsi" w:hAnsiTheme="majorHAnsi" w:cstheme="majorHAnsi"/>
        </w:rPr>
        <w:t xml:space="preserve">Email: </w:t>
      </w:r>
      <w:r w:rsidR="00D26E14">
        <w:rPr>
          <w:rFonts w:asciiTheme="majorHAnsi" w:hAnsiTheme="majorHAnsi" w:cstheme="majorHAnsi"/>
        </w:rPr>
        <w:tab/>
      </w:r>
      <w:hyperlink r:id="rId15" w:history="1">
        <w:r w:rsidR="00D26E14" w:rsidRPr="00B0081B">
          <w:rPr>
            <w:rStyle w:val="Hyperlink"/>
            <w:rFonts w:asciiTheme="majorHAnsi" w:hAnsiTheme="majorHAnsi" w:cstheme="majorHAnsi"/>
          </w:rPr>
          <w:t>cepewdk@gmail.com</w:t>
        </w:r>
      </w:hyperlink>
    </w:p>
    <w:p w14:paraId="080C7A85" w14:textId="38F22E93" w:rsidR="001A3F4F" w:rsidRPr="00E25D75" w:rsidRDefault="001A3F4F" w:rsidP="00D26E14">
      <w:pPr>
        <w:pStyle w:val="Heading1"/>
        <w:rPr>
          <w:rFonts w:asciiTheme="majorHAnsi" w:hAnsiTheme="majorHAnsi" w:cstheme="majorHAnsi"/>
          <w:sz w:val="22"/>
          <w:szCs w:val="22"/>
        </w:rPr>
        <w:sectPr w:rsidR="001A3F4F" w:rsidRPr="00E25D75" w:rsidSect="00850DAF">
          <w:footerReference w:type="first" r:id="rId16"/>
          <w:pgSz w:w="11906" w:h="16838"/>
          <w:pgMar w:top="1440" w:right="1274" w:bottom="1440" w:left="1440" w:header="708" w:footer="708" w:gutter="0"/>
          <w:cols w:space="708"/>
          <w:titlePg/>
          <w:rtlGutter/>
          <w:docGrid w:linePitch="360"/>
        </w:sectPr>
      </w:pPr>
    </w:p>
    <w:p w14:paraId="4BF9815F" w14:textId="6984004D" w:rsidR="006B20E4" w:rsidRPr="00E25D75" w:rsidRDefault="00916A97" w:rsidP="00B117E9">
      <w:pPr>
        <w:pStyle w:val="Heading1"/>
        <w:spacing w:line="360" w:lineRule="auto"/>
        <w:rPr>
          <w:rFonts w:asciiTheme="majorHAnsi" w:hAnsiTheme="majorHAnsi" w:cstheme="majorHAnsi"/>
          <w:sz w:val="28"/>
          <w:szCs w:val="28"/>
        </w:rPr>
      </w:pPr>
      <w:bookmarkStart w:id="5" w:name="_Toc353556"/>
      <w:r w:rsidRPr="00E25D75">
        <w:rPr>
          <w:rFonts w:asciiTheme="majorHAnsi" w:hAnsiTheme="majorHAnsi" w:cstheme="majorHAnsi"/>
          <w:sz w:val="28"/>
          <w:szCs w:val="28"/>
        </w:rPr>
        <w:lastRenderedPageBreak/>
        <w:t xml:space="preserve">II - </w:t>
      </w:r>
      <w:r w:rsidR="00415D62" w:rsidRPr="00E25D75">
        <w:rPr>
          <w:rFonts w:asciiTheme="majorHAnsi" w:hAnsiTheme="majorHAnsi" w:cstheme="majorHAnsi"/>
          <w:sz w:val="28"/>
          <w:szCs w:val="28"/>
        </w:rPr>
        <w:t>Responses to</w:t>
      </w:r>
      <w:r w:rsidR="006B20E4" w:rsidRPr="00E25D75">
        <w:rPr>
          <w:rFonts w:asciiTheme="majorHAnsi" w:hAnsiTheme="majorHAnsi" w:cstheme="majorHAnsi"/>
          <w:sz w:val="28"/>
          <w:szCs w:val="28"/>
        </w:rPr>
        <w:t xml:space="preserve"> </w:t>
      </w:r>
      <w:r w:rsidR="005E7555" w:rsidRPr="00E25D75">
        <w:rPr>
          <w:rFonts w:asciiTheme="majorHAnsi" w:hAnsiTheme="majorHAnsi" w:cstheme="majorHAnsi"/>
          <w:sz w:val="28"/>
          <w:szCs w:val="28"/>
        </w:rPr>
        <w:t>the L</w:t>
      </w:r>
      <w:r w:rsidR="00CA5810" w:rsidRPr="00E25D75">
        <w:rPr>
          <w:rFonts w:asciiTheme="majorHAnsi" w:hAnsiTheme="majorHAnsi" w:cstheme="majorHAnsi"/>
          <w:sz w:val="28"/>
          <w:szCs w:val="28"/>
        </w:rPr>
        <w:t>ist of Issues</w:t>
      </w:r>
      <w:bookmarkEnd w:id="5"/>
    </w:p>
    <w:p w14:paraId="79D70760" w14:textId="79ECA30C" w:rsidR="00AA64DB" w:rsidRPr="00E25D75" w:rsidRDefault="000B0757" w:rsidP="00425667">
      <w:pPr>
        <w:pStyle w:val="Heading2"/>
        <w:numPr>
          <w:ilvl w:val="0"/>
          <w:numId w:val="4"/>
        </w:numPr>
      </w:pPr>
      <w:bookmarkStart w:id="6" w:name="_Toc353557"/>
      <w:r w:rsidRPr="00E25D75">
        <w:t>Non-discrimination</w:t>
      </w:r>
      <w:r w:rsidR="00DA10C7" w:rsidRPr="00E25D75">
        <w:t xml:space="preserve"> and gender equality</w:t>
      </w:r>
      <w:r w:rsidR="00FB3E70" w:rsidRPr="00E25D75">
        <w:t xml:space="preserve"> </w:t>
      </w:r>
      <w:r w:rsidR="00DA10C7" w:rsidRPr="00E25D75">
        <w:t>(arts. 2, 3, 2</w:t>
      </w:r>
      <w:r w:rsidR="00AA64DB" w:rsidRPr="00E25D75">
        <w:t>0 and</w:t>
      </w:r>
      <w:r w:rsidR="00DA10C7" w:rsidRPr="00E25D75">
        <w:t xml:space="preserve"> 26</w:t>
      </w:r>
      <w:r w:rsidR="00AA64DB" w:rsidRPr="00E25D75">
        <w:t>)</w:t>
      </w:r>
      <w:bookmarkEnd w:id="6"/>
    </w:p>
    <w:p w14:paraId="4B3246EF" w14:textId="78398AF3" w:rsidR="00F238DD" w:rsidRPr="00E25D75" w:rsidRDefault="005637F8" w:rsidP="0049094C">
      <w:pPr>
        <w:pStyle w:val="ListParagraph"/>
        <w:numPr>
          <w:ilvl w:val="1"/>
          <w:numId w:val="4"/>
        </w:numPr>
        <w:spacing w:before="100" w:beforeAutospacing="1" w:after="100" w:afterAutospacing="1" w:line="360" w:lineRule="auto"/>
        <w:jc w:val="both"/>
        <w:rPr>
          <w:rFonts w:asciiTheme="majorHAnsi" w:hAnsiTheme="majorHAnsi" w:cstheme="majorHAnsi"/>
          <w:b/>
        </w:rPr>
      </w:pPr>
      <w:r w:rsidRPr="00E25D75">
        <w:rPr>
          <w:rFonts w:asciiTheme="majorHAnsi" w:hAnsiTheme="majorHAnsi" w:cstheme="majorHAnsi"/>
          <w:b/>
          <w:lang w:val="en-US"/>
        </w:rPr>
        <w:t>There is a l</w:t>
      </w:r>
      <w:r w:rsidR="00470353" w:rsidRPr="00E25D75">
        <w:rPr>
          <w:rFonts w:asciiTheme="majorHAnsi" w:hAnsiTheme="majorHAnsi" w:cstheme="majorHAnsi"/>
          <w:b/>
        </w:rPr>
        <w:t xml:space="preserve">ack of a comprehensive legal framework that prohibits all forms of discrimination </w:t>
      </w:r>
      <w:r w:rsidR="00470353" w:rsidRPr="00E25D75">
        <w:rPr>
          <w:rFonts w:asciiTheme="majorHAnsi" w:hAnsiTheme="majorHAnsi" w:cstheme="majorHAnsi"/>
        </w:rPr>
        <w:t xml:space="preserve">as set out in the </w:t>
      </w:r>
      <w:r w:rsidR="00E25D75">
        <w:rPr>
          <w:rFonts w:asciiTheme="majorHAnsi" w:hAnsiTheme="majorHAnsi" w:cstheme="majorHAnsi"/>
        </w:rPr>
        <w:t>Covenant</w:t>
      </w:r>
      <w:r w:rsidR="00470353" w:rsidRPr="00E25D75">
        <w:rPr>
          <w:rFonts w:asciiTheme="majorHAnsi" w:hAnsiTheme="majorHAnsi" w:cstheme="majorHAnsi"/>
        </w:rPr>
        <w:t xml:space="preserve"> and other human rights </w:t>
      </w:r>
      <w:r w:rsidR="00E25D75">
        <w:rPr>
          <w:rFonts w:asciiTheme="majorHAnsi" w:hAnsiTheme="majorHAnsi" w:cstheme="majorHAnsi"/>
        </w:rPr>
        <w:t>instruments</w:t>
      </w:r>
      <w:r w:rsidR="00470353" w:rsidRPr="00E25D75">
        <w:rPr>
          <w:rFonts w:asciiTheme="majorHAnsi" w:hAnsiTheme="majorHAnsi" w:cstheme="majorHAnsi"/>
        </w:rPr>
        <w:t>.</w:t>
      </w:r>
      <w:r w:rsidR="00F238DD" w:rsidRPr="00E25D75">
        <w:rPr>
          <w:rStyle w:val="FootnoteReference"/>
          <w:rFonts w:asciiTheme="majorHAnsi" w:hAnsiTheme="majorHAnsi" w:cstheme="majorHAnsi"/>
        </w:rPr>
        <w:footnoteReference w:id="1"/>
      </w:r>
      <w:r w:rsidR="00F238DD" w:rsidRPr="00E25D75">
        <w:rPr>
          <w:rFonts w:asciiTheme="majorHAnsi" w:hAnsiTheme="majorHAnsi" w:cstheme="majorHAnsi"/>
          <w:lang w:val="en-US"/>
        </w:rPr>
        <w:t xml:space="preserve"> The provision of non-discrimination in the </w:t>
      </w:r>
      <w:r w:rsidR="00F238DD" w:rsidRPr="00E25D75">
        <w:rPr>
          <w:rFonts w:asciiTheme="majorHAnsi" w:hAnsiTheme="majorHAnsi" w:cstheme="majorHAnsi"/>
          <w:bCs/>
          <w:lang w:val="en-US"/>
        </w:rPr>
        <w:t xml:space="preserve">Constitution 2013 is incompatible with the scope of non-discrimination as expressed in </w:t>
      </w:r>
      <w:r w:rsidR="00E25D75">
        <w:rPr>
          <w:rFonts w:asciiTheme="majorHAnsi" w:hAnsiTheme="majorHAnsi" w:cstheme="majorHAnsi"/>
          <w:bCs/>
          <w:lang w:val="en-US"/>
        </w:rPr>
        <w:t xml:space="preserve">ICCPR and other </w:t>
      </w:r>
      <w:r w:rsidR="00F238DD" w:rsidRPr="00E25D75">
        <w:rPr>
          <w:rFonts w:asciiTheme="majorHAnsi" w:hAnsiTheme="majorHAnsi" w:cstheme="majorHAnsi"/>
          <w:bCs/>
          <w:lang w:val="en-US"/>
        </w:rPr>
        <w:t>UN-Human Rights Treaties.</w:t>
      </w:r>
      <w:r w:rsidR="00F238DD" w:rsidRPr="00E25D75">
        <w:rPr>
          <w:rStyle w:val="FootnoteReference"/>
          <w:rFonts w:asciiTheme="majorHAnsi" w:hAnsiTheme="majorHAnsi" w:cstheme="majorHAnsi"/>
          <w:bCs/>
          <w:lang w:val="en-US"/>
        </w:rPr>
        <w:footnoteReference w:id="2"/>
      </w:r>
      <w:r w:rsidR="00F238DD" w:rsidRPr="00E25D75">
        <w:rPr>
          <w:rFonts w:asciiTheme="majorHAnsi" w:hAnsiTheme="majorHAnsi" w:cstheme="majorHAnsi"/>
          <w:bCs/>
          <w:lang w:val="en-US"/>
        </w:rPr>
        <w:t xml:space="preserve"> Discriminatory clauses exist in different </w:t>
      </w:r>
      <w:r w:rsidR="00E25D75">
        <w:rPr>
          <w:rFonts w:asciiTheme="majorHAnsi" w:hAnsiTheme="majorHAnsi" w:cstheme="majorHAnsi"/>
          <w:bCs/>
          <w:lang w:val="en-US"/>
        </w:rPr>
        <w:t>l</w:t>
      </w:r>
      <w:r w:rsidR="00F238DD" w:rsidRPr="00E25D75">
        <w:rPr>
          <w:rFonts w:asciiTheme="majorHAnsi" w:hAnsiTheme="majorHAnsi" w:cstheme="majorHAnsi"/>
          <w:bCs/>
          <w:lang w:val="en-US"/>
        </w:rPr>
        <w:t xml:space="preserve">aws, including: </w:t>
      </w:r>
      <w:r w:rsidR="00F238DD" w:rsidRPr="00E25D75">
        <w:rPr>
          <w:rFonts w:asciiTheme="majorHAnsi" w:hAnsiTheme="majorHAnsi" w:cstheme="majorHAnsi"/>
          <w:b/>
        </w:rPr>
        <w:t xml:space="preserve">The Marriage and Family Law </w:t>
      </w:r>
      <w:r w:rsidR="00F238DD" w:rsidRPr="00E25D75">
        <w:rPr>
          <w:rFonts w:asciiTheme="majorHAnsi" w:hAnsiTheme="majorHAnsi" w:cstheme="majorHAnsi"/>
          <w:lang w:val="en-US"/>
        </w:rPr>
        <w:t xml:space="preserve">(revised in </w:t>
      </w:r>
      <w:r w:rsidR="00F238DD" w:rsidRPr="00E25D75">
        <w:rPr>
          <w:rFonts w:asciiTheme="majorHAnsi" w:hAnsiTheme="majorHAnsi" w:cstheme="majorHAnsi"/>
        </w:rPr>
        <w:t xml:space="preserve">2014) </w:t>
      </w:r>
      <w:r w:rsidR="00F238DD" w:rsidRPr="00E25D75">
        <w:rPr>
          <w:rFonts w:asciiTheme="majorHAnsi" w:hAnsiTheme="majorHAnsi" w:cstheme="majorHAnsi"/>
          <w:lang w:val="en-US"/>
        </w:rPr>
        <w:t xml:space="preserve">differentiates </w:t>
      </w:r>
      <w:r w:rsidR="00F238DD" w:rsidRPr="00E25D75">
        <w:rPr>
          <w:rFonts w:asciiTheme="majorHAnsi" w:hAnsiTheme="majorHAnsi" w:cstheme="majorHAnsi"/>
        </w:rPr>
        <w:t>marital age between males (20 years-old) and females (18 years-old),</w:t>
      </w:r>
      <w:r w:rsidR="00F238DD" w:rsidRPr="00E25D75">
        <w:rPr>
          <w:rStyle w:val="FootnoteReference"/>
          <w:rFonts w:asciiTheme="majorHAnsi" w:hAnsiTheme="majorHAnsi" w:cstheme="majorHAnsi"/>
        </w:rPr>
        <w:footnoteReference w:id="3"/>
      </w:r>
      <w:r w:rsidR="00F238DD" w:rsidRPr="00E25D75">
        <w:rPr>
          <w:rFonts w:asciiTheme="majorHAnsi" w:hAnsiTheme="majorHAnsi" w:cstheme="majorHAnsi"/>
          <w:lang w:val="en-US"/>
        </w:rPr>
        <w:t xml:space="preserve"> and</w:t>
      </w:r>
      <w:r w:rsidR="00F238DD" w:rsidRPr="00E25D75">
        <w:rPr>
          <w:rFonts w:asciiTheme="majorHAnsi" w:hAnsiTheme="majorHAnsi" w:cstheme="majorHAnsi"/>
        </w:rPr>
        <w:t xml:space="preserve"> mentions </w:t>
      </w:r>
      <w:r w:rsidR="00F238DD" w:rsidRPr="00E25D75">
        <w:rPr>
          <w:rFonts w:asciiTheme="majorHAnsi" w:hAnsiTheme="majorHAnsi" w:cstheme="majorHAnsi"/>
          <w:lang w:val="en-US"/>
        </w:rPr>
        <w:t>gender-role</w:t>
      </w:r>
      <w:r w:rsidR="00F238DD" w:rsidRPr="00E25D75">
        <w:rPr>
          <w:rFonts w:asciiTheme="majorHAnsi" w:hAnsiTheme="majorHAnsi" w:cstheme="majorHAnsi"/>
        </w:rPr>
        <w:t xml:space="preserve"> concepts</w:t>
      </w:r>
      <w:r w:rsidR="00F238DD" w:rsidRPr="00E25D75">
        <w:rPr>
          <w:rFonts w:asciiTheme="majorHAnsi" w:hAnsiTheme="majorHAnsi" w:cstheme="majorHAnsi"/>
          <w:lang w:val="en-US"/>
        </w:rPr>
        <w:t xml:space="preserve"> of women</w:t>
      </w:r>
      <w:r w:rsidR="00F238DD" w:rsidRPr="00E25D75">
        <w:rPr>
          <w:rStyle w:val="FootnoteReference"/>
          <w:rFonts w:asciiTheme="majorHAnsi" w:hAnsiTheme="majorHAnsi" w:cstheme="majorHAnsi"/>
        </w:rPr>
        <w:footnoteReference w:id="4"/>
      </w:r>
      <w:r w:rsidR="00F238DD" w:rsidRPr="00E25D75">
        <w:rPr>
          <w:rFonts w:asciiTheme="majorHAnsi" w:hAnsiTheme="majorHAnsi" w:cstheme="majorHAnsi"/>
        </w:rPr>
        <w:t xml:space="preserve"> or</w:t>
      </w:r>
      <w:r w:rsidR="00F238DD" w:rsidRPr="00E25D75">
        <w:rPr>
          <w:rFonts w:asciiTheme="majorHAnsi" w:hAnsiTheme="majorHAnsi" w:cstheme="majorHAnsi"/>
          <w:lang w:val="en-US"/>
        </w:rPr>
        <w:t xml:space="preserve"> despite </w:t>
      </w:r>
      <w:r w:rsidR="00F238DD" w:rsidRPr="00E25D75">
        <w:rPr>
          <w:rFonts w:asciiTheme="majorHAnsi" w:hAnsiTheme="majorHAnsi" w:cstheme="majorHAnsi"/>
        </w:rPr>
        <w:t>CEDAW</w:t>
      </w:r>
      <w:r w:rsidR="00F238DD" w:rsidRPr="00E25D75">
        <w:rPr>
          <w:rFonts w:asciiTheme="majorHAnsi" w:hAnsiTheme="majorHAnsi" w:cstheme="majorHAnsi"/>
          <w:lang w:val="en-US"/>
        </w:rPr>
        <w:t>’s recommendations (2007)</w:t>
      </w:r>
      <w:r w:rsidR="00F238DD" w:rsidRPr="00E25D75">
        <w:rPr>
          <w:rStyle w:val="FootnoteReference"/>
          <w:rFonts w:asciiTheme="majorHAnsi" w:hAnsiTheme="majorHAnsi" w:cstheme="majorHAnsi"/>
          <w:lang w:val="en-US"/>
        </w:rPr>
        <w:footnoteReference w:id="5"/>
      </w:r>
      <w:r w:rsidR="00F238DD" w:rsidRPr="00E25D75">
        <w:rPr>
          <w:rFonts w:asciiTheme="majorHAnsi" w:hAnsiTheme="majorHAnsi" w:cstheme="majorHAnsi"/>
          <w:lang w:val="en-US"/>
        </w:rPr>
        <w:t>;</w:t>
      </w:r>
      <w:r w:rsidR="00E25D75">
        <w:rPr>
          <w:rFonts w:asciiTheme="majorHAnsi" w:hAnsiTheme="majorHAnsi" w:cstheme="majorHAnsi"/>
          <w:lang w:val="vi-VN"/>
        </w:rPr>
        <w:t xml:space="preserve"> </w:t>
      </w:r>
      <w:r w:rsidR="00F238DD" w:rsidRPr="00E25D75">
        <w:rPr>
          <w:rFonts w:asciiTheme="majorHAnsi" w:hAnsiTheme="majorHAnsi" w:cstheme="majorHAnsi"/>
          <w:b/>
        </w:rPr>
        <w:t xml:space="preserve">The Labor Code </w:t>
      </w:r>
      <w:r w:rsidR="00F238DD" w:rsidRPr="00E25D75">
        <w:rPr>
          <w:rFonts w:asciiTheme="majorHAnsi" w:hAnsiTheme="majorHAnsi" w:cstheme="majorHAnsi"/>
        </w:rPr>
        <w:t>contains provisions that discriminat</w:t>
      </w:r>
      <w:r w:rsidR="00F238DD" w:rsidRPr="00E25D75">
        <w:rPr>
          <w:rFonts w:asciiTheme="majorHAnsi" w:hAnsiTheme="majorHAnsi" w:cstheme="majorHAnsi"/>
          <w:lang w:val="en-US"/>
        </w:rPr>
        <w:t>e</w:t>
      </w:r>
      <w:r w:rsidR="00F238DD" w:rsidRPr="00E25D75">
        <w:rPr>
          <w:rFonts w:asciiTheme="majorHAnsi" w:hAnsiTheme="majorHAnsi" w:cstheme="majorHAnsi"/>
        </w:rPr>
        <w:t xml:space="preserve"> </w:t>
      </w:r>
      <w:r w:rsidR="00F238DD" w:rsidRPr="00E25D75">
        <w:rPr>
          <w:rFonts w:asciiTheme="majorHAnsi" w:hAnsiTheme="majorHAnsi" w:cstheme="majorHAnsi"/>
          <w:lang w:val="en-US"/>
        </w:rPr>
        <w:t>on the ground of sex</w:t>
      </w:r>
      <w:r w:rsidR="00F238DD" w:rsidRPr="00E25D75">
        <w:rPr>
          <w:rFonts w:asciiTheme="majorHAnsi" w:hAnsiTheme="majorHAnsi" w:cstheme="majorHAnsi"/>
        </w:rPr>
        <w:t xml:space="preserve"> and reinforce gender stereotypes</w:t>
      </w:r>
      <w:r w:rsidR="00F238DD" w:rsidRPr="00E25D75">
        <w:rPr>
          <w:rFonts w:asciiTheme="majorHAnsi" w:hAnsiTheme="majorHAnsi" w:cstheme="majorHAnsi"/>
          <w:lang w:val="en-US"/>
        </w:rPr>
        <w:t>:</w:t>
      </w:r>
      <w:r w:rsidR="00F238DD" w:rsidRPr="00E25D75">
        <w:rPr>
          <w:rFonts w:asciiTheme="majorHAnsi" w:hAnsiTheme="majorHAnsi" w:cstheme="majorHAnsi"/>
          <w:b/>
          <w:lang w:val="en-US"/>
        </w:rPr>
        <w:t xml:space="preserve"> </w:t>
      </w:r>
      <w:r w:rsidR="00E25D75">
        <w:rPr>
          <w:rFonts w:asciiTheme="majorHAnsi" w:hAnsiTheme="majorHAnsi" w:cstheme="majorHAnsi"/>
          <w:lang w:val="en-US"/>
        </w:rPr>
        <w:t>d</w:t>
      </w:r>
      <w:r w:rsidR="00F238DD" w:rsidRPr="00E25D75">
        <w:rPr>
          <w:rFonts w:asciiTheme="majorHAnsi" w:hAnsiTheme="majorHAnsi" w:cstheme="majorHAnsi"/>
          <w:lang w:val="en-US"/>
        </w:rPr>
        <w:t xml:space="preserve">ifferent </w:t>
      </w:r>
      <w:r w:rsidR="00F238DD" w:rsidRPr="00E25D75">
        <w:rPr>
          <w:rFonts w:asciiTheme="majorHAnsi" w:hAnsiTheme="majorHAnsi" w:cstheme="majorHAnsi"/>
        </w:rPr>
        <w:t xml:space="preserve">retirement age </w:t>
      </w:r>
      <w:r w:rsidR="00F238DD" w:rsidRPr="00E25D75">
        <w:rPr>
          <w:rFonts w:asciiTheme="majorHAnsi" w:hAnsiTheme="majorHAnsi" w:cstheme="majorHAnsi"/>
          <w:lang w:val="en-US"/>
        </w:rPr>
        <w:t xml:space="preserve">between men </w:t>
      </w:r>
      <w:r w:rsidR="00F238DD" w:rsidRPr="00E25D75">
        <w:rPr>
          <w:rFonts w:asciiTheme="majorHAnsi" w:hAnsiTheme="majorHAnsi" w:cstheme="majorHAnsi"/>
        </w:rPr>
        <w:t>(60) and women (55)</w:t>
      </w:r>
      <w:r w:rsidR="00F238DD" w:rsidRPr="00E25D75">
        <w:rPr>
          <w:rFonts w:asciiTheme="majorHAnsi" w:hAnsiTheme="majorHAnsi" w:cstheme="majorHAnsi"/>
          <w:lang w:val="en-US"/>
        </w:rPr>
        <w:t>.</w:t>
      </w:r>
      <w:r w:rsidR="00F238DD" w:rsidRPr="00E25D75">
        <w:rPr>
          <w:rStyle w:val="FootnoteReference"/>
          <w:rFonts w:asciiTheme="majorHAnsi" w:hAnsiTheme="majorHAnsi" w:cstheme="majorHAnsi"/>
        </w:rPr>
        <w:footnoteReference w:id="6"/>
      </w:r>
      <w:r w:rsidR="00F238DD" w:rsidRPr="00E25D75">
        <w:rPr>
          <w:rFonts w:asciiTheme="majorHAnsi" w:hAnsiTheme="majorHAnsi" w:cstheme="majorHAnsi"/>
          <w:lang w:val="en-US"/>
        </w:rPr>
        <w:t xml:space="preserve"> The </w:t>
      </w:r>
      <w:r w:rsidR="00B9017C">
        <w:rPr>
          <w:rFonts w:asciiTheme="majorHAnsi" w:hAnsiTheme="majorHAnsi" w:cstheme="majorHAnsi"/>
          <w:lang w:val="en-US"/>
        </w:rPr>
        <w:t>Code</w:t>
      </w:r>
      <w:r w:rsidR="00F238DD" w:rsidRPr="00E25D75">
        <w:rPr>
          <w:rFonts w:asciiTheme="majorHAnsi" w:hAnsiTheme="majorHAnsi" w:cstheme="majorHAnsi"/>
          <w:lang w:val="en-US"/>
        </w:rPr>
        <w:t xml:space="preserve"> also provides </w:t>
      </w:r>
      <w:r w:rsidR="00F238DD" w:rsidRPr="00E25D75">
        <w:rPr>
          <w:rFonts w:asciiTheme="majorHAnsi" w:hAnsiTheme="majorHAnsi" w:cstheme="majorHAnsi"/>
        </w:rPr>
        <w:t>a list of jobs in which the employment of female is prohibited.</w:t>
      </w:r>
      <w:r w:rsidR="00F238DD" w:rsidRPr="00E25D75">
        <w:rPr>
          <w:rStyle w:val="FootnoteReference"/>
          <w:rFonts w:asciiTheme="majorHAnsi" w:hAnsiTheme="majorHAnsi" w:cstheme="majorHAnsi"/>
        </w:rPr>
        <w:footnoteReference w:id="7"/>
      </w:r>
      <w:r w:rsidR="00F238DD" w:rsidRPr="00E25D75">
        <w:rPr>
          <w:rFonts w:asciiTheme="majorHAnsi" w:hAnsiTheme="majorHAnsi" w:cstheme="majorHAnsi"/>
        </w:rPr>
        <w:t xml:space="preserve"> These regulations </w:t>
      </w:r>
      <w:r w:rsidR="00F238DD" w:rsidRPr="00E25D75">
        <w:rPr>
          <w:rFonts w:asciiTheme="majorHAnsi" w:hAnsiTheme="majorHAnsi" w:cstheme="majorHAnsi"/>
          <w:lang w:val="en-US"/>
        </w:rPr>
        <w:t xml:space="preserve">received </w:t>
      </w:r>
      <w:r w:rsidR="00F238DD" w:rsidRPr="00E25D75">
        <w:rPr>
          <w:rFonts w:asciiTheme="majorHAnsi" w:hAnsiTheme="majorHAnsi" w:cstheme="majorHAnsi"/>
        </w:rPr>
        <w:t>particular</w:t>
      </w:r>
      <w:r w:rsidR="00F238DD" w:rsidRPr="00E25D75">
        <w:rPr>
          <w:rFonts w:asciiTheme="majorHAnsi" w:hAnsiTheme="majorHAnsi" w:cstheme="majorHAnsi"/>
          <w:lang w:val="en-US"/>
        </w:rPr>
        <w:t xml:space="preserve"> </w:t>
      </w:r>
      <w:r w:rsidR="00F238DD" w:rsidRPr="00E25D75">
        <w:rPr>
          <w:rFonts w:asciiTheme="majorHAnsi" w:hAnsiTheme="majorHAnsi" w:cstheme="majorHAnsi"/>
        </w:rPr>
        <w:t>concerns</w:t>
      </w:r>
      <w:r w:rsidR="00F238DD" w:rsidRPr="00E25D75">
        <w:rPr>
          <w:rFonts w:asciiTheme="majorHAnsi" w:hAnsiTheme="majorHAnsi" w:cstheme="majorHAnsi"/>
          <w:lang w:val="en-US"/>
        </w:rPr>
        <w:t xml:space="preserve"> and recommendations to revise</w:t>
      </w:r>
      <w:r w:rsidR="00F238DD" w:rsidRPr="00E25D75">
        <w:rPr>
          <w:rFonts w:asciiTheme="majorHAnsi" w:hAnsiTheme="majorHAnsi" w:cstheme="majorHAnsi"/>
        </w:rPr>
        <w:t xml:space="preserve"> </w:t>
      </w:r>
      <w:r w:rsidR="00F238DD" w:rsidRPr="00E25D75">
        <w:rPr>
          <w:rFonts w:asciiTheme="majorHAnsi" w:hAnsiTheme="majorHAnsi" w:cstheme="majorHAnsi"/>
          <w:lang w:val="en-US"/>
        </w:rPr>
        <w:t>by</w:t>
      </w:r>
      <w:r w:rsidR="00F238DD" w:rsidRPr="00E25D75">
        <w:rPr>
          <w:rFonts w:asciiTheme="majorHAnsi" w:hAnsiTheme="majorHAnsi" w:cstheme="majorHAnsi"/>
        </w:rPr>
        <w:t xml:space="preserve"> CEDAW (2001</w:t>
      </w:r>
      <w:r w:rsidR="00F238DD" w:rsidRPr="00E25D75">
        <w:rPr>
          <w:rFonts w:asciiTheme="majorHAnsi" w:hAnsiTheme="majorHAnsi" w:cstheme="majorHAnsi"/>
          <w:lang w:val="en-US"/>
        </w:rPr>
        <w:t>)</w:t>
      </w:r>
      <w:r w:rsidR="00F238DD" w:rsidRPr="00E25D75">
        <w:rPr>
          <w:rStyle w:val="FootnoteReference"/>
          <w:rFonts w:asciiTheme="majorHAnsi" w:hAnsiTheme="majorHAnsi" w:cstheme="majorHAnsi"/>
        </w:rPr>
        <w:footnoteReference w:id="8"/>
      </w:r>
      <w:r w:rsidR="00F238DD" w:rsidRPr="00E25D75">
        <w:rPr>
          <w:rFonts w:asciiTheme="majorHAnsi" w:hAnsiTheme="majorHAnsi" w:cstheme="majorHAnsi"/>
        </w:rPr>
        <w:t xml:space="preserve"> and CESCR (2014</w:t>
      </w:r>
      <w:r w:rsidR="00F238DD" w:rsidRPr="00E25D75">
        <w:rPr>
          <w:rFonts w:asciiTheme="majorHAnsi" w:hAnsiTheme="majorHAnsi" w:cstheme="majorHAnsi"/>
          <w:lang w:val="en-US"/>
        </w:rPr>
        <w:t>),</w:t>
      </w:r>
      <w:r w:rsidR="00F238DD" w:rsidRPr="00E25D75">
        <w:rPr>
          <w:rStyle w:val="FootnoteReference"/>
          <w:rFonts w:asciiTheme="majorHAnsi" w:hAnsiTheme="majorHAnsi" w:cstheme="majorHAnsi"/>
        </w:rPr>
        <w:footnoteReference w:id="9"/>
      </w:r>
      <w:r w:rsidR="00F238DD" w:rsidRPr="00E25D75">
        <w:rPr>
          <w:rFonts w:asciiTheme="majorHAnsi" w:hAnsiTheme="majorHAnsi" w:cstheme="majorHAnsi"/>
        </w:rPr>
        <w:t xml:space="preserve"> </w:t>
      </w:r>
      <w:r w:rsidR="00F238DD" w:rsidRPr="00E25D75">
        <w:rPr>
          <w:rFonts w:asciiTheme="majorHAnsi" w:hAnsiTheme="majorHAnsi" w:cstheme="majorHAnsi"/>
          <w:lang w:val="en-US"/>
        </w:rPr>
        <w:t xml:space="preserve">yet they prevail. </w:t>
      </w:r>
      <w:r w:rsidR="00F238DD" w:rsidRPr="00E25D75">
        <w:rPr>
          <w:rFonts w:asciiTheme="majorHAnsi" w:hAnsiTheme="majorHAnsi" w:cstheme="majorHAnsi"/>
        </w:rPr>
        <w:t xml:space="preserve">Some of the other </w:t>
      </w:r>
      <w:r w:rsidR="00F238DD" w:rsidRPr="00E25D75">
        <w:rPr>
          <w:rFonts w:asciiTheme="majorHAnsi" w:hAnsiTheme="majorHAnsi" w:cstheme="majorHAnsi"/>
        </w:rPr>
        <w:lastRenderedPageBreak/>
        <w:t>provisions of this Code also reinforce gender stereotypes about women's carework responsibity</w:t>
      </w:r>
      <w:r w:rsidR="00F238DD" w:rsidRPr="00E25D75">
        <w:rPr>
          <w:rStyle w:val="FootnoteReference"/>
          <w:rFonts w:asciiTheme="majorHAnsi" w:hAnsiTheme="majorHAnsi" w:cstheme="majorHAnsi"/>
        </w:rPr>
        <w:footnoteReference w:id="10"/>
      </w:r>
      <w:r w:rsidR="00F238DD" w:rsidRPr="00E25D75">
        <w:rPr>
          <w:rFonts w:asciiTheme="majorHAnsi" w:hAnsiTheme="majorHAnsi" w:cstheme="majorHAnsi"/>
        </w:rPr>
        <w:t>.</w:t>
      </w:r>
      <w:r w:rsidR="00F238DD" w:rsidRPr="00E25D75">
        <w:rPr>
          <w:rFonts w:asciiTheme="majorHAnsi" w:hAnsiTheme="majorHAnsi" w:cstheme="majorHAnsi"/>
          <w:lang w:val="en-US"/>
        </w:rPr>
        <w:t xml:space="preserve"> As the </w:t>
      </w:r>
      <w:r w:rsidR="000D4529" w:rsidRPr="00E25D75">
        <w:rPr>
          <w:rFonts w:asciiTheme="majorHAnsi" w:hAnsiTheme="majorHAnsi" w:cstheme="majorHAnsi"/>
          <w:lang w:val="en-US"/>
        </w:rPr>
        <w:t>Labor</w:t>
      </w:r>
      <w:r w:rsidR="00F238DD" w:rsidRPr="00E25D75">
        <w:rPr>
          <w:rFonts w:asciiTheme="majorHAnsi" w:hAnsiTheme="majorHAnsi" w:cstheme="majorHAnsi"/>
          <w:lang w:val="en-US"/>
        </w:rPr>
        <w:t xml:space="preserve"> Code is under revision,</w:t>
      </w:r>
      <w:r w:rsidR="00F238DD" w:rsidRPr="00E25D75">
        <w:rPr>
          <w:rFonts w:asciiTheme="majorHAnsi" w:hAnsiTheme="majorHAnsi" w:cstheme="majorHAnsi"/>
        </w:rPr>
        <w:t xml:space="preserve"> MOLISA proposes a roadmap </w:t>
      </w:r>
      <w:r w:rsidR="00F238DD" w:rsidRPr="00E25D75">
        <w:rPr>
          <w:rFonts w:asciiTheme="majorHAnsi" w:hAnsiTheme="majorHAnsi" w:cstheme="majorHAnsi"/>
          <w:lang w:val="en-US"/>
        </w:rPr>
        <w:t xml:space="preserve">to raise retirement age by </w:t>
      </w:r>
      <w:r w:rsidR="00F238DD" w:rsidRPr="00E25D75">
        <w:rPr>
          <w:rFonts w:asciiTheme="majorHAnsi" w:hAnsiTheme="majorHAnsi" w:cstheme="majorHAnsi"/>
        </w:rPr>
        <w:t>2021</w:t>
      </w:r>
      <w:r w:rsidR="00F238DD" w:rsidRPr="00E25D75">
        <w:rPr>
          <w:rFonts w:asciiTheme="majorHAnsi" w:hAnsiTheme="majorHAnsi" w:cstheme="majorHAnsi"/>
          <w:lang w:val="en-US"/>
        </w:rPr>
        <w:t xml:space="preserve"> which would still differentiate between men and women.</w:t>
      </w:r>
      <w:r w:rsidR="00F238DD" w:rsidRPr="00E25D75">
        <w:rPr>
          <w:rStyle w:val="FootnoteReference"/>
          <w:rFonts w:asciiTheme="majorHAnsi" w:hAnsiTheme="majorHAnsi" w:cstheme="majorHAnsi"/>
          <w:lang w:val="en-US"/>
        </w:rPr>
        <w:footnoteReference w:id="11"/>
      </w:r>
      <w:r w:rsidR="00F238DD" w:rsidRPr="00E25D75">
        <w:rPr>
          <w:rFonts w:asciiTheme="majorHAnsi" w:hAnsiTheme="majorHAnsi" w:cstheme="majorHAnsi"/>
          <w:lang w:val="en-US"/>
        </w:rPr>
        <w:t xml:space="preserve"> </w:t>
      </w:r>
      <w:r w:rsidR="00F238DD" w:rsidRPr="00E25D75">
        <w:rPr>
          <w:rFonts w:asciiTheme="majorHAnsi" w:eastAsiaTheme="minorHAnsi" w:hAnsiTheme="majorHAnsi" w:cstheme="majorHAnsi"/>
          <w:b/>
          <w:lang w:val="en-US"/>
        </w:rPr>
        <w:t xml:space="preserve">The Law on Children (2016) </w:t>
      </w:r>
      <w:r w:rsidR="00F238DD" w:rsidRPr="00E25D75">
        <w:rPr>
          <w:rFonts w:asciiTheme="majorHAnsi" w:eastAsiaTheme="minorHAnsi" w:hAnsiTheme="majorHAnsi" w:cstheme="majorHAnsi"/>
          <w:lang w:val="en-US"/>
        </w:rPr>
        <w:t>does not provide clear forbidden grounds of discrimination against children</w:t>
      </w:r>
      <w:r w:rsidR="00F238DD" w:rsidRPr="00E25D75">
        <w:rPr>
          <w:rStyle w:val="FootnoteReference"/>
          <w:rFonts w:asciiTheme="majorHAnsi" w:eastAsiaTheme="minorHAnsi" w:hAnsiTheme="majorHAnsi" w:cstheme="majorHAnsi"/>
          <w:b/>
          <w:lang w:val="en-US"/>
        </w:rPr>
        <w:footnoteReference w:id="12"/>
      </w:r>
      <w:r w:rsidR="00B9017C">
        <w:rPr>
          <w:rFonts w:asciiTheme="majorHAnsi" w:eastAsiaTheme="minorHAnsi" w:hAnsiTheme="majorHAnsi" w:cstheme="majorHAnsi"/>
          <w:lang w:val="vi-VN"/>
        </w:rPr>
        <w:t xml:space="preserve"> and strengthen gender stereotype when it require</w:t>
      </w:r>
      <w:r w:rsidR="008D0542">
        <w:rPr>
          <w:rFonts w:asciiTheme="majorHAnsi" w:eastAsiaTheme="minorHAnsi" w:hAnsiTheme="majorHAnsi" w:cstheme="majorHAnsi"/>
          <w:lang w:val="vi-VN"/>
        </w:rPr>
        <w:t>s</w:t>
      </w:r>
      <w:r w:rsidR="00B9017C">
        <w:rPr>
          <w:rFonts w:asciiTheme="majorHAnsi" w:eastAsiaTheme="minorHAnsi" w:hAnsiTheme="majorHAnsi" w:cstheme="majorHAnsi"/>
          <w:lang w:val="vi-VN"/>
        </w:rPr>
        <w:t xml:space="preserve"> the dut</w:t>
      </w:r>
      <w:r w:rsidR="00A26225">
        <w:rPr>
          <w:rFonts w:asciiTheme="majorHAnsi" w:eastAsiaTheme="minorHAnsi" w:hAnsiTheme="majorHAnsi" w:cstheme="majorHAnsi"/>
          <w:lang w:val="vi-VN"/>
        </w:rPr>
        <w:t>y</w:t>
      </w:r>
      <w:r w:rsidR="00B9017C">
        <w:rPr>
          <w:rFonts w:asciiTheme="majorHAnsi" w:eastAsiaTheme="minorHAnsi" w:hAnsiTheme="majorHAnsi" w:cstheme="majorHAnsi"/>
          <w:lang w:val="vi-VN"/>
        </w:rPr>
        <w:t xml:space="preserve"> of </w:t>
      </w:r>
      <w:r w:rsidR="00A26225">
        <w:rPr>
          <w:rFonts w:asciiTheme="majorHAnsi" w:eastAsiaTheme="minorHAnsi" w:hAnsiTheme="majorHAnsi" w:cstheme="majorHAnsi"/>
          <w:lang w:val="vi-VN"/>
        </w:rPr>
        <w:t>a child</w:t>
      </w:r>
      <w:r w:rsidR="00A26225" w:rsidRPr="00A26225">
        <w:rPr>
          <w:rFonts w:asciiTheme="majorHAnsi" w:eastAsiaTheme="minorHAnsi" w:hAnsiTheme="majorHAnsi" w:cstheme="majorHAnsi"/>
          <w:lang w:val="vi-VN"/>
        </w:rPr>
        <w:t xml:space="preserve"> </w:t>
      </w:r>
      <w:r w:rsidR="00A26225">
        <w:rPr>
          <w:rFonts w:asciiTheme="majorHAnsi" w:eastAsiaTheme="minorHAnsi" w:hAnsiTheme="majorHAnsi" w:cstheme="majorHAnsi"/>
          <w:lang w:val="vi-VN"/>
        </w:rPr>
        <w:t>to his/her family</w:t>
      </w:r>
      <w:r w:rsidR="00A26225">
        <w:rPr>
          <w:rStyle w:val="FootnoteReference"/>
          <w:rFonts w:asciiTheme="majorHAnsi" w:eastAsiaTheme="minorHAnsi" w:hAnsiTheme="majorHAnsi"/>
          <w:lang w:val="vi-VN"/>
        </w:rPr>
        <w:t xml:space="preserve"> </w:t>
      </w:r>
      <w:r w:rsidR="00B9017C">
        <w:rPr>
          <w:rStyle w:val="FootnoteReference"/>
          <w:rFonts w:asciiTheme="majorHAnsi" w:eastAsiaTheme="minorHAnsi" w:hAnsiTheme="majorHAnsi"/>
          <w:lang w:val="vi-VN"/>
        </w:rPr>
        <w:footnoteReference w:id="13"/>
      </w:r>
      <w:r w:rsidR="008D0542">
        <w:rPr>
          <w:rFonts w:asciiTheme="majorHAnsi" w:eastAsiaTheme="minorHAnsi" w:hAnsiTheme="majorHAnsi" w:cstheme="majorHAnsi"/>
          <w:lang w:val="vi-VN"/>
        </w:rPr>
        <w:t>.</w:t>
      </w:r>
      <w:r w:rsidR="00F238DD" w:rsidRPr="00E25D75">
        <w:rPr>
          <w:rFonts w:asciiTheme="majorHAnsi" w:eastAsiaTheme="minorHAnsi" w:hAnsiTheme="majorHAnsi" w:cstheme="majorHAnsi"/>
          <w:b/>
          <w:lang w:val="en-US"/>
        </w:rPr>
        <w:t xml:space="preserve"> </w:t>
      </w:r>
      <w:r w:rsidR="00F238DD" w:rsidRPr="00E25D75">
        <w:rPr>
          <w:rFonts w:asciiTheme="majorHAnsi" w:hAnsiTheme="majorHAnsi" w:cstheme="majorHAnsi"/>
          <w:b/>
        </w:rPr>
        <w:t xml:space="preserve">Lack </w:t>
      </w:r>
      <w:r w:rsidR="00F238DD" w:rsidRPr="00E25D75">
        <w:rPr>
          <w:rFonts w:asciiTheme="majorHAnsi" w:hAnsiTheme="majorHAnsi" w:cstheme="majorHAnsi"/>
          <w:b/>
          <w:lang w:val="en-US"/>
        </w:rPr>
        <w:t>of non-</w:t>
      </w:r>
      <w:r w:rsidR="00F238DD" w:rsidRPr="00E25D75">
        <w:rPr>
          <w:rFonts w:asciiTheme="majorHAnsi" w:hAnsiTheme="majorHAnsi" w:cstheme="majorHAnsi"/>
          <w:b/>
        </w:rPr>
        <w:t>discrimination</w:t>
      </w:r>
      <w:r w:rsidR="00F238DD" w:rsidRPr="00E25D75">
        <w:rPr>
          <w:rFonts w:asciiTheme="majorHAnsi" w:hAnsiTheme="majorHAnsi" w:cstheme="majorHAnsi"/>
          <w:b/>
          <w:lang w:val="en-US"/>
        </w:rPr>
        <w:t xml:space="preserve"> regulations </w:t>
      </w:r>
      <w:r w:rsidR="00F238DD" w:rsidRPr="00E25D75">
        <w:rPr>
          <w:rFonts w:asciiTheme="majorHAnsi" w:hAnsiTheme="majorHAnsi" w:cstheme="majorHAnsi"/>
          <w:b/>
        </w:rPr>
        <w:t xml:space="preserve">in </w:t>
      </w:r>
      <w:r w:rsidR="00F238DD" w:rsidRPr="00E25D75">
        <w:rPr>
          <w:rFonts w:asciiTheme="majorHAnsi" w:hAnsiTheme="majorHAnsi" w:cstheme="majorHAnsi"/>
          <w:b/>
          <w:lang w:val="en-US"/>
        </w:rPr>
        <w:t xml:space="preserve">legal framework for </w:t>
      </w:r>
      <w:r w:rsidR="008D0542">
        <w:rPr>
          <w:rFonts w:asciiTheme="majorHAnsi" w:hAnsiTheme="majorHAnsi" w:cstheme="majorHAnsi"/>
          <w:b/>
          <w:lang w:val="en-US"/>
        </w:rPr>
        <w:t>e</w:t>
      </w:r>
      <w:r w:rsidR="00F238DD" w:rsidRPr="00E25D75">
        <w:rPr>
          <w:rFonts w:asciiTheme="majorHAnsi" w:hAnsiTheme="majorHAnsi" w:cstheme="majorHAnsi"/>
          <w:b/>
          <w:lang w:val="en-US"/>
        </w:rPr>
        <w:t>lection</w:t>
      </w:r>
      <w:r w:rsidR="00F238DD" w:rsidRPr="00E25D75">
        <w:rPr>
          <w:rStyle w:val="FootnoteReference"/>
          <w:rFonts w:asciiTheme="majorHAnsi" w:hAnsiTheme="majorHAnsi" w:cstheme="majorHAnsi"/>
          <w:color w:val="000000"/>
        </w:rPr>
        <w:footnoteReference w:id="14"/>
      </w:r>
      <w:r w:rsidR="00F238DD" w:rsidRPr="00E25D75">
        <w:rPr>
          <w:rFonts w:asciiTheme="majorHAnsi" w:hAnsiTheme="majorHAnsi" w:cstheme="majorHAnsi"/>
          <w:lang w:val="en-US"/>
        </w:rPr>
        <w:t xml:space="preserve"> as</w:t>
      </w:r>
      <w:r w:rsidR="00F238DD" w:rsidRPr="00E25D75">
        <w:rPr>
          <w:rFonts w:asciiTheme="majorHAnsi" w:hAnsiTheme="majorHAnsi" w:cstheme="majorHAnsi"/>
        </w:rPr>
        <w:t xml:space="preserve"> </w:t>
      </w:r>
      <w:r w:rsidR="00F238DD" w:rsidRPr="00E25D75">
        <w:rPr>
          <w:rFonts w:asciiTheme="majorHAnsi" w:hAnsiTheme="majorHAnsi" w:cstheme="majorHAnsi"/>
          <w:lang w:val="en-US"/>
        </w:rPr>
        <w:t>the</w:t>
      </w:r>
      <w:r w:rsidR="00F238DD" w:rsidRPr="00E25D75">
        <w:rPr>
          <w:rFonts w:asciiTheme="majorHAnsi" w:hAnsiTheme="majorHAnsi" w:cstheme="majorHAnsi"/>
        </w:rPr>
        <w:t xml:space="preserve"> principle has been removed from the electoral rights provisions of Article 27 of the Constitution 2013</w:t>
      </w:r>
      <w:r w:rsidR="00F238DD" w:rsidRPr="00E25D75">
        <w:rPr>
          <w:rStyle w:val="FootnoteReference"/>
          <w:rFonts w:asciiTheme="majorHAnsi" w:hAnsiTheme="majorHAnsi" w:cstheme="majorHAnsi"/>
          <w:color w:val="000000"/>
        </w:rPr>
        <w:footnoteReference w:id="15"/>
      </w:r>
      <w:r w:rsidR="00F238DD" w:rsidRPr="00E25D75">
        <w:rPr>
          <w:rFonts w:asciiTheme="majorHAnsi" w:hAnsiTheme="majorHAnsi" w:cstheme="majorHAnsi"/>
        </w:rPr>
        <w:t xml:space="preserve"> and the </w:t>
      </w:r>
      <w:r w:rsidR="008D0542" w:rsidRPr="00E25D75">
        <w:rPr>
          <w:rFonts w:asciiTheme="majorHAnsi" w:hAnsiTheme="majorHAnsi" w:cstheme="majorHAnsi"/>
        </w:rPr>
        <w:t>2015</w:t>
      </w:r>
      <w:r w:rsidR="008D0542">
        <w:rPr>
          <w:rFonts w:asciiTheme="majorHAnsi" w:hAnsiTheme="majorHAnsi" w:cstheme="majorHAnsi"/>
          <w:lang w:val="vi-VN"/>
        </w:rPr>
        <w:t xml:space="preserve"> </w:t>
      </w:r>
      <w:r w:rsidR="00F238DD" w:rsidRPr="00E25D75">
        <w:rPr>
          <w:rFonts w:asciiTheme="majorHAnsi" w:hAnsiTheme="majorHAnsi" w:cstheme="majorHAnsi"/>
        </w:rPr>
        <w:t>Election Law.</w:t>
      </w:r>
    </w:p>
    <w:p w14:paraId="62D82998" w14:textId="5E0AEF31" w:rsidR="00F238DD" w:rsidRPr="00425667" w:rsidRDefault="00F238DD" w:rsidP="00B117E9">
      <w:pPr>
        <w:spacing w:line="360" w:lineRule="auto"/>
        <w:rPr>
          <w:rFonts w:asciiTheme="majorHAnsi" w:hAnsiTheme="majorHAnsi" w:cstheme="majorHAnsi"/>
          <w:b/>
        </w:rPr>
      </w:pPr>
      <w:bookmarkStart w:id="7" w:name="_Toc518855011"/>
      <w:r w:rsidRPr="00425667">
        <w:rPr>
          <w:rFonts w:asciiTheme="majorHAnsi" w:hAnsiTheme="majorHAnsi" w:cstheme="majorHAnsi"/>
          <w:b/>
        </w:rPr>
        <w:t>Recommendations:</w:t>
      </w:r>
      <w:bookmarkEnd w:id="7"/>
    </w:p>
    <w:p w14:paraId="1E73EC2D" w14:textId="1F858306" w:rsidR="008D0542" w:rsidRPr="008D0542" w:rsidRDefault="008D0542" w:rsidP="008D0542">
      <w:pPr>
        <w:suppressAutoHyphens/>
        <w:spacing w:before="80" w:line="360" w:lineRule="auto"/>
        <w:jc w:val="both"/>
        <w:rPr>
          <w:rFonts w:asciiTheme="majorHAnsi" w:hAnsiTheme="majorHAnsi" w:cstheme="majorHAnsi"/>
        </w:rPr>
      </w:pPr>
      <w:r>
        <w:rPr>
          <w:rFonts w:asciiTheme="majorHAnsi" w:hAnsiTheme="majorHAnsi" w:cstheme="majorHAnsi"/>
        </w:rPr>
        <w:t>The State Party should:</w:t>
      </w:r>
    </w:p>
    <w:p w14:paraId="19C0A634" w14:textId="5009AE63" w:rsidR="00F238DD" w:rsidRPr="00E25D75" w:rsidRDefault="00F238DD" w:rsidP="0049094C">
      <w:pPr>
        <w:pStyle w:val="ListParagraph"/>
        <w:numPr>
          <w:ilvl w:val="0"/>
          <w:numId w:val="5"/>
        </w:numPr>
        <w:suppressAutoHyphens/>
        <w:spacing w:before="80" w:line="360" w:lineRule="auto"/>
        <w:ind w:left="540"/>
        <w:jc w:val="both"/>
        <w:rPr>
          <w:rFonts w:asciiTheme="majorHAnsi" w:hAnsiTheme="majorHAnsi" w:cstheme="majorHAnsi"/>
        </w:rPr>
      </w:pPr>
      <w:r w:rsidRPr="00E25D75">
        <w:rPr>
          <w:rFonts w:asciiTheme="majorHAnsi" w:hAnsiTheme="majorHAnsi" w:cstheme="majorHAnsi"/>
          <w:lang w:val="en-US"/>
        </w:rPr>
        <w:t>Adopt</w:t>
      </w:r>
      <w:r w:rsidRPr="00E25D75">
        <w:rPr>
          <w:rFonts w:asciiTheme="majorHAnsi" w:hAnsiTheme="majorHAnsi" w:cstheme="majorHAnsi"/>
        </w:rPr>
        <w:t xml:space="preserve"> a Law on Anti-discrimination in accordance with </w:t>
      </w:r>
      <w:r w:rsidR="008D0542" w:rsidRPr="00E25D75">
        <w:rPr>
          <w:rFonts w:asciiTheme="majorHAnsi" w:hAnsiTheme="majorHAnsi" w:cstheme="majorHAnsi"/>
        </w:rPr>
        <w:t>Article 2 of the ICCPR</w:t>
      </w:r>
      <w:r w:rsidRPr="00E25D75">
        <w:rPr>
          <w:rFonts w:asciiTheme="majorHAnsi" w:hAnsiTheme="majorHAnsi" w:cstheme="majorHAnsi"/>
        </w:rPr>
        <w:t>, ICESCR, CERD, CRC</w:t>
      </w:r>
      <w:r w:rsidR="008D0542">
        <w:rPr>
          <w:rFonts w:asciiTheme="majorHAnsi" w:hAnsiTheme="majorHAnsi" w:cstheme="majorHAnsi"/>
          <w:lang w:val="vi-VN"/>
        </w:rPr>
        <w:t>,</w:t>
      </w:r>
      <w:r w:rsidRPr="00E25D75">
        <w:rPr>
          <w:rFonts w:asciiTheme="majorHAnsi" w:hAnsiTheme="majorHAnsi" w:cstheme="majorHAnsi"/>
        </w:rPr>
        <w:t xml:space="preserve"> CRPD, </w:t>
      </w:r>
      <w:r w:rsidR="008D0542" w:rsidRPr="00E25D75">
        <w:rPr>
          <w:rFonts w:asciiTheme="majorHAnsi" w:hAnsiTheme="majorHAnsi" w:cstheme="majorHAnsi"/>
        </w:rPr>
        <w:t xml:space="preserve">and Article 1 of CEDAW </w:t>
      </w:r>
      <w:r w:rsidRPr="00E25D75">
        <w:rPr>
          <w:rFonts w:asciiTheme="majorHAnsi" w:hAnsiTheme="majorHAnsi" w:cstheme="majorHAnsi"/>
        </w:rPr>
        <w:t>including specific measures and punishment for violat</w:t>
      </w:r>
      <w:r w:rsidR="008D0542">
        <w:rPr>
          <w:rFonts w:asciiTheme="majorHAnsi" w:hAnsiTheme="majorHAnsi" w:cstheme="majorHAnsi"/>
        </w:rPr>
        <w:t>ions</w:t>
      </w:r>
      <w:r w:rsidRPr="00E25D75">
        <w:rPr>
          <w:rFonts w:asciiTheme="majorHAnsi" w:hAnsiTheme="majorHAnsi" w:cstheme="majorHAnsi"/>
        </w:rPr>
        <w:t>.</w:t>
      </w:r>
    </w:p>
    <w:p w14:paraId="0EB4E7A5" w14:textId="09DA071C" w:rsidR="00F238DD" w:rsidRPr="00E25D75" w:rsidRDefault="00F238DD" w:rsidP="0049094C">
      <w:pPr>
        <w:pStyle w:val="ListParagraph"/>
        <w:numPr>
          <w:ilvl w:val="0"/>
          <w:numId w:val="5"/>
        </w:numPr>
        <w:suppressAutoHyphens/>
        <w:spacing w:before="80" w:line="360" w:lineRule="auto"/>
        <w:ind w:left="540"/>
        <w:jc w:val="both"/>
        <w:rPr>
          <w:rFonts w:asciiTheme="majorHAnsi" w:hAnsiTheme="majorHAnsi" w:cstheme="majorHAnsi"/>
        </w:rPr>
      </w:pPr>
      <w:r w:rsidRPr="00E25D75">
        <w:rPr>
          <w:rFonts w:asciiTheme="majorHAnsi" w:hAnsiTheme="majorHAnsi" w:cstheme="majorHAnsi"/>
          <w:lang w:val="en-US"/>
        </w:rPr>
        <w:t xml:space="preserve">Implement training programs for policy makers in the legislative, executive and judicial branches about the obligations of the Member State on the non-discrimination principles of </w:t>
      </w:r>
      <w:r w:rsidR="00166A5A" w:rsidRPr="00E25D75">
        <w:rPr>
          <w:rFonts w:asciiTheme="majorHAnsi" w:hAnsiTheme="majorHAnsi" w:cstheme="majorHAnsi"/>
          <w:lang w:val="en-US"/>
        </w:rPr>
        <w:t xml:space="preserve">ICCPR, </w:t>
      </w:r>
      <w:r w:rsidRPr="00E25D75">
        <w:rPr>
          <w:rFonts w:asciiTheme="majorHAnsi" w:hAnsiTheme="majorHAnsi" w:cstheme="majorHAnsi"/>
          <w:lang w:val="en-US"/>
        </w:rPr>
        <w:t>CEDAW and other international human rights conventions.</w:t>
      </w:r>
    </w:p>
    <w:p w14:paraId="4D2754BF" w14:textId="18D23C40" w:rsidR="00F238DD" w:rsidRPr="00E25D75" w:rsidRDefault="00F238DD" w:rsidP="0049094C">
      <w:pPr>
        <w:pStyle w:val="ListParagraph"/>
        <w:numPr>
          <w:ilvl w:val="0"/>
          <w:numId w:val="5"/>
        </w:numPr>
        <w:suppressAutoHyphens/>
        <w:spacing w:before="80" w:after="0" w:line="360" w:lineRule="auto"/>
        <w:ind w:left="540"/>
        <w:jc w:val="both"/>
        <w:rPr>
          <w:rFonts w:asciiTheme="majorHAnsi" w:hAnsiTheme="majorHAnsi" w:cstheme="majorHAnsi"/>
          <w:iCs/>
        </w:rPr>
      </w:pPr>
      <w:r w:rsidRPr="00E25D75">
        <w:rPr>
          <w:rFonts w:asciiTheme="majorHAnsi" w:hAnsiTheme="majorHAnsi" w:cstheme="majorHAnsi"/>
        </w:rPr>
        <w:t>Revis</w:t>
      </w:r>
      <w:r w:rsidRPr="00E25D75">
        <w:rPr>
          <w:rFonts w:asciiTheme="majorHAnsi" w:hAnsiTheme="majorHAnsi" w:cstheme="majorHAnsi"/>
          <w:lang w:val="en-US"/>
        </w:rPr>
        <w:t>e</w:t>
      </w:r>
      <w:r w:rsidRPr="00E25D75">
        <w:rPr>
          <w:rFonts w:asciiTheme="majorHAnsi" w:hAnsiTheme="majorHAnsi" w:cstheme="majorHAnsi"/>
        </w:rPr>
        <w:t xml:space="preserve"> all </w:t>
      </w:r>
      <w:r w:rsidRPr="00E25D75">
        <w:rPr>
          <w:rFonts w:asciiTheme="majorHAnsi" w:hAnsiTheme="majorHAnsi" w:cstheme="majorHAnsi"/>
          <w:lang w:val="en-US"/>
        </w:rPr>
        <w:t xml:space="preserve">discriminatory </w:t>
      </w:r>
      <w:r w:rsidRPr="00E25D75">
        <w:rPr>
          <w:rFonts w:asciiTheme="majorHAnsi" w:hAnsiTheme="majorHAnsi" w:cstheme="majorHAnsi"/>
        </w:rPr>
        <w:t>laws and regulations to comply with international human rights standards</w:t>
      </w:r>
      <w:r w:rsidRPr="00E25D75">
        <w:rPr>
          <w:rFonts w:asciiTheme="majorHAnsi" w:hAnsiTheme="majorHAnsi" w:cstheme="majorHAnsi"/>
          <w:lang w:val="en-US"/>
        </w:rPr>
        <w:t>,</w:t>
      </w:r>
      <w:r w:rsidRPr="00E25D75">
        <w:rPr>
          <w:rFonts w:asciiTheme="majorHAnsi" w:hAnsiTheme="majorHAnsi" w:cstheme="majorHAnsi"/>
        </w:rPr>
        <w:t xml:space="preserve"> including</w:t>
      </w:r>
      <w:r w:rsidRPr="00E25D75">
        <w:rPr>
          <w:rFonts w:asciiTheme="majorHAnsi" w:hAnsiTheme="majorHAnsi" w:cstheme="majorHAnsi"/>
          <w:lang w:val="en-US"/>
        </w:rPr>
        <w:t xml:space="preserve">: Remove the </w:t>
      </w:r>
      <w:r w:rsidRPr="00E25D75">
        <w:rPr>
          <w:rFonts w:asciiTheme="majorHAnsi" w:hAnsiTheme="majorHAnsi" w:cstheme="majorHAnsi"/>
        </w:rPr>
        <w:t xml:space="preserve">discriminatory provisions that reinforce gender stereotypes in the </w:t>
      </w:r>
      <w:r w:rsidRPr="00E25D75">
        <w:rPr>
          <w:rFonts w:asciiTheme="majorHAnsi" w:hAnsiTheme="majorHAnsi" w:cstheme="majorHAnsi"/>
          <w:lang w:val="en-US"/>
        </w:rPr>
        <w:t xml:space="preserve">Law on </w:t>
      </w:r>
      <w:r w:rsidRPr="00E25D75">
        <w:rPr>
          <w:rFonts w:asciiTheme="majorHAnsi" w:hAnsiTheme="majorHAnsi" w:cstheme="majorHAnsi"/>
        </w:rPr>
        <w:t>Marriage and Family Law</w:t>
      </w:r>
      <w:r w:rsidRPr="00E25D75">
        <w:rPr>
          <w:rFonts w:asciiTheme="majorHAnsi" w:hAnsiTheme="majorHAnsi" w:cstheme="majorHAnsi"/>
          <w:lang w:val="en-US"/>
        </w:rPr>
        <w:t xml:space="preserve"> to ensure compliance with </w:t>
      </w:r>
      <w:r w:rsidR="00166A5A" w:rsidRPr="00E25D75">
        <w:rPr>
          <w:rFonts w:asciiTheme="majorHAnsi" w:hAnsiTheme="majorHAnsi" w:cstheme="majorHAnsi"/>
          <w:lang w:val="en-US"/>
        </w:rPr>
        <w:t>the Covenant</w:t>
      </w:r>
      <w:r w:rsidRPr="00E25D75">
        <w:rPr>
          <w:rFonts w:asciiTheme="majorHAnsi" w:hAnsiTheme="majorHAnsi" w:cstheme="majorHAnsi"/>
        </w:rPr>
        <w:t xml:space="preserve">; </w:t>
      </w:r>
      <w:r w:rsidRPr="00E25D75">
        <w:rPr>
          <w:rFonts w:asciiTheme="majorHAnsi" w:hAnsiTheme="majorHAnsi" w:cstheme="majorHAnsi"/>
          <w:lang w:val="en-US"/>
        </w:rPr>
        <w:t>R</w:t>
      </w:r>
      <w:r w:rsidRPr="00E25D75">
        <w:rPr>
          <w:rFonts w:asciiTheme="majorHAnsi" w:hAnsiTheme="majorHAnsi" w:cstheme="majorHAnsi"/>
        </w:rPr>
        <w:t>evis</w:t>
      </w:r>
      <w:r w:rsidRPr="00E25D75">
        <w:rPr>
          <w:rFonts w:asciiTheme="majorHAnsi" w:hAnsiTheme="majorHAnsi" w:cstheme="majorHAnsi"/>
          <w:lang w:val="en-US"/>
        </w:rPr>
        <w:t>e</w:t>
      </w:r>
      <w:r w:rsidRPr="00E25D75">
        <w:rPr>
          <w:rFonts w:asciiTheme="majorHAnsi" w:hAnsiTheme="majorHAnsi" w:cstheme="majorHAnsi"/>
        </w:rPr>
        <w:t xml:space="preserve"> the Labor </w:t>
      </w:r>
      <w:r w:rsidRPr="00E25D75">
        <w:rPr>
          <w:rFonts w:asciiTheme="majorHAnsi" w:hAnsiTheme="majorHAnsi" w:cstheme="majorHAnsi"/>
          <w:lang w:val="en-US"/>
        </w:rPr>
        <w:t>Code</w:t>
      </w:r>
      <w:r w:rsidRPr="00E25D75">
        <w:rPr>
          <w:rFonts w:asciiTheme="majorHAnsi" w:hAnsiTheme="majorHAnsi" w:cstheme="majorHAnsi"/>
        </w:rPr>
        <w:t xml:space="preserve"> according to </w:t>
      </w:r>
      <w:r w:rsidRPr="00E25D75">
        <w:rPr>
          <w:rFonts w:asciiTheme="majorHAnsi" w:hAnsiTheme="majorHAnsi" w:cstheme="majorHAnsi"/>
        </w:rPr>
        <w:lastRenderedPageBreak/>
        <w:t xml:space="preserve">CEDAW </w:t>
      </w:r>
      <w:r w:rsidRPr="00E25D75">
        <w:rPr>
          <w:rFonts w:asciiTheme="majorHAnsi" w:hAnsiTheme="majorHAnsi" w:cstheme="majorHAnsi"/>
          <w:lang w:val="en-US"/>
        </w:rPr>
        <w:t>Committee’s concluding comment</w:t>
      </w:r>
      <w:r w:rsidRPr="00E25D75">
        <w:rPr>
          <w:rFonts w:asciiTheme="majorHAnsi" w:hAnsiTheme="majorHAnsi" w:cstheme="majorHAnsi"/>
        </w:rPr>
        <w:t xml:space="preserve"> No 271 for Vietnam in 2001</w:t>
      </w:r>
      <w:r w:rsidRPr="00E25D75">
        <w:rPr>
          <w:rFonts w:asciiTheme="majorHAnsi" w:hAnsiTheme="majorHAnsi" w:cstheme="majorHAnsi"/>
          <w:lang w:val="en-US"/>
        </w:rPr>
        <w:t>;</w:t>
      </w:r>
      <w:r w:rsidRPr="00E25D75">
        <w:rPr>
          <w:rStyle w:val="FootnoteReference"/>
          <w:rFonts w:asciiTheme="majorHAnsi" w:hAnsiTheme="majorHAnsi" w:cstheme="majorHAnsi"/>
        </w:rPr>
        <w:footnoteReference w:id="16"/>
      </w:r>
      <w:r w:rsidRPr="00E25D75">
        <w:rPr>
          <w:rFonts w:asciiTheme="majorHAnsi" w:hAnsiTheme="majorHAnsi" w:cstheme="majorHAnsi"/>
          <w:lang w:val="en-US"/>
        </w:rPr>
        <w:t xml:space="preserve"> </w:t>
      </w:r>
      <w:r w:rsidRPr="00E25D75">
        <w:rPr>
          <w:rFonts w:asciiTheme="majorHAnsi" w:hAnsiTheme="majorHAnsi" w:cstheme="majorHAnsi"/>
        </w:rPr>
        <w:t>Review</w:t>
      </w:r>
      <w:r w:rsidRPr="00E25D75">
        <w:rPr>
          <w:rFonts w:asciiTheme="majorHAnsi" w:hAnsiTheme="majorHAnsi" w:cstheme="majorHAnsi"/>
          <w:lang w:val="en-US"/>
        </w:rPr>
        <w:t xml:space="preserve"> and revise</w:t>
      </w:r>
      <w:r w:rsidRPr="00E25D75">
        <w:rPr>
          <w:rFonts w:asciiTheme="majorHAnsi" w:hAnsiTheme="majorHAnsi" w:cstheme="majorHAnsi"/>
        </w:rPr>
        <w:t xml:space="preserve"> </w:t>
      </w:r>
      <w:r w:rsidRPr="00E25D75">
        <w:rPr>
          <w:rFonts w:asciiTheme="majorHAnsi" w:hAnsiTheme="majorHAnsi" w:cstheme="majorHAnsi"/>
          <w:lang w:val="en-US"/>
        </w:rPr>
        <w:t>t</w:t>
      </w:r>
      <w:r w:rsidRPr="00E25D75">
        <w:rPr>
          <w:rFonts w:asciiTheme="majorHAnsi" w:hAnsiTheme="majorHAnsi" w:cstheme="majorHAnsi"/>
        </w:rPr>
        <w:t xml:space="preserve">he </w:t>
      </w:r>
      <w:r w:rsidRPr="00E25D75">
        <w:rPr>
          <w:rFonts w:asciiTheme="majorHAnsi" w:hAnsiTheme="majorHAnsi" w:cstheme="majorHAnsi"/>
          <w:lang w:val="en-US"/>
        </w:rPr>
        <w:t>Law</w:t>
      </w:r>
      <w:r w:rsidRPr="00E25D75">
        <w:rPr>
          <w:rFonts w:asciiTheme="majorHAnsi" w:hAnsiTheme="majorHAnsi" w:cstheme="majorHAnsi"/>
        </w:rPr>
        <w:t xml:space="preserve"> </w:t>
      </w:r>
      <w:r w:rsidRPr="00E25D75">
        <w:rPr>
          <w:rFonts w:asciiTheme="majorHAnsi" w:hAnsiTheme="majorHAnsi" w:cstheme="majorHAnsi"/>
          <w:lang w:val="en-US"/>
        </w:rPr>
        <w:t xml:space="preserve">on Children </w:t>
      </w:r>
      <w:r w:rsidRPr="00E25D75">
        <w:rPr>
          <w:rFonts w:asciiTheme="majorHAnsi" w:hAnsiTheme="majorHAnsi" w:cstheme="majorHAnsi"/>
        </w:rPr>
        <w:t xml:space="preserve">2016 to </w:t>
      </w:r>
      <w:r w:rsidRPr="00E25D75">
        <w:rPr>
          <w:rFonts w:asciiTheme="majorHAnsi" w:hAnsiTheme="majorHAnsi" w:cstheme="majorHAnsi"/>
          <w:lang w:val="en-US"/>
        </w:rPr>
        <w:t xml:space="preserve">protect the child from </w:t>
      </w:r>
      <w:r w:rsidR="000D4529" w:rsidRPr="00E25D75">
        <w:rPr>
          <w:rFonts w:asciiTheme="majorHAnsi" w:hAnsiTheme="majorHAnsi" w:cstheme="majorHAnsi"/>
          <w:lang w:val="en-US"/>
        </w:rPr>
        <w:t>recognized</w:t>
      </w:r>
      <w:r w:rsidRPr="00E25D75">
        <w:rPr>
          <w:rFonts w:asciiTheme="majorHAnsi" w:hAnsiTheme="majorHAnsi" w:cstheme="majorHAnsi"/>
          <w:lang w:val="en-US"/>
        </w:rPr>
        <w:t xml:space="preserve"> forms of </w:t>
      </w:r>
      <w:r w:rsidRPr="00E25D75">
        <w:rPr>
          <w:rFonts w:asciiTheme="majorHAnsi" w:hAnsiTheme="majorHAnsi" w:cstheme="majorHAnsi"/>
        </w:rPr>
        <w:t>discrimination</w:t>
      </w:r>
      <w:r w:rsidRPr="00E25D75">
        <w:rPr>
          <w:rFonts w:asciiTheme="majorHAnsi" w:hAnsiTheme="majorHAnsi" w:cstheme="majorHAnsi"/>
          <w:lang w:val="en-US"/>
        </w:rPr>
        <w:t>s</w:t>
      </w:r>
      <w:r w:rsidRPr="00E25D75">
        <w:rPr>
          <w:rFonts w:asciiTheme="majorHAnsi" w:hAnsiTheme="majorHAnsi" w:cstheme="majorHAnsi"/>
        </w:rPr>
        <w:t xml:space="preserve"> </w:t>
      </w:r>
      <w:r w:rsidR="000D4529" w:rsidRPr="00E25D75">
        <w:rPr>
          <w:rFonts w:asciiTheme="majorHAnsi" w:hAnsiTheme="majorHAnsi" w:cstheme="majorHAnsi"/>
          <w:lang w:val="en-US"/>
        </w:rPr>
        <w:t>in line</w:t>
      </w:r>
      <w:r w:rsidRPr="00E25D75">
        <w:rPr>
          <w:rFonts w:asciiTheme="majorHAnsi" w:hAnsiTheme="majorHAnsi" w:cstheme="majorHAnsi"/>
          <w:lang w:val="en-US"/>
        </w:rPr>
        <w:t xml:space="preserve"> with CRC.</w:t>
      </w:r>
    </w:p>
    <w:p w14:paraId="78EAF8E0" w14:textId="19A14A24" w:rsidR="00F238DD" w:rsidRPr="00E25D75" w:rsidRDefault="00F238DD" w:rsidP="0049094C">
      <w:pPr>
        <w:pStyle w:val="ListParagraph"/>
        <w:numPr>
          <w:ilvl w:val="0"/>
          <w:numId w:val="5"/>
        </w:numPr>
        <w:suppressAutoHyphens/>
        <w:spacing w:before="80" w:after="0" w:line="360" w:lineRule="auto"/>
        <w:ind w:left="540"/>
        <w:jc w:val="both"/>
        <w:rPr>
          <w:rFonts w:asciiTheme="majorHAnsi" w:hAnsiTheme="majorHAnsi" w:cstheme="majorHAnsi"/>
          <w:iCs/>
        </w:rPr>
      </w:pPr>
      <w:r w:rsidRPr="00E25D75">
        <w:rPr>
          <w:rFonts w:asciiTheme="majorHAnsi" w:hAnsiTheme="majorHAnsi" w:cstheme="majorHAnsi"/>
        </w:rPr>
        <w:t>Amend Article 16 of</w:t>
      </w:r>
      <w:r w:rsidRPr="00E25D75">
        <w:rPr>
          <w:rFonts w:asciiTheme="majorHAnsi" w:hAnsiTheme="majorHAnsi" w:cstheme="majorHAnsi"/>
          <w:lang w:val="en-US"/>
        </w:rPr>
        <w:t xml:space="preserve"> the</w:t>
      </w:r>
      <w:r w:rsidRPr="00E25D75">
        <w:rPr>
          <w:rFonts w:asciiTheme="majorHAnsi" w:hAnsiTheme="majorHAnsi" w:cstheme="majorHAnsi"/>
        </w:rPr>
        <w:t xml:space="preserve"> Constitution </w:t>
      </w:r>
      <w:r w:rsidRPr="00E25D75">
        <w:rPr>
          <w:rFonts w:asciiTheme="majorHAnsi" w:hAnsiTheme="majorHAnsi" w:cstheme="majorHAnsi"/>
          <w:lang w:val="en-US"/>
        </w:rPr>
        <w:t xml:space="preserve">2013 to </w:t>
      </w:r>
      <w:r w:rsidRPr="00E25D75">
        <w:rPr>
          <w:rFonts w:asciiTheme="majorHAnsi" w:hAnsiTheme="majorHAnsi" w:cstheme="majorHAnsi"/>
        </w:rPr>
        <w:t>incorporate t</w:t>
      </w:r>
      <w:r w:rsidRPr="00E25D75">
        <w:rPr>
          <w:rFonts w:asciiTheme="majorHAnsi" w:hAnsiTheme="majorHAnsi" w:cstheme="majorHAnsi"/>
          <w:lang w:val="en-US"/>
        </w:rPr>
        <w:t xml:space="preserve">he </w:t>
      </w:r>
      <w:r w:rsidRPr="00E25D75">
        <w:rPr>
          <w:rFonts w:asciiTheme="majorHAnsi" w:hAnsiTheme="majorHAnsi" w:cstheme="majorHAnsi"/>
        </w:rPr>
        <w:t xml:space="preserve">principle </w:t>
      </w:r>
      <w:r w:rsidRPr="00E25D75">
        <w:rPr>
          <w:rFonts w:asciiTheme="majorHAnsi" w:hAnsiTheme="majorHAnsi" w:cstheme="majorHAnsi"/>
          <w:lang w:val="en-US"/>
        </w:rPr>
        <w:t xml:space="preserve">of non-discrimination in </w:t>
      </w:r>
      <w:r w:rsidRPr="00E25D75">
        <w:rPr>
          <w:rFonts w:asciiTheme="majorHAnsi" w:hAnsiTheme="majorHAnsi" w:cstheme="majorHAnsi"/>
        </w:rPr>
        <w:t>the</w:t>
      </w:r>
      <w:r w:rsidRPr="00E25D75">
        <w:rPr>
          <w:rFonts w:asciiTheme="majorHAnsi" w:hAnsiTheme="majorHAnsi" w:cstheme="majorHAnsi"/>
          <w:lang w:val="en-US"/>
        </w:rPr>
        <w:t xml:space="preserve"> legal framework on election, following </w:t>
      </w:r>
      <w:r w:rsidRPr="00E25D75">
        <w:rPr>
          <w:rFonts w:asciiTheme="majorHAnsi" w:hAnsiTheme="majorHAnsi" w:cstheme="majorHAnsi"/>
        </w:rPr>
        <w:t>Article 2 of the ICCPR, Article 1CEDAW and other human rights treaties to which Vietnam is a member</w:t>
      </w:r>
      <w:r w:rsidRPr="00E25D75">
        <w:rPr>
          <w:rFonts w:asciiTheme="majorHAnsi" w:hAnsiTheme="majorHAnsi" w:cstheme="majorHAnsi"/>
          <w:lang w:val="en-US"/>
        </w:rPr>
        <w:t>.</w:t>
      </w:r>
    </w:p>
    <w:p w14:paraId="5BA610E2" w14:textId="0CE284B9" w:rsidR="00215FAF" w:rsidRPr="00E25D75" w:rsidRDefault="00215FAF" w:rsidP="00215FAF">
      <w:pPr>
        <w:pStyle w:val="ListParagraph"/>
        <w:suppressAutoHyphens/>
        <w:spacing w:before="80" w:after="0" w:line="360" w:lineRule="auto"/>
        <w:ind w:left="540"/>
        <w:jc w:val="both"/>
        <w:rPr>
          <w:rFonts w:asciiTheme="majorHAnsi" w:hAnsiTheme="majorHAnsi" w:cstheme="majorHAnsi"/>
          <w:iCs/>
        </w:rPr>
      </w:pPr>
    </w:p>
    <w:p w14:paraId="27EBC49B" w14:textId="554A9358" w:rsidR="00F238DD" w:rsidRPr="00E25D75" w:rsidRDefault="00A01624" w:rsidP="00B117E9">
      <w:pPr>
        <w:spacing w:line="360" w:lineRule="auto"/>
        <w:rPr>
          <w:rFonts w:asciiTheme="majorHAnsi" w:hAnsiTheme="majorHAnsi" w:cstheme="majorHAnsi"/>
          <w:b/>
        </w:rPr>
      </w:pPr>
      <w:r w:rsidRPr="00E25D75">
        <w:rPr>
          <w:rFonts w:asciiTheme="majorHAnsi" w:hAnsiTheme="majorHAnsi" w:cstheme="majorHAnsi"/>
          <w:b/>
          <w:lang w:val="en-US"/>
        </w:rPr>
        <w:t xml:space="preserve">1.2 </w:t>
      </w:r>
      <w:r w:rsidR="00F238DD" w:rsidRPr="00E25D75">
        <w:rPr>
          <w:rFonts w:asciiTheme="majorHAnsi" w:hAnsiTheme="majorHAnsi" w:cstheme="majorHAnsi"/>
          <w:b/>
        </w:rPr>
        <w:t>Discrimination against women</w:t>
      </w:r>
    </w:p>
    <w:p w14:paraId="73F9E25D" w14:textId="1D7BAD17" w:rsidR="00F238DD" w:rsidRPr="00E25D75" w:rsidRDefault="00F238DD" w:rsidP="00516CC7">
      <w:pPr>
        <w:spacing w:before="60" w:after="120" w:line="360" w:lineRule="auto"/>
        <w:jc w:val="both"/>
        <w:rPr>
          <w:rFonts w:asciiTheme="majorHAnsi" w:hAnsiTheme="majorHAnsi" w:cstheme="majorHAnsi"/>
          <w:lang w:val="en-GB"/>
        </w:rPr>
      </w:pPr>
      <w:r w:rsidRPr="00E25D75">
        <w:rPr>
          <w:rFonts w:asciiTheme="majorHAnsi" w:hAnsiTheme="majorHAnsi" w:cstheme="majorHAnsi"/>
          <w:b/>
          <w:lang w:val="en-GB"/>
        </w:rPr>
        <w:t>Measures taken to identify laws that directly and indirectly discriminate against women</w:t>
      </w:r>
      <w:r w:rsidR="00E815EC">
        <w:rPr>
          <w:rFonts w:asciiTheme="majorHAnsi" w:hAnsiTheme="majorHAnsi" w:cstheme="majorHAnsi"/>
          <w:b/>
          <w:lang w:val="vi-VN"/>
        </w:rPr>
        <w:t xml:space="preserve">. </w:t>
      </w:r>
      <w:r w:rsidRPr="00E25D75">
        <w:rPr>
          <w:rFonts w:asciiTheme="majorHAnsi" w:hAnsiTheme="majorHAnsi" w:cstheme="majorHAnsi"/>
          <w:lang w:val="en-GB"/>
        </w:rPr>
        <w:t xml:space="preserve">The Law on Gender Equality 2006 requires </w:t>
      </w:r>
      <w:r w:rsidR="00516CC7" w:rsidRPr="00E25D75">
        <w:rPr>
          <w:rFonts w:asciiTheme="majorHAnsi" w:hAnsiTheme="majorHAnsi" w:cstheme="majorHAnsi"/>
          <w:lang w:val="en-GB"/>
        </w:rPr>
        <w:t xml:space="preserve">gender </w:t>
      </w:r>
      <w:r w:rsidRPr="00E25D75">
        <w:rPr>
          <w:rFonts w:asciiTheme="majorHAnsi" w:hAnsiTheme="majorHAnsi" w:cstheme="majorHAnsi"/>
          <w:lang w:val="en-GB"/>
        </w:rPr>
        <w:t>mainstreaming in the development of legal normative documents.</w:t>
      </w:r>
      <w:r w:rsidRPr="00E25D75">
        <w:rPr>
          <w:rStyle w:val="FootnoteReference"/>
          <w:rFonts w:asciiTheme="majorHAnsi" w:hAnsiTheme="majorHAnsi" w:cstheme="majorHAnsi"/>
          <w:lang w:val="en-GB"/>
        </w:rPr>
        <w:footnoteReference w:id="17"/>
      </w:r>
      <w:r w:rsidR="00EA090C" w:rsidRPr="00EA090C">
        <w:rPr>
          <w:rFonts w:asciiTheme="majorHAnsi" w:hAnsiTheme="majorHAnsi" w:cstheme="majorHAnsi"/>
          <w:lang w:val="en-GB"/>
        </w:rPr>
        <w:t xml:space="preserve"> </w:t>
      </w:r>
      <w:r w:rsidR="00EA090C" w:rsidRPr="00E25D75">
        <w:rPr>
          <w:rFonts w:asciiTheme="majorHAnsi" w:hAnsiTheme="majorHAnsi" w:cstheme="majorHAnsi"/>
          <w:lang w:val="en-GB"/>
        </w:rPr>
        <w:t>The State Budget Law 2015 requires the State to allocate budget for gender equality as one of priorities. The Department of Reviewing Legal Normative Documents under Ministry of Justice also maintains the function to review laws and policies.</w:t>
      </w:r>
    </w:p>
    <w:p w14:paraId="1C84E075" w14:textId="4FE1BD52" w:rsidR="00F238DD" w:rsidRPr="00E25D75" w:rsidRDefault="00F238DD" w:rsidP="00B117E9">
      <w:p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The National Assembly’s Committee on Social Affairs </w:t>
      </w:r>
      <w:r w:rsidR="00516CC7">
        <w:rPr>
          <w:rFonts w:asciiTheme="majorHAnsi" w:hAnsiTheme="majorHAnsi" w:cstheme="majorHAnsi"/>
          <w:lang w:val="en-GB"/>
        </w:rPr>
        <w:t xml:space="preserve">is </w:t>
      </w:r>
      <w:r w:rsidRPr="00E25D75">
        <w:rPr>
          <w:rFonts w:asciiTheme="majorHAnsi" w:hAnsiTheme="majorHAnsi" w:cstheme="majorHAnsi"/>
          <w:lang w:val="en-GB"/>
        </w:rPr>
        <w:t>responsible for gender issues</w:t>
      </w:r>
      <w:r w:rsidR="00516CC7">
        <w:rPr>
          <w:rFonts w:asciiTheme="majorHAnsi" w:hAnsiTheme="majorHAnsi" w:cstheme="majorHAnsi"/>
          <w:lang w:val="vi-VN"/>
        </w:rPr>
        <w:t>. It</w:t>
      </w:r>
      <w:r w:rsidRPr="00E25D75">
        <w:rPr>
          <w:rFonts w:asciiTheme="majorHAnsi" w:hAnsiTheme="majorHAnsi" w:cstheme="majorHAnsi"/>
          <w:lang w:val="en-GB"/>
        </w:rPr>
        <w:t xml:space="preserve"> has </w:t>
      </w:r>
      <w:r w:rsidR="00516CC7">
        <w:rPr>
          <w:rFonts w:asciiTheme="majorHAnsi" w:hAnsiTheme="majorHAnsi" w:cstheme="majorHAnsi"/>
          <w:lang w:val="en-GB"/>
        </w:rPr>
        <w:t>a</w:t>
      </w:r>
      <w:r w:rsidRPr="00E25D75">
        <w:rPr>
          <w:rFonts w:asciiTheme="majorHAnsi" w:hAnsiTheme="majorHAnsi" w:cstheme="majorHAnsi"/>
          <w:lang w:val="en-GB"/>
        </w:rPr>
        <w:t xml:space="preserve"> responsibility to examine </w:t>
      </w:r>
      <w:r w:rsidR="00516CC7" w:rsidRPr="00E25D75">
        <w:rPr>
          <w:rFonts w:asciiTheme="majorHAnsi" w:hAnsiTheme="majorHAnsi" w:cstheme="majorHAnsi"/>
          <w:lang w:val="en-GB"/>
        </w:rPr>
        <w:t xml:space="preserve">gender </w:t>
      </w:r>
      <w:r w:rsidRPr="00E25D75">
        <w:rPr>
          <w:rFonts w:asciiTheme="majorHAnsi" w:hAnsiTheme="majorHAnsi" w:cstheme="majorHAnsi"/>
          <w:lang w:val="en-GB"/>
        </w:rPr>
        <w:t xml:space="preserve">mainstreaming in the draft laws, ordinances and resolutions before submitting to the </w:t>
      </w:r>
      <w:r w:rsidR="00AD17AE" w:rsidRPr="00E25D75">
        <w:rPr>
          <w:rFonts w:asciiTheme="majorHAnsi" w:hAnsiTheme="majorHAnsi" w:cstheme="majorHAnsi"/>
          <w:lang w:val="en-GB"/>
        </w:rPr>
        <w:t xml:space="preserve">National Assembly’s Standing Committee and </w:t>
      </w:r>
      <w:r w:rsidRPr="00E25D75">
        <w:rPr>
          <w:rFonts w:asciiTheme="majorHAnsi" w:hAnsiTheme="majorHAnsi" w:cstheme="majorHAnsi"/>
          <w:lang w:val="en-GB"/>
        </w:rPr>
        <w:t>National Assembly for review</w:t>
      </w:r>
      <w:r w:rsidR="00516CC7">
        <w:rPr>
          <w:rFonts w:asciiTheme="majorHAnsi" w:hAnsiTheme="majorHAnsi" w:cstheme="majorHAnsi"/>
          <w:lang w:val="en-GB"/>
        </w:rPr>
        <w:t>ing</w:t>
      </w:r>
      <w:r w:rsidRPr="00E25D75">
        <w:rPr>
          <w:rFonts w:asciiTheme="majorHAnsi" w:hAnsiTheme="majorHAnsi" w:cstheme="majorHAnsi"/>
          <w:lang w:val="en-GB"/>
        </w:rPr>
        <w:t xml:space="preserve"> and adop</w:t>
      </w:r>
      <w:r w:rsidR="00516CC7">
        <w:rPr>
          <w:rFonts w:asciiTheme="majorHAnsi" w:hAnsiTheme="majorHAnsi" w:cstheme="majorHAnsi"/>
          <w:lang w:val="en-GB"/>
        </w:rPr>
        <w:t>t</w:t>
      </w:r>
      <w:r w:rsidRPr="00E25D75">
        <w:rPr>
          <w:rFonts w:asciiTheme="majorHAnsi" w:hAnsiTheme="majorHAnsi" w:cstheme="majorHAnsi"/>
          <w:lang w:val="en-GB"/>
        </w:rPr>
        <w:t>ion</w:t>
      </w:r>
      <w:r w:rsidR="00AD17AE">
        <w:rPr>
          <w:rFonts w:asciiTheme="majorHAnsi" w:hAnsiTheme="majorHAnsi" w:cstheme="majorHAnsi"/>
          <w:lang w:val="vi-VN"/>
        </w:rPr>
        <w:t xml:space="preserve"> of such legal normative documents</w:t>
      </w:r>
      <w:r w:rsidRPr="00E25D75">
        <w:rPr>
          <w:rFonts w:asciiTheme="majorHAnsi" w:hAnsiTheme="majorHAnsi" w:cstheme="majorHAnsi"/>
          <w:lang w:val="en-GB"/>
        </w:rPr>
        <w:t xml:space="preserve"> in</w:t>
      </w:r>
      <w:r w:rsidR="00516CC7">
        <w:rPr>
          <w:rFonts w:asciiTheme="majorHAnsi" w:hAnsiTheme="majorHAnsi" w:cstheme="majorHAnsi"/>
          <w:lang w:val="vi-VN"/>
        </w:rPr>
        <w:t xml:space="preserve"> </w:t>
      </w:r>
      <w:r w:rsidRPr="00E25D75">
        <w:rPr>
          <w:rFonts w:asciiTheme="majorHAnsi" w:hAnsiTheme="majorHAnsi" w:cstheme="majorHAnsi"/>
          <w:lang w:val="en-GB"/>
        </w:rPr>
        <w:t>coordination with the Council of Ethnic Minorities and other committees of the National Assembly.</w:t>
      </w:r>
      <w:r w:rsidRPr="00E25D75">
        <w:rPr>
          <w:rStyle w:val="FootnoteReference"/>
          <w:rFonts w:asciiTheme="majorHAnsi" w:hAnsiTheme="majorHAnsi" w:cstheme="majorHAnsi"/>
          <w:lang w:val="en-GB"/>
        </w:rPr>
        <w:footnoteReference w:id="18"/>
      </w:r>
      <w:r w:rsidRPr="00E25D75">
        <w:rPr>
          <w:rFonts w:asciiTheme="majorHAnsi" w:hAnsiTheme="majorHAnsi" w:cstheme="majorHAnsi"/>
          <w:lang w:val="en-GB"/>
        </w:rPr>
        <w:t xml:space="preserve"> The examination of </w:t>
      </w:r>
      <w:r w:rsidR="00516CC7" w:rsidRPr="00E25D75">
        <w:rPr>
          <w:rFonts w:asciiTheme="majorHAnsi" w:hAnsiTheme="majorHAnsi" w:cstheme="majorHAnsi"/>
          <w:lang w:val="en-GB"/>
        </w:rPr>
        <w:t xml:space="preserve">gender </w:t>
      </w:r>
      <w:r w:rsidRPr="00E25D75">
        <w:rPr>
          <w:rFonts w:asciiTheme="majorHAnsi" w:hAnsiTheme="majorHAnsi" w:cstheme="majorHAnsi"/>
          <w:lang w:val="en-GB"/>
        </w:rPr>
        <w:t>mainstreaming shall include: i) the identification of gender issue</w:t>
      </w:r>
      <w:r w:rsidR="00516CC7">
        <w:rPr>
          <w:rFonts w:asciiTheme="majorHAnsi" w:hAnsiTheme="majorHAnsi" w:cstheme="majorHAnsi"/>
          <w:lang w:val="en-GB"/>
        </w:rPr>
        <w:t>s</w:t>
      </w:r>
      <w:r w:rsidRPr="00E25D75">
        <w:rPr>
          <w:rFonts w:asciiTheme="majorHAnsi" w:hAnsiTheme="majorHAnsi" w:cstheme="majorHAnsi"/>
          <w:lang w:val="en-GB"/>
        </w:rPr>
        <w:t xml:space="preserve"> in the draft laws and other documents; ii) the assurance of the principles of gender equality in the draft laws and other documents; iii) the compliance with the procedure and sequence for assessing </w:t>
      </w:r>
      <w:r w:rsidR="00516CC7" w:rsidRPr="00E25D75">
        <w:rPr>
          <w:rFonts w:asciiTheme="majorHAnsi" w:hAnsiTheme="majorHAnsi" w:cstheme="majorHAnsi"/>
          <w:lang w:val="en-GB"/>
        </w:rPr>
        <w:t xml:space="preserve">gender </w:t>
      </w:r>
      <w:r w:rsidRPr="00E25D75">
        <w:rPr>
          <w:rFonts w:asciiTheme="majorHAnsi" w:hAnsiTheme="majorHAnsi" w:cstheme="majorHAnsi"/>
          <w:lang w:val="en-GB"/>
        </w:rPr>
        <w:t xml:space="preserve">mainstreaming in </w:t>
      </w:r>
      <w:r w:rsidR="00516CC7">
        <w:rPr>
          <w:rFonts w:asciiTheme="majorHAnsi" w:hAnsiTheme="majorHAnsi" w:cstheme="majorHAnsi"/>
          <w:lang w:val="en-GB"/>
        </w:rPr>
        <w:t xml:space="preserve">the </w:t>
      </w:r>
      <w:r w:rsidRPr="00E25D75">
        <w:rPr>
          <w:rFonts w:asciiTheme="majorHAnsi" w:hAnsiTheme="majorHAnsi" w:cstheme="majorHAnsi"/>
          <w:lang w:val="en-GB"/>
        </w:rPr>
        <w:t>development of draft laws and other documents, and; iv) the feasibility of the draft laws and other documents to ensure gender equality.</w:t>
      </w:r>
      <w:r w:rsidRPr="00E25D75">
        <w:rPr>
          <w:rStyle w:val="FootnoteReference"/>
          <w:rFonts w:asciiTheme="majorHAnsi" w:hAnsiTheme="majorHAnsi" w:cstheme="majorHAnsi"/>
          <w:lang w:val="en-GB"/>
        </w:rPr>
        <w:footnoteReference w:id="19"/>
      </w:r>
      <w:r w:rsidR="00EA090C">
        <w:rPr>
          <w:rFonts w:asciiTheme="majorHAnsi" w:hAnsiTheme="majorHAnsi" w:cstheme="majorHAnsi"/>
          <w:lang w:val="vi-VN"/>
        </w:rPr>
        <w:t xml:space="preserve"> </w:t>
      </w:r>
    </w:p>
    <w:p w14:paraId="30A39769" w14:textId="34DA4794" w:rsidR="00F238DD" w:rsidRPr="00E25D75" w:rsidRDefault="00F238DD" w:rsidP="00B117E9">
      <w:p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In reality, it was not clear how these mechanisms address laws and other regulating documents which, in effect, contain discriminatory provisions. The CEDAW Committee has raised their concerns that the implementation of laws and policies remains weak owing to the lack of accountability mechanisms and insufficient human, technical and budgetary resources and unawareness of the concept of substantive gender equality by lawmakers and policymakers and government officials and that that there is limited understanding </w:t>
      </w:r>
      <w:r w:rsidRPr="00E25D75">
        <w:rPr>
          <w:rFonts w:asciiTheme="majorHAnsi" w:hAnsiTheme="majorHAnsi" w:cstheme="majorHAnsi"/>
          <w:lang w:val="en-GB"/>
        </w:rPr>
        <w:lastRenderedPageBreak/>
        <w:t>in the State party of temporary special measures to accelerate the achievement of substantive equality of women and men.</w:t>
      </w:r>
      <w:r w:rsidRPr="00E25D75">
        <w:rPr>
          <w:rStyle w:val="FootnoteReference"/>
          <w:rFonts w:asciiTheme="majorHAnsi" w:hAnsiTheme="majorHAnsi" w:cstheme="majorHAnsi"/>
          <w:lang w:val="en-GB"/>
        </w:rPr>
        <w:footnoteReference w:id="20"/>
      </w:r>
    </w:p>
    <w:p w14:paraId="25ED4323" w14:textId="0E28D1DB" w:rsidR="00F238DD" w:rsidRPr="00E25D75" w:rsidRDefault="00F238DD" w:rsidP="00B117E9">
      <w:pPr>
        <w:suppressAutoHyphens/>
        <w:spacing w:before="60" w:after="120" w:line="360" w:lineRule="auto"/>
        <w:jc w:val="both"/>
        <w:rPr>
          <w:rFonts w:asciiTheme="majorHAnsi" w:hAnsiTheme="majorHAnsi" w:cstheme="majorHAnsi"/>
          <w:b/>
          <w:lang w:val="en-GB"/>
        </w:rPr>
      </w:pPr>
      <w:r w:rsidRPr="00E815EC">
        <w:rPr>
          <w:rFonts w:asciiTheme="majorHAnsi" w:hAnsiTheme="majorHAnsi" w:cstheme="majorHAnsi"/>
          <w:b/>
          <w:iCs/>
          <w:lang w:val="en-GB"/>
        </w:rPr>
        <w:t>Reinforced gender norms and stereotypes in textbooks and media.</w:t>
      </w:r>
      <w:r w:rsidRPr="00EA090C">
        <w:rPr>
          <w:rFonts w:asciiTheme="majorHAnsi" w:hAnsiTheme="majorHAnsi" w:cstheme="majorHAnsi"/>
          <w:b/>
          <w:i/>
          <w:iCs/>
          <w:lang w:val="en-GB"/>
        </w:rPr>
        <w:t xml:space="preserve"> </w:t>
      </w:r>
      <w:r w:rsidRPr="00E25D75">
        <w:rPr>
          <w:rFonts w:asciiTheme="majorHAnsi" w:hAnsiTheme="majorHAnsi" w:cstheme="majorHAnsi"/>
          <w:iCs/>
          <w:lang w:val="en-GB"/>
        </w:rPr>
        <w:t>R</w:t>
      </w:r>
      <w:r w:rsidRPr="00E25D75">
        <w:rPr>
          <w:rFonts w:asciiTheme="majorHAnsi" w:hAnsiTheme="majorHAnsi" w:cstheme="majorHAnsi"/>
          <w:lang w:val="en-GB"/>
        </w:rPr>
        <w:t>esearch conducted from 2009 to 2010 indicated the prevalence of gender-biased content and images in textbooks.</w:t>
      </w:r>
      <w:r w:rsidRPr="00E25D75">
        <w:rPr>
          <w:rStyle w:val="FootnoteReference"/>
          <w:rFonts w:asciiTheme="majorHAnsi" w:eastAsia="SimSun" w:hAnsiTheme="majorHAnsi" w:cstheme="majorHAnsi"/>
          <w:lang w:val="en-GB"/>
        </w:rPr>
        <w:footnoteReference w:id="21"/>
      </w:r>
      <w:r w:rsidRPr="00E25D75">
        <w:rPr>
          <w:rFonts w:asciiTheme="majorHAnsi" w:hAnsiTheme="majorHAnsi" w:cstheme="majorHAnsi"/>
          <w:lang w:val="en-GB"/>
        </w:rPr>
        <w:t xml:space="preserve"> A rapid review of elementary textbooks by </w:t>
      </w:r>
      <w:r w:rsidR="00EA090C">
        <w:rPr>
          <w:rFonts w:asciiTheme="majorHAnsi" w:hAnsiTheme="majorHAnsi" w:cstheme="majorHAnsi"/>
          <w:lang w:val="en-GB"/>
        </w:rPr>
        <w:t xml:space="preserve">the </w:t>
      </w:r>
      <w:r w:rsidRPr="00E25D75">
        <w:rPr>
          <w:rFonts w:asciiTheme="majorHAnsi" w:hAnsiTheme="majorHAnsi" w:cstheme="majorHAnsi"/>
          <w:lang w:val="en-GB"/>
        </w:rPr>
        <w:t>research team</w:t>
      </w:r>
      <w:r w:rsidR="00EA090C">
        <w:rPr>
          <w:rFonts w:asciiTheme="majorHAnsi" w:hAnsiTheme="majorHAnsi" w:cstheme="majorHAnsi"/>
          <w:lang w:val="vi-VN"/>
        </w:rPr>
        <w:t xml:space="preserve"> for this report</w:t>
      </w:r>
      <w:r w:rsidRPr="00E25D75">
        <w:rPr>
          <w:rFonts w:asciiTheme="majorHAnsi" w:hAnsiTheme="majorHAnsi" w:cstheme="majorHAnsi"/>
          <w:lang w:val="en-GB"/>
        </w:rPr>
        <w:t xml:space="preserve"> confirmed this trend.</w:t>
      </w:r>
      <w:r w:rsidRPr="00E25D75">
        <w:rPr>
          <w:rStyle w:val="FootnoteReference"/>
          <w:rFonts w:asciiTheme="majorHAnsi" w:eastAsia="SimSun" w:hAnsiTheme="majorHAnsi" w:cstheme="majorHAnsi"/>
          <w:lang w:val="en-GB"/>
        </w:rPr>
        <w:footnoteReference w:id="22"/>
      </w:r>
      <w:r w:rsidRPr="00E25D75">
        <w:rPr>
          <w:rFonts w:asciiTheme="majorHAnsi" w:hAnsiTheme="majorHAnsi" w:cstheme="majorHAnsi"/>
          <w:lang w:val="en-GB"/>
        </w:rPr>
        <w:t xml:space="preserve"> Other educational materials by private companies would include similar stereotypes in contents and illustrations.</w:t>
      </w:r>
      <w:r w:rsidRPr="00E25D75">
        <w:rPr>
          <w:rStyle w:val="FootnoteReference"/>
          <w:rFonts w:asciiTheme="majorHAnsi" w:eastAsia="SimSun" w:hAnsiTheme="majorHAnsi" w:cstheme="majorHAnsi"/>
          <w:lang w:val="en-GB"/>
        </w:rPr>
        <w:footnoteReference w:id="23"/>
      </w:r>
      <w:r w:rsidRPr="00E25D75">
        <w:rPr>
          <w:rFonts w:asciiTheme="majorHAnsi" w:hAnsiTheme="majorHAnsi" w:cstheme="majorHAnsi"/>
          <w:lang w:val="en-GB"/>
        </w:rPr>
        <w:t xml:space="preserve"> </w:t>
      </w:r>
      <w:r w:rsidRPr="00E25D75">
        <w:rPr>
          <w:rFonts w:asciiTheme="majorHAnsi" w:hAnsiTheme="majorHAnsi" w:cstheme="majorHAnsi"/>
          <w:iCs/>
          <w:lang w:val="en-GB"/>
        </w:rPr>
        <w:t>Studies from 2010 to 2012 indicated that men are more dominant in news stories and media products where gender norms are further reinforced.</w:t>
      </w:r>
      <w:r w:rsidR="00AD17AE">
        <w:rPr>
          <w:rStyle w:val="FootnoteReference"/>
          <w:rFonts w:asciiTheme="majorHAnsi" w:hAnsiTheme="majorHAnsi"/>
          <w:iCs/>
          <w:lang w:val="en-GB"/>
        </w:rPr>
        <w:footnoteReference w:id="24"/>
      </w:r>
      <w:r w:rsidRPr="00E25D75">
        <w:rPr>
          <w:rFonts w:asciiTheme="majorHAnsi" w:hAnsiTheme="majorHAnsi" w:cstheme="majorHAnsi"/>
          <w:iCs/>
          <w:lang w:val="en-GB"/>
        </w:rPr>
        <w:t xml:space="preserve"> A rapid test of commercials </w:t>
      </w:r>
      <w:r w:rsidR="00AD17AE">
        <w:rPr>
          <w:rFonts w:asciiTheme="majorHAnsi" w:hAnsiTheme="majorHAnsi" w:cstheme="majorHAnsi"/>
          <w:iCs/>
          <w:lang w:val="en-GB"/>
        </w:rPr>
        <w:t xml:space="preserve">to review </w:t>
      </w:r>
      <w:r w:rsidR="00AD17AE" w:rsidRPr="00E25D75">
        <w:rPr>
          <w:rFonts w:asciiTheme="majorHAnsi" w:hAnsiTheme="majorHAnsi" w:cstheme="majorHAnsi"/>
          <w:iCs/>
          <w:lang w:val="en-GB"/>
        </w:rPr>
        <w:t>gender stereotypes (which is forbidden by Law on Advertisement</w:t>
      </w:r>
      <w:r w:rsidR="00AD17AE" w:rsidRPr="00E25D75">
        <w:rPr>
          <w:rStyle w:val="FootnoteReference"/>
          <w:rFonts w:asciiTheme="majorHAnsi" w:eastAsia="SimSun" w:hAnsiTheme="majorHAnsi" w:cstheme="majorHAnsi"/>
          <w:iCs/>
          <w:lang w:val="en-GB"/>
        </w:rPr>
        <w:footnoteReference w:id="25"/>
      </w:r>
      <w:r w:rsidR="00AD17AE" w:rsidRPr="00E25D75">
        <w:rPr>
          <w:rFonts w:asciiTheme="majorHAnsi" w:hAnsiTheme="majorHAnsi" w:cstheme="majorHAnsi"/>
          <w:iCs/>
          <w:lang w:val="en-GB"/>
        </w:rPr>
        <w:t xml:space="preserve">) </w:t>
      </w:r>
      <w:r w:rsidRPr="00E25D75">
        <w:rPr>
          <w:rFonts w:asciiTheme="majorHAnsi" w:hAnsiTheme="majorHAnsi" w:cstheme="majorHAnsi"/>
          <w:iCs/>
          <w:lang w:val="en-GB"/>
        </w:rPr>
        <w:t>on a national TV channel in two days in 2018 confirmed this trend.</w:t>
      </w:r>
      <w:r w:rsidRPr="00E25D75">
        <w:rPr>
          <w:rStyle w:val="FootnoteReference"/>
          <w:rFonts w:asciiTheme="majorHAnsi" w:eastAsia="SimSun" w:hAnsiTheme="majorHAnsi" w:cstheme="majorHAnsi"/>
          <w:iCs/>
          <w:lang w:val="en-GB"/>
        </w:rPr>
        <w:footnoteReference w:id="26"/>
      </w:r>
      <w:r w:rsidRPr="00E25D75">
        <w:rPr>
          <w:rFonts w:asciiTheme="majorHAnsi" w:hAnsiTheme="majorHAnsi" w:cstheme="majorHAnsi"/>
          <w:iCs/>
          <w:lang w:val="en-GB"/>
        </w:rPr>
        <w:t xml:space="preserve"> In this test, only 1.16% of the advertisements showed non-traditional role such as male involvement in housework as part of their responsibilities.</w:t>
      </w:r>
      <w:r w:rsidRPr="00E25D75">
        <w:rPr>
          <w:rStyle w:val="FootnoteReference"/>
          <w:rFonts w:asciiTheme="majorHAnsi" w:eastAsia="SimSun" w:hAnsiTheme="majorHAnsi" w:cstheme="majorHAnsi"/>
          <w:iCs/>
          <w:lang w:val="en-GB"/>
        </w:rPr>
        <w:footnoteReference w:id="27"/>
      </w:r>
      <w:r w:rsidRPr="00E25D75">
        <w:rPr>
          <w:rFonts w:asciiTheme="majorHAnsi" w:hAnsiTheme="majorHAnsi" w:cstheme="majorHAnsi"/>
          <w:iCs/>
          <w:lang w:val="en-GB"/>
        </w:rPr>
        <w:t xml:space="preserve"> Such practices were also observed </w:t>
      </w:r>
      <w:r w:rsidR="00EA090C">
        <w:rPr>
          <w:rFonts w:asciiTheme="majorHAnsi" w:hAnsiTheme="majorHAnsi" w:cstheme="majorHAnsi"/>
          <w:iCs/>
          <w:lang w:val="en-GB"/>
        </w:rPr>
        <w:t>on</w:t>
      </w:r>
      <w:r w:rsidRPr="00E25D75">
        <w:rPr>
          <w:rFonts w:asciiTheme="majorHAnsi" w:hAnsiTheme="majorHAnsi" w:cstheme="majorHAnsi"/>
          <w:iCs/>
          <w:lang w:val="en-GB"/>
        </w:rPr>
        <w:t xml:space="preserve"> television game shows and entertainment programs.</w:t>
      </w:r>
      <w:r w:rsidRPr="00E25D75">
        <w:rPr>
          <w:rStyle w:val="FootnoteReference"/>
          <w:rFonts w:asciiTheme="majorHAnsi" w:eastAsia="SimSun" w:hAnsiTheme="majorHAnsi" w:cstheme="majorHAnsi"/>
          <w:iCs/>
          <w:lang w:val="en-GB"/>
        </w:rPr>
        <w:footnoteReference w:id="28"/>
      </w:r>
      <w:r w:rsidRPr="00E25D75">
        <w:rPr>
          <w:rFonts w:asciiTheme="majorHAnsi" w:hAnsiTheme="majorHAnsi" w:cstheme="majorHAnsi"/>
          <w:iCs/>
          <w:lang w:val="en-GB"/>
        </w:rPr>
        <w:t xml:space="preserve"> </w:t>
      </w:r>
      <w:r w:rsidRPr="00E25D75">
        <w:rPr>
          <w:rFonts w:asciiTheme="majorHAnsi" w:hAnsiTheme="majorHAnsi" w:cstheme="majorHAnsi"/>
          <w:iCs/>
          <w:lang w:val="en-GB"/>
        </w:rPr>
        <w:lastRenderedPageBreak/>
        <w:t>In addition, news stories tend to depict female leaders attaching to traditional roles such as caring for family, children and housework.</w:t>
      </w:r>
      <w:r w:rsidRPr="00E25D75">
        <w:rPr>
          <w:rStyle w:val="FootnoteReference"/>
          <w:rFonts w:asciiTheme="majorHAnsi" w:eastAsia="SimSun" w:hAnsiTheme="majorHAnsi" w:cstheme="majorHAnsi"/>
          <w:iCs/>
          <w:lang w:val="en-GB"/>
        </w:rPr>
        <w:footnoteReference w:id="29"/>
      </w:r>
    </w:p>
    <w:p w14:paraId="0A9BBF16" w14:textId="419410E7" w:rsidR="00F238DD" w:rsidRPr="00E25D75" w:rsidRDefault="00F238DD" w:rsidP="00B117E9">
      <w:pPr>
        <w:suppressAutoHyphens/>
        <w:spacing w:before="60" w:after="120" w:line="360" w:lineRule="auto"/>
        <w:jc w:val="both"/>
        <w:rPr>
          <w:rFonts w:asciiTheme="majorHAnsi" w:hAnsiTheme="majorHAnsi" w:cstheme="majorHAnsi"/>
          <w:b/>
          <w:lang w:val="en-GB"/>
        </w:rPr>
      </w:pPr>
      <w:r w:rsidRPr="00E815EC">
        <w:rPr>
          <w:rFonts w:asciiTheme="majorHAnsi" w:hAnsiTheme="majorHAnsi" w:cstheme="majorHAnsi"/>
          <w:b/>
          <w:lang w:val="en-GB"/>
        </w:rPr>
        <w:t>Government-funded propagandas and projects re-</w:t>
      </w:r>
      <w:r w:rsidR="000D4529" w:rsidRPr="00E815EC">
        <w:rPr>
          <w:rFonts w:asciiTheme="majorHAnsi" w:hAnsiTheme="majorHAnsi" w:cstheme="majorHAnsi"/>
          <w:b/>
          <w:lang w:val="en-GB"/>
        </w:rPr>
        <w:t>enforced</w:t>
      </w:r>
      <w:r w:rsidRPr="00E815EC">
        <w:rPr>
          <w:rFonts w:asciiTheme="majorHAnsi" w:hAnsiTheme="majorHAnsi" w:cstheme="majorHAnsi"/>
          <w:b/>
          <w:lang w:val="en-GB"/>
        </w:rPr>
        <w:t xml:space="preserve"> gender stereotypes.</w:t>
      </w:r>
      <w:r w:rsidRPr="00E25D75">
        <w:rPr>
          <w:rFonts w:asciiTheme="majorHAnsi" w:hAnsiTheme="majorHAnsi" w:cstheme="majorHAnsi"/>
          <w:b/>
          <w:lang w:val="en-GB"/>
        </w:rPr>
        <w:t xml:space="preserve"> </w:t>
      </w:r>
      <w:r w:rsidRPr="00E25D75">
        <w:rPr>
          <w:rFonts w:asciiTheme="majorHAnsi" w:hAnsiTheme="majorHAnsi" w:cstheme="majorHAnsi"/>
          <w:lang w:val="en-GB"/>
        </w:rPr>
        <w:t xml:space="preserve">For instance, the campaign by the Vietnam General Confederation of Labour for women members </w:t>
      </w:r>
      <w:r w:rsidR="00462D63">
        <w:rPr>
          <w:rFonts w:asciiTheme="majorHAnsi" w:hAnsiTheme="majorHAnsi" w:cstheme="majorHAnsi"/>
          <w:lang w:val="en-GB"/>
        </w:rPr>
        <w:t xml:space="preserve">has been </w:t>
      </w:r>
      <w:r w:rsidRPr="00E25D75">
        <w:rPr>
          <w:rFonts w:asciiTheme="majorHAnsi" w:hAnsiTheme="majorHAnsi" w:cstheme="majorHAnsi"/>
          <w:lang w:val="en-GB"/>
        </w:rPr>
        <w:t>introduced since 1989 encourages women employees to register to be “excellent in public, responsible at home”</w:t>
      </w:r>
      <w:r w:rsidR="00462D63">
        <w:rPr>
          <w:rFonts w:asciiTheme="majorHAnsi" w:hAnsiTheme="majorHAnsi" w:cstheme="majorHAnsi"/>
          <w:lang w:val="vi-VN"/>
        </w:rPr>
        <w:t xml:space="preserve"> w</w:t>
      </w:r>
      <w:r w:rsidRPr="00E25D75">
        <w:rPr>
          <w:rFonts w:asciiTheme="majorHAnsi" w:hAnsiTheme="majorHAnsi" w:cstheme="majorHAnsi"/>
          <w:lang w:val="en-GB"/>
        </w:rPr>
        <w:t>hile there was no similar qualification required for men</w:t>
      </w:r>
      <w:r w:rsidR="00462D63">
        <w:rPr>
          <w:rFonts w:asciiTheme="majorHAnsi" w:hAnsiTheme="majorHAnsi" w:cstheme="majorHAnsi"/>
          <w:lang w:val="vi-VN"/>
        </w:rPr>
        <w:t>. T</w:t>
      </w:r>
      <w:r w:rsidRPr="00E25D75">
        <w:rPr>
          <w:rFonts w:asciiTheme="majorHAnsi" w:hAnsiTheme="majorHAnsi" w:cstheme="majorHAnsi"/>
          <w:lang w:val="en-GB"/>
        </w:rPr>
        <w:t>he campaign has been continuously promoted in all sectors without being evaluated or adjusted from gender equality perspective.</w:t>
      </w:r>
      <w:r w:rsidRPr="00E25D75">
        <w:rPr>
          <w:rStyle w:val="FootnoteReference"/>
          <w:rFonts w:asciiTheme="majorHAnsi" w:eastAsia="MS Mincho" w:hAnsiTheme="majorHAnsi" w:cstheme="majorHAnsi"/>
          <w:lang w:val="en-GB"/>
        </w:rPr>
        <w:footnoteReference w:id="30"/>
      </w:r>
      <w:r w:rsidRPr="00E25D75">
        <w:rPr>
          <w:rFonts w:asciiTheme="majorHAnsi" w:hAnsiTheme="majorHAnsi" w:cstheme="majorHAnsi"/>
          <w:lang w:val="en-GB"/>
        </w:rPr>
        <w:t xml:space="preserve"> The Women’s Union’ mass communication projects provide more responsibilities on women and did not address men’s roles and responsibilities, and thus, in many cases increasing women’s responsibilities </w:t>
      </w:r>
      <w:r w:rsidR="00EA090C">
        <w:rPr>
          <w:rFonts w:asciiTheme="majorHAnsi" w:hAnsiTheme="majorHAnsi" w:cstheme="majorHAnsi"/>
          <w:lang w:val="en-GB"/>
        </w:rPr>
        <w:t>at</w:t>
      </w:r>
      <w:r w:rsidRPr="00E25D75">
        <w:rPr>
          <w:rFonts w:asciiTheme="majorHAnsi" w:hAnsiTheme="majorHAnsi" w:cstheme="majorHAnsi"/>
          <w:lang w:val="en-GB"/>
        </w:rPr>
        <w:t xml:space="preserve"> home and in public sphere</w:t>
      </w:r>
      <w:r w:rsidR="00EA090C">
        <w:rPr>
          <w:rFonts w:asciiTheme="majorHAnsi" w:hAnsiTheme="majorHAnsi" w:cstheme="majorHAnsi"/>
          <w:lang w:val="en-GB"/>
        </w:rPr>
        <w:t>s</w:t>
      </w:r>
      <w:r w:rsidRPr="00E25D75">
        <w:rPr>
          <w:rFonts w:asciiTheme="majorHAnsi" w:hAnsiTheme="majorHAnsi" w:cstheme="majorHAnsi"/>
          <w:lang w:val="en-GB"/>
        </w:rPr>
        <w:t>. Examples include “Four virtues: Self-confidence - Self-respect - Kindness and Diligence” approved by a Prime Minister’s Decision</w:t>
      </w:r>
      <w:r w:rsidRPr="00E25D75">
        <w:rPr>
          <w:rFonts w:asciiTheme="majorHAnsi" w:hAnsiTheme="majorHAnsi" w:cstheme="majorHAnsi"/>
          <w:vertAlign w:val="superscript"/>
          <w:lang w:val="en-GB"/>
        </w:rPr>
        <w:footnoteReference w:id="31"/>
      </w:r>
      <w:r w:rsidRPr="00E25D75">
        <w:rPr>
          <w:rFonts w:asciiTheme="majorHAnsi" w:hAnsiTheme="majorHAnsi" w:cstheme="majorHAnsi"/>
          <w:lang w:val="en-GB"/>
        </w:rPr>
        <w:t xml:space="preserve"> and a movement on “Families with 5 without-s and 3 Clean-s”</w:t>
      </w:r>
      <w:r w:rsidRPr="00E25D75">
        <w:rPr>
          <w:rStyle w:val="FootnoteReference"/>
          <w:rFonts w:asciiTheme="majorHAnsi" w:hAnsiTheme="majorHAnsi" w:cstheme="majorHAnsi"/>
          <w:lang w:val="en-GB"/>
        </w:rPr>
        <w:footnoteReference w:id="32"/>
      </w:r>
      <w:r w:rsidR="00EA090C">
        <w:rPr>
          <w:rFonts w:asciiTheme="majorHAnsi" w:hAnsiTheme="majorHAnsi" w:cstheme="majorHAnsi"/>
          <w:lang w:val="vi-VN"/>
        </w:rPr>
        <w:t xml:space="preserve"> </w:t>
      </w:r>
      <w:r w:rsidRPr="00E25D75">
        <w:rPr>
          <w:rFonts w:asciiTheme="majorHAnsi" w:hAnsiTheme="majorHAnsi" w:cstheme="majorHAnsi"/>
          <w:lang w:val="en-GB"/>
        </w:rPr>
        <w:t>started in 2010 and remained central to the Women’s Union agenda in 2012 - 2017</w:t>
      </w:r>
      <w:r w:rsidRPr="00E25D75">
        <w:rPr>
          <w:rStyle w:val="FootnoteReference"/>
          <w:rFonts w:asciiTheme="majorHAnsi" w:eastAsia="SimSun" w:hAnsiTheme="majorHAnsi" w:cstheme="majorHAnsi"/>
          <w:lang w:val="en-GB"/>
        </w:rPr>
        <w:footnoteReference w:id="33"/>
      </w:r>
      <w:r w:rsidRPr="00E25D75">
        <w:rPr>
          <w:rFonts w:asciiTheme="majorHAnsi" w:hAnsiTheme="majorHAnsi" w:cstheme="majorHAnsi"/>
          <w:lang w:val="en-GB"/>
        </w:rPr>
        <w:t xml:space="preserve"> and the project "Supporting the development of private childcare groups/centres in export processing and industrial zones by 2020" targeting at 95% of mothers in industrial and export processing areas to raise their awareness on child-care and children’s development</w:t>
      </w:r>
      <w:r w:rsidRPr="00E25D75">
        <w:rPr>
          <w:rStyle w:val="FootnoteReference"/>
          <w:rFonts w:asciiTheme="majorHAnsi" w:eastAsia="SimSun" w:hAnsiTheme="majorHAnsi" w:cstheme="majorHAnsi"/>
          <w:lang w:val="en-GB"/>
        </w:rPr>
        <w:footnoteReference w:id="34"/>
      </w:r>
      <w:r w:rsidRPr="00E25D75">
        <w:rPr>
          <w:rFonts w:asciiTheme="majorHAnsi" w:hAnsiTheme="majorHAnsi" w:cstheme="majorHAnsi"/>
          <w:lang w:val="en-GB"/>
        </w:rPr>
        <w:t xml:space="preserve">. These projects create barriers for participate in the public life for as woman are pressured to fulfil multiple responsibilities in </w:t>
      </w:r>
      <w:r w:rsidR="00EA090C">
        <w:rPr>
          <w:rFonts w:asciiTheme="majorHAnsi" w:hAnsiTheme="majorHAnsi" w:cstheme="majorHAnsi"/>
          <w:lang w:val="en-GB"/>
        </w:rPr>
        <w:t xml:space="preserve">both </w:t>
      </w:r>
      <w:r w:rsidRPr="00E25D75">
        <w:rPr>
          <w:rFonts w:asciiTheme="majorHAnsi" w:hAnsiTheme="majorHAnsi" w:cstheme="majorHAnsi"/>
          <w:lang w:val="en-GB"/>
        </w:rPr>
        <w:t xml:space="preserve">public and private spheres. </w:t>
      </w:r>
    </w:p>
    <w:p w14:paraId="1672C07D" w14:textId="7CD53319" w:rsidR="00367659" w:rsidRPr="00E815EC" w:rsidRDefault="00F238DD" w:rsidP="00B117E9">
      <w:pPr>
        <w:suppressAutoHyphens/>
        <w:spacing w:before="60" w:after="120" w:line="360" w:lineRule="auto"/>
        <w:jc w:val="both"/>
        <w:rPr>
          <w:rFonts w:asciiTheme="majorHAnsi" w:hAnsiTheme="majorHAnsi" w:cstheme="majorHAnsi"/>
          <w:b/>
          <w:lang w:val="en-GB"/>
        </w:rPr>
      </w:pPr>
      <w:r w:rsidRPr="00E25D75">
        <w:rPr>
          <w:rFonts w:asciiTheme="majorHAnsi" w:hAnsiTheme="majorHAnsi" w:cstheme="majorHAnsi"/>
          <w:b/>
          <w:lang w:val="en-GB"/>
        </w:rPr>
        <w:t xml:space="preserve">Representation of women in the public life, especially in the executive bodies and judicial bodies. </w:t>
      </w:r>
      <w:r w:rsidRPr="00E25D75">
        <w:rPr>
          <w:rFonts w:asciiTheme="majorHAnsi" w:hAnsiTheme="majorHAnsi" w:cstheme="majorHAnsi"/>
          <w:lang w:val="en-GB"/>
        </w:rPr>
        <w:t xml:space="preserve">Women account 26.8% in the National Assembly, however their representation in senior decision-making positions remain low: women head only three of thirteen Committees of the National Assembly; only one woman is a cabinet member (of 27 cabinet members);  one female Deputy Chief Justice has been appointed (out of a total five position; the Chief Justice is </w:t>
      </w:r>
      <w:r w:rsidR="00462D63">
        <w:rPr>
          <w:rFonts w:asciiTheme="majorHAnsi" w:hAnsiTheme="majorHAnsi" w:cstheme="majorHAnsi"/>
          <w:lang w:val="en-GB"/>
        </w:rPr>
        <w:t xml:space="preserve">a </w:t>
      </w:r>
      <w:r w:rsidRPr="00E25D75">
        <w:rPr>
          <w:rFonts w:asciiTheme="majorHAnsi" w:hAnsiTheme="majorHAnsi" w:cstheme="majorHAnsi"/>
          <w:lang w:val="en-GB"/>
        </w:rPr>
        <w:t xml:space="preserve">male); four female Judges are appointed to the Council of Judges (out of seventeen members, and; there </w:t>
      </w:r>
      <w:r w:rsidR="00462D63">
        <w:rPr>
          <w:rFonts w:asciiTheme="majorHAnsi" w:hAnsiTheme="majorHAnsi" w:cstheme="majorHAnsi"/>
          <w:lang w:val="en-GB"/>
        </w:rPr>
        <w:t xml:space="preserve">is </w:t>
      </w:r>
      <w:r w:rsidRPr="00E25D75">
        <w:rPr>
          <w:rFonts w:asciiTheme="majorHAnsi" w:hAnsiTheme="majorHAnsi" w:cstheme="majorHAnsi"/>
          <w:lang w:val="en-GB"/>
        </w:rPr>
        <w:t>no wom</w:t>
      </w:r>
      <w:r w:rsidR="00462D63">
        <w:rPr>
          <w:rFonts w:asciiTheme="majorHAnsi" w:hAnsiTheme="majorHAnsi" w:cstheme="majorHAnsi"/>
          <w:lang w:val="en-GB"/>
        </w:rPr>
        <w:t>a</w:t>
      </w:r>
      <w:r w:rsidRPr="00E25D75">
        <w:rPr>
          <w:rFonts w:asciiTheme="majorHAnsi" w:hAnsiTheme="majorHAnsi" w:cstheme="majorHAnsi"/>
          <w:lang w:val="en-GB"/>
        </w:rPr>
        <w:t>n appointed to the People’s Supreme Procuracy. Further, there is a lack of statistical information regarding number of female staff</w:t>
      </w:r>
      <w:r w:rsidR="00462D63">
        <w:rPr>
          <w:rFonts w:asciiTheme="majorHAnsi" w:hAnsiTheme="majorHAnsi" w:cstheme="majorHAnsi"/>
          <w:lang w:val="en-GB"/>
        </w:rPr>
        <w:t>s</w:t>
      </w:r>
      <w:r w:rsidRPr="00E25D75">
        <w:rPr>
          <w:rFonts w:asciiTheme="majorHAnsi" w:hAnsiTheme="majorHAnsi" w:cstheme="majorHAnsi"/>
          <w:lang w:val="en-GB"/>
        </w:rPr>
        <w:t xml:space="preserve"> as public servants from the main portal of </w:t>
      </w:r>
      <w:r w:rsidRPr="00E25D75">
        <w:rPr>
          <w:rFonts w:asciiTheme="majorHAnsi" w:hAnsiTheme="majorHAnsi" w:cstheme="majorHAnsi"/>
          <w:lang w:val="en-GB"/>
        </w:rPr>
        <w:lastRenderedPageBreak/>
        <w:t>information on public servants at the Ministry of Home Affairs,</w:t>
      </w:r>
      <w:r w:rsidRPr="00E25D75">
        <w:rPr>
          <w:rStyle w:val="FootnoteReference"/>
          <w:rFonts w:asciiTheme="majorHAnsi" w:hAnsiTheme="majorHAnsi" w:cstheme="majorHAnsi"/>
          <w:lang w:val="en-GB"/>
        </w:rPr>
        <w:footnoteReference w:id="35"/>
      </w:r>
      <w:r w:rsidRPr="00E25D75">
        <w:rPr>
          <w:rFonts w:asciiTheme="majorHAnsi" w:hAnsiTheme="majorHAnsi" w:cstheme="majorHAnsi"/>
          <w:lang w:val="en-GB"/>
        </w:rPr>
        <w:t xml:space="preserve"> nor from the General Statistics Office and other relevant ministries</w:t>
      </w:r>
      <w:r w:rsidRPr="00E25D75">
        <w:rPr>
          <w:rStyle w:val="FootnoteReference"/>
          <w:rFonts w:asciiTheme="majorHAnsi" w:hAnsiTheme="majorHAnsi" w:cstheme="majorHAnsi"/>
          <w:lang w:val="en-GB"/>
        </w:rPr>
        <w:footnoteReference w:id="36"/>
      </w:r>
      <w:r w:rsidRPr="00E25D75">
        <w:rPr>
          <w:rFonts w:asciiTheme="majorHAnsi" w:hAnsiTheme="majorHAnsi" w:cstheme="majorHAnsi"/>
          <w:lang w:val="en-GB"/>
        </w:rPr>
        <w:t>.</w:t>
      </w:r>
    </w:p>
    <w:p w14:paraId="0B3F01A3" w14:textId="469FB131" w:rsidR="006C6198" w:rsidRPr="00E25D75" w:rsidRDefault="00F238DD" w:rsidP="00B117E9">
      <w:pPr>
        <w:suppressAutoHyphens/>
        <w:spacing w:before="60" w:after="120" w:line="360" w:lineRule="auto"/>
        <w:jc w:val="both"/>
        <w:rPr>
          <w:rFonts w:asciiTheme="majorHAnsi" w:hAnsiTheme="majorHAnsi" w:cstheme="majorHAnsi"/>
          <w:lang w:val="en-GB"/>
        </w:rPr>
      </w:pPr>
      <w:r w:rsidRPr="00E815EC">
        <w:rPr>
          <w:rFonts w:asciiTheme="majorHAnsi" w:hAnsiTheme="majorHAnsi" w:cstheme="majorHAnsi"/>
          <w:b/>
          <w:lang w:val="en-US"/>
        </w:rPr>
        <w:t>Imbalance of ratio of female-male teachers at the school system</w:t>
      </w:r>
      <w:r w:rsidRPr="00E815EC">
        <w:rPr>
          <w:rFonts w:asciiTheme="majorHAnsi" w:hAnsiTheme="majorHAnsi" w:cstheme="majorHAnsi"/>
          <w:b/>
        </w:rPr>
        <w:t>.</w:t>
      </w:r>
      <w:r w:rsidRPr="00E25D75">
        <w:rPr>
          <w:rFonts w:asciiTheme="majorHAnsi" w:hAnsiTheme="majorHAnsi" w:cstheme="majorHAnsi"/>
          <w:b/>
        </w:rPr>
        <w:t xml:space="preserve"> </w:t>
      </w:r>
      <w:r w:rsidRPr="00E25D75">
        <w:rPr>
          <w:rFonts w:asciiTheme="majorHAnsi" w:hAnsiTheme="majorHAnsi" w:cstheme="majorHAnsi"/>
          <w:lang w:val="en-US"/>
        </w:rPr>
        <w:t xml:space="preserve">While the percentage of female teachers at college and university levels were respectively </w:t>
      </w:r>
      <w:r w:rsidRPr="00E25D75">
        <w:rPr>
          <w:rFonts w:asciiTheme="majorHAnsi" w:hAnsiTheme="majorHAnsi" w:cstheme="majorHAnsi"/>
        </w:rPr>
        <w:t>49.8%</w:t>
      </w:r>
      <w:r w:rsidRPr="00E25D75">
        <w:rPr>
          <w:rFonts w:asciiTheme="majorHAnsi" w:hAnsiTheme="majorHAnsi" w:cstheme="majorHAnsi"/>
          <w:lang w:val="en-US"/>
        </w:rPr>
        <w:t xml:space="preserve"> (school year 2014-2015) and 47% (2015-2016), this number at </w:t>
      </w:r>
      <w:r w:rsidR="000D4529" w:rsidRPr="00E25D75">
        <w:rPr>
          <w:rFonts w:asciiTheme="majorHAnsi" w:hAnsiTheme="majorHAnsi" w:cstheme="majorHAnsi"/>
          <w:lang w:val="en-US"/>
        </w:rPr>
        <w:t>high school</w:t>
      </w:r>
      <w:r w:rsidRPr="00E25D75">
        <w:rPr>
          <w:rFonts w:asciiTheme="majorHAnsi" w:hAnsiTheme="majorHAnsi" w:cstheme="majorHAnsi"/>
          <w:lang w:val="en-US"/>
        </w:rPr>
        <w:t>, primary school and pre-school increased to 68.6%, 73% and 99.7% respectively.</w:t>
      </w:r>
      <w:r w:rsidRPr="00E25D75">
        <w:rPr>
          <w:rStyle w:val="FootnoteReference"/>
          <w:rFonts w:asciiTheme="majorHAnsi" w:hAnsiTheme="majorHAnsi" w:cstheme="majorHAnsi"/>
          <w:bCs/>
          <w:lang w:val="en-US"/>
        </w:rPr>
        <w:footnoteReference w:id="37"/>
      </w:r>
    </w:p>
    <w:p w14:paraId="63105AFC" w14:textId="11873668" w:rsidR="00F238DD" w:rsidRPr="00E25D75" w:rsidRDefault="00F238DD" w:rsidP="00B117E9">
      <w:pPr>
        <w:suppressAutoHyphens/>
        <w:spacing w:before="60" w:after="120" w:line="360" w:lineRule="auto"/>
        <w:jc w:val="both"/>
        <w:rPr>
          <w:rFonts w:asciiTheme="majorHAnsi" w:hAnsiTheme="majorHAnsi" w:cstheme="majorHAnsi"/>
          <w:lang w:val="en-GB"/>
        </w:rPr>
      </w:pPr>
      <w:r w:rsidRPr="00E815EC">
        <w:rPr>
          <w:rFonts w:asciiTheme="majorHAnsi" w:hAnsiTheme="majorHAnsi" w:cstheme="majorHAnsi"/>
          <w:b/>
        </w:rPr>
        <w:t xml:space="preserve">Lack of statistical data on female staff </w:t>
      </w:r>
      <w:r w:rsidRPr="00E815EC">
        <w:rPr>
          <w:rFonts w:asciiTheme="majorHAnsi" w:hAnsiTheme="majorHAnsi" w:cstheme="majorHAnsi"/>
          <w:b/>
          <w:lang w:val="en-US"/>
        </w:rPr>
        <w:t>as public servants</w:t>
      </w:r>
      <w:r w:rsidRPr="00E25D75">
        <w:rPr>
          <w:rFonts w:asciiTheme="majorHAnsi" w:hAnsiTheme="majorHAnsi" w:cstheme="majorHAnsi"/>
          <w:b/>
          <w:lang w:val="en-US"/>
        </w:rPr>
        <w:t xml:space="preserve"> </w:t>
      </w:r>
      <w:r w:rsidRPr="00E25D75">
        <w:rPr>
          <w:rFonts w:asciiTheme="majorHAnsi" w:hAnsiTheme="majorHAnsi" w:cstheme="majorHAnsi"/>
          <w:lang w:val="en-US"/>
        </w:rPr>
        <w:t xml:space="preserve">from the main portal of information on public servants at </w:t>
      </w:r>
      <w:r w:rsidRPr="00E25D75">
        <w:rPr>
          <w:rFonts w:asciiTheme="majorHAnsi" w:hAnsiTheme="majorHAnsi" w:cstheme="majorHAnsi"/>
        </w:rPr>
        <w:t>the Ministry of Home Affairs</w:t>
      </w:r>
      <w:r w:rsidRPr="00E25D75">
        <w:rPr>
          <w:rFonts w:asciiTheme="majorHAnsi" w:hAnsiTheme="majorHAnsi" w:cstheme="majorHAnsi"/>
          <w:lang w:val="en-US"/>
        </w:rPr>
        <w:t>,</w:t>
      </w:r>
      <w:r w:rsidRPr="00E25D75">
        <w:rPr>
          <w:rStyle w:val="FootnoteReference"/>
          <w:rFonts w:asciiTheme="majorHAnsi" w:hAnsiTheme="majorHAnsi" w:cstheme="majorHAnsi"/>
        </w:rPr>
        <w:footnoteReference w:id="38"/>
      </w:r>
      <w:r w:rsidRPr="00E25D75">
        <w:rPr>
          <w:rFonts w:asciiTheme="majorHAnsi" w:hAnsiTheme="majorHAnsi" w:cstheme="majorHAnsi"/>
        </w:rPr>
        <w:t xml:space="preserve"> </w:t>
      </w:r>
      <w:r w:rsidRPr="00E25D75">
        <w:rPr>
          <w:rFonts w:asciiTheme="majorHAnsi" w:hAnsiTheme="majorHAnsi" w:cstheme="majorHAnsi"/>
          <w:lang w:val="en-US"/>
        </w:rPr>
        <w:t xml:space="preserve">nor from </w:t>
      </w:r>
      <w:r w:rsidRPr="00E25D75">
        <w:rPr>
          <w:rFonts w:asciiTheme="majorHAnsi" w:hAnsiTheme="majorHAnsi" w:cstheme="majorHAnsi"/>
        </w:rPr>
        <w:t xml:space="preserve">the General Statistics Office </w:t>
      </w:r>
      <w:r w:rsidRPr="00E25D75">
        <w:rPr>
          <w:rFonts w:asciiTheme="majorHAnsi" w:hAnsiTheme="majorHAnsi" w:cstheme="majorHAnsi"/>
          <w:lang w:val="en-US"/>
        </w:rPr>
        <w:t>and a few o</w:t>
      </w:r>
      <w:r w:rsidRPr="00E25D75">
        <w:rPr>
          <w:rFonts w:asciiTheme="majorHAnsi" w:hAnsiTheme="majorHAnsi" w:cstheme="majorHAnsi"/>
        </w:rPr>
        <w:t>ther ministries</w:t>
      </w:r>
      <w:r w:rsidRPr="00E25D75">
        <w:rPr>
          <w:rStyle w:val="FootnoteReference"/>
          <w:rFonts w:asciiTheme="majorHAnsi" w:hAnsiTheme="majorHAnsi" w:cstheme="majorHAnsi"/>
        </w:rPr>
        <w:footnoteReference w:id="39"/>
      </w:r>
      <w:r w:rsidRPr="00E25D75">
        <w:rPr>
          <w:rFonts w:asciiTheme="majorHAnsi" w:hAnsiTheme="majorHAnsi" w:cstheme="majorHAnsi"/>
        </w:rPr>
        <w:t>.</w:t>
      </w:r>
    </w:p>
    <w:p w14:paraId="61ABE39C" w14:textId="0BE43662" w:rsidR="00F238DD" w:rsidRPr="00462D63" w:rsidRDefault="00F238DD" w:rsidP="00B117E9">
      <w:pPr>
        <w:suppressAutoHyphens/>
        <w:spacing w:before="60" w:after="120" w:line="360" w:lineRule="auto"/>
        <w:jc w:val="both"/>
        <w:rPr>
          <w:rFonts w:asciiTheme="majorHAnsi" w:hAnsiTheme="majorHAnsi" w:cstheme="majorHAnsi"/>
          <w:lang w:val="en-GB"/>
        </w:rPr>
      </w:pPr>
      <w:r w:rsidRPr="00E815EC">
        <w:rPr>
          <w:rFonts w:asciiTheme="majorHAnsi" w:hAnsiTheme="majorHAnsi" w:cstheme="majorHAnsi"/>
          <w:b/>
          <w:bCs/>
          <w:lang w:val="en-GB"/>
        </w:rPr>
        <w:t>Discrimination in the enrolment in the universities and colleges on military, public security, procuracy and justice.</w:t>
      </w:r>
      <w:r w:rsidRPr="00E25D75">
        <w:rPr>
          <w:rFonts w:asciiTheme="majorHAnsi" w:hAnsiTheme="majorHAnsi" w:cstheme="majorHAnsi"/>
          <w:b/>
          <w:bCs/>
          <w:lang w:val="en-GB"/>
        </w:rPr>
        <w:t xml:space="preserve"> </w:t>
      </w:r>
      <w:r w:rsidRPr="00E25D75">
        <w:rPr>
          <w:rFonts w:asciiTheme="majorHAnsi" w:hAnsiTheme="majorHAnsi" w:cstheme="majorHAnsi"/>
          <w:bCs/>
          <w:lang w:val="en-GB"/>
        </w:rPr>
        <w:t>Clause 3, Article 3, Circular 17/2016/TT-BQP</w:t>
      </w:r>
      <w:r w:rsidRPr="00E25D75">
        <w:rPr>
          <w:rStyle w:val="FootnoteReference"/>
          <w:rFonts w:asciiTheme="majorHAnsi" w:eastAsiaTheme="minorHAnsi" w:hAnsiTheme="majorHAnsi" w:cstheme="majorHAnsi"/>
          <w:lang w:val="en-GB"/>
        </w:rPr>
        <w:footnoteReference w:id="40"/>
      </w:r>
      <w:r w:rsidRPr="00E25D75">
        <w:rPr>
          <w:rFonts w:asciiTheme="majorHAnsi" w:hAnsiTheme="majorHAnsi" w:cstheme="majorHAnsi"/>
          <w:bCs/>
          <w:lang w:val="en-GB"/>
        </w:rPr>
        <w:t xml:space="preserve"> dated 11 March 2016 on guideline for enrolment in the army universities and colleges provide an enrolment quota of 10% women for all disciplines,</w:t>
      </w:r>
      <w:r w:rsidRPr="00E25D75">
        <w:rPr>
          <w:rStyle w:val="FootnoteReference"/>
          <w:rFonts w:asciiTheme="majorHAnsi" w:hAnsiTheme="majorHAnsi" w:cstheme="majorHAnsi"/>
          <w:bCs/>
          <w:lang w:val="en-GB"/>
        </w:rPr>
        <w:footnoteReference w:id="41"/>
      </w:r>
      <w:r w:rsidRPr="00E25D75">
        <w:rPr>
          <w:rFonts w:asciiTheme="majorHAnsi" w:hAnsiTheme="majorHAnsi" w:cstheme="majorHAnsi"/>
          <w:bCs/>
          <w:lang w:val="en-GB"/>
        </w:rPr>
        <w:t xml:space="preserve"> and in particular no more than 6% women as the total enrolment quota </w:t>
      </w:r>
      <w:r w:rsidRPr="009608B2">
        <w:rPr>
          <w:rFonts w:asciiTheme="majorHAnsi" w:hAnsiTheme="majorHAnsi" w:cstheme="majorHAnsi"/>
          <w:bCs/>
          <w:color w:val="000000" w:themeColor="text1"/>
          <w:lang w:val="en-GB"/>
        </w:rPr>
        <w:t xml:space="preserve">for disciplines </w:t>
      </w:r>
      <w:r w:rsidRPr="00E25D75">
        <w:rPr>
          <w:rFonts w:asciiTheme="majorHAnsi" w:hAnsiTheme="majorHAnsi" w:cstheme="majorHAnsi"/>
          <w:bCs/>
          <w:lang w:val="en-GB"/>
        </w:rPr>
        <w:t>of information technology, telecommunication, biomedical electronics, military engineering at Academy of Military Techniques. Those targets are also applied to all universities and colleges on public security, people’s police and fire control. In addition, the University of Procuracy, for instance, does not specify quotas of male or female students but provides differentiated requirements such as higher enrolment exam results for female candidates than male</w:t>
      </w:r>
      <w:r w:rsidRPr="00E25D75">
        <w:rPr>
          <w:rFonts w:asciiTheme="majorHAnsi" w:hAnsiTheme="majorHAnsi" w:cstheme="majorHAnsi"/>
          <w:b/>
          <w:bCs/>
          <w:lang w:val="en-GB"/>
        </w:rPr>
        <w:t xml:space="preserve">. </w:t>
      </w:r>
      <w:r w:rsidRPr="00462D63">
        <w:rPr>
          <w:rFonts w:asciiTheme="majorHAnsi" w:hAnsiTheme="majorHAnsi" w:cstheme="majorHAnsi"/>
          <w:b/>
          <w:bCs/>
          <w:lang w:val="en-GB"/>
        </w:rPr>
        <w:t>This institution also announced that people with disabilities are not eligible for enrolment.</w:t>
      </w:r>
      <w:r w:rsidRPr="00462D63">
        <w:rPr>
          <w:rStyle w:val="FootnoteReference"/>
          <w:rFonts w:asciiTheme="majorHAnsi" w:hAnsiTheme="majorHAnsi" w:cstheme="majorHAnsi"/>
          <w:bCs/>
          <w:lang w:val="en-GB"/>
        </w:rPr>
        <w:footnoteReference w:id="42"/>
      </w:r>
    </w:p>
    <w:p w14:paraId="1A47CD3D" w14:textId="0B2E7321" w:rsidR="00F238DD" w:rsidRPr="00E815EC" w:rsidRDefault="00F238DD" w:rsidP="00B117E9">
      <w:pPr>
        <w:spacing w:before="60" w:after="120" w:line="360" w:lineRule="auto"/>
        <w:jc w:val="both"/>
        <w:rPr>
          <w:rFonts w:asciiTheme="majorHAnsi" w:hAnsiTheme="majorHAnsi" w:cstheme="majorHAnsi"/>
          <w:b/>
          <w:lang w:val="en-GB"/>
        </w:rPr>
      </w:pPr>
      <w:r w:rsidRPr="00E815EC">
        <w:rPr>
          <w:rFonts w:asciiTheme="majorHAnsi" w:hAnsiTheme="majorHAnsi" w:cstheme="majorHAnsi"/>
          <w:b/>
          <w:lang w:val="en-GB"/>
        </w:rPr>
        <w:t xml:space="preserve">Recommendations </w:t>
      </w:r>
    </w:p>
    <w:p w14:paraId="4F995069" w14:textId="791DDF05" w:rsidR="00F238DD" w:rsidRPr="00E25D75" w:rsidRDefault="009608B2" w:rsidP="00B117E9">
      <w:pPr>
        <w:spacing w:before="60" w:after="120" w:line="360" w:lineRule="auto"/>
        <w:jc w:val="both"/>
        <w:rPr>
          <w:rFonts w:asciiTheme="majorHAnsi" w:hAnsiTheme="majorHAnsi" w:cstheme="majorHAnsi"/>
          <w:lang w:val="en-GB"/>
        </w:rPr>
      </w:pPr>
      <w:r>
        <w:rPr>
          <w:rFonts w:asciiTheme="majorHAnsi" w:hAnsiTheme="majorHAnsi" w:cstheme="majorHAnsi"/>
          <w:lang w:val="en-GB"/>
        </w:rPr>
        <w:t>The State Party</w:t>
      </w:r>
      <w:r w:rsidR="006C6198" w:rsidRPr="00E25D75">
        <w:rPr>
          <w:rFonts w:asciiTheme="majorHAnsi" w:hAnsiTheme="majorHAnsi" w:cstheme="majorHAnsi"/>
          <w:lang w:val="en-GB"/>
        </w:rPr>
        <w:t xml:space="preserve"> should:</w:t>
      </w:r>
    </w:p>
    <w:p w14:paraId="47AEAF46" w14:textId="4F021148" w:rsidR="00F238DD" w:rsidRPr="00E25D75" w:rsidRDefault="00F238DD" w:rsidP="0049094C">
      <w:pPr>
        <w:pStyle w:val="ListParagraph"/>
        <w:numPr>
          <w:ilvl w:val="0"/>
          <w:numId w:val="7"/>
        </w:numPr>
        <w:suppressAutoHyphens/>
        <w:spacing w:before="60" w:after="120" w:line="360" w:lineRule="auto"/>
        <w:jc w:val="both"/>
        <w:rPr>
          <w:rFonts w:asciiTheme="majorHAnsi" w:hAnsiTheme="majorHAnsi" w:cstheme="majorHAnsi"/>
          <w:iCs/>
          <w:lang w:val="en-GB"/>
        </w:rPr>
      </w:pPr>
      <w:r w:rsidRPr="00E25D75">
        <w:rPr>
          <w:rFonts w:asciiTheme="majorHAnsi" w:hAnsiTheme="majorHAnsi" w:cstheme="majorHAnsi"/>
          <w:iCs/>
          <w:lang w:val="en-GB"/>
        </w:rPr>
        <w:t>Provide effective measures including an accessible complaint mechanism for victims of gender discrimination and their representatives, and sanctions on violations of non-discrimination</w:t>
      </w:r>
      <w:r w:rsidR="00E815EC">
        <w:rPr>
          <w:rFonts w:asciiTheme="majorHAnsi" w:hAnsiTheme="majorHAnsi" w:cstheme="majorHAnsi"/>
          <w:iCs/>
          <w:lang w:val="vi-VN"/>
        </w:rPr>
        <w:t>;</w:t>
      </w:r>
    </w:p>
    <w:p w14:paraId="1386F62F" w14:textId="6DBBFB68" w:rsidR="00F238DD" w:rsidRPr="00E25D75" w:rsidRDefault="00F238DD" w:rsidP="0049094C">
      <w:pPr>
        <w:pStyle w:val="ListParagraph"/>
        <w:numPr>
          <w:ilvl w:val="0"/>
          <w:numId w:val="7"/>
        </w:numPr>
        <w:suppressAutoHyphens/>
        <w:spacing w:before="60" w:after="120" w:line="360" w:lineRule="auto"/>
        <w:jc w:val="both"/>
        <w:rPr>
          <w:rFonts w:asciiTheme="majorHAnsi" w:hAnsiTheme="majorHAnsi" w:cstheme="majorHAnsi"/>
          <w:iCs/>
          <w:lang w:val="en-GB"/>
        </w:rPr>
      </w:pPr>
      <w:r w:rsidRPr="00E25D75">
        <w:rPr>
          <w:rFonts w:asciiTheme="majorHAnsi" w:hAnsiTheme="majorHAnsi" w:cstheme="majorHAnsi"/>
          <w:iCs/>
          <w:lang w:val="en-GB"/>
        </w:rPr>
        <w:lastRenderedPageBreak/>
        <w:t>Provide trainings on gender equality in accordance with international human rights obligation of Vietnam including those under ICCPR and CEDAW for civil servants, journalists and media managers, using hands on tool such as the Gender-Sensitive Indicators for Media</w:t>
      </w:r>
      <w:r w:rsidR="0061364C">
        <w:rPr>
          <w:rStyle w:val="FootnoteReference"/>
          <w:rFonts w:asciiTheme="majorHAnsi" w:hAnsiTheme="majorHAnsi"/>
          <w:iCs/>
          <w:lang w:val="en-GB"/>
        </w:rPr>
        <w:footnoteReference w:id="43"/>
      </w:r>
      <w:r w:rsidR="00E815EC">
        <w:rPr>
          <w:rFonts w:asciiTheme="majorHAnsi" w:hAnsiTheme="majorHAnsi" w:cstheme="majorHAnsi"/>
          <w:iCs/>
          <w:lang w:val="vi-VN"/>
        </w:rPr>
        <w:t>;</w:t>
      </w:r>
    </w:p>
    <w:p w14:paraId="3B9F362D" w14:textId="2E2DD695" w:rsidR="00F238DD" w:rsidRPr="00E25D75" w:rsidRDefault="00F238DD" w:rsidP="0049094C">
      <w:pPr>
        <w:pStyle w:val="ListParagraph"/>
        <w:numPr>
          <w:ilvl w:val="0"/>
          <w:numId w:val="7"/>
        </w:numPr>
        <w:suppressAutoHyphens/>
        <w:spacing w:before="60" w:after="120" w:line="360" w:lineRule="auto"/>
        <w:jc w:val="both"/>
        <w:rPr>
          <w:rFonts w:asciiTheme="majorHAnsi" w:hAnsiTheme="majorHAnsi" w:cstheme="majorHAnsi"/>
          <w:iCs/>
          <w:lang w:val="en-GB"/>
        </w:rPr>
      </w:pPr>
      <w:r w:rsidRPr="00E25D75">
        <w:rPr>
          <w:rFonts w:asciiTheme="majorHAnsi" w:hAnsiTheme="majorHAnsi" w:cstheme="majorHAnsi"/>
          <w:lang w:val="en-GB"/>
        </w:rPr>
        <w:t>Ensuring that the principle of substantive gender equality and non-discrimination on all grounds, including non-discrimination on the basis of sexual orientation and gender identity is applied in the process of formulating and reforming the educational program under the Circular No. 14/2017/TT-BGDDT</w:t>
      </w:r>
      <w:r w:rsidRPr="00E25D75">
        <w:rPr>
          <w:rStyle w:val="FootnoteReference"/>
          <w:rFonts w:asciiTheme="majorHAnsi" w:eastAsia="SimSun" w:hAnsiTheme="majorHAnsi" w:cstheme="majorHAnsi"/>
          <w:lang w:val="en-GB"/>
        </w:rPr>
        <w:footnoteReference w:id="44"/>
      </w:r>
      <w:r w:rsidR="00E815EC">
        <w:rPr>
          <w:rFonts w:asciiTheme="majorHAnsi" w:hAnsiTheme="majorHAnsi" w:cstheme="majorHAnsi"/>
          <w:lang w:val="vi-VN"/>
        </w:rPr>
        <w:t>;</w:t>
      </w:r>
    </w:p>
    <w:p w14:paraId="65EE32AA" w14:textId="6AB4026E" w:rsidR="00F238DD" w:rsidRPr="00E25D75" w:rsidRDefault="00F238DD" w:rsidP="0049094C">
      <w:pPr>
        <w:pStyle w:val="ListParagraph"/>
        <w:numPr>
          <w:ilvl w:val="0"/>
          <w:numId w:val="7"/>
        </w:numPr>
        <w:suppressAutoHyphens/>
        <w:spacing w:before="60" w:after="120" w:line="360" w:lineRule="auto"/>
        <w:jc w:val="both"/>
        <w:rPr>
          <w:rFonts w:asciiTheme="majorHAnsi" w:hAnsiTheme="majorHAnsi" w:cstheme="majorHAnsi"/>
          <w:iCs/>
          <w:lang w:val="en-GB"/>
        </w:rPr>
      </w:pPr>
      <w:r w:rsidRPr="00E25D75">
        <w:rPr>
          <w:rFonts w:asciiTheme="majorHAnsi" w:hAnsiTheme="majorHAnsi" w:cstheme="majorHAnsi"/>
          <w:bCs/>
          <w:lang w:val="en-GB"/>
        </w:rPr>
        <w:t>Assess discriminatory regulations and practices in the enrolment in universities and colleges, especially at public institutions on public security, military and the justice sector, and take actions to ensure fair and equal opportunities for all</w:t>
      </w:r>
      <w:r w:rsidR="00E815EC">
        <w:rPr>
          <w:rFonts w:asciiTheme="majorHAnsi" w:hAnsiTheme="majorHAnsi" w:cstheme="majorHAnsi"/>
          <w:bCs/>
          <w:lang w:val="vi-VN"/>
        </w:rPr>
        <w:t>;</w:t>
      </w:r>
    </w:p>
    <w:p w14:paraId="7E1A872F" w14:textId="7C54C537" w:rsidR="00F238DD" w:rsidRPr="00E25D75" w:rsidRDefault="00F238DD" w:rsidP="0049094C">
      <w:pPr>
        <w:pStyle w:val="ListParagraph"/>
        <w:numPr>
          <w:ilvl w:val="0"/>
          <w:numId w:val="7"/>
        </w:numPr>
        <w:suppressAutoHyphens/>
        <w:spacing w:before="60" w:after="120" w:line="360" w:lineRule="auto"/>
        <w:jc w:val="both"/>
        <w:rPr>
          <w:rFonts w:asciiTheme="majorHAnsi" w:hAnsiTheme="majorHAnsi" w:cstheme="majorHAnsi"/>
          <w:iCs/>
          <w:lang w:val="en-GB"/>
        </w:rPr>
      </w:pPr>
      <w:r w:rsidRPr="00E25D75">
        <w:rPr>
          <w:rFonts w:asciiTheme="majorHAnsi" w:hAnsiTheme="majorHAnsi" w:cstheme="majorHAnsi"/>
          <w:lang w:val="en-GB"/>
        </w:rPr>
        <w:t>Make available records of the public servants disaggregated by sex, ethnic minorities and relig</w:t>
      </w:r>
      <w:r w:rsidR="009608B2">
        <w:rPr>
          <w:rFonts w:asciiTheme="majorHAnsi" w:hAnsiTheme="majorHAnsi" w:cstheme="majorHAnsi"/>
          <w:lang w:val="en-GB"/>
        </w:rPr>
        <w:t>ious</w:t>
      </w:r>
      <w:r w:rsidR="009608B2">
        <w:rPr>
          <w:rFonts w:asciiTheme="majorHAnsi" w:hAnsiTheme="majorHAnsi" w:cstheme="majorHAnsi"/>
          <w:lang w:val="vi-VN"/>
        </w:rPr>
        <w:t xml:space="preserve"> </w:t>
      </w:r>
      <w:r w:rsidRPr="00E25D75">
        <w:rPr>
          <w:rFonts w:asciiTheme="majorHAnsi" w:hAnsiTheme="majorHAnsi" w:cstheme="majorHAnsi"/>
          <w:lang w:val="en-GB"/>
        </w:rPr>
        <w:t xml:space="preserve">minorities and disabilities status on the website and </w:t>
      </w:r>
      <w:r w:rsidR="009608B2">
        <w:rPr>
          <w:rFonts w:asciiTheme="majorHAnsi" w:hAnsiTheme="majorHAnsi" w:cstheme="majorHAnsi"/>
          <w:lang w:val="en-GB"/>
        </w:rPr>
        <w:t>s</w:t>
      </w:r>
      <w:r w:rsidRPr="00E25D75">
        <w:rPr>
          <w:rFonts w:asciiTheme="majorHAnsi" w:hAnsiTheme="majorHAnsi" w:cstheme="majorHAnsi"/>
          <w:lang w:val="en-GB"/>
        </w:rPr>
        <w:t xml:space="preserve">tatistical </w:t>
      </w:r>
      <w:r w:rsidR="009608B2">
        <w:rPr>
          <w:rFonts w:asciiTheme="majorHAnsi" w:hAnsiTheme="majorHAnsi" w:cstheme="majorHAnsi"/>
          <w:lang w:val="en-GB"/>
        </w:rPr>
        <w:t>y</w:t>
      </w:r>
      <w:r w:rsidRPr="00E25D75">
        <w:rPr>
          <w:rFonts w:asciiTheme="majorHAnsi" w:hAnsiTheme="majorHAnsi" w:cstheme="majorHAnsi"/>
          <w:lang w:val="en-GB"/>
        </w:rPr>
        <w:t>earbook of ministries and relevant agencies, especially, the website of the General Statistics Office and Ministry of Home Affairs</w:t>
      </w:r>
      <w:r w:rsidR="00E815EC">
        <w:rPr>
          <w:rFonts w:asciiTheme="majorHAnsi" w:hAnsiTheme="majorHAnsi" w:cstheme="majorHAnsi"/>
          <w:lang w:val="vi-VN"/>
        </w:rPr>
        <w:t>;</w:t>
      </w:r>
    </w:p>
    <w:p w14:paraId="5AC117B3" w14:textId="2A1E5C8E" w:rsidR="00F238DD" w:rsidRPr="00E25D75" w:rsidRDefault="00F238DD" w:rsidP="0049094C">
      <w:pPr>
        <w:pStyle w:val="ListParagraph"/>
        <w:numPr>
          <w:ilvl w:val="0"/>
          <w:numId w:val="7"/>
        </w:numPr>
        <w:suppressAutoHyphens/>
        <w:spacing w:before="60" w:after="120" w:line="360" w:lineRule="auto"/>
        <w:jc w:val="both"/>
        <w:rPr>
          <w:rFonts w:asciiTheme="majorHAnsi" w:hAnsiTheme="majorHAnsi" w:cstheme="majorHAnsi"/>
          <w:iCs/>
          <w:lang w:val="en-GB"/>
        </w:rPr>
      </w:pPr>
      <w:r w:rsidRPr="00E25D75">
        <w:rPr>
          <w:rFonts w:asciiTheme="majorHAnsi" w:hAnsiTheme="majorHAnsi" w:cstheme="majorHAnsi"/>
          <w:lang w:val="en-GB"/>
        </w:rPr>
        <w:t>Review and adjust all state-funded projects and campaigns on gender equality and to ensure that all stereotypes of gender roles are eliminated.</w:t>
      </w:r>
    </w:p>
    <w:p w14:paraId="561A1148" w14:textId="51C354CE" w:rsidR="00F238DD" w:rsidRPr="00096C78" w:rsidRDefault="006C6198" w:rsidP="00425667">
      <w:pPr>
        <w:pStyle w:val="Heading2"/>
        <w:numPr>
          <w:ilvl w:val="0"/>
          <w:numId w:val="15"/>
        </w:numPr>
      </w:pPr>
      <w:bookmarkStart w:id="8" w:name="_Toc353558"/>
      <w:r w:rsidRPr="00096C78">
        <w:t>M</w:t>
      </w:r>
      <w:r w:rsidR="00F238DD" w:rsidRPr="00096C78">
        <w:t>easures taken to combat violence against women</w:t>
      </w:r>
      <w:r w:rsidRPr="00096C78">
        <w:rPr>
          <w:rStyle w:val="FootnoteReference"/>
          <w:rFonts w:cstheme="majorHAnsi"/>
        </w:rPr>
        <w:footnoteReference w:id="45"/>
      </w:r>
      <w:bookmarkEnd w:id="8"/>
    </w:p>
    <w:p w14:paraId="4115EA9F" w14:textId="1E83D76A" w:rsidR="00F238DD" w:rsidRPr="0061364C" w:rsidRDefault="00F238DD" w:rsidP="00B117E9">
      <w:pPr>
        <w:pStyle w:val="SingleTxtG"/>
        <w:spacing w:before="60" w:line="360" w:lineRule="auto"/>
        <w:ind w:left="360" w:right="0"/>
        <w:rPr>
          <w:rFonts w:asciiTheme="majorHAnsi" w:hAnsiTheme="majorHAnsi" w:cstheme="majorHAnsi"/>
          <w:i/>
          <w:sz w:val="22"/>
          <w:szCs w:val="22"/>
          <w:lang w:val="vi-VN"/>
        </w:rPr>
      </w:pPr>
      <w:r w:rsidRPr="00E25D75">
        <w:rPr>
          <w:rFonts w:asciiTheme="majorHAnsi" w:hAnsiTheme="majorHAnsi" w:cstheme="majorHAnsi"/>
          <w:bCs/>
          <w:sz w:val="22"/>
          <w:szCs w:val="22"/>
        </w:rPr>
        <w:t xml:space="preserve">The amendment of the Labour Code in 2013 introduced the term </w:t>
      </w:r>
      <w:r w:rsidRPr="00E25D75">
        <w:rPr>
          <w:rFonts w:asciiTheme="majorHAnsi" w:hAnsiTheme="majorHAnsi" w:cstheme="majorHAnsi"/>
          <w:sz w:val="22"/>
          <w:szCs w:val="22"/>
        </w:rPr>
        <w:t xml:space="preserve">“sexual harassment” as one of the prohibited </w:t>
      </w:r>
      <w:r w:rsidR="000D4529" w:rsidRPr="00E25D75">
        <w:rPr>
          <w:rFonts w:asciiTheme="majorHAnsi" w:hAnsiTheme="majorHAnsi" w:cstheme="majorHAnsi"/>
          <w:sz w:val="22"/>
          <w:szCs w:val="22"/>
        </w:rPr>
        <w:t>behaviours</w:t>
      </w:r>
      <w:r w:rsidRPr="00E25D75">
        <w:rPr>
          <w:rFonts w:asciiTheme="majorHAnsi" w:hAnsiTheme="majorHAnsi" w:cstheme="majorHAnsi"/>
          <w:sz w:val="22"/>
          <w:szCs w:val="22"/>
        </w:rPr>
        <w:t xml:space="preserve"> for employers; however, there are no definition of sexual harassment as well as the sanctions for this </w:t>
      </w:r>
      <w:r w:rsidR="000D4529" w:rsidRPr="00E25D75">
        <w:rPr>
          <w:rFonts w:asciiTheme="majorHAnsi" w:hAnsiTheme="majorHAnsi" w:cstheme="majorHAnsi"/>
          <w:sz w:val="22"/>
          <w:szCs w:val="22"/>
        </w:rPr>
        <w:t>behaviour</w:t>
      </w:r>
      <w:r w:rsidRPr="00E25D75">
        <w:rPr>
          <w:rFonts w:asciiTheme="majorHAnsi" w:hAnsiTheme="majorHAnsi" w:cstheme="majorHAnsi"/>
          <w:sz w:val="22"/>
          <w:szCs w:val="22"/>
        </w:rPr>
        <w:t>. In 2015, the Code of Conduct for sexual harassment in the workplace was issued</w:t>
      </w:r>
      <w:r w:rsidR="0061364C">
        <w:rPr>
          <w:rStyle w:val="FootnoteReference"/>
          <w:rFonts w:asciiTheme="majorHAnsi" w:hAnsiTheme="majorHAnsi"/>
          <w:sz w:val="22"/>
          <w:szCs w:val="22"/>
        </w:rPr>
        <w:footnoteReference w:id="46"/>
      </w:r>
      <w:r w:rsidRPr="00E25D75">
        <w:rPr>
          <w:rFonts w:asciiTheme="majorHAnsi" w:hAnsiTheme="majorHAnsi" w:cstheme="majorHAnsi"/>
          <w:sz w:val="22"/>
          <w:szCs w:val="22"/>
        </w:rPr>
        <w:t>, but only mention</w:t>
      </w:r>
      <w:r w:rsidR="0049641C">
        <w:rPr>
          <w:rFonts w:asciiTheme="majorHAnsi" w:hAnsiTheme="majorHAnsi" w:cstheme="majorHAnsi"/>
          <w:sz w:val="22"/>
          <w:szCs w:val="22"/>
        </w:rPr>
        <w:t>s</w:t>
      </w:r>
      <w:r w:rsidRPr="00E25D75">
        <w:rPr>
          <w:rFonts w:asciiTheme="majorHAnsi" w:hAnsiTheme="majorHAnsi" w:cstheme="majorHAnsi"/>
          <w:sz w:val="22"/>
          <w:szCs w:val="22"/>
        </w:rPr>
        <w:t xml:space="preserve"> about the concept of workplace harassment, which is not legally binding, nor outlining an enforcement mechanism.</w:t>
      </w:r>
      <w:r w:rsidR="0061364C">
        <w:rPr>
          <w:rFonts w:asciiTheme="majorHAnsi" w:hAnsiTheme="majorHAnsi" w:cstheme="majorHAnsi"/>
          <w:sz w:val="22"/>
          <w:szCs w:val="22"/>
          <w:lang w:val="vi-VN"/>
        </w:rPr>
        <w:t xml:space="preserve"> Such Code of Conduct only applies for enterprises</w:t>
      </w:r>
      <w:r w:rsidR="0061364C">
        <w:rPr>
          <w:rStyle w:val="FootnoteReference"/>
          <w:rFonts w:asciiTheme="majorHAnsi" w:hAnsiTheme="majorHAnsi"/>
          <w:sz w:val="22"/>
          <w:szCs w:val="22"/>
          <w:lang w:val="vi-VN"/>
        </w:rPr>
        <w:footnoteReference w:id="47"/>
      </w:r>
      <w:r w:rsidR="0061364C">
        <w:rPr>
          <w:rFonts w:asciiTheme="majorHAnsi" w:hAnsiTheme="majorHAnsi" w:cstheme="majorHAnsi"/>
          <w:sz w:val="22"/>
          <w:szCs w:val="22"/>
          <w:lang w:val="vi-VN"/>
        </w:rPr>
        <w:t xml:space="preserve"> but not for other workplaces such as state agencies and public offices. </w:t>
      </w:r>
    </w:p>
    <w:p w14:paraId="00D6AC15" w14:textId="5042DC94" w:rsidR="00F238DD" w:rsidRPr="00E25D75" w:rsidRDefault="00F238DD" w:rsidP="00B117E9">
      <w:pPr>
        <w:pStyle w:val="SingleTxtG"/>
        <w:spacing w:before="60" w:line="360" w:lineRule="auto"/>
        <w:ind w:left="360" w:right="0"/>
        <w:rPr>
          <w:rFonts w:asciiTheme="majorHAnsi" w:hAnsiTheme="majorHAnsi" w:cstheme="majorHAnsi"/>
          <w:i/>
          <w:sz w:val="22"/>
          <w:szCs w:val="22"/>
        </w:rPr>
      </w:pPr>
      <w:r w:rsidRPr="00E25D75">
        <w:rPr>
          <w:rFonts w:asciiTheme="majorHAnsi" w:hAnsiTheme="majorHAnsi" w:cstheme="majorHAnsi"/>
          <w:bCs/>
          <w:sz w:val="22"/>
          <w:szCs w:val="22"/>
        </w:rPr>
        <w:t xml:space="preserve"> Since the 201</w:t>
      </w:r>
      <w:r w:rsidR="009608B2">
        <w:rPr>
          <w:rFonts w:asciiTheme="majorHAnsi" w:hAnsiTheme="majorHAnsi" w:cstheme="majorHAnsi"/>
          <w:bCs/>
          <w:sz w:val="22"/>
          <w:szCs w:val="22"/>
          <w:lang w:val="vi-VN"/>
        </w:rPr>
        <w:t>2</w:t>
      </w:r>
      <w:r w:rsidRPr="00E25D75">
        <w:rPr>
          <w:rFonts w:asciiTheme="majorHAnsi" w:hAnsiTheme="majorHAnsi" w:cstheme="majorHAnsi"/>
          <w:bCs/>
          <w:sz w:val="22"/>
          <w:szCs w:val="22"/>
        </w:rPr>
        <w:t xml:space="preserve"> Labour Code amendment, however, not one case regarding sexual harassment has been heard at Court. The Bell</w:t>
      </w:r>
      <w:r w:rsidRPr="00E25D75">
        <w:rPr>
          <w:rStyle w:val="FootnoteReference"/>
          <w:rFonts w:asciiTheme="majorHAnsi" w:hAnsiTheme="majorHAnsi" w:cstheme="majorHAnsi"/>
          <w:bCs/>
          <w:sz w:val="22"/>
          <w:szCs w:val="22"/>
        </w:rPr>
        <w:footnoteReference w:id="48"/>
      </w:r>
      <w:r w:rsidRPr="00E25D75">
        <w:rPr>
          <w:rFonts w:asciiTheme="majorHAnsi" w:hAnsiTheme="majorHAnsi" w:cstheme="majorHAnsi"/>
          <w:bCs/>
          <w:sz w:val="22"/>
          <w:szCs w:val="22"/>
        </w:rPr>
        <w:t xml:space="preserve"> does not list any instances of punishment for sexual harassment. The government does not maintain </w:t>
      </w:r>
      <w:r w:rsidR="000D4529" w:rsidRPr="00E25D75">
        <w:rPr>
          <w:rFonts w:asciiTheme="majorHAnsi" w:hAnsiTheme="majorHAnsi" w:cstheme="majorHAnsi"/>
          <w:bCs/>
          <w:sz w:val="22"/>
          <w:szCs w:val="22"/>
        </w:rPr>
        <w:t>publicly</w:t>
      </w:r>
      <w:r w:rsidRPr="00E25D75">
        <w:rPr>
          <w:rFonts w:asciiTheme="majorHAnsi" w:hAnsiTheme="majorHAnsi" w:cstheme="majorHAnsi"/>
          <w:bCs/>
          <w:sz w:val="22"/>
          <w:szCs w:val="22"/>
        </w:rPr>
        <w:t xml:space="preserve"> accessible data on sexual harassment, nor provide a listing of </w:t>
      </w:r>
      <w:r w:rsidRPr="00E25D75">
        <w:rPr>
          <w:rFonts w:asciiTheme="majorHAnsi" w:hAnsiTheme="majorHAnsi" w:cstheme="majorHAnsi"/>
          <w:bCs/>
          <w:sz w:val="22"/>
          <w:szCs w:val="22"/>
        </w:rPr>
        <w:lastRenderedPageBreak/>
        <w:t>complaints received and regarding sexual harassment. While research reports have been published outlining sexual harassment in public and private spheres, the lack of comprehensive information regarding sexual harassment in public space</w:t>
      </w:r>
      <w:r w:rsidR="0049641C">
        <w:rPr>
          <w:rFonts w:asciiTheme="majorHAnsi" w:hAnsiTheme="majorHAnsi" w:cstheme="majorHAnsi"/>
          <w:bCs/>
          <w:sz w:val="22"/>
          <w:szCs w:val="22"/>
        </w:rPr>
        <w:t>s</w:t>
      </w:r>
      <w:r w:rsidRPr="00E25D75">
        <w:rPr>
          <w:rFonts w:asciiTheme="majorHAnsi" w:hAnsiTheme="majorHAnsi" w:cstheme="majorHAnsi"/>
          <w:bCs/>
          <w:sz w:val="22"/>
          <w:szCs w:val="22"/>
        </w:rPr>
        <w:t>, at the workplace, in schools and in government offices limits follow-up.</w:t>
      </w:r>
    </w:p>
    <w:p w14:paraId="46945EB2" w14:textId="308CFF11" w:rsidR="00F238DD" w:rsidRPr="00E25D75" w:rsidRDefault="00F238DD" w:rsidP="00B117E9">
      <w:pPr>
        <w:pStyle w:val="SingleTxtG"/>
        <w:spacing w:before="60" w:line="360" w:lineRule="auto"/>
        <w:ind w:left="360" w:right="0"/>
        <w:rPr>
          <w:rFonts w:asciiTheme="majorHAnsi" w:hAnsiTheme="majorHAnsi" w:cstheme="majorHAnsi"/>
          <w:i/>
          <w:sz w:val="22"/>
          <w:szCs w:val="22"/>
        </w:rPr>
      </w:pPr>
      <w:r w:rsidRPr="00E25D75">
        <w:rPr>
          <w:rFonts w:asciiTheme="majorHAnsi" w:hAnsiTheme="majorHAnsi" w:cstheme="majorHAnsi"/>
          <w:sz w:val="22"/>
          <w:szCs w:val="22"/>
        </w:rPr>
        <w:t>Only 5% women and girls who have experienced sexual harassment reported the incident to the police, while 47,1% did nothing.</w:t>
      </w:r>
      <w:r w:rsidRPr="00E25D75">
        <w:rPr>
          <w:rStyle w:val="FootnoteReference"/>
          <w:rFonts w:asciiTheme="majorHAnsi" w:hAnsiTheme="majorHAnsi" w:cstheme="majorHAnsi"/>
          <w:sz w:val="22"/>
          <w:szCs w:val="22"/>
        </w:rPr>
        <w:footnoteReference w:id="49"/>
      </w:r>
      <w:r w:rsidRPr="00E25D75">
        <w:rPr>
          <w:rFonts w:asciiTheme="majorHAnsi" w:hAnsiTheme="majorHAnsi" w:cstheme="majorHAnsi"/>
          <w:sz w:val="22"/>
          <w:szCs w:val="22"/>
        </w:rPr>
        <w:t xml:space="preserve"> In the workplace</w:t>
      </w:r>
      <w:r w:rsidR="0049641C">
        <w:rPr>
          <w:rFonts w:asciiTheme="majorHAnsi" w:hAnsiTheme="majorHAnsi" w:cstheme="majorHAnsi"/>
          <w:sz w:val="22"/>
          <w:szCs w:val="22"/>
        </w:rPr>
        <w:t>s</w:t>
      </w:r>
      <w:r w:rsidRPr="00E25D75">
        <w:rPr>
          <w:rFonts w:asciiTheme="majorHAnsi" w:hAnsiTheme="majorHAnsi" w:cstheme="majorHAnsi"/>
          <w:sz w:val="22"/>
          <w:szCs w:val="22"/>
        </w:rPr>
        <w:t>, very few victims of sexual harassment speak publicly because many of them were concerned that they would be blamed and stigmatized when reporting. The causes of this situation were identified as lack of sanctions and gender sensitive treatment as well as protection mechanism. At the same time, with the lack of knowledge and understanding of gender and women’s human rights, staff in the counselling office</w:t>
      </w:r>
      <w:r w:rsidR="0049641C">
        <w:rPr>
          <w:rFonts w:asciiTheme="majorHAnsi" w:hAnsiTheme="majorHAnsi" w:cstheme="majorHAnsi"/>
          <w:sz w:val="22"/>
          <w:szCs w:val="22"/>
        </w:rPr>
        <w:t>s</w:t>
      </w:r>
      <w:r w:rsidRPr="00E25D75">
        <w:rPr>
          <w:rFonts w:asciiTheme="majorHAnsi" w:hAnsiTheme="majorHAnsi" w:cstheme="majorHAnsi"/>
          <w:sz w:val="22"/>
          <w:szCs w:val="22"/>
        </w:rPr>
        <w:t xml:space="preserve"> has provided emotional and biased comments. Therefore, when receiving harassment cases, their advice and comments sometime turned to victim-blaming and could not provide any remedy. In the community life, acts as whistling, teasing, glancing are considered normal and acceptable men’s behaviours with women. If complained, victims were usually advised to accept and live with it.</w:t>
      </w:r>
    </w:p>
    <w:p w14:paraId="707A9747" w14:textId="3A7F2C90" w:rsidR="0061364C" w:rsidRPr="0061364C" w:rsidRDefault="00F238DD" w:rsidP="0061364C">
      <w:pPr>
        <w:pStyle w:val="SingleTxtG"/>
        <w:spacing w:before="60" w:line="360" w:lineRule="auto"/>
        <w:ind w:left="360" w:right="0"/>
        <w:rPr>
          <w:lang w:val="en-US"/>
        </w:rPr>
      </w:pPr>
      <w:r w:rsidRPr="00E25D75">
        <w:rPr>
          <w:rFonts w:asciiTheme="majorHAnsi" w:hAnsiTheme="majorHAnsi" w:cstheme="majorHAnsi"/>
          <w:sz w:val="22"/>
          <w:szCs w:val="22"/>
        </w:rPr>
        <w:t xml:space="preserve">Comprehensive sexuality education (CSE) is not widely and consistently implemented in schools and there is </w:t>
      </w:r>
      <w:r w:rsidR="00C834E6">
        <w:rPr>
          <w:rFonts w:asciiTheme="majorHAnsi" w:hAnsiTheme="majorHAnsi" w:cstheme="majorHAnsi"/>
          <w:sz w:val="22"/>
          <w:szCs w:val="22"/>
        </w:rPr>
        <w:t xml:space="preserve">a </w:t>
      </w:r>
      <w:r w:rsidRPr="00E25D75">
        <w:rPr>
          <w:rFonts w:asciiTheme="majorHAnsi" w:hAnsiTheme="majorHAnsi" w:cstheme="majorHAnsi"/>
          <w:sz w:val="22"/>
          <w:szCs w:val="22"/>
        </w:rPr>
        <w:t>lack of information in workplaces about sexual and reproductive health, including the prevention of and reporting of sexual harassment. This means people have limited awareness of gender equality, lack of knowledge about the meaning of consent and little understanding of how to intervene if they observe sexual harassment taking place.</w:t>
      </w:r>
    </w:p>
    <w:p w14:paraId="2AB0E34C" w14:textId="77777777" w:rsidR="00F238DD" w:rsidRPr="00E25D75" w:rsidRDefault="00F238DD" w:rsidP="00B117E9">
      <w:pPr>
        <w:pStyle w:val="SingleTxtG"/>
        <w:tabs>
          <w:tab w:val="right" w:pos="360"/>
        </w:tabs>
        <w:spacing w:before="60" w:line="360" w:lineRule="auto"/>
        <w:ind w:left="360" w:right="0"/>
        <w:rPr>
          <w:rFonts w:asciiTheme="majorHAnsi" w:hAnsiTheme="majorHAnsi" w:cstheme="majorHAnsi"/>
          <w:b/>
          <w:sz w:val="22"/>
          <w:szCs w:val="22"/>
        </w:rPr>
      </w:pPr>
      <w:r w:rsidRPr="00E25D75">
        <w:rPr>
          <w:rFonts w:asciiTheme="majorHAnsi" w:hAnsiTheme="majorHAnsi" w:cstheme="majorHAnsi"/>
          <w:b/>
          <w:sz w:val="22"/>
          <w:szCs w:val="22"/>
        </w:rPr>
        <w:t>Recommendations:</w:t>
      </w:r>
    </w:p>
    <w:p w14:paraId="5F0C9F51" w14:textId="77777777" w:rsidR="00F238DD" w:rsidRPr="00E815EC" w:rsidRDefault="00F238DD" w:rsidP="00B117E9">
      <w:pPr>
        <w:pStyle w:val="SingleTxtG"/>
        <w:spacing w:before="60" w:line="360" w:lineRule="auto"/>
        <w:ind w:left="360" w:right="0"/>
        <w:rPr>
          <w:rFonts w:asciiTheme="majorHAnsi" w:hAnsiTheme="majorHAnsi" w:cstheme="majorHAnsi"/>
          <w:sz w:val="22"/>
          <w:szCs w:val="22"/>
        </w:rPr>
      </w:pPr>
      <w:r w:rsidRPr="00E815EC">
        <w:rPr>
          <w:rFonts w:asciiTheme="majorHAnsi" w:hAnsiTheme="majorHAnsi" w:cstheme="majorHAnsi"/>
          <w:sz w:val="22"/>
          <w:szCs w:val="22"/>
        </w:rPr>
        <w:t>The State Party should:</w:t>
      </w:r>
    </w:p>
    <w:p w14:paraId="0248D5EC" w14:textId="0B46A2AA" w:rsidR="00F238DD" w:rsidRPr="00E25D75" w:rsidRDefault="00F238DD" w:rsidP="0049094C">
      <w:pPr>
        <w:pStyle w:val="ListParagraph"/>
        <w:numPr>
          <w:ilvl w:val="0"/>
          <w:numId w:val="6"/>
        </w:numPr>
        <w:spacing w:before="60" w:after="120" w:line="360" w:lineRule="auto"/>
        <w:rPr>
          <w:rFonts w:asciiTheme="majorHAnsi" w:hAnsiTheme="majorHAnsi" w:cstheme="majorHAnsi"/>
          <w:lang w:val="en-GB"/>
        </w:rPr>
      </w:pPr>
      <w:r w:rsidRPr="00E25D75">
        <w:rPr>
          <w:rFonts w:asciiTheme="majorHAnsi" w:hAnsiTheme="majorHAnsi" w:cstheme="majorHAnsi"/>
          <w:lang w:val="en-GB"/>
        </w:rPr>
        <w:t xml:space="preserve">Ensure that a comprehensive definition of sexual harassment and appropriate sanctions for this </w:t>
      </w:r>
      <w:r w:rsidR="000D4529" w:rsidRPr="00E25D75">
        <w:rPr>
          <w:rFonts w:asciiTheme="majorHAnsi" w:hAnsiTheme="majorHAnsi" w:cstheme="majorHAnsi"/>
          <w:lang w:val="en-GB"/>
        </w:rPr>
        <w:t>behaviour</w:t>
      </w:r>
      <w:r w:rsidRPr="00E25D75">
        <w:rPr>
          <w:rFonts w:asciiTheme="majorHAnsi" w:hAnsiTheme="majorHAnsi" w:cstheme="majorHAnsi"/>
          <w:lang w:val="en-GB"/>
        </w:rPr>
        <w:t xml:space="preserve"> are included in the forthcoming revised </w:t>
      </w:r>
      <w:r w:rsidR="000D4529" w:rsidRPr="00E25D75">
        <w:rPr>
          <w:rFonts w:asciiTheme="majorHAnsi" w:hAnsiTheme="majorHAnsi" w:cstheme="majorHAnsi"/>
          <w:lang w:val="en-GB"/>
        </w:rPr>
        <w:t>Labour</w:t>
      </w:r>
      <w:r w:rsidRPr="00E25D75">
        <w:rPr>
          <w:rFonts w:asciiTheme="majorHAnsi" w:hAnsiTheme="majorHAnsi" w:cstheme="majorHAnsi"/>
          <w:lang w:val="en-GB"/>
        </w:rPr>
        <w:t xml:space="preserve"> Code in 2019 and the Law on Gender Equality in 2021</w:t>
      </w:r>
      <w:r w:rsidR="00E815EC">
        <w:rPr>
          <w:rFonts w:asciiTheme="majorHAnsi" w:hAnsiTheme="majorHAnsi" w:cstheme="majorHAnsi"/>
          <w:lang w:val="vi-VN"/>
        </w:rPr>
        <w:t>;</w:t>
      </w:r>
    </w:p>
    <w:p w14:paraId="3F437D00" w14:textId="43C688BC" w:rsidR="00F238DD" w:rsidRPr="00E25D75" w:rsidRDefault="00F238DD" w:rsidP="0049094C">
      <w:pPr>
        <w:pStyle w:val="ListParagraph"/>
        <w:numPr>
          <w:ilvl w:val="0"/>
          <w:numId w:val="6"/>
        </w:numPr>
        <w:spacing w:before="60" w:after="120" w:line="360" w:lineRule="auto"/>
        <w:rPr>
          <w:rFonts w:asciiTheme="majorHAnsi" w:hAnsiTheme="majorHAnsi" w:cstheme="majorHAnsi"/>
          <w:lang w:val="en-GB"/>
        </w:rPr>
      </w:pPr>
      <w:r w:rsidRPr="00E25D75">
        <w:rPr>
          <w:rFonts w:asciiTheme="majorHAnsi" w:hAnsiTheme="majorHAnsi" w:cstheme="majorHAnsi"/>
          <w:lang w:val="en-GB"/>
        </w:rPr>
        <w:t>Introduce mandatory training for officials, targeting judicial officers, lawyers, police and health care staff etc. on handling cases of sexual violence and discrimination</w:t>
      </w:r>
      <w:r w:rsidR="00E815EC">
        <w:rPr>
          <w:rFonts w:asciiTheme="majorHAnsi" w:hAnsiTheme="majorHAnsi" w:cstheme="majorHAnsi"/>
          <w:lang w:val="vi-VN"/>
        </w:rPr>
        <w:t>;</w:t>
      </w:r>
    </w:p>
    <w:p w14:paraId="1B1F40AC" w14:textId="4F5CFAF3" w:rsidR="00F238DD" w:rsidRPr="00E25D75" w:rsidRDefault="00F238DD" w:rsidP="0049094C">
      <w:pPr>
        <w:pStyle w:val="ListParagraph"/>
        <w:numPr>
          <w:ilvl w:val="0"/>
          <w:numId w:val="6"/>
        </w:numPr>
        <w:spacing w:before="60" w:after="120" w:line="360" w:lineRule="auto"/>
        <w:rPr>
          <w:rFonts w:asciiTheme="majorHAnsi" w:hAnsiTheme="majorHAnsi" w:cstheme="majorHAnsi"/>
          <w:lang w:val="en-GB"/>
        </w:rPr>
      </w:pPr>
      <w:r w:rsidRPr="00E25D75">
        <w:rPr>
          <w:rFonts w:asciiTheme="majorHAnsi" w:hAnsiTheme="majorHAnsi" w:cstheme="majorHAnsi"/>
          <w:lang w:val="en-GB"/>
        </w:rPr>
        <w:t>Encourage reporting by removing stigma towards victims and ensuring that all of reporting case are properly investigated and addressed with appropriately</w:t>
      </w:r>
      <w:r w:rsidR="00E815EC">
        <w:rPr>
          <w:rFonts w:asciiTheme="majorHAnsi" w:hAnsiTheme="majorHAnsi" w:cstheme="majorHAnsi"/>
          <w:lang w:val="vi-VN"/>
        </w:rPr>
        <w:t>;</w:t>
      </w:r>
    </w:p>
    <w:p w14:paraId="1900BE89" w14:textId="0E049B95" w:rsidR="00F238DD" w:rsidRPr="00E25D75" w:rsidRDefault="00F238DD" w:rsidP="004E6023">
      <w:pPr>
        <w:pStyle w:val="ListParagraph"/>
        <w:numPr>
          <w:ilvl w:val="0"/>
          <w:numId w:val="6"/>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Introduce a National Action Plan to raise public awareness of sexual harassment, criminal nature and legal knowledge and sanctions</w:t>
      </w:r>
      <w:r w:rsidR="00E815EC">
        <w:rPr>
          <w:rFonts w:asciiTheme="majorHAnsi" w:hAnsiTheme="majorHAnsi" w:cstheme="majorHAnsi"/>
          <w:lang w:val="vi-VN"/>
        </w:rPr>
        <w:t>;</w:t>
      </w:r>
    </w:p>
    <w:p w14:paraId="4C9A3C26" w14:textId="380B1D70" w:rsidR="00F238DD" w:rsidRPr="00E25D75" w:rsidRDefault="00F238DD" w:rsidP="004E6023">
      <w:pPr>
        <w:pStyle w:val="ListParagraph"/>
        <w:numPr>
          <w:ilvl w:val="0"/>
          <w:numId w:val="6"/>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lastRenderedPageBreak/>
        <w:t>Implement comprehensive sexuality education curricula, includes education regarding consent, safe sexual relationships and the prevention of sexual violence, including sexual harassment</w:t>
      </w:r>
      <w:r w:rsidR="00E815EC">
        <w:rPr>
          <w:rFonts w:asciiTheme="majorHAnsi" w:hAnsiTheme="majorHAnsi" w:cstheme="majorHAnsi"/>
          <w:lang w:val="vi-VN"/>
        </w:rPr>
        <w:t>;</w:t>
      </w:r>
    </w:p>
    <w:p w14:paraId="5402685A" w14:textId="3098684C" w:rsidR="00F238DD" w:rsidRPr="00E25D75" w:rsidRDefault="00F238DD" w:rsidP="004E6023">
      <w:pPr>
        <w:pStyle w:val="ListParagraph"/>
        <w:numPr>
          <w:ilvl w:val="0"/>
          <w:numId w:val="6"/>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Promptly implement the Concluding Observation of the CEDAW Committee para 19 on conducting national surveys on gender-based violence</w:t>
      </w:r>
      <w:r w:rsidR="00E815EC">
        <w:rPr>
          <w:rFonts w:asciiTheme="majorHAnsi" w:hAnsiTheme="majorHAnsi" w:cstheme="majorHAnsi"/>
          <w:lang w:val="vi-VN"/>
        </w:rPr>
        <w:t>;</w:t>
      </w:r>
    </w:p>
    <w:p w14:paraId="7AFAE26B" w14:textId="4EDC506D" w:rsidR="006C6198" w:rsidRPr="00E25D75" w:rsidRDefault="00F238DD" w:rsidP="004E6023">
      <w:pPr>
        <w:pStyle w:val="ListParagraph"/>
        <w:numPr>
          <w:ilvl w:val="0"/>
          <w:numId w:val="6"/>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Introduce media guidelines on gender and provide sanctions for violations of gender-equality policy</w:t>
      </w:r>
      <w:r w:rsidR="00E815EC">
        <w:rPr>
          <w:rFonts w:asciiTheme="majorHAnsi" w:hAnsiTheme="majorHAnsi" w:cstheme="majorHAnsi"/>
          <w:lang w:val="vi-VN"/>
        </w:rPr>
        <w:t>;</w:t>
      </w:r>
    </w:p>
    <w:p w14:paraId="04603254" w14:textId="46D6FADA" w:rsidR="00CD1125" w:rsidRPr="004E6023" w:rsidRDefault="00367659" w:rsidP="004E6023">
      <w:pPr>
        <w:pStyle w:val="ListParagraph"/>
        <w:numPr>
          <w:ilvl w:val="0"/>
          <w:numId w:val="6"/>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US"/>
        </w:rPr>
        <w:t>Adopt temporary special measures to ensure gender-balance in the employment of the education sector at different levels.</w:t>
      </w:r>
    </w:p>
    <w:p w14:paraId="5AD20EF3" w14:textId="0C7F6C08" w:rsidR="00A01624" w:rsidRPr="00096C78" w:rsidRDefault="00F238DD" w:rsidP="00425667">
      <w:pPr>
        <w:pStyle w:val="Heading2"/>
      </w:pPr>
      <w:bookmarkStart w:id="9" w:name="_Toc353559"/>
      <w:r w:rsidRPr="00096C78">
        <w:t xml:space="preserve">Freedom of </w:t>
      </w:r>
      <w:r w:rsidR="00847491">
        <w:t>a</w:t>
      </w:r>
      <w:r w:rsidRPr="00096C78">
        <w:t>ssociation</w:t>
      </w:r>
      <w:r w:rsidR="00C834E6">
        <w:rPr>
          <w:lang w:val="vi-VN"/>
        </w:rPr>
        <w:t xml:space="preserve"> of women</w:t>
      </w:r>
      <w:r w:rsidR="00A01624" w:rsidRPr="00096C78">
        <w:rPr>
          <w:rStyle w:val="FootnoteReference"/>
          <w:rFonts w:cstheme="majorHAnsi"/>
        </w:rPr>
        <w:footnoteReference w:id="50"/>
      </w:r>
      <w:bookmarkEnd w:id="9"/>
      <w:r w:rsidRPr="00096C78">
        <w:t xml:space="preserve"> </w:t>
      </w:r>
    </w:p>
    <w:p w14:paraId="7D6E6E3A" w14:textId="6A52E87C" w:rsidR="00F238DD" w:rsidRPr="00E25D75" w:rsidRDefault="00F238DD" w:rsidP="00096C78">
      <w:pPr>
        <w:spacing w:line="360" w:lineRule="auto"/>
        <w:jc w:val="both"/>
        <w:rPr>
          <w:rFonts w:asciiTheme="majorHAnsi" w:hAnsiTheme="majorHAnsi" w:cstheme="majorHAnsi"/>
          <w:b/>
        </w:rPr>
      </w:pPr>
      <w:r w:rsidRPr="00E25D75">
        <w:rPr>
          <w:rFonts w:asciiTheme="majorHAnsi" w:hAnsiTheme="majorHAnsi" w:cstheme="majorHAnsi"/>
          <w:b/>
        </w:rPr>
        <w:t xml:space="preserve">Lack of a comprehensive legal framework to ensure the women’s right to freedom of association. </w:t>
      </w:r>
      <w:r w:rsidRPr="00E25D75">
        <w:rPr>
          <w:rFonts w:asciiTheme="majorHAnsi" w:hAnsiTheme="majorHAnsi" w:cstheme="majorHAnsi"/>
        </w:rPr>
        <w:t>Vietnam has not yet passed a law on associations despite a 15-year drafting process. The prevailing legal framework is not compatible with the Constitution 2013 and international human rights standards, as the following:</w:t>
      </w:r>
      <w:r w:rsidRPr="00E25D75">
        <w:rPr>
          <w:rFonts w:asciiTheme="majorHAnsi" w:hAnsiTheme="majorHAnsi" w:cstheme="majorHAnsi"/>
          <w:b/>
        </w:rPr>
        <w:t xml:space="preserve"> </w:t>
      </w:r>
      <w:r w:rsidRPr="00E25D75">
        <w:rPr>
          <w:rFonts w:asciiTheme="majorHAnsi" w:hAnsiTheme="majorHAnsi" w:cstheme="majorHAnsi"/>
        </w:rPr>
        <w:t>The registration procedure for establishing an association in Vietnam is complicated and time-consuming;</w:t>
      </w:r>
      <w:r w:rsidRPr="00E25D75">
        <w:rPr>
          <w:rStyle w:val="FootnoteReference"/>
          <w:rFonts w:asciiTheme="majorHAnsi" w:hAnsiTheme="majorHAnsi" w:cstheme="majorHAnsi"/>
        </w:rPr>
        <w:footnoteReference w:id="51"/>
      </w:r>
      <w:r w:rsidRPr="00E25D75">
        <w:rPr>
          <w:rFonts w:asciiTheme="majorHAnsi" w:hAnsiTheme="majorHAnsi" w:cstheme="majorHAnsi"/>
        </w:rPr>
        <w:t xml:space="preserve"> Limited scope of activities of associations and other scientific and technological organizations;</w:t>
      </w:r>
      <w:r w:rsidRPr="00E25D75">
        <w:rPr>
          <w:rStyle w:val="FootnoteReference"/>
          <w:rFonts w:asciiTheme="majorHAnsi" w:hAnsiTheme="majorHAnsi" w:cstheme="majorHAnsi"/>
        </w:rPr>
        <w:footnoteReference w:id="52"/>
      </w:r>
      <w:r w:rsidRPr="00E25D75">
        <w:rPr>
          <w:rFonts w:asciiTheme="majorHAnsi" w:hAnsiTheme="majorHAnsi" w:cstheme="majorHAnsi"/>
        </w:rPr>
        <w:t xml:space="preserve"> Restriction of fundraising of women-led organization’s and/or the organizations working in the fields of gender equality, </w:t>
      </w:r>
      <w:r w:rsidRPr="00E25D75">
        <w:rPr>
          <w:rFonts w:asciiTheme="majorHAnsi" w:hAnsiTheme="majorHAnsi" w:cstheme="majorHAnsi"/>
        </w:rPr>
        <w:lastRenderedPageBreak/>
        <w:t>promoting and protecting women’s rights</w:t>
      </w:r>
      <w:r w:rsidRPr="00E25D75">
        <w:rPr>
          <w:rStyle w:val="FootnoteReference"/>
          <w:rFonts w:asciiTheme="majorHAnsi" w:hAnsiTheme="majorHAnsi" w:cstheme="majorHAnsi"/>
        </w:rPr>
        <w:footnoteReference w:id="53"/>
      </w:r>
      <w:r w:rsidRPr="00E25D75">
        <w:rPr>
          <w:rFonts w:asciiTheme="majorHAnsi" w:hAnsiTheme="majorHAnsi" w:cstheme="majorHAnsi"/>
        </w:rPr>
        <w:t xml:space="preserve"> and requires the approving power of the Prime Minister.</w:t>
      </w:r>
      <w:r w:rsidRPr="00E25D75">
        <w:rPr>
          <w:rStyle w:val="FootnoteReference"/>
          <w:rFonts w:asciiTheme="majorHAnsi" w:hAnsiTheme="majorHAnsi" w:cstheme="majorHAnsi"/>
        </w:rPr>
        <w:footnoteReference w:id="54"/>
      </w:r>
      <w:r w:rsidRPr="00E25D75">
        <w:rPr>
          <w:rFonts w:asciiTheme="majorHAnsi" w:hAnsiTheme="majorHAnsi" w:cstheme="majorHAnsi"/>
        </w:rPr>
        <w:t xml:space="preserve"> and several other layers of approval</w:t>
      </w:r>
      <w:r w:rsidRPr="00E25D75">
        <w:rPr>
          <w:rStyle w:val="FootnoteReference"/>
          <w:rFonts w:asciiTheme="majorHAnsi" w:hAnsiTheme="majorHAnsi" w:cstheme="majorHAnsi"/>
        </w:rPr>
        <w:footnoteReference w:id="55"/>
      </w:r>
      <w:r w:rsidRPr="00E25D75">
        <w:rPr>
          <w:rFonts w:asciiTheme="majorHAnsi" w:hAnsiTheme="majorHAnsi" w:cstheme="majorHAnsi"/>
        </w:rPr>
        <w:t>; Under Circular 07/2010/TT-BKH</w:t>
      </w:r>
      <w:r w:rsidRPr="00E25D75">
        <w:rPr>
          <w:rStyle w:val="FootnoteReference"/>
          <w:rFonts w:asciiTheme="majorHAnsi" w:hAnsiTheme="majorHAnsi" w:cstheme="majorHAnsi"/>
        </w:rPr>
        <w:footnoteReference w:id="56"/>
      </w:r>
      <w:r w:rsidRPr="00E25D75">
        <w:rPr>
          <w:rFonts w:asciiTheme="majorHAnsi" w:hAnsiTheme="majorHAnsi" w:cstheme="majorHAnsi"/>
        </w:rPr>
        <w:t xml:space="preserve">, in order to receive an amount of aid/grant, a social organization must go through an approving procedure including obtaining a written agreement from the local authority where the project/grant will be carried out, 6 to 8 confirmations of no-objection to the amounts of grants from state agencies in relation to the grant contents as well as the consent of the host or lead agency or corresponding </w:t>
      </w:r>
      <w:r w:rsidR="00096C78">
        <w:rPr>
          <w:rFonts w:asciiTheme="majorHAnsi" w:hAnsiTheme="majorHAnsi" w:cstheme="majorHAnsi"/>
        </w:rPr>
        <w:t>s</w:t>
      </w:r>
      <w:r w:rsidRPr="00E25D75">
        <w:rPr>
          <w:rFonts w:asciiTheme="majorHAnsi" w:hAnsiTheme="majorHAnsi" w:cstheme="majorHAnsi"/>
        </w:rPr>
        <w:t xml:space="preserve">tate bodies </w:t>
      </w:r>
      <w:r w:rsidR="00096C78">
        <w:rPr>
          <w:rFonts w:asciiTheme="majorHAnsi" w:hAnsiTheme="majorHAnsi" w:cstheme="majorHAnsi"/>
        </w:rPr>
        <w:t xml:space="preserve">being </w:t>
      </w:r>
      <w:r w:rsidRPr="00E25D75">
        <w:rPr>
          <w:rFonts w:asciiTheme="majorHAnsi" w:hAnsiTheme="majorHAnsi" w:cstheme="majorHAnsi"/>
        </w:rPr>
        <w:t>responsible for approving the grants. These regulations are applied to control the receipt of foreign aid to associations, non-governmental organizations, non-profit organizations and philanthropic foundations in Vietnam.</w:t>
      </w:r>
    </w:p>
    <w:p w14:paraId="108792BF" w14:textId="314548F3" w:rsidR="00F238DD" w:rsidRPr="00E25D75" w:rsidRDefault="00F238DD" w:rsidP="00096C78">
      <w:pPr>
        <w:spacing w:line="360" w:lineRule="auto"/>
        <w:jc w:val="both"/>
        <w:rPr>
          <w:rFonts w:asciiTheme="majorHAnsi" w:hAnsiTheme="majorHAnsi" w:cstheme="majorHAnsi"/>
        </w:rPr>
      </w:pPr>
      <w:r w:rsidRPr="00096C78">
        <w:rPr>
          <w:rFonts w:asciiTheme="majorHAnsi" w:hAnsiTheme="majorHAnsi" w:cstheme="majorHAnsi"/>
          <w:b/>
        </w:rPr>
        <w:t>Delay or refusal of approval of the programs/projects of women-led associations and organisations working on gender equality and women’s rights.</w:t>
      </w:r>
      <w:r w:rsidRPr="00E25D75">
        <w:rPr>
          <w:rFonts w:asciiTheme="majorHAnsi" w:hAnsiTheme="majorHAnsi" w:cstheme="majorHAnsi"/>
        </w:rPr>
        <w:t xml:space="preserve"> </w:t>
      </w:r>
      <w:r w:rsidR="00096C78">
        <w:rPr>
          <w:rFonts w:asciiTheme="majorHAnsi" w:hAnsiTheme="majorHAnsi" w:cstheme="majorHAnsi"/>
        </w:rPr>
        <w:t>I</w:t>
      </w:r>
      <w:r w:rsidRPr="00E25D75">
        <w:rPr>
          <w:rFonts w:asciiTheme="majorHAnsi" w:hAnsiTheme="majorHAnsi" w:cstheme="majorHAnsi"/>
        </w:rPr>
        <w:t>t took more than 4 months to approve 26% of the projects, 4 months for 12% of the projects, 3 months for 26% of the projects, 2 months for 34% and 1 month for 2%,</w:t>
      </w:r>
      <w:r w:rsidRPr="00E25D75">
        <w:rPr>
          <w:rStyle w:val="FootnoteReference"/>
          <w:rFonts w:asciiTheme="majorHAnsi" w:hAnsiTheme="majorHAnsi" w:cstheme="majorHAnsi"/>
        </w:rPr>
        <w:footnoteReference w:id="57"/>
      </w:r>
      <w:r w:rsidR="00096C78">
        <w:rPr>
          <w:rFonts w:asciiTheme="majorHAnsi" w:hAnsiTheme="majorHAnsi" w:cstheme="majorHAnsi"/>
          <w:lang w:val="vi-VN"/>
        </w:rPr>
        <w:t xml:space="preserve"> </w:t>
      </w:r>
      <w:r w:rsidRPr="00E25D75">
        <w:rPr>
          <w:rFonts w:asciiTheme="majorHAnsi" w:hAnsiTheme="majorHAnsi" w:cstheme="majorHAnsi"/>
        </w:rPr>
        <w:t xml:space="preserve">despite </w:t>
      </w:r>
      <w:r w:rsidRPr="00E25D75">
        <w:rPr>
          <w:rFonts w:asciiTheme="majorHAnsi" w:hAnsiTheme="majorHAnsi" w:cstheme="majorHAnsi"/>
        </w:rPr>
        <w:lastRenderedPageBreak/>
        <w:t>regulation required 20 days</w:t>
      </w:r>
      <w:r w:rsidRPr="00E25D75">
        <w:rPr>
          <w:rStyle w:val="FootnoteReference"/>
          <w:rFonts w:asciiTheme="majorHAnsi" w:hAnsiTheme="majorHAnsi" w:cstheme="majorHAnsi"/>
        </w:rPr>
        <w:footnoteReference w:id="58"/>
      </w:r>
      <w:r w:rsidRPr="00E25D75">
        <w:rPr>
          <w:rFonts w:asciiTheme="majorHAnsi" w:hAnsiTheme="majorHAnsi" w:cstheme="majorHAnsi"/>
        </w:rPr>
        <w:t>. Another survey</w:t>
      </w:r>
      <w:r w:rsidR="00096C78" w:rsidRPr="00E25D75">
        <w:rPr>
          <w:rStyle w:val="FootnoteReference"/>
          <w:rFonts w:asciiTheme="majorHAnsi" w:hAnsiTheme="majorHAnsi" w:cstheme="majorHAnsi"/>
        </w:rPr>
        <w:footnoteReference w:id="59"/>
      </w:r>
      <w:r w:rsidR="00096C78" w:rsidRPr="00E25D75">
        <w:rPr>
          <w:rFonts w:asciiTheme="majorHAnsi" w:hAnsiTheme="majorHAnsi" w:cstheme="majorHAnsi"/>
        </w:rPr>
        <w:t xml:space="preserve"> </w:t>
      </w:r>
      <w:r w:rsidRPr="00E25D75">
        <w:rPr>
          <w:rFonts w:asciiTheme="majorHAnsi" w:hAnsiTheme="majorHAnsi" w:cstheme="majorHAnsi"/>
        </w:rPr>
        <w:t xml:space="preserve"> on</w:t>
      </w:r>
      <w:r w:rsidR="00096C78">
        <w:rPr>
          <w:rFonts w:asciiTheme="majorHAnsi" w:hAnsiTheme="majorHAnsi" w:cstheme="majorHAnsi"/>
          <w:lang w:val="vi-VN"/>
        </w:rPr>
        <w:t xml:space="preserve"> </w:t>
      </w:r>
      <w:r w:rsidRPr="00E25D75">
        <w:rPr>
          <w:rFonts w:asciiTheme="majorHAnsi" w:hAnsiTheme="majorHAnsi" w:cstheme="majorHAnsi"/>
        </w:rPr>
        <w:t>the implementation of Decree 93/2009/NĐ-CP, conducted in 2016, indicated that it must take projects from 2 to more than 5 months to receive approval and 18,1% of the projects were not approved or had not been approved yet.</w:t>
      </w:r>
      <w:r w:rsidRPr="00E25D75">
        <w:rPr>
          <w:rStyle w:val="FootnoteReference"/>
          <w:rFonts w:asciiTheme="majorHAnsi" w:hAnsiTheme="majorHAnsi" w:cstheme="majorHAnsi"/>
        </w:rPr>
        <w:footnoteReference w:id="60"/>
      </w:r>
      <w:r w:rsidRPr="00E25D75">
        <w:rPr>
          <w:rFonts w:asciiTheme="majorHAnsi" w:hAnsiTheme="majorHAnsi" w:cstheme="majorHAnsi"/>
        </w:rPr>
        <w:t xml:space="preserve"> </w:t>
      </w:r>
    </w:p>
    <w:p w14:paraId="0E9B659A" w14:textId="6CB5E258" w:rsidR="00F238DD" w:rsidRPr="00E25D75" w:rsidRDefault="00F238DD" w:rsidP="00096C78">
      <w:pPr>
        <w:spacing w:before="60" w:after="120" w:line="360" w:lineRule="auto"/>
        <w:jc w:val="both"/>
        <w:rPr>
          <w:rFonts w:asciiTheme="majorHAnsi" w:hAnsiTheme="majorHAnsi" w:cstheme="majorHAnsi"/>
          <w:lang w:val="en-GB"/>
        </w:rPr>
      </w:pPr>
      <w:r w:rsidRPr="00E25D75">
        <w:rPr>
          <w:rFonts w:asciiTheme="majorHAnsi" w:hAnsiTheme="majorHAnsi" w:cstheme="majorHAnsi"/>
          <w:b/>
          <w:lang w:val="en-GB"/>
        </w:rPr>
        <w:t xml:space="preserve">Discrimination among associations. </w:t>
      </w:r>
      <w:r w:rsidRPr="00E25D75">
        <w:rPr>
          <w:rFonts w:asciiTheme="majorHAnsi" w:hAnsiTheme="majorHAnsi" w:cstheme="majorHAnsi"/>
          <w:lang w:val="en-GB"/>
        </w:rPr>
        <w:t xml:space="preserve">Five mass organisations and those recognised as "associations of specific characteristics" </w:t>
      </w:r>
      <w:r w:rsidR="00066144">
        <w:rPr>
          <w:rFonts w:asciiTheme="majorHAnsi" w:hAnsiTheme="majorHAnsi" w:cstheme="majorHAnsi"/>
          <w:lang w:val="en-GB"/>
        </w:rPr>
        <w:t>are</w:t>
      </w:r>
      <w:r w:rsidRPr="00E25D75">
        <w:rPr>
          <w:rFonts w:asciiTheme="majorHAnsi" w:hAnsiTheme="majorHAnsi" w:cstheme="majorHAnsi"/>
          <w:lang w:val="en-GB"/>
        </w:rPr>
        <w:t xml:space="preserve"> guarantee</w:t>
      </w:r>
      <w:r w:rsidR="00066144">
        <w:rPr>
          <w:rFonts w:asciiTheme="majorHAnsi" w:hAnsiTheme="majorHAnsi" w:cstheme="majorHAnsi"/>
          <w:lang w:val="en-GB"/>
        </w:rPr>
        <w:t>d</w:t>
      </w:r>
      <w:r w:rsidRPr="00E25D75">
        <w:rPr>
          <w:rFonts w:asciiTheme="majorHAnsi" w:hAnsiTheme="majorHAnsi" w:cstheme="majorHAnsi"/>
          <w:lang w:val="en-GB"/>
        </w:rPr>
        <w:t xml:space="preserve"> with state budget</w:t>
      </w:r>
      <w:r w:rsidRPr="00E25D75">
        <w:rPr>
          <w:rStyle w:val="FootnoteReference"/>
          <w:rFonts w:asciiTheme="majorHAnsi" w:hAnsiTheme="majorHAnsi" w:cstheme="majorHAnsi"/>
          <w:lang w:val="en-GB"/>
        </w:rPr>
        <w:footnoteReference w:id="61"/>
      </w:r>
      <w:r w:rsidRPr="00E25D75">
        <w:rPr>
          <w:rFonts w:asciiTheme="majorHAnsi" w:hAnsiTheme="majorHAnsi" w:cstheme="majorHAnsi"/>
          <w:lang w:val="en-GB"/>
        </w:rPr>
        <w:t xml:space="preserve"> and personnel to operate</w:t>
      </w:r>
      <w:r w:rsidR="00096C78">
        <w:rPr>
          <w:rStyle w:val="FootnoteReference"/>
          <w:rFonts w:asciiTheme="majorHAnsi" w:hAnsiTheme="majorHAnsi"/>
          <w:lang w:val="en-GB"/>
        </w:rPr>
        <w:footnoteReference w:id="62"/>
      </w:r>
      <w:r w:rsidRPr="00E25D75">
        <w:rPr>
          <w:rFonts w:asciiTheme="majorHAnsi" w:hAnsiTheme="majorHAnsi" w:cstheme="majorHAnsi"/>
          <w:lang w:val="en-GB"/>
        </w:rPr>
        <w:t xml:space="preserve">. Paragraph 2, Article 6 of Decree 45/2010 requires that the head of the association be a physically fit person resulted in exclusion of people with disabilities, patients and elderly among others. </w:t>
      </w:r>
    </w:p>
    <w:p w14:paraId="542B0E0B" w14:textId="18B93CD6" w:rsidR="00F238DD" w:rsidRPr="00E25D75" w:rsidRDefault="00F238DD" w:rsidP="00B117E9">
      <w:pPr>
        <w:spacing w:before="60" w:after="120" w:line="360" w:lineRule="auto"/>
        <w:jc w:val="both"/>
        <w:rPr>
          <w:rFonts w:asciiTheme="majorHAnsi" w:hAnsiTheme="majorHAnsi" w:cstheme="majorHAnsi"/>
          <w:lang w:val="en-GB"/>
        </w:rPr>
      </w:pPr>
      <w:r w:rsidRPr="00E25D75">
        <w:rPr>
          <w:rFonts w:asciiTheme="majorHAnsi" w:hAnsiTheme="majorHAnsi" w:cstheme="majorHAnsi"/>
          <w:b/>
          <w:lang w:val="en-GB"/>
        </w:rPr>
        <w:t>Autonomy in the operation of association</w:t>
      </w:r>
      <w:r w:rsidR="00096C78">
        <w:rPr>
          <w:rFonts w:asciiTheme="majorHAnsi" w:hAnsiTheme="majorHAnsi" w:cstheme="majorHAnsi"/>
          <w:b/>
          <w:lang w:val="vi-VN"/>
        </w:rPr>
        <w:t xml:space="preserve">. </w:t>
      </w:r>
      <w:r w:rsidRPr="00E25D75">
        <w:rPr>
          <w:rFonts w:asciiTheme="majorHAnsi" w:hAnsiTheme="majorHAnsi" w:cstheme="majorHAnsi"/>
          <w:lang w:val="en-GB"/>
        </w:rPr>
        <w:t>Right to mobilize financial resources from international organizations of Vietnamese associations is still limited by a cumbersome process with complex documentation requirements. To receive a grant from a foreign organization, it is necessary to go through a process of approval that includes a written approval of the local authority where the project/grant would be implemented, six to eight acceptance notices from relevant state agencies</w:t>
      </w:r>
      <w:r w:rsidRPr="00E25D75">
        <w:rPr>
          <w:rFonts w:asciiTheme="majorHAnsi" w:hAnsiTheme="majorHAnsi" w:cstheme="majorHAnsi"/>
          <w:lang w:val="vi-VN"/>
        </w:rPr>
        <w:t xml:space="preserve"> at central and/or local levels</w:t>
      </w:r>
      <w:r w:rsidRPr="00E25D75">
        <w:rPr>
          <w:rFonts w:asciiTheme="majorHAnsi" w:hAnsiTheme="majorHAnsi" w:cstheme="majorHAnsi"/>
          <w:lang w:val="en-GB"/>
        </w:rPr>
        <w:t xml:space="preserve">, and the agreement of the line umbrella agency or the relevant </w:t>
      </w:r>
      <w:r w:rsidR="00096C78">
        <w:rPr>
          <w:rFonts w:asciiTheme="majorHAnsi" w:hAnsiTheme="majorHAnsi" w:cstheme="majorHAnsi"/>
          <w:lang w:val="en-GB"/>
        </w:rPr>
        <w:t>s</w:t>
      </w:r>
      <w:r w:rsidRPr="00E25D75">
        <w:rPr>
          <w:rFonts w:asciiTheme="majorHAnsi" w:hAnsiTheme="majorHAnsi" w:cstheme="majorHAnsi"/>
          <w:lang w:val="en-GB"/>
        </w:rPr>
        <w:t>tate body responsible for approving the aid. These procedures are set out in Decree 93/2009 dated 22 October 2009 and are detailed in Circular 07/2010 / TT-BTC, which is applicable to control the receipt of foreign aid of organizations in Vietnam. Approval process for projects on human rights, democracy, ethnic minorities was often lengthy and unsuccessful.</w:t>
      </w:r>
    </w:p>
    <w:p w14:paraId="59C7F760" w14:textId="30212641" w:rsidR="00B117E9" w:rsidRPr="00096C78" w:rsidRDefault="00F238DD" w:rsidP="00B117E9">
      <w:p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A survey on the implementation of Decree 93/2009 in 2016 said that 50.1% of projects took from 2 months to more than 5 months to receive approval, and 18.1% of projects were not yet approved or approved. Reasons for the unapproved projects cited include: (i) the local authorities refused to approve (28%); (ii) the contents of the project were inappropriate and sensitive (22%); (iii) the concerned agencies disagreed to the approval (11%); (iv) the location of the project is sensitive (6%), and; (v) no reason provided</w:t>
      </w:r>
      <w:r w:rsidRPr="00E25D75">
        <w:rPr>
          <w:rFonts w:asciiTheme="majorHAnsi" w:hAnsiTheme="majorHAnsi" w:cstheme="majorHAnsi"/>
          <w:lang w:val="vi-VN"/>
        </w:rPr>
        <w:t xml:space="preserve"> </w:t>
      </w:r>
      <w:r w:rsidRPr="00E25D75">
        <w:rPr>
          <w:rFonts w:asciiTheme="majorHAnsi" w:hAnsiTheme="majorHAnsi" w:cstheme="majorHAnsi"/>
          <w:lang w:val="en-GB"/>
        </w:rPr>
        <w:t xml:space="preserve">(11%). Although there was no fee requirement for the approval process, one third of the projects surveyed paid for the </w:t>
      </w:r>
      <w:r w:rsidRPr="00E25D75">
        <w:rPr>
          <w:rFonts w:asciiTheme="majorHAnsi" w:hAnsiTheme="majorHAnsi" w:cstheme="majorHAnsi"/>
          <w:lang w:val="en-GB"/>
        </w:rPr>
        <w:lastRenderedPageBreak/>
        <w:t>approval process. The fees paid ranged from approximately US$ 50 to US$500, in particular there were two payments of US$2,500 and US$ 5,000 to have a project approval.</w:t>
      </w:r>
      <w:r w:rsidRPr="00E25D75">
        <w:rPr>
          <w:rStyle w:val="FootnoteReference"/>
          <w:rFonts w:asciiTheme="majorHAnsi" w:hAnsiTheme="majorHAnsi" w:cstheme="majorHAnsi"/>
          <w:lang w:val="en-GB"/>
        </w:rPr>
        <w:footnoteReference w:id="63"/>
      </w:r>
    </w:p>
    <w:p w14:paraId="6741067B" w14:textId="1448A428" w:rsidR="00F238DD" w:rsidRPr="00E25D75" w:rsidRDefault="00F238DD" w:rsidP="00B117E9">
      <w:pPr>
        <w:spacing w:before="60" w:after="120" w:line="360" w:lineRule="auto"/>
        <w:jc w:val="both"/>
        <w:rPr>
          <w:rFonts w:asciiTheme="majorHAnsi" w:hAnsiTheme="majorHAnsi" w:cstheme="majorHAnsi"/>
          <w:b/>
          <w:lang w:val="en-GB"/>
        </w:rPr>
      </w:pPr>
      <w:r w:rsidRPr="00E25D75">
        <w:rPr>
          <w:rFonts w:asciiTheme="majorHAnsi" w:hAnsiTheme="majorHAnsi" w:cstheme="majorHAnsi"/>
          <w:b/>
          <w:lang w:val="en-GB"/>
        </w:rPr>
        <w:t xml:space="preserve">Recommendations </w:t>
      </w:r>
    </w:p>
    <w:p w14:paraId="21214F3F" w14:textId="618FD19C" w:rsidR="00096C78" w:rsidRPr="00096C78" w:rsidRDefault="00096C78" w:rsidP="00096C78">
      <w:pPr>
        <w:spacing w:before="60" w:after="120" w:line="360" w:lineRule="auto"/>
        <w:jc w:val="both"/>
        <w:rPr>
          <w:rFonts w:asciiTheme="majorHAnsi" w:hAnsiTheme="majorHAnsi" w:cstheme="majorHAnsi"/>
          <w:lang w:val="vi-VN"/>
        </w:rPr>
      </w:pPr>
      <w:r>
        <w:rPr>
          <w:rFonts w:asciiTheme="majorHAnsi" w:hAnsiTheme="majorHAnsi" w:cstheme="majorHAnsi"/>
          <w:lang w:val="en-GB"/>
        </w:rPr>
        <w:t>The</w:t>
      </w:r>
      <w:r>
        <w:rPr>
          <w:rFonts w:asciiTheme="majorHAnsi" w:hAnsiTheme="majorHAnsi" w:cstheme="majorHAnsi"/>
          <w:lang w:val="vi-VN"/>
        </w:rPr>
        <w:t xml:space="preserve"> State Party should:</w:t>
      </w:r>
    </w:p>
    <w:p w14:paraId="44A291A6" w14:textId="2343B571" w:rsidR="00F238DD" w:rsidRPr="00E25D75" w:rsidRDefault="00F238DD" w:rsidP="00096C78">
      <w:pPr>
        <w:pStyle w:val="ListParagraph"/>
        <w:numPr>
          <w:ilvl w:val="0"/>
          <w:numId w:val="13"/>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Develop and implement a training program for officials and policy makers on freedom of association in accordance with the ICCPR and those recommendations by the Special Rapporteur on Freedom of Association and Peaceful Assembly</w:t>
      </w:r>
      <w:r w:rsidR="00E815EC">
        <w:rPr>
          <w:rFonts w:asciiTheme="majorHAnsi" w:hAnsiTheme="majorHAnsi" w:cstheme="majorHAnsi"/>
          <w:lang w:val="vi-VN"/>
        </w:rPr>
        <w:t>;</w:t>
      </w:r>
      <w:r w:rsidRPr="00E25D75">
        <w:rPr>
          <w:rFonts w:asciiTheme="majorHAnsi" w:hAnsiTheme="majorHAnsi" w:cstheme="majorHAnsi"/>
          <w:lang w:val="en-GB"/>
        </w:rPr>
        <w:t xml:space="preserve"> </w:t>
      </w:r>
    </w:p>
    <w:p w14:paraId="26704682" w14:textId="075B2BAC" w:rsidR="00F238DD" w:rsidRPr="00E25D75" w:rsidRDefault="00F238DD" w:rsidP="00096C78">
      <w:pPr>
        <w:pStyle w:val="ListParagraph"/>
        <w:numPr>
          <w:ilvl w:val="0"/>
          <w:numId w:val="13"/>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Introduce and implement policies and measures (possibly within the Law on </w:t>
      </w:r>
      <w:r w:rsidR="00066144">
        <w:rPr>
          <w:rFonts w:asciiTheme="majorHAnsi" w:hAnsiTheme="majorHAnsi" w:cstheme="majorHAnsi"/>
          <w:lang w:val="en-GB"/>
        </w:rPr>
        <w:t xml:space="preserve">Freedom of </w:t>
      </w:r>
      <w:r w:rsidRPr="00E25D75">
        <w:rPr>
          <w:rFonts w:asciiTheme="majorHAnsi" w:hAnsiTheme="majorHAnsi" w:cstheme="majorHAnsi"/>
          <w:lang w:val="en-GB"/>
        </w:rPr>
        <w:t>Association) to facilitate an association's access to and mobilization of domestic and international funding</w:t>
      </w:r>
      <w:r w:rsidR="00E815EC">
        <w:rPr>
          <w:rFonts w:asciiTheme="majorHAnsi" w:hAnsiTheme="majorHAnsi" w:cstheme="majorHAnsi"/>
          <w:lang w:val="vi-VN"/>
        </w:rPr>
        <w:t>;</w:t>
      </w:r>
    </w:p>
    <w:p w14:paraId="3C4DA59F" w14:textId="728439BB" w:rsidR="00F238DD" w:rsidRPr="00E25D75" w:rsidRDefault="00F238DD" w:rsidP="00096C78">
      <w:pPr>
        <w:pStyle w:val="ListParagraph"/>
        <w:numPr>
          <w:ilvl w:val="0"/>
          <w:numId w:val="13"/>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Collaborate with the Special Rapporteur on Freedom of Association and Peaceful </w:t>
      </w:r>
      <w:r w:rsidR="00096C78">
        <w:rPr>
          <w:rFonts w:asciiTheme="majorHAnsi" w:hAnsiTheme="majorHAnsi" w:cstheme="majorHAnsi"/>
          <w:lang w:val="en-GB"/>
        </w:rPr>
        <w:t>A</w:t>
      </w:r>
      <w:r w:rsidRPr="00E25D75">
        <w:rPr>
          <w:rFonts w:asciiTheme="majorHAnsi" w:hAnsiTheme="majorHAnsi" w:cstheme="majorHAnsi"/>
          <w:lang w:val="en-GB"/>
        </w:rPr>
        <w:t>ssembly through accepting his request for a country visit before 2021</w:t>
      </w:r>
      <w:r w:rsidR="00E815EC">
        <w:rPr>
          <w:rFonts w:asciiTheme="majorHAnsi" w:hAnsiTheme="majorHAnsi" w:cstheme="majorHAnsi"/>
          <w:lang w:val="vi-VN"/>
        </w:rPr>
        <w:t>;</w:t>
      </w:r>
    </w:p>
    <w:p w14:paraId="49FDAEB6" w14:textId="5113843E" w:rsidR="00A01624" w:rsidRPr="00207DB9" w:rsidRDefault="00A01624" w:rsidP="00207DB9">
      <w:pPr>
        <w:pStyle w:val="ListParagraph"/>
        <w:numPr>
          <w:ilvl w:val="0"/>
          <w:numId w:val="13"/>
        </w:numPr>
        <w:spacing w:before="60" w:after="120" w:line="360" w:lineRule="auto"/>
        <w:jc w:val="both"/>
        <w:rPr>
          <w:rFonts w:asciiTheme="majorHAnsi" w:hAnsiTheme="majorHAnsi" w:cstheme="majorHAnsi"/>
          <w:lang w:val="en-GB"/>
        </w:rPr>
      </w:pPr>
      <w:r w:rsidRPr="00207DB9">
        <w:rPr>
          <w:rFonts w:asciiTheme="majorHAnsi" w:hAnsiTheme="majorHAnsi" w:cstheme="majorHAnsi"/>
          <w:lang w:val="en-US"/>
        </w:rPr>
        <w:t>R</w:t>
      </w:r>
      <w:r w:rsidRPr="00207DB9">
        <w:rPr>
          <w:rFonts w:asciiTheme="majorHAnsi" w:hAnsiTheme="majorHAnsi" w:cstheme="majorHAnsi"/>
        </w:rPr>
        <w:t xml:space="preserve">eview to </w:t>
      </w:r>
      <w:r w:rsidRPr="00207DB9">
        <w:rPr>
          <w:rFonts w:asciiTheme="majorHAnsi" w:hAnsiTheme="majorHAnsi" w:cstheme="majorHAnsi"/>
          <w:lang w:val="en-US"/>
        </w:rPr>
        <w:t>amend</w:t>
      </w:r>
      <w:r w:rsidR="000D4529" w:rsidRPr="00207DB9">
        <w:rPr>
          <w:rFonts w:asciiTheme="majorHAnsi" w:hAnsiTheme="majorHAnsi" w:cstheme="majorHAnsi"/>
          <w:lang w:val="en-US"/>
        </w:rPr>
        <w:t xml:space="preserve"> those</w:t>
      </w:r>
      <w:r w:rsidRPr="00207DB9">
        <w:rPr>
          <w:rFonts w:asciiTheme="majorHAnsi" w:hAnsiTheme="majorHAnsi" w:cstheme="majorHAnsi"/>
        </w:rPr>
        <w:t xml:space="preserve"> documents promulgated by </w:t>
      </w:r>
      <w:r w:rsidR="00066144" w:rsidRPr="00207DB9">
        <w:rPr>
          <w:rFonts w:asciiTheme="majorHAnsi" w:hAnsiTheme="majorHAnsi" w:cstheme="majorHAnsi"/>
        </w:rPr>
        <w:t>administrative body</w:t>
      </w:r>
      <w:r w:rsidRPr="00207DB9">
        <w:rPr>
          <w:rFonts w:asciiTheme="majorHAnsi" w:hAnsiTheme="majorHAnsi" w:cstheme="majorHAnsi"/>
        </w:rPr>
        <w:t>, including Decree No.45/2010/ND-CP, Decree No.93/2009/ND-CP, Decision 97/2009/QĐ-TTg</w:t>
      </w:r>
      <w:r w:rsidRPr="00207DB9">
        <w:rPr>
          <w:rFonts w:asciiTheme="majorHAnsi" w:hAnsiTheme="majorHAnsi" w:cstheme="majorHAnsi"/>
          <w:lang w:val="en-US"/>
        </w:rPr>
        <w:t>,</w:t>
      </w:r>
      <w:r w:rsidRPr="00207DB9">
        <w:rPr>
          <w:rFonts w:asciiTheme="majorHAnsi" w:hAnsiTheme="majorHAnsi" w:cstheme="majorHAnsi"/>
        </w:rPr>
        <w:t xml:space="preserve"> Circular 07/2010/TT-BKH </w:t>
      </w:r>
      <w:r w:rsidRPr="00207DB9">
        <w:rPr>
          <w:rFonts w:asciiTheme="majorHAnsi" w:hAnsiTheme="majorHAnsi" w:cstheme="majorHAnsi"/>
          <w:lang w:val="en-US"/>
        </w:rPr>
        <w:t>to comply</w:t>
      </w:r>
      <w:r w:rsidRPr="00207DB9">
        <w:rPr>
          <w:rFonts w:asciiTheme="majorHAnsi" w:hAnsiTheme="majorHAnsi" w:cstheme="majorHAnsi"/>
        </w:rPr>
        <w:t xml:space="preserve"> with </w:t>
      </w:r>
      <w:r w:rsidR="00345D39" w:rsidRPr="00207DB9">
        <w:rPr>
          <w:rFonts w:asciiTheme="majorHAnsi" w:hAnsiTheme="majorHAnsi" w:cstheme="majorHAnsi"/>
          <w:lang w:val="en-US"/>
        </w:rPr>
        <w:t>Vietnam’s obligations under ICCPR</w:t>
      </w:r>
      <w:r w:rsidR="00345D39" w:rsidRPr="00207DB9">
        <w:rPr>
          <w:rFonts w:asciiTheme="majorHAnsi" w:hAnsiTheme="majorHAnsi" w:cstheme="majorHAnsi"/>
        </w:rPr>
        <w:t xml:space="preserve"> and </w:t>
      </w:r>
      <w:r w:rsidRPr="00207DB9">
        <w:rPr>
          <w:rFonts w:asciiTheme="majorHAnsi" w:hAnsiTheme="majorHAnsi" w:cstheme="majorHAnsi"/>
        </w:rPr>
        <w:t xml:space="preserve">Constitution </w:t>
      </w:r>
      <w:r w:rsidRPr="00207DB9">
        <w:rPr>
          <w:rFonts w:asciiTheme="majorHAnsi" w:hAnsiTheme="majorHAnsi" w:cstheme="majorHAnsi"/>
          <w:lang w:val="en-US"/>
        </w:rPr>
        <w:t>2013</w:t>
      </w:r>
      <w:r w:rsidR="00207DB9">
        <w:rPr>
          <w:rFonts w:asciiTheme="majorHAnsi" w:hAnsiTheme="majorHAnsi" w:cstheme="majorHAnsi"/>
          <w:lang w:val="vi-VN"/>
        </w:rPr>
        <w:t>;</w:t>
      </w:r>
    </w:p>
    <w:p w14:paraId="5D71051E" w14:textId="69069B0F" w:rsidR="00345D39" w:rsidRPr="00207DB9" w:rsidRDefault="00A01624" w:rsidP="00207DB9">
      <w:pPr>
        <w:pStyle w:val="ListParagraph"/>
        <w:numPr>
          <w:ilvl w:val="0"/>
          <w:numId w:val="13"/>
        </w:numPr>
        <w:spacing w:before="60" w:after="120" w:line="360" w:lineRule="auto"/>
        <w:jc w:val="both"/>
        <w:rPr>
          <w:rFonts w:asciiTheme="majorHAnsi" w:hAnsiTheme="majorHAnsi" w:cstheme="majorHAnsi"/>
          <w:lang w:val="en-GB"/>
        </w:rPr>
      </w:pPr>
      <w:r w:rsidRPr="00E25D75">
        <w:rPr>
          <w:rFonts w:asciiTheme="majorHAnsi" w:hAnsiTheme="majorHAnsi" w:cstheme="majorHAnsi"/>
        </w:rPr>
        <w:t xml:space="preserve">Promulgate a </w:t>
      </w:r>
      <w:r w:rsidRPr="00E25D75">
        <w:rPr>
          <w:rFonts w:asciiTheme="majorHAnsi" w:hAnsiTheme="majorHAnsi" w:cstheme="majorHAnsi"/>
          <w:lang w:val="en-US"/>
        </w:rPr>
        <w:t xml:space="preserve">Law on Association </w:t>
      </w:r>
      <w:r w:rsidRPr="00E25D75">
        <w:rPr>
          <w:rFonts w:asciiTheme="majorHAnsi" w:hAnsiTheme="majorHAnsi" w:cstheme="majorHAnsi"/>
        </w:rPr>
        <w:t xml:space="preserve">that adheres to the spirit of Article 22 of the ICCPR, Article 7 of CEDAW, Article 29 of the ICRPD, Article 15 of the CRC, Article 5 of the CERD, </w:t>
      </w:r>
      <w:r w:rsidR="00207DB9" w:rsidRPr="00E25D75">
        <w:rPr>
          <w:rFonts w:asciiTheme="majorHAnsi" w:hAnsiTheme="majorHAnsi" w:cstheme="majorHAnsi"/>
          <w:lang w:val="en-GB"/>
        </w:rPr>
        <w:t>in particular to: (i) ensure the principle of equality and non-discrimination for citizens and assorted associations in Viet Nam;(ii) respect an association's autonomy without any interference into internal decisions of the association; (iii) simplify the process of association registration to a "notification procedure" to better comply with international standards; (iv) include effective implementation measures and remedy mechanisms, compensation for those whose right to freedom of association are violated and; (v) clearly specify that any limitations of freedom of association be compatible with ICCPR and international standards and the 2013 Constitution</w:t>
      </w:r>
      <w:r w:rsidR="00207DB9">
        <w:rPr>
          <w:rFonts w:asciiTheme="majorHAnsi" w:hAnsiTheme="majorHAnsi" w:cstheme="majorHAnsi"/>
          <w:lang w:val="vi-VN"/>
        </w:rPr>
        <w:t>;</w:t>
      </w:r>
    </w:p>
    <w:p w14:paraId="60A4ECBC" w14:textId="10C26BBA" w:rsidR="00A01624" w:rsidRPr="00345D39" w:rsidRDefault="00A01624" w:rsidP="00345D39">
      <w:pPr>
        <w:pStyle w:val="ListParagraph"/>
        <w:numPr>
          <w:ilvl w:val="0"/>
          <w:numId w:val="13"/>
        </w:numPr>
        <w:spacing w:line="360" w:lineRule="auto"/>
        <w:jc w:val="both"/>
        <w:rPr>
          <w:rFonts w:asciiTheme="majorHAnsi" w:hAnsiTheme="majorHAnsi" w:cstheme="majorHAnsi"/>
        </w:rPr>
      </w:pPr>
      <w:r w:rsidRPr="00345D39">
        <w:rPr>
          <w:rFonts w:asciiTheme="majorHAnsi" w:hAnsiTheme="majorHAnsi" w:cstheme="majorHAnsi"/>
          <w:lang w:val="en-US"/>
        </w:rPr>
        <w:t>Progressively apply</w:t>
      </w:r>
      <w:r w:rsidRPr="00345D39">
        <w:rPr>
          <w:rFonts w:asciiTheme="majorHAnsi" w:hAnsiTheme="majorHAnsi" w:cstheme="majorHAnsi"/>
        </w:rPr>
        <w:t xml:space="preserve"> Article </w:t>
      </w:r>
      <w:r w:rsidR="000D4529" w:rsidRPr="00345D39">
        <w:rPr>
          <w:rFonts w:asciiTheme="majorHAnsi" w:hAnsiTheme="majorHAnsi" w:cstheme="majorHAnsi"/>
        </w:rPr>
        <w:t>14 (</w:t>
      </w:r>
      <w:r w:rsidRPr="00345D39">
        <w:rPr>
          <w:rFonts w:asciiTheme="majorHAnsi" w:hAnsiTheme="majorHAnsi" w:cstheme="majorHAnsi"/>
        </w:rPr>
        <w:t xml:space="preserve">2) of the </w:t>
      </w:r>
      <w:r w:rsidRPr="00345D39">
        <w:rPr>
          <w:rFonts w:asciiTheme="majorHAnsi" w:hAnsiTheme="majorHAnsi" w:cstheme="majorHAnsi"/>
          <w:lang w:val="en-US"/>
        </w:rPr>
        <w:t xml:space="preserve">2013 </w:t>
      </w:r>
      <w:r w:rsidRPr="00345D39">
        <w:rPr>
          <w:rFonts w:asciiTheme="majorHAnsi" w:hAnsiTheme="majorHAnsi" w:cstheme="majorHAnsi"/>
        </w:rPr>
        <w:t>Constitution</w:t>
      </w:r>
      <w:r w:rsidRPr="00345D39">
        <w:rPr>
          <w:rFonts w:asciiTheme="majorHAnsi" w:hAnsiTheme="majorHAnsi" w:cstheme="majorHAnsi"/>
          <w:lang w:val="en-US"/>
        </w:rPr>
        <w:t xml:space="preserve"> and </w:t>
      </w:r>
      <w:r w:rsidRPr="00345D39">
        <w:rPr>
          <w:rFonts w:asciiTheme="majorHAnsi" w:hAnsiTheme="majorHAnsi" w:cstheme="majorHAnsi"/>
        </w:rPr>
        <w:t xml:space="preserve">Article 6 (1) of the Law </w:t>
      </w:r>
      <w:r w:rsidRPr="00345D39">
        <w:rPr>
          <w:rFonts w:asciiTheme="majorHAnsi" w:hAnsiTheme="majorHAnsi" w:cstheme="majorHAnsi"/>
          <w:lang w:val="en-US"/>
        </w:rPr>
        <w:t>on International Treaties</w:t>
      </w:r>
      <w:r w:rsidRPr="00345D39">
        <w:rPr>
          <w:rFonts w:asciiTheme="majorHAnsi" w:hAnsiTheme="majorHAnsi" w:cstheme="majorHAnsi"/>
        </w:rPr>
        <w:t xml:space="preserve"> 2016 for the consideration and approval of foreign non-governmental aid projects</w:t>
      </w:r>
      <w:r w:rsidRPr="00345D39">
        <w:rPr>
          <w:rFonts w:asciiTheme="majorHAnsi" w:hAnsiTheme="majorHAnsi" w:cstheme="majorHAnsi"/>
          <w:lang w:val="en-US"/>
        </w:rPr>
        <w:t>, especially d</w:t>
      </w:r>
      <w:r w:rsidRPr="00345D39">
        <w:rPr>
          <w:rFonts w:asciiTheme="majorHAnsi" w:hAnsiTheme="majorHAnsi" w:cstheme="majorHAnsi"/>
        </w:rPr>
        <w:t xml:space="preserve">uring the </w:t>
      </w:r>
      <w:r w:rsidRPr="00345D39">
        <w:rPr>
          <w:rFonts w:asciiTheme="majorHAnsi" w:hAnsiTheme="majorHAnsi" w:cstheme="majorHAnsi"/>
          <w:lang w:val="en-US"/>
        </w:rPr>
        <w:t xml:space="preserve">drafting a </w:t>
      </w:r>
      <w:r w:rsidRPr="00345D39">
        <w:rPr>
          <w:rFonts w:asciiTheme="majorHAnsi" w:hAnsiTheme="majorHAnsi" w:cstheme="majorHAnsi"/>
        </w:rPr>
        <w:t xml:space="preserve">law on association and </w:t>
      </w:r>
      <w:r w:rsidRPr="00345D39">
        <w:rPr>
          <w:rFonts w:asciiTheme="majorHAnsi" w:hAnsiTheme="majorHAnsi" w:cstheme="majorHAnsi"/>
          <w:lang w:val="en-US"/>
        </w:rPr>
        <w:t>making</w:t>
      </w:r>
      <w:r w:rsidRPr="00345D39">
        <w:rPr>
          <w:rFonts w:asciiTheme="majorHAnsi" w:hAnsiTheme="majorHAnsi" w:cstheme="majorHAnsi"/>
        </w:rPr>
        <w:t xml:space="preserve"> amendment</w:t>
      </w:r>
      <w:r w:rsidRPr="00345D39">
        <w:rPr>
          <w:rFonts w:asciiTheme="majorHAnsi" w:hAnsiTheme="majorHAnsi" w:cstheme="majorHAnsi"/>
          <w:lang w:val="en-US"/>
        </w:rPr>
        <w:t>s</w:t>
      </w:r>
      <w:r w:rsidRPr="00345D39">
        <w:rPr>
          <w:rFonts w:asciiTheme="majorHAnsi" w:hAnsiTheme="majorHAnsi" w:cstheme="majorHAnsi"/>
        </w:rPr>
        <w:t xml:space="preserve"> and supplement</w:t>
      </w:r>
      <w:r w:rsidRPr="00345D39">
        <w:rPr>
          <w:rFonts w:asciiTheme="majorHAnsi" w:hAnsiTheme="majorHAnsi" w:cstheme="majorHAnsi"/>
          <w:lang w:val="en-US"/>
        </w:rPr>
        <w:t xml:space="preserve">s to </w:t>
      </w:r>
      <w:r w:rsidRPr="00345D39">
        <w:rPr>
          <w:rFonts w:asciiTheme="majorHAnsi" w:hAnsiTheme="majorHAnsi" w:cstheme="majorHAnsi"/>
        </w:rPr>
        <w:t xml:space="preserve">legal </w:t>
      </w:r>
      <w:r w:rsidRPr="00345D39">
        <w:rPr>
          <w:rFonts w:asciiTheme="majorHAnsi" w:hAnsiTheme="majorHAnsi" w:cstheme="majorHAnsi"/>
          <w:lang w:val="en-US"/>
        </w:rPr>
        <w:t xml:space="preserve">normative </w:t>
      </w:r>
      <w:r w:rsidRPr="00345D39">
        <w:rPr>
          <w:rFonts w:asciiTheme="majorHAnsi" w:hAnsiTheme="majorHAnsi" w:cstheme="majorHAnsi"/>
        </w:rPr>
        <w:t>documents promulgated by the Government</w:t>
      </w:r>
      <w:r w:rsidR="00E815EC">
        <w:rPr>
          <w:rFonts w:asciiTheme="majorHAnsi" w:hAnsiTheme="majorHAnsi" w:cstheme="majorHAnsi"/>
          <w:lang w:val="vi-VN"/>
        </w:rPr>
        <w:t>.</w:t>
      </w:r>
    </w:p>
    <w:p w14:paraId="09D787AD" w14:textId="77777777" w:rsidR="00F238DD" w:rsidRPr="00E25D75" w:rsidRDefault="00F238DD" w:rsidP="00B117E9">
      <w:pPr>
        <w:pStyle w:val="ListParagraph"/>
        <w:spacing w:before="60" w:after="120" w:line="360" w:lineRule="auto"/>
        <w:ind w:left="360"/>
        <w:rPr>
          <w:rFonts w:asciiTheme="majorHAnsi" w:hAnsiTheme="majorHAnsi" w:cstheme="majorHAnsi"/>
          <w:lang w:val="en-GB"/>
        </w:rPr>
      </w:pPr>
    </w:p>
    <w:p w14:paraId="2C7CB331" w14:textId="34268080" w:rsidR="00F238DD" w:rsidRPr="00345D39" w:rsidRDefault="00F238DD" w:rsidP="00425667">
      <w:pPr>
        <w:pStyle w:val="Heading2"/>
      </w:pPr>
      <w:bookmarkStart w:id="10" w:name="_Toc353560"/>
      <w:r w:rsidRPr="00345D39">
        <w:lastRenderedPageBreak/>
        <w:t>Freedom of peaceful assembly</w:t>
      </w:r>
      <w:r w:rsidR="00847491">
        <w:rPr>
          <w:lang w:val="vi-VN"/>
        </w:rPr>
        <w:t xml:space="preserve"> of women</w:t>
      </w:r>
      <w:r w:rsidR="00A01624" w:rsidRPr="00345D39">
        <w:rPr>
          <w:rStyle w:val="FootnoteReference"/>
          <w:rFonts w:cstheme="majorHAnsi"/>
        </w:rPr>
        <w:footnoteReference w:id="64"/>
      </w:r>
      <w:bookmarkEnd w:id="10"/>
      <w:r w:rsidRPr="00345D39">
        <w:t xml:space="preserve"> </w:t>
      </w:r>
    </w:p>
    <w:p w14:paraId="2BA78C50" w14:textId="1EB24CAC" w:rsidR="00F238DD" w:rsidRPr="00E25D75" w:rsidRDefault="00F238DD" w:rsidP="00B117E9">
      <w:pPr>
        <w:pStyle w:val="ListParagraph"/>
        <w:spacing w:before="100" w:beforeAutospacing="1" w:after="100" w:afterAutospacing="1" w:line="360" w:lineRule="auto"/>
        <w:ind w:left="360"/>
        <w:jc w:val="both"/>
        <w:rPr>
          <w:rFonts w:asciiTheme="majorHAnsi" w:hAnsiTheme="majorHAnsi" w:cstheme="majorHAnsi"/>
          <w:b/>
        </w:rPr>
      </w:pPr>
      <w:r w:rsidRPr="00E25D75">
        <w:rPr>
          <w:rFonts w:asciiTheme="majorHAnsi" w:hAnsiTheme="majorHAnsi" w:cstheme="majorHAnsi"/>
          <w:b/>
        </w:rPr>
        <w:t xml:space="preserve">Women's right to freedom of </w:t>
      </w:r>
      <w:r w:rsidR="00207DB9">
        <w:rPr>
          <w:rFonts w:asciiTheme="majorHAnsi" w:hAnsiTheme="majorHAnsi" w:cstheme="majorHAnsi"/>
          <w:b/>
        </w:rPr>
        <w:t>assembly</w:t>
      </w:r>
      <w:r w:rsidRPr="00E25D75">
        <w:rPr>
          <w:rFonts w:asciiTheme="majorHAnsi" w:hAnsiTheme="majorHAnsi" w:cstheme="majorHAnsi"/>
          <w:b/>
        </w:rPr>
        <w:t xml:space="preserve"> is limited by legal normative documents promulgated by the administrative bodies </w:t>
      </w:r>
      <w:r w:rsidRPr="00E25D75">
        <w:rPr>
          <w:rFonts w:asciiTheme="majorHAnsi" w:hAnsiTheme="majorHAnsi" w:cstheme="majorHAnsi"/>
        </w:rPr>
        <w:t>including Decree 38/2005/ND-CP</w:t>
      </w:r>
      <w:r w:rsidRPr="00E25D75">
        <w:rPr>
          <w:rStyle w:val="FootnoteReference"/>
          <w:rFonts w:asciiTheme="majorHAnsi" w:hAnsiTheme="majorHAnsi" w:cstheme="majorHAnsi"/>
        </w:rPr>
        <w:footnoteReference w:id="65"/>
      </w:r>
      <w:r w:rsidRPr="00E25D75">
        <w:rPr>
          <w:rFonts w:asciiTheme="majorHAnsi" w:hAnsiTheme="majorHAnsi" w:cstheme="majorHAnsi"/>
        </w:rPr>
        <w:t>, Circular 09/2005/TT-BCA</w:t>
      </w:r>
      <w:r w:rsidRPr="00E25D75">
        <w:rPr>
          <w:rStyle w:val="FootnoteReference"/>
          <w:rFonts w:asciiTheme="majorHAnsi" w:hAnsiTheme="majorHAnsi" w:cstheme="majorHAnsi"/>
        </w:rPr>
        <w:footnoteReference w:id="66"/>
      </w:r>
      <w:r w:rsidRPr="00E25D75">
        <w:rPr>
          <w:rFonts w:asciiTheme="majorHAnsi" w:hAnsiTheme="majorHAnsi" w:cstheme="majorHAnsi"/>
        </w:rPr>
        <w:t xml:space="preserve"> and Decision 76/2010/QD-TTg</w:t>
      </w:r>
      <w:r w:rsidRPr="00E25D75">
        <w:rPr>
          <w:rStyle w:val="FootnoteReference"/>
          <w:rFonts w:asciiTheme="majorHAnsi" w:hAnsiTheme="majorHAnsi" w:cstheme="majorHAnsi"/>
        </w:rPr>
        <w:footnoteReference w:id="67"/>
      </w:r>
      <w:r w:rsidRPr="00E25D75">
        <w:rPr>
          <w:rFonts w:asciiTheme="majorHAnsi" w:hAnsiTheme="majorHAnsi" w:cstheme="majorHAnsi"/>
        </w:rPr>
        <w:t xml:space="preserve">. These documents are not in line with the 2013 Constitution and incompatible with  international standards on freedom of </w:t>
      </w:r>
      <w:r w:rsidR="00345D39">
        <w:rPr>
          <w:rFonts w:asciiTheme="majorHAnsi" w:hAnsiTheme="majorHAnsi" w:cstheme="majorHAnsi"/>
        </w:rPr>
        <w:t>assebly</w:t>
      </w:r>
      <w:r w:rsidRPr="00E25D75">
        <w:rPr>
          <w:rFonts w:asciiTheme="majorHAnsi" w:hAnsiTheme="majorHAnsi" w:cstheme="majorHAnsi"/>
        </w:rPr>
        <w:t xml:space="preserve">. As stipulated under </w:t>
      </w:r>
      <w:r w:rsidRPr="00E25D75">
        <w:rPr>
          <w:rFonts w:asciiTheme="majorHAnsi" w:hAnsiTheme="majorHAnsi" w:cstheme="majorHAnsi"/>
          <w:b/>
        </w:rPr>
        <w:t>Decree No. 38/2005/ND-CP and Circular 09/2005/TT-BCA</w:t>
      </w:r>
      <w:r w:rsidRPr="00E25D75">
        <w:rPr>
          <w:rStyle w:val="FootnoteReference"/>
          <w:rFonts w:asciiTheme="majorHAnsi" w:hAnsiTheme="majorHAnsi" w:cstheme="majorHAnsi"/>
          <w:b/>
        </w:rPr>
        <w:footnoteReference w:id="68"/>
      </w:r>
      <w:r w:rsidRPr="00E25D75">
        <w:rPr>
          <w:rFonts w:asciiTheme="majorHAnsi" w:hAnsiTheme="majorHAnsi" w:cstheme="majorHAnsi"/>
        </w:rPr>
        <w:t>, the gathering in public places five or more people in common areas</w:t>
      </w:r>
      <w:r w:rsidRPr="00E25D75">
        <w:rPr>
          <w:rStyle w:val="FootnoteReference"/>
          <w:rFonts w:asciiTheme="majorHAnsi" w:hAnsiTheme="majorHAnsi" w:cstheme="majorHAnsi"/>
        </w:rPr>
        <w:footnoteReference w:id="69"/>
      </w:r>
      <w:r w:rsidRPr="00E25D75">
        <w:rPr>
          <w:rFonts w:asciiTheme="majorHAnsi" w:hAnsiTheme="majorHAnsi" w:cstheme="majorHAnsi"/>
        </w:rPr>
        <w:t xml:space="preserve"> must be registered in advance to district-level People's Committees or provincial-level People's Committees. The duration of such activities is only allowed to be carried out between 8.00 and 17.00 everyday, unless otherwise provided for by law. However, these two documents are not applicable to the activities organized by the Communist Party, state agencies, Vietnam Fatherland Front and socio-political organizations.</w:t>
      </w:r>
    </w:p>
    <w:p w14:paraId="3812AD4C" w14:textId="393420FA" w:rsidR="00F238DD" w:rsidRPr="00E25D75" w:rsidRDefault="00F238DD" w:rsidP="00B117E9">
      <w:pPr>
        <w:tabs>
          <w:tab w:val="left" w:pos="360"/>
        </w:tabs>
        <w:spacing w:before="60" w:after="120" w:line="360" w:lineRule="auto"/>
        <w:ind w:left="360"/>
        <w:jc w:val="both"/>
        <w:rPr>
          <w:rFonts w:asciiTheme="majorHAnsi" w:hAnsiTheme="majorHAnsi" w:cstheme="majorHAnsi"/>
          <w:lang w:val="en-GB"/>
        </w:rPr>
      </w:pPr>
      <w:r w:rsidRPr="00E25D75">
        <w:rPr>
          <w:rFonts w:asciiTheme="majorHAnsi" w:hAnsiTheme="majorHAnsi" w:cstheme="majorHAnsi"/>
          <w:b/>
          <w:lang w:val="en-GB"/>
        </w:rPr>
        <w:t>The right to peaceful assembly, particularly for conferences with foreign elements, is also limited.</w:t>
      </w:r>
      <w:r w:rsidRPr="00E25D75">
        <w:rPr>
          <w:rFonts w:asciiTheme="majorHAnsi" w:hAnsiTheme="majorHAnsi" w:cstheme="majorHAnsi"/>
          <w:lang w:val="en-GB"/>
        </w:rPr>
        <w:t xml:space="preserve"> The organization of international conferences is regulated by the Prime Minister's Decision No.76/2010/QĐ-TTg dated November 30, 2010 (Decision 76) on the organization and management of international conferences and workshops in Vietnam. </w:t>
      </w:r>
      <w:r w:rsidRPr="00E25D75">
        <w:rPr>
          <w:rFonts w:asciiTheme="majorHAnsi" w:hAnsiTheme="majorHAnsi" w:cstheme="majorHAnsi"/>
        </w:rPr>
        <w:t xml:space="preserve">Article 3.1.b of Decision76/2010/QD-TTg stipulates that the Prime Minister approves the organization of international conferences and seminars with contents related to political issues, ethnicity, religion, human rights among others. Organizers must </w:t>
      </w:r>
      <w:r w:rsidRPr="00E25D75">
        <w:rPr>
          <w:rFonts w:asciiTheme="majorHAnsi" w:hAnsiTheme="majorHAnsi" w:cstheme="majorHAnsi"/>
          <w:bCs/>
        </w:rPr>
        <w:t>obtain written opinions</w:t>
      </w:r>
      <w:r w:rsidRPr="00E25D75">
        <w:rPr>
          <w:rFonts w:asciiTheme="majorHAnsi" w:hAnsiTheme="majorHAnsi" w:cstheme="majorHAnsi"/>
        </w:rPr>
        <w:t xml:space="preserve"> of the Ministry of Foreign Affairs and other relevant local agencies on a detail proposal,</w:t>
      </w:r>
      <w:r w:rsidRPr="00E25D75">
        <w:rPr>
          <w:rStyle w:val="FootnoteReference"/>
          <w:rFonts w:asciiTheme="majorHAnsi" w:hAnsiTheme="majorHAnsi" w:cstheme="majorHAnsi"/>
        </w:rPr>
        <w:footnoteReference w:id="70"/>
      </w:r>
      <w:r w:rsidRPr="00E25D75">
        <w:rPr>
          <w:rFonts w:asciiTheme="majorHAnsi" w:hAnsiTheme="majorHAnsi" w:cstheme="majorHAnsi"/>
        </w:rPr>
        <w:t xml:space="preserve"> based on which the proposal might need an approval from the Prime Minister if the topic of the event related to human rights and international elements. The conduct of conferences and seminars needs to follow approved program and proposal and the result must be reported to the approval level within 15 days. </w:t>
      </w:r>
    </w:p>
    <w:p w14:paraId="0FD19AAF" w14:textId="26116250" w:rsidR="00F238DD" w:rsidRPr="00AA4AF6" w:rsidRDefault="00F238DD" w:rsidP="00B117E9">
      <w:pPr>
        <w:spacing w:before="60" w:after="120" w:line="360" w:lineRule="auto"/>
        <w:ind w:left="360"/>
        <w:jc w:val="both"/>
        <w:rPr>
          <w:rFonts w:asciiTheme="majorHAnsi" w:hAnsiTheme="majorHAnsi" w:cstheme="majorHAnsi"/>
          <w:b/>
          <w:u w:val="single"/>
          <w:lang w:val="vi-VN"/>
        </w:rPr>
      </w:pPr>
      <w:r w:rsidRPr="00E25D75">
        <w:rPr>
          <w:rFonts w:asciiTheme="majorHAnsi" w:hAnsiTheme="majorHAnsi" w:cstheme="majorHAnsi"/>
          <w:b/>
          <w:u w:val="single"/>
          <w:lang w:val="en-GB"/>
        </w:rPr>
        <w:lastRenderedPageBreak/>
        <w:t>Recommendations</w:t>
      </w:r>
      <w:r w:rsidR="00AA4AF6">
        <w:rPr>
          <w:rFonts w:asciiTheme="majorHAnsi" w:hAnsiTheme="majorHAnsi" w:cstheme="majorHAnsi"/>
          <w:b/>
          <w:u w:val="single"/>
          <w:lang w:val="vi-VN"/>
        </w:rPr>
        <w:t xml:space="preserve">: </w:t>
      </w:r>
    </w:p>
    <w:p w14:paraId="242B666F" w14:textId="772F2B51" w:rsidR="00F238DD" w:rsidRPr="00AA4AF6" w:rsidRDefault="00425667" w:rsidP="00AA4AF6">
      <w:pPr>
        <w:spacing w:before="60" w:after="120" w:line="360" w:lineRule="auto"/>
        <w:ind w:left="360"/>
        <w:jc w:val="both"/>
        <w:rPr>
          <w:rFonts w:asciiTheme="majorHAnsi" w:hAnsiTheme="majorHAnsi" w:cstheme="majorHAnsi"/>
          <w:lang w:val="en-GB"/>
        </w:rPr>
      </w:pPr>
      <w:r w:rsidRPr="00425667">
        <w:rPr>
          <w:rFonts w:asciiTheme="majorHAnsi" w:hAnsiTheme="majorHAnsi" w:cstheme="majorHAnsi"/>
          <w:lang w:val="en-GB"/>
        </w:rPr>
        <w:t>The State Party should</w:t>
      </w:r>
      <w:r w:rsidR="00AA4AF6">
        <w:rPr>
          <w:rFonts w:asciiTheme="majorHAnsi" w:hAnsiTheme="majorHAnsi" w:cstheme="majorHAnsi"/>
          <w:lang w:val="vi-VN"/>
        </w:rPr>
        <w:t xml:space="preserve"> </w:t>
      </w:r>
      <w:r w:rsidR="00F238DD" w:rsidRPr="00AA4AF6">
        <w:rPr>
          <w:rFonts w:asciiTheme="majorHAnsi" w:hAnsiTheme="majorHAnsi" w:cstheme="majorHAnsi"/>
          <w:lang w:val="en-GB"/>
        </w:rPr>
        <w:t>abolish or amend the Decision No. 76/2010/QĐ-TTg</w:t>
      </w:r>
      <w:r w:rsidR="00207DB9" w:rsidRPr="00AA4AF6">
        <w:rPr>
          <w:rFonts w:asciiTheme="majorHAnsi" w:hAnsiTheme="majorHAnsi" w:cstheme="majorHAnsi"/>
          <w:lang w:val="vi-VN"/>
        </w:rPr>
        <w:t xml:space="preserve">, </w:t>
      </w:r>
      <w:r w:rsidR="00207DB9" w:rsidRPr="00AA4AF6">
        <w:rPr>
          <w:rFonts w:asciiTheme="majorHAnsi" w:hAnsiTheme="majorHAnsi" w:cstheme="majorHAnsi"/>
        </w:rPr>
        <w:t>Decree 38/2005/ND-CP, Circular 09/2005/TT-BCA</w:t>
      </w:r>
      <w:r w:rsidR="00207DB9" w:rsidRPr="00AA4AF6">
        <w:rPr>
          <w:rFonts w:asciiTheme="majorHAnsi" w:hAnsiTheme="majorHAnsi" w:cstheme="majorHAnsi"/>
          <w:lang w:val="en-GB"/>
        </w:rPr>
        <w:t xml:space="preserve"> </w:t>
      </w:r>
      <w:r w:rsidR="00F238DD" w:rsidRPr="00AA4AF6">
        <w:rPr>
          <w:rFonts w:asciiTheme="majorHAnsi" w:hAnsiTheme="majorHAnsi" w:cstheme="majorHAnsi"/>
          <w:lang w:val="en-GB"/>
        </w:rPr>
        <w:t>in the direction of minimizing the interference while respecting the autonomy of organizations and individuals when carrying out their activities</w:t>
      </w:r>
      <w:r w:rsidR="00AA4AF6" w:rsidRPr="00AA4AF6">
        <w:rPr>
          <w:rFonts w:asciiTheme="majorHAnsi" w:hAnsiTheme="majorHAnsi" w:cstheme="majorHAnsi"/>
          <w:lang w:val="vi-VN"/>
        </w:rPr>
        <w:t xml:space="preserve"> in the public</w:t>
      </w:r>
    </w:p>
    <w:p w14:paraId="1D6E0A7A" w14:textId="6757EA12" w:rsidR="00F238DD" w:rsidRPr="00345D39" w:rsidRDefault="00847491" w:rsidP="00425667">
      <w:pPr>
        <w:pStyle w:val="Heading2"/>
      </w:pPr>
      <w:bookmarkStart w:id="11" w:name="_Toc353561"/>
      <w:r>
        <w:t xml:space="preserve">Women’s participation </w:t>
      </w:r>
      <w:r w:rsidR="00F238DD" w:rsidRPr="00345D39">
        <w:t>in public life</w:t>
      </w:r>
      <w:r w:rsidR="00AA4AF6">
        <w:rPr>
          <w:rStyle w:val="FootnoteReference"/>
        </w:rPr>
        <w:footnoteReference w:id="71"/>
      </w:r>
      <w:bookmarkEnd w:id="11"/>
      <w:r w:rsidR="00F238DD" w:rsidRPr="00345D39">
        <w:t xml:space="preserve"> </w:t>
      </w:r>
    </w:p>
    <w:p w14:paraId="6AA88B7F" w14:textId="277F0841" w:rsidR="00F238DD" w:rsidRPr="00E25D75" w:rsidRDefault="00F238DD" w:rsidP="00345D39">
      <w:pPr>
        <w:spacing w:line="360" w:lineRule="auto"/>
        <w:jc w:val="both"/>
        <w:rPr>
          <w:rFonts w:asciiTheme="majorHAnsi" w:hAnsiTheme="majorHAnsi" w:cstheme="majorHAnsi"/>
          <w:b/>
        </w:rPr>
      </w:pPr>
      <w:r w:rsidRPr="00E25D75">
        <w:rPr>
          <w:rFonts w:asciiTheme="majorHAnsi" w:hAnsiTheme="majorHAnsi" w:cstheme="majorHAnsi"/>
          <w:b/>
        </w:rPr>
        <w:t xml:space="preserve">Gender inequality was reproduced in the electoral process. </w:t>
      </w:r>
      <w:r w:rsidRPr="00E25D75">
        <w:rPr>
          <w:rFonts w:asciiTheme="majorHAnsi" w:hAnsiTheme="majorHAnsi" w:cstheme="majorHAnsi"/>
        </w:rPr>
        <w:t>5/21 members of the National Election Council 2016  were women, account for 23.8%.</w:t>
      </w:r>
      <w:r w:rsidRPr="00E25D75">
        <w:rPr>
          <w:rStyle w:val="FootnoteReference"/>
          <w:rFonts w:asciiTheme="majorHAnsi" w:hAnsiTheme="majorHAnsi" w:cstheme="majorHAnsi"/>
        </w:rPr>
        <w:footnoteReference w:id="72"/>
      </w:r>
      <w:r w:rsidRPr="00E25D75">
        <w:rPr>
          <w:rFonts w:asciiTheme="majorHAnsi" w:hAnsiTheme="majorHAnsi" w:cstheme="majorHAnsi"/>
        </w:rPr>
        <w:t xml:space="preserve"> In some provinces, women accounted from as low as 3.7%</w:t>
      </w:r>
      <w:r w:rsidRPr="00E25D75">
        <w:rPr>
          <w:rStyle w:val="FootnoteReference"/>
          <w:rFonts w:asciiTheme="majorHAnsi" w:hAnsiTheme="majorHAnsi" w:cstheme="majorHAnsi"/>
          <w:lang w:val="en-US"/>
        </w:rPr>
        <w:footnoteReference w:id="73"/>
      </w:r>
      <w:r w:rsidRPr="00E25D75">
        <w:rPr>
          <w:rFonts w:asciiTheme="majorHAnsi" w:hAnsiTheme="majorHAnsi" w:cstheme="majorHAnsi"/>
        </w:rPr>
        <w:t xml:space="preserve"> to no more than 30% in the election committees. Regarding election candidates, no specific quota but a general direction of “make sure there are women in the list of nomination for the National Assembly” by 18 agencies and organizations of the Government or to “have women in the list of candidates” of 31 candidates nominated by the Farther</w:t>
      </w:r>
      <w:r w:rsidR="00AA4AF6">
        <w:rPr>
          <w:rFonts w:asciiTheme="majorHAnsi" w:hAnsiTheme="majorHAnsi" w:cstheme="majorHAnsi"/>
        </w:rPr>
        <w:t>l</w:t>
      </w:r>
      <w:r w:rsidRPr="00E25D75">
        <w:rPr>
          <w:rFonts w:asciiTheme="majorHAnsi" w:hAnsiTheme="majorHAnsi" w:cstheme="majorHAnsi"/>
        </w:rPr>
        <w:t>and Front and its member organizations. There is no suggested quotas on female candidates for other agencies.</w:t>
      </w:r>
      <w:r w:rsidRPr="00E25D75">
        <w:rPr>
          <w:rStyle w:val="FootnoteReference"/>
          <w:rFonts w:asciiTheme="majorHAnsi" w:hAnsiTheme="majorHAnsi" w:cstheme="majorHAnsi"/>
          <w:lang w:val="en-US"/>
        </w:rPr>
        <w:footnoteReference w:id="74"/>
      </w:r>
      <w:r w:rsidRPr="00E25D75">
        <w:rPr>
          <w:rFonts w:asciiTheme="majorHAnsi" w:hAnsiTheme="majorHAnsi" w:cstheme="majorHAnsi"/>
        </w:rPr>
        <w:t xml:space="preserve"> As men takes a majority of leadership positions, fewer women were nominated to powerful groups</w:t>
      </w:r>
      <w:r w:rsidRPr="00E25D75">
        <w:rPr>
          <w:rStyle w:val="FootnoteReference"/>
          <w:rFonts w:asciiTheme="majorHAnsi" w:hAnsiTheme="majorHAnsi" w:cstheme="majorHAnsi"/>
          <w:b/>
          <w:lang w:val="en-US"/>
        </w:rPr>
        <w:footnoteReference w:id="75"/>
      </w:r>
      <w:r w:rsidRPr="00E25D75">
        <w:rPr>
          <w:rFonts w:asciiTheme="majorHAnsi" w:hAnsiTheme="majorHAnsi" w:cstheme="majorHAnsi"/>
        </w:rPr>
        <w:t xml:space="preserve"> of candidates in the election, therefore reproduced gender inequality in the electoral process. In the Election 2016, women accounted 38,97% candidates</w:t>
      </w:r>
      <w:r w:rsidR="00AA4AF6">
        <w:rPr>
          <w:rFonts w:asciiTheme="majorHAnsi" w:hAnsiTheme="majorHAnsi" w:cstheme="majorHAnsi"/>
          <w:lang w:val="vi-VN"/>
        </w:rPr>
        <w:t xml:space="preserve"> of National Assembly</w:t>
      </w:r>
      <w:r w:rsidRPr="00E25D75">
        <w:rPr>
          <w:rFonts w:asciiTheme="majorHAnsi" w:hAnsiTheme="majorHAnsi" w:cstheme="majorHAnsi"/>
        </w:rPr>
        <w:t xml:space="preserve"> at all levels, but only 14.72% of those powerful groups of candidates introduced by national agencies, while  46.06% candidates nominated by local agencies were women.</w:t>
      </w:r>
      <w:r w:rsidRPr="00E25D75">
        <w:rPr>
          <w:rStyle w:val="FootnoteReference"/>
          <w:rFonts w:asciiTheme="majorHAnsi" w:hAnsiTheme="majorHAnsi" w:cstheme="majorHAnsi"/>
          <w:lang w:val="en-US"/>
        </w:rPr>
        <w:footnoteReference w:id="76"/>
      </w:r>
      <w:r w:rsidRPr="00E25D75">
        <w:rPr>
          <w:rFonts w:asciiTheme="majorHAnsi" w:hAnsiTheme="majorHAnsi" w:cstheme="majorHAnsi"/>
        </w:rPr>
        <w:t xml:space="preserve">  As a result, the percentage of </w:t>
      </w:r>
      <w:r w:rsidR="00AA4AF6">
        <w:rPr>
          <w:rFonts w:asciiTheme="majorHAnsi" w:hAnsiTheme="majorHAnsi" w:cstheme="majorHAnsi"/>
        </w:rPr>
        <w:t>N</w:t>
      </w:r>
      <w:r w:rsidRPr="00E25D75">
        <w:rPr>
          <w:rFonts w:asciiTheme="majorHAnsi" w:hAnsiTheme="majorHAnsi" w:cstheme="majorHAnsi"/>
        </w:rPr>
        <w:t xml:space="preserve">ational </w:t>
      </w:r>
      <w:r w:rsidR="00AA4AF6">
        <w:rPr>
          <w:rFonts w:asciiTheme="majorHAnsi" w:hAnsiTheme="majorHAnsi" w:cstheme="majorHAnsi"/>
        </w:rPr>
        <w:t>A</w:t>
      </w:r>
      <w:r w:rsidRPr="00E25D75">
        <w:rPr>
          <w:rFonts w:asciiTheme="majorHAnsi" w:hAnsiTheme="majorHAnsi" w:cstheme="majorHAnsi"/>
        </w:rPr>
        <w:t>ssembly delegates for</w:t>
      </w:r>
      <w:r w:rsidR="00AA4AF6">
        <w:rPr>
          <w:rFonts w:asciiTheme="majorHAnsi" w:hAnsiTheme="majorHAnsi" w:cstheme="majorHAnsi"/>
          <w:lang w:val="vi-VN"/>
        </w:rPr>
        <w:t xml:space="preserve"> the</w:t>
      </w:r>
      <w:r w:rsidRPr="00E25D75">
        <w:rPr>
          <w:rFonts w:asciiTheme="majorHAnsi" w:hAnsiTheme="majorHAnsi" w:cstheme="majorHAnsi"/>
        </w:rPr>
        <w:t xml:space="preserve"> course XIV and </w:t>
      </w:r>
      <w:r w:rsidR="00AA4AF6">
        <w:rPr>
          <w:rFonts w:asciiTheme="majorHAnsi" w:hAnsiTheme="majorHAnsi" w:cstheme="majorHAnsi"/>
        </w:rPr>
        <w:t>P</w:t>
      </w:r>
      <w:r w:rsidRPr="00E25D75">
        <w:rPr>
          <w:rFonts w:asciiTheme="majorHAnsi" w:hAnsiTheme="majorHAnsi" w:cstheme="majorHAnsi"/>
        </w:rPr>
        <w:t xml:space="preserve">eople’s </w:t>
      </w:r>
      <w:r w:rsidR="00AA4AF6">
        <w:rPr>
          <w:rFonts w:asciiTheme="majorHAnsi" w:hAnsiTheme="majorHAnsi" w:cstheme="majorHAnsi"/>
        </w:rPr>
        <w:t>C</w:t>
      </w:r>
      <w:r w:rsidRPr="00E25D75">
        <w:rPr>
          <w:rFonts w:asciiTheme="majorHAnsi" w:hAnsiTheme="majorHAnsi" w:cstheme="majorHAnsi"/>
        </w:rPr>
        <w:t xml:space="preserve">ouncil delegates in the course 2011 - 2016 do not meet the </w:t>
      </w:r>
      <w:r w:rsidRPr="00E25D75">
        <w:rPr>
          <w:rFonts w:asciiTheme="majorHAnsi" w:hAnsiTheme="majorHAnsi" w:cstheme="majorHAnsi"/>
        </w:rPr>
        <w:lastRenderedPageBreak/>
        <w:t xml:space="preserve">expected target of </w:t>
      </w:r>
      <w:r w:rsidRPr="00AA4AF6">
        <w:rPr>
          <w:rFonts w:asciiTheme="majorHAnsi" w:hAnsiTheme="majorHAnsi" w:cstheme="majorHAnsi"/>
        </w:rPr>
        <w:t>30%</w:t>
      </w:r>
      <w:r w:rsidR="00AA4AF6" w:rsidRPr="00AA4AF6">
        <w:rPr>
          <w:rStyle w:val="FootnoteReference"/>
          <w:rFonts w:asciiTheme="majorHAnsi" w:hAnsiTheme="majorHAnsi" w:cstheme="majorHAnsi"/>
          <w:lang w:val="en-US"/>
        </w:rPr>
        <w:footnoteReference w:id="77"/>
      </w:r>
      <w:r w:rsidR="00AA4AF6" w:rsidRPr="00AA4AF6">
        <w:rPr>
          <w:rFonts w:asciiTheme="majorHAnsi" w:hAnsiTheme="majorHAnsi" w:cstheme="majorHAnsi"/>
        </w:rPr>
        <w:t xml:space="preserve"> and 35% according to recommendations of the CEDAW committee for Vietnam</w:t>
      </w:r>
      <w:r w:rsidR="00AA4AF6">
        <w:rPr>
          <w:rStyle w:val="FootnoteReference"/>
          <w:rFonts w:asciiTheme="majorHAnsi" w:hAnsiTheme="majorHAnsi"/>
        </w:rPr>
        <w:footnoteReference w:id="78"/>
      </w:r>
      <w:r w:rsidR="00AA4AF6" w:rsidRPr="00AA4AF6">
        <w:rPr>
          <w:rFonts w:asciiTheme="majorHAnsi" w:hAnsiTheme="majorHAnsi" w:cstheme="majorHAnsi"/>
          <w:lang w:val="vi-VN"/>
        </w:rPr>
        <w:t xml:space="preserve"> </w:t>
      </w:r>
      <w:r w:rsidRPr="00AA4AF6">
        <w:rPr>
          <w:rFonts w:asciiTheme="majorHAnsi" w:hAnsiTheme="majorHAnsi" w:cstheme="majorHAnsi"/>
        </w:rPr>
        <w:t>.</w:t>
      </w:r>
      <w:r w:rsidRPr="00E25D75">
        <w:rPr>
          <w:rFonts w:asciiTheme="majorHAnsi" w:hAnsiTheme="majorHAnsi" w:cstheme="majorHAnsi"/>
        </w:rPr>
        <w:t xml:space="preserve"> In 2016, 26.8% of elected candidates</w:t>
      </w:r>
      <w:r w:rsidR="00345D39">
        <w:rPr>
          <w:rFonts w:asciiTheme="majorHAnsi" w:hAnsiTheme="majorHAnsi" w:cstheme="majorHAnsi"/>
          <w:lang w:val="vi-VN"/>
        </w:rPr>
        <w:t xml:space="preserve"> of National Assembly</w:t>
      </w:r>
      <w:r w:rsidRPr="00E25D75">
        <w:rPr>
          <w:rFonts w:asciiTheme="majorHAnsi" w:hAnsiTheme="majorHAnsi" w:cstheme="majorHAnsi"/>
        </w:rPr>
        <w:t xml:space="preserve"> were women.</w:t>
      </w:r>
      <w:r w:rsidRPr="00E25D75">
        <w:rPr>
          <w:rStyle w:val="FootnoteReference"/>
          <w:rFonts w:asciiTheme="majorHAnsi" w:hAnsiTheme="majorHAnsi" w:cstheme="majorHAnsi"/>
          <w:lang w:val="en-US"/>
        </w:rPr>
        <w:footnoteReference w:id="79"/>
      </w:r>
    </w:p>
    <w:p w14:paraId="6AB89E2F" w14:textId="0FC51CFD" w:rsidR="00F238DD" w:rsidRPr="00E25D75" w:rsidRDefault="00F238DD" w:rsidP="00345D39">
      <w:pPr>
        <w:spacing w:line="360" w:lineRule="auto"/>
        <w:jc w:val="both"/>
        <w:rPr>
          <w:rFonts w:asciiTheme="majorHAnsi" w:hAnsiTheme="majorHAnsi" w:cstheme="majorHAnsi"/>
          <w:b/>
        </w:rPr>
      </w:pPr>
      <w:r w:rsidRPr="00E25D75">
        <w:rPr>
          <w:rFonts w:asciiTheme="majorHAnsi" w:hAnsiTheme="majorHAnsi" w:cstheme="majorHAnsi"/>
          <w:b/>
          <w:lang w:val="en-US"/>
        </w:rPr>
        <w:t xml:space="preserve">Uncontrolled practice of proxy voting affected the </w:t>
      </w:r>
      <w:r w:rsidRPr="00E25D75">
        <w:rPr>
          <w:rFonts w:asciiTheme="majorHAnsi" w:hAnsiTheme="majorHAnsi" w:cstheme="majorHAnsi"/>
          <w:b/>
        </w:rPr>
        <w:t xml:space="preserve">principles of universal, direct and </w:t>
      </w:r>
      <w:r w:rsidRPr="00E25D75">
        <w:rPr>
          <w:rFonts w:asciiTheme="majorHAnsi" w:hAnsiTheme="majorHAnsi" w:cstheme="majorHAnsi"/>
          <w:b/>
          <w:lang w:val="en-US"/>
        </w:rPr>
        <w:t xml:space="preserve">confidential vote. </w:t>
      </w:r>
      <w:r w:rsidRPr="00E25D75">
        <w:rPr>
          <w:rFonts w:asciiTheme="majorHAnsi" w:hAnsiTheme="majorHAnsi" w:cstheme="majorHAnsi"/>
        </w:rPr>
        <w:t xml:space="preserve">Law on Election 2015 does not require to check </w:t>
      </w:r>
      <w:r w:rsidR="00345D39" w:rsidRPr="00E25D75">
        <w:rPr>
          <w:rFonts w:asciiTheme="majorHAnsi" w:hAnsiTheme="majorHAnsi" w:cstheme="majorHAnsi"/>
        </w:rPr>
        <w:t>voters</w:t>
      </w:r>
      <w:r w:rsidR="00345D39">
        <w:rPr>
          <w:rFonts w:asciiTheme="majorHAnsi" w:hAnsiTheme="majorHAnsi" w:cstheme="majorHAnsi"/>
          <w:lang w:val="vi-VN"/>
        </w:rPr>
        <w:t>’</w:t>
      </w:r>
      <w:r w:rsidR="00345D39" w:rsidRPr="00E25D75">
        <w:rPr>
          <w:rFonts w:asciiTheme="majorHAnsi" w:hAnsiTheme="majorHAnsi" w:cstheme="majorHAnsi"/>
          <w:lang w:val="en-US"/>
        </w:rPr>
        <w:t xml:space="preserve"> </w:t>
      </w:r>
      <w:r w:rsidRPr="00E25D75">
        <w:rPr>
          <w:rFonts w:asciiTheme="majorHAnsi" w:hAnsiTheme="majorHAnsi" w:cstheme="majorHAnsi"/>
          <w:lang w:val="en-US"/>
        </w:rPr>
        <w:t>ID</w:t>
      </w:r>
      <w:r w:rsidRPr="00E25D75">
        <w:rPr>
          <w:rFonts w:asciiTheme="majorHAnsi" w:hAnsiTheme="majorHAnsi" w:cstheme="majorHAnsi"/>
        </w:rPr>
        <w:t xml:space="preserve"> before giving them the voting </w:t>
      </w:r>
      <w:r w:rsidRPr="00E25D75">
        <w:rPr>
          <w:rFonts w:asciiTheme="majorHAnsi" w:hAnsiTheme="majorHAnsi" w:cstheme="majorHAnsi"/>
          <w:lang w:val="en-US"/>
        </w:rPr>
        <w:t xml:space="preserve">registration </w:t>
      </w:r>
      <w:r w:rsidRPr="00E25D75">
        <w:rPr>
          <w:rFonts w:asciiTheme="majorHAnsi" w:hAnsiTheme="majorHAnsi" w:cstheme="majorHAnsi"/>
        </w:rPr>
        <w:t>card and during the voting process</w:t>
      </w:r>
      <w:r w:rsidRPr="00E25D75">
        <w:rPr>
          <w:rFonts w:asciiTheme="majorHAnsi" w:hAnsiTheme="majorHAnsi" w:cstheme="majorHAnsi"/>
          <w:lang w:val="en-US"/>
        </w:rPr>
        <w:t xml:space="preserve">. While it was reported that </w:t>
      </w:r>
      <w:r w:rsidRPr="00E25D75">
        <w:rPr>
          <w:rFonts w:asciiTheme="majorHAnsi" w:hAnsiTheme="majorHAnsi" w:cstheme="majorHAnsi"/>
        </w:rPr>
        <w:t>99.35%</w:t>
      </w:r>
      <w:r w:rsidRPr="00E25D75">
        <w:rPr>
          <w:rFonts w:asciiTheme="majorHAnsi" w:hAnsiTheme="majorHAnsi" w:cstheme="majorHAnsi"/>
          <w:lang w:val="en-US"/>
        </w:rPr>
        <w:t xml:space="preserve"> voters cashed their votes,</w:t>
      </w:r>
      <w:r w:rsidRPr="00E25D75">
        <w:rPr>
          <w:rStyle w:val="FootnoteReference"/>
          <w:rFonts w:asciiTheme="majorHAnsi" w:hAnsiTheme="majorHAnsi" w:cstheme="majorHAnsi"/>
          <w:lang w:val="en-US"/>
        </w:rPr>
        <w:footnoteReference w:id="80"/>
      </w:r>
      <w:r w:rsidRPr="00E25D75">
        <w:rPr>
          <w:rFonts w:asciiTheme="majorHAnsi" w:hAnsiTheme="majorHAnsi" w:cstheme="majorHAnsi"/>
          <w:lang w:val="en-US"/>
        </w:rPr>
        <w:t xml:space="preserve"> it was also admitted by the </w:t>
      </w:r>
      <w:r w:rsidRPr="00E25D75">
        <w:rPr>
          <w:rFonts w:asciiTheme="majorHAnsi" w:hAnsiTheme="majorHAnsi" w:cstheme="majorHAnsi"/>
        </w:rPr>
        <w:t>General Secretary of the National Assembly - Administrative Clerk of the National Election Council that “family voting or proxy voting” had not been controlled.</w:t>
      </w:r>
      <w:r w:rsidRPr="00E25D75">
        <w:rPr>
          <w:rStyle w:val="FootnoteReference"/>
          <w:rFonts w:asciiTheme="majorHAnsi" w:hAnsiTheme="majorHAnsi" w:cstheme="majorHAnsi"/>
        </w:rPr>
        <w:footnoteReference w:id="81"/>
      </w:r>
      <w:r w:rsidRPr="00E25D75">
        <w:rPr>
          <w:rFonts w:asciiTheme="majorHAnsi" w:hAnsiTheme="majorHAnsi" w:cstheme="majorHAnsi"/>
        </w:rPr>
        <w:t xml:space="preserve"> </w:t>
      </w:r>
    </w:p>
    <w:p w14:paraId="4799630A" w14:textId="28F58845" w:rsidR="00416DA9" w:rsidRPr="00A12D4A" w:rsidRDefault="00F238DD" w:rsidP="00345D39">
      <w:pPr>
        <w:spacing w:line="360" w:lineRule="auto"/>
        <w:jc w:val="both"/>
        <w:rPr>
          <w:rFonts w:asciiTheme="majorHAnsi" w:hAnsiTheme="majorHAnsi" w:cstheme="majorHAnsi"/>
          <w:lang w:val="vi-VN"/>
        </w:rPr>
      </w:pPr>
      <w:r w:rsidRPr="00E25D75">
        <w:rPr>
          <w:rFonts w:asciiTheme="majorHAnsi" w:hAnsiTheme="majorHAnsi" w:cstheme="majorHAnsi"/>
          <w:b/>
        </w:rPr>
        <w:t xml:space="preserve">The ballot counting were not done in public and prelliminary results at </w:t>
      </w:r>
      <w:r w:rsidR="000456EF">
        <w:rPr>
          <w:rFonts w:asciiTheme="majorHAnsi" w:hAnsiTheme="majorHAnsi" w:cstheme="majorHAnsi"/>
          <w:b/>
        </w:rPr>
        <w:t xml:space="preserve">each electorate </w:t>
      </w:r>
      <w:r w:rsidRPr="00E25D75">
        <w:rPr>
          <w:rFonts w:asciiTheme="majorHAnsi" w:hAnsiTheme="majorHAnsi" w:cstheme="majorHAnsi"/>
          <w:b/>
        </w:rPr>
        <w:t xml:space="preserve">were not published immediately. </w:t>
      </w:r>
      <w:r w:rsidRPr="00E25D75">
        <w:rPr>
          <w:rFonts w:asciiTheme="majorHAnsi" w:hAnsiTheme="majorHAnsi" w:cstheme="majorHAnsi"/>
        </w:rPr>
        <w:t>The ballot counting is required to be done at the election unit right after the voting completed, with witness from two voters, journalists, candidates and their designated representatives.</w:t>
      </w:r>
      <w:r w:rsidRPr="00E25D75">
        <w:rPr>
          <w:rStyle w:val="FootnoteReference"/>
          <w:rFonts w:asciiTheme="majorHAnsi" w:hAnsiTheme="majorHAnsi" w:cstheme="majorHAnsi"/>
          <w:lang w:val="en-US"/>
        </w:rPr>
        <w:footnoteReference w:id="82"/>
      </w:r>
      <w:r w:rsidRPr="00E25D75">
        <w:rPr>
          <w:rFonts w:asciiTheme="majorHAnsi" w:hAnsiTheme="majorHAnsi" w:cstheme="majorHAnsi"/>
        </w:rPr>
        <w:t xml:space="preserve"> As ballot counting was not done in public, it was difficult to monitor the count of the preliminary result of </w:t>
      </w:r>
      <w:r w:rsidR="000456EF">
        <w:rPr>
          <w:rFonts w:asciiTheme="majorHAnsi" w:hAnsiTheme="majorHAnsi" w:cstheme="majorHAnsi"/>
        </w:rPr>
        <w:t>each eletorate</w:t>
      </w:r>
      <w:r w:rsidRPr="00E25D75">
        <w:rPr>
          <w:rFonts w:asciiTheme="majorHAnsi" w:hAnsiTheme="majorHAnsi" w:cstheme="majorHAnsi"/>
        </w:rPr>
        <w:t>, while there was no requirement to publish such result immediately.</w:t>
      </w:r>
      <w:r w:rsidRPr="00E25D75">
        <w:rPr>
          <w:rStyle w:val="FootnoteReference"/>
          <w:rFonts w:asciiTheme="majorHAnsi" w:hAnsiTheme="majorHAnsi" w:cstheme="majorHAnsi"/>
        </w:rPr>
        <w:footnoteReference w:id="83"/>
      </w:r>
      <w:r w:rsidRPr="00E25D75">
        <w:rPr>
          <w:rFonts w:asciiTheme="majorHAnsi" w:hAnsiTheme="majorHAnsi" w:cstheme="majorHAnsi"/>
        </w:rPr>
        <w:t xml:space="preserve"> </w:t>
      </w:r>
      <w:bookmarkStart w:id="12" w:name="_Toc469558274"/>
      <w:r w:rsidR="00416DA9" w:rsidRPr="00E25D75">
        <w:rPr>
          <w:rFonts w:asciiTheme="majorHAnsi" w:hAnsiTheme="majorHAnsi" w:cstheme="majorHAnsi"/>
        </w:rPr>
        <w:t xml:space="preserve">In practice, the result of the election for </w:t>
      </w:r>
      <w:r w:rsidR="00E815EC">
        <w:rPr>
          <w:rFonts w:asciiTheme="majorHAnsi" w:hAnsiTheme="majorHAnsi" w:cstheme="majorHAnsi"/>
        </w:rPr>
        <w:t>National Assembly</w:t>
      </w:r>
      <w:r w:rsidR="00416DA9" w:rsidRPr="00E25D75">
        <w:rPr>
          <w:rFonts w:asciiTheme="majorHAnsi" w:hAnsiTheme="majorHAnsi" w:cstheme="majorHAnsi"/>
        </w:rPr>
        <w:t xml:space="preserve"> deputies was publicized on </w:t>
      </w:r>
      <w:r w:rsidR="00A12D4A">
        <w:rPr>
          <w:rFonts w:asciiTheme="majorHAnsi" w:hAnsiTheme="majorHAnsi" w:cstheme="majorHAnsi"/>
        </w:rPr>
        <w:t>the</w:t>
      </w:r>
      <w:r w:rsidR="00A12D4A">
        <w:rPr>
          <w:rFonts w:asciiTheme="majorHAnsi" w:hAnsiTheme="majorHAnsi" w:cstheme="majorHAnsi"/>
          <w:lang w:val="vi-VN"/>
        </w:rPr>
        <w:t xml:space="preserve"> 8th June </w:t>
      </w:r>
      <w:r w:rsidR="00416DA9" w:rsidRPr="00E25D75">
        <w:rPr>
          <w:rFonts w:asciiTheme="majorHAnsi" w:hAnsiTheme="majorHAnsi" w:cstheme="majorHAnsi"/>
        </w:rPr>
        <w:t xml:space="preserve">2016, 17 days after the election day. </w:t>
      </w:r>
    </w:p>
    <w:p w14:paraId="542BE8C8" w14:textId="77777777" w:rsidR="00A01624" w:rsidRPr="00E25D75" w:rsidRDefault="00A01624" w:rsidP="00B117E9">
      <w:pPr>
        <w:spacing w:before="100" w:beforeAutospacing="1" w:after="100" w:afterAutospacing="1" w:line="360" w:lineRule="auto"/>
        <w:jc w:val="both"/>
        <w:rPr>
          <w:rFonts w:asciiTheme="majorHAnsi" w:hAnsiTheme="majorHAnsi" w:cstheme="majorHAnsi"/>
          <w:b/>
        </w:rPr>
      </w:pPr>
      <w:r w:rsidRPr="00E25D75">
        <w:rPr>
          <w:rFonts w:asciiTheme="majorHAnsi" w:hAnsiTheme="majorHAnsi" w:cstheme="majorHAnsi"/>
          <w:b/>
        </w:rPr>
        <w:t>Recommendations:</w:t>
      </w:r>
    </w:p>
    <w:p w14:paraId="338E1B3F" w14:textId="7ADB47F5" w:rsidR="00A01624" w:rsidRPr="00E25D75" w:rsidRDefault="00A01624" w:rsidP="0049094C">
      <w:pPr>
        <w:pStyle w:val="ListParagraph"/>
        <w:numPr>
          <w:ilvl w:val="0"/>
          <w:numId w:val="10"/>
        </w:numPr>
        <w:spacing w:before="100" w:beforeAutospacing="1" w:after="100" w:afterAutospacing="1" w:line="360" w:lineRule="auto"/>
        <w:jc w:val="both"/>
        <w:rPr>
          <w:rFonts w:asciiTheme="majorHAnsi" w:hAnsiTheme="majorHAnsi" w:cstheme="majorHAnsi"/>
          <w:lang w:val="en-US"/>
        </w:rPr>
      </w:pPr>
      <w:r w:rsidRPr="00E25D75">
        <w:rPr>
          <w:rFonts w:asciiTheme="majorHAnsi" w:hAnsiTheme="majorHAnsi" w:cstheme="majorHAnsi"/>
          <w:lang w:val="en-US"/>
        </w:rPr>
        <w:t xml:space="preserve">Adopt a quota on </w:t>
      </w:r>
      <w:r w:rsidRPr="00E25D75">
        <w:rPr>
          <w:rFonts w:asciiTheme="majorHAnsi" w:hAnsiTheme="majorHAnsi" w:cstheme="majorHAnsi"/>
        </w:rPr>
        <w:t xml:space="preserve">ratio of each gender in </w:t>
      </w:r>
      <w:r w:rsidR="00A12D4A">
        <w:rPr>
          <w:rFonts w:asciiTheme="majorHAnsi" w:hAnsiTheme="majorHAnsi" w:cstheme="majorHAnsi"/>
        </w:rPr>
        <w:t>each election in-charged organization</w:t>
      </w:r>
      <w:r w:rsidR="00A12D4A">
        <w:rPr>
          <w:rFonts w:asciiTheme="majorHAnsi" w:hAnsiTheme="majorHAnsi" w:cstheme="majorHAnsi"/>
          <w:lang w:val="vi-VN"/>
        </w:rPr>
        <w:t xml:space="preserve"> </w:t>
      </w:r>
      <w:r w:rsidRPr="00E25D75">
        <w:rPr>
          <w:rFonts w:asciiTheme="majorHAnsi" w:hAnsiTheme="majorHAnsi" w:cstheme="majorHAnsi"/>
        </w:rPr>
        <w:t>not lower than 30%</w:t>
      </w:r>
      <w:r w:rsidRPr="00E25D75">
        <w:rPr>
          <w:rFonts w:asciiTheme="majorHAnsi" w:hAnsiTheme="majorHAnsi" w:cstheme="majorHAnsi"/>
          <w:lang w:val="en-US"/>
        </w:rPr>
        <w:t>; Introduce a requirement on</w:t>
      </w:r>
      <w:r w:rsidRPr="00E25D75">
        <w:rPr>
          <w:rFonts w:asciiTheme="majorHAnsi" w:hAnsiTheme="majorHAnsi" w:cstheme="majorHAnsi"/>
        </w:rPr>
        <w:t xml:space="preserve"> gender balance in the leadership positions of </w:t>
      </w:r>
      <w:r w:rsidR="00A12D4A">
        <w:rPr>
          <w:rFonts w:asciiTheme="majorHAnsi" w:hAnsiTheme="majorHAnsi" w:cstheme="majorHAnsi"/>
        </w:rPr>
        <w:t>each election in-charged organization</w:t>
      </w:r>
      <w:r w:rsidR="00E815EC">
        <w:rPr>
          <w:rFonts w:asciiTheme="majorHAnsi" w:hAnsiTheme="majorHAnsi" w:cstheme="majorHAnsi"/>
          <w:lang w:val="vi-VN"/>
        </w:rPr>
        <w:t>;</w:t>
      </w:r>
    </w:p>
    <w:p w14:paraId="484F1A2F" w14:textId="0BB0C7C1" w:rsidR="00A01624" w:rsidRPr="00E25D75" w:rsidRDefault="00A01624" w:rsidP="0049094C">
      <w:pPr>
        <w:pStyle w:val="ListParagraph"/>
        <w:numPr>
          <w:ilvl w:val="0"/>
          <w:numId w:val="10"/>
        </w:numPr>
        <w:spacing w:before="100" w:beforeAutospacing="1" w:after="100" w:afterAutospacing="1" w:line="360" w:lineRule="auto"/>
        <w:jc w:val="both"/>
        <w:rPr>
          <w:rFonts w:asciiTheme="majorHAnsi" w:hAnsiTheme="majorHAnsi" w:cstheme="majorHAnsi"/>
          <w:lang w:val="en-US"/>
        </w:rPr>
      </w:pPr>
      <w:r w:rsidRPr="00E25D75">
        <w:rPr>
          <w:rFonts w:asciiTheme="majorHAnsi" w:hAnsiTheme="majorHAnsi" w:cstheme="majorHAnsi"/>
          <w:lang w:val="en-US"/>
        </w:rPr>
        <w:lastRenderedPageBreak/>
        <w:t xml:space="preserve">Introduce affirmative actions to ensure </w:t>
      </w:r>
      <w:r w:rsidRPr="00E25D75">
        <w:rPr>
          <w:rFonts w:asciiTheme="majorHAnsi" w:hAnsiTheme="majorHAnsi" w:cstheme="majorHAnsi"/>
        </w:rPr>
        <w:t>each gender in each electorate should be no less than 45%</w:t>
      </w:r>
      <w:r w:rsidR="00A12D4A">
        <w:rPr>
          <w:rFonts w:asciiTheme="majorHAnsi" w:hAnsiTheme="majorHAnsi" w:cstheme="majorHAnsi"/>
          <w:lang w:val="vi-VN"/>
        </w:rPr>
        <w:t>;</w:t>
      </w:r>
    </w:p>
    <w:p w14:paraId="64A65164" w14:textId="75ADBE55" w:rsidR="00416DA9" w:rsidRPr="00E25D75" w:rsidRDefault="00416DA9" w:rsidP="0049094C">
      <w:pPr>
        <w:pStyle w:val="ListParagraph"/>
        <w:numPr>
          <w:ilvl w:val="0"/>
          <w:numId w:val="10"/>
        </w:numPr>
        <w:spacing w:before="100" w:beforeAutospacing="1" w:after="100" w:afterAutospacing="1" w:line="360" w:lineRule="auto"/>
        <w:jc w:val="both"/>
        <w:rPr>
          <w:rFonts w:asciiTheme="majorHAnsi" w:hAnsiTheme="majorHAnsi" w:cstheme="majorHAnsi"/>
        </w:rPr>
      </w:pPr>
      <w:r w:rsidRPr="00E25D75">
        <w:rPr>
          <w:rFonts w:asciiTheme="majorHAnsi" w:hAnsiTheme="majorHAnsi" w:cstheme="majorHAnsi"/>
        </w:rPr>
        <w:t xml:space="preserve">Adopt the practice of ballot counting in public and immediately release the preliminary result </w:t>
      </w:r>
      <w:r w:rsidR="00A12D4A">
        <w:rPr>
          <w:rFonts w:asciiTheme="majorHAnsi" w:hAnsiTheme="majorHAnsi" w:cstheme="majorHAnsi"/>
        </w:rPr>
        <w:t>of each electorate</w:t>
      </w:r>
      <w:r w:rsidRPr="00E25D75">
        <w:rPr>
          <w:rFonts w:asciiTheme="majorHAnsi" w:hAnsiTheme="majorHAnsi" w:cstheme="majorHAnsi"/>
        </w:rPr>
        <w:t xml:space="preserve"> after the public ballot counting; </w:t>
      </w:r>
    </w:p>
    <w:p w14:paraId="5B8D6376" w14:textId="48B89E17" w:rsidR="00416DA9" w:rsidRPr="00E25D75" w:rsidRDefault="00416DA9" w:rsidP="0049094C">
      <w:pPr>
        <w:pStyle w:val="ListParagraph"/>
        <w:numPr>
          <w:ilvl w:val="0"/>
          <w:numId w:val="10"/>
        </w:numPr>
        <w:spacing w:before="100" w:beforeAutospacing="1" w:after="100" w:afterAutospacing="1" w:line="360" w:lineRule="auto"/>
        <w:jc w:val="both"/>
        <w:rPr>
          <w:rFonts w:asciiTheme="majorHAnsi" w:hAnsiTheme="majorHAnsi" w:cstheme="majorHAnsi"/>
        </w:rPr>
      </w:pPr>
      <w:r w:rsidRPr="00E25D75">
        <w:rPr>
          <w:rFonts w:asciiTheme="majorHAnsi" w:hAnsiTheme="majorHAnsi" w:cstheme="majorHAnsi"/>
        </w:rPr>
        <w:t>Introduce measures to prevent proxy voting, including a protocol to check ID card together with voter resgistration before cashing the ballot</w:t>
      </w:r>
      <w:r w:rsidR="00E815EC">
        <w:rPr>
          <w:rFonts w:asciiTheme="majorHAnsi" w:hAnsiTheme="majorHAnsi" w:cstheme="majorHAnsi"/>
          <w:lang w:val="vi-VN"/>
        </w:rPr>
        <w:t>;</w:t>
      </w:r>
    </w:p>
    <w:p w14:paraId="512B1090" w14:textId="481780F4" w:rsidR="00613DE0" w:rsidRPr="00E25D75" w:rsidRDefault="00416DA9" w:rsidP="0049094C">
      <w:pPr>
        <w:pStyle w:val="ListParagraph"/>
        <w:numPr>
          <w:ilvl w:val="0"/>
          <w:numId w:val="10"/>
        </w:numPr>
        <w:spacing w:before="100" w:beforeAutospacing="1" w:after="100" w:afterAutospacing="1" w:line="360" w:lineRule="auto"/>
        <w:jc w:val="both"/>
        <w:rPr>
          <w:rFonts w:asciiTheme="majorHAnsi" w:hAnsiTheme="majorHAnsi" w:cstheme="majorHAnsi"/>
        </w:rPr>
      </w:pPr>
      <w:r w:rsidRPr="00E25D75">
        <w:rPr>
          <w:rFonts w:asciiTheme="majorHAnsi" w:hAnsiTheme="majorHAnsi" w:cstheme="majorHAnsi"/>
        </w:rPr>
        <w:t xml:space="preserve">Give </w:t>
      </w:r>
      <w:r w:rsidRPr="00E25D75">
        <w:rPr>
          <w:rFonts w:asciiTheme="majorHAnsi" w:hAnsiTheme="majorHAnsi" w:cstheme="majorHAnsi"/>
          <w:lang w:val="en-US"/>
        </w:rPr>
        <w:t>legitimacy and space</w:t>
      </w:r>
      <w:r w:rsidRPr="00E25D75">
        <w:rPr>
          <w:rFonts w:asciiTheme="majorHAnsi" w:hAnsiTheme="majorHAnsi" w:cstheme="majorHAnsi"/>
        </w:rPr>
        <w:t xml:space="preserve"> for civil society organizations working on gender equality and women rights to conduct communication and education on </w:t>
      </w:r>
      <w:r w:rsidRPr="00E25D75">
        <w:rPr>
          <w:rFonts w:asciiTheme="majorHAnsi" w:hAnsiTheme="majorHAnsi" w:cstheme="majorHAnsi"/>
          <w:lang w:val="en-US"/>
        </w:rPr>
        <w:t xml:space="preserve">fair </w:t>
      </w:r>
      <w:r w:rsidRPr="00E25D75">
        <w:rPr>
          <w:rFonts w:asciiTheme="majorHAnsi" w:hAnsiTheme="majorHAnsi" w:cstheme="majorHAnsi"/>
        </w:rPr>
        <w:t>election</w:t>
      </w:r>
      <w:r w:rsidRPr="00E25D75">
        <w:rPr>
          <w:rFonts w:asciiTheme="majorHAnsi" w:hAnsiTheme="majorHAnsi" w:cstheme="majorHAnsi"/>
          <w:lang w:val="en-US"/>
        </w:rPr>
        <w:t>,</w:t>
      </w:r>
      <w:r w:rsidRPr="00E25D75">
        <w:rPr>
          <w:rFonts w:asciiTheme="majorHAnsi" w:hAnsiTheme="majorHAnsi" w:cstheme="majorHAnsi"/>
        </w:rPr>
        <w:t xml:space="preserve"> and monitoring election.</w:t>
      </w:r>
      <w:bookmarkEnd w:id="12"/>
    </w:p>
    <w:p w14:paraId="4365F575" w14:textId="6E76808D" w:rsidR="00367659" w:rsidRPr="00E815EC" w:rsidRDefault="00367659" w:rsidP="00425667">
      <w:pPr>
        <w:pStyle w:val="Heading2"/>
      </w:pPr>
      <w:bookmarkStart w:id="13" w:name="_Toc353562"/>
      <w:r w:rsidRPr="00E815EC">
        <w:t>Other issues: Protecting the rights of Juvenile offenders</w:t>
      </w:r>
      <w:bookmarkEnd w:id="13"/>
    </w:p>
    <w:p w14:paraId="39865DA6" w14:textId="77777777" w:rsidR="00367659" w:rsidRPr="00E25D75" w:rsidRDefault="00367659" w:rsidP="00B117E9">
      <w:pPr>
        <w:spacing w:before="60" w:after="120" w:line="360" w:lineRule="auto"/>
        <w:ind w:left="360"/>
        <w:jc w:val="both"/>
        <w:rPr>
          <w:rFonts w:asciiTheme="majorHAnsi" w:eastAsia="Times New Roman" w:hAnsiTheme="majorHAnsi" w:cstheme="majorHAnsi"/>
          <w:lang w:val="en-GB"/>
        </w:rPr>
      </w:pPr>
      <w:r w:rsidRPr="00E25D75">
        <w:rPr>
          <w:rFonts w:asciiTheme="majorHAnsi" w:hAnsiTheme="majorHAnsi" w:cstheme="majorHAnsi"/>
          <w:lang w:val="en-GB"/>
        </w:rPr>
        <w:t>In accordance with Vietnamese legislation, a person over 18 years of age is referred to as an “adult”, which is in line with international law. According to Vietnamese law, persons under the age of 18 are referred to as “juveniles” (Civil Code Article 20), which covers persons aged between 16 and 18. The term “juvenile(s)” is commonly used in documents indicating juvenile’s rights and duties in relation to being subject of the law; such as being in violation of the law or in breach of the peace.</w:t>
      </w:r>
      <w:r w:rsidRPr="00E25D75">
        <w:rPr>
          <w:rStyle w:val="FootnoteReference"/>
          <w:rFonts w:asciiTheme="majorHAnsi" w:hAnsiTheme="majorHAnsi" w:cstheme="majorHAnsi"/>
          <w:lang w:val="en-GB"/>
        </w:rPr>
        <w:footnoteReference w:id="84"/>
      </w:r>
      <w:r w:rsidRPr="00E25D75">
        <w:rPr>
          <w:rFonts w:asciiTheme="majorHAnsi" w:hAnsiTheme="majorHAnsi" w:cstheme="majorHAnsi"/>
          <w:lang w:val="en-GB"/>
        </w:rPr>
        <w:t xml:space="preserve"> Based on Vietnamese Country report, the family and juvenile courts - specialized courts - were established in 2016 to protect the rights of women and children under 18. By</w:t>
      </w:r>
      <w:r w:rsidRPr="00E25D75">
        <w:rPr>
          <w:rFonts w:asciiTheme="majorHAnsi" w:eastAsia="Times New Roman" w:hAnsiTheme="majorHAnsi" w:cstheme="majorHAnsi"/>
          <w:lang w:val="en-GB"/>
        </w:rPr>
        <w:t xml:space="preserve"> January 2019, Viet Nam has established only two Family and Juvenile Court in Ho Chi Minh city (2016) and Đồng Tháp province (June 2018).</w:t>
      </w:r>
      <w:r w:rsidRPr="00E25D75">
        <w:rPr>
          <w:rFonts w:asciiTheme="majorHAnsi" w:eastAsia="Times New Roman" w:hAnsiTheme="majorHAnsi" w:cstheme="majorHAnsi"/>
          <w:color w:val="333333"/>
          <w:lang w:val="en-GB"/>
        </w:rPr>
        <w:t xml:space="preserve"> </w:t>
      </w:r>
    </w:p>
    <w:p w14:paraId="72C38277" w14:textId="77777777" w:rsidR="00367659" w:rsidRPr="00E25D75" w:rsidRDefault="00367659" w:rsidP="00B117E9">
      <w:pPr>
        <w:spacing w:before="60" w:after="120" w:line="360" w:lineRule="auto"/>
        <w:ind w:left="360"/>
        <w:jc w:val="both"/>
        <w:rPr>
          <w:rFonts w:asciiTheme="majorHAnsi" w:eastAsia="Times New Roman" w:hAnsiTheme="majorHAnsi" w:cstheme="majorHAnsi"/>
          <w:lang w:val="en-GB"/>
        </w:rPr>
      </w:pPr>
      <w:r w:rsidRPr="00E25D75">
        <w:rPr>
          <w:rFonts w:asciiTheme="majorHAnsi" w:eastAsia="Times New Roman" w:hAnsiTheme="majorHAnsi" w:cstheme="majorHAnsi"/>
          <w:lang w:val="en-GB"/>
        </w:rPr>
        <w:t xml:space="preserve">There is no distinction between the time periods for dealing with juvenile offenders and those that apply in adult cases. In the 2015 </w:t>
      </w:r>
      <w:r w:rsidRPr="00E25D75">
        <w:rPr>
          <w:rFonts w:asciiTheme="majorHAnsi" w:hAnsiTheme="majorHAnsi" w:cstheme="majorHAnsi"/>
          <w:lang w:val="en-GB"/>
        </w:rPr>
        <w:t>Criminal Procedure Code</w:t>
      </w:r>
      <w:r w:rsidRPr="00E25D75">
        <w:rPr>
          <w:rFonts w:asciiTheme="majorHAnsi" w:eastAsia="Times New Roman" w:hAnsiTheme="majorHAnsi" w:cstheme="majorHAnsi"/>
          <w:lang w:val="en-GB"/>
        </w:rPr>
        <w:t xml:space="preserve">, the time limit for investigating, prosecuting and adjudicating juvenile offenders is the same as for adults, depending on the seriousness and complication of the crime. This is not in compliance with international standards, which require that the time period for handling juveniles should be much shorter than for adults </w:t>
      </w:r>
      <w:r w:rsidRPr="00E25D75">
        <w:rPr>
          <w:rStyle w:val="FootnoteReference"/>
          <w:rFonts w:asciiTheme="majorHAnsi" w:eastAsia="Times New Roman" w:hAnsiTheme="majorHAnsi" w:cstheme="majorHAnsi"/>
          <w:lang w:val="en-GB"/>
        </w:rPr>
        <w:footnoteReference w:id="85"/>
      </w:r>
      <w:r w:rsidRPr="00E25D75">
        <w:rPr>
          <w:rFonts w:asciiTheme="majorHAnsi" w:eastAsia="Times New Roman" w:hAnsiTheme="majorHAnsi" w:cstheme="majorHAnsi"/>
          <w:lang w:val="en-GB"/>
        </w:rPr>
        <w:t>. It is forbidden to keep juvenile offenders together with adult offenders (Criminal Procedure Code Article 303 linked to CRC Article 37(c)).</w:t>
      </w:r>
    </w:p>
    <w:p w14:paraId="51711547" w14:textId="6208A1A2" w:rsidR="00367659" w:rsidRPr="00E25D75" w:rsidRDefault="00367659" w:rsidP="00B117E9">
      <w:pPr>
        <w:spacing w:before="60" w:after="120" w:line="360" w:lineRule="auto"/>
        <w:ind w:left="360"/>
        <w:jc w:val="both"/>
        <w:rPr>
          <w:rFonts w:asciiTheme="majorHAnsi" w:eastAsia="Times New Roman" w:hAnsiTheme="majorHAnsi" w:cstheme="majorHAnsi"/>
          <w:lang w:val="en-GB"/>
        </w:rPr>
      </w:pPr>
      <w:r w:rsidRPr="00E25D75">
        <w:rPr>
          <w:rFonts w:asciiTheme="majorHAnsi" w:hAnsiTheme="majorHAnsi" w:cstheme="majorHAnsi"/>
          <w:lang w:val="en-GB"/>
        </w:rPr>
        <w:t>In practice, most counsel or lawyers participating in juvenile cases or cases involving a person of ethnic minorities are appointed based on requests from the court.</w:t>
      </w:r>
      <w:r w:rsidRPr="00E25D75">
        <w:rPr>
          <w:rStyle w:val="FootnoteReference"/>
          <w:rFonts w:asciiTheme="majorHAnsi" w:hAnsiTheme="majorHAnsi" w:cstheme="majorHAnsi"/>
          <w:lang w:val="en-GB"/>
        </w:rPr>
        <w:footnoteReference w:id="86"/>
      </w:r>
      <w:r w:rsidRPr="00E25D75">
        <w:rPr>
          <w:rFonts w:asciiTheme="majorHAnsi" w:hAnsiTheme="majorHAnsi" w:cstheme="majorHAnsi"/>
          <w:lang w:val="en-GB"/>
        </w:rPr>
        <w:t xml:space="preserve"> The appointed counsel enjoy the </w:t>
      </w:r>
      <w:r w:rsidR="000D4529" w:rsidRPr="00E25D75">
        <w:rPr>
          <w:rFonts w:asciiTheme="majorHAnsi" w:hAnsiTheme="majorHAnsi" w:cstheme="majorHAnsi"/>
          <w:lang w:val="en-GB"/>
        </w:rPr>
        <w:t>favour</w:t>
      </w:r>
      <w:r w:rsidRPr="00E25D75">
        <w:rPr>
          <w:rFonts w:asciiTheme="majorHAnsi" w:hAnsiTheme="majorHAnsi" w:cstheme="majorHAnsi"/>
          <w:lang w:val="en-GB"/>
        </w:rPr>
        <w:t xml:space="preserve"> of the requested bodies because their participation is seen as not only defending juvenile offenders but also ‘helping’ to complete required proceedings. Many appointed lawyers say nothing during the trial or have an inadequate understanding of the case due to having not studied the case files.</w:t>
      </w:r>
    </w:p>
    <w:p w14:paraId="163E9A0F" w14:textId="1C5BB89E" w:rsidR="00E815EC" w:rsidRPr="00A12D4A" w:rsidRDefault="00367659" w:rsidP="00E815EC">
      <w:pPr>
        <w:spacing w:before="60" w:after="120" w:line="360" w:lineRule="auto"/>
        <w:ind w:left="360"/>
        <w:jc w:val="both"/>
        <w:rPr>
          <w:rFonts w:asciiTheme="majorHAnsi" w:eastAsia="Times New Roman" w:hAnsiTheme="majorHAnsi" w:cstheme="majorHAnsi"/>
          <w:b/>
          <w:u w:val="single"/>
          <w:lang w:val="en-GB" w:bidi="en-US"/>
        </w:rPr>
      </w:pPr>
      <w:r w:rsidRPr="00A12D4A">
        <w:rPr>
          <w:rFonts w:asciiTheme="majorHAnsi" w:eastAsia="Times New Roman" w:hAnsiTheme="majorHAnsi" w:cstheme="majorHAnsi"/>
          <w:b/>
          <w:u w:val="single"/>
          <w:lang w:val="en-GB" w:bidi="en-US"/>
        </w:rPr>
        <w:lastRenderedPageBreak/>
        <w:t xml:space="preserve">Recommendations </w:t>
      </w:r>
    </w:p>
    <w:p w14:paraId="05C63668" w14:textId="010C67F3" w:rsidR="00E815EC" w:rsidRPr="00E815EC" w:rsidRDefault="00E815EC" w:rsidP="00E815EC">
      <w:pPr>
        <w:spacing w:before="60" w:after="120" w:line="360" w:lineRule="auto"/>
        <w:ind w:left="360"/>
        <w:jc w:val="both"/>
        <w:rPr>
          <w:rFonts w:asciiTheme="majorHAnsi" w:eastAsia="Times New Roman" w:hAnsiTheme="majorHAnsi" w:cstheme="majorHAnsi"/>
          <w:lang w:val="vi-VN" w:bidi="en-US"/>
        </w:rPr>
      </w:pPr>
      <w:r w:rsidRPr="00E815EC">
        <w:rPr>
          <w:rFonts w:asciiTheme="majorHAnsi" w:eastAsia="Times New Roman" w:hAnsiTheme="majorHAnsi" w:cstheme="majorHAnsi"/>
          <w:lang w:val="en-GB" w:bidi="en-US"/>
        </w:rPr>
        <w:t>The State Party should</w:t>
      </w:r>
      <w:r w:rsidRPr="00E815EC">
        <w:rPr>
          <w:rFonts w:asciiTheme="majorHAnsi" w:eastAsia="Times New Roman" w:hAnsiTheme="majorHAnsi" w:cstheme="majorHAnsi"/>
          <w:lang w:val="vi-VN" w:bidi="en-US"/>
        </w:rPr>
        <w:t>:</w:t>
      </w:r>
    </w:p>
    <w:p w14:paraId="0846C15F" w14:textId="7A2FC8FD" w:rsidR="00367659" w:rsidRPr="00E25D75" w:rsidRDefault="00367659" w:rsidP="0049094C">
      <w:pPr>
        <w:pStyle w:val="ListParagraph"/>
        <w:numPr>
          <w:ilvl w:val="0"/>
          <w:numId w:val="11"/>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Continue its effort to establish Family and Juvenile Court system nation-wide; </w:t>
      </w:r>
    </w:p>
    <w:p w14:paraId="5C17DC4D" w14:textId="20083C6F" w:rsidR="009D29BE" w:rsidRPr="00E25D75" w:rsidRDefault="00367659" w:rsidP="0049094C">
      <w:pPr>
        <w:pStyle w:val="ListParagraph"/>
        <w:numPr>
          <w:ilvl w:val="0"/>
          <w:numId w:val="11"/>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Seek international cooperation for the capacity building for judicial officials on good practices in Juvenile justice</w:t>
      </w:r>
      <w:r w:rsidR="00E815EC">
        <w:rPr>
          <w:rFonts w:asciiTheme="majorHAnsi" w:hAnsiTheme="majorHAnsi" w:cstheme="majorHAnsi"/>
          <w:lang w:val="vi-VN"/>
        </w:rPr>
        <w:t xml:space="preserve">; </w:t>
      </w:r>
    </w:p>
    <w:p w14:paraId="3085804E" w14:textId="4157B06B" w:rsidR="00367659" w:rsidRPr="00E25D75" w:rsidRDefault="00367659" w:rsidP="0049094C">
      <w:pPr>
        <w:pStyle w:val="ListParagraph"/>
        <w:numPr>
          <w:ilvl w:val="0"/>
          <w:numId w:val="11"/>
        </w:numPr>
        <w:spacing w:before="60" w:after="120" w:line="360" w:lineRule="auto"/>
        <w:jc w:val="both"/>
        <w:rPr>
          <w:rFonts w:asciiTheme="majorHAnsi" w:hAnsiTheme="majorHAnsi" w:cstheme="majorHAnsi"/>
          <w:lang w:val="en-GB"/>
        </w:rPr>
      </w:pPr>
      <w:r w:rsidRPr="00E25D75">
        <w:rPr>
          <w:rFonts w:asciiTheme="majorHAnsi" w:hAnsiTheme="majorHAnsi" w:cstheme="majorHAnsi"/>
          <w:lang w:val="en-GB"/>
        </w:rPr>
        <w:t xml:space="preserve">Encourage the participation of civil society organisations, especially those working on justice and child rights, to engage with the Family and Juvenile Court. </w:t>
      </w:r>
    </w:p>
    <w:sectPr w:rsidR="00367659" w:rsidRPr="00E25D75" w:rsidSect="00D7079C">
      <w:pgSz w:w="11906" w:h="16838"/>
      <w:pgMar w:top="1440" w:right="746"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0752" w14:textId="77777777" w:rsidR="00A976ED" w:rsidRDefault="00A976ED" w:rsidP="006B20E4">
      <w:pPr>
        <w:spacing w:after="0" w:line="240" w:lineRule="auto"/>
      </w:pPr>
      <w:r>
        <w:separator/>
      </w:r>
    </w:p>
  </w:endnote>
  <w:endnote w:type="continuationSeparator" w:id="0">
    <w:p w14:paraId="7B549A31" w14:textId="77777777" w:rsidR="00A976ED" w:rsidRDefault="00A976ED" w:rsidP="006B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A3"/>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dobe Caslon Pro">
    <w:altName w:val="Times New Roman"/>
    <w:panose1 w:val="020B0604020202020204"/>
    <w:charset w:val="00"/>
    <w:family w:val="auto"/>
    <w:pitch w:val="variable"/>
    <w:sig w:usb0="00000001" w:usb1="00000001" w:usb2="00000000" w:usb3="00000000" w:csb0="00000093" w:csb1="00000000"/>
  </w:font>
  <w:font w:name="Garamond Premr Pro Capt">
    <w:altName w:val="Times New Roman"/>
    <w:panose1 w:val="020B0604020202020204"/>
    <w:charset w:val="A3"/>
    <w:family w:val="roman"/>
    <w:notTrueType/>
    <w:pitch w:val="default"/>
    <w:sig w:usb0="00000001" w:usb1="00000000" w:usb2="00000000" w:usb3="00000000" w:csb0="000001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4CA5" w14:textId="77777777" w:rsidR="00096C78" w:rsidRDefault="00096C78" w:rsidP="004E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7F94F" w14:textId="77777777" w:rsidR="00096C78" w:rsidRDefault="00096C78" w:rsidP="006B20E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0266" w14:textId="77777777" w:rsidR="00096C78" w:rsidRDefault="00096C78"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20AA73F" w14:textId="77777777" w:rsidR="00096C78" w:rsidRDefault="00096C78" w:rsidP="004E55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68E4" w14:textId="77777777" w:rsidR="00096C78" w:rsidRDefault="00096C78"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C9BCA1" w14:textId="77777777" w:rsidR="00096C78" w:rsidRDefault="00096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1555" w14:textId="77777777" w:rsidR="00096C78" w:rsidRDefault="00096C78"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55153E4" w14:textId="77777777" w:rsidR="00096C78" w:rsidRDefault="0009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0B65" w14:textId="77777777" w:rsidR="00A976ED" w:rsidRDefault="00A976ED" w:rsidP="006B20E4">
      <w:pPr>
        <w:spacing w:after="0" w:line="240" w:lineRule="auto"/>
      </w:pPr>
      <w:r>
        <w:separator/>
      </w:r>
    </w:p>
  </w:footnote>
  <w:footnote w:type="continuationSeparator" w:id="0">
    <w:p w14:paraId="37AD4C5A" w14:textId="77777777" w:rsidR="00A976ED" w:rsidRDefault="00A976ED" w:rsidP="006B20E4">
      <w:pPr>
        <w:spacing w:after="0" w:line="240" w:lineRule="auto"/>
      </w:pPr>
      <w:r>
        <w:continuationSeparator/>
      </w:r>
    </w:p>
  </w:footnote>
  <w:footnote w:id="1">
    <w:p w14:paraId="695AB33E" w14:textId="77777777" w:rsidR="00096C78" w:rsidRPr="00516CC7" w:rsidRDefault="00096C78" w:rsidP="00516CC7">
      <w:pPr>
        <w:pStyle w:val="FootnoteText"/>
        <w:spacing w:after="240"/>
        <w:jc w:val="both"/>
        <w:rPr>
          <w:rFonts w:asciiTheme="majorHAnsi" w:hAnsiTheme="majorHAnsi" w:cstheme="majorHAnsi"/>
          <w:sz w:val="18"/>
          <w:szCs w:val="18"/>
        </w:rPr>
      </w:pPr>
      <w:r w:rsidRPr="006E407B">
        <w:rPr>
          <w:rStyle w:val="FootnoteReference"/>
          <w:sz w:val="18"/>
          <w:szCs w:val="18"/>
        </w:rPr>
        <w:footnoteRef/>
      </w:r>
      <w:r w:rsidRPr="006E407B">
        <w:rPr>
          <w:sz w:val="18"/>
          <w:szCs w:val="18"/>
        </w:rPr>
        <w:t xml:space="preserve">Recommendation of the CERD Committee 1993 (Official Records of the General Assembly], Forty-eighth Session, Supplement No. </w:t>
      </w:r>
      <w:r w:rsidRPr="00516CC7">
        <w:rPr>
          <w:rFonts w:asciiTheme="majorHAnsi" w:hAnsiTheme="majorHAnsi" w:cstheme="majorHAnsi"/>
          <w:sz w:val="18"/>
          <w:szCs w:val="18"/>
        </w:rPr>
        <w:t xml:space="preserve">18 (A/48/18), para 348-358), in 2001 (CERD A/56/18 (2001) para. 414-415) and 2012 (CERD/C/VNM/CO/10-14 para. 7); by CESCR in 2014 (E/C.12/VNM/CO/2-4 para 13) and accepted UPR recommendations in 2014 (Recommendation No.88 from Chile) (see A/HRC/WG.6/14/L.14 para. 143.88). </w:t>
      </w:r>
    </w:p>
  </w:footnote>
  <w:footnote w:id="2">
    <w:p w14:paraId="579B33C1" w14:textId="3C5539E4" w:rsidR="00096C78" w:rsidRPr="00516CC7" w:rsidRDefault="00096C78" w:rsidP="00516CC7">
      <w:pPr>
        <w:pStyle w:val="FootnoteText"/>
        <w:spacing w:after="240"/>
        <w:jc w:val="both"/>
        <w:rPr>
          <w:rFonts w:asciiTheme="majorHAnsi" w:hAnsiTheme="majorHAnsi" w:cstheme="majorHAnsi"/>
          <w:sz w:val="18"/>
          <w:szCs w:val="18"/>
          <w:lang w:val="en-US"/>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rPr>
        <w:t xml:space="preserve"> </w:t>
      </w:r>
      <w:r w:rsidRPr="00516CC7">
        <w:rPr>
          <w:rFonts w:asciiTheme="majorHAnsi" w:hAnsiTheme="majorHAnsi" w:cstheme="majorHAnsi"/>
          <w:bCs/>
          <w:sz w:val="18"/>
          <w:szCs w:val="18"/>
          <w:lang w:val="en-US"/>
        </w:rPr>
        <w:t>Article 16 of the of the Socialist Republic of Vietnam 2013 states: 1) Everyone is equal before the Law and 2) No one is discriminated against in political, civil, economic, cultural or social life. I</w:t>
      </w:r>
      <w:r w:rsidRPr="00516CC7">
        <w:rPr>
          <w:rFonts w:asciiTheme="majorHAnsi" w:hAnsiTheme="majorHAnsi" w:cstheme="majorHAnsi"/>
          <w:sz w:val="18"/>
          <w:szCs w:val="18"/>
          <w:lang w:val="en-US"/>
        </w:rPr>
        <w:t>t does not provide enough specific forbidden grounds of discrimination as stipulated by international standards. Moreover, the non-discrimination provision in the Constitution (and other laws) are articulated in an exhaustive list of forbidden ground.</w:t>
      </w:r>
    </w:p>
  </w:footnote>
  <w:footnote w:id="3">
    <w:p w14:paraId="781D51F8" w14:textId="77777777" w:rsidR="00096C78" w:rsidRPr="00516CC7" w:rsidRDefault="00096C78" w:rsidP="00516CC7">
      <w:pPr>
        <w:pStyle w:val="FootnoteText"/>
        <w:spacing w:after="240"/>
        <w:jc w:val="both"/>
        <w:rPr>
          <w:rFonts w:asciiTheme="majorHAnsi" w:hAnsiTheme="majorHAnsi" w:cstheme="majorHAnsi"/>
          <w:sz w:val="18"/>
          <w:szCs w:val="18"/>
          <w:lang w:val="en-US"/>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rPr>
        <w:t>Article 8, paragraph 1a</w:t>
      </w:r>
      <w:r w:rsidRPr="00516CC7">
        <w:rPr>
          <w:rFonts w:asciiTheme="majorHAnsi" w:hAnsiTheme="majorHAnsi" w:cstheme="majorHAnsi"/>
          <w:sz w:val="18"/>
          <w:szCs w:val="18"/>
          <w:lang w:val="en-US"/>
        </w:rPr>
        <w:t>.</w:t>
      </w:r>
    </w:p>
  </w:footnote>
  <w:footnote w:id="4">
    <w:p w14:paraId="17DE95A7" w14:textId="7C0EEAD5" w:rsidR="00096C78" w:rsidRPr="00516CC7" w:rsidRDefault="00096C78" w:rsidP="00516CC7">
      <w:pPr>
        <w:pStyle w:val="FootnoteText"/>
        <w:spacing w:after="240"/>
        <w:jc w:val="both"/>
        <w:rPr>
          <w:rFonts w:asciiTheme="majorHAnsi" w:hAnsiTheme="majorHAnsi" w:cstheme="majorHAnsi"/>
          <w:sz w:val="18"/>
          <w:szCs w:val="18"/>
          <w:lang w:val="en-US"/>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rPr>
        <w:t xml:space="preserve"> </w:t>
      </w:r>
      <w:r w:rsidR="00993DD8">
        <w:rPr>
          <w:rFonts w:asciiTheme="majorHAnsi" w:hAnsiTheme="majorHAnsi" w:cstheme="majorHAnsi"/>
          <w:sz w:val="18"/>
          <w:szCs w:val="18"/>
        </w:rPr>
        <w:t>S</w:t>
      </w:r>
      <w:r w:rsidRPr="00516CC7">
        <w:rPr>
          <w:rFonts w:asciiTheme="majorHAnsi" w:hAnsiTheme="majorHAnsi" w:cstheme="majorHAnsi"/>
          <w:sz w:val="18"/>
          <w:szCs w:val="18"/>
        </w:rPr>
        <w:t>uch as "assist mothers in properly fulfilling their lofty motherhood functions" (Article 2, paragraph 4), "perpetuate and promote the Vietnamese nation’s fine cultural traditions and ethics on marriage and family"(Article 2, paragraph 5) or using general terms such as [accepting] marriage and family practices "which are repetitive over a long period of time and widely accepted in an area, a region or a community"(Article 3, paragraph 4), or continuosly addresses the gap in marital age between males (20 years-old) and females (18 years-old) (Article 8, paragraph 1a)</w:t>
      </w:r>
      <w:r w:rsidRPr="00516CC7">
        <w:rPr>
          <w:rFonts w:asciiTheme="majorHAnsi" w:hAnsiTheme="majorHAnsi" w:cstheme="majorHAnsi"/>
          <w:sz w:val="18"/>
          <w:szCs w:val="18"/>
          <w:lang w:val="en-US"/>
        </w:rPr>
        <w:t xml:space="preserve">. </w:t>
      </w:r>
      <w:r w:rsidRPr="00516CC7">
        <w:rPr>
          <w:rFonts w:asciiTheme="majorHAnsi" w:hAnsiTheme="majorHAnsi" w:cstheme="majorHAnsi"/>
          <w:bCs/>
          <w:sz w:val="18"/>
          <w:szCs w:val="18"/>
        </w:rPr>
        <w:t xml:space="preserve">Law No 52/2014/QH13 dated June 19th 2014 on Marriage and Family. An English translation is accessible at </w:t>
      </w:r>
      <w:hyperlink r:id="rId1" w:history="1">
        <w:r w:rsidRPr="00516CC7">
          <w:rPr>
            <w:rStyle w:val="Hyperlink"/>
            <w:rFonts w:asciiTheme="majorHAnsi" w:hAnsiTheme="majorHAnsi" w:cstheme="majorHAnsi"/>
            <w:sz w:val="18"/>
            <w:szCs w:val="18"/>
          </w:rPr>
          <w:t>http://vbpl.vn/TW/Pages/vbpqen-toanvan.aspx?ItemID=10874</w:t>
        </w:r>
      </w:hyperlink>
    </w:p>
  </w:footnote>
  <w:footnote w:id="5">
    <w:p w14:paraId="511FD333" w14:textId="45CCD683" w:rsidR="00096C78" w:rsidRPr="00516CC7" w:rsidRDefault="00096C78" w:rsidP="00516CC7">
      <w:pPr>
        <w:pStyle w:val="FootnoteText"/>
        <w:spacing w:after="240"/>
        <w:jc w:val="both"/>
        <w:rPr>
          <w:rFonts w:asciiTheme="majorHAnsi" w:hAnsiTheme="majorHAnsi" w:cstheme="majorHAnsi"/>
          <w:sz w:val="18"/>
          <w:szCs w:val="18"/>
          <w:lang w:val="en-US"/>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rPr>
        <w:t xml:space="preserve"> </w:t>
      </w:r>
      <w:r w:rsidR="00993DD8">
        <w:rPr>
          <w:rFonts w:asciiTheme="majorHAnsi" w:hAnsiTheme="majorHAnsi" w:cstheme="majorHAnsi"/>
          <w:sz w:val="18"/>
          <w:szCs w:val="18"/>
          <w:lang w:val="en-US"/>
        </w:rPr>
        <w:t>O</w:t>
      </w:r>
      <w:r w:rsidRPr="00516CC7">
        <w:rPr>
          <w:rFonts w:asciiTheme="majorHAnsi" w:hAnsiTheme="majorHAnsi" w:cstheme="majorHAnsi"/>
          <w:sz w:val="18"/>
          <w:szCs w:val="18"/>
          <w:lang w:val="en-US"/>
        </w:rPr>
        <w:t xml:space="preserve">n </w:t>
      </w:r>
      <w:r w:rsidRPr="00516CC7">
        <w:rPr>
          <w:rFonts w:asciiTheme="majorHAnsi" w:hAnsiTheme="majorHAnsi" w:cstheme="majorHAnsi"/>
          <w:sz w:val="18"/>
          <w:szCs w:val="18"/>
        </w:rPr>
        <w:t>revis</w:t>
      </w:r>
      <w:r w:rsidRPr="00516CC7">
        <w:rPr>
          <w:rFonts w:asciiTheme="majorHAnsi" w:hAnsiTheme="majorHAnsi" w:cstheme="majorHAnsi"/>
          <w:sz w:val="18"/>
          <w:szCs w:val="18"/>
          <w:lang w:val="en-US"/>
        </w:rPr>
        <w:t>ing</w:t>
      </w:r>
      <w:r w:rsidRPr="00516CC7">
        <w:rPr>
          <w:rFonts w:asciiTheme="majorHAnsi" w:hAnsiTheme="majorHAnsi" w:cstheme="majorHAnsi"/>
          <w:sz w:val="18"/>
          <w:szCs w:val="18"/>
        </w:rPr>
        <w:t xml:space="preserve"> the law and set a minimum age limit for marriage for both females and males in line with Article 16 CEDAW</w:t>
      </w:r>
    </w:p>
  </w:footnote>
  <w:footnote w:id="6">
    <w:p w14:paraId="4CF639D2" w14:textId="18044F25" w:rsidR="00096C78" w:rsidRPr="00516CC7" w:rsidRDefault="00096C78" w:rsidP="00516CC7">
      <w:pPr>
        <w:pStyle w:val="FootnoteText"/>
        <w:spacing w:after="240"/>
        <w:jc w:val="both"/>
        <w:rPr>
          <w:rFonts w:asciiTheme="majorHAnsi" w:hAnsiTheme="majorHAnsi" w:cstheme="majorHAnsi"/>
          <w:sz w:val="18"/>
          <w:szCs w:val="18"/>
          <w:lang w:val="en-US"/>
        </w:rPr>
      </w:pPr>
      <w:r w:rsidRPr="00516CC7">
        <w:rPr>
          <w:rStyle w:val="FootnoteReference"/>
          <w:rFonts w:asciiTheme="majorHAnsi" w:hAnsiTheme="majorHAnsi" w:cstheme="majorHAnsi"/>
          <w:sz w:val="18"/>
          <w:szCs w:val="18"/>
        </w:rPr>
        <w:footnoteRef/>
      </w:r>
      <w:r w:rsidRPr="00516CC7">
        <w:rPr>
          <w:rFonts w:asciiTheme="majorHAnsi" w:hAnsiTheme="majorHAnsi" w:cstheme="majorHAnsi"/>
          <w:bCs/>
          <w:sz w:val="18"/>
          <w:szCs w:val="18"/>
          <w:lang w:val="en-US"/>
        </w:rPr>
        <w:t xml:space="preserve"> </w:t>
      </w:r>
      <w:r w:rsidR="00993DD8">
        <w:rPr>
          <w:rFonts w:asciiTheme="majorHAnsi" w:hAnsiTheme="majorHAnsi" w:cstheme="majorHAnsi"/>
          <w:sz w:val="18"/>
          <w:szCs w:val="18"/>
          <w:lang w:val="en-US"/>
        </w:rPr>
        <w:t>Or</w:t>
      </w:r>
      <w:r w:rsidRPr="00516CC7">
        <w:rPr>
          <w:rFonts w:asciiTheme="majorHAnsi" w:hAnsiTheme="majorHAnsi" w:cstheme="majorHAnsi"/>
          <w:sz w:val="18"/>
          <w:szCs w:val="18"/>
        </w:rPr>
        <w:t xml:space="preserve"> 65</w:t>
      </w:r>
      <w:r w:rsidRPr="00516CC7">
        <w:rPr>
          <w:rFonts w:asciiTheme="majorHAnsi" w:hAnsiTheme="majorHAnsi" w:cstheme="majorHAnsi"/>
          <w:sz w:val="18"/>
          <w:szCs w:val="18"/>
          <w:lang w:val="en-US"/>
        </w:rPr>
        <w:t xml:space="preserve">/60 respectively for </w:t>
      </w:r>
      <w:r w:rsidRPr="00516CC7">
        <w:rPr>
          <w:rFonts w:asciiTheme="majorHAnsi" w:hAnsiTheme="majorHAnsi" w:cstheme="majorHAnsi"/>
          <w:sz w:val="18"/>
          <w:szCs w:val="18"/>
        </w:rPr>
        <w:t>men and women who are professionally qualified workers, high-tech workers, management positions and some other special cases</w:t>
      </w:r>
      <w:r w:rsidRPr="00516CC7">
        <w:rPr>
          <w:rFonts w:asciiTheme="majorHAnsi" w:hAnsiTheme="majorHAnsi" w:cstheme="majorHAnsi"/>
          <w:sz w:val="18"/>
          <w:szCs w:val="18"/>
          <w:lang w:val="en-US"/>
        </w:rPr>
        <w:t>, following</w:t>
      </w:r>
      <w:r w:rsidRPr="00516CC7">
        <w:rPr>
          <w:rFonts w:asciiTheme="majorHAnsi" w:hAnsiTheme="majorHAnsi" w:cstheme="majorHAnsi"/>
          <w:sz w:val="18"/>
          <w:szCs w:val="18"/>
        </w:rPr>
        <w:t xml:space="preserve"> Article 187 of the Labor Code 2012 and Decree No. 53/2015 / ND-CP issued by the Government on May 29, 2015 on retirement age of cadres</w:t>
      </w:r>
      <w:r w:rsidRPr="00516CC7">
        <w:rPr>
          <w:rFonts w:asciiTheme="majorHAnsi" w:hAnsiTheme="majorHAnsi" w:cstheme="majorHAnsi"/>
          <w:sz w:val="18"/>
          <w:szCs w:val="18"/>
          <w:lang w:val="en-US"/>
        </w:rPr>
        <w:t xml:space="preserve"> and</w:t>
      </w:r>
      <w:r w:rsidRPr="00516CC7">
        <w:rPr>
          <w:rFonts w:asciiTheme="majorHAnsi" w:hAnsiTheme="majorHAnsi" w:cstheme="majorHAnsi"/>
          <w:sz w:val="18"/>
          <w:szCs w:val="18"/>
        </w:rPr>
        <w:t xml:space="preserve"> officer</w:t>
      </w:r>
      <w:r w:rsidRPr="00516CC7">
        <w:rPr>
          <w:rFonts w:asciiTheme="majorHAnsi" w:hAnsiTheme="majorHAnsi" w:cstheme="majorHAnsi"/>
          <w:sz w:val="18"/>
          <w:szCs w:val="18"/>
          <w:lang w:val="en-US"/>
        </w:rPr>
        <w:t>s.</w:t>
      </w:r>
    </w:p>
  </w:footnote>
  <w:footnote w:id="7">
    <w:p w14:paraId="1D151584" w14:textId="1D0CAE2D" w:rsidR="00096C78" w:rsidRPr="00516CC7" w:rsidRDefault="00096C78" w:rsidP="00516CC7">
      <w:pPr>
        <w:pStyle w:val="FootnoteText"/>
        <w:spacing w:after="240"/>
        <w:jc w:val="both"/>
        <w:rPr>
          <w:rFonts w:asciiTheme="majorHAnsi" w:hAnsiTheme="majorHAnsi" w:cstheme="majorHAnsi"/>
          <w:sz w:val="18"/>
          <w:szCs w:val="18"/>
          <w:lang w:val="en-US"/>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rPr>
        <w:t xml:space="preserve"> </w:t>
      </w:r>
      <w:r w:rsidRPr="00516CC7">
        <w:rPr>
          <w:rFonts w:asciiTheme="majorHAnsi" w:hAnsiTheme="majorHAnsi" w:cstheme="majorHAnsi"/>
          <w:sz w:val="18"/>
          <w:szCs w:val="18"/>
          <w:lang w:val="en-US"/>
        </w:rPr>
        <w:t xml:space="preserve">Article 160 Labor Code No. </w:t>
      </w:r>
      <w:r w:rsidRPr="00516CC7">
        <w:rPr>
          <w:rFonts w:asciiTheme="majorHAnsi" w:hAnsiTheme="majorHAnsi" w:cstheme="majorHAnsi"/>
          <w:color w:val="000000"/>
          <w:sz w:val="18"/>
          <w:szCs w:val="18"/>
          <w:shd w:val="clear" w:color="auto" w:fill="FFFFFF"/>
        </w:rPr>
        <w:t>10/2012/QH13</w:t>
      </w:r>
      <w:r w:rsidRPr="00516CC7">
        <w:rPr>
          <w:rFonts w:asciiTheme="majorHAnsi" w:hAnsiTheme="majorHAnsi" w:cstheme="majorHAnsi"/>
          <w:color w:val="000000"/>
          <w:sz w:val="18"/>
          <w:szCs w:val="18"/>
          <w:shd w:val="clear" w:color="auto" w:fill="FFFFFF"/>
          <w:lang w:val="en-US"/>
        </w:rPr>
        <w:t xml:space="preserve"> dated 18/6/2012. Follow this provision, the Circular No.</w:t>
      </w:r>
      <w:r w:rsidRPr="00516CC7">
        <w:rPr>
          <w:rFonts w:asciiTheme="majorHAnsi" w:hAnsiTheme="majorHAnsi" w:cstheme="majorHAnsi"/>
          <w:color w:val="333333"/>
          <w:sz w:val="18"/>
          <w:szCs w:val="18"/>
          <w:shd w:val="clear" w:color="auto" w:fill="FFFFFF"/>
        </w:rPr>
        <w:t xml:space="preserve"> 26/2013/TT-BLĐTBXH</w:t>
      </w:r>
      <w:r w:rsidRPr="00516CC7">
        <w:rPr>
          <w:rFonts w:asciiTheme="majorHAnsi" w:hAnsiTheme="majorHAnsi" w:cstheme="majorHAnsi"/>
          <w:color w:val="333333"/>
          <w:sz w:val="18"/>
          <w:szCs w:val="18"/>
          <w:shd w:val="clear" w:color="auto" w:fill="FFFFFF"/>
          <w:lang w:val="en-US"/>
        </w:rPr>
        <w:t xml:space="preserve"> dated 18/10/2013 provides a list of 77 jobs in which the employment of women is forbidden. The list includes several manual labor job and others, for instance or carrying weight more than 20kg or the operation of dead bodies. </w:t>
      </w:r>
    </w:p>
  </w:footnote>
  <w:footnote w:id="8">
    <w:p w14:paraId="4CE735D4" w14:textId="77777777" w:rsidR="00096C78" w:rsidRPr="00516CC7" w:rsidRDefault="00096C78" w:rsidP="00516CC7">
      <w:pPr>
        <w:pStyle w:val="FootnoteText"/>
        <w:spacing w:after="240"/>
        <w:jc w:val="both"/>
        <w:rPr>
          <w:rFonts w:asciiTheme="majorHAnsi" w:hAnsiTheme="majorHAnsi" w:cstheme="majorHAnsi"/>
          <w:sz w:val="18"/>
          <w:szCs w:val="18"/>
          <w:lang w:val="fr-FR"/>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lang w:val="fr-FR"/>
        </w:rPr>
        <w:t>Document No. 38 (A / 56/38) - Section 271</w:t>
      </w:r>
    </w:p>
  </w:footnote>
  <w:footnote w:id="9">
    <w:p w14:paraId="5D08EDCA" w14:textId="77777777" w:rsidR="00096C78" w:rsidRPr="00516CC7" w:rsidRDefault="00096C78" w:rsidP="00516CC7">
      <w:pPr>
        <w:pStyle w:val="FootnoteText"/>
        <w:spacing w:after="240"/>
        <w:jc w:val="both"/>
        <w:rPr>
          <w:rFonts w:asciiTheme="majorHAnsi" w:hAnsiTheme="majorHAnsi" w:cstheme="majorHAnsi"/>
          <w:sz w:val="18"/>
          <w:szCs w:val="18"/>
        </w:rPr>
      </w:pPr>
      <w:r w:rsidRPr="00516CC7">
        <w:rPr>
          <w:rStyle w:val="FootnoteReference"/>
          <w:rFonts w:asciiTheme="majorHAnsi" w:hAnsiTheme="majorHAnsi" w:cstheme="majorHAnsi"/>
          <w:sz w:val="18"/>
          <w:szCs w:val="18"/>
        </w:rPr>
        <w:footnoteRef/>
      </w:r>
      <w:r w:rsidRPr="00516CC7">
        <w:rPr>
          <w:rFonts w:asciiTheme="majorHAnsi" w:hAnsiTheme="majorHAnsi" w:cstheme="majorHAnsi"/>
          <w:sz w:val="18"/>
          <w:szCs w:val="18"/>
          <w:lang w:val="fr-FR"/>
        </w:rPr>
        <w:t xml:space="preserve">Document No. </w:t>
      </w:r>
      <w:r w:rsidRPr="00516CC7">
        <w:rPr>
          <w:rFonts w:asciiTheme="majorHAnsi" w:hAnsiTheme="majorHAnsi" w:cstheme="majorHAnsi"/>
          <w:sz w:val="18"/>
          <w:szCs w:val="18"/>
        </w:rPr>
        <w:t>E/C.12/VNM /CO/2-4</w:t>
      </w:r>
      <w:r w:rsidRPr="00516CC7">
        <w:rPr>
          <w:rFonts w:asciiTheme="majorHAnsi" w:hAnsiTheme="majorHAnsi" w:cstheme="majorHAnsi"/>
          <w:sz w:val="18"/>
          <w:szCs w:val="18"/>
        </w:rPr>
        <w:tab/>
      </w:r>
    </w:p>
  </w:footnote>
  <w:footnote w:id="10">
    <w:p w14:paraId="3A974E2D" w14:textId="77777777" w:rsidR="00096C78" w:rsidRPr="00B9017C" w:rsidRDefault="00096C78" w:rsidP="00B9017C">
      <w:pPr>
        <w:spacing w:before="60" w:after="240" w:line="240" w:lineRule="auto"/>
        <w:jc w:val="both"/>
        <w:rPr>
          <w:rFonts w:asciiTheme="majorHAnsi" w:eastAsia="Cambria" w:hAnsiTheme="majorHAnsi" w:cstheme="majorHAnsi"/>
          <w:color w:val="000000" w:themeColor="text1"/>
          <w:sz w:val="18"/>
          <w:szCs w:val="18"/>
        </w:rPr>
      </w:pPr>
      <w:r w:rsidRPr="00B9017C">
        <w:rPr>
          <w:rStyle w:val="FootnoteReference"/>
          <w:rFonts w:asciiTheme="majorHAnsi" w:hAnsiTheme="majorHAnsi" w:cstheme="majorHAnsi"/>
          <w:color w:val="000000" w:themeColor="text1"/>
          <w:sz w:val="18"/>
          <w:szCs w:val="18"/>
        </w:rPr>
        <w:footnoteRef/>
      </w:r>
      <w:r w:rsidRPr="00B9017C">
        <w:rPr>
          <w:rFonts w:asciiTheme="majorHAnsi" w:eastAsia="Cambria" w:hAnsiTheme="majorHAnsi" w:cstheme="majorHAnsi"/>
          <w:color w:val="000000" w:themeColor="text1"/>
          <w:sz w:val="18"/>
          <w:szCs w:val="18"/>
        </w:rPr>
        <w:t>Clause 6 of Article 153 states that "the State makes plans and takes measures for the organization of preschool, kindergarten at the place where there are many female employees", Clause 6, Article 154 stipulates one of the obligations of employers is "to assist and support the building of nursery school, kindergarten or partial cost of child care at kindergartens for female employees".</w:t>
      </w:r>
    </w:p>
  </w:footnote>
  <w:footnote w:id="11">
    <w:p w14:paraId="599EEE7C" w14:textId="61EB7153" w:rsidR="00096C78" w:rsidRPr="00B9017C" w:rsidRDefault="00096C78" w:rsidP="00B9017C">
      <w:pPr>
        <w:pStyle w:val="FootnoteText"/>
        <w:spacing w:after="240"/>
        <w:jc w:val="both"/>
        <w:rPr>
          <w:rFonts w:asciiTheme="majorHAnsi" w:hAnsiTheme="majorHAnsi" w:cstheme="majorHAnsi"/>
          <w:sz w:val="18"/>
          <w:szCs w:val="18"/>
          <w:lang w:val="en-US"/>
        </w:rPr>
      </w:pPr>
      <w:r w:rsidRPr="00B9017C">
        <w:rPr>
          <w:rStyle w:val="FootnoteReference"/>
          <w:rFonts w:asciiTheme="majorHAnsi" w:hAnsiTheme="majorHAnsi" w:cstheme="majorHAnsi"/>
          <w:sz w:val="18"/>
          <w:szCs w:val="18"/>
        </w:rPr>
        <w:footnoteRef/>
      </w:r>
      <w:hyperlink r:id="rId2" w:history="1">
        <w:r w:rsidRPr="00B9017C">
          <w:rPr>
            <w:rStyle w:val="Hyperlink"/>
            <w:rFonts w:asciiTheme="majorHAnsi" w:hAnsiTheme="majorHAnsi" w:cstheme="majorHAnsi"/>
            <w:sz w:val="18"/>
            <w:szCs w:val="18"/>
          </w:rPr>
          <w:t>http://duthaoonline.quochoi.vn/DuThao/Lists/DT_DUTHAO_LUAT/View_Detail.aspx?ItemID=1270&amp;TabIndex=2&amp;TaiLieuID=2591</w:t>
        </w:r>
      </w:hyperlink>
      <w:r w:rsidRPr="00B9017C">
        <w:rPr>
          <w:rFonts w:asciiTheme="majorHAnsi" w:hAnsiTheme="majorHAnsi" w:cstheme="majorHAnsi"/>
          <w:sz w:val="18"/>
          <w:szCs w:val="18"/>
        </w:rPr>
        <w:t xml:space="preserve"> (</w:t>
      </w:r>
      <w:r w:rsidRPr="00B9017C">
        <w:rPr>
          <w:rFonts w:asciiTheme="majorHAnsi" w:hAnsiTheme="majorHAnsi" w:cstheme="majorHAnsi"/>
          <w:sz w:val="18"/>
          <w:szCs w:val="18"/>
          <w:lang w:val="en-US"/>
        </w:rPr>
        <w:t>access on</w:t>
      </w:r>
      <w:r w:rsidRPr="00B9017C">
        <w:rPr>
          <w:rFonts w:asciiTheme="majorHAnsi" w:hAnsiTheme="majorHAnsi" w:cstheme="majorHAnsi"/>
          <w:sz w:val="18"/>
          <w:szCs w:val="18"/>
        </w:rPr>
        <w:t xml:space="preserve"> 6 June 2017)</w:t>
      </w:r>
      <w:r w:rsidRPr="00B9017C">
        <w:rPr>
          <w:rFonts w:asciiTheme="majorHAnsi" w:hAnsiTheme="majorHAnsi" w:cstheme="majorHAnsi"/>
          <w:sz w:val="18"/>
          <w:szCs w:val="18"/>
          <w:lang w:val="en-US"/>
        </w:rPr>
        <w:t xml:space="preserve">. </w:t>
      </w:r>
      <w:r w:rsidRPr="00B9017C">
        <w:rPr>
          <w:rFonts w:asciiTheme="majorHAnsi" w:hAnsiTheme="majorHAnsi" w:cstheme="majorHAnsi"/>
          <w:sz w:val="18"/>
          <w:szCs w:val="18"/>
        </w:rPr>
        <w:t>In this proposal, the retirement age is proposed with two options. The first option is to maintain the current retirement age of workers under normal working conditions, which is 60 years for men and 55 years for women. Option 2 would follow the first until January 1, 2021, after which it would make incremental increases of 6 months until reaching the age of 62 for males and 60 for females.</w:t>
      </w:r>
    </w:p>
  </w:footnote>
  <w:footnote w:id="12">
    <w:p w14:paraId="412FF898" w14:textId="77777777" w:rsidR="00096C78" w:rsidRPr="00B9017C" w:rsidRDefault="00096C78" w:rsidP="00B9017C">
      <w:pPr>
        <w:pStyle w:val="FootnoteText"/>
        <w:spacing w:after="240"/>
        <w:jc w:val="both"/>
        <w:rPr>
          <w:rFonts w:asciiTheme="majorHAnsi" w:hAnsiTheme="majorHAnsi" w:cstheme="majorHAnsi"/>
          <w:sz w:val="18"/>
          <w:szCs w:val="18"/>
          <w:lang w:val="en-US"/>
        </w:rPr>
      </w:pPr>
      <w:r w:rsidRPr="00B9017C">
        <w:rPr>
          <w:rStyle w:val="FootnoteReference"/>
          <w:rFonts w:asciiTheme="majorHAnsi" w:hAnsiTheme="majorHAnsi" w:cstheme="majorHAnsi"/>
          <w:sz w:val="18"/>
          <w:szCs w:val="18"/>
        </w:rPr>
        <w:footnoteRef/>
      </w:r>
      <w:r w:rsidRPr="00B9017C">
        <w:rPr>
          <w:rFonts w:asciiTheme="majorHAnsi" w:hAnsiTheme="majorHAnsi" w:cstheme="majorHAnsi"/>
          <w:sz w:val="18"/>
          <w:szCs w:val="18"/>
        </w:rPr>
        <w:t xml:space="preserve"> </w:t>
      </w:r>
      <w:r w:rsidRPr="00B9017C">
        <w:rPr>
          <w:rFonts w:asciiTheme="majorHAnsi" w:hAnsiTheme="majorHAnsi" w:cstheme="majorHAnsi"/>
          <w:sz w:val="18"/>
          <w:szCs w:val="18"/>
          <w:lang w:val="en-US"/>
        </w:rPr>
        <w:t>Article 5 para.2 only provides “discrimination against children is forbidden”.</w:t>
      </w:r>
    </w:p>
  </w:footnote>
  <w:footnote w:id="13">
    <w:p w14:paraId="177B353E" w14:textId="686352EF" w:rsidR="00096C78" w:rsidRPr="00B9017C" w:rsidRDefault="00096C78" w:rsidP="00B9017C">
      <w:pPr>
        <w:pStyle w:val="FootnoteText"/>
        <w:rPr>
          <w:rFonts w:asciiTheme="majorHAnsi" w:hAnsiTheme="majorHAnsi" w:cstheme="majorHAnsi"/>
          <w:sz w:val="18"/>
          <w:szCs w:val="18"/>
          <w:lang w:val="vi-VN"/>
        </w:rPr>
      </w:pPr>
      <w:r w:rsidRPr="00B9017C">
        <w:rPr>
          <w:rStyle w:val="FootnoteReference"/>
          <w:rFonts w:asciiTheme="majorHAnsi" w:hAnsiTheme="majorHAnsi" w:cstheme="majorHAnsi"/>
          <w:sz w:val="18"/>
          <w:szCs w:val="18"/>
        </w:rPr>
        <w:footnoteRef/>
      </w:r>
      <w:r w:rsidRPr="00B9017C">
        <w:rPr>
          <w:rFonts w:asciiTheme="majorHAnsi" w:hAnsiTheme="majorHAnsi" w:cstheme="majorHAnsi"/>
          <w:sz w:val="18"/>
          <w:szCs w:val="18"/>
        </w:rPr>
        <w:t xml:space="preserve"> Article </w:t>
      </w:r>
      <w:r w:rsidRPr="00B9017C">
        <w:rPr>
          <w:rFonts w:asciiTheme="majorHAnsi" w:hAnsiTheme="majorHAnsi" w:cstheme="majorHAnsi"/>
          <w:sz w:val="18"/>
          <w:szCs w:val="18"/>
          <w:lang w:val="vi-VN"/>
        </w:rPr>
        <w:t>37 para.2 requires the dut</w:t>
      </w:r>
      <w:r w:rsidR="00A26225">
        <w:rPr>
          <w:rFonts w:asciiTheme="majorHAnsi" w:hAnsiTheme="majorHAnsi" w:cstheme="majorHAnsi"/>
          <w:sz w:val="18"/>
          <w:szCs w:val="18"/>
          <w:lang w:val="vi-VN"/>
        </w:rPr>
        <w:t>y</w:t>
      </w:r>
      <w:r w:rsidRPr="00B9017C">
        <w:rPr>
          <w:rFonts w:asciiTheme="majorHAnsi" w:hAnsiTheme="majorHAnsi" w:cstheme="majorHAnsi"/>
          <w:sz w:val="18"/>
          <w:szCs w:val="18"/>
          <w:lang w:val="vi-VN"/>
        </w:rPr>
        <w:t xml:space="preserve"> of </w:t>
      </w:r>
      <w:r w:rsidR="00A26225">
        <w:rPr>
          <w:rFonts w:asciiTheme="majorHAnsi" w:hAnsiTheme="majorHAnsi" w:cstheme="majorHAnsi"/>
          <w:sz w:val="18"/>
          <w:szCs w:val="18"/>
          <w:lang w:val="vi-VN"/>
        </w:rPr>
        <w:t xml:space="preserve">a </w:t>
      </w:r>
      <w:r w:rsidRPr="00B9017C">
        <w:rPr>
          <w:rFonts w:asciiTheme="majorHAnsi" w:hAnsiTheme="majorHAnsi" w:cstheme="majorHAnsi"/>
          <w:sz w:val="18"/>
          <w:szCs w:val="18"/>
          <w:lang w:val="vi-VN"/>
        </w:rPr>
        <w:t xml:space="preserve">child to help their parents and other relatives to do housework that is suitable with </w:t>
      </w:r>
      <w:r w:rsidR="00A26225">
        <w:rPr>
          <w:rFonts w:asciiTheme="majorHAnsi" w:hAnsiTheme="majorHAnsi" w:cstheme="majorHAnsi"/>
          <w:sz w:val="18"/>
          <w:szCs w:val="18"/>
          <w:lang w:val="vi-VN"/>
        </w:rPr>
        <w:t>his/her gender.</w:t>
      </w:r>
    </w:p>
  </w:footnote>
  <w:footnote w:id="14">
    <w:p w14:paraId="6860A81F" w14:textId="77777777" w:rsidR="00096C78" w:rsidRPr="00B9017C" w:rsidRDefault="00096C78" w:rsidP="00B9017C">
      <w:pPr>
        <w:spacing w:before="100" w:beforeAutospacing="1" w:after="240" w:line="240" w:lineRule="auto"/>
        <w:jc w:val="both"/>
        <w:rPr>
          <w:rFonts w:asciiTheme="majorHAnsi" w:hAnsiTheme="majorHAnsi" w:cstheme="majorHAnsi"/>
          <w:sz w:val="18"/>
          <w:szCs w:val="18"/>
        </w:rPr>
      </w:pPr>
      <w:r w:rsidRPr="00B9017C">
        <w:rPr>
          <w:rStyle w:val="FootnoteReference"/>
          <w:rFonts w:asciiTheme="majorHAnsi" w:hAnsiTheme="majorHAnsi" w:cstheme="majorHAnsi"/>
          <w:sz w:val="18"/>
          <w:szCs w:val="18"/>
        </w:rPr>
        <w:footnoteRef/>
      </w:r>
      <w:r w:rsidRPr="00B9017C">
        <w:rPr>
          <w:rFonts w:asciiTheme="majorHAnsi" w:hAnsiTheme="majorHAnsi" w:cstheme="majorHAnsi"/>
          <w:sz w:val="18"/>
          <w:szCs w:val="18"/>
        </w:rPr>
        <w:t>Principles of non-discrimination on the basis of race, sex, social status, beliefs, religion, educational attainment, occupation, the length of stay in the electoral process has been stipulated in the 1992 Constitution</w:t>
      </w:r>
      <w:r w:rsidRPr="00B9017C">
        <w:rPr>
          <w:rStyle w:val="FootnoteReference"/>
          <w:rFonts w:asciiTheme="majorHAnsi" w:hAnsiTheme="majorHAnsi" w:cstheme="majorHAnsi"/>
          <w:color w:val="000000"/>
          <w:sz w:val="18"/>
          <w:szCs w:val="18"/>
        </w:rPr>
        <w:footnoteRef/>
      </w:r>
      <w:r w:rsidRPr="00B9017C">
        <w:rPr>
          <w:rFonts w:asciiTheme="majorHAnsi" w:hAnsiTheme="majorHAnsi" w:cstheme="majorHAnsi"/>
          <w:sz w:val="18"/>
          <w:szCs w:val="18"/>
        </w:rPr>
        <w:t>, the Law on the Election of delegates to the National Assembly in 1997</w:t>
      </w:r>
      <w:r w:rsidRPr="00B9017C">
        <w:rPr>
          <w:rStyle w:val="FootnoteReference"/>
          <w:rFonts w:asciiTheme="majorHAnsi" w:hAnsiTheme="majorHAnsi" w:cstheme="majorHAnsi"/>
          <w:color w:val="000000"/>
          <w:sz w:val="18"/>
          <w:szCs w:val="18"/>
        </w:rPr>
        <w:footnoteRef/>
      </w:r>
      <w:r w:rsidRPr="00B9017C">
        <w:rPr>
          <w:rFonts w:asciiTheme="majorHAnsi" w:hAnsiTheme="majorHAnsi" w:cstheme="majorHAnsi"/>
          <w:sz w:val="18"/>
          <w:szCs w:val="18"/>
        </w:rPr>
        <w:t xml:space="preserve"> and the Law on the Election of delegates to the People's Councils in 2003Article 2 of the Law on the Election of Delegates to the People's Council 2003 stipulates that "Citizens of the Socialist Republic of Vietnam will be not discriminated on the basis of nationality, sex, social status, belief, religion, occupation or residence duration, who are full eighteen years or older and have the right to vote and are twenty-one years or older, shall have the right to stand for election to the People's Councils according to the provisions of law”. </w:t>
      </w:r>
    </w:p>
  </w:footnote>
  <w:footnote w:id="15">
    <w:p w14:paraId="5F1EA359" w14:textId="77777777" w:rsidR="00096C78" w:rsidRPr="00B9017C" w:rsidRDefault="00096C78" w:rsidP="00B9017C">
      <w:pPr>
        <w:spacing w:after="240" w:line="240" w:lineRule="auto"/>
        <w:jc w:val="both"/>
        <w:rPr>
          <w:rFonts w:asciiTheme="majorHAnsi" w:eastAsia="Times New Roman" w:hAnsiTheme="majorHAnsi" w:cstheme="majorHAnsi"/>
          <w:sz w:val="18"/>
          <w:szCs w:val="18"/>
        </w:rPr>
      </w:pPr>
      <w:r w:rsidRPr="00B9017C">
        <w:rPr>
          <w:rStyle w:val="FootnoteReference"/>
          <w:rFonts w:asciiTheme="majorHAnsi" w:hAnsiTheme="majorHAnsi" w:cstheme="majorHAnsi"/>
          <w:sz w:val="18"/>
          <w:szCs w:val="18"/>
        </w:rPr>
        <w:footnoteRef/>
      </w:r>
      <w:r w:rsidRPr="00B9017C">
        <w:rPr>
          <w:rFonts w:asciiTheme="majorHAnsi" w:hAnsiTheme="majorHAnsi" w:cstheme="majorHAnsi"/>
          <w:sz w:val="18"/>
          <w:szCs w:val="18"/>
        </w:rPr>
        <w:t>Article 27 of the Constitution states that "Citizens who are eighteen years of age or older shall have the right to vote and twenty-one years or more shall have the right to stand for election to the National Assembly or the People's Council. The exercise of these rights is governed by law.</w:t>
      </w:r>
    </w:p>
  </w:footnote>
  <w:footnote w:id="16">
    <w:p w14:paraId="356D715D" w14:textId="77777777" w:rsidR="00096C78" w:rsidRPr="00EA090C" w:rsidRDefault="00096C78" w:rsidP="006E407B">
      <w:pPr>
        <w:pStyle w:val="FootnoteText"/>
        <w:spacing w:after="240" w:line="276" w:lineRule="auto"/>
        <w:jc w:val="both"/>
        <w:rPr>
          <w:rFonts w:asciiTheme="majorHAnsi" w:hAnsiTheme="majorHAnsi" w:cstheme="majorHAnsi"/>
          <w:sz w:val="18"/>
          <w:szCs w:val="18"/>
        </w:rPr>
      </w:pPr>
      <w:r w:rsidRPr="00EA090C">
        <w:rPr>
          <w:rStyle w:val="FootnoteReference"/>
          <w:rFonts w:asciiTheme="majorHAnsi" w:hAnsiTheme="majorHAnsi" w:cstheme="majorHAnsi"/>
          <w:sz w:val="18"/>
          <w:szCs w:val="18"/>
        </w:rPr>
        <w:footnoteRef/>
      </w:r>
      <w:r w:rsidRPr="00EA090C">
        <w:rPr>
          <w:rFonts w:asciiTheme="majorHAnsi" w:hAnsiTheme="majorHAnsi" w:cstheme="majorHAnsi"/>
          <w:bCs/>
          <w:sz w:val="18"/>
          <w:szCs w:val="18"/>
          <w:lang w:bidi="th-TH"/>
        </w:rPr>
        <w:t>CEDAW A/56/38 (2001)</w:t>
      </w:r>
      <w:r w:rsidRPr="00EA090C">
        <w:rPr>
          <w:rFonts w:asciiTheme="majorHAnsi" w:hAnsiTheme="majorHAnsi" w:cstheme="majorHAnsi"/>
          <w:bCs/>
          <w:sz w:val="18"/>
          <w:szCs w:val="18"/>
        </w:rPr>
        <w:t xml:space="preserve"> para. 271.</w:t>
      </w:r>
    </w:p>
  </w:footnote>
  <w:footnote w:id="17">
    <w:p w14:paraId="09858517" w14:textId="77777777" w:rsidR="00096C78" w:rsidRPr="00EA090C" w:rsidRDefault="00096C78" w:rsidP="006E407B">
      <w:pPr>
        <w:pStyle w:val="FootnoteText"/>
        <w:spacing w:afterLines="60" w:after="144" w:line="276" w:lineRule="auto"/>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lang w:val="en-US"/>
        </w:rPr>
        <w:t xml:space="preserve">Article 21. </w:t>
      </w:r>
    </w:p>
  </w:footnote>
  <w:footnote w:id="18">
    <w:p w14:paraId="624F6DD7" w14:textId="77777777" w:rsidR="00096C78" w:rsidRPr="00EA090C" w:rsidRDefault="00096C78" w:rsidP="006E407B">
      <w:pPr>
        <w:pStyle w:val="FootnoteText"/>
        <w:spacing w:afterLines="60" w:after="144" w:line="276" w:lineRule="auto"/>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lang w:val="en-US"/>
        </w:rPr>
        <w:t xml:space="preserve">Article 22. Law on Gender Equality </w:t>
      </w:r>
    </w:p>
  </w:footnote>
  <w:footnote w:id="19">
    <w:p w14:paraId="1C35AA93" w14:textId="77777777" w:rsidR="00096C78" w:rsidRPr="00EA090C" w:rsidRDefault="00096C78" w:rsidP="006E407B">
      <w:pPr>
        <w:pStyle w:val="FootnoteText"/>
        <w:spacing w:afterLines="60" w:after="144" w:line="276" w:lineRule="auto"/>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rPr>
        <w:t>Law on Gender Equality 2006</w:t>
      </w:r>
      <w:r w:rsidRPr="00EA090C">
        <w:rPr>
          <w:rFonts w:asciiTheme="majorHAnsi" w:hAnsiTheme="majorHAnsi" w:cstheme="majorHAnsi"/>
          <w:sz w:val="18"/>
          <w:szCs w:val="18"/>
          <w:lang w:val="en-US"/>
        </w:rPr>
        <w:t>, article 22, para.2</w:t>
      </w:r>
    </w:p>
  </w:footnote>
  <w:footnote w:id="20">
    <w:p w14:paraId="51DD783B" w14:textId="1AD84AB1" w:rsidR="00096C78" w:rsidRPr="00993DD8" w:rsidRDefault="00096C78" w:rsidP="00EA090C">
      <w:pPr>
        <w:spacing w:afterLines="60" w:after="144" w:line="240" w:lineRule="auto"/>
        <w:jc w:val="both"/>
        <w:rPr>
          <w:rFonts w:asciiTheme="majorHAnsi" w:eastAsia="Times New Roman" w:hAnsiTheme="majorHAnsi" w:cstheme="majorHAnsi"/>
          <w:sz w:val="18"/>
          <w:szCs w:val="18"/>
          <w:lang w:val="vi-VN"/>
        </w:rPr>
      </w:pPr>
      <w:r w:rsidRPr="00EA090C">
        <w:rPr>
          <w:rStyle w:val="FootnoteReference"/>
          <w:rFonts w:asciiTheme="majorHAnsi" w:hAnsiTheme="majorHAnsi" w:cstheme="majorHAnsi"/>
          <w:sz w:val="18"/>
          <w:szCs w:val="18"/>
        </w:rPr>
        <w:footnoteRef/>
      </w:r>
      <w:r w:rsidRPr="00EA090C">
        <w:rPr>
          <w:rFonts w:asciiTheme="majorHAnsi" w:eastAsia="Times New Roman" w:hAnsiTheme="majorHAnsi" w:cstheme="majorHAnsi"/>
          <w:sz w:val="18"/>
          <w:szCs w:val="18"/>
        </w:rPr>
        <w:t>CEDAW/C/VNM/CO/7-8</w:t>
      </w:r>
      <w:r w:rsidR="00993DD8">
        <w:rPr>
          <w:rFonts w:asciiTheme="majorHAnsi" w:eastAsia="Times New Roman" w:hAnsiTheme="majorHAnsi" w:cstheme="majorHAnsi"/>
          <w:sz w:val="18"/>
          <w:szCs w:val="18"/>
          <w:lang w:val="vi-VN"/>
        </w:rPr>
        <w:t xml:space="preserve"> para. 8 and 14</w:t>
      </w:r>
    </w:p>
  </w:footnote>
  <w:footnote w:id="21">
    <w:p w14:paraId="385A5D6E" w14:textId="77777777" w:rsidR="00096C78" w:rsidRPr="00EA090C" w:rsidRDefault="00096C78" w:rsidP="00EA090C">
      <w:pPr>
        <w:spacing w:afterLines="60" w:after="144" w:line="240" w:lineRule="auto"/>
        <w:jc w:val="both"/>
        <w:rPr>
          <w:rFonts w:asciiTheme="majorHAnsi" w:hAnsiTheme="majorHAnsi" w:cstheme="majorHAnsi"/>
          <w:iCs/>
          <w:sz w:val="18"/>
          <w:szCs w:val="18"/>
        </w:rPr>
      </w:pPr>
      <w:r w:rsidRPr="00EA090C">
        <w:rPr>
          <w:rStyle w:val="FootnoteReference"/>
          <w:rFonts w:asciiTheme="majorHAnsi" w:hAnsiTheme="majorHAnsi" w:cstheme="majorHAnsi"/>
          <w:sz w:val="18"/>
          <w:szCs w:val="18"/>
        </w:rPr>
        <w:footnoteRef/>
      </w:r>
      <w:r w:rsidRPr="00EA090C">
        <w:rPr>
          <w:rFonts w:asciiTheme="majorHAnsi" w:hAnsiTheme="majorHAnsi" w:cstheme="majorHAnsi"/>
          <w:iCs/>
          <w:sz w:val="18"/>
          <w:szCs w:val="18"/>
        </w:rPr>
        <w:t xml:space="preserve">MOET, UNESSCO, 2010. The Study on National textbook review and analysis from a gender perspective; and Nguyen Thi Tuyet Minh and Nguyen Thi Thu Hang, 2009. Gender stereotypes in primary textbooks. The study indicated, for example, </w:t>
      </w:r>
      <w:r w:rsidRPr="00EA090C">
        <w:rPr>
          <w:rFonts w:asciiTheme="majorHAnsi" w:hAnsiTheme="majorHAnsi" w:cstheme="majorHAnsi"/>
          <w:sz w:val="18"/>
          <w:szCs w:val="18"/>
        </w:rPr>
        <w:t>, in which men appear as the main character (41%) more frequently than women (15.6%); names of male characters in textbooks usually mean 'intelligent' (66.67%), 'ambitious' (10%), 'natural phenomenon' (13.33%), 'strong animals' (10% ), while female names are names of flowers (27.5%), names of plants (15%), seasons' names (10%), birds' names (7.5%), or rivers' names (40%).</w:t>
      </w:r>
    </w:p>
  </w:footnote>
  <w:footnote w:id="22">
    <w:p w14:paraId="7DBF114F" w14:textId="77777777" w:rsidR="00096C78" w:rsidRPr="00EA090C" w:rsidRDefault="00096C78" w:rsidP="00EA090C">
      <w:pPr>
        <w:suppressAutoHyphens/>
        <w:spacing w:afterLines="60" w:after="144" w:line="240" w:lineRule="auto"/>
        <w:jc w:val="both"/>
        <w:rPr>
          <w:rFonts w:asciiTheme="majorHAnsi" w:hAnsiTheme="majorHAnsi" w:cstheme="majorHAnsi"/>
          <w:iCs/>
          <w:sz w:val="18"/>
          <w:szCs w:val="18"/>
          <w:lang w:val="en-US"/>
        </w:rPr>
      </w:pPr>
      <w:r w:rsidRPr="00EA090C">
        <w:rPr>
          <w:rStyle w:val="FootnoteReference"/>
          <w:rFonts w:asciiTheme="majorHAnsi" w:eastAsia="Times New Roman" w:hAnsiTheme="majorHAnsi" w:cstheme="majorHAnsi"/>
          <w:noProof/>
          <w:sz w:val="18"/>
          <w:szCs w:val="18"/>
          <w:lang w:val="vi-VN"/>
        </w:rPr>
        <w:footnoteRef/>
      </w:r>
      <w:r w:rsidRPr="00EA090C">
        <w:rPr>
          <w:rFonts w:asciiTheme="majorHAnsi" w:hAnsiTheme="majorHAnsi" w:cstheme="majorHAnsi"/>
          <w:sz w:val="18"/>
          <w:szCs w:val="18"/>
        </w:rPr>
        <w:t>The team reviewed elementary textbooks of Vietnamese; Nature, Society and Science textbook, Ethics books and workbooks. These textbooks showed 100% of the career-related illustrations of construction workers, engineers are associated with male imagery; 88.68% of the teacher profession illustrations are female; 53.49% of the farmer images are female; 70% of the images associated with the health sector are male; 64.29% of the images associated with the care and education of children are female; 96.67% of the images in the military, security sector are men; and 95.83% of illustrations of housework are attached to women. The terms describing male characteristics are "strong", "the breadwinner", "the director". The words that describe the female characters are "gentle", "patient", "good cook", "child care", "secretary". Some posters used in primary schools with the topic of occupation and family published by the Vietnam Education Publishing House still uphold gender stereotypes such as male professions are related to engineering and health sectors such as builders, mechanics, engineers; women often work as farmers, teachers, cleaning staff</w:t>
      </w:r>
      <w:r w:rsidRPr="00EA090C">
        <w:rPr>
          <w:rFonts w:asciiTheme="majorHAnsi" w:hAnsiTheme="majorHAnsi" w:cstheme="majorHAnsi"/>
          <w:sz w:val="18"/>
          <w:szCs w:val="18"/>
          <w:lang w:val="en-US"/>
        </w:rPr>
        <w:t>.</w:t>
      </w:r>
    </w:p>
  </w:footnote>
  <w:footnote w:id="23">
    <w:p w14:paraId="2608076D" w14:textId="77777777" w:rsidR="00096C78" w:rsidRPr="00EA090C" w:rsidRDefault="00096C78" w:rsidP="00EA090C">
      <w:pPr>
        <w:suppressAutoHyphens/>
        <w:spacing w:afterLines="60" w:after="144" w:line="240" w:lineRule="auto"/>
        <w:jc w:val="both"/>
        <w:rPr>
          <w:rFonts w:asciiTheme="majorHAnsi" w:hAnsiTheme="majorHAnsi" w:cstheme="majorHAnsi"/>
          <w:sz w:val="18"/>
          <w:szCs w:val="18"/>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rPr>
        <w:t>Coloring book "Be tap lam noi tro" (Learn to do housework) by Ha Tay Printing and Packaging Company (fourth edition), May 2017; The coloring book "Nganh nghe" (Jobs) Ha Tay Printing and Packaging Company (sixth edition), May 2017; "Be hoat dong va kham pha chu de Nghe nghiep cho be tu 3-4 tuoi" (Activities for kids to explore the topic of jobs for children aged 3-4 years old) by the printing company of the General Staff (fourth edition), September 2016.</w:t>
      </w:r>
    </w:p>
  </w:footnote>
  <w:footnote w:id="24">
    <w:p w14:paraId="4F076C44" w14:textId="43893FB5" w:rsidR="00AD17AE" w:rsidRPr="00AD17AE" w:rsidRDefault="00AD17AE" w:rsidP="00AD17AE">
      <w:pPr>
        <w:pStyle w:val="FootnoteText"/>
        <w:spacing w:afterLines="60" w:after="144"/>
        <w:jc w:val="both"/>
        <w:rPr>
          <w:rFonts w:asciiTheme="majorHAnsi" w:hAnsiTheme="majorHAnsi" w:cstheme="majorHAnsi"/>
          <w:iCs/>
          <w:sz w:val="18"/>
          <w:szCs w:val="18"/>
          <w:lang w:val="en-US"/>
        </w:rPr>
      </w:pPr>
      <w:r>
        <w:rPr>
          <w:rStyle w:val="FootnoteReference"/>
        </w:rPr>
        <w:footnoteRef/>
      </w:r>
      <w:r>
        <w:t xml:space="preserve"> </w:t>
      </w:r>
      <w:r w:rsidRPr="00EA090C">
        <w:rPr>
          <w:rFonts w:asciiTheme="majorHAnsi" w:hAnsiTheme="majorHAnsi" w:cstheme="majorHAnsi"/>
          <w:iCs/>
          <w:sz w:val="18"/>
          <w:szCs w:val="18"/>
        </w:rPr>
        <w:t xml:space="preserve">Global Media Monitoring Project 2010 </w:t>
      </w:r>
      <w:r w:rsidRPr="00EA090C">
        <w:rPr>
          <w:rFonts w:asciiTheme="majorHAnsi" w:hAnsiTheme="majorHAnsi" w:cstheme="majorHAnsi"/>
          <w:iCs/>
          <w:sz w:val="18"/>
          <w:szCs w:val="18"/>
          <w:lang w:val="en-US"/>
        </w:rPr>
        <w:t>and the Survey on Gender Equality, Prevention of Domestic Violence and Sex Ratio at Birth via Mass Media (Case Study of Vietnamese Women Newspaper, Tien Phong Newspaper, Dan Tri Newspaper) and commercials on VTV3, VOV1 by CSAGA in 2012</w:t>
      </w:r>
    </w:p>
  </w:footnote>
  <w:footnote w:id="25">
    <w:p w14:paraId="39D82497" w14:textId="77777777" w:rsidR="00AD17AE" w:rsidRPr="00EA090C" w:rsidRDefault="00AD17AE" w:rsidP="00AD17AE">
      <w:pPr>
        <w:pStyle w:val="FootnoteText"/>
        <w:spacing w:afterLines="60" w:after="144"/>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lang w:val="en-US"/>
        </w:rPr>
        <w:t>Article 8 para.6</w:t>
      </w:r>
    </w:p>
  </w:footnote>
  <w:footnote w:id="26">
    <w:p w14:paraId="5A56546C" w14:textId="77777777" w:rsidR="00096C78" w:rsidRPr="00EA090C" w:rsidRDefault="00096C78" w:rsidP="00EA090C">
      <w:pPr>
        <w:pStyle w:val="FootnoteText"/>
        <w:spacing w:afterLines="60" w:after="144"/>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iCs/>
          <w:sz w:val="18"/>
          <w:szCs w:val="18"/>
        </w:rPr>
        <w:t>The team</w:t>
      </w:r>
      <w:r w:rsidRPr="00EA090C">
        <w:rPr>
          <w:rFonts w:asciiTheme="majorHAnsi" w:hAnsiTheme="majorHAnsi" w:cstheme="majorHAnsi"/>
          <w:iCs/>
          <w:sz w:val="18"/>
          <w:szCs w:val="18"/>
          <w:lang w:val="en-US"/>
        </w:rPr>
        <w:t xml:space="preserve"> observed</w:t>
      </w:r>
      <w:r w:rsidRPr="00EA090C">
        <w:rPr>
          <w:rFonts w:asciiTheme="majorHAnsi" w:hAnsiTheme="majorHAnsi" w:cstheme="majorHAnsi"/>
          <w:iCs/>
          <w:sz w:val="18"/>
          <w:szCs w:val="18"/>
        </w:rPr>
        <w:t xml:space="preserve"> from 6</w:t>
      </w:r>
      <w:r w:rsidRPr="00EA090C">
        <w:rPr>
          <w:rFonts w:asciiTheme="majorHAnsi" w:hAnsiTheme="majorHAnsi" w:cstheme="majorHAnsi"/>
          <w:iCs/>
          <w:sz w:val="18"/>
          <w:szCs w:val="18"/>
          <w:lang w:val="en-US"/>
        </w:rPr>
        <w:t>:</w:t>
      </w:r>
      <w:r w:rsidRPr="00EA090C">
        <w:rPr>
          <w:rFonts w:asciiTheme="majorHAnsi" w:hAnsiTheme="majorHAnsi" w:cstheme="majorHAnsi"/>
          <w:iCs/>
          <w:sz w:val="18"/>
          <w:szCs w:val="18"/>
        </w:rPr>
        <w:t>30 to 22</w:t>
      </w:r>
      <w:r w:rsidRPr="00EA090C">
        <w:rPr>
          <w:rFonts w:asciiTheme="majorHAnsi" w:hAnsiTheme="majorHAnsi" w:cstheme="majorHAnsi"/>
          <w:iCs/>
          <w:sz w:val="18"/>
          <w:szCs w:val="18"/>
          <w:lang w:val="en-US"/>
        </w:rPr>
        <w:t>:</w:t>
      </w:r>
      <w:r w:rsidRPr="00EA090C">
        <w:rPr>
          <w:rFonts w:asciiTheme="majorHAnsi" w:hAnsiTheme="majorHAnsi" w:cstheme="majorHAnsi"/>
          <w:iCs/>
          <w:sz w:val="18"/>
          <w:szCs w:val="18"/>
        </w:rPr>
        <w:t>30 everyday from 7-9 June 2018</w:t>
      </w:r>
      <w:r w:rsidRPr="00EA090C">
        <w:rPr>
          <w:rFonts w:asciiTheme="majorHAnsi" w:hAnsiTheme="majorHAnsi" w:cstheme="majorHAnsi"/>
          <w:iCs/>
          <w:sz w:val="18"/>
          <w:szCs w:val="18"/>
          <w:lang w:val="en-US"/>
        </w:rPr>
        <w:t xml:space="preserve"> and found out</w:t>
      </w:r>
      <w:r w:rsidRPr="00EA090C">
        <w:rPr>
          <w:rFonts w:asciiTheme="majorHAnsi" w:hAnsiTheme="majorHAnsi" w:cstheme="majorHAnsi"/>
          <w:iCs/>
          <w:sz w:val="18"/>
          <w:szCs w:val="18"/>
        </w:rPr>
        <w:t xml:space="preserve"> among 432 commercials broadcast on VTV3 </w:t>
      </w:r>
      <w:r w:rsidRPr="00EA090C">
        <w:rPr>
          <w:rFonts w:asciiTheme="majorHAnsi" w:hAnsiTheme="majorHAnsi" w:cstheme="majorHAnsi"/>
          <w:iCs/>
          <w:sz w:val="18"/>
          <w:szCs w:val="18"/>
          <w:lang w:val="en-US"/>
        </w:rPr>
        <w:t>c</w:t>
      </w:r>
      <w:r w:rsidRPr="00EA090C">
        <w:rPr>
          <w:rFonts w:asciiTheme="majorHAnsi" w:hAnsiTheme="majorHAnsi" w:cstheme="majorHAnsi"/>
          <w:iCs/>
          <w:sz w:val="18"/>
          <w:szCs w:val="18"/>
        </w:rPr>
        <w:t>hannel, 58.56% of the commercials used images, characters with female characteristics that reinforce gender stereotypes and prejudices</w:t>
      </w:r>
      <w:r w:rsidRPr="00EA090C">
        <w:rPr>
          <w:rFonts w:asciiTheme="majorHAnsi" w:hAnsiTheme="majorHAnsi" w:cstheme="majorHAnsi"/>
          <w:iCs/>
          <w:sz w:val="18"/>
          <w:szCs w:val="18"/>
          <w:lang w:val="en-US"/>
        </w:rPr>
        <w:t xml:space="preserve">, </w:t>
      </w:r>
      <w:r w:rsidRPr="00EA090C">
        <w:rPr>
          <w:rFonts w:asciiTheme="majorHAnsi" w:hAnsiTheme="majorHAnsi" w:cstheme="majorHAnsi"/>
          <w:sz w:val="18"/>
          <w:szCs w:val="18"/>
        </w:rPr>
        <w:t>Including advertisements of formula milk companies such as Optimum Gold Plus, Pediasure; dipping sauce companies such as Chin-su, Long Dinh, Nam Ngu or baby-friendly products such as Johnson baby Top-to-Toe Shower Gel</w:t>
      </w:r>
      <w:r w:rsidRPr="00EA090C">
        <w:rPr>
          <w:rFonts w:asciiTheme="majorHAnsi" w:hAnsiTheme="majorHAnsi" w:cstheme="majorHAnsi"/>
          <w:iCs/>
          <w:sz w:val="18"/>
          <w:szCs w:val="18"/>
        </w:rPr>
        <w:t>. The images in the promotional clips play into gender stereotypes, particularly the expectation that women are responsible for maintaining a household in addition to achieving professional success. Women are attached to the image which is soft, sweet, delicate, gentle to attract men. Meanwhile, men must be strong, proactive to protect women and children, taking charge of the family's economy and social relations, as well as they should do the job requires strength and technical skills</w:t>
      </w:r>
      <w:r w:rsidRPr="00EA090C">
        <w:rPr>
          <w:rFonts w:asciiTheme="majorHAnsi" w:hAnsiTheme="majorHAnsi" w:cstheme="majorHAnsi"/>
          <w:iCs/>
          <w:sz w:val="18"/>
          <w:szCs w:val="18"/>
          <w:lang w:val="en-US"/>
        </w:rPr>
        <w:t xml:space="preserve"> (Including the advertisements of some dairy products, beverages, energy drinks such as Pepsi, Pediasure milk, Fami and Bkav Pro, an antivirus software)</w:t>
      </w:r>
    </w:p>
  </w:footnote>
  <w:footnote w:id="27">
    <w:p w14:paraId="3CF19A09" w14:textId="77777777" w:rsidR="00096C78" w:rsidRPr="00EA090C" w:rsidRDefault="00096C78" w:rsidP="00EA090C">
      <w:pPr>
        <w:suppressAutoHyphens/>
        <w:spacing w:afterLines="60" w:after="144" w:line="240" w:lineRule="auto"/>
        <w:jc w:val="both"/>
        <w:rPr>
          <w:rFonts w:asciiTheme="majorHAnsi" w:hAnsiTheme="majorHAnsi" w:cstheme="majorHAnsi"/>
          <w:iCs/>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iCs/>
          <w:sz w:val="18"/>
          <w:szCs w:val="18"/>
        </w:rPr>
        <w:t>Including the advertisements of Vedan sweet powder, 3 Mien dipping sauce, washing water Sunlight Aloe.</w:t>
      </w:r>
    </w:p>
  </w:footnote>
  <w:footnote w:id="28">
    <w:p w14:paraId="1BAF2D34" w14:textId="7D34530A" w:rsidR="00096C78" w:rsidRPr="00EA090C" w:rsidRDefault="00096C78" w:rsidP="00EA090C">
      <w:pPr>
        <w:pStyle w:val="FootnoteText"/>
        <w:spacing w:afterLines="60" w:after="144"/>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iCs/>
          <w:sz w:val="18"/>
          <w:szCs w:val="18"/>
          <w:lang w:val="en-US"/>
        </w:rPr>
        <w:t>Including the programs “</w:t>
      </w:r>
      <w:r w:rsidRPr="00EA090C">
        <w:rPr>
          <w:rFonts w:asciiTheme="majorHAnsi" w:hAnsiTheme="majorHAnsi" w:cstheme="majorHAnsi"/>
          <w:iCs/>
          <w:sz w:val="18"/>
          <w:szCs w:val="18"/>
        </w:rPr>
        <w:t xml:space="preserve">Đại chiến quý ông” (Gentlemen's War), </w:t>
      </w:r>
      <w:r w:rsidRPr="00EA090C">
        <w:rPr>
          <w:rFonts w:asciiTheme="majorHAnsi" w:hAnsiTheme="majorHAnsi" w:cstheme="majorHAnsi"/>
          <w:iCs/>
          <w:sz w:val="18"/>
          <w:szCs w:val="18"/>
          <w:lang w:val="en-US"/>
        </w:rPr>
        <w:t>“</w:t>
      </w:r>
      <w:r w:rsidRPr="00EA090C">
        <w:rPr>
          <w:rFonts w:asciiTheme="majorHAnsi" w:hAnsiTheme="majorHAnsi" w:cstheme="majorHAnsi"/>
          <w:iCs/>
          <w:sz w:val="18"/>
          <w:szCs w:val="18"/>
        </w:rPr>
        <w:t>Chất lượng cuộc sống”(Life quality), “Trí lực sánh đôi”</w:t>
      </w:r>
      <w:r w:rsidRPr="00EA090C">
        <w:rPr>
          <w:rFonts w:asciiTheme="majorHAnsi" w:hAnsiTheme="majorHAnsi" w:cstheme="majorHAnsi"/>
          <w:iCs/>
          <w:sz w:val="18"/>
          <w:szCs w:val="18"/>
          <w:lang w:val="en-US"/>
        </w:rPr>
        <w:t xml:space="preserve"> (Matching force)</w:t>
      </w:r>
      <w:r w:rsidRPr="00EA090C">
        <w:rPr>
          <w:rFonts w:asciiTheme="majorHAnsi" w:hAnsiTheme="majorHAnsi" w:cstheme="majorHAnsi"/>
          <w:iCs/>
          <w:sz w:val="18"/>
          <w:szCs w:val="18"/>
        </w:rPr>
        <w:t>, “Chuẩn cơm mẹ nấu”</w:t>
      </w:r>
      <w:r w:rsidRPr="00EA090C">
        <w:rPr>
          <w:rFonts w:asciiTheme="majorHAnsi" w:hAnsiTheme="majorHAnsi" w:cstheme="majorHAnsi"/>
          <w:iCs/>
          <w:sz w:val="18"/>
          <w:szCs w:val="18"/>
          <w:lang w:val="en-US"/>
        </w:rPr>
        <w:t xml:space="preserve"> (That’s my mom dishes)</w:t>
      </w:r>
      <w:r w:rsidRPr="00EA090C">
        <w:rPr>
          <w:rFonts w:asciiTheme="majorHAnsi" w:hAnsiTheme="majorHAnsi" w:cstheme="majorHAnsi"/>
          <w:iCs/>
          <w:sz w:val="18"/>
          <w:szCs w:val="18"/>
        </w:rPr>
        <w:t xml:space="preserve"> and “Lựa chọn của trái tim”</w:t>
      </w:r>
      <w:r w:rsidRPr="00EA090C">
        <w:rPr>
          <w:rFonts w:asciiTheme="majorHAnsi" w:hAnsiTheme="majorHAnsi" w:cstheme="majorHAnsi"/>
          <w:iCs/>
          <w:sz w:val="18"/>
          <w:szCs w:val="18"/>
          <w:lang w:val="en-US"/>
        </w:rPr>
        <w:t xml:space="preserve"> (Heart’s choice)</w:t>
      </w:r>
    </w:p>
  </w:footnote>
  <w:footnote w:id="29">
    <w:p w14:paraId="2A65E6E1" w14:textId="77777777" w:rsidR="00096C78" w:rsidRPr="00EA090C" w:rsidRDefault="00096C78" w:rsidP="00EA090C">
      <w:pPr>
        <w:pStyle w:val="FootnoteText"/>
        <w:spacing w:afterLines="60" w:after="144"/>
        <w:jc w:val="both"/>
        <w:rPr>
          <w:rFonts w:asciiTheme="majorHAnsi" w:hAnsiTheme="majorHAnsi" w:cstheme="majorHAnsi"/>
          <w:sz w:val="18"/>
          <w:szCs w:val="18"/>
          <w:lang w:val="vi-VN"/>
        </w:rPr>
      </w:pPr>
      <w:r w:rsidRPr="00EA090C">
        <w:rPr>
          <w:rStyle w:val="FootnoteReference"/>
          <w:rFonts w:asciiTheme="majorHAnsi" w:hAnsiTheme="majorHAnsi" w:cstheme="majorHAnsi"/>
          <w:sz w:val="18"/>
          <w:szCs w:val="18"/>
        </w:rPr>
        <w:footnoteRef/>
      </w:r>
      <w:r w:rsidRPr="00EA090C">
        <w:rPr>
          <w:rFonts w:asciiTheme="majorHAnsi" w:hAnsiTheme="majorHAnsi" w:cstheme="majorHAnsi"/>
          <w:iCs/>
          <w:sz w:val="18"/>
          <w:szCs w:val="18"/>
        </w:rPr>
        <w:t xml:space="preserve">The study "Newspapers and gender stereotypes </w:t>
      </w:r>
      <w:r w:rsidRPr="00EA090C">
        <w:rPr>
          <w:rFonts w:asciiTheme="majorHAnsi" w:hAnsiTheme="majorHAnsi" w:cstheme="majorHAnsi"/>
          <w:iCs/>
          <w:sz w:val="18"/>
          <w:szCs w:val="18"/>
          <w:lang w:val="en-US"/>
        </w:rPr>
        <w:t>against</w:t>
      </w:r>
      <w:r w:rsidRPr="00EA090C">
        <w:rPr>
          <w:rFonts w:asciiTheme="majorHAnsi" w:hAnsiTheme="majorHAnsi" w:cstheme="majorHAnsi"/>
          <w:iCs/>
          <w:sz w:val="18"/>
          <w:szCs w:val="18"/>
        </w:rPr>
        <w:t xml:space="preserve"> women" conducted by Oxfam in Vietnam in 2016</w:t>
      </w:r>
    </w:p>
  </w:footnote>
  <w:footnote w:id="30">
    <w:p w14:paraId="2257080D" w14:textId="77BF10A0" w:rsidR="00096C78" w:rsidRPr="00EA090C" w:rsidRDefault="00096C78" w:rsidP="00EA090C">
      <w:pPr>
        <w:pStyle w:val="FootnoteText"/>
        <w:spacing w:afterLines="60" w:after="144"/>
        <w:jc w:val="both"/>
        <w:rPr>
          <w:rFonts w:asciiTheme="majorHAnsi" w:hAnsiTheme="majorHAnsi" w:cstheme="majorHAnsi"/>
          <w:sz w:val="18"/>
          <w:szCs w:val="18"/>
          <w:lang w:val="vi-VN"/>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rPr>
        <w:t>Most recently was the Order No</w:t>
      </w:r>
      <w:r w:rsidR="0061364C">
        <w:rPr>
          <w:rFonts w:asciiTheme="majorHAnsi" w:hAnsiTheme="majorHAnsi" w:cstheme="majorHAnsi"/>
          <w:sz w:val="18"/>
          <w:szCs w:val="18"/>
          <w:lang w:val="vi-VN"/>
        </w:rPr>
        <w:t xml:space="preserve">. </w:t>
      </w:r>
      <w:r w:rsidRPr="00EA090C">
        <w:rPr>
          <w:rFonts w:asciiTheme="majorHAnsi" w:hAnsiTheme="majorHAnsi" w:cstheme="majorHAnsi"/>
          <w:sz w:val="18"/>
          <w:szCs w:val="18"/>
        </w:rPr>
        <w:t>03/CT-LD dated 18/8/2010 by Vietnam General Confederation of Labour Unions on continuous promotion of the campaign. The campaign was reviewed in 2015 following Guidelines No. 21/HD-TLĐ on 07/01/2015 on the review of the implementation of the program for five years 2010 – 2015. The review guideline however did not take any consideration on the gender equality perspective and how the program affect gender stereotypes or gender equality.</w:t>
      </w:r>
    </w:p>
  </w:footnote>
  <w:footnote w:id="31">
    <w:p w14:paraId="7FDCAB0B" w14:textId="77777777" w:rsidR="00096C78" w:rsidRPr="00EA090C" w:rsidRDefault="00096C78" w:rsidP="00EA090C">
      <w:pPr>
        <w:pStyle w:val="FootnoteText"/>
        <w:spacing w:afterLines="60" w:after="144"/>
        <w:jc w:val="both"/>
        <w:rPr>
          <w:rFonts w:asciiTheme="majorHAnsi" w:hAnsiTheme="majorHAnsi" w:cstheme="majorHAnsi"/>
          <w:sz w:val="18"/>
          <w:szCs w:val="18"/>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rPr>
        <w:t xml:space="preserve">Decision No.343/QD-Ttg dated 12/3/2010 by the Prime Minister on the approval of the project “Communications and Education of virtues and qualities for Vietnamese women in the period of enhancing industrialisation and mordernisation of the country (period 2010 – 2015). </w:t>
      </w:r>
    </w:p>
  </w:footnote>
  <w:footnote w:id="32">
    <w:p w14:paraId="4BBF7C8A" w14:textId="7844B8C6" w:rsidR="00096C78" w:rsidRPr="00EA090C" w:rsidRDefault="00096C78" w:rsidP="00EA090C">
      <w:pPr>
        <w:pStyle w:val="FootnoteText"/>
        <w:spacing w:afterLines="60" w:after="144"/>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rPr>
        <w:t xml:space="preserve"> “</w:t>
      </w:r>
      <w:r w:rsidRPr="00EA090C">
        <w:rPr>
          <w:rFonts w:asciiTheme="majorHAnsi" w:hAnsiTheme="majorHAnsi" w:cstheme="majorHAnsi"/>
          <w:sz w:val="18"/>
          <w:szCs w:val="18"/>
          <w:lang w:val="en-GB"/>
        </w:rPr>
        <w:t>5 without-s “stand for: without poverty, violation of law and social evils, domestic violence, violation of population policies, and having malnourished and school drop-out children; “3 Clean-s” stands for: clean house, kitchen and surrounding streets)</w:t>
      </w:r>
    </w:p>
  </w:footnote>
  <w:footnote w:id="33">
    <w:p w14:paraId="4F9ABA68" w14:textId="77777777" w:rsidR="00096C78" w:rsidRPr="00EA090C" w:rsidRDefault="00096C78" w:rsidP="00EA090C">
      <w:pPr>
        <w:pStyle w:val="FootnoteText"/>
        <w:spacing w:afterLines="60" w:after="144"/>
        <w:jc w:val="both"/>
        <w:rPr>
          <w:rFonts w:asciiTheme="majorHAnsi" w:hAnsiTheme="majorHAnsi" w:cstheme="majorHAnsi"/>
          <w:sz w:val="18"/>
          <w:szCs w:val="18"/>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rPr>
        <w:t xml:space="preserve">No poverty and “social evils”, no domestic violence, no third child and beyond, no manultritious children and children drop out from school. Clean house, clean kitchen and clean lane. The movement’s criteria has been implemented since 2010 and mainstreamed to the national program on New Rural as criteria to rate communes which are qualified as “New Rural communities”. </w:t>
      </w:r>
    </w:p>
  </w:footnote>
  <w:footnote w:id="34">
    <w:p w14:paraId="7DEE19E5" w14:textId="77777777" w:rsidR="00096C78" w:rsidRPr="00EA090C" w:rsidRDefault="00096C78" w:rsidP="00EA090C">
      <w:pPr>
        <w:pStyle w:val="FootnoteText"/>
        <w:spacing w:afterLines="60" w:after="144"/>
        <w:jc w:val="both"/>
        <w:rPr>
          <w:rFonts w:asciiTheme="majorHAnsi" w:hAnsiTheme="majorHAnsi" w:cstheme="majorHAnsi"/>
          <w:sz w:val="18"/>
          <w:szCs w:val="18"/>
          <w:lang w:val="en-US"/>
        </w:rPr>
      </w:pPr>
      <w:r w:rsidRPr="00EA090C">
        <w:rPr>
          <w:rStyle w:val="FootnoteReference"/>
          <w:rFonts w:asciiTheme="majorHAnsi" w:hAnsiTheme="majorHAnsi" w:cstheme="majorHAnsi"/>
          <w:sz w:val="18"/>
          <w:szCs w:val="18"/>
        </w:rPr>
        <w:footnoteRef/>
      </w:r>
      <w:r w:rsidRPr="00EA090C">
        <w:rPr>
          <w:rFonts w:asciiTheme="majorHAnsi" w:hAnsiTheme="majorHAnsi" w:cstheme="majorHAnsi"/>
          <w:sz w:val="18"/>
          <w:szCs w:val="18"/>
          <w:lang w:val="en-US"/>
        </w:rPr>
        <w:t xml:space="preserve">Project issued following Decision </w:t>
      </w:r>
      <w:r w:rsidRPr="00EA090C">
        <w:rPr>
          <w:rFonts w:asciiTheme="majorHAnsi" w:hAnsiTheme="majorHAnsi" w:cstheme="majorHAnsi"/>
          <w:sz w:val="18"/>
          <w:szCs w:val="18"/>
        </w:rPr>
        <w:t xml:space="preserve">404/QĐ-TTg </w:t>
      </w:r>
      <w:r w:rsidRPr="00EA090C">
        <w:rPr>
          <w:rFonts w:asciiTheme="majorHAnsi" w:hAnsiTheme="majorHAnsi" w:cstheme="majorHAnsi"/>
          <w:sz w:val="18"/>
          <w:szCs w:val="18"/>
          <w:lang w:val="en-US"/>
        </w:rPr>
        <w:t>dated</w:t>
      </w:r>
      <w:r w:rsidRPr="00EA090C">
        <w:rPr>
          <w:rFonts w:asciiTheme="majorHAnsi" w:hAnsiTheme="majorHAnsi" w:cstheme="majorHAnsi"/>
          <w:sz w:val="18"/>
          <w:szCs w:val="18"/>
        </w:rPr>
        <w:t xml:space="preserve"> 20/03/2014 </w:t>
      </w:r>
      <w:r w:rsidRPr="00EA090C">
        <w:rPr>
          <w:rFonts w:asciiTheme="majorHAnsi" w:hAnsiTheme="majorHAnsi" w:cstheme="majorHAnsi"/>
          <w:sz w:val="18"/>
          <w:szCs w:val="18"/>
          <w:lang w:val="en-US"/>
        </w:rPr>
        <w:t xml:space="preserve">by the Prime Minister. </w:t>
      </w:r>
    </w:p>
  </w:footnote>
  <w:footnote w:id="35">
    <w:p w14:paraId="32645888" w14:textId="77777777" w:rsidR="00096C78" w:rsidRPr="009608B2" w:rsidRDefault="00096C78" w:rsidP="009608B2">
      <w:pPr>
        <w:pStyle w:val="FootnoteText"/>
        <w:spacing w:afterLines="60" w:after="144"/>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lang w:val="en-US"/>
        </w:rPr>
        <w:t xml:space="preserve">Source: </w:t>
      </w:r>
      <w:hyperlink r:id="rId3" w:history="1">
        <w:r w:rsidRPr="009608B2">
          <w:rPr>
            <w:rStyle w:val="Hyperlink"/>
            <w:rFonts w:asciiTheme="majorHAnsi" w:hAnsiTheme="majorHAnsi" w:cstheme="majorHAnsi"/>
            <w:sz w:val="18"/>
            <w:szCs w:val="18"/>
          </w:rPr>
          <w:t>https://www.moha.gov.vn</w:t>
        </w:r>
      </w:hyperlink>
      <w:r w:rsidRPr="009608B2">
        <w:rPr>
          <w:rFonts w:asciiTheme="majorHAnsi" w:hAnsiTheme="majorHAnsi" w:cstheme="majorHAnsi"/>
          <w:sz w:val="18"/>
          <w:szCs w:val="18"/>
        </w:rPr>
        <w:t xml:space="preserve"> (</w:t>
      </w:r>
      <w:r w:rsidRPr="009608B2">
        <w:rPr>
          <w:rFonts w:asciiTheme="majorHAnsi" w:hAnsiTheme="majorHAnsi" w:cstheme="majorHAnsi"/>
          <w:sz w:val="18"/>
          <w:szCs w:val="18"/>
          <w:lang w:val="en-US"/>
        </w:rPr>
        <w:t xml:space="preserve">visited on </w:t>
      </w:r>
      <w:r w:rsidRPr="009608B2">
        <w:rPr>
          <w:rFonts w:asciiTheme="majorHAnsi" w:hAnsiTheme="majorHAnsi" w:cstheme="majorHAnsi"/>
          <w:sz w:val="18"/>
          <w:szCs w:val="18"/>
        </w:rPr>
        <w:t>18/6/2018)</w:t>
      </w:r>
    </w:p>
  </w:footnote>
  <w:footnote w:id="36">
    <w:p w14:paraId="4EA53A70" w14:textId="77777777" w:rsidR="00096C78" w:rsidRPr="009608B2" w:rsidRDefault="00096C78" w:rsidP="009608B2">
      <w:pPr>
        <w:pStyle w:val="FootnoteText"/>
        <w:spacing w:afterLines="60" w:after="144"/>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rPr>
        <w:t>such as the Ministry of Defense</w:t>
      </w:r>
      <w:r w:rsidRPr="009608B2">
        <w:rPr>
          <w:rFonts w:asciiTheme="majorHAnsi" w:hAnsiTheme="majorHAnsi" w:cstheme="majorHAnsi"/>
          <w:sz w:val="18"/>
          <w:szCs w:val="18"/>
          <w:lang w:val="en-US"/>
        </w:rPr>
        <w:t xml:space="preserve"> Source: </w:t>
      </w:r>
      <w:hyperlink r:id="rId4" w:history="1">
        <w:r w:rsidRPr="009608B2">
          <w:rPr>
            <w:rStyle w:val="Hyperlink"/>
            <w:rFonts w:asciiTheme="majorHAnsi" w:hAnsiTheme="majorHAnsi" w:cstheme="majorHAnsi"/>
            <w:sz w:val="18"/>
            <w:szCs w:val="18"/>
          </w:rPr>
          <w:t>http://www.mod.gov.vn</w:t>
        </w:r>
      </w:hyperlink>
      <w:r w:rsidRPr="009608B2">
        <w:rPr>
          <w:rFonts w:asciiTheme="majorHAnsi" w:hAnsiTheme="majorHAnsi" w:cstheme="majorHAnsi"/>
          <w:sz w:val="18"/>
          <w:szCs w:val="18"/>
        </w:rPr>
        <w:t xml:space="preserve"> (</w:t>
      </w:r>
      <w:r w:rsidRPr="009608B2">
        <w:rPr>
          <w:rFonts w:asciiTheme="majorHAnsi" w:hAnsiTheme="majorHAnsi" w:cstheme="majorHAnsi"/>
          <w:sz w:val="18"/>
          <w:szCs w:val="18"/>
          <w:lang w:val="en-US"/>
        </w:rPr>
        <w:t xml:space="preserve">visited on </w:t>
      </w:r>
      <w:r w:rsidRPr="009608B2">
        <w:rPr>
          <w:rFonts w:asciiTheme="majorHAnsi" w:hAnsiTheme="majorHAnsi" w:cstheme="majorHAnsi"/>
          <w:sz w:val="18"/>
          <w:szCs w:val="18"/>
        </w:rPr>
        <w:t>18/6/2018)</w:t>
      </w:r>
      <w:r w:rsidRPr="009608B2">
        <w:rPr>
          <w:rFonts w:asciiTheme="majorHAnsi" w:hAnsiTheme="majorHAnsi" w:cstheme="majorHAnsi"/>
          <w:sz w:val="18"/>
          <w:szCs w:val="18"/>
          <w:lang w:val="en-US"/>
        </w:rPr>
        <w:t xml:space="preserve">; </w:t>
      </w:r>
      <w:r w:rsidRPr="009608B2">
        <w:rPr>
          <w:rFonts w:asciiTheme="majorHAnsi" w:hAnsiTheme="majorHAnsi" w:cstheme="majorHAnsi"/>
          <w:sz w:val="18"/>
          <w:szCs w:val="18"/>
        </w:rPr>
        <w:t>the Ministry of Public Security</w:t>
      </w:r>
      <w:r w:rsidRPr="009608B2">
        <w:rPr>
          <w:rFonts w:asciiTheme="majorHAnsi" w:hAnsiTheme="majorHAnsi" w:cstheme="majorHAnsi"/>
          <w:sz w:val="18"/>
          <w:szCs w:val="18"/>
          <w:lang w:val="en-US"/>
        </w:rPr>
        <w:t xml:space="preserve"> Source: </w:t>
      </w:r>
      <w:hyperlink r:id="rId5" w:history="1">
        <w:r w:rsidRPr="009608B2">
          <w:rPr>
            <w:rStyle w:val="Hyperlink"/>
            <w:rFonts w:asciiTheme="majorHAnsi" w:hAnsiTheme="majorHAnsi" w:cstheme="majorHAnsi"/>
            <w:sz w:val="18"/>
            <w:szCs w:val="18"/>
          </w:rPr>
          <w:t>http://bocongan.gov.vn</w:t>
        </w:r>
      </w:hyperlink>
      <w:r w:rsidRPr="009608B2">
        <w:rPr>
          <w:rFonts w:asciiTheme="majorHAnsi" w:hAnsiTheme="majorHAnsi" w:cstheme="majorHAnsi"/>
          <w:sz w:val="18"/>
          <w:szCs w:val="18"/>
        </w:rPr>
        <w:t xml:space="preserve"> (</w:t>
      </w:r>
      <w:r w:rsidRPr="009608B2">
        <w:rPr>
          <w:rFonts w:asciiTheme="majorHAnsi" w:hAnsiTheme="majorHAnsi" w:cstheme="majorHAnsi"/>
          <w:sz w:val="18"/>
          <w:szCs w:val="18"/>
          <w:lang w:val="en-US"/>
        </w:rPr>
        <w:t>visited on</w:t>
      </w:r>
      <w:r w:rsidRPr="009608B2">
        <w:rPr>
          <w:rFonts w:asciiTheme="majorHAnsi" w:hAnsiTheme="majorHAnsi" w:cstheme="majorHAnsi"/>
          <w:sz w:val="18"/>
          <w:szCs w:val="18"/>
        </w:rPr>
        <w:t xml:space="preserve"> 18/6/2018)</w:t>
      </w:r>
      <w:r w:rsidRPr="009608B2">
        <w:rPr>
          <w:rFonts w:asciiTheme="majorHAnsi" w:hAnsiTheme="majorHAnsi" w:cstheme="majorHAnsi"/>
          <w:sz w:val="18"/>
          <w:szCs w:val="18"/>
          <w:lang w:val="en-US"/>
        </w:rPr>
        <w:t>.</w:t>
      </w:r>
    </w:p>
  </w:footnote>
  <w:footnote w:id="37">
    <w:p w14:paraId="1AFD1A58" w14:textId="3813DCAD" w:rsidR="00096C78" w:rsidRPr="009608B2" w:rsidRDefault="00096C78" w:rsidP="009608B2">
      <w:pPr>
        <w:pStyle w:val="FootnoteText"/>
        <w:spacing w:after="240"/>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lang w:val="en-US"/>
        </w:rPr>
        <w:t>Source:</w:t>
      </w:r>
      <w:r w:rsidRPr="009608B2">
        <w:rPr>
          <w:rFonts w:asciiTheme="majorHAnsi" w:hAnsiTheme="majorHAnsi" w:cstheme="majorHAnsi"/>
          <w:sz w:val="18"/>
          <w:szCs w:val="18"/>
        </w:rPr>
        <w:t xml:space="preserve"> </w:t>
      </w:r>
      <w:hyperlink r:id="rId6" w:history="1">
        <w:r w:rsidRPr="009608B2">
          <w:rPr>
            <w:rStyle w:val="Hyperlink"/>
            <w:rFonts w:asciiTheme="majorHAnsi" w:hAnsiTheme="majorHAnsi" w:cstheme="majorHAnsi"/>
            <w:sz w:val="18"/>
            <w:szCs w:val="18"/>
          </w:rPr>
          <w:t>https://www.moet.gov.vn/thong-ke/Pages/thong-ke.aspx</w:t>
        </w:r>
      </w:hyperlink>
      <w:r w:rsidRPr="009608B2">
        <w:rPr>
          <w:rFonts w:asciiTheme="majorHAnsi" w:hAnsiTheme="majorHAnsi" w:cstheme="majorHAnsi"/>
          <w:sz w:val="18"/>
          <w:szCs w:val="18"/>
        </w:rPr>
        <w:t xml:space="preserve"> (</w:t>
      </w:r>
      <w:r w:rsidRPr="009608B2">
        <w:rPr>
          <w:rFonts w:asciiTheme="majorHAnsi" w:hAnsiTheme="majorHAnsi" w:cstheme="majorHAnsi"/>
          <w:sz w:val="18"/>
          <w:szCs w:val="18"/>
          <w:lang w:val="en-US"/>
        </w:rPr>
        <w:t>access on</w:t>
      </w:r>
      <w:r w:rsidRPr="009608B2">
        <w:rPr>
          <w:rFonts w:asciiTheme="majorHAnsi" w:hAnsiTheme="majorHAnsi" w:cstheme="majorHAnsi"/>
          <w:sz w:val="18"/>
          <w:szCs w:val="18"/>
        </w:rPr>
        <w:t xml:space="preserve"> 18/6/2018)</w:t>
      </w:r>
    </w:p>
  </w:footnote>
  <w:footnote w:id="38">
    <w:p w14:paraId="27946D17" w14:textId="77777777" w:rsidR="00096C78" w:rsidRPr="009608B2" w:rsidRDefault="00096C78" w:rsidP="009608B2">
      <w:pPr>
        <w:pStyle w:val="FootnoteText"/>
        <w:spacing w:after="240"/>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lang w:val="en-US"/>
        </w:rPr>
        <w:t xml:space="preserve">Source: </w:t>
      </w:r>
      <w:hyperlink r:id="rId7" w:history="1">
        <w:r w:rsidRPr="009608B2">
          <w:rPr>
            <w:rStyle w:val="Hyperlink"/>
            <w:rFonts w:asciiTheme="majorHAnsi" w:hAnsiTheme="majorHAnsi" w:cstheme="majorHAnsi"/>
            <w:sz w:val="18"/>
            <w:szCs w:val="18"/>
            <w:lang w:val="en-US"/>
          </w:rPr>
          <w:t>https://www.moha.gov.vn</w:t>
        </w:r>
      </w:hyperlink>
      <w:r w:rsidRPr="009608B2">
        <w:rPr>
          <w:rFonts w:asciiTheme="majorHAnsi" w:hAnsiTheme="majorHAnsi" w:cstheme="majorHAnsi"/>
          <w:sz w:val="18"/>
          <w:szCs w:val="18"/>
          <w:lang w:val="en-US"/>
        </w:rPr>
        <w:t xml:space="preserve"> (visitedon 18/6/2018)</w:t>
      </w:r>
    </w:p>
  </w:footnote>
  <w:footnote w:id="39">
    <w:p w14:paraId="0429E19A" w14:textId="77777777" w:rsidR="00096C78" w:rsidRPr="009608B2" w:rsidRDefault="00096C78" w:rsidP="009608B2">
      <w:pPr>
        <w:pStyle w:val="FootnoteText"/>
        <w:spacing w:after="240"/>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rPr>
        <w:t>such as the Ministry of Defense</w:t>
      </w:r>
      <w:r w:rsidRPr="009608B2">
        <w:rPr>
          <w:rFonts w:asciiTheme="majorHAnsi" w:hAnsiTheme="majorHAnsi" w:cstheme="majorHAnsi"/>
          <w:sz w:val="18"/>
          <w:szCs w:val="18"/>
          <w:lang w:val="en-US"/>
        </w:rPr>
        <w:t xml:space="preserve"> Source: </w:t>
      </w:r>
      <w:hyperlink r:id="rId8" w:history="1">
        <w:r w:rsidRPr="009608B2">
          <w:rPr>
            <w:rStyle w:val="Hyperlink"/>
            <w:rFonts w:asciiTheme="majorHAnsi" w:hAnsiTheme="majorHAnsi" w:cstheme="majorHAnsi"/>
            <w:sz w:val="18"/>
            <w:szCs w:val="18"/>
          </w:rPr>
          <w:t>http://www.mod.gov.vn</w:t>
        </w:r>
      </w:hyperlink>
      <w:r w:rsidRPr="009608B2">
        <w:rPr>
          <w:rFonts w:asciiTheme="majorHAnsi" w:hAnsiTheme="majorHAnsi" w:cstheme="majorHAnsi"/>
          <w:sz w:val="18"/>
          <w:szCs w:val="18"/>
        </w:rPr>
        <w:t xml:space="preserve"> (</w:t>
      </w:r>
      <w:r w:rsidRPr="009608B2">
        <w:rPr>
          <w:rFonts w:asciiTheme="majorHAnsi" w:hAnsiTheme="majorHAnsi" w:cstheme="majorHAnsi"/>
          <w:sz w:val="18"/>
          <w:szCs w:val="18"/>
          <w:lang w:val="en-US"/>
        </w:rPr>
        <w:t xml:space="preserve">visited on </w:t>
      </w:r>
      <w:r w:rsidRPr="009608B2">
        <w:rPr>
          <w:rFonts w:asciiTheme="majorHAnsi" w:hAnsiTheme="majorHAnsi" w:cstheme="majorHAnsi"/>
          <w:sz w:val="18"/>
          <w:szCs w:val="18"/>
        </w:rPr>
        <w:t>18/6/2018)</w:t>
      </w:r>
      <w:r w:rsidRPr="009608B2">
        <w:rPr>
          <w:rFonts w:asciiTheme="majorHAnsi" w:hAnsiTheme="majorHAnsi" w:cstheme="majorHAnsi"/>
          <w:sz w:val="18"/>
          <w:szCs w:val="18"/>
          <w:lang w:val="en-US"/>
        </w:rPr>
        <w:t xml:space="preserve">; </w:t>
      </w:r>
      <w:r w:rsidRPr="009608B2">
        <w:rPr>
          <w:rFonts w:asciiTheme="majorHAnsi" w:hAnsiTheme="majorHAnsi" w:cstheme="majorHAnsi"/>
          <w:sz w:val="18"/>
          <w:szCs w:val="18"/>
        </w:rPr>
        <w:t>the Ministry of Public Security</w:t>
      </w:r>
      <w:r w:rsidRPr="009608B2">
        <w:rPr>
          <w:rFonts w:asciiTheme="majorHAnsi" w:hAnsiTheme="majorHAnsi" w:cstheme="majorHAnsi"/>
          <w:sz w:val="18"/>
          <w:szCs w:val="18"/>
          <w:lang w:val="en-US"/>
        </w:rPr>
        <w:t xml:space="preserve"> Source: </w:t>
      </w:r>
      <w:hyperlink r:id="rId9" w:history="1">
        <w:r w:rsidRPr="009608B2">
          <w:rPr>
            <w:rStyle w:val="Hyperlink"/>
            <w:rFonts w:asciiTheme="majorHAnsi" w:hAnsiTheme="majorHAnsi" w:cstheme="majorHAnsi"/>
            <w:sz w:val="18"/>
            <w:szCs w:val="18"/>
          </w:rPr>
          <w:t>http://bocongan.gov.vn</w:t>
        </w:r>
      </w:hyperlink>
      <w:r w:rsidRPr="009608B2">
        <w:rPr>
          <w:rFonts w:asciiTheme="majorHAnsi" w:hAnsiTheme="majorHAnsi" w:cstheme="majorHAnsi"/>
          <w:sz w:val="18"/>
          <w:szCs w:val="18"/>
        </w:rPr>
        <w:t xml:space="preserve"> (</w:t>
      </w:r>
      <w:r w:rsidRPr="009608B2">
        <w:rPr>
          <w:rFonts w:asciiTheme="majorHAnsi" w:hAnsiTheme="majorHAnsi" w:cstheme="majorHAnsi"/>
          <w:sz w:val="18"/>
          <w:szCs w:val="18"/>
          <w:lang w:val="en-US"/>
        </w:rPr>
        <w:t>visited on</w:t>
      </w:r>
      <w:r w:rsidRPr="009608B2">
        <w:rPr>
          <w:rFonts w:asciiTheme="majorHAnsi" w:hAnsiTheme="majorHAnsi" w:cstheme="majorHAnsi"/>
          <w:sz w:val="18"/>
          <w:szCs w:val="18"/>
        </w:rPr>
        <w:t xml:space="preserve"> 18/6/2018)</w:t>
      </w:r>
    </w:p>
  </w:footnote>
  <w:footnote w:id="40">
    <w:p w14:paraId="33BFBD25" w14:textId="77777777" w:rsidR="00096C78" w:rsidRPr="009608B2" w:rsidRDefault="00096C78" w:rsidP="009608B2">
      <w:pPr>
        <w:pStyle w:val="FootnoteText"/>
        <w:spacing w:afterLines="60" w:after="144"/>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lang w:val="en-US"/>
        </w:rPr>
        <w:t>Circular 17/2016/TT-BQP dated 11 March 2016 on regulations and guideline for enrolment works of universities and colleges related to military and public security.</w:t>
      </w:r>
    </w:p>
  </w:footnote>
  <w:footnote w:id="41">
    <w:p w14:paraId="5DC801D7" w14:textId="77777777" w:rsidR="00096C78" w:rsidRPr="009608B2" w:rsidRDefault="00096C78" w:rsidP="009608B2">
      <w:pPr>
        <w:pStyle w:val="FootnoteText"/>
        <w:spacing w:afterLines="60" w:after="144"/>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bCs/>
          <w:sz w:val="18"/>
          <w:szCs w:val="18"/>
          <w:lang w:val="en-US"/>
        </w:rPr>
        <w:t xml:space="preserve"> including in those disciplines such as the Military Medical Academy; the international relations on defense and foreign language faculties at Academy of Military Science.</w:t>
      </w:r>
    </w:p>
  </w:footnote>
  <w:footnote w:id="42">
    <w:p w14:paraId="5CFB874B" w14:textId="77777777" w:rsidR="00096C78" w:rsidRPr="009608B2" w:rsidRDefault="00096C78" w:rsidP="009608B2">
      <w:pPr>
        <w:pStyle w:val="FootnoteText"/>
        <w:spacing w:afterLines="60" w:after="144"/>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lang w:val="en-US"/>
        </w:rPr>
        <w:t xml:space="preserve">Enrollment notice of the University of Procuracy 2018, accessed at </w:t>
      </w:r>
      <w:hyperlink r:id="rId10" w:history="1">
        <w:r w:rsidRPr="009608B2">
          <w:rPr>
            <w:rStyle w:val="Hyperlink"/>
            <w:rFonts w:asciiTheme="majorHAnsi" w:hAnsiTheme="majorHAnsi" w:cstheme="majorHAnsi"/>
            <w:sz w:val="18"/>
            <w:szCs w:val="18"/>
          </w:rPr>
          <w:t>http://tks.edu.vn/bai-viet/chi-tiet/35/2396/thong-bao-so-tuyen-nam-2018</w:t>
        </w:r>
      </w:hyperlink>
      <w:r w:rsidRPr="009608B2">
        <w:rPr>
          <w:rFonts w:asciiTheme="majorHAnsi" w:hAnsiTheme="majorHAnsi" w:cstheme="majorHAnsi"/>
          <w:sz w:val="18"/>
          <w:szCs w:val="18"/>
          <w:lang w:val="en-US"/>
        </w:rPr>
        <w:t xml:space="preserve"> on 12/7/2018.</w:t>
      </w:r>
    </w:p>
  </w:footnote>
  <w:footnote w:id="43">
    <w:p w14:paraId="5FA8B65F" w14:textId="515A778D" w:rsidR="0061364C" w:rsidRPr="0061364C" w:rsidRDefault="0061364C" w:rsidP="0061364C">
      <w:pPr>
        <w:pStyle w:val="FootnoteText"/>
        <w:spacing w:afterLines="60" w:after="144"/>
        <w:jc w:val="both"/>
        <w:rPr>
          <w:rFonts w:asciiTheme="majorHAnsi" w:hAnsiTheme="majorHAnsi" w:cstheme="majorHAnsi"/>
          <w:iCs/>
          <w:sz w:val="18"/>
          <w:szCs w:val="18"/>
          <w:lang w:val="en-US"/>
        </w:rPr>
      </w:pPr>
      <w:r>
        <w:rPr>
          <w:rStyle w:val="FootnoteReference"/>
        </w:rPr>
        <w:footnoteRef/>
      </w:r>
      <w:r>
        <w:t xml:space="preserve"> </w:t>
      </w:r>
      <w:r w:rsidRPr="009608B2">
        <w:rPr>
          <w:rFonts w:asciiTheme="majorHAnsi" w:hAnsiTheme="majorHAnsi" w:cstheme="majorHAnsi"/>
          <w:iCs/>
          <w:sz w:val="18"/>
          <w:szCs w:val="18"/>
        </w:rPr>
        <w:t>The Gender-Sensitive Indicators for Media developed and published by the Ministry of Information and Communication with the support of UNESCO and OXFAM in 2014</w:t>
      </w:r>
      <w:r w:rsidRPr="009608B2">
        <w:rPr>
          <w:rFonts w:asciiTheme="majorHAnsi" w:hAnsiTheme="majorHAnsi" w:cstheme="majorHAnsi"/>
          <w:iCs/>
          <w:sz w:val="18"/>
          <w:szCs w:val="18"/>
          <w:lang w:val="en-US"/>
        </w:rPr>
        <w:t>.</w:t>
      </w:r>
    </w:p>
  </w:footnote>
  <w:footnote w:id="44">
    <w:p w14:paraId="7819C158" w14:textId="77777777" w:rsidR="00096C78" w:rsidRPr="009608B2" w:rsidRDefault="00096C78" w:rsidP="0061364C">
      <w:pPr>
        <w:pStyle w:val="FootnoteText"/>
        <w:spacing w:afterLines="60" w:after="144"/>
        <w:jc w:val="both"/>
        <w:rPr>
          <w:rFonts w:asciiTheme="majorHAnsi" w:hAnsiTheme="majorHAnsi" w:cstheme="majorHAnsi"/>
          <w:sz w:val="18"/>
          <w:szCs w:val="18"/>
          <w:lang w:val="en-US"/>
        </w:rPr>
      </w:pPr>
      <w:r w:rsidRPr="009608B2">
        <w:rPr>
          <w:rStyle w:val="FootnoteReference"/>
          <w:rFonts w:asciiTheme="majorHAnsi" w:hAnsiTheme="majorHAnsi" w:cstheme="majorHAnsi"/>
          <w:sz w:val="18"/>
          <w:szCs w:val="18"/>
        </w:rPr>
        <w:footnoteRef/>
      </w:r>
      <w:r w:rsidRPr="009608B2">
        <w:rPr>
          <w:rFonts w:asciiTheme="majorHAnsi" w:hAnsiTheme="majorHAnsi" w:cstheme="majorHAnsi"/>
          <w:sz w:val="18"/>
          <w:szCs w:val="18"/>
          <w:lang w:val="en-US"/>
        </w:rPr>
        <w:t>Circular No. 14/2017/TT-BGDDT issued by the Ministry of Education and Training dated June 6, 2017 promulgating regulations on standards and procedures for the construction and adjustment of general education programs; the organization and operation of the National Council for Appraising General Education Programs and Textbooks.</w:t>
      </w:r>
    </w:p>
  </w:footnote>
  <w:footnote w:id="45">
    <w:p w14:paraId="7332DC38" w14:textId="1CC51D89" w:rsidR="00096C78" w:rsidRPr="0061364C" w:rsidRDefault="00096C78" w:rsidP="0061364C">
      <w:pPr>
        <w:pStyle w:val="FootnoteText"/>
        <w:spacing w:after="240"/>
        <w:rPr>
          <w:rFonts w:asciiTheme="majorHAnsi" w:hAnsiTheme="majorHAnsi" w:cstheme="majorHAnsi"/>
          <w:sz w:val="18"/>
          <w:szCs w:val="18"/>
          <w:lang w:val="en-US"/>
        </w:rPr>
      </w:pPr>
      <w:r w:rsidRPr="0061364C">
        <w:rPr>
          <w:rStyle w:val="FootnoteReference"/>
          <w:rFonts w:asciiTheme="majorHAnsi" w:hAnsiTheme="majorHAnsi" w:cstheme="majorHAnsi"/>
          <w:sz w:val="18"/>
          <w:szCs w:val="18"/>
        </w:rPr>
        <w:footnoteRef/>
      </w:r>
      <w:r w:rsidRPr="0061364C">
        <w:rPr>
          <w:rFonts w:asciiTheme="majorHAnsi" w:hAnsiTheme="majorHAnsi" w:cstheme="majorHAnsi"/>
          <w:sz w:val="18"/>
          <w:szCs w:val="18"/>
        </w:rPr>
        <w:t xml:space="preserve"> </w:t>
      </w:r>
      <w:r w:rsidRPr="0061364C">
        <w:rPr>
          <w:rFonts w:asciiTheme="majorHAnsi" w:hAnsiTheme="majorHAnsi" w:cstheme="majorHAnsi"/>
          <w:sz w:val="18"/>
          <w:szCs w:val="18"/>
          <w:lang w:val="en-US"/>
        </w:rPr>
        <w:t xml:space="preserve">Responding to Issue No.6 in the list of Issues </w:t>
      </w:r>
    </w:p>
  </w:footnote>
  <w:footnote w:id="46">
    <w:p w14:paraId="42EBB029" w14:textId="47C48A42" w:rsidR="0061364C" w:rsidRPr="0061364C" w:rsidRDefault="0061364C" w:rsidP="0061364C">
      <w:pPr>
        <w:pStyle w:val="FootnoteText"/>
        <w:rPr>
          <w:rFonts w:asciiTheme="majorHAnsi" w:hAnsiTheme="majorHAnsi" w:cstheme="majorHAnsi"/>
          <w:sz w:val="18"/>
          <w:szCs w:val="18"/>
          <w:lang w:val="vi-VN"/>
        </w:rPr>
      </w:pPr>
      <w:r w:rsidRPr="0061364C">
        <w:rPr>
          <w:rStyle w:val="FootnoteReference"/>
          <w:rFonts w:asciiTheme="majorHAnsi" w:hAnsiTheme="majorHAnsi" w:cstheme="majorHAnsi"/>
          <w:sz w:val="18"/>
          <w:szCs w:val="18"/>
        </w:rPr>
        <w:footnoteRef/>
      </w:r>
      <w:r w:rsidRPr="0061364C">
        <w:rPr>
          <w:rFonts w:asciiTheme="majorHAnsi" w:hAnsiTheme="majorHAnsi" w:cstheme="majorHAnsi"/>
          <w:sz w:val="18"/>
          <w:szCs w:val="18"/>
        </w:rPr>
        <w:t xml:space="preserve"> Developed by Ministry of Labor,</w:t>
      </w:r>
      <w:r w:rsidRPr="0061364C">
        <w:rPr>
          <w:rFonts w:asciiTheme="majorHAnsi" w:hAnsiTheme="majorHAnsi" w:cstheme="majorHAnsi"/>
          <w:sz w:val="18"/>
          <w:szCs w:val="18"/>
          <w:lang w:val="vi-VN"/>
        </w:rPr>
        <w:t xml:space="preserve"> Invalid and Social Affairs, </w:t>
      </w:r>
      <w:r w:rsidR="00993DD8" w:rsidRPr="00EA090C">
        <w:rPr>
          <w:rFonts w:asciiTheme="majorHAnsi" w:hAnsiTheme="majorHAnsi" w:cstheme="majorHAnsi"/>
          <w:sz w:val="18"/>
          <w:szCs w:val="18"/>
        </w:rPr>
        <w:t>Vietnam General Confederation of Labour Unions</w:t>
      </w:r>
      <w:r w:rsidRPr="0061364C">
        <w:rPr>
          <w:rFonts w:asciiTheme="majorHAnsi" w:hAnsiTheme="majorHAnsi" w:cstheme="majorHAnsi"/>
          <w:sz w:val="18"/>
          <w:szCs w:val="18"/>
          <w:lang w:val="vi-VN"/>
        </w:rPr>
        <w:t>, Vietnam Chamber of Com</w:t>
      </w:r>
      <w:r w:rsidR="00993DD8">
        <w:rPr>
          <w:rFonts w:asciiTheme="majorHAnsi" w:hAnsiTheme="majorHAnsi" w:cstheme="majorHAnsi"/>
          <w:sz w:val="18"/>
          <w:szCs w:val="18"/>
          <w:lang w:val="vi-VN"/>
        </w:rPr>
        <w:t>m</w:t>
      </w:r>
      <w:r w:rsidRPr="0061364C">
        <w:rPr>
          <w:rFonts w:asciiTheme="majorHAnsi" w:hAnsiTheme="majorHAnsi" w:cstheme="majorHAnsi"/>
          <w:sz w:val="18"/>
          <w:szCs w:val="18"/>
          <w:lang w:val="vi-VN"/>
        </w:rPr>
        <w:t xml:space="preserve">erce and Industry </w:t>
      </w:r>
    </w:p>
  </w:footnote>
  <w:footnote w:id="47">
    <w:p w14:paraId="62996F88" w14:textId="3327F236" w:rsidR="0061364C" w:rsidRPr="0061364C" w:rsidRDefault="0061364C" w:rsidP="0061364C">
      <w:pPr>
        <w:pStyle w:val="FootnoteText"/>
        <w:rPr>
          <w:rFonts w:asciiTheme="majorHAnsi" w:hAnsiTheme="majorHAnsi" w:cstheme="majorHAnsi"/>
          <w:sz w:val="18"/>
          <w:szCs w:val="18"/>
        </w:rPr>
      </w:pPr>
      <w:r w:rsidRPr="0061364C">
        <w:rPr>
          <w:rStyle w:val="FootnoteReference"/>
          <w:rFonts w:asciiTheme="majorHAnsi" w:hAnsiTheme="majorHAnsi" w:cstheme="majorHAnsi"/>
          <w:sz w:val="18"/>
          <w:szCs w:val="18"/>
        </w:rPr>
        <w:footnoteRef/>
      </w:r>
      <w:r w:rsidRPr="0061364C">
        <w:rPr>
          <w:rFonts w:asciiTheme="majorHAnsi" w:hAnsiTheme="majorHAnsi" w:cstheme="majorHAnsi"/>
          <w:sz w:val="18"/>
          <w:szCs w:val="18"/>
        </w:rPr>
        <w:t xml:space="preserve"> The Chapter II of the Code of Conduct</w:t>
      </w:r>
    </w:p>
  </w:footnote>
  <w:footnote w:id="48">
    <w:p w14:paraId="72D92A1E" w14:textId="6D889805" w:rsidR="00096C78" w:rsidRPr="009608B2" w:rsidRDefault="00096C78" w:rsidP="0061364C">
      <w:pPr>
        <w:pStyle w:val="FootnoteText"/>
        <w:spacing w:afterLines="60" w:after="144"/>
        <w:jc w:val="both"/>
        <w:rPr>
          <w:rFonts w:asciiTheme="majorHAnsi" w:hAnsiTheme="majorHAnsi" w:cstheme="majorHAnsi"/>
          <w:sz w:val="18"/>
          <w:szCs w:val="18"/>
          <w:lang w:val="en-US"/>
        </w:rPr>
      </w:pPr>
      <w:r w:rsidRPr="0061364C">
        <w:rPr>
          <w:rStyle w:val="FootnoteReference"/>
          <w:rFonts w:asciiTheme="majorHAnsi" w:hAnsiTheme="majorHAnsi" w:cstheme="majorHAnsi"/>
          <w:sz w:val="18"/>
          <w:szCs w:val="18"/>
        </w:rPr>
        <w:footnoteRef/>
      </w:r>
      <w:r w:rsidRPr="0061364C">
        <w:rPr>
          <w:rFonts w:asciiTheme="majorHAnsi" w:hAnsiTheme="majorHAnsi" w:cstheme="majorHAnsi"/>
          <w:sz w:val="18"/>
          <w:szCs w:val="18"/>
          <w:lang w:val="en-US"/>
        </w:rPr>
        <w:t xml:space="preserve"> </w:t>
      </w:r>
      <w:hyperlink r:id="rId11" w:history="1">
        <w:r w:rsidRPr="0061364C">
          <w:rPr>
            <w:rStyle w:val="Hyperlink"/>
            <w:rFonts w:asciiTheme="majorHAnsi" w:hAnsiTheme="majorHAnsi" w:cstheme="majorHAnsi"/>
            <w:sz w:val="18"/>
            <w:szCs w:val="18"/>
            <w:lang w:val="en-US"/>
          </w:rPr>
          <w:t>www.tiengchuong.vn</w:t>
        </w:r>
      </w:hyperlink>
      <w:r w:rsidRPr="0061364C">
        <w:rPr>
          <w:rFonts w:asciiTheme="majorHAnsi" w:hAnsiTheme="majorHAnsi" w:cstheme="majorHAnsi"/>
          <w:sz w:val="18"/>
          <w:szCs w:val="18"/>
          <w:lang w:val="en-US"/>
        </w:rPr>
        <w:t xml:space="preserve"> or www.bell.org.vn is </w:t>
      </w:r>
      <w:r w:rsidRPr="0061364C">
        <w:rPr>
          <w:rFonts w:asciiTheme="majorHAnsi" w:hAnsiTheme="majorHAnsi" w:cstheme="majorHAnsi"/>
          <w:bCs/>
          <w:sz w:val="18"/>
          <w:szCs w:val="18"/>
        </w:rPr>
        <w:t>the official website of National Committee for prevention and control of HIV/AIDS, drug</w:t>
      </w:r>
      <w:r w:rsidRPr="009608B2">
        <w:rPr>
          <w:rFonts w:asciiTheme="majorHAnsi" w:hAnsiTheme="majorHAnsi" w:cstheme="majorHAnsi"/>
          <w:bCs/>
          <w:sz w:val="18"/>
          <w:szCs w:val="18"/>
        </w:rPr>
        <w:t xml:space="preserve"> and prostitution</w:t>
      </w:r>
      <w:r w:rsidRPr="009608B2">
        <w:rPr>
          <w:rFonts w:asciiTheme="majorHAnsi" w:hAnsiTheme="majorHAnsi" w:cstheme="majorHAnsi"/>
          <w:bCs/>
          <w:sz w:val="18"/>
          <w:szCs w:val="18"/>
          <w:lang w:val="en-US"/>
        </w:rPr>
        <w:t xml:space="preserve">. It serves as a database and information hub on prevention and control of HIV/AIDS in Vietnam. </w:t>
      </w:r>
    </w:p>
  </w:footnote>
  <w:footnote w:id="49">
    <w:p w14:paraId="4BD0EA44" w14:textId="56CF67A1" w:rsidR="00096C78" w:rsidRPr="00E815EC" w:rsidRDefault="00096C78" w:rsidP="006E407B">
      <w:pPr>
        <w:pStyle w:val="FootnoteText"/>
        <w:spacing w:afterLines="60" w:after="144" w:line="276" w:lineRule="auto"/>
        <w:jc w:val="both"/>
        <w:rPr>
          <w:rFonts w:asciiTheme="majorHAnsi" w:hAnsiTheme="majorHAnsi" w:cstheme="majorHAnsi"/>
          <w:sz w:val="18"/>
          <w:szCs w:val="18"/>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 CGFED, Action Aid, Molisa.</w:t>
      </w:r>
      <w:r w:rsidRPr="00E815EC">
        <w:rPr>
          <w:rFonts w:asciiTheme="majorHAnsi" w:hAnsiTheme="majorHAnsi" w:cstheme="majorHAnsi"/>
          <w:sz w:val="18"/>
          <w:szCs w:val="18"/>
          <w:lang w:val="en-US"/>
        </w:rPr>
        <w:t xml:space="preserve">2016 Safe Cities for women and girls. A Policy Brief based on the report is accessible at </w:t>
      </w:r>
      <w:hyperlink r:id="rId12" w:history="1">
        <w:r w:rsidRPr="00E815EC">
          <w:rPr>
            <w:rStyle w:val="Hyperlink"/>
            <w:rFonts w:asciiTheme="majorHAnsi" w:hAnsiTheme="majorHAnsi" w:cstheme="majorHAnsi"/>
            <w:sz w:val="18"/>
            <w:szCs w:val="18"/>
            <w:lang w:val="en-US"/>
          </w:rPr>
          <w:t>http://www.actionaid.org/vi/vietnam/publications/policy-brief-safe-city-women-and-girls</w:t>
        </w:r>
      </w:hyperlink>
      <w:r w:rsidRPr="00E815EC">
        <w:rPr>
          <w:rFonts w:asciiTheme="majorHAnsi" w:hAnsiTheme="majorHAnsi" w:cstheme="majorHAnsi"/>
          <w:sz w:val="18"/>
          <w:szCs w:val="18"/>
          <w:lang w:val="en-US"/>
        </w:rPr>
        <w:t xml:space="preserve"> (accessed on February 2, 2019). </w:t>
      </w:r>
    </w:p>
  </w:footnote>
  <w:footnote w:id="50">
    <w:p w14:paraId="2DD38FDF" w14:textId="14148681" w:rsidR="00096C78" w:rsidRPr="00096C78" w:rsidRDefault="00096C78" w:rsidP="00096C78">
      <w:pPr>
        <w:pStyle w:val="FootnoteText"/>
        <w:spacing w:after="240"/>
        <w:rPr>
          <w:rFonts w:asciiTheme="majorHAnsi" w:hAnsiTheme="majorHAnsi" w:cstheme="majorHAnsi"/>
          <w:sz w:val="18"/>
          <w:szCs w:val="18"/>
          <w:lang w:val="en-US"/>
        </w:rPr>
      </w:pP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rPr>
        <w:t xml:space="preserve"> </w:t>
      </w:r>
      <w:r w:rsidRPr="00096C78">
        <w:rPr>
          <w:rFonts w:asciiTheme="majorHAnsi" w:hAnsiTheme="majorHAnsi" w:cstheme="majorHAnsi"/>
          <w:sz w:val="18"/>
          <w:szCs w:val="18"/>
          <w:lang w:val="en-US"/>
        </w:rPr>
        <w:t>Responding to Issue No.24 in the List of Issues</w:t>
      </w:r>
    </w:p>
  </w:footnote>
  <w:footnote w:id="51">
    <w:p w14:paraId="4A8A73D0" w14:textId="01E974F0" w:rsidR="00096C78" w:rsidRPr="00096C78" w:rsidRDefault="00096C78" w:rsidP="00096C78">
      <w:pPr>
        <w:pStyle w:val="FootnoteText"/>
        <w:spacing w:after="240"/>
        <w:jc w:val="both"/>
        <w:rPr>
          <w:rFonts w:asciiTheme="majorHAnsi" w:hAnsiTheme="majorHAnsi" w:cstheme="majorHAnsi"/>
          <w:sz w:val="18"/>
          <w:szCs w:val="18"/>
        </w:rPr>
      </w:pP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lang w:val="en-US"/>
        </w:rPr>
        <w:t>Decree No.</w:t>
      </w:r>
      <w:r w:rsidRPr="00096C78">
        <w:rPr>
          <w:rFonts w:asciiTheme="majorHAnsi" w:hAnsiTheme="majorHAnsi" w:cstheme="majorHAnsi"/>
          <w:sz w:val="18"/>
          <w:szCs w:val="18"/>
        </w:rPr>
        <w:t xml:space="preserve"> 45/2010/NĐ-CP </w:t>
      </w:r>
      <w:r w:rsidRPr="00096C78">
        <w:rPr>
          <w:rFonts w:asciiTheme="majorHAnsi" w:hAnsiTheme="majorHAnsi" w:cstheme="majorHAnsi"/>
          <w:sz w:val="18"/>
          <w:szCs w:val="18"/>
          <w:lang w:val="en-US"/>
        </w:rPr>
        <w:t>enacted by the Government dated</w:t>
      </w:r>
      <w:r w:rsidRPr="00096C78">
        <w:rPr>
          <w:rFonts w:asciiTheme="majorHAnsi" w:hAnsiTheme="majorHAnsi" w:cstheme="majorHAnsi"/>
          <w:sz w:val="18"/>
          <w:szCs w:val="18"/>
        </w:rPr>
        <w:t xml:space="preserve"> 21</w:t>
      </w:r>
      <w:r w:rsidRPr="00096C78">
        <w:rPr>
          <w:rFonts w:asciiTheme="majorHAnsi" w:hAnsiTheme="majorHAnsi" w:cstheme="majorHAnsi"/>
          <w:sz w:val="18"/>
          <w:szCs w:val="18"/>
          <w:lang w:val="en-US"/>
        </w:rPr>
        <w:t xml:space="preserve"> April </w:t>
      </w:r>
      <w:r w:rsidRPr="00096C78">
        <w:rPr>
          <w:rFonts w:asciiTheme="majorHAnsi" w:hAnsiTheme="majorHAnsi" w:cstheme="majorHAnsi"/>
          <w:sz w:val="18"/>
          <w:szCs w:val="18"/>
        </w:rPr>
        <w:t xml:space="preserve">2010 </w:t>
      </w:r>
      <w:r w:rsidRPr="00096C78">
        <w:rPr>
          <w:rFonts w:asciiTheme="majorHAnsi" w:hAnsiTheme="majorHAnsi" w:cstheme="majorHAnsi"/>
          <w:sz w:val="18"/>
          <w:szCs w:val="18"/>
          <w:lang w:val="en-US"/>
        </w:rPr>
        <w:t xml:space="preserve">stipulating the organization, operation and management of associations </w:t>
      </w:r>
      <w:r w:rsidRPr="00096C78">
        <w:rPr>
          <w:rFonts w:asciiTheme="majorHAnsi" w:hAnsiTheme="majorHAnsi" w:cstheme="majorHAnsi"/>
          <w:sz w:val="18"/>
          <w:szCs w:val="18"/>
        </w:rPr>
        <w:t>According to Articles 6, 7, 9, 10, 12 and 13 of the Decree 45/2010 / ND-CP, the establishment of an association in Vietnam requires three compulsoryadministrative procedures, including (i) setting up anadvocateand lobbying committee which must be  recognized by the Government; (ii) compiling a dossier of application for establishment and must obtain the approval from the Government, (iii) holding a congress and its establishing charter and the leader of that association must be approved by the Government. The current three-step administrative procedure does not show the respect for freedom of association, but rather creates more barriers to the excising of people's rights as well as the intervention of stateinto the internal affair of such association.</w:t>
      </w:r>
    </w:p>
  </w:footnote>
  <w:footnote w:id="52">
    <w:p w14:paraId="3C89D6AB" w14:textId="18D714F6" w:rsidR="00096C78" w:rsidRPr="00096C78" w:rsidRDefault="00096C78" w:rsidP="00096C78">
      <w:pPr>
        <w:pStyle w:val="FootnoteText"/>
        <w:spacing w:after="240"/>
        <w:jc w:val="both"/>
        <w:rPr>
          <w:rFonts w:asciiTheme="majorHAnsi" w:hAnsiTheme="majorHAnsi" w:cstheme="majorHAnsi"/>
          <w:sz w:val="18"/>
          <w:szCs w:val="18"/>
          <w:lang w:val="en-US"/>
        </w:rPr>
      </w:pP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rPr>
        <w:t xml:space="preserve"> Clause 1, Article 5 of Decree No. 45/2010 / ND-CP has created a "monopoly on association activities" with the stipulationthat "the main activities of an association shall not be duplicated with the main activities of the association that was legally established earlier." Decision 97/2009 / QD-TTg </w:t>
      </w:r>
      <w:r w:rsidRPr="00096C78">
        <w:rPr>
          <w:rFonts w:asciiTheme="majorHAnsi" w:hAnsiTheme="majorHAnsi" w:cstheme="majorHAnsi"/>
          <w:sz w:val="18"/>
          <w:szCs w:val="18"/>
          <w:lang w:val="en-US"/>
        </w:rPr>
        <w:t xml:space="preserve">enacted by the Prime Minister dated </w:t>
      </w:r>
      <w:r w:rsidRPr="00096C78">
        <w:rPr>
          <w:rFonts w:asciiTheme="majorHAnsi" w:hAnsiTheme="majorHAnsi" w:cstheme="majorHAnsi"/>
          <w:sz w:val="18"/>
          <w:szCs w:val="18"/>
        </w:rPr>
        <w:t>24</w:t>
      </w:r>
      <w:r w:rsidRPr="00096C78">
        <w:rPr>
          <w:rFonts w:asciiTheme="majorHAnsi" w:hAnsiTheme="majorHAnsi" w:cstheme="majorHAnsi"/>
          <w:sz w:val="18"/>
          <w:szCs w:val="18"/>
          <w:lang w:val="en-US"/>
        </w:rPr>
        <w:t xml:space="preserve"> July </w:t>
      </w:r>
      <w:r w:rsidRPr="00096C78">
        <w:rPr>
          <w:rFonts w:asciiTheme="majorHAnsi" w:hAnsiTheme="majorHAnsi" w:cstheme="majorHAnsi"/>
          <w:sz w:val="18"/>
          <w:szCs w:val="18"/>
        </w:rPr>
        <w:t xml:space="preserve">2009 </w:t>
      </w:r>
      <w:r w:rsidRPr="00096C78">
        <w:rPr>
          <w:rFonts w:asciiTheme="majorHAnsi" w:hAnsiTheme="majorHAnsi" w:cstheme="majorHAnsi"/>
          <w:sz w:val="18"/>
          <w:szCs w:val="18"/>
          <w:lang w:val="en-US"/>
        </w:rPr>
        <w:t xml:space="preserve">on promulgation of the list of eligible areas  to individuals establishing Science and Technology organizations. The Decision </w:t>
      </w:r>
      <w:r w:rsidRPr="00096C78">
        <w:rPr>
          <w:rFonts w:asciiTheme="majorHAnsi" w:hAnsiTheme="majorHAnsi" w:cstheme="majorHAnsi"/>
          <w:sz w:val="18"/>
          <w:szCs w:val="18"/>
        </w:rPr>
        <w:t xml:space="preserve">regulates 265 fields belonging to 7 specialized sectors (Including natural sciences, social sciences, humanities, science and technology, medical and pharmaceutical sciences and health, agricultural science, science and technology </w:t>
      </w:r>
      <w:r w:rsidRPr="00096C78">
        <w:rPr>
          <w:rFonts w:asciiTheme="majorHAnsi" w:hAnsiTheme="majorHAnsi" w:cstheme="majorHAnsi"/>
          <w:sz w:val="18"/>
          <w:szCs w:val="18"/>
          <w:lang w:val="en-US"/>
        </w:rPr>
        <w:t>services</w:t>
      </w:r>
      <w:r w:rsidRPr="00096C78">
        <w:rPr>
          <w:rFonts w:asciiTheme="majorHAnsi" w:hAnsiTheme="majorHAnsi" w:cstheme="majorHAnsi"/>
          <w:sz w:val="18"/>
          <w:szCs w:val="18"/>
        </w:rPr>
        <w:t>)</w:t>
      </w:r>
      <w:r w:rsidRPr="00096C78">
        <w:rPr>
          <w:rStyle w:val="FootnoteReference"/>
          <w:rFonts w:asciiTheme="majorHAnsi" w:hAnsiTheme="majorHAnsi" w:cstheme="majorHAnsi"/>
          <w:sz w:val="18"/>
          <w:szCs w:val="18"/>
        </w:rPr>
        <w:t xml:space="preserve"> </w:t>
      </w:r>
      <w:r w:rsidRPr="00096C78">
        <w:rPr>
          <w:rStyle w:val="FootnoteReference"/>
          <w:rFonts w:asciiTheme="majorHAnsi" w:hAnsiTheme="majorHAnsi" w:cstheme="majorHAnsi"/>
          <w:sz w:val="18"/>
          <w:szCs w:val="18"/>
        </w:rPr>
        <w:footnoteRef/>
      </w: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rPr>
        <w:t>that individuals are allowing to set up scientific and technological (S&amp;T) organizations.</w:t>
      </w:r>
      <w:r w:rsidRPr="006E407B">
        <w:rPr>
          <w:sz w:val="18"/>
          <w:szCs w:val="18"/>
        </w:rPr>
        <w:t xml:space="preserve"> </w:t>
      </w:r>
      <w:r w:rsidRPr="00096C78">
        <w:rPr>
          <w:rFonts w:asciiTheme="majorHAnsi" w:hAnsiTheme="majorHAnsi" w:cstheme="majorHAnsi"/>
          <w:sz w:val="18"/>
          <w:szCs w:val="18"/>
        </w:rPr>
        <w:t>This regulation restricts individual women from setting up scientific and technology organizations in a number of areas, including promoting gender equality and protecting human rights of women and girls.</w:t>
      </w:r>
    </w:p>
  </w:footnote>
  <w:footnote w:id="53">
    <w:p w14:paraId="0EFD2B60" w14:textId="77777777" w:rsidR="00096C78" w:rsidRPr="00096C78" w:rsidRDefault="00096C78" w:rsidP="00096C78">
      <w:pPr>
        <w:pStyle w:val="FootnoteText"/>
        <w:spacing w:after="240"/>
        <w:jc w:val="both"/>
        <w:rPr>
          <w:rFonts w:asciiTheme="majorHAnsi" w:hAnsiTheme="majorHAnsi" w:cstheme="majorHAnsi"/>
          <w:sz w:val="18"/>
          <w:szCs w:val="18"/>
          <w:lang w:val="en-US"/>
        </w:rPr>
      </w:pP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lang w:val="en-US"/>
        </w:rPr>
        <w:t>Decree No.</w:t>
      </w:r>
      <w:r w:rsidRPr="00096C78">
        <w:rPr>
          <w:rFonts w:asciiTheme="majorHAnsi" w:hAnsiTheme="majorHAnsi" w:cstheme="majorHAnsi"/>
          <w:sz w:val="18"/>
          <w:szCs w:val="18"/>
        </w:rPr>
        <w:t xml:space="preserve">93/2009/NĐ-CP </w:t>
      </w:r>
      <w:r w:rsidRPr="00096C78">
        <w:rPr>
          <w:rFonts w:asciiTheme="majorHAnsi" w:hAnsiTheme="majorHAnsi" w:cstheme="majorHAnsi"/>
          <w:sz w:val="18"/>
          <w:szCs w:val="18"/>
          <w:lang w:val="en-US"/>
        </w:rPr>
        <w:t xml:space="preserve">enacted by the Government dated </w:t>
      </w:r>
      <w:r w:rsidRPr="00096C78">
        <w:rPr>
          <w:rFonts w:asciiTheme="majorHAnsi" w:hAnsiTheme="majorHAnsi" w:cstheme="majorHAnsi"/>
          <w:sz w:val="18"/>
          <w:szCs w:val="18"/>
        </w:rPr>
        <w:t>22</w:t>
      </w:r>
      <w:r w:rsidRPr="00096C78">
        <w:rPr>
          <w:rFonts w:asciiTheme="majorHAnsi" w:hAnsiTheme="majorHAnsi" w:cstheme="majorHAnsi"/>
          <w:sz w:val="18"/>
          <w:szCs w:val="18"/>
          <w:lang w:val="en-US"/>
        </w:rPr>
        <w:t xml:space="preserve"> October 2</w:t>
      </w:r>
      <w:r w:rsidRPr="00096C78">
        <w:rPr>
          <w:rFonts w:asciiTheme="majorHAnsi" w:hAnsiTheme="majorHAnsi" w:cstheme="majorHAnsi"/>
          <w:sz w:val="18"/>
          <w:szCs w:val="18"/>
        </w:rPr>
        <w:t>009</w:t>
      </w:r>
      <w:r w:rsidRPr="00096C78">
        <w:rPr>
          <w:rFonts w:asciiTheme="majorHAnsi" w:hAnsiTheme="majorHAnsi" w:cstheme="majorHAnsi"/>
          <w:sz w:val="18"/>
          <w:szCs w:val="18"/>
          <w:lang w:val="en-US"/>
        </w:rPr>
        <w:t xml:space="preserve"> promulgating the regulations on management and use of foreign non-governmental grants </w:t>
      </w:r>
      <w:r w:rsidRPr="00096C78">
        <w:rPr>
          <w:rFonts w:asciiTheme="majorHAnsi" w:hAnsiTheme="majorHAnsi" w:cstheme="majorHAnsi"/>
          <w:sz w:val="18"/>
          <w:szCs w:val="18"/>
        </w:rPr>
        <w:t>prescribes some priority areas for using foreign non-governmental aid</w:t>
      </w:r>
      <w:r w:rsidRPr="00096C78">
        <w:rPr>
          <w:rFonts w:asciiTheme="majorHAnsi" w:hAnsiTheme="majorHAnsi" w:cstheme="majorHAnsi"/>
          <w:sz w:val="18"/>
          <w:szCs w:val="18"/>
          <w:lang w:val="en-US"/>
        </w:rPr>
        <w:t xml:space="preserve">. </w:t>
      </w:r>
      <w:r w:rsidRPr="00096C78">
        <w:rPr>
          <w:rFonts w:asciiTheme="majorHAnsi" w:hAnsiTheme="majorHAnsi" w:cstheme="majorHAnsi"/>
          <w:sz w:val="18"/>
          <w:szCs w:val="18"/>
        </w:rPr>
        <w:t xml:space="preserve">Under the provisions of Article 3 Decree No. 93/2009/ND-CP, foreign non-governmental aids </w:t>
      </w:r>
      <w:r w:rsidRPr="00096C78">
        <w:rPr>
          <w:rFonts w:asciiTheme="majorHAnsi" w:hAnsiTheme="majorHAnsi" w:cstheme="majorHAnsi"/>
          <w:sz w:val="18"/>
          <w:szCs w:val="18"/>
          <w:lang w:val="en-US"/>
        </w:rPr>
        <w:t xml:space="preserve">that </w:t>
      </w:r>
      <w:r w:rsidRPr="00096C78">
        <w:rPr>
          <w:rFonts w:asciiTheme="majorHAnsi" w:hAnsiTheme="majorHAnsi" w:cstheme="majorHAnsi"/>
          <w:sz w:val="18"/>
          <w:szCs w:val="18"/>
        </w:rPr>
        <w:t xml:space="preserve">shall be used to support the </w:t>
      </w:r>
      <w:r w:rsidRPr="00096C78">
        <w:rPr>
          <w:rFonts w:asciiTheme="majorHAnsi" w:hAnsiTheme="majorHAnsi" w:cstheme="majorHAnsi"/>
          <w:sz w:val="18"/>
          <w:szCs w:val="18"/>
          <w:lang w:val="en-US"/>
        </w:rPr>
        <w:t>implementation</w:t>
      </w:r>
      <w:r w:rsidRPr="00096C78">
        <w:rPr>
          <w:rFonts w:asciiTheme="majorHAnsi" w:hAnsiTheme="majorHAnsi" w:cstheme="majorHAnsi"/>
          <w:sz w:val="18"/>
          <w:szCs w:val="18"/>
        </w:rPr>
        <w:t xml:space="preserve"> of socio-economic development and humanitarian </w:t>
      </w:r>
      <w:r w:rsidRPr="00096C78">
        <w:rPr>
          <w:rFonts w:asciiTheme="majorHAnsi" w:hAnsiTheme="majorHAnsi" w:cstheme="majorHAnsi"/>
          <w:sz w:val="18"/>
          <w:szCs w:val="18"/>
          <w:lang w:val="en-US"/>
        </w:rPr>
        <w:t xml:space="preserve">priority </w:t>
      </w:r>
      <w:r w:rsidRPr="00096C78">
        <w:rPr>
          <w:rFonts w:asciiTheme="majorHAnsi" w:hAnsiTheme="majorHAnsi" w:cstheme="majorHAnsi"/>
          <w:sz w:val="18"/>
          <w:szCs w:val="18"/>
        </w:rPr>
        <w:t>objectives of Vietnam over each</w:t>
      </w:r>
      <w:r w:rsidRPr="00096C78">
        <w:rPr>
          <w:rFonts w:asciiTheme="majorHAnsi" w:hAnsiTheme="majorHAnsi" w:cstheme="majorHAnsi"/>
          <w:sz w:val="18"/>
          <w:szCs w:val="18"/>
          <w:lang w:val="en-US"/>
        </w:rPr>
        <w:t xml:space="preserve"> period, mainly include</w:t>
      </w:r>
      <w:r w:rsidRPr="00096C78">
        <w:rPr>
          <w:rFonts w:asciiTheme="majorHAnsi" w:hAnsiTheme="majorHAnsi" w:cstheme="majorHAnsi"/>
          <w:sz w:val="18"/>
          <w:szCs w:val="18"/>
        </w:rPr>
        <w:t xml:space="preserve"> a) Agricultural and rural development (including agriculture, irrigation, forestry and fisheries) in combination with hunger eradication and poverty alleviation; b) Development of social infrastructure (health, education and training, lab</w:t>
      </w:r>
      <w:r w:rsidRPr="00096C78">
        <w:rPr>
          <w:rFonts w:asciiTheme="majorHAnsi" w:hAnsiTheme="majorHAnsi" w:cstheme="majorHAnsi"/>
          <w:sz w:val="18"/>
          <w:szCs w:val="18"/>
          <w:lang w:val="en-US"/>
        </w:rPr>
        <w:t>u</w:t>
      </w:r>
      <w:r w:rsidRPr="00096C78">
        <w:rPr>
          <w:rFonts w:asciiTheme="majorHAnsi" w:hAnsiTheme="majorHAnsi" w:cstheme="majorHAnsi"/>
          <w:sz w:val="18"/>
          <w:szCs w:val="18"/>
        </w:rPr>
        <w:t xml:space="preserve">or, employment, population); c) environmental protection and management of natural resources, prevention and mitigation of </w:t>
      </w:r>
      <w:r w:rsidRPr="00096C78">
        <w:rPr>
          <w:rFonts w:asciiTheme="majorHAnsi" w:hAnsiTheme="majorHAnsi" w:cstheme="majorHAnsi"/>
          <w:sz w:val="18"/>
          <w:szCs w:val="18"/>
          <w:lang w:val="en-US"/>
        </w:rPr>
        <w:t xml:space="preserve">the aftermaths of </w:t>
      </w:r>
      <w:r w:rsidRPr="00096C78">
        <w:rPr>
          <w:rFonts w:asciiTheme="majorHAnsi" w:hAnsiTheme="majorHAnsi" w:cstheme="majorHAnsi"/>
          <w:sz w:val="18"/>
          <w:szCs w:val="18"/>
        </w:rPr>
        <w:t xml:space="preserve">natural disasters and epidemics; d) </w:t>
      </w:r>
      <w:r w:rsidRPr="00096C78">
        <w:rPr>
          <w:rFonts w:asciiTheme="majorHAnsi" w:hAnsiTheme="majorHAnsi" w:cstheme="majorHAnsi"/>
          <w:sz w:val="18"/>
          <w:szCs w:val="18"/>
          <w:lang w:val="en-US"/>
        </w:rPr>
        <w:t>Enhancing i</w:t>
      </w:r>
      <w:r w:rsidRPr="00096C78">
        <w:rPr>
          <w:rFonts w:asciiTheme="majorHAnsi" w:hAnsiTheme="majorHAnsi" w:cstheme="majorHAnsi"/>
          <w:sz w:val="18"/>
          <w:szCs w:val="18"/>
        </w:rPr>
        <w:t xml:space="preserve">nstitutional, managerial, technical </w:t>
      </w:r>
      <w:r w:rsidRPr="00096C78">
        <w:rPr>
          <w:rFonts w:asciiTheme="majorHAnsi" w:hAnsiTheme="majorHAnsi" w:cstheme="majorHAnsi"/>
          <w:sz w:val="18"/>
          <w:szCs w:val="18"/>
          <w:lang w:val="en-US"/>
        </w:rPr>
        <w:t xml:space="preserve">capacities </w:t>
      </w:r>
      <w:r w:rsidRPr="00096C78">
        <w:rPr>
          <w:rFonts w:asciiTheme="majorHAnsi" w:hAnsiTheme="majorHAnsi" w:cstheme="majorHAnsi"/>
          <w:sz w:val="18"/>
          <w:szCs w:val="18"/>
        </w:rPr>
        <w:t xml:space="preserve">and human resource development; technological transfer, capacity building for research and </w:t>
      </w:r>
      <w:r w:rsidRPr="00096C78">
        <w:rPr>
          <w:rFonts w:asciiTheme="majorHAnsi" w:hAnsiTheme="majorHAnsi" w:cstheme="majorHAnsi"/>
          <w:sz w:val="18"/>
          <w:szCs w:val="18"/>
          <w:lang w:val="en-US"/>
        </w:rPr>
        <w:t>implementation</w:t>
      </w:r>
      <w:r w:rsidRPr="00096C78">
        <w:rPr>
          <w:rFonts w:asciiTheme="majorHAnsi" w:hAnsiTheme="majorHAnsi" w:cstheme="majorHAnsi"/>
          <w:sz w:val="18"/>
          <w:szCs w:val="18"/>
        </w:rPr>
        <w:t>; e) humanitarian activities; and a number of other areas as decided by the Prime Minister.</w:t>
      </w:r>
    </w:p>
  </w:footnote>
  <w:footnote w:id="54">
    <w:p w14:paraId="2175BFC5" w14:textId="6A9D69D3" w:rsidR="00096C78" w:rsidRPr="00096C78" w:rsidRDefault="00096C78" w:rsidP="00096C78">
      <w:pPr>
        <w:pStyle w:val="FootnoteText"/>
        <w:spacing w:after="240"/>
        <w:jc w:val="both"/>
        <w:rPr>
          <w:rFonts w:asciiTheme="majorHAnsi" w:hAnsiTheme="majorHAnsi" w:cstheme="majorHAnsi"/>
          <w:sz w:val="18"/>
          <w:szCs w:val="18"/>
          <w:lang w:val="en-US"/>
        </w:rPr>
      </w:pP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rPr>
        <w:t xml:space="preserve">Under Clause 1.a, Article 15 of Decree No. 93/2009 / ND-CP, the Prime Minister is competent to approve </w:t>
      </w:r>
      <w:r w:rsidR="00C834E6">
        <w:rPr>
          <w:rFonts w:asciiTheme="majorHAnsi" w:hAnsiTheme="majorHAnsi" w:cstheme="majorHAnsi"/>
          <w:sz w:val="18"/>
          <w:szCs w:val="18"/>
        </w:rPr>
        <w:t>foreign</w:t>
      </w:r>
      <w:r w:rsidRPr="00096C78">
        <w:rPr>
          <w:rFonts w:asciiTheme="majorHAnsi" w:hAnsiTheme="majorHAnsi" w:cstheme="majorHAnsi"/>
          <w:sz w:val="18"/>
          <w:szCs w:val="18"/>
        </w:rPr>
        <w:t xml:space="preserve"> aid</w:t>
      </w:r>
      <w:r w:rsidRPr="00096C78">
        <w:rPr>
          <w:rFonts w:asciiTheme="majorHAnsi" w:hAnsiTheme="majorHAnsi" w:cstheme="majorHAnsi"/>
          <w:sz w:val="18"/>
          <w:szCs w:val="18"/>
          <w:lang w:val="en-US"/>
        </w:rPr>
        <w:t>/grants</w:t>
      </w:r>
      <w:r w:rsidRPr="00096C78">
        <w:rPr>
          <w:rFonts w:asciiTheme="majorHAnsi" w:hAnsiTheme="majorHAnsi" w:cstheme="majorHAnsi"/>
          <w:sz w:val="18"/>
          <w:szCs w:val="18"/>
        </w:rPr>
        <w:t xml:space="preserve"> related to </w:t>
      </w:r>
      <w:r w:rsidRPr="00096C78">
        <w:rPr>
          <w:rFonts w:asciiTheme="majorHAnsi" w:hAnsiTheme="majorHAnsi" w:cstheme="majorHAnsi"/>
          <w:sz w:val="18"/>
          <w:szCs w:val="18"/>
          <w:lang w:val="en-US"/>
        </w:rPr>
        <w:t xml:space="preserve">national </w:t>
      </w:r>
      <w:r w:rsidRPr="00096C78">
        <w:rPr>
          <w:rFonts w:asciiTheme="majorHAnsi" w:hAnsiTheme="majorHAnsi" w:cstheme="majorHAnsi"/>
          <w:sz w:val="18"/>
          <w:szCs w:val="18"/>
        </w:rPr>
        <w:t xml:space="preserve">security, defense, religion and </w:t>
      </w:r>
      <w:r w:rsidRPr="00096C78">
        <w:rPr>
          <w:rFonts w:asciiTheme="majorHAnsi" w:hAnsiTheme="majorHAnsi" w:cstheme="majorHAnsi"/>
          <w:sz w:val="18"/>
          <w:szCs w:val="18"/>
          <w:lang w:val="en-US"/>
        </w:rPr>
        <w:t>the grants that</w:t>
      </w:r>
      <w:r w:rsidRPr="00096C78">
        <w:rPr>
          <w:rFonts w:asciiTheme="majorHAnsi" w:hAnsiTheme="majorHAnsi" w:cstheme="majorHAnsi"/>
          <w:sz w:val="18"/>
          <w:szCs w:val="18"/>
        </w:rPr>
        <w:t xml:space="preserve"> directly support the elaboration of legal </w:t>
      </w:r>
      <w:r w:rsidRPr="00096C78">
        <w:rPr>
          <w:rFonts w:asciiTheme="majorHAnsi" w:hAnsiTheme="majorHAnsi" w:cstheme="majorHAnsi"/>
          <w:sz w:val="18"/>
          <w:szCs w:val="18"/>
          <w:lang w:val="en-US"/>
        </w:rPr>
        <w:t xml:space="preserve">normative </w:t>
      </w:r>
      <w:r w:rsidRPr="00096C78">
        <w:rPr>
          <w:rFonts w:asciiTheme="majorHAnsi" w:hAnsiTheme="majorHAnsi" w:cstheme="majorHAnsi"/>
          <w:sz w:val="18"/>
          <w:szCs w:val="18"/>
        </w:rPr>
        <w:t xml:space="preserve">documents, </w:t>
      </w:r>
      <w:r w:rsidRPr="00096C78">
        <w:rPr>
          <w:rFonts w:asciiTheme="majorHAnsi" w:hAnsiTheme="majorHAnsi" w:cstheme="majorHAnsi"/>
          <w:sz w:val="18"/>
          <w:szCs w:val="18"/>
          <w:lang w:val="en-US"/>
        </w:rPr>
        <w:t xml:space="preserve">policies, advocates </w:t>
      </w:r>
      <w:r w:rsidRPr="00096C78">
        <w:rPr>
          <w:rFonts w:asciiTheme="majorHAnsi" w:hAnsiTheme="majorHAnsi" w:cstheme="majorHAnsi"/>
          <w:sz w:val="18"/>
          <w:szCs w:val="18"/>
        </w:rPr>
        <w:t xml:space="preserve">falling under the promulgating competence of the Prime Minister and higher levels, </w:t>
      </w:r>
      <w:r w:rsidRPr="00096C78">
        <w:rPr>
          <w:rFonts w:asciiTheme="majorHAnsi" w:hAnsiTheme="majorHAnsi" w:cstheme="majorHAnsi"/>
          <w:sz w:val="18"/>
          <w:szCs w:val="18"/>
          <w:lang w:val="en-US"/>
        </w:rPr>
        <w:t xml:space="preserve">the </w:t>
      </w:r>
      <w:r w:rsidRPr="00096C78">
        <w:rPr>
          <w:rFonts w:asciiTheme="majorHAnsi" w:hAnsiTheme="majorHAnsi" w:cstheme="majorHAnsi"/>
          <w:sz w:val="18"/>
          <w:szCs w:val="18"/>
        </w:rPr>
        <w:t xml:space="preserve">strategies, plannings and </w:t>
      </w:r>
      <w:r w:rsidRPr="00096C78">
        <w:rPr>
          <w:rFonts w:asciiTheme="majorHAnsi" w:hAnsiTheme="majorHAnsi" w:cstheme="majorHAnsi"/>
          <w:sz w:val="18"/>
          <w:szCs w:val="18"/>
          <w:lang w:val="en-US"/>
        </w:rPr>
        <w:t xml:space="preserve">socio-economic development </w:t>
      </w:r>
      <w:r w:rsidRPr="00096C78">
        <w:rPr>
          <w:rFonts w:asciiTheme="majorHAnsi" w:hAnsiTheme="majorHAnsi" w:cstheme="majorHAnsi"/>
          <w:sz w:val="18"/>
          <w:szCs w:val="18"/>
        </w:rPr>
        <w:t xml:space="preserve">plans </w:t>
      </w:r>
      <w:r w:rsidRPr="00096C78">
        <w:rPr>
          <w:rFonts w:asciiTheme="majorHAnsi" w:hAnsiTheme="majorHAnsi" w:cstheme="majorHAnsi"/>
          <w:sz w:val="18"/>
          <w:szCs w:val="18"/>
          <w:lang w:val="en-US"/>
        </w:rPr>
        <w:t xml:space="preserve">of the whole country, sectors and </w:t>
      </w:r>
      <w:r w:rsidRPr="00096C78">
        <w:rPr>
          <w:rFonts w:asciiTheme="majorHAnsi" w:hAnsiTheme="majorHAnsi" w:cstheme="majorHAnsi"/>
          <w:sz w:val="18"/>
          <w:szCs w:val="18"/>
        </w:rPr>
        <w:t xml:space="preserve">territories; The detailed list of categories of </w:t>
      </w:r>
      <w:r w:rsidRPr="00096C78">
        <w:rPr>
          <w:rFonts w:asciiTheme="majorHAnsi" w:hAnsiTheme="majorHAnsi" w:cstheme="majorHAnsi"/>
          <w:sz w:val="18"/>
          <w:szCs w:val="18"/>
          <w:lang w:val="en-US"/>
        </w:rPr>
        <w:t xml:space="preserve">the used </w:t>
      </w:r>
      <w:r w:rsidRPr="00096C78">
        <w:rPr>
          <w:rFonts w:asciiTheme="majorHAnsi" w:hAnsiTheme="majorHAnsi" w:cstheme="majorHAnsi"/>
          <w:sz w:val="18"/>
          <w:szCs w:val="18"/>
        </w:rPr>
        <w:t>goods, equipment with simple structure</w:t>
      </w:r>
      <w:r w:rsidRPr="00096C78">
        <w:rPr>
          <w:rFonts w:asciiTheme="majorHAnsi" w:hAnsiTheme="majorHAnsi" w:cstheme="majorHAnsi"/>
          <w:sz w:val="18"/>
          <w:szCs w:val="18"/>
          <w:lang w:val="en-US"/>
        </w:rPr>
        <w:t>s</w:t>
      </w:r>
      <w:r w:rsidRPr="00096C78">
        <w:rPr>
          <w:rFonts w:asciiTheme="majorHAnsi" w:hAnsiTheme="majorHAnsi" w:cstheme="majorHAnsi"/>
          <w:sz w:val="18"/>
          <w:szCs w:val="18"/>
        </w:rPr>
        <w:t xml:space="preserve">; FNG aid amounts related to the import of </w:t>
      </w:r>
      <w:r w:rsidRPr="00096C78">
        <w:rPr>
          <w:rFonts w:asciiTheme="majorHAnsi" w:hAnsiTheme="majorHAnsi" w:cstheme="majorHAnsi"/>
          <w:sz w:val="18"/>
          <w:szCs w:val="18"/>
          <w:lang w:val="en-US"/>
        </w:rPr>
        <w:t>automobiles</w:t>
      </w:r>
      <w:r w:rsidRPr="00096C78">
        <w:rPr>
          <w:rFonts w:asciiTheme="majorHAnsi" w:hAnsiTheme="majorHAnsi" w:cstheme="majorHAnsi"/>
          <w:sz w:val="18"/>
          <w:szCs w:val="18"/>
        </w:rPr>
        <w:t xml:space="preserve"> and other means of transport</w:t>
      </w:r>
      <w:r w:rsidRPr="00096C78">
        <w:rPr>
          <w:rFonts w:asciiTheme="majorHAnsi" w:hAnsiTheme="majorHAnsi" w:cstheme="majorHAnsi"/>
          <w:sz w:val="18"/>
          <w:szCs w:val="18"/>
          <w:lang w:val="en-US"/>
        </w:rPr>
        <w:t xml:space="preserve">. </w:t>
      </w:r>
      <w:r w:rsidRPr="00096C78">
        <w:rPr>
          <w:rFonts w:asciiTheme="majorHAnsi" w:hAnsiTheme="majorHAnsi" w:cstheme="majorHAnsi"/>
          <w:sz w:val="18"/>
          <w:szCs w:val="18"/>
        </w:rPr>
        <w:t>; heads of State agencies, organizations’, Chairs of People’s Committees of provinces and cities under Central control, heads of Central agencies of various organization’s</w:t>
      </w:r>
    </w:p>
  </w:footnote>
  <w:footnote w:id="55">
    <w:p w14:paraId="3D4A9D64" w14:textId="77777777" w:rsidR="00096C78" w:rsidRPr="00096C78" w:rsidRDefault="00096C78" w:rsidP="00096C78">
      <w:pPr>
        <w:pStyle w:val="NormalWeb"/>
        <w:spacing w:after="240" w:afterAutospacing="0"/>
        <w:jc w:val="both"/>
        <w:rPr>
          <w:rFonts w:asciiTheme="majorHAnsi" w:eastAsiaTheme="minorHAnsi" w:hAnsiTheme="majorHAnsi" w:cstheme="majorHAnsi"/>
          <w:sz w:val="18"/>
          <w:szCs w:val="18"/>
          <w:lang w:val="en-US"/>
        </w:rPr>
      </w:pPr>
      <w:r w:rsidRPr="00096C78">
        <w:rPr>
          <w:rStyle w:val="FootnoteReference"/>
          <w:rFonts w:asciiTheme="majorHAnsi" w:hAnsiTheme="majorHAnsi" w:cstheme="majorHAnsi"/>
          <w:sz w:val="18"/>
          <w:szCs w:val="18"/>
        </w:rPr>
        <w:footnoteRef/>
      </w:r>
      <w:r w:rsidRPr="00096C78">
        <w:rPr>
          <w:rFonts w:asciiTheme="majorHAnsi" w:hAnsiTheme="majorHAnsi" w:cstheme="majorHAnsi"/>
          <w:sz w:val="18"/>
          <w:szCs w:val="18"/>
        </w:rPr>
        <w:t xml:space="preserve">Under Clause 1.b, Article 15 of Decree No. 93/2009/ND-CP, heads of State agencies and organizations, chairs of people's committees of provinces and cities under central authority, heads of central bodies </w:t>
      </w:r>
      <w:r w:rsidRPr="00096C78">
        <w:rPr>
          <w:rFonts w:asciiTheme="majorHAnsi" w:hAnsiTheme="majorHAnsi" w:cstheme="majorHAnsi"/>
          <w:sz w:val="18"/>
          <w:szCs w:val="18"/>
          <w:lang w:val="en-US"/>
        </w:rPr>
        <w:t xml:space="preserve">under </w:t>
      </w:r>
      <w:r w:rsidRPr="00096C78">
        <w:rPr>
          <w:rFonts w:asciiTheme="majorHAnsi" w:hAnsiTheme="majorHAnsi" w:cstheme="majorHAnsi"/>
          <w:sz w:val="18"/>
          <w:szCs w:val="18"/>
        </w:rPr>
        <w:t xml:space="preserve">agencies of the Party, the National Assembly, ministries, ministerial-level agencies, government-attached agencies, Supreme People's Procuracy, Supreme People's Court, People's Committees of </w:t>
      </w:r>
      <w:r w:rsidRPr="00096C78">
        <w:rPr>
          <w:rFonts w:asciiTheme="majorHAnsi" w:hAnsiTheme="majorHAnsi" w:cstheme="majorHAnsi"/>
          <w:sz w:val="18"/>
          <w:szCs w:val="18"/>
          <w:lang w:val="en-US"/>
        </w:rPr>
        <w:t xml:space="preserve">centrally-run </w:t>
      </w:r>
      <w:r w:rsidRPr="00096C78">
        <w:rPr>
          <w:rFonts w:asciiTheme="majorHAnsi" w:hAnsiTheme="majorHAnsi" w:cstheme="majorHAnsi"/>
          <w:sz w:val="18"/>
          <w:szCs w:val="18"/>
        </w:rPr>
        <w:t xml:space="preserve">provinces and cities; organizations </w:t>
      </w:r>
      <w:r w:rsidRPr="00096C78">
        <w:rPr>
          <w:rFonts w:asciiTheme="majorHAnsi" w:hAnsiTheme="majorHAnsi" w:cstheme="majorHAnsi"/>
          <w:sz w:val="18"/>
          <w:szCs w:val="18"/>
          <w:lang w:val="en-US"/>
        </w:rPr>
        <w:t xml:space="preserve">under central bodies </w:t>
      </w:r>
      <w:r w:rsidRPr="00096C78">
        <w:rPr>
          <w:rFonts w:asciiTheme="majorHAnsi" w:hAnsiTheme="majorHAnsi" w:cstheme="majorHAnsi"/>
          <w:sz w:val="18"/>
          <w:szCs w:val="18"/>
        </w:rPr>
        <w:t>of Vietnam Fatherland Front, Vietnam General Confederation of Labo</w:t>
      </w:r>
      <w:r w:rsidRPr="00096C78">
        <w:rPr>
          <w:rFonts w:asciiTheme="majorHAnsi" w:hAnsiTheme="majorHAnsi" w:cstheme="majorHAnsi"/>
          <w:sz w:val="18"/>
          <w:szCs w:val="18"/>
          <w:lang w:val="en-US"/>
        </w:rPr>
        <w:t>u</w:t>
      </w:r>
      <w:r w:rsidRPr="00096C78">
        <w:rPr>
          <w:rFonts w:asciiTheme="majorHAnsi" w:hAnsiTheme="majorHAnsi" w:cstheme="majorHAnsi"/>
          <w:sz w:val="18"/>
          <w:szCs w:val="18"/>
        </w:rPr>
        <w:t xml:space="preserve">r, Ho Chi Minh Communist Youth Union, Vietnam </w:t>
      </w:r>
      <w:r w:rsidRPr="00096C78">
        <w:rPr>
          <w:rFonts w:asciiTheme="majorHAnsi" w:hAnsiTheme="majorHAnsi" w:cstheme="majorHAnsi"/>
          <w:sz w:val="18"/>
          <w:szCs w:val="18"/>
          <w:lang w:val="en-US"/>
        </w:rPr>
        <w:t>Farmers’ Union</w:t>
      </w:r>
      <w:r w:rsidRPr="00096C78">
        <w:rPr>
          <w:rFonts w:asciiTheme="majorHAnsi" w:hAnsiTheme="majorHAnsi" w:cstheme="majorHAnsi"/>
          <w:sz w:val="18"/>
          <w:szCs w:val="18"/>
        </w:rPr>
        <w:t>, Vietnam Veterans' Association, Vietnam Women's Union, Vietnam Lawyers Association; Organizations belonging to associations or association</w:t>
      </w:r>
      <w:r w:rsidRPr="00096C78">
        <w:rPr>
          <w:rFonts w:asciiTheme="majorHAnsi" w:hAnsiTheme="majorHAnsi" w:cstheme="majorHAnsi"/>
          <w:sz w:val="18"/>
          <w:szCs w:val="18"/>
          <w:lang w:val="en-US"/>
        </w:rPr>
        <w:t xml:space="preserve"> coalition </w:t>
      </w:r>
      <w:r w:rsidRPr="00096C78">
        <w:rPr>
          <w:rFonts w:asciiTheme="majorHAnsi" w:hAnsiTheme="majorHAnsi" w:cstheme="majorHAnsi"/>
          <w:sz w:val="18"/>
          <w:szCs w:val="18"/>
        </w:rPr>
        <w:t xml:space="preserve">established under the decision of the Prime Minister </w:t>
      </w:r>
      <w:r w:rsidRPr="00096C78">
        <w:rPr>
          <w:rFonts w:asciiTheme="majorHAnsi" w:hAnsiTheme="majorHAnsi" w:cstheme="majorHAnsi"/>
          <w:sz w:val="18"/>
          <w:szCs w:val="18"/>
          <w:lang w:val="en-US"/>
        </w:rPr>
        <w:t>shall be</w:t>
      </w:r>
      <w:r w:rsidRPr="00096C78">
        <w:rPr>
          <w:rFonts w:asciiTheme="majorHAnsi" w:hAnsiTheme="majorHAnsi" w:cstheme="majorHAnsi"/>
          <w:sz w:val="18"/>
          <w:szCs w:val="18"/>
        </w:rPr>
        <w:t xml:space="preserve"> authorized to approve used goods with simple structure </w:t>
      </w:r>
      <w:r w:rsidRPr="00096C78">
        <w:rPr>
          <w:rFonts w:asciiTheme="majorHAnsi" w:hAnsiTheme="majorHAnsi" w:cstheme="majorHAnsi"/>
          <w:sz w:val="18"/>
          <w:szCs w:val="18"/>
          <w:lang w:val="en-US"/>
        </w:rPr>
        <w:t>that have</w:t>
      </w:r>
      <w:r w:rsidRPr="00096C78">
        <w:rPr>
          <w:rFonts w:asciiTheme="majorHAnsi" w:hAnsiTheme="majorHAnsi" w:cstheme="majorHAnsi"/>
          <w:sz w:val="18"/>
          <w:szCs w:val="18"/>
        </w:rPr>
        <w:t xml:space="preserve"> more than 80% compared with the value of </w:t>
      </w:r>
      <w:r w:rsidRPr="00096C78">
        <w:rPr>
          <w:rFonts w:asciiTheme="majorHAnsi" w:hAnsiTheme="majorHAnsi" w:cstheme="majorHAnsi"/>
          <w:sz w:val="18"/>
          <w:szCs w:val="18"/>
          <w:lang w:val="en-US"/>
        </w:rPr>
        <w:t xml:space="preserve">being </w:t>
      </w:r>
      <w:r w:rsidRPr="00096C78">
        <w:rPr>
          <w:rFonts w:asciiTheme="majorHAnsi" w:hAnsiTheme="majorHAnsi" w:cstheme="majorHAnsi"/>
          <w:sz w:val="18"/>
          <w:szCs w:val="18"/>
        </w:rPr>
        <w:t>newly use</w:t>
      </w:r>
      <w:r w:rsidRPr="00096C78">
        <w:rPr>
          <w:rFonts w:asciiTheme="majorHAnsi" w:hAnsiTheme="majorHAnsi" w:cstheme="majorHAnsi"/>
          <w:sz w:val="18"/>
          <w:szCs w:val="18"/>
          <w:lang w:val="en-US"/>
        </w:rPr>
        <w:t>d</w:t>
      </w:r>
      <w:r w:rsidRPr="00096C78">
        <w:rPr>
          <w:rFonts w:asciiTheme="majorHAnsi" w:hAnsiTheme="majorHAnsi" w:cstheme="majorHAnsi"/>
          <w:sz w:val="18"/>
          <w:szCs w:val="18"/>
        </w:rPr>
        <w:t xml:space="preserve"> (</w:t>
      </w:r>
      <w:r w:rsidRPr="00096C78">
        <w:rPr>
          <w:rFonts w:asciiTheme="majorHAnsi" w:hAnsiTheme="majorHAnsi" w:cstheme="majorHAnsi"/>
          <w:sz w:val="18"/>
          <w:szCs w:val="18"/>
          <w:lang w:val="en-US"/>
        </w:rPr>
        <w:t xml:space="preserve">verified in writing </w:t>
      </w:r>
      <w:r w:rsidRPr="00096C78">
        <w:rPr>
          <w:rFonts w:asciiTheme="majorHAnsi" w:hAnsiTheme="majorHAnsi" w:cstheme="majorHAnsi"/>
          <w:sz w:val="18"/>
          <w:szCs w:val="18"/>
        </w:rPr>
        <w:t xml:space="preserve">by the Donor) on the list approved by the Prime Minister mentioned in paragraph 2, Point a of this Clause; and Emergency relief </w:t>
      </w:r>
      <w:r w:rsidRPr="00096C78">
        <w:rPr>
          <w:rFonts w:asciiTheme="majorHAnsi" w:hAnsiTheme="majorHAnsi" w:cstheme="majorHAnsi"/>
          <w:sz w:val="18"/>
          <w:szCs w:val="18"/>
          <w:lang w:val="en-US"/>
        </w:rPr>
        <w:t xml:space="preserve">amounts that </w:t>
      </w:r>
      <w:r w:rsidRPr="00096C78">
        <w:rPr>
          <w:rFonts w:asciiTheme="majorHAnsi" w:hAnsiTheme="majorHAnsi" w:cstheme="majorHAnsi"/>
          <w:sz w:val="18"/>
          <w:szCs w:val="18"/>
        </w:rPr>
        <w:t>have specific address</w:t>
      </w:r>
      <w:r w:rsidRPr="00096C78">
        <w:rPr>
          <w:rFonts w:asciiTheme="majorHAnsi" w:hAnsiTheme="majorHAnsi" w:cstheme="majorHAnsi"/>
          <w:sz w:val="18"/>
          <w:szCs w:val="18"/>
          <w:lang w:val="en-US"/>
        </w:rPr>
        <w:t>es.</w:t>
      </w:r>
    </w:p>
  </w:footnote>
  <w:footnote w:id="56">
    <w:p w14:paraId="6EC5A28A" w14:textId="4B11CD7D" w:rsidR="00096C78" w:rsidRPr="00096C78" w:rsidRDefault="00096C78" w:rsidP="00096C78">
      <w:pPr>
        <w:pStyle w:val="FootnoteText"/>
        <w:spacing w:after="240"/>
        <w:jc w:val="both"/>
        <w:rPr>
          <w:rFonts w:asciiTheme="majorHAnsi" w:hAnsiTheme="majorHAnsi" w:cstheme="majorHAnsi"/>
          <w:sz w:val="18"/>
          <w:szCs w:val="18"/>
          <w:lang w:val="en-US"/>
        </w:rPr>
      </w:pPr>
      <w:r w:rsidRPr="00096C78">
        <w:rPr>
          <w:rFonts w:asciiTheme="majorHAnsi" w:hAnsiTheme="majorHAnsi" w:cstheme="majorHAnsi"/>
          <w:sz w:val="18"/>
          <w:szCs w:val="18"/>
        </w:rPr>
        <w:footnoteRef/>
      </w:r>
      <w:r w:rsidRPr="00096C78">
        <w:rPr>
          <w:rFonts w:asciiTheme="majorHAnsi" w:hAnsiTheme="majorHAnsi" w:cstheme="majorHAnsi"/>
          <w:sz w:val="18"/>
          <w:szCs w:val="18"/>
        </w:rPr>
        <w:t xml:space="preserve"> Circular No. 07/2010/TT-BKH </w:t>
      </w:r>
      <w:r w:rsidRPr="00096C78">
        <w:rPr>
          <w:rFonts w:asciiTheme="majorHAnsi" w:hAnsiTheme="majorHAnsi" w:cstheme="majorHAnsi"/>
          <w:sz w:val="18"/>
          <w:szCs w:val="18"/>
          <w:lang w:val="en-US"/>
        </w:rPr>
        <w:t xml:space="preserve">enacted by MPI dated 30 March </w:t>
      </w:r>
      <w:r w:rsidRPr="00096C78">
        <w:rPr>
          <w:rFonts w:asciiTheme="majorHAnsi" w:hAnsiTheme="majorHAnsi" w:cstheme="majorHAnsi"/>
          <w:sz w:val="18"/>
          <w:szCs w:val="18"/>
        </w:rPr>
        <w:t xml:space="preserve">2010 </w:t>
      </w:r>
      <w:r w:rsidRPr="00096C78">
        <w:rPr>
          <w:rFonts w:asciiTheme="majorHAnsi" w:hAnsiTheme="majorHAnsi" w:cstheme="majorHAnsi"/>
          <w:sz w:val="18"/>
          <w:szCs w:val="18"/>
          <w:lang w:val="en-US"/>
        </w:rPr>
        <w:t xml:space="preserve">guiding the implementation of Government Decree </w:t>
      </w:r>
      <w:r w:rsidRPr="00096C78">
        <w:rPr>
          <w:rFonts w:asciiTheme="majorHAnsi" w:hAnsiTheme="majorHAnsi" w:cstheme="majorHAnsi"/>
          <w:sz w:val="18"/>
          <w:szCs w:val="18"/>
        </w:rPr>
        <w:t xml:space="preserve">93/2009/NĐ-CP </w:t>
      </w:r>
      <w:r w:rsidRPr="00096C78">
        <w:rPr>
          <w:rFonts w:asciiTheme="majorHAnsi" w:hAnsiTheme="majorHAnsi" w:cstheme="majorHAnsi"/>
          <w:sz w:val="18"/>
          <w:szCs w:val="18"/>
          <w:lang w:val="en-US"/>
        </w:rPr>
        <w:t>promulgating regulations for management of foreign non-governmental aids.</w:t>
      </w:r>
    </w:p>
  </w:footnote>
  <w:footnote w:id="57">
    <w:p w14:paraId="2EF9838B" w14:textId="619C7A6F" w:rsidR="00096C78" w:rsidRPr="00096C78" w:rsidRDefault="00096C78" w:rsidP="00096C78">
      <w:pPr>
        <w:pStyle w:val="FootnoteText"/>
        <w:spacing w:after="240"/>
        <w:jc w:val="both"/>
        <w:rPr>
          <w:rFonts w:asciiTheme="majorHAnsi" w:hAnsiTheme="majorHAnsi" w:cstheme="majorHAnsi"/>
          <w:sz w:val="18"/>
          <w:szCs w:val="18"/>
          <w:lang w:val="en-US"/>
        </w:rPr>
      </w:pPr>
      <w:r w:rsidRPr="00096C78">
        <w:rPr>
          <w:rFonts w:asciiTheme="majorHAnsi" w:hAnsiTheme="majorHAnsi" w:cstheme="majorHAnsi"/>
          <w:sz w:val="18"/>
          <w:szCs w:val="18"/>
        </w:rPr>
        <w:footnoteRef/>
      </w:r>
      <w:r w:rsidRPr="00096C78">
        <w:rPr>
          <w:rFonts w:asciiTheme="majorHAnsi" w:hAnsiTheme="majorHAnsi" w:cstheme="majorHAnsi"/>
          <w:sz w:val="18"/>
          <w:szCs w:val="18"/>
        </w:rPr>
        <w:t xml:space="preserve"> </w:t>
      </w:r>
      <w:r w:rsidRPr="00096C78">
        <w:rPr>
          <w:rFonts w:asciiTheme="majorHAnsi" w:hAnsiTheme="majorHAnsi" w:cstheme="majorHAnsi"/>
          <w:sz w:val="18"/>
          <w:szCs w:val="18"/>
          <w:lang w:val="en-US"/>
        </w:rPr>
        <w:t>Follow the discussion a</w:t>
      </w:r>
      <w:r w:rsidRPr="00096C78">
        <w:rPr>
          <w:rFonts w:asciiTheme="majorHAnsi" w:hAnsiTheme="majorHAnsi" w:cstheme="majorHAnsi"/>
          <w:sz w:val="18"/>
          <w:szCs w:val="18"/>
        </w:rPr>
        <w:t xml:space="preserve">t the Workshop on Decree 93/2007/NĐ-CP </w:t>
      </w:r>
      <w:r w:rsidRPr="00096C78">
        <w:rPr>
          <w:rFonts w:asciiTheme="majorHAnsi" w:hAnsiTheme="majorHAnsi" w:cstheme="majorHAnsi"/>
          <w:sz w:val="18"/>
          <w:szCs w:val="18"/>
          <w:lang w:val="en-US"/>
        </w:rPr>
        <w:t xml:space="preserve">held by </w:t>
      </w:r>
      <w:r w:rsidRPr="00096C78">
        <w:rPr>
          <w:rFonts w:asciiTheme="majorHAnsi" w:hAnsiTheme="majorHAnsi" w:cstheme="majorHAnsi"/>
          <w:sz w:val="18"/>
          <w:szCs w:val="18"/>
        </w:rPr>
        <w:t xml:space="preserve">VUSTA </w:t>
      </w:r>
      <w:r w:rsidRPr="00096C78">
        <w:rPr>
          <w:rFonts w:asciiTheme="majorHAnsi" w:hAnsiTheme="majorHAnsi" w:cstheme="majorHAnsi"/>
          <w:sz w:val="18"/>
          <w:szCs w:val="18"/>
          <w:lang w:val="en-US"/>
        </w:rPr>
        <w:t xml:space="preserve">on 11 August </w:t>
      </w:r>
      <w:r w:rsidRPr="00096C78">
        <w:rPr>
          <w:rFonts w:asciiTheme="majorHAnsi" w:hAnsiTheme="majorHAnsi" w:cstheme="majorHAnsi"/>
          <w:sz w:val="18"/>
          <w:szCs w:val="18"/>
        </w:rPr>
        <w:t>2016</w:t>
      </w:r>
      <w:r w:rsidRPr="00096C78">
        <w:rPr>
          <w:rFonts w:asciiTheme="majorHAnsi" w:hAnsiTheme="majorHAnsi" w:cstheme="majorHAnsi"/>
          <w:sz w:val="18"/>
          <w:szCs w:val="18"/>
          <w:lang w:val="en-US"/>
        </w:rPr>
        <w:t xml:space="preserve">, a count on </w:t>
      </w:r>
      <w:r w:rsidRPr="00096C78">
        <w:rPr>
          <w:rFonts w:asciiTheme="majorHAnsi" w:hAnsiTheme="majorHAnsi" w:cstheme="majorHAnsi"/>
          <w:sz w:val="18"/>
          <w:szCs w:val="18"/>
        </w:rPr>
        <w:t>50 projects under VUSTA were approved in the first 6 months of 2016</w:t>
      </w:r>
    </w:p>
  </w:footnote>
  <w:footnote w:id="58">
    <w:p w14:paraId="35382544" w14:textId="77777777" w:rsidR="00096C78" w:rsidRPr="00345D39" w:rsidRDefault="00096C78" w:rsidP="00345D39">
      <w:pPr>
        <w:pStyle w:val="FootnoteText"/>
        <w:spacing w:after="240"/>
        <w:jc w:val="both"/>
        <w:rPr>
          <w:rFonts w:asciiTheme="majorHAnsi" w:hAnsiTheme="majorHAnsi" w:cstheme="majorHAnsi"/>
          <w:sz w:val="18"/>
          <w:szCs w:val="18"/>
        </w:rPr>
      </w:pPr>
      <w:r w:rsidRPr="00345D39">
        <w:rPr>
          <w:rFonts w:asciiTheme="majorHAnsi" w:hAnsiTheme="majorHAnsi" w:cstheme="majorHAnsi"/>
          <w:sz w:val="18"/>
          <w:szCs w:val="18"/>
        </w:rPr>
        <w:footnoteRef/>
      </w:r>
      <w:r w:rsidRPr="00345D39">
        <w:rPr>
          <w:rFonts w:asciiTheme="majorHAnsi" w:hAnsiTheme="majorHAnsi" w:cstheme="majorHAnsi"/>
          <w:sz w:val="18"/>
          <w:szCs w:val="18"/>
          <w:lang w:val="en-US"/>
        </w:rPr>
        <w:t xml:space="preserve">Article </w:t>
      </w:r>
      <w:r w:rsidRPr="00345D39">
        <w:rPr>
          <w:rFonts w:asciiTheme="majorHAnsi" w:hAnsiTheme="majorHAnsi" w:cstheme="majorHAnsi"/>
          <w:sz w:val="18"/>
          <w:szCs w:val="18"/>
        </w:rPr>
        <w:t xml:space="preserve">13.3, </w:t>
      </w:r>
      <w:r w:rsidRPr="00345D39">
        <w:rPr>
          <w:rFonts w:asciiTheme="majorHAnsi" w:hAnsiTheme="majorHAnsi" w:cstheme="majorHAnsi"/>
          <w:sz w:val="18"/>
          <w:szCs w:val="18"/>
          <w:lang w:val="en-US"/>
        </w:rPr>
        <w:t xml:space="preserve">Decree </w:t>
      </w:r>
      <w:r w:rsidRPr="00345D39">
        <w:rPr>
          <w:rFonts w:asciiTheme="majorHAnsi" w:hAnsiTheme="majorHAnsi" w:cstheme="majorHAnsi"/>
          <w:sz w:val="18"/>
          <w:szCs w:val="18"/>
        </w:rPr>
        <w:t xml:space="preserve">97/2009/NĐ-CP </w:t>
      </w:r>
      <w:r w:rsidRPr="00345D39">
        <w:rPr>
          <w:rFonts w:asciiTheme="majorHAnsi" w:hAnsiTheme="majorHAnsi" w:cstheme="majorHAnsi"/>
          <w:sz w:val="18"/>
          <w:szCs w:val="18"/>
          <w:lang w:val="en-US"/>
        </w:rPr>
        <w:t>on the enactment of the regulations on management and use of foreign non-governmental aids</w:t>
      </w:r>
    </w:p>
  </w:footnote>
  <w:footnote w:id="59">
    <w:p w14:paraId="0D69DCB8" w14:textId="77777777" w:rsidR="00096C78" w:rsidRPr="00345D39" w:rsidRDefault="00096C78" w:rsidP="00345D39">
      <w:pPr>
        <w:pStyle w:val="FootnoteText"/>
        <w:spacing w:after="240"/>
        <w:jc w:val="both"/>
        <w:rPr>
          <w:rFonts w:asciiTheme="majorHAnsi" w:hAnsiTheme="majorHAnsi" w:cstheme="majorHAnsi"/>
          <w:sz w:val="18"/>
          <w:szCs w:val="18"/>
        </w:rPr>
      </w:pPr>
      <w:r w:rsidRPr="00345D39">
        <w:rPr>
          <w:rFonts w:asciiTheme="majorHAnsi" w:hAnsiTheme="majorHAnsi" w:cstheme="majorHAnsi"/>
          <w:sz w:val="18"/>
          <w:szCs w:val="18"/>
        </w:rPr>
        <w:footnoteRef/>
      </w:r>
      <w:r w:rsidRPr="00345D39">
        <w:rPr>
          <w:rFonts w:asciiTheme="majorHAnsi" w:hAnsiTheme="majorHAnsi" w:cstheme="majorHAnsi"/>
          <w:sz w:val="18"/>
          <w:szCs w:val="18"/>
        </w:rPr>
        <w:t xml:space="preserve"> Lê Quang Bình et al</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 xml:space="preserve">, 2016, </w:t>
      </w:r>
      <w:r w:rsidRPr="00345D39">
        <w:rPr>
          <w:rFonts w:asciiTheme="majorHAnsi" w:hAnsiTheme="majorHAnsi" w:cstheme="majorHAnsi"/>
          <w:sz w:val="18"/>
          <w:szCs w:val="18"/>
          <w:lang w:val="en-US"/>
        </w:rPr>
        <w:t xml:space="preserve">Study on implementation of Decision </w:t>
      </w:r>
      <w:r w:rsidRPr="00345D39">
        <w:rPr>
          <w:rFonts w:asciiTheme="majorHAnsi" w:hAnsiTheme="majorHAnsi" w:cstheme="majorHAnsi"/>
          <w:sz w:val="18"/>
          <w:szCs w:val="18"/>
        </w:rPr>
        <w:t xml:space="preserve">93/2009/NĐ-CP </w:t>
      </w:r>
      <w:r w:rsidRPr="00345D39">
        <w:rPr>
          <w:rFonts w:asciiTheme="majorHAnsi" w:hAnsiTheme="majorHAnsi" w:cstheme="majorHAnsi"/>
          <w:sz w:val="18"/>
          <w:szCs w:val="18"/>
          <w:lang w:val="en-US"/>
        </w:rPr>
        <w:t>of grant recipients</w:t>
      </w:r>
    </w:p>
  </w:footnote>
  <w:footnote w:id="60">
    <w:p w14:paraId="35A47232" w14:textId="77777777"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According to the survey,</w:t>
      </w:r>
      <w:r w:rsidRPr="00345D39">
        <w:rPr>
          <w:rFonts w:asciiTheme="majorHAnsi" w:hAnsiTheme="majorHAnsi" w:cstheme="majorHAnsi"/>
          <w:sz w:val="18"/>
          <w:szCs w:val="18"/>
        </w:rPr>
        <w:t xml:space="preserve"> excuses for not approving or not yet approving the projects include: Local authorities refused to approve (28%), the contents of the projects were inappropriate and sensitive (22%), the concerned agencies disagreed (11%), the locations for project implementation are sensitive (6%) and no reason specified (11%). In 2017, at least 6 foreign non-governmental aid projects of the five women-led organizations were refused by lead agencies for the reasons not related to national security, public order and safety, protection of health or morals of the community as provided for in Clause 2 of Article 14 of the 2013 Constitution or the spirit of Article 22.1 of the ICCPR.</w:t>
      </w:r>
    </w:p>
  </w:footnote>
  <w:footnote w:id="61">
    <w:p w14:paraId="7141FBAE" w14:textId="16A29AEA" w:rsidR="00096C78" w:rsidRPr="00345D39" w:rsidRDefault="00096C78" w:rsidP="00345D39">
      <w:pPr>
        <w:spacing w:afterLines="60" w:after="144" w:line="240" w:lineRule="auto"/>
        <w:jc w:val="both"/>
        <w:rPr>
          <w:rFonts w:asciiTheme="majorHAnsi" w:eastAsia="Times New Roman"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Para </w:t>
      </w:r>
      <w:r w:rsidRPr="00345D39">
        <w:rPr>
          <w:rFonts w:asciiTheme="majorHAnsi" w:hAnsiTheme="majorHAnsi" w:cstheme="majorHAnsi"/>
          <w:sz w:val="18"/>
          <w:szCs w:val="18"/>
          <w:lang w:val="vi-VN"/>
        </w:rPr>
        <w:t xml:space="preserve">7 and 8, </w:t>
      </w:r>
      <w:r w:rsidRPr="00345D39">
        <w:rPr>
          <w:rFonts w:asciiTheme="majorHAnsi" w:hAnsiTheme="majorHAnsi" w:cstheme="majorHAnsi"/>
          <w:sz w:val="18"/>
          <w:szCs w:val="18"/>
        </w:rPr>
        <w:t>Article</w:t>
      </w:r>
      <w:r w:rsidRPr="00345D39">
        <w:rPr>
          <w:rFonts w:asciiTheme="majorHAnsi" w:hAnsiTheme="majorHAnsi" w:cstheme="majorHAnsi"/>
          <w:sz w:val="18"/>
          <w:szCs w:val="18"/>
          <w:lang w:val="vi-VN"/>
        </w:rPr>
        <w:t xml:space="preserve"> 8 of Law on State Budget 2015 confirm that </w:t>
      </w:r>
      <w:r w:rsidRPr="00345D39">
        <w:rPr>
          <w:rFonts w:asciiTheme="majorHAnsi" w:eastAsia="Times New Roman" w:hAnsiTheme="majorHAnsi" w:cstheme="majorHAnsi"/>
          <w:sz w:val="18"/>
          <w:szCs w:val="18"/>
          <w:lang w:val="en-US"/>
        </w:rPr>
        <w:t>State budget shall</w:t>
      </w:r>
      <w:r w:rsidRPr="00345D39">
        <w:rPr>
          <w:rFonts w:asciiTheme="majorHAnsi" w:eastAsia="Times New Roman" w:hAnsiTheme="majorHAnsi" w:cstheme="majorHAnsi"/>
          <w:sz w:val="18"/>
          <w:szCs w:val="18"/>
          <w:lang w:val="vi-VN"/>
        </w:rPr>
        <w:t xml:space="preserve"> </w:t>
      </w:r>
      <w:r w:rsidRPr="00345D39">
        <w:rPr>
          <w:rFonts w:asciiTheme="majorHAnsi" w:eastAsia="Times New Roman" w:hAnsiTheme="majorHAnsi" w:cstheme="majorHAnsi"/>
          <w:sz w:val="18"/>
          <w:szCs w:val="18"/>
          <w:lang w:val="en-US"/>
        </w:rPr>
        <w:t>cover operating costs of political organizations and socio</w:t>
      </w:r>
      <w:r w:rsidRPr="00345D39">
        <w:rPr>
          <w:rFonts w:asciiTheme="majorHAnsi" w:eastAsia="Times New Roman" w:hAnsiTheme="majorHAnsi" w:cstheme="majorHAnsi"/>
          <w:sz w:val="18"/>
          <w:szCs w:val="18"/>
          <w:lang w:val="vi-VN"/>
        </w:rPr>
        <w:t>-</w:t>
      </w:r>
      <w:r w:rsidRPr="00345D39">
        <w:rPr>
          <w:rFonts w:asciiTheme="majorHAnsi" w:eastAsia="Times New Roman" w:hAnsiTheme="majorHAnsi" w:cstheme="majorHAnsi"/>
          <w:sz w:val="18"/>
          <w:szCs w:val="18"/>
          <w:lang w:val="en-US"/>
        </w:rPr>
        <w:t>political organizations</w:t>
      </w:r>
      <w:r w:rsidRPr="00345D39">
        <w:rPr>
          <w:rFonts w:asciiTheme="majorHAnsi" w:eastAsia="Times New Roman" w:hAnsiTheme="majorHAnsi" w:cstheme="majorHAnsi"/>
          <w:sz w:val="18"/>
          <w:szCs w:val="18"/>
          <w:lang w:val="vi-VN"/>
        </w:rPr>
        <w:t xml:space="preserve"> while </w:t>
      </w:r>
      <w:r w:rsidRPr="00345D39">
        <w:rPr>
          <w:rFonts w:asciiTheme="majorHAnsi" w:eastAsia="Times New Roman" w:hAnsiTheme="majorHAnsi" w:cstheme="majorHAnsi"/>
          <w:sz w:val="18"/>
          <w:szCs w:val="18"/>
          <w:lang w:val="en-US"/>
        </w:rPr>
        <w:t>state budget supports performance of tasks given by the</w:t>
      </w:r>
      <w:r w:rsidRPr="00345D39">
        <w:rPr>
          <w:rFonts w:asciiTheme="majorHAnsi" w:eastAsia="Times New Roman" w:hAnsiTheme="majorHAnsi" w:cstheme="majorHAnsi"/>
          <w:sz w:val="18"/>
          <w:szCs w:val="18"/>
          <w:lang w:val="vi-VN"/>
        </w:rPr>
        <w:t xml:space="preserve"> </w:t>
      </w:r>
      <w:r w:rsidRPr="00345D39">
        <w:rPr>
          <w:rFonts w:asciiTheme="majorHAnsi" w:eastAsia="Times New Roman" w:hAnsiTheme="majorHAnsi" w:cstheme="majorHAnsi"/>
          <w:sz w:val="18"/>
          <w:szCs w:val="18"/>
          <w:lang w:val="en-US"/>
        </w:rPr>
        <w:t>State as prescribed by the government for socio-political</w:t>
      </w:r>
      <w:r w:rsidRPr="00345D39">
        <w:rPr>
          <w:rFonts w:asciiTheme="majorHAnsi" w:eastAsia="Times New Roman" w:hAnsiTheme="majorHAnsi" w:cstheme="majorHAnsi"/>
          <w:sz w:val="18"/>
          <w:szCs w:val="18"/>
          <w:lang w:val="vi-VN"/>
        </w:rPr>
        <w:t xml:space="preserve"> - </w:t>
      </w:r>
      <w:r w:rsidRPr="00345D39">
        <w:rPr>
          <w:rFonts w:asciiTheme="majorHAnsi" w:eastAsia="Times New Roman" w:hAnsiTheme="majorHAnsi" w:cstheme="majorHAnsi"/>
          <w:sz w:val="18"/>
          <w:szCs w:val="18"/>
          <w:lang w:val="en-US"/>
        </w:rPr>
        <w:t>professional organizations, social organizations, socio</w:t>
      </w:r>
      <w:r w:rsidRPr="00345D39">
        <w:rPr>
          <w:rFonts w:asciiTheme="majorHAnsi" w:eastAsia="Times New Roman" w:hAnsiTheme="majorHAnsi" w:cstheme="majorHAnsi"/>
          <w:sz w:val="18"/>
          <w:szCs w:val="18"/>
          <w:lang w:val="vi-VN"/>
        </w:rPr>
        <w:t xml:space="preserve"> – </w:t>
      </w:r>
      <w:r w:rsidRPr="00345D39">
        <w:rPr>
          <w:rFonts w:asciiTheme="majorHAnsi" w:eastAsia="Times New Roman" w:hAnsiTheme="majorHAnsi" w:cstheme="majorHAnsi"/>
          <w:sz w:val="18"/>
          <w:szCs w:val="18"/>
          <w:lang w:val="en-US"/>
        </w:rPr>
        <w:t>professional</w:t>
      </w:r>
      <w:r w:rsidRPr="00345D39">
        <w:rPr>
          <w:rFonts w:asciiTheme="majorHAnsi" w:eastAsia="Times New Roman" w:hAnsiTheme="majorHAnsi" w:cstheme="majorHAnsi"/>
          <w:sz w:val="18"/>
          <w:szCs w:val="18"/>
          <w:lang w:val="vi-VN"/>
        </w:rPr>
        <w:t xml:space="preserve"> </w:t>
      </w:r>
      <w:r w:rsidRPr="00345D39">
        <w:rPr>
          <w:rFonts w:asciiTheme="majorHAnsi" w:eastAsia="Times New Roman" w:hAnsiTheme="majorHAnsi" w:cstheme="majorHAnsi"/>
          <w:sz w:val="18"/>
          <w:szCs w:val="18"/>
          <w:lang w:val="en-US"/>
        </w:rPr>
        <w:t xml:space="preserve">organizations </w:t>
      </w:r>
    </w:p>
  </w:footnote>
  <w:footnote w:id="62">
    <w:p w14:paraId="260F7315" w14:textId="1703ECC7" w:rsidR="00096C78" w:rsidRPr="00345D39" w:rsidRDefault="00096C78" w:rsidP="00345D39">
      <w:pPr>
        <w:pStyle w:val="FootnoteText"/>
        <w:jc w:val="both"/>
        <w:rPr>
          <w:rFonts w:asciiTheme="majorHAnsi" w:hAnsiTheme="majorHAnsi" w:cstheme="majorHAnsi"/>
          <w:sz w:val="18"/>
          <w:szCs w:val="18"/>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GB"/>
        </w:rPr>
        <w:t>Following Article 33 of Decree 45/2010/NĐ-CP; Prime Minister enacted Decision 68/2010/QĐ-TTg dated 01/11/2010 and Prime Minister issued Decision 71/2011/QĐ-TTg</w:t>
      </w:r>
    </w:p>
  </w:footnote>
  <w:footnote w:id="63">
    <w:p w14:paraId="173B736A" w14:textId="77777777" w:rsidR="00096C78" w:rsidRPr="006E407B" w:rsidRDefault="00096C78" w:rsidP="006E407B">
      <w:pPr>
        <w:pStyle w:val="FootnoteText"/>
        <w:spacing w:afterLines="60" w:after="144" w:line="276" w:lineRule="auto"/>
        <w:jc w:val="both"/>
        <w:rPr>
          <w:sz w:val="18"/>
          <w:szCs w:val="18"/>
          <w:lang w:val="en-US"/>
        </w:rPr>
      </w:pPr>
      <w:r w:rsidRPr="006E407B">
        <w:rPr>
          <w:rStyle w:val="FootnoteReference"/>
          <w:sz w:val="18"/>
          <w:szCs w:val="18"/>
        </w:rPr>
        <w:footnoteRef/>
      </w:r>
      <w:r w:rsidRPr="006E407B">
        <w:rPr>
          <w:sz w:val="18"/>
          <w:szCs w:val="18"/>
        </w:rPr>
        <w:t xml:space="preserve"> Lê Quang Bình et al., 2016, study on implementation of Decree 93/2009/NĐ-CP of foreign aid recipients</w:t>
      </w:r>
    </w:p>
  </w:footnote>
  <w:footnote w:id="64">
    <w:p w14:paraId="25E0A94C" w14:textId="0D4073E7" w:rsidR="00096C78" w:rsidRPr="00E815EC" w:rsidRDefault="00096C78" w:rsidP="00E815EC">
      <w:pPr>
        <w:pStyle w:val="FootnoteText"/>
        <w:spacing w:after="240"/>
        <w:rPr>
          <w:rFonts w:asciiTheme="majorHAnsi"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 </w:t>
      </w:r>
      <w:r w:rsidRPr="00E815EC">
        <w:rPr>
          <w:rFonts w:asciiTheme="majorHAnsi" w:hAnsiTheme="majorHAnsi" w:cstheme="majorHAnsi"/>
          <w:sz w:val="18"/>
          <w:szCs w:val="18"/>
          <w:lang w:val="en-US"/>
        </w:rPr>
        <w:t>Responding to Issue No.25 in the List of Issues</w:t>
      </w:r>
    </w:p>
  </w:footnote>
  <w:footnote w:id="65">
    <w:p w14:paraId="55BEB260" w14:textId="77777777" w:rsidR="00096C78" w:rsidRPr="00E815EC" w:rsidRDefault="00096C78" w:rsidP="00E815EC">
      <w:pPr>
        <w:pStyle w:val="FootnoteText"/>
        <w:spacing w:after="240"/>
        <w:jc w:val="both"/>
        <w:rPr>
          <w:rFonts w:asciiTheme="majorHAnsi" w:hAnsiTheme="majorHAnsi" w:cstheme="majorHAnsi"/>
          <w:sz w:val="18"/>
          <w:szCs w:val="18"/>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lang w:val="en-US"/>
        </w:rPr>
        <w:t>Decree No.</w:t>
      </w:r>
      <w:r w:rsidRPr="00E815EC">
        <w:rPr>
          <w:rFonts w:asciiTheme="majorHAnsi" w:hAnsiTheme="majorHAnsi" w:cstheme="majorHAnsi"/>
          <w:sz w:val="18"/>
          <w:szCs w:val="18"/>
        </w:rPr>
        <w:t xml:space="preserve"> 38/2005/NĐ-CP </w:t>
      </w:r>
      <w:r w:rsidRPr="00E815EC">
        <w:rPr>
          <w:rFonts w:asciiTheme="majorHAnsi" w:hAnsiTheme="majorHAnsi" w:cstheme="majorHAnsi"/>
          <w:sz w:val="18"/>
          <w:szCs w:val="18"/>
          <w:lang w:val="en-US"/>
        </w:rPr>
        <w:t xml:space="preserve">enacted by the Government dated </w:t>
      </w:r>
      <w:r w:rsidRPr="00E815EC">
        <w:rPr>
          <w:rFonts w:asciiTheme="majorHAnsi" w:hAnsiTheme="majorHAnsi" w:cstheme="majorHAnsi"/>
          <w:sz w:val="18"/>
          <w:szCs w:val="18"/>
        </w:rPr>
        <w:t>18</w:t>
      </w:r>
      <w:r w:rsidRPr="00E815EC">
        <w:rPr>
          <w:rFonts w:asciiTheme="majorHAnsi" w:hAnsiTheme="majorHAnsi" w:cstheme="majorHAnsi"/>
          <w:sz w:val="18"/>
          <w:szCs w:val="18"/>
          <w:lang w:val="en-US"/>
        </w:rPr>
        <w:t xml:space="preserve"> March </w:t>
      </w:r>
      <w:r w:rsidRPr="00E815EC">
        <w:rPr>
          <w:rFonts w:asciiTheme="majorHAnsi" w:hAnsiTheme="majorHAnsi" w:cstheme="majorHAnsi"/>
          <w:sz w:val="18"/>
          <w:szCs w:val="18"/>
        </w:rPr>
        <w:t xml:space="preserve">2005 </w:t>
      </w:r>
      <w:r w:rsidRPr="00E815EC">
        <w:rPr>
          <w:rFonts w:asciiTheme="majorHAnsi" w:hAnsiTheme="majorHAnsi" w:cstheme="majorHAnsi"/>
          <w:sz w:val="18"/>
          <w:szCs w:val="18"/>
          <w:lang w:val="en-US"/>
        </w:rPr>
        <w:t>defining some measures ensuring public orders</w:t>
      </w:r>
    </w:p>
  </w:footnote>
  <w:footnote w:id="66">
    <w:p w14:paraId="0FCDFA80" w14:textId="77777777" w:rsidR="00096C78" w:rsidRPr="00E815EC" w:rsidRDefault="00096C78" w:rsidP="00E815EC">
      <w:pPr>
        <w:pStyle w:val="FootnoteText"/>
        <w:spacing w:after="240"/>
        <w:jc w:val="both"/>
        <w:rPr>
          <w:rFonts w:asciiTheme="majorHAnsi" w:hAnsiTheme="majorHAnsi" w:cstheme="majorHAnsi"/>
          <w:sz w:val="18"/>
          <w:szCs w:val="18"/>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Circular No. 09/2005/TT-BCA </w:t>
      </w:r>
      <w:r w:rsidRPr="00E815EC">
        <w:rPr>
          <w:rFonts w:asciiTheme="majorHAnsi" w:hAnsiTheme="majorHAnsi" w:cstheme="majorHAnsi"/>
          <w:sz w:val="18"/>
          <w:szCs w:val="18"/>
          <w:lang w:val="en-US"/>
        </w:rPr>
        <w:t xml:space="preserve">enacted by the Ministry of Public Security dated </w:t>
      </w:r>
      <w:r w:rsidRPr="00E815EC">
        <w:rPr>
          <w:rFonts w:asciiTheme="majorHAnsi" w:hAnsiTheme="majorHAnsi" w:cstheme="majorHAnsi"/>
          <w:sz w:val="18"/>
          <w:szCs w:val="18"/>
        </w:rPr>
        <w:t>5</w:t>
      </w:r>
      <w:r w:rsidRPr="00E815EC">
        <w:rPr>
          <w:rFonts w:asciiTheme="majorHAnsi" w:hAnsiTheme="majorHAnsi" w:cstheme="majorHAnsi"/>
          <w:sz w:val="18"/>
          <w:szCs w:val="18"/>
          <w:lang w:val="en-US"/>
        </w:rPr>
        <w:t xml:space="preserve"> September </w:t>
      </w:r>
      <w:r w:rsidRPr="00E815EC">
        <w:rPr>
          <w:rFonts w:asciiTheme="majorHAnsi" w:hAnsiTheme="majorHAnsi" w:cstheme="majorHAnsi"/>
          <w:sz w:val="18"/>
          <w:szCs w:val="18"/>
        </w:rPr>
        <w:t>2005</w:t>
      </w:r>
      <w:r w:rsidRPr="00E815EC">
        <w:rPr>
          <w:rFonts w:asciiTheme="majorHAnsi" w:hAnsiTheme="majorHAnsi" w:cstheme="majorHAnsi"/>
          <w:sz w:val="18"/>
          <w:szCs w:val="18"/>
          <w:lang w:val="en-US"/>
        </w:rPr>
        <w:t xml:space="preserve"> guiding the implementation of some articles of Decree No. </w:t>
      </w:r>
      <w:r w:rsidRPr="00E815EC">
        <w:rPr>
          <w:rFonts w:asciiTheme="majorHAnsi" w:hAnsiTheme="majorHAnsi" w:cstheme="majorHAnsi"/>
          <w:sz w:val="18"/>
          <w:szCs w:val="18"/>
        </w:rPr>
        <w:t>38/2005/NĐ-CP</w:t>
      </w:r>
    </w:p>
  </w:footnote>
  <w:footnote w:id="67">
    <w:p w14:paraId="6C0FAA02" w14:textId="2EE0B4D6" w:rsidR="00096C78" w:rsidRPr="00E815EC" w:rsidRDefault="00096C78" w:rsidP="00E815EC">
      <w:pPr>
        <w:pStyle w:val="FootnoteText"/>
        <w:spacing w:after="240"/>
        <w:jc w:val="both"/>
        <w:rPr>
          <w:rFonts w:asciiTheme="majorHAnsi" w:hAnsiTheme="majorHAnsi" w:cstheme="majorHAnsi"/>
          <w:sz w:val="18"/>
          <w:szCs w:val="18"/>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lang w:val="en-US"/>
        </w:rPr>
        <w:t>Decision</w:t>
      </w:r>
      <w:r w:rsidRPr="00E815EC">
        <w:rPr>
          <w:rFonts w:asciiTheme="majorHAnsi" w:hAnsiTheme="majorHAnsi" w:cstheme="majorHAnsi"/>
          <w:sz w:val="18"/>
          <w:szCs w:val="18"/>
        </w:rPr>
        <w:t xml:space="preserve"> 76/2010/QĐ-TTg </w:t>
      </w:r>
      <w:r w:rsidRPr="00E815EC">
        <w:rPr>
          <w:rFonts w:asciiTheme="majorHAnsi" w:hAnsiTheme="majorHAnsi" w:cstheme="majorHAnsi"/>
          <w:sz w:val="18"/>
          <w:szCs w:val="18"/>
          <w:lang w:val="en-US"/>
        </w:rPr>
        <w:t xml:space="preserve">enacted by the Prime Minister dated 30 November </w:t>
      </w:r>
      <w:r w:rsidRPr="00E815EC">
        <w:rPr>
          <w:rFonts w:asciiTheme="majorHAnsi" w:hAnsiTheme="majorHAnsi" w:cstheme="majorHAnsi"/>
          <w:sz w:val="18"/>
          <w:szCs w:val="18"/>
        </w:rPr>
        <w:t xml:space="preserve">2010 </w:t>
      </w:r>
      <w:r w:rsidRPr="00E815EC">
        <w:rPr>
          <w:rFonts w:asciiTheme="majorHAnsi" w:hAnsiTheme="majorHAnsi" w:cstheme="majorHAnsi"/>
          <w:sz w:val="18"/>
          <w:szCs w:val="18"/>
          <w:lang w:val="en-US"/>
        </w:rPr>
        <w:t>on the organization, management of international conferences and workshops in Vietnam</w:t>
      </w:r>
    </w:p>
  </w:footnote>
  <w:footnote w:id="68">
    <w:p w14:paraId="2FFA00B2" w14:textId="77777777" w:rsidR="00096C78" w:rsidRPr="00E815EC" w:rsidRDefault="00096C78" w:rsidP="00E815EC">
      <w:pPr>
        <w:pStyle w:val="FootnoteText"/>
        <w:spacing w:after="240"/>
        <w:jc w:val="both"/>
        <w:rPr>
          <w:rFonts w:asciiTheme="majorHAnsi" w:hAnsiTheme="majorHAnsi" w:cstheme="majorHAnsi"/>
          <w:sz w:val="18"/>
          <w:szCs w:val="18"/>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 Point 4.1 </w:t>
      </w:r>
      <w:r w:rsidRPr="00E815EC">
        <w:rPr>
          <w:rFonts w:asciiTheme="majorHAnsi" w:hAnsiTheme="majorHAnsi" w:cstheme="majorHAnsi"/>
          <w:sz w:val="18"/>
          <w:szCs w:val="18"/>
          <w:lang w:val="en-US"/>
        </w:rPr>
        <w:t xml:space="preserve">Article </w:t>
      </w:r>
      <w:r w:rsidRPr="00E815EC">
        <w:rPr>
          <w:rFonts w:asciiTheme="majorHAnsi" w:hAnsiTheme="majorHAnsi" w:cstheme="majorHAnsi"/>
          <w:sz w:val="18"/>
          <w:szCs w:val="18"/>
        </w:rPr>
        <w:t xml:space="preserve">4 </w:t>
      </w:r>
      <w:r w:rsidRPr="00E815EC">
        <w:rPr>
          <w:rFonts w:asciiTheme="majorHAnsi" w:hAnsiTheme="majorHAnsi" w:cstheme="majorHAnsi"/>
          <w:sz w:val="18"/>
          <w:szCs w:val="18"/>
          <w:lang w:val="en-US"/>
        </w:rPr>
        <w:t>Circular</w:t>
      </w:r>
      <w:r w:rsidRPr="00E815EC">
        <w:rPr>
          <w:rFonts w:asciiTheme="majorHAnsi" w:hAnsiTheme="majorHAnsi" w:cstheme="majorHAnsi"/>
          <w:sz w:val="18"/>
          <w:szCs w:val="18"/>
        </w:rPr>
        <w:t xml:space="preserve"> 09/2005/TT-BCA</w:t>
      </w:r>
    </w:p>
  </w:footnote>
  <w:footnote w:id="69">
    <w:p w14:paraId="24F96AC8" w14:textId="77777777" w:rsidR="00096C78" w:rsidRPr="00E815EC" w:rsidRDefault="00096C78" w:rsidP="00E815EC">
      <w:pPr>
        <w:pStyle w:val="FootnoteText"/>
        <w:spacing w:after="240"/>
        <w:jc w:val="both"/>
        <w:rPr>
          <w:rFonts w:asciiTheme="majorHAnsi"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 such as pavements, road beds, squares, economic and cultural facilities, spaces for community activities</w:t>
      </w:r>
      <w:r w:rsidRPr="00E815EC">
        <w:rPr>
          <w:rFonts w:asciiTheme="majorHAnsi" w:hAnsiTheme="majorHAnsi" w:cstheme="majorHAnsi"/>
          <w:sz w:val="18"/>
          <w:szCs w:val="18"/>
          <w:lang w:val="en-US"/>
        </w:rPr>
        <w:t xml:space="preserve">. </w:t>
      </w:r>
    </w:p>
  </w:footnote>
  <w:footnote w:id="70">
    <w:p w14:paraId="31104A41" w14:textId="4FFBC04B" w:rsidR="00096C78" w:rsidRPr="00345D39" w:rsidRDefault="00096C78" w:rsidP="00345D39">
      <w:pPr>
        <w:pStyle w:val="FootnoteText"/>
        <w:spacing w:afterLines="60" w:after="144"/>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The proposal on the organization of the international conferences should clearly state the reason and name of the organizers and purpose of such conference or seminar; time and avenue for holding conferences and seminars; Places of visit or survey (if any); format and technology to organize  (in the case of online conferences and seminars); content, agenda and activities, side events of conferences and seminars; organizing members including Vietnamese agencies, foreign agencies and donors (if any); Participants: Number and composition of participants, including Vietnamese delegates and delegates with foreign nationality; funding;</w:t>
      </w:r>
      <w:r w:rsidRPr="00345D39">
        <w:rPr>
          <w:rFonts w:asciiTheme="majorHAnsi" w:hAnsiTheme="majorHAnsi" w:cstheme="majorHAnsi"/>
          <w:sz w:val="18"/>
          <w:szCs w:val="18"/>
          <w:lang w:val="en-US"/>
        </w:rPr>
        <w:t xml:space="preserve"> (</w:t>
      </w:r>
      <w:r w:rsidRPr="00345D39">
        <w:rPr>
          <w:rFonts w:asciiTheme="majorHAnsi" w:hAnsiTheme="majorHAnsi" w:cstheme="majorHAnsi"/>
          <w:sz w:val="18"/>
          <w:szCs w:val="18"/>
        </w:rPr>
        <w:t>Article 4.1 and 4.2</w:t>
      </w:r>
      <w:r w:rsidRPr="00345D39">
        <w:rPr>
          <w:rFonts w:asciiTheme="majorHAnsi" w:hAnsiTheme="majorHAnsi" w:cstheme="majorHAnsi"/>
          <w:sz w:val="18"/>
          <w:szCs w:val="18"/>
          <w:lang w:val="en-US"/>
        </w:rPr>
        <w:t>).</w:t>
      </w:r>
    </w:p>
  </w:footnote>
  <w:footnote w:id="71">
    <w:p w14:paraId="65549714" w14:textId="176DF1F8" w:rsidR="00AA4AF6" w:rsidRPr="00AA4AF6" w:rsidRDefault="00AA4AF6">
      <w:pPr>
        <w:pStyle w:val="FootnoteText"/>
      </w:pPr>
      <w:r>
        <w:rPr>
          <w:rStyle w:val="FootnoteReference"/>
        </w:rPr>
        <w:footnoteRef/>
      </w:r>
      <w:r>
        <w:t xml:space="preserve"> </w:t>
      </w:r>
      <w:r w:rsidRPr="00E815EC">
        <w:rPr>
          <w:rFonts w:asciiTheme="majorHAnsi" w:hAnsiTheme="majorHAnsi" w:cstheme="majorHAnsi"/>
          <w:sz w:val="18"/>
          <w:szCs w:val="18"/>
          <w:lang w:val="en-US"/>
        </w:rPr>
        <w:t>Responding to Issue No.2</w:t>
      </w:r>
      <w:r>
        <w:rPr>
          <w:rFonts w:asciiTheme="majorHAnsi" w:hAnsiTheme="majorHAnsi" w:cstheme="majorHAnsi"/>
          <w:sz w:val="18"/>
          <w:szCs w:val="18"/>
          <w:lang w:val="vi-VN"/>
        </w:rPr>
        <w:t>6</w:t>
      </w:r>
      <w:r w:rsidRPr="00E815EC">
        <w:rPr>
          <w:rFonts w:asciiTheme="majorHAnsi" w:hAnsiTheme="majorHAnsi" w:cstheme="majorHAnsi"/>
          <w:sz w:val="18"/>
          <w:szCs w:val="18"/>
          <w:lang w:val="en-US"/>
        </w:rPr>
        <w:t xml:space="preserve"> in the List of Issues</w:t>
      </w:r>
    </w:p>
  </w:footnote>
  <w:footnote w:id="72">
    <w:p w14:paraId="1EF64F84" w14:textId="77777777"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Analysis from the</w:t>
      </w:r>
      <w:r w:rsidRPr="00345D39">
        <w:rPr>
          <w:rFonts w:asciiTheme="majorHAnsi" w:hAnsiTheme="majorHAnsi" w:cstheme="majorHAnsi"/>
          <w:sz w:val="18"/>
          <w:szCs w:val="18"/>
        </w:rPr>
        <w:t xml:space="preserve"> National Assembly's Resolution No.105/2015/QH13 on the establishment of the National Election Council</w:t>
      </w:r>
      <w:r w:rsidRPr="00345D39">
        <w:rPr>
          <w:rFonts w:asciiTheme="majorHAnsi" w:hAnsiTheme="majorHAnsi" w:cstheme="majorHAnsi"/>
          <w:sz w:val="18"/>
          <w:szCs w:val="18"/>
          <w:lang w:val="en-US"/>
        </w:rPr>
        <w:t>.</w:t>
      </w:r>
    </w:p>
  </w:footnote>
  <w:footnote w:id="73">
    <w:p w14:paraId="6A552AD4" w14:textId="2F324FE1"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 xml:space="preserve">Counted from different online portals on Election Committees at provincial level: </w:t>
      </w:r>
      <w:r w:rsidRPr="00345D39">
        <w:rPr>
          <w:rFonts w:asciiTheme="majorHAnsi" w:hAnsiTheme="majorHAnsi" w:cstheme="majorHAnsi"/>
          <w:sz w:val="18"/>
          <w:szCs w:val="18"/>
        </w:rPr>
        <w:t>Ha Giang</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24%</w:t>
      </w:r>
      <w:r w:rsidRPr="00345D39">
        <w:rPr>
          <w:rFonts w:asciiTheme="majorHAnsi" w:hAnsiTheme="majorHAnsi" w:cstheme="majorHAnsi"/>
          <w:sz w:val="18"/>
          <w:szCs w:val="18"/>
          <w:lang w:val="en-US"/>
        </w:rPr>
        <w:t xml:space="preserve">; </w:t>
      </w:r>
      <w:r w:rsidRPr="00345D39">
        <w:rPr>
          <w:rFonts w:asciiTheme="majorHAnsi" w:hAnsiTheme="majorHAnsi" w:cstheme="majorHAnsi"/>
          <w:sz w:val="18"/>
          <w:szCs w:val="18"/>
        </w:rPr>
        <w:t>Hanoi</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17.2%</w:t>
      </w:r>
      <w:r w:rsidRPr="00345D39">
        <w:rPr>
          <w:rFonts w:asciiTheme="majorHAnsi" w:hAnsiTheme="majorHAnsi" w:cstheme="majorHAnsi"/>
          <w:sz w:val="18"/>
          <w:szCs w:val="18"/>
          <w:lang w:val="en-US"/>
        </w:rPr>
        <w:t xml:space="preserve">; </w:t>
      </w:r>
      <w:r w:rsidRPr="00345D39">
        <w:rPr>
          <w:rFonts w:asciiTheme="majorHAnsi" w:hAnsiTheme="majorHAnsi" w:cstheme="majorHAnsi"/>
          <w:sz w:val="18"/>
          <w:szCs w:val="18"/>
        </w:rPr>
        <w:t>Da Nang</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16%</w:t>
      </w:r>
      <w:r w:rsidRPr="00345D39">
        <w:rPr>
          <w:rFonts w:asciiTheme="majorHAnsi" w:hAnsiTheme="majorHAnsi" w:cstheme="majorHAnsi"/>
          <w:sz w:val="18"/>
          <w:szCs w:val="18"/>
          <w:lang w:val="en-US"/>
        </w:rPr>
        <w:t xml:space="preserve">; </w:t>
      </w:r>
      <w:r w:rsidRPr="00345D39">
        <w:rPr>
          <w:rFonts w:asciiTheme="majorHAnsi" w:hAnsiTheme="majorHAnsi" w:cstheme="majorHAnsi"/>
          <w:sz w:val="18"/>
          <w:szCs w:val="18"/>
        </w:rPr>
        <w:t>Binh Dinh</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10.7%, Soc Trang</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 xml:space="preserve"> 9.1% and Quang Nam</w:t>
      </w:r>
      <w:r w:rsidRPr="00345D39">
        <w:rPr>
          <w:rFonts w:asciiTheme="majorHAnsi" w:hAnsiTheme="majorHAnsi" w:cstheme="majorHAnsi"/>
          <w:sz w:val="18"/>
          <w:szCs w:val="18"/>
          <w:lang w:val="en-US"/>
        </w:rPr>
        <w:t>:</w:t>
      </w:r>
      <w:r w:rsidRPr="00345D39">
        <w:rPr>
          <w:rFonts w:asciiTheme="majorHAnsi" w:hAnsiTheme="majorHAnsi" w:cstheme="majorHAnsi"/>
          <w:sz w:val="18"/>
          <w:szCs w:val="18"/>
        </w:rPr>
        <w:t xml:space="preserve"> 3.7%.</w:t>
      </w:r>
    </w:p>
  </w:footnote>
  <w:footnote w:id="74">
    <w:p w14:paraId="605909D7" w14:textId="77777777"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Resolution No 1135/2016/UBTVQH13 dated 22/01/2016 of Standing Committee of the Naitonal Assembly on tentative number and compostion of the national assessmembly candidates  for Congress XIV</w:t>
      </w:r>
    </w:p>
  </w:footnote>
  <w:footnote w:id="75">
    <w:p w14:paraId="44780A04" w14:textId="76654D5D"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There are three types of </w:t>
      </w:r>
      <w:r w:rsidRPr="00345D39">
        <w:rPr>
          <w:rFonts w:asciiTheme="majorHAnsi" w:hAnsiTheme="majorHAnsi" w:cstheme="majorHAnsi"/>
          <w:sz w:val="18"/>
          <w:szCs w:val="18"/>
          <w:lang w:val="en-US"/>
        </w:rPr>
        <w:t>candidacy</w:t>
      </w:r>
      <w:r w:rsidRPr="00345D39">
        <w:rPr>
          <w:rFonts w:asciiTheme="majorHAnsi" w:hAnsiTheme="majorHAnsi" w:cstheme="majorHAnsi"/>
          <w:sz w:val="18"/>
          <w:szCs w:val="18"/>
        </w:rPr>
        <w:t xml:space="preserve"> in the election of the National Assembly candidates and People Council, including (1) orient</w:t>
      </w:r>
      <w:r w:rsidRPr="00345D39">
        <w:rPr>
          <w:rFonts w:asciiTheme="majorHAnsi" w:hAnsiTheme="majorHAnsi" w:cstheme="majorHAnsi"/>
          <w:sz w:val="18"/>
          <w:szCs w:val="18"/>
          <w:lang w:val="en-US"/>
        </w:rPr>
        <w:t>ed</w:t>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group</w:t>
      </w:r>
      <w:r w:rsidRPr="00345D39">
        <w:rPr>
          <w:rFonts w:asciiTheme="majorHAnsi" w:hAnsiTheme="majorHAnsi" w:cstheme="majorHAnsi"/>
          <w:sz w:val="18"/>
          <w:szCs w:val="18"/>
        </w:rPr>
        <w:t xml:space="preserve">; (2) </w:t>
      </w:r>
      <w:r w:rsidRPr="00345D39">
        <w:rPr>
          <w:rFonts w:asciiTheme="majorHAnsi" w:hAnsiTheme="majorHAnsi" w:cstheme="majorHAnsi"/>
          <w:sz w:val="18"/>
          <w:szCs w:val="18"/>
          <w:lang w:val="en-US"/>
        </w:rPr>
        <w:t>recommended</w:t>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group</w:t>
      </w:r>
      <w:r w:rsidRPr="00345D39">
        <w:rPr>
          <w:rFonts w:asciiTheme="majorHAnsi" w:hAnsiTheme="majorHAnsi" w:cstheme="majorHAnsi"/>
          <w:sz w:val="18"/>
          <w:szCs w:val="18"/>
        </w:rPr>
        <w:t xml:space="preserve"> and (3) </w:t>
      </w:r>
      <w:r w:rsidRPr="00345D39">
        <w:rPr>
          <w:rFonts w:asciiTheme="majorHAnsi" w:hAnsiTheme="majorHAnsi" w:cstheme="majorHAnsi"/>
          <w:sz w:val="18"/>
          <w:szCs w:val="18"/>
          <w:lang w:val="en-US"/>
        </w:rPr>
        <w:t>combined group</w:t>
      </w:r>
      <w:r w:rsidRPr="00345D39">
        <w:rPr>
          <w:rFonts w:asciiTheme="majorHAnsi" w:hAnsiTheme="majorHAnsi" w:cstheme="majorHAnsi"/>
          <w:sz w:val="18"/>
          <w:szCs w:val="18"/>
        </w:rPr>
        <w:t xml:space="preserve"> mechanism. The </w:t>
      </w:r>
      <w:r w:rsidRPr="00345D39">
        <w:rPr>
          <w:rFonts w:asciiTheme="majorHAnsi" w:hAnsiTheme="majorHAnsi" w:cstheme="majorHAnsi"/>
          <w:sz w:val="18"/>
          <w:szCs w:val="18"/>
          <w:lang w:val="en-US"/>
        </w:rPr>
        <w:t xml:space="preserve">first group </w:t>
      </w:r>
      <w:r w:rsidRPr="00345D39">
        <w:rPr>
          <w:rFonts w:asciiTheme="majorHAnsi" w:hAnsiTheme="majorHAnsi" w:cstheme="majorHAnsi"/>
          <w:sz w:val="18"/>
          <w:szCs w:val="18"/>
        </w:rPr>
        <w:t xml:space="preserve">includes persons who are holding key leadership position in the party organizations, communist party membership organizations, state agencies, political –social organizations, the army organizations at all level (central, provincial/city, district, and commune). The </w:t>
      </w:r>
      <w:r w:rsidRPr="00345D39">
        <w:rPr>
          <w:rFonts w:asciiTheme="majorHAnsi" w:hAnsiTheme="majorHAnsi" w:cstheme="majorHAnsi"/>
          <w:sz w:val="18"/>
          <w:szCs w:val="18"/>
          <w:lang w:val="en-US"/>
        </w:rPr>
        <w:t xml:space="preserve">second group </w:t>
      </w:r>
      <w:r w:rsidRPr="00345D39">
        <w:rPr>
          <w:rFonts w:asciiTheme="majorHAnsi" w:hAnsiTheme="majorHAnsi" w:cstheme="majorHAnsi"/>
          <w:sz w:val="18"/>
          <w:szCs w:val="18"/>
        </w:rPr>
        <w:t>includes candidates</w:t>
      </w:r>
      <w:r w:rsidRPr="00345D39">
        <w:rPr>
          <w:rFonts w:asciiTheme="majorHAnsi" w:hAnsiTheme="majorHAnsi" w:cstheme="majorHAnsi"/>
          <w:sz w:val="18"/>
          <w:szCs w:val="18"/>
          <w:lang w:val="en-US"/>
        </w:rPr>
        <w:t xml:space="preserve"> who</w:t>
      </w:r>
      <w:r w:rsidRPr="00345D39">
        <w:rPr>
          <w:rFonts w:asciiTheme="majorHAnsi" w:hAnsiTheme="majorHAnsi" w:cstheme="majorHAnsi"/>
          <w:sz w:val="18"/>
          <w:szCs w:val="18"/>
        </w:rPr>
        <w:t xml:space="preserve"> are representatives for ministries (at the national level), department (at the provincial level), units and agencies(at district level ) and representatives of relevant agencies at commune level (at commune level). The com</w:t>
      </w:r>
      <w:r w:rsidRPr="00345D39">
        <w:rPr>
          <w:rFonts w:asciiTheme="majorHAnsi" w:hAnsiTheme="majorHAnsi" w:cstheme="majorHAnsi"/>
          <w:sz w:val="18"/>
          <w:szCs w:val="18"/>
          <w:lang w:val="en-US"/>
        </w:rPr>
        <w:t>bine</w:t>
      </w:r>
      <w:r w:rsidRPr="00345D39">
        <w:rPr>
          <w:rFonts w:asciiTheme="majorHAnsi" w:hAnsiTheme="majorHAnsi" w:cstheme="majorHAnsi"/>
          <w:sz w:val="18"/>
          <w:szCs w:val="18"/>
        </w:rPr>
        <w:t xml:space="preserve"> mechanism </w:t>
      </w:r>
      <w:r w:rsidRPr="00345D39">
        <w:rPr>
          <w:rFonts w:asciiTheme="majorHAnsi" w:hAnsiTheme="majorHAnsi" w:cstheme="majorHAnsi"/>
          <w:sz w:val="18"/>
          <w:szCs w:val="18"/>
          <w:lang w:val="en-US"/>
        </w:rPr>
        <w:t xml:space="preserve">was designed to respond to quotas of </w:t>
      </w:r>
      <w:r w:rsidRPr="00345D39">
        <w:rPr>
          <w:rFonts w:asciiTheme="majorHAnsi" w:hAnsiTheme="majorHAnsi" w:cstheme="majorHAnsi"/>
          <w:sz w:val="18"/>
          <w:szCs w:val="18"/>
        </w:rPr>
        <w:t xml:space="preserve">women, ethnic minority, non-party membership candidates, youth and religion leaders in all field, at all level and those people may not be </w:t>
      </w:r>
      <w:r w:rsidRPr="00345D39">
        <w:rPr>
          <w:rFonts w:asciiTheme="majorHAnsi" w:hAnsiTheme="majorHAnsi" w:cstheme="majorHAnsi"/>
          <w:sz w:val="18"/>
          <w:szCs w:val="18"/>
          <w:lang w:val="en-US"/>
        </w:rPr>
        <w:t xml:space="preserve">in the </w:t>
      </w:r>
      <w:r w:rsidRPr="00345D39">
        <w:rPr>
          <w:rFonts w:asciiTheme="majorHAnsi" w:hAnsiTheme="majorHAnsi" w:cstheme="majorHAnsi"/>
          <w:sz w:val="18"/>
          <w:szCs w:val="18"/>
        </w:rPr>
        <w:t>leadership positions.</w:t>
      </w:r>
      <w:r w:rsidRPr="00345D39">
        <w:rPr>
          <w:rFonts w:asciiTheme="majorHAnsi" w:hAnsiTheme="majorHAnsi" w:cstheme="majorHAnsi"/>
          <w:sz w:val="18"/>
          <w:szCs w:val="18"/>
          <w:lang w:val="en-US"/>
        </w:rPr>
        <w:t xml:space="preserve"> (Following </w:t>
      </w:r>
      <w:r w:rsidRPr="00345D39">
        <w:rPr>
          <w:rFonts w:asciiTheme="majorHAnsi" w:hAnsiTheme="majorHAnsi" w:cstheme="majorHAnsi"/>
          <w:sz w:val="18"/>
          <w:szCs w:val="18"/>
        </w:rPr>
        <w:t>Resolution No 1135/2016/UBTVQH13 dated 22/01/2016 of Standing Committee of the Naitonal Assembly on tentative number and compostion of the candidates for</w:t>
      </w:r>
      <w:r w:rsidRPr="00345D39">
        <w:rPr>
          <w:rFonts w:asciiTheme="majorHAnsi" w:hAnsiTheme="majorHAnsi" w:cstheme="majorHAnsi"/>
          <w:sz w:val="18"/>
          <w:szCs w:val="18"/>
          <w:lang w:val="en-US"/>
        </w:rPr>
        <w:t xml:space="preserve"> </w:t>
      </w:r>
      <w:r w:rsidRPr="00345D39">
        <w:rPr>
          <w:rFonts w:asciiTheme="majorHAnsi" w:hAnsiTheme="majorHAnsi" w:cstheme="majorHAnsi"/>
          <w:sz w:val="18"/>
          <w:szCs w:val="18"/>
        </w:rPr>
        <w:t>national assessmembly Congress XIV</w:t>
      </w:r>
      <w:r w:rsidRPr="00345D39">
        <w:rPr>
          <w:rFonts w:asciiTheme="majorHAnsi" w:hAnsiTheme="majorHAnsi" w:cstheme="majorHAnsi"/>
          <w:sz w:val="18"/>
          <w:szCs w:val="18"/>
          <w:lang w:val="en-US"/>
        </w:rPr>
        <w:t>).</w:t>
      </w:r>
    </w:p>
  </w:footnote>
  <w:footnote w:id="76">
    <w:p w14:paraId="4C2516CA" w14:textId="0904CC54"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lang w:val="en-US"/>
        </w:rPr>
        <w:t>Resolution No</w:t>
      </w:r>
      <w:r w:rsidRPr="00345D39">
        <w:rPr>
          <w:rFonts w:asciiTheme="majorHAnsi" w:hAnsiTheme="majorHAnsi" w:cstheme="majorHAnsi"/>
          <w:sz w:val="18"/>
          <w:szCs w:val="18"/>
        </w:rPr>
        <w:t xml:space="preserve"> 270/NQ-HĐBCQG </w:t>
      </w:r>
      <w:r w:rsidRPr="00345D39">
        <w:rPr>
          <w:rFonts w:asciiTheme="majorHAnsi" w:hAnsiTheme="majorHAnsi" w:cstheme="majorHAnsi"/>
          <w:sz w:val="18"/>
          <w:szCs w:val="18"/>
          <w:lang w:val="en-US"/>
        </w:rPr>
        <w:t>dated</w:t>
      </w:r>
      <w:r w:rsidRPr="00345D39">
        <w:rPr>
          <w:rFonts w:asciiTheme="majorHAnsi" w:hAnsiTheme="majorHAnsi" w:cstheme="majorHAnsi"/>
          <w:sz w:val="18"/>
          <w:szCs w:val="18"/>
        </w:rPr>
        <w:t xml:space="preserve"> 26/4/2016 </w:t>
      </w:r>
      <w:r w:rsidRPr="00345D39">
        <w:rPr>
          <w:rFonts w:asciiTheme="majorHAnsi" w:hAnsiTheme="majorHAnsi" w:cstheme="majorHAnsi"/>
          <w:sz w:val="18"/>
          <w:szCs w:val="18"/>
          <w:lang w:val="en-US"/>
        </w:rPr>
        <w:t>by National Election Council on the list of official candidates for National Assembly delegates at all election units</w:t>
      </w:r>
    </w:p>
  </w:footnote>
  <w:footnote w:id="77">
    <w:p w14:paraId="739B4A51" w14:textId="432223D3" w:rsidR="00AA4AF6" w:rsidRPr="00345D39" w:rsidRDefault="00AA4AF6" w:rsidP="00AA4AF6">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 xml:space="preserve">30% as indicated </w:t>
      </w:r>
      <w:r w:rsidRPr="00345D39">
        <w:rPr>
          <w:rFonts w:asciiTheme="majorHAnsi" w:hAnsiTheme="majorHAnsi" w:cstheme="majorHAnsi"/>
          <w:sz w:val="18"/>
          <w:szCs w:val="18"/>
        </w:rPr>
        <w:t xml:space="preserve">in the National Strategy on Gender Equality period 2011 </w:t>
      </w:r>
      <w:r>
        <w:rPr>
          <w:rFonts w:asciiTheme="majorHAnsi" w:hAnsiTheme="majorHAnsi" w:cstheme="majorHAnsi"/>
          <w:sz w:val="18"/>
          <w:szCs w:val="18"/>
          <w:lang w:val="vi-VN"/>
        </w:rPr>
        <w:t>-</w:t>
      </w:r>
      <w:r w:rsidRPr="00345D39">
        <w:rPr>
          <w:rFonts w:asciiTheme="majorHAnsi" w:hAnsiTheme="majorHAnsi" w:cstheme="majorHAnsi"/>
          <w:sz w:val="18"/>
          <w:szCs w:val="18"/>
        </w:rPr>
        <w:t xml:space="preserve"> 2020</w:t>
      </w:r>
    </w:p>
  </w:footnote>
  <w:footnote w:id="78">
    <w:p w14:paraId="4F6C5EC8" w14:textId="26BB865E" w:rsidR="00AA4AF6" w:rsidRPr="00AA4AF6" w:rsidRDefault="00AA4AF6" w:rsidP="00AA4AF6">
      <w:pPr>
        <w:pStyle w:val="NormalWeb"/>
        <w:rPr>
          <w:rFonts w:asciiTheme="majorHAnsi" w:hAnsiTheme="majorHAnsi" w:cstheme="majorHAnsi"/>
          <w:sz w:val="18"/>
          <w:szCs w:val="18"/>
          <w:lang w:val="vi-VN" w:eastAsia="en-US"/>
        </w:rPr>
      </w:pPr>
      <w:r w:rsidRPr="00AA4AF6">
        <w:rPr>
          <w:rStyle w:val="FootnoteReference"/>
          <w:rFonts w:asciiTheme="majorHAnsi" w:hAnsiTheme="majorHAnsi" w:cstheme="majorHAnsi"/>
          <w:sz w:val="18"/>
          <w:szCs w:val="18"/>
        </w:rPr>
        <w:footnoteRef/>
      </w:r>
      <w:r w:rsidRPr="00AA4AF6">
        <w:rPr>
          <w:rFonts w:asciiTheme="majorHAnsi" w:hAnsiTheme="majorHAnsi" w:cstheme="majorHAnsi"/>
          <w:sz w:val="18"/>
          <w:szCs w:val="18"/>
        </w:rPr>
        <w:t xml:space="preserve"> </w:t>
      </w:r>
      <w:r w:rsidRPr="00AA4AF6">
        <w:rPr>
          <w:rFonts w:asciiTheme="majorHAnsi" w:hAnsiTheme="majorHAnsi" w:cstheme="majorHAnsi"/>
          <w:sz w:val="18"/>
          <w:szCs w:val="18"/>
          <w:lang w:val="en-US" w:eastAsia="en-US"/>
        </w:rPr>
        <w:t xml:space="preserve">CEDAW/C/VNM/CO/7-8 </w:t>
      </w:r>
      <w:r w:rsidRPr="00AA4AF6">
        <w:rPr>
          <w:rFonts w:asciiTheme="majorHAnsi" w:hAnsiTheme="majorHAnsi" w:cstheme="majorHAnsi"/>
          <w:sz w:val="18"/>
          <w:szCs w:val="18"/>
          <w:lang w:val="vi-VN" w:eastAsia="en-US"/>
        </w:rPr>
        <w:t xml:space="preserve">(2015) </w:t>
      </w:r>
      <w:r w:rsidRPr="00AA4AF6">
        <w:rPr>
          <w:rFonts w:asciiTheme="majorHAnsi" w:hAnsiTheme="majorHAnsi" w:cstheme="majorHAnsi"/>
          <w:bCs/>
          <w:sz w:val="18"/>
          <w:szCs w:val="18"/>
        </w:rPr>
        <w:t>para. 2</w:t>
      </w:r>
      <w:r w:rsidRPr="00AA4AF6">
        <w:rPr>
          <w:rFonts w:asciiTheme="majorHAnsi" w:hAnsiTheme="majorHAnsi" w:cstheme="majorHAnsi"/>
          <w:bCs/>
          <w:sz w:val="18"/>
          <w:szCs w:val="18"/>
          <w:lang w:val="vi-VN"/>
        </w:rPr>
        <w:t>3</w:t>
      </w:r>
    </w:p>
  </w:footnote>
  <w:footnote w:id="79">
    <w:p w14:paraId="771FE992" w14:textId="5DCB0D7E"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lang w:val="en-US"/>
        </w:rPr>
        <w:t xml:space="preserve">According to Report No 695/BC-HĐBCQG dated 19/7/2016 made by the national election committee on review the result of national assembly delegates and people’s council delegates in the period 2016 – 2021. A study group in our coalition randomly took 21 provinces and found </w:t>
      </w:r>
      <w:r w:rsidRPr="00345D39">
        <w:rPr>
          <w:rFonts w:asciiTheme="majorHAnsi" w:hAnsiTheme="majorHAnsi" w:cstheme="majorHAnsi"/>
          <w:sz w:val="18"/>
          <w:szCs w:val="18"/>
        </w:rPr>
        <w:t xml:space="preserve">six provinces have </w:t>
      </w:r>
      <w:r w:rsidRPr="00345D39">
        <w:rPr>
          <w:rFonts w:asciiTheme="majorHAnsi" w:hAnsiTheme="majorHAnsi" w:cstheme="majorHAnsi"/>
          <w:sz w:val="18"/>
          <w:szCs w:val="18"/>
          <w:lang w:val="en-US"/>
        </w:rPr>
        <w:t>the</w:t>
      </w:r>
      <w:r w:rsidRPr="00345D39">
        <w:rPr>
          <w:rFonts w:asciiTheme="majorHAnsi" w:hAnsiTheme="majorHAnsi" w:cstheme="majorHAnsi"/>
          <w:sz w:val="18"/>
          <w:szCs w:val="18"/>
        </w:rPr>
        <w:t xml:space="preserve"> percentage of the female delegates higher than 35%</w:t>
      </w:r>
      <w:r w:rsidRPr="00345D39">
        <w:rPr>
          <w:rFonts w:asciiTheme="majorHAnsi" w:hAnsiTheme="majorHAnsi" w:cstheme="majorHAnsi"/>
          <w:sz w:val="18"/>
          <w:szCs w:val="18"/>
          <w:lang w:val="en-US"/>
        </w:rPr>
        <w:t xml:space="preserve"> (</w:t>
      </w:r>
      <w:r w:rsidRPr="00345D39">
        <w:rPr>
          <w:rFonts w:asciiTheme="majorHAnsi" w:hAnsiTheme="majorHAnsi" w:cstheme="majorHAnsi"/>
          <w:sz w:val="18"/>
          <w:szCs w:val="18"/>
        </w:rPr>
        <w:t>Da Nang city: 37.5%, Dien Bien province: 50%, Hung Yen: 42.8%, Quang Ngai: 57.1%, Vinh Long: 50% and Vinh Phuc: 50%</w:t>
      </w:r>
      <w:r w:rsidRPr="00345D39">
        <w:rPr>
          <w:rFonts w:asciiTheme="majorHAnsi" w:hAnsiTheme="majorHAnsi" w:cstheme="majorHAnsi"/>
          <w:sz w:val="18"/>
          <w:szCs w:val="18"/>
          <w:lang w:val="en-US"/>
        </w:rPr>
        <w:t>), On the other hand</w:t>
      </w:r>
      <w:r w:rsidRPr="00345D39">
        <w:rPr>
          <w:rFonts w:asciiTheme="majorHAnsi" w:hAnsiTheme="majorHAnsi" w:cstheme="majorHAnsi"/>
          <w:sz w:val="18"/>
          <w:szCs w:val="18"/>
        </w:rPr>
        <w:t xml:space="preserve">, the percentage of female delegates </w:t>
      </w:r>
      <w:r w:rsidRPr="00345D39">
        <w:rPr>
          <w:rFonts w:asciiTheme="majorHAnsi" w:hAnsiTheme="majorHAnsi" w:cstheme="majorHAnsi"/>
          <w:sz w:val="18"/>
          <w:szCs w:val="18"/>
          <w:lang w:val="en-US"/>
        </w:rPr>
        <w:t>in some provinces are</w:t>
      </w:r>
      <w:r w:rsidRPr="00345D39">
        <w:rPr>
          <w:rFonts w:asciiTheme="majorHAnsi" w:hAnsiTheme="majorHAnsi" w:cstheme="majorHAnsi"/>
          <w:sz w:val="18"/>
          <w:szCs w:val="18"/>
        </w:rPr>
        <w:t xml:space="preserve"> only about 10%, for example, Hai Phong: 11.2% and Binh Dinh: 12,5%.  </w:t>
      </w:r>
      <w:r w:rsidRPr="00345D39">
        <w:rPr>
          <w:rFonts w:asciiTheme="majorHAnsi" w:hAnsiTheme="majorHAnsi" w:cstheme="majorHAnsi"/>
          <w:sz w:val="18"/>
          <w:szCs w:val="18"/>
          <w:lang w:val="en-US"/>
        </w:rPr>
        <w:t>T</w:t>
      </w:r>
      <w:r w:rsidRPr="00345D39">
        <w:rPr>
          <w:rFonts w:asciiTheme="majorHAnsi" w:hAnsiTheme="majorHAnsi" w:cstheme="majorHAnsi"/>
          <w:sz w:val="18"/>
          <w:szCs w:val="18"/>
        </w:rPr>
        <w:t xml:space="preserve">here are 1.038 female delegates among 3.908 people council’ delegates at provincial </w:t>
      </w:r>
      <w:r w:rsidRPr="00345D39">
        <w:rPr>
          <w:rFonts w:asciiTheme="majorHAnsi" w:hAnsiTheme="majorHAnsi" w:cstheme="majorHAnsi"/>
          <w:sz w:val="18"/>
          <w:szCs w:val="18"/>
          <w:lang w:val="en-US"/>
        </w:rPr>
        <w:t xml:space="preserve">People’s Council </w:t>
      </w:r>
      <w:r w:rsidRPr="00345D39">
        <w:rPr>
          <w:rFonts w:asciiTheme="majorHAnsi" w:hAnsiTheme="majorHAnsi" w:cstheme="majorHAnsi"/>
          <w:sz w:val="18"/>
          <w:szCs w:val="18"/>
        </w:rPr>
        <w:t>(equal to 26.56%); 6.925 female delegates among 25.181 delegates at district level (equal to 27.5%) and 77.724 female delegates among 292.306 people council’ delegates at commune level (equal to 26.59%) at whole country</w:t>
      </w:r>
      <w:r w:rsidRPr="00345D39">
        <w:rPr>
          <w:rFonts w:asciiTheme="majorHAnsi" w:hAnsiTheme="majorHAnsi" w:cstheme="majorHAnsi"/>
          <w:sz w:val="18"/>
          <w:szCs w:val="18"/>
          <w:lang w:val="en-US"/>
        </w:rPr>
        <w:t>.</w:t>
      </w:r>
    </w:p>
  </w:footnote>
  <w:footnote w:id="80">
    <w:p w14:paraId="1E50821F" w14:textId="77777777" w:rsidR="00096C78" w:rsidRPr="00345D39" w:rsidRDefault="00096C78" w:rsidP="00345D39">
      <w:pPr>
        <w:pStyle w:val="FootnoteText"/>
        <w:spacing w:after="240"/>
        <w:jc w:val="both"/>
        <w:rPr>
          <w:rFonts w:asciiTheme="majorHAnsi" w:hAnsiTheme="majorHAnsi" w:cstheme="majorHAnsi"/>
          <w:sz w:val="18"/>
          <w:szCs w:val="18"/>
          <w:lang w:val="en-US"/>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Pr="00345D39">
        <w:rPr>
          <w:rFonts w:asciiTheme="majorHAnsi" w:hAnsiTheme="majorHAnsi" w:cstheme="majorHAnsi"/>
          <w:sz w:val="18"/>
          <w:szCs w:val="18"/>
          <w:lang w:val="en-US"/>
        </w:rPr>
        <w:t>Report No 695/BC-HĐBCQG dated 19/7/2016 made by the national election committee on review the result of national assembly delegates and people’s council delegates in the period 2016 – 2021.</w:t>
      </w:r>
    </w:p>
  </w:footnote>
  <w:footnote w:id="81">
    <w:p w14:paraId="119CB150" w14:textId="041B2C14" w:rsidR="00096C78" w:rsidRPr="000456EF" w:rsidRDefault="00096C78" w:rsidP="00345D39">
      <w:pPr>
        <w:pStyle w:val="FootnoteText"/>
        <w:spacing w:after="240"/>
        <w:jc w:val="both"/>
        <w:rPr>
          <w:rFonts w:asciiTheme="majorHAnsi" w:hAnsiTheme="majorHAnsi" w:cstheme="majorHAnsi"/>
          <w:sz w:val="18"/>
          <w:szCs w:val="18"/>
          <w:lang w:val="vi-VN"/>
        </w:rPr>
      </w:pPr>
      <w:r w:rsidRPr="00345D39">
        <w:rPr>
          <w:rStyle w:val="FootnoteReference"/>
          <w:rFonts w:asciiTheme="majorHAnsi" w:hAnsiTheme="majorHAnsi" w:cstheme="majorHAnsi"/>
          <w:sz w:val="18"/>
          <w:szCs w:val="18"/>
        </w:rPr>
        <w:footnoteRef/>
      </w:r>
      <w:r w:rsidRPr="00345D39">
        <w:rPr>
          <w:rFonts w:asciiTheme="majorHAnsi" w:hAnsiTheme="majorHAnsi" w:cstheme="majorHAnsi"/>
          <w:sz w:val="18"/>
          <w:szCs w:val="18"/>
        </w:rPr>
        <w:t xml:space="preserve"> </w:t>
      </w:r>
      <w:r w:rsidR="000456EF" w:rsidRPr="00345D39">
        <w:rPr>
          <w:rFonts w:asciiTheme="majorHAnsi" w:hAnsiTheme="majorHAnsi" w:cstheme="majorHAnsi"/>
          <w:sz w:val="18"/>
          <w:szCs w:val="18"/>
        </w:rPr>
        <w:t>Mr. Nguyen Hanh Phuc</w:t>
      </w:r>
      <w:r w:rsidR="000456EF">
        <w:rPr>
          <w:rFonts w:asciiTheme="majorHAnsi" w:hAnsiTheme="majorHAnsi" w:cstheme="majorHAnsi"/>
          <w:sz w:val="18"/>
          <w:szCs w:val="18"/>
          <w:lang w:val="vi-VN"/>
        </w:rPr>
        <w:t xml:space="preserve"> admited about proxy voting</w:t>
      </w:r>
      <w:r w:rsidR="000456EF" w:rsidRPr="00345D39">
        <w:rPr>
          <w:rFonts w:asciiTheme="majorHAnsi" w:hAnsiTheme="majorHAnsi" w:cstheme="majorHAnsi"/>
          <w:sz w:val="18"/>
          <w:szCs w:val="18"/>
        </w:rPr>
        <w:t xml:space="preserve"> </w:t>
      </w:r>
      <w:r w:rsidR="000456EF">
        <w:rPr>
          <w:rFonts w:asciiTheme="majorHAnsi" w:hAnsiTheme="majorHAnsi" w:cstheme="majorHAnsi"/>
          <w:sz w:val="18"/>
          <w:szCs w:val="18"/>
        </w:rPr>
        <w:t xml:space="preserve">at the </w:t>
      </w:r>
      <w:r w:rsidRPr="00345D39">
        <w:rPr>
          <w:rFonts w:asciiTheme="majorHAnsi" w:hAnsiTheme="majorHAnsi" w:cstheme="majorHAnsi"/>
          <w:sz w:val="18"/>
          <w:szCs w:val="18"/>
        </w:rPr>
        <w:t xml:space="preserve">6th </w:t>
      </w:r>
      <w:r w:rsidR="000456EF">
        <w:rPr>
          <w:rFonts w:asciiTheme="majorHAnsi" w:hAnsiTheme="majorHAnsi" w:cstheme="majorHAnsi"/>
          <w:sz w:val="18"/>
          <w:szCs w:val="18"/>
        </w:rPr>
        <w:t>m</w:t>
      </w:r>
      <w:r w:rsidRPr="00345D39">
        <w:rPr>
          <w:rFonts w:asciiTheme="majorHAnsi" w:hAnsiTheme="majorHAnsi" w:cstheme="majorHAnsi"/>
          <w:sz w:val="18"/>
          <w:szCs w:val="18"/>
        </w:rPr>
        <w:t>eeting by the National Elect</w:t>
      </w:r>
      <w:r w:rsidR="000456EF">
        <w:rPr>
          <w:rFonts w:asciiTheme="majorHAnsi" w:hAnsiTheme="majorHAnsi" w:cstheme="majorHAnsi"/>
          <w:sz w:val="18"/>
          <w:szCs w:val="18"/>
        </w:rPr>
        <w:t>oral Council</w:t>
      </w:r>
      <w:r w:rsidR="000456EF">
        <w:rPr>
          <w:rFonts w:asciiTheme="majorHAnsi" w:hAnsiTheme="majorHAnsi" w:cstheme="majorHAnsi"/>
          <w:sz w:val="18"/>
          <w:szCs w:val="18"/>
          <w:lang w:val="vi-VN"/>
        </w:rPr>
        <w:t xml:space="preserve"> on the 8th June 2016</w:t>
      </w:r>
    </w:p>
  </w:footnote>
  <w:footnote w:id="82">
    <w:p w14:paraId="2E550FA9" w14:textId="77777777" w:rsidR="00096C78" w:rsidRPr="00E815EC" w:rsidRDefault="00096C78" w:rsidP="00E815EC">
      <w:pPr>
        <w:pStyle w:val="FootnoteText"/>
        <w:spacing w:after="240"/>
        <w:jc w:val="both"/>
        <w:rPr>
          <w:rFonts w:asciiTheme="majorHAnsi"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 According to Article 73, Law on Election 2015</w:t>
      </w:r>
      <w:r w:rsidRPr="00E815EC">
        <w:rPr>
          <w:rFonts w:asciiTheme="majorHAnsi" w:hAnsiTheme="majorHAnsi" w:cstheme="majorHAnsi"/>
          <w:sz w:val="18"/>
          <w:szCs w:val="18"/>
          <w:lang w:val="en-US"/>
        </w:rPr>
        <w:t>.</w:t>
      </w:r>
    </w:p>
  </w:footnote>
  <w:footnote w:id="83">
    <w:p w14:paraId="10469406" w14:textId="77777777" w:rsidR="00096C78" w:rsidRPr="00E815EC" w:rsidRDefault="00096C78" w:rsidP="00E815EC">
      <w:pPr>
        <w:pStyle w:val="FootnoteText"/>
        <w:spacing w:after="240"/>
        <w:jc w:val="both"/>
        <w:rPr>
          <w:rFonts w:asciiTheme="majorHAnsi"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hAnsiTheme="majorHAnsi" w:cstheme="majorHAnsi"/>
          <w:sz w:val="18"/>
          <w:szCs w:val="18"/>
        </w:rPr>
        <w:t xml:space="preserve"> </w:t>
      </w:r>
      <w:r w:rsidRPr="00E815EC">
        <w:rPr>
          <w:rFonts w:asciiTheme="majorHAnsi" w:hAnsiTheme="majorHAnsi" w:cstheme="majorHAnsi"/>
          <w:sz w:val="18"/>
          <w:szCs w:val="18"/>
          <w:lang w:val="en-US"/>
        </w:rPr>
        <w:t xml:space="preserve">Regarding the announcement of election, the </w:t>
      </w:r>
      <w:r w:rsidRPr="00E815EC">
        <w:rPr>
          <w:rFonts w:asciiTheme="majorHAnsi" w:hAnsiTheme="majorHAnsi" w:cstheme="majorHAnsi"/>
          <w:sz w:val="18"/>
          <w:szCs w:val="18"/>
        </w:rPr>
        <w:t xml:space="preserve">Law on Election </w:t>
      </w:r>
      <w:r w:rsidRPr="00E815EC">
        <w:rPr>
          <w:rFonts w:asciiTheme="majorHAnsi" w:hAnsiTheme="majorHAnsi" w:cstheme="majorHAnsi"/>
          <w:sz w:val="18"/>
          <w:szCs w:val="18"/>
          <w:lang w:val="en-US"/>
        </w:rPr>
        <w:t>provides</w:t>
      </w:r>
      <w:r w:rsidRPr="00E815EC">
        <w:rPr>
          <w:rFonts w:asciiTheme="majorHAnsi" w:hAnsiTheme="majorHAnsi" w:cstheme="majorHAnsi"/>
          <w:sz w:val="18"/>
          <w:szCs w:val="18"/>
        </w:rPr>
        <w:t xml:space="preserve"> (1) the national election council has to publicize the result of election at whole country, based on the report of the election result and the list of persons who were selected for national assembly delegates, no later than 20 days after the election finished ; (2) the election committees have to publish the result of election and the list of persons who are selected for people’s council delegates, no later than 10 days.</w:t>
      </w:r>
    </w:p>
  </w:footnote>
  <w:footnote w:id="84">
    <w:p w14:paraId="3DCB890A" w14:textId="77777777" w:rsidR="00096C78" w:rsidRPr="00E815EC" w:rsidRDefault="00096C78" w:rsidP="00E815EC">
      <w:pPr>
        <w:spacing w:afterLines="60" w:after="144" w:line="240" w:lineRule="auto"/>
        <w:jc w:val="both"/>
        <w:rPr>
          <w:rFonts w:asciiTheme="majorHAnsi" w:eastAsia="Times New Roman"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eastAsia="Times New Roman" w:hAnsiTheme="majorHAnsi" w:cstheme="majorHAnsi"/>
          <w:sz w:val="18"/>
          <w:szCs w:val="18"/>
        </w:rPr>
        <w:t>Article 14(4) of the ICCPR: ‘In the case of juvenile persons, the procedure shall be such as will take account their age and the desirability of promoting their rehabilitation.’</w:t>
      </w:r>
    </w:p>
  </w:footnote>
  <w:footnote w:id="85">
    <w:p w14:paraId="445522AB" w14:textId="77777777" w:rsidR="00096C78" w:rsidRPr="00E815EC" w:rsidRDefault="00096C78" w:rsidP="00E815EC">
      <w:pPr>
        <w:spacing w:afterLines="60" w:after="144" w:line="240" w:lineRule="auto"/>
        <w:jc w:val="both"/>
        <w:rPr>
          <w:rFonts w:asciiTheme="majorHAnsi" w:eastAsia="Times New Roman"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eastAsia="Times New Roman" w:hAnsiTheme="majorHAnsi" w:cstheme="majorHAnsi"/>
          <w:sz w:val="18"/>
          <w:szCs w:val="18"/>
        </w:rPr>
        <w:t>CRC General Comment No 10: par</w:t>
      </w:r>
      <w:r w:rsidRPr="00E815EC">
        <w:rPr>
          <w:rFonts w:asciiTheme="majorHAnsi" w:eastAsia="Times New Roman" w:hAnsiTheme="majorHAnsi" w:cstheme="majorHAnsi"/>
          <w:sz w:val="18"/>
          <w:szCs w:val="18"/>
          <w:lang w:val="en-US"/>
        </w:rPr>
        <w:t>a.</w:t>
      </w:r>
      <w:r w:rsidRPr="00E815EC">
        <w:rPr>
          <w:rFonts w:asciiTheme="majorHAnsi" w:eastAsia="Times New Roman" w:hAnsiTheme="majorHAnsi" w:cstheme="majorHAnsi"/>
          <w:sz w:val="18"/>
          <w:szCs w:val="18"/>
        </w:rPr>
        <w:t xml:space="preserve"> 51–52. </w:t>
      </w:r>
    </w:p>
  </w:footnote>
  <w:footnote w:id="86">
    <w:p w14:paraId="111FD264" w14:textId="77777777" w:rsidR="00096C78" w:rsidRPr="00E815EC" w:rsidRDefault="00096C78" w:rsidP="00E815EC">
      <w:pPr>
        <w:spacing w:afterLines="60" w:after="144" w:line="240" w:lineRule="auto"/>
        <w:jc w:val="both"/>
        <w:rPr>
          <w:rFonts w:asciiTheme="majorHAnsi" w:eastAsia="Times New Roman" w:hAnsiTheme="majorHAnsi" w:cstheme="majorHAnsi"/>
          <w:sz w:val="18"/>
          <w:szCs w:val="18"/>
          <w:lang w:val="en-US"/>
        </w:rPr>
      </w:pPr>
      <w:r w:rsidRPr="00E815EC">
        <w:rPr>
          <w:rStyle w:val="FootnoteReference"/>
          <w:rFonts w:asciiTheme="majorHAnsi" w:hAnsiTheme="majorHAnsi" w:cstheme="majorHAnsi"/>
          <w:sz w:val="18"/>
          <w:szCs w:val="18"/>
        </w:rPr>
        <w:footnoteRef/>
      </w:r>
      <w:r w:rsidRPr="00E815EC">
        <w:rPr>
          <w:rFonts w:asciiTheme="majorHAnsi" w:eastAsia="Times New Roman" w:hAnsiTheme="majorHAnsi" w:cstheme="majorHAnsi"/>
          <w:sz w:val="18"/>
          <w:szCs w:val="18"/>
        </w:rPr>
        <w:t>Article 21 &amp;27 of Lawyer’s Law 2012 and Circular no. 70/2011/TT-BCA dated 10/10/2011 on defense lawyer and right to be defended (guiding Criminal Procedure Code 2003)</w:t>
      </w:r>
      <w:r w:rsidRPr="00E815EC">
        <w:rPr>
          <w:rFonts w:asciiTheme="majorHAnsi" w:eastAsia="Times New Roman" w:hAnsiTheme="majorHAnsi" w:cstheme="maj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D520" w14:textId="106C129A" w:rsidR="00096C78" w:rsidRPr="00E815EC" w:rsidRDefault="00096C78" w:rsidP="006B20E4">
    <w:pPr>
      <w:pStyle w:val="Header"/>
      <w:rPr>
        <w:b/>
        <w:sz w:val="24"/>
        <w:lang w:val="vi-VN"/>
      </w:rPr>
    </w:pPr>
    <w:r>
      <w:rPr>
        <w:b/>
        <w:sz w:val="24"/>
      </w:rPr>
      <w:t>VIET NAM</w:t>
    </w:r>
    <w:r w:rsidRPr="00961D4B">
      <w:rPr>
        <w:b/>
        <w:sz w:val="24"/>
      </w:rPr>
      <w:t xml:space="preserve"> –</w:t>
    </w:r>
    <w:r>
      <w:rPr>
        <w:b/>
        <w:sz w:val="24"/>
      </w:rPr>
      <w:t xml:space="preserve"> Joint </w:t>
    </w:r>
    <w:r w:rsidRPr="00961D4B">
      <w:rPr>
        <w:b/>
        <w:sz w:val="24"/>
      </w:rPr>
      <w:t xml:space="preserve">Civil </w:t>
    </w:r>
    <w:r>
      <w:rPr>
        <w:b/>
        <w:sz w:val="24"/>
      </w:rPr>
      <w:t>Society Report</w:t>
    </w:r>
    <w:r w:rsidR="00E815EC">
      <w:rPr>
        <w:b/>
        <w:sz w:val="24"/>
        <w:lang w:val="vi-VN"/>
      </w:rPr>
      <w:t xml:space="preserve"> by CEPEW and Partners</w:t>
    </w:r>
  </w:p>
  <w:p w14:paraId="34FC2BEE" w14:textId="77777777" w:rsidR="00096C78" w:rsidRPr="000C3C6F" w:rsidRDefault="00096C78" w:rsidP="006B2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FAF8" w14:textId="7DA4030B" w:rsidR="00096C78" w:rsidRPr="00916A97" w:rsidRDefault="00096C78" w:rsidP="006B20E4">
    <w:pPr>
      <w:pStyle w:val="Header"/>
      <w:rPr>
        <w:b/>
        <w:sz w:val="24"/>
        <w:lang w:val="en-US"/>
      </w:rPr>
    </w:pPr>
    <w:r>
      <w:rPr>
        <w:b/>
        <w:sz w:val="24"/>
      </w:rPr>
      <w:t>VIET NAM</w:t>
    </w:r>
    <w:r w:rsidRPr="00961D4B">
      <w:rPr>
        <w:b/>
        <w:sz w:val="24"/>
      </w:rPr>
      <w:t xml:space="preserve"> –</w:t>
    </w:r>
    <w:r>
      <w:rPr>
        <w:b/>
        <w:sz w:val="24"/>
      </w:rPr>
      <w:t xml:space="preserve"> Joint </w:t>
    </w:r>
    <w:r w:rsidRPr="00961D4B">
      <w:rPr>
        <w:b/>
        <w:sz w:val="24"/>
      </w:rPr>
      <w:t xml:space="preserve">Civil </w:t>
    </w:r>
    <w:r>
      <w:rPr>
        <w:b/>
        <w:sz w:val="24"/>
      </w:rPr>
      <w:t>Society Report</w:t>
    </w:r>
    <w:r>
      <w:rPr>
        <w:b/>
        <w:sz w:val="24"/>
        <w:lang w:val="en-US"/>
      </w:rPr>
      <w:t xml:space="preserve"> by </w:t>
    </w:r>
    <w:r w:rsidR="00E815EC">
      <w:rPr>
        <w:b/>
        <w:sz w:val="24"/>
        <w:lang w:val="en-US"/>
      </w:rPr>
      <w:t>CEPEW</w:t>
    </w:r>
    <w:r>
      <w:rPr>
        <w:b/>
        <w:sz w:val="24"/>
        <w:lang w:val="en-US"/>
      </w:rPr>
      <w:t xml:space="preserve"> and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F19"/>
    <w:multiLevelType w:val="hybridMultilevel"/>
    <w:tmpl w:val="A2F0746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084AA2"/>
    <w:multiLevelType w:val="hybridMultilevel"/>
    <w:tmpl w:val="E3364DC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77DCB"/>
    <w:multiLevelType w:val="hybridMultilevel"/>
    <w:tmpl w:val="94BA1F5A"/>
    <w:lvl w:ilvl="0" w:tplc="3C1C5AEE">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A70BC"/>
    <w:multiLevelType w:val="hybridMultilevel"/>
    <w:tmpl w:val="570CE052"/>
    <w:lvl w:ilvl="0" w:tplc="9C0287EA">
      <w:start w:val="20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E03750"/>
    <w:multiLevelType w:val="hybridMultilevel"/>
    <w:tmpl w:val="555AF3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D6B4E"/>
    <w:multiLevelType w:val="hybridMultilevel"/>
    <w:tmpl w:val="A2CC0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53ED"/>
    <w:multiLevelType w:val="multilevel"/>
    <w:tmpl w:val="2DB6EF62"/>
    <w:lvl w:ilvl="0">
      <w:start w:val="1"/>
      <w:numFmt w:val="decimal"/>
      <w:pStyle w:val="Heading3"/>
      <w:lvlText w:val="%1."/>
      <w:lvlJc w:val="left"/>
      <w:pPr>
        <w:ind w:left="36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E8F28FF"/>
    <w:multiLevelType w:val="hybridMultilevel"/>
    <w:tmpl w:val="15108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2342D"/>
    <w:multiLevelType w:val="hybridMultilevel"/>
    <w:tmpl w:val="A7F2792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13F0"/>
    <w:multiLevelType w:val="hybridMultilevel"/>
    <w:tmpl w:val="07DCC5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35449B"/>
    <w:multiLevelType w:val="hybridMultilevel"/>
    <w:tmpl w:val="25E2C47E"/>
    <w:lvl w:ilvl="0" w:tplc="59C45068">
      <w:start w:val="3"/>
      <w:numFmt w:val="bullet"/>
      <w:lvlText w:val="-"/>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7079C"/>
    <w:multiLevelType w:val="multilevel"/>
    <w:tmpl w:val="CB947E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7FD5C3B"/>
    <w:multiLevelType w:val="hybridMultilevel"/>
    <w:tmpl w:val="0E86A5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1260FD"/>
    <w:multiLevelType w:val="hybridMultilevel"/>
    <w:tmpl w:val="13562BB0"/>
    <w:lvl w:ilvl="0" w:tplc="9C0287EA">
      <w:start w:val="20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2"/>
  </w:num>
  <w:num w:numId="4">
    <w:abstractNumId w:val="11"/>
  </w:num>
  <w:num w:numId="5">
    <w:abstractNumId w:val="0"/>
  </w:num>
  <w:num w:numId="6">
    <w:abstractNumId w:val="12"/>
  </w:num>
  <w:num w:numId="7">
    <w:abstractNumId w:val="4"/>
  </w:num>
  <w:num w:numId="8">
    <w:abstractNumId w:val="13"/>
  </w:num>
  <w:num w:numId="9">
    <w:abstractNumId w:val="3"/>
  </w:num>
  <w:num w:numId="10">
    <w:abstractNumId w:val="5"/>
  </w:num>
  <w:num w:numId="11">
    <w:abstractNumId w:val="1"/>
  </w:num>
  <w:num w:numId="12">
    <w:abstractNumId w:val="7"/>
  </w:num>
  <w:num w:numId="13">
    <w:abstractNumId w:val="9"/>
  </w:num>
  <w:num w:numId="14">
    <w:abstractNumId w:val="8"/>
  </w:num>
  <w:num w:numId="15">
    <w:abstractNumId w:val="2"/>
    <w:lvlOverride w:ilvl="0">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0C"/>
    <w:rsid w:val="0000283F"/>
    <w:rsid w:val="00004F5C"/>
    <w:rsid w:val="00005730"/>
    <w:rsid w:val="00005F34"/>
    <w:rsid w:val="000063E4"/>
    <w:rsid w:val="00012BB5"/>
    <w:rsid w:val="00016C84"/>
    <w:rsid w:val="00017A9E"/>
    <w:rsid w:val="00017BF1"/>
    <w:rsid w:val="00017DA2"/>
    <w:rsid w:val="00020045"/>
    <w:rsid w:val="00021B7F"/>
    <w:rsid w:val="00025A4F"/>
    <w:rsid w:val="00025EBD"/>
    <w:rsid w:val="000262A5"/>
    <w:rsid w:val="00026D73"/>
    <w:rsid w:val="00027D2C"/>
    <w:rsid w:val="00030AD6"/>
    <w:rsid w:val="00032EBF"/>
    <w:rsid w:val="00033B3D"/>
    <w:rsid w:val="0003625F"/>
    <w:rsid w:val="0003730D"/>
    <w:rsid w:val="00041091"/>
    <w:rsid w:val="000451D2"/>
    <w:rsid w:val="000456EF"/>
    <w:rsid w:val="00045780"/>
    <w:rsid w:val="0005088C"/>
    <w:rsid w:val="00051158"/>
    <w:rsid w:val="000532A9"/>
    <w:rsid w:val="00056E59"/>
    <w:rsid w:val="00057A17"/>
    <w:rsid w:val="0006108D"/>
    <w:rsid w:val="00063331"/>
    <w:rsid w:val="00065ED9"/>
    <w:rsid w:val="00066144"/>
    <w:rsid w:val="0007103D"/>
    <w:rsid w:val="000720BC"/>
    <w:rsid w:val="00072808"/>
    <w:rsid w:val="0007410C"/>
    <w:rsid w:val="000764D4"/>
    <w:rsid w:val="00076ED0"/>
    <w:rsid w:val="00077A2E"/>
    <w:rsid w:val="00080446"/>
    <w:rsid w:val="000805DF"/>
    <w:rsid w:val="00084E23"/>
    <w:rsid w:val="0008683C"/>
    <w:rsid w:val="000926F8"/>
    <w:rsid w:val="00096C78"/>
    <w:rsid w:val="00097699"/>
    <w:rsid w:val="00097CC4"/>
    <w:rsid w:val="000A1C2C"/>
    <w:rsid w:val="000A25BA"/>
    <w:rsid w:val="000A25CD"/>
    <w:rsid w:val="000A5616"/>
    <w:rsid w:val="000B0757"/>
    <w:rsid w:val="000B5036"/>
    <w:rsid w:val="000B77D9"/>
    <w:rsid w:val="000C60AE"/>
    <w:rsid w:val="000C6A87"/>
    <w:rsid w:val="000D3564"/>
    <w:rsid w:val="000D3AE9"/>
    <w:rsid w:val="000D4529"/>
    <w:rsid w:val="000D5987"/>
    <w:rsid w:val="000D5FE1"/>
    <w:rsid w:val="000E2E93"/>
    <w:rsid w:val="000E3619"/>
    <w:rsid w:val="000E410B"/>
    <w:rsid w:val="000E719C"/>
    <w:rsid w:val="000F1151"/>
    <w:rsid w:val="000F33F1"/>
    <w:rsid w:val="000F518E"/>
    <w:rsid w:val="000F5767"/>
    <w:rsid w:val="00100461"/>
    <w:rsid w:val="0011350D"/>
    <w:rsid w:val="0011381B"/>
    <w:rsid w:val="00115D18"/>
    <w:rsid w:val="001165B9"/>
    <w:rsid w:val="00121A64"/>
    <w:rsid w:val="00122A57"/>
    <w:rsid w:val="00125AB4"/>
    <w:rsid w:val="00126388"/>
    <w:rsid w:val="00126C1D"/>
    <w:rsid w:val="001303A3"/>
    <w:rsid w:val="00133A46"/>
    <w:rsid w:val="001364A9"/>
    <w:rsid w:val="0013682F"/>
    <w:rsid w:val="0013704F"/>
    <w:rsid w:val="00140300"/>
    <w:rsid w:val="00140B89"/>
    <w:rsid w:val="00141075"/>
    <w:rsid w:val="001422BA"/>
    <w:rsid w:val="0014331E"/>
    <w:rsid w:val="00143775"/>
    <w:rsid w:val="00145BB2"/>
    <w:rsid w:val="00146A70"/>
    <w:rsid w:val="00150713"/>
    <w:rsid w:val="00150C59"/>
    <w:rsid w:val="00153BB6"/>
    <w:rsid w:val="00166A5A"/>
    <w:rsid w:val="00166B98"/>
    <w:rsid w:val="00166EE3"/>
    <w:rsid w:val="00172A0B"/>
    <w:rsid w:val="0018086C"/>
    <w:rsid w:val="001819C4"/>
    <w:rsid w:val="0018276D"/>
    <w:rsid w:val="00183003"/>
    <w:rsid w:val="00184926"/>
    <w:rsid w:val="00185834"/>
    <w:rsid w:val="001863BD"/>
    <w:rsid w:val="00187C30"/>
    <w:rsid w:val="001921CE"/>
    <w:rsid w:val="0019688E"/>
    <w:rsid w:val="001A1D03"/>
    <w:rsid w:val="001A3F4F"/>
    <w:rsid w:val="001A45A6"/>
    <w:rsid w:val="001A4E15"/>
    <w:rsid w:val="001A5949"/>
    <w:rsid w:val="001A770E"/>
    <w:rsid w:val="001B7E40"/>
    <w:rsid w:val="001C18A0"/>
    <w:rsid w:val="001C566D"/>
    <w:rsid w:val="001D2E7B"/>
    <w:rsid w:val="001D3CDD"/>
    <w:rsid w:val="001D5B9C"/>
    <w:rsid w:val="001E0C73"/>
    <w:rsid w:val="001E1926"/>
    <w:rsid w:val="001E2A70"/>
    <w:rsid w:val="001E377B"/>
    <w:rsid w:val="001E657C"/>
    <w:rsid w:val="001F0802"/>
    <w:rsid w:val="001F09F9"/>
    <w:rsid w:val="001F14D9"/>
    <w:rsid w:val="001F18F3"/>
    <w:rsid w:val="001F529B"/>
    <w:rsid w:val="001F79E1"/>
    <w:rsid w:val="0020175E"/>
    <w:rsid w:val="00201CBD"/>
    <w:rsid w:val="00205CEA"/>
    <w:rsid w:val="0020629C"/>
    <w:rsid w:val="00207DB9"/>
    <w:rsid w:val="00215FAF"/>
    <w:rsid w:val="00216574"/>
    <w:rsid w:val="00216774"/>
    <w:rsid w:val="002222DE"/>
    <w:rsid w:val="00222EE4"/>
    <w:rsid w:val="00223B20"/>
    <w:rsid w:val="002248B1"/>
    <w:rsid w:val="002261B8"/>
    <w:rsid w:val="00226EF0"/>
    <w:rsid w:val="002270D5"/>
    <w:rsid w:val="002315C7"/>
    <w:rsid w:val="00232134"/>
    <w:rsid w:val="0023238C"/>
    <w:rsid w:val="00236930"/>
    <w:rsid w:val="00237A73"/>
    <w:rsid w:val="00240466"/>
    <w:rsid w:val="00242B27"/>
    <w:rsid w:val="002456D1"/>
    <w:rsid w:val="0024579F"/>
    <w:rsid w:val="00246D7F"/>
    <w:rsid w:val="00247C8C"/>
    <w:rsid w:val="00250196"/>
    <w:rsid w:val="00250C57"/>
    <w:rsid w:val="002530F5"/>
    <w:rsid w:val="00254859"/>
    <w:rsid w:val="0025574F"/>
    <w:rsid w:val="002578D5"/>
    <w:rsid w:val="00261FFB"/>
    <w:rsid w:val="00262835"/>
    <w:rsid w:val="00263F61"/>
    <w:rsid w:val="002649A4"/>
    <w:rsid w:val="002654B1"/>
    <w:rsid w:val="00265A51"/>
    <w:rsid w:val="00265D09"/>
    <w:rsid w:val="00266CDF"/>
    <w:rsid w:val="0026750E"/>
    <w:rsid w:val="00267CE9"/>
    <w:rsid w:val="00271232"/>
    <w:rsid w:val="00272061"/>
    <w:rsid w:val="0027518D"/>
    <w:rsid w:val="0028099D"/>
    <w:rsid w:val="00280DC5"/>
    <w:rsid w:val="00281DD9"/>
    <w:rsid w:val="00283B09"/>
    <w:rsid w:val="002856E2"/>
    <w:rsid w:val="00286A55"/>
    <w:rsid w:val="0028735F"/>
    <w:rsid w:val="0029204C"/>
    <w:rsid w:val="002A118F"/>
    <w:rsid w:val="002A2D45"/>
    <w:rsid w:val="002A3556"/>
    <w:rsid w:val="002A389F"/>
    <w:rsid w:val="002A5B16"/>
    <w:rsid w:val="002A5E6F"/>
    <w:rsid w:val="002A6A97"/>
    <w:rsid w:val="002A7F99"/>
    <w:rsid w:val="002B200E"/>
    <w:rsid w:val="002B260E"/>
    <w:rsid w:val="002B477D"/>
    <w:rsid w:val="002C2953"/>
    <w:rsid w:val="002C3FFD"/>
    <w:rsid w:val="002D168D"/>
    <w:rsid w:val="002D2900"/>
    <w:rsid w:val="002D3E52"/>
    <w:rsid w:val="002D52B3"/>
    <w:rsid w:val="002D540C"/>
    <w:rsid w:val="002D583D"/>
    <w:rsid w:val="002D72F2"/>
    <w:rsid w:val="002E1EAA"/>
    <w:rsid w:val="002E47BD"/>
    <w:rsid w:val="002E48D0"/>
    <w:rsid w:val="002E7D91"/>
    <w:rsid w:val="002F0E3D"/>
    <w:rsid w:val="002F2E85"/>
    <w:rsid w:val="002F5435"/>
    <w:rsid w:val="0030095A"/>
    <w:rsid w:val="00300FA9"/>
    <w:rsid w:val="003021E9"/>
    <w:rsid w:val="00303F8B"/>
    <w:rsid w:val="00304538"/>
    <w:rsid w:val="003068F0"/>
    <w:rsid w:val="0030720D"/>
    <w:rsid w:val="00310296"/>
    <w:rsid w:val="00311DF2"/>
    <w:rsid w:val="003140C6"/>
    <w:rsid w:val="00315D97"/>
    <w:rsid w:val="00322128"/>
    <w:rsid w:val="003249DA"/>
    <w:rsid w:val="00326B03"/>
    <w:rsid w:val="003309EF"/>
    <w:rsid w:val="00331030"/>
    <w:rsid w:val="0033327F"/>
    <w:rsid w:val="003401AE"/>
    <w:rsid w:val="00341167"/>
    <w:rsid w:val="003416B6"/>
    <w:rsid w:val="00343241"/>
    <w:rsid w:val="003439BB"/>
    <w:rsid w:val="003444F8"/>
    <w:rsid w:val="00344A32"/>
    <w:rsid w:val="00345511"/>
    <w:rsid w:val="00345D39"/>
    <w:rsid w:val="00347ECA"/>
    <w:rsid w:val="00351E75"/>
    <w:rsid w:val="00353971"/>
    <w:rsid w:val="00354031"/>
    <w:rsid w:val="00354FD4"/>
    <w:rsid w:val="0036223A"/>
    <w:rsid w:val="003661B4"/>
    <w:rsid w:val="00366DD8"/>
    <w:rsid w:val="003673C7"/>
    <w:rsid w:val="00367659"/>
    <w:rsid w:val="00371EF2"/>
    <w:rsid w:val="0037205F"/>
    <w:rsid w:val="00375169"/>
    <w:rsid w:val="00375CB5"/>
    <w:rsid w:val="003871FC"/>
    <w:rsid w:val="003906F8"/>
    <w:rsid w:val="00395C37"/>
    <w:rsid w:val="0039699F"/>
    <w:rsid w:val="00396D17"/>
    <w:rsid w:val="00396E8F"/>
    <w:rsid w:val="003971AE"/>
    <w:rsid w:val="003A51AC"/>
    <w:rsid w:val="003A6336"/>
    <w:rsid w:val="003A6D34"/>
    <w:rsid w:val="003A796C"/>
    <w:rsid w:val="003B02B0"/>
    <w:rsid w:val="003B6910"/>
    <w:rsid w:val="003B79EC"/>
    <w:rsid w:val="003C1F29"/>
    <w:rsid w:val="003C2057"/>
    <w:rsid w:val="003C28B6"/>
    <w:rsid w:val="003C29CB"/>
    <w:rsid w:val="003C6F4E"/>
    <w:rsid w:val="003D6376"/>
    <w:rsid w:val="003D6C9E"/>
    <w:rsid w:val="003E2FEA"/>
    <w:rsid w:val="003E36E3"/>
    <w:rsid w:val="003E4546"/>
    <w:rsid w:val="003E4DB9"/>
    <w:rsid w:val="003E54AE"/>
    <w:rsid w:val="003E77EA"/>
    <w:rsid w:val="003F27A3"/>
    <w:rsid w:val="00400058"/>
    <w:rsid w:val="00400905"/>
    <w:rsid w:val="00401FFE"/>
    <w:rsid w:val="00402312"/>
    <w:rsid w:val="00403BF2"/>
    <w:rsid w:val="004041E2"/>
    <w:rsid w:val="0040466F"/>
    <w:rsid w:val="004046C3"/>
    <w:rsid w:val="0040616D"/>
    <w:rsid w:val="0041060A"/>
    <w:rsid w:val="00412E2E"/>
    <w:rsid w:val="0041390E"/>
    <w:rsid w:val="004143E1"/>
    <w:rsid w:val="00414630"/>
    <w:rsid w:val="00415D62"/>
    <w:rsid w:val="00416DA9"/>
    <w:rsid w:val="00421199"/>
    <w:rsid w:val="00421283"/>
    <w:rsid w:val="00424376"/>
    <w:rsid w:val="00425667"/>
    <w:rsid w:val="004264E9"/>
    <w:rsid w:val="00427713"/>
    <w:rsid w:val="00427F2E"/>
    <w:rsid w:val="004300F1"/>
    <w:rsid w:val="004314EE"/>
    <w:rsid w:val="00431E00"/>
    <w:rsid w:val="00437406"/>
    <w:rsid w:val="0044013E"/>
    <w:rsid w:val="004474EA"/>
    <w:rsid w:val="00447B90"/>
    <w:rsid w:val="00451913"/>
    <w:rsid w:val="004543BE"/>
    <w:rsid w:val="004568F4"/>
    <w:rsid w:val="0045705B"/>
    <w:rsid w:val="004626A8"/>
    <w:rsid w:val="00462D63"/>
    <w:rsid w:val="0046405B"/>
    <w:rsid w:val="00466378"/>
    <w:rsid w:val="00466633"/>
    <w:rsid w:val="0047017C"/>
    <w:rsid w:val="00470353"/>
    <w:rsid w:val="004705B9"/>
    <w:rsid w:val="00470E4F"/>
    <w:rsid w:val="004739EB"/>
    <w:rsid w:val="00474FB2"/>
    <w:rsid w:val="00475F55"/>
    <w:rsid w:val="00480952"/>
    <w:rsid w:val="0048115A"/>
    <w:rsid w:val="004847A0"/>
    <w:rsid w:val="00484893"/>
    <w:rsid w:val="00485266"/>
    <w:rsid w:val="00486AA8"/>
    <w:rsid w:val="0049029D"/>
    <w:rsid w:val="0049094C"/>
    <w:rsid w:val="004918CD"/>
    <w:rsid w:val="00491F38"/>
    <w:rsid w:val="0049641C"/>
    <w:rsid w:val="0049741B"/>
    <w:rsid w:val="004A2988"/>
    <w:rsid w:val="004A2FA5"/>
    <w:rsid w:val="004A48E8"/>
    <w:rsid w:val="004A6E0E"/>
    <w:rsid w:val="004A7009"/>
    <w:rsid w:val="004B231E"/>
    <w:rsid w:val="004B2BD8"/>
    <w:rsid w:val="004B4F72"/>
    <w:rsid w:val="004B70A3"/>
    <w:rsid w:val="004C36DE"/>
    <w:rsid w:val="004C38B6"/>
    <w:rsid w:val="004C4AC7"/>
    <w:rsid w:val="004C7231"/>
    <w:rsid w:val="004C7836"/>
    <w:rsid w:val="004C7DC3"/>
    <w:rsid w:val="004D1C73"/>
    <w:rsid w:val="004D28C6"/>
    <w:rsid w:val="004D2EF3"/>
    <w:rsid w:val="004D438A"/>
    <w:rsid w:val="004D4FA3"/>
    <w:rsid w:val="004D6C89"/>
    <w:rsid w:val="004D7460"/>
    <w:rsid w:val="004D7DF5"/>
    <w:rsid w:val="004E0A2B"/>
    <w:rsid w:val="004E0B88"/>
    <w:rsid w:val="004E2B25"/>
    <w:rsid w:val="004E3670"/>
    <w:rsid w:val="004E557F"/>
    <w:rsid w:val="004E596A"/>
    <w:rsid w:val="004E5A6D"/>
    <w:rsid w:val="004E6023"/>
    <w:rsid w:val="004F0562"/>
    <w:rsid w:val="004F0F73"/>
    <w:rsid w:val="004F286E"/>
    <w:rsid w:val="004F305B"/>
    <w:rsid w:val="004F603A"/>
    <w:rsid w:val="004F7BE2"/>
    <w:rsid w:val="005002C6"/>
    <w:rsid w:val="00501E07"/>
    <w:rsid w:val="00501FB3"/>
    <w:rsid w:val="00502184"/>
    <w:rsid w:val="00503FF8"/>
    <w:rsid w:val="00505868"/>
    <w:rsid w:val="00510107"/>
    <w:rsid w:val="0051055B"/>
    <w:rsid w:val="00511063"/>
    <w:rsid w:val="00511084"/>
    <w:rsid w:val="00514DC2"/>
    <w:rsid w:val="00516CC7"/>
    <w:rsid w:val="00520179"/>
    <w:rsid w:val="00521D55"/>
    <w:rsid w:val="00524EFD"/>
    <w:rsid w:val="005254D5"/>
    <w:rsid w:val="00525AB6"/>
    <w:rsid w:val="00525ACA"/>
    <w:rsid w:val="00532009"/>
    <w:rsid w:val="005329BC"/>
    <w:rsid w:val="00532C0B"/>
    <w:rsid w:val="00534CBC"/>
    <w:rsid w:val="0053671D"/>
    <w:rsid w:val="00536832"/>
    <w:rsid w:val="0054042E"/>
    <w:rsid w:val="00543FFF"/>
    <w:rsid w:val="005444B0"/>
    <w:rsid w:val="005451CD"/>
    <w:rsid w:val="0054712F"/>
    <w:rsid w:val="00552FD3"/>
    <w:rsid w:val="00553BDC"/>
    <w:rsid w:val="005543BE"/>
    <w:rsid w:val="00555901"/>
    <w:rsid w:val="00560A71"/>
    <w:rsid w:val="00560AEB"/>
    <w:rsid w:val="005637F8"/>
    <w:rsid w:val="00567D7C"/>
    <w:rsid w:val="00576074"/>
    <w:rsid w:val="00576A24"/>
    <w:rsid w:val="00577086"/>
    <w:rsid w:val="005774E9"/>
    <w:rsid w:val="005815B1"/>
    <w:rsid w:val="00581B0B"/>
    <w:rsid w:val="00581FA0"/>
    <w:rsid w:val="00583B66"/>
    <w:rsid w:val="005871ED"/>
    <w:rsid w:val="0059098F"/>
    <w:rsid w:val="005947D4"/>
    <w:rsid w:val="005965E2"/>
    <w:rsid w:val="005974BF"/>
    <w:rsid w:val="005A11AC"/>
    <w:rsid w:val="005A1437"/>
    <w:rsid w:val="005A3B45"/>
    <w:rsid w:val="005A4293"/>
    <w:rsid w:val="005A54CF"/>
    <w:rsid w:val="005A6487"/>
    <w:rsid w:val="005B3890"/>
    <w:rsid w:val="005B425E"/>
    <w:rsid w:val="005B4ADB"/>
    <w:rsid w:val="005B70CF"/>
    <w:rsid w:val="005C4010"/>
    <w:rsid w:val="005C597E"/>
    <w:rsid w:val="005C6546"/>
    <w:rsid w:val="005D0FAC"/>
    <w:rsid w:val="005D1948"/>
    <w:rsid w:val="005D3BEA"/>
    <w:rsid w:val="005D7394"/>
    <w:rsid w:val="005E20A0"/>
    <w:rsid w:val="005E2CC6"/>
    <w:rsid w:val="005E6255"/>
    <w:rsid w:val="005E63DE"/>
    <w:rsid w:val="005E711C"/>
    <w:rsid w:val="005E7555"/>
    <w:rsid w:val="005F0E65"/>
    <w:rsid w:val="005F2675"/>
    <w:rsid w:val="005F537D"/>
    <w:rsid w:val="005F788F"/>
    <w:rsid w:val="006037F7"/>
    <w:rsid w:val="0060453A"/>
    <w:rsid w:val="00606C35"/>
    <w:rsid w:val="00610458"/>
    <w:rsid w:val="00611C97"/>
    <w:rsid w:val="0061364C"/>
    <w:rsid w:val="00613DE0"/>
    <w:rsid w:val="00614BDE"/>
    <w:rsid w:val="0061500D"/>
    <w:rsid w:val="00616895"/>
    <w:rsid w:val="00623037"/>
    <w:rsid w:val="006233A8"/>
    <w:rsid w:val="006237EF"/>
    <w:rsid w:val="006262BE"/>
    <w:rsid w:val="00626F79"/>
    <w:rsid w:val="00626FF6"/>
    <w:rsid w:val="00627A8A"/>
    <w:rsid w:val="006301CA"/>
    <w:rsid w:val="00632997"/>
    <w:rsid w:val="00632AEF"/>
    <w:rsid w:val="00632FEB"/>
    <w:rsid w:val="00633BCA"/>
    <w:rsid w:val="00634A1D"/>
    <w:rsid w:val="0063767A"/>
    <w:rsid w:val="00637B26"/>
    <w:rsid w:val="0064326F"/>
    <w:rsid w:val="00644D97"/>
    <w:rsid w:val="00646116"/>
    <w:rsid w:val="006463A6"/>
    <w:rsid w:val="00646978"/>
    <w:rsid w:val="00647592"/>
    <w:rsid w:val="00650C89"/>
    <w:rsid w:val="00650D68"/>
    <w:rsid w:val="00653A0A"/>
    <w:rsid w:val="006544D6"/>
    <w:rsid w:val="00655749"/>
    <w:rsid w:val="006562C9"/>
    <w:rsid w:val="00660472"/>
    <w:rsid w:val="00661735"/>
    <w:rsid w:val="006624F0"/>
    <w:rsid w:val="0066796B"/>
    <w:rsid w:val="00667CD3"/>
    <w:rsid w:val="006740C1"/>
    <w:rsid w:val="00676721"/>
    <w:rsid w:val="00676873"/>
    <w:rsid w:val="00676DD4"/>
    <w:rsid w:val="00680059"/>
    <w:rsid w:val="00680755"/>
    <w:rsid w:val="006817BD"/>
    <w:rsid w:val="00682431"/>
    <w:rsid w:val="006848B5"/>
    <w:rsid w:val="00686001"/>
    <w:rsid w:val="0068609F"/>
    <w:rsid w:val="0068696E"/>
    <w:rsid w:val="0069038E"/>
    <w:rsid w:val="006905D5"/>
    <w:rsid w:val="00691A9A"/>
    <w:rsid w:val="006928F0"/>
    <w:rsid w:val="00693D49"/>
    <w:rsid w:val="006948E3"/>
    <w:rsid w:val="006950CB"/>
    <w:rsid w:val="006A1B98"/>
    <w:rsid w:val="006A2B35"/>
    <w:rsid w:val="006A3760"/>
    <w:rsid w:val="006A68CB"/>
    <w:rsid w:val="006A6F80"/>
    <w:rsid w:val="006A7D5A"/>
    <w:rsid w:val="006B0C06"/>
    <w:rsid w:val="006B18CC"/>
    <w:rsid w:val="006B20E4"/>
    <w:rsid w:val="006B2E27"/>
    <w:rsid w:val="006B460F"/>
    <w:rsid w:val="006B490D"/>
    <w:rsid w:val="006B4E00"/>
    <w:rsid w:val="006C0255"/>
    <w:rsid w:val="006C0909"/>
    <w:rsid w:val="006C2B1A"/>
    <w:rsid w:val="006C5A11"/>
    <w:rsid w:val="006C6198"/>
    <w:rsid w:val="006C7343"/>
    <w:rsid w:val="006D4B75"/>
    <w:rsid w:val="006D59DE"/>
    <w:rsid w:val="006D7A9A"/>
    <w:rsid w:val="006E25CC"/>
    <w:rsid w:val="006E407B"/>
    <w:rsid w:val="006E5C50"/>
    <w:rsid w:val="006E5DDC"/>
    <w:rsid w:val="006E6285"/>
    <w:rsid w:val="006F43C1"/>
    <w:rsid w:val="00702C7B"/>
    <w:rsid w:val="007073DD"/>
    <w:rsid w:val="007078A8"/>
    <w:rsid w:val="00713E37"/>
    <w:rsid w:val="0071659A"/>
    <w:rsid w:val="00724DC8"/>
    <w:rsid w:val="00733D51"/>
    <w:rsid w:val="00734961"/>
    <w:rsid w:val="007415C8"/>
    <w:rsid w:val="00741778"/>
    <w:rsid w:val="00741BE8"/>
    <w:rsid w:val="00741DEF"/>
    <w:rsid w:val="00741E48"/>
    <w:rsid w:val="00742FC7"/>
    <w:rsid w:val="00746988"/>
    <w:rsid w:val="0074781E"/>
    <w:rsid w:val="007529AD"/>
    <w:rsid w:val="00753A44"/>
    <w:rsid w:val="0075608C"/>
    <w:rsid w:val="0075730D"/>
    <w:rsid w:val="0076128A"/>
    <w:rsid w:val="0076515D"/>
    <w:rsid w:val="00765F5D"/>
    <w:rsid w:val="0076620F"/>
    <w:rsid w:val="007717EA"/>
    <w:rsid w:val="00772BC4"/>
    <w:rsid w:val="00773156"/>
    <w:rsid w:val="007736C2"/>
    <w:rsid w:val="00774E55"/>
    <w:rsid w:val="00776240"/>
    <w:rsid w:val="0077725E"/>
    <w:rsid w:val="00780EC3"/>
    <w:rsid w:val="00781353"/>
    <w:rsid w:val="0078317C"/>
    <w:rsid w:val="00783A68"/>
    <w:rsid w:val="00785D1C"/>
    <w:rsid w:val="00787E67"/>
    <w:rsid w:val="00787F25"/>
    <w:rsid w:val="00792A63"/>
    <w:rsid w:val="00792D8D"/>
    <w:rsid w:val="0079462A"/>
    <w:rsid w:val="00794AEC"/>
    <w:rsid w:val="0079750F"/>
    <w:rsid w:val="007A0E50"/>
    <w:rsid w:val="007A4A2C"/>
    <w:rsid w:val="007A6579"/>
    <w:rsid w:val="007A6E13"/>
    <w:rsid w:val="007A7945"/>
    <w:rsid w:val="007B2177"/>
    <w:rsid w:val="007B6068"/>
    <w:rsid w:val="007B6306"/>
    <w:rsid w:val="007C063D"/>
    <w:rsid w:val="007C09F4"/>
    <w:rsid w:val="007C1C3D"/>
    <w:rsid w:val="007C3726"/>
    <w:rsid w:val="007C4B15"/>
    <w:rsid w:val="007C59EE"/>
    <w:rsid w:val="007C6C5D"/>
    <w:rsid w:val="007D0A6E"/>
    <w:rsid w:val="007D4CB5"/>
    <w:rsid w:val="007D52A7"/>
    <w:rsid w:val="007D60AA"/>
    <w:rsid w:val="007E39B1"/>
    <w:rsid w:val="007E5569"/>
    <w:rsid w:val="007E6EC6"/>
    <w:rsid w:val="007F0C01"/>
    <w:rsid w:val="007F2533"/>
    <w:rsid w:val="007F4416"/>
    <w:rsid w:val="007F4A30"/>
    <w:rsid w:val="007F6514"/>
    <w:rsid w:val="007F78C5"/>
    <w:rsid w:val="007F7E87"/>
    <w:rsid w:val="00801065"/>
    <w:rsid w:val="00802E1D"/>
    <w:rsid w:val="00806639"/>
    <w:rsid w:val="00806CD9"/>
    <w:rsid w:val="00807A7F"/>
    <w:rsid w:val="00811C8F"/>
    <w:rsid w:val="00811CEA"/>
    <w:rsid w:val="008134C9"/>
    <w:rsid w:val="008139BC"/>
    <w:rsid w:val="00815469"/>
    <w:rsid w:val="008161E1"/>
    <w:rsid w:val="00826580"/>
    <w:rsid w:val="00827400"/>
    <w:rsid w:val="00830AA8"/>
    <w:rsid w:val="00830C75"/>
    <w:rsid w:val="00832272"/>
    <w:rsid w:val="0083313E"/>
    <w:rsid w:val="00833C29"/>
    <w:rsid w:val="00833D8C"/>
    <w:rsid w:val="00833DCF"/>
    <w:rsid w:val="008362DF"/>
    <w:rsid w:val="00840E5C"/>
    <w:rsid w:val="008410C0"/>
    <w:rsid w:val="0084205B"/>
    <w:rsid w:val="00844261"/>
    <w:rsid w:val="00844BF9"/>
    <w:rsid w:val="0084620C"/>
    <w:rsid w:val="00847491"/>
    <w:rsid w:val="00850DAF"/>
    <w:rsid w:val="00855372"/>
    <w:rsid w:val="0085585C"/>
    <w:rsid w:val="00855C21"/>
    <w:rsid w:val="00861796"/>
    <w:rsid w:val="008632A8"/>
    <w:rsid w:val="00864D46"/>
    <w:rsid w:val="008654A2"/>
    <w:rsid w:val="00871A99"/>
    <w:rsid w:val="00873526"/>
    <w:rsid w:val="00876E1A"/>
    <w:rsid w:val="0088485B"/>
    <w:rsid w:val="008874E7"/>
    <w:rsid w:val="00890C79"/>
    <w:rsid w:val="008916C1"/>
    <w:rsid w:val="008978D4"/>
    <w:rsid w:val="008A4A05"/>
    <w:rsid w:val="008A7606"/>
    <w:rsid w:val="008B04A9"/>
    <w:rsid w:val="008B0B0D"/>
    <w:rsid w:val="008B1C15"/>
    <w:rsid w:val="008B304F"/>
    <w:rsid w:val="008B3174"/>
    <w:rsid w:val="008B3547"/>
    <w:rsid w:val="008B71E8"/>
    <w:rsid w:val="008C0CB8"/>
    <w:rsid w:val="008C4F46"/>
    <w:rsid w:val="008C589A"/>
    <w:rsid w:val="008D0542"/>
    <w:rsid w:val="008D58A8"/>
    <w:rsid w:val="008D601A"/>
    <w:rsid w:val="008D654C"/>
    <w:rsid w:val="008D6EA0"/>
    <w:rsid w:val="008D75A3"/>
    <w:rsid w:val="008E0B13"/>
    <w:rsid w:val="008E138B"/>
    <w:rsid w:val="008E140C"/>
    <w:rsid w:val="008E27E5"/>
    <w:rsid w:val="008E63BB"/>
    <w:rsid w:val="008F1AFD"/>
    <w:rsid w:val="008F2594"/>
    <w:rsid w:val="008F49F1"/>
    <w:rsid w:val="008F5371"/>
    <w:rsid w:val="0090142D"/>
    <w:rsid w:val="00901FC5"/>
    <w:rsid w:val="00906C28"/>
    <w:rsid w:val="00907CCC"/>
    <w:rsid w:val="00911172"/>
    <w:rsid w:val="00911B46"/>
    <w:rsid w:val="00914A43"/>
    <w:rsid w:val="00916A97"/>
    <w:rsid w:val="0092025A"/>
    <w:rsid w:val="00921227"/>
    <w:rsid w:val="00922696"/>
    <w:rsid w:val="0092698E"/>
    <w:rsid w:val="00927173"/>
    <w:rsid w:val="0092788B"/>
    <w:rsid w:val="00933138"/>
    <w:rsid w:val="00935428"/>
    <w:rsid w:val="00943CEE"/>
    <w:rsid w:val="00945C39"/>
    <w:rsid w:val="0094737D"/>
    <w:rsid w:val="00947ADD"/>
    <w:rsid w:val="009540F6"/>
    <w:rsid w:val="00956492"/>
    <w:rsid w:val="009608B2"/>
    <w:rsid w:val="00962005"/>
    <w:rsid w:val="009620FA"/>
    <w:rsid w:val="00972090"/>
    <w:rsid w:val="0097408F"/>
    <w:rsid w:val="00974497"/>
    <w:rsid w:val="009758AD"/>
    <w:rsid w:val="00976133"/>
    <w:rsid w:val="009800DB"/>
    <w:rsid w:val="00983467"/>
    <w:rsid w:val="009836A3"/>
    <w:rsid w:val="009840EE"/>
    <w:rsid w:val="00984C7A"/>
    <w:rsid w:val="00987D34"/>
    <w:rsid w:val="00990481"/>
    <w:rsid w:val="00990495"/>
    <w:rsid w:val="00990715"/>
    <w:rsid w:val="00993329"/>
    <w:rsid w:val="00993DD8"/>
    <w:rsid w:val="009949E4"/>
    <w:rsid w:val="00995746"/>
    <w:rsid w:val="009B022F"/>
    <w:rsid w:val="009B3A63"/>
    <w:rsid w:val="009B5C40"/>
    <w:rsid w:val="009B6BF5"/>
    <w:rsid w:val="009C0095"/>
    <w:rsid w:val="009C0313"/>
    <w:rsid w:val="009C2F8B"/>
    <w:rsid w:val="009C301F"/>
    <w:rsid w:val="009C5744"/>
    <w:rsid w:val="009D027D"/>
    <w:rsid w:val="009D0CB6"/>
    <w:rsid w:val="009D29BE"/>
    <w:rsid w:val="009D331E"/>
    <w:rsid w:val="009D3A39"/>
    <w:rsid w:val="009D5468"/>
    <w:rsid w:val="009E1DF1"/>
    <w:rsid w:val="009E518A"/>
    <w:rsid w:val="009E5DD9"/>
    <w:rsid w:val="009E65F7"/>
    <w:rsid w:val="009E72FD"/>
    <w:rsid w:val="009F1CDA"/>
    <w:rsid w:val="009F42FD"/>
    <w:rsid w:val="009F44B3"/>
    <w:rsid w:val="009F4995"/>
    <w:rsid w:val="009F541A"/>
    <w:rsid w:val="009F542B"/>
    <w:rsid w:val="009F7BC4"/>
    <w:rsid w:val="009F7CF2"/>
    <w:rsid w:val="00A01624"/>
    <w:rsid w:val="00A01AA0"/>
    <w:rsid w:val="00A040B3"/>
    <w:rsid w:val="00A05BAB"/>
    <w:rsid w:val="00A072A3"/>
    <w:rsid w:val="00A0764F"/>
    <w:rsid w:val="00A122A7"/>
    <w:rsid w:val="00A12466"/>
    <w:rsid w:val="00A12D4A"/>
    <w:rsid w:val="00A14DD3"/>
    <w:rsid w:val="00A15F24"/>
    <w:rsid w:val="00A1633B"/>
    <w:rsid w:val="00A2202B"/>
    <w:rsid w:val="00A24AFF"/>
    <w:rsid w:val="00A25DC8"/>
    <w:rsid w:val="00A26225"/>
    <w:rsid w:val="00A26486"/>
    <w:rsid w:val="00A305C9"/>
    <w:rsid w:val="00A320C3"/>
    <w:rsid w:val="00A322A9"/>
    <w:rsid w:val="00A333B7"/>
    <w:rsid w:val="00A344A7"/>
    <w:rsid w:val="00A36A22"/>
    <w:rsid w:val="00A41758"/>
    <w:rsid w:val="00A41E39"/>
    <w:rsid w:val="00A41EEC"/>
    <w:rsid w:val="00A42994"/>
    <w:rsid w:val="00A4336F"/>
    <w:rsid w:val="00A43C64"/>
    <w:rsid w:val="00A44EA4"/>
    <w:rsid w:val="00A45344"/>
    <w:rsid w:val="00A46A4A"/>
    <w:rsid w:val="00A473E2"/>
    <w:rsid w:val="00A553FA"/>
    <w:rsid w:val="00A574DA"/>
    <w:rsid w:val="00A576F2"/>
    <w:rsid w:val="00A57D90"/>
    <w:rsid w:val="00A64481"/>
    <w:rsid w:val="00A6556C"/>
    <w:rsid w:val="00A66DD8"/>
    <w:rsid w:val="00A67FD1"/>
    <w:rsid w:val="00A7160F"/>
    <w:rsid w:val="00A72924"/>
    <w:rsid w:val="00A759F7"/>
    <w:rsid w:val="00A81824"/>
    <w:rsid w:val="00A84312"/>
    <w:rsid w:val="00A8458B"/>
    <w:rsid w:val="00A849BD"/>
    <w:rsid w:val="00A853B5"/>
    <w:rsid w:val="00A917F5"/>
    <w:rsid w:val="00A925F3"/>
    <w:rsid w:val="00A9329E"/>
    <w:rsid w:val="00A93960"/>
    <w:rsid w:val="00A939D8"/>
    <w:rsid w:val="00A94E24"/>
    <w:rsid w:val="00A96020"/>
    <w:rsid w:val="00A976ED"/>
    <w:rsid w:val="00AA098B"/>
    <w:rsid w:val="00AA1BF8"/>
    <w:rsid w:val="00AA4AF6"/>
    <w:rsid w:val="00AA4D7B"/>
    <w:rsid w:val="00AA64DB"/>
    <w:rsid w:val="00AA7411"/>
    <w:rsid w:val="00AB0C83"/>
    <w:rsid w:val="00AB282D"/>
    <w:rsid w:val="00AB2F5E"/>
    <w:rsid w:val="00AB38B1"/>
    <w:rsid w:val="00AB6072"/>
    <w:rsid w:val="00AC254E"/>
    <w:rsid w:val="00AC5777"/>
    <w:rsid w:val="00AC5926"/>
    <w:rsid w:val="00AD17AE"/>
    <w:rsid w:val="00AD2D2C"/>
    <w:rsid w:val="00AD32FC"/>
    <w:rsid w:val="00AD36B1"/>
    <w:rsid w:val="00AD64AD"/>
    <w:rsid w:val="00AD6AC5"/>
    <w:rsid w:val="00AD7454"/>
    <w:rsid w:val="00AD79DE"/>
    <w:rsid w:val="00AE1F6D"/>
    <w:rsid w:val="00AE2F38"/>
    <w:rsid w:val="00AE30D6"/>
    <w:rsid w:val="00AE5425"/>
    <w:rsid w:val="00AE6304"/>
    <w:rsid w:val="00AE699B"/>
    <w:rsid w:val="00AF369B"/>
    <w:rsid w:val="00AF46F4"/>
    <w:rsid w:val="00AF7797"/>
    <w:rsid w:val="00B05698"/>
    <w:rsid w:val="00B06FA8"/>
    <w:rsid w:val="00B07C97"/>
    <w:rsid w:val="00B117E9"/>
    <w:rsid w:val="00B1368E"/>
    <w:rsid w:val="00B16CB7"/>
    <w:rsid w:val="00B17A0A"/>
    <w:rsid w:val="00B23C1B"/>
    <w:rsid w:val="00B23F76"/>
    <w:rsid w:val="00B26496"/>
    <w:rsid w:val="00B275EF"/>
    <w:rsid w:val="00B3186B"/>
    <w:rsid w:val="00B34964"/>
    <w:rsid w:val="00B34AC2"/>
    <w:rsid w:val="00B35569"/>
    <w:rsid w:val="00B4231F"/>
    <w:rsid w:val="00B45738"/>
    <w:rsid w:val="00B4681F"/>
    <w:rsid w:val="00B46F79"/>
    <w:rsid w:val="00B50D35"/>
    <w:rsid w:val="00B521E5"/>
    <w:rsid w:val="00B5235F"/>
    <w:rsid w:val="00B52D07"/>
    <w:rsid w:val="00B5444B"/>
    <w:rsid w:val="00B55EB9"/>
    <w:rsid w:val="00B60FC9"/>
    <w:rsid w:val="00B6250C"/>
    <w:rsid w:val="00B62ED5"/>
    <w:rsid w:val="00B63A83"/>
    <w:rsid w:val="00B63DF6"/>
    <w:rsid w:val="00B64AD5"/>
    <w:rsid w:val="00B659FE"/>
    <w:rsid w:val="00B7345F"/>
    <w:rsid w:val="00B73FA4"/>
    <w:rsid w:val="00B76F58"/>
    <w:rsid w:val="00B810BD"/>
    <w:rsid w:val="00B81DE6"/>
    <w:rsid w:val="00B82ECD"/>
    <w:rsid w:val="00B9017C"/>
    <w:rsid w:val="00B9144D"/>
    <w:rsid w:val="00B95801"/>
    <w:rsid w:val="00BA1F21"/>
    <w:rsid w:val="00BA6F25"/>
    <w:rsid w:val="00BB347E"/>
    <w:rsid w:val="00BB4AEE"/>
    <w:rsid w:val="00BB5302"/>
    <w:rsid w:val="00BC0D41"/>
    <w:rsid w:val="00BC2D70"/>
    <w:rsid w:val="00BC3EA7"/>
    <w:rsid w:val="00BC4B9D"/>
    <w:rsid w:val="00BD1704"/>
    <w:rsid w:val="00BD1738"/>
    <w:rsid w:val="00BD654B"/>
    <w:rsid w:val="00BE06EC"/>
    <w:rsid w:val="00BE2B98"/>
    <w:rsid w:val="00BE4178"/>
    <w:rsid w:val="00BE545C"/>
    <w:rsid w:val="00BE6AA2"/>
    <w:rsid w:val="00BE7654"/>
    <w:rsid w:val="00BF0C48"/>
    <w:rsid w:val="00BF743B"/>
    <w:rsid w:val="00C057EE"/>
    <w:rsid w:val="00C05F6C"/>
    <w:rsid w:val="00C07255"/>
    <w:rsid w:val="00C0773C"/>
    <w:rsid w:val="00C108F5"/>
    <w:rsid w:val="00C1388A"/>
    <w:rsid w:val="00C15FE2"/>
    <w:rsid w:val="00C208B0"/>
    <w:rsid w:val="00C21A46"/>
    <w:rsid w:val="00C22F59"/>
    <w:rsid w:val="00C23CF8"/>
    <w:rsid w:val="00C2476E"/>
    <w:rsid w:val="00C25C88"/>
    <w:rsid w:val="00C316C0"/>
    <w:rsid w:val="00C34858"/>
    <w:rsid w:val="00C43B11"/>
    <w:rsid w:val="00C44E21"/>
    <w:rsid w:val="00C47711"/>
    <w:rsid w:val="00C50412"/>
    <w:rsid w:val="00C525EF"/>
    <w:rsid w:val="00C54A90"/>
    <w:rsid w:val="00C555F6"/>
    <w:rsid w:val="00C577D1"/>
    <w:rsid w:val="00C613F2"/>
    <w:rsid w:val="00C6246C"/>
    <w:rsid w:val="00C62CBA"/>
    <w:rsid w:val="00C64CA1"/>
    <w:rsid w:val="00C66AAE"/>
    <w:rsid w:val="00C67F37"/>
    <w:rsid w:val="00C76EED"/>
    <w:rsid w:val="00C77E16"/>
    <w:rsid w:val="00C822EF"/>
    <w:rsid w:val="00C834E6"/>
    <w:rsid w:val="00C86910"/>
    <w:rsid w:val="00C902E9"/>
    <w:rsid w:val="00C93F75"/>
    <w:rsid w:val="00C97A29"/>
    <w:rsid w:val="00CA2362"/>
    <w:rsid w:val="00CA3409"/>
    <w:rsid w:val="00CA35A9"/>
    <w:rsid w:val="00CA4728"/>
    <w:rsid w:val="00CA4FC4"/>
    <w:rsid w:val="00CA5810"/>
    <w:rsid w:val="00CA59F6"/>
    <w:rsid w:val="00CA5FE2"/>
    <w:rsid w:val="00CA6109"/>
    <w:rsid w:val="00CB5DC3"/>
    <w:rsid w:val="00CC24A2"/>
    <w:rsid w:val="00CC295B"/>
    <w:rsid w:val="00CC315D"/>
    <w:rsid w:val="00CC3513"/>
    <w:rsid w:val="00CC4677"/>
    <w:rsid w:val="00CC7A98"/>
    <w:rsid w:val="00CD1125"/>
    <w:rsid w:val="00CD3507"/>
    <w:rsid w:val="00CD3CE1"/>
    <w:rsid w:val="00CD4E51"/>
    <w:rsid w:val="00CD5DA8"/>
    <w:rsid w:val="00CD6A0A"/>
    <w:rsid w:val="00CE1FEC"/>
    <w:rsid w:val="00CE2071"/>
    <w:rsid w:val="00CE54F5"/>
    <w:rsid w:val="00CE61D3"/>
    <w:rsid w:val="00CE620C"/>
    <w:rsid w:val="00CE660E"/>
    <w:rsid w:val="00CE74F7"/>
    <w:rsid w:val="00CF082A"/>
    <w:rsid w:val="00CF0B3D"/>
    <w:rsid w:val="00CF205C"/>
    <w:rsid w:val="00CF260B"/>
    <w:rsid w:val="00CF51A0"/>
    <w:rsid w:val="00CF6BA1"/>
    <w:rsid w:val="00CF6FEB"/>
    <w:rsid w:val="00D00652"/>
    <w:rsid w:val="00D022AF"/>
    <w:rsid w:val="00D02ED4"/>
    <w:rsid w:val="00D07FDB"/>
    <w:rsid w:val="00D1156B"/>
    <w:rsid w:val="00D13ADB"/>
    <w:rsid w:val="00D20134"/>
    <w:rsid w:val="00D26E14"/>
    <w:rsid w:val="00D27AD3"/>
    <w:rsid w:val="00D30CED"/>
    <w:rsid w:val="00D32EBB"/>
    <w:rsid w:val="00D345FF"/>
    <w:rsid w:val="00D352D5"/>
    <w:rsid w:val="00D353E3"/>
    <w:rsid w:val="00D365EA"/>
    <w:rsid w:val="00D4085D"/>
    <w:rsid w:val="00D40A45"/>
    <w:rsid w:val="00D40ED4"/>
    <w:rsid w:val="00D41D8F"/>
    <w:rsid w:val="00D45C5B"/>
    <w:rsid w:val="00D45E66"/>
    <w:rsid w:val="00D519CE"/>
    <w:rsid w:val="00D55534"/>
    <w:rsid w:val="00D56050"/>
    <w:rsid w:val="00D5668E"/>
    <w:rsid w:val="00D61864"/>
    <w:rsid w:val="00D70190"/>
    <w:rsid w:val="00D7079C"/>
    <w:rsid w:val="00D72302"/>
    <w:rsid w:val="00D73535"/>
    <w:rsid w:val="00D7390D"/>
    <w:rsid w:val="00D75530"/>
    <w:rsid w:val="00D77D25"/>
    <w:rsid w:val="00D8068B"/>
    <w:rsid w:val="00D8148B"/>
    <w:rsid w:val="00D87270"/>
    <w:rsid w:val="00D908EB"/>
    <w:rsid w:val="00D9448E"/>
    <w:rsid w:val="00D962C5"/>
    <w:rsid w:val="00DA0FA2"/>
    <w:rsid w:val="00DA10C7"/>
    <w:rsid w:val="00DA69A5"/>
    <w:rsid w:val="00DA7023"/>
    <w:rsid w:val="00DB0719"/>
    <w:rsid w:val="00DB0E1B"/>
    <w:rsid w:val="00DB1892"/>
    <w:rsid w:val="00DB3A9F"/>
    <w:rsid w:val="00DB4DBD"/>
    <w:rsid w:val="00DB7944"/>
    <w:rsid w:val="00DC336C"/>
    <w:rsid w:val="00DC4D2A"/>
    <w:rsid w:val="00DC6EE4"/>
    <w:rsid w:val="00DD25E8"/>
    <w:rsid w:val="00DD4A29"/>
    <w:rsid w:val="00DD4E70"/>
    <w:rsid w:val="00DE75CE"/>
    <w:rsid w:val="00DF134A"/>
    <w:rsid w:val="00DF4787"/>
    <w:rsid w:val="00DF4970"/>
    <w:rsid w:val="00E01DEC"/>
    <w:rsid w:val="00E02D2A"/>
    <w:rsid w:val="00E03263"/>
    <w:rsid w:val="00E0684B"/>
    <w:rsid w:val="00E07245"/>
    <w:rsid w:val="00E11832"/>
    <w:rsid w:val="00E12E79"/>
    <w:rsid w:val="00E13F71"/>
    <w:rsid w:val="00E14B23"/>
    <w:rsid w:val="00E2067F"/>
    <w:rsid w:val="00E23F39"/>
    <w:rsid w:val="00E245C0"/>
    <w:rsid w:val="00E25D75"/>
    <w:rsid w:val="00E27228"/>
    <w:rsid w:val="00E31AAF"/>
    <w:rsid w:val="00E33356"/>
    <w:rsid w:val="00E339A6"/>
    <w:rsid w:val="00E35326"/>
    <w:rsid w:val="00E40199"/>
    <w:rsid w:val="00E41E8F"/>
    <w:rsid w:val="00E422E6"/>
    <w:rsid w:val="00E42C5C"/>
    <w:rsid w:val="00E43455"/>
    <w:rsid w:val="00E43D7F"/>
    <w:rsid w:val="00E44D8D"/>
    <w:rsid w:val="00E458C3"/>
    <w:rsid w:val="00E4709B"/>
    <w:rsid w:val="00E54AAF"/>
    <w:rsid w:val="00E57657"/>
    <w:rsid w:val="00E60A65"/>
    <w:rsid w:val="00E6753F"/>
    <w:rsid w:val="00E67934"/>
    <w:rsid w:val="00E715F9"/>
    <w:rsid w:val="00E71BED"/>
    <w:rsid w:val="00E72735"/>
    <w:rsid w:val="00E729D0"/>
    <w:rsid w:val="00E76341"/>
    <w:rsid w:val="00E77B0F"/>
    <w:rsid w:val="00E80186"/>
    <w:rsid w:val="00E806B2"/>
    <w:rsid w:val="00E815EC"/>
    <w:rsid w:val="00E81765"/>
    <w:rsid w:val="00E84027"/>
    <w:rsid w:val="00E85743"/>
    <w:rsid w:val="00E86147"/>
    <w:rsid w:val="00E87B7A"/>
    <w:rsid w:val="00E913C9"/>
    <w:rsid w:val="00E97F5F"/>
    <w:rsid w:val="00EA090C"/>
    <w:rsid w:val="00EA22FD"/>
    <w:rsid w:val="00EA3160"/>
    <w:rsid w:val="00EA3B51"/>
    <w:rsid w:val="00EA59AC"/>
    <w:rsid w:val="00EA7826"/>
    <w:rsid w:val="00EB02A8"/>
    <w:rsid w:val="00EB0E89"/>
    <w:rsid w:val="00EB3DC0"/>
    <w:rsid w:val="00EB4947"/>
    <w:rsid w:val="00EC1031"/>
    <w:rsid w:val="00EC5C00"/>
    <w:rsid w:val="00EC694D"/>
    <w:rsid w:val="00EC6DE3"/>
    <w:rsid w:val="00ED16FA"/>
    <w:rsid w:val="00ED1C7E"/>
    <w:rsid w:val="00ED2548"/>
    <w:rsid w:val="00ED426E"/>
    <w:rsid w:val="00ED4302"/>
    <w:rsid w:val="00ED467A"/>
    <w:rsid w:val="00ED4B50"/>
    <w:rsid w:val="00ED6C9F"/>
    <w:rsid w:val="00ED70A9"/>
    <w:rsid w:val="00ED7199"/>
    <w:rsid w:val="00ED7E14"/>
    <w:rsid w:val="00EE01BC"/>
    <w:rsid w:val="00EE1F9B"/>
    <w:rsid w:val="00EE44E7"/>
    <w:rsid w:val="00EE563A"/>
    <w:rsid w:val="00EE6B37"/>
    <w:rsid w:val="00EF1251"/>
    <w:rsid w:val="00EF14E1"/>
    <w:rsid w:val="00EF4D25"/>
    <w:rsid w:val="00EF7140"/>
    <w:rsid w:val="00EF75E2"/>
    <w:rsid w:val="00F00B6C"/>
    <w:rsid w:val="00F01CE5"/>
    <w:rsid w:val="00F0635D"/>
    <w:rsid w:val="00F0791A"/>
    <w:rsid w:val="00F10573"/>
    <w:rsid w:val="00F11C5D"/>
    <w:rsid w:val="00F12AC6"/>
    <w:rsid w:val="00F150DD"/>
    <w:rsid w:val="00F17789"/>
    <w:rsid w:val="00F2086C"/>
    <w:rsid w:val="00F20C1E"/>
    <w:rsid w:val="00F22733"/>
    <w:rsid w:val="00F238DD"/>
    <w:rsid w:val="00F33C8B"/>
    <w:rsid w:val="00F33E86"/>
    <w:rsid w:val="00F40660"/>
    <w:rsid w:val="00F438E4"/>
    <w:rsid w:val="00F45192"/>
    <w:rsid w:val="00F4550D"/>
    <w:rsid w:val="00F5304E"/>
    <w:rsid w:val="00F530ED"/>
    <w:rsid w:val="00F551BD"/>
    <w:rsid w:val="00F5534C"/>
    <w:rsid w:val="00F601A4"/>
    <w:rsid w:val="00F61BB0"/>
    <w:rsid w:val="00F63E67"/>
    <w:rsid w:val="00F64D15"/>
    <w:rsid w:val="00F703ED"/>
    <w:rsid w:val="00F73C61"/>
    <w:rsid w:val="00F75513"/>
    <w:rsid w:val="00F81068"/>
    <w:rsid w:val="00F833EE"/>
    <w:rsid w:val="00F84219"/>
    <w:rsid w:val="00F85247"/>
    <w:rsid w:val="00F869B9"/>
    <w:rsid w:val="00F925BB"/>
    <w:rsid w:val="00F959C3"/>
    <w:rsid w:val="00F9600D"/>
    <w:rsid w:val="00F97C5D"/>
    <w:rsid w:val="00F97E67"/>
    <w:rsid w:val="00FA043B"/>
    <w:rsid w:val="00FA5C58"/>
    <w:rsid w:val="00FA7F3A"/>
    <w:rsid w:val="00FB1B1A"/>
    <w:rsid w:val="00FB2973"/>
    <w:rsid w:val="00FB3E70"/>
    <w:rsid w:val="00FB44DA"/>
    <w:rsid w:val="00FB5497"/>
    <w:rsid w:val="00FB614A"/>
    <w:rsid w:val="00FB618B"/>
    <w:rsid w:val="00FB796C"/>
    <w:rsid w:val="00FC0B13"/>
    <w:rsid w:val="00FC1709"/>
    <w:rsid w:val="00FC1DB4"/>
    <w:rsid w:val="00FD3323"/>
    <w:rsid w:val="00FD3DF5"/>
    <w:rsid w:val="00FD7D34"/>
    <w:rsid w:val="00FE03FA"/>
    <w:rsid w:val="00FE3E7A"/>
    <w:rsid w:val="00FE5144"/>
    <w:rsid w:val="00FE652F"/>
    <w:rsid w:val="00FE6F98"/>
    <w:rsid w:val="00FE7BEE"/>
    <w:rsid w:val="00FF04CF"/>
    <w:rsid w:val="00FF14AE"/>
    <w:rsid w:val="00FF268E"/>
    <w:rsid w:val="00FF5D76"/>
    <w:rsid w:val="00FF6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EC4AD"/>
  <w15:docId w15:val="{19099A31-5526-9948-9BC4-0D2892A8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659"/>
    <w:pPr>
      <w:spacing w:after="200" w:line="276" w:lineRule="auto"/>
    </w:pPr>
    <w:rPr>
      <w:rFonts w:ascii="Times New Roman" w:hAnsi="Times New Roman"/>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b/>
      <w:bCs/>
      <w:kern w:val="36"/>
      <w:sz w:val="48"/>
      <w:szCs w:val="48"/>
      <w:lang w:val="en-US"/>
    </w:rPr>
  </w:style>
  <w:style w:type="paragraph" w:styleId="Heading2">
    <w:name w:val="heading 2"/>
    <w:basedOn w:val="Normal"/>
    <w:next w:val="Normal"/>
    <w:link w:val="Heading2Char"/>
    <w:autoRedefine/>
    <w:unhideWhenUsed/>
    <w:qFormat/>
    <w:rsid w:val="00425667"/>
    <w:pPr>
      <w:keepNext/>
      <w:keepLines/>
      <w:numPr>
        <w:numId w:val="3"/>
      </w:numPr>
      <w:spacing w:before="60" w:after="120" w:line="360" w:lineRule="auto"/>
      <w:outlineLvl w:val="1"/>
    </w:pPr>
    <w:rPr>
      <w:rFonts w:asciiTheme="majorHAnsi" w:eastAsiaTheme="majorEastAsia" w:hAnsiTheme="majorHAnsi" w:cstheme="majorHAnsi"/>
      <w:b/>
      <w:bCs/>
      <w:color w:val="17365D" w:themeColor="text2" w:themeShade="BF"/>
      <w:sz w:val="24"/>
      <w:szCs w:val="24"/>
      <w:lang w:val="en-GB"/>
    </w:rPr>
  </w:style>
  <w:style w:type="paragraph" w:styleId="Heading3">
    <w:name w:val="heading 3"/>
    <w:basedOn w:val="SingleTxtG"/>
    <w:next w:val="Normal"/>
    <w:link w:val="Heading3Char"/>
    <w:autoRedefine/>
    <w:uiPriority w:val="9"/>
    <w:qFormat/>
    <w:rsid w:val="005637F8"/>
    <w:pPr>
      <w:numPr>
        <w:numId w:val="1"/>
      </w:numPr>
      <w:tabs>
        <w:tab w:val="right" w:pos="360"/>
      </w:tabs>
      <w:spacing w:before="60" w:line="360" w:lineRule="auto"/>
      <w:ind w:right="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link w:val="SingleTxtGChar"/>
    <w:uiPriority w:val="99"/>
    <w:rsid w:val="00C62CBA"/>
    <w:pPr>
      <w:suppressAutoHyphens/>
      <w:spacing w:after="120" w:line="240" w:lineRule="atLeast"/>
      <w:ind w:left="1134" w:right="1134"/>
      <w:jc w:val="both"/>
    </w:pPr>
    <w:rPr>
      <w:rFonts w:eastAsia="Times New Roman"/>
      <w:sz w:val="20"/>
      <w:szCs w:val="20"/>
      <w:lang w:val="en-GB"/>
    </w:rPr>
  </w:style>
  <w:style w:type="paragraph" w:styleId="NormalWeb">
    <w:name w:val="Normal (Web)"/>
    <w:basedOn w:val="Normal"/>
    <w:uiPriority w:val="99"/>
    <w:rsid w:val="00C62CBA"/>
    <w:pPr>
      <w:spacing w:before="100" w:beforeAutospacing="1" w:after="100" w:afterAutospacing="1" w:line="240" w:lineRule="auto"/>
    </w:pPr>
    <w:rPr>
      <w:rFonts w:eastAsia="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Char,Fußnotentextf,Geneva"/>
    <w:basedOn w:val="Normal"/>
    <w:link w:val="FootnoteTextChar1"/>
    <w:uiPriority w:val="99"/>
    <w:rsid w:val="00C62CBA"/>
    <w:pPr>
      <w:spacing w:after="0" w:line="240" w:lineRule="auto"/>
    </w:pPr>
    <w:rPr>
      <w:rFonts w:eastAsia="Times New Roman"/>
      <w:sz w:val="20"/>
      <w:szCs w:val="20"/>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Ref"/>
    <w:link w:val="4GChar"/>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sz w:val="28"/>
      <w:szCs w:val="28"/>
      <w:lang w:val="en-US"/>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rsid w:val="00C62CBA"/>
    <w:rPr>
      <w:rFonts w:cs="Times New Roman"/>
      <w:sz w:val="16"/>
      <w:szCs w:val="16"/>
    </w:rPr>
  </w:style>
  <w:style w:type="paragraph" w:styleId="CommentText">
    <w:name w:val="annotation text"/>
    <w:basedOn w:val="Normal"/>
    <w:link w:val="CommentTextChar"/>
    <w:rsid w:val="00C62CBA"/>
    <w:pPr>
      <w:spacing w:line="240" w:lineRule="auto"/>
    </w:pPr>
    <w:rPr>
      <w:rFonts w:eastAsia="Times New Roman"/>
      <w:sz w:val="20"/>
      <w:szCs w:val="20"/>
    </w:rPr>
  </w:style>
  <w:style w:type="character" w:customStyle="1" w:styleId="CommentTextChar">
    <w:name w:val="Comment Text Char"/>
    <w:link w:val="CommentText"/>
    <w:locked/>
    <w:rsid w:val="00C62CBA"/>
    <w:rPr>
      <w:rFonts w:ascii="Calibri" w:eastAsia="Times New Roman" w:hAnsi="Calibri" w:cs="Times New Roman"/>
      <w:sz w:val="20"/>
      <w:szCs w:val="20"/>
    </w:rPr>
  </w:style>
  <w:style w:type="character" w:styleId="Strong">
    <w:name w:val="Strong"/>
    <w:uiPriority w:val="22"/>
    <w:qFormat/>
    <w:rsid w:val="00C62CBA"/>
    <w:rPr>
      <w:rFonts w:cs="Times New Roman"/>
      <w:b/>
      <w:bCs/>
    </w:rPr>
  </w:style>
  <w:style w:type="character" w:styleId="Emphasis">
    <w:name w:val="Emphasis"/>
    <w:uiPriority w:val="20"/>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eastAsia="Times New Roman"/>
      <w:b/>
      <w:sz w:val="20"/>
      <w:szCs w:val="20"/>
      <w:lang w:val="en-GB"/>
    </w:rPr>
  </w:style>
  <w:style w:type="table" w:styleId="TableGrid">
    <w:name w:val="Table Grid"/>
    <w:basedOn w:val="TableNormal"/>
    <w:uiPriority w:val="39"/>
    <w:rsid w:val="000A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037D34"/>
    <w:pPr>
      <w:spacing w:after="120"/>
    </w:pPr>
    <w:rPr>
      <w:rFonts w:eastAsia="Times New Roman"/>
      <w:sz w:val="20"/>
      <w:szCs w:val="20"/>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sz w:val="20"/>
      <w:szCs w:val="20"/>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sz w:val="20"/>
      <w:szCs w:val="20"/>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eastAsia="Lucida Sans Unicode"/>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5637F8"/>
    <w:rPr>
      <w:rFonts w:ascii="Times New Roman" w:eastAsia="Times New Roman" w:hAnsi="Times New Roman"/>
      <w:b/>
      <w:sz w:val="24"/>
      <w:szCs w:val="24"/>
      <w:lang w:val="en-GB"/>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link w:val="FootnoteReference"/>
    <w:rsid w:val="00032EBF"/>
    <w:pPr>
      <w:spacing w:after="160" w:line="240" w:lineRule="exact"/>
    </w:pPr>
    <w:rPr>
      <w:sz w:val="20"/>
      <w:szCs w:val="20"/>
      <w:vertAlign w:val="superscript"/>
      <w:lang w:val="en-ID"/>
    </w:rPr>
  </w:style>
  <w:style w:type="paragraph" w:styleId="ListParagraph">
    <w:name w:val="List Paragraph"/>
    <w:aliases w:val="bullet 1,bullet,List Paragraph1,List Paragraph11,List Paragraph12,List Paragraph2,Thang2,VNA - List Paragraph,1.,Table Sequence"/>
    <w:basedOn w:val="Normal"/>
    <w:link w:val="ListParagraphChar"/>
    <w:qFormat/>
    <w:rsid w:val="003906F8"/>
    <w:pPr>
      <w:ind w:left="720"/>
      <w:contextualSpacing/>
    </w:pPr>
  </w:style>
  <w:style w:type="paragraph" w:customStyle="1" w:styleId="Default">
    <w:name w:val="Default"/>
    <w:rsid w:val="00C54A90"/>
    <w:pPr>
      <w:autoSpaceDE w:val="0"/>
      <w:autoSpaceDN w:val="0"/>
      <w:adjustRightInd w:val="0"/>
    </w:pPr>
    <w:rPr>
      <w:rFonts w:ascii="Garamond Premr Pro Capt" w:eastAsiaTheme="minorHAnsi" w:hAnsi="Garamond Premr Pro Capt" w:cs="Garamond Premr Pro Capt"/>
      <w:color w:val="000000"/>
      <w:sz w:val="24"/>
      <w:szCs w:val="24"/>
      <w:lang w:val="en-US"/>
    </w:rPr>
  </w:style>
  <w:style w:type="character" w:customStyle="1" w:styleId="Heading2Char">
    <w:name w:val="Heading 2 Char"/>
    <w:basedOn w:val="DefaultParagraphFont"/>
    <w:link w:val="Heading2"/>
    <w:rsid w:val="00425667"/>
    <w:rPr>
      <w:rFonts w:asciiTheme="majorHAnsi" w:eastAsiaTheme="majorEastAsia" w:hAnsiTheme="majorHAnsi" w:cstheme="majorHAnsi"/>
      <w:b/>
      <w:bCs/>
      <w:color w:val="17365D" w:themeColor="text2" w:themeShade="BF"/>
      <w:sz w:val="24"/>
      <w:szCs w:val="24"/>
      <w:lang w:val="en-GB"/>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link w:val="ListParagraph"/>
    <w:uiPriority w:val="34"/>
    <w:locked/>
    <w:rsid w:val="00E13F71"/>
    <w:rPr>
      <w:sz w:val="22"/>
      <w:szCs w:val="22"/>
      <w:lang w:val="id-ID"/>
    </w:rPr>
  </w:style>
  <w:style w:type="paragraph" w:styleId="EndnoteText">
    <w:name w:val="endnote text"/>
    <w:basedOn w:val="Normal"/>
    <w:link w:val="EndnoteTextChar"/>
    <w:uiPriority w:val="99"/>
    <w:unhideWhenUsed/>
    <w:rsid w:val="00567D7C"/>
    <w:pPr>
      <w:spacing w:after="0" w:line="240" w:lineRule="auto"/>
    </w:pPr>
    <w:rPr>
      <w:rFonts w:eastAsiaTheme="minorHAnsi"/>
      <w:sz w:val="24"/>
      <w:szCs w:val="24"/>
      <w:lang w:val="en-GB" w:eastAsia="en-GB"/>
    </w:rPr>
  </w:style>
  <w:style w:type="character" w:customStyle="1" w:styleId="EndnoteTextChar">
    <w:name w:val="Endnote Text Char"/>
    <w:basedOn w:val="DefaultParagraphFont"/>
    <w:link w:val="EndnoteText"/>
    <w:uiPriority w:val="99"/>
    <w:rsid w:val="00567D7C"/>
    <w:rPr>
      <w:rFonts w:eastAsiaTheme="minorHAnsi"/>
      <w:sz w:val="24"/>
      <w:szCs w:val="24"/>
      <w:lang w:val="en-GB" w:eastAsia="en-GB"/>
    </w:rPr>
  </w:style>
  <w:style w:type="character" w:styleId="EndnoteReference">
    <w:name w:val="endnote reference"/>
    <w:basedOn w:val="DefaultParagraphFont"/>
    <w:uiPriority w:val="99"/>
    <w:unhideWhenUsed/>
    <w:rsid w:val="00567D7C"/>
    <w:rPr>
      <w:vertAlign w:val="superscript"/>
    </w:rPr>
  </w:style>
  <w:style w:type="paragraph" w:styleId="TOCHeading">
    <w:name w:val="TOC Heading"/>
    <w:basedOn w:val="Heading1"/>
    <w:next w:val="Normal"/>
    <w:uiPriority w:val="39"/>
    <w:semiHidden/>
    <w:unhideWhenUsed/>
    <w:qFormat/>
    <w:rsid w:val="00CA581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CA5810"/>
    <w:pPr>
      <w:spacing w:after="100"/>
    </w:pPr>
  </w:style>
  <w:style w:type="paragraph" w:styleId="TOC2">
    <w:name w:val="toc 2"/>
    <w:basedOn w:val="Normal"/>
    <w:next w:val="Normal"/>
    <w:autoRedefine/>
    <w:uiPriority w:val="39"/>
    <w:rsid w:val="00CA5810"/>
    <w:pPr>
      <w:spacing w:after="100"/>
      <w:ind w:left="220"/>
    </w:pPr>
  </w:style>
  <w:style w:type="paragraph" w:styleId="TOC3">
    <w:name w:val="toc 3"/>
    <w:basedOn w:val="Normal"/>
    <w:next w:val="Normal"/>
    <w:autoRedefine/>
    <w:uiPriority w:val="39"/>
    <w:rsid w:val="00CA5810"/>
    <w:pPr>
      <w:spacing w:after="100"/>
      <w:ind w:left="440"/>
    </w:pPr>
  </w:style>
  <w:style w:type="character" w:customStyle="1" w:styleId="SingleTxtGChar">
    <w:name w:val="_ Single Txt_G Char"/>
    <w:link w:val="SingleTxtG"/>
    <w:uiPriority w:val="99"/>
    <w:locked/>
    <w:rsid w:val="00576074"/>
    <w:rPr>
      <w:rFonts w:ascii="Times New Roman" w:eastAsia="Times New Roman" w:hAnsi="Times New Roman"/>
      <w:lang w:val="en-GB"/>
    </w:rPr>
  </w:style>
  <w:style w:type="character" w:customStyle="1" w:styleId="fontstyle01">
    <w:name w:val="fontstyle01"/>
    <w:basedOn w:val="DefaultParagraphFont"/>
    <w:rsid w:val="006A376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6A3760"/>
    <w:rPr>
      <w:rFonts w:ascii="Times New Roman" w:hAnsi="Times New Roman" w:cs="Times New Roman" w:hint="default"/>
      <w:b w:val="0"/>
      <w:bCs w:val="0"/>
      <w:i w:val="0"/>
      <w:iCs w:val="0"/>
      <w:color w:val="000000"/>
      <w:sz w:val="28"/>
      <w:szCs w:val="28"/>
    </w:rPr>
  </w:style>
  <w:style w:type="character" w:customStyle="1" w:styleId="demuc4">
    <w:name w:val="demuc4"/>
    <w:basedOn w:val="DefaultParagraphFont"/>
    <w:rsid w:val="009836A3"/>
  </w:style>
  <w:style w:type="paragraph" w:customStyle="1" w:styleId="n-dieund">
    <w:name w:val="n-dieund"/>
    <w:basedOn w:val="Normal"/>
    <w:rsid w:val="009836A3"/>
    <w:pPr>
      <w:spacing w:before="100" w:beforeAutospacing="1" w:after="100" w:afterAutospacing="1" w:line="240" w:lineRule="auto"/>
    </w:pPr>
    <w:rPr>
      <w:rFonts w:eastAsia="Times New Roman"/>
      <w:sz w:val="24"/>
      <w:szCs w:val="24"/>
      <w:lang w:val="en-US"/>
    </w:rPr>
  </w:style>
  <w:style w:type="paragraph" w:customStyle="1" w:styleId="ftrefCharChar">
    <w:name w:val="ftref Char Char"/>
    <w:aliases w:val="Heading 2 Char1 Char Char Char,Heading 2 Char2 Char Char Char Char,Heading 2 Char Char Char Char Char1 Char,Heading 2 Char1 Char Char Char Char Char1 Char"/>
    <w:basedOn w:val="Normal"/>
    <w:rsid w:val="004D2EF3"/>
    <w:pPr>
      <w:spacing w:after="160" w:line="240" w:lineRule="exact"/>
    </w:pPr>
    <w:rPr>
      <w:rFonts w:eastAsiaTheme="minorHAnsi" w:cstheme="minorBidi"/>
      <w:sz w:val="18"/>
      <w:vertAlign w:val="superscript"/>
      <w:lang w:val="en-US"/>
    </w:rPr>
  </w:style>
  <w:style w:type="paragraph" w:styleId="Revision">
    <w:name w:val="Revision"/>
    <w:hidden/>
    <w:semiHidden/>
    <w:rsid w:val="00C05F6C"/>
    <w:rPr>
      <w:sz w:val="22"/>
      <w:szCs w:val="22"/>
      <w:lang w:val="id-ID"/>
    </w:rPr>
  </w:style>
  <w:style w:type="character" w:styleId="UnresolvedMention">
    <w:name w:val="Unresolved Mention"/>
    <w:basedOn w:val="DefaultParagraphFont"/>
    <w:uiPriority w:val="99"/>
    <w:semiHidden/>
    <w:unhideWhenUsed/>
    <w:rsid w:val="009F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4184">
      <w:bodyDiv w:val="1"/>
      <w:marLeft w:val="0"/>
      <w:marRight w:val="0"/>
      <w:marTop w:val="0"/>
      <w:marBottom w:val="0"/>
      <w:divBdr>
        <w:top w:val="none" w:sz="0" w:space="0" w:color="auto"/>
        <w:left w:val="none" w:sz="0" w:space="0" w:color="auto"/>
        <w:bottom w:val="none" w:sz="0" w:space="0" w:color="auto"/>
        <w:right w:val="none" w:sz="0" w:space="0" w:color="auto"/>
      </w:divBdr>
    </w:div>
    <w:div w:id="74787480">
      <w:bodyDiv w:val="1"/>
      <w:marLeft w:val="0"/>
      <w:marRight w:val="0"/>
      <w:marTop w:val="0"/>
      <w:marBottom w:val="0"/>
      <w:divBdr>
        <w:top w:val="none" w:sz="0" w:space="0" w:color="auto"/>
        <w:left w:val="none" w:sz="0" w:space="0" w:color="auto"/>
        <w:bottom w:val="none" w:sz="0" w:space="0" w:color="auto"/>
        <w:right w:val="none" w:sz="0" w:space="0" w:color="auto"/>
      </w:divBdr>
      <w:divsChild>
        <w:div w:id="1765803799">
          <w:marLeft w:val="0"/>
          <w:marRight w:val="0"/>
          <w:marTop w:val="0"/>
          <w:marBottom w:val="0"/>
          <w:divBdr>
            <w:top w:val="none" w:sz="0" w:space="0" w:color="auto"/>
            <w:left w:val="none" w:sz="0" w:space="0" w:color="auto"/>
            <w:bottom w:val="none" w:sz="0" w:space="0" w:color="auto"/>
            <w:right w:val="none" w:sz="0" w:space="0" w:color="auto"/>
          </w:divBdr>
          <w:divsChild>
            <w:div w:id="156117421">
              <w:marLeft w:val="0"/>
              <w:marRight w:val="0"/>
              <w:marTop w:val="0"/>
              <w:marBottom w:val="0"/>
              <w:divBdr>
                <w:top w:val="none" w:sz="0" w:space="0" w:color="auto"/>
                <w:left w:val="none" w:sz="0" w:space="0" w:color="auto"/>
                <w:bottom w:val="none" w:sz="0" w:space="0" w:color="auto"/>
                <w:right w:val="none" w:sz="0" w:space="0" w:color="auto"/>
              </w:divBdr>
              <w:divsChild>
                <w:div w:id="72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657">
      <w:bodyDiv w:val="1"/>
      <w:marLeft w:val="0"/>
      <w:marRight w:val="0"/>
      <w:marTop w:val="0"/>
      <w:marBottom w:val="0"/>
      <w:divBdr>
        <w:top w:val="none" w:sz="0" w:space="0" w:color="auto"/>
        <w:left w:val="none" w:sz="0" w:space="0" w:color="auto"/>
        <w:bottom w:val="none" w:sz="0" w:space="0" w:color="auto"/>
        <w:right w:val="none" w:sz="0" w:space="0" w:color="auto"/>
      </w:divBdr>
      <w:divsChild>
        <w:div w:id="504714443">
          <w:marLeft w:val="0"/>
          <w:marRight w:val="0"/>
          <w:marTop w:val="0"/>
          <w:marBottom w:val="0"/>
          <w:divBdr>
            <w:top w:val="none" w:sz="0" w:space="0" w:color="auto"/>
            <w:left w:val="none" w:sz="0" w:space="0" w:color="auto"/>
            <w:bottom w:val="none" w:sz="0" w:space="0" w:color="auto"/>
            <w:right w:val="none" w:sz="0" w:space="0" w:color="auto"/>
          </w:divBdr>
          <w:divsChild>
            <w:div w:id="1679430164">
              <w:marLeft w:val="0"/>
              <w:marRight w:val="0"/>
              <w:marTop w:val="0"/>
              <w:marBottom w:val="0"/>
              <w:divBdr>
                <w:top w:val="none" w:sz="0" w:space="0" w:color="auto"/>
                <w:left w:val="none" w:sz="0" w:space="0" w:color="auto"/>
                <w:bottom w:val="none" w:sz="0" w:space="0" w:color="auto"/>
                <w:right w:val="none" w:sz="0" w:space="0" w:color="auto"/>
              </w:divBdr>
              <w:divsChild>
                <w:div w:id="18119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4602">
      <w:bodyDiv w:val="1"/>
      <w:marLeft w:val="0"/>
      <w:marRight w:val="0"/>
      <w:marTop w:val="0"/>
      <w:marBottom w:val="0"/>
      <w:divBdr>
        <w:top w:val="none" w:sz="0" w:space="0" w:color="auto"/>
        <w:left w:val="none" w:sz="0" w:space="0" w:color="auto"/>
        <w:bottom w:val="none" w:sz="0" w:space="0" w:color="auto"/>
        <w:right w:val="none" w:sz="0" w:space="0" w:color="auto"/>
      </w:divBdr>
    </w:div>
    <w:div w:id="260067818">
      <w:bodyDiv w:val="1"/>
      <w:marLeft w:val="0"/>
      <w:marRight w:val="0"/>
      <w:marTop w:val="0"/>
      <w:marBottom w:val="0"/>
      <w:divBdr>
        <w:top w:val="none" w:sz="0" w:space="0" w:color="auto"/>
        <w:left w:val="none" w:sz="0" w:space="0" w:color="auto"/>
        <w:bottom w:val="none" w:sz="0" w:space="0" w:color="auto"/>
        <w:right w:val="none" w:sz="0" w:space="0" w:color="auto"/>
      </w:divBdr>
    </w:div>
    <w:div w:id="334772335">
      <w:bodyDiv w:val="1"/>
      <w:marLeft w:val="0"/>
      <w:marRight w:val="0"/>
      <w:marTop w:val="0"/>
      <w:marBottom w:val="0"/>
      <w:divBdr>
        <w:top w:val="none" w:sz="0" w:space="0" w:color="auto"/>
        <w:left w:val="none" w:sz="0" w:space="0" w:color="auto"/>
        <w:bottom w:val="none" w:sz="0" w:space="0" w:color="auto"/>
        <w:right w:val="none" w:sz="0" w:space="0" w:color="auto"/>
      </w:divBdr>
    </w:div>
    <w:div w:id="493180516">
      <w:bodyDiv w:val="1"/>
      <w:marLeft w:val="0"/>
      <w:marRight w:val="0"/>
      <w:marTop w:val="0"/>
      <w:marBottom w:val="0"/>
      <w:divBdr>
        <w:top w:val="none" w:sz="0" w:space="0" w:color="auto"/>
        <w:left w:val="none" w:sz="0" w:space="0" w:color="auto"/>
        <w:bottom w:val="none" w:sz="0" w:space="0" w:color="auto"/>
        <w:right w:val="none" w:sz="0" w:space="0" w:color="auto"/>
      </w:divBdr>
    </w:div>
    <w:div w:id="582952254">
      <w:marLeft w:val="0"/>
      <w:marRight w:val="0"/>
      <w:marTop w:val="0"/>
      <w:marBottom w:val="0"/>
      <w:divBdr>
        <w:top w:val="none" w:sz="0" w:space="0" w:color="auto"/>
        <w:left w:val="none" w:sz="0" w:space="0" w:color="auto"/>
        <w:bottom w:val="none" w:sz="0" w:space="0" w:color="auto"/>
        <w:right w:val="none" w:sz="0" w:space="0" w:color="auto"/>
      </w:divBdr>
    </w:div>
    <w:div w:id="582952255">
      <w:marLeft w:val="0"/>
      <w:marRight w:val="0"/>
      <w:marTop w:val="0"/>
      <w:marBottom w:val="0"/>
      <w:divBdr>
        <w:top w:val="none" w:sz="0" w:space="0" w:color="auto"/>
        <w:left w:val="none" w:sz="0" w:space="0" w:color="auto"/>
        <w:bottom w:val="none" w:sz="0" w:space="0" w:color="auto"/>
        <w:right w:val="none" w:sz="0" w:space="0" w:color="auto"/>
      </w:divBdr>
    </w:div>
    <w:div w:id="582952256">
      <w:marLeft w:val="0"/>
      <w:marRight w:val="0"/>
      <w:marTop w:val="0"/>
      <w:marBottom w:val="0"/>
      <w:divBdr>
        <w:top w:val="none" w:sz="0" w:space="0" w:color="auto"/>
        <w:left w:val="none" w:sz="0" w:space="0" w:color="auto"/>
        <w:bottom w:val="none" w:sz="0" w:space="0" w:color="auto"/>
        <w:right w:val="none" w:sz="0" w:space="0" w:color="auto"/>
      </w:divBdr>
    </w:div>
    <w:div w:id="582952257">
      <w:marLeft w:val="0"/>
      <w:marRight w:val="0"/>
      <w:marTop w:val="0"/>
      <w:marBottom w:val="0"/>
      <w:divBdr>
        <w:top w:val="none" w:sz="0" w:space="0" w:color="auto"/>
        <w:left w:val="none" w:sz="0" w:space="0" w:color="auto"/>
        <w:bottom w:val="none" w:sz="0" w:space="0" w:color="auto"/>
        <w:right w:val="none" w:sz="0" w:space="0" w:color="auto"/>
      </w:divBdr>
    </w:div>
    <w:div w:id="582952258">
      <w:marLeft w:val="0"/>
      <w:marRight w:val="0"/>
      <w:marTop w:val="0"/>
      <w:marBottom w:val="0"/>
      <w:divBdr>
        <w:top w:val="none" w:sz="0" w:space="0" w:color="auto"/>
        <w:left w:val="none" w:sz="0" w:space="0" w:color="auto"/>
        <w:bottom w:val="none" w:sz="0" w:space="0" w:color="auto"/>
        <w:right w:val="none" w:sz="0" w:space="0" w:color="auto"/>
      </w:divBdr>
    </w:div>
    <w:div w:id="582952259">
      <w:marLeft w:val="0"/>
      <w:marRight w:val="0"/>
      <w:marTop w:val="0"/>
      <w:marBottom w:val="0"/>
      <w:divBdr>
        <w:top w:val="none" w:sz="0" w:space="0" w:color="auto"/>
        <w:left w:val="none" w:sz="0" w:space="0" w:color="auto"/>
        <w:bottom w:val="none" w:sz="0" w:space="0" w:color="auto"/>
        <w:right w:val="none" w:sz="0" w:space="0" w:color="auto"/>
      </w:divBdr>
    </w:div>
    <w:div w:id="582952260">
      <w:marLeft w:val="0"/>
      <w:marRight w:val="0"/>
      <w:marTop w:val="0"/>
      <w:marBottom w:val="0"/>
      <w:divBdr>
        <w:top w:val="none" w:sz="0" w:space="0" w:color="auto"/>
        <w:left w:val="none" w:sz="0" w:space="0" w:color="auto"/>
        <w:bottom w:val="none" w:sz="0" w:space="0" w:color="auto"/>
        <w:right w:val="none" w:sz="0" w:space="0" w:color="auto"/>
      </w:divBdr>
    </w:div>
    <w:div w:id="582952261">
      <w:marLeft w:val="0"/>
      <w:marRight w:val="0"/>
      <w:marTop w:val="0"/>
      <w:marBottom w:val="0"/>
      <w:divBdr>
        <w:top w:val="none" w:sz="0" w:space="0" w:color="auto"/>
        <w:left w:val="none" w:sz="0" w:space="0" w:color="auto"/>
        <w:bottom w:val="none" w:sz="0" w:space="0" w:color="auto"/>
        <w:right w:val="none" w:sz="0" w:space="0" w:color="auto"/>
      </w:divBdr>
    </w:div>
    <w:div w:id="582952262">
      <w:marLeft w:val="0"/>
      <w:marRight w:val="0"/>
      <w:marTop w:val="0"/>
      <w:marBottom w:val="0"/>
      <w:divBdr>
        <w:top w:val="none" w:sz="0" w:space="0" w:color="auto"/>
        <w:left w:val="none" w:sz="0" w:space="0" w:color="auto"/>
        <w:bottom w:val="none" w:sz="0" w:space="0" w:color="auto"/>
        <w:right w:val="none" w:sz="0" w:space="0" w:color="auto"/>
      </w:divBdr>
    </w:div>
    <w:div w:id="582952263">
      <w:marLeft w:val="0"/>
      <w:marRight w:val="0"/>
      <w:marTop w:val="0"/>
      <w:marBottom w:val="0"/>
      <w:divBdr>
        <w:top w:val="none" w:sz="0" w:space="0" w:color="auto"/>
        <w:left w:val="none" w:sz="0" w:space="0" w:color="auto"/>
        <w:bottom w:val="none" w:sz="0" w:space="0" w:color="auto"/>
        <w:right w:val="none" w:sz="0" w:space="0" w:color="auto"/>
      </w:divBdr>
    </w:div>
    <w:div w:id="754211171">
      <w:bodyDiv w:val="1"/>
      <w:marLeft w:val="0"/>
      <w:marRight w:val="0"/>
      <w:marTop w:val="0"/>
      <w:marBottom w:val="0"/>
      <w:divBdr>
        <w:top w:val="none" w:sz="0" w:space="0" w:color="auto"/>
        <w:left w:val="none" w:sz="0" w:space="0" w:color="auto"/>
        <w:bottom w:val="none" w:sz="0" w:space="0" w:color="auto"/>
        <w:right w:val="none" w:sz="0" w:space="0" w:color="auto"/>
      </w:divBdr>
    </w:div>
    <w:div w:id="756512720">
      <w:bodyDiv w:val="1"/>
      <w:marLeft w:val="0"/>
      <w:marRight w:val="0"/>
      <w:marTop w:val="0"/>
      <w:marBottom w:val="0"/>
      <w:divBdr>
        <w:top w:val="none" w:sz="0" w:space="0" w:color="auto"/>
        <w:left w:val="none" w:sz="0" w:space="0" w:color="auto"/>
        <w:bottom w:val="none" w:sz="0" w:space="0" w:color="auto"/>
        <w:right w:val="none" w:sz="0" w:space="0" w:color="auto"/>
      </w:divBdr>
    </w:div>
    <w:div w:id="919212220">
      <w:bodyDiv w:val="1"/>
      <w:marLeft w:val="0"/>
      <w:marRight w:val="0"/>
      <w:marTop w:val="0"/>
      <w:marBottom w:val="0"/>
      <w:divBdr>
        <w:top w:val="none" w:sz="0" w:space="0" w:color="auto"/>
        <w:left w:val="none" w:sz="0" w:space="0" w:color="auto"/>
        <w:bottom w:val="none" w:sz="0" w:space="0" w:color="auto"/>
        <w:right w:val="none" w:sz="0" w:space="0" w:color="auto"/>
      </w:divBdr>
    </w:div>
    <w:div w:id="1310936285">
      <w:bodyDiv w:val="1"/>
      <w:marLeft w:val="0"/>
      <w:marRight w:val="0"/>
      <w:marTop w:val="0"/>
      <w:marBottom w:val="0"/>
      <w:divBdr>
        <w:top w:val="none" w:sz="0" w:space="0" w:color="auto"/>
        <w:left w:val="none" w:sz="0" w:space="0" w:color="auto"/>
        <w:bottom w:val="none" w:sz="0" w:space="0" w:color="auto"/>
        <w:right w:val="none" w:sz="0" w:space="0" w:color="auto"/>
      </w:divBdr>
    </w:div>
    <w:div w:id="1315524164">
      <w:bodyDiv w:val="1"/>
      <w:marLeft w:val="0"/>
      <w:marRight w:val="0"/>
      <w:marTop w:val="0"/>
      <w:marBottom w:val="0"/>
      <w:divBdr>
        <w:top w:val="none" w:sz="0" w:space="0" w:color="auto"/>
        <w:left w:val="none" w:sz="0" w:space="0" w:color="auto"/>
        <w:bottom w:val="none" w:sz="0" w:space="0" w:color="auto"/>
        <w:right w:val="none" w:sz="0" w:space="0" w:color="auto"/>
      </w:divBdr>
    </w:div>
    <w:div w:id="1409304889">
      <w:bodyDiv w:val="1"/>
      <w:marLeft w:val="0"/>
      <w:marRight w:val="0"/>
      <w:marTop w:val="0"/>
      <w:marBottom w:val="0"/>
      <w:divBdr>
        <w:top w:val="none" w:sz="0" w:space="0" w:color="auto"/>
        <w:left w:val="none" w:sz="0" w:space="0" w:color="auto"/>
        <w:bottom w:val="none" w:sz="0" w:space="0" w:color="auto"/>
        <w:right w:val="none" w:sz="0" w:space="0" w:color="auto"/>
      </w:divBdr>
    </w:div>
    <w:div w:id="1508208867">
      <w:bodyDiv w:val="1"/>
      <w:marLeft w:val="0"/>
      <w:marRight w:val="0"/>
      <w:marTop w:val="0"/>
      <w:marBottom w:val="0"/>
      <w:divBdr>
        <w:top w:val="none" w:sz="0" w:space="0" w:color="auto"/>
        <w:left w:val="none" w:sz="0" w:space="0" w:color="auto"/>
        <w:bottom w:val="none" w:sz="0" w:space="0" w:color="auto"/>
        <w:right w:val="none" w:sz="0" w:space="0" w:color="auto"/>
      </w:divBdr>
    </w:div>
    <w:div w:id="1591280356">
      <w:bodyDiv w:val="1"/>
      <w:marLeft w:val="0"/>
      <w:marRight w:val="0"/>
      <w:marTop w:val="0"/>
      <w:marBottom w:val="0"/>
      <w:divBdr>
        <w:top w:val="none" w:sz="0" w:space="0" w:color="auto"/>
        <w:left w:val="none" w:sz="0" w:space="0" w:color="auto"/>
        <w:bottom w:val="none" w:sz="0" w:space="0" w:color="auto"/>
        <w:right w:val="none" w:sz="0" w:space="0" w:color="auto"/>
      </w:divBdr>
    </w:div>
    <w:div w:id="1725905200">
      <w:bodyDiv w:val="1"/>
      <w:marLeft w:val="0"/>
      <w:marRight w:val="0"/>
      <w:marTop w:val="0"/>
      <w:marBottom w:val="0"/>
      <w:divBdr>
        <w:top w:val="none" w:sz="0" w:space="0" w:color="auto"/>
        <w:left w:val="none" w:sz="0" w:space="0" w:color="auto"/>
        <w:bottom w:val="none" w:sz="0" w:space="0" w:color="auto"/>
        <w:right w:val="none" w:sz="0" w:space="0" w:color="auto"/>
      </w:divBdr>
    </w:div>
    <w:div w:id="1895700716">
      <w:bodyDiv w:val="1"/>
      <w:marLeft w:val="0"/>
      <w:marRight w:val="0"/>
      <w:marTop w:val="0"/>
      <w:marBottom w:val="0"/>
      <w:divBdr>
        <w:top w:val="none" w:sz="0" w:space="0" w:color="auto"/>
        <w:left w:val="none" w:sz="0" w:space="0" w:color="auto"/>
        <w:bottom w:val="none" w:sz="0" w:space="0" w:color="auto"/>
        <w:right w:val="none" w:sz="0" w:space="0" w:color="auto"/>
      </w:divBdr>
    </w:div>
    <w:div w:id="1940750308">
      <w:bodyDiv w:val="1"/>
      <w:marLeft w:val="0"/>
      <w:marRight w:val="0"/>
      <w:marTop w:val="0"/>
      <w:marBottom w:val="0"/>
      <w:divBdr>
        <w:top w:val="none" w:sz="0" w:space="0" w:color="auto"/>
        <w:left w:val="none" w:sz="0" w:space="0" w:color="auto"/>
        <w:bottom w:val="none" w:sz="0" w:space="0" w:color="auto"/>
        <w:right w:val="none" w:sz="0" w:space="0" w:color="auto"/>
      </w:divBdr>
    </w:div>
    <w:div w:id="1951280760">
      <w:bodyDiv w:val="1"/>
      <w:marLeft w:val="0"/>
      <w:marRight w:val="0"/>
      <w:marTop w:val="0"/>
      <w:marBottom w:val="0"/>
      <w:divBdr>
        <w:top w:val="none" w:sz="0" w:space="0" w:color="auto"/>
        <w:left w:val="none" w:sz="0" w:space="0" w:color="auto"/>
        <w:bottom w:val="none" w:sz="0" w:space="0" w:color="auto"/>
        <w:right w:val="none" w:sz="0" w:space="0" w:color="auto"/>
      </w:divBdr>
      <w:divsChild>
        <w:div w:id="203254085">
          <w:marLeft w:val="0"/>
          <w:marRight w:val="0"/>
          <w:marTop w:val="0"/>
          <w:marBottom w:val="0"/>
          <w:divBdr>
            <w:top w:val="none" w:sz="0" w:space="0" w:color="auto"/>
            <w:left w:val="none" w:sz="0" w:space="0" w:color="auto"/>
            <w:bottom w:val="none" w:sz="0" w:space="0" w:color="auto"/>
            <w:right w:val="none" w:sz="0" w:space="0" w:color="auto"/>
          </w:divBdr>
        </w:div>
        <w:div w:id="417480480">
          <w:marLeft w:val="0"/>
          <w:marRight w:val="0"/>
          <w:marTop w:val="0"/>
          <w:marBottom w:val="0"/>
          <w:divBdr>
            <w:top w:val="none" w:sz="0" w:space="0" w:color="auto"/>
            <w:left w:val="none" w:sz="0" w:space="0" w:color="auto"/>
            <w:bottom w:val="none" w:sz="0" w:space="0" w:color="auto"/>
            <w:right w:val="none" w:sz="0" w:space="0" w:color="auto"/>
          </w:divBdr>
        </w:div>
        <w:div w:id="1048995043">
          <w:marLeft w:val="0"/>
          <w:marRight w:val="0"/>
          <w:marTop w:val="0"/>
          <w:marBottom w:val="0"/>
          <w:divBdr>
            <w:top w:val="none" w:sz="0" w:space="0" w:color="auto"/>
            <w:left w:val="none" w:sz="0" w:space="0" w:color="auto"/>
            <w:bottom w:val="none" w:sz="0" w:space="0" w:color="auto"/>
            <w:right w:val="none" w:sz="0" w:space="0" w:color="auto"/>
          </w:divBdr>
        </w:div>
        <w:div w:id="1830441107">
          <w:marLeft w:val="0"/>
          <w:marRight w:val="0"/>
          <w:marTop w:val="0"/>
          <w:marBottom w:val="0"/>
          <w:divBdr>
            <w:top w:val="none" w:sz="0" w:space="0" w:color="auto"/>
            <w:left w:val="none" w:sz="0" w:space="0" w:color="auto"/>
            <w:bottom w:val="none" w:sz="0" w:space="0" w:color="auto"/>
            <w:right w:val="none" w:sz="0" w:space="0" w:color="auto"/>
          </w:divBdr>
        </w:div>
        <w:div w:id="1228767186">
          <w:marLeft w:val="0"/>
          <w:marRight w:val="0"/>
          <w:marTop w:val="0"/>
          <w:marBottom w:val="0"/>
          <w:divBdr>
            <w:top w:val="none" w:sz="0" w:space="0" w:color="auto"/>
            <w:left w:val="none" w:sz="0" w:space="0" w:color="auto"/>
            <w:bottom w:val="none" w:sz="0" w:space="0" w:color="auto"/>
            <w:right w:val="none" w:sz="0" w:space="0" w:color="auto"/>
          </w:divBdr>
        </w:div>
        <w:div w:id="1040518923">
          <w:marLeft w:val="0"/>
          <w:marRight w:val="0"/>
          <w:marTop w:val="0"/>
          <w:marBottom w:val="0"/>
          <w:divBdr>
            <w:top w:val="none" w:sz="0" w:space="0" w:color="auto"/>
            <w:left w:val="none" w:sz="0" w:space="0" w:color="auto"/>
            <w:bottom w:val="none" w:sz="0" w:space="0" w:color="auto"/>
            <w:right w:val="none" w:sz="0" w:space="0" w:color="auto"/>
          </w:divBdr>
        </w:div>
        <w:div w:id="859587253">
          <w:marLeft w:val="0"/>
          <w:marRight w:val="0"/>
          <w:marTop w:val="0"/>
          <w:marBottom w:val="0"/>
          <w:divBdr>
            <w:top w:val="none" w:sz="0" w:space="0" w:color="auto"/>
            <w:left w:val="none" w:sz="0" w:space="0" w:color="auto"/>
            <w:bottom w:val="none" w:sz="0" w:space="0" w:color="auto"/>
            <w:right w:val="none" w:sz="0" w:space="0" w:color="auto"/>
          </w:divBdr>
        </w:div>
        <w:div w:id="838619220">
          <w:marLeft w:val="0"/>
          <w:marRight w:val="0"/>
          <w:marTop w:val="0"/>
          <w:marBottom w:val="0"/>
          <w:divBdr>
            <w:top w:val="none" w:sz="0" w:space="0" w:color="auto"/>
            <w:left w:val="none" w:sz="0" w:space="0" w:color="auto"/>
            <w:bottom w:val="none" w:sz="0" w:space="0" w:color="auto"/>
            <w:right w:val="none" w:sz="0" w:space="0" w:color="auto"/>
          </w:divBdr>
        </w:div>
        <w:div w:id="941649603">
          <w:marLeft w:val="0"/>
          <w:marRight w:val="0"/>
          <w:marTop w:val="0"/>
          <w:marBottom w:val="0"/>
          <w:divBdr>
            <w:top w:val="none" w:sz="0" w:space="0" w:color="auto"/>
            <w:left w:val="none" w:sz="0" w:space="0" w:color="auto"/>
            <w:bottom w:val="none" w:sz="0" w:space="0" w:color="auto"/>
            <w:right w:val="none" w:sz="0" w:space="0" w:color="auto"/>
          </w:divBdr>
        </w:div>
        <w:div w:id="1596862202">
          <w:marLeft w:val="0"/>
          <w:marRight w:val="0"/>
          <w:marTop w:val="0"/>
          <w:marBottom w:val="0"/>
          <w:divBdr>
            <w:top w:val="none" w:sz="0" w:space="0" w:color="auto"/>
            <w:left w:val="none" w:sz="0" w:space="0" w:color="auto"/>
            <w:bottom w:val="none" w:sz="0" w:space="0" w:color="auto"/>
            <w:right w:val="none" w:sz="0" w:space="0" w:color="auto"/>
          </w:divBdr>
        </w:div>
        <w:div w:id="1253854597">
          <w:marLeft w:val="0"/>
          <w:marRight w:val="0"/>
          <w:marTop w:val="0"/>
          <w:marBottom w:val="0"/>
          <w:divBdr>
            <w:top w:val="none" w:sz="0" w:space="0" w:color="auto"/>
            <w:left w:val="none" w:sz="0" w:space="0" w:color="auto"/>
            <w:bottom w:val="none" w:sz="0" w:space="0" w:color="auto"/>
            <w:right w:val="none" w:sz="0" w:space="0" w:color="auto"/>
          </w:divBdr>
        </w:div>
        <w:div w:id="333073976">
          <w:marLeft w:val="0"/>
          <w:marRight w:val="0"/>
          <w:marTop w:val="0"/>
          <w:marBottom w:val="0"/>
          <w:divBdr>
            <w:top w:val="none" w:sz="0" w:space="0" w:color="auto"/>
            <w:left w:val="none" w:sz="0" w:space="0" w:color="auto"/>
            <w:bottom w:val="none" w:sz="0" w:space="0" w:color="auto"/>
            <w:right w:val="none" w:sz="0" w:space="0" w:color="auto"/>
          </w:divBdr>
        </w:div>
        <w:div w:id="1400055558">
          <w:marLeft w:val="0"/>
          <w:marRight w:val="0"/>
          <w:marTop w:val="0"/>
          <w:marBottom w:val="0"/>
          <w:divBdr>
            <w:top w:val="none" w:sz="0" w:space="0" w:color="auto"/>
            <w:left w:val="none" w:sz="0" w:space="0" w:color="auto"/>
            <w:bottom w:val="none" w:sz="0" w:space="0" w:color="auto"/>
            <w:right w:val="none" w:sz="0" w:space="0" w:color="auto"/>
          </w:divBdr>
        </w:div>
        <w:div w:id="3753514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epewdk@gmail.com"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mod.gov.vn" TargetMode="External"/><Relationship Id="rId3" Type="http://schemas.openxmlformats.org/officeDocument/2006/relationships/hyperlink" Target="https://www.moha.gov.vn" TargetMode="External"/><Relationship Id="rId7" Type="http://schemas.openxmlformats.org/officeDocument/2006/relationships/hyperlink" Target="https://www.moha.gov.vn" TargetMode="External"/><Relationship Id="rId12" Type="http://schemas.openxmlformats.org/officeDocument/2006/relationships/hyperlink" Target="http://www.actionaid.org/vi/vietnam/publications/policy-brief-safe-city-women-and-girls" TargetMode="External"/><Relationship Id="rId2" Type="http://schemas.openxmlformats.org/officeDocument/2006/relationships/hyperlink" Target="http://duthaoonline.quochoi.vn/DuThao/Lists/DT_DUTHAO_LUAT/View_Detail.aspx?ItemID=1270&amp;TabIndex=2&amp;TaiLieuID=2591" TargetMode="External"/><Relationship Id="rId1" Type="http://schemas.openxmlformats.org/officeDocument/2006/relationships/hyperlink" Target="http://vbpl.vn/TW/Pages/vbpqen-toanvan.aspx?ItemID=10874" TargetMode="External"/><Relationship Id="rId6" Type="http://schemas.openxmlformats.org/officeDocument/2006/relationships/hyperlink" Target="https://www.moet.gov.vn/thong-ke/Pages/thong-ke.aspx" TargetMode="External"/><Relationship Id="rId11" Type="http://schemas.openxmlformats.org/officeDocument/2006/relationships/hyperlink" Target="http://www.tiengchuong.vn" TargetMode="External"/><Relationship Id="rId5" Type="http://schemas.openxmlformats.org/officeDocument/2006/relationships/hyperlink" Target="http://bocongan.gov.vn" TargetMode="External"/><Relationship Id="rId10" Type="http://schemas.openxmlformats.org/officeDocument/2006/relationships/hyperlink" Target="http://tks.edu.vn/bai-viet/chi-tiet/35/2396/thong-bao-so-tuyen-nam-2018" TargetMode="External"/><Relationship Id="rId4" Type="http://schemas.openxmlformats.org/officeDocument/2006/relationships/hyperlink" Target="http://www.mod.gov.vn" TargetMode="External"/><Relationship Id="rId9" Type="http://schemas.openxmlformats.org/officeDocument/2006/relationships/hyperlink" Target="http://boconga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D8EA0-B9A3-4237-AD11-BA5B8500D63D}"/>
</file>

<file path=customXml/itemProps2.xml><?xml version="1.0" encoding="utf-8"?>
<ds:datastoreItem xmlns:ds="http://schemas.openxmlformats.org/officeDocument/2006/customXml" ds:itemID="{DBAF3727-7262-415E-BED6-8EDA9FA8E104}"/>
</file>

<file path=customXml/itemProps3.xml><?xml version="1.0" encoding="utf-8"?>
<ds:datastoreItem xmlns:ds="http://schemas.openxmlformats.org/officeDocument/2006/customXml" ds:itemID="{C6400BE3-DB32-AA46-9FBE-3AB674A1E9E8}"/>
</file>

<file path=customXml/itemProps4.xml><?xml version="1.0" encoding="utf-8"?>
<ds:datastoreItem xmlns:ds="http://schemas.openxmlformats.org/officeDocument/2006/customXml" ds:itemID="{D1FFED56-6D9A-4DF0-886F-D06F9ECA2A2A}"/>
</file>

<file path=docProps/app.xml><?xml version="1.0" encoding="utf-8"?>
<Properties xmlns="http://schemas.openxmlformats.org/officeDocument/2006/extended-properties" xmlns:vt="http://schemas.openxmlformats.org/officeDocument/2006/docPropsVTypes">
  <Template>Normal.dotm</Template>
  <TotalTime>3</TotalTime>
  <Pages>20</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RESPONSES FROM LIST OF ISSUE TO BE TAKEN UP IN CONNECTION WITH CONSIDERATION OF THE INITIAL REPORT OF ICCPR – INDONESIA</vt:lpstr>
    </vt:vector>
  </TitlesOfParts>
  <Company>Hewlett-Packard</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FROM LIST OF ISSUE TO BE TAKEN UP IN CONNECTION WITH CONSIDERATION OF THE INITIAL REPORT OF ICCPR – INDONESIA</dc:title>
  <dc:creator>Daisuke CCPR</dc:creator>
  <cp:lastModifiedBy>ngothuha75@gmail.com</cp:lastModifiedBy>
  <cp:revision>3</cp:revision>
  <dcterms:created xsi:type="dcterms:W3CDTF">2019-02-06T06:49:00Z</dcterms:created>
  <dcterms:modified xsi:type="dcterms:W3CDTF">2019-02-06T06:52:00Z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