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78" w:rsidRPr="0025339E" w:rsidRDefault="007B1778" w:rsidP="00736E12">
      <w:pPr>
        <w:tabs>
          <w:tab w:val="left" w:pos="1908"/>
        </w:tabs>
        <w:spacing w:before="120" w:after="120" w:line="240" w:lineRule="auto"/>
        <w:rPr>
          <w:b/>
          <w:bCs/>
        </w:rPr>
      </w:pPr>
      <w:bookmarkStart w:id="0" w:name="_GoBack"/>
      <w:bookmarkEnd w:id="0"/>
    </w:p>
    <w:p w:rsidR="00F7032C" w:rsidRPr="0025339E" w:rsidRDefault="00F7032C" w:rsidP="00736E12">
      <w:pPr>
        <w:tabs>
          <w:tab w:val="left" w:pos="1908"/>
        </w:tabs>
        <w:spacing w:before="120" w:after="120" w:line="240" w:lineRule="auto"/>
        <w:jc w:val="center"/>
        <w:rPr>
          <w:b/>
          <w:bCs/>
          <w:sz w:val="24"/>
          <w:szCs w:val="24"/>
        </w:rPr>
      </w:pPr>
      <w:r w:rsidRPr="0025339E">
        <w:rPr>
          <w:b/>
          <w:bCs/>
          <w:sz w:val="24"/>
          <w:szCs w:val="24"/>
        </w:rPr>
        <w:t>128</w:t>
      </w:r>
      <w:r w:rsidRPr="0025339E">
        <w:rPr>
          <w:b/>
          <w:bCs/>
          <w:sz w:val="24"/>
          <w:szCs w:val="24"/>
          <w:vertAlign w:val="superscript"/>
        </w:rPr>
        <w:t>éme</w:t>
      </w:r>
      <w:r w:rsidRPr="0025339E">
        <w:rPr>
          <w:b/>
          <w:bCs/>
          <w:sz w:val="24"/>
          <w:szCs w:val="24"/>
        </w:rPr>
        <w:t xml:space="preserve"> SESSION du Comité des Droits de l’Homme (2-27 mars 2020)</w:t>
      </w:r>
    </w:p>
    <w:p w:rsidR="00F7032C" w:rsidRPr="0025339E" w:rsidRDefault="00F7032C" w:rsidP="00736E12">
      <w:pPr>
        <w:spacing w:before="120" w:after="120" w:line="240" w:lineRule="auto"/>
        <w:jc w:val="center"/>
        <w:rPr>
          <w:b/>
          <w:sz w:val="24"/>
          <w:szCs w:val="24"/>
          <w:lang w:val="fr-FR"/>
        </w:rPr>
      </w:pPr>
      <w:r w:rsidRPr="0025339E">
        <w:rPr>
          <w:b/>
          <w:sz w:val="24"/>
          <w:szCs w:val="24"/>
          <w:lang w:val="fr-FR"/>
        </w:rPr>
        <w:t xml:space="preserve"> Examen du 5</w:t>
      </w:r>
      <w:r w:rsidRPr="0025339E">
        <w:rPr>
          <w:b/>
          <w:sz w:val="24"/>
          <w:szCs w:val="24"/>
          <w:vertAlign w:val="superscript"/>
          <w:lang w:val="fr-FR"/>
        </w:rPr>
        <w:t>e</w:t>
      </w:r>
      <w:r w:rsidRPr="0025339E">
        <w:rPr>
          <w:b/>
          <w:sz w:val="24"/>
          <w:szCs w:val="24"/>
          <w:lang w:val="fr-FR"/>
        </w:rPr>
        <w:t xml:space="preserve"> rapport périodique du Togo par le Comité des droits de l’homme (CCPR)</w:t>
      </w:r>
    </w:p>
    <w:p w:rsidR="007B1778" w:rsidRPr="0025339E" w:rsidRDefault="007B1778" w:rsidP="003B76B9">
      <w:pPr>
        <w:spacing w:before="120" w:after="120" w:line="240" w:lineRule="auto"/>
        <w:jc w:val="center"/>
        <w:rPr>
          <w:b/>
          <w:i/>
          <w:sz w:val="24"/>
          <w:szCs w:val="24"/>
          <w:lang w:val="fr-FR"/>
        </w:rPr>
      </w:pPr>
      <w:r w:rsidRPr="0025339E">
        <w:rPr>
          <w:b/>
          <w:i/>
          <w:sz w:val="24"/>
          <w:szCs w:val="24"/>
          <w:lang w:val="fr-FR"/>
        </w:rPr>
        <w:t xml:space="preserve">Rapport alternatif conjoint – </w:t>
      </w:r>
      <w:r w:rsidR="009E059B">
        <w:rPr>
          <w:b/>
          <w:i/>
          <w:sz w:val="24"/>
          <w:szCs w:val="24"/>
          <w:lang w:val="fr-FR"/>
        </w:rPr>
        <w:t>Février</w:t>
      </w:r>
      <w:r w:rsidR="0025339E" w:rsidRPr="0025339E">
        <w:rPr>
          <w:b/>
          <w:i/>
          <w:sz w:val="24"/>
          <w:szCs w:val="24"/>
          <w:lang w:val="fr-FR"/>
        </w:rPr>
        <w:t xml:space="preserve"> </w:t>
      </w:r>
      <w:r w:rsidRPr="0025339E">
        <w:rPr>
          <w:b/>
          <w:i/>
          <w:sz w:val="24"/>
          <w:szCs w:val="24"/>
          <w:lang w:val="fr-FR"/>
        </w:rPr>
        <w:t>2020</w:t>
      </w:r>
    </w:p>
    <w:p w:rsidR="007B1778" w:rsidRPr="0025339E" w:rsidRDefault="007B1778">
      <w:pPr>
        <w:spacing w:before="120" w:after="120" w:line="240" w:lineRule="auto"/>
        <w:jc w:val="center"/>
        <w:rPr>
          <w:b/>
          <w:lang w:val="fr-FR"/>
        </w:rPr>
      </w:pPr>
    </w:p>
    <w:p w:rsidR="00F7032C" w:rsidRPr="0025339E" w:rsidRDefault="00F7032C">
      <w:pPr>
        <w:pStyle w:val="Heading1"/>
        <w:numPr>
          <w:ilvl w:val="0"/>
          <w:numId w:val="1"/>
        </w:numPr>
        <w:spacing w:before="120" w:after="120" w:line="240" w:lineRule="auto"/>
        <w:rPr>
          <w:rFonts w:asciiTheme="minorHAnsi" w:hAnsiTheme="minorHAnsi"/>
          <w:b/>
          <w:color w:val="auto"/>
          <w:sz w:val="22"/>
          <w:szCs w:val="22"/>
          <w:lang w:val="fr-FR"/>
        </w:rPr>
      </w:pPr>
      <w:bookmarkStart w:id="1" w:name="_Toc526169853"/>
      <w:bookmarkStart w:id="2" w:name="_Toc10817323"/>
      <w:r w:rsidRPr="0025339E">
        <w:rPr>
          <w:rFonts w:asciiTheme="minorHAnsi" w:hAnsiTheme="minorHAnsi"/>
          <w:b/>
          <w:color w:val="auto"/>
          <w:sz w:val="22"/>
          <w:szCs w:val="22"/>
          <w:lang w:val="fr-FR"/>
        </w:rPr>
        <w:t>Auteurs du rapport</w:t>
      </w:r>
      <w:bookmarkEnd w:id="1"/>
      <w:bookmarkEnd w:id="2"/>
    </w:p>
    <w:p w:rsidR="00F7032C" w:rsidRPr="0025339E" w:rsidRDefault="00F7032C">
      <w:pPr>
        <w:spacing w:before="120" w:after="120" w:line="240" w:lineRule="auto"/>
        <w:jc w:val="both"/>
        <w:rPr>
          <w:rFonts w:cs="Arial"/>
        </w:rPr>
      </w:pPr>
      <w:r w:rsidRPr="0025339E">
        <w:rPr>
          <w:rFonts w:cs="Arial"/>
        </w:rPr>
        <w:t xml:space="preserve">Ce rapport a été préparé par </w:t>
      </w:r>
      <w:r w:rsidR="007B1778" w:rsidRPr="0025339E">
        <w:rPr>
          <w:lang w:val="fr-FR"/>
        </w:rPr>
        <w:t xml:space="preserve">la Coalition Togolaise des </w:t>
      </w:r>
      <w:r w:rsidR="00564211" w:rsidRPr="0025339E">
        <w:rPr>
          <w:lang w:val="fr-FR"/>
        </w:rPr>
        <w:t>D</w:t>
      </w:r>
      <w:r w:rsidR="007B1778" w:rsidRPr="0025339E">
        <w:rPr>
          <w:lang w:val="fr-FR"/>
        </w:rPr>
        <w:t xml:space="preserve">éfenseurs des </w:t>
      </w:r>
      <w:r w:rsidR="00564211" w:rsidRPr="0025339E">
        <w:rPr>
          <w:lang w:val="fr-FR"/>
        </w:rPr>
        <w:t>D</w:t>
      </w:r>
      <w:r w:rsidR="007B1778" w:rsidRPr="0025339E">
        <w:rPr>
          <w:lang w:val="fr-FR"/>
        </w:rPr>
        <w:t xml:space="preserve">roits </w:t>
      </w:r>
      <w:r w:rsidR="00564211" w:rsidRPr="0025339E">
        <w:rPr>
          <w:lang w:val="fr-FR"/>
        </w:rPr>
        <w:t xml:space="preserve">Humains </w:t>
      </w:r>
      <w:r w:rsidR="007B1778" w:rsidRPr="0025339E">
        <w:rPr>
          <w:lang w:val="fr-FR"/>
        </w:rPr>
        <w:t xml:space="preserve">(CTDDH) </w:t>
      </w:r>
      <w:r w:rsidRPr="0025339E">
        <w:rPr>
          <w:rFonts w:cs="Arial"/>
        </w:rPr>
        <w:t>avec le soutien du Service International pour les Droits de l’Homme (ISHR) (</w:t>
      </w:r>
      <w:hyperlink r:id="rId8" w:history="1">
        <w:r w:rsidRPr="0025339E">
          <w:rPr>
            <w:rStyle w:val="Hyperlink"/>
            <w:rFonts w:cs="Arial"/>
          </w:rPr>
          <w:t>www.ishr.ch</w:t>
        </w:r>
      </w:hyperlink>
      <w:r w:rsidRPr="0025339E">
        <w:rPr>
          <w:rFonts w:cs="Arial"/>
        </w:rPr>
        <w:t xml:space="preserve">). </w:t>
      </w:r>
    </w:p>
    <w:p w:rsidR="00BE003B" w:rsidRPr="0025339E" w:rsidRDefault="006E06FA">
      <w:pPr>
        <w:pStyle w:val="ListParagraph"/>
        <w:numPr>
          <w:ilvl w:val="0"/>
          <w:numId w:val="2"/>
        </w:numPr>
        <w:spacing w:before="120" w:after="120" w:line="240" w:lineRule="auto"/>
        <w:jc w:val="both"/>
        <w:rPr>
          <w:color w:val="FF0000"/>
        </w:rPr>
      </w:pPr>
      <w:r w:rsidRPr="0025339E">
        <w:t xml:space="preserve">la Coalition Togolaise des </w:t>
      </w:r>
      <w:r w:rsidR="00564211" w:rsidRPr="0025339E">
        <w:t>D</w:t>
      </w:r>
      <w:r w:rsidRPr="0025339E">
        <w:t xml:space="preserve">éfenseurs des </w:t>
      </w:r>
      <w:r w:rsidR="00564211" w:rsidRPr="0025339E">
        <w:t>D</w:t>
      </w:r>
      <w:r w:rsidRPr="0025339E">
        <w:t xml:space="preserve">roits </w:t>
      </w:r>
      <w:r w:rsidR="00564211" w:rsidRPr="0025339E">
        <w:t>Humains</w:t>
      </w:r>
      <w:r w:rsidRPr="0025339E">
        <w:t xml:space="preserve"> (CTDDH) </w:t>
      </w:r>
      <w:r w:rsidR="00BE003B" w:rsidRPr="0025339E">
        <w:t>est un regroupement d’association</w:t>
      </w:r>
      <w:r w:rsidR="00564211" w:rsidRPr="0025339E">
        <w:t>s</w:t>
      </w:r>
      <w:r w:rsidR="00BE003B" w:rsidRPr="0025339E">
        <w:t xml:space="preserve"> apolitiques non confessionnelles crée </w:t>
      </w:r>
      <w:r w:rsidR="00BE003B" w:rsidRPr="0025339E">
        <w:rPr>
          <w:rFonts w:eastAsia="Times New Roman" w:cs="Calibri"/>
          <w:lang w:eastAsia="fr-FR"/>
        </w:rPr>
        <w:t xml:space="preserve">le 12 avril 2002. La CTDDH </w:t>
      </w:r>
      <w:r w:rsidR="00BE003B" w:rsidRPr="0025339E">
        <w:rPr>
          <w:rFonts w:cs="Calibri"/>
        </w:rPr>
        <w:t xml:space="preserve">a pour objectif de créer un cadre de protection pour les défenseurs des droits humains à travers ses activités. Elle est actuellement composée de 20 organisations : notamment Amnesty International Togo, Action des Chrétiens pour l’abolition de la </w:t>
      </w:r>
      <w:r w:rsidR="00564211" w:rsidRPr="0025339E">
        <w:rPr>
          <w:rFonts w:cs="Calibri"/>
        </w:rPr>
        <w:t>T</w:t>
      </w:r>
      <w:r w:rsidR="00BE003B" w:rsidRPr="0025339E">
        <w:rPr>
          <w:rFonts w:cs="Calibri"/>
        </w:rPr>
        <w:t>orture, la Ligue Togolaise des Droits de l’Homme, le Groupe de réflexion et d’action Femme, Démocratie et Développement…</w:t>
      </w:r>
    </w:p>
    <w:p w:rsidR="00F7032C" w:rsidRPr="0025339E" w:rsidRDefault="00F7032C">
      <w:pPr>
        <w:pStyle w:val="ListParagraph"/>
        <w:numPr>
          <w:ilvl w:val="0"/>
          <w:numId w:val="2"/>
        </w:numPr>
        <w:spacing w:before="120" w:after="120" w:line="240" w:lineRule="auto"/>
        <w:jc w:val="both"/>
        <w:rPr>
          <w:rFonts w:cs="Arial"/>
        </w:rPr>
      </w:pPr>
      <w:r w:rsidRPr="0025339E">
        <w:rPr>
          <w:rFonts w:cs="Arial"/>
        </w:rPr>
        <w:t>Le Service International pour les Droits de l’Homme (ISHR) est une ONG internationale basée à Genève avec des bureaux à New York et Abidjan. ISHR travaille pour la reconnaissance et la protection des défenseur</w:t>
      </w:r>
      <w:r w:rsidR="0025339E" w:rsidRPr="0025339E">
        <w:rPr>
          <w:rFonts w:cs="Arial"/>
        </w:rPr>
        <w:t>.(</w:t>
      </w:r>
      <w:r w:rsidRPr="0025339E">
        <w:rPr>
          <w:rFonts w:cs="Arial"/>
        </w:rPr>
        <w:t>e</w:t>
      </w:r>
      <w:r w:rsidR="00564211" w:rsidRPr="0025339E">
        <w:rPr>
          <w:rFonts w:cs="Arial"/>
        </w:rPr>
        <w:t xml:space="preserve">) </w:t>
      </w:r>
      <w:r w:rsidRPr="0025339E">
        <w:rPr>
          <w:rFonts w:cs="Arial"/>
        </w:rPr>
        <w:t>s des droits humains, par le renforcement de capacités, du plaidoyer et du contentieux auprès des organismes internationaux de protection des droits humains.</w:t>
      </w:r>
    </w:p>
    <w:p w:rsidR="00F7032C" w:rsidRPr="0025339E" w:rsidRDefault="00F7032C">
      <w:pPr>
        <w:spacing w:before="120" w:after="120" w:line="240" w:lineRule="auto"/>
        <w:rPr>
          <w:b/>
          <w:lang w:val="fr-FR"/>
        </w:rPr>
      </w:pPr>
    </w:p>
    <w:p w:rsidR="00F7032C" w:rsidRPr="0025339E" w:rsidRDefault="00F7032C">
      <w:pPr>
        <w:spacing w:before="120" w:after="120" w:line="240" w:lineRule="auto"/>
        <w:rPr>
          <w:b/>
          <w:lang w:val="fr-FR"/>
        </w:rPr>
      </w:pPr>
      <w:r w:rsidRPr="0025339E">
        <w:rPr>
          <w:b/>
          <w:lang w:val="fr-FR"/>
        </w:rPr>
        <w:t>Contacts :</w:t>
      </w:r>
    </w:p>
    <w:tbl>
      <w:tblPr>
        <w:tblW w:w="9356" w:type="dxa"/>
        <w:tblInd w:w="-147" w:type="dxa"/>
        <w:tblLook w:val="04A0" w:firstRow="1" w:lastRow="0" w:firstColumn="1" w:lastColumn="0" w:noHBand="0" w:noVBand="1"/>
      </w:tblPr>
      <w:tblGrid>
        <w:gridCol w:w="4542"/>
        <w:gridCol w:w="4814"/>
      </w:tblGrid>
      <w:tr w:rsidR="00F7032C" w:rsidRPr="0025339E" w:rsidTr="00F7032C">
        <w:trPr>
          <w:trHeight w:val="1570"/>
        </w:trPr>
        <w:tc>
          <w:tcPr>
            <w:tcW w:w="4542" w:type="dxa"/>
            <w:hideMark/>
          </w:tcPr>
          <w:p w:rsidR="007B1778" w:rsidRPr="0025339E" w:rsidRDefault="007B1778">
            <w:pPr>
              <w:spacing w:before="120" w:after="120" w:line="240" w:lineRule="auto"/>
              <w:jc w:val="center"/>
              <w:rPr>
                <w:rFonts w:cs="Calibri"/>
                <w:lang w:val="fr-FR"/>
              </w:rPr>
            </w:pPr>
            <w:r w:rsidRPr="0025339E">
              <w:rPr>
                <w:rFonts w:cs="Calibri"/>
                <w:b/>
                <w:lang w:val="fr-FR"/>
              </w:rPr>
              <w:t>CTDDH</w:t>
            </w:r>
            <w:r w:rsidRPr="0025339E">
              <w:rPr>
                <w:rFonts w:cs="Calibri"/>
                <w:b/>
                <w:lang w:val="fr-FR"/>
              </w:rPr>
              <w:br/>
            </w:r>
            <w:r w:rsidRPr="0025339E">
              <w:rPr>
                <w:rFonts w:cs="Calibri"/>
                <w:lang w:val="fr-FR"/>
              </w:rPr>
              <w:t xml:space="preserve">Bonaventure </w:t>
            </w:r>
            <w:r w:rsidRPr="0025339E">
              <w:t>N’Coué Mawuvi</w:t>
            </w:r>
          </w:p>
          <w:p w:rsidR="007B1778" w:rsidRPr="0025339E" w:rsidRDefault="00BB019D">
            <w:pPr>
              <w:tabs>
                <w:tab w:val="center" w:pos="2163"/>
              </w:tabs>
              <w:spacing w:before="120" w:after="120" w:line="240" w:lineRule="auto"/>
              <w:jc w:val="center"/>
              <w:rPr>
                <w:rFonts w:cs="Calibri"/>
                <w:lang w:val="fr-FR"/>
              </w:rPr>
            </w:pPr>
            <w:hyperlink r:id="rId9" w:history="1">
              <w:r w:rsidR="007B1778" w:rsidRPr="0025339E">
                <w:rPr>
                  <w:rStyle w:val="Hyperlink"/>
                  <w:rFonts w:cs="Calibri"/>
                  <w:lang w:val="fr-FR"/>
                </w:rPr>
                <w:t>ctddh@yahoo.fr</w:t>
              </w:r>
            </w:hyperlink>
          </w:p>
          <w:p w:rsidR="00F7032C" w:rsidRPr="0025339E" w:rsidRDefault="007B1778">
            <w:pPr>
              <w:spacing w:before="120" w:after="120" w:line="240" w:lineRule="auto"/>
              <w:jc w:val="center"/>
              <w:rPr>
                <w:rFonts w:cs="Calibri"/>
                <w:lang w:val="fr-FR"/>
              </w:rPr>
            </w:pPr>
            <w:r w:rsidRPr="0025339E">
              <w:rPr>
                <w:rFonts w:cs="Calibri"/>
                <w:lang w:val="fr-FR"/>
              </w:rPr>
              <w:t xml:space="preserve">Tél : (228) </w:t>
            </w:r>
            <w:r w:rsidRPr="0025339E">
              <w:t>90114161</w:t>
            </w:r>
          </w:p>
        </w:tc>
        <w:tc>
          <w:tcPr>
            <w:tcW w:w="4814" w:type="dxa"/>
            <w:hideMark/>
          </w:tcPr>
          <w:p w:rsidR="00F7032C" w:rsidRPr="0025339E" w:rsidRDefault="00F7032C">
            <w:pPr>
              <w:spacing w:before="120" w:after="120" w:line="240" w:lineRule="auto"/>
              <w:jc w:val="center"/>
              <w:rPr>
                <w:rFonts w:cs="Calibri"/>
                <w:b/>
                <w:lang w:val="de-CH"/>
              </w:rPr>
            </w:pPr>
            <w:r w:rsidRPr="0025339E">
              <w:rPr>
                <w:rFonts w:cs="Calibri"/>
                <w:b/>
                <w:lang w:val="de-CH"/>
              </w:rPr>
              <w:t>ISHR</w:t>
            </w:r>
          </w:p>
          <w:p w:rsidR="00F7032C" w:rsidRPr="0025339E" w:rsidRDefault="00F7032C">
            <w:pPr>
              <w:spacing w:before="120" w:after="120" w:line="240" w:lineRule="auto"/>
              <w:jc w:val="center"/>
              <w:rPr>
                <w:rFonts w:cs="Calibri"/>
                <w:lang w:val="de-CH"/>
              </w:rPr>
            </w:pPr>
            <w:r w:rsidRPr="0025339E">
              <w:rPr>
                <w:rFonts w:cs="Calibri"/>
                <w:lang w:val="de-CH"/>
              </w:rPr>
              <w:t>Stéphanie Wamba</w:t>
            </w:r>
            <w:r w:rsidRPr="0025339E">
              <w:rPr>
                <w:rFonts w:cs="Calibri"/>
                <w:b/>
                <w:lang w:val="de-CH"/>
              </w:rPr>
              <w:br/>
            </w:r>
            <w:hyperlink r:id="rId10" w:history="1">
              <w:r w:rsidRPr="0025339E">
                <w:rPr>
                  <w:rStyle w:val="Hyperlink"/>
                  <w:rFonts w:cs="Calibri"/>
                  <w:lang w:val="de-CH"/>
                </w:rPr>
                <w:t>s.wamba@ishr.ch</w:t>
              </w:r>
            </w:hyperlink>
          </w:p>
          <w:p w:rsidR="00F7032C" w:rsidRPr="0025339E" w:rsidRDefault="00F7032C">
            <w:pPr>
              <w:spacing w:before="120" w:after="120" w:line="240" w:lineRule="auto"/>
              <w:jc w:val="center"/>
              <w:rPr>
                <w:rFonts w:cs="Calibri"/>
                <w:lang w:val="fr-FR"/>
              </w:rPr>
            </w:pPr>
            <w:r w:rsidRPr="0025339E">
              <w:rPr>
                <w:rFonts w:cs="Calibri"/>
                <w:lang w:val="fr-FR"/>
              </w:rPr>
              <w:t>Tel: +(41) 22 919 71 00</w:t>
            </w:r>
          </w:p>
        </w:tc>
      </w:tr>
    </w:tbl>
    <w:p w:rsidR="00F7032C" w:rsidRPr="0025339E" w:rsidRDefault="00F7032C">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BE003B" w:rsidRPr="0025339E" w:rsidRDefault="00BE003B">
      <w:pPr>
        <w:spacing w:before="120" w:after="120" w:line="240" w:lineRule="auto"/>
        <w:rPr>
          <w:b/>
          <w:lang w:val="fr-FR"/>
        </w:rPr>
      </w:pPr>
    </w:p>
    <w:p w:rsidR="006E06FA" w:rsidRPr="0025339E" w:rsidRDefault="006E06FA">
      <w:pPr>
        <w:spacing w:before="120" w:after="120" w:line="240" w:lineRule="auto"/>
        <w:rPr>
          <w:b/>
          <w:lang w:val="fr-FR"/>
        </w:rPr>
      </w:pPr>
    </w:p>
    <w:p w:rsidR="006E06FA" w:rsidRPr="0025339E" w:rsidRDefault="006E06FA">
      <w:pPr>
        <w:spacing w:before="120" w:after="120" w:line="240" w:lineRule="auto"/>
        <w:rPr>
          <w:b/>
          <w:lang w:val="fr-FR"/>
        </w:rPr>
      </w:pPr>
    </w:p>
    <w:p w:rsidR="00BE003B" w:rsidRPr="0025339E" w:rsidRDefault="00BE003B">
      <w:pPr>
        <w:spacing w:before="120" w:after="120" w:line="240" w:lineRule="auto"/>
        <w:rPr>
          <w:b/>
          <w:lang w:val="fr-FR"/>
        </w:rPr>
      </w:pPr>
    </w:p>
    <w:p w:rsidR="005B2593" w:rsidRPr="0025339E" w:rsidRDefault="00F7032C" w:rsidP="003B76B9">
      <w:pPr>
        <w:spacing w:before="120" w:after="120" w:line="240" w:lineRule="auto"/>
        <w:jc w:val="both"/>
        <w:rPr>
          <w:rFonts w:eastAsia="Times New Roman"/>
          <w:b/>
        </w:rPr>
      </w:pPr>
      <w:r w:rsidRPr="0025339E">
        <w:rPr>
          <w:rFonts w:eastAsia="Times New Roman"/>
          <w:b/>
        </w:rPr>
        <w:t xml:space="preserve"> </w:t>
      </w:r>
      <w:r w:rsidR="00343359" w:rsidRPr="0025339E">
        <w:rPr>
          <w:rFonts w:eastAsia="Times New Roman"/>
          <w:b/>
        </w:rPr>
        <w:t>Contexte de</w:t>
      </w:r>
      <w:r w:rsidR="005B2593" w:rsidRPr="0025339E">
        <w:rPr>
          <w:rFonts w:eastAsia="Times New Roman"/>
          <w:b/>
        </w:rPr>
        <w:t xml:space="preserve"> mise en œuvre du PIDCP</w:t>
      </w:r>
    </w:p>
    <w:p w:rsidR="004C2062" w:rsidRPr="00586291" w:rsidRDefault="004C2062" w:rsidP="003B76B9">
      <w:pPr>
        <w:spacing w:before="120" w:after="120" w:line="240" w:lineRule="auto"/>
        <w:jc w:val="both"/>
        <w:rPr>
          <w:rFonts w:eastAsia="Candara" w:cs="Candara"/>
        </w:rPr>
      </w:pPr>
      <w:r w:rsidRPr="0025339E">
        <w:rPr>
          <w:rFonts w:eastAsia="Candara" w:cs="Candara"/>
        </w:rPr>
        <w:t xml:space="preserve">Le Togo se prépare pour les élections présidentielles prévues </w:t>
      </w:r>
      <w:r w:rsidR="005206B0" w:rsidRPr="0025339E">
        <w:rPr>
          <w:rFonts w:eastAsia="Candara" w:cs="Candara"/>
        </w:rPr>
        <w:t xml:space="preserve">le 22 </w:t>
      </w:r>
      <w:r w:rsidRPr="0025339E">
        <w:rPr>
          <w:rFonts w:eastAsia="Candara" w:cs="Candara"/>
        </w:rPr>
        <w:t>février 2020. La candidature du Président sortant Faure Gnassingbé pour un quatrième mandat a soulevé une vague de protestation</w:t>
      </w:r>
      <w:r w:rsidR="00FA2608">
        <w:rPr>
          <w:rFonts w:eastAsia="Candara" w:cs="Candara"/>
        </w:rPr>
        <w:t>s</w:t>
      </w:r>
      <w:r w:rsidRPr="0025339E">
        <w:rPr>
          <w:rFonts w:eastAsia="Candara" w:cs="Candara"/>
        </w:rPr>
        <w:t xml:space="preserve"> dans le pays. Les forces de sécurité ont violemment dispersé des milliers de manifestant</w:t>
      </w:r>
      <w:r w:rsidR="005206B0" w:rsidRPr="0025339E">
        <w:rPr>
          <w:rFonts w:eastAsia="Candara" w:cs="Candara"/>
        </w:rPr>
        <w:t>s</w:t>
      </w:r>
      <w:r w:rsidR="00101878" w:rsidRPr="0025339E">
        <w:rPr>
          <w:rFonts w:eastAsia="Candara" w:cs="Candara"/>
        </w:rPr>
        <w:t xml:space="preserve"> qui contestaient contre</w:t>
      </w:r>
      <w:r w:rsidR="0025339E">
        <w:rPr>
          <w:rFonts w:eastAsia="Candara" w:cs="Candara"/>
        </w:rPr>
        <w:t xml:space="preserve"> </w:t>
      </w:r>
      <w:r w:rsidR="00101878" w:rsidRPr="0025339E">
        <w:rPr>
          <w:rFonts w:eastAsia="Candara" w:cs="Candara"/>
        </w:rPr>
        <w:t xml:space="preserve">ce mandat de </w:t>
      </w:r>
      <w:r w:rsidR="0025339E" w:rsidRPr="0025339E">
        <w:rPr>
          <w:rFonts w:eastAsia="Candara" w:cs="Candara"/>
        </w:rPr>
        <w:t xml:space="preserve">trop. </w:t>
      </w:r>
      <w:r w:rsidRPr="00586291">
        <w:rPr>
          <w:rFonts w:eastAsia="Candara" w:cs="Candara"/>
        </w:rPr>
        <w:t>Les conditions salariales, de travail et le coût de la vie ont entrainé des grèves régulières. Le taux de criminalité est en pleine croissance à Lomé</w:t>
      </w:r>
      <w:r w:rsidR="00183AC0" w:rsidRPr="00586291">
        <w:rPr>
          <w:rFonts w:eastAsia="Candara" w:cs="Candara"/>
        </w:rPr>
        <w:t xml:space="preserve"> et l</w:t>
      </w:r>
      <w:r w:rsidRPr="00586291">
        <w:rPr>
          <w:rFonts w:eastAsia="Candara" w:cs="Candara"/>
        </w:rPr>
        <w:t>es restrictions des libertés fondamentales</w:t>
      </w:r>
      <w:r w:rsidR="00C849FF" w:rsidRPr="0025339E">
        <w:rPr>
          <w:color w:val="555555"/>
          <w:shd w:val="clear" w:color="auto" w:fill="FFFFFF"/>
        </w:rPr>
        <w:t xml:space="preserve">, </w:t>
      </w:r>
      <w:r w:rsidR="00C849FF" w:rsidRPr="0025339E">
        <w:rPr>
          <w:shd w:val="clear" w:color="auto" w:fill="FFFFFF"/>
        </w:rPr>
        <w:t>les questions de corruption, les atteintes aux droits à la vie, à la liberté et la sécurité de la personne</w:t>
      </w:r>
      <w:r w:rsidR="00C849FF" w:rsidRPr="0025339E">
        <w:rPr>
          <w:rFonts w:eastAsia="Candara" w:cs="Candara"/>
        </w:rPr>
        <w:t xml:space="preserve"> </w:t>
      </w:r>
      <w:r w:rsidRPr="0025339E">
        <w:rPr>
          <w:rFonts w:eastAsia="Candara" w:cs="Candara"/>
        </w:rPr>
        <w:t>et les nombreuses violations de droits humains qui en résultent n’améliorent pas le climat.</w:t>
      </w:r>
    </w:p>
    <w:p w:rsidR="00AB4160" w:rsidRPr="00586291" w:rsidRDefault="00383B2A" w:rsidP="003B76B9">
      <w:pPr>
        <w:spacing w:before="120" w:after="120" w:line="240" w:lineRule="auto"/>
        <w:jc w:val="both"/>
        <w:rPr>
          <w:rFonts w:eastAsia="Candara" w:cs="Candara"/>
        </w:rPr>
      </w:pPr>
      <w:r w:rsidRPr="00586291">
        <w:rPr>
          <w:rFonts w:eastAsia="Candara" w:cs="Candara"/>
        </w:rPr>
        <w:t xml:space="preserve">Le Togo a adhéré au </w:t>
      </w:r>
      <w:r w:rsidR="00183AC0" w:rsidRPr="00586291">
        <w:rPr>
          <w:rFonts w:eastAsia="Candara" w:cs="Candara"/>
        </w:rPr>
        <w:t>Pacte international relatif aux droits civils et politiques (</w:t>
      </w:r>
      <w:r w:rsidRPr="00586291">
        <w:rPr>
          <w:rFonts w:eastAsia="Candara" w:cs="Candara"/>
        </w:rPr>
        <w:t>PID</w:t>
      </w:r>
      <w:r w:rsidR="00206CC2" w:rsidRPr="00586291">
        <w:rPr>
          <w:rFonts w:eastAsia="Candara" w:cs="Candara"/>
        </w:rPr>
        <w:t>CP</w:t>
      </w:r>
      <w:r w:rsidR="00183AC0" w:rsidRPr="00586291">
        <w:rPr>
          <w:rFonts w:eastAsia="Candara" w:cs="Candara"/>
        </w:rPr>
        <w:t>)</w:t>
      </w:r>
      <w:r w:rsidRPr="00586291">
        <w:rPr>
          <w:rFonts w:eastAsia="Candara" w:cs="Candara"/>
        </w:rPr>
        <w:t xml:space="preserve"> le</w:t>
      </w:r>
      <w:r w:rsidR="00206CC2" w:rsidRPr="00586291">
        <w:rPr>
          <w:rFonts w:eastAsia="Candara" w:cs="Candara"/>
        </w:rPr>
        <w:t xml:space="preserve"> 24 mai 1984 et au Deuxième Protocole facultatif se rapportant au </w:t>
      </w:r>
      <w:r w:rsidR="00183AC0" w:rsidRPr="00586291">
        <w:rPr>
          <w:rFonts w:eastAsia="Candara" w:cs="Candara"/>
        </w:rPr>
        <w:t xml:space="preserve">PIDCP </w:t>
      </w:r>
      <w:r w:rsidR="00206CC2" w:rsidRPr="00586291">
        <w:rPr>
          <w:rFonts w:eastAsia="Candara" w:cs="Candara"/>
        </w:rPr>
        <w:t>visant à abolir la peine de mort  le 14 septembre 2016</w:t>
      </w:r>
      <w:r w:rsidR="00206CC2" w:rsidRPr="0025339E">
        <w:rPr>
          <w:vertAlign w:val="superscript"/>
        </w:rPr>
        <w:footnoteReference w:id="1"/>
      </w:r>
      <w:r w:rsidR="00183AC0" w:rsidRPr="0025339E">
        <w:rPr>
          <w:rFonts w:eastAsia="Candara" w:cs="Candara"/>
        </w:rPr>
        <w:t>, ratifié la Convention contre la torture et autres peines ou traitements cruels, inhumains ou</w:t>
      </w:r>
      <w:r w:rsidR="00183AC0" w:rsidRPr="00586291">
        <w:rPr>
          <w:rFonts w:eastAsia="Candara" w:cs="Candara"/>
        </w:rPr>
        <w:t xml:space="preserve"> dégradants le 18 novembre 1987 et ratifié le Protocole facultatif à la Convention contre la torture en 2010. Sur le plan interne, le Togo a adopté la</w:t>
      </w:r>
      <w:r w:rsidR="00206CC2" w:rsidRPr="00586291">
        <w:rPr>
          <w:rFonts w:eastAsia="Candara" w:cs="Candara"/>
        </w:rPr>
        <w:t xml:space="preserve"> </w:t>
      </w:r>
      <w:r w:rsidR="00183AC0" w:rsidRPr="00586291">
        <w:rPr>
          <w:rFonts w:eastAsia="Candara" w:cs="Candara"/>
        </w:rPr>
        <w:t>l</w:t>
      </w:r>
      <w:r w:rsidR="00092057" w:rsidRPr="00586291">
        <w:rPr>
          <w:rFonts w:eastAsia="Candara" w:cs="Candara"/>
        </w:rPr>
        <w:t>oi</w:t>
      </w:r>
      <w:r w:rsidR="00206CC2" w:rsidRPr="00586291">
        <w:rPr>
          <w:rFonts w:eastAsia="Candara" w:cs="Candara"/>
        </w:rPr>
        <w:t xml:space="preserve"> N</w:t>
      </w:r>
      <w:r w:rsidR="00183AC0" w:rsidRPr="00586291">
        <w:rPr>
          <w:rFonts w:eastAsia="Candara" w:cs="Candara"/>
        </w:rPr>
        <w:t>°</w:t>
      </w:r>
      <w:r w:rsidR="00206CC2" w:rsidRPr="00586291">
        <w:rPr>
          <w:rFonts w:eastAsia="Candara" w:cs="Candara"/>
        </w:rPr>
        <w:t xml:space="preserve"> 2009- 011 </w:t>
      </w:r>
      <w:r w:rsidR="00183AC0" w:rsidRPr="00586291">
        <w:rPr>
          <w:rFonts w:eastAsia="Candara" w:cs="Candara"/>
        </w:rPr>
        <w:t>du 24 janvier 2009 relative à l'abolition de la peine de mort au</w:t>
      </w:r>
      <w:r w:rsidR="00206CC2" w:rsidRPr="00586291">
        <w:rPr>
          <w:rFonts w:eastAsia="Candara" w:cs="Candara"/>
        </w:rPr>
        <w:t xml:space="preserve"> T</w:t>
      </w:r>
      <w:r w:rsidR="00183AC0" w:rsidRPr="00586291">
        <w:rPr>
          <w:rFonts w:eastAsia="Candara" w:cs="Candara"/>
        </w:rPr>
        <w:t>ogo</w:t>
      </w:r>
      <w:r w:rsidR="00206CC2" w:rsidRPr="0025339E">
        <w:rPr>
          <w:rFonts w:eastAsia="Candara" w:cs="Candara"/>
          <w:vertAlign w:val="superscript"/>
        </w:rPr>
        <w:footnoteReference w:id="2"/>
      </w:r>
      <w:r w:rsidR="00183AC0" w:rsidRPr="0025339E">
        <w:rPr>
          <w:rFonts w:eastAsia="Candara" w:cs="Candara"/>
        </w:rPr>
        <w:t>,</w:t>
      </w:r>
      <w:r w:rsidR="00B071A3" w:rsidRPr="0025339E">
        <w:rPr>
          <w:rFonts w:eastAsia="Candara" w:cs="Candara"/>
        </w:rPr>
        <w:t xml:space="preserve"> </w:t>
      </w:r>
      <w:r w:rsidR="00092057" w:rsidRPr="0025339E">
        <w:rPr>
          <w:rFonts w:eastAsia="Candara" w:cs="Candara"/>
        </w:rPr>
        <w:t xml:space="preserve">se conformant à la loi n°2018-006 du 20 juin 2018, </w:t>
      </w:r>
      <w:r w:rsidR="00183AC0" w:rsidRPr="0025339E">
        <w:rPr>
          <w:rFonts w:eastAsia="Candara" w:cs="Candara"/>
        </w:rPr>
        <w:t>l</w:t>
      </w:r>
      <w:r w:rsidR="00092057" w:rsidRPr="0025339E">
        <w:rPr>
          <w:rFonts w:eastAsia="Candara" w:cs="Candara"/>
        </w:rPr>
        <w:t xml:space="preserve">es membres </w:t>
      </w:r>
      <w:r w:rsidR="005206B0" w:rsidRPr="0025339E">
        <w:rPr>
          <w:rFonts w:eastAsia="Candara" w:cs="Candara"/>
        </w:rPr>
        <w:t xml:space="preserve">de la </w:t>
      </w:r>
      <w:r w:rsidR="00092057" w:rsidRPr="0025339E">
        <w:rPr>
          <w:rFonts w:eastAsia="Candara" w:cs="Candara"/>
        </w:rPr>
        <w:t>CNDH élu</w:t>
      </w:r>
      <w:r w:rsidR="005206B0" w:rsidRPr="0025339E">
        <w:rPr>
          <w:rFonts w:eastAsia="Candara" w:cs="Candara"/>
        </w:rPr>
        <w:t>s</w:t>
      </w:r>
      <w:r w:rsidR="00183AC0" w:rsidRPr="0025339E">
        <w:rPr>
          <w:rFonts w:eastAsia="Candara" w:cs="Candara"/>
        </w:rPr>
        <w:t xml:space="preserve"> le 22 mars 2019 </w:t>
      </w:r>
      <w:r w:rsidR="0054103D" w:rsidRPr="0025339E">
        <w:rPr>
          <w:rFonts w:eastAsia="Candara" w:cs="Candara"/>
        </w:rPr>
        <w:t xml:space="preserve"> </w:t>
      </w:r>
      <w:r w:rsidR="005206B0" w:rsidRPr="0025339E">
        <w:rPr>
          <w:rFonts w:eastAsia="Candara" w:cs="Candara"/>
        </w:rPr>
        <w:t>ont au sein de l’Institution</w:t>
      </w:r>
      <w:r w:rsidR="00092057" w:rsidRPr="0025339E">
        <w:rPr>
          <w:rFonts w:eastAsia="Candara" w:cs="Candara"/>
        </w:rPr>
        <w:t xml:space="preserve"> </w:t>
      </w:r>
      <w:r w:rsidR="005206B0" w:rsidRPr="0025339E">
        <w:rPr>
          <w:rFonts w:eastAsia="Candara" w:cs="Candara"/>
        </w:rPr>
        <w:t xml:space="preserve">le </w:t>
      </w:r>
      <w:r w:rsidR="00183AC0" w:rsidRPr="0025339E">
        <w:rPr>
          <w:rFonts w:eastAsia="Candara" w:cs="Candara"/>
        </w:rPr>
        <w:t>Mécanisme National de P</w:t>
      </w:r>
      <w:r w:rsidR="00B071A3" w:rsidRPr="0025339E">
        <w:rPr>
          <w:rFonts w:eastAsia="Candara" w:cs="Candara"/>
        </w:rPr>
        <w:t>révention (MNP)</w:t>
      </w:r>
      <w:r w:rsidR="00092057" w:rsidRPr="00586291">
        <w:rPr>
          <w:rFonts w:eastAsia="Candara" w:cs="Candara"/>
        </w:rPr>
        <w:t xml:space="preserve"> </w:t>
      </w:r>
      <w:r w:rsidR="00B071A3" w:rsidRPr="00586291">
        <w:rPr>
          <w:rFonts w:eastAsia="Candara" w:cs="Candara"/>
        </w:rPr>
        <w:t>de la torture</w:t>
      </w:r>
      <w:r w:rsidR="00183AC0" w:rsidRPr="00586291">
        <w:rPr>
          <w:rFonts w:eastAsia="Candara" w:cs="Candara"/>
        </w:rPr>
        <w:t xml:space="preserve">. </w:t>
      </w:r>
    </w:p>
    <w:p w:rsidR="00AB4160" w:rsidRDefault="00183AC0" w:rsidP="003B76B9">
      <w:pPr>
        <w:spacing w:before="120" w:after="120" w:line="240" w:lineRule="auto"/>
        <w:jc w:val="both"/>
      </w:pPr>
      <w:r w:rsidRPr="00586291">
        <w:rPr>
          <w:rFonts w:eastAsia="Candara" w:cs="Candara"/>
        </w:rPr>
        <w:t>Par ailleurs</w:t>
      </w:r>
      <w:r w:rsidR="00092057" w:rsidRPr="00586291">
        <w:rPr>
          <w:rFonts w:eastAsia="Candara" w:cs="Candara"/>
        </w:rPr>
        <w:t>,</w:t>
      </w:r>
      <w:r w:rsidR="009F7568" w:rsidRPr="00586291">
        <w:rPr>
          <w:rFonts w:eastAsia="Candara" w:cs="Candara"/>
        </w:rPr>
        <w:t xml:space="preserve"> le</w:t>
      </w:r>
      <w:r w:rsidRPr="00586291">
        <w:rPr>
          <w:rFonts w:eastAsia="Candara" w:cs="Candara"/>
        </w:rPr>
        <w:t xml:space="preserve"> </w:t>
      </w:r>
      <w:r w:rsidR="00806512" w:rsidRPr="00586291">
        <w:rPr>
          <w:rFonts w:eastAsia="Candara" w:cs="Candara"/>
        </w:rPr>
        <w:t xml:space="preserve">maintien et le rétablissement de </w:t>
      </w:r>
      <w:r w:rsidRPr="00586291">
        <w:rPr>
          <w:rFonts w:eastAsia="Candara" w:cs="Candara"/>
        </w:rPr>
        <w:t>l’ordre public est règlementé par l</w:t>
      </w:r>
      <w:r w:rsidR="00B071A3" w:rsidRPr="00586291">
        <w:rPr>
          <w:rFonts w:eastAsia="Candara" w:cs="Candara"/>
        </w:rPr>
        <w:t>e Décret N° 2013-013/PR du 06 mars 2013.</w:t>
      </w:r>
      <w:r w:rsidR="00496B41" w:rsidRPr="00586291">
        <w:rPr>
          <w:rFonts w:eastAsia="Candara" w:cs="Candara"/>
        </w:rPr>
        <w:t xml:space="preserve"> </w:t>
      </w:r>
      <w:r w:rsidR="00586291">
        <w:rPr>
          <w:rFonts w:eastAsia="Candara" w:cs="Candara"/>
        </w:rPr>
        <w:t>L</w:t>
      </w:r>
      <w:r w:rsidR="00496B41" w:rsidRPr="00586291">
        <w:rPr>
          <w:rFonts w:eastAsia="Candara" w:cs="Candara"/>
        </w:rPr>
        <w:t xml:space="preserve">a </w:t>
      </w:r>
      <w:r w:rsidR="00496B41" w:rsidRPr="00586291">
        <w:t xml:space="preserve">loi n° 2019-010 du 12/08/19 modifiant la loi n° 2011-010 du 16 mai 2011 fixant les conditions d'exercice de la liberté de réunion et de manifestation pacifiques publiques </w:t>
      </w:r>
      <w:r w:rsidR="00586291">
        <w:t xml:space="preserve">est </w:t>
      </w:r>
      <w:r w:rsidR="00496B41" w:rsidRPr="00586291">
        <w:t xml:space="preserve">jugée </w:t>
      </w:r>
      <w:r w:rsidR="00586291" w:rsidRPr="00586291">
        <w:t>liberticide</w:t>
      </w:r>
      <w:r w:rsidR="00496B41" w:rsidRPr="00586291">
        <w:t xml:space="preserve"> par les acteurs politiques </w:t>
      </w:r>
      <w:r w:rsidR="00586291">
        <w:t>et</w:t>
      </w:r>
      <w:r w:rsidR="00496B41" w:rsidRPr="00586291">
        <w:t xml:space="preserve"> les organisations de défense des droits de l’</w:t>
      </w:r>
      <w:r w:rsidR="002D42F3">
        <w:t>H</w:t>
      </w:r>
      <w:r w:rsidR="00496B41" w:rsidRPr="00586291">
        <w:t>omme qui demandent sa révision.</w:t>
      </w:r>
    </w:p>
    <w:p w:rsidR="001E15EC" w:rsidRPr="00586291" w:rsidRDefault="001E15EC" w:rsidP="003B76B9">
      <w:pPr>
        <w:spacing w:before="120" w:after="120" w:line="240" w:lineRule="auto"/>
        <w:jc w:val="both"/>
        <w:rPr>
          <w:rFonts w:eastAsia="Candara" w:cs="Candara"/>
        </w:rPr>
      </w:pPr>
    </w:p>
    <w:p w:rsidR="005B2593" w:rsidRPr="00586291" w:rsidRDefault="005B2593" w:rsidP="003B76B9">
      <w:pPr>
        <w:shd w:val="clear" w:color="auto" w:fill="FFFFFF"/>
        <w:spacing w:before="120" w:after="120" w:line="240" w:lineRule="auto"/>
        <w:jc w:val="both"/>
        <w:rPr>
          <w:rFonts w:eastAsia="Times New Roman" w:cs="Times New Roman"/>
          <w:i/>
          <w:color w:val="000000"/>
          <w:lang w:eastAsia="fr-CH"/>
        </w:rPr>
      </w:pPr>
      <w:r w:rsidRPr="00586291">
        <w:rPr>
          <w:rFonts w:eastAsia="Times New Roman" w:cs="Times New Roman"/>
          <w:b/>
          <w:bCs/>
          <w:i/>
          <w:color w:val="000000"/>
          <w:lang w:eastAsia="fr-CH"/>
        </w:rPr>
        <w:t>Article 2</w:t>
      </w:r>
    </w:p>
    <w:p w:rsidR="005B2593" w:rsidRPr="00586291" w:rsidRDefault="005B2593" w:rsidP="003B76B9">
      <w:pPr>
        <w:shd w:val="clear" w:color="auto" w:fill="FFFFFF"/>
        <w:spacing w:before="120" w:after="120" w:line="240" w:lineRule="auto"/>
        <w:jc w:val="both"/>
        <w:rPr>
          <w:rFonts w:eastAsia="Times New Roman" w:cs="Times New Roman"/>
          <w:i/>
          <w:color w:val="000000"/>
          <w:lang w:eastAsia="fr-CH"/>
        </w:rPr>
      </w:pPr>
      <w:r w:rsidRPr="00586291">
        <w:rPr>
          <w:rFonts w:eastAsia="Times New Roman" w:cs="Times New Roman"/>
          <w:i/>
          <w:color w:val="000000"/>
          <w:lang w:eastAsia="fr-CH"/>
        </w:rPr>
        <w:t>2. Les Etats parties au présent Pacte s'engagent à prendre, en accord avec leurs procédures constitutionnelles et avec les dispositions du présent Pacte, les arrangements devant permettre l'adoption de telles mesures d'ordre législatif ou autre, propres à donner effet aux droits reconnus dans le présent Pacte qui ne seraient pas déjà en vigueur.</w:t>
      </w:r>
    </w:p>
    <w:p w:rsidR="00BE003B" w:rsidRDefault="00F445FE" w:rsidP="003B76B9">
      <w:pPr>
        <w:shd w:val="clear" w:color="auto" w:fill="FFFFFF"/>
        <w:spacing w:before="120" w:after="120" w:line="240" w:lineRule="auto"/>
        <w:jc w:val="both"/>
        <w:rPr>
          <w:rFonts w:cs="Arial"/>
          <w:shd w:val="clear" w:color="auto" w:fill="FFFFFF"/>
        </w:rPr>
      </w:pPr>
      <w:r w:rsidRPr="00586291">
        <w:rPr>
          <w:rFonts w:cs="Arial"/>
          <w:shd w:val="clear" w:color="auto" w:fill="FFFFFF"/>
        </w:rPr>
        <w:t>Le 12 septembre 2019, la Coalition Togolaise des Défenseurs des Droits Humains (CTDDH)</w:t>
      </w:r>
      <w:r w:rsidRPr="0025339E">
        <w:rPr>
          <w:rStyle w:val="FootnoteReference"/>
          <w:rFonts w:cs="Arial"/>
          <w:shd w:val="clear" w:color="auto" w:fill="FFFFFF"/>
        </w:rPr>
        <w:footnoteReference w:id="3"/>
      </w:r>
      <w:r w:rsidRPr="0025339E">
        <w:rPr>
          <w:rFonts w:cs="Arial"/>
          <w:shd w:val="clear" w:color="auto" w:fill="FFFFFF"/>
        </w:rPr>
        <w:t xml:space="preserve"> a regroupé</w:t>
      </w:r>
      <w:r w:rsidR="00BE003B" w:rsidRPr="0025339E">
        <w:rPr>
          <w:rFonts w:cs="Arial"/>
          <w:shd w:val="clear" w:color="auto" w:fill="FFFFFF"/>
        </w:rPr>
        <w:t xml:space="preserve"> 30 </w:t>
      </w:r>
      <w:r w:rsidRPr="0025339E">
        <w:rPr>
          <w:rFonts w:cs="Arial"/>
          <w:shd w:val="clear" w:color="auto" w:fill="FFFFFF"/>
        </w:rPr>
        <w:t>défenseurs des droits humains</w:t>
      </w:r>
      <w:r w:rsidR="00BE003B" w:rsidRPr="00586291">
        <w:rPr>
          <w:rFonts w:cs="Arial"/>
          <w:shd w:val="clear" w:color="auto" w:fill="FFFFFF"/>
        </w:rPr>
        <w:t xml:space="preserve"> des 5 régions du Togo ainsi </w:t>
      </w:r>
      <w:r w:rsidR="00FC4E17">
        <w:rPr>
          <w:rFonts w:cs="Arial"/>
          <w:shd w:val="clear" w:color="auto" w:fill="FFFFFF"/>
        </w:rPr>
        <w:t xml:space="preserve">que </w:t>
      </w:r>
      <w:r w:rsidRPr="00586291">
        <w:rPr>
          <w:rFonts w:cs="Arial"/>
          <w:shd w:val="clear" w:color="auto" w:fill="FFFFFF"/>
        </w:rPr>
        <w:t>des représentant</w:t>
      </w:r>
      <w:r w:rsidR="00BE003B" w:rsidRPr="00586291">
        <w:rPr>
          <w:rFonts w:cs="Arial"/>
          <w:shd w:val="clear" w:color="auto" w:fill="FFFFFF"/>
        </w:rPr>
        <w:t xml:space="preserve"> </w:t>
      </w:r>
      <w:r w:rsidRPr="00586291">
        <w:rPr>
          <w:rFonts w:cs="Arial"/>
          <w:shd w:val="clear" w:color="auto" w:fill="FFFFFF"/>
        </w:rPr>
        <w:t>des M</w:t>
      </w:r>
      <w:r w:rsidR="00BE003B" w:rsidRPr="00586291">
        <w:rPr>
          <w:rFonts w:cs="Arial"/>
          <w:shd w:val="clear" w:color="auto" w:fill="FFFFFF"/>
        </w:rPr>
        <w:t xml:space="preserve">inistères des droits de l’Homme et de la justice, de la </w:t>
      </w:r>
      <w:r w:rsidR="005F280F">
        <w:rPr>
          <w:rFonts w:cs="Arial"/>
          <w:shd w:val="clear" w:color="auto" w:fill="FFFFFF"/>
        </w:rPr>
        <w:t>C</w:t>
      </w:r>
      <w:r w:rsidR="00BE003B" w:rsidRPr="00586291">
        <w:rPr>
          <w:rFonts w:cs="Arial"/>
          <w:shd w:val="clear" w:color="auto" w:fill="FFFFFF"/>
        </w:rPr>
        <w:t xml:space="preserve">ommission nationale des droits de l’Homme à prendre part à </w:t>
      </w:r>
      <w:r w:rsidRPr="00586291">
        <w:rPr>
          <w:rFonts w:cs="Arial"/>
          <w:shd w:val="clear" w:color="auto" w:fill="FFFFFF"/>
        </w:rPr>
        <w:t>un atelier national de validation de l’avant-projet de loi sur la protection des défenseurs des droits humains à Lomé</w:t>
      </w:r>
      <w:r w:rsidR="008450F1">
        <w:rPr>
          <w:rStyle w:val="FootnoteReference"/>
          <w:rFonts w:cs="Arial"/>
          <w:shd w:val="clear" w:color="auto" w:fill="FFFFFF"/>
        </w:rPr>
        <w:footnoteReference w:id="4"/>
      </w:r>
      <w:r w:rsidRPr="00586291">
        <w:rPr>
          <w:rFonts w:cs="Arial"/>
          <w:shd w:val="clear" w:color="auto" w:fill="FFFFFF"/>
        </w:rPr>
        <w:t xml:space="preserve">. </w:t>
      </w:r>
      <w:r w:rsidR="00BE003B" w:rsidRPr="00586291">
        <w:rPr>
          <w:rFonts w:cs="Arial"/>
          <w:shd w:val="clear" w:color="auto" w:fill="FFFFFF"/>
        </w:rPr>
        <w:t>Ce</w:t>
      </w:r>
      <w:r w:rsidR="00440BFC">
        <w:rPr>
          <w:rFonts w:cs="Arial"/>
          <w:shd w:val="clear" w:color="auto" w:fill="FFFFFF"/>
        </w:rPr>
        <w:t>tte loi</w:t>
      </w:r>
      <w:r w:rsidR="00BE003B" w:rsidRPr="00586291">
        <w:rPr>
          <w:rFonts w:cs="Arial"/>
          <w:shd w:val="clear" w:color="auto" w:fill="FFFFFF"/>
        </w:rPr>
        <w:t xml:space="preserve"> </w:t>
      </w:r>
      <w:r w:rsidRPr="00586291">
        <w:rPr>
          <w:rFonts w:cs="Arial"/>
          <w:shd w:val="clear" w:color="auto" w:fill="FFFFFF"/>
        </w:rPr>
        <w:t xml:space="preserve">facilitera le travail des </w:t>
      </w:r>
      <w:r w:rsidR="00BE003B" w:rsidRPr="00586291">
        <w:rPr>
          <w:rFonts w:cs="Arial"/>
          <w:shd w:val="clear" w:color="auto" w:fill="FFFFFF"/>
        </w:rPr>
        <w:t>défenseurs des droits humains togolais</w:t>
      </w:r>
      <w:r w:rsidR="00503B67">
        <w:rPr>
          <w:rStyle w:val="FootnoteReference"/>
          <w:rFonts w:cs="Arial"/>
          <w:shd w:val="clear" w:color="auto" w:fill="FFFFFF"/>
        </w:rPr>
        <w:footnoteReference w:id="5"/>
      </w:r>
      <w:r w:rsidR="00BE003B" w:rsidRPr="00586291">
        <w:rPr>
          <w:rFonts w:cs="Arial"/>
          <w:shd w:val="clear" w:color="auto" w:fill="FFFFFF"/>
        </w:rPr>
        <w:t xml:space="preserve">. </w:t>
      </w:r>
      <w:r w:rsidRPr="00586291">
        <w:rPr>
          <w:rFonts w:cs="Arial"/>
          <w:shd w:val="clear" w:color="auto" w:fill="FFFFFF"/>
        </w:rPr>
        <w:t>Il est donc impératif qu’</w:t>
      </w:r>
      <w:r w:rsidR="00440BFC">
        <w:rPr>
          <w:rFonts w:cs="Arial"/>
          <w:shd w:val="clear" w:color="auto" w:fill="FFFFFF"/>
        </w:rPr>
        <w:t>elle</w:t>
      </w:r>
      <w:r w:rsidRPr="00586291">
        <w:rPr>
          <w:rFonts w:cs="Arial"/>
          <w:shd w:val="clear" w:color="auto" w:fill="FFFFFF"/>
        </w:rPr>
        <w:t xml:space="preserve"> soit adopté</w:t>
      </w:r>
      <w:r w:rsidR="00440BFC">
        <w:rPr>
          <w:rFonts w:cs="Arial"/>
          <w:shd w:val="clear" w:color="auto" w:fill="FFFFFF"/>
        </w:rPr>
        <w:t>e</w:t>
      </w:r>
      <w:r w:rsidRPr="00586291">
        <w:rPr>
          <w:rFonts w:cs="Arial"/>
          <w:shd w:val="clear" w:color="auto" w:fill="FFFFFF"/>
        </w:rPr>
        <w:t xml:space="preserve"> dans de </w:t>
      </w:r>
      <w:r w:rsidR="00E65FA1" w:rsidRPr="00586291">
        <w:rPr>
          <w:rFonts w:cs="Arial"/>
          <w:shd w:val="clear" w:color="auto" w:fill="FFFFFF"/>
        </w:rPr>
        <w:t>brefs</w:t>
      </w:r>
      <w:r w:rsidRPr="00586291">
        <w:rPr>
          <w:rFonts w:cs="Arial"/>
          <w:shd w:val="clear" w:color="auto" w:fill="FFFFFF"/>
        </w:rPr>
        <w:t xml:space="preserve"> délais</w:t>
      </w:r>
      <w:r w:rsidR="00BE003B" w:rsidRPr="00586291">
        <w:rPr>
          <w:rFonts w:cs="Arial"/>
          <w:shd w:val="clear" w:color="auto" w:fill="FFFFFF"/>
        </w:rPr>
        <w:t>.</w:t>
      </w:r>
    </w:p>
    <w:p w:rsidR="001E15EC" w:rsidRPr="00586291" w:rsidRDefault="001E15EC" w:rsidP="003B76B9">
      <w:pPr>
        <w:shd w:val="clear" w:color="auto" w:fill="FFFFFF"/>
        <w:spacing w:before="120" w:after="120" w:line="240" w:lineRule="auto"/>
        <w:jc w:val="both"/>
        <w:rPr>
          <w:rFonts w:cs="Arial"/>
          <w:shd w:val="clear" w:color="auto" w:fill="FFFFFF"/>
        </w:rPr>
      </w:pPr>
    </w:p>
    <w:p w:rsidR="00B6281B" w:rsidRPr="00586291" w:rsidRDefault="00B6281B"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586291">
        <w:rPr>
          <w:rStyle w:val="Strong"/>
          <w:rFonts w:asciiTheme="minorHAnsi" w:hAnsiTheme="minorHAnsi"/>
          <w:i/>
          <w:color w:val="000000"/>
          <w:sz w:val="22"/>
          <w:szCs w:val="22"/>
        </w:rPr>
        <w:t>Article 6</w:t>
      </w:r>
    </w:p>
    <w:p w:rsidR="00E65FA1" w:rsidRPr="00586291" w:rsidRDefault="00B6281B" w:rsidP="003B76B9">
      <w:pPr>
        <w:pStyle w:val="NormalWeb"/>
        <w:numPr>
          <w:ilvl w:val="3"/>
          <w:numId w:val="1"/>
        </w:numPr>
        <w:shd w:val="clear" w:color="auto" w:fill="FFFFFF"/>
        <w:spacing w:before="120" w:beforeAutospacing="0" w:after="120" w:afterAutospacing="0"/>
        <w:ind w:left="284" w:hanging="284"/>
        <w:jc w:val="both"/>
        <w:rPr>
          <w:rFonts w:asciiTheme="minorHAnsi" w:hAnsiTheme="minorHAnsi"/>
          <w:i/>
          <w:color w:val="000000"/>
          <w:sz w:val="22"/>
          <w:szCs w:val="22"/>
        </w:rPr>
      </w:pPr>
      <w:r w:rsidRPr="00586291">
        <w:rPr>
          <w:rFonts w:asciiTheme="minorHAnsi" w:hAnsiTheme="minorHAnsi"/>
          <w:i/>
          <w:color w:val="000000"/>
          <w:sz w:val="22"/>
          <w:szCs w:val="22"/>
        </w:rPr>
        <w:t>Le droit à la vie est inhérent à la personne humaine. Ce droit doit être protégé par la loi. Nul ne peut être arbitrairement privé de la vie.</w:t>
      </w:r>
      <w:r w:rsidR="001268D2" w:rsidRPr="00586291">
        <w:rPr>
          <w:rFonts w:asciiTheme="minorHAnsi" w:hAnsiTheme="minorHAnsi"/>
          <w:i/>
          <w:color w:val="000000"/>
          <w:sz w:val="22"/>
          <w:szCs w:val="22"/>
        </w:rPr>
        <w:t xml:space="preserve"> </w:t>
      </w:r>
    </w:p>
    <w:p w:rsidR="00E65FA1" w:rsidRPr="00586291" w:rsidRDefault="00E65FA1" w:rsidP="003B76B9">
      <w:pPr>
        <w:pStyle w:val="NormalWeb"/>
        <w:shd w:val="clear" w:color="auto" w:fill="FFFFFF"/>
        <w:spacing w:before="120" w:beforeAutospacing="0" w:after="120" w:afterAutospacing="0"/>
        <w:jc w:val="both"/>
        <w:rPr>
          <w:rFonts w:asciiTheme="minorHAnsi" w:hAnsiTheme="minorHAnsi"/>
          <w:color w:val="000000"/>
          <w:sz w:val="22"/>
          <w:szCs w:val="22"/>
        </w:rPr>
      </w:pPr>
      <w:r w:rsidRPr="00586291">
        <w:rPr>
          <w:rFonts w:asciiTheme="minorHAnsi" w:hAnsiTheme="minorHAnsi"/>
          <w:color w:val="000000"/>
          <w:sz w:val="22"/>
          <w:szCs w:val="22"/>
        </w:rPr>
        <w:t>L’insécurité est de plus en plus grandissante et les populations craignent pour leur vie.</w:t>
      </w:r>
    </w:p>
    <w:p w:rsidR="00444D50" w:rsidRPr="0025339E" w:rsidRDefault="00E65FA1" w:rsidP="003B76B9">
      <w:pPr>
        <w:pStyle w:val="NormalWeb"/>
        <w:shd w:val="clear" w:color="auto" w:fill="FFFFFF"/>
        <w:spacing w:before="120" w:beforeAutospacing="0" w:after="120" w:afterAutospacing="0"/>
        <w:jc w:val="both"/>
        <w:rPr>
          <w:rFonts w:asciiTheme="minorHAnsi" w:hAnsiTheme="minorHAnsi"/>
          <w:sz w:val="22"/>
          <w:szCs w:val="22"/>
        </w:rPr>
      </w:pPr>
      <w:r w:rsidRPr="00586291">
        <w:rPr>
          <w:rFonts w:asciiTheme="minorHAnsi" w:hAnsiTheme="minorHAnsi"/>
          <w:sz w:val="22"/>
          <w:szCs w:val="22"/>
        </w:rPr>
        <w:lastRenderedPageBreak/>
        <w:t xml:space="preserve">Le 07 janvier 2020 à Baguida </w:t>
      </w:r>
      <w:r w:rsidR="00BF2A16" w:rsidRPr="0025339E">
        <w:rPr>
          <w:rFonts w:asciiTheme="minorHAnsi" w:hAnsiTheme="minorHAnsi"/>
          <w:sz w:val="22"/>
          <w:szCs w:val="22"/>
        </w:rPr>
        <w:t>dans la banlieue de</w:t>
      </w:r>
      <w:r w:rsidRPr="0025339E">
        <w:rPr>
          <w:rFonts w:asciiTheme="minorHAnsi" w:hAnsiTheme="minorHAnsi"/>
          <w:sz w:val="22"/>
          <w:szCs w:val="22"/>
        </w:rPr>
        <w:t xml:space="preserve"> Lomé </w:t>
      </w:r>
      <w:r w:rsidR="00444D50" w:rsidRPr="0025339E">
        <w:rPr>
          <w:rFonts w:asciiTheme="minorHAnsi" w:hAnsiTheme="minorHAnsi"/>
          <w:sz w:val="22"/>
          <w:szCs w:val="22"/>
        </w:rPr>
        <w:t xml:space="preserve">Darina Wilson, </w:t>
      </w:r>
      <w:r w:rsidRPr="0025339E">
        <w:rPr>
          <w:rFonts w:asciiTheme="minorHAnsi" w:hAnsiTheme="minorHAnsi"/>
          <w:sz w:val="22"/>
          <w:szCs w:val="22"/>
        </w:rPr>
        <w:t>lauréate</w:t>
      </w:r>
      <w:r w:rsidR="00444D50" w:rsidRPr="0025339E">
        <w:rPr>
          <w:rFonts w:asciiTheme="minorHAnsi" w:hAnsiTheme="minorHAnsi"/>
          <w:sz w:val="22"/>
          <w:szCs w:val="22"/>
        </w:rPr>
        <w:t xml:space="preserve"> de la première édition de Miss Young People Nation </w:t>
      </w:r>
      <w:r w:rsidR="00BF2A16" w:rsidRPr="0025339E">
        <w:rPr>
          <w:rFonts w:asciiTheme="minorHAnsi" w:hAnsiTheme="minorHAnsi"/>
          <w:sz w:val="22"/>
          <w:szCs w:val="22"/>
        </w:rPr>
        <w:t xml:space="preserve">a été assassinée </w:t>
      </w:r>
      <w:r w:rsidRPr="0025339E">
        <w:rPr>
          <w:rFonts w:asciiTheme="minorHAnsi" w:hAnsiTheme="minorHAnsi"/>
          <w:sz w:val="22"/>
          <w:szCs w:val="22"/>
        </w:rPr>
        <w:t>par des personnes non identifiées</w:t>
      </w:r>
      <w:r w:rsidR="00444D50" w:rsidRPr="0025339E">
        <w:rPr>
          <w:rFonts w:asciiTheme="minorHAnsi" w:hAnsiTheme="minorHAnsi"/>
          <w:sz w:val="22"/>
          <w:szCs w:val="22"/>
        </w:rPr>
        <w:t xml:space="preserve">. Elle aurait été </w:t>
      </w:r>
      <w:r w:rsidRPr="0025339E">
        <w:rPr>
          <w:rFonts w:asciiTheme="minorHAnsi" w:hAnsiTheme="minorHAnsi"/>
          <w:sz w:val="22"/>
          <w:szCs w:val="22"/>
        </w:rPr>
        <w:t>poignardée</w:t>
      </w:r>
      <w:r w:rsidR="00444D50" w:rsidRPr="0025339E">
        <w:rPr>
          <w:rFonts w:asciiTheme="minorHAnsi" w:hAnsiTheme="minorHAnsi"/>
          <w:sz w:val="22"/>
          <w:szCs w:val="22"/>
        </w:rPr>
        <w:t xml:space="preserve"> </w:t>
      </w:r>
      <w:r w:rsidR="000B1665" w:rsidRPr="0025339E">
        <w:rPr>
          <w:rFonts w:asciiTheme="minorHAnsi" w:hAnsiTheme="minorHAnsi"/>
          <w:sz w:val="22"/>
          <w:szCs w:val="22"/>
        </w:rPr>
        <w:t xml:space="preserve">à plusieurs reprises alors qu’elle revenait de L’Ecole </w:t>
      </w:r>
      <w:r w:rsidRPr="0025339E">
        <w:rPr>
          <w:rFonts w:asciiTheme="minorHAnsi" w:hAnsiTheme="minorHAnsi"/>
          <w:sz w:val="22"/>
          <w:szCs w:val="22"/>
        </w:rPr>
        <w:t>Supérieure</w:t>
      </w:r>
      <w:r w:rsidR="000B1665" w:rsidRPr="0025339E">
        <w:rPr>
          <w:rFonts w:asciiTheme="minorHAnsi" w:hAnsiTheme="minorHAnsi"/>
          <w:sz w:val="22"/>
          <w:szCs w:val="22"/>
        </w:rPr>
        <w:t xml:space="preserve"> des Affaires (ESA)</w:t>
      </w:r>
      <w:r w:rsidR="00444D50" w:rsidRPr="0025339E">
        <w:rPr>
          <w:rFonts w:asciiTheme="minorHAnsi" w:hAnsiTheme="minorHAnsi"/>
          <w:sz w:val="22"/>
          <w:szCs w:val="22"/>
          <w:vertAlign w:val="superscript"/>
        </w:rPr>
        <w:footnoteReference w:id="6"/>
      </w:r>
      <w:r w:rsidR="00444D50" w:rsidRPr="0025339E">
        <w:rPr>
          <w:rFonts w:asciiTheme="minorHAnsi" w:hAnsiTheme="minorHAnsi"/>
          <w:sz w:val="22"/>
          <w:szCs w:val="22"/>
        </w:rPr>
        <w:t>.</w:t>
      </w:r>
    </w:p>
    <w:p w:rsidR="00027120" w:rsidRPr="0025339E" w:rsidRDefault="00E65FA1" w:rsidP="003B76B9">
      <w:pPr>
        <w:spacing w:before="120" w:after="120" w:line="240" w:lineRule="auto"/>
        <w:jc w:val="both"/>
      </w:pPr>
      <w:r w:rsidRPr="00586291">
        <w:rPr>
          <w:shd w:val="clear" w:color="auto" w:fill="FFFFFF"/>
        </w:rPr>
        <w:t>Le 13 avril 2019, agression physique par des militaires et décès de</w:t>
      </w:r>
      <w:r w:rsidR="00027120" w:rsidRPr="00586291">
        <w:rPr>
          <w:shd w:val="clear" w:color="auto" w:fill="FFFFFF"/>
        </w:rPr>
        <w:t> </w:t>
      </w:r>
      <w:r w:rsidR="00027120" w:rsidRPr="00586291">
        <w:rPr>
          <w:rStyle w:val="Strong"/>
          <w:b w:val="0"/>
          <w:shd w:val="clear" w:color="auto" w:fill="FFFFFF"/>
        </w:rPr>
        <w:t>Ziedhine Traoré</w:t>
      </w:r>
      <w:r w:rsidR="00F65A82" w:rsidRPr="0025339E">
        <w:rPr>
          <w:rStyle w:val="FootnoteReference"/>
        </w:rPr>
        <w:footnoteReference w:id="7"/>
      </w:r>
      <w:r w:rsidR="00027120" w:rsidRPr="00586291">
        <w:rPr>
          <w:shd w:val="clear" w:color="auto" w:fill="FFFFFF"/>
        </w:rPr>
        <w:t xml:space="preserve">, militant </w:t>
      </w:r>
      <w:r w:rsidRPr="00586291">
        <w:rPr>
          <w:shd w:val="clear" w:color="auto" w:fill="FFFFFF"/>
        </w:rPr>
        <w:t xml:space="preserve">du </w:t>
      </w:r>
      <w:r w:rsidR="008725B2">
        <w:rPr>
          <w:shd w:val="clear" w:color="auto" w:fill="FFFFFF"/>
        </w:rPr>
        <w:t>Parti national panafricain (</w:t>
      </w:r>
      <w:r w:rsidR="00027120" w:rsidRPr="00586291">
        <w:rPr>
          <w:shd w:val="clear" w:color="auto" w:fill="FFFFFF"/>
        </w:rPr>
        <w:t>PNP</w:t>
      </w:r>
      <w:r w:rsidR="008725B2">
        <w:rPr>
          <w:shd w:val="clear" w:color="auto" w:fill="FFFFFF"/>
        </w:rPr>
        <w:t>)</w:t>
      </w:r>
      <w:r w:rsidR="00A74113">
        <w:rPr>
          <w:shd w:val="clear" w:color="auto" w:fill="FFFFFF"/>
        </w:rPr>
        <w:t xml:space="preserve">, </w:t>
      </w:r>
      <w:r w:rsidR="00A74113" w:rsidRPr="00586291">
        <w:rPr>
          <w:rStyle w:val="Strong"/>
          <w:b w:val="0"/>
          <w:shd w:val="clear" w:color="auto" w:fill="FFFFFF"/>
        </w:rPr>
        <w:t>à Bafilo</w:t>
      </w:r>
      <w:r w:rsidR="00027120" w:rsidRPr="00586291">
        <w:rPr>
          <w:shd w:val="clear" w:color="auto" w:fill="FFFFFF"/>
        </w:rPr>
        <w:t xml:space="preserve"> </w:t>
      </w:r>
      <w:r w:rsidRPr="00586291">
        <w:rPr>
          <w:shd w:val="clear" w:color="auto" w:fill="FFFFFF"/>
        </w:rPr>
        <w:t>lors d</w:t>
      </w:r>
      <w:r w:rsidR="00A74113">
        <w:rPr>
          <w:shd w:val="clear" w:color="auto" w:fill="FFFFFF"/>
        </w:rPr>
        <w:t>’une</w:t>
      </w:r>
      <w:r w:rsidR="00027120" w:rsidRPr="00586291">
        <w:rPr>
          <w:shd w:val="clear" w:color="auto" w:fill="FFFFFF"/>
        </w:rPr>
        <w:t xml:space="preserve"> manifestation pacifique</w:t>
      </w:r>
      <w:r w:rsidR="00027120" w:rsidRPr="0025339E">
        <w:rPr>
          <w:rStyle w:val="FootnoteReference"/>
          <w:color w:val="222222"/>
          <w:shd w:val="clear" w:color="auto" w:fill="FFFFFF"/>
        </w:rPr>
        <w:footnoteReference w:id="8"/>
      </w:r>
      <w:r w:rsidR="00A74113">
        <w:rPr>
          <w:shd w:val="clear" w:color="auto" w:fill="FFFFFF"/>
        </w:rPr>
        <w:t>.</w:t>
      </w:r>
    </w:p>
    <w:p w:rsidR="00F05A1D" w:rsidRPr="00586291" w:rsidRDefault="000B1665" w:rsidP="003B76B9">
      <w:pPr>
        <w:pStyle w:val="NormalWeb"/>
        <w:shd w:val="clear" w:color="auto" w:fill="FFFFFF"/>
        <w:spacing w:before="120" w:beforeAutospacing="0" w:after="120" w:afterAutospacing="0"/>
        <w:jc w:val="both"/>
        <w:rPr>
          <w:rFonts w:asciiTheme="minorHAnsi" w:hAnsiTheme="minorHAnsi"/>
          <w:sz w:val="22"/>
          <w:szCs w:val="22"/>
        </w:rPr>
      </w:pPr>
      <w:r w:rsidRPr="00586291">
        <w:rPr>
          <w:rFonts w:asciiTheme="minorHAnsi" w:hAnsiTheme="minorHAnsi"/>
          <w:sz w:val="22"/>
          <w:szCs w:val="22"/>
        </w:rPr>
        <w:t xml:space="preserve">Le 08 décembre 2018, </w:t>
      </w:r>
      <w:r w:rsidR="00E65FA1" w:rsidRPr="00586291">
        <w:rPr>
          <w:rFonts w:asciiTheme="minorHAnsi" w:hAnsiTheme="minorHAnsi"/>
          <w:sz w:val="22"/>
          <w:szCs w:val="22"/>
        </w:rPr>
        <w:t>assassinat par balle du jeune IDRISSOU Moufidou, âgé de 12 ans par les</w:t>
      </w:r>
      <w:r w:rsidRPr="00586291">
        <w:rPr>
          <w:rFonts w:asciiTheme="minorHAnsi" w:hAnsiTheme="minorHAnsi"/>
          <w:sz w:val="22"/>
          <w:szCs w:val="22"/>
        </w:rPr>
        <w:t xml:space="preserve"> forces de l’ordre dispers</w:t>
      </w:r>
      <w:r w:rsidR="00E65FA1" w:rsidRPr="00586291">
        <w:rPr>
          <w:rFonts w:asciiTheme="minorHAnsi" w:hAnsiTheme="minorHAnsi"/>
          <w:sz w:val="22"/>
          <w:szCs w:val="22"/>
        </w:rPr>
        <w:t>a</w:t>
      </w:r>
      <w:r w:rsidRPr="00586291">
        <w:rPr>
          <w:rFonts w:asciiTheme="minorHAnsi" w:hAnsiTheme="minorHAnsi"/>
          <w:sz w:val="22"/>
          <w:szCs w:val="22"/>
        </w:rPr>
        <w:t>nt les manifestants à Togblékopé</w:t>
      </w:r>
      <w:r w:rsidR="00F05A1D" w:rsidRPr="00586291">
        <w:rPr>
          <w:rFonts w:asciiTheme="minorHAnsi" w:hAnsiTheme="minorHAnsi"/>
          <w:sz w:val="22"/>
          <w:szCs w:val="22"/>
        </w:rPr>
        <w:t xml:space="preserve"> à bord d’un véhicule 4x4 immatriculé TG 0879 AY</w:t>
      </w:r>
      <w:r w:rsidRPr="00586291">
        <w:rPr>
          <w:rFonts w:asciiTheme="minorHAnsi" w:hAnsiTheme="minorHAnsi"/>
          <w:sz w:val="22"/>
          <w:szCs w:val="22"/>
        </w:rPr>
        <w:t xml:space="preserve">, alors qu’il </w:t>
      </w:r>
      <w:r w:rsidR="00E65FA1" w:rsidRPr="00586291">
        <w:rPr>
          <w:rFonts w:asciiTheme="minorHAnsi" w:hAnsiTheme="minorHAnsi"/>
          <w:sz w:val="22"/>
          <w:szCs w:val="22"/>
        </w:rPr>
        <w:t>essayait</w:t>
      </w:r>
      <w:r w:rsidRPr="00586291">
        <w:rPr>
          <w:rFonts w:asciiTheme="minorHAnsi" w:hAnsiTheme="minorHAnsi"/>
          <w:sz w:val="22"/>
          <w:szCs w:val="22"/>
        </w:rPr>
        <w:t xml:space="preserve"> </w:t>
      </w:r>
      <w:r w:rsidR="00E65FA1" w:rsidRPr="00586291">
        <w:rPr>
          <w:rFonts w:asciiTheme="minorHAnsi" w:hAnsiTheme="minorHAnsi"/>
          <w:sz w:val="22"/>
          <w:szCs w:val="22"/>
        </w:rPr>
        <w:t>d</w:t>
      </w:r>
      <w:r w:rsidRPr="00586291">
        <w:rPr>
          <w:rFonts w:asciiTheme="minorHAnsi" w:hAnsiTheme="minorHAnsi"/>
          <w:sz w:val="22"/>
          <w:szCs w:val="22"/>
        </w:rPr>
        <w:t>’échappe</w:t>
      </w:r>
      <w:r w:rsidR="00E65FA1" w:rsidRPr="00586291">
        <w:rPr>
          <w:rFonts w:asciiTheme="minorHAnsi" w:hAnsiTheme="minorHAnsi"/>
          <w:sz w:val="22"/>
          <w:szCs w:val="22"/>
        </w:rPr>
        <w:t>r aux jets des gaz lacrymogènes</w:t>
      </w:r>
      <w:r w:rsidRPr="00586291">
        <w:rPr>
          <w:rFonts w:asciiTheme="minorHAnsi" w:hAnsiTheme="minorHAnsi"/>
          <w:sz w:val="22"/>
          <w:szCs w:val="22"/>
        </w:rPr>
        <w:t xml:space="preserve">. </w:t>
      </w:r>
    </w:p>
    <w:p w:rsidR="00444D50" w:rsidRDefault="000B1665" w:rsidP="003B76B9">
      <w:pPr>
        <w:pStyle w:val="NormalWeb"/>
        <w:shd w:val="clear" w:color="auto" w:fill="FFFFFF"/>
        <w:spacing w:before="120" w:beforeAutospacing="0" w:after="120" w:afterAutospacing="0"/>
        <w:jc w:val="both"/>
        <w:rPr>
          <w:rFonts w:asciiTheme="minorHAnsi" w:hAnsiTheme="minorHAnsi"/>
          <w:sz w:val="22"/>
          <w:szCs w:val="22"/>
        </w:rPr>
      </w:pPr>
      <w:r w:rsidRPr="00586291">
        <w:rPr>
          <w:rFonts w:asciiTheme="minorHAnsi" w:hAnsiTheme="minorHAnsi"/>
          <w:sz w:val="22"/>
          <w:szCs w:val="22"/>
        </w:rPr>
        <w:t xml:space="preserve">Le 11 décembre 2018, </w:t>
      </w:r>
      <w:r w:rsidR="00F05A1D" w:rsidRPr="00586291">
        <w:rPr>
          <w:rFonts w:asciiTheme="minorHAnsi" w:hAnsiTheme="minorHAnsi"/>
          <w:sz w:val="22"/>
          <w:szCs w:val="22"/>
        </w:rPr>
        <w:t xml:space="preserve">le jeune SOWOU Georges </w:t>
      </w:r>
      <w:r w:rsidRPr="00586291">
        <w:rPr>
          <w:rFonts w:asciiTheme="minorHAnsi" w:hAnsiTheme="minorHAnsi"/>
          <w:sz w:val="22"/>
          <w:szCs w:val="22"/>
        </w:rPr>
        <w:t>âgé de 13 ans, a reçu une balle à l’abdomen et a été sauvé grâce à la vigilance des organisations de droits de l’Homme qui ont apporté leur soutien en le transportant au CHU S</w:t>
      </w:r>
      <w:r w:rsidR="00321445" w:rsidRPr="00586291">
        <w:rPr>
          <w:rFonts w:asciiTheme="minorHAnsi" w:hAnsiTheme="minorHAnsi"/>
          <w:sz w:val="22"/>
          <w:szCs w:val="22"/>
        </w:rPr>
        <w:t>ylv</w:t>
      </w:r>
      <w:r w:rsidR="00321445" w:rsidRPr="0025339E">
        <w:rPr>
          <w:rFonts w:asciiTheme="minorHAnsi" w:hAnsiTheme="minorHAnsi"/>
          <w:sz w:val="22"/>
          <w:szCs w:val="22"/>
        </w:rPr>
        <w:t xml:space="preserve">anus </w:t>
      </w:r>
      <w:r w:rsidRPr="0025339E">
        <w:rPr>
          <w:rFonts w:asciiTheme="minorHAnsi" w:hAnsiTheme="minorHAnsi"/>
          <w:sz w:val="22"/>
          <w:szCs w:val="22"/>
        </w:rPr>
        <w:t>O</w:t>
      </w:r>
      <w:r w:rsidR="00321445" w:rsidRPr="0025339E">
        <w:rPr>
          <w:rFonts w:asciiTheme="minorHAnsi" w:hAnsiTheme="minorHAnsi"/>
          <w:sz w:val="22"/>
          <w:szCs w:val="22"/>
        </w:rPr>
        <w:t>lympio</w:t>
      </w:r>
      <w:r w:rsidRPr="0025339E">
        <w:rPr>
          <w:rFonts w:asciiTheme="minorHAnsi" w:hAnsiTheme="minorHAnsi"/>
          <w:sz w:val="22"/>
          <w:szCs w:val="22"/>
        </w:rPr>
        <w:t xml:space="preserve"> pour une opération chirurgicale</w:t>
      </w:r>
      <w:r w:rsidRPr="0025339E">
        <w:rPr>
          <w:rStyle w:val="FootnoteReference"/>
          <w:rFonts w:asciiTheme="minorHAnsi" w:hAnsiTheme="minorHAnsi"/>
          <w:sz w:val="22"/>
          <w:szCs w:val="22"/>
        </w:rPr>
        <w:footnoteReference w:id="9"/>
      </w:r>
      <w:r w:rsidRPr="0025339E">
        <w:rPr>
          <w:rFonts w:asciiTheme="minorHAnsi" w:hAnsiTheme="minorHAnsi"/>
          <w:sz w:val="22"/>
          <w:szCs w:val="22"/>
        </w:rPr>
        <w:t>.</w:t>
      </w:r>
    </w:p>
    <w:p w:rsidR="001E15EC" w:rsidRPr="0025339E" w:rsidRDefault="001E15EC" w:rsidP="003B76B9">
      <w:pPr>
        <w:pStyle w:val="NormalWeb"/>
        <w:shd w:val="clear" w:color="auto" w:fill="FFFFFF"/>
        <w:spacing w:before="120" w:beforeAutospacing="0" w:after="120" w:afterAutospacing="0"/>
        <w:jc w:val="both"/>
        <w:rPr>
          <w:rFonts w:asciiTheme="minorHAnsi" w:hAnsiTheme="minorHAnsi"/>
          <w:color w:val="000000"/>
          <w:sz w:val="22"/>
          <w:szCs w:val="22"/>
        </w:rPr>
      </w:pPr>
    </w:p>
    <w:p w:rsidR="00B6281B" w:rsidRPr="0025339E" w:rsidRDefault="00B6281B"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25339E">
        <w:rPr>
          <w:rStyle w:val="Strong"/>
          <w:rFonts w:asciiTheme="minorHAnsi" w:hAnsiTheme="minorHAnsi"/>
          <w:i/>
          <w:color w:val="000000"/>
          <w:sz w:val="22"/>
          <w:szCs w:val="22"/>
        </w:rPr>
        <w:t>Article 7</w:t>
      </w:r>
    </w:p>
    <w:p w:rsidR="00B6281B" w:rsidRPr="00586291" w:rsidRDefault="00B6281B"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586291">
        <w:rPr>
          <w:rFonts w:asciiTheme="minorHAnsi" w:hAnsiTheme="minorHAnsi"/>
          <w:i/>
          <w:color w:val="000000"/>
          <w:sz w:val="22"/>
          <w:szCs w:val="22"/>
        </w:rPr>
        <w:t>Nul ne sera soumis à la torture ni à des peines ou traitements cruels, inhumains ou dégradants. En particulier, il est interdit de soumettre une personne sans son libre consentement à une expérience médicale ou scientifique.</w:t>
      </w:r>
    </w:p>
    <w:p w:rsidR="00B966E4" w:rsidRPr="00586291" w:rsidRDefault="00B966E4" w:rsidP="003B76B9">
      <w:pPr>
        <w:pStyle w:val="NormalWeb"/>
        <w:shd w:val="clear" w:color="auto" w:fill="FFFFFF"/>
        <w:spacing w:before="120" w:beforeAutospacing="0" w:after="120" w:afterAutospacing="0"/>
        <w:jc w:val="both"/>
        <w:rPr>
          <w:rFonts w:asciiTheme="minorHAnsi" w:hAnsiTheme="minorHAnsi"/>
          <w:sz w:val="22"/>
          <w:szCs w:val="22"/>
        </w:rPr>
      </w:pPr>
      <w:r w:rsidRPr="00586291">
        <w:rPr>
          <w:rFonts w:asciiTheme="minorHAnsi" w:hAnsiTheme="minorHAnsi"/>
          <w:color w:val="000000"/>
          <w:sz w:val="22"/>
          <w:szCs w:val="22"/>
        </w:rPr>
        <w:t>La surpopulation carcérale reste un fait inquiétant au Togo.</w:t>
      </w:r>
      <w:r w:rsidR="00F05A1D" w:rsidRPr="00586291">
        <w:rPr>
          <w:rFonts w:asciiTheme="minorHAnsi" w:hAnsiTheme="minorHAnsi"/>
          <w:color w:val="000000"/>
          <w:sz w:val="22"/>
          <w:szCs w:val="22"/>
        </w:rPr>
        <w:t xml:space="preserve"> Les</w:t>
      </w:r>
      <w:r w:rsidRPr="00586291">
        <w:rPr>
          <w:rFonts w:asciiTheme="minorHAnsi" w:hAnsiTheme="minorHAnsi"/>
          <w:color w:val="000000"/>
          <w:sz w:val="22"/>
          <w:szCs w:val="22"/>
        </w:rPr>
        <w:t xml:space="preserve"> conditions de détention et sanitaires restent alarmantes.</w:t>
      </w:r>
      <w:r w:rsidR="00AC6085" w:rsidRPr="00586291">
        <w:rPr>
          <w:rFonts w:asciiTheme="minorHAnsi" w:hAnsiTheme="minorHAnsi"/>
          <w:color w:val="000000"/>
          <w:sz w:val="22"/>
          <w:szCs w:val="22"/>
        </w:rPr>
        <w:t xml:space="preserve"> D</w:t>
      </w:r>
      <w:r w:rsidRPr="00586291">
        <w:rPr>
          <w:rFonts w:asciiTheme="minorHAnsi" w:hAnsiTheme="minorHAnsi"/>
          <w:color w:val="000000"/>
          <w:sz w:val="22"/>
          <w:szCs w:val="22"/>
        </w:rPr>
        <w:t xml:space="preserve">es 12 prisons que compte le Togo seules les </w:t>
      </w:r>
      <w:r w:rsidR="00AC6085" w:rsidRPr="00586291">
        <w:rPr>
          <w:rFonts w:asciiTheme="minorHAnsi" w:hAnsiTheme="minorHAnsi"/>
          <w:sz w:val="22"/>
          <w:szCs w:val="22"/>
        </w:rPr>
        <w:t>données de 6</w:t>
      </w:r>
      <w:r w:rsidRPr="00586291">
        <w:rPr>
          <w:rFonts w:asciiTheme="minorHAnsi" w:hAnsiTheme="minorHAnsi"/>
          <w:sz w:val="22"/>
          <w:szCs w:val="22"/>
        </w:rPr>
        <w:t xml:space="preserve"> prisons</w:t>
      </w:r>
      <w:r w:rsidR="00AC6085" w:rsidRPr="00586291">
        <w:rPr>
          <w:rFonts w:asciiTheme="minorHAnsi" w:hAnsiTheme="minorHAnsi"/>
          <w:sz w:val="22"/>
          <w:szCs w:val="22"/>
        </w:rPr>
        <w:t> :</w:t>
      </w:r>
      <w:r w:rsidRPr="00586291">
        <w:rPr>
          <w:rFonts w:asciiTheme="minorHAnsi" w:hAnsiTheme="minorHAnsi"/>
          <w:sz w:val="22"/>
          <w:szCs w:val="22"/>
        </w:rPr>
        <w:t xml:space="preserve"> Lomé, Mango, Sokodé, Kpalimé, Vogan et de Kara ont été actualisées.</w:t>
      </w:r>
      <w:r w:rsidR="00AC6085" w:rsidRPr="00586291">
        <w:rPr>
          <w:rFonts w:asciiTheme="minorHAnsi" w:hAnsiTheme="minorHAnsi"/>
          <w:sz w:val="22"/>
          <w:szCs w:val="22"/>
        </w:rPr>
        <w:t xml:space="preserve"> Sur </w:t>
      </w:r>
      <w:r w:rsidR="00F05A1D" w:rsidRPr="00586291">
        <w:rPr>
          <w:rFonts w:asciiTheme="minorHAnsi" w:hAnsiTheme="minorHAnsi"/>
          <w:sz w:val="22"/>
          <w:szCs w:val="22"/>
        </w:rPr>
        <w:t>une</w:t>
      </w:r>
      <w:r w:rsidR="00AC6085" w:rsidRPr="00586291">
        <w:rPr>
          <w:rFonts w:asciiTheme="minorHAnsi" w:hAnsiTheme="minorHAnsi"/>
          <w:sz w:val="22"/>
          <w:szCs w:val="22"/>
        </w:rPr>
        <w:t xml:space="preserve"> capacité de 666 places, la prison de Lomé compte 1887 détenus</w:t>
      </w:r>
      <w:r w:rsidR="00AC6085" w:rsidRPr="00586291">
        <w:rPr>
          <w:rStyle w:val="FootnoteReference"/>
          <w:rFonts w:asciiTheme="minorHAnsi" w:hAnsiTheme="minorHAnsi"/>
          <w:sz w:val="22"/>
          <w:szCs w:val="22"/>
        </w:rPr>
        <w:footnoteReference w:id="10"/>
      </w:r>
      <w:r w:rsidR="00AC6085" w:rsidRPr="00586291">
        <w:rPr>
          <w:rFonts w:asciiTheme="minorHAnsi" w:hAnsiTheme="minorHAnsi"/>
          <w:sz w:val="22"/>
          <w:szCs w:val="22"/>
        </w:rPr>
        <w:t>.</w:t>
      </w:r>
    </w:p>
    <w:p w:rsidR="00027120" w:rsidRDefault="00F05A1D" w:rsidP="003B76B9">
      <w:pPr>
        <w:pStyle w:val="NormalWeb"/>
        <w:shd w:val="clear" w:color="auto" w:fill="FFFFFF"/>
        <w:spacing w:before="120" w:beforeAutospacing="0" w:after="120" w:afterAutospacing="0"/>
        <w:jc w:val="both"/>
        <w:rPr>
          <w:rFonts w:asciiTheme="minorHAnsi" w:hAnsiTheme="minorHAnsi"/>
          <w:color w:val="222222"/>
          <w:sz w:val="22"/>
          <w:szCs w:val="22"/>
          <w:shd w:val="clear" w:color="auto" w:fill="FFFFFF"/>
        </w:rPr>
      </w:pPr>
      <w:r w:rsidRPr="00586291">
        <w:rPr>
          <w:rStyle w:val="Strong"/>
          <w:rFonts w:asciiTheme="minorHAnsi" w:hAnsiTheme="minorHAnsi"/>
          <w:b w:val="0"/>
          <w:sz w:val="22"/>
          <w:szCs w:val="22"/>
          <w:shd w:val="clear" w:color="auto" w:fill="FFFFFF"/>
        </w:rPr>
        <w:t xml:space="preserve">Par ailleurs, le </w:t>
      </w:r>
      <w:r w:rsidR="00027120" w:rsidRPr="00586291">
        <w:rPr>
          <w:rStyle w:val="Strong"/>
          <w:rFonts w:asciiTheme="minorHAnsi" w:hAnsiTheme="minorHAnsi"/>
          <w:b w:val="0"/>
          <w:sz w:val="22"/>
          <w:szCs w:val="22"/>
          <w:shd w:val="clear" w:color="auto" w:fill="FFFFFF"/>
        </w:rPr>
        <w:t>12 avril 2019</w:t>
      </w:r>
      <w:r w:rsidR="00027120" w:rsidRPr="00586291">
        <w:rPr>
          <w:rFonts w:asciiTheme="minorHAnsi" w:hAnsiTheme="minorHAnsi"/>
          <w:sz w:val="22"/>
          <w:szCs w:val="22"/>
          <w:shd w:val="clear" w:color="auto" w:fill="FFFFFF"/>
        </w:rPr>
        <w:t xml:space="preserve">, </w:t>
      </w:r>
      <w:r w:rsidR="000A24C9" w:rsidRPr="00586291">
        <w:rPr>
          <w:rFonts w:asciiTheme="minorHAnsi" w:hAnsiTheme="minorHAnsi"/>
          <w:sz w:val="22"/>
          <w:szCs w:val="22"/>
          <w:shd w:val="clear" w:color="auto" w:fill="FFFFFF"/>
        </w:rPr>
        <w:t>à la veille de la marche pacifique du PNP</w:t>
      </w:r>
      <w:r w:rsidR="00004310" w:rsidRPr="00586291">
        <w:rPr>
          <w:rFonts w:asciiTheme="minorHAnsi" w:hAnsiTheme="minorHAnsi"/>
          <w:sz w:val="22"/>
          <w:szCs w:val="22"/>
          <w:shd w:val="clear" w:color="auto" w:fill="FFFFFF"/>
        </w:rPr>
        <w:t xml:space="preserve"> prévu le 13 avril 2019</w:t>
      </w:r>
      <w:r w:rsidR="000A24C9" w:rsidRPr="00586291">
        <w:rPr>
          <w:rFonts w:asciiTheme="minorHAnsi" w:hAnsiTheme="minorHAnsi"/>
          <w:sz w:val="22"/>
          <w:szCs w:val="22"/>
          <w:shd w:val="clear" w:color="auto" w:fill="FFFFFF"/>
        </w:rPr>
        <w:t xml:space="preserve">, </w:t>
      </w:r>
      <w:r w:rsidR="00027120" w:rsidRPr="00586291">
        <w:rPr>
          <w:rFonts w:asciiTheme="minorHAnsi" w:hAnsiTheme="minorHAnsi"/>
          <w:sz w:val="22"/>
          <w:szCs w:val="22"/>
          <w:shd w:val="clear" w:color="auto" w:fill="FFFFFF"/>
        </w:rPr>
        <w:t>des militaires ont fait irruption dans la ville de </w:t>
      </w:r>
      <w:r w:rsidR="00027120" w:rsidRPr="00586291">
        <w:rPr>
          <w:rStyle w:val="Strong"/>
          <w:rFonts w:asciiTheme="minorHAnsi" w:hAnsiTheme="minorHAnsi"/>
          <w:b w:val="0"/>
          <w:sz w:val="22"/>
          <w:szCs w:val="22"/>
          <w:shd w:val="clear" w:color="auto" w:fill="FFFFFF"/>
        </w:rPr>
        <w:t>Kpalimé</w:t>
      </w:r>
      <w:r w:rsidR="00027120" w:rsidRPr="00586291">
        <w:rPr>
          <w:rFonts w:asciiTheme="minorHAnsi" w:hAnsiTheme="minorHAnsi"/>
          <w:sz w:val="22"/>
          <w:szCs w:val="22"/>
          <w:shd w:val="clear" w:color="auto" w:fill="FFFFFF"/>
        </w:rPr>
        <w:t xml:space="preserve">, et </w:t>
      </w:r>
      <w:r w:rsidRPr="00586291">
        <w:rPr>
          <w:rFonts w:asciiTheme="minorHAnsi" w:hAnsiTheme="minorHAnsi"/>
          <w:sz w:val="22"/>
          <w:szCs w:val="22"/>
          <w:shd w:val="clear" w:color="auto" w:fill="FFFFFF"/>
        </w:rPr>
        <w:t xml:space="preserve">y </w:t>
      </w:r>
      <w:r w:rsidR="00027120" w:rsidRPr="00586291">
        <w:rPr>
          <w:rFonts w:asciiTheme="minorHAnsi" w:hAnsiTheme="minorHAnsi"/>
          <w:sz w:val="22"/>
          <w:szCs w:val="22"/>
          <w:shd w:val="clear" w:color="auto" w:fill="FFFFFF"/>
        </w:rPr>
        <w:t xml:space="preserve">ont </w:t>
      </w:r>
      <w:r w:rsidRPr="00586291">
        <w:rPr>
          <w:rFonts w:asciiTheme="minorHAnsi" w:hAnsiTheme="minorHAnsi"/>
          <w:sz w:val="22"/>
          <w:szCs w:val="22"/>
          <w:shd w:val="clear" w:color="auto" w:fill="FFFFFF"/>
        </w:rPr>
        <w:t>porté atteinte à l’intégrité physique des</w:t>
      </w:r>
      <w:r w:rsidR="00027120" w:rsidRPr="00586291">
        <w:rPr>
          <w:rFonts w:asciiTheme="minorHAnsi" w:hAnsiTheme="minorHAnsi"/>
          <w:sz w:val="22"/>
          <w:szCs w:val="22"/>
          <w:shd w:val="clear" w:color="auto" w:fill="FFFFFF"/>
        </w:rPr>
        <w:t xml:space="preserve"> population</w:t>
      </w:r>
      <w:r w:rsidRPr="00586291">
        <w:rPr>
          <w:rFonts w:asciiTheme="minorHAnsi" w:hAnsiTheme="minorHAnsi"/>
          <w:sz w:val="22"/>
          <w:szCs w:val="22"/>
          <w:shd w:val="clear" w:color="auto" w:fill="FFFFFF"/>
        </w:rPr>
        <w:t>s</w:t>
      </w:r>
      <w:r w:rsidR="00027120" w:rsidRPr="00586291">
        <w:rPr>
          <w:rStyle w:val="FootnoteReference"/>
          <w:rFonts w:asciiTheme="minorHAnsi" w:hAnsiTheme="minorHAnsi"/>
          <w:color w:val="444444"/>
          <w:sz w:val="22"/>
          <w:szCs w:val="22"/>
          <w:shd w:val="clear" w:color="auto" w:fill="FFFFFF"/>
        </w:rPr>
        <w:footnoteReference w:id="11"/>
      </w:r>
      <w:r w:rsidR="00B9082E" w:rsidRPr="00586291">
        <w:rPr>
          <w:rFonts w:asciiTheme="minorHAnsi" w:hAnsiTheme="minorHAnsi"/>
          <w:color w:val="444444"/>
          <w:sz w:val="22"/>
          <w:szCs w:val="22"/>
          <w:shd w:val="clear" w:color="auto" w:fill="FFFFFF"/>
        </w:rPr>
        <w:t>.</w:t>
      </w:r>
      <w:r w:rsidR="00027120" w:rsidRPr="00586291">
        <w:rPr>
          <w:rFonts w:asciiTheme="minorHAnsi" w:hAnsiTheme="minorHAnsi"/>
          <w:color w:val="222222"/>
          <w:sz w:val="22"/>
          <w:szCs w:val="22"/>
          <w:shd w:val="clear" w:color="auto" w:fill="FFFFFF"/>
        </w:rPr>
        <w:t xml:space="preserve"> </w:t>
      </w:r>
    </w:p>
    <w:p w:rsidR="006236C3" w:rsidRPr="00586291" w:rsidRDefault="006236C3" w:rsidP="003B76B9">
      <w:pPr>
        <w:pStyle w:val="NormalWeb"/>
        <w:shd w:val="clear" w:color="auto" w:fill="FFFFFF"/>
        <w:spacing w:before="120" w:beforeAutospacing="0" w:after="120" w:afterAutospacing="0"/>
        <w:jc w:val="both"/>
        <w:rPr>
          <w:rFonts w:asciiTheme="minorHAnsi" w:hAnsiTheme="minorHAnsi"/>
          <w:color w:val="222222"/>
          <w:sz w:val="22"/>
          <w:szCs w:val="22"/>
          <w:shd w:val="clear" w:color="auto" w:fill="FFFFFF"/>
        </w:rPr>
      </w:pPr>
      <w:r>
        <w:rPr>
          <w:rFonts w:asciiTheme="minorHAnsi" w:hAnsiTheme="minorHAnsi"/>
          <w:color w:val="222222"/>
          <w:sz w:val="22"/>
          <w:szCs w:val="22"/>
          <w:shd w:val="clear" w:color="auto" w:fill="FFFFFF"/>
        </w:rPr>
        <w:t xml:space="preserve">Il est à noter que l’usage excessif de la force par les forces de sécurité a fait l’objet de plusieurs communications des Procédures spéciales des Nations Unies ces dernières années (TGO 1/2016 ; TGO 1/2018 ; TGO 2/2018). </w:t>
      </w:r>
      <w:r w:rsidR="00173CBD">
        <w:rPr>
          <w:rFonts w:asciiTheme="minorHAnsi" w:hAnsiTheme="minorHAnsi"/>
          <w:color w:val="222222"/>
          <w:sz w:val="22"/>
          <w:szCs w:val="22"/>
          <w:shd w:val="clear" w:color="auto" w:fill="FFFFFF"/>
        </w:rPr>
        <w:t>Concernant la question de la torture, il est à noter que le Comité contre la torture, suite à son examen récent</w:t>
      </w:r>
      <w:r w:rsidR="00173CBD">
        <w:rPr>
          <w:rStyle w:val="FootnoteReference"/>
          <w:rFonts w:asciiTheme="minorHAnsi" w:hAnsiTheme="minorHAnsi"/>
          <w:color w:val="222222"/>
          <w:sz w:val="22"/>
          <w:szCs w:val="22"/>
          <w:shd w:val="clear" w:color="auto" w:fill="FFFFFF"/>
        </w:rPr>
        <w:footnoteReference w:id="12"/>
      </w:r>
      <w:r w:rsidR="00173CBD">
        <w:rPr>
          <w:rFonts w:asciiTheme="minorHAnsi" w:hAnsiTheme="minorHAnsi"/>
          <w:color w:val="222222"/>
          <w:sz w:val="22"/>
          <w:szCs w:val="22"/>
          <w:shd w:val="clear" w:color="auto" w:fill="FFFFFF"/>
        </w:rPr>
        <w:t xml:space="preserve">, a demandé au Togo de prendre plusieurs mesures d’urgence, y compris </w:t>
      </w:r>
      <w:r w:rsidR="00C333C2">
        <w:rPr>
          <w:rFonts w:asciiTheme="minorHAnsi" w:hAnsiTheme="minorHAnsi"/>
          <w:color w:val="222222"/>
          <w:sz w:val="22"/>
          <w:szCs w:val="22"/>
          <w:shd w:val="clear" w:color="auto" w:fill="FFFFFF"/>
        </w:rPr>
        <w:t>de f</w:t>
      </w:r>
      <w:r w:rsidR="00C333C2" w:rsidRPr="00C333C2">
        <w:rPr>
          <w:rFonts w:asciiTheme="minorHAnsi" w:hAnsiTheme="minorHAnsi"/>
          <w:color w:val="222222"/>
          <w:sz w:val="22"/>
          <w:szCs w:val="22"/>
          <w:shd w:val="clear" w:color="auto" w:fill="FFFFFF"/>
        </w:rPr>
        <w:t>ermer définitivement et sans délai la prison de Lomé</w:t>
      </w:r>
      <w:r w:rsidR="00C333C2">
        <w:rPr>
          <w:rFonts w:asciiTheme="minorHAnsi" w:hAnsiTheme="minorHAnsi"/>
          <w:color w:val="222222"/>
          <w:sz w:val="22"/>
          <w:szCs w:val="22"/>
          <w:shd w:val="clear" w:color="auto" w:fill="FFFFFF"/>
        </w:rPr>
        <w:t xml:space="preserve"> (para. 25.a)</w:t>
      </w:r>
      <w:r w:rsidR="00DB6B47">
        <w:rPr>
          <w:rFonts w:asciiTheme="minorHAnsi" w:hAnsiTheme="minorHAnsi"/>
          <w:color w:val="222222"/>
          <w:sz w:val="22"/>
          <w:szCs w:val="22"/>
          <w:shd w:val="clear" w:color="auto" w:fill="FFFFFF"/>
        </w:rPr>
        <w:t>.</w:t>
      </w:r>
    </w:p>
    <w:p w:rsidR="00586291" w:rsidRPr="00586291" w:rsidRDefault="00586291" w:rsidP="003B76B9">
      <w:pPr>
        <w:spacing w:before="120" w:after="120" w:line="240" w:lineRule="auto"/>
        <w:jc w:val="both"/>
      </w:pPr>
    </w:p>
    <w:p w:rsidR="003778E0" w:rsidRPr="00586291" w:rsidRDefault="003778E0"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586291">
        <w:rPr>
          <w:rStyle w:val="Strong"/>
          <w:rFonts w:asciiTheme="minorHAnsi" w:hAnsiTheme="minorHAnsi"/>
          <w:i/>
          <w:color w:val="000000"/>
          <w:sz w:val="22"/>
          <w:szCs w:val="22"/>
        </w:rPr>
        <w:t>Article 9</w:t>
      </w:r>
    </w:p>
    <w:p w:rsidR="003778E0" w:rsidRPr="00586291" w:rsidRDefault="003778E0" w:rsidP="003B76B9">
      <w:pPr>
        <w:pStyle w:val="NormalWeb"/>
        <w:numPr>
          <w:ilvl w:val="0"/>
          <w:numId w:val="7"/>
        </w:numPr>
        <w:shd w:val="clear" w:color="auto" w:fill="FFFFFF"/>
        <w:spacing w:before="120" w:beforeAutospacing="0" w:after="120" w:afterAutospacing="0"/>
        <w:ind w:left="284" w:hanging="284"/>
        <w:jc w:val="both"/>
        <w:rPr>
          <w:rFonts w:asciiTheme="minorHAnsi" w:hAnsiTheme="minorHAnsi"/>
          <w:i/>
          <w:color w:val="000000"/>
          <w:sz w:val="22"/>
          <w:szCs w:val="22"/>
        </w:rPr>
      </w:pPr>
      <w:r w:rsidRPr="00586291">
        <w:rPr>
          <w:rFonts w:asciiTheme="minorHAnsi" w:hAnsiTheme="minorHAnsi"/>
          <w:i/>
          <w:color w:val="000000"/>
          <w:sz w:val="22"/>
          <w:szCs w:val="22"/>
        </w:rPr>
        <w:t xml:space="preserve">Tout individu a droit à la liberté et à la sécurité de sa personne. Nul ne peut faire l'objet d'une arrestation ou d'une détention arbitraire. Nul ne peut être privé de sa liberté, si ce n'est pour des motifs et conformément </w:t>
      </w:r>
      <w:r w:rsidR="00F65A82" w:rsidRPr="00586291">
        <w:rPr>
          <w:rFonts w:asciiTheme="minorHAnsi" w:hAnsiTheme="minorHAnsi"/>
          <w:i/>
          <w:color w:val="000000"/>
          <w:sz w:val="22"/>
          <w:szCs w:val="22"/>
        </w:rPr>
        <w:t>à la procédure prévue</w:t>
      </w:r>
      <w:r w:rsidRPr="00586291">
        <w:rPr>
          <w:rFonts w:asciiTheme="minorHAnsi" w:hAnsiTheme="minorHAnsi"/>
          <w:i/>
          <w:color w:val="000000"/>
          <w:sz w:val="22"/>
          <w:szCs w:val="22"/>
        </w:rPr>
        <w:t xml:space="preserve"> par la loi.</w:t>
      </w:r>
    </w:p>
    <w:p w:rsidR="00E80653" w:rsidRPr="0025339E" w:rsidRDefault="00B9082E"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25339E">
        <w:rPr>
          <w:rFonts w:asciiTheme="minorHAnsi" w:hAnsiTheme="minorHAnsi" w:cs="Arial"/>
          <w:color w:val="000000"/>
          <w:sz w:val="22"/>
          <w:szCs w:val="22"/>
        </w:rPr>
        <w:t>Le</w:t>
      </w:r>
      <w:r w:rsidR="00F27B37" w:rsidRPr="0025339E">
        <w:rPr>
          <w:rFonts w:asciiTheme="minorHAnsi" w:hAnsiTheme="minorHAnsi" w:cs="Arial"/>
          <w:color w:val="000000"/>
          <w:sz w:val="22"/>
          <w:szCs w:val="22"/>
        </w:rPr>
        <w:t xml:space="preserve"> 22 août 2018, </w:t>
      </w:r>
      <w:r w:rsidR="00F65A82">
        <w:rPr>
          <w:rFonts w:asciiTheme="minorHAnsi" w:hAnsiTheme="minorHAnsi" w:cs="Arial"/>
          <w:color w:val="000000"/>
          <w:sz w:val="22"/>
          <w:szCs w:val="22"/>
        </w:rPr>
        <w:t xml:space="preserve">le défenseur </w:t>
      </w:r>
      <w:r w:rsidR="00F27B37" w:rsidRPr="0025339E">
        <w:rPr>
          <w:rFonts w:asciiTheme="minorHAnsi" w:hAnsiTheme="minorHAnsi" w:cs="Arial"/>
          <w:color w:val="000000"/>
          <w:sz w:val="22"/>
          <w:szCs w:val="22"/>
        </w:rPr>
        <w:t>Folly Satchivi</w:t>
      </w:r>
      <w:r w:rsidR="00363BB9" w:rsidRPr="0025339E">
        <w:rPr>
          <w:rStyle w:val="FootnoteReference"/>
          <w:rFonts w:asciiTheme="minorHAnsi" w:hAnsiTheme="minorHAnsi" w:cs="Arial"/>
          <w:color w:val="000000"/>
          <w:sz w:val="22"/>
          <w:szCs w:val="22"/>
        </w:rPr>
        <w:footnoteReference w:id="13"/>
      </w:r>
      <w:r w:rsidR="00F27B37" w:rsidRPr="0025339E">
        <w:rPr>
          <w:rFonts w:asciiTheme="minorHAnsi" w:hAnsiTheme="minorHAnsi" w:cs="Arial"/>
          <w:color w:val="000000"/>
          <w:sz w:val="22"/>
          <w:szCs w:val="22"/>
        </w:rPr>
        <w:t xml:space="preserve">  a organisé une conférence de presse à Bè-Gakpoto à Lomé sur la feuille de route de la Communauté économique des États de l’Afrique de l’</w:t>
      </w:r>
      <w:r w:rsidR="00321445" w:rsidRPr="0025339E">
        <w:rPr>
          <w:rFonts w:asciiTheme="minorHAnsi" w:hAnsiTheme="minorHAnsi" w:cs="Arial"/>
          <w:color w:val="000000"/>
          <w:sz w:val="22"/>
          <w:szCs w:val="22"/>
        </w:rPr>
        <w:t>O</w:t>
      </w:r>
      <w:r w:rsidR="00F27B37" w:rsidRPr="0025339E">
        <w:rPr>
          <w:rFonts w:asciiTheme="minorHAnsi" w:hAnsiTheme="minorHAnsi" w:cs="Arial"/>
          <w:color w:val="000000"/>
          <w:sz w:val="22"/>
          <w:szCs w:val="22"/>
        </w:rPr>
        <w:t xml:space="preserve">uest (CEDEAO) </w:t>
      </w:r>
      <w:r w:rsidR="00F27B37" w:rsidRPr="0025339E">
        <w:rPr>
          <w:rFonts w:asciiTheme="minorHAnsi" w:hAnsiTheme="minorHAnsi" w:cs="Arial"/>
          <w:color w:val="000000"/>
          <w:sz w:val="22"/>
          <w:szCs w:val="22"/>
        </w:rPr>
        <w:lastRenderedPageBreak/>
        <w:t xml:space="preserve">concernant la crise </w:t>
      </w:r>
      <w:r w:rsidR="00321445" w:rsidRPr="0025339E">
        <w:rPr>
          <w:rFonts w:asciiTheme="minorHAnsi" w:hAnsiTheme="minorHAnsi" w:cs="Arial"/>
          <w:color w:val="000000"/>
          <w:sz w:val="22"/>
          <w:szCs w:val="22"/>
        </w:rPr>
        <w:t>socio-</w:t>
      </w:r>
      <w:r w:rsidR="00F27B37" w:rsidRPr="0025339E">
        <w:rPr>
          <w:rFonts w:asciiTheme="minorHAnsi" w:hAnsiTheme="minorHAnsi" w:cs="Arial"/>
          <w:color w:val="000000"/>
          <w:sz w:val="22"/>
          <w:szCs w:val="22"/>
        </w:rPr>
        <w:t>politique au Togo. </w:t>
      </w:r>
      <w:r w:rsidR="00363BB9" w:rsidRPr="0025339E">
        <w:rPr>
          <w:rFonts w:asciiTheme="minorHAnsi" w:hAnsiTheme="minorHAnsi" w:cs="Arial"/>
          <w:color w:val="000000"/>
          <w:sz w:val="22"/>
          <w:szCs w:val="22"/>
        </w:rPr>
        <w:t>En Janvier 2019, le Tribunal correctionnel de Lomé l’</w:t>
      </w:r>
      <w:r w:rsidR="00210F23" w:rsidRPr="0025339E">
        <w:rPr>
          <w:rFonts w:asciiTheme="minorHAnsi" w:hAnsiTheme="minorHAnsi" w:cs="Arial"/>
          <w:color w:val="000000"/>
          <w:sz w:val="22"/>
          <w:szCs w:val="22"/>
        </w:rPr>
        <w:t>a</w:t>
      </w:r>
      <w:r w:rsidR="00363BB9" w:rsidRPr="0025339E">
        <w:rPr>
          <w:rFonts w:asciiTheme="minorHAnsi" w:hAnsiTheme="minorHAnsi" w:cs="Arial"/>
          <w:color w:val="000000"/>
          <w:sz w:val="22"/>
          <w:szCs w:val="22"/>
        </w:rPr>
        <w:t xml:space="preserve"> reconnu coupable du délit de « trouble aggravé à l'ordre public » et « d’apologie de crimes et délits »</w:t>
      </w:r>
      <w:r w:rsidR="00363BB9" w:rsidRPr="0025339E">
        <w:rPr>
          <w:rFonts w:asciiTheme="minorHAnsi" w:hAnsiTheme="minorHAnsi"/>
          <w:i/>
          <w:color w:val="000000"/>
          <w:sz w:val="22"/>
          <w:szCs w:val="22"/>
        </w:rPr>
        <w:t xml:space="preserve">. </w:t>
      </w:r>
    </w:p>
    <w:p w:rsidR="00363BB9" w:rsidRDefault="00F27B37" w:rsidP="003B76B9">
      <w:pPr>
        <w:pStyle w:val="NormalWeb"/>
        <w:shd w:val="clear" w:color="auto" w:fill="FFFFFF"/>
        <w:spacing w:before="120" w:beforeAutospacing="0" w:after="120" w:afterAutospacing="0"/>
        <w:jc w:val="both"/>
        <w:rPr>
          <w:rFonts w:asciiTheme="minorHAnsi" w:hAnsiTheme="minorHAnsi" w:cs="Arial"/>
          <w:color w:val="000000"/>
          <w:sz w:val="22"/>
          <w:szCs w:val="22"/>
        </w:rPr>
      </w:pPr>
      <w:r w:rsidRPr="0025339E">
        <w:rPr>
          <w:rFonts w:asciiTheme="minorHAnsi" w:hAnsiTheme="minorHAnsi" w:cs="Arial"/>
          <w:color w:val="000000"/>
          <w:sz w:val="22"/>
          <w:szCs w:val="22"/>
        </w:rPr>
        <w:t>Le 10 octobre 2019, la Cour d’appel de Lomé a annulé le jugement pour délit de « tro</w:t>
      </w:r>
      <w:r w:rsidR="00B9082E" w:rsidRPr="0025339E">
        <w:rPr>
          <w:rFonts w:asciiTheme="minorHAnsi" w:hAnsiTheme="minorHAnsi" w:cs="Arial"/>
          <w:color w:val="000000"/>
          <w:sz w:val="22"/>
          <w:szCs w:val="22"/>
        </w:rPr>
        <w:t>uble aggravé à l'ordre public »</w:t>
      </w:r>
      <w:r w:rsidRPr="0025339E">
        <w:rPr>
          <w:rFonts w:asciiTheme="minorHAnsi" w:hAnsiTheme="minorHAnsi" w:cs="Arial"/>
          <w:color w:val="000000"/>
          <w:sz w:val="22"/>
          <w:szCs w:val="22"/>
        </w:rPr>
        <w:t xml:space="preserve"> </w:t>
      </w:r>
      <w:r w:rsidR="00363BB9" w:rsidRPr="0025339E">
        <w:rPr>
          <w:rFonts w:asciiTheme="minorHAnsi" w:hAnsiTheme="minorHAnsi" w:cs="Arial"/>
          <w:color w:val="000000"/>
          <w:sz w:val="22"/>
          <w:szCs w:val="22"/>
        </w:rPr>
        <w:t>et</w:t>
      </w:r>
      <w:r w:rsidRPr="0025339E">
        <w:rPr>
          <w:rFonts w:asciiTheme="minorHAnsi" w:hAnsiTheme="minorHAnsi" w:cs="Arial"/>
          <w:color w:val="000000"/>
          <w:sz w:val="22"/>
          <w:szCs w:val="22"/>
        </w:rPr>
        <w:t xml:space="preserve"> </w:t>
      </w:r>
      <w:r w:rsidR="00363BB9" w:rsidRPr="0025339E">
        <w:rPr>
          <w:rFonts w:asciiTheme="minorHAnsi" w:hAnsiTheme="minorHAnsi" w:cs="Arial"/>
          <w:color w:val="000000"/>
          <w:sz w:val="22"/>
          <w:szCs w:val="22"/>
        </w:rPr>
        <w:t>l’</w:t>
      </w:r>
      <w:r w:rsidRPr="0025339E">
        <w:rPr>
          <w:rFonts w:asciiTheme="minorHAnsi" w:hAnsiTheme="minorHAnsi" w:cs="Arial"/>
          <w:color w:val="000000"/>
          <w:sz w:val="22"/>
          <w:szCs w:val="22"/>
        </w:rPr>
        <w:t xml:space="preserve">a condamné à 28 mois de prison dont six avec sursis pour « apologie de crimes et délits ». </w:t>
      </w:r>
      <w:r w:rsidR="00C65582">
        <w:rPr>
          <w:rFonts w:asciiTheme="minorHAnsi" w:hAnsiTheme="minorHAnsi" w:cs="Arial"/>
          <w:color w:val="000000"/>
          <w:sz w:val="22"/>
          <w:szCs w:val="22"/>
        </w:rPr>
        <w:t>Son cas a fait l’objet d’une communication conjointe de deux Procédures spéciales</w:t>
      </w:r>
      <w:r w:rsidR="00C65582">
        <w:rPr>
          <w:rStyle w:val="FootnoteReference"/>
          <w:rFonts w:asciiTheme="minorHAnsi" w:hAnsiTheme="minorHAnsi" w:cs="Arial"/>
          <w:color w:val="000000"/>
          <w:sz w:val="22"/>
          <w:szCs w:val="22"/>
        </w:rPr>
        <w:footnoteReference w:id="14"/>
      </w:r>
      <w:r w:rsidR="00C65582">
        <w:rPr>
          <w:rFonts w:asciiTheme="minorHAnsi" w:hAnsiTheme="minorHAnsi" w:cs="Arial"/>
          <w:color w:val="000000"/>
          <w:sz w:val="22"/>
          <w:szCs w:val="22"/>
        </w:rPr>
        <w:t xml:space="preserve">. </w:t>
      </w:r>
    </w:p>
    <w:p w:rsidR="001E15EC" w:rsidRPr="0025339E" w:rsidRDefault="001E15EC" w:rsidP="003B76B9">
      <w:pPr>
        <w:pStyle w:val="NormalWeb"/>
        <w:shd w:val="clear" w:color="auto" w:fill="FFFFFF"/>
        <w:spacing w:before="120" w:beforeAutospacing="0" w:after="120" w:afterAutospacing="0"/>
        <w:jc w:val="both"/>
        <w:rPr>
          <w:rFonts w:asciiTheme="minorHAnsi" w:hAnsiTheme="minorHAnsi" w:cs="Arial"/>
          <w:color w:val="000000"/>
          <w:sz w:val="22"/>
          <w:szCs w:val="22"/>
        </w:rPr>
      </w:pPr>
    </w:p>
    <w:p w:rsidR="003778E0" w:rsidRPr="00586291" w:rsidRDefault="003778E0" w:rsidP="003B76B9">
      <w:pPr>
        <w:pStyle w:val="NormalWeb"/>
        <w:shd w:val="clear" w:color="auto" w:fill="FFFFFF"/>
        <w:spacing w:before="120" w:beforeAutospacing="0" w:after="120" w:afterAutospacing="0"/>
        <w:jc w:val="both"/>
        <w:rPr>
          <w:rFonts w:asciiTheme="minorHAnsi" w:hAnsiTheme="minorHAnsi"/>
          <w:color w:val="000000"/>
          <w:sz w:val="22"/>
          <w:szCs w:val="22"/>
        </w:rPr>
      </w:pPr>
      <w:r w:rsidRPr="00586291">
        <w:rPr>
          <w:rStyle w:val="Strong"/>
          <w:rFonts w:asciiTheme="minorHAnsi" w:hAnsiTheme="minorHAnsi"/>
          <w:color w:val="000000"/>
          <w:sz w:val="22"/>
          <w:szCs w:val="22"/>
        </w:rPr>
        <w:t>Article 19</w:t>
      </w:r>
    </w:p>
    <w:p w:rsidR="00806512" w:rsidRPr="00586291" w:rsidRDefault="005862FF" w:rsidP="003B76B9">
      <w:pPr>
        <w:pStyle w:val="NormalWeb"/>
        <w:shd w:val="clear" w:color="auto" w:fill="FFFFFF"/>
        <w:spacing w:before="120" w:beforeAutospacing="0" w:after="120" w:afterAutospacing="0"/>
        <w:jc w:val="both"/>
        <w:rPr>
          <w:rFonts w:asciiTheme="minorHAnsi" w:hAnsiTheme="minorHAnsi"/>
          <w:i/>
          <w:color w:val="000000"/>
          <w:sz w:val="22"/>
          <w:szCs w:val="22"/>
        </w:rPr>
      </w:pPr>
      <w:r w:rsidRPr="00586291">
        <w:rPr>
          <w:rFonts w:asciiTheme="minorHAnsi" w:hAnsiTheme="minorHAnsi"/>
          <w:i/>
          <w:color w:val="000000"/>
          <w:sz w:val="22"/>
          <w:szCs w:val="22"/>
        </w:rPr>
        <w:t>2.</w:t>
      </w:r>
      <w:r w:rsidR="00767AF0" w:rsidRPr="0025339E">
        <w:rPr>
          <w:rFonts w:asciiTheme="minorHAnsi" w:hAnsiTheme="minorHAnsi"/>
          <w:i/>
          <w:color w:val="000000"/>
          <w:sz w:val="22"/>
          <w:szCs w:val="22"/>
        </w:rPr>
        <w:t xml:space="preserve"> </w:t>
      </w:r>
      <w:r w:rsidR="003778E0" w:rsidRPr="0025339E">
        <w:rPr>
          <w:rFonts w:asciiTheme="minorHAnsi" w:hAnsiTheme="minorHAnsi"/>
          <w:i/>
          <w:color w:val="000000"/>
          <w:sz w:val="22"/>
          <w:szCs w:val="22"/>
        </w:rPr>
        <w:t>Toute personne a droit à la liberté d'expression; ce droit comprend la liberté de rechercher, de recevoir et de répandre des informations et des idées de toute espèce, san</w:t>
      </w:r>
      <w:r w:rsidR="003778E0" w:rsidRPr="00586291">
        <w:rPr>
          <w:rFonts w:asciiTheme="minorHAnsi" w:hAnsiTheme="minorHAnsi"/>
          <w:i/>
          <w:color w:val="000000"/>
          <w:sz w:val="22"/>
          <w:szCs w:val="22"/>
        </w:rPr>
        <w:t>s considération de frontières, sous une forme orale, écrite, imprimée ou artistique, ou par tout autre moyen de son choix.</w:t>
      </w:r>
    </w:p>
    <w:p w:rsidR="00FC3941" w:rsidRDefault="00FC3941" w:rsidP="003B76B9">
      <w:pPr>
        <w:pStyle w:val="NormalWeb"/>
        <w:shd w:val="clear" w:color="auto" w:fill="FFFFFF"/>
        <w:spacing w:before="120" w:beforeAutospacing="0" w:after="120" w:afterAutospacing="0"/>
        <w:jc w:val="both"/>
        <w:rPr>
          <w:rFonts w:asciiTheme="minorHAnsi" w:hAnsiTheme="minorHAnsi"/>
          <w:b/>
          <w:bCs/>
          <w:color w:val="000000"/>
          <w:sz w:val="22"/>
          <w:szCs w:val="22"/>
        </w:rPr>
      </w:pPr>
      <w:r w:rsidRPr="00586291">
        <w:rPr>
          <w:rFonts w:asciiTheme="minorHAnsi" w:hAnsiTheme="minorHAnsi"/>
          <w:color w:val="000000"/>
          <w:sz w:val="22"/>
          <w:szCs w:val="22"/>
          <w:shd w:val="clear" w:color="auto" w:fill="FFFFFF"/>
        </w:rPr>
        <w:t>Le 28 avril 2019, des individus à bord d’un véhicule sans plaque d’immatriculation ont vandalisé la voiture du directeur de publication du</w:t>
      </w:r>
      <w:r w:rsidRPr="00586291">
        <w:rPr>
          <w:rStyle w:val="Emphasis"/>
          <w:rFonts w:asciiTheme="minorHAnsi" w:hAnsiTheme="minorHAnsi"/>
          <w:color w:val="000000"/>
          <w:sz w:val="22"/>
          <w:szCs w:val="22"/>
          <w:shd w:val="clear" w:color="auto" w:fill="FFFFFF"/>
        </w:rPr>
        <w:t> Flambeau des démocrates</w:t>
      </w:r>
      <w:r w:rsidRPr="00586291">
        <w:rPr>
          <w:rFonts w:asciiTheme="minorHAnsi" w:hAnsiTheme="minorHAnsi"/>
          <w:color w:val="000000"/>
          <w:sz w:val="22"/>
          <w:szCs w:val="22"/>
          <w:shd w:val="clear" w:color="auto" w:fill="FFFFFF"/>
        </w:rPr>
        <w:t>,</w:t>
      </w:r>
      <w:r w:rsidRPr="00586291">
        <w:rPr>
          <w:rStyle w:val="Strong"/>
          <w:rFonts w:asciiTheme="minorHAnsi" w:hAnsiTheme="minorHAnsi"/>
          <w:b w:val="0"/>
          <w:bCs w:val="0"/>
          <w:color w:val="000000"/>
          <w:sz w:val="22"/>
          <w:szCs w:val="22"/>
          <w:shd w:val="clear" w:color="auto" w:fill="FFFFFF"/>
        </w:rPr>
        <w:t xml:space="preserve"> Loïc Lawson</w:t>
      </w:r>
      <w:r w:rsidRPr="00586291">
        <w:rPr>
          <w:rFonts w:asciiTheme="minorHAnsi" w:hAnsiTheme="minorHAnsi"/>
          <w:color w:val="000000"/>
          <w:sz w:val="22"/>
          <w:szCs w:val="22"/>
          <w:shd w:val="clear" w:color="auto" w:fill="FFFFFF"/>
        </w:rPr>
        <w:t>, stationné devant le siège de son journal, à Lomé</w:t>
      </w:r>
      <w:r w:rsidRPr="00586291">
        <w:rPr>
          <w:rStyle w:val="FootnoteReference"/>
          <w:rFonts w:asciiTheme="minorHAnsi" w:hAnsiTheme="minorHAnsi"/>
          <w:color w:val="000000"/>
          <w:sz w:val="22"/>
          <w:szCs w:val="22"/>
          <w:shd w:val="clear" w:color="auto" w:fill="FFFFFF"/>
        </w:rPr>
        <w:footnoteReference w:id="15"/>
      </w:r>
      <w:r w:rsidRPr="00586291">
        <w:rPr>
          <w:rFonts w:asciiTheme="minorHAnsi" w:hAnsiTheme="minorHAnsi"/>
          <w:color w:val="000000"/>
          <w:sz w:val="22"/>
          <w:szCs w:val="22"/>
          <w:shd w:val="clear" w:color="auto" w:fill="FFFFFF"/>
        </w:rPr>
        <w:t>.</w:t>
      </w:r>
      <w:r w:rsidRPr="00586291">
        <w:rPr>
          <w:rFonts w:asciiTheme="minorHAnsi" w:hAnsiTheme="minorHAnsi"/>
          <w:b/>
          <w:bCs/>
          <w:color w:val="000000"/>
          <w:sz w:val="22"/>
          <w:szCs w:val="22"/>
        </w:rPr>
        <w:t xml:space="preserve"> </w:t>
      </w:r>
      <w:r w:rsidR="00B9082E" w:rsidRPr="00586291">
        <w:rPr>
          <w:rStyle w:val="Strong"/>
          <w:rFonts w:asciiTheme="minorHAnsi" w:hAnsiTheme="minorHAnsi"/>
          <w:b w:val="0"/>
          <w:bCs w:val="0"/>
          <w:color w:val="000000"/>
          <w:sz w:val="22"/>
          <w:szCs w:val="22"/>
          <w:shd w:val="clear" w:color="auto" w:fill="FFFFFF"/>
        </w:rPr>
        <w:t xml:space="preserve">Le journaliste </w:t>
      </w:r>
      <w:r w:rsidR="00806512" w:rsidRPr="00586291">
        <w:rPr>
          <w:rFonts w:asciiTheme="minorHAnsi" w:hAnsiTheme="minorHAnsi"/>
          <w:color w:val="000000"/>
          <w:sz w:val="22"/>
          <w:szCs w:val="22"/>
          <w:shd w:val="clear" w:color="auto" w:fill="FFFFFF"/>
        </w:rPr>
        <w:t>dit avoir reçu des menaces bien en amont de cet incident pour un article publié sur une acquisition immobilière douteuse d'un membre du gouvernement togolais.</w:t>
      </w:r>
      <w:r w:rsidR="00806512" w:rsidRPr="00586291">
        <w:rPr>
          <w:rFonts w:asciiTheme="minorHAnsi" w:hAnsiTheme="minorHAnsi"/>
          <w:b/>
          <w:bCs/>
          <w:color w:val="000000"/>
          <w:sz w:val="22"/>
          <w:szCs w:val="22"/>
        </w:rPr>
        <w:t xml:space="preserve"> </w:t>
      </w:r>
    </w:p>
    <w:p w:rsidR="001E15EC" w:rsidRPr="00586291" w:rsidRDefault="001E15EC" w:rsidP="003B76B9">
      <w:pPr>
        <w:pStyle w:val="NormalWeb"/>
        <w:shd w:val="clear" w:color="auto" w:fill="FFFFFF"/>
        <w:spacing w:before="120" w:beforeAutospacing="0" w:after="120" w:afterAutospacing="0"/>
        <w:jc w:val="both"/>
        <w:rPr>
          <w:rFonts w:asciiTheme="minorHAnsi" w:hAnsiTheme="minorHAnsi"/>
          <w:b/>
          <w:bCs/>
          <w:color w:val="000000"/>
          <w:sz w:val="22"/>
          <w:szCs w:val="22"/>
        </w:rPr>
      </w:pPr>
    </w:p>
    <w:p w:rsidR="003778E0" w:rsidRPr="00586291" w:rsidRDefault="003778E0" w:rsidP="003B76B9">
      <w:pPr>
        <w:pStyle w:val="NormalWeb"/>
        <w:shd w:val="clear" w:color="auto" w:fill="FFFFFF"/>
        <w:spacing w:before="120" w:beforeAutospacing="0" w:after="120" w:afterAutospacing="0"/>
        <w:jc w:val="both"/>
        <w:rPr>
          <w:rFonts w:asciiTheme="minorHAnsi" w:hAnsiTheme="minorHAnsi"/>
          <w:b/>
          <w:bCs/>
          <w:color w:val="000000"/>
          <w:sz w:val="22"/>
          <w:szCs w:val="22"/>
        </w:rPr>
      </w:pPr>
      <w:r w:rsidRPr="00586291">
        <w:rPr>
          <w:rFonts w:asciiTheme="minorHAnsi" w:hAnsiTheme="minorHAnsi"/>
          <w:b/>
          <w:bCs/>
          <w:color w:val="000000"/>
          <w:sz w:val="22"/>
          <w:szCs w:val="22"/>
        </w:rPr>
        <w:t>Article 21</w:t>
      </w:r>
    </w:p>
    <w:p w:rsidR="003778E0" w:rsidRDefault="003778E0" w:rsidP="003B76B9">
      <w:pPr>
        <w:spacing w:before="120" w:after="120" w:line="240" w:lineRule="auto"/>
        <w:jc w:val="both"/>
        <w:rPr>
          <w:rFonts w:eastAsia="Times New Roman" w:cs="Times New Roman"/>
          <w:i/>
          <w:color w:val="000000"/>
          <w:shd w:val="clear" w:color="auto" w:fill="FFFFFF"/>
          <w:lang w:eastAsia="fr-CH"/>
        </w:rPr>
      </w:pPr>
      <w:r w:rsidRPr="00586291">
        <w:rPr>
          <w:rFonts w:eastAsia="Times New Roman" w:cs="Times New Roman"/>
          <w:i/>
          <w:color w:val="000000"/>
          <w:shd w:val="clear" w:color="auto" w:fill="FFFFFF"/>
          <w:lang w:eastAsia="fr-CH"/>
        </w:rPr>
        <w:t>Le droit de réunion pacifique est reconnu. L'exercice de ce droit ne peut faire l'objet que des seules restrictions imposées conformément à la loi et qui sont nécessaires dans une société démocratique, dans l'intérêt de la sécurité nationale, de la sûreté publique, de l'ordre public ou pour protéger la santé ou la moralité publiques, ou les droits et les libertés d'autrui.</w:t>
      </w:r>
    </w:p>
    <w:p w:rsidR="00FC3941" w:rsidRPr="0025339E" w:rsidRDefault="00FC3941" w:rsidP="003B76B9">
      <w:pPr>
        <w:spacing w:before="120" w:after="120" w:line="240" w:lineRule="auto"/>
        <w:jc w:val="both"/>
      </w:pPr>
      <w:r w:rsidRPr="0025339E">
        <w:rPr>
          <w:shd w:val="clear" w:color="auto" w:fill="FFFFFF"/>
        </w:rPr>
        <w:t xml:space="preserve">Les interdictions de manifestations publiques sont récurrentes. C’est le cas de l’interdiction le 19 mars 2019 du sit-in de </w:t>
      </w:r>
      <w:r w:rsidRPr="0025339E">
        <w:t>la Ligue des Consommateurs du Togo (LCT) devant le Ministère du Commerce suite à l’augmentation des prix des produits pétroliers ;</w:t>
      </w:r>
    </w:p>
    <w:p w:rsidR="00FC3941" w:rsidRPr="0025339E" w:rsidRDefault="00FC3941" w:rsidP="003B76B9">
      <w:pPr>
        <w:spacing w:before="120" w:after="120" w:line="240" w:lineRule="auto"/>
        <w:jc w:val="both"/>
        <w:rPr>
          <w:rFonts w:eastAsia="Times New Roman" w:cs="Times New Roman"/>
          <w:color w:val="000000"/>
          <w:shd w:val="clear" w:color="auto" w:fill="FFFFFF"/>
          <w:lang w:eastAsia="fr-CH"/>
        </w:rPr>
      </w:pPr>
      <w:r w:rsidRPr="0025339E">
        <w:t>Le 14 février 2019, les militants du PNP-Anié, lors d’une réunion hebdomadaire, ont été victime</w:t>
      </w:r>
      <w:r w:rsidR="00A51C9F">
        <w:t>s</w:t>
      </w:r>
      <w:r w:rsidRPr="0025339E">
        <w:t xml:space="preserve"> d’agression</w:t>
      </w:r>
      <w:r w:rsidR="00A51C9F">
        <w:t>s</w:t>
      </w:r>
      <w:r w:rsidRPr="0025339E">
        <w:t xml:space="preserve"> physique</w:t>
      </w:r>
      <w:r w:rsidR="00A51C9F">
        <w:t>s</w:t>
      </w:r>
      <w:r w:rsidRPr="0025339E">
        <w:t xml:space="preserve"> par des hommes en tenue</w:t>
      </w:r>
      <w:r w:rsidR="00A51C9F">
        <w:t>s</w:t>
      </w:r>
      <w:r w:rsidRPr="0025339E">
        <w:t xml:space="preserve">. Des motos et des chaises ont été cassées ainsi que le matériel de sonorisation. Ils ont tiré des grenades lacrymogènes et ont blessé par balle à la main, un homme </w:t>
      </w:r>
      <w:r w:rsidR="00A51C9F">
        <w:t>de</w:t>
      </w:r>
      <w:r w:rsidRPr="0025339E">
        <w:t xml:space="preserve"> 43 ans.</w:t>
      </w:r>
    </w:p>
    <w:p w:rsidR="003C2C43" w:rsidRPr="0025339E" w:rsidRDefault="003C2C43" w:rsidP="003B76B9">
      <w:pPr>
        <w:spacing w:before="120" w:after="120" w:line="240" w:lineRule="auto"/>
        <w:jc w:val="both"/>
        <w:rPr>
          <w:shd w:val="clear" w:color="auto" w:fill="FFFFFF"/>
        </w:rPr>
      </w:pPr>
      <w:r w:rsidRPr="0025339E">
        <w:rPr>
          <w:rFonts w:eastAsia="Times New Roman" w:cs="Times New Roman"/>
          <w:color w:val="000000"/>
          <w:shd w:val="clear" w:color="auto" w:fill="FFFFFF"/>
          <w:lang w:eastAsia="fr-CH"/>
        </w:rPr>
        <w:t xml:space="preserve">Le 07 août 2019, le parlement togolais a adopté un projet de loi du gouvernement portant modification de la loi </w:t>
      </w:r>
      <w:r w:rsidRPr="0025339E">
        <w:rPr>
          <w:color w:val="333333"/>
          <w:shd w:val="clear" w:color="auto" w:fill="FFFFFF"/>
        </w:rPr>
        <w:t xml:space="preserve">N°2011-010 </w:t>
      </w:r>
      <w:r w:rsidRPr="0025339E">
        <w:rPr>
          <w:shd w:val="clear" w:color="auto" w:fill="FFFFFF"/>
        </w:rPr>
        <w:t>du 16 mai 201</w:t>
      </w:r>
      <w:r w:rsidR="00B00B08" w:rsidRPr="0025339E">
        <w:rPr>
          <w:shd w:val="clear" w:color="auto" w:fill="FFFFFF"/>
        </w:rPr>
        <w:t>1</w:t>
      </w:r>
      <w:r w:rsidRPr="0025339E">
        <w:rPr>
          <w:shd w:val="clear" w:color="auto" w:fill="FFFFFF"/>
        </w:rPr>
        <w:t xml:space="preserve"> </w:t>
      </w:r>
      <w:r w:rsidR="00FC3941" w:rsidRPr="0025339E">
        <w:rPr>
          <w:shd w:val="clear" w:color="auto" w:fill="FFFFFF"/>
        </w:rPr>
        <w:t>texte</w:t>
      </w:r>
      <w:r w:rsidRPr="0025339E">
        <w:rPr>
          <w:shd w:val="clear" w:color="auto" w:fill="FFFFFF"/>
        </w:rPr>
        <w:t xml:space="preserve"> </w:t>
      </w:r>
      <w:r w:rsidR="00FC3941" w:rsidRPr="0025339E">
        <w:rPr>
          <w:shd w:val="clear" w:color="auto" w:fill="FFFFFF"/>
        </w:rPr>
        <w:t xml:space="preserve">qui </w:t>
      </w:r>
      <w:r w:rsidRPr="0025339E">
        <w:rPr>
          <w:shd w:val="clear" w:color="auto" w:fill="FFFFFF"/>
        </w:rPr>
        <w:t xml:space="preserve">limite considérablement la liberté de réunion et de manifestation pacifiques au Togo. </w:t>
      </w:r>
      <w:r w:rsidR="00FC3941" w:rsidRPr="0025339E">
        <w:rPr>
          <w:shd w:val="clear" w:color="auto" w:fill="FFFFFF"/>
        </w:rPr>
        <w:t>L</w:t>
      </w:r>
      <w:r w:rsidR="007E1236" w:rsidRPr="0025339E">
        <w:rPr>
          <w:shd w:val="clear" w:color="auto" w:fill="FFFFFF"/>
        </w:rPr>
        <w:t>’</w:t>
      </w:r>
      <w:r w:rsidR="00FC3941" w:rsidRPr="0025339E">
        <w:rPr>
          <w:shd w:val="clear" w:color="auto" w:fill="FFFFFF"/>
        </w:rPr>
        <w:t>article</w:t>
      </w:r>
      <w:r w:rsidR="007E1236" w:rsidRPr="0025339E">
        <w:rPr>
          <w:shd w:val="clear" w:color="auto" w:fill="FFFFFF"/>
        </w:rPr>
        <w:t xml:space="preserve"> 9 al</w:t>
      </w:r>
      <w:r w:rsidR="00552D13">
        <w:rPr>
          <w:shd w:val="clear" w:color="auto" w:fill="FFFFFF"/>
        </w:rPr>
        <w:t xml:space="preserve"> </w:t>
      </w:r>
      <w:r w:rsidR="007E1236" w:rsidRPr="0025339E">
        <w:rPr>
          <w:shd w:val="clear" w:color="auto" w:fill="FFFFFF"/>
        </w:rPr>
        <w:t xml:space="preserve">1 </w:t>
      </w:r>
      <w:r w:rsidRPr="0025339E">
        <w:rPr>
          <w:shd w:val="clear" w:color="auto" w:fill="FFFFFF"/>
        </w:rPr>
        <w:t>restreint sévèrement les lieux publics où celles-ci peuvent être organisées</w:t>
      </w:r>
      <w:r w:rsidR="00FC3941" w:rsidRPr="0025339E">
        <w:rPr>
          <w:shd w:val="clear" w:color="auto" w:fill="FFFFFF"/>
        </w:rPr>
        <w:t> ; l</w:t>
      </w:r>
      <w:r w:rsidR="007E1236" w:rsidRPr="0025339E">
        <w:rPr>
          <w:shd w:val="clear" w:color="auto" w:fill="FFFFFF"/>
        </w:rPr>
        <w:t>’</w:t>
      </w:r>
      <w:r w:rsidRPr="0025339E">
        <w:rPr>
          <w:shd w:val="clear" w:color="auto" w:fill="FFFFFF"/>
        </w:rPr>
        <w:t>article 17, stipule que les réunions ou les manifestations pacifiques sur la voie publique et dans les lieux publics ne peuvent se tenir avant onze (11) heures et au-delà de dix-huit (18) heures</w:t>
      </w:r>
      <w:r w:rsidRPr="0025339E">
        <w:rPr>
          <w:rStyle w:val="FootnoteReference"/>
          <w:shd w:val="clear" w:color="auto" w:fill="FFFFFF"/>
        </w:rPr>
        <w:footnoteReference w:id="16"/>
      </w:r>
      <w:r w:rsidRPr="0025339E">
        <w:rPr>
          <w:shd w:val="clear" w:color="auto" w:fill="FFFFFF"/>
        </w:rPr>
        <w:t>.</w:t>
      </w:r>
      <w:r w:rsidR="00552D13">
        <w:rPr>
          <w:shd w:val="clear" w:color="auto" w:fill="FFFFFF"/>
        </w:rPr>
        <w:t xml:space="preserve"> Dans un communiqué conjoint, quatre Procédures spéciales des Nations Unies ont tiré la sonnette d’alarme</w:t>
      </w:r>
      <w:r w:rsidR="00552D13">
        <w:rPr>
          <w:rStyle w:val="FootnoteReference"/>
          <w:shd w:val="clear" w:color="auto" w:fill="FFFFFF"/>
        </w:rPr>
        <w:footnoteReference w:id="17"/>
      </w:r>
      <w:r w:rsidR="00552D13">
        <w:rPr>
          <w:shd w:val="clear" w:color="auto" w:fill="FFFFFF"/>
        </w:rPr>
        <w:t xml:space="preserve">. </w:t>
      </w:r>
    </w:p>
    <w:p w:rsidR="008B0B4A" w:rsidRDefault="008B0B4A" w:rsidP="003B76B9">
      <w:pPr>
        <w:spacing w:before="120" w:after="120" w:line="240" w:lineRule="auto"/>
        <w:jc w:val="both"/>
        <w:rPr>
          <w:color w:val="2C2C2C"/>
          <w:shd w:val="clear" w:color="auto" w:fill="FFFFFF"/>
        </w:rPr>
      </w:pPr>
    </w:p>
    <w:p w:rsidR="005000E0" w:rsidRDefault="005000E0" w:rsidP="003B76B9">
      <w:pPr>
        <w:spacing w:before="120" w:after="120" w:line="240" w:lineRule="auto"/>
        <w:jc w:val="both"/>
        <w:rPr>
          <w:color w:val="2C2C2C"/>
          <w:shd w:val="clear" w:color="auto" w:fill="FFFFFF"/>
        </w:rPr>
      </w:pPr>
    </w:p>
    <w:p w:rsidR="005000E0" w:rsidRDefault="005000E0" w:rsidP="003B76B9">
      <w:pPr>
        <w:spacing w:before="120" w:after="120" w:line="240" w:lineRule="auto"/>
        <w:jc w:val="both"/>
        <w:rPr>
          <w:color w:val="2C2C2C"/>
          <w:shd w:val="clear" w:color="auto" w:fill="FFFFFF"/>
        </w:rPr>
      </w:pPr>
    </w:p>
    <w:p w:rsidR="005000E0" w:rsidRDefault="005000E0" w:rsidP="003B76B9">
      <w:pPr>
        <w:spacing w:before="120" w:after="120" w:line="240" w:lineRule="auto"/>
        <w:jc w:val="both"/>
        <w:rPr>
          <w:color w:val="2C2C2C"/>
          <w:shd w:val="clear" w:color="auto" w:fill="FFFFFF"/>
        </w:rPr>
      </w:pPr>
    </w:p>
    <w:p w:rsidR="005000E0" w:rsidRDefault="005000E0" w:rsidP="003B76B9">
      <w:pPr>
        <w:spacing w:before="120" w:after="120" w:line="240" w:lineRule="auto"/>
        <w:jc w:val="both"/>
        <w:rPr>
          <w:color w:val="2C2C2C"/>
          <w:shd w:val="clear" w:color="auto" w:fill="FFFFFF"/>
        </w:rPr>
      </w:pPr>
    </w:p>
    <w:p w:rsidR="005000E0" w:rsidRPr="0025339E" w:rsidRDefault="005000E0" w:rsidP="003B76B9">
      <w:pPr>
        <w:spacing w:before="120" w:after="120" w:line="240" w:lineRule="auto"/>
        <w:jc w:val="both"/>
        <w:rPr>
          <w:color w:val="2C2C2C"/>
          <w:shd w:val="clear" w:color="auto" w:fill="FFFFFF"/>
        </w:rPr>
      </w:pPr>
    </w:p>
    <w:p w:rsidR="00B6281B" w:rsidRPr="0025339E" w:rsidRDefault="003778E0" w:rsidP="003B76B9">
      <w:pPr>
        <w:spacing w:before="120" w:after="120" w:line="240" w:lineRule="auto"/>
        <w:jc w:val="both"/>
        <w:rPr>
          <w:b/>
        </w:rPr>
      </w:pPr>
      <w:r w:rsidRPr="0025339E">
        <w:rPr>
          <w:b/>
        </w:rPr>
        <w:t>Recommandations</w:t>
      </w:r>
      <w:r w:rsidR="00A41E86">
        <w:rPr>
          <w:b/>
        </w:rPr>
        <w:t xml:space="preserve">, notamment en lien avec les </w:t>
      </w:r>
      <w:r w:rsidR="00A41E86" w:rsidRPr="003B76B9">
        <w:rPr>
          <w:rFonts w:eastAsia="Times New Roman" w:cs="Times New Roman"/>
          <w:b/>
          <w:color w:val="000000"/>
          <w:lang w:eastAsia="fr-CH"/>
        </w:rPr>
        <w:t>questions 21 et 23 de la liste des points</w:t>
      </w:r>
      <w:r w:rsidR="00A41E86" w:rsidRPr="003B76B9">
        <w:rPr>
          <w:rStyle w:val="FootnoteReference"/>
          <w:rFonts w:eastAsia="Times New Roman" w:cs="Times New Roman"/>
          <w:b/>
          <w:color w:val="000000"/>
          <w:lang w:eastAsia="fr-CH"/>
        </w:rPr>
        <w:footnoteReference w:id="18"/>
      </w:r>
    </w:p>
    <w:p w:rsidR="001268D2" w:rsidRPr="0025339E" w:rsidRDefault="001268D2" w:rsidP="003B76B9">
      <w:pPr>
        <w:pStyle w:val="ListParagraph"/>
        <w:numPr>
          <w:ilvl w:val="0"/>
          <w:numId w:val="6"/>
        </w:numPr>
        <w:spacing w:before="120" w:after="120" w:line="240" w:lineRule="auto"/>
        <w:ind w:left="360"/>
        <w:jc w:val="both"/>
        <w:rPr>
          <w:rFonts w:eastAsia="Times New Roman" w:cs="Times New Roman"/>
          <w:color w:val="000000"/>
          <w:lang w:eastAsia="fr-CH"/>
        </w:rPr>
      </w:pPr>
      <w:r w:rsidRPr="0025339E">
        <w:rPr>
          <w:rFonts w:eastAsia="Times New Roman" w:cs="Times New Roman"/>
          <w:color w:val="000000"/>
          <w:lang w:eastAsia="fr-CH"/>
        </w:rPr>
        <w:t xml:space="preserve">Accélérer l’adoption du projet de loi portant promotion </w:t>
      </w:r>
      <w:r w:rsidR="00BE75CA" w:rsidRPr="0025339E">
        <w:rPr>
          <w:rFonts w:eastAsia="Times New Roman" w:cs="Times New Roman"/>
          <w:color w:val="000000"/>
          <w:lang w:eastAsia="fr-CH"/>
        </w:rPr>
        <w:t xml:space="preserve">et protection </w:t>
      </w:r>
      <w:r w:rsidRPr="0025339E">
        <w:rPr>
          <w:rFonts w:eastAsia="Times New Roman" w:cs="Times New Roman"/>
          <w:color w:val="000000"/>
          <w:lang w:eastAsia="fr-CH"/>
        </w:rPr>
        <w:t xml:space="preserve">des droits des défenseurs des droits humains afin d’assurer </w:t>
      </w:r>
      <w:r w:rsidR="00B00B08" w:rsidRPr="0025339E">
        <w:rPr>
          <w:rFonts w:eastAsia="Times New Roman" w:cs="Times New Roman"/>
          <w:color w:val="000000"/>
          <w:lang w:eastAsia="fr-CH"/>
        </w:rPr>
        <w:t xml:space="preserve">leur </w:t>
      </w:r>
      <w:r w:rsidRPr="0025339E">
        <w:rPr>
          <w:rFonts w:eastAsia="Times New Roman" w:cs="Times New Roman"/>
          <w:color w:val="000000"/>
          <w:lang w:eastAsia="fr-CH"/>
        </w:rPr>
        <w:t xml:space="preserve">sécurité </w:t>
      </w:r>
      <w:r w:rsidR="00B00B08" w:rsidRPr="0025339E">
        <w:rPr>
          <w:rFonts w:eastAsia="Times New Roman" w:cs="Times New Roman"/>
          <w:color w:val="000000"/>
          <w:lang w:eastAsia="fr-CH"/>
        </w:rPr>
        <w:t>en République du</w:t>
      </w:r>
      <w:r w:rsidRPr="0025339E">
        <w:rPr>
          <w:rFonts w:eastAsia="Times New Roman" w:cs="Times New Roman"/>
          <w:color w:val="000000"/>
          <w:lang w:eastAsia="fr-CH"/>
        </w:rPr>
        <w:t xml:space="preserve"> Togo </w:t>
      </w:r>
      <w:r w:rsidR="00B00B08" w:rsidRPr="0025339E">
        <w:rPr>
          <w:rFonts w:eastAsia="Times New Roman" w:cs="Times New Roman"/>
          <w:color w:val="000000"/>
          <w:lang w:eastAsia="fr-CH"/>
        </w:rPr>
        <w:t xml:space="preserve">et </w:t>
      </w:r>
      <w:r w:rsidRPr="0025339E">
        <w:rPr>
          <w:rFonts w:eastAsia="Times New Roman" w:cs="Times New Roman"/>
          <w:color w:val="000000"/>
          <w:lang w:eastAsia="fr-CH"/>
        </w:rPr>
        <w:t>de garantir le plein exercice de leurs activités de défense des droits humains</w:t>
      </w:r>
      <w:r w:rsidR="005862FF" w:rsidRPr="0025339E">
        <w:rPr>
          <w:rFonts w:eastAsia="Times New Roman" w:cs="Times New Roman"/>
          <w:color w:val="000000"/>
          <w:lang w:eastAsia="fr-CH"/>
        </w:rPr>
        <w:t>;</w:t>
      </w:r>
    </w:p>
    <w:p w:rsidR="0098136A" w:rsidRPr="0025339E" w:rsidRDefault="0098136A">
      <w:pPr>
        <w:pStyle w:val="ListParagraph"/>
        <w:numPr>
          <w:ilvl w:val="0"/>
          <w:numId w:val="6"/>
        </w:numPr>
        <w:spacing w:before="120" w:after="120" w:line="240" w:lineRule="auto"/>
        <w:ind w:left="360"/>
        <w:jc w:val="both"/>
      </w:pPr>
      <w:r w:rsidRPr="0025339E">
        <w:t>S’assurer que des enquêtes crédibles</w:t>
      </w:r>
      <w:r w:rsidR="005862FF" w:rsidRPr="0025339E">
        <w:t>, libres et transparentes</w:t>
      </w:r>
      <w:r w:rsidRPr="0025339E">
        <w:t xml:space="preserve"> soient menées sur toutes les allégations de torture et de mauvais traitements à l’encontre des défenseurs et veiller à ce que les auteurs soient tenus responsables de leurs actes</w:t>
      </w:r>
      <w:r w:rsidR="009A296F">
        <w:t xml:space="preserve"> (comme le demande le Comité contre la torture dans ses recommandations</w:t>
      </w:r>
      <w:r w:rsidR="009A296F">
        <w:rPr>
          <w:rStyle w:val="FootnoteReference"/>
        </w:rPr>
        <w:footnoteReference w:id="19"/>
      </w:r>
      <w:r w:rsidR="009A296F">
        <w:t xml:space="preserve"> d</w:t>
      </w:r>
      <w:r w:rsidR="00B47D00">
        <w:t>’aout 2019)</w:t>
      </w:r>
      <w:r w:rsidR="009A296F">
        <w:t xml:space="preserve"> </w:t>
      </w:r>
      <w:r w:rsidR="005862FF" w:rsidRPr="0025339E">
        <w:t>,</w:t>
      </w:r>
    </w:p>
    <w:p w:rsidR="005862FF" w:rsidRPr="0025339E" w:rsidRDefault="005862FF">
      <w:pPr>
        <w:pStyle w:val="ListParagraph"/>
        <w:numPr>
          <w:ilvl w:val="0"/>
          <w:numId w:val="6"/>
        </w:numPr>
        <w:spacing w:before="120" w:after="120" w:line="240" w:lineRule="auto"/>
        <w:ind w:left="360"/>
        <w:jc w:val="both"/>
      </w:pPr>
      <w:r w:rsidRPr="0025339E">
        <w:t xml:space="preserve">Abroger les lois restrictives de libertés publiques notamment la nouvelle loi sur </w:t>
      </w:r>
      <w:r w:rsidR="00745A5B" w:rsidRPr="0025339E">
        <w:t>la liberté</w:t>
      </w:r>
      <w:r w:rsidRPr="0025339E">
        <w:t xml:space="preserve"> de réunion et de manifestation</w:t>
      </w:r>
      <w:r w:rsidR="00745A5B" w:rsidRPr="0025339E">
        <w:t>s publiques</w:t>
      </w:r>
      <w:r w:rsidRPr="0025339E">
        <w:t xml:space="preserve"> pacifique</w:t>
      </w:r>
      <w:r w:rsidR="003364B4">
        <w:t>, en conformité avec la requête des Procédures spéciales des Nations Unies</w:t>
      </w:r>
      <w:r w:rsidRPr="0025339E">
        <w:t> ;</w:t>
      </w:r>
    </w:p>
    <w:p w:rsidR="005862FF" w:rsidRPr="0025339E" w:rsidRDefault="005862FF">
      <w:pPr>
        <w:pStyle w:val="ListParagraph"/>
        <w:numPr>
          <w:ilvl w:val="0"/>
          <w:numId w:val="6"/>
        </w:numPr>
        <w:spacing w:before="120" w:after="120" w:line="240" w:lineRule="auto"/>
        <w:ind w:left="360"/>
        <w:jc w:val="both"/>
      </w:pPr>
      <w:r w:rsidRPr="0025339E">
        <w:t>Améliorer les conditions de détention dans les prison</w:t>
      </w:r>
      <w:r w:rsidR="00004310" w:rsidRPr="0025339E">
        <w:t>s</w:t>
      </w:r>
      <w:r w:rsidRPr="0025339E">
        <w:t xml:space="preserve"> du Togo et libérer les personnes arrêtées et détenus arbitrairement</w:t>
      </w:r>
      <w:r w:rsidR="00B00B08" w:rsidRPr="0025339E">
        <w:t xml:space="preserve"> dans le cadre des manifestations publiques</w:t>
      </w:r>
      <w:r w:rsidR="00231AC2">
        <w:t xml:space="preserve">, comme le recommande le Comité contre la torture. </w:t>
      </w:r>
    </w:p>
    <w:p w:rsidR="00AC1DAD" w:rsidRPr="0025339E" w:rsidRDefault="00AC1DAD" w:rsidP="003B76B9">
      <w:pPr>
        <w:tabs>
          <w:tab w:val="left" w:pos="2148"/>
        </w:tabs>
        <w:spacing w:before="120" w:after="120" w:line="240" w:lineRule="auto"/>
        <w:rPr>
          <w:rFonts w:eastAsia="Times New Roman" w:cs="Times New Roman"/>
          <w:lang w:eastAsia="fr-CH"/>
        </w:rPr>
      </w:pPr>
    </w:p>
    <w:sectPr w:rsidR="00AC1DAD" w:rsidRPr="0025339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9D" w:rsidRDefault="00BB019D" w:rsidP="007B1778">
      <w:pPr>
        <w:spacing w:after="0" w:line="240" w:lineRule="auto"/>
      </w:pPr>
      <w:r>
        <w:separator/>
      </w:r>
    </w:p>
  </w:endnote>
  <w:endnote w:type="continuationSeparator" w:id="0">
    <w:p w:rsidR="00BB019D" w:rsidRDefault="00BB019D" w:rsidP="007B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670640"/>
      <w:docPartObj>
        <w:docPartGallery w:val="Page Numbers (Bottom of Page)"/>
        <w:docPartUnique/>
      </w:docPartObj>
    </w:sdtPr>
    <w:sdtEndPr>
      <w:rPr>
        <w:noProof/>
      </w:rPr>
    </w:sdtEndPr>
    <w:sdtContent>
      <w:p w:rsidR="00347AB2" w:rsidRDefault="00347AB2">
        <w:pPr>
          <w:pStyle w:val="Footer"/>
          <w:jc w:val="right"/>
        </w:pPr>
        <w:r>
          <w:fldChar w:fldCharType="begin"/>
        </w:r>
        <w:r>
          <w:instrText xml:space="preserve"> PAGE   \* MERGEFORMAT </w:instrText>
        </w:r>
        <w:r>
          <w:fldChar w:fldCharType="separate"/>
        </w:r>
        <w:r w:rsidR="003A35AC">
          <w:rPr>
            <w:noProof/>
          </w:rPr>
          <w:t>1</w:t>
        </w:r>
        <w:r>
          <w:rPr>
            <w:noProof/>
          </w:rPr>
          <w:fldChar w:fldCharType="end"/>
        </w:r>
      </w:p>
    </w:sdtContent>
  </w:sdt>
  <w:p w:rsidR="00347AB2" w:rsidRDefault="00347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9D" w:rsidRDefault="00BB019D" w:rsidP="007B1778">
      <w:pPr>
        <w:spacing w:after="0" w:line="240" w:lineRule="auto"/>
      </w:pPr>
      <w:r>
        <w:separator/>
      </w:r>
    </w:p>
  </w:footnote>
  <w:footnote w:type="continuationSeparator" w:id="0">
    <w:p w:rsidR="00BB019D" w:rsidRDefault="00BB019D" w:rsidP="007B1778">
      <w:pPr>
        <w:spacing w:after="0" w:line="240" w:lineRule="auto"/>
      </w:pPr>
      <w:r>
        <w:continuationSeparator/>
      </w:r>
    </w:p>
  </w:footnote>
  <w:footnote w:id="1">
    <w:p w:rsidR="00206CC2" w:rsidRPr="00347AB2" w:rsidRDefault="00206CC2">
      <w:pPr>
        <w:pStyle w:val="FootnoteText"/>
        <w:rPr>
          <w:sz w:val="16"/>
          <w:szCs w:val="16"/>
        </w:rPr>
      </w:pPr>
      <w:r w:rsidRPr="00347AB2">
        <w:rPr>
          <w:rStyle w:val="FootnoteReference"/>
          <w:sz w:val="16"/>
          <w:szCs w:val="16"/>
        </w:rPr>
        <w:footnoteRef/>
      </w:r>
      <w:r w:rsidRPr="00347AB2">
        <w:rPr>
          <w:sz w:val="16"/>
          <w:szCs w:val="16"/>
        </w:rPr>
        <w:t xml:space="preserve"> </w:t>
      </w:r>
      <w:hyperlink r:id="rId1" w:history="1">
        <w:r w:rsidRPr="00347AB2">
          <w:rPr>
            <w:rStyle w:val="Hyperlink"/>
            <w:sz w:val="16"/>
            <w:szCs w:val="16"/>
          </w:rPr>
          <w:t>https://treaties.un.org/Pages/ViewDetails.aspx?src=TREATY&amp;mtdsg_no=IV-12&amp;chapter=4&amp;clang=_fr</w:t>
        </w:r>
      </w:hyperlink>
    </w:p>
  </w:footnote>
  <w:footnote w:id="2">
    <w:p w:rsidR="00206CC2" w:rsidRDefault="00206CC2">
      <w:pPr>
        <w:pStyle w:val="FootnoteText"/>
      </w:pPr>
      <w:r w:rsidRPr="00347AB2">
        <w:rPr>
          <w:rStyle w:val="FootnoteReference"/>
          <w:sz w:val="16"/>
          <w:szCs w:val="16"/>
        </w:rPr>
        <w:footnoteRef/>
      </w:r>
      <w:r w:rsidRPr="00347AB2">
        <w:rPr>
          <w:sz w:val="16"/>
          <w:szCs w:val="16"/>
        </w:rPr>
        <w:t xml:space="preserve"> </w:t>
      </w:r>
      <w:hyperlink r:id="rId2" w:history="1">
        <w:r w:rsidRPr="00347AB2">
          <w:rPr>
            <w:rStyle w:val="Hyperlink"/>
            <w:sz w:val="16"/>
            <w:szCs w:val="16"/>
          </w:rPr>
          <w:t>http://www.droit-afrique.com/upload/doc/togo/Togo-Loi-2009-11-abolition-peine-de-mort.pdf</w:t>
        </w:r>
      </w:hyperlink>
    </w:p>
  </w:footnote>
  <w:footnote w:id="3">
    <w:p w:rsidR="00F445FE" w:rsidRPr="00347AB2" w:rsidRDefault="00F445FE" w:rsidP="00F445FE">
      <w:pPr>
        <w:pStyle w:val="FootnoteText"/>
        <w:rPr>
          <w:sz w:val="16"/>
          <w:szCs w:val="16"/>
        </w:rPr>
      </w:pPr>
      <w:r w:rsidRPr="00347AB2">
        <w:rPr>
          <w:rStyle w:val="FootnoteReference"/>
          <w:sz w:val="16"/>
          <w:szCs w:val="16"/>
        </w:rPr>
        <w:footnoteRef/>
      </w:r>
      <w:r w:rsidRPr="00347AB2">
        <w:rPr>
          <w:sz w:val="16"/>
          <w:szCs w:val="16"/>
        </w:rPr>
        <w:t xml:space="preserve"> </w:t>
      </w:r>
      <w:hyperlink r:id="rId3" w:history="1">
        <w:r w:rsidRPr="00347AB2">
          <w:rPr>
            <w:rStyle w:val="Hyperlink"/>
            <w:sz w:val="16"/>
            <w:szCs w:val="16"/>
          </w:rPr>
          <w:t>http://cdfdh.org/bientot-une-loi-pour-proteger-les-defenseurs-de-droit-de-lhomme/1044</w:t>
        </w:r>
      </w:hyperlink>
    </w:p>
  </w:footnote>
  <w:footnote w:id="4">
    <w:p w:rsidR="008450F1" w:rsidRDefault="008450F1">
      <w:pPr>
        <w:pStyle w:val="FootnoteText"/>
      </w:pPr>
      <w:r w:rsidRPr="003B76B9">
        <w:rPr>
          <w:rStyle w:val="FootnoteReference"/>
          <w:sz w:val="16"/>
        </w:rPr>
        <w:footnoteRef/>
      </w:r>
      <w:r w:rsidRPr="003B76B9">
        <w:rPr>
          <w:sz w:val="16"/>
        </w:rPr>
        <w:t xml:space="preserve"> </w:t>
      </w:r>
      <w:hyperlink r:id="rId4" w:history="1">
        <w:r w:rsidRPr="003B76B9">
          <w:rPr>
            <w:rStyle w:val="Hyperlink"/>
            <w:sz w:val="16"/>
          </w:rPr>
          <w:t>https://www.youtube.com/watch?v=_0pNOXqj6is&amp;feature=youtu.be</w:t>
        </w:r>
      </w:hyperlink>
      <w:r w:rsidRPr="003B76B9">
        <w:rPr>
          <w:sz w:val="16"/>
        </w:rPr>
        <w:t xml:space="preserve"> </w:t>
      </w:r>
    </w:p>
  </w:footnote>
  <w:footnote w:id="5">
    <w:p w:rsidR="00503B67" w:rsidRDefault="00503B67">
      <w:pPr>
        <w:pStyle w:val="FootnoteText"/>
      </w:pPr>
      <w:r w:rsidRPr="003B76B9">
        <w:rPr>
          <w:rStyle w:val="FootnoteReference"/>
          <w:sz w:val="16"/>
        </w:rPr>
        <w:footnoteRef/>
      </w:r>
      <w:r w:rsidRPr="003B76B9">
        <w:rPr>
          <w:sz w:val="16"/>
        </w:rPr>
        <w:t xml:space="preserve"> </w:t>
      </w:r>
      <w:hyperlink r:id="rId5" w:history="1">
        <w:r w:rsidRPr="003B76B9">
          <w:rPr>
            <w:rStyle w:val="Hyperlink"/>
            <w:sz w:val="16"/>
          </w:rPr>
          <w:t>http://www.ecovisionafrik.com/2019/11/13/loi-de-protection-des-defenseurs-des-droits-de-lhomme-au-togo-un-pas-de-franchi/</w:t>
        </w:r>
      </w:hyperlink>
      <w:r w:rsidRPr="003B76B9">
        <w:rPr>
          <w:sz w:val="16"/>
        </w:rPr>
        <w:t xml:space="preserve"> </w:t>
      </w:r>
    </w:p>
  </w:footnote>
  <w:footnote w:id="6">
    <w:p w:rsidR="00444D50" w:rsidRPr="00347AB2" w:rsidRDefault="00444D50">
      <w:pPr>
        <w:pStyle w:val="FootnoteText"/>
        <w:rPr>
          <w:sz w:val="16"/>
          <w:szCs w:val="16"/>
        </w:rPr>
      </w:pPr>
      <w:r w:rsidRPr="00347AB2">
        <w:rPr>
          <w:rStyle w:val="FootnoteReference"/>
          <w:sz w:val="16"/>
          <w:szCs w:val="16"/>
        </w:rPr>
        <w:footnoteRef/>
      </w:r>
      <w:r w:rsidRPr="00347AB2">
        <w:rPr>
          <w:sz w:val="16"/>
          <w:szCs w:val="16"/>
        </w:rPr>
        <w:t xml:space="preserve"> </w:t>
      </w:r>
      <w:hyperlink r:id="rId6" w:history="1">
        <w:r w:rsidR="000B1665" w:rsidRPr="00347AB2">
          <w:rPr>
            <w:rStyle w:val="Hyperlink"/>
            <w:sz w:val="16"/>
            <w:szCs w:val="16"/>
          </w:rPr>
          <w:t>http://www.linfodrome.com/afrique-monde/54111-togo-la-miss-ypn-darina-wilson-assassinee-a-baguida-son-telephone-portable-emporte</w:t>
        </w:r>
      </w:hyperlink>
    </w:p>
  </w:footnote>
  <w:footnote w:id="7">
    <w:p w:rsidR="00F65A82" w:rsidRDefault="00F65A82" w:rsidP="00F65A82">
      <w:pPr>
        <w:pStyle w:val="FootnoteText"/>
      </w:pPr>
      <w:r w:rsidRPr="00347AB2">
        <w:rPr>
          <w:rStyle w:val="FootnoteReference"/>
          <w:sz w:val="16"/>
          <w:szCs w:val="16"/>
        </w:rPr>
        <w:footnoteRef/>
      </w:r>
      <w:r w:rsidRPr="00347AB2">
        <w:rPr>
          <w:sz w:val="16"/>
          <w:szCs w:val="16"/>
        </w:rPr>
        <w:t xml:space="preserve"> </w:t>
      </w:r>
      <w:hyperlink r:id="rId7" w:history="1">
        <w:r w:rsidRPr="00347AB2">
          <w:rPr>
            <w:rStyle w:val="Hyperlink"/>
            <w:sz w:val="16"/>
            <w:szCs w:val="16"/>
          </w:rPr>
          <w:t>http://news.alome.com/documents/docs/RAPPORT-LTDH-2019-Phase-finale.pdf</w:t>
        </w:r>
      </w:hyperlink>
    </w:p>
  </w:footnote>
  <w:footnote w:id="8">
    <w:p w:rsidR="00027120" w:rsidRPr="00347AB2" w:rsidRDefault="00027120">
      <w:pPr>
        <w:pStyle w:val="FootnoteText"/>
        <w:rPr>
          <w:sz w:val="16"/>
          <w:szCs w:val="16"/>
        </w:rPr>
      </w:pPr>
      <w:r w:rsidRPr="00347AB2">
        <w:rPr>
          <w:rStyle w:val="FootnoteReference"/>
          <w:sz w:val="16"/>
          <w:szCs w:val="16"/>
        </w:rPr>
        <w:footnoteRef/>
      </w:r>
      <w:r w:rsidRPr="00347AB2">
        <w:rPr>
          <w:sz w:val="16"/>
          <w:szCs w:val="16"/>
        </w:rPr>
        <w:t xml:space="preserve"> </w:t>
      </w:r>
      <w:hyperlink r:id="rId8" w:history="1">
        <w:r w:rsidRPr="00347AB2">
          <w:rPr>
            <w:rStyle w:val="Hyperlink"/>
            <w:sz w:val="16"/>
            <w:szCs w:val="16"/>
          </w:rPr>
          <w:t>https://www.27avril.com/blog/actualites/politiques/togo-repression-de-la-marche-du-13-avril-2019-un-lourd-bilan-selon-un-communique-du-pnp</w:t>
        </w:r>
      </w:hyperlink>
    </w:p>
  </w:footnote>
  <w:footnote w:id="9">
    <w:p w:rsidR="000B1665" w:rsidRDefault="000B1665">
      <w:pPr>
        <w:pStyle w:val="FootnoteText"/>
      </w:pPr>
      <w:r w:rsidRPr="00347AB2">
        <w:rPr>
          <w:rStyle w:val="FootnoteReference"/>
          <w:sz w:val="16"/>
          <w:szCs w:val="16"/>
        </w:rPr>
        <w:footnoteRef/>
      </w:r>
      <w:r w:rsidRPr="00347AB2">
        <w:rPr>
          <w:sz w:val="16"/>
          <w:szCs w:val="16"/>
        </w:rPr>
        <w:t xml:space="preserve"> </w:t>
      </w:r>
      <w:hyperlink r:id="rId9" w:history="1">
        <w:r w:rsidRPr="00347AB2">
          <w:rPr>
            <w:rStyle w:val="Hyperlink"/>
            <w:sz w:val="16"/>
            <w:szCs w:val="16"/>
          </w:rPr>
          <w:t>http://news.alome.com/documents/docs/RAPPORT-LTDH-2019-Phase-finale.pdf</w:t>
        </w:r>
      </w:hyperlink>
    </w:p>
  </w:footnote>
  <w:footnote w:id="10">
    <w:p w:rsidR="00AC6085" w:rsidRPr="00347AB2" w:rsidRDefault="00AC6085">
      <w:pPr>
        <w:pStyle w:val="FootnoteText"/>
        <w:rPr>
          <w:sz w:val="16"/>
          <w:szCs w:val="16"/>
        </w:rPr>
      </w:pPr>
      <w:r w:rsidRPr="00347AB2">
        <w:rPr>
          <w:rStyle w:val="FootnoteReference"/>
          <w:sz w:val="16"/>
          <w:szCs w:val="16"/>
        </w:rPr>
        <w:footnoteRef/>
      </w:r>
      <w:r w:rsidRPr="00347AB2">
        <w:rPr>
          <w:sz w:val="16"/>
          <w:szCs w:val="16"/>
        </w:rPr>
        <w:t xml:space="preserve"> </w:t>
      </w:r>
      <w:hyperlink r:id="rId10" w:history="1">
        <w:r w:rsidRPr="00347AB2">
          <w:rPr>
            <w:rStyle w:val="Hyperlink"/>
            <w:sz w:val="16"/>
            <w:szCs w:val="16"/>
          </w:rPr>
          <w:t>http://news.alome.com/documents/docs/RAPPORT-LTDH-2019-Phase-finale.pdf</w:t>
        </w:r>
      </w:hyperlink>
    </w:p>
  </w:footnote>
  <w:footnote w:id="11">
    <w:p w:rsidR="00027120" w:rsidRPr="00347AB2" w:rsidRDefault="00027120">
      <w:pPr>
        <w:pStyle w:val="FootnoteText"/>
        <w:rPr>
          <w:sz w:val="16"/>
          <w:szCs w:val="16"/>
        </w:rPr>
      </w:pPr>
      <w:r w:rsidRPr="00347AB2">
        <w:rPr>
          <w:rStyle w:val="FootnoteReference"/>
          <w:sz w:val="16"/>
          <w:szCs w:val="16"/>
        </w:rPr>
        <w:footnoteRef/>
      </w:r>
      <w:r w:rsidRPr="00347AB2">
        <w:rPr>
          <w:sz w:val="16"/>
          <w:szCs w:val="16"/>
        </w:rPr>
        <w:t xml:space="preserve"> </w:t>
      </w:r>
      <w:hyperlink r:id="rId11" w:history="1">
        <w:r w:rsidRPr="00347AB2">
          <w:rPr>
            <w:rStyle w:val="Hyperlink"/>
            <w:sz w:val="16"/>
            <w:szCs w:val="16"/>
          </w:rPr>
          <w:t>https://www.27avril.com/blog/actualites/politiques/togo-repression-de-la-marche-du-13-avril-2019-un-lourd-bilan-selon-un-communique-du-pnp</w:t>
        </w:r>
      </w:hyperlink>
    </w:p>
  </w:footnote>
  <w:footnote w:id="12">
    <w:p w:rsidR="00173CBD" w:rsidRPr="003B76B9" w:rsidRDefault="00173CBD">
      <w:pPr>
        <w:pStyle w:val="FootnoteText"/>
        <w:rPr>
          <w:lang w:val="en-US"/>
        </w:rPr>
      </w:pPr>
      <w:r w:rsidRPr="003B76B9">
        <w:rPr>
          <w:rStyle w:val="FootnoteReference"/>
          <w:sz w:val="16"/>
        </w:rPr>
        <w:footnoteRef/>
      </w:r>
      <w:r w:rsidRPr="003B76B9">
        <w:rPr>
          <w:sz w:val="16"/>
          <w:lang w:val="en-US"/>
        </w:rPr>
        <w:t xml:space="preserve"> CAT/C/TGO/CO/3 </w:t>
      </w:r>
    </w:p>
  </w:footnote>
  <w:footnote w:id="13">
    <w:p w:rsidR="00363BB9" w:rsidRPr="003B76B9" w:rsidRDefault="00363BB9">
      <w:pPr>
        <w:pStyle w:val="FootnoteText"/>
        <w:rPr>
          <w:sz w:val="16"/>
          <w:szCs w:val="16"/>
          <w:lang w:val="en-US"/>
        </w:rPr>
      </w:pPr>
      <w:r w:rsidRPr="00347AB2">
        <w:rPr>
          <w:rStyle w:val="FootnoteReference"/>
          <w:sz w:val="16"/>
          <w:szCs w:val="16"/>
        </w:rPr>
        <w:footnoteRef/>
      </w:r>
      <w:r w:rsidRPr="003B76B9">
        <w:rPr>
          <w:sz w:val="16"/>
          <w:szCs w:val="16"/>
          <w:lang w:val="en-US"/>
        </w:rPr>
        <w:t xml:space="preserve"> </w:t>
      </w:r>
      <w:hyperlink r:id="rId12" w:history="1">
        <w:r w:rsidRPr="003B76B9">
          <w:rPr>
            <w:rStyle w:val="Hyperlink"/>
            <w:sz w:val="16"/>
            <w:szCs w:val="16"/>
            <w:lang w:val="en-US"/>
          </w:rPr>
          <w:t>https://www.omct.org/fr/human-rights-defenders/urgent-interventions/togo/2019/10/d25544/</w:t>
        </w:r>
      </w:hyperlink>
    </w:p>
  </w:footnote>
  <w:footnote w:id="14">
    <w:p w:rsidR="00C65582" w:rsidRPr="003B76B9" w:rsidRDefault="00C65582">
      <w:pPr>
        <w:pStyle w:val="FootnoteText"/>
        <w:rPr>
          <w:lang w:val="en-US"/>
        </w:rPr>
      </w:pPr>
      <w:r w:rsidRPr="003B76B9">
        <w:rPr>
          <w:rStyle w:val="FootnoteReference"/>
          <w:sz w:val="16"/>
        </w:rPr>
        <w:footnoteRef/>
      </w:r>
      <w:r w:rsidRPr="003B76B9">
        <w:rPr>
          <w:sz w:val="16"/>
          <w:lang w:val="en-US"/>
        </w:rPr>
        <w:t xml:space="preserve"> TGO 3/2018</w:t>
      </w:r>
    </w:p>
  </w:footnote>
  <w:footnote w:id="15">
    <w:p w:rsidR="00FC3941" w:rsidRPr="003B76B9" w:rsidRDefault="00FC3941" w:rsidP="00FC3941">
      <w:pPr>
        <w:pStyle w:val="FootnoteText"/>
        <w:rPr>
          <w:sz w:val="16"/>
          <w:szCs w:val="16"/>
          <w:lang w:val="en-US"/>
        </w:rPr>
      </w:pPr>
      <w:r w:rsidRPr="00347AB2">
        <w:rPr>
          <w:rStyle w:val="FootnoteReference"/>
          <w:sz w:val="16"/>
          <w:szCs w:val="16"/>
        </w:rPr>
        <w:footnoteRef/>
      </w:r>
      <w:r w:rsidRPr="003B76B9">
        <w:rPr>
          <w:sz w:val="16"/>
          <w:szCs w:val="16"/>
          <w:lang w:val="en-US"/>
        </w:rPr>
        <w:t xml:space="preserve"> </w:t>
      </w:r>
      <w:hyperlink r:id="rId13" w:history="1">
        <w:r w:rsidRPr="003B76B9">
          <w:rPr>
            <w:rStyle w:val="Hyperlink"/>
            <w:sz w:val="16"/>
            <w:szCs w:val="16"/>
            <w:lang w:val="en-US"/>
          </w:rPr>
          <w:t>https://rsf.org/fr/actualites/un-journaliste-dinvestigation-menace-au-togo-rsf-demande-une-enquete</w:t>
        </w:r>
      </w:hyperlink>
    </w:p>
  </w:footnote>
  <w:footnote w:id="16">
    <w:p w:rsidR="003C2C43" w:rsidRPr="003B76B9" w:rsidRDefault="003C2C43" w:rsidP="00347AB2">
      <w:pPr>
        <w:pStyle w:val="Heading1"/>
        <w:shd w:val="clear" w:color="auto" w:fill="FFFFFF"/>
        <w:spacing w:before="0"/>
        <w:rPr>
          <w:rFonts w:ascii="Segoe UI" w:hAnsi="Segoe UI" w:cs="Segoe UI"/>
          <w:sz w:val="16"/>
          <w:szCs w:val="16"/>
          <w:lang w:val="en-US"/>
        </w:rPr>
      </w:pPr>
      <w:r w:rsidRPr="00347AB2">
        <w:rPr>
          <w:rStyle w:val="FootnoteReference"/>
          <w:color w:val="auto"/>
          <w:sz w:val="16"/>
          <w:szCs w:val="16"/>
        </w:rPr>
        <w:footnoteRef/>
      </w:r>
      <w:r w:rsidRPr="003B76B9">
        <w:rPr>
          <w:color w:val="auto"/>
          <w:sz w:val="16"/>
          <w:szCs w:val="16"/>
          <w:lang w:val="en-US"/>
        </w:rPr>
        <w:t xml:space="preserve"> </w:t>
      </w:r>
      <w:hyperlink r:id="rId14" w:history="1">
        <w:r w:rsidRPr="003B76B9">
          <w:rPr>
            <w:rStyle w:val="Hyperlink"/>
            <w:sz w:val="16"/>
            <w:szCs w:val="16"/>
            <w:lang w:val="en-US"/>
          </w:rPr>
          <w:t>http://territoire.gouv.tg/node/384</w:t>
        </w:r>
      </w:hyperlink>
    </w:p>
  </w:footnote>
  <w:footnote w:id="17">
    <w:p w:rsidR="00552D13" w:rsidRPr="003B76B9" w:rsidRDefault="00552D13">
      <w:pPr>
        <w:pStyle w:val="FootnoteText"/>
        <w:rPr>
          <w:lang w:val="en-US"/>
        </w:rPr>
      </w:pPr>
      <w:r w:rsidRPr="003B76B9">
        <w:rPr>
          <w:rStyle w:val="FootnoteReference"/>
          <w:sz w:val="16"/>
        </w:rPr>
        <w:footnoteRef/>
      </w:r>
      <w:r w:rsidRPr="003B76B9">
        <w:rPr>
          <w:sz w:val="16"/>
          <w:lang w:val="en-US"/>
        </w:rPr>
        <w:t xml:space="preserve"> TGO 1/2019</w:t>
      </w:r>
    </w:p>
  </w:footnote>
  <w:footnote w:id="18">
    <w:p w:rsidR="00A41E86" w:rsidRPr="003B76B9" w:rsidRDefault="00A41E86" w:rsidP="00A41E86">
      <w:pPr>
        <w:pStyle w:val="FootnoteText"/>
        <w:rPr>
          <w:sz w:val="16"/>
          <w:lang w:val="en-US"/>
        </w:rPr>
      </w:pPr>
      <w:r w:rsidRPr="003B76B9">
        <w:rPr>
          <w:rStyle w:val="FootnoteReference"/>
          <w:sz w:val="16"/>
        </w:rPr>
        <w:footnoteRef/>
      </w:r>
      <w:r w:rsidRPr="003B76B9">
        <w:rPr>
          <w:sz w:val="16"/>
          <w:lang w:val="en-US"/>
        </w:rPr>
        <w:t xml:space="preserve"> CCPR/C/TGO/QPR/5</w:t>
      </w:r>
    </w:p>
  </w:footnote>
  <w:footnote w:id="19">
    <w:p w:rsidR="009A296F" w:rsidRDefault="009A296F">
      <w:pPr>
        <w:pStyle w:val="FootnoteText"/>
      </w:pPr>
      <w:r w:rsidRPr="003B76B9">
        <w:rPr>
          <w:rStyle w:val="FootnoteReference"/>
          <w:sz w:val="16"/>
        </w:rPr>
        <w:footnoteRef/>
      </w:r>
      <w:r w:rsidRPr="003B76B9">
        <w:rPr>
          <w:sz w:val="16"/>
          <w:lang w:val="en-US"/>
        </w:rPr>
        <w:t xml:space="preserve"> CAT/C/TGO/CO/3, para. </w:t>
      </w:r>
      <w:r w:rsidRPr="003B76B9">
        <w:rPr>
          <w:sz w:val="16"/>
        </w:rPr>
        <w:t>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778" w:rsidRDefault="007B1778">
    <w:pPr>
      <w:pStyle w:val="Header"/>
    </w:pPr>
    <w:r>
      <w:rPr>
        <w:noProof/>
        <w:lang w:eastAsia="fr-CH"/>
      </w:rPr>
      <w:drawing>
        <wp:anchor distT="0" distB="0" distL="114300" distR="114300" simplePos="0" relativeHeight="251658240" behindDoc="0" locked="0" layoutInCell="1" allowOverlap="1">
          <wp:simplePos x="0" y="0"/>
          <wp:positionH relativeFrom="column">
            <wp:posOffset>175895</wp:posOffset>
          </wp:positionH>
          <wp:positionV relativeFrom="paragraph">
            <wp:posOffset>-365125</wp:posOffset>
          </wp:positionV>
          <wp:extent cx="899160" cy="861060"/>
          <wp:effectExtent l="0" t="0" r="0" b="0"/>
          <wp:wrapNone/>
          <wp:docPr id="1" name="Picture 1" descr="Logo CTD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TDD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9264" behindDoc="0" locked="0" layoutInCell="1" allowOverlap="1">
          <wp:simplePos x="0" y="0"/>
          <wp:positionH relativeFrom="margin">
            <wp:align>right</wp:align>
          </wp:positionH>
          <wp:positionV relativeFrom="paragraph">
            <wp:posOffset>-97790</wp:posOffset>
          </wp:positionV>
          <wp:extent cx="2628265" cy="316865"/>
          <wp:effectExtent l="0" t="0" r="635" b="698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265" cy="316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7FE"/>
    <w:multiLevelType w:val="hybridMultilevel"/>
    <w:tmpl w:val="22C8CEF8"/>
    <w:lvl w:ilvl="0" w:tplc="21C6126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E95EB8"/>
    <w:multiLevelType w:val="hybridMultilevel"/>
    <w:tmpl w:val="187A5AC8"/>
    <w:lvl w:ilvl="0" w:tplc="21C6126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D3143"/>
    <w:multiLevelType w:val="hybridMultilevel"/>
    <w:tmpl w:val="B13827CE"/>
    <w:lvl w:ilvl="0" w:tplc="21C6126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9950E73"/>
    <w:multiLevelType w:val="hybridMultilevel"/>
    <w:tmpl w:val="B7A84184"/>
    <w:lvl w:ilvl="0" w:tplc="100C000F">
      <w:start w:val="1"/>
      <w:numFmt w:val="decimal"/>
      <w:lvlText w:val="%1."/>
      <w:lvlJc w:val="left"/>
      <w:pPr>
        <w:ind w:left="720" w:hanging="360"/>
      </w:pPr>
    </w:lvl>
    <w:lvl w:ilvl="1" w:tplc="100C0001">
      <w:start w:val="1"/>
      <w:numFmt w:val="bullet"/>
      <w:lvlText w:val=""/>
      <w:lvlJc w:val="left"/>
      <w:pPr>
        <w:ind w:left="1440" w:hanging="360"/>
      </w:pPr>
      <w:rPr>
        <w:rFonts w:ascii="Symbol" w:hAnsi="Symbol" w:hint="default"/>
      </w:r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15:restartNumberingAfterBreak="0">
    <w:nsid w:val="4FCF095F"/>
    <w:multiLevelType w:val="hybridMultilevel"/>
    <w:tmpl w:val="3050FAB6"/>
    <w:lvl w:ilvl="0" w:tplc="A81CC3AC">
      <w:start w:val="1"/>
      <w:numFmt w:val="bullet"/>
      <w:lvlText w:val=""/>
      <w:lvlJc w:val="left"/>
      <w:pPr>
        <w:ind w:left="720" w:hanging="360"/>
      </w:pPr>
      <w:rPr>
        <w:rFonts w:ascii="Symbol" w:hAnsi="Symbol" w:hint="default"/>
        <w:color w:val="auto"/>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50BD3742"/>
    <w:multiLevelType w:val="hybridMultilevel"/>
    <w:tmpl w:val="C68A34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D175AC0"/>
    <w:multiLevelType w:val="hybridMultilevel"/>
    <w:tmpl w:val="4ABA2E02"/>
    <w:lvl w:ilvl="0" w:tplc="7048E2B2">
      <w:start w:val="1"/>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5A"/>
    <w:rsid w:val="00004310"/>
    <w:rsid w:val="00027120"/>
    <w:rsid w:val="0004245A"/>
    <w:rsid w:val="00092057"/>
    <w:rsid w:val="000A0348"/>
    <w:rsid w:val="000A24C9"/>
    <w:rsid w:val="000B1665"/>
    <w:rsid w:val="00101878"/>
    <w:rsid w:val="001268D2"/>
    <w:rsid w:val="00173CBD"/>
    <w:rsid w:val="00183AC0"/>
    <w:rsid w:val="001A63B4"/>
    <w:rsid w:val="001E15EC"/>
    <w:rsid w:val="00206CC2"/>
    <w:rsid w:val="00210F23"/>
    <w:rsid w:val="00231AC2"/>
    <w:rsid w:val="0025339E"/>
    <w:rsid w:val="00261918"/>
    <w:rsid w:val="00297372"/>
    <w:rsid w:val="002D42F3"/>
    <w:rsid w:val="00321445"/>
    <w:rsid w:val="003364B4"/>
    <w:rsid w:val="00343359"/>
    <w:rsid w:val="00347AB2"/>
    <w:rsid w:val="00363BB9"/>
    <w:rsid w:val="003778E0"/>
    <w:rsid w:val="00383B2A"/>
    <w:rsid w:val="003A35AC"/>
    <w:rsid w:val="003B76B9"/>
    <w:rsid w:val="003C2C43"/>
    <w:rsid w:val="00440BFC"/>
    <w:rsid w:val="00444D50"/>
    <w:rsid w:val="00496AA3"/>
    <w:rsid w:val="00496B41"/>
    <w:rsid w:val="004B5FD4"/>
    <w:rsid w:val="004B6FBF"/>
    <w:rsid w:val="004C2062"/>
    <w:rsid w:val="004D1C2D"/>
    <w:rsid w:val="004E76E7"/>
    <w:rsid w:val="005000E0"/>
    <w:rsid w:val="00503B67"/>
    <w:rsid w:val="005206B0"/>
    <w:rsid w:val="005312B4"/>
    <w:rsid w:val="005344CC"/>
    <w:rsid w:val="0054103D"/>
    <w:rsid w:val="00552D13"/>
    <w:rsid w:val="00564211"/>
    <w:rsid w:val="00586291"/>
    <w:rsid w:val="005862FF"/>
    <w:rsid w:val="005A12E5"/>
    <w:rsid w:val="005B2593"/>
    <w:rsid w:val="005D5349"/>
    <w:rsid w:val="005F280F"/>
    <w:rsid w:val="006236C3"/>
    <w:rsid w:val="00675FDC"/>
    <w:rsid w:val="006C392E"/>
    <w:rsid w:val="006E06FA"/>
    <w:rsid w:val="007178AC"/>
    <w:rsid w:val="00736E12"/>
    <w:rsid w:val="00745A5B"/>
    <w:rsid w:val="00767AF0"/>
    <w:rsid w:val="007B1778"/>
    <w:rsid w:val="007E1236"/>
    <w:rsid w:val="00806512"/>
    <w:rsid w:val="008450F1"/>
    <w:rsid w:val="008725B2"/>
    <w:rsid w:val="008B0B4A"/>
    <w:rsid w:val="00957ED9"/>
    <w:rsid w:val="0098136A"/>
    <w:rsid w:val="009A006F"/>
    <w:rsid w:val="009A296F"/>
    <w:rsid w:val="009B6FF1"/>
    <w:rsid w:val="009E059B"/>
    <w:rsid w:val="009F7568"/>
    <w:rsid w:val="00A41E86"/>
    <w:rsid w:val="00A51C9F"/>
    <w:rsid w:val="00A74113"/>
    <w:rsid w:val="00AB4160"/>
    <w:rsid w:val="00AC1DAD"/>
    <w:rsid w:val="00AC6085"/>
    <w:rsid w:val="00B00B08"/>
    <w:rsid w:val="00B06B0C"/>
    <w:rsid w:val="00B071A3"/>
    <w:rsid w:val="00B1684F"/>
    <w:rsid w:val="00B47D00"/>
    <w:rsid w:val="00B6281B"/>
    <w:rsid w:val="00B9082E"/>
    <w:rsid w:val="00B966E4"/>
    <w:rsid w:val="00BB019D"/>
    <w:rsid w:val="00BE003B"/>
    <w:rsid w:val="00BE75CA"/>
    <w:rsid w:val="00BF2A16"/>
    <w:rsid w:val="00C333C2"/>
    <w:rsid w:val="00C65582"/>
    <w:rsid w:val="00C849FF"/>
    <w:rsid w:val="00D104D7"/>
    <w:rsid w:val="00D2328E"/>
    <w:rsid w:val="00D845C0"/>
    <w:rsid w:val="00DB6B47"/>
    <w:rsid w:val="00DD00A6"/>
    <w:rsid w:val="00E65FA1"/>
    <w:rsid w:val="00E80653"/>
    <w:rsid w:val="00F05A1D"/>
    <w:rsid w:val="00F27B37"/>
    <w:rsid w:val="00F445FE"/>
    <w:rsid w:val="00F65A82"/>
    <w:rsid w:val="00F7032C"/>
    <w:rsid w:val="00FA2608"/>
    <w:rsid w:val="00FC3941"/>
    <w:rsid w:val="00FC4E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51E528-78BD-4195-9699-53D860EB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32C"/>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44D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619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59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Strong">
    <w:name w:val="Strong"/>
    <w:basedOn w:val="DefaultParagraphFont"/>
    <w:uiPriority w:val="22"/>
    <w:qFormat/>
    <w:rsid w:val="005B2593"/>
    <w:rPr>
      <w:b/>
      <w:bCs/>
    </w:rPr>
  </w:style>
  <w:style w:type="character" w:styleId="Hyperlink">
    <w:name w:val="Hyperlink"/>
    <w:basedOn w:val="DefaultParagraphFont"/>
    <w:uiPriority w:val="99"/>
    <w:unhideWhenUsed/>
    <w:rsid w:val="00F7032C"/>
    <w:rPr>
      <w:color w:val="0070C0"/>
      <w:u w:val="single"/>
    </w:rPr>
  </w:style>
  <w:style w:type="character" w:customStyle="1" w:styleId="Heading1Char">
    <w:name w:val="Heading 1 Char"/>
    <w:basedOn w:val="DefaultParagraphFont"/>
    <w:link w:val="Heading1"/>
    <w:uiPriority w:val="9"/>
    <w:rsid w:val="00F7032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References Char,Liste couleur - Accent 11 Char,List Paragraph (numbered (a)) Char,Paragraphe de liste1 Char"/>
    <w:link w:val="ListParagraph"/>
    <w:uiPriority w:val="34"/>
    <w:locked/>
    <w:rsid w:val="00F7032C"/>
    <w:rPr>
      <w:lang w:val="fr-FR"/>
    </w:rPr>
  </w:style>
  <w:style w:type="paragraph" w:styleId="ListParagraph">
    <w:name w:val="List Paragraph"/>
    <w:aliases w:val="References,Liste couleur - Accent 11,List Paragraph (numbered (a)),Paragraphe de liste1"/>
    <w:basedOn w:val="Normal"/>
    <w:link w:val="ListParagraphChar"/>
    <w:uiPriority w:val="34"/>
    <w:qFormat/>
    <w:rsid w:val="00F7032C"/>
    <w:pPr>
      <w:spacing w:after="200" w:line="276" w:lineRule="auto"/>
      <w:ind w:left="720"/>
      <w:contextualSpacing/>
    </w:pPr>
    <w:rPr>
      <w:lang w:val="fr-FR"/>
    </w:rPr>
  </w:style>
  <w:style w:type="paragraph" w:styleId="Header">
    <w:name w:val="header"/>
    <w:basedOn w:val="Normal"/>
    <w:link w:val="HeaderChar"/>
    <w:uiPriority w:val="99"/>
    <w:unhideWhenUsed/>
    <w:rsid w:val="007B17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1778"/>
  </w:style>
  <w:style w:type="paragraph" w:styleId="Footer">
    <w:name w:val="footer"/>
    <w:basedOn w:val="Normal"/>
    <w:link w:val="FooterChar"/>
    <w:uiPriority w:val="99"/>
    <w:unhideWhenUsed/>
    <w:rsid w:val="007B17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1778"/>
  </w:style>
  <w:style w:type="paragraph" w:customStyle="1" w:styleId="Default">
    <w:name w:val="Default"/>
    <w:rsid w:val="00BE003B"/>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styleId="FootnoteText">
    <w:name w:val="footnote text"/>
    <w:basedOn w:val="Normal"/>
    <w:link w:val="FootnoteTextChar"/>
    <w:uiPriority w:val="99"/>
    <w:semiHidden/>
    <w:unhideWhenUsed/>
    <w:rsid w:val="00206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CC2"/>
    <w:rPr>
      <w:sz w:val="20"/>
      <w:szCs w:val="20"/>
    </w:rPr>
  </w:style>
  <w:style w:type="character" w:styleId="FootnoteReference">
    <w:name w:val="footnote reference"/>
    <w:basedOn w:val="DefaultParagraphFont"/>
    <w:uiPriority w:val="99"/>
    <w:semiHidden/>
    <w:unhideWhenUsed/>
    <w:rsid w:val="00206CC2"/>
    <w:rPr>
      <w:vertAlign w:val="superscript"/>
    </w:rPr>
  </w:style>
  <w:style w:type="character" w:customStyle="1" w:styleId="Heading2Char">
    <w:name w:val="Heading 2 Char"/>
    <w:basedOn w:val="DefaultParagraphFont"/>
    <w:link w:val="Heading2"/>
    <w:uiPriority w:val="9"/>
    <w:semiHidden/>
    <w:rsid w:val="00444D50"/>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027120"/>
    <w:rPr>
      <w:i/>
      <w:iCs/>
    </w:rPr>
  </w:style>
  <w:style w:type="character" w:customStyle="1" w:styleId="Heading5Char">
    <w:name w:val="Heading 5 Char"/>
    <w:basedOn w:val="DefaultParagraphFont"/>
    <w:link w:val="Heading5"/>
    <w:uiPriority w:val="9"/>
    <w:semiHidden/>
    <w:rsid w:val="00261918"/>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E8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53"/>
    <w:rPr>
      <w:rFonts w:ascii="Tahoma" w:hAnsi="Tahoma" w:cs="Tahoma"/>
      <w:sz w:val="16"/>
      <w:szCs w:val="16"/>
    </w:rPr>
  </w:style>
  <w:style w:type="character" w:styleId="CommentReference">
    <w:name w:val="annotation reference"/>
    <w:basedOn w:val="DefaultParagraphFont"/>
    <w:uiPriority w:val="99"/>
    <w:semiHidden/>
    <w:unhideWhenUsed/>
    <w:rsid w:val="008450F1"/>
    <w:rPr>
      <w:sz w:val="16"/>
      <w:szCs w:val="16"/>
    </w:rPr>
  </w:style>
  <w:style w:type="paragraph" w:styleId="CommentText">
    <w:name w:val="annotation text"/>
    <w:basedOn w:val="Normal"/>
    <w:link w:val="CommentTextChar"/>
    <w:uiPriority w:val="99"/>
    <w:semiHidden/>
    <w:unhideWhenUsed/>
    <w:rsid w:val="008450F1"/>
    <w:pPr>
      <w:spacing w:line="240" w:lineRule="auto"/>
    </w:pPr>
    <w:rPr>
      <w:sz w:val="20"/>
      <w:szCs w:val="20"/>
    </w:rPr>
  </w:style>
  <w:style w:type="character" w:customStyle="1" w:styleId="CommentTextChar">
    <w:name w:val="Comment Text Char"/>
    <w:basedOn w:val="DefaultParagraphFont"/>
    <w:link w:val="CommentText"/>
    <w:uiPriority w:val="99"/>
    <w:semiHidden/>
    <w:rsid w:val="008450F1"/>
    <w:rPr>
      <w:sz w:val="20"/>
      <w:szCs w:val="20"/>
    </w:rPr>
  </w:style>
  <w:style w:type="paragraph" w:styleId="CommentSubject">
    <w:name w:val="annotation subject"/>
    <w:basedOn w:val="CommentText"/>
    <w:next w:val="CommentText"/>
    <w:link w:val="CommentSubjectChar"/>
    <w:uiPriority w:val="99"/>
    <w:semiHidden/>
    <w:unhideWhenUsed/>
    <w:rsid w:val="008450F1"/>
    <w:rPr>
      <w:b/>
      <w:bCs/>
    </w:rPr>
  </w:style>
  <w:style w:type="character" w:customStyle="1" w:styleId="CommentSubjectChar">
    <w:name w:val="Comment Subject Char"/>
    <w:basedOn w:val="CommentTextChar"/>
    <w:link w:val="CommentSubject"/>
    <w:uiPriority w:val="99"/>
    <w:semiHidden/>
    <w:rsid w:val="008450F1"/>
    <w:rPr>
      <w:b/>
      <w:bCs/>
      <w:sz w:val="20"/>
      <w:szCs w:val="20"/>
    </w:rPr>
  </w:style>
  <w:style w:type="character" w:styleId="FollowedHyperlink">
    <w:name w:val="FollowedHyperlink"/>
    <w:basedOn w:val="DefaultParagraphFont"/>
    <w:uiPriority w:val="99"/>
    <w:semiHidden/>
    <w:unhideWhenUsed/>
    <w:rsid w:val="00503B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8804">
      <w:bodyDiv w:val="1"/>
      <w:marLeft w:val="0"/>
      <w:marRight w:val="0"/>
      <w:marTop w:val="0"/>
      <w:marBottom w:val="0"/>
      <w:divBdr>
        <w:top w:val="none" w:sz="0" w:space="0" w:color="auto"/>
        <w:left w:val="none" w:sz="0" w:space="0" w:color="auto"/>
        <w:bottom w:val="none" w:sz="0" w:space="0" w:color="auto"/>
        <w:right w:val="none" w:sz="0" w:space="0" w:color="auto"/>
      </w:divBdr>
    </w:div>
    <w:div w:id="89742793">
      <w:bodyDiv w:val="1"/>
      <w:marLeft w:val="0"/>
      <w:marRight w:val="0"/>
      <w:marTop w:val="0"/>
      <w:marBottom w:val="0"/>
      <w:divBdr>
        <w:top w:val="none" w:sz="0" w:space="0" w:color="auto"/>
        <w:left w:val="none" w:sz="0" w:space="0" w:color="auto"/>
        <w:bottom w:val="none" w:sz="0" w:space="0" w:color="auto"/>
        <w:right w:val="none" w:sz="0" w:space="0" w:color="auto"/>
      </w:divBdr>
    </w:div>
    <w:div w:id="302202868">
      <w:bodyDiv w:val="1"/>
      <w:marLeft w:val="0"/>
      <w:marRight w:val="0"/>
      <w:marTop w:val="0"/>
      <w:marBottom w:val="0"/>
      <w:divBdr>
        <w:top w:val="none" w:sz="0" w:space="0" w:color="auto"/>
        <w:left w:val="none" w:sz="0" w:space="0" w:color="auto"/>
        <w:bottom w:val="none" w:sz="0" w:space="0" w:color="auto"/>
        <w:right w:val="none" w:sz="0" w:space="0" w:color="auto"/>
      </w:divBdr>
    </w:div>
    <w:div w:id="333191548">
      <w:bodyDiv w:val="1"/>
      <w:marLeft w:val="0"/>
      <w:marRight w:val="0"/>
      <w:marTop w:val="0"/>
      <w:marBottom w:val="0"/>
      <w:divBdr>
        <w:top w:val="none" w:sz="0" w:space="0" w:color="auto"/>
        <w:left w:val="none" w:sz="0" w:space="0" w:color="auto"/>
        <w:bottom w:val="none" w:sz="0" w:space="0" w:color="auto"/>
        <w:right w:val="none" w:sz="0" w:space="0" w:color="auto"/>
      </w:divBdr>
    </w:div>
    <w:div w:id="336660812">
      <w:bodyDiv w:val="1"/>
      <w:marLeft w:val="0"/>
      <w:marRight w:val="0"/>
      <w:marTop w:val="0"/>
      <w:marBottom w:val="0"/>
      <w:divBdr>
        <w:top w:val="none" w:sz="0" w:space="0" w:color="auto"/>
        <w:left w:val="none" w:sz="0" w:space="0" w:color="auto"/>
        <w:bottom w:val="none" w:sz="0" w:space="0" w:color="auto"/>
        <w:right w:val="none" w:sz="0" w:space="0" w:color="auto"/>
      </w:divBdr>
    </w:div>
    <w:div w:id="463230844">
      <w:bodyDiv w:val="1"/>
      <w:marLeft w:val="0"/>
      <w:marRight w:val="0"/>
      <w:marTop w:val="0"/>
      <w:marBottom w:val="0"/>
      <w:divBdr>
        <w:top w:val="none" w:sz="0" w:space="0" w:color="auto"/>
        <w:left w:val="none" w:sz="0" w:space="0" w:color="auto"/>
        <w:bottom w:val="none" w:sz="0" w:space="0" w:color="auto"/>
        <w:right w:val="none" w:sz="0" w:space="0" w:color="auto"/>
      </w:divBdr>
    </w:div>
    <w:div w:id="633952751">
      <w:bodyDiv w:val="1"/>
      <w:marLeft w:val="0"/>
      <w:marRight w:val="0"/>
      <w:marTop w:val="0"/>
      <w:marBottom w:val="0"/>
      <w:divBdr>
        <w:top w:val="none" w:sz="0" w:space="0" w:color="auto"/>
        <w:left w:val="none" w:sz="0" w:space="0" w:color="auto"/>
        <w:bottom w:val="none" w:sz="0" w:space="0" w:color="auto"/>
        <w:right w:val="none" w:sz="0" w:space="0" w:color="auto"/>
      </w:divBdr>
    </w:div>
    <w:div w:id="814221272">
      <w:bodyDiv w:val="1"/>
      <w:marLeft w:val="0"/>
      <w:marRight w:val="0"/>
      <w:marTop w:val="0"/>
      <w:marBottom w:val="0"/>
      <w:divBdr>
        <w:top w:val="none" w:sz="0" w:space="0" w:color="auto"/>
        <w:left w:val="none" w:sz="0" w:space="0" w:color="auto"/>
        <w:bottom w:val="none" w:sz="0" w:space="0" w:color="auto"/>
        <w:right w:val="none" w:sz="0" w:space="0" w:color="auto"/>
      </w:divBdr>
    </w:div>
    <w:div w:id="1111706756">
      <w:bodyDiv w:val="1"/>
      <w:marLeft w:val="0"/>
      <w:marRight w:val="0"/>
      <w:marTop w:val="0"/>
      <w:marBottom w:val="0"/>
      <w:divBdr>
        <w:top w:val="none" w:sz="0" w:space="0" w:color="auto"/>
        <w:left w:val="none" w:sz="0" w:space="0" w:color="auto"/>
        <w:bottom w:val="none" w:sz="0" w:space="0" w:color="auto"/>
        <w:right w:val="none" w:sz="0" w:space="0" w:color="auto"/>
      </w:divBdr>
    </w:div>
    <w:div w:id="1123496436">
      <w:bodyDiv w:val="1"/>
      <w:marLeft w:val="0"/>
      <w:marRight w:val="0"/>
      <w:marTop w:val="0"/>
      <w:marBottom w:val="0"/>
      <w:divBdr>
        <w:top w:val="none" w:sz="0" w:space="0" w:color="auto"/>
        <w:left w:val="none" w:sz="0" w:space="0" w:color="auto"/>
        <w:bottom w:val="none" w:sz="0" w:space="0" w:color="auto"/>
        <w:right w:val="none" w:sz="0" w:space="0" w:color="auto"/>
      </w:divBdr>
    </w:div>
    <w:div w:id="1278180684">
      <w:bodyDiv w:val="1"/>
      <w:marLeft w:val="0"/>
      <w:marRight w:val="0"/>
      <w:marTop w:val="0"/>
      <w:marBottom w:val="0"/>
      <w:divBdr>
        <w:top w:val="none" w:sz="0" w:space="0" w:color="auto"/>
        <w:left w:val="none" w:sz="0" w:space="0" w:color="auto"/>
        <w:bottom w:val="none" w:sz="0" w:space="0" w:color="auto"/>
        <w:right w:val="none" w:sz="0" w:space="0" w:color="auto"/>
      </w:divBdr>
    </w:div>
    <w:div w:id="1356924408">
      <w:bodyDiv w:val="1"/>
      <w:marLeft w:val="0"/>
      <w:marRight w:val="0"/>
      <w:marTop w:val="0"/>
      <w:marBottom w:val="0"/>
      <w:divBdr>
        <w:top w:val="none" w:sz="0" w:space="0" w:color="auto"/>
        <w:left w:val="none" w:sz="0" w:space="0" w:color="auto"/>
        <w:bottom w:val="none" w:sz="0" w:space="0" w:color="auto"/>
        <w:right w:val="none" w:sz="0" w:space="0" w:color="auto"/>
      </w:divBdr>
    </w:div>
    <w:div w:id="1361011891">
      <w:bodyDiv w:val="1"/>
      <w:marLeft w:val="0"/>
      <w:marRight w:val="0"/>
      <w:marTop w:val="0"/>
      <w:marBottom w:val="0"/>
      <w:divBdr>
        <w:top w:val="none" w:sz="0" w:space="0" w:color="auto"/>
        <w:left w:val="none" w:sz="0" w:space="0" w:color="auto"/>
        <w:bottom w:val="none" w:sz="0" w:space="0" w:color="auto"/>
        <w:right w:val="none" w:sz="0" w:space="0" w:color="auto"/>
      </w:divBdr>
    </w:div>
    <w:div w:id="1797021714">
      <w:bodyDiv w:val="1"/>
      <w:marLeft w:val="0"/>
      <w:marRight w:val="0"/>
      <w:marTop w:val="0"/>
      <w:marBottom w:val="0"/>
      <w:divBdr>
        <w:top w:val="none" w:sz="0" w:space="0" w:color="auto"/>
        <w:left w:val="none" w:sz="0" w:space="0" w:color="auto"/>
        <w:bottom w:val="none" w:sz="0" w:space="0" w:color="auto"/>
        <w:right w:val="none" w:sz="0" w:space="0" w:color="auto"/>
      </w:divBdr>
    </w:div>
    <w:div w:id="1876652087">
      <w:bodyDiv w:val="1"/>
      <w:marLeft w:val="0"/>
      <w:marRight w:val="0"/>
      <w:marTop w:val="0"/>
      <w:marBottom w:val="0"/>
      <w:divBdr>
        <w:top w:val="none" w:sz="0" w:space="0" w:color="auto"/>
        <w:left w:val="none" w:sz="0" w:space="0" w:color="auto"/>
        <w:bottom w:val="none" w:sz="0" w:space="0" w:color="auto"/>
        <w:right w:val="none" w:sz="0" w:space="0" w:color="auto"/>
      </w:divBdr>
    </w:div>
    <w:div w:id="1910309963">
      <w:bodyDiv w:val="1"/>
      <w:marLeft w:val="0"/>
      <w:marRight w:val="0"/>
      <w:marTop w:val="0"/>
      <w:marBottom w:val="0"/>
      <w:divBdr>
        <w:top w:val="none" w:sz="0" w:space="0" w:color="auto"/>
        <w:left w:val="none" w:sz="0" w:space="0" w:color="auto"/>
        <w:bottom w:val="none" w:sz="0" w:space="0" w:color="auto"/>
        <w:right w:val="none" w:sz="0" w:space="0" w:color="auto"/>
      </w:divBdr>
    </w:div>
    <w:div w:id="1951938070">
      <w:bodyDiv w:val="1"/>
      <w:marLeft w:val="0"/>
      <w:marRight w:val="0"/>
      <w:marTop w:val="0"/>
      <w:marBottom w:val="0"/>
      <w:divBdr>
        <w:top w:val="none" w:sz="0" w:space="0" w:color="auto"/>
        <w:left w:val="none" w:sz="0" w:space="0" w:color="auto"/>
        <w:bottom w:val="none" w:sz="0" w:space="0" w:color="auto"/>
        <w:right w:val="none" w:sz="0" w:space="0" w:color="auto"/>
      </w:divBdr>
    </w:div>
    <w:div w:id="1980915929">
      <w:bodyDiv w:val="1"/>
      <w:marLeft w:val="0"/>
      <w:marRight w:val="0"/>
      <w:marTop w:val="0"/>
      <w:marBottom w:val="0"/>
      <w:divBdr>
        <w:top w:val="none" w:sz="0" w:space="0" w:color="auto"/>
        <w:left w:val="none" w:sz="0" w:space="0" w:color="auto"/>
        <w:bottom w:val="none" w:sz="0" w:space="0" w:color="auto"/>
        <w:right w:val="none" w:sz="0" w:space="0" w:color="auto"/>
      </w:divBdr>
    </w:div>
    <w:div w:id="2043894644">
      <w:bodyDiv w:val="1"/>
      <w:marLeft w:val="0"/>
      <w:marRight w:val="0"/>
      <w:marTop w:val="0"/>
      <w:marBottom w:val="0"/>
      <w:divBdr>
        <w:top w:val="none" w:sz="0" w:space="0" w:color="auto"/>
        <w:left w:val="none" w:sz="0" w:space="0" w:color="auto"/>
        <w:bottom w:val="none" w:sz="0" w:space="0" w:color="auto"/>
        <w:right w:val="none" w:sz="0" w:space="0" w:color="auto"/>
      </w:divBdr>
    </w:div>
    <w:div w:id="2066371204">
      <w:bodyDiv w:val="1"/>
      <w:marLeft w:val="0"/>
      <w:marRight w:val="0"/>
      <w:marTop w:val="0"/>
      <w:marBottom w:val="0"/>
      <w:divBdr>
        <w:top w:val="none" w:sz="0" w:space="0" w:color="auto"/>
        <w:left w:val="none" w:sz="0" w:space="0" w:color="auto"/>
        <w:bottom w:val="none" w:sz="0" w:space="0" w:color="auto"/>
        <w:right w:val="none" w:sz="0" w:space="0" w:color="auto"/>
      </w:divBdr>
    </w:div>
    <w:div w:id="209612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h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wamba@ishr.ch" TargetMode="External"/><Relationship Id="rId4" Type="http://schemas.openxmlformats.org/officeDocument/2006/relationships/settings" Target="settings.xml"/><Relationship Id="rId9" Type="http://schemas.openxmlformats.org/officeDocument/2006/relationships/hyperlink" Target="mailto:ctddh@yahoo.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27avril.com/blog/actualites/politiques/togo-repression-de-la-marche-du-13-avril-2019-un-lourd-bilan-selon-un-communique-du-pnp" TargetMode="External"/><Relationship Id="rId13" Type="http://schemas.openxmlformats.org/officeDocument/2006/relationships/hyperlink" Target="https://rsf.org/fr/actualites/un-journaliste-dinvestigation-menace-au-togo-rsf-demande-une-enquete" TargetMode="External"/><Relationship Id="rId3" Type="http://schemas.openxmlformats.org/officeDocument/2006/relationships/hyperlink" Target="http://cdfdh.org/bientot-une-loi-pour-proteger-les-defenseurs-de-droit-de-lhomme/1044" TargetMode="External"/><Relationship Id="rId7" Type="http://schemas.openxmlformats.org/officeDocument/2006/relationships/hyperlink" Target="http://news.alome.com/documents/docs/RAPPORT-LTDH-2019-Phase-finale.pdf" TargetMode="External"/><Relationship Id="rId12" Type="http://schemas.openxmlformats.org/officeDocument/2006/relationships/hyperlink" Target="https://www.omct.org/fr/human-rights-defenders/urgent-interventions/togo/2019/10/d25544/" TargetMode="External"/><Relationship Id="rId2" Type="http://schemas.openxmlformats.org/officeDocument/2006/relationships/hyperlink" Target="http://www.droit-afrique.com/upload/doc/togo/Togo-Loi-2009-11-abolition-peine-de-mort.pdf" TargetMode="External"/><Relationship Id="rId1" Type="http://schemas.openxmlformats.org/officeDocument/2006/relationships/hyperlink" Target="https://treaties.un.org/Pages/ViewDetails.aspx?src=TREATY&amp;mtdsg_no=IV-12&amp;chapter=4&amp;clang=_fr" TargetMode="External"/><Relationship Id="rId6" Type="http://schemas.openxmlformats.org/officeDocument/2006/relationships/hyperlink" Target="http://www.linfodrome.com/afrique-monde/54111-togo-la-miss-ypn-darina-wilson-assassinee-a-baguida-son-telephone-portable-emporte" TargetMode="External"/><Relationship Id="rId11" Type="http://schemas.openxmlformats.org/officeDocument/2006/relationships/hyperlink" Target="https://www.27avril.com/blog/actualites/politiques/togo-repression-de-la-marche-du-13-avril-2019-un-lourd-bilan-selon-un-communique-du-pnp" TargetMode="External"/><Relationship Id="rId5" Type="http://schemas.openxmlformats.org/officeDocument/2006/relationships/hyperlink" Target="http://www.ecovisionafrik.com/2019/11/13/loi-de-protection-des-defenseurs-des-droits-de-lhomme-au-togo-un-pas-de-franchi/" TargetMode="External"/><Relationship Id="rId10" Type="http://schemas.openxmlformats.org/officeDocument/2006/relationships/hyperlink" Target="http://news.alome.com/documents/docs/RAPPORT-LTDH-2019-Phase-finale.pdf" TargetMode="External"/><Relationship Id="rId4" Type="http://schemas.openxmlformats.org/officeDocument/2006/relationships/hyperlink" Target="https://www.youtube.com/watch?v=_0pNOXqj6is&amp;feature=youtu.be" TargetMode="External"/><Relationship Id="rId9" Type="http://schemas.openxmlformats.org/officeDocument/2006/relationships/hyperlink" Target="http://news.alome.com/documents/docs/RAPPORT-LTDH-2019-Phase-finale.pdf" TargetMode="External"/><Relationship Id="rId14" Type="http://schemas.openxmlformats.org/officeDocument/2006/relationships/hyperlink" Target="http://territoire.gouv.tg/node/3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8830F0-66BD-4B77-8946-3BC939C07CFC}">
  <ds:schemaRefs>
    <ds:schemaRef ds:uri="http://schemas.openxmlformats.org/officeDocument/2006/bibliography"/>
  </ds:schemaRefs>
</ds:datastoreItem>
</file>

<file path=customXml/itemProps2.xml><?xml version="1.0" encoding="utf-8"?>
<ds:datastoreItem xmlns:ds="http://schemas.openxmlformats.org/officeDocument/2006/customXml" ds:itemID="{8E5B9002-4E5C-4DF2-A4B8-016160C658FB}"/>
</file>

<file path=customXml/itemProps3.xml><?xml version="1.0" encoding="utf-8"?>
<ds:datastoreItem xmlns:ds="http://schemas.openxmlformats.org/officeDocument/2006/customXml" ds:itemID="{CDD3F015-B968-473C-8052-8FC2107B21C3}"/>
</file>

<file path=customXml/itemProps4.xml><?xml version="1.0" encoding="utf-8"?>
<ds:datastoreItem xmlns:ds="http://schemas.openxmlformats.org/officeDocument/2006/customXml" ds:itemID="{EE069F90-4336-4C9E-8D56-8619C9C8F322}"/>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9586</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Wamba</dc:creator>
  <cp:keywords/>
  <dc:description/>
  <cp:lastModifiedBy>Stephanie Wamba</cp:lastModifiedBy>
  <cp:revision>2</cp:revision>
  <dcterms:created xsi:type="dcterms:W3CDTF">2020-01-31T11:59:00Z</dcterms:created>
  <dcterms:modified xsi:type="dcterms:W3CDTF">2020-01-31T11:59:00Z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