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jc w:val="righ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UN Human Rights Committee</w:t>
      </w:r>
    </w:p>
    <w:p>
      <w:pPr>
        <w:pStyle w:val="Body A"/>
        <w:spacing w:line="288" w:lineRule="auto"/>
        <w:jc w:val="righ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6th periodic review of New Zealand</w:t>
      </w:r>
    </w:p>
    <w:p>
      <w:pPr>
        <w:pStyle w:val="Body A"/>
        <w:spacing w:line="288" w:lineRule="auto"/>
        <w:jc w:val="right"/>
        <w:rPr>
          <w:rFonts w:ascii="Times New Roman" w:cs="Times New Roman" w:hAnsi="Times New Roman" w:eastAsia="Times New Roman"/>
          <w:sz w:val="24"/>
          <w:szCs w:val="24"/>
          <w:u w:color="000000"/>
        </w:rPr>
      </w:pPr>
      <w:r>
        <w:rPr>
          <w:rFonts w:ascii="Times New Roman" w:hAnsi="Times New Roman"/>
          <w:sz w:val="24"/>
          <w:szCs w:val="24"/>
          <w:u w:color="000000"/>
          <w:rtl w:val="0"/>
        </w:rPr>
        <w:t xml:space="preserve">12 </w:t>
      </w:r>
      <w:r>
        <w:rPr>
          <w:rFonts w:ascii="Times New Roman" w:hAnsi="Times New Roman"/>
          <w:sz w:val="24"/>
          <w:szCs w:val="24"/>
          <w:u w:color="000000"/>
          <w:rtl w:val="0"/>
          <w:lang w:val="en-US"/>
        </w:rPr>
        <w:t>February 2016</w:t>
      </w:r>
    </w:p>
    <w:p>
      <w:pPr>
        <w:pStyle w:val="Body A"/>
        <w:pBdr>
          <w:top w:val="nil"/>
          <w:left w:val="nil"/>
          <w:bottom w:val="single" w:color="000000" w:sz="8" w:space="0" w:shadow="0" w:frame="0"/>
          <w:right w:val="nil"/>
        </w:pBdr>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SUBMISSION OF THE MONITORING MECHANISM OF THE </w:t>
      </w:r>
    </w:p>
    <w:p>
      <w:pPr>
        <w:pStyle w:val="Body A"/>
        <w:spacing w:line="288"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NATIONAL IWI CHAIRS FORUM</w:t>
      </w:r>
    </w:p>
    <w:p>
      <w:pPr>
        <w:pStyle w:val="Body A"/>
        <w:pBdr>
          <w:top w:val="nil"/>
          <w:left w:val="nil"/>
          <w:bottom w:val="single" w:color="000000" w:sz="8" w:space="0" w:shadow="0" w:frame="0"/>
          <w:right w:val="nil"/>
        </w:pBdr>
        <w:spacing w:line="288" w:lineRule="auto"/>
        <w:jc w:val="both"/>
        <w:rPr>
          <w:rFonts w:ascii="Times New Roman" w:cs="Times New Roman" w:hAnsi="Times New Roman" w:eastAsia="Times New Roman"/>
          <w:b w:val="1"/>
          <w:bCs w:val="1"/>
          <w:sz w:val="24"/>
          <w:szCs w:val="24"/>
          <w:u w:color="000000"/>
        </w:rPr>
      </w:pP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Monitoring Mechanism is a working group created by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 xml:space="preserve">ori and is independent of government. Members of the Monitoring Mechanism have been selected by their </w:t>
      </w:r>
      <w:r>
        <w:rPr>
          <w:rFonts w:ascii="Times New Roman" w:hAnsi="Times New Roman"/>
          <w:i w:val="1"/>
          <w:iCs w:val="1"/>
          <w:sz w:val="24"/>
          <w:szCs w:val="24"/>
          <w:u w:color="000000"/>
          <w:rtl w:val="0"/>
          <w:lang w:val="en-US"/>
        </w:rPr>
        <w:t>iwi</w:t>
      </w:r>
      <w:r>
        <w:rPr>
          <w:rFonts w:ascii="Times New Roman" w:hAnsi="Times New Roman"/>
          <w:sz w:val="24"/>
          <w:szCs w:val="24"/>
          <w:u w:color="000000"/>
          <w:rtl w:val="0"/>
          <w:lang w:val="en-US"/>
        </w:rPr>
        <w:t xml:space="preserve"> (tribal nation) and endorsed by the National Iwi Chairs Forum to act as independent experts. The Monitoring Mechanism is supported in its work by technical advisers. </w:t>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The National Iwi Chairs Forum is the national collective of </w:t>
      </w:r>
      <w:r>
        <w:rPr>
          <w:rFonts w:ascii="Times New Roman" w:hAnsi="Times New Roman"/>
          <w:i w:val="1"/>
          <w:iCs w:val="1"/>
          <w:sz w:val="24"/>
          <w:szCs w:val="24"/>
          <w:u w:color="000000"/>
          <w:rtl w:val="0"/>
          <w:lang w:val="en-US"/>
        </w:rPr>
        <w:t>iwi</w:t>
      </w:r>
      <w:r>
        <w:rPr>
          <w:rFonts w:ascii="Times New Roman" w:hAnsi="Times New Roman"/>
          <w:sz w:val="24"/>
          <w:szCs w:val="24"/>
          <w:u w:color="000000"/>
          <w:rtl w:val="0"/>
          <w:lang w:val="en-US"/>
        </w:rPr>
        <w:t xml:space="preserve"> chairpersons who represent </w:t>
      </w:r>
      <w:r>
        <w:rPr>
          <w:rFonts w:ascii="Times New Roman" w:hAnsi="Times New Roman"/>
          <w:i w:val="1"/>
          <w:iCs w:val="1"/>
          <w:sz w:val="24"/>
          <w:szCs w:val="24"/>
          <w:u w:color="000000"/>
          <w:rtl w:val="0"/>
          <w:lang w:val="nl-NL"/>
        </w:rPr>
        <w:t>hap</w:t>
      </w:r>
      <w:r>
        <w:rPr>
          <w:rFonts w:ascii="Times New Roman" w:hAnsi="Times New Roman" w:hint="default"/>
          <w:i w:val="1"/>
          <w:iCs w:val="1"/>
          <w:sz w:val="24"/>
          <w:szCs w:val="24"/>
          <w:u w:color="000000"/>
          <w:rtl w:val="0"/>
          <w:lang w:val="en-US"/>
        </w:rPr>
        <w:t>ū</w:t>
      </w:r>
      <w:r>
        <w:rPr>
          <w:rFonts w:ascii="Times New Roman" w:hAnsi="Times New Roman"/>
          <w:sz w:val="24"/>
          <w:szCs w:val="24"/>
          <w:u w:color="000000"/>
          <w:rtl w:val="0"/>
          <w:lang w:val="en-US"/>
        </w:rPr>
        <w:t xml:space="preserve"> (groupings of extended families) and </w:t>
      </w:r>
      <w:r>
        <w:rPr>
          <w:rFonts w:ascii="Times New Roman" w:hAnsi="Times New Roman"/>
          <w:i w:val="1"/>
          <w:iCs w:val="1"/>
          <w:sz w:val="24"/>
          <w:szCs w:val="24"/>
          <w:u w:color="000000"/>
          <w:rtl w:val="0"/>
          <w:lang w:val="en-US"/>
        </w:rPr>
        <w:t>iwi</w:t>
      </w:r>
      <w:r>
        <w:rPr>
          <w:rFonts w:ascii="Times New Roman" w:hAnsi="Times New Roman"/>
          <w:sz w:val="24"/>
          <w:szCs w:val="24"/>
          <w:u w:color="000000"/>
          <w:rtl w:val="0"/>
          <w:lang w:val="en-US"/>
        </w:rPr>
        <w:t xml:space="preserve">. It functions in accordance with </w:t>
      </w:r>
      <w:r>
        <w:rPr>
          <w:rFonts w:ascii="Times New Roman" w:hAnsi="Times New Roman"/>
          <w:i w:val="1"/>
          <w:iCs w:val="1"/>
          <w:sz w:val="24"/>
          <w:szCs w:val="24"/>
          <w:u w:color="000000"/>
          <w:rtl w:val="0"/>
          <w:lang w:val="en-US"/>
        </w:rPr>
        <w:t>tikanga</w:t>
      </w:r>
      <w:r>
        <w:rPr>
          <w:rFonts w:ascii="Times New Roman" w:hAnsi="Times New Roman"/>
          <w:sz w:val="24"/>
          <w:szCs w:val="24"/>
          <w:u w:color="000000"/>
          <w:rtl w:val="0"/>
          <w:lang w:val="en-US"/>
        </w:rPr>
        <w:t xml:space="preserve">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 xml:space="preserve">ori law) and on the basis of </w:t>
      </w:r>
      <w:r>
        <w:rPr>
          <w:rFonts w:ascii="Times New Roman" w:hAnsi="Times New Roman"/>
          <w:i w:val="1"/>
          <w:iCs w:val="1"/>
          <w:sz w:val="24"/>
          <w:szCs w:val="24"/>
          <w:u w:color="000000"/>
          <w:rtl w:val="0"/>
          <w:lang w:val="en-US"/>
        </w:rPr>
        <w:t>He Whakaputanga o te Rangatiratanga o Nu Tireni</w:t>
      </w:r>
      <w:r>
        <w:rPr>
          <w:rFonts w:ascii="Times New Roman" w:cs="Times New Roman" w:hAnsi="Times New Roman" w:eastAsia="Times New Roman"/>
          <w:sz w:val="24"/>
          <w:szCs w:val="24"/>
          <w:u w:color="000000"/>
          <w:vertAlign w:val="superscript"/>
          <w:lang w:val="en-US"/>
        </w:rPr>
        <w:footnoteReference w:id="1"/>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He Whakaputanga</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Te Tiriti o Waitangi</w:t>
      </w:r>
      <w:r>
        <w:rPr>
          <w:rFonts w:ascii="Times New Roman" w:cs="Times New Roman" w:hAnsi="Times New Roman" w:eastAsia="Times New Roman"/>
          <w:sz w:val="24"/>
          <w:szCs w:val="24"/>
          <w:u w:color="000000"/>
          <w:vertAlign w:val="superscript"/>
          <w:lang w:val="en-US"/>
        </w:rPr>
        <w:footnoteReference w:id="2"/>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Te Tiriti)</w:t>
      </w:r>
      <w:r>
        <w:rPr>
          <w:rFonts w:ascii="Times New Roman" w:hAnsi="Times New Roman"/>
          <w:sz w:val="24"/>
          <w:szCs w:val="24"/>
          <w:u w:color="000000"/>
          <w:rtl w:val="0"/>
          <w:lang w:val="en-US"/>
        </w:rPr>
        <w:t xml:space="preserve"> and the UN Declaration on the Rights of Indigenous Peoples. It meets regularly to discuss and act collectively on issues ranging from constitutional transformation, resource protection and recovery and economic development. The National Iwi Chairs Forum also addresses government policy and practice as it impacts on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 xml:space="preserve">ori and engages in regular dialogue with government representatives on priorities, issues and projects.  </w:t>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Monitoring Mechanism provides the following information on issues affecting the rights of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ori.</w:t>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The Waitangi Tribunal and the Treaty settlement process</w:t>
      </w: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Waitangi Tribunal is a statutory body with the power to inquire into claims by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ori that the government has acted in breach of Treaty principles. The Tribunal can make recommendations however, these are not binding on the government.</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 xml:space="preserve">The government has rejected the recommendations of the Waitangi Tribunal on a number of </w:t>
      </w:r>
      <w:r>
        <w:rPr>
          <w:rFonts w:ascii="Times New Roman" w:hAnsi="Times New Roman"/>
          <w:sz w:val="24"/>
          <w:szCs w:val="24"/>
          <w:u w:color="000000"/>
          <w:rtl w:val="0"/>
        </w:rPr>
        <w:t>occasions</w:t>
      </w:r>
      <w:r>
        <w:rPr>
          <w:rFonts w:ascii="Times New Roman" w:hAnsi="Times New Roman"/>
          <w:sz w:val="24"/>
          <w:szCs w:val="24"/>
          <w:u w:color="000000"/>
          <w:rtl w:val="0"/>
          <w:lang w:val="en-US"/>
        </w:rPr>
        <w:t xml:space="preserve"> and including in cases involving the protection and recognition of Maori land rights.</w:t>
      </w:r>
      <w:r>
        <w:rPr>
          <w:rFonts w:ascii="Times New Roman" w:cs="Times New Roman" w:hAnsi="Times New Roman" w:eastAsia="Times New Roman"/>
          <w:sz w:val="24"/>
          <w:szCs w:val="24"/>
          <w:u w:color="000000"/>
          <w:vertAlign w:val="superscript"/>
        </w:rPr>
        <w:footnoteReference w:id="3"/>
      </w:r>
      <w:r>
        <w:rPr>
          <w:rFonts w:ascii="Times New Roman" w:hAnsi="Times New Roman"/>
          <w:sz w:val="24"/>
          <w:szCs w:val="24"/>
          <w:u w:color="000000"/>
          <w:rtl w:val="0"/>
          <w:lang w:val="en-US"/>
        </w:rPr>
        <w:t xml:space="preserve"> Other UN human rights committees have been critical of New Zealand in this respect as has the UN Special Rapporteur on the </w:t>
      </w:r>
      <w:r>
        <w:rPr>
          <w:rFonts w:ascii="Times New Roman" w:hAnsi="Times New Roman"/>
          <w:sz w:val="24"/>
          <w:szCs w:val="24"/>
          <w:u w:color="000000"/>
          <w:rtl w:val="0"/>
        </w:rPr>
        <w:t>R</w:t>
      </w:r>
      <w:r>
        <w:rPr>
          <w:rFonts w:ascii="Times New Roman" w:hAnsi="Times New Roman"/>
          <w:sz w:val="24"/>
          <w:szCs w:val="24"/>
          <w:u w:color="000000"/>
          <w:rtl w:val="0"/>
          <w:lang w:val="en-US"/>
        </w:rPr>
        <w:t xml:space="preserve">ights of </w:t>
      </w:r>
      <w:r>
        <w:rPr>
          <w:rFonts w:ascii="Times New Roman" w:hAnsi="Times New Roman"/>
          <w:sz w:val="24"/>
          <w:szCs w:val="24"/>
          <w:u w:color="000000"/>
          <w:rtl w:val="0"/>
        </w:rPr>
        <w:t>I</w:t>
      </w:r>
      <w:r>
        <w:rPr>
          <w:rFonts w:ascii="Times New Roman" w:hAnsi="Times New Roman"/>
          <w:sz w:val="24"/>
          <w:szCs w:val="24"/>
          <w:u w:color="000000"/>
          <w:rtl w:val="0"/>
          <w:lang w:val="en-US"/>
        </w:rPr>
        <w:t xml:space="preserve">ndigenous </w:t>
      </w:r>
      <w:r>
        <w:rPr>
          <w:rFonts w:ascii="Times New Roman" w:hAnsi="Times New Roman"/>
          <w:sz w:val="24"/>
          <w:szCs w:val="24"/>
          <w:u w:color="000000"/>
          <w:rtl w:val="0"/>
        </w:rPr>
        <w:t>P</w:t>
      </w:r>
      <w:r>
        <w:rPr>
          <w:rFonts w:ascii="Times New Roman" w:hAnsi="Times New Roman"/>
          <w:sz w:val="24"/>
          <w:szCs w:val="24"/>
          <w:u w:color="000000"/>
          <w:rtl w:val="0"/>
          <w:lang w:val="en-US"/>
        </w:rPr>
        <w:t>eoples.</w:t>
      </w:r>
      <w:r>
        <w:rPr>
          <w:rFonts w:ascii="Times New Roman" w:cs="Times New Roman" w:hAnsi="Times New Roman" w:eastAsia="Times New Roman"/>
          <w:sz w:val="24"/>
          <w:szCs w:val="24"/>
          <w:u w:color="000000"/>
          <w:vertAlign w:val="superscript"/>
        </w:rPr>
        <w:footnoteReference w:id="4"/>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The government has also created the Treaty settlement process whereby </w:t>
      </w:r>
      <w:r>
        <w:rPr>
          <w:rFonts w:ascii="Times New Roman" w:hAnsi="Times New Roman"/>
          <w:sz w:val="24"/>
          <w:szCs w:val="24"/>
          <w:u w:color="000000"/>
          <w:rtl w:val="0"/>
        </w:rPr>
        <w:t>it</w:t>
      </w:r>
      <w:r>
        <w:rPr>
          <w:rFonts w:ascii="Times New Roman" w:hAnsi="Times New Roman"/>
          <w:sz w:val="24"/>
          <w:szCs w:val="24"/>
          <w:u w:color="000000"/>
          <w:rtl w:val="0"/>
          <w:lang w:val="en-US"/>
        </w:rPr>
        <w:t xml:space="preserve"> negotiates settlements of historical claims directly with claimant groups. The Treaty settlement process is not based on a human rights framework, nor indeed </w:t>
      </w:r>
      <w:r>
        <w:rPr>
          <w:rFonts w:ascii="Times New Roman" w:hAnsi="Times New Roman"/>
          <w:i w:val="1"/>
          <w:iCs w:val="1"/>
          <w:sz w:val="24"/>
          <w:szCs w:val="24"/>
          <w:u w:color="000000"/>
          <w:rtl w:val="0"/>
          <w:lang w:val="en-US"/>
        </w:rPr>
        <w:t>Te Tiriti</w:t>
      </w:r>
      <w:r>
        <w:rPr>
          <w:rFonts w:ascii="Times New Roman" w:hAnsi="Times New Roman"/>
          <w:sz w:val="24"/>
          <w:szCs w:val="24"/>
          <w:u w:color="000000"/>
          <w:rtl w:val="0"/>
          <w:lang w:val="en-US"/>
        </w:rPr>
        <w:t xml:space="preserve"> but is a creation of government policy which is weighted heavily in favour of political considerations such as acting in the best interests of all New Zealanders and limiting fiscal and economic redress.</w:t>
      </w:r>
      <w:r>
        <w:rPr>
          <w:rFonts w:ascii="Times New Roman" w:cs="Times New Roman" w:hAnsi="Times New Roman" w:eastAsia="Times New Roman"/>
          <w:sz w:val="24"/>
          <w:szCs w:val="24"/>
          <w:u w:color="000000"/>
          <w:vertAlign w:val="superscript"/>
        </w:rPr>
        <w:footnoteReference w:id="5"/>
      </w:r>
      <w:r>
        <w:rPr>
          <w:rFonts w:ascii="Times New Roman" w:hAnsi="Times New Roman"/>
          <w:sz w:val="24"/>
          <w:szCs w:val="24"/>
          <w:u w:color="000000"/>
          <w:rtl w:val="0"/>
          <w:lang w:val="en-US"/>
        </w:rPr>
        <w:t xml:space="preserve"> The objective of the process is to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strike a balance to negotiate fair, just, and practical settlements.</w:t>
      </w:r>
      <w:r>
        <w:rPr>
          <w:rFonts w:ascii="Times New Roman" w:hAnsi="Times New Roman" w:hint="default"/>
          <w:sz w:val="24"/>
          <w:szCs w:val="24"/>
          <w:u w:color="000000"/>
          <w:rtl w:val="0"/>
          <w:lang w:val="en-US"/>
        </w:rPr>
        <w:t>”</w:t>
      </w:r>
      <w:r>
        <w:rPr>
          <w:rFonts w:ascii="Times New Roman" w:cs="Times New Roman" w:hAnsi="Times New Roman" w:eastAsia="Times New Roman"/>
          <w:sz w:val="24"/>
          <w:szCs w:val="24"/>
          <w:u w:color="000000"/>
          <w:vertAlign w:val="superscript"/>
        </w:rPr>
        <w:footnoteReference w:id="6"/>
      </w:r>
      <w:r>
        <w:rPr>
          <w:rFonts w:ascii="Times New Roman" w:hAnsi="Times New Roman"/>
          <w:sz w:val="24"/>
          <w:szCs w:val="24"/>
          <w:u w:color="000000"/>
          <w:rtl w:val="0"/>
          <w:lang w:val="en-US"/>
        </w:rPr>
        <w:t xml:space="preserve"> However, these processes are in practice less than fair or just from a human rights perspective.</w:t>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It is government policy to negotiate claims with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large natural groupings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rather than individual </w:t>
      </w:r>
      <w:r>
        <w:rPr>
          <w:rFonts w:ascii="Times New Roman" w:hAnsi="Times New Roman"/>
          <w:i w:val="1"/>
          <w:iCs w:val="1"/>
          <w:sz w:val="24"/>
          <w:szCs w:val="24"/>
          <w:u w:color="000000"/>
          <w:rtl w:val="0"/>
          <w:lang w:val="en-US"/>
        </w:rPr>
        <w:t>wh</w:t>
      </w:r>
      <w:r>
        <w:rPr>
          <w:rFonts w:ascii="Times New Roman" w:hAnsi="Times New Roman" w:hint="default"/>
          <w:i w:val="1"/>
          <w:iCs w:val="1"/>
          <w:sz w:val="24"/>
          <w:szCs w:val="24"/>
          <w:u w:color="000000"/>
          <w:rtl w:val="0"/>
          <w:lang w:val="en-US"/>
        </w:rPr>
        <w:t>ā</w:t>
      </w:r>
      <w:r>
        <w:rPr>
          <w:rFonts w:ascii="Times New Roman" w:hAnsi="Times New Roman"/>
          <w:i w:val="1"/>
          <w:iCs w:val="1"/>
          <w:sz w:val="24"/>
          <w:szCs w:val="24"/>
          <w:u w:color="000000"/>
          <w:rtl w:val="0"/>
          <w:lang w:val="en-US"/>
        </w:rPr>
        <w:t>nau</w:t>
      </w:r>
      <w:r>
        <w:rPr>
          <w:rFonts w:ascii="Times New Roman" w:hAnsi="Times New Roman"/>
          <w:sz w:val="24"/>
          <w:szCs w:val="24"/>
          <w:u w:color="000000"/>
          <w:rtl w:val="0"/>
          <w:lang w:val="en-US"/>
        </w:rPr>
        <w:t xml:space="preserve"> (family) and </w:t>
      </w:r>
      <w:r>
        <w:rPr>
          <w:rFonts w:ascii="Times New Roman" w:hAnsi="Times New Roman"/>
          <w:i w:val="1"/>
          <w:iCs w:val="1"/>
          <w:sz w:val="24"/>
          <w:szCs w:val="24"/>
          <w:u w:color="000000"/>
          <w:rtl w:val="0"/>
          <w:lang w:val="nl-NL"/>
        </w:rPr>
        <w:t>hap</w:t>
      </w:r>
      <w:r>
        <w:rPr>
          <w:rFonts w:ascii="Times New Roman" w:hAnsi="Times New Roman" w:hint="default"/>
          <w:i w:val="1"/>
          <w:iCs w:val="1"/>
          <w:sz w:val="24"/>
          <w:szCs w:val="24"/>
          <w:u w:color="000000"/>
          <w:rtl w:val="0"/>
          <w:lang w:val="en-US"/>
        </w:rPr>
        <w:t>ū</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lang w:val="en-US"/>
        </w:rPr>
        <w:footnoteReference w:id="7"/>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According to the government this policy</w:t>
      </w:r>
      <w:r>
        <w:rPr>
          <w:rFonts w:ascii="Times New Roman" w:hAnsi="Times New Roman"/>
          <w:sz w:val="24"/>
          <w:szCs w:val="24"/>
          <w:u w:color="000000"/>
          <w:rtl w:val="0"/>
          <w:lang w:val="en-US"/>
        </w:rPr>
        <w:t xml:space="preserve"> is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workable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cost-effective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and meets a greater number of needs.</w:t>
      </w:r>
      <w:r>
        <w:rPr>
          <w:rFonts w:ascii="Times New Roman" w:hAnsi="Times New Roman" w:hint="default"/>
          <w:sz w:val="24"/>
          <w:szCs w:val="24"/>
          <w:u w:color="000000"/>
          <w:rtl w:val="0"/>
          <w:lang w:val="en-US"/>
        </w:rPr>
        <w:t>”</w:t>
      </w:r>
      <w:r>
        <w:rPr>
          <w:rFonts w:ascii="Times New Roman" w:cs="Times New Roman" w:hAnsi="Times New Roman" w:eastAsia="Times New Roman"/>
          <w:sz w:val="24"/>
          <w:szCs w:val="24"/>
          <w:u w:color="000000"/>
          <w:vertAlign w:val="superscript"/>
          <w:lang w:val="en-US"/>
        </w:rPr>
        <w:footnoteReference w:id="8"/>
      </w:r>
      <w:r>
        <w:rPr>
          <w:rFonts w:ascii="Times New Roman" w:hAnsi="Times New Roman"/>
          <w:sz w:val="24"/>
          <w:szCs w:val="24"/>
          <w:u w:color="000000"/>
          <w:rtl w:val="0"/>
          <w:lang w:val="en-US"/>
        </w:rPr>
        <w:t xml:space="preserve"> In practice however, this policy conflicts with one of the core government principles upon which Treaty settlements are based - that in attempting to resolve outstanding claims the government should not create further injustices.</w:t>
      </w:r>
      <w:r>
        <w:rPr>
          <w:rFonts w:ascii="Times New Roman" w:cs="Times New Roman" w:hAnsi="Times New Roman" w:eastAsia="Times New Roman"/>
          <w:sz w:val="24"/>
          <w:szCs w:val="24"/>
          <w:u w:color="000000"/>
          <w:vertAlign w:val="superscript"/>
          <w:lang w:val="en-US"/>
        </w:rPr>
        <w:footnoteReference w:id="9"/>
      </w:r>
    </w:p>
    <w:p>
      <w:pPr>
        <w:pStyle w:val="Body A"/>
        <w:spacing w:line="288" w:lineRule="auto"/>
        <w:jc w:val="both"/>
        <w:rPr>
          <w:rFonts w:ascii="Times New Roman" w:cs="Times New Roman" w:hAnsi="Times New Roman" w:eastAsia="Times New Roman"/>
          <w:sz w:val="24"/>
          <w:szCs w:val="24"/>
          <w:u w:color="000000"/>
        </w:rPr>
      </w:pPr>
    </w:p>
    <w:p>
      <w:pPr>
        <w:pStyle w:val="Body A"/>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The government has also prescribed a mandating process which heavily favours </w:t>
      </w:r>
      <w:r>
        <w:rPr>
          <w:rFonts w:ascii="Times New Roman" w:hAnsi="Times New Roman"/>
          <w:sz w:val="24"/>
          <w:szCs w:val="24"/>
          <w:u w:color="000000"/>
          <w:rtl w:val="0"/>
        </w:rPr>
        <w:t>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desire to complete settlements with large natural groupings. Serious concerns have been raised by M</w:t>
      </w:r>
      <w:r>
        <w:rPr>
          <w:rFonts w:ascii="Times New Roman" w:hAnsi="Times New Roman" w:hint="default"/>
          <w:sz w:val="24"/>
          <w:szCs w:val="24"/>
          <w:u w:color="000000"/>
          <w:rtl w:val="0"/>
          <w:lang w:val="en-US"/>
        </w:rPr>
        <w:t>ā</w:t>
      </w:r>
      <w:r>
        <w:rPr>
          <w:rFonts w:ascii="Times New Roman" w:hAnsi="Times New Roman"/>
          <w:sz w:val="24"/>
          <w:szCs w:val="24"/>
          <w:u w:color="000000"/>
          <w:rtl w:val="0"/>
          <w:lang w:val="en-US"/>
        </w:rPr>
        <w:t>ori about this process with a number of urgent claims being made to the Waitangi Tribunal</w:t>
      </w:r>
      <w:r>
        <w:rPr>
          <w:rFonts w:ascii="Times New Roman" w:cs="Times New Roman" w:hAnsi="Times New Roman" w:eastAsia="Times New Roman"/>
          <w:sz w:val="24"/>
          <w:szCs w:val="24"/>
          <w:u w:color="000000"/>
          <w:vertAlign w:val="superscript"/>
        </w:rPr>
        <w:footnoteReference w:id="10"/>
      </w:r>
      <w:r>
        <w:rPr>
          <w:rFonts w:ascii="Times New Roman" w:hAnsi="Times New Roman"/>
          <w:sz w:val="24"/>
          <w:szCs w:val="24"/>
          <w:u w:color="000000"/>
          <w:rtl w:val="0"/>
          <w:lang w:val="en-US"/>
        </w:rPr>
        <w:t xml:space="preserve"> providing evidence of a lack of representativeness and accountability, unfair processes and marginalisation of smaller groups</w:t>
      </w:r>
      <w:r>
        <w:rPr>
          <w:rFonts w:ascii="Times New Roman" w:hAnsi="Times New Roman"/>
          <w:sz w:val="24"/>
          <w:szCs w:val="24"/>
          <w:u w:color="000000"/>
          <w:rtl w:val="0"/>
        </w:rPr>
        <w:t>. This has resulted</w:t>
      </w:r>
      <w:r>
        <w:rPr>
          <w:rFonts w:ascii="Times New Roman" w:hAnsi="Times New Roman"/>
          <w:sz w:val="24"/>
          <w:szCs w:val="24"/>
          <w:u w:color="000000"/>
          <w:rtl w:val="0"/>
          <w:lang w:val="en-US"/>
        </w:rPr>
        <w:t xml:space="preserve"> in poor outcomes leading to some claimant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rights and interests not being adequately represented within the settlement process. </w:t>
      </w:r>
    </w:p>
    <w:p>
      <w:pPr>
        <w:pStyle w:val="Body A"/>
        <w:spacing w:line="288" w:lineRule="auto"/>
        <w:jc w:val="both"/>
        <w:rPr>
          <w:rFonts w:ascii="Times New Roman" w:cs="Times New Roman" w:hAnsi="Times New Roman" w:eastAsia="Times New Roman"/>
          <w:sz w:val="24"/>
          <w:szCs w:val="24"/>
          <w:u w:color="000000"/>
        </w:rPr>
      </w:pPr>
    </w:p>
    <w:p>
      <w:pPr>
        <w:pStyle w:val="Default"/>
        <w:spacing w:after="240" w:line="288" w:lineRule="auto"/>
        <w:jc w:val="both"/>
        <w:rPr>
          <w:rStyle w:val="None"/>
          <w:rFonts w:ascii="Times" w:cs="Times" w:hAnsi="Times" w:eastAsia="Times"/>
          <w:sz w:val="24"/>
          <w:szCs w:val="24"/>
        </w:rPr>
      </w:pPr>
      <w:r>
        <w:rPr>
          <w:rFonts w:ascii="Times" w:hAnsi="Times"/>
          <w:sz w:val="24"/>
          <w:szCs w:val="24"/>
          <w:rtl w:val="0"/>
          <w:lang w:val="en-US"/>
        </w:rPr>
        <w:t xml:space="preserve">A flow on effect when </w:t>
      </w:r>
      <w:r>
        <w:rPr>
          <w:rFonts w:ascii="Times" w:hAnsi="Times"/>
          <w:i w:val="1"/>
          <w:iCs w:val="1"/>
          <w:sz w:val="24"/>
          <w:szCs w:val="24"/>
          <w:rtl w:val="0"/>
          <w:lang w:val="en-US"/>
        </w:rPr>
        <w:t>hap</w:t>
      </w:r>
      <w:r>
        <w:rPr>
          <w:rFonts w:ascii="Times" w:hAnsi="Times" w:hint="default"/>
          <w:i w:val="1"/>
          <w:iCs w:val="1"/>
          <w:sz w:val="24"/>
          <w:szCs w:val="24"/>
          <w:rtl w:val="0"/>
          <w:lang w:val="en-US"/>
        </w:rPr>
        <w:t>ū</w:t>
      </w:r>
      <w:r>
        <w:rPr>
          <w:rFonts w:ascii="Times" w:hAnsi="Times"/>
          <w:sz w:val="24"/>
          <w:szCs w:val="24"/>
          <w:rtl w:val="0"/>
          <w:lang w:val="en-US"/>
        </w:rPr>
        <w:t xml:space="preserve"> and </w:t>
      </w:r>
      <w:r>
        <w:rPr>
          <w:rFonts w:ascii="Times" w:hAnsi="Times"/>
          <w:i w:val="1"/>
          <w:iCs w:val="1"/>
          <w:sz w:val="24"/>
          <w:szCs w:val="24"/>
          <w:rtl w:val="0"/>
          <w:lang w:val="en-US"/>
        </w:rPr>
        <w:t>iwi</w:t>
      </w:r>
      <w:r>
        <w:rPr>
          <w:rFonts w:ascii="Times" w:hAnsi="Times"/>
          <w:sz w:val="24"/>
          <w:szCs w:val="24"/>
          <w:rtl w:val="0"/>
          <w:lang w:val="en-US"/>
        </w:rPr>
        <w:t xml:space="preserve"> are excluded from the settlement process is that lands and resources they have an interest in are offered by the government to other claimant groups. This has been the experience of the </w:t>
      </w:r>
      <w:r>
        <w:rPr>
          <w:rFonts w:ascii="Times" w:hAnsi="Times"/>
          <w:i w:val="1"/>
          <w:iCs w:val="1"/>
          <w:sz w:val="24"/>
          <w:szCs w:val="24"/>
          <w:rtl w:val="0"/>
          <w:lang w:val="en-US"/>
        </w:rPr>
        <w:t>hap</w:t>
      </w:r>
      <w:r>
        <w:rPr>
          <w:rFonts w:ascii="Times" w:hAnsi="Times" w:hint="default"/>
          <w:i w:val="1"/>
          <w:iCs w:val="1"/>
          <w:sz w:val="24"/>
          <w:szCs w:val="24"/>
          <w:rtl w:val="0"/>
          <w:lang w:val="en-US"/>
        </w:rPr>
        <w:t xml:space="preserve">ū </w:t>
      </w:r>
      <w:r>
        <w:rPr>
          <w:rFonts w:ascii="Times" w:hAnsi="Times" w:hint="default"/>
          <w:sz w:val="24"/>
          <w:szCs w:val="24"/>
          <w:rtl w:val="0"/>
          <w:lang w:val="en-US"/>
        </w:rPr>
        <w:t>Ā</w:t>
      </w:r>
      <w:r>
        <w:rPr>
          <w:rFonts w:ascii="Times" w:hAnsi="Times"/>
          <w:sz w:val="24"/>
          <w:szCs w:val="24"/>
          <w:rtl w:val="0"/>
          <w:lang w:val="en-US"/>
        </w:rPr>
        <w:t>rauk</w:t>
      </w:r>
      <w:r>
        <w:rPr>
          <w:rFonts w:ascii="Times" w:hAnsi="Times" w:hint="default"/>
          <w:sz w:val="24"/>
          <w:szCs w:val="24"/>
          <w:rtl w:val="0"/>
          <w:lang w:val="en-US"/>
        </w:rPr>
        <w:t>ū</w:t>
      </w:r>
      <w:r>
        <w:rPr>
          <w:rFonts w:ascii="Times" w:hAnsi="Times"/>
          <w:sz w:val="24"/>
          <w:szCs w:val="24"/>
          <w:rtl w:val="0"/>
          <w:lang w:val="en-US"/>
        </w:rPr>
        <w:t>k</w:t>
      </w:r>
      <w:r>
        <w:rPr>
          <w:rFonts w:ascii="Times" w:hAnsi="Times" w:hint="default"/>
          <w:sz w:val="24"/>
          <w:szCs w:val="24"/>
          <w:rtl w:val="0"/>
          <w:lang w:val="en-US"/>
        </w:rPr>
        <w:t xml:space="preserve">ū </w:t>
      </w:r>
      <w:r>
        <w:rPr>
          <w:rFonts w:ascii="Times" w:hAnsi="Times"/>
          <w:sz w:val="24"/>
          <w:szCs w:val="24"/>
          <w:rtl w:val="0"/>
          <w:lang w:val="en-US"/>
        </w:rPr>
        <w:t xml:space="preserve">and the </w:t>
      </w:r>
      <w:r>
        <w:rPr>
          <w:rFonts w:ascii="Times" w:hAnsi="Times"/>
          <w:i w:val="1"/>
          <w:iCs w:val="1"/>
          <w:sz w:val="24"/>
          <w:szCs w:val="24"/>
          <w:rtl w:val="0"/>
          <w:lang w:val="en-US"/>
        </w:rPr>
        <w:t xml:space="preserve">iwi </w:t>
      </w:r>
      <w:r>
        <w:rPr>
          <w:rFonts w:ascii="Times" w:hAnsi="Times"/>
          <w:sz w:val="24"/>
          <w:szCs w:val="24"/>
          <w:rtl w:val="0"/>
          <w:lang w:val="en-US"/>
        </w:rPr>
        <w:t>Ng</w:t>
      </w:r>
      <w:r>
        <w:rPr>
          <w:rFonts w:ascii="Times" w:hAnsi="Times" w:hint="default"/>
          <w:sz w:val="24"/>
          <w:szCs w:val="24"/>
          <w:rtl w:val="0"/>
          <w:lang w:val="en-US"/>
        </w:rPr>
        <w:t>ā</w:t>
      </w:r>
      <w:r>
        <w:rPr>
          <w:rFonts w:ascii="Times" w:hAnsi="Times"/>
          <w:sz w:val="24"/>
          <w:szCs w:val="24"/>
          <w:rtl w:val="0"/>
          <w:lang w:val="en-US"/>
        </w:rPr>
        <w:t>ti</w:t>
      </w:r>
      <w:r>
        <w:rPr>
          <w:rFonts w:ascii="Times" w:hAnsi="Times"/>
          <w:i w:val="1"/>
          <w:iCs w:val="1"/>
          <w:sz w:val="24"/>
          <w:szCs w:val="24"/>
          <w:rtl w:val="0"/>
          <w:lang w:val="en-US"/>
        </w:rPr>
        <w:t xml:space="preserve"> </w:t>
      </w:r>
      <w:r>
        <w:rPr>
          <w:rFonts w:ascii="Times" w:hAnsi="Times"/>
          <w:sz w:val="24"/>
          <w:szCs w:val="24"/>
          <w:rtl w:val="0"/>
          <w:lang w:val="en-US"/>
        </w:rPr>
        <w:t xml:space="preserve">Kahu.  </w:t>
      </w:r>
      <w:r>
        <w:rPr>
          <w:rFonts w:ascii="Times" w:hAnsi="Times" w:hint="default"/>
          <w:i w:val="1"/>
          <w:iCs w:val="1"/>
          <w:sz w:val="24"/>
          <w:szCs w:val="24"/>
          <w:rtl w:val="0"/>
          <w:lang w:val="en-US"/>
        </w:rPr>
        <w:t>Ā</w:t>
      </w:r>
      <w:r>
        <w:rPr>
          <w:rFonts w:ascii="Times" w:hAnsi="Times"/>
          <w:i w:val="1"/>
          <w:iCs w:val="1"/>
          <w:sz w:val="24"/>
          <w:szCs w:val="24"/>
          <w:rtl w:val="0"/>
          <w:lang w:val="en-US"/>
        </w:rPr>
        <w:t>rauk</w:t>
      </w:r>
      <w:r>
        <w:rPr>
          <w:rFonts w:ascii="Times" w:hAnsi="Times" w:hint="default"/>
          <w:i w:val="1"/>
          <w:iCs w:val="1"/>
          <w:sz w:val="24"/>
          <w:szCs w:val="24"/>
          <w:rtl w:val="0"/>
          <w:lang w:val="en-US"/>
        </w:rPr>
        <w:t>ū</w:t>
      </w:r>
      <w:r>
        <w:rPr>
          <w:rFonts w:ascii="Times" w:hAnsi="Times"/>
          <w:i w:val="1"/>
          <w:iCs w:val="1"/>
          <w:sz w:val="24"/>
          <w:szCs w:val="24"/>
          <w:rtl w:val="0"/>
          <w:lang w:val="en-US"/>
        </w:rPr>
        <w:t>k</w:t>
      </w:r>
      <w:r>
        <w:rPr>
          <w:rFonts w:ascii="Times" w:hAnsi="Times" w:hint="default"/>
          <w:i w:val="1"/>
          <w:iCs w:val="1"/>
          <w:sz w:val="24"/>
          <w:szCs w:val="24"/>
          <w:rtl w:val="0"/>
          <w:lang w:val="en-US"/>
        </w:rPr>
        <w:t>ū</w:t>
      </w:r>
      <w:r>
        <w:rPr>
          <w:rFonts w:ascii="Times" w:hAnsi="Times"/>
          <w:sz w:val="24"/>
          <w:szCs w:val="24"/>
          <w:rtl w:val="0"/>
          <w:lang w:val="en-US"/>
        </w:rPr>
        <w:t xml:space="preserve"> were only able to voice their concerns when the draft settlement legislation was in its final stages</w:t>
      </w:r>
      <w:r>
        <w:rPr>
          <w:rFonts w:ascii="Times" w:cs="Times" w:hAnsi="Times" w:eastAsia="Times"/>
          <w:sz w:val="24"/>
          <w:szCs w:val="24"/>
          <w:vertAlign w:val="superscript"/>
        </w:rPr>
        <w:footnoteReference w:id="11"/>
      </w:r>
      <w:r>
        <w:rPr>
          <w:rStyle w:val="None"/>
          <w:rFonts w:ascii="Times" w:hAnsi="Times"/>
          <w:sz w:val="24"/>
          <w:szCs w:val="24"/>
          <w:rtl w:val="0"/>
          <w:lang w:val="en-US"/>
        </w:rPr>
        <w:t xml:space="preserve"> while Ng</w:t>
      </w:r>
      <w:r>
        <w:rPr>
          <w:rStyle w:val="None"/>
          <w:rFonts w:ascii="Times" w:hAnsi="Times" w:hint="default"/>
          <w:sz w:val="24"/>
          <w:szCs w:val="24"/>
          <w:rtl w:val="0"/>
          <w:lang w:val="en-US"/>
        </w:rPr>
        <w:t>ā</w:t>
      </w:r>
      <w:r>
        <w:rPr>
          <w:rStyle w:val="None"/>
          <w:rFonts w:ascii="Times" w:hAnsi="Times"/>
          <w:sz w:val="24"/>
          <w:szCs w:val="24"/>
          <w:rtl w:val="0"/>
          <w:lang w:val="en-US"/>
        </w:rPr>
        <w:t>ti</w:t>
      </w:r>
      <w:r>
        <w:rPr>
          <w:rStyle w:val="None"/>
          <w:rFonts w:ascii="Times" w:hAnsi="Times"/>
          <w:i w:val="1"/>
          <w:iCs w:val="1"/>
          <w:sz w:val="24"/>
          <w:szCs w:val="24"/>
          <w:rtl w:val="0"/>
          <w:lang w:val="en-US"/>
        </w:rPr>
        <w:t xml:space="preserve"> </w:t>
      </w:r>
      <w:r>
        <w:rPr>
          <w:rStyle w:val="None"/>
          <w:rFonts w:ascii="Times" w:hAnsi="Times"/>
          <w:sz w:val="24"/>
          <w:szCs w:val="24"/>
          <w:rtl w:val="0"/>
          <w:lang w:val="en-US"/>
        </w:rPr>
        <w:t>Kahu chose direct action by occupying a domestic airport situated on land that was to be offered to other claimants.</w:t>
      </w:r>
      <w:r>
        <w:rPr>
          <w:rStyle w:val="None"/>
          <w:rFonts w:ascii="Times" w:cs="Times" w:hAnsi="Times" w:eastAsia="Times"/>
          <w:sz w:val="24"/>
          <w:szCs w:val="24"/>
          <w:vertAlign w:val="superscript"/>
        </w:rPr>
        <w:footnoteReference w:id="12"/>
      </w:r>
      <w:r>
        <w:rPr>
          <w:rStyle w:val="None"/>
          <w:rFonts w:ascii="Times" w:hAnsi="Times"/>
          <w:sz w:val="24"/>
          <w:szCs w:val="24"/>
          <w:rtl w:val="0"/>
          <w:lang w:val="en-US"/>
        </w:rPr>
        <w:t xml:space="preserve"> </w:t>
      </w:r>
    </w:p>
    <w:p>
      <w:pPr>
        <w:pStyle w:val="Default"/>
        <w:spacing w:after="240" w:line="288" w:lineRule="auto"/>
        <w:jc w:val="both"/>
        <w:rPr>
          <w:rStyle w:val="None"/>
          <w:rFonts w:ascii="Times New Roman" w:cs="Times New Roman" w:hAnsi="Times New Roman" w:eastAsia="Times New Roman"/>
          <w:sz w:val="24"/>
          <w:szCs w:val="24"/>
        </w:rPr>
      </w:pPr>
      <w:r>
        <w:rPr>
          <w:rStyle w:val="None"/>
          <w:rFonts w:ascii="Times" w:hAnsi="Times"/>
          <w:sz w:val="24"/>
          <w:szCs w:val="24"/>
          <w:rtl w:val="0"/>
          <w:lang w:val="en-US"/>
        </w:rPr>
        <w:t>Other concerns raised by M</w:t>
      </w:r>
      <w:r>
        <w:rPr>
          <w:rStyle w:val="None"/>
          <w:rFonts w:ascii="Times" w:hAnsi="Times" w:hint="default"/>
          <w:sz w:val="24"/>
          <w:szCs w:val="24"/>
          <w:rtl w:val="0"/>
          <w:lang w:val="en-US"/>
        </w:rPr>
        <w:t>ā</w:t>
      </w:r>
      <w:r>
        <w:rPr>
          <w:rStyle w:val="None"/>
          <w:rFonts w:ascii="Times" w:hAnsi="Times"/>
          <w:sz w:val="24"/>
          <w:szCs w:val="24"/>
          <w:rtl w:val="0"/>
          <w:lang w:val="en-US"/>
        </w:rPr>
        <w:t>ori in relation to the Treaty settlement process include but are not limited to the negotiation process,</w:t>
      </w:r>
      <w:r>
        <w:rPr>
          <w:rStyle w:val="None"/>
          <w:rFonts w:ascii="Times New Roman" w:cs="Times New Roman" w:hAnsi="Times New Roman" w:eastAsia="Times New Roman"/>
          <w:sz w:val="24"/>
          <w:szCs w:val="24"/>
          <w:vertAlign w:val="superscript"/>
        </w:rPr>
        <w:footnoteReference w:id="13"/>
      </w:r>
      <w:r>
        <w:rPr>
          <w:rStyle w:val="None"/>
          <w:rFonts w:ascii="Times New Roman" w:hAnsi="Times New Roman"/>
          <w:sz w:val="24"/>
          <w:szCs w:val="24"/>
          <w:rtl w:val="0"/>
          <w:lang w:val="en-US"/>
        </w:rPr>
        <w:t xml:space="preserve"> the narrow scope and nature of settlements,</w:t>
      </w:r>
      <w:r>
        <w:rPr>
          <w:rStyle w:val="None"/>
          <w:rFonts w:ascii="Times New Roman" w:cs="Times New Roman" w:hAnsi="Times New Roman" w:eastAsia="Times New Roman"/>
          <w:sz w:val="24"/>
          <w:szCs w:val="24"/>
          <w:vertAlign w:val="superscript"/>
        </w:rPr>
        <w:footnoteReference w:id="14"/>
      </w:r>
      <w:r>
        <w:rPr>
          <w:rStyle w:val="None"/>
          <w:rFonts w:ascii="Times New Roman" w:hAnsi="Times New Roman"/>
          <w:sz w:val="24"/>
          <w:szCs w:val="24"/>
          <w:rtl w:val="0"/>
          <w:lang w:val="en-US"/>
        </w:rPr>
        <w:t xml:space="preserve"> and the limited statutory options available to claimants.</w:t>
      </w:r>
      <w:r>
        <w:rPr>
          <w:rStyle w:val="None"/>
          <w:rFonts w:ascii="Times New Roman" w:cs="Times New Roman" w:hAnsi="Times New Roman" w:eastAsia="Times New Roman"/>
          <w:sz w:val="24"/>
          <w:szCs w:val="24"/>
          <w:vertAlign w:val="superscript"/>
        </w:rPr>
        <w:footnoteReference w:id="15"/>
      </w:r>
      <w:r>
        <w:rPr>
          <w:rStyle w:val="None"/>
          <w:rFonts w:ascii="Times New Roman" w:hAnsi="Times New Roman"/>
          <w:sz w:val="24"/>
          <w:szCs w:val="24"/>
          <w:rtl w:val="0"/>
          <w:lang w:val="en-US"/>
        </w:rPr>
        <w:t xml:space="preserve"> </w:t>
      </w:r>
    </w:p>
    <w:p>
      <w:pPr>
        <w:pStyle w:val="Default"/>
        <w:spacing w:after="240" w:line="288"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Human Rights Committee has previously considered these issues and made a specific recommendation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State party should ensure that the views expressed by different Ma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ori groups during consultations in the context of the historical Treaty claims settlement process are duly taken into account.</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6"/>
      </w:r>
    </w:p>
    <w:p>
      <w:pPr>
        <w:pStyle w:val="Default"/>
        <w:spacing w:after="240" w:line="288"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Committee on Economic, Social and Cultural Rights has also recommended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State party ensure that the inalienable rights of M</w:t>
      </w:r>
      <w:r>
        <w:rPr>
          <w:rStyle w:val="None"/>
          <w:rFonts w:ascii="Times New Roman" w:hAnsi="Times New Roman" w:hint="default"/>
          <w:sz w:val="24"/>
          <w:szCs w:val="24"/>
          <w:rtl w:val="0"/>
          <w:lang w:val="en-US"/>
        </w:rPr>
        <w:t>ā</w:t>
      </w:r>
      <w:r>
        <w:rPr>
          <w:rStyle w:val="None"/>
          <w:rFonts w:ascii="Times New Roman" w:hAnsi="Times New Roman"/>
          <w:sz w:val="24"/>
          <w:szCs w:val="24"/>
          <w:rtl w:val="0"/>
          <w:lang w:val="en-US"/>
        </w:rPr>
        <w:t>ori to their lands, territories, waters and marine areas and other resources as well as the respect of the free, prior and informed consent of M</w:t>
      </w:r>
      <w:r>
        <w:rPr>
          <w:rStyle w:val="None"/>
          <w:rFonts w:ascii="Times New Roman" w:hAnsi="Times New Roman" w:hint="default"/>
          <w:sz w:val="24"/>
          <w:szCs w:val="24"/>
          <w:rtl w:val="0"/>
          <w:lang w:val="en-US"/>
        </w:rPr>
        <w:t>ā</w:t>
      </w:r>
      <w:r>
        <w:rPr>
          <w:rStyle w:val="None"/>
          <w:rFonts w:ascii="Times New Roman" w:hAnsi="Times New Roman"/>
          <w:sz w:val="24"/>
          <w:szCs w:val="24"/>
          <w:rtl w:val="0"/>
          <w:lang w:val="en-US"/>
        </w:rPr>
        <w:t>ori on any decisions affecting their use are firmly incorporated in the State party</w:t>
      </w:r>
      <w:r>
        <w:rPr>
          <w:rStyle w:val="None"/>
          <w:rFonts w:ascii="Times New Roman" w:hAnsi="Times New Roman" w:hint="default"/>
          <w:sz w:val="24"/>
          <w:szCs w:val="24"/>
          <w:rtl w:val="0"/>
          <w:lang w:val="fr-FR"/>
        </w:rPr>
        <w:t>’</w:t>
      </w:r>
      <w:r>
        <w:rPr>
          <w:rStyle w:val="None"/>
          <w:rFonts w:ascii="Times New Roman" w:hAnsi="Times New Roman"/>
          <w:sz w:val="24"/>
          <w:szCs w:val="24"/>
          <w:rtl w:val="0"/>
          <w:lang w:val="en-US"/>
        </w:rPr>
        <w:t>s legislation and duly implemented.</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17"/>
      </w:r>
    </w:p>
    <w:p>
      <w:pPr>
        <w:pStyle w:val="Default"/>
        <w:spacing w:after="240" w:line="288"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two previous Special Rapporteurs on the Rights of Indigenous Peoples have also issued recommendations that the government reach agreement with M</w:t>
      </w:r>
      <w:r>
        <w:rPr>
          <w:rStyle w:val="None"/>
          <w:rFonts w:ascii="Times New Roman" w:hAnsi="Times New Roman" w:hint="default"/>
          <w:sz w:val="24"/>
          <w:szCs w:val="24"/>
          <w:rtl w:val="0"/>
          <w:lang w:val="en-US"/>
        </w:rPr>
        <w:t>ā</w:t>
      </w:r>
      <w:r>
        <w:rPr>
          <w:rStyle w:val="None"/>
          <w:rFonts w:ascii="Times New Roman" w:hAnsi="Times New Roman"/>
          <w:sz w:val="24"/>
          <w:szCs w:val="24"/>
          <w:rtl w:val="0"/>
          <w:lang w:val="en-US"/>
        </w:rPr>
        <w:t>ori on a more fairer process that complies with international human rights standards.</w:t>
      </w:r>
      <w:r>
        <w:rPr>
          <w:rStyle w:val="None"/>
          <w:rFonts w:ascii="Times New Roman" w:cs="Times New Roman" w:hAnsi="Times New Roman" w:eastAsia="Times New Roman"/>
          <w:sz w:val="24"/>
          <w:szCs w:val="24"/>
          <w:vertAlign w:val="superscript"/>
        </w:rPr>
        <w:footnoteReference w:id="18"/>
      </w:r>
    </w:p>
    <w:p>
      <w:pPr>
        <w:pStyle w:val="Default"/>
        <w:spacing w:after="240" w:line="288" w:lineRule="auto"/>
        <w:jc w:val="both"/>
        <w:rPr>
          <w:rStyle w:val="None"/>
          <w:rFonts w:ascii="Times" w:cs="Times" w:hAnsi="Times" w:eastAsia="Times"/>
          <w:sz w:val="24"/>
          <w:szCs w:val="24"/>
        </w:rPr>
      </w:pPr>
      <w:r>
        <w:rPr>
          <w:rStyle w:val="None"/>
          <w:rFonts w:ascii="Times New Roman" w:hAnsi="Times New Roman"/>
          <w:sz w:val="24"/>
          <w:szCs w:val="24"/>
          <w:rtl w:val="0"/>
          <w:lang w:val="en-US"/>
        </w:rPr>
        <w:t>Unfortunately</w:t>
      </w:r>
      <w:r>
        <w:rPr>
          <w:rStyle w:val="None"/>
          <w:rFonts w:ascii="Times New Roman" w:hAnsi="Times New Roman"/>
          <w:sz w:val="24"/>
          <w:szCs w:val="24"/>
          <w:rtl w:val="0"/>
        </w:rPr>
        <w:t>,</w:t>
      </w:r>
      <w:r>
        <w:rPr>
          <w:rStyle w:val="None"/>
          <w:rFonts w:ascii="Times New Roman" w:hAnsi="Times New Roman"/>
          <w:sz w:val="24"/>
          <w:szCs w:val="24"/>
          <w:rtl w:val="0"/>
          <w:lang w:val="en-US"/>
        </w:rPr>
        <w:t xml:space="preserve"> the government is not prepared to address the problems associated with the Treaty settlement process leading to increasing M</w:t>
      </w:r>
      <w:r>
        <w:rPr>
          <w:rStyle w:val="None"/>
          <w:rFonts w:ascii="Times New Roman" w:hAnsi="Times New Roman" w:hint="default"/>
          <w:sz w:val="24"/>
          <w:szCs w:val="24"/>
          <w:rtl w:val="0"/>
          <w:lang w:val="en-US"/>
        </w:rPr>
        <w:t>ā</w:t>
      </w:r>
      <w:r>
        <w:rPr>
          <w:rStyle w:val="None"/>
          <w:rFonts w:ascii="Times New Roman" w:hAnsi="Times New Roman"/>
          <w:sz w:val="24"/>
          <w:szCs w:val="24"/>
          <w:rtl w:val="0"/>
          <w:lang w:val="en-US"/>
        </w:rPr>
        <w:t xml:space="preserve">ori frustration and disillusionment. </w:t>
      </w:r>
      <w:r>
        <w:rPr>
          <w:rStyle w:val="None"/>
          <w:rFonts w:ascii="Times" w:hAnsi="Times"/>
          <w:sz w:val="24"/>
          <w:szCs w:val="24"/>
          <w:rtl w:val="0"/>
          <w:lang w:val="en-US"/>
        </w:rPr>
        <w:t>The</w:t>
      </w:r>
      <w:r>
        <w:rPr>
          <w:rStyle w:val="None"/>
          <w:rFonts w:ascii="Times" w:hAnsi="Times"/>
          <w:sz w:val="24"/>
          <w:szCs w:val="24"/>
          <w:rtl w:val="0"/>
        </w:rPr>
        <w:t xml:space="preserve"> </w:t>
      </w:r>
      <w:r>
        <w:rPr>
          <w:rStyle w:val="None"/>
          <w:rFonts w:ascii="Times" w:hAnsi="Times"/>
          <w:sz w:val="24"/>
          <w:szCs w:val="24"/>
          <w:rtl w:val="0"/>
          <w:lang w:val="en-US"/>
        </w:rPr>
        <w:t>Treaty settlement process is in dire need of review and reform. This must be undertaken with the full and effective participation of M</w:t>
      </w:r>
      <w:r>
        <w:rPr>
          <w:rStyle w:val="None"/>
          <w:rFonts w:ascii="Times" w:hAnsi="Times" w:hint="default"/>
          <w:sz w:val="24"/>
          <w:szCs w:val="24"/>
          <w:rtl w:val="0"/>
          <w:lang w:val="en-US"/>
        </w:rPr>
        <w:t>ā</w:t>
      </w:r>
      <w:r>
        <w:rPr>
          <w:rStyle w:val="None"/>
          <w:rFonts w:ascii="Times" w:hAnsi="Times"/>
          <w:sz w:val="24"/>
          <w:szCs w:val="24"/>
          <w:rtl w:val="0"/>
          <w:lang w:val="en-US"/>
        </w:rPr>
        <w:t>ori. Failure to do so will lead to further injustices and will continue to undermine the relationship between the government and M</w:t>
      </w:r>
      <w:r>
        <w:rPr>
          <w:rStyle w:val="None"/>
          <w:rFonts w:ascii="Times" w:hAnsi="Times" w:hint="default"/>
          <w:sz w:val="24"/>
          <w:szCs w:val="24"/>
          <w:rtl w:val="0"/>
          <w:lang w:val="en-US"/>
        </w:rPr>
        <w:t>ā</w:t>
      </w:r>
      <w:r>
        <w:rPr>
          <w:rStyle w:val="None"/>
          <w:rFonts w:ascii="Times" w:hAnsi="Times"/>
          <w:sz w:val="24"/>
          <w:szCs w:val="24"/>
          <w:rtl w:val="0"/>
          <w:lang w:val="en-US"/>
        </w:rPr>
        <w:t>ori.</w:t>
      </w:r>
    </w:p>
    <w:p>
      <w:pPr>
        <w:pStyle w:val="Body A"/>
        <w:spacing w:line="288" w:lineRule="auto"/>
        <w:jc w:val="both"/>
        <w:rPr>
          <w:rStyle w:val="None"/>
          <w:rFonts w:ascii="Times New Roman" w:cs="Times New Roman" w:hAnsi="Times New Roman" w:eastAsia="Times New Roman"/>
          <w:sz w:val="24"/>
          <w:szCs w:val="24"/>
          <w:u w:color="000000"/>
        </w:rPr>
      </w:pPr>
    </w:p>
    <w:p>
      <w:pPr>
        <w:pStyle w:val="Body A"/>
        <w:spacing w:line="288" w:lineRule="auto"/>
        <w:jc w:val="both"/>
      </w:pPr>
      <w:r>
        <w:rPr>
          <w:rStyle w:val="None"/>
          <w:rFonts w:ascii="Times New Roman" w:cs="Times New Roman" w:hAnsi="Times New Roman" w:eastAsia="Times New Roman"/>
          <w:sz w:val="24"/>
          <w:szCs w:val="24"/>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819"/>
        <w:tab w:val="right" w:pos="9612"/>
        <w:tab w:val="clear" w:pos="9020"/>
      </w:tabs>
    </w:pPr>
  </w:p>
  <w:p>
    <w:pPr>
      <w:pStyle w:val="Header &amp; Footer A"/>
      <w:tabs>
        <w:tab w:val="center" w:pos="4819"/>
        <w:tab w:val="right" w:pos="9612"/>
        <w:tab w:val="clear" w:pos="9020"/>
      </w:tabs>
    </w:pPr>
    <w:r>
      <w:rPr>
        <w:rFonts w:ascii="Times New Roman" w:hAnsi="Times New Roman"/>
        <w:sz w:val="20"/>
        <w:szCs w:val="20"/>
      </w:rPr>
      <w:tab/>
    </w:r>
    <w:r>
      <w:rPr>
        <w:rFonts w:ascii="Times New Roman" w:hAnsi="Times New Roman"/>
        <w:sz w:val="20"/>
        <w:szCs w:val="20"/>
        <w:rtl w:val="0"/>
      </w:rPr>
      <w:fldChar w:fldCharType="begin" w:fldLock="0"/>
    </w:r>
    <w:r>
      <w:rPr>
        <w:rFonts w:ascii="Times New Roman" w:hAnsi="Times New Roman"/>
        <w:sz w:val="20"/>
        <w:szCs w:val="20"/>
        <w:rtl w:val="0"/>
      </w:rPr>
      <w:instrText xml:space="preserve"> PAGE </w:instrText>
    </w:r>
    <w:r>
      <w:rPr>
        <w:rFonts w:ascii="Times New Roman" w:hAnsi="Times New Roman"/>
        <w:sz w:val="20"/>
        <w:szCs w:val="20"/>
        <w:rtl w:val="0"/>
      </w:rPr>
      <w:fldChar w:fldCharType="separate" w:fldLock="0"/>
    </w:r>
    <w:r>
      <w:rPr>
        <w:rFonts w:ascii="Times New Roman" w:hAnsi="Times New Roman"/>
        <w:sz w:val="20"/>
        <w:szCs w:val="20"/>
        <w:rtl w:val="0"/>
      </w:rPr>
      <w:t>4</w:t>
    </w:r>
    <w:r>
      <w:rPr>
        <w:rFonts w:ascii="Times New Roman" w:hAnsi="Times New Roman"/>
        <w:sz w:val="20"/>
        <w:szCs w:val="20"/>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sz w:val="24"/>
          <w:szCs w:val="24"/>
          <w:u w:color="000000"/>
          <w:vertAlign w:val="superscript"/>
        </w:rPr>
        <w:footnoteRef/>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He Whakaputanga</w:t>
      </w:r>
      <w:r>
        <w:rPr>
          <w:rFonts w:ascii="Times New Roman" w:hAnsi="Times New Roman"/>
          <w:sz w:val="20"/>
          <w:szCs w:val="20"/>
          <w:rtl w:val="0"/>
          <w:lang w:val="en-US"/>
        </w:rPr>
        <w:t xml:space="preserve"> is the 1835 declaration of sovereignty of New Zealand which declares that sovereignty lies with </w:t>
      </w:r>
      <w:r>
        <w:rPr>
          <w:rFonts w:ascii="Times New Roman" w:hAnsi="Times New Roman"/>
          <w:i w:val="1"/>
          <w:iCs w:val="1"/>
          <w:sz w:val="20"/>
          <w:szCs w:val="20"/>
          <w:rtl w:val="0"/>
          <w:lang w:val="en-US"/>
        </w:rPr>
        <w:t>hap</w:t>
      </w:r>
      <w:r>
        <w:rPr>
          <w:rFonts w:ascii="Times New Roman" w:hAnsi="Times New Roman" w:hint="default"/>
          <w:i w:val="1"/>
          <w:iCs w:val="1"/>
          <w:sz w:val="20"/>
          <w:szCs w:val="20"/>
          <w:rtl w:val="0"/>
          <w:lang w:val="en-US"/>
        </w:rPr>
        <w:t>ū</w:t>
      </w:r>
      <w:r>
        <w:rPr>
          <w:rFonts w:ascii="Times New Roman" w:hAnsi="Times New Roman"/>
          <w:sz w:val="20"/>
          <w:szCs w:val="20"/>
          <w:rtl w:val="0"/>
          <w:lang w:val="en-US"/>
        </w:rPr>
        <w:t xml:space="preserve"> throughout New Zealand and will never be transferred to any other authority; and that diplomatic relations with England will be established by the King of England sending an ambassador.</w:t>
      </w:r>
    </w:p>
  </w:footnote>
  <w:footnote w:id="2">
    <w:p>
      <w:pPr>
        <w:pStyle w:val="footnote text"/>
      </w:pPr>
      <w:r>
        <w:rPr>
          <w:rFonts w:ascii="Times New Roman" w:cs="Times New Roman" w:hAnsi="Times New Roman" w:eastAsia="Times New Roman"/>
          <w:sz w:val="24"/>
          <w:szCs w:val="24"/>
          <w:u w:color="000000"/>
          <w:vertAlign w:val="superscript"/>
        </w:rPr>
        <w:footnoteRef/>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Te Tiriti</w:t>
      </w:r>
      <w:r>
        <w:rPr>
          <w:rFonts w:ascii="Times New Roman" w:hAnsi="Times New Roman"/>
          <w:sz w:val="20"/>
          <w:szCs w:val="20"/>
          <w:rtl w:val="0"/>
          <w:lang w:val="en-US"/>
        </w:rPr>
        <w:t xml:space="preserve"> is the1840 treaty of peace and friendship between M</w:t>
      </w:r>
      <w:r>
        <w:rPr>
          <w:rFonts w:ascii="Times New Roman" w:hAnsi="Times New Roman" w:hint="default"/>
          <w:sz w:val="20"/>
          <w:szCs w:val="20"/>
          <w:rtl w:val="0"/>
          <w:lang w:val="en-US"/>
        </w:rPr>
        <w:t>ā</w:t>
      </w:r>
      <w:r>
        <w:rPr>
          <w:rFonts w:ascii="Times New Roman" w:hAnsi="Times New Roman"/>
          <w:sz w:val="20"/>
          <w:szCs w:val="20"/>
          <w:rtl w:val="0"/>
          <w:lang w:val="en-US"/>
        </w:rPr>
        <w:t xml:space="preserve">ori and the Queen of England. It confirms </w:t>
      </w:r>
      <w:r>
        <w:rPr>
          <w:rFonts w:ascii="Times New Roman" w:hAnsi="Times New Roman"/>
          <w:i w:val="1"/>
          <w:iCs w:val="1"/>
          <w:sz w:val="20"/>
          <w:szCs w:val="20"/>
          <w:rtl w:val="0"/>
          <w:lang w:val="en-US"/>
        </w:rPr>
        <w:t>He</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Whakaputanga</w:t>
      </w:r>
      <w:r>
        <w:rPr>
          <w:rFonts w:ascii="Times New Roman" w:hAnsi="Times New Roman"/>
          <w:sz w:val="20"/>
          <w:szCs w:val="20"/>
          <w:rtl w:val="0"/>
          <w:lang w:val="en-US"/>
        </w:rPr>
        <w:t xml:space="preserve"> and devolves authority to the Queen of England to govern and control her English subjects who had recently emigrated to New Zealand and those still to come.</w:t>
      </w:r>
    </w:p>
  </w:footnote>
  <w:footnote w:id="3">
    <w:p>
      <w:pPr>
        <w:pStyle w:val="footnote text"/>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rPr>
        <w:t xml:space="preserve">See for example, Waitangi Tribunal </w:t>
      </w:r>
      <w:r>
        <w:rPr>
          <w:rFonts w:ascii="Times New Roman" w:hAnsi="Times New Roman"/>
          <w:i w:val="1"/>
          <w:iCs w:val="1"/>
          <w:sz w:val="20"/>
          <w:szCs w:val="20"/>
          <w:rtl w:val="0"/>
          <w:lang w:val="en-US"/>
        </w:rPr>
        <w:t>Report into Claims concerning Proposed Reforms to Te Ture Whenua Maori Act 1993</w:t>
      </w:r>
      <w:r>
        <w:rPr>
          <w:rFonts w:ascii="Times New Roman" w:hAnsi="Times New Roman"/>
          <w:sz w:val="20"/>
          <w:szCs w:val="20"/>
          <w:rtl w:val="0"/>
        </w:rPr>
        <w:t xml:space="preserve"> (Wai 2478, 2016) and government response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"http://www.radionz.co.nz/news/political/295943/waitangi-tribunal's-findings-'bizarre'-minister"</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http://www.radionz.co.nz/news/political/295943/waitangi-tribunal's-findings-'bizarre'-minister</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and Waitangi Tribunal </w:t>
      </w:r>
      <w:r>
        <w:rPr>
          <w:rFonts w:ascii="Times New Roman" w:hAnsi="Times New Roman"/>
          <w:sz w:val="20"/>
          <w:szCs w:val="20"/>
          <w:rtl w:val="0"/>
          <w:lang w:val="en-US"/>
        </w:rPr>
        <w:t>National Fresh Water and Geothermal Resources</w:t>
      </w:r>
      <w:r>
        <w:rPr>
          <w:rFonts w:ascii="Times New Roman" w:hAnsi="Times New Roman"/>
          <w:sz w:val="20"/>
          <w:szCs w:val="20"/>
          <w:rtl w:val="0"/>
        </w:rPr>
        <w:t xml:space="preserve"> (Wai 2358, 2012) and government response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"http://www.radionz.co.nz/news/political/118246/soe-sale-won't-include-special-shares-for-maori"</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http://www.radionz.co.nz/news/political/118246/soe-sale-won't-include-special-shares-for-maori</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p>
  </w:footnote>
  <w:footnote w:id="4">
    <w:p>
      <w:pPr>
        <w:pStyle w:val="footnote text"/>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Committee on the Elimination of Racial Discrimination </w:t>
      </w:r>
      <w:r>
        <w:rPr>
          <w:rFonts w:ascii="Times New Roman" w:hAnsi="Times New Roman"/>
          <w:i w:val="1"/>
          <w:iCs w:val="1"/>
          <w:sz w:val="20"/>
          <w:szCs w:val="20"/>
          <w:rtl w:val="0"/>
          <w:lang w:val="en-US"/>
        </w:rPr>
        <w:t xml:space="preserve">Concluding </w:t>
      </w:r>
      <w:r>
        <w:rPr>
          <w:rFonts w:ascii="Times New Roman" w:hAnsi="Times New Roman"/>
          <w:i w:val="1"/>
          <w:iCs w:val="1"/>
          <w:sz w:val="20"/>
          <w:szCs w:val="20"/>
          <w:rtl w:val="0"/>
          <w:lang w:val="en-US"/>
        </w:rPr>
        <w:t>O</w:t>
      </w:r>
      <w:r>
        <w:rPr>
          <w:rFonts w:ascii="Times New Roman" w:hAnsi="Times New Roman"/>
          <w:i w:val="1"/>
          <w:iCs w:val="1"/>
          <w:sz w:val="20"/>
          <w:szCs w:val="20"/>
          <w:rtl w:val="0"/>
          <w:lang w:val="en-US"/>
        </w:rPr>
        <w:t xml:space="preserve">bservations on the </w:t>
      </w:r>
      <w:r>
        <w:rPr>
          <w:rFonts w:ascii="Times New Roman" w:hAnsi="Times New Roman"/>
          <w:i w:val="1"/>
          <w:iCs w:val="1"/>
          <w:sz w:val="20"/>
          <w:szCs w:val="20"/>
          <w:rtl w:val="0"/>
          <w:lang w:val="en-US"/>
        </w:rPr>
        <w:t>E</w:t>
      </w:r>
      <w:r>
        <w:rPr>
          <w:rFonts w:ascii="Times New Roman" w:hAnsi="Times New Roman"/>
          <w:i w:val="1"/>
          <w:iCs w:val="1"/>
          <w:sz w:val="20"/>
          <w:szCs w:val="20"/>
          <w:rtl w:val="0"/>
          <w:lang w:val="en-US"/>
        </w:rPr>
        <w:t xml:space="preserve">ighteenth to the </w:t>
      </w:r>
      <w:r>
        <w:rPr>
          <w:rFonts w:ascii="Times New Roman" w:hAnsi="Times New Roman"/>
          <w:i w:val="1"/>
          <w:iCs w:val="1"/>
          <w:sz w:val="20"/>
          <w:szCs w:val="20"/>
          <w:rtl w:val="0"/>
          <w:lang w:val="en-US"/>
        </w:rPr>
        <w:t>T</w:t>
      </w:r>
      <w:r>
        <w:rPr>
          <w:rFonts w:ascii="Times New Roman" w:hAnsi="Times New Roman"/>
          <w:i w:val="1"/>
          <w:iCs w:val="1"/>
          <w:sz w:val="20"/>
          <w:szCs w:val="20"/>
          <w:rtl w:val="0"/>
          <w:lang w:val="en-US"/>
        </w:rPr>
        <w:t>wentieth periodic reports of New Zealand</w:t>
      </w:r>
      <w:r>
        <w:rPr>
          <w:rFonts w:ascii="Times New Roman" w:hAnsi="Times New Roman"/>
          <w:sz w:val="20"/>
          <w:szCs w:val="20"/>
          <w:rtl w:val="0"/>
        </w:rPr>
        <w:t xml:space="preserve"> </w:t>
      </w:r>
      <w:r>
        <w:rPr>
          <w:rFonts w:ascii="Times New Roman" w:hAnsi="Times New Roman"/>
          <w:sz w:val="20"/>
          <w:szCs w:val="20"/>
          <w:rtl w:val="0"/>
          <w:lang w:val="en-US"/>
        </w:rPr>
        <w:t>2230th</w:t>
      </w:r>
      <w:r>
        <w:rPr>
          <w:rFonts w:ascii="Times New Roman" w:hAnsi="Times New Roman"/>
          <w:sz w:val="20"/>
          <w:szCs w:val="20"/>
          <w:rtl w:val="0"/>
        </w:rPr>
        <w:t xml:space="preserve"> meeting</w:t>
      </w:r>
      <w:r>
        <w:rPr>
          <w:rFonts w:ascii="Times New Roman" w:hAnsi="Times New Roman"/>
          <w:b w:val="1"/>
          <w:bCs w:val="1"/>
          <w:sz w:val="20"/>
          <w:szCs w:val="20"/>
          <w:rtl w:val="0"/>
        </w:rPr>
        <w:t xml:space="preserve"> </w:t>
      </w:r>
      <w:r>
        <w:rPr>
          <w:rFonts w:ascii="Times New Roman" w:hAnsi="Times New Roman"/>
          <w:sz w:val="20"/>
          <w:szCs w:val="20"/>
          <w:rtl w:val="0"/>
          <w:lang w:val="en-US"/>
        </w:rPr>
        <w:t>CERD/C/NZL/CO/18-20</w:t>
      </w:r>
      <w:r>
        <w:rPr>
          <w:rFonts w:ascii="Times New Roman" w:hAnsi="Times New Roman"/>
          <w:sz w:val="20"/>
          <w:szCs w:val="20"/>
          <w:rtl w:val="0"/>
          <w:lang w:val="en-US"/>
        </w:rPr>
        <w:t xml:space="preserve"> (2013) paras 11 and 26, </w:t>
      </w:r>
      <w:r>
        <w:rPr>
          <w:rFonts w:ascii="Times New Roman" w:hAnsi="Times New Roman"/>
          <w:sz w:val="20"/>
          <w:szCs w:val="20"/>
          <w:rtl w:val="0"/>
          <w:lang w:val="en-US"/>
        </w:rPr>
        <w:t xml:space="preserve">Committee on Economic, Social and Cultural Rights </w:t>
      </w:r>
      <w:r>
        <w:rPr>
          <w:rFonts w:ascii="Times New Roman" w:hAnsi="Times New Roman"/>
          <w:i w:val="1"/>
          <w:iCs w:val="1"/>
          <w:sz w:val="20"/>
          <w:szCs w:val="20"/>
          <w:rtl w:val="0"/>
          <w:lang w:val="en-US"/>
        </w:rPr>
        <w:t xml:space="preserve">Concluding </w:t>
      </w:r>
      <w:r>
        <w:rPr>
          <w:rFonts w:ascii="Times New Roman" w:hAnsi="Times New Roman"/>
          <w:i w:val="1"/>
          <w:iCs w:val="1"/>
          <w:sz w:val="20"/>
          <w:szCs w:val="20"/>
          <w:rtl w:val="0"/>
        </w:rPr>
        <w:t>O</w:t>
      </w:r>
      <w:r>
        <w:rPr>
          <w:rFonts w:ascii="Times New Roman" w:hAnsi="Times New Roman"/>
          <w:i w:val="1"/>
          <w:iCs w:val="1"/>
          <w:sz w:val="20"/>
          <w:szCs w:val="20"/>
          <w:rtl w:val="0"/>
          <w:lang w:val="en-US"/>
        </w:rPr>
        <w:t>bservations of the Committee on Economic, Social and Cultural Rights</w:t>
      </w:r>
      <w:r>
        <w:rPr>
          <w:rFonts w:ascii="Times New Roman" w:hAnsi="Times New Roman"/>
          <w:i w:val="1"/>
          <w:iCs w:val="1"/>
          <w:sz w:val="20"/>
          <w:szCs w:val="20"/>
          <w:rtl w:val="0"/>
        </w:rPr>
        <w:t xml:space="preserve">: </w:t>
      </w:r>
      <w:r>
        <w:rPr>
          <w:rFonts w:ascii="Times New Roman" w:hAnsi="Times New Roman"/>
          <w:i w:val="1"/>
          <w:iCs w:val="1"/>
          <w:sz w:val="20"/>
          <w:szCs w:val="20"/>
          <w:rtl w:val="0"/>
          <w:lang w:val="en-US"/>
        </w:rPr>
        <w:t>New Zealand</w:t>
      </w:r>
      <w:r>
        <w:rPr>
          <w:rFonts w:ascii="Times New Roman" w:hAnsi="Times New Roman"/>
          <w:sz w:val="20"/>
          <w:szCs w:val="20"/>
          <w:rtl w:val="0"/>
          <w:lang w:val="en-US"/>
        </w:rPr>
        <w:t xml:space="preserve"> </w:t>
      </w:r>
      <w:r>
        <w:rPr>
          <w:rFonts w:ascii="Times New Roman" w:hAnsi="Times New Roman"/>
          <w:sz w:val="20"/>
          <w:szCs w:val="20"/>
          <w:rtl w:val="0"/>
        </w:rPr>
        <w:t>48th</w:t>
      </w:r>
      <w:r>
        <w:rPr>
          <w:rFonts w:ascii="Times New Roman" w:hAnsi="Times New Roman"/>
          <w:sz w:val="20"/>
          <w:szCs w:val="20"/>
          <w:rtl w:val="0"/>
          <w:lang w:val="en-US"/>
        </w:rPr>
        <w:t xml:space="preserve"> session</w:t>
      </w:r>
      <w:r>
        <w:rPr>
          <w:rFonts w:ascii="Times New Roman" w:hAnsi="Times New Roman"/>
          <w:sz w:val="20"/>
          <w:szCs w:val="20"/>
          <w:rtl w:val="0"/>
        </w:rPr>
        <w:t xml:space="preserve"> </w:t>
      </w:r>
      <w:r>
        <w:rPr>
          <w:rFonts w:ascii="Times New Roman" w:hAnsi="Times New Roman"/>
          <w:sz w:val="20"/>
          <w:szCs w:val="20"/>
          <w:rtl w:val="0"/>
          <w:lang w:val="en-US"/>
        </w:rPr>
        <w:t>E/C.12/NZL/CO/3</w:t>
      </w:r>
      <w:r>
        <w:rPr>
          <w:rFonts w:ascii="Times New Roman" w:hAnsi="Times New Roman"/>
          <w:sz w:val="20"/>
          <w:szCs w:val="20"/>
          <w:rtl w:val="0"/>
          <w:lang w:val="en-US"/>
        </w:rPr>
        <w:t xml:space="preserve"> (2012) paras 11 and 26, </w:t>
      </w:r>
      <w:r>
        <w:rPr>
          <w:rFonts w:ascii="Times New Roman" w:hAnsi="Times New Roman"/>
          <w:sz w:val="20"/>
          <w:szCs w:val="20"/>
          <w:rtl w:val="0"/>
          <w:lang w:val="en-US"/>
        </w:rPr>
        <w:t xml:space="preserve">Human Rights Council </w:t>
      </w:r>
      <w:r>
        <w:rPr>
          <w:rFonts w:ascii="Times New Roman" w:hAnsi="Times New Roman"/>
          <w:i w:val="1"/>
          <w:iCs w:val="1"/>
          <w:sz w:val="20"/>
          <w:szCs w:val="20"/>
          <w:rtl w:val="0"/>
          <w:lang w:val="en-US"/>
        </w:rPr>
        <w:t xml:space="preserve">Report of the Special Rapporteur on the </w:t>
      </w:r>
      <w:r>
        <w:rPr>
          <w:rFonts w:ascii="Times New Roman" w:hAnsi="Times New Roman"/>
          <w:i w:val="1"/>
          <w:iCs w:val="1"/>
          <w:sz w:val="20"/>
          <w:szCs w:val="20"/>
          <w:rtl w:val="0"/>
        </w:rPr>
        <w:t>R</w:t>
      </w:r>
      <w:r>
        <w:rPr>
          <w:rFonts w:ascii="Times New Roman" w:hAnsi="Times New Roman"/>
          <w:i w:val="1"/>
          <w:iCs w:val="1"/>
          <w:sz w:val="20"/>
          <w:szCs w:val="20"/>
          <w:rtl w:val="0"/>
          <w:lang w:val="en-US"/>
        </w:rPr>
        <w:t xml:space="preserve">ights of </w:t>
      </w:r>
      <w:r>
        <w:rPr>
          <w:rFonts w:ascii="Times New Roman" w:hAnsi="Times New Roman"/>
          <w:i w:val="1"/>
          <w:iCs w:val="1"/>
          <w:sz w:val="20"/>
          <w:szCs w:val="20"/>
          <w:rtl w:val="0"/>
        </w:rPr>
        <w:t>I</w:t>
      </w:r>
      <w:r>
        <w:rPr>
          <w:rFonts w:ascii="Times New Roman" w:hAnsi="Times New Roman"/>
          <w:i w:val="1"/>
          <w:iCs w:val="1"/>
          <w:sz w:val="20"/>
          <w:szCs w:val="20"/>
          <w:rtl w:val="0"/>
          <w:lang w:val="en-US"/>
        </w:rPr>
        <w:t xml:space="preserve">ndigenous </w:t>
      </w:r>
      <w:r>
        <w:rPr>
          <w:rFonts w:ascii="Times New Roman" w:hAnsi="Times New Roman"/>
          <w:i w:val="1"/>
          <w:iCs w:val="1"/>
          <w:sz w:val="20"/>
          <w:szCs w:val="20"/>
          <w:rtl w:val="0"/>
        </w:rPr>
        <w:t>P</w:t>
      </w:r>
      <w:r>
        <w:rPr>
          <w:rFonts w:ascii="Times New Roman" w:hAnsi="Times New Roman"/>
          <w:i w:val="1"/>
          <w:iCs w:val="1"/>
          <w:sz w:val="20"/>
          <w:szCs w:val="20"/>
          <w:rtl w:val="0"/>
          <w:lang w:val="en-US"/>
        </w:rPr>
        <w:t>eoples</w:t>
      </w:r>
      <w:r>
        <w:rPr>
          <w:rFonts w:ascii="Times New Roman" w:hAnsi="Times New Roman"/>
          <w:i w:val="1"/>
          <w:iCs w:val="1"/>
          <w:sz w:val="20"/>
          <w:szCs w:val="20"/>
          <w:rtl w:val="0"/>
        </w:rPr>
        <w:t xml:space="preserve">: </w:t>
      </w:r>
      <w:r>
        <w:rPr>
          <w:rFonts w:ascii="Times New Roman" w:hAnsi="Times New Roman"/>
          <w:i w:val="1"/>
          <w:iCs w:val="1"/>
          <w:sz w:val="20"/>
          <w:szCs w:val="20"/>
          <w:rtl w:val="0"/>
          <w:lang w:val="en-US"/>
        </w:rPr>
        <w:t xml:space="preserve">The situation of Maori people in New Zealand </w:t>
      </w:r>
      <w:r>
        <w:rPr>
          <w:rFonts w:ascii="Times New Roman" w:hAnsi="Times New Roman"/>
          <w:sz w:val="20"/>
          <w:szCs w:val="20"/>
          <w:rtl w:val="0"/>
        </w:rPr>
        <w:t xml:space="preserve">18th session </w:t>
      </w:r>
      <w:r>
        <w:rPr>
          <w:rFonts w:ascii="Times New Roman" w:hAnsi="Times New Roman"/>
          <w:sz w:val="20"/>
          <w:szCs w:val="20"/>
          <w:rtl w:val="0"/>
          <w:lang w:val="en-US"/>
        </w:rPr>
        <w:t xml:space="preserve">A/HRC/18/35/Add.4 </w:t>
      </w:r>
      <w:r>
        <w:rPr>
          <w:rFonts w:ascii="Times New Roman" w:hAnsi="Times New Roman"/>
          <w:sz w:val="20"/>
          <w:szCs w:val="20"/>
          <w:rtl w:val="0"/>
        </w:rPr>
        <w:t xml:space="preserve">(2011) </w:t>
      </w:r>
      <w:r>
        <w:rPr>
          <w:rFonts w:ascii="Times New Roman" w:hAnsi="Times New Roman"/>
          <w:sz w:val="20"/>
          <w:szCs w:val="20"/>
          <w:rtl w:val="0"/>
          <w:lang w:val="en-US"/>
        </w:rPr>
        <w:t>paras 70-72</w:t>
      </w:r>
      <w:r>
        <w:rPr>
          <w:rFonts w:ascii="Times New Roman" w:hAnsi="Times New Roman"/>
          <w:sz w:val="20"/>
          <w:szCs w:val="20"/>
          <w:rtl w:val="0"/>
        </w:rPr>
        <w:t xml:space="preserve"> and </w:t>
      </w:r>
      <w:r>
        <w:rPr>
          <w:rFonts w:ascii="Times New Roman" w:hAnsi="Times New Roman"/>
          <w:sz w:val="20"/>
          <w:szCs w:val="20"/>
          <w:rtl w:val="0"/>
          <w:lang w:val="en-US"/>
        </w:rPr>
        <w:t>Human Rights</w:t>
      </w:r>
      <w:r>
        <w:rPr>
          <w:rFonts w:ascii="Times New Roman" w:hAnsi="Times New Roman"/>
          <w:sz w:val="20"/>
          <w:szCs w:val="20"/>
          <w:rtl w:val="0"/>
        </w:rPr>
        <w:t xml:space="preserve"> Council</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Report of the Special Rapporteur on the situation of human rights and fundamental freedoms of indigenous people</w:t>
      </w:r>
      <w:r>
        <w:rPr>
          <w:rFonts w:ascii="Times New Roman" w:hAnsi="Times New Roman"/>
          <w:i w:val="1"/>
          <w:iCs w:val="1"/>
          <w:sz w:val="20"/>
          <w:szCs w:val="20"/>
          <w:rtl w:val="0"/>
        </w:rPr>
        <w:t xml:space="preserve">: Mission to New Zealand </w:t>
      </w:r>
      <w:r>
        <w:rPr>
          <w:rFonts w:ascii="Times New Roman" w:hAnsi="Times New Roman"/>
          <w:sz w:val="20"/>
          <w:szCs w:val="20"/>
          <w:rtl w:val="0"/>
        </w:rPr>
        <w:t>62nd</w:t>
      </w:r>
      <w:r>
        <w:rPr>
          <w:rFonts w:ascii="Times New Roman" w:hAnsi="Times New Roman"/>
          <w:sz w:val="20"/>
          <w:szCs w:val="20"/>
          <w:rtl w:val="0"/>
          <w:lang w:val="en-US"/>
        </w:rPr>
        <w:t xml:space="preserve"> session</w:t>
      </w:r>
      <w:r>
        <w:rPr>
          <w:rFonts w:ascii="Times New Roman" w:hAnsi="Times New Roman"/>
          <w:sz w:val="20"/>
          <w:szCs w:val="20"/>
          <w:rtl w:val="0"/>
        </w:rPr>
        <w:t xml:space="preserve"> </w:t>
      </w:r>
      <w:r>
        <w:rPr>
          <w:rFonts w:ascii="Times New Roman" w:hAnsi="Times New Roman"/>
          <w:sz w:val="20"/>
          <w:szCs w:val="20"/>
          <w:rtl w:val="0"/>
          <w:lang w:val="en-US"/>
        </w:rPr>
        <w:t>E/CN.4/2006/78/Add.3</w:t>
      </w:r>
      <w:r>
        <w:rPr>
          <w:rFonts w:ascii="Times New Roman" w:hAnsi="Times New Roman"/>
          <w:sz w:val="20"/>
          <w:szCs w:val="20"/>
          <w:rtl w:val="0"/>
        </w:rPr>
        <w:t xml:space="preserve"> (2006) paras 89-90 and 93-95.</w:t>
      </w:r>
    </w:p>
  </w:footnote>
  <w:footnote w:id="5">
    <w:p>
      <w:pPr>
        <w:pStyle w:val="endnote text"/>
      </w:pPr>
      <w:r>
        <w:rPr>
          <w:rFonts w:ascii="Times New Roman" w:cs="Times New Roman" w:hAnsi="Times New Roman" w:eastAsia="Times New Roman"/>
          <w:sz w:val="24"/>
          <w:szCs w:val="24"/>
          <w:u w:color="000000"/>
          <w:vertAlign w:val="superscript"/>
        </w:rPr>
        <w:footnoteRef/>
      </w:r>
      <w:r>
        <w:rPr>
          <w:rFonts w:ascii="Times New Roman" w:hAnsi="Times New Roman"/>
          <w:rtl w:val="0"/>
          <w:lang w:val="en-US"/>
        </w:rPr>
        <w:t xml:space="preserve"> Office of Treaty Settlements </w:t>
      </w:r>
      <w:r>
        <w:rPr>
          <w:rFonts w:ascii="Times New Roman" w:hAnsi="Times New Roman"/>
          <w:i w:val="1"/>
          <w:iCs w:val="1"/>
          <w:rtl w:val="0"/>
          <w:lang w:val="en-US"/>
        </w:rPr>
        <w:t>Healing the Past, Building a Future: A Guide to Treaty of Waitangi Claims and Negotiations with the Crown</w:t>
      </w:r>
      <w:r>
        <w:rPr>
          <w:rFonts w:ascii="Times New Roman" w:hAnsi="Times New Roman"/>
          <w:i w:val="1"/>
          <w:iCs w:val="1"/>
          <w:rtl w:val="0"/>
        </w:rPr>
        <w:t xml:space="preserve"> Part 1 </w:t>
      </w:r>
      <w:r>
        <w:rPr>
          <w:rFonts w:ascii="Times New Roman" w:hAnsi="Times New Roman"/>
          <w:rtl w:val="0"/>
        </w:rPr>
        <w:t>(</w:t>
      </w:r>
      <w:r>
        <w:rPr>
          <w:rFonts w:ascii="Times New Roman" w:hAnsi="Times New Roman"/>
          <w:rtl w:val="0"/>
          <w:lang w:val="en-US"/>
        </w:rPr>
        <w:t>OTS, Ministry of Justice</w:t>
      </w:r>
      <w:r>
        <w:rPr>
          <w:rFonts w:ascii="Times New Roman" w:hAnsi="Times New Roman"/>
          <w:rtl w:val="0"/>
        </w:rPr>
        <w:t xml:space="preserve">, Wellington, 2002) at </w:t>
      </w:r>
      <w:r>
        <w:rPr>
          <w:rFonts w:ascii="Times New Roman" w:hAnsi="Times New Roman"/>
          <w:rtl w:val="0"/>
          <w:lang w:val="en-US"/>
        </w:rPr>
        <w:t>28.</w:t>
      </w:r>
    </w:p>
  </w:footnote>
  <w:footnote w:id="6">
    <w:p>
      <w:pPr>
        <w:pStyle w:val="footnote text"/>
      </w:pPr>
      <w:r>
        <w:rPr>
          <w:rFonts w:ascii="Times New Roman" w:cs="Times New Roman" w:hAnsi="Times New Roman" w:eastAsia="Times New Roman"/>
          <w:sz w:val="24"/>
          <w:szCs w:val="24"/>
          <w:u w:color="000000"/>
          <w:vertAlign w:val="superscript"/>
        </w:rPr>
        <w:footnoteRef/>
      </w:r>
      <w:r>
        <w:rPr>
          <w:rFonts w:ascii="Times New Roman" w:hAnsi="Times New Roman"/>
          <w:sz w:val="20"/>
          <w:szCs w:val="20"/>
          <w:rtl w:val="0"/>
          <w:lang w:val="en-US"/>
        </w:rPr>
        <w:t xml:space="preserve"> Above at 29.</w:t>
      </w:r>
    </w:p>
  </w:footnote>
  <w:footnote w:id="7">
    <w:p>
      <w:pPr>
        <w:pStyle w:val="footnote text"/>
      </w:pPr>
      <w:r>
        <w:rPr>
          <w:rFonts w:ascii="Times New Roman" w:cs="Times New Roman" w:hAnsi="Times New Roman" w:eastAsia="Times New Roman"/>
          <w:sz w:val="24"/>
          <w:szCs w:val="24"/>
          <w:u w:color="000000"/>
          <w:vertAlign w:val="superscript"/>
        </w:rPr>
        <w:footnoteRef/>
      </w:r>
      <w:r>
        <w:rPr>
          <w:rFonts w:ascii="Times New Roman" w:hAnsi="Times New Roman"/>
          <w:sz w:val="20"/>
          <w:szCs w:val="20"/>
          <w:rtl w:val="0"/>
          <w:lang w:val="en-US"/>
        </w:rPr>
        <w:t xml:space="preserve"> Above at 32</w:t>
      </w:r>
    </w:p>
  </w:footnote>
  <w:footnote w:id="8">
    <w:p>
      <w:pPr>
        <w:pStyle w:val="footnote text"/>
      </w:pPr>
      <w:r>
        <w:rPr>
          <w:rFonts w:ascii="Times New Roman" w:cs="Times New Roman" w:hAnsi="Times New Roman" w:eastAsia="Times New Roman"/>
          <w:sz w:val="20"/>
          <w:szCs w:val="20"/>
          <w:u w:color="000000"/>
          <w:vertAlign w:val="superscript"/>
        </w:rPr>
        <w:footnoteRef/>
      </w:r>
      <w:r>
        <w:rPr>
          <w:rFonts w:ascii="Times New Roman" w:hAnsi="Times New Roman"/>
          <w:sz w:val="20"/>
          <w:szCs w:val="20"/>
          <w:rtl w:val="0"/>
          <w:lang w:val="en-US"/>
        </w:rPr>
        <w:t xml:space="preserve"> Office of Treaty Settlements </w:t>
      </w:r>
      <w:r>
        <w:rPr>
          <w:rFonts w:ascii="Times New Roman" w:hAnsi="Times New Roman"/>
          <w:i w:val="1"/>
          <w:iCs w:val="1"/>
          <w:sz w:val="20"/>
          <w:szCs w:val="20"/>
          <w:rtl w:val="0"/>
          <w:lang w:val="en-US"/>
        </w:rPr>
        <w:t>Healing the Past, Building a Future: A Guide to Treaty of Waitangi Claims and Negotiations with the Crown</w:t>
      </w:r>
      <w:r>
        <w:rPr>
          <w:rFonts w:ascii="Times New Roman" w:hAnsi="Times New Roman"/>
          <w:i w:val="1"/>
          <w:iCs w:val="1"/>
          <w:sz w:val="20"/>
          <w:szCs w:val="20"/>
          <w:rtl w:val="0"/>
        </w:rPr>
        <w:t xml:space="preserve"> Part 2 </w:t>
      </w:r>
      <w:r>
        <w:rPr>
          <w:rFonts w:ascii="Times New Roman" w:hAnsi="Times New Roman"/>
          <w:sz w:val="20"/>
          <w:szCs w:val="20"/>
          <w:rtl w:val="0"/>
        </w:rPr>
        <w:t>(</w:t>
      </w:r>
      <w:r>
        <w:rPr>
          <w:rFonts w:ascii="Times New Roman" w:hAnsi="Times New Roman"/>
          <w:sz w:val="20"/>
          <w:szCs w:val="20"/>
          <w:rtl w:val="0"/>
          <w:lang w:val="en-US"/>
        </w:rPr>
        <w:t>OTS, Ministry of Justice</w:t>
      </w:r>
      <w:r>
        <w:rPr>
          <w:rFonts w:ascii="Times New Roman" w:hAnsi="Times New Roman"/>
          <w:sz w:val="20"/>
          <w:szCs w:val="20"/>
          <w:rtl w:val="0"/>
        </w:rPr>
        <w:t>, Wellington, 2002) at</w:t>
      </w:r>
      <w:r>
        <w:rPr>
          <w:rFonts w:ascii="Times New Roman" w:hAnsi="Times New Roman"/>
          <w:sz w:val="20"/>
          <w:szCs w:val="20"/>
          <w:rtl w:val="0"/>
          <w:lang w:val="en-US"/>
        </w:rPr>
        <w:t xml:space="preserve"> 44</w:t>
      </w:r>
      <w:r>
        <w:rPr>
          <w:rFonts w:ascii="Times New Roman" w:hAnsi="Times New Roman"/>
          <w:sz w:val="20"/>
          <w:szCs w:val="20"/>
          <w:rtl w:val="0"/>
        </w:rPr>
        <w:t>.</w:t>
      </w:r>
    </w:p>
  </w:footnote>
  <w:footnote w:id="9">
    <w:p>
      <w:pPr>
        <w:pStyle w:val="footnote text"/>
      </w:pPr>
      <w:r>
        <w:rPr>
          <w:rFonts w:ascii="Times New Roman" w:cs="Times New Roman" w:hAnsi="Times New Roman" w:eastAsia="Times New Roman"/>
          <w:sz w:val="24"/>
          <w:szCs w:val="24"/>
          <w:u w:color="000000"/>
          <w:vertAlign w:val="superscript"/>
        </w:rPr>
        <w:footnoteRef/>
      </w:r>
      <w:r>
        <w:rPr>
          <w:rFonts w:ascii="Times New Roman" w:hAnsi="Times New Roman"/>
          <w:sz w:val="20"/>
          <w:szCs w:val="20"/>
          <w:rtl w:val="0"/>
          <w:lang w:val="en-US"/>
        </w:rPr>
        <w:t xml:space="preserve"> Above n</w:t>
      </w:r>
      <w:r>
        <w:rPr>
          <w:rFonts w:ascii="Times New Roman" w:hAnsi="Times New Roman"/>
          <w:sz w:val="20"/>
          <w:szCs w:val="20"/>
          <w:rtl w:val="0"/>
        </w:rPr>
        <w:t xml:space="preserve"> </w:t>
      </w:r>
      <w:r>
        <w:rPr>
          <w:rFonts w:ascii="Times New Roman" w:hAnsi="Times New Roman"/>
          <w:sz w:val="20"/>
          <w:szCs w:val="20"/>
          <w:rtl w:val="0"/>
          <w:lang w:val="en-US"/>
        </w:rPr>
        <w:t>3 at 28.</w:t>
      </w:r>
    </w:p>
  </w:footnote>
  <w:footnote w:id="10">
    <w:p>
      <w:pPr>
        <w:pStyle w:val="endnote text"/>
      </w:pPr>
      <w:r>
        <w:rPr>
          <w:rFonts w:ascii="Times New Roman" w:cs="Times New Roman" w:hAnsi="Times New Roman" w:eastAsia="Times New Roman"/>
          <w:sz w:val="24"/>
          <w:szCs w:val="24"/>
          <w:u w:color="000000"/>
          <w:vertAlign w:val="superscript"/>
        </w:rPr>
        <w:footnoteRef/>
      </w:r>
      <w:r>
        <w:rPr>
          <w:rFonts w:ascii="Times New Roman" w:hAnsi="Times New Roman"/>
          <w:sz w:val="24"/>
          <w:szCs w:val="24"/>
          <w:rtl w:val="0"/>
          <w:lang w:val="en-US"/>
        </w:rPr>
        <w:t xml:space="preserve"> </w:t>
      </w:r>
      <w:r>
        <w:rPr>
          <w:rFonts w:ascii="Times New Roman" w:hAnsi="Times New Roman"/>
          <w:rtl w:val="0"/>
        </w:rPr>
        <w:t>F</w:t>
      </w:r>
      <w:r>
        <w:rPr>
          <w:rFonts w:ascii="Times New Roman" w:hAnsi="Times New Roman"/>
          <w:rtl w:val="0"/>
          <w:lang w:val="en-US"/>
        </w:rPr>
        <w:t xml:space="preserve">or example, </w:t>
      </w:r>
      <w:r>
        <w:rPr>
          <w:rFonts w:ascii="Times New Roman" w:hAnsi="Times New Roman"/>
          <w:rtl w:val="0"/>
        </w:rPr>
        <w:t xml:space="preserve">Waitangi Tribunal </w:t>
      </w:r>
      <w:r>
        <w:rPr>
          <w:rFonts w:ascii="Times New Roman" w:hAnsi="Times New Roman"/>
          <w:i w:val="1"/>
          <w:iCs w:val="1"/>
          <w:rtl w:val="0"/>
          <w:lang w:val="en-US"/>
        </w:rPr>
        <w:t xml:space="preserve">The Ngapuhi Mandate Inquiry Report </w:t>
      </w:r>
      <w:r>
        <w:rPr>
          <w:rFonts w:ascii="Times New Roman" w:hAnsi="Times New Roman"/>
          <w:rtl w:val="0"/>
          <w:lang w:val="en-US"/>
        </w:rPr>
        <w:t>(Wai 2490</w:t>
      </w:r>
      <w:r>
        <w:rPr>
          <w:rFonts w:ascii="Times New Roman" w:hAnsi="Times New Roman"/>
          <w:rtl w:val="0"/>
        </w:rPr>
        <w:t>, 2015</w:t>
      </w:r>
      <w:r>
        <w:rPr>
          <w:rFonts w:ascii="Times New Roman" w:hAnsi="Times New Roman"/>
          <w:rtl w:val="0"/>
          <w:lang w:val="en-US"/>
        </w:rPr>
        <w:t xml:space="preserve">), </w:t>
      </w:r>
      <w:r>
        <w:rPr>
          <w:rFonts w:ascii="Times New Roman" w:hAnsi="Times New Roman"/>
          <w:rtl w:val="0"/>
        </w:rPr>
        <w:t xml:space="preserve">Waitangi Tribunal </w:t>
      </w:r>
      <w:r>
        <w:rPr>
          <w:rFonts w:ascii="Times New Roman" w:hAnsi="Times New Roman"/>
          <w:i w:val="1"/>
          <w:iCs w:val="1"/>
          <w:rtl w:val="0"/>
          <w:lang w:val="en-US"/>
        </w:rPr>
        <w:t>The Te Aroha Maunga Settlement Process Report</w:t>
      </w:r>
      <w:r>
        <w:rPr>
          <w:rFonts w:ascii="Times New Roman" w:hAnsi="Times New Roman"/>
          <w:rtl w:val="0"/>
          <w:lang w:val="en-US"/>
        </w:rPr>
        <w:t xml:space="preserve"> (Wai</w:t>
      </w:r>
      <w:r>
        <w:rPr>
          <w:rFonts w:ascii="Times New Roman" w:hAnsi="Times New Roman"/>
          <w:rtl w:val="0"/>
        </w:rPr>
        <w:t xml:space="preserve"> 663, 2014</w:t>
      </w:r>
      <w:r>
        <w:rPr>
          <w:rFonts w:ascii="Times New Roman" w:hAnsi="Times New Roman"/>
          <w:rtl w:val="0"/>
          <w:lang w:val="en-US"/>
        </w:rPr>
        <w:t xml:space="preserve">) and </w:t>
      </w:r>
      <w:r>
        <w:rPr>
          <w:rFonts w:ascii="Times New Roman" w:hAnsi="Times New Roman"/>
          <w:rtl w:val="0"/>
        </w:rPr>
        <w:t xml:space="preserve">Waitangi Tribunal </w:t>
      </w:r>
      <w:r>
        <w:rPr>
          <w:rFonts w:ascii="Times New Roman" w:hAnsi="Times New Roman"/>
          <w:i w:val="1"/>
          <w:iCs w:val="1"/>
          <w:rtl w:val="0"/>
          <w:lang w:val="en-US"/>
        </w:rPr>
        <w:t>The</w:t>
      </w:r>
      <w:r>
        <w:rPr>
          <w:rFonts w:ascii="Times New Roman" w:hAnsi="Times New Roman"/>
          <w:rtl w:val="0"/>
          <w:lang w:val="en-US"/>
        </w:rPr>
        <w:t xml:space="preserve"> </w:t>
      </w:r>
      <w:r>
        <w:rPr>
          <w:rFonts w:ascii="Times New Roman" w:hAnsi="Times New Roman"/>
          <w:i w:val="1"/>
          <w:iCs w:val="1"/>
          <w:rtl w:val="0"/>
          <w:lang w:val="en-US"/>
        </w:rPr>
        <w:t>Final Report on the Impacts of the Crown</w:t>
      </w:r>
      <w:r>
        <w:rPr>
          <w:rFonts w:ascii="Times New Roman" w:hAnsi="Times New Roman" w:hint="default"/>
          <w:i w:val="1"/>
          <w:iCs w:val="1"/>
          <w:rtl w:val="0"/>
          <w:lang w:val="en-US"/>
        </w:rPr>
        <w:t>’</w:t>
      </w:r>
      <w:r>
        <w:rPr>
          <w:rFonts w:ascii="Times New Roman" w:hAnsi="Times New Roman"/>
          <w:i w:val="1"/>
          <w:iCs w:val="1"/>
          <w:rtl w:val="0"/>
          <w:lang w:val="en-US"/>
        </w:rPr>
        <w:t xml:space="preserve">s Treaty Settlement Policies on Te Arawa Waka and Other Tribes </w:t>
      </w:r>
      <w:r>
        <w:rPr>
          <w:rFonts w:ascii="Times New Roman" w:hAnsi="Times New Roman"/>
          <w:rtl w:val="0"/>
          <w:lang w:val="en-US"/>
        </w:rPr>
        <w:t>(Wai 1385</w:t>
      </w:r>
      <w:r>
        <w:rPr>
          <w:rFonts w:ascii="Times New Roman" w:hAnsi="Times New Roman"/>
          <w:rtl w:val="0"/>
        </w:rPr>
        <w:t>, 2007</w:t>
      </w:r>
      <w:r>
        <w:rPr>
          <w:rFonts w:ascii="Times New Roman" w:hAnsi="Times New Roman"/>
          <w:rtl w:val="0"/>
          <w:lang w:val="en-US"/>
        </w:rPr>
        <w:t xml:space="preserve">). </w:t>
      </w:r>
    </w:p>
  </w:footnote>
  <w:footnote w:id="11">
    <w:p>
      <w:pPr>
        <w:pStyle w:val="footnote text"/>
      </w:pPr>
      <w:r>
        <w:rPr>
          <w:rFonts w:ascii="Times" w:cs="Times" w:hAnsi="Times" w:eastAsia="Times"/>
          <w:sz w:val="24"/>
          <w:szCs w:val="24"/>
          <w:vertAlign w:val="superscript"/>
        </w:rPr>
        <w:footnoteRef/>
      </w:r>
      <w:r>
        <w:rPr>
          <w:rFonts w:ascii="Times New Roman" w:hAnsi="Times New Roman"/>
          <w:sz w:val="20"/>
          <w:szCs w:val="20"/>
          <w:rtl w:val="0"/>
          <w:lang w:val="en-US"/>
        </w:rPr>
        <w:t xml:space="preserve"> See the case of </w:t>
      </w:r>
      <w:r>
        <w:rPr>
          <w:rFonts w:ascii="Times New Roman" w:hAnsi="Times New Roman" w:hint="default"/>
          <w:sz w:val="20"/>
          <w:szCs w:val="20"/>
          <w:rtl w:val="0"/>
          <w:lang w:val="en-US"/>
        </w:rPr>
        <w:t>Ā</w:t>
      </w:r>
      <w:r>
        <w:rPr>
          <w:rFonts w:ascii="Times New Roman" w:hAnsi="Times New Roman"/>
          <w:sz w:val="20"/>
          <w:szCs w:val="20"/>
          <w:rtl w:val="0"/>
          <w:lang w:val="en-US"/>
        </w:rPr>
        <w:t>rauk</w:t>
      </w:r>
      <w:r>
        <w:rPr>
          <w:rFonts w:ascii="Times New Roman" w:hAnsi="Times New Roman" w:hint="default"/>
          <w:sz w:val="20"/>
          <w:szCs w:val="20"/>
          <w:rtl w:val="0"/>
          <w:lang w:val="en-US"/>
        </w:rPr>
        <w:t>ū</w:t>
      </w:r>
      <w:r>
        <w:rPr>
          <w:rFonts w:ascii="Times New Roman" w:hAnsi="Times New Roman"/>
          <w:sz w:val="20"/>
          <w:szCs w:val="20"/>
          <w:rtl w:val="0"/>
          <w:lang w:val="en-US"/>
        </w:rPr>
        <w:t>k</w:t>
      </w:r>
      <w:r>
        <w:rPr>
          <w:rFonts w:ascii="Times New Roman" w:hAnsi="Times New Roman" w:hint="default"/>
          <w:sz w:val="20"/>
          <w:szCs w:val="20"/>
          <w:rtl w:val="0"/>
          <w:lang w:val="en-US"/>
        </w:rPr>
        <w:t xml:space="preserve">ū </w:t>
      </w:r>
      <w:r>
        <w:rPr>
          <w:rFonts w:ascii="Times New Roman" w:hAnsi="Times New Roman"/>
          <w:sz w:val="20"/>
          <w:szCs w:val="20"/>
          <w:rtl w:val="0"/>
          <w:lang w:val="en-US"/>
        </w:rPr>
        <w:t>who argue that their historical claims to lands are being settled without them</w:t>
      </w:r>
      <w:r>
        <w:rPr>
          <w:rFonts w:ascii="Times New Roman" w:hAnsi="Times New Roman"/>
          <w:sz w:val="20"/>
          <w:szCs w:val="20"/>
          <w:rtl w:val="0"/>
        </w:rPr>
        <w:t xml:space="preserve"> as reported by Radio New Zealand</w:t>
      </w:r>
      <w:r>
        <w:rPr>
          <w:rFonts w:ascii="Times New Roman" w:hAnsi="Times New Roman"/>
          <w:sz w:val="20"/>
          <w:szCs w:val="20"/>
          <w:rtl w:val="0"/>
          <w:lang w:val="en-US"/>
        </w:rPr>
        <w:t xml:space="preserve">  </w:t>
      </w:r>
      <w:r>
        <w:rPr>
          <w:rStyle w:val="Hyperlink.1"/>
        </w:rPr>
        <w:fldChar w:fldCharType="begin" w:fldLock="0"/>
      </w:r>
      <w:r>
        <w:rPr>
          <w:rStyle w:val="Hyperlink.1"/>
        </w:rPr>
        <w:instrText xml:space="preserve"> HYPERLINK "http://www.radionz.co.nz/news/te-manu-korihi/290034/south-taranaki-hapu-fears-losing-remaining-lands"</w:instrText>
      </w:r>
      <w:r>
        <w:rPr>
          <w:rStyle w:val="Hyperlink.1"/>
        </w:rPr>
        <w:fldChar w:fldCharType="separate" w:fldLock="0"/>
      </w:r>
      <w:r>
        <w:rPr>
          <w:rStyle w:val="Hyperlink.1"/>
          <w:rFonts w:cs="Arial Unicode MS" w:eastAsia="Arial Unicode MS"/>
          <w:rtl w:val="0"/>
        </w:rPr>
        <w:t>http://www.radionz.co.nz/news/te-manu-korihi/290034/south-taranaki-hapu-fears-losing-remaining-lands</w:t>
      </w:r>
      <w:r>
        <w:rPr/>
        <w:fldChar w:fldCharType="end" w:fldLock="0"/>
      </w:r>
      <w:r>
        <w:rPr>
          <w:rStyle w:val="None"/>
          <w:rFonts w:ascii="Times New Roman" w:hAnsi="Times New Roman"/>
          <w:color w:val="0432ff"/>
          <w:sz w:val="20"/>
          <w:szCs w:val="20"/>
          <w:rtl w:val="0"/>
          <w:lang w:val="en-US"/>
        </w:rPr>
        <w:t xml:space="preserve"> </w:t>
      </w:r>
    </w:p>
  </w:footnote>
  <w:footnote w:id="12">
    <w:p>
      <w:pPr>
        <w:pStyle w:val="footnote text"/>
      </w:pPr>
      <w:r>
        <w:rPr>
          <w:rStyle w:val="None"/>
          <w:rFonts w:ascii="Times" w:cs="Times" w:hAnsi="Times" w:eastAsia="Times"/>
          <w:sz w:val="24"/>
          <w:szCs w:val="24"/>
          <w:vertAlign w:val="superscript"/>
        </w:rPr>
        <w:footnoteRef/>
      </w:r>
      <w:r>
        <w:rPr>
          <w:rStyle w:val="None"/>
          <w:rFonts w:ascii="Times New Roman" w:hAnsi="Times New Roman"/>
          <w:sz w:val="20"/>
          <w:szCs w:val="20"/>
          <w:rtl w:val="0"/>
        </w:rPr>
        <w:t xml:space="preserve"> Radio New Zealand </w:t>
      </w:r>
      <w:r>
        <w:rPr>
          <w:rStyle w:val="Hyperlink.1"/>
        </w:rPr>
        <w:fldChar w:fldCharType="begin" w:fldLock="0"/>
      </w:r>
      <w:r>
        <w:rPr>
          <w:rStyle w:val="Hyperlink.1"/>
        </w:rPr>
        <w:instrText xml:space="preserve"> HYPERLINK "http://www.radionz.co.nz/news/regional/283623/kaitaia-airport-occupied,-flights-cancelled"</w:instrText>
      </w:r>
      <w:r>
        <w:rPr>
          <w:rStyle w:val="Hyperlink.1"/>
        </w:rPr>
        <w:fldChar w:fldCharType="separate" w:fldLock="0"/>
      </w:r>
      <w:r>
        <w:rPr>
          <w:rStyle w:val="Hyperlink.1"/>
          <w:rFonts w:cs="Arial Unicode MS" w:eastAsia="Arial Unicode MS"/>
          <w:rtl w:val="0"/>
        </w:rPr>
        <w:t>http://www.radionz.co.nz/news/regional/283623/kaitaia-airport-occupied,-flights-cancelled</w:t>
      </w:r>
      <w:r>
        <w:rPr/>
        <w:fldChar w:fldCharType="end" w:fldLock="0"/>
      </w:r>
      <w:r>
        <w:rPr>
          <w:rStyle w:val="None"/>
          <w:rFonts w:ascii="Times New Roman" w:hAnsi="Times New Roman"/>
          <w:color w:val="0432ff"/>
          <w:sz w:val="20"/>
          <w:szCs w:val="20"/>
          <w:rtl w:val="0"/>
        </w:rPr>
        <w:t xml:space="preserve"> </w:t>
      </w:r>
      <w:r>
        <w:rPr>
          <w:rStyle w:val="None"/>
          <w:rFonts w:ascii="Times New Roman" w:hAnsi="Times New Roman"/>
          <w:color w:val="0432ff"/>
          <w:sz w:val="20"/>
          <w:szCs w:val="20"/>
          <w:rtl w:val="0"/>
          <w:lang w:val="en-US"/>
        </w:rPr>
        <w:t xml:space="preserve"> </w:t>
      </w:r>
    </w:p>
  </w:footnote>
  <w:footnote w:id="13">
    <w:p>
      <w:pPr>
        <w:pStyle w:val="end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lang w:val="en-US"/>
        </w:rPr>
        <w:t xml:space="preserve">  </w:t>
      </w:r>
      <w:r>
        <w:rPr>
          <w:rStyle w:val="None"/>
          <w:rFonts w:ascii="Times New Roman" w:hAnsi="Times New Roman"/>
          <w:rtl w:val="0"/>
        </w:rPr>
        <w:t xml:space="preserve">See for example, Waitangi Tribunal </w:t>
      </w:r>
      <w:r>
        <w:rPr>
          <w:rStyle w:val="None"/>
          <w:rFonts w:ascii="Times New Roman" w:hAnsi="Times New Roman"/>
          <w:i w:val="1"/>
          <w:iCs w:val="1"/>
          <w:rtl w:val="0"/>
          <w:lang w:val="en-US"/>
        </w:rPr>
        <w:t xml:space="preserve">East Coast Settlement Report </w:t>
      </w:r>
      <w:r>
        <w:rPr>
          <w:rStyle w:val="None"/>
          <w:rFonts w:ascii="Times New Roman" w:hAnsi="Times New Roman"/>
          <w:rtl w:val="0"/>
          <w:lang w:val="en-US"/>
        </w:rPr>
        <w:t>(Wai 2190</w:t>
      </w:r>
      <w:r>
        <w:rPr>
          <w:rStyle w:val="None"/>
          <w:rFonts w:ascii="Times New Roman" w:hAnsi="Times New Roman"/>
          <w:rtl w:val="0"/>
        </w:rPr>
        <w:t>, 2010</w:t>
      </w:r>
      <w:r>
        <w:rPr>
          <w:rStyle w:val="None"/>
          <w:rFonts w:ascii="Times New Roman" w:hAnsi="Times New Roman"/>
          <w:rtl w:val="0"/>
          <w:lang w:val="en-US"/>
        </w:rPr>
        <w:t>)</w:t>
      </w:r>
      <w:r>
        <w:rPr>
          <w:rStyle w:val="None"/>
          <w:rFonts w:ascii="Times New Roman" w:hAnsi="Times New Roman"/>
          <w:rtl w:val="0"/>
        </w:rPr>
        <w:t xml:space="preserve"> and </w:t>
      </w:r>
      <w:r>
        <w:rPr>
          <w:rStyle w:val="None"/>
          <w:rFonts w:ascii="Times New Roman" w:hAnsi="Times New Roman"/>
          <w:rtl w:val="0"/>
          <w:lang w:val="en-US"/>
        </w:rPr>
        <w:t>Waitangi Tribunal</w:t>
      </w:r>
      <w:r>
        <w:rPr>
          <w:rStyle w:val="None"/>
          <w:rFonts w:ascii="Times New Roman" w:hAnsi="Times New Roman"/>
          <w:rtl w:val="0"/>
        </w:rPr>
        <w:t xml:space="preserve"> </w:t>
      </w:r>
      <w:r>
        <w:rPr>
          <w:rStyle w:val="None"/>
          <w:rFonts w:ascii="Times New Roman" w:hAnsi="Times New Roman"/>
          <w:i w:val="1"/>
          <w:iCs w:val="1"/>
          <w:rtl w:val="0"/>
          <w:lang w:val="en-US"/>
        </w:rPr>
        <w:t>T</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 xml:space="preserve">maki Makaurau Settlement Process Report </w:t>
      </w:r>
      <w:r>
        <w:rPr>
          <w:rStyle w:val="None"/>
          <w:rFonts w:ascii="Times New Roman" w:hAnsi="Times New Roman"/>
          <w:rtl w:val="0"/>
          <w:lang w:val="en-US"/>
        </w:rPr>
        <w:t>(Wai 1362</w:t>
      </w:r>
      <w:r>
        <w:rPr>
          <w:rStyle w:val="None"/>
          <w:rFonts w:ascii="Times New Roman" w:hAnsi="Times New Roman"/>
          <w:rtl w:val="0"/>
        </w:rPr>
        <w:t>, 2007</w:t>
      </w:r>
      <w:r>
        <w:rPr>
          <w:rStyle w:val="None"/>
          <w:rFonts w:ascii="Times New Roman" w:hAnsi="Times New Roman"/>
          <w:rtl w:val="0"/>
          <w:lang w:val="en-US"/>
        </w:rPr>
        <w:t>)</w:t>
      </w:r>
      <w:r>
        <w:rPr>
          <w:rStyle w:val="None"/>
          <w:rFonts w:ascii="Times New Roman" w:hAnsi="Times New Roman"/>
          <w:rtl w:val="0"/>
        </w:rPr>
        <w:t>.</w:t>
      </w:r>
    </w:p>
  </w:footnote>
  <w:footnote w:id="14">
    <w:p>
      <w:pPr>
        <w:pStyle w:val="end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lang w:val="en-US"/>
        </w:rPr>
        <w:t xml:space="preserve"> </w:t>
      </w:r>
      <w:r>
        <w:rPr>
          <w:rStyle w:val="None"/>
          <w:rFonts w:ascii="Times New Roman" w:hAnsi="Times New Roman"/>
          <w:rtl w:val="0"/>
        </w:rPr>
        <w:t xml:space="preserve">ET </w:t>
      </w:r>
      <w:r>
        <w:rPr>
          <w:rStyle w:val="None"/>
          <w:rFonts w:ascii="Times New Roman" w:hAnsi="Times New Roman"/>
          <w:rtl w:val="0"/>
          <w:lang w:val="en-US"/>
        </w:rPr>
        <w:t>Durie</w:t>
      </w:r>
      <w:r>
        <w:rPr>
          <w:rStyle w:val="None"/>
          <w:rFonts w:ascii="Times New Roman" w:hAnsi="Times New Roman" w:hint="default"/>
          <w:rtl w:val="0"/>
        </w:rPr>
        <w:t xml:space="preserve"> “</w:t>
      </w:r>
      <w:r>
        <w:rPr>
          <w:rStyle w:val="None"/>
          <w:rFonts w:ascii="Times New Roman" w:hAnsi="Times New Roman"/>
          <w:rtl w:val="0"/>
          <w:lang w:val="en-US"/>
        </w:rPr>
        <w:t>Land Claims, Treaty Claims and Self-determination</w:t>
      </w:r>
      <w:r>
        <w:rPr>
          <w:rStyle w:val="None"/>
          <w:rFonts w:ascii="Times New Roman" w:hAnsi="Times New Roman" w:hint="default"/>
          <w:rtl w:val="0"/>
        </w:rPr>
        <w:t>”</w:t>
      </w:r>
      <w:r>
        <w:rPr>
          <w:rStyle w:val="None"/>
          <w:rFonts w:ascii="Times New Roman" w:hAnsi="Times New Roman"/>
          <w:rtl w:val="0"/>
          <w:lang w:val="en-US"/>
        </w:rPr>
        <w:t xml:space="preserve"> in Selwyn Katene and Malcolm Mulholland (eds), </w:t>
      </w:r>
      <w:r>
        <w:rPr>
          <w:rStyle w:val="None"/>
          <w:rFonts w:ascii="Times New Roman" w:hAnsi="Times New Roman"/>
          <w:i w:val="1"/>
          <w:iCs w:val="1"/>
          <w:rtl w:val="0"/>
          <w:lang w:val="en-US"/>
        </w:rPr>
        <w:t>Future Challenges For M</w:t>
      </w:r>
      <w:r>
        <w:rPr>
          <w:rStyle w:val="None"/>
          <w:rFonts w:ascii="Times New Roman" w:hAnsi="Times New Roman" w:hint="default"/>
          <w:i w:val="1"/>
          <w:iCs w:val="1"/>
          <w:rtl w:val="0"/>
          <w:lang w:val="en-US"/>
        </w:rPr>
        <w:t>ā</w:t>
      </w:r>
      <w:r>
        <w:rPr>
          <w:rStyle w:val="None"/>
          <w:rFonts w:ascii="Times New Roman" w:hAnsi="Times New Roman"/>
          <w:i w:val="1"/>
          <w:iCs w:val="1"/>
          <w:rtl w:val="0"/>
          <w:lang w:val="en-US"/>
        </w:rPr>
        <w:t>ori: He K</w:t>
      </w:r>
      <w:r>
        <w:rPr>
          <w:rStyle w:val="None"/>
          <w:rFonts w:ascii="Times New Roman" w:hAnsi="Times New Roman" w:hint="default"/>
          <w:i w:val="1"/>
          <w:iCs w:val="1"/>
          <w:rtl w:val="0"/>
          <w:lang w:val="en-US"/>
        </w:rPr>
        <w:t>ō</w:t>
      </w:r>
      <w:r>
        <w:rPr>
          <w:rStyle w:val="None"/>
          <w:rFonts w:ascii="Times New Roman" w:hAnsi="Times New Roman"/>
          <w:i w:val="1"/>
          <w:iCs w:val="1"/>
          <w:rtl w:val="0"/>
          <w:lang w:val="en-US"/>
        </w:rPr>
        <w:t>rero</w:t>
      </w:r>
      <w:r>
        <w:rPr>
          <w:rStyle w:val="None"/>
          <w:rFonts w:ascii="Times New Roman" w:hAnsi="Times New Roman"/>
          <w:rtl w:val="0"/>
          <w:lang w:val="en-US"/>
        </w:rPr>
        <w:t xml:space="preserve"> </w:t>
      </w:r>
      <w:r>
        <w:rPr>
          <w:rStyle w:val="None"/>
          <w:rFonts w:ascii="Times New Roman" w:hAnsi="Times New Roman"/>
          <w:i w:val="1"/>
          <w:iCs w:val="1"/>
          <w:rtl w:val="0"/>
          <w:lang w:val="en-US"/>
        </w:rPr>
        <w:t>Anamata</w:t>
      </w:r>
      <w:r>
        <w:rPr>
          <w:rStyle w:val="None"/>
          <w:rFonts w:ascii="Times New Roman" w:hAnsi="Times New Roman"/>
          <w:rtl w:val="0"/>
          <w:lang w:val="en-US"/>
        </w:rPr>
        <w:t xml:space="preserve">, </w:t>
      </w:r>
      <w:r>
        <w:rPr>
          <w:rStyle w:val="None"/>
          <w:rFonts w:ascii="Times New Roman" w:hAnsi="Times New Roman"/>
          <w:rtl w:val="0"/>
        </w:rPr>
        <w:t xml:space="preserve">(Huia Publishers, Wellington, 2013) at </w:t>
      </w:r>
      <w:r>
        <w:rPr>
          <w:rStyle w:val="None"/>
          <w:rFonts w:ascii="Times New Roman" w:hAnsi="Times New Roman"/>
          <w:rtl w:val="0"/>
          <w:lang w:val="en-US"/>
        </w:rPr>
        <w:t>37.</w:t>
      </w:r>
    </w:p>
  </w:footnote>
  <w:footnote w:id="15">
    <w:p>
      <w:pPr>
        <w:pStyle w:val="end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lang w:val="en-US"/>
        </w:rPr>
        <w:t xml:space="preserve"> </w:t>
      </w:r>
      <w:r>
        <w:rPr>
          <w:rStyle w:val="None"/>
          <w:rFonts w:ascii="Times New Roman" w:hAnsi="Times New Roman"/>
          <w:rtl w:val="0"/>
        </w:rPr>
        <w:t xml:space="preserve">B </w:t>
      </w:r>
      <w:r>
        <w:rPr>
          <w:rStyle w:val="None"/>
          <w:rFonts w:ascii="Times New Roman" w:hAnsi="Times New Roman"/>
          <w:rtl w:val="0"/>
          <w:lang w:val="en-US"/>
        </w:rPr>
        <w:t xml:space="preserve">Vertongen </w:t>
      </w:r>
      <w:r>
        <w:rPr>
          <w:rStyle w:val="None"/>
          <w:rFonts w:ascii="Times New Roman" w:hAnsi="Times New Roman" w:hint="default"/>
          <w:rtl w:val="0"/>
        </w:rPr>
        <w:t>“</w:t>
      </w:r>
      <w:r>
        <w:rPr>
          <w:rStyle w:val="None"/>
          <w:rFonts w:ascii="Times New Roman" w:hAnsi="Times New Roman"/>
          <w:rtl w:val="0"/>
          <w:lang w:val="en-US"/>
        </w:rPr>
        <w:t>Legal Challenges to the Treaty Settlement Process</w:t>
      </w:r>
      <w:r>
        <w:rPr>
          <w:rStyle w:val="None"/>
          <w:rFonts w:ascii="Times New Roman" w:hAnsi="Times New Roman" w:hint="default"/>
          <w:rtl w:val="0"/>
        </w:rPr>
        <w:t>”</w:t>
      </w:r>
      <w:r>
        <w:rPr>
          <w:rStyle w:val="None"/>
          <w:rFonts w:ascii="Times New Roman" w:hAnsi="Times New Roman"/>
          <w:rtl w:val="0"/>
          <w:lang w:val="en-US"/>
        </w:rPr>
        <w:t xml:space="preserve"> in </w:t>
      </w:r>
      <w:r>
        <w:rPr>
          <w:rStyle w:val="None"/>
          <w:rFonts w:ascii="Times New Roman" w:hAnsi="Times New Roman"/>
          <w:rtl w:val="0"/>
        </w:rPr>
        <w:t xml:space="preserve">N </w:t>
      </w:r>
      <w:r>
        <w:rPr>
          <w:rStyle w:val="None"/>
          <w:rFonts w:ascii="Times New Roman" w:hAnsi="Times New Roman"/>
          <w:rtl w:val="0"/>
          <w:lang w:val="en-US"/>
        </w:rPr>
        <w:t xml:space="preserve">Wheen &amp; </w:t>
      </w:r>
      <w:r>
        <w:rPr>
          <w:rStyle w:val="None"/>
          <w:rFonts w:ascii="Times New Roman" w:hAnsi="Times New Roman"/>
          <w:rtl w:val="0"/>
        </w:rPr>
        <w:t xml:space="preserve">J </w:t>
      </w:r>
      <w:r>
        <w:rPr>
          <w:rStyle w:val="None"/>
          <w:rFonts w:ascii="Times New Roman" w:hAnsi="Times New Roman"/>
          <w:rtl w:val="0"/>
          <w:lang w:val="en-US"/>
        </w:rPr>
        <w:t>Haywood</w:t>
      </w:r>
      <w:r>
        <w:rPr>
          <w:rStyle w:val="None"/>
          <w:rFonts w:ascii="Times New Roman" w:hAnsi="Times New Roman"/>
          <w:rtl w:val="0"/>
        </w:rPr>
        <w:t xml:space="preserve"> (eds)</w:t>
      </w:r>
      <w:r>
        <w:rPr>
          <w:rStyle w:val="None"/>
          <w:rFonts w:ascii="Times New Roman" w:hAnsi="Times New Roman"/>
          <w:rtl w:val="0"/>
          <w:lang w:val="en-US"/>
        </w:rPr>
        <w:t xml:space="preserve"> </w:t>
      </w:r>
      <w:r>
        <w:rPr>
          <w:rStyle w:val="None"/>
          <w:rFonts w:ascii="Times New Roman" w:hAnsi="Times New Roman"/>
          <w:i w:val="1"/>
          <w:iCs w:val="1"/>
          <w:rtl w:val="0"/>
          <w:lang w:val="en-US"/>
        </w:rPr>
        <w:t>Treaty of Waitangi Settlements</w:t>
      </w:r>
      <w:r>
        <w:rPr>
          <w:rStyle w:val="None"/>
          <w:rFonts w:ascii="Times New Roman" w:hAnsi="Times New Roman"/>
          <w:i w:val="1"/>
          <w:iCs w:val="1"/>
          <w:rtl w:val="0"/>
        </w:rPr>
        <w:t xml:space="preserve"> </w:t>
      </w:r>
      <w:r>
        <w:rPr>
          <w:rStyle w:val="None"/>
          <w:rFonts w:ascii="Times New Roman" w:hAnsi="Times New Roman"/>
          <w:rtl w:val="0"/>
        </w:rPr>
        <w:t xml:space="preserve">(Bridget Williams Books and New Zealand Law Foundation, Wellington, 2010) at </w:t>
      </w:r>
      <w:r>
        <w:rPr>
          <w:rStyle w:val="None"/>
          <w:rFonts w:ascii="Times New Roman" w:hAnsi="Times New Roman"/>
          <w:rtl w:val="0"/>
          <w:lang w:val="en-US"/>
        </w:rPr>
        <w:t>65</w:t>
      </w:r>
      <w:r>
        <w:rPr>
          <w:rStyle w:val="None"/>
          <w:rFonts w:ascii="Times New Roman" w:hAnsi="Times New Roman"/>
          <w:rtl w:val="0"/>
        </w:rPr>
        <w:t xml:space="preserve"> and</w:t>
      </w:r>
      <w:r>
        <w:rPr>
          <w:rStyle w:val="None"/>
          <w:rFonts w:ascii="Times New Roman" w:hAnsi="Times New Roman"/>
          <w:rtl w:val="0"/>
          <w:lang w:val="en-US"/>
        </w:rPr>
        <w:t xml:space="preserve"> </w:t>
      </w:r>
      <w:r>
        <w:rPr>
          <w:rStyle w:val="None"/>
          <w:rFonts w:ascii="Times New Roman" w:hAnsi="Times New Roman"/>
          <w:rtl w:val="0"/>
        </w:rPr>
        <w:t xml:space="preserve">DV </w:t>
      </w:r>
      <w:r>
        <w:rPr>
          <w:rStyle w:val="None"/>
          <w:rFonts w:ascii="Times New Roman" w:hAnsi="Times New Roman"/>
          <w:rtl w:val="0"/>
          <w:lang w:val="en-US"/>
        </w:rPr>
        <w:t xml:space="preserve">Williams, </w:t>
      </w:r>
      <w:r>
        <w:rPr>
          <w:rStyle w:val="None"/>
          <w:rFonts w:ascii="Times New Roman" w:hAnsi="Times New Roman" w:hint="default"/>
          <w:rtl w:val="0"/>
        </w:rPr>
        <w:t>“</w:t>
      </w:r>
      <w:r>
        <w:rPr>
          <w:rStyle w:val="None"/>
          <w:rFonts w:ascii="Times New Roman" w:hAnsi="Times New Roman"/>
          <w:rtl w:val="0"/>
          <w:lang w:val="en-US"/>
        </w:rPr>
        <w:t>Supreme Court orders Waitangi Tribunal to consider making binding orders for return of land</w:t>
      </w:r>
      <w:r>
        <w:rPr>
          <w:rStyle w:val="None"/>
          <w:rFonts w:ascii="Times New Roman" w:hAnsi="Times New Roman" w:hint="default"/>
          <w:rtl w:val="0"/>
        </w:rPr>
        <w:t>”</w:t>
      </w:r>
      <w:r>
        <w:rPr>
          <w:rStyle w:val="None"/>
          <w:rFonts w:ascii="Times New Roman" w:hAnsi="Times New Roman"/>
          <w:rtl w:val="0"/>
          <w:lang w:val="en-US"/>
        </w:rPr>
        <w:t xml:space="preserve"> in </w:t>
      </w:r>
      <w:r>
        <w:rPr>
          <w:rStyle w:val="None"/>
          <w:rFonts w:ascii="Times New Roman" w:hAnsi="Times New Roman"/>
          <w:i w:val="1"/>
          <w:iCs w:val="1"/>
          <w:rtl w:val="0"/>
          <w:lang w:val="en-US"/>
        </w:rPr>
        <w:t>Public Law</w:t>
      </w:r>
      <w:r>
        <w:rPr>
          <w:rStyle w:val="None"/>
          <w:rFonts w:ascii="Times New Roman" w:hAnsi="Times New Roman"/>
          <w:rtl w:val="0"/>
          <w:lang w:val="en-US"/>
        </w:rPr>
        <w:t xml:space="preserve"> (January 2012)</w:t>
      </w:r>
      <w:r>
        <w:rPr>
          <w:rStyle w:val="None"/>
          <w:rFonts w:ascii="Times New Roman" w:hAnsi="Times New Roman"/>
          <w:rtl w:val="0"/>
        </w:rPr>
        <w:t xml:space="preserve"> at </w:t>
      </w:r>
      <w:r>
        <w:rPr>
          <w:rStyle w:val="None"/>
          <w:rFonts w:ascii="Times New Roman" w:hAnsi="Times New Roman"/>
          <w:rtl w:val="0"/>
          <w:lang w:val="en-US"/>
        </w:rPr>
        <w:t>140.</w:t>
      </w:r>
    </w:p>
  </w:footnote>
  <w:footnote w:id="16">
    <w:p>
      <w:pPr>
        <w:pStyle w:val="foot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rPr>
        <w:t xml:space="preserve">Committee on Human Rights </w:t>
      </w:r>
      <w:r>
        <w:rPr>
          <w:rStyle w:val="None"/>
          <w:rFonts w:ascii="Times New Roman" w:hAnsi="Times New Roman"/>
          <w:i w:val="1"/>
          <w:iCs w:val="1"/>
          <w:sz w:val="20"/>
          <w:szCs w:val="20"/>
          <w:rtl w:val="0"/>
          <w:lang w:val="en-US"/>
        </w:rPr>
        <w:t>Concluding observations of the Human Rights Committee</w:t>
      </w:r>
      <w:r>
        <w:rPr>
          <w:rStyle w:val="None"/>
          <w:rFonts w:ascii="Times New Roman" w:hAnsi="Times New Roman"/>
          <w:i w:val="1"/>
          <w:iCs w:val="1"/>
          <w:sz w:val="20"/>
          <w:szCs w:val="20"/>
          <w:rtl w:val="0"/>
        </w:rPr>
        <w:t>: New Zealand</w:t>
      </w:r>
      <w:r>
        <w:rPr>
          <w:rStyle w:val="None"/>
          <w:rFonts w:ascii="Times New Roman" w:hAnsi="Times New Roman"/>
          <w:sz w:val="20"/>
          <w:szCs w:val="20"/>
          <w:rtl w:val="0"/>
          <w:lang w:val="en-US"/>
        </w:rPr>
        <w:t xml:space="preserve"> 98th session CCPR/C/NZL/CO/5 </w:t>
      </w:r>
      <w:r>
        <w:rPr>
          <w:rStyle w:val="None"/>
          <w:rFonts w:ascii="Times New Roman" w:hAnsi="Times New Roman"/>
          <w:sz w:val="20"/>
          <w:szCs w:val="20"/>
          <w:rtl w:val="0"/>
        </w:rPr>
        <w:t xml:space="preserve">(2010) </w:t>
      </w:r>
      <w:r>
        <w:rPr>
          <w:rStyle w:val="None"/>
          <w:rFonts w:ascii="Times New Roman" w:hAnsi="Times New Roman"/>
          <w:sz w:val="20"/>
          <w:szCs w:val="20"/>
          <w:rtl w:val="0"/>
          <w:lang w:val="en-US"/>
        </w:rPr>
        <w:t>para 21.</w:t>
      </w:r>
    </w:p>
  </w:footnote>
  <w:footnote w:id="17">
    <w:p>
      <w:pPr>
        <w:pStyle w:val="foot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rPr>
        <w:t xml:space="preserve">Committee on Economic, Social and Cultural Rights </w:t>
      </w:r>
      <w:r>
        <w:rPr>
          <w:rStyle w:val="None"/>
          <w:rFonts w:ascii="Times New Roman" w:hAnsi="Times New Roman"/>
          <w:i w:val="1"/>
          <w:iCs w:val="1"/>
          <w:sz w:val="20"/>
          <w:szCs w:val="20"/>
          <w:rtl w:val="0"/>
          <w:lang w:val="en-US"/>
        </w:rPr>
        <w:t>Concluding observations of the Committee on Economic, Social and Cultural Rights</w:t>
      </w:r>
      <w:r>
        <w:rPr>
          <w:rStyle w:val="None"/>
          <w:rFonts w:ascii="Times New Roman" w:hAnsi="Times New Roman"/>
          <w:i w:val="1"/>
          <w:iCs w:val="1"/>
          <w:sz w:val="20"/>
          <w:szCs w:val="20"/>
          <w:rtl w:val="0"/>
        </w:rPr>
        <w:t>:</w:t>
      </w:r>
      <w:r>
        <w:rPr>
          <w:rStyle w:val="None"/>
          <w:rFonts w:ascii="Times New Roman" w:hAnsi="Times New Roman"/>
          <w:i w:val="1"/>
          <w:iCs w:val="1"/>
          <w:sz w:val="20"/>
          <w:szCs w:val="20"/>
          <w:rtl w:val="0"/>
          <w:lang w:val="en-US"/>
        </w:rPr>
        <w:t xml:space="preserve"> New Zealand</w:t>
      </w:r>
      <w:r>
        <w:rPr>
          <w:rStyle w:val="None"/>
          <w:rFonts w:ascii="Times New Roman" w:hAnsi="Times New Roman"/>
          <w:sz w:val="20"/>
          <w:szCs w:val="20"/>
          <w:rtl w:val="0"/>
          <w:lang w:val="en-US"/>
        </w:rPr>
        <w:t xml:space="preserve"> 48th session E/C.12/NZL/CO/3 </w:t>
      </w:r>
      <w:r>
        <w:rPr>
          <w:rStyle w:val="None"/>
          <w:rFonts w:ascii="Times New Roman" w:hAnsi="Times New Roman"/>
          <w:sz w:val="20"/>
          <w:szCs w:val="20"/>
          <w:rtl w:val="0"/>
        </w:rPr>
        <w:t xml:space="preserve">(2012) </w:t>
      </w:r>
      <w:r>
        <w:rPr>
          <w:rStyle w:val="None"/>
          <w:rFonts w:ascii="Times New Roman" w:hAnsi="Times New Roman"/>
          <w:sz w:val="20"/>
          <w:szCs w:val="20"/>
          <w:rtl w:val="0"/>
          <w:lang w:val="en-US"/>
        </w:rPr>
        <w:t>para 11.</w:t>
      </w:r>
    </w:p>
  </w:footnote>
  <w:footnote w:id="18">
    <w:p>
      <w:pPr>
        <w:pStyle w:val="endnote text"/>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lang w:val="en-US"/>
        </w:rPr>
        <w:t xml:space="preserve"> </w:t>
      </w:r>
      <w:r>
        <w:rPr>
          <w:rStyle w:val="None"/>
          <w:rFonts w:ascii="Times New Roman" w:hAnsi="Times New Roman"/>
          <w:rtl w:val="0"/>
        </w:rPr>
        <w:t>Above n 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1">
    <w:name w:val="Hyperlink.1"/>
    <w:basedOn w:val="None"/>
    <w:next w:val="Hyperlink.1"/>
    <w:rPr>
      <w:rFonts w:ascii="Times New Roman" w:cs="Times New Roman" w:hAnsi="Times New Roman" w:eastAsia="Times New Roman"/>
      <w:color w:val="0432ff"/>
      <w:sz w:val="20"/>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D437C-9657-4103-B317-39CD8F4FD8E1}"/>
</file>

<file path=customXml/itemProps2.xml><?xml version="1.0" encoding="utf-8"?>
<ds:datastoreItem xmlns:ds="http://schemas.openxmlformats.org/officeDocument/2006/customXml" ds:itemID="{92C40438-D631-4FE0-99EC-64046E5D41D7}"/>
</file>

<file path=customXml/itemProps3.xml><?xml version="1.0" encoding="utf-8"?>
<ds:datastoreItem xmlns:ds="http://schemas.openxmlformats.org/officeDocument/2006/customXml" ds:itemID="{B9050740-9FE3-48E8-8EE5-6C9E9B930CC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