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BE2" w:rsidRPr="003656C6" w:rsidRDefault="003B0BE2" w:rsidP="003B0BE2">
      <w:pPr>
        <w:pStyle w:val="Default"/>
        <w:jc w:val="center"/>
        <w:rPr>
          <w:rFonts w:asciiTheme="minorHAnsi" w:hAnsiTheme="minorHAnsi"/>
          <w:b/>
          <w:bCs/>
          <w:color w:val="002060"/>
          <w:sz w:val="40"/>
          <w:szCs w:val="40"/>
        </w:rPr>
      </w:pPr>
      <w:r w:rsidRPr="003656C6">
        <w:rPr>
          <w:rFonts w:asciiTheme="minorHAnsi" w:hAnsiTheme="minorHAnsi"/>
          <w:b/>
          <w:bCs/>
          <w:color w:val="002060"/>
          <w:sz w:val="40"/>
          <w:szCs w:val="40"/>
        </w:rPr>
        <w:t>Initiative d’Opposition contre le Discours Extrémiste</w:t>
      </w:r>
    </w:p>
    <w:p w:rsidR="003B0BE2" w:rsidRPr="003656C6" w:rsidRDefault="003B0BE2" w:rsidP="003B0BE2">
      <w:pPr>
        <w:pStyle w:val="Default"/>
        <w:jc w:val="center"/>
        <w:rPr>
          <w:rFonts w:asciiTheme="minorHAnsi" w:hAnsiTheme="minorHAnsi"/>
          <w:b/>
          <w:bCs/>
          <w:color w:val="002060"/>
          <w:sz w:val="40"/>
          <w:szCs w:val="40"/>
        </w:rPr>
      </w:pPr>
      <w:r w:rsidRPr="003656C6">
        <w:rPr>
          <w:rFonts w:asciiTheme="minorHAnsi" w:hAnsiTheme="minorHAnsi"/>
          <w:b/>
          <w:bCs/>
          <w:color w:val="002060"/>
          <w:sz w:val="40"/>
          <w:szCs w:val="40"/>
        </w:rPr>
        <w:t>IODE</w:t>
      </w:r>
    </w:p>
    <w:p w:rsidR="003B0BE2" w:rsidRPr="003656C6" w:rsidRDefault="003B0BE2" w:rsidP="003B0BE2">
      <w:pPr>
        <w:pStyle w:val="Default"/>
        <w:jc w:val="center"/>
        <w:rPr>
          <w:rFonts w:asciiTheme="minorHAnsi" w:hAnsiTheme="minorHAnsi"/>
          <w:i/>
          <w:iCs/>
          <w:color w:val="632423" w:themeColor="accent2" w:themeShade="80"/>
          <w:sz w:val="28"/>
          <w:szCs w:val="28"/>
        </w:rPr>
      </w:pPr>
      <w:r w:rsidRPr="003656C6">
        <w:rPr>
          <w:rFonts w:asciiTheme="minorHAnsi" w:hAnsiTheme="minorHAnsi"/>
          <w:i/>
          <w:iCs/>
          <w:color w:val="632423" w:themeColor="accent2" w:themeShade="80"/>
          <w:sz w:val="28"/>
          <w:szCs w:val="28"/>
        </w:rPr>
        <w:t>ONG dotée du Statut Conseil Consultatif Auprès du Conseil Economique</w:t>
      </w:r>
    </w:p>
    <w:p w:rsidR="009203D4" w:rsidRPr="003656C6" w:rsidRDefault="003B0BE2" w:rsidP="003B0BE2">
      <w:pPr>
        <w:pStyle w:val="Default"/>
        <w:jc w:val="center"/>
        <w:rPr>
          <w:i/>
          <w:iCs/>
          <w:color w:val="632423" w:themeColor="accent2" w:themeShade="80"/>
          <w:sz w:val="40"/>
          <w:szCs w:val="40"/>
        </w:rPr>
      </w:pPr>
      <w:r w:rsidRPr="003656C6">
        <w:rPr>
          <w:rFonts w:asciiTheme="minorHAnsi" w:hAnsiTheme="minorHAnsi"/>
          <w:i/>
          <w:iCs/>
          <w:color w:val="632423" w:themeColor="accent2" w:themeShade="80"/>
          <w:sz w:val="28"/>
          <w:szCs w:val="28"/>
        </w:rPr>
        <w:t xml:space="preserve"> </w:t>
      </w:r>
      <w:proofErr w:type="gramStart"/>
      <w:r w:rsidRPr="003656C6">
        <w:rPr>
          <w:rFonts w:asciiTheme="minorHAnsi" w:hAnsiTheme="minorHAnsi"/>
          <w:i/>
          <w:iCs/>
          <w:color w:val="632423" w:themeColor="accent2" w:themeShade="80"/>
          <w:sz w:val="28"/>
          <w:szCs w:val="28"/>
        </w:rPr>
        <w:t>et</w:t>
      </w:r>
      <w:proofErr w:type="gramEnd"/>
      <w:r w:rsidRPr="003656C6">
        <w:rPr>
          <w:rFonts w:asciiTheme="minorHAnsi" w:hAnsiTheme="minorHAnsi"/>
          <w:i/>
          <w:iCs/>
          <w:color w:val="632423" w:themeColor="accent2" w:themeShade="80"/>
          <w:sz w:val="28"/>
          <w:szCs w:val="28"/>
        </w:rPr>
        <w:t xml:space="preserve"> Social des Nations Unies (ECOSOC/NU)</w:t>
      </w:r>
    </w:p>
    <w:p w:rsidR="009203D4" w:rsidRPr="003B0BE2" w:rsidRDefault="009203D4" w:rsidP="009203D4">
      <w:pPr>
        <w:pStyle w:val="Default"/>
        <w:jc w:val="both"/>
        <w:rPr>
          <w:b/>
          <w:bCs/>
          <w:color w:val="auto"/>
          <w:sz w:val="40"/>
          <w:szCs w:val="40"/>
        </w:rPr>
      </w:pPr>
    </w:p>
    <w:p w:rsidR="009203D4" w:rsidRPr="003B0BE2" w:rsidRDefault="009203D4" w:rsidP="009203D4">
      <w:pPr>
        <w:pStyle w:val="Default"/>
        <w:jc w:val="both"/>
        <w:rPr>
          <w:b/>
          <w:bCs/>
          <w:color w:val="auto"/>
          <w:sz w:val="40"/>
          <w:szCs w:val="40"/>
        </w:rPr>
      </w:pPr>
    </w:p>
    <w:p w:rsidR="009203D4" w:rsidRPr="003B0BE2" w:rsidRDefault="009203D4" w:rsidP="009203D4">
      <w:pPr>
        <w:pStyle w:val="Default"/>
        <w:jc w:val="both"/>
        <w:rPr>
          <w:b/>
          <w:bCs/>
          <w:color w:val="auto"/>
          <w:sz w:val="40"/>
          <w:szCs w:val="40"/>
        </w:rPr>
      </w:pPr>
    </w:p>
    <w:p w:rsidR="009203D4" w:rsidRPr="003B0BE2" w:rsidRDefault="009203D4" w:rsidP="009203D4">
      <w:pPr>
        <w:pStyle w:val="Default"/>
        <w:jc w:val="both"/>
        <w:rPr>
          <w:b/>
          <w:bCs/>
          <w:color w:val="auto"/>
          <w:sz w:val="40"/>
          <w:szCs w:val="40"/>
        </w:rPr>
      </w:pPr>
    </w:p>
    <w:p w:rsidR="009203D4" w:rsidRPr="003B0BE2" w:rsidRDefault="003B0BE2" w:rsidP="009203D4">
      <w:pPr>
        <w:pStyle w:val="Default"/>
        <w:jc w:val="both"/>
        <w:rPr>
          <w:b/>
          <w:bCs/>
          <w:color w:val="auto"/>
          <w:sz w:val="40"/>
          <w:szCs w:val="40"/>
        </w:rPr>
      </w:pPr>
      <w:r>
        <w:rPr>
          <w:b/>
          <w:bCs/>
          <w:noProof/>
          <w:color w:val="auto"/>
          <w:sz w:val="40"/>
          <w:szCs w:val="40"/>
          <w:lang w:eastAsia="fr-FR"/>
        </w:rPr>
        <w:pict>
          <v:roundrect id="_x0000_s1026" style="position:absolute;left:0;text-align:left;margin-left:13.9pt;margin-top:14.4pt;width:443.25pt;height:86.15pt;z-index:251658240" arcsize="10923f" fillcolor="white [3201]" strokecolor="#92cddc [1944]" strokeweight="1pt">
            <v:fill color2="#b6dde8 [1304]" focusposition="1" focussize="" focus="100%" type="gradient"/>
            <v:shadow on="t" type="perspective" color="#205867 [1608]" opacity=".5" offset="1pt" offset2="-3pt"/>
            <v:textbox>
              <w:txbxContent>
                <w:p w:rsidR="003B0BE2" w:rsidRPr="003656C6" w:rsidRDefault="003B0BE2" w:rsidP="003656C6">
                  <w:pPr>
                    <w:jc w:val="both"/>
                    <w:rPr>
                      <w:color w:val="002060"/>
                      <w:sz w:val="36"/>
                      <w:szCs w:val="36"/>
                    </w:rPr>
                  </w:pPr>
                  <w:r w:rsidRPr="003656C6">
                    <w:rPr>
                      <w:rFonts w:asciiTheme="minorHAnsi" w:hAnsiTheme="minorHAnsi"/>
                      <w:b/>
                      <w:bCs/>
                      <w:color w:val="002060"/>
                      <w:sz w:val="36"/>
                      <w:szCs w:val="36"/>
                    </w:rPr>
                    <w:t>Rapport alternatif devant la 126</w:t>
                  </w:r>
                  <w:r w:rsidRPr="003656C6">
                    <w:rPr>
                      <w:rFonts w:asciiTheme="minorHAnsi" w:hAnsiTheme="minorHAnsi"/>
                      <w:b/>
                      <w:bCs/>
                      <w:color w:val="002060"/>
                      <w:sz w:val="36"/>
                      <w:szCs w:val="36"/>
                      <w:vertAlign w:val="superscript"/>
                    </w:rPr>
                    <w:t>ème</w:t>
                  </w:r>
                  <w:r w:rsidRPr="003656C6">
                    <w:rPr>
                      <w:rFonts w:asciiTheme="minorHAnsi" w:hAnsiTheme="minorHAnsi"/>
                      <w:b/>
                      <w:bCs/>
                      <w:color w:val="002060"/>
                      <w:sz w:val="36"/>
                      <w:szCs w:val="36"/>
                    </w:rPr>
                    <w:t xml:space="preserve"> session du Comité des Droits de l’Homme prévue du 1</w:t>
                  </w:r>
                  <w:r w:rsidRPr="003656C6">
                    <w:rPr>
                      <w:rFonts w:asciiTheme="minorHAnsi" w:hAnsiTheme="minorHAnsi"/>
                      <w:b/>
                      <w:bCs/>
                      <w:color w:val="002060"/>
                      <w:sz w:val="36"/>
                      <w:szCs w:val="36"/>
                      <w:vertAlign w:val="superscript"/>
                    </w:rPr>
                    <w:t>er</w:t>
                  </w:r>
                  <w:r w:rsidRPr="003656C6">
                    <w:rPr>
                      <w:rFonts w:asciiTheme="minorHAnsi" w:hAnsiTheme="minorHAnsi"/>
                      <w:b/>
                      <w:bCs/>
                      <w:color w:val="002060"/>
                      <w:sz w:val="36"/>
                      <w:szCs w:val="36"/>
                    </w:rPr>
                    <w:t xml:space="preserve"> au 26 Juillet 2019 au Palais de Wilson à Genève</w:t>
                  </w:r>
                  <w:r w:rsidR="003656C6" w:rsidRPr="003656C6">
                    <w:rPr>
                      <w:rFonts w:asciiTheme="minorHAnsi" w:hAnsiTheme="minorHAnsi"/>
                      <w:b/>
                      <w:bCs/>
                      <w:color w:val="002060"/>
                      <w:sz w:val="36"/>
                      <w:szCs w:val="36"/>
                    </w:rPr>
                    <w:t>.</w:t>
                  </w:r>
                </w:p>
              </w:txbxContent>
            </v:textbox>
          </v:roundrect>
        </w:pict>
      </w:r>
    </w:p>
    <w:p w:rsidR="009203D4" w:rsidRPr="003B0BE2" w:rsidRDefault="009203D4" w:rsidP="009203D4">
      <w:pPr>
        <w:pStyle w:val="Default"/>
        <w:jc w:val="both"/>
        <w:rPr>
          <w:b/>
          <w:bCs/>
          <w:color w:val="auto"/>
          <w:sz w:val="40"/>
          <w:szCs w:val="40"/>
        </w:rPr>
      </w:pPr>
    </w:p>
    <w:p w:rsidR="009203D4" w:rsidRPr="003B0BE2" w:rsidRDefault="009203D4" w:rsidP="009203D4">
      <w:pPr>
        <w:pStyle w:val="Default"/>
        <w:jc w:val="both"/>
        <w:rPr>
          <w:b/>
          <w:bCs/>
          <w:color w:val="auto"/>
          <w:sz w:val="40"/>
          <w:szCs w:val="40"/>
        </w:rPr>
      </w:pPr>
    </w:p>
    <w:p w:rsidR="009203D4" w:rsidRPr="003B0BE2" w:rsidRDefault="009203D4" w:rsidP="00214239">
      <w:pPr>
        <w:pStyle w:val="Default"/>
        <w:jc w:val="both"/>
        <w:rPr>
          <w:rFonts w:asciiTheme="minorHAnsi" w:hAnsiTheme="minorHAnsi"/>
          <w:color w:val="auto"/>
          <w:sz w:val="28"/>
          <w:szCs w:val="28"/>
        </w:rPr>
      </w:pPr>
    </w:p>
    <w:p w:rsidR="009203D4" w:rsidRPr="003B0BE2" w:rsidRDefault="009203D4" w:rsidP="009203D4">
      <w:pPr>
        <w:pStyle w:val="Default"/>
        <w:rPr>
          <w:color w:val="auto"/>
          <w:sz w:val="32"/>
          <w:szCs w:val="32"/>
        </w:rPr>
      </w:pPr>
    </w:p>
    <w:p w:rsidR="00254C26" w:rsidRPr="003B0BE2" w:rsidRDefault="00254C26" w:rsidP="009203D4">
      <w:pPr>
        <w:pStyle w:val="Default"/>
        <w:rPr>
          <w:color w:val="auto"/>
          <w:sz w:val="32"/>
          <w:szCs w:val="32"/>
        </w:rPr>
      </w:pPr>
    </w:p>
    <w:p w:rsidR="00254C26" w:rsidRPr="003B0BE2" w:rsidRDefault="00254C26" w:rsidP="009203D4">
      <w:pPr>
        <w:pStyle w:val="Default"/>
        <w:rPr>
          <w:color w:val="auto"/>
          <w:sz w:val="32"/>
          <w:szCs w:val="32"/>
        </w:rPr>
      </w:pPr>
    </w:p>
    <w:p w:rsidR="00254C26" w:rsidRPr="003B0BE2" w:rsidRDefault="00254C26" w:rsidP="009203D4">
      <w:pPr>
        <w:pStyle w:val="Default"/>
        <w:rPr>
          <w:color w:val="auto"/>
          <w:sz w:val="32"/>
          <w:szCs w:val="32"/>
        </w:rPr>
      </w:pPr>
    </w:p>
    <w:p w:rsidR="00254C26" w:rsidRPr="003B0BE2" w:rsidRDefault="00254C26" w:rsidP="009203D4">
      <w:pPr>
        <w:pStyle w:val="Default"/>
        <w:rPr>
          <w:color w:val="auto"/>
          <w:sz w:val="32"/>
          <w:szCs w:val="32"/>
        </w:rPr>
      </w:pPr>
    </w:p>
    <w:p w:rsidR="00254C26" w:rsidRPr="003B0BE2" w:rsidRDefault="00254C26" w:rsidP="009203D4">
      <w:pPr>
        <w:pStyle w:val="Default"/>
        <w:rPr>
          <w:color w:val="auto"/>
          <w:sz w:val="32"/>
          <w:szCs w:val="32"/>
        </w:rPr>
      </w:pPr>
    </w:p>
    <w:p w:rsidR="00254C26" w:rsidRPr="003B0BE2" w:rsidRDefault="00254C26" w:rsidP="009203D4">
      <w:pPr>
        <w:pStyle w:val="Default"/>
        <w:rPr>
          <w:color w:val="auto"/>
          <w:sz w:val="32"/>
          <w:szCs w:val="32"/>
        </w:rPr>
      </w:pPr>
    </w:p>
    <w:p w:rsidR="00254C26" w:rsidRPr="003B0BE2" w:rsidRDefault="00254C26" w:rsidP="009203D4">
      <w:pPr>
        <w:pStyle w:val="Default"/>
        <w:rPr>
          <w:color w:val="auto"/>
          <w:sz w:val="32"/>
          <w:szCs w:val="32"/>
        </w:rPr>
      </w:pPr>
    </w:p>
    <w:p w:rsidR="00254C26" w:rsidRPr="003B0BE2" w:rsidRDefault="00254C26" w:rsidP="009203D4">
      <w:pPr>
        <w:pStyle w:val="Default"/>
        <w:rPr>
          <w:color w:val="auto"/>
          <w:sz w:val="32"/>
          <w:szCs w:val="32"/>
        </w:rPr>
      </w:pPr>
    </w:p>
    <w:p w:rsidR="00254C26" w:rsidRPr="003B0BE2" w:rsidRDefault="00254C26" w:rsidP="009203D4">
      <w:pPr>
        <w:pStyle w:val="Default"/>
        <w:rPr>
          <w:color w:val="auto"/>
          <w:sz w:val="32"/>
          <w:szCs w:val="32"/>
        </w:rPr>
      </w:pPr>
    </w:p>
    <w:p w:rsidR="00254C26" w:rsidRPr="003B0BE2" w:rsidRDefault="00254C26" w:rsidP="009203D4">
      <w:pPr>
        <w:pStyle w:val="Default"/>
        <w:rPr>
          <w:color w:val="auto"/>
          <w:sz w:val="32"/>
          <w:szCs w:val="32"/>
        </w:rPr>
      </w:pPr>
    </w:p>
    <w:p w:rsidR="00254C26" w:rsidRPr="003B0BE2" w:rsidRDefault="00254C26" w:rsidP="009203D4">
      <w:pPr>
        <w:pStyle w:val="Default"/>
        <w:rPr>
          <w:color w:val="auto"/>
          <w:sz w:val="32"/>
          <w:szCs w:val="32"/>
        </w:rPr>
      </w:pPr>
    </w:p>
    <w:p w:rsidR="00254C26" w:rsidRPr="003B0BE2" w:rsidRDefault="00254C26" w:rsidP="009203D4">
      <w:pPr>
        <w:pStyle w:val="Default"/>
        <w:rPr>
          <w:b/>
          <w:bCs/>
          <w:color w:val="auto"/>
          <w:sz w:val="32"/>
          <w:szCs w:val="32"/>
        </w:rPr>
      </w:pPr>
    </w:p>
    <w:p w:rsidR="009203D4" w:rsidRPr="003B0BE2" w:rsidRDefault="00254C26" w:rsidP="00254C26">
      <w:pPr>
        <w:pStyle w:val="Default"/>
        <w:jc w:val="center"/>
        <w:rPr>
          <w:rFonts w:cstheme="minorBidi"/>
          <w:b/>
          <w:bCs/>
          <w:color w:val="auto"/>
        </w:rPr>
      </w:pPr>
      <w:r w:rsidRPr="003B0BE2">
        <w:rPr>
          <w:rFonts w:cstheme="minorBidi"/>
          <w:b/>
          <w:bCs/>
          <w:color w:val="auto"/>
        </w:rPr>
        <w:t>Présenté par son Président</w:t>
      </w:r>
    </w:p>
    <w:p w:rsidR="00254C26" w:rsidRPr="003B0BE2" w:rsidRDefault="00254C26" w:rsidP="00254C26">
      <w:pPr>
        <w:pStyle w:val="Default"/>
        <w:jc w:val="center"/>
        <w:rPr>
          <w:rFonts w:cstheme="minorBidi"/>
          <w:b/>
          <w:bCs/>
          <w:color w:val="auto"/>
        </w:rPr>
      </w:pPr>
      <w:r w:rsidRPr="003B0BE2">
        <w:rPr>
          <w:rFonts w:cstheme="minorBidi"/>
          <w:b/>
          <w:bCs/>
          <w:color w:val="auto"/>
        </w:rPr>
        <w:t xml:space="preserve">Mr. MOHAMED M’BARECK </w:t>
      </w:r>
      <w:proofErr w:type="spellStart"/>
      <w:r w:rsidRPr="003B0BE2">
        <w:rPr>
          <w:rFonts w:cstheme="minorBidi"/>
          <w:b/>
          <w:bCs/>
          <w:color w:val="auto"/>
        </w:rPr>
        <w:t>M’BARECK</w:t>
      </w:r>
      <w:proofErr w:type="spellEnd"/>
    </w:p>
    <w:p w:rsidR="00254C26" w:rsidRPr="003B0BE2" w:rsidRDefault="00254C26" w:rsidP="00254C26">
      <w:pPr>
        <w:pStyle w:val="Default"/>
        <w:jc w:val="center"/>
        <w:rPr>
          <w:rFonts w:cstheme="minorBidi"/>
          <w:b/>
          <w:bCs/>
          <w:color w:val="auto"/>
        </w:rPr>
      </w:pPr>
      <w:r w:rsidRPr="003B0BE2">
        <w:rPr>
          <w:rFonts w:cstheme="minorBidi"/>
          <w:b/>
          <w:bCs/>
          <w:color w:val="auto"/>
        </w:rPr>
        <w:t xml:space="preserve">Tél. : 00222 46 90 77 09 – Email : </w:t>
      </w:r>
      <w:hyperlink r:id="rId5" w:history="1">
        <w:r w:rsidRPr="003B0BE2">
          <w:rPr>
            <w:rStyle w:val="Lienhypertexte"/>
            <w:rFonts w:cstheme="minorBidi"/>
            <w:b/>
            <w:bCs/>
            <w:color w:val="auto"/>
          </w:rPr>
          <w:t>ongiode@gmail.com</w:t>
        </w:r>
      </w:hyperlink>
    </w:p>
    <w:p w:rsidR="00254C26" w:rsidRPr="003B0BE2" w:rsidRDefault="00254C26" w:rsidP="00254C26">
      <w:pPr>
        <w:pStyle w:val="Default"/>
        <w:jc w:val="center"/>
        <w:rPr>
          <w:rFonts w:cstheme="minorBidi"/>
          <w:color w:val="auto"/>
        </w:rPr>
      </w:pPr>
    </w:p>
    <w:p w:rsidR="00254C26" w:rsidRPr="003B0BE2" w:rsidRDefault="00254C26" w:rsidP="009203D4">
      <w:pPr>
        <w:pStyle w:val="Default"/>
        <w:rPr>
          <w:rFonts w:cstheme="minorBidi"/>
          <w:color w:val="auto"/>
        </w:rPr>
      </w:pPr>
    </w:p>
    <w:p w:rsidR="009203D4" w:rsidRPr="003B0BE2" w:rsidRDefault="009203D4" w:rsidP="009203D4">
      <w:pPr>
        <w:pStyle w:val="Default"/>
        <w:pageBreakBefore/>
        <w:rPr>
          <w:rFonts w:asciiTheme="minorHAnsi" w:hAnsiTheme="minorHAnsi" w:cstheme="minorBidi"/>
          <w:color w:val="auto"/>
          <w:sz w:val="26"/>
          <w:szCs w:val="26"/>
        </w:rPr>
      </w:pPr>
      <w:r w:rsidRPr="003B0BE2">
        <w:rPr>
          <w:rFonts w:asciiTheme="minorHAnsi" w:hAnsiTheme="minorHAnsi" w:cstheme="minorBidi"/>
          <w:b/>
          <w:bCs/>
          <w:color w:val="auto"/>
          <w:sz w:val="26"/>
          <w:szCs w:val="26"/>
        </w:rPr>
        <w:lastRenderedPageBreak/>
        <w:t>Introduction</w:t>
      </w:r>
      <w:r w:rsidR="004F343F" w:rsidRPr="003B0BE2">
        <w:rPr>
          <w:rFonts w:asciiTheme="minorHAnsi" w:hAnsiTheme="minorHAnsi" w:cstheme="minorBidi"/>
          <w:b/>
          <w:bCs/>
          <w:color w:val="auto"/>
          <w:sz w:val="26"/>
          <w:szCs w:val="26"/>
        </w:rPr>
        <w:t> :</w:t>
      </w:r>
    </w:p>
    <w:p w:rsidR="009203D4" w:rsidRPr="003B0BE2" w:rsidRDefault="009203D4" w:rsidP="009203D4">
      <w:pPr>
        <w:pStyle w:val="Default"/>
        <w:jc w:val="both"/>
        <w:rPr>
          <w:rFonts w:asciiTheme="minorHAnsi" w:hAnsiTheme="minorHAnsi"/>
          <w:color w:val="auto"/>
          <w:sz w:val="26"/>
          <w:szCs w:val="26"/>
        </w:rPr>
      </w:pPr>
      <w:r w:rsidRPr="003B0BE2">
        <w:rPr>
          <w:rFonts w:asciiTheme="minorHAnsi" w:hAnsiTheme="minorHAnsi"/>
          <w:color w:val="auto"/>
          <w:sz w:val="26"/>
          <w:szCs w:val="26"/>
        </w:rPr>
        <w:t xml:space="preserve">Le présent Rapport représente la contribution de </w:t>
      </w:r>
      <w:r w:rsidRPr="003B0BE2">
        <w:rPr>
          <w:rFonts w:asciiTheme="minorHAnsi" w:hAnsiTheme="minorHAnsi"/>
          <w:b/>
          <w:bCs/>
          <w:color w:val="auto"/>
          <w:sz w:val="26"/>
          <w:szCs w:val="26"/>
        </w:rPr>
        <w:t xml:space="preserve">l’Initiative d’Opposition contre le Discours Extrémiste  </w:t>
      </w:r>
      <w:r w:rsidRPr="003B0BE2">
        <w:rPr>
          <w:rFonts w:asciiTheme="minorHAnsi" w:hAnsiTheme="minorHAnsi"/>
          <w:color w:val="auto"/>
          <w:sz w:val="26"/>
          <w:szCs w:val="26"/>
        </w:rPr>
        <w:t>à l’occasion de la présentation de la réponse du Gouvernement à la liste des questions établies par le Comité des Droits de l’Homme qui tienne lieu de deuxième Rapport Périodique soumis par la Mauritanie au titre de l’article 40 du Pacte International relatif aux Droits Civils et Politiques.</w:t>
      </w:r>
    </w:p>
    <w:p w:rsidR="009203D4" w:rsidRPr="003B0BE2" w:rsidRDefault="009203D4" w:rsidP="009203D4">
      <w:pPr>
        <w:pStyle w:val="Default"/>
        <w:rPr>
          <w:rFonts w:asciiTheme="minorHAnsi" w:hAnsiTheme="minorHAnsi"/>
          <w:color w:val="auto"/>
          <w:sz w:val="26"/>
          <w:szCs w:val="26"/>
        </w:rPr>
      </w:pPr>
    </w:p>
    <w:p w:rsidR="001C02BD" w:rsidRPr="003B0BE2" w:rsidRDefault="009203D4" w:rsidP="001C02BD">
      <w:pPr>
        <w:pStyle w:val="Default"/>
        <w:rPr>
          <w:rFonts w:asciiTheme="minorHAnsi" w:hAnsiTheme="minorHAnsi"/>
          <w:b/>
          <w:bCs/>
          <w:color w:val="auto"/>
          <w:sz w:val="26"/>
          <w:szCs w:val="26"/>
        </w:rPr>
      </w:pPr>
      <w:r w:rsidRPr="003B0BE2">
        <w:rPr>
          <w:rFonts w:asciiTheme="minorHAnsi" w:hAnsiTheme="minorHAnsi"/>
          <w:b/>
          <w:bCs/>
          <w:color w:val="auto"/>
          <w:sz w:val="26"/>
          <w:szCs w:val="26"/>
        </w:rPr>
        <w:t xml:space="preserve">I. </w:t>
      </w:r>
      <w:bookmarkStart w:id="0" w:name="_Toc498901330"/>
      <w:r w:rsidR="001C02BD" w:rsidRPr="003B0BE2">
        <w:rPr>
          <w:rFonts w:asciiTheme="minorHAnsi" w:hAnsiTheme="minorHAnsi"/>
          <w:b/>
          <w:bCs/>
          <w:color w:val="auto"/>
          <w:sz w:val="26"/>
          <w:szCs w:val="26"/>
        </w:rPr>
        <w:t xml:space="preserve"> Cadre juridique de la protection des droits de l’homme </w:t>
      </w:r>
      <w:bookmarkEnd w:id="0"/>
      <w:r w:rsidR="001C02BD" w:rsidRPr="003B0BE2">
        <w:rPr>
          <w:rFonts w:asciiTheme="minorHAnsi" w:hAnsiTheme="minorHAnsi"/>
          <w:b/>
          <w:bCs/>
          <w:color w:val="auto"/>
          <w:sz w:val="26"/>
          <w:szCs w:val="26"/>
        </w:rPr>
        <w:t>en Mauritanie</w:t>
      </w:r>
    </w:p>
    <w:p w:rsidR="001C02BD" w:rsidRPr="003B0BE2" w:rsidRDefault="001C02BD" w:rsidP="001C02BD">
      <w:pPr>
        <w:pStyle w:val="SingleTxtG"/>
        <w:ind w:left="0" w:right="-1"/>
        <w:rPr>
          <w:rFonts w:asciiTheme="minorHAnsi" w:eastAsia="Calibri" w:hAnsiTheme="minorHAnsi"/>
          <w:sz w:val="26"/>
          <w:szCs w:val="26"/>
          <w:lang w:val="fr-FR" w:eastAsia="fr-FR"/>
        </w:rPr>
      </w:pPr>
      <w:r w:rsidRPr="003B0BE2">
        <w:rPr>
          <w:rFonts w:asciiTheme="minorHAnsi" w:eastAsia="Calibri" w:hAnsiTheme="minorHAnsi"/>
          <w:sz w:val="26"/>
          <w:szCs w:val="26"/>
          <w:lang w:val="fr-FR" w:eastAsia="fr-FR"/>
        </w:rPr>
        <w:t>La constitution  consacre les droits de l’Homme dans son préambule : « Fort de ses valeurs spirituelles et du rayonnement de sa civilisation, le Peuple mauritanien proclame en outre, solennellement, son attachement à l'Islam et aux principes de la démocratie tels qu'ils ont été définis par la Déclaration Universelle des Droits de l'Homme du 10 décembre 1948 et par la Charte Africaine des Droits de l'Homme et des Peuples du 28 Juin 1981 ainsi que dans les autres conventions internationales auxquelles la Mauritanie a souscrit ». La constitution protège l’ensemble des droits et libertés énoncés dans les instruments auxquels la Mauritanie est partie.</w:t>
      </w:r>
      <w:bookmarkStart w:id="1" w:name="_Toc453672871"/>
    </w:p>
    <w:bookmarkEnd w:id="1"/>
    <w:p w:rsidR="001C02BD" w:rsidRPr="003B0BE2" w:rsidRDefault="001C02BD" w:rsidP="001C02BD">
      <w:pPr>
        <w:pStyle w:val="SingleTxtG"/>
        <w:ind w:left="0" w:right="-1"/>
        <w:rPr>
          <w:rFonts w:asciiTheme="minorHAnsi" w:eastAsia="Calibri" w:hAnsiTheme="minorHAnsi"/>
          <w:sz w:val="26"/>
          <w:szCs w:val="26"/>
          <w:lang w:val="fr-FR" w:eastAsia="fr-FR"/>
        </w:rPr>
      </w:pPr>
      <w:r w:rsidRPr="003B0BE2">
        <w:rPr>
          <w:rFonts w:asciiTheme="minorHAnsi" w:eastAsia="Calibri" w:hAnsiTheme="minorHAnsi"/>
          <w:sz w:val="26"/>
          <w:szCs w:val="26"/>
          <w:lang w:val="fr-FR" w:eastAsia="fr-FR"/>
        </w:rPr>
        <w:t xml:space="preserve">En raison du système moniste qui prévaut, les instruments internationaux relatifs aux Droits de l’Homme ratifiés par le pays sont incorporés dans le corpus juridique interne conformément à l’article 80 de la constitution. </w:t>
      </w:r>
    </w:p>
    <w:p w:rsidR="001C02BD" w:rsidRPr="003B0BE2" w:rsidRDefault="003B0BE2" w:rsidP="001C02BD">
      <w:pPr>
        <w:pStyle w:val="Titre2"/>
        <w:rPr>
          <w:rFonts w:asciiTheme="minorHAnsi" w:hAnsiTheme="minorHAnsi"/>
          <w:b/>
          <w:bCs/>
          <w:sz w:val="26"/>
          <w:szCs w:val="26"/>
        </w:rPr>
      </w:pPr>
      <w:r w:rsidRPr="003B0BE2">
        <w:rPr>
          <w:rFonts w:asciiTheme="minorHAnsi" w:hAnsiTheme="minorHAnsi"/>
          <w:b/>
          <w:bCs/>
          <w:sz w:val="26"/>
          <w:szCs w:val="26"/>
        </w:rPr>
        <w:t xml:space="preserve">II. </w:t>
      </w:r>
      <w:r w:rsidR="001C02BD" w:rsidRPr="003B0BE2">
        <w:rPr>
          <w:rFonts w:asciiTheme="minorHAnsi" w:hAnsiTheme="minorHAnsi"/>
          <w:b/>
          <w:bCs/>
          <w:sz w:val="26"/>
          <w:szCs w:val="26"/>
        </w:rPr>
        <w:t>Les organes ayant la charge de Droits de l’Homme</w:t>
      </w:r>
    </w:p>
    <w:p w:rsidR="001C02BD" w:rsidRPr="003B0BE2" w:rsidRDefault="001C02BD" w:rsidP="001C02BD">
      <w:pPr>
        <w:pStyle w:val="SingleTxtG"/>
        <w:ind w:left="0" w:right="-1"/>
        <w:rPr>
          <w:rFonts w:asciiTheme="minorHAnsi" w:eastAsia="Calibri" w:hAnsiTheme="minorHAnsi"/>
          <w:sz w:val="26"/>
          <w:szCs w:val="26"/>
          <w:lang w:val="fr-FR" w:eastAsia="fr-FR"/>
        </w:rPr>
      </w:pPr>
      <w:r w:rsidRPr="003B0BE2">
        <w:rPr>
          <w:rFonts w:asciiTheme="minorHAnsi" w:eastAsia="Calibri" w:hAnsiTheme="minorHAnsi"/>
          <w:sz w:val="26"/>
          <w:szCs w:val="26"/>
          <w:lang w:val="fr-FR" w:eastAsia="fr-FR"/>
        </w:rPr>
        <w:t xml:space="preserve">Il s’agit principalement du Conseil Constitutionnel, des Tribunaux, du Commissariat aux Droits de l’Homme et à l’Action Humanitaire, de la Commission Nationale des Droits de l’Homme, des départements ministériels concernés, du Haut Conseil de la Fatwa et des recours gracieux, et du Mécanisme National de Prévention de la Torture, Ils ont compétence nationale sur les questions relatives à leurs attributions respectives. </w:t>
      </w:r>
    </w:p>
    <w:p w:rsidR="001C02BD" w:rsidRPr="003B0BE2" w:rsidRDefault="001C02BD" w:rsidP="001C02BD">
      <w:pPr>
        <w:pStyle w:val="Titre3"/>
        <w:rPr>
          <w:rFonts w:asciiTheme="minorHAnsi" w:hAnsiTheme="minorHAnsi"/>
          <w:b/>
          <w:bCs/>
          <w:sz w:val="26"/>
          <w:szCs w:val="26"/>
        </w:rPr>
      </w:pPr>
      <w:bookmarkStart w:id="2" w:name="_Toc454388711"/>
      <w:bookmarkStart w:id="3" w:name="_Toc455364130"/>
      <w:bookmarkStart w:id="4" w:name="_Toc498901334"/>
      <w:r w:rsidRPr="003B0BE2">
        <w:rPr>
          <w:rFonts w:asciiTheme="minorHAnsi" w:hAnsiTheme="minorHAnsi"/>
          <w:b/>
          <w:bCs/>
          <w:sz w:val="26"/>
          <w:szCs w:val="26"/>
        </w:rPr>
        <w:t>Evocation devant les tribunaux</w:t>
      </w:r>
      <w:bookmarkEnd w:id="2"/>
      <w:bookmarkEnd w:id="3"/>
      <w:bookmarkEnd w:id="4"/>
    </w:p>
    <w:p w:rsidR="001C02BD" w:rsidRPr="003B0BE2" w:rsidRDefault="001C02BD" w:rsidP="001C02BD">
      <w:pPr>
        <w:pStyle w:val="SingleTxtG"/>
        <w:ind w:left="0" w:right="-1"/>
        <w:rPr>
          <w:rFonts w:asciiTheme="minorHAnsi" w:eastAsia="Calibri" w:hAnsiTheme="minorHAnsi"/>
          <w:sz w:val="26"/>
          <w:szCs w:val="26"/>
          <w:lang w:val="fr-FR" w:eastAsia="fr-FR"/>
        </w:rPr>
      </w:pPr>
      <w:r w:rsidRPr="003B0BE2">
        <w:rPr>
          <w:rFonts w:asciiTheme="minorHAnsi" w:eastAsia="Calibri" w:hAnsiTheme="minorHAnsi"/>
          <w:sz w:val="26"/>
          <w:szCs w:val="26"/>
          <w:lang w:val="fr-FR" w:eastAsia="fr-FR"/>
        </w:rPr>
        <w:t xml:space="preserve">Toutes les dispositions des conventions ratifiées par la Mauritanie peuvent être invoquées devant les juridictions et le juge est tenu de les appliquer. </w:t>
      </w:r>
    </w:p>
    <w:p w:rsidR="001C02BD" w:rsidRPr="003B0BE2" w:rsidRDefault="001C02BD" w:rsidP="001C02BD">
      <w:pPr>
        <w:pStyle w:val="SingleTxtG"/>
        <w:tabs>
          <w:tab w:val="left" w:pos="993"/>
        </w:tabs>
        <w:ind w:left="0" w:right="0"/>
        <w:outlineLvl w:val="2"/>
        <w:rPr>
          <w:rFonts w:asciiTheme="minorHAnsi" w:hAnsiTheme="minorHAnsi"/>
          <w:b/>
          <w:bCs/>
          <w:sz w:val="26"/>
          <w:szCs w:val="26"/>
        </w:rPr>
      </w:pPr>
      <w:bookmarkStart w:id="5" w:name="_Toc453672873"/>
      <w:bookmarkStart w:id="6" w:name="_Toc454388712"/>
      <w:bookmarkStart w:id="7" w:name="_Toc455364131"/>
      <w:bookmarkStart w:id="8" w:name="_Toc498901335"/>
      <w:r w:rsidRPr="003B0BE2">
        <w:rPr>
          <w:rFonts w:asciiTheme="minorHAnsi" w:hAnsiTheme="minorHAnsi"/>
          <w:b/>
          <w:bCs/>
          <w:sz w:val="26"/>
          <w:szCs w:val="26"/>
        </w:rPr>
        <w:t>Exercice des recours</w:t>
      </w:r>
      <w:bookmarkEnd w:id="5"/>
      <w:bookmarkEnd w:id="6"/>
      <w:bookmarkEnd w:id="7"/>
      <w:bookmarkEnd w:id="8"/>
    </w:p>
    <w:p w:rsidR="001C02BD" w:rsidRPr="003B0BE2" w:rsidRDefault="001C02BD" w:rsidP="001C02BD">
      <w:pPr>
        <w:pStyle w:val="SingleTxtG"/>
        <w:ind w:left="0" w:right="-1"/>
        <w:rPr>
          <w:rFonts w:asciiTheme="minorHAnsi" w:eastAsia="Calibri" w:hAnsiTheme="minorHAnsi"/>
          <w:sz w:val="26"/>
          <w:szCs w:val="26"/>
          <w:lang w:val="fr-FR" w:eastAsia="fr-FR"/>
        </w:rPr>
      </w:pPr>
      <w:r w:rsidRPr="003B0BE2">
        <w:rPr>
          <w:rFonts w:asciiTheme="minorHAnsi" w:eastAsia="Calibri" w:hAnsiTheme="minorHAnsi"/>
          <w:sz w:val="26"/>
          <w:szCs w:val="26"/>
          <w:lang w:val="fr-FR" w:eastAsia="fr-FR"/>
        </w:rPr>
        <w:t>Les recours administratif et judiciaire sont ouverts et peuvent aboutir à la réparation civile, à la sanction administrative et/ou pénale de leur auteur.</w:t>
      </w:r>
    </w:p>
    <w:p w:rsidR="001C02BD" w:rsidRPr="003B0BE2" w:rsidRDefault="003B0BE2" w:rsidP="001C02BD">
      <w:pPr>
        <w:pStyle w:val="SingleTxtG"/>
        <w:tabs>
          <w:tab w:val="left" w:pos="993"/>
        </w:tabs>
        <w:ind w:left="0" w:right="0"/>
        <w:outlineLvl w:val="2"/>
        <w:rPr>
          <w:rFonts w:asciiTheme="minorHAnsi" w:hAnsiTheme="minorHAnsi"/>
          <w:b/>
          <w:bCs/>
          <w:sz w:val="26"/>
          <w:szCs w:val="26"/>
        </w:rPr>
      </w:pPr>
      <w:bookmarkStart w:id="9" w:name="_Toc453672874"/>
      <w:bookmarkStart w:id="10" w:name="_Toc454388713"/>
      <w:bookmarkStart w:id="11" w:name="_Toc455364132"/>
      <w:bookmarkStart w:id="12" w:name="_Toc498901336"/>
      <w:r w:rsidRPr="003B0BE2">
        <w:rPr>
          <w:rFonts w:asciiTheme="minorHAnsi" w:hAnsiTheme="minorHAnsi"/>
          <w:b/>
          <w:bCs/>
          <w:sz w:val="26"/>
          <w:szCs w:val="26"/>
        </w:rPr>
        <w:t xml:space="preserve">III. </w:t>
      </w:r>
      <w:r w:rsidR="001C02BD" w:rsidRPr="003B0BE2">
        <w:rPr>
          <w:rFonts w:asciiTheme="minorHAnsi" w:hAnsiTheme="minorHAnsi"/>
          <w:b/>
          <w:bCs/>
          <w:sz w:val="26"/>
          <w:szCs w:val="26"/>
        </w:rPr>
        <w:t>Mécanismes nationaux de protection et promotion des droits de l’homme</w:t>
      </w:r>
      <w:bookmarkEnd w:id="9"/>
      <w:bookmarkEnd w:id="10"/>
      <w:bookmarkEnd w:id="11"/>
      <w:bookmarkEnd w:id="12"/>
      <w:r w:rsidR="001C02BD" w:rsidRPr="003B0BE2">
        <w:rPr>
          <w:rFonts w:asciiTheme="minorHAnsi" w:hAnsiTheme="minorHAnsi"/>
          <w:b/>
          <w:bCs/>
          <w:sz w:val="26"/>
          <w:szCs w:val="26"/>
        </w:rPr>
        <w:t> </w:t>
      </w:r>
    </w:p>
    <w:p w:rsidR="001C02BD" w:rsidRPr="003B0BE2" w:rsidRDefault="001C02BD" w:rsidP="001C02BD">
      <w:pPr>
        <w:pStyle w:val="SingleTxtG"/>
        <w:ind w:left="0" w:right="-1"/>
        <w:rPr>
          <w:rFonts w:asciiTheme="minorHAnsi" w:eastAsia="Calibri" w:hAnsiTheme="minorHAnsi"/>
          <w:sz w:val="26"/>
          <w:szCs w:val="26"/>
          <w:lang w:val="fr-FR" w:eastAsia="fr-FR"/>
        </w:rPr>
      </w:pPr>
      <w:r w:rsidRPr="003B0BE2">
        <w:rPr>
          <w:rFonts w:asciiTheme="minorHAnsi" w:eastAsia="Calibri" w:hAnsiTheme="minorHAnsi"/>
          <w:sz w:val="26"/>
          <w:szCs w:val="26"/>
          <w:lang w:val="fr-FR" w:eastAsia="fr-FR"/>
        </w:rPr>
        <w:t>Le Commissariat aux Droits de l’Homme et à l’Action Humanitaire est chargé de l’élaboration et de la mise en œuvre de la politique nationale de promotion, de défense et de protection des droits de l’homme.</w:t>
      </w:r>
    </w:p>
    <w:p w:rsidR="001C02BD" w:rsidRPr="003B0BE2" w:rsidRDefault="001C02BD" w:rsidP="001C02BD">
      <w:pPr>
        <w:pStyle w:val="SingleTxtG"/>
        <w:ind w:left="0" w:right="-1"/>
        <w:rPr>
          <w:rFonts w:asciiTheme="minorHAnsi" w:eastAsia="Calibri" w:hAnsiTheme="minorHAnsi"/>
          <w:sz w:val="26"/>
          <w:szCs w:val="26"/>
          <w:lang w:val="fr-FR" w:eastAsia="fr-FR"/>
        </w:rPr>
      </w:pPr>
      <w:r w:rsidRPr="003B0BE2">
        <w:rPr>
          <w:rFonts w:asciiTheme="minorHAnsi" w:eastAsia="Calibri" w:hAnsiTheme="minorHAnsi"/>
          <w:sz w:val="26"/>
          <w:szCs w:val="26"/>
          <w:lang w:val="fr-FR" w:eastAsia="fr-FR"/>
        </w:rPr>
        <w:t>Le Ministère des Affaires Sociales, de l’Enfance et de la Famille a notamment pour missions,  la proposition de projets et programmes destinés à garantir la promotion de la femme, de son intégration dans le processus de développement, la promotion et la protection des droits de l’enfant, des personnes handicapées et des personnes âgées.</w:t>
      </w:r>
    </w:p>
    <w:p w:rsidR="001C02BD" w:rsidRPr="003B0BE2" w:rsidRDefault="001C02BD" w:rsidP="001C02BD">
      <w:pPr>
        <w:pStyle w:val="SingleTxtG"/>
        <w:ind w:left="0" w:right="-1"/>
        <w:rPr>
          <w:rFonts w:asciiTheme="minorHAnsi" w:eastAsia="Calibri" w:hAnsiTheme="minorHAnsi"/>
          <w:sz w:val="26"/>
          <w:szCs w:val="26"/>
          <w:lang w:val="fr-FR" w:eastAsia="fr-FR"/>
        </w:rPr>
      </w:pPr>
      <w:r w:rsidRPr="003B0BE2">
        <w:rPr>
          <w:rFonts w:asciiTheme="minorHAnsi" w:eastAsia="Calibri" w:hAnsiTheme="minorHAnsi"/>
          <w:sz w:val="26"/>
          <w:szCs w:val="26"/>
          <w:lang w:val="fr-FR" w:eastAsia="fr-FR"/>
        </w:rPr>
        <w:t xml:space="preserve">La Commission Nationale des Droits de l’Homme, institution constitutionnelle indépendante, accréditée au Statut A des institutions nationales des droits de l’homme a pour missions de  donner, à la demande du gouvernement, ou sur sa propre initiative, un avis consultatif sur les questions d’ordre général ou spécifique, se rapportant à la promotion et à la protection des droits de l’homme au respect des libertés Individuelles et collectives.   </w:t>
      </w:r>
    </w:p>
    <w:p w:rsidR="001C02BD" w:rsidRPr="003B0BE2" w:rsidRDefault="001C02BD" w:rsidP="001C02BD">
      <w:pPr>
        <w:pStyle w:val="SingleTxtG"/>
        <w:ind w:left="0" w:right="-1"/>
        <w:rPr>
          <w:rFonts w:asciiTheme="minorHAnsi" w:eastAsia="Calibri" w:hAnsiTheme="minorHAnsi"/>
          <w:sz w:val="26"/>
          <w:szCs w:val="26"/>
          <w:lang w:val="fr-FR" w:eastAsia="fr-FR"/>
        </w:rPr>
      </w:pPr>
      <w:r w:rsidRPr="003B0BE2">
        <w:rPr>
          <w:rFonts w:asciiTheme="minorHAnsi" w:eastAsia="Calibri" w:hAnsiTheme="minorHAnsi"/>
          <w:sz w:val="26"/>
          <w:szCs w:val="26"/>
          <w:lang w:val="fr-FR" w:eastAsia="fr-FR"/>
        </w:rPr>
        <w:t>Elle est composée majoritairement de représentants des organisations de la société civile, des ordres professionnels ayant voix délibératives et comprend des représentants des différentes administrations concernées qui ont voix consultatives. Elle est financée sur le budget de l’Etat sur une ligne distincte de celui-ci.</w:t>
      </w:r>
    </w:p>
    <w:p w:rsidR="001C02BD" w:rsidRPr="003B0BE2" w:rsidRDefault="001C02BD" w:rsidP="001C02BD">
      <w:pPr>
        <w:pStyle w:val="SingleTxtG"/>
        <w:ind w:left="0" w:right="-1"/>
        <w:rPr>
          <w:rFonts w:asciiTheme="minorHAnsi" w:eastAsia="Calibri" w:hAnsiTheme="minorHAnsi"/>
          <w:sz w:val="26"/>
          <w:szCs w:val="26"/>
          <w:lang w:val="fr-FR" w:eastAsia="fr-FR"/>
        </w:rPr>
      </w:pPr>
      <w:r w:rsidRPr="003B0BE2">
        <w:rPr>
          <w:rFonts w:asciiTheme="minorHAnsi" w:eastAsia="Calibri" w:hAnsiTheme="minorHAnsi"/>
          <w:sz w:val="26"/>
          <w:szCs w:val="26"/>
          <w:lang w:val="fr-FR" w:eastAsia="fr-FR"/>
        </w:rPr>
        <w:t>Les pouvoirs publics, ainsi que les organisations de défense des droits de l’homme diffusent par voie de presse, ateliers et autres supports promotionnels les différents instruments et conventions auxquels la Mauritanie est partie et les rendent accessibles en les explicitant au besoin dans les différentes langues nationales.</w:t>
      </w:r>
    </w:p>
    <w:p w:rsidR="001C02BD" w:rsidRPr="003B0BE2" w:rsidRDefault="001C02BD" w:rsidP="001C02BD">
      <w:pPr>
        <w:pStyle w:val="SingleTxtG"/>
        <w:ind w:left="0" w:right="-1"/>
        <w:rPr>
          <w:rFonts w:asciiTheme="minorHAnsi" w:eastAsia="Calibri" w:hAnsiTheme="minorHAnsi"/>
          <w:sz w:val="26"/>
          <w:szCs w:val="26"/>
          <w:lang w:val="fr-FR" w:eastAsia="fr-FR"/>
        </w:rPr>
      </w:pPr>
      <w:r w:rsidRPr="003B0BE2">
        <w:rPr>
          <w:rFonts w:asciiTheme="minorHAnsi" w:eastAsia="Calibri" w:hAnsiTheme="minorHAnsi"/>
          <w:sz w:val="26"/>
          <w:szCs w:val="26"/>
          <w:lang w:val="fr-FR" w:eastAsia="fr-FR"/>
        </w:rPr>
        <w:t>Le parlement  légifère  et veille à la conformité de la législation nationale avec les dispositions des normes internationales ratifiées. Le groupe parlementaire chargé des Droits de l’Homme veille à la promotion et à la vulgarisation des principes des droits humains ainsi qu’à leur protection.</w:t>
      </w:r>
    </w:p>
    <w:p w:rsidR="00320145" w:rsidRPr="003B0BE2" w:rsidRDefault="003B0BE2" w:rsidP="00214239">
      <w:pPr>
        <w:pStyle w:val="Default"/>
        <w:jc w:val="both"/>
        <w:rPr>
          <w:rFonts w:asciiTheme="minorHAnsi" w:hAnsiTheme="minorHAnsi"/>
          <w:color w:val="auto"/>
          <w:sz w:val="26"/>
          <w:szCs w:val="26"/>
        </w:rPr>
      </w:pPr>
      <w:r w:rsidRPr="003B0BE2">
        <w:rPr>
          <w:rFonts w:asciiTheme="minorHAnsi" w:hAnsiTheme="minorHAnsi"/>
          <w:b/>
          <w:bCs/>
          <w:color w:val="auto"/>
          <w:sz w:val="26"/>
          <w:szCs w:val="26"/>
        </w:rPr>
        <w:t xml:space="preserve">IV. </w:t>
      </w:r>
      <w:r w:rsidR="00320145" w:rsidRPr="003B0BE2">
        <w:rPr>
          <w:rFonts w:asciiTheme="minorHAnsi" w:hAnsiTheme="minorHAnsi"/>
          <w:b/>
          <w:bCs/>
          <w:color w:val="auto"/>
          <w:sz w:val="26"/>
          <w:szCs w:val="26"/>
        </w:rPr>
        <w:t xml:space="preserve">Cadre normatif et Institutionnel de prévention et lutte contre la torture </w:t>
      </w:r>
    </w:p>
    <w:p w:rsidR="00320145" w:rsidRPr="003B0BE2" w:rsidRDefault="00320145" w:rsidP="00214239">
      <w:pPr>
        <w:pStyle w:val="Default"/>
        <w:jc w:val="both"/>
        <w:rPr>
          <w:rFonts w:asciiTheme="minorHAnsi" w:hAnsiTheme="minorHAnsi"/>
          <w:color w:val="auto"/>
          <w:sz w:val="26"/>
          <w:szCs w:val="26"/>
        </w:rPr>
      </w:pPr>
      <w:r w:rsidRPr="003B0BE2">
        <w:rPr>
          <w:rFonts w:asciiTheme="minorHAnsi" w:hAnsiTheme="minorHAnsi"/>
          <w:color w:val="auto"/>
          <w:sz w:val="26"/>
          <w:szCs w:val="26"/>
        </w:rPr>
        <w:t xml:space="preserve">La Mauritanie a adopté en 2015, la loi n°033-2015 relative à la lutte contre torture qui fixe le régime juridique de l’interdiction, de la prévention et de la répression des actes de torture et autres peines ou traitements cruels, inhumains ou dégradants ainsi que de leur réparation et les mesures de protection des victimes. </w:t>
      </w:r>
    </w:p>
    <w:p w:rsidR="00320145" w:rsidRPr="003B0BE2" w:rsidRDefault="00320145" w:rsidP="00214239">
      <w:pPr>
        <w:pStyle w:val="Default"/>
        <w:jc w:val="both"/>
        <w:rPr>
          <w:rFonts w:asciiTheme="minorHAnsi" w:hAnsiTheme="minorHAnsi"/>
          <w:color w:val="auto"/>
          <w:sz w:val="26"/>
          <w:szCs w:val="26"/>
        </w:rPr>
      </w:pPr>
      <w:r w:rsidRPr="003B0BE2">
        <w:rPr>
          <w:rFonts w:asciiTheme="minorHAnsi" w:hAnsiTheme="minorHAnsi"/>
          <w:color w:val="auto"/>
          <w:sz w:val="26"/>
          <w:szCs w:val="26"/>
        </w:rPr>
        <w:t>Les actes de tortures et peines ou autres traitements cruels, inhumains ou dégradants constituent des crimes contre l’humanité. Ces crimes sont imprescriptibles conformément à cette loi qui définit la torture (</w:t>
      </w:r>
      <w:r w:rsidRPr="003B0BE2">
        <w:rPr>
          <w:rFonts w:asciiTheme="minorHAnsi" w:hAnsiTheme="minorHAnsi"/>
          <w:i/>
          <w:iCs/>
          <w:color w:val="auto"/>
          <w:sz w:val="26"/>
          <w:szCs w:val="26"/>
        </w:rPr>
        <w:t xml:space="preserve">désigne tout acte par lequel une douleur ou des souffrances aiguës, physiques ou mentales, sont intentionnellement infligées à une personne aux fins notamment d’obtenir d’elle ou d’une tierce personne des renseignements ou des aveux, de la punir d’un acte qu’elle ou une tierce personne a commis ou est soupçonnée d’avoir commis, de l’intimider ou de faire pression sur elle ou d’intimider ou de faire pression sur une tierce personne, ou pour tout autre motif fondé sur une forme de discrimination quelle qu’elle soit, lorsqu’une telle douleur ou de telles souffrances sont infligées par un agent de la fonction publique ou tout autre personne agissant à titre officiel ou à son instigation ou avec son consentement exprès ou tacite). </w:t>
      </w:r>
    </w:p>
    <w:p w:rsidR="00320145" w:rsidRPr="003B0BE2" w:rsidRDefault="00320145" w:rsidP="00214239">
      <w:pPr>
        <w:pStyle w:val="Default"/>
        <w:jc w:val="both"/>
        <w:rPr>
          <w:rFonts w:asciiTheme="minorHAnsi" w:hAnsiTheme="minorHAnsi"/>
          <w:color w:val="auto"/>
          <w:sz w:val="26"/>
          <w:szCs w:val="26"/>
        </w:rPr>
      </w:pPr>
      <w:r w:rsidRPr="003B0BE2">
        <w:rPr>
          <w:rFonts w:asciiTheme="minorHAnsi" w:hAnsiTheme="minorHAnsi"/>
          <w:color w:val="auto"/>
          <w:sz w:val="26"/>
          <w:szCs w:val="26"/>
        </w:rPr>
        <w:t xml:space="preserve">Cette loi est publiée au Journal Officiel de la République Islamique de Mauritanie, ce qui permet au magistrat de l’appliquer. Elle définie également le cadre légal qui permet au magistrat de la mettre en application sur la base de l’identification des éléments suivants: </w:t>
      </w:r>
    </w:p>
    <w:p w:rsidR="00320145" w:rsidRPr="003B0BE2" w:rsidRDefault="00320145" w:rsidP="00214239">
      <w:pPr>
        <w:pStyle w:val="Default"/>
        <w:jc w:val="both"/>
        <w:rPr>
          <w:rFonts w:asciiTheme="minorHAnsi" w:hAnsiTheme="minorHAnsi"/>
          <w:color w:val="auto"/>
          <w:sz w:val="26"/>
          <w:szCs w:val="26"/>
        </w:rPr>
      </w:pPr>
    </w:p>
    <w:p w:rsidR="00320145" w:rsidRPr="003B0BE2" w:rsidRDefault="00320145" w:rsidP="00214239">
      <w:pPr>
        <w:pStyle w:val="Default"/>
        <w:numPr>
          <w:ilvl w:val="0"/>
          <w:numId w:val="10"/>
        </w:numPr>
        <w:jc w:val="both"/>
        <w:rPr>
          <w:rFonts w:asciiTheme="minorHAnsi" w:hAnsiTheme="minorHAnsi"/>
          <w:color w:val="auto"/>
          <w:sz w:val="26"/>
          <w:szCs w:val="26"/>
        </w:rPr>
      </w:pPr>
      <w:r w:rsidRPr="003B0BE2">
        <w:rPr>
          <w:rFonts w:asciiTheme="minorHAnsi" w:hAnsiTheme="minorHAnsi"/>
          <w:color w:val="auto"/>
          <w:sz w:val="26"/>
          <w:szCs w:val="26"/>
        </w:rPr>
        <w:t xml:space="preserve">La privation de la liberté ; </w:t>
      </w:r>
    </w:p>
    <w:p w:rsidR="00320145" w:rsidRPr="003B0BE2" w:rsidRDefault="00320145" w:rsidP="00214239">
      <w:pPr>
        <w:pStyle w:val="Default"/>
        <w:jc w:val="both"/>
        <w:rPr>
          <w:rFonts w:asciiTheme="minorHAnsi" w:hAnsiTheme="minorHAnsi"/>
          <w:color w:val="auto"/>
          <w:sz w:val="26"/>
          <w:szCs w:val="26"/>
        </w:rPr>
      </w:pPr>
    </w:p>
    <w:p w:rsidR="00320145" w:rsidRPr="003B0BE2" w:rsidRDefault="00320145" w:rsidP="00214239">
      <w:pPr>
        <w:pStyle w:val="Default"/>
        <w:numPr>
          <w:ilvl w:val="0"/>
          <w:numId w:val="10"/>
        </w:numPr>
        <w:jc w:val="both"/>
        <w:rPr>
          <w:rFonts w:asciiTheme="minorHAnsi" w:hAnsiTheme="minorHAnsi"/>
          <w:color w:val="auto"/>
          <w:sz w:val="26"/>
          <w:szCs w:val="26"/>
        </w:rPr>
      </w:pPr>
      <w:r w:rsidRPr="003B0BE2">
        <w:rPr>
          <w:rFonts w:asciiTheme="minorHAnsi" w:hAnsiTheme="minorHAnsi"/>
          <w:color w:val="auto"/>
          <w:sz w:val="26"/>
          <w:szCs w:val="26"/>
        </w:rPr>
        <w:t xml:space="preserve">L’interdiction de la détention illégale ; </w:t>
      </w:r>
    </w:p>
    <w:p w:rsidR="00320145" w:rsidRPr="003B0BE2" w:rsidRDefault="00320145" w:rsidP="00214239">
      <w:pPr>
        <w:pStyle w:val="Default"/>
        <w:jc w:val="both"/>
        <w:rPr>
          <w:rFonts w:asciiTheme="minorHAnsi" w:hAnsiTheme="minorHAnsi"/>
          <w:color w:val="auto"/>
          <w:sz w:val="26"/>
          <w:szCs w:val="26"/>
        </w:rPr>
      </w:pPr>
    </w:p>
    <w:p w:rsidR="00320145" w:rsidRPr="003B0BE2" w:rsidRDefault="00320145" w:rsidP="00214239">
      <w:pPr>
        <w:pStyle w:val="Default"/>
        <w:numPr>
          <w:ilvl w:val="0"/>
          <w:numId w:val="10"/>
        </w:numPr>
        <w:jc w:val="both"/>
        <w:rPr>
          <w:rFonts w:asciiTheme="minorHAnsi" w:hAnsiTheme="minorHAnsi"/>
          <w:color w:val="auto"/>
          <w:sz w:val="26"/>
          <w:szCs w:val="26"/>
        </w:rPr>
      </w:pPr>
      <w:r w:rsidRPr="003B0BE2">
        <w:rPr>
          <w:rFonts w:asciiTheme="minorHAnsi" w:hAnsiTheme="minorHAnsi"/>
          <w:color w:val="auto"/>
          <w:sz w:val="26"/>
          <w:szCs w:val="26"/>
        </w:rPr>
        <w:t xml:space="preserve">La valeur de la déclaration sous la torture ; </w:t>
      </w:r>
    </w:p>
    <w:p w:rsidR="00320145" w:rsidRPr="003B0BE2" w:rsidRDefault="00320145" w:rsidP="00214239">
      <w:pPr>
        <w:pStyle w:val="Default"/>
        <w:jc w:val="both"/>
        <w:rPr>
          <w:rFonts w:asciiTheme="minorHAnsi" w:hAnsiTheme="minorHAnsi"/>
          <w:color w:val="auto"/>
          <w:sz w:val="26"/>
          <w:szCs w:val="26"/>
        </w:rPr>
      </w:pPr>
    </w:p>
    <w:p w:rsidR="00320145" w:rsidRPr="003B0BE2" w:rsidRDefault="00320145" w:rsidP="00214239">
      <w:pPr>
        <w:pStyle w:val="Default"/>
        <w:numPr>
          <w:ilvl w:val="0"/>
          <w:numId w:val="10"/>
        </w:numPr>
        <w:jc w:val="both"/>
        <w:rPr>
          <w:rFonts w:asciiTheme="minorHAnsi" w:hAnsiTheme="minorHAnsi"/>
          <w:color w:val="auto"/>
          <w:sz w:val="26"/>
          <w:szCs w:val="26"/>
        </w:rPr>
      </w:pPr>
      <w:r w:rsidRPr="003B0BE2">
        <w:rPr>
          <w:rFonts w:asciiTheme="minorHAnsi" w:hAnsiTheme="minorHAnsi"/>
          <w:color w:val="auto"/>
          <w:sz w:val="26"/>
          <w:szCs w:val="26"/>
        </w:rPr>
        <w:t xml:space="preserve">L’enseignement de l’interdiction de la torture ; et </w:t>
      </w:r>
    </w:p>
    <w:p w:rsidR="00320145" w:rsidRPr="003B0BE2" w:rsidRDefault="00320145" w:rsidP="00214239">
      <w:pPr>
        <w:pStyle w:val="Default"/>
        <w:jc w:val="both"/>
        <w:rPr>
          <w:rFonts w:asciiTheme="minorHAnsi" w:hAnsiTheme="minorHAnsi"/>
          <w:color w:val="auto"/>
          <w:sz w:val="26"/>
          <w:szCs w:val="26"/>
        </w:rPr>
      </w:pPr>
    </w:p>
    <w:p w:rsidR="00320145" w:rsidRPr="003B0BE2" w:rsidRDefault="00320145" w:rsidP="00214239">
      <w:pPr>
        <w:pStyle w:val="Default"/>
        <w:numPr>
          <w:ilvl w:val="0"/>
          <w:numId w:val="10"/>
        </w:numPr>
        <w:jc w:val="both"/>
        <w:rPr>
          <w:rFonts w:asciiTheme="minorHAnsi" w:hAnsiTheme="minorHAnsi"/>
          <w:color w:val="auto"/>
          <w:sz w:val="26"/>
          <w:szCs w:val="26"/>
        </w:rPr>
      </w:pPr>
      <w:r w:rsidRPr="003B0BE2">
        <w:rPr>
          <w:rFonts w:asciiTheme="minorHAnsi" w:hAnsiTheme="minorHAnsi"/>
          <w:color w:val="auto"/>
          <w:sz w:val="26"/>
          <w:szCs w:val="26"/>
        </w:rPr>
        <w:t xml:space="preserve">Le contrôle de la détention. </w:t>
      </w:r>
    </w:p>
    <w:p w:rsidR="00320145" w:rsidRPr="003B0BE2" w:rsidRDefault="00320145" w:rsidP="00214239">
      <w:pPr>
        <w:pStyle w:val="Default"/>
        <w:jc w:val="both"/>
        <w:rPr>
          <w:rFonts w:asciiTheme="minorHAnsi" w:hAnsiTheme="minorHAnsi"/>
          <w:color w:val="auto"/>
          <w:sz w:val="26"/>
          <w:szCs w:val="26"/>
        </w:rPr>
      </w:pPr>
    </w:p>
    <w:p w:rsidR="00320145" w:rsidRPr="003B0BE2" w:rsidRDefault="00320145" w:rsidP="00214239">
      <w:pPr>
        <w:pStyle w:val="Default"/>
        <w:jc w:val="both"/>
        <w:rPr>
          <w:rFonts w:asciiTheme="minorHAnsi" w:hAnsiTheme="minorHAnsi"/>
          <w:color w:val="auto"/>
          <w:sz w:val="26"/>
          <w:szCs w:val="26"/>
        </w:rPr>
      </w:pPr>
      <w:r w:rsidRPr="003B0BE2">
        <w:rPr>
          <w:rFonts w:asciiTheme="minorHAnsi" w:hAnsiTheme="minorHAnsi"/>
          <w:b/>
          <w:bCs/>
          <w:color w:val="auto"/>
          <w:sz w:val="26"/>
          <w:szCs w:val="26"/>
          <w:u w:val="single"/>
        </w:rPr>
        <w:t>Exemple</w:t>
      </w:r>
      <w:r w:rsidRPr="003B0BE2">
        <w:rPr>
          <w:rFonts w:asciiTheme="minorHAnsi" w:hAnsiTheme="minorHAnsi"/>
          <w:b/>
          <w:bCs/>
          <w:color w:val="auto"/>
          <w:sz w:val="26"/>
          <w:szCs w:val="26"/>
        </w:rPr>
        <w:t xml:space="preserve"> </w:t>
      </w:r>
      <w:r w:rsidRPr="003B0BE2">
        <w:rPr>
          <w:rFonts w:asciiTheme="minorHAnsi" w:hAnsiTheme="minorHAnsi"/>
          <w:color w:val="auto"/>
          <w:sz w:val="26"/>
          <w:szCs w:val="26"/>
        </w:rPr>
        <w:t xml:space="preserve">: des décisions judiciaires portant annulation des enquêtes préliminaires pour cause d’avoir été faite sous la torture. 3 </w:t>
      </w:r>
    </w:p>
    <w:p w:rsidR="00320145" w:rsidRPr="003B0BE2" w:rsidRDefault="00320145" w:rsidP="00214239">
      <w:pPr>
        <w:pStyle w:val="Default"/>
        <w:jc w:val="both"/>
        <w:rPr>
          <w:rFonts w:asciiTheme="minorHAnsi" w:hAnsiTheme="minorHAnsi"/>
          <w:color w:val="auto"/>
          <w:sz w:val="26"/>
          <w:szCs w:val="26"/>
        </w:rPr>
      </w:pPr>
    </w:p>
    <w:p w:rsidR="00320145" w:rsidRPr="003B0BE2" w:rsidRDefault="003B0BE2" w:rsidP="00214239">
      <w:pPr>
        <w:pStyle w:val="Default"/>
        <w:jc w:val="both"/>
        <w:rPr>
          <w:rFonts w:asciiTheme="minorHAnsi" w:hAnsiTheme="minorHAnsi"/>
          <w:b/>
          <w:bCs/>
          <w:color w:val="auto"/>
          <w:sz w:val="26"/>
          <w:szCs w:val="26"/>
        </w:rPr>
      </w:pPr>
      <w:r w:rsidRPr="003B0BE2">
        <w:rPr>
          <w:rFonts w:asciiTheme="minorHAnsi" w:hAnsiTheme="minorHAnsi"/>
          <w:b/>
          <w:bCs/>
          <w:color w:val="auto"/>
          <w:sz w:val="26"/>
          <w:szCs w:val="26"/>
        </w:rPr>
        <w:t xml:space="preserve">V. </w:t>
      </w:r>
      <w:r w:rsidR="00320145" w:rsidRPr="003B0BE2">
        <w:rPr>
          <w:rFonts w:asciiTheme="minorHAnsi" w:hAnsiTheme="minorHAnsi"/>
          <w:b/>
          <w:bCs/>
          <w:color w:val="auto"/>
          <w:sz w:val="26"/>
          <w:szCs w:val="26"/>
        </w:rPr>
        <w:t xml:space="preserve">Cadre institutionnel </w:t>
      </w:r>
    </w:p>
    <w:p w:rsidR="00320145" w:rsidRPr="003B0BE2" w:rsidRDefault="00320145" w:rsidP="00214239">
      <w:pPr>
        <w:pStyle w:val="Default"/>
        <w:jc w:val="both"/>
        <w:rPr>
          <w:rFonts w:asciiTheme="minorHAnsi" w:hAnsiTheme="minorHAnsi"/>
          <w:color w:val="auto"/>
          <w:sz w:val="26"/>
          <w:szCs w:val="26"/>
        </w:rPr>
      </w:pPr>
    </w:p>
    <w:p w:rsidR="00320145" w:rsidRPr="003B0BE2" w:rsidRDefault="00320145" w:rsidP="00214239">
      <w:pPr>
        <w:pStyle w:val="Default"/>
        <w:jc w:val="both"/>
        <w:rPr>
          <w:rFonts w:asciiTheme="minorHAnsi" w:hAnsiTheme="minorHAnsi"/>
          <w:color w:val="auto"/>
          <w:sz w:val="26"/>
          <w:szCs w:val="26"/>
        </w:rPr>
      </w:pPr>
      <w:r w:rsidRPr="003B0BE2">
        <w:rPr>
          <w:rFonts w:asciiTheme="minorHAnsi" w:hAnsiTheme="minorHAnsi"/>
          <w:color w:val="auto"/>
          <w:sz w:val="26"/>
          <w:szCs w:val="26"/>
        </w:rPr>
        <w:t xml:space="preserve">Le cadre institutionnel de prévention et de lutte contre la torture a connu des avancées certaines marquées, notamment par la mise place du Mécanisme National de Prévention de la Torture (1), le renforcement de la Commission Nationale des Droits de l’Homme(2) et l’importante contribution des Organisations de la Société Civile (3). </w:t>
      </w:r>
    </w:p>
    <w:p w:rsidR="00214239" w:rsidRPr="003B0BE2" w:rsidRDefault="00214239" w:rsidP="00214239">
      <w:pPr>
        <w:pStyle w:val="Default"/>
        <w:jc w:val="both"/>
        <w:rPr>
          <w:rFonts w:asciiTheme="minorHAnsi" w:hAnsiTheme="minorHAnsi"/>
          <w:color w:val="auto"/>
          <w:sz w:val="26"/>
          <w:szCs w:val="26"/>
        </w:rPr>
      </w:pPr>
    </w:p>
    <w:p w:rsidR="00320145" w:rsidRPr="003B0BE2" w:rsidRDefault="00320145" w:rsidP="00214239">
      <w:pPr>
        <w:pStyle w:val="Default"/>
        <w:jc w:val="both"/>
        <w:rPr>
          <w:rFonts w:asciiTheme="minorHAnsi" w:hAnsiTheme="minorHAnsi"/>
          <w:color w:val="auto"/>
          <w:sz w:val="26"/>
          <w:szCs w:val="26"/>
        </w:rPr>
      </w:pPr>
      <w:r w:rsidRPr="003B0BE2">
        <w:rPr>
          <w:rFonts w:asciiTheme="minorHAnsi" w:hAnsiTheme="minorHAnsi"/>
          <w:b/>
          <w:bCs/>
          <w:color w:val="auto"/>
          <w:sz w:val="26"/>
          <w:szCs w:val="26"/>
        </w:rPr>
        <w:t xml:space="preserve">1. Le Mécanisme National de Prévention contre la Torture (MNP) </w:t>
      </w:r>
      <w:r w:rsidRPr="003B0BE2">
        <w:rPr>
          <w:rFonts w:asciiTheme="minorHAnsi" w:hAnsiTheme="minorHAnsi"/>
          <w:color w:val="auto"/>
          <w:sz w:val="26"/>
          <w:szCs w:val="26"/>
        </w:rPr>
        <w:t xml:space="preserve">a été créé par la loi n°2015-034. La principale mission du MNP est d’effectuer des visites régulières programmées ou inopinées sans aucun préavis et à tout moment dans tous les lieux où se trouvent où pourraient se trouver des personnes privées de libertés afin de s’informer sur les conditions des détenus et de s’assurer qu’ils n’ont pas été victimes de torture et d’autres peines ou traitements cruels, inhumains ou dégradants. </w:t>
      </w:r>
    </w:p>
    <w:p w:rsidR="00320145" w:rsidRPr="003B0BE2" w:rsidRDefault="00320145" w:rsidP="00214239">
      <w:pPr>
        <w:pStyle w:val="SingleTxtG"/>
        <w:ind w:left="0" w:right="-1"/>
        <w:rPr>
          <w:rFonts w:asciiTheme="minorHAnsi" w:eastAsia="Calibri" w:hAnsiTheme="minorHAnsi"/>
          <w:sz w:val="26"/>
          <w:szCs w:val="26"/>
          <w:lang w:val="fr-FR" w:eastAsia="fr-FR"/>
        </w:rPr>
      </w:pPr>
      <w:r w:rsidRPr="003B0BE2">
        <w:rPr>
          <w:rFonts w:asciiTheme="minorHAnsi" w:hAnsiTheme="minorHAnsi"/>
          <w:sz w:val="26"/>
          <w:szCs w:val="26"/>
        </w:rPr>
        <w:t>Il reçoit les plaintes et allégations de torture et autres peines ou traitements cruels, inhumains ou dégradants survenus dans les lieux de privation de liberté et les transmet aux autorités administratives et judiciaires, ou autres institutions compétentes pour enquêter.</w:t>
      </w:r>
    </w:p>
    <w:p w:rsidR="001C02BD" w:rsidRPr="003B0BE2" w:rsidRDefault="001C02BD" w:rsidP="001C02BD">
      <w:pPr>
        <w:pStyle w:val="SingleTxtG"/>
        <w:ind w:left="0" w:right="-1"/>
        <w:rPr>
          <w:rFonts w:asciiTheme="minorHAnsi" w:eastAsia="Calibri" w:hAnsiTheme="minorHAnsi"/>
          <w:sz w:val="26"/>
          <w:szCs w:val="26"/>
          <w:lang w:val="fr-FR" w:eastAsia="fr-FR"/>
        </w:rPr>
      </w:pPr>
      <w:r w:rsidRPr="003B0BE2">
        <w:rPr>
          <w:rFonts w:asciiTheme="minorHAnsi" w:eastAsia="Calibri" w:hAnsiTheme="minorHAnsi"/>
          <w:sz w:val="26"/>
          <w:szCs w:val="26"/>
          <w:lang w:val="fr-FR" w:eastAsia="fr-FR"/>
        </w:rPr>
        <w:t>Le Mécanisme National de Prévention de la Torture veille au respect de la législation en vigueur dans ce domaine.</w:t>
      </w:r>
    </w:p>
    <w:p w:rsidR="001C02BD" w:rsidRPr="003B0BE2" w:rsidRDefault="001C02BD" w:rsidP="001C02BD">
      <w:pPr>
        <w:pStyle w:val="SingleTxtG"/>
        <w:ind w:left="0" w:right="-1"/>
        <w:rPr>
          <w:rFonts w:asciiTheme="minorHAnsi" w:eastAsia="Calibri" w:hAnsiTheme="minorHAnsi"/>
          <w:sz w:val="26"/>
          <w:szCs w:val="26"/>
          <w:lang w:val="fr-FR" w:eastAsia="fr-FR"/>
        </w:rPr>
      </w:pPr>
      <w:r w:rsidRPr="003B0BE2">
        <w:rPr>
          <w:rFonts w:asciiTheme="minorHAnsi" w:eastAsia="Calibri" w:hAnsiTheme="minorHAnsi"/>
          <w:sz w:val="26"/>
          <w:szCs w:val="26"/>
          <w:lang w:val="fr-FR" w:eastAsia="fr-FR"/>
        </w:rPr>
        <w:t>Le Haut Conseil de la Fatwa et des Recours Gracieux en fait de même dans son domaine de compétence.</w:t>
      </w:r>
    </w:p>
    <w:p w:rsidR="001C02BD" w:rsidRPr="003B0BE2" w:rsidRDefault="001C02BD" w:rsidP="001C02BD">
      <w:pPr>
        <w:pStyle w:val="SingleTxtG"/>
        <w:ind w:left="0" w:right="-1"/>
        <w:rPr>
          <w:rFonts w:asciiTheme="minorHAnsi" w:eastAsia="Calibri" w:hAnsiTheme="minorHAnsi"/>
          <w:sz w:val="26"/>
          <w:szCs w:val="26"/>
          <w:lang w:val="fr-FR" w:eastAsia="fr-FR"/>
        </w:rPr>
      </w:pPr>
      <w:r w:rsidRPr="003B0BE2">
        <w:rPr>
          <w:rFonts w:asciiTheme="minorHAnsi" w:eastAsia="Calibri" w:hAnsiTheme="minorHAnsi"/>
          <w:sz w:val="26"/>
          <w:szCs w:val="26"/>
          <w:lang w:val="fr-FR" w:eastAsia="fr-FR"/>
        </w:rPr>
        <w:t>Les associations sont régies par la loi 64.098 du 9 juin 1964 modifiée par la loi 73.007 du 23 juin 1973 et par la loi 73.157 du 2 juillet 1973. Plus de 6028 ONG nationales et 57 organisations non gouvernementales internationales exercent leurs activités. Le nombre d’associations a nettement augmenté à partir de 2008 où il n’était que de 1106 associations. Les associations sont actives dans les domaines  des droits de l’homme, du social, du développement, de la santé, de l’environnement, de la culture, du sport, des arts, etc. Elles peuvent, sur demande, bénéficier d’exonérations fiscales sur le matériel destiné à la réalisation de leurs activités. Cette exonération est de droit lorsque l’association est  déclarée d’utilité publique.</w:t>
      </w:r>
    </w:p>
    <w:p w:rsidR="001C02BD" w:rsidRPr="003B0BE2" w:rsidRDefault="001C02BD" w:rsidP="001C02BD">
      <w:pPr>
        <w:pStyle w:val="SingleTxtG"/>
        <w:ind w:left="0" w:right="-1"/>
        <w:rPr>
          <w:rFonts w:asciiTheme="minorHAnsi" w:eastAsia="Calibri" w:hAnsiTheme="minorHAnsi"/>
          <w:sz w:val="26"/>
          <w:szCs w:val="26"/>
          <w:lang w:val="fr-FR" w:eastAsia="fr-FR"/>
        </w:rPr>
      </w:pPr>
      <w:bookmarkStart w:id="13" w:name="_Toc453672875"/>
      <w:bookmarkStart w:id="14" w:name="_Toc454388714"/>
      <w:bookmarkStart w:id="15" w:name="_Toc455364133"/>
      <w:r w:rsidRPr="003B0BE2">
        <w:rPr>
          <w:rFonts w:asciiTheme="minorHAnsi" w:eastAsia="Calibri" w:hAnsiTheme="minorHAnsi"/>
          <w:sz w:val="26"/>
          <w:szCs w:val="26"/>
          <w:lang w:val="fr-FR" w:eastAsia="fr-FR"/>
        </w:rPr>
        <w:t>Reconnaissance de la compétence d’une cour régionale des droits de l’homme ou d’un mécanisme de cet ordre</w:t>
      </w:r>
      <w:bookmarkEnd w:id="13"/>
      <w:bookmarkEnd w:id="14"/>
      <w:bookmarkEnd w:id="15"/>
      <w:r w:rsidRPr="003B0BE2">
        <w:rPr>
          <w:rFonts w:asciiTheme="minorHAnsi" w:eastAsia="Calibri" w:hAnsiTheme="minorHAnsi"/>
          <w:sz w:val="26"/>
          <w:szCs w:val="26"/>
          <w:lang w:val="fr-FR" w:eastAsia="fr-FR"/>
        </w:rPr>
        <w:t> </w:t>
      </w:r>
    </w:p>
    <w:p w:rsidR="001C02BD" w:rsidRPr="003B0BE2" w:rsidRDefault="001C02BD" w:rsidP="001C02BD">
      <w:pPr>
        <w:pStyle w:val="SingleTxtG"/>
        <w:ind w:left="0" w:right="-1"/>
        <w:rPr>
          <w:rFonts w:asciiTheme="minorHAnsi" w:eastAsia="Calibri" w:hAnsiTheme="minorHAnsi"/>
          <w:sz w:val="26"/>
          <w:szCs w:val="26"/>
          <w:lang w:val="fr-FR" w:eastAsia="fr-FR"/>
        </w:rPr>
      </w:pPr>
      <w:r w:rsidRPr="003B0BE2">
        <w:rPr>
          <w:rFonts w:asciiTheme="minorHAnsi" w:eastAsia="Calibri" w:hAnsiTheme="minorHAnsi"/>
          <w:sz w:val="26"/>
          <w:szCs w:val="26"/>
          <w:lang w:val="fr-FR" w:eastAsia="fr-FR"/>
        </w:rPr>
        <w:t xml:space="preserve">La Mauritanie a souscrit à la compétence de la Cour africaine des droits de l’homme et des peuples. </w:t>
      </w:r>
      <w:bookmarkStart w:id="16" w:name="_Toc453672876"/>
    </w:p>
    <w:p w:rsidR="001C02BD" w:rsidRPr="003B0BE2" w:rsidRDefault="003B0BE2" w:rsidP="001C02BD">
      <w:pPr>
        <w:pStyle w:val="SingleTxtG"/>
        <w:tabs>
          <w:tab w:val="left" w:pos="993"/>
        </w:tabs>
        <w:ind w:left="0" w:right="0"/>
        <w:outlineLvl w:val="2"/>
        <w:rPr>
          <w:rFonts w:asciiTheme="minorHAnsi" w:hAnsiTheme="minorHAnsi"/>
          <w:b/>
          <w:bCs/>
          <w:sz w:val="26"/>
          <w:szCs w:val="26"/>
        </w:rPr>
      </w:pPr>
      <w:bookmarkStart w:id="17" w:name="_Toc455364134"/>
      <w:bookmarkStart w:id="18" w:name="_Toc498901337"/>
      <w:r w:rsidRPr="003B0BE2">
        <w:rPr>
          <w:rFonts w:asciiTheme="minorHAnsi" w:hAnsiTheme="minorHAnsi"/>
          <w:b/>
          <w:bCs/>
          <w:sz w:val="26"/>
          <w:szCs w:val="26"/>
        </w:rPr>
        <w:t xml:space="preserve">VI. </w:t>
      </w:r>
      <w:r w:rsidR="001C02BD" w:rsidRPr="003B0BE2">
        <w:rPr>
          <w:rFonts w:asciiTheme="minorHAnsi" w:hAnsiTheme="minorHAnsi"/>
          <w:b/>
          <w:bCs/>
          <w:sz w:val="26"/>
          <w:szCs w:val="26"/>
        </w:rPr>
        <w:t>Diffusion des instruments relatifs aux droits de l’homme</w:t>
      </w:r>
      <w:bookmarkEnd w:id="16"/>
      <w:bookmarkEnd w:id="17"/>
      <w:bookmarkEnd w:id="18"/>
    </w:p>
    <w:p w:rsidR="001C02BD" w:rsidRPr="003B0BE2" w:rsidRDefault="001C02BD" w:rsidP="001C02BD">
      <w:pPr>
        <w:pStyle w:val="SingleTxtG"/>
        <w:ind w:left="0" w:right="-1"/>
        <w:rPr>
          <w:rFonts w:asciiTheme="minorHAnsi" w:eastAsia="Calibri" w:hAnsiTheme="minorHAnsi"/>
          <w:sz w:val="26"/>
          <w:szCs w:val="26"/>
          <w:lang w:val="fr-FR" w:eastAsia="fr-FR"/>
        </w:rPr>
      </w:pPr>
      <w:r w:rsidRPr="003B0BE2">
        <w:rPr>
          <w:rFonts w:asciiTheme="minorHAnsi" w:eastAsia="Calibri" w:hAnsiTheme="minorHAnsi"/>
          <w:sz w:val="26"/>
          <w:szCs w:val="26"/>
          <w:lang w:val="fr-FR" w:eastAsia="fr-FR"/>
        </w:rPr>
        <w:t>Plusieurs conventions ont fait l’objet de campagnes d’information et de sensibilisation. Il s’agit notamment de :</w:t>
      </w:r>
    </w:p>
    <w:p w:rsidR="001C02BD" w:rsidRPr="003B0BE2" w:rsidRDefault="001C02BD" w:rsidP="001C02BD">
      <w:pPr>
        <w:pStyle w:val="SingleTxtG"/>
        <w:tabs>
          <w:tab w:val="left" w:pos="993"/>
        </w:tabs>
        <w:ind w:left="0" w:right="0"/>
        <w:rPr>
          <w:rFonts w:asciiTheme="minorHAnsi" w:hAnsiTheme="minorHAnsi"/>
          <w:sz w:val="26"/>
          <w:szCs w:val="26"/>
        </w:rPr>
      </w:pPr>
      <w:bookmarkStart w:id="19" w:name="_Toc454388715"/>
      <w:r w:rsidRPr="003B0BE2">
        <w:rPr>
          <w:rFonts w:asciiTheme="minorHAnsi" w:hAnsiTheme="minorHAnsi"/>
          <w:sz w:val="26"/>
          <w:szCs w:val="26"/>
        </w:rPr>
        <w:t>Convention sur l’élimination de toutes les formes de discrimination à l’égard des femmes</w:t>
      </w:r>
      <w:bookmarkEnd w:id="19"/>
      <w:r w:rsidRPr="003B0BE2">
        <w:rPr>
          <w:rFonts w:asciiTheme="minorHAnsi" w:hAnsiTheme="minorHAnsi"/>
          <w:sz w:val="26"/>
          <w:szCs w:val="26"/>
        </w:rPr>
        <w:t>. La vulgarisation de cette convention a été concrétisée par:</w:t>
      </w:r>
    </w:p>
    <w:p w:rsidR="001C02BD" w:rsidRPr="003B0BE2" w:rsidRDefault="001C02BD" w:rsidP="001C02BD">
      <w:pPr>
        <w:pStyle w:val="SingleTxtG"/>
        <w:numPr>
          <w:ilvl w:val="0"/>
          <w:numId w:val="2"/>
        </w:numPr>
        <w:tabs>
          <w:tab w:val="left" w:pos="993"/>
        </w:tabs>
        <w:ind w:right="0"/>
        <w:rPr>
          <w:rFonts w:asciiTheme="minorHAnsi" w:hAnsiTheme="minorHAnsi"/>
          <w:sz w:val="26"/>
          <w:szCs w:val="26"/>
        </w:rPr>
      </w:pPr>
      <w:r w:rsidRPr="003B0BE2">
        <w:rPr>
          <w:rFonts w:asciiTheme="minorHAnsi" w:hAnsiTheme="minorHAnsi"/>
          <w:sz w:val="26"/>
          <w:szCs w:val="26"/>
        </w:rPr>
        <w:t>sa traduction dans les quatre langues nationales,</w:t>
      </w:r>
    </w:p>
    <w:p w:rsidR="001C02BD" w:rsidRPr="003B0BE2" w:rsidRDefault="001C02BD" w:rsidP="001C02BD">
      <w:pPr>
        <w:pStyle w:val="SingleTxtG"/>
        <w:numPr>
          <w:ilvl w:val="0"/>
          <w:numId w:val="2"/>
        </w:numPr>
        <w:tabs>
          <w:tab w:val="left" w:pos="993"/>
        </w:tabs>
        <w:ind w:right="0"/>
        <w:rPr>
          <w:rFonts w:asciiTheme="minorHAnsi" w:hAnsiTheme="minorHAnsi"/>
          <w:sz w:val="26"/>
          <w:szCs w:val="26"/>
        </w:rPr>
      </w:pPr>
      <w:r w:rsidRPr="003B0BE2">
        <w:rPr>
          <w:rFonts w:asciiTheme="minorHAnsi" w:hAnsiTheme="minorHAnsi"/>
          <w:sz w:val="26"/>
          <w:szCs w:val="26"/>
        </w:rPr>
        <w:t xml:space="preserve">sa simplification à travers un guide et l’organisation de campagnes de sensibilisation à grande échelle, via les médias publics (radios et télévision), </w:t>
      </w:r>
    </w:p>
    <w:p w:rsidR="001C02BD" w:rsidRPr="003B0BE2" w:rsidRDefault="001C02BD" w:rsidP="001C02BD">
      <w:pPr>
        <w:pStyle w:val="SingleTxtG"/>
        <w:numPr>
          <w:ilvl w:val="0"/>
          <w:numId w:val="2"/>
        </w:numPr>
        <w:tabs>
          <w:tab w:val="left" w:pos="993"/>
        </w:tabs>
        <w:ind w:right="0"/>
        <w:rPr>
          <w:rFonts w:asciiTheme="minorHAnsi" w:hAnsiTheme="minorHAnsi"/>
          <w:sz w:val="26"/>
          <w:szCs w:val="26"/>
        </w:rPr>
      </w:pPr>
      <w:r w:rsidRPr="003B0BE2">
        <w:rPr>
          <w:rFonts w:asciiTheme="minorHAnsi" w:hAnsiTheme="minorHAnsi"/>
          <w:sz w:val="26"/>
          <w:szCs w:val="26"/>
        </w:rPr>
        <w:t xml:space="preserve"> des campagnes de proximité effectuées par les ONG, </w:t>
      </w:r>
    </w:p>
    <w:p w:rsidR="001C02BD" w:rsidRPr="003B0BE2" w:rsidRDefault="001C02BD" w:rsidP="001C02BD">
      <w:pPr>
        <w:pStyle w:val="SingleTxtG"/>
        <w:numPr>
          <w:ilvl w:val="0"/>
          <w:numId w:val="2"/>
        </w:numPr>
        <w:tabs>
          <w:tab w:val="left" w:pos="993"/>
        </w:tabs>
        <w:ind w:right="0"/>
        <w:rPr>
          <w:rFonts w:asciiTheme="minorHAnsi" w:hAnsiTheme="minorHAnsi"/>
          <w:sz w:val="26"/>
          <w:szCs w:val="26"/>
        </w:rPr>
      </w:pPr>
      <w:r w:rsidRPr="003B0BE2">
        <w:rPr>
          <w:rFonts w:asciiTheme="minorHAnsi" w:hAnsiTheme="minorHAnsi"/>
          <w:sz w:val="26"/>
          <w:szCs w:val="26"/>
        </w:rPr>
        <w:t>et  d’autres programmes supervisés par la cellule de communication du MASEF à travers ses coordinations régionales.</w:t>
      </w:r>
    </w:p>
    <w:p w:rsidR="001C02BD" w:rsidRPr="003B0BE2" w:rsidRDefault="001C02BD" w:rsidP="001C02BD">
      <w:pPr>
        <w:pStyle w:val="SingleTxtG"/>
        <w:tabs>
          <w:tab w:val="left" w:pos="993"/>
        </w:tabs>
        <w:ind w:left="0" w:right="0"/>
        <w:rPr>
          <w:rFonts w:asciiTheme="minorHAnsi" w:hAnsiTheme="minorHAnsi"/>
          <w:sz w:val="26"/>
          <w:szCs w:val="26"/>
        </w:rPr>
      </w:pPr>
      <w:bookmarkStart w:id="20" w:name="_Toc454388716"/>
      <w:r w:rsidRPr="003B0BE2">
        <w:rPr>
          <w:rFonts w:asciiTheme="minorHAnsi" w:hAnsiTheme="minorHAnsi"/>
          <w:sz w:val="26"/>
          <w:szCs w:val="26"/>
        </w:rPr>
        <w:t>Convention relative aux droits de l’enfant</w:t>
      </w:r>
      <w:bookmarkEnd w:id="20"/>
      <w:r w:rsidRPr="003B0BE2">
        <w:rPr>
          <w:rFonts w:asciiTheme="minorHAnsi" w:hAnsiTheme="minorHAnsi"/>
          <w:sz w:val="26"/>
          <w:szCs w:val="26"/>
        </w:rPr>
        <w:t>. Cette convention a fait l’objet de diffusion à travers :</w:t>
      </w:r>
    </w:p>
    <w:p w:rsidR="001C02BD" w:rsidRPr="003B0BE2" w:rsidRDefault="001C02BD" w:rsidP="001C02BD">
      <w:pPr>
        <w:pStyle w:val="SingleTxtG"/>
        <w:numPr>
          <w:ilvl w:val="0"/>
          <w:numId w:val="2"/>
        </w:numPr>
        <w:tabs>
          <w:tab w:val="left" w:pos="993"/>
        </w:tabs>
        <w:ind w:right="0"/>
        <w:rPr>
          <w:rFonts w:asciiTheme="minorHAnsi" w:hAnsiTheme="minorHAnsi"/>
          <w:sz w:val="26"/>
          <w:szCs w:val="26"/>
        </w:rPr>
      </w:pPr>
      <w:r w:rsidRPr="003B0BE2">
        <w:rPr>
          <w:rFonts w:asciiTheme="minorHAnsi" w:hAnsiTheme="minorHAnsi"/>
          <w:sz w:val="26"/>
          <w:szCs w:val="26"/>
        </w:rPr>
        <w:t xml:space="preserve">L’élaboration d’un guide simplifié sur la convention et sa vulgarisation ;  </w:t>
      </w:r>
    </w:p>
    <w:p w:rsidR="001C02BD" w:rsidRPr="003B0BE2" w:rsidRDefault="001C02BD" w:rsidP="001C02BD">
      <w:pPr>
        <w:pStyle w:val="SingleTxtG"/>
        <w:numPr>
          <w:ilvl w:val="0"/>
          <w:numId w:val="2"/>
        </w:numPr>
        <w:tabs>
          <w:tab w:val="left" w:pos="993"/>
        </w:tabs>
        <w:ind w:right="0"/>
        <w:rPr>
          <w:rFonts w:asciiTheme="minorHAnsi" w:hAnsiTheme="minorHAnsi"/>
          <w:sz w:val="26"/>
          <w:szCs w:val="26"/>
        </w:rPr>
      </w:pPr>
      <w:r w:rsidRPr="003B0BE2">
        <w:rPr>
          <w:rFonts w:asciiTheme="minorHAnsi" w:hAnsiTheme="minorHAnsi"/>
          <w:sz w:val="26"/>
          <w:szCs w:val="26"/>
        </w:rPr>
        <w:t xml:space="preserve">La création dans les régions de mouvements  des droits de l’enfant composés essentiellement de cellules départementales de promotion des droits de l’enfant ; </w:t>
      </w:r>
    </w:p>
    <w:p w:rsidR="001C02BD" w:rsidRPr="003B0BE2" w:rsidRDefault="001C02BD" w:rsidP="001C02BD">
      <w:pPr>
        <w:pStyle w:val="SingleTxtG"/>
        <w:numPr>
          <w:ilvl w:val="0"/>
          <w:numId w:val="2"/>
        </w:numPr>
        <w:tabs>
          <w:tab w:val="left" w:pos="993"/>
        </w:tabs>
        <w:ind w:right="0"/>
        <w:rPr>
          <w:rFonts w:asciiTheme="minorHAnsi" w:hAnsiTheme="minorHAnsi"/>
          <w:sz w:val="26"/>
          <w:szCs w:val="26"/>
        </w:rPr>
      </w:pPr>
      <w:r w:rsidRPr="003B0BE2">
        <w:rPr>
          <w:rFonts w:asciiTheme="minorHAnsi" w:hAnsiTheme="minorHAnsi"/>
          <w:sz w:val="26"/>
          <w:szCs w:val="26"/>
        </w:rPr>
        <w:t>L’organisation annuelle de campagnes de sensibilisation  sur les droits de l’enfant lors des journées de l’enfance ;</w:t>
      </w:r>
    </w:p>
    <w:p w:rsidR="001C02BD" w:rsidRPr="003B0BE2" w:rsidRDefault="001C02BD" w:rsidP="001C02BD">
      <w:pPr>
        <w:pStyle w:val="SingleTxtG"/>
        <w:numPr>
          <w:ilvl w:val="0"/>
          <w:numId w:val="2"/>
        </w:numPr>
        <w:tabs>
          <w:tab w:val="left" w:pos="993"/>
        </w:tabs>
        <w:ind w:right="0"/>
        <w:rPr>
          <w:rFonts w:asciiTheme="minorHAnsi" w:hAnsiTheme="minorHAnsi"/>
          <w:sz w:val="26"/>
          <w:szCs w:val="26"/>
        </w:rPr>
      </w:pPr>
      <w:r w:rsidRPr="003B0BE2">
        <w:rPr>
          <w:rFonts w:asciiTheme="minorHAnsi" w:hAnsiTheme="minorHAnsi"/>
          <w:sz w:val="26"/>
          <w:szCs w:val="26"/>
        </w:rPr>
        <w:t>La formation des acteurs de la société civile sur  les droits de l’enfant.</w:t>
      </w:r>
    </w:p>
    <w:p w:rsidR="001C02BD" w:rsidRPr="003B0BE2" w:rsidRDefault="001C02BD" w:rsidP="001C02BD">
      <w:pPr>
        <w:pStyle w:val="SingleTxtG"/>
        <w:tabs>
          <w:tab w:val="left" w:pos="993"/>
        </w:tabs>
        <w:ind w:left="0" w:right="0"/>
        <w:rPr>
          <w:rFonts w:asciiTheme="minorHAnsi" w:hAnsiTheme="minorHAnsi"/>
          <w:sz w:val="26"/>
          <w:szCs w:val="26"/>
        </w:rPr>
      </w:pPr>
      <w:bookmarkStart w:id="21" w:name="_Toc454388717"/>
      <w:r w:rsidRPr="003B0BE2">
        <w:rPr>
          <w:rFonts w:asciiTheme="minorHAnsi" w:hAnsiTheme="minorHAnsi"/>
          <w:sz w:val="26"/>
          <w:szCs w:val="26"/>
        </w:rPr>
        <w:t xml:space="preserve"> Convention internationale relative aux droits des personnes handicapées</w:t>
      </w:r>
      <w:bookmarkEnd w:id="21"/>
      <w:r w:rsidRPr="003B0BE2">
        <w:rPr>
          <w:rFonts w:asciiTheme="minorHAnsi" w:hAnsiTheme="minorHAnsi"/>
          <w:sz w:val="26"/>
          <w:szCs w:val="26"/>
        </w:rPr>
        <w:t xml:space="preserve">  Elle a été  vulgarisée à travers :</w:t>
      </w:r>
    </w:p>
    <w:p w:rsidR="001C02BD" w:rsidRPr="003B0BE2" w:rsidRDefault="001C02BD" w:rsidP="001C02BD">
      <w:pPr>
        <w:pStyle w:val="SingleTxtG"/>
        <w:numPr>
          <w:ilvl w:val="0"/>
          <w:numId w:val="2"/>
        </w:numPr>
        <w:tabs>
          <w:tab w:val="left" w:pos="993"/>
        </w:tabs>
        <w:ind w:right="0"/>
        <w:rPr>
          <w:rFonts w:asciiTheme="minorHAnsi" w:hAnsiTheme="minorHAnsi"/>
          <w:sz w:val="26"/>
          <w:szCs w:val="26"/>
        </w:rPr>
      </w:pPr>
      <w:r w:rsidRPr="003B0BE2">
        <w:rPr>
          <w:rFonts w:asciiTheme="minorHAnsi" w:hAnsiTheme="minorHAnsi"/>
          <w:sz w:val="26"/>
          <w:szCs w:val="26"/>
        </w:rPr>
        <w:t>L’organisation de campagnes dans toutes les Wilayas du pays ;</w:t>
      </w:r>
    </w:p>
    <w:p w:rsidR="001C02BD" w:rsidRPr="003B0BE2" w:rsidRDefault="001C02BD" w:rsidP="001C02BD">
      <w:pPr>
        <w:pStyle w:val="SingleTxtG"/>
        <w:numPr>
          <w:ilvl w:val="0"/>
          <w:numId w:val="2"/>
        </w:numPr>
        <w:tabs>
          <w:tab w:val="left" w:pos="993"/>
        </w:tabs>
        <w:ind w:right="0"/>
        <w:rPr>
          <w:rFonts w:asciiTheme="minorHAnsi" w:hAnsiTheme="minorHAnsi"/>
          <w:sz w:val="26"/>
          <w:szCs w:val="26"/>
        </w:rPr>
      </w:pPr>
      <w:r w:rsidRPr="003B0BE2">
        <w:rPr>
          <w:rFonts w:asciiTheme="minorHAnsi" w:hAnsiTheme="minorHAnsi"/>
          <w:sz w:val="26"/>
          <w:szCs w:val="26"/>
        </w:rPr>
        <w:t>L’élaboration d’un guide simplifié sur les dispositions de la convention ;</w:t>
      </w:r>
    </w:p>
    <w:p w:rsidR="001C02BD" w:rsidRPr="003B0BE2" w:rsidRDefault="001C02BD" w:rsidP="001C02BD">
      <w:pPr>
        <w:pStyle w:val="SingleTxtG"/>
        <w:numPr>
          <w:ilvl w:val="0"/>
          <w:numId w:val="2"/>
        </w:numPr>
        <w:tabs>
          <w:tab w:val="left" w:pos="993"/>
        </w:tabs>
        <w:ind w:right="0"/>
        <w:rPr>
          <w:rFonts w:asciiTheme="minorHAnsi" w:hAnsiTheme="minorHAnsi"/>
          <w:sz w:val="26"/>
          <w:szCs w:val="26"/>
        </w:rPr>
      </w:pPr>
      <w:r w:rsidRPr="003B0BE2">
        <w:rPr>
          <w:rFonts w:asciiTheme="minorHAnsi" w:hAnsiTheme="minorHAnsi"/>
          <w:sz w:val="26"/>
          <w:szCs w:val="26"/>
        </w:rPr>
        <w:t>La formation de plusieurs organisations de personnes handicapées.</w:t>
      </w:r>
    </w:p>
    <w:p w:rsidR="001C02BD" w:rsidRPr="003B0BE2" w:rsidRDefault="001C02BD" w:rsidP="001C02BD">
      <w:pPr>
        <w:pStyle w:val="SingleTxtG"/>
        <w:tabs>
          <w:tab w:val="left" w:pos="993"/>
        </w:tabs>
        <w:ind w:left="0" w:right="0"/>
        <w:rPr>
          <w:rFonts w:asciiTheme="minorHAnsi" w:hAnsiTheme="minorHAnsi"/>
          <w:sz w:val="26"/>
          <w:szCs w:val="26"/>
        </w:rPr>
      </w:pPr>
      <w:bookmarkStart w:id="22" w:name="_Toc454388718"/>
      <w:r w:rsidRPr="003B0BE2">
        <w:rPr>
          <w:rFonts w:asciiTheme="minorHAnsi" w:hAnsiTheme="minorHAnsi"/>
          <w:sz w:val="26"/>
          <w:szCs w:val="26"/>
        </w:rPr>
        <w:t>Convention contre la torture et autres peines ou traitements cruels, inhumains ou dégradants</w:t>
      </w:r>
      <w:bookmarkEnd w:id="22"/>
      <w:r w:rsidRPr="003B0BE2">
        <w:rPr>
          <w:rFonts w:asciiTheme="minorHAnsi" w:hAnsiTheme="minorHAnsi"/>
          <w:sz w:val="26"/>
          <w:szCs w:val="26"/>
        </w:rPr>
        <w:t>. Plusieurs activités de vulgarisation de cette convention ont été organisées:</w:t>
      </w:r>
    </w:p>
    <w:p w:rsidR="001C02BD" w:rsidRPr="003B0BE2" w:rsidRDefault="001C02BD" w:rsidP="001C02BD">
      <w:pPr>
        <w:pStyle w:val="SingleTxtG"/>
        <w:ind w:left="0" w:right="-1"/>
        <w:rPr>
          <w:rFonts w:asciiTheme="minorHAnsi" w:eastAsia="Calibri" w:hAnsiTheme="minorHAnsi"/>
          <w:sz w:val="26"/>
          <w:szCs w:val="26"/>
          <w:lang w:val="fr-FR" w:eastAsia="fr-FR"/>
        </w:rPr>
      </w:pPr>
      <w:r w:rsidRPr="003B0BE2">
        <w:rPr>
          <w:rFonts w:asciiTheme="minorHAnsi" w:eastAsia="Calibri" w:hAnsiTheme="minorHAnsi"/>
          <w:sz w:val="26"/>
          <w:szCs w:val="26"/>
          <w:lang w:val="fr-FR" w:eastAsia="fr-FR"/>
        </w:rPr>
        <w:t>Des séminaires de formation et de sensibilisation  à l’intention des éléments des forces  de l’ordre dans le domaine de l’interdiction de la torture et autres peines et traitements inhumains, cruels ou dégradants.</w:t>
      </w:r>
    </w:p>
    <w:p w:rsidR="001C02BD" w:rsidRPr="003B0BE2" w:rsidRDefault="001C02BD" w:rsidP="001C02BD">
      <w:pPr>
        <w:pStyle w:val="SingleTxtG"/>
        <w:ind w:left="0" w:right="-1"/>
        <w:rPr>
          <w:rFonts w:asciiTheme="minorHAnsi" w:eastAsia="Calibri" w:hAnsiTheme="minorHAnsi"/>
          <w:sz w:val="26"/>
          <w:szCs w:val="26"/>
          <w:lang w:val="fr-FR" w:eastAsia="fr-FR"/>
        </w:rPr>
      </w:pPr>
      <w:r w:rsidRPr="003B0BE2">
        <w:rPr>
          <w:rFonts w:asciiTheme="minorHAnsi" w:eastAsia="Calibri" w:hAnsiTheme="minorHAnsi"/>
          <w:sz w:val="26"/>
          <w:szCs w:val="26"/>
          <w:lang w:val="fr-FR" w:eastAsia="fr-FR"/>
        </w:rPr>
        <w:t>Des ateliers  au profit des magistrats et officiers de police judiciaire sur la garde à vue  et  la lutte contre la torture ;</w:t>
      </w:r>
    </w:p>
    <w:p w:rsidR="001C02BD" w:rsidRPr="003B0BE2" w:rsidRDefault="001C02BD" w:rsidP="001C02BD">
      <w:pPr>
        <w:pStyle w:val="SingleTxtG"/>
        <w:ind w:left="0" w:right="-1"/>
        <w:rPr>
          <w:rFonts w:asciiTheme="minorHAnsi" w:eastAsia="Calibri" w:hAnsiTheme="minorHAnsi"/>
          <w:sz w:val="26"/>
          <w:szCs w:val="26"/>
          <w:lang w:val="fr-FR" w:eastAsia="fr-FR"/>
        </w:rPr>
      </w:pPr>
      <w:r w:rsidRPr="003B0BE2">
        <w:rPr>
          <w:rFonts w:asciiTheme="minorHAnsi" w:eastAsia="Calibri" w:hAnsiTheme="minorHAnsi"/>
          <w:sz w:val="26"/>
          <w:szCs w:val="26"/>
          <w:lang w:val="fr-FR" w:eastAsia="fr-FR"/>
        </w:rPr>
        <w:t>Les autorités administratives et judiciaires sont tenues d’ouvrir systématiquement des enquêtes dès qu’il y a allégation de torture.</w:t>
      </w:r>
    </w:p>
    <w:p w:rsidR="001C02BD" w:rsidRPr="003B0BE2" w:rsidRDefault="001C02BD" w:rsidP="001C02BD">
      <w:pPr>
        <w:pStyle w:val="SingleTxtG"/>
        <w:ind w:left="0" w:right="-1"/>
        <w:rPr>
          <w:rFonts w:asciiTheme="minorHAnsi" w:eastAsia="Calibri" w:hAnsiTheme="minorHAnsi"/>
          <w:sz w:val="26"/>
          <w:szCs w:val="26"/>
          <w:lang w:val="fr-FR" w:eastAsia="fr-FR"/>
        </w:rPr>
      </w:pPr>
      <w:r w:rsidRPr="003B0BE2">
        <w:rPr>
          <w:rFonts w:asciiTheme="minorHAnsi" w:eastAsia="Calibri" w:hAnsiTheme="minorHAnsi"/>
          <w:sz w:val="26"/>
          <w:szCs w:val="26"/>
          <w:lang w:val="fr-FR" w:eastAsia="fr-FR"/>
        </w:rPr>
        <w:t xml:space="preserve">Les sanctions, s’il ya lieu, sont celles prévues par la loi n°2015.033 du 10 septembre 2015 portant répression de la torture. </w:t>
      </w:r>
    </w:p>
    <w:p w:rsidR="001C02BD" w:rsidRPr="003B0BE2" w:rsidRDefault="001C02BD" w:rsidP="001C02BD">
      <w:pPr>
        <w:pStyle w:val="SingleTxtG"/>
        <w:ind w:left="0" w:right="-1"/>
        <w:rPr>
          <w:rFonts w:asciiTheme="minorHAnsi" w:hAnsiTheme="minorHAnsi"/>
          <w:sz w:val="26"/>
          <w:szCs w:val="26"/>
        </w:rPr>
      </w:pPr>
      <w:r w:rsidRPr="003B0BE2">
        <w:rPr>
          <w:rFonts w:asciiTheme="minorHAnsi" w:eastAsia="Calibri" w:hAnsiTheme="minorHAnsi"/>
          <w:sz w:val="26"/>
          <w:szCs w:val="26"/>
          <w:lang w:val="fr-FR" w:eastAsia="fr-FR"/>
        </w:rPr>
        <w:t>Tous les instruments internationaux objet de contrôle des organes de traités ratifiés par la Mauritanie</w:t>
      </w:r>
      <w:r w:rsidRPr="003B0BE2">
        <w:rPr>
          <w:rFonts w:asciiTheme="minorHAnsi" w:hAnsiTheme="minorHAnsi"/>
          <w:sz w:val="26"/>
          <w:szCs w:val="26"/>
        </w:rPr>
        <w:t xml:space="preserve"> ont été publiés au journal officiel. </w:t>
      </w:r>
    </w:p>
    <w:p w:rsidR="001C02BD" w:rsidRPr="003B0BE2" w:rsidRDefault="003B0BE2" w:rsidP="001C02BD">
      <w:pPr>
        <w:pStyle w:val="SingleTxtG"/>
        <w:tabs>
          <w:tab w:val="left" w:pos="993"/>
        </w:tabs>
        <w:ind w:left="0" w:right="0"/>
        <w:outlineLvl w:val="2"/>
        <w:rPr>
          <w:rFonts w:asciiTheme="minorHAnsi" w:hAnsiTheme="minorHAnsi"/>
          <w:b/>
          <w:bCs/>
          <w:sz w:val="26"/>
          <w:szCs w:val="26"/>
        </w:rPr>
      </w:pPr>
      <w:bookmarkStart w:id="23" w:name="_Toc453672877"/>
      <w:bookmarkStart w:id="24" w:name="_Toc454388719"/>
      <w:bookmarkStart w:id="25" w:name="_Toc455364135"/>
      <w:bookmarkStart w:id="26" w:name="_Toc498901338"/>
      <w:r w:rsidRPr="003B0BE2">
        <w:rPr>
          <w:rFonts w:asciiTheme="minorHAnsi" w:hAnsiTheme="minorHAnsi"/>
          <w:b/>
          <w:bCs/>
          <w:sz w:val="26"/>
          <w:szCs w:val="26"/>
        </w:rPr>
        <w:t xml:space="preserve">VII. </w:t>
      </w:r>
      <w:r w:rsidR="001C02BD" w:rsidRPr="003B0BE2">
        <w:rPr>
          <w:rFonts w:asciiTheme="minorHAnsi" w:hAnsiTheme="minorHAnsi"/>
          <w:b/>
          <w:bCs/>
          <w:sz w:val="26"/>
          <w:szCs w:val="26"/>
        </w:rPr>
        <w:t>Actions de sensibilisation des agents publics et d’autres professionnels des droits de l’homme</w:t>
      </w:r>
      <w:bookmarkEnd w:id="23"/>
      <w:bookmarkEnd w:id="24"/>
      <w:bookmarkEnd w:id="25"/>
      <w:bookmarkEnd w:id="26"/>
      <w:r w:rsidR="001C02BD" w:rsidRPr="003B0BE2">
        <w:rPr>
          <w:rFonts w:asciiTheme="minorHAnsi" w:hAnsiTheme="minorHAnsi"/>
          <w:b/>
          <w:bCs/>
          <w:sz w:val="26"/>
          <w:szCs w:val="26"/>
        </w:rPr>
        <w:t xml:space="preserve"> </w:t>
      </w:r>
    </w:p>
    <w:p w:rsidR="001C02BD" w:rsidRPr="003B0BE2" w:rsidRDefault="001C02BD" w:rsidP="001C02BD">
      <w:pPr>
        <w:pStyle w:val="SingleTxtG"/>
        <w:tabs>
          <w:tab w:val="left" w:pos="993"/>
        </w:tabs>
        <w:ind w:left="0" w:right="0"/>
        <w:outlineLvl w:val="2"/>
        <w:rPr>
          <w:rFonts w:asciiTheme="minorHAnsi" w:hAnsiTheme="minorHAnsi"/>
          <w:b/>
          <w:bCs/>
          <w:sz w:val="26"/>
          <w:szCs w:val="26"/>
        </w:rPr>
      </w:pPr>
      <w:r w:rsidRPr="003B0BE2">
        <w:rPr>
          <w:rFonts w:asciiTheme="minorHAnsi" w:eastAsia="Calibri" w:hAnsiTheme="minorHAnsi"/>
          <w:sz w:val="26"/>
          <w:szCs w:val="26"/>
          <w:lang w:val="fr-FR" w:eastAsia="fr-FR"/>
        </w:rPr>
        <w:t>Des  plans d’action de sensibilisation et de formation des fonctionnaires sur le respect des droits de l’homme ont été mis en œuvre. Des séminaires ont été organisés à l’intention des agents de la force publique par le Ministère de la Justice, le Commissariat aux Droits de l’Homme et à l’Action Humanitaire et la Commission Nationale des Droits de l’Homme, avec l’appui technique du bureau du Haut Commissariat des Nations Unies aux Droits de l’Homme, l’Association pour la Prévention de la Torture(APT) et l’Action Contre la torture (ACAT).</w:t>
      </w:r>
    </w:p>
    <w:p w:rsidR="001C02BD" w:rsidRPr="003B0BE2" w:rsidRDefault="001C02BD" w:rsidP="001C02BD">
      <w:pPr>
        <w:pStyle w:val="SingleTxtG"/>
        <w:ind w:left="0" w:right="-1"/>
        <w:rPr>
          <w:rFonts w:asciiTheme="minorHAnsi" w:eastAsia="Calibri" w:hAnsiTheme="minorHAnsi"/>
          <w:sz w:val="26"/>
          <w:szCs w:val="26"/>
          <w:lang w:val="fr-FR" w:eastAsia="fr-FR"/>
        </w:rPr>
      </w:pPr>
      <w:bookmarkStart w:id="27" w:name="_Toc455364136"/>
      <w:r w:rsidRPr="003B0BE2">
        <w:rPr>
          <w:rFonts w:asciiTheme="minorHAnsi" w:eastAsia="Calibri" w:hAnsiTheme="minorHAnsi"/>
          <w:sz w:val="26"/>
          <w:szCs w:val="26"/>
          <w:lang w:val="fr-FR" w:eastAsia="fr-FR"/>
        </w:rPr>
        <w:t>Actions de sensibilisation au moyen de programmes éducatifs et la diffusion d’informations</w:t>
      </w:r>
      <w:bookmarkEnd w:id="27"/>
      <w:r w:rsidRPr="003B0BE2">
        <w:rPr>
          <w:rFonts w:asciiTheme="minorHAnsi" w:eastAsia="Calibri" w:hAnsiTheme="minorHAnsi"/>
          <w:sz w:val="26"/>
          <w:szCs w:val="26"/>
          <w:lang w:val="fr-FR" w:eastAsia="fr-FR"/>
        </w:rPr>
        <w:t xml:space="preserve">  à travers des « Clubs d’ Hygiène, Santé et Environnement".</w:t>
      </w:r>
    </w:p>
    <w:p w:rsidR="001C02BD" w:rsidRPr="003B0BE2" w:rsidRDefault="001C02BD" w:rsidP="001C02BD">
      <w:pPr>
        <w:pStyle w:val="SingleTxtG"/>
        <w:ind w:left="0" w:right="-1"/>
        <w:rPr>
          <w:rFonts w:asciiTheme="minorHAnsi" w:hAnsiTheme="minorHAnsi"/>
          <w:sz w:val="26"/>
          <w:szCs w:val="26"/>
        </w:rPr>
      </w:pPr>
      <w:r w:rsidRPr="003B0BE2">
        <w:rPr>
          <w:rFonts w:asciiTheme="minorHAnsi" w:eastAsia="Calibri" w:hAnsiTheme="minorHAnsi"/>
          <w:sz w:val="26"/>
          <w:szCs w:val="26"/>
          <w:lang w:val="fr-FR" w:eastAsia="fr-FR"/>
        </w:rPr>
        <w:t>Une formation initiale (Ecoles normales des instituteurs ; Ecole Normale Supérieure</w:t>
      </w:r>
      <w:r w:rsidRPr="003B0BE2">
        <w:rPr>
          <w:rFonts w:asciiTheme="minorHAnsi" w:hAnsiTheme="minorHAnsi"/>
          <w:sz w:val="26"/>
          <w:szCs w:val="26"/>
        </w:rPr>
        <w:t>, ENAJM).</w:t>
      </w:r>
    </w:p>
    <w:p w:rsidR="001C02BD" w:rsidRPr="003B0BE2" w:rsidRDefault="001C02BD" w:rsidP="001C02BD">
      <w:pPr>
        <w:pStyle w:val="SingleTxtG"/>
        <w:ind w:left="0" w:right="-1"/>
        <w:rPr>
          <w:rFonts w:asciiTheme="minorHAnsi" w:hAnsiTheme="minorHAnsi"/>
          <w:sz w:val="26"/>
          <w:szCs w:val="26"/>
        </w:rPr>
      </w:pPr>
      <w:r w:rsidRPr="003B0BE2">
        <w:rPr>
          <w:rFonts w:asciiTheme="minorHAnsi" w:hAnsiTheme="minorHAnsi"/>
          <w:sz w:val="26"/>
          <w:szCs w:val="26"/>
        </w:rPr>
        <w:t>Une formation continue (campagnes de sensibilisation et modules ponctuels).</w:t>
      </w:r>
    </w:p>
    <w:p w:rsidR="001C02BD" w:rsidRPr="003B0BE2" w:rsidRDefault="003B0BE2" w:rsidP="001C02BD">
      <w:pPr>
        <w:pStyle w:val="SingleTxtG"/>
        <w:tabs>
          <w:tab w:val="left" w:pos="993"/>
        </w:tabs>
        <w:ind w:left="0" w:right="0"/>
        <w:rPr>
          <w:rFonts w:asciiTheme="minorHAnsi" w:hAnsiTheme="minorHAnsi"/>
          <w:sz w:val="26"/>
          <w:szCs w:val="26"/>
        </w:rPr>
      </w:pPr>
      <w:bookmarkStart w:id="28" w:name="_Toc454388720"/>
      <w:bookmarkStart w:id="29" w:name="_Toc455360517"/>
      <w:bookmarkStart w:id="30" w:name="_Toc455364137"/>
      <w:bookmarkStart w:id="31" w:name="_Toc453672879"/>
      <w:r w:rsidRPr="003B0BE2">
        <w:rPr>
          <w:rFonts w:asciiTheme="minorHAnsi" w:hAnsiTheme="minorHAnsi"/>
          <w:b/>
          <w:bCs/>
          <w:sz w:val="26"/>
          <w:szCs w:val="26"/>
        </w:rPr>
        <w:t xml:space="preserve">VIII. </w:t>
      </w:r>
      <w:r w:rsidR="001C02BD" w:rsidRPr="003B0BE2">
        <w:rPr>
          <w:rFonts w:asciiTheme="minorHAnsi" w:hAnsiTheme="minorHAnsi"/>
          <w:b/>
          <w:bCs/>
          <w:sz w:val="26"/>
          <w:szCs w:val="26"/>
        </w:rPr>
        <w:t>Actions de sensibilisation  aux droits de l’homme par le canal des médias</w:t>
      </w:r>
      <w:bookmarkEnd w:id="28"/>
      <w:bookmarkEnd w:id="29"/>
      <w:bookmarkEnd w:id="30"/>
      <w:r w:rsidR="001C02BD" w:rsidRPr="003B0BE2">
        <w:rPr>
          <w:rFonts w:asciiTheme="minorHAnsi" w:hAnsiTheme="minorHAnsi"/>
          <w:sz w:val="26"/>
          <w:szCs w:val="26"/>
        </w:rPr>
        <w:t> </w:t>
      </w:r>
      <w:bookmarkEnd w:id="31"/>
    </w:p>
    <w:p w:rsidR="001C02BD" w:rsidRPr="003B0BE2" w:rsidRDefault="001C02BD" w:rsidP="001C02BD">
      <w:pPr>
        <w:pStyle w:val="SingleTxtG"/>
        <w:tabs>
          <w:tab w:val="left" w:pos="993"/>
        </w:tabs>
        <w:ind w:left="0" w:right="0"/>
        <w:rPr>
          <w:rFonts w:asciiTheme="minorHAnsi" w:hAnsiTheme="minorHAnsi"/>
          <w:sz w:val="26"/>
          <w:szCs w:val="26"/>
        </w:rPr>
      </w:pPr>
      <w:r w:rsidRPr="003B0BE2">
        <w:rPr>
          <w:rFonts w:asciiTheme="minorHAnsi" w:hAnsiTheme="minorHAnsi"/>
          <w:sz w:val="26"/>
          <w:szCs w:val="26"/>
        </w:rPr>
        <w:t>Les média publics et privés sont mis à contribution pour donner un écho national aux activités de promotion et de protection des droits de l’homme. Des émissions radiotélévisées sont périodiquement organisées sur les thèmes  relatifs aux droits de l'homme.</w:t>
      </w:r>
      <w:bookmarkStart w:id="32" w:name="_Toc453672880"/>
    </w:p>
    <w:p w:rsidR="00254C26" w:rsidRPr="003B0BE2" w:rsidRDefault="00254C26">
      <w:pPr>
        <w:suppressAutoHyphens w:val="0"/>
        <w:spacing w:after="200" w:line="276" w:lineRule="auto"/>
        <w:rPr>
          <w:rFonts w:asciiTheme="minorHAnsi" w:hAnsiTheme="minorHAnsi"/>
          <w:b/>
          <w:bCs/>
          <w:sz w:val="26"/>
          <w:szCs w:val="26"/>
        </w:rPr>
      </w:pPr>
      <w:bookmarkStart w:id="33" w:name="_Toc455364138"/>
      <w:bookmarkStart w:id="34" w:name="_Toc498901339"/>
      <w:r w:rsidRPr="003B0BE2">
        <w:rPr>
          <w:rFonts w:asciiTheme="minorHAnsi" w:hAnsiTheme="minorHAnsi"/>
          <w:b/>
          <w:bCs/>
          <w:sz w:val="26"/>
          <w:szCs w:val="26"/>
        </w:rPr>
        <w:br w:type="page"/>
      </w:r>
    </w:p>
    <w:bookmarkEnd w:id="32"/>
    <w:bookmarkEnd w:id="33"/>
    <w:bookmarkEnd w:id="34"/>
    <w:p w:rsidR="001C02BD" w:rsidRDefault="001C02BD" w:rsidP="001C02BD">
      <w:pPr>
        <w:pStyle w:val="SingleTxtG"/>
        <w:ind w:left="0" w:right="-1"/>
        <w:rPr>
          <w:rFonts w:asciiTheme="minorHAnsi" w:hAnsiTheme="minorHAnsi"/>
          <w:sz w:val="26"/>
          <w:szCs w:val="26"/>
        </w:rPr>
      </w:pPr>
      <w:r w:rsidRPr="003B0BE2">
        <w:rPr>
          <w:rFonts w:asciiTheme="minorHAnsi" w:hAnsiTheme="minorHAnsi"/>
          <w:sz w:val="26"/>
          <w:szCs w:val="26"/>
        </w:rPr>
        <w:t xml:space="preserve">La société civile réalise,  en collaboration avec les autorités, des programmes de sensibilisation du grand public sur les droits de l'homme. </w:t>
      </w:r>
      <w:bookmarkStart w:id="35" w:name="_Toc453672881"/>
    </w:p>
    <w:p w:rsidR="00E13D6B" w:rsidRPr="003B0BE2" w:rsidRDefault="00E13D6B" w:rsidP="001C02BD">
      <w:pPr>
        <w:pStyle w:val="SingleTxtG"/>
        <w:ind w:left="0" w:right="-1"/>
        <w:rPr>
          <w:rFonts w:asciiTheme="minorHAnsi" w:hAnsiTheme="minorHAnsi"/>
          <w:sz w:val="26"/>
          <w:szCs w:val="26"/>
        </w:rPr>
      </w:pPr>
    </w:p>
    <w:p w:rsidR="003B0BE2" w:rsidRPr="003B0BE2" w:rsidRDefault="003B0BE2" w:rsidP="001C02BD">
      <w:pPr>
        <w:pStyle w:val="SingleTxtG"/>
        <w:ind w:left="0" w:right="-1"/>
        <w:rPr>
          <w:rFonts w:asciiTheme="minorHAnsi" w:hAnsiTheme="minorHAnsi"/>
          <w:b/>
          <w:bCs/>
          <w:sz w:val="26"/>
          <w:szCs w:val="26"/>
        </w:rPr>
      </w:pPr>
      <w:bookmarkStart w:id="36" w:name="_Toc453672888"/>
      <w:bookmarkEnd w:id="35"/>
      <w:bookmarkEnd w:id="36"/>
      <w:r w:rsidRPr="003B0BE2">
        <w:rPr>
          <w:rFonts w:asciiTheme="minorHAnsi" w:hAnsiTheme="minorHAnsi"/>
          <w:b/>
          <w:bCs/>
          <w:sz w:val="26"/>
          <w:szCs w:val="26"/>
        </w:rPr>
        <w:t>IX. Conclusion :</w:t>
      </w:r>
    </w:p>
    <w:p w:rsidR="003B0BE2" w:rsidRPr="003B0BE2" w:rsidRDefault="003B0BE2" w:rsidP="003B0BE2"/>
    <w:p w:rsidR="003B0BE2" w:rsidRPr="003B0BE2" w:rsidRDefault="003B0BE2" w:rsidP="003B0BE2">
      <w:pPr>
        <w:pStyle w:val="Paragraphedeliste"/>
        <w:numPr>
          <w:ilvl w:val="0"/>
          <w:numId w:val="11"/>
        </w:numPr>
        <w:spacing w:after="200" w:line="276" w:lineRule="auto"/>
        <w:jc w:val="both"/>
        <w:rPr>
          <w:rFonts w:asciiTheme="minorHAnsi" w:hAnsiTheme="minorHAnsi"/>
          <w:sz w:val="26"/>
          <w:szCs w:val="26"/>
        </w:rPr>
      </w:pPr>
      <w:r w:rsidRPr="003B0BE2">
        <w:rPr>
          <w:rFonts w:asciiTheme="minorHAnsi" w:hAnsiTheme="minorHAnsi"/>
          <w:sz w:val="26"/>
          <w:szCs w:val="26"/>
        </w:rPr>
        <w:t xml:space="preserve">Nous recommandons au </w:t>
      </w:r>
      <w:r w:rsidRPr="003B0BE2">
        <w:rPr>
          <w:rFonts w:asciiTheme="minorHAnsi" w:eastAsia="MS Mincho" w:hAnsiTheme="minorHAnsi"/>
          <w:sz w:val="26"/>
          <w:szCs w:val="26"/>
        </w:rPr>
        <w:t xml:space="preserve">Comité des droits de l’homme </w:t>
      </w:r>
      <w:r w:rsidRPr="003B0BE2">
        <w:rPr>
          <w:rFonts w:asciiTheme="minorHAnsi" w:hAnsiTheme="minorHAnsi"/>
          <w:sz w:val="26"/>
          <w:szCs w:val="26"/>
        </w:rPr>
        <w:t>et à l’ensemble des partenaires de soutenir la Mauritanie et les organisations nationales de la société civile œuvrant dans le domaine des Droits de l’Homme pour la poursuite des programmes de développement et de renforcement de la cohésion nationale.</w:t>
      </w:r>
    </w:p>
    <w:p w:rsidR="003B0BE2" w:rsidRPr="003B0BE2" w:rsidRDefault="003B0BE2" w:rsidP="003B0BE2">
      <w:pPr>
        <w:pStyle w:val="Paragraphedeliste"/>
        <w:jc w:val="both"/>
        <w:rPr>
          <w:rFonts w:asciiTheme="minorHAnsi" w:hAnsiTheme="minorHAnsi"/>
          <w:sz w:val="8"/>
          <w:szCs w:val="8"/>
        </w:rPr>
      </w:pPr>
    </w:p>
    <w:p w:rsidR="003B0BE2" w:rsidRPr="003B0BE2" w:rsidRDefault="003B0BE2" w:rsidP="003B0BE2">
      <w:pPr>
        <w:pStyle w:val="Paragraphedeliste"/>
        <w:numPr>
          <w:ilvl w:val="0"/>
          <w:numId w:val="11"/>
        </w:numPr>
        <w:spacing w:after="200" w:line="276" w:lineRule="auto"/>
        <w:jc w:val="both"/>
        <w:rPr>
          <w:rFonts w:asciiTheme="minorHAnsi" w:hAnsiTheme="minorHAnsi"/>
          <w:sz w:val="26"/>
          <w:szCs w:val="26"/>
        </w:rPr>
      </w:pPr>
      <w:r w:rsidRPr="003B0BE2">
        <w:rPr>
          <w:rFonts w:asciiTheme="minorHAnsi" w:hAnsiTheme="minorHAnsi"/>
          <w:sz w:val="26"/>
          <w:szCs w:val="26"/>
        </w:rPr>
        <w:t>Nous recommandons également au gouvernement mauritanien le soutien aux efforts entrepris par les organisations de la société civile dans ces domaines.</w:t>
      </w:r>
    </w:p>
    <w:p w:rsidR="003B0BE2" w:rsidRPr="003B0BE2" w:rsidRDefault="003B0BE2" w:rsidP="003B0BE2">
      <w:pPr>
        <w:pStyle w:val="Paragraphedeliste"/>
        <w:rPr>
          <w:rFonts w:asciiTheme="minorHAnsi" w:hAnsiTheme="minorHAnsi"/>
          <w:sz w:val="4"/>
          <w:szCs w:val="4"/>
        </w:rPr>
      </w:pPr>
    </w:p>
    <w:p w:rsidR="003B0BE2" w:rsidRPr="003B0BE2" w:rsidRDefault="003B0BE2" w:rsidP="003B0BE2">
      <w:pPr>
        <w:pStyle w:val="Paragraphedeliste"/>
        <w:numPr>
          <w:ilvl w:val="0"/>
          <w:numId w:val="11"/>
        </w:numPr>
        <w:spacing w:after="200" w:line="276" w:lineRule="auto"/>
        <w:jc w:val="both"/>
        <w:rPr>
          <w:rFonts w:asciiTheme="minorHAnsi" w:hAnsiTheme="minorHAnsi"/>
          <w:sz w:val="26"/>
          <w:szCs w:val="26"/>
        </w:rPr>
      </w:pPr>
      <w:r w:rsidRPr="003B0BE2">
        <w:rPr>
          <w:rFonts w:asciiTheme="minorHAnsi" w:hAnsiTheme="minorHAnsi"/>
          <w:sz w:val="26"/>
          <w:szCs w:val="26"/>
        </w:rPr>
        <w:t>Nous recommandons également au gouvernement l’adoption d’une stratégie de cohésion nationale ;</w:t>
      </w:r>
    </w:p>
    <w:p w:rsidR="003B0BE2" w:rsidRPr="003B0BE2" w:rsidRDefault="003B0BE2" w:rsidP="003B0BE2">
      <w:pPr>
        <w:pStyle w:val="Paragraphedeliste"/>
        <w:rPr>
          <w:rFonts w:asciiTheme="minorHAnsi" w:hAnsiTheme="minorHAnsi"/>
          <w:sz w:val="4"/>
          <w:szCs w:val="4"/>
        </w:rPr>
      </w:pPr>
      <w:r w:rsidRPr="003B0BE2">
        <w:rPr>
          <w:rFonts w:asciiTheme="minorHAnsi" w:hAnsiTheme="minorHAnsi"/>
          <w:sz w:val="12"/>
          <w:szCs w:val="12"/>
        </w:rPr>
        <w:t xml:space="preserve"> </w:t>
      </w:r>
    </w:p>
    <w:p w:rsidR="003B0BE2" w:rsidRPr="003B0BE2" w:rsidRDefault="003B0BE2" w:rsidP="003B0BE2">
      <w:pPr>
        <w:pStyle w:val="Paragraphedeliste"/>
        <w:numPr>
          <w:ilvl w:val="0"/>
          <w:numId w:val="11"/>
        </w:numPr>
        <w:spacing w:after="200" w:line="276" w:lineRule="auto"/>
        <w:jc w:val="both"/>
        <w:rPr>
          <w:rFonts w:asciiTheme="minorHAnsi" w:hAnsiTheme="minorHAnsi"/>
          <w:sz w:val="26"/>
          <w:szCs w:val="26"/>
        </w:rPr>
      </w:pPr>
      <w:r w:rsidRPr="003B0BE2">
        <w:rPr>
          <w:rFonts w:asciiTheme="minorHAnsi" w:hAnsiTheme="minorHAnsi"/>
          <w:sz w:val="26"/>
          <w:szCs w:val="26"/>
        </w:rPr>
        <w:t>Une implication  plus accrue des ONG dans l’élaboration et la mise en œuvre des politiques et stratégies dans le domaine des droits de l’homme et du renforcement de l’unité nationale et de la cohésion sociale ;</w:t>
      </w:r>
    </w:p>
    <w:p w:rsidR="003B0BE2" w:rsidRPr="003B0BE2" w:rsidRDefault="003B0BE2" w:rsidP="003B0BE2">
      <w:pPr>
        <w:pStyle w:val="Paragraphedeliste"/>
        <w:rPr>
          <w:rFonts w:asciiTheme="minorHAnsi" w:hAnsiTheme="minorHAnsi"/>
          <w:sz w:val="4"/>
          <w:szCs w:val="4"/>
        </w:rPr>
      </w:pPr>
    </w:p>
    <w:p w:rsidR="001C02BD" w:rsidRPr="003B0BE2" w:rsidRDefault="001C02BD" w:rsidP="003B0BE2">
      <w:pPr>
        <w:rPr>
          <w:lang w:val="fr-FR"/>
        </w:rPr>
      </w:pPr>
    </w:p>
    <w:sectPr w:rsidR="001C02BD" w:rsidRPr="003B0BE2" w:rsidSect="00852B40">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471"/>
    <w:multiLevelType w:val="hybridMultilevel"/>
    <w:tmpl w:val="2FC858E8"/>
    <w:lvl w:ilvl="0" w:tplc="2612ED7C">
      <w:start w:val="2"/>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D83A34"/>
    <w:multiLevelType w:val="hybridMultilevel"/>
    <w:tmpl w:val="581206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984EAF"/>
    <w:multiLevelType w:val="hybridMultilevel"/>
    <w:tmpl w:val="036A583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392DBA"/>
    <w:multiLevelType w:val="hybridMultilevel"/>
    <w:tmpl w:val="C5F6222E"/>
    <w:lvl w:ilvl="0" w:tplc="D652BB14">
      <w:numFmt w:val="bullet"/>
      <w:lvlText w:val="-"/>
      <w:lvlJc w:val="left"/>
      <w:pPr>
        <w:ind w:left="720" w:hanging="360"/>
      </w:pPr>
      <w:rPr>
        <w:rFonts w:ascii="Cambria" w:hAnsi="Cambria" w:cs="Cambria" w:hint="default"/>
        <w:u w:color="FFFF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281B75"/>
    <w:multiLevelType w:val="hybridMultilevel"/>
    <w:tmpl w:val="077C8986"/>
    <w:lvl w:ilvl="0" w:tplc="BF1E7FD2">
      <w:numFmt w:val="bullet"/>
      <w:lvlText w:val="-"/>
      <w:lvlJc w:val="left"/>
      <w:pPr>
        <w:ind w:left="720" w:hanging="360"/>
      </w:pPr>
      <w:rPr>
        <w:rFonts w:ascii="Calibri" w:eastAsia="Times New Roman" w:hAnsi="Calibri"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5">
    <w:nsid w:val="3A7B4A93"/>
    <w:multiLevelType w:val="hybridMultilevel"/>
    <w:tmpl w:val="418E6B84"/>
    <w:lvl w:ilvl="0" w:tplc="D652BB14">
      <w:numFmt w:val="bullet"/>
      <w:lvlText w:val="-"/>
      <w:lvlJc w:val="left"/>
      <w:pPr>
        <w:ind w:left="720" w:hanging="360"/>
      </w:pPr>
      <w:rPr>
        <w:rFonts w:ascii="Cambria" w:hAnsi="Cambria" w:cs="Cambria" w:hint="default"/>
        <w:u w:color="FFFF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D2C7E0B"/>
    <w:multiLevelType w:val="hybridMultilevel"/>
    <w:tmpl w:val="1638C91C"/>
    <w:lvl w:ilvl="0" w:tplc="640A66BE">
      <w:start w:val="1"/>
      <w:numFmt w:val="lowerLetter"/>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7">
    <w:nsid w:val="3E091453"/>
    <w:multiLevelType w:val="hybridMultilevel"/>
    <w:tmpl w:val="7AA4452E"/>
    <w:lvl w:ilvl="0" w:tplc="71FE9284">
      <w:start w:val="1"/>
      <w:numFmt w:val="lowerLetter"/>
      <w:lvlText w:val="%1)"/>
      <w:lvlJc w:val="left"/>
      <w:pPr>
        <w:ind w:left="1495"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8">
    <w:nsid w:val="44287A3E"/>
    <w:multiLevelType w:val="hybridMultilevel"/>
    <w:tmpl w:val="46B2B0D8"/>
    <w:lvl w:ilvl="0" w:tplc="03927834">
      <w:start w:val="1"/>
      <w:numFmt w:val="decimal"/>
      <w:lvlText w:val="%1."/>
      <w:lvlJc w:val="left"/>
      <w:pPr>
        <w:ind w:left="360" w:hanging="360"/>
      </w:pPr>
      <w:rPr>
        <w:b w:val="0"/>
        <w:i w:val="0"/>
      </w:r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
    <w:nsid w:val="4FF81D6E"/>
    <w:multiLevelType w:val="hybridMultilevel"/>
    <w:tmpl w:val="3BC6966C"/>
    <w:lvl w:ilvl="0" w:tplc="2612ED7C">
      <w:start w:val="2"/>
      <w:numFmt w:val="bullet"/>
      <w:lvlText w:val="-"/>
      <w:lvlJc w:val="left"/>
      <w:pPr>
        <w:ind w:left="786" w:hanging="360"/>
      </w:pPr>
      <w:rPr>
        <w:rFonts w:ascii="Times New Roman" w:eastAsia="MS Mincho"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nsid w:val="50406BF0"/>
    <w:multiLevelType w:val="hybridMultilevel"/>
    <w:tmpl w:val="2FF078C4"/>
    <w:lvl w:ilvl="0" w:tplc="D652BB14">
      <w:numFmt w:val="bullet"/>
      <w:lvlText w:val="-"/>
      <w:lvlJc w:val="left"/>
      <w:pPr>
        <w:ind w:left="786" w:hanging="360"/>
      </w:pPr>
      <w:rPr>
        <w:rFonts w:ascii="Cambria" w:hAnsi="Cambria" w:cs="Cambria" w:hint="default"/>
        <w:b w:val="0"/>
        <w:i w:val="0"/>
        <w:u w:color="FFFFFF"/>
      </w:r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num w:numId="1">
    <w:abstractNumId w:val="8"/>
  </w:num>
  <w:num w:numId="2">
    <w:abstractNumId w:val="9"/>
  </w:num>
  <w:num w:numId="3">
    <w:abstractNumId w:val="10"/>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5"/>
  </w:num>
  <w:num w:numId="9">
    <w:abstractNumId w:val="0"/>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203D4"/>
    <w:rsid w:val="00106B75"/>
    <w:rsid w:val="001C02BD"/>
    <w:rsid w:val="001D3FCA"/>
    <w:rsid w:val="00214239"/>
    <w:rsid w:val="00254C26"/>
    <w:rsid w:val="00320145"/>
    <w:rsid w:val="003656C6"/>
    <w:rsid w:val="003B0BE2"/>
    <w:rsid w:val="004F343F"/>
    <w:rsid w:val="006C4E6D"/>
    <w:rsid w:val="00750309"/>
    <w:rsid w:val="009203D4"/>
    <w:rsid w:val="00AA77D0"/>
    <w:rsid w:val="00B943D4"/>
    <w:rsid w:val="00C00F52"/>
    <w:rsid w:val="00E13D6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2BD"/>
    <w:pPr>
      <w:suppressAutoHyphens/>
      <w:spacing w:after="0" w:line="240" w:lineRule="atLeast"/>
    </w:pPr>
    <w:rPr>
      <w:rFonts w:ascii="Times New Roman" w:eastAsia="Times New Roman" w:hAnsi="Times New Roman" w:cs="Times New Roman"/>
      <w:sz w:val="20"/>
      <w:szCs w:val="20"/>
      <w:lang w:val="fr-CH"/>
    </w:rPr>
  </w:style>
  <w:style w:type="paragraph" w:styleId="Titre1">
    <w:name w:val="heading 1"/>
    <w:aliases w:val="Table_G"/>
    <w:basedOn w:val="SingleTxtG"/>
    <w:next w:val="SingleTxtG"/>
    <w:link w:val="Titre1Car"/>
    <w:qFormat/>
    <w:rsid w:val="001C02BD"/>
    <w:pPr>
      <w:keepNext/>
      <w:keepLines/>
      <w:spacing w:after="0" w:line="240" w:lineRule="auto"/>
      <w:ind w:right="0"/>
      <w:jc w:val="left"/>
      <w:outlineLvl w:val="0"/>
    </w:pPr>
  </w:style>
  <w:style w:type="paragraph" w:styleId="Titre2">
    <w:name w:val="heading 2"/>
    <w:basedOn w:val="Normal"/>
    <w:next w:val="Normal"/>
    <w:link w:val="Titre2Car"/>
    <w:qFormat/>
    <w:rsid w:val="001C02BD"/>
    <w:pPr>
      <w:outlineLvl w:val="1"/>
    </w:pPr>
  </w:style>
  <w:style w:type="paragraph" w:styleId="Titre3">
    <w:name w:val="heading 3"/>
    <w:basedOn w:val="Normal"/>
    <w:next w:val="Normal"/>
    <w:link w:val="Titre3Car"/>
    <w:qFormat/>
    <w:rsid w:val="001C02BD"/>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9203D4"/>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aliases w:val="Table_G Car"/>
    <w:basedOn w:val="Policepardfaut"/>
    <w:link w:val="Titre1"/>
    <w:rsid w:val="001C02BD"/>
    <w:rPr>
      <w:rFonts w:ascii="Times New Roman" w:eastAsia="Times New Roman" w:hAnsi="Times New Roman" w:cs="Times New Roman"/>
      <w:sz w:val="20"/>
      <w:szCs w:val="20"/>
      <w:lang w:val="fr-CH"/>
    </w:rPr>
  </w:style>
  <w:style w:type="character" w:customStyle="1" w:styleId="Titre2Car">
    <w:name w:val="Titre 2 Car"/>
    <w:basedOn w:val="Policepardfaut"/>
    <w:link w:val="Titre2"/>
    <w:rsid w:val="001C02BD"/>
    <w:rPr>
      <w:rFonts w:ascii="Times New Roman" w:eastAsia="Times New Roman" w:hAnsi="Times New Roman" w:cs="Times New Roman"/>
      <w:sz w:val="20"/>
      <w:szCs w:val="20"/>
      <w:lang w:val="fr-CH"/>
    </w:rPr>
  </w:style>
  <w:style w:type="character" w:customStyle="1" w:styleId="Titre3Car">
    <w:name w:val="Titre 3 Car"/>
    <w:basedOn w:val="Policepardfaut"/>
    <w:link w:val="Titre3"/>
    <w:rsid w:val="001C02BD"/>
    <w:rPr>
      <w:rFonts w:ascii="Times New Roman" w:eastAsia="Times New Roman" w:hAnsi="Times New Roman" w:cs="Times New Roman"/>
      <w:sz w:val="20"/>
      <w:szCs w:val="20"/>
      <w:lang w:val="fr-CH"/>
    </w:rPr>
  </w:style>
  <w:style w:type="paragraph" w:customStyle="1" w:styleId="SingleTxtG">
    <w:name w:val="_ Single Txt_G"/>
    <w:basedOn w:val="Normal"/>
    <w:link w:val="SingleTxtGChar"/>
    <w:rsid w:val="001C02BD"/>
    <w:pPr>
      <w:spacing w:after="120"/>
      <w:ind w:left="1134" w:right="1134"/>
      <w:jc w:val="both"/>
    </w:pPr>
  </w:style>
  <w:style w:type="character" w:customStyle="1" w:styleId="SingleTxtGChar">
    <w:name w:val="_ Single Txt_G Char"/>
    <w:link w:val="SingleTxtG"/>
    <w:rsid w:val="001C02BD"/>
    <w:rPr>
      <w:rFonts w:ascii="Times New Roman" w:eastAsia="Times New Roman" w:hAnsi="Times New Roman" w:cs="Times New Roman"/>
      <w:sz w:val="20"/>
      <w:szCs w:val="20"/>
      <w:lang w:val="fr-CH"/>
    </w:rPr>
  </w:style>
  <w:style w:type="paragraph" w:styleId="Paragraphedeliste">
    <w:name w:val="List Paragraph"/>
    <w:aliases w:val="References,Bullets,ReferencesCxSpLast,Numbered List Paragraph,Medium Grid 1 - Accent 21,Liste 1,List Paragraph nowy,Colorful List - Accent 11,MCHIP_list paragraph,Recommendation,lp1,texte,WB Para,Paragraphe 2,Paragraphe de liste PBLH"/>
    <w:basedOn w:val="Normal"/>
    <w:uiPriority w:val="34"/>
    <w:qFormat/>
    <w:rsid w:val="001C02BD"/>
    <w:pPr>
      <w:suppressAutoHyphens w:val="0"/>
      <w:spacing w:line="240" w:lineRule="auto"/>
      <w:ind w:left="720"/>
      <w:contextualSpacing/>
    </w:pPr>
    <w:rPr>
      <w:sz w:val="24"/>
      <w:szCs w:val="24"/>
      <w:lang w:val="fr-FR" w:eastAsia="fr-FR"/>
    </w:rPr>
  </w:style>
  <w:style w:type="character" w:styleId="Lienhypertexte">
    <w:name w:val="Hyperlink"/>
    <w:basedOn w:val="Policepardfaut"/>
    <w:uiPriority w:val="99"/>
    <w:unhideWhenUsed/>
    <w:rsid w:val="00254C2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ngiode@gmail.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6E1486-CFBF-4792-AE9D-DBFEED2BDC96}"/>
</file>

<file path=customXml/itemProps2.xml><?xml version="1.0" encoding="utf-8"?>
<ds:datastoreItem xmlns:ds="http://schemas.openxmlformats.org/officeDocument/2006/customXml" ds:itemID="{32FF83B4-AE79-4AF2-B133-9AF136549AFD}"/>
</file>

<file path=customXml/itemProps3.xml><?xml version="1.0" encoding="utf-8"?>
<ds:datastoreItem xmlns:ds="http://schemas.openxmlformats.org/officeDocument/2006/customXml" ds:itemID="{214930C8-305E-4B8D-A24D-A69E11EC14AE}"/>
</file>

<file path=docProps/app.xml><?xml version="1.0" encoding="utf-8"?>
<Properties xmlns="http://schemas.openxmlformats.org/officeDocument/2006/extended-properties" xmlns:vt="http://schemas.openxmlformats.org/officeDocument/2006/docPropsVTypes">
  <Template>Normal</Template>
  <TotalTime>1</TotalTime>
  <Pages>7</Pages>
  <Words>2077</Words>
  <Characters>11426</Characters>
  <Application>Microsoft Office Word</Application>
  <DocSecurity>0</DocSecurity>
  <Lines>95</Lines>
  <Paragraphs>26</Paragraphs>
  <ScaleCrop>false</ScaleCrop>
  <HeadingPairs>
    <vt:vector size="4" baseType="variant">
      <vt:variant>
        <vt:lpstr>Titre</vt:lpstr>
      </vt:variant>
      <vt:variant>
        <vt:i4>1</vt:i4>
      </vt:variant>
      <vt:variant>
        <vt:lpstr>Titres</vt:lpstr>
      </vt:variant>
      <vt:variant>
        <vt:i4>7</vt:i4>
      </vt:variant>
    </vt:vector>
  </HeadingPairs>
  <TitlesOfParts>
    <vt:vector size="8" baseType="lpstr">
      <vt:lpstr/>
      <vt:lpstr>    II. Les organes ayant la charge de Droits de l’Homme</vt:lpstr>
      <vt:lpstr>        Evocation devant les tribunaux</vt:lpstr>
      <vt:lpstr>        Exercice des recours</vt:lpstr>
      <vt:lpstr>        III. Mécanismes nationaux de protection et promotion des droits de l’homme </vt:lpstr>
      <vt:lpstr>        VI. Diffusion des instruments relatifs aux droits de l’homme</vt:lpstr>
      <vt:lpstr>        VII. Actions de sensibilisation des agents publics et d’autres professionnels de</vt:lpstr>
      <vt:lpstr>        Des  plans d’action de sensibilisation et de formation des fonctionnaires sur le</vt:lpstr>
    </vt:vector>
  </TitlesOfParts>
  <Company/>
  <LinksUpToDate>false</LinksUpToDate>
  <CharactersWithSpaces>13477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Wdoc</dc:creator>
  <cp:lastModifiedBy>Wdoc</cp:lastModifiedBy>
  <cp:revision>2</cp:revision>
  <cp:lastPrinted>2019-05-07T14:03:00Z</cp:lastPrinted>
  <dcterms:created xsi:type="dcterms:W3CDTF">2019-05-16T16:10:00Z</dcterms:created>
  <dcterms:modified xsi:type="dcterms:W3CDTF">2019-05-16T16:10:00Z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