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F0" w:rsidRPr="006251F0" w:rsidRDefault="0050386B" w:rsidP="0050386B">
      <w:pPr>
        <w:pStyle w:val="Paragraphedeliste"/>
        <w:spacing w:after="0" w:line="240" w:lineRule="auto"/>
        <w:jc w:val="center"/>
        <w:rPr>
          <w:b/>
          <w:bCs/>
          <w:i/>
          <w:iCs/>
          <w:color w:val="002060"/>
          <w:sz w:val="28"/>
          <w:szCs w:val="28"/>
        </w:rPr>
      </w:pPr>
      <w:r w:rsidRPr="006251F0">
        <w:rPr>
          <w:b/>
          <w:bCs/>
          <w:i/>
          <w:iCs/>
          <w:color w:val="002060"/>
          <w:sz w:val="28"/>
          <w:szCs w:val="28"/>
        </w:rPr>
        <w:t xml:space="preserve">Association Mauritanienne pour la Promotion des Droits de l’Homme (AMPDH) </w:t>
      </w:r>
    </w:p>
    <w:p w:rsidR="006251F0" w:rsidRPr="006251F0" w:rsidRDefault="006251F0" w:rsidP="006251F0">
      <w:pPr>
        <w:spacing w:after="0" w:line="240" w:lineRule="auto"/>
        <w:jc w:val="center"/>
        <w:rPr>
          <w:i/>
          <w:iCs/>
          <w:color w:val="002060"/>
          <w:sz w:val="28"/>
          <w:szCs w:val="28"/>
        </w:rPr>
      </w:pPr>
      <w:r w:rsidRPr="006251F0">
        <w:rPr>
          <w:i/>
          <w:iCs/>
          <w:color w:val="002060"/>
          <w:sz w:val="28"/>
          <w:szCs w:val="28"/>
        </w:rPr>
        <w:t>Association Non Gouvernemental Dotée du Statut Consultatif</w:t>
      </w:r>
    </w:p>
    <w:p w:rsidR="006251F0" w:rsidRPr="006251F0" w:rsidRDefault="006251F0" w:rsidP="006251F0">
      <w:pPr>
        <w:pStyle w:val="Paragraphedeliste"/>
        <w:spacing w:after="0" w:line="240" w:lineRule="auto"/>
        <w:jc w:val="center"/>
        <w:rPr>
          <w:i/>
          <w:iCs/>
          <w:color w:val="002060"/>
          <w:sz w:val="28"/>
          <w:szCs w:val="28"/>
        </w:rPr>
      </w:pPr>
      <w:r w:rsidRPr="006251F0">
        <w:rPr>
          <w:i/>
          <w:iCs/>
          <w:color w:val="002060"/>
          <w:sz w:val="28"/>
          <w:szCs w:val="28"/>
        </w:rPr>
        <w:t>Spécial auprès du Conseil Economique et Social des Nations Unies (ECOSOC – NU) depuis 2016</w:t>
      </w:r>
    </w:p>
    <w:p w:rsidR="0050386B" w:rsidRPr="006251F0" w:rsidRDefault="0050386B" w:rsidP="006251F0">
      <w:pPr>
        <w:pStyle w:val="Paragraphedeliste"/>
        <w:spacing w:after="0" w:line="240" w:lineRule="auto"/>
        <w:jc w:val="center"/>
        <w:rPr>
          <w:i/>
          <w:iCs/>
          <w:color w:val="002060"/>
          <w:sz w:val="28"/>
          <w:szCs w:val="28"/>
        </w:rPr>
      </w:pPr>
      <w:r w:rsidRPr="006251F0">
        <w:rPr>
          <w:i/>
          <w:iCs/>
          <w:color w:val="002060"/>
          <w:sz w:val="28"/>
          <w:szCs w:val="28"/>
        </w:rPr>
        <w:t xml:space="preserve">Tél. : </w:t>
      </w:r>
      <w:r w:rsidR="006251F0" w:rsidRPr="006251F0">
        <w:rPr>
          <w:i/>
          <w:iCs/>
          <w:color w:val="002060"/>
          <w:sz w:val="28"/>
          <w:szCs w:val="28"/>
        </w:rPr>
        <w:t xml:space="preserve">00222 </w:t>
      </w:r>
      <w:r w:rsidR="006251F0" w:rsidRPr="006251F0">
        <w:rPr>
          <w:rFonts w:asciiTheme="minorBidi" w:hAnsiTheme="minorBidi"/>
          <w:i/>
          <w:iCs/>
          <w:color w:val="002060"/>
          <w:sz w:val="28"/>
          <w:szCs w:val="28"/>
        </w:rPr>
        <w:t xml:space="preserve">25 00 43 39 - </w:t>
      </w:r>
      <w:r w:rsidRPr="006251F0">
        <w:rPr>
          <w:rFonts w:asciiTheme="minorBidi" w:hAnsiTheme="minorBidi"/>
          <w:i/>
          <w:iCs/>
          <w:color w:val="002060"/>
          <w:sz w:val="28"/>
          <w:szCs w:val="28"/>
        </w:rPr>
        <w:t xml:space="preserve">Email : </w:t>
      </w:r>
      <w:hyperlink r:id="rId8" w:history="1">
        <w:r w:rsidRPr="006251F0">
          <w:rPr>
            <w:rStyle w:val="Lienhypertexte"/>
            <w:rFonts w:asciiTheme="minorBidi" w:hAnsiTheme="minorBidi"/>
            <w:i/>
            <w:iCs/>
            <w:color w:val="002060"/>
            <w:sz w:val="28"/>
            <w:szCs w:val="28"/>
          </w:rPr>
          <w:t>ampdhong@gmail.com</w:t>
        </w:r>
      </w:hyperlink>
    </w:p>
    <w:p w:rsidR="006251F0" w:rsidRDefault="006251F0" w:rsidP="006251F0">
      <w:pPr>
        <w:pStyle w:val="Paragraphedeliste"/>
        <w:spacing w:after="0" w:line="240" w:lineRule="auto"/>
        <w:jc w:val="center"/>
        <w:rPr>
          <w:i/>
          <w:iCs/>
          <w:color w:val="002060"/>
          <w:sz w:val="28"/>
          <w:szCs w:val="28"/>
        </w:rPr>
      </w:pPr>
      <w:r w:rsidRPr="006251F0">
        <w:rPr>
          <w:i/>
          <w:iCs/>
          <w:color w:val="002060"/>
          <w:sz w:val="28"/>
          <w:szCs w:val="28"/>
        </w:rPr>
        <w:t>Mobile : 00222 46 09 60 77 / 00222 22 28 82 51</w:t>
      </w:r>
    </w:p>
    <w:p w:rsidR="006251F0" w:rsidRPr="006251F0" w:rsidRDefault="006251F0" w:rsidP="006251F0">
      <w:pPr>
        <w:pStyle w:val="Paragraphedeliste"/>
        <w:spacing w:after="0" w:line="240" w:lineRule="auto"/>
        <w:jc w:val="center"/>
        <w:rPr>
          <w:i/>
          <w:iCs/>
          <w:color w:val="002060"/>
          <w:sz w:val="24"/>
          <w:szCs w:val="24"/>
        </w:rPr>
      </w:pPr>
      <w:r w:rsidRPr="006251F0">
        <w:rPr>
          <w:i/>
          <w:iCs/>
          <w:color w:val="002060"/>
          <w:sz w:val="24"/>
          <w:szCs w:val="24"/>
        </w:rPr>
        <w:t>NOUAKCHOTT - MAURITANIE</w:t>
      </w:r>
    </w:p>
    <w:p w:rsidR="0050386B" w:rsidRPr="006251F0" w:rsidRDefault="0050386B" w:rsidP="0050386B">
      <w:pPr>
        <w:pStyle w:val="Paragraphedeliste"/>
        <w:spacing w:after="0" w:line="240" w:lineRule="auto"/>
        <w:jc w:val="center"/>
        <w:rPr>
          <w:i/>
          <w:iCs/>
          <w:color w:val="002060"/>
          <w:sz w:val="28"/>
          <w:szCs w:val="28"/>
        </w:rPr>
      </w:pPr>
      <w:r w:rsidRPr="006251F0">
        <w:rPr>
          <w:i/>
          <w:iCs/>
          <w:color w:val="002060"/>
          <w:sz w:val="28"/>
          <w:szCs w:val="28"/>
          <w:u w:val="single"/>
        </w:rPr>
        <w:t>Président </w:t>
      </w:r>
      <w:r w:rsidRPr="006251F0">
        <w:rPr>
          <w:i/>
          <w:iCs/>
          <w:color w:val="002060"/>
          <w:sz w:val="28"/>
          <w:szCs w:val="28"/>
        </w:rPr>
        <w:t>: Moussa Sidna GAWI</w:t>
      </w:r>
    </w:p>
    <w:p w:rsidR="006251F0" w:rsidRPr="00D47C59" w:rsidRDefault="006251F0" w:rsidP="006251F0">
      <w:pPr>
        <w:spacing w:after="0" w:line="240" w:lineRule="auto"/>
        <w:rPr>
          <w:rFonts w:ascii="Arial Narrow" w:hAnsi="Arial Narrow"/>
          <w:b/>
          <w:bCs/>
          <w:sz w:val="18"/>
          <w:szCs w:val="18"/>
        </w:rPr>
      </w:pPr>
      <w:r w:rsidRPr="00D47C59">
        <w:rPr>
          <w:rFonts w:ascii="Arial Narrow" w:hAnsi="Arial Narrow"/>
          <w:b/>
          <w:bCs/>
          <w:sz w:val="18"/>
          <w:szCs w:val="18"/>
        </w:rPr>
        <w:t xml:space="preserve"> </w:t>
      </w:r>
    </w:p>
    <w:p w:rsidR="00D11F17" w:rsidRDefault="00D11F17" w:rsidP="0050386B">
      <w:pPr>
        <w:pStyle w:val="Paragraphedeliste"/>
        <w:spacing w:after="0" w:line="240" w:lineRule="auto"/>
        <w:jc w:val="center"/>
        <w:rPr>
          <w:b/>
          <w:bCs/>
          <w:i/>
          <w:iCs/>
          <w:sz w:val="32"/>
          <w:szCs w:val="32"/>
        </w:rPr>
      </w:pPr>
    </w:p>
    <w:p w:rsidR="00D11F17" w:rsidRDefault="00D11F17" w:rsidP="0050386B">
      <w:pPr>
        <w:pStyle w:val="Paragraphedeliste"/>
        <w:spacing w:after="0" w:line="240" w:lineRule="auto"/>
        <w:jc w:val="center"/>
        <w:rPr>
          <w:b/>
          <w:bCs/>
          <w:i/>
          <w:iCs/>
          <w:sz w:val="32"/>
          <w:szCs w:val="32"/>
        </w:rPr>
      </w:pPr>
      <w:r>
        <w:rPr>
          <w:b/>
          <w:bCs/>
          <w:i/>
          <w:iCs/>
          <w:noProof/>
          <w:sz w:val="32"/>
          <w:szCs w:val="32"/>
          <w:lang w:eastAsia="fr-FR"/>
        </w:rPr>
        <w:pict>
          <v:group id="_x0000_s1056" style="position:absolute;left:0;text-align:left;margin-left:-42.35pt;margin-top:.45pt;width:569.15pt;height:138.75pt;z-index:251659264" coordorigin="288,630" coordsize="11383,2775">
            <v:shapetype id="_x0000_t202" coordsize="21600,21600" o:spt="202" path="m,l,21600r21600,l21600,xe">
              <v:stroke joinstyle="miter"/>
              <v:path gradientshapeok="t" o:connecttype="rect"/>
            </v:shapetype>
            <v:shape id="_x0000_s1057" type="#_x0000_t202" style="position:absolute;left:288;top:795;width:5083;height:2610" stroked="f">
              <v:textbox style="mso-next-textbox:#_x0000_s1057">
                <w:txbxContent>
                  <w:p w:rsidR="00D11F17" w:rsidRPr="00A90120" w:rsidRDefault="00D11F17" w:rsidP="00D11F17">
                    <w:pPr>
                      <w:spacing w:after="0" w:line="240" w:lineRule="auto"/>
                      <w:rPr>
                        <w:rFonts w:ascii="Arial Black" w:hAnsi="Arial Black"/>
                        <w:color w:val="0070C0"/>
                      </w:rPr>
                    </w:pPr>
                  </w:p>
                </w:txbxContent>
              </v:textbox>
            </v:shape>
            <v:shape id="_x0000_s1058" type="#_x0000_t202" style="position:absolute;left:6063;top:630;width:5608;height:2775" stroked="f">
              <v:textbox style="mso-next-textbox:#_x0000_s1058">
                <w:txbxContent>
                  <w:p w:rsidR="00D11F17" w:rsidRPr="00FD0E46" w:rsidRDefault="00D11F17" w:rsidP="00D11F17">
                    <w:pPr>
                      <w:rPr>
                        <w:szCs w:val="24"/>
                      </w:rPr>
                    </w:pPr>
                    <w:r w:rsidRPr="00FD0E46">
                      <w:rPr>
                        <w:rFonts w:hint="cs"/>
                        <w:sz w:val="24"/>
                        <w:rtl/>
                      </w:rPr>
                      <w:t xml:space="preserve"> </w:t>
                    </w:r>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left:5221;top:1930;width:194;height:205;rotation:-800828fd" fillcolor="red" stroked="f" strokecolor="blu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left:5341;top:1131;width:1440;height:1438;rotation:-800828fd" adj="-11166786" fillcolor="red" stroked="f" strokecolor="blue">
              <v:shadow color="#868686"/>
              <v:textpath style="font-family:&quot;Arial&quot;;font-size:20pt;font-weight:bold;v-text-spacing:58985f;v-text-kern:f" fitshape="t" trim="t" string="ج * م * ت * ح * ا"/>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1" type="#_x0000_t145" style="position:absolute;left:5221;top:869;width:1622;height:1839;rotation:-800828fd" adj="1146741" fillcolor="red" stroked="f" strokecolor="blue">
              <v:shadow color="#868686"/>
              <v:textpath style="font-family:&quot;Arial Black&quot;;font-size:20pt;v-text-spacing:58985f;v-text-kern:f" fitshape="t" trim="t" string="A * M * P * D * H"/>
            </v:shape>
            <v:shape id="_x0000_s1062" type="#_x0000_t12" style="position:absolute;left:6713;top:1604;width:194;height:205;rotation:-800828fd" fillcolor="red" stroked="f" strokecolor="blu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63" type="#_x0000_t184" style="position:absolute;left:5901;top:1603;width:324;height:829;rotation:17512332fd" fillcolor="#00b050" strokecolor="#00b050"/>
            <v:shape id="_x0000_s1064" type="#_x0000_t12" style="position:absolute;left:5881;top:1604;width:334;height:288" fillcolor="yellow"/>
          </v:group>
        </w:pict>
      </w:r>
    </w:p>
    <w:p w:rsidR="00D11F17" w:rsidRDefault="00D11F17" w:rsidP="0050386B">
      <w:pPr>
        <w:pStyle w:val="Paragraphedeliste"/>
        <w:spacing w:after="0" w:line="240" w:lineRule="auto"/>
        <w:jc w:val="center"/>
        <w:rPr>
          <w:b/>
          <w:bCs/>
          <w:i/>
          <w:iCs/>
          <w:sz w:val="32"/>
          <w:szCs w:val="32"/>
        </w:rPr>
      </w:pPr>
    </w:p>
    <w:p w:rsidR="00D11F17" w:rsidRDefault="00D11F17" w:rsidP="0050386B">
      <w:pPr>
        <w:pStyle w:val="Paragraphedeliste"/>
        <w:spacing w:after="0" w:line="240" w:lineRule="auto"/>
        <w:jc w:val="center"/>
        <w:rPr>
          <w:b/>
          <w:bCs/>
          <w:i/>
          <w:iCs/>
          <w:sz w:val="32"/>
          <w:szCs w:val="32"/>
        </w:rPr>
      </w:pPr>
    </w:p>
    <w:p w:rsidR="00D11F17" w:rsidRDefault="00D11F17" w:rsidP="0050386B">
      <w:pPr>
        <w:pStyle w:val="Paragraphedeliste"/>
        <w:spacing w:after="0" w:line="240" w:lineRule="auto"/>
        <w:jc w:val="center"/>
        <w:rPr>
          <w:b/>
          <w:bCs/>
          <w:i/>
          <w:iCs/>
          <w:sz w:val="32"/>
          <w:szCs w:val="32"/>
        </w:rPr>
      </w:pPr>
    </w:p>
    <w:p w:rsidR="00D11F17" w:rsidRDefault="00D11F17" w:rsidP="0050386B">
      <w:pPr>
        <w:pStyle w:val="Paragraphedeliste"/>
        <w:spacing w:after="0" w:line="240" w:lineRule="auto"/>
        <w:jc w:val="center"/>
        <w:rPr>
          <w:b/>
          <w:bCs/>
          <w:i/>
          <w:iCs/>
          <w:sz w:val="32"/>
          <w:szCs w:val="32"/>
        </w:rPr>
      </w:pPr>
    </w:p>
    <w:p w:rsidR="00D11F17" w:rsidRDefault="00D11F17" w:rsidP="0050386B">
      <w:pPr>
        <w:pStyle w:val="Paragraphedeliste"/>
        <w:spacing w:after="0" w:line="240" w:lineRule="auto"/>
        <w:jc w:val="center"/>
        <w:rPr>
          <w:b/>
          <w:bCs/>
          <w:i/>
          <w:iCs/>
          <w:sz w:val="32"/>
          <w:szCs w:val="32"/>
        </w:rPr>
      </w:pPr>
    </w:p>
    <w:p w:rsidR="0050386B" w:rsidRPr="00396465" w:rsidRDefault="0050386B" w:rsidP="0050386B">
      <w:pPr>
        <w:pStyle w:val="Paragraphedeliste"/>
        <w:spacing w:after="0" w:line="240" w:lineRule="auto"/>
        <w:rPr>
          <w:b/>
          <w:bCs/>
          <w:i/>
          <w:iCs/>
          <w:sz w:val="14"/>
          <w:szCs w:val="14"/>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6251F0" w:rsidP="004E61DF">
      <w:pPr>
        <w:jc w:val="center"/>
        <w:rPr>
          <w:b/>
          <w:bCs/>
          <w:sz w:val="26"/>
          <w:szCs w:val="26"/>
        </w:rPr>
      </w:pPr>
      <w:r>
        <w:rPr>
          <w:b/>
          <w:bCs/>
          <w:noProof/>
          <w:sz w:val="26"/>
          <w:szCs w:val="26"/>
          <w:lang w:eastAsia="fr-FR"/>
        </w:rPr>
        <w:pict>
          <v:roundrect id="_x0000_s1027" style="position:absolute;left:0;text-align:left;margin-left:9.4pt;margin-top:19.9pt;width:477.75pt;height:95.25pt;z-index:251658240" arcsize="10923f" fillcolor="#4bacc6 [3208]" strokecolor="#4bacc6 [3208]" strokeweight="10pt">
            <v:stroke linestyle="thinThin"/>
            <v:shadow color="#868686"/>
            <v:textbox>
              <w:txbxContent>
                <w:p w:rsidR="0050386B" w:rsidRPr="0050386B" w:rsidRDefault="0050386B" w:rsidP="006251F0">
                  <w:pPr>
                    <w:spacing w:after="0" w:line="240" w:lineRule="auto"/>
                    <w:jc w:val="center"/>
                    <w:rPr>
                      <w:b/>
                      <w:bCs/>
                      <w:color w:val="FFFFFF" w:themeColor="background1"/>
                      <w:sz w:val="40"/>
                      <w:szCs w:val="40"/>
                    </w:rPr>
                  </w:pPr>
                  <w:r w:rsidRPr="0050386B">
                    <w:rPr>
                      <w:b/>
                      <w:bCs/>
                      <w:color w:val="FFFFFF" w:themeColor="background1"/>
                      <w:sz w:val="40"/>
                      <w:szCs w:val="40"/>
                    </w:rPr>
                    <w:t xml:space="preserve">Rapport alternatif </w:t>
                  </w:r>
                  <w:r w:rsidR="006251F0">
                    <w:rPr>
                      <w:b/>
                      <w:bCs/>
                      <w:color w:val="FFFFFF" w:themeColor="background1"/>
                      <w:sz w:val="40"/>
                      <w:szCs w:val="40"/>
                    </w:rPr>
                    <w:t>à</w:t>
                  </w:r>
                  <w:r w:rsidRPr="0050386B">
                    <w:rPr>
                      <w:b/>
                      <w:bCs/>
                      <w:color w:val="FFFFFF" w:themeColor="background1"/>
                      <w:sz w:val="40"/>
                      <w:szCs w:val="40"/>
                    </w:rPr>
                    <w:t xml:space="preserve"> la 126</w:t>
                  </w:r>
                  <w:r w:rsidRPr="0050386B">
                    <w:rPr>
                      <w:b/>
                      <w:bCs/>
                      <w:color w:val="FFFFFF" w:themeColor="background1"/>
                      <w:sz w:val="40"/>
                      <w:szCs w:val="40"/>
                      <w:vertAlign w:val="superscript"/>
                    </w:rPr>
                    <w:t>ème</w:t>
                  </w:r>
                  <w:r w:rsidRPr="0050386B">
                    <w:rPr>
                      <w:b/>
                      <w:bCs/>
                      <w:color w:val="FFFFFF" w:themeColor="background1"/>
                      <w:sz w:val="40"/>
                      <w:szCs w:val="40"/>
                    </w:rPr>
                    <w:t xml:space="preserve"> session du Comité des Droits de l’Homme prévue du 1</w:t>
                  </w:r>
                  <w:r w:rsidRPr="0050386B">
                    <w:rPr>
                      <w:b/>
                      <w:bCs/>
                      <w:color w:val="FFFFFF" w:themeColor="background1"/>
                      <w:sz w:val="40"/>
                      <w:szCs w:val="40"/>
                      <w:vertAlign w:val="superscript"/>
                    </w:rPr>
                    <w:t>er</w:t>
                  </w:r>
                  <w:r w:rsidRPr="0050386B">
                    <w:rPr>
                      <w:b/>
                      <w:bCs/>
                      <w:color w:val="FFFFFF" w:themeColor="background1"/>
                      <w:sz w:val="40"/>
                      <w:szCs w:val="40"/>
                    </w:rPr>
                    <w:t xml:space="preserve"> au 26 Juillet 2019 au Palais de Wilson à Genève</w:t>
                  </w:r>
                </w:p>
                <w:p w:rsidR="004E61DF" w:rsidRPr="00650777" w:rsidRDefault="004E61DF" w:rsidP="00CA0FCA">
                  <w:pPr>
                    <w:spacing w:after="0" w:line="240" w:lineRule="auto"/>
                    <w:jc w:val="center"/>
                    <w:rPr>
                      <w:color w:val="FFFFFF" w:themeColor="background1"/>
                      <w:sz w:val="32"/>
                      <w:szCs w:val="32"/>
                    </w:rPr>
                  </w:pPr>
                </w:p>
              </w:txbxContent>
            </v:textbox>
          </v:roundrect>
        </w:pict>
      </w: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Pr="00396465" w:rsidRDefault="004E61DF" w:rsidP="004E61DF">
      <w:pPr>
        <w:jc w:val="center"/>
        <w:rPr>
          <w:b/>
          <w:bCs/>
          <w:sz w:val="26"/>
          <w:szCs w:val="26"/>
        </w:rPr>
      </w:pPr>
    </w:p>
    <w:p w:rsidR="004E61DF" w:rsidRDefault="004E61DF" w:rsidP="004E61DF">
      <w:pPr>
        <w:jc w:val="center"/>
        <w:rPr>
          <w:b/>
          <w:bCs/>
          <w:sz w:val="26"/>
          <w:szCs w:val="26"/>
        </w:rPr>
      </w:pPr>
    </w:p>
    <w:p w:rsidR="006251F0" w:rsidRPr="00396465" w:rsidRDefault="006251F0" w:rsidP="004E61DF">
      <w:pPr>
        <w:jc w:val="center"/>
        <w:rPr>
          <w:b/>
          <w:bCs/>
          <w:sz w:val="26"/>
          <w:szCs w:val="26"/>
        </w:rPr>
      </w:pPr>
    </w:p>
    <w:p w:rsidR="004E61DF" w:rsidRPr="00396465" w:rsidRDefault="0050386B" w:rsidP="004E61DF">
      <w:pPr>
        <w:jc w:val="center"/>
        <w:rPr>
          <w:b/>
          <w:bCs/>
          <w:sz w:val="26"/>
          <w:szCs w:val="26"/>
        </w:rPr>
      </w:pPr>
      <w:r w:rsidRPr="00396465">
        <w:rPr>
          <w:b/>
          <w:bCs/>
          <w:sz w:val="26"/>
          <w:szCs w:val="26"/>
        </w:rPr>
        <w:t>Mai 2019</w:t>
      </w:r>
    </w:p>
    <w:p w:rsidR="00001F07" w:rsidRPr="00396465" w:rsidRDefault="00AF50CE" w:rsidP="003E2BEC">
      <w:pPr>
        <w:rPr>
          <w:b/>
          <w:bCs/>
          <w:sz w:val="26"/>
          <w:szCs w:val="26"/>
          <w:u w:val="single"/>
        </w:rPr>
      </w:pPr>
      <w:r w:rsidRPr="00396465">
        <w:rPr>
          <w:b/>
          <w:bCs/>
          <w:sz w:val="26"/>
          <w:szCs w:val="26"/>
        </w:rPr>
        <w:br w:type="page"/>
      </w:r>
      <w:r w:rsidR="003E2BEC" w:rsidRPr="00396465">
        <w:rPr>
          <w:b/>
          <w:bCs/>
          <w:sz w:val="26"/>
          <w:szCs w:val="26"/>
          <w:u w:val="single"/>
        </w:rPr>
        <w:lastRenderedPageBreak/>
        <w:t xml:space="preserve"> Introduction</w:t>
      </w:r>
    </w:p>
    <w:p w:rsidR="0050386B" w:rsidRPr="00396465" w:rsidRDefault="0050386B" w:rsidP="0050386B">
      <w:pPr>
        <w:pStyle w:val="Default"/>
        <w:jc w:val="both"/>
        <w:rPr>
          <w:rFonts w:asciiTheme="minorHAnsi" w:hAnsiTheme="minorHAnsi"/>
          <w:color w:val="auto"/>
          <w:sz w:val="26"/>
          <w:szCs w:val="26"/>
        </w:rPr>
      </w:pPr>
      <w:r w:rsidRPr="00396465">
        <w:rPr>
          <w:rFonts w:asciiTheme="minorHAnsi" w:hAnsiTheme="minorHAnsi"/>
          <w:color w:val="auto"/>
          <w:sz w:val="26"/>
          <w:szCs w:val="26"/>
        </w:rPr>
        <w:t xml:space="preserve">Le présent Rapport constitue la contribution de </w:t>
      </w:r>
      <w:r w:rsidRPr="00396465">
        <w:rPr>
          <w:rFonts w:asciiTheme="minorHAnsi" w:hAnsiTheme="minorHAnsi"/>
          <w:b/>
          <w:bCs/>
          <w:color w:val="auto"/>
          <w:sz w:val="26"/>
          <w:szCs w:val="26"/>
        </w:rPr>
        <w:t xml:space="preserve">l’Association Mauritanienne pour la Promotion des Droits de l’Homme </w:t>
      </w:r>
      <w:r w:rsidRPr="00396465">
        <w:rPr>
          <w:rFonts w:asciiTheme="minorHAnsi" w:hAnsiTheme="minorHAnsi"/>
          <w:color w:val="auto"/>
          <w:sz w:val="26"/>
          <w:szCs w:val="26"/>
        </w:rPr>
        <w:t>à l’occasion de la présentation de la réponse du Gouvernement à la liste des questions établies par le Comité des Droits de l’Homme qui tienne lieu de deuxième Rapport Périodique soumis par la Mauritanie au titre de l’article 40 du Pacte International relatif aux Droits Civils et Politiques.</w:t>
      </w:r>
    </w:p>
    <w:p w:rsidR="0050386B" w:rsidRPr="00396465" w:rsidRDefault="0050386B" w:rsidP="003E2BEC">
      <w:pPr>
        <w:spacing w:after="0" w:line="240" w:lineRule="auto"/>
        <w:jc w:val="both"/>
        <w:rPr>
          <w:sz w:val="26"/>
          <w:szCs w:val="26"/>
        </w:rPr>
      </w:pPr>
    </w:p>
    <w:p w:rsidR="001C0D12" w:rsidRPr="003F568D" w:rsidRDefault="00CA0FCA" w:rsidP="003F568D">
      <w:pPr>
        <w:pStyle w:val="Paragraphedeliste"/>
        <w:numPr>
          <w:ilvl w:val="0"/>
          <w:numId w:val="25"/>
        </w:numPr>
        <w:spacing w:after="0" w:line="240" w:lineRule="auto"/>
        <w:jc w:val="both"/>
        <w:rPr>
          <w:b/>
          <w:bCs/>
          <w:sz w:val="26"/>
          <w:szCs w:val="26"/>
        </w:rPr>
      </w:pPr>
      <w:r w:rsidRPr="003F568D">
        <w:rPr>
          <w:b/>
          <w:bCs/>
          <w:sz w:val="26"/>
          <w:szCs w:val="26"/>
        </w:rPr>
        <w:t>Cadre normatif</w:t>
      </w:r>
      <w:r w:rsidR="00D10B93" w:rsidRPr="003F568D">
        <w:rPr>
          <w:b/>
          <w:bCs/>
          <w:sz w:val="26"/>
          <w:szCs w:val="26"/>
        </w:rPr>
        <w:t xml:space="preserve"> et institutionnel</w:t>
      </w:r>
    </w:p>
    <w:p w:rsidR="00D10B93" w:rsidRPr="00396465" w:rsidRDefault="00D10B93" w:rsidP="00D10B93">
      <w:pPr>
        <w:pStyle w:val="Paragraphedeliste"/>
        <w:numPr>
          <w:ilvl w:val="0"/>
          <w:numId w:val="21"/>
        </w:numPr>
        <w:spacing w:after="0" w:line="240" w:lineRule="auto"/>
        <w:jc w:val="both"/>
        <w:rPr>
          <w:b/>
          <w:bCs/>
          <w:i/>
          <w:iCs/>
          <w:sz w:val="26"/>
          <w:szCs w:val="26"/>
        </w:rPr>
      </w:pPr>
      <w:r w:rsidRPr="00396465">
        <w:rPr>
          <w:b/>
          <w:bCs/>
          <w:i/>
          <w:iCs/>
          <w:sz w:val="26"/>
          <w:szCs w:val="26"/>
        </w:rPr>
        <w:t>Plusieurs textes nationaux et internationaux prohibent la discrimination</w:t>
      </w:r>
      <w:r w:rsidR="00626972" w:rsidRPr="00396465">
        <w:rPr>
          <w:b/>
          <w:bCs/>
          <w:i/>
          <w:iCs/>
          <w:sz w:val="26"/>
          <w:szCs w:val="26"/>
        </w:rPr>
        <w:t> :</w:t>
      </w:r>
    </w:p>
    <w:p w:rsidR="00CA0FCA" w:rsidRPr="003F568D" w:rsidRDefault="00CA0FCA" w:rsidP="003F568D">
      <w:pPr>
        <w:pStyle w:val="Paragraphedeliste"/>
        <w:numPr>
          <w:ilvl w:val="0"/>
          <w:numId w:val="24"/>
        </w:numPr>
        <w:spacing w:after="0" w:line="240" w:lineRule="auto"/>
        <w:jc w:val="both"/>
        <w:rPr>
          <w:rFonts w:eastAsia="MS Mincho"/>
          <w:b/>
          <w:bCs/>
          <w:sz w:val="26"/>
          <w:szCs w:val="26"/>
        </w:rPr>
      </w:pPr>
      <w:r w:rsidRPr="003F568D">
        <w:rPr>
          <w:sz w:val="26"/>
          <w:szCs w:val="26"/>
        </w:rPr>
        <w:t>Le Préambule de la Constitution du 20 juillet 1991 révisée en 2017</w:t>
      </w:r>
      <w:r w:rsidR="00D10B93" w:rsidRPr="003F568D">
        <w:rPr>
          <w:sz w:val="26"/>
          <w:szCs w:val="26"/>
        </w:rPr>
        <w:t> ;</w:t>
      </w:r>
    </w:p>
    <w:p w:rsidR="008076EB" w:rsidRPr="003F568D" w:rsidRDefault="008076EB" w:rsidP="003F568D">
      <w:pPr>
        <w:pStyle w:val="Paragraphedeliste"/>
        <w:numPr>
          <w:ilvl w:val="0"/>
          <w:numId w:val="24"/>
        </w:numPr>
        <w:jc w:val="both"/>
        <w:rPr>
          <w:sz w:val="26"/>
          <w:szCs w:val="26"/>
        </w:rPr>
      </w:pPr>
      <w:r w:rsidRPr="003F568D">
        <w:rPr>
          <w:sz w:val="26"/>
          <w:szCs w:val="26"/>
        </w:rPr>
        <w:t>La Déclaration Universelle des Droits de l’Homme</w:t>
      </w:r>
      <w:r w:rsidR="00D10B93" w:rsidRPr="003F568D">
        <w:rPr>
          <w:sz w:val="26"/>
          <w:szCs w:val="26"/>
        </w:rPr>
        <w:t>;</w:t>
      </w:r>
    </w:p>
    <w:p w:rsidR="001C0D12" w:rsidRPr="003F568D" w:rsidRDefault="001C0D12" w:rsidP="003F568D">
      <w:pPr>
        <w:pStyle w:val="Paragraphedeliste"/>
        <w:numPr>
          <w:ilvl w:val="0"/>
          <w:numId w:val="24"/>
        </w:numPr>
        <w:shd w:val="clear" w:color="auto" w:fill="FFFFFF"/>
        <w:spacing w:after="0"/>
        <w:jc w:val="both"/>
        <w:outlineLvl w:val="1"/>
        <w:rPr>
          <w:rFonts w:eastAsia="Times New Roman" w:cstheme="majorBidi"/>
          <w:sz w:val="26"/>
          <w:szCs w:val="26"/>
        </w:rPr>
      </w:pPr>
      <w:r w:rsidRPr="003F568D">
        <w:rPr>
          <w:rFonts w:eastAsia="Times New Roman" w:cstheme="majorBidi"/>
          <w:sz w:val="26"/>
          <w:szCs w:val="26"/>
        </w:rPr>
        <w:t>Convention internationale sur l'élimination de toutes les formes de discrimination raciale</w:t>
      </w:r>
      <w:r w:rsidR="00D10B93" w:rsidRPr="003F568D">
        <w:rPr>
          <w:sz w:val="26"/>
          <w:szCs w:val="26"/>
        </w:rPr>
        <w:t>;</w:t>
      </w:r>
    </w:p>
    <w:p w:rsidR="001C0D12" w:rsidRPr="003F568D" w:rsidRDefault="001C0D12" w:rsidP="003F568D">
      <w:pPr>
        <w:pStyle w:val="Paragraphedeliste"/>
        <w:numPr>
          <w:ilvl w:val="0"/>
          <w:numId w:val="24"/>
        </w:numPr>
        <w:spacing w:after="120"/>
        <w:jc w:val="both"/>
        <w:rPr>
          <w:rFonts w:eastAsia="Times New Roman" w:cstheme="majorBidi"/>
          <w:sz w:val="26"/>
          <w:szCs w:val="26"/>
        </w:rPr>
      </w:pPr>
      <w:r w:rsidRPr="003F568D">
        <w:rPr>
          <w:rFonts w:eastAsia="Times New Roman" w:cstheme="majorBidi"/>
          <w:sz w:val="26"/>
          <w:szCs w:val="26"/>
        </w:rPr>
        <w:t>Pacte international relatif aux droits civils et politiques</w:t>
      </w:r>
      <w:r w:rsidR="00D10B93" w:rsidRPr="003F568D">
        <w:rPr>
          <w:sz w:val="26"/>
          <w:szCs w:val="26"/>
        </w:rPr>
        <w:t>;</w:t>
      </w:r>
      <w:r w:rsidRPr="003F568D">
        <w:rPr>
          <w:rFonts w:eastAsia="Times New Roman" w:cstheme="majorBidi"/>
          <w:sz w:val="26"/>
          <w:szCs w:val="26"/>
        </w:rPr>
        <w:t xml:space="preserve"> </w:t>
      </w:r>
    </w:p>
    <w:p w:rsidR="001C0D12" w:rsidRPr="003F568D" w:rsidRDefault="001C0D12" w:rsidP="003F568D">
      <w:pPr>
        <w:pStyle w:val="Paragraphedeliste"/>
        <w:numPr>
          <w:ilvl w:val="0"/>
          <w:numId w:val="24"/>
        </w:numPr>
        <w:spacing w:after="120" w:line="240" w:lineRule="auto"/>
        <w:jc w:val="both"/>
        <w:rPr>
          <w:rFonts w:eastAsia="Times New Roman" w:cstheme="majorBidi"/>
          <w:sz w:val="26"/>
          <w:szCs w:val="26"/>
        </w:rPr>
      </w:pPr>
      <w:r w:rsidRPr="003F568D">
        <w:rPr>
          <w:rFonts w:eastAsia="Times New Roman" w:cstheme="majorBidi"/>
          <w:sz w:val="26"/>
          <w:szCs w:val="26"/>
        </w:rPr>
        <w:t>Pacte international relatif aux droits économiques, sociaux et culturels</w:t>
      </w:r>
      <w:r w:rsidR="00D10B93" w:rsidRPr="003F568D">
        <w:rPr>
          <w:sz w:val="26"/>
          <w:szCs w:val="26"/>
        </w:rPr>
        <w:t>;</w:t>
      </w:r>
    </w:p>
    <w:p w:rsidR="001C0D12" w:rsidRPr="003F568D" w:rsidRDefault="001C0D12" w:rsidP="003F568D">
      <w:pPr>
        <w:pStyle w:val="Paragraphedeliste"/>
        <w:numPr>
          <w:ilvl w:val="0"/>
          <w:numId w:val="24"/>
        </w:numPr>
        <w:spacing w:after="0" w:line="240" w:lineRule="auto"/>
        <w:outlineLvl w:val="0"/>
        <w:rPr>
          <w:rFonts w:eastAsia="Times New Roman" w:cstheme="majorBidi"/>
          <w:sz w:val="26"/>
          <w:szCs w:val="26"/>
        </w:rPr>
      </w:pPr>
      <w:r w:rsidRPr="003F568D">
        <w:rPr>
          <w:rFonts w:eastAsia="Times New Roman" w:cstheme="majorBidi"/>
          <w:sz w:val="26"/>
          <w:szCs w:val="26"/>
        </w:rPr>
        <w:t>Convention sur l'élimination de toutes les formes de discrimination à l'égard des femmes</w:t>
      </w:r>
      <w:r w:rsidR="00D10B93" w:rsidRPr="003F568D">
        <w:rPr>
          <w:sz w:val="26"/>
          <w:szCs w:val="26"/>
        </w:rPr>
        <w:t>;</w:t>
      </w:r>
    </w:p>
    <w:p w:rsidR="001C0D12" w:rsidRPr="003F568D" w:rsidRDefault="001C0D12" w:rsidP="003F568D">
      <w:pPr>
        <w:pStyle w:val="Paragraphedeliste"/>
        <w:numPr>
          <w:ilvl w:val="0"/>
          <w:numId w:val="24"/>
        </w:numPr>
        <w:spacing w:after="0" w:line="240" w:lineRule="auto"/>
        <w:outlineLvl w:val="0"/>
        <w:rPr>
          <w:rFonts w:eastAsia="Times New Roman" w:cstheme="majorBidi"/>
          <w:sz w:val="26"/>
          <w:szCs w:val="26"/>
        </w:rPr>
      </w:pPr>
      <w:r w:rsidRPr="003F568D">
        <w:rPr>
          <w:rFonts w:eastAsia="Times New Roman" w:cstheme="majorBidi"/>
          <w:sz w:val="26"/>
          <w:szCs w:val="26"/>
        </w:rPr>
        <w:t>Convention contre la torture et autres peines ou traitements cruels, inhumains ou dégradants</w:t>
      </w:r>
      <w:r w:rsidR="00D10B93" w:rsidRPr="003F568D">
        <w:rPr>
          <w:sz w:val="26"/>
          <w:szCs w:val="26"/>
        </w:rPr>
        <w:t>;</w:t>
      </w:r>
    </w:p>
    <w:p w:rsidR="001C0D12" w:rsidRPr="003F568D" w:rsidRDefault="001C0D12" w:rsidP="003F568D">
      <w:pPr>
        <w:pStyle w:val="Paragraphedeliste"/>
        <w:numPr>
          <w:ilvl w:val="0"/>
          <w:numId w:val="24"/>
        </w:numPr>
        <w:spacing w:after="0" w:line="240" w:lineRule="auto"/>
        <w:outlineLvl w:val="1"/>
        <w:rPr>
          <w:rFonts w:eastAsia="Times New Roman" w:cstheme="majorBidi"/>
          <w:sz w:val="26"/>
          <w:szCs w:val="26"/>
        </w:rPr>
      </w:pPr>
      <w:r w:rsidRPr="003F568D">
        <w:rPr>
          <w:rFonts w:eastAsia="Times New Roman" w:cstheme="majorBidi"/>
          <w:sz w:val="26"/>
          <w:szCs w:val="26"/>
        </w:rPr>
        <w:t>Convention relative aux droits de l'enfant</w:t>
      </w:r>
      <w:r w:rsidR="00D10B93" w:rsidRPr="003F568D">
        <w:rPr>
          <w:sz w:val="26"/>
          <w:szCs w:val="26"/>
        </w:rPr>
        <w:t>;</w:t>
      </w:r>
    </w:p>
    <w:p w:rsidR="001C0D12" w:rsidRPr="003F568D" w:rsidRDefault="001C0D12" w:rsidP="003F568D">
      <w:pPr>
        <w:pStyle w:val="Paragraphedeliste"/>
        <w:numPr>
          <w:ilvl w:val="0"/>
          <w:numId w:val="24"/>
        </w:numPr>
        <w:shd w:val="clear" w:color="auto" w:fill="FFFFFF"/>
        <w:spacing w:after="0"/>
        <w:jc w:val="both"/>
        <w:outlineLvl w:val="1"/>
        <w:rPr>
          <w:rFonts w:eastAsia="Times New Roman" w:cstheme="majorBidi"/>
          <w:sz w:val="26"/>
          <w:szCs w:val="26"/>
        </w:rPr>
      </w:pPr>
      <w:r w:rsidRPr="003F568D">
        <w:rPr>
          <w:rFonts w:eastAsia="Times New Roman" w:cstheme="majorBidi"/>
          <w:sz w:val="26"/>
          <w:szCs w:val="26"/>
        </w:rPr>
        <w:t>Convention internationale sur la protection des droits de tous les travailleurs migrants et des membres de leur famille</w:t>
      </w:r>
      <w:r w:rsidR="00D10B93" w:rsidRPr="003F568D">
        <w:rPr>
          <w:sz w:val="26"/>
          <w:szCs w:val="26"/>
        </w:rPr>
        <w:t>;</w:t>
      </w:r>
    </w:p>
    <w:p w:rsidR="001C0D12" w:rsidRPr="003F568D" w:rsidRDefault="001C0D12" w:rsidP="003F568D">
      <w:pPr>
        <w:pStyle w:val="Paragraphedeliste"/>
        <w:numPr>
          <w:ilvl w:val="0"/>
          <w:numId w:val="24"/>
        </w:numPr>
        <w:shd w:val="clear" w:color="auto" w:fill="FFFFFF"/>
        <w:spacing w:after="0"/>
        <w:jc w:val="both"/>
        <w:outlineLvl w:val="1"/>
        <w:rPr>
          <w:rFonts w:eastAsia="Times New Roman" w:cstheme="majorBidi"/>
          <w:sz w:val="26"/>
          <w:szCs w:val="26"/>
        </w:rPr>
      </w:pPr>
      <w:r w:rsidRPr="003F568D">
        <w:rPr>
          <w:rFonts w:eastAsia="Times New Roman" w:cstheme="majorBidi"/>
          <w:sz w:val="26"/>
          <w:szCs w:val="26"/>
        </w:rPr>
        <w:t>Convention relative aux droits des personnes handicapées</w:t>
      </w:r>
      <w:r w:rsidR="00D10B93" w:rsidRPr="003F568D">
        <w:rPr>
          <w:sz w:val="26"/>
          <w:szCs w:val="26"/>
        </w:rPr>
        <w:t>;</w:t>
      </w:r>
    </w:p>
    <w:p w:rsidR="001C0D12" w:rsidRPr="003F568D" w:rsidRDefault="001C0D12" w:rsidP="003F568D">
      <w:pPr>
        <w:pStyle w:val="Paragraphedeliste"/>
        <w:numPr>
          <w:ilvl w:val="0"/>
          <w:numId w:val="24"/>
        </w:numPr>
        <w:shd w:val="clear" w:color="auto" w:fill="FFFFFF"/>
        <w:spacing w:after="0"/>
        <w:jc w:val="both"/>
        <w:outlineLvl w:val="1"/>
        <w:rPr>
          <w:rFonts w:eastAsia="Times New Roman" w:cstheme="majorBidi"/>
          <w:sz w:val="26"/>
          <w:szCs w:val="26"/>
        </w:rPr>
      </w:pPr>
      <w:r w:rsidRPr="003F568D">
        <w:rPr>
          <w:rFonts w:eastAsia="Times New Roman" w:cstheme="majorBidi"/>
          <w:sz w:val="26"/>
          <w:szCs w:val="26"/>
        </w:rPr>
        <w:t>Convention internationale pour la protection de toutes les personnes contre les disparitions forcées</w:t>
      </w:r>
      <w:r w:rsidR="00D10B93" w:rsidRPr="003F568D">
        <w:rPr>
          <w:sz w:val="26"/>
          <w:szCs w:val="26"/>
        </w:rPr>
        <w:t>;</w:t>
      </w:r>
      <w:r w:rsidRPr="003F568D">
        <w:rPr>
          <w:rFonts w:eastAsia="Times New Roman" w:cstheme="majorBidi"/>
          <w:sz w:val="26"/>
          <w:szCs w:val="26"/>
        </w:rPr>
        <w:t xml:space="preserve"> </w:t>
      </w:r>
    </w:p>
    <w:p w:rsidR="001C0D12" w:rsidRPr="003F568D" w:rsidRDefault="001C0D12" w:rsidP="003F568D">
      <w:pPr>
        <w:pStyle w:val="Paragraphedeliste"/>
        <w:numPr>
          <w:ilvl w:val="0"/>
          <w:numId w:val="24"/>
        </w:numPr>
        <w:shd w:val="clear" w:color="auto" w:fill="FFFFFF"/>
        <w:tabs>
          <w:tab w:val="left" w:pos="993"/>
        </w:tabs>
        <w:spacing w:after="0"/>
        <w:jc w:val="both"/>
        <w:outlineLvl w:val="1"/>
        <w:rPr>
          <w:rFonts w:eastAsia="Times New Roman" w:cstheme="majorBidi"/>
          <w:sz w:val="26"/>
          <w:szCs w:val="26"/>
        </w:rPr>
      </w:pPr>
      <w:r w:rsidRPr="003F568D">
        <w:rPr>
          <w:rFonts w:eastAsia="Times New Roman" w:cstheme="majorBidi"/>
          <w:sz w:val="26"/>
          <w:szCs w:val="26"/>
        </w:rPr>
        <w:t>Protocole facultatif se rapportant à la Convention contre la torture et autres peines ou traitements cruels, inhumains ou dégradant</w:t>
      </w:r>
      <w:r w:rsidR="00D10B93" w:rsidRPr="003F568D">
        <w:rPr>
          <w:sz w:val="26"/>
          <w:szCs w:val="26"/>
        </w:rPr>
        <w:t>;</w:t>
      </w:r>
    </w:p>
    <w:p w:rsidR="001C0D12" w:rsidRPr="003F568D" w:rsidRDefault="001C0D12" w:rsidP="003F568D">
      <w:pPr>
        <w:pStyle w:val="Paragraphedeliste"/>
        <w:numPr>
          <w:ilvl w:val="0"/>
          <w:numId w:val="24"/>
        </w:numPr>
        <w:shd w:val="clear" w:color="auto" w:fill="FFFFFF"/>
        <w:spacing w:after="0"/>
        <w:jc w:val="both"/>
        <w:outlineLvl w:val="1"/>
        <w:rPr>
          <w:rFonts w:eastAsia="Times New Roman" w:cstheme="majorBidi"/>
          <w:sz w:val="26"/>
          <w:szCs w:val="26"/>
        </w:rPr>
      </w:pPr>
      <w:r w:rsidRPr="003F568D">
        <w:rPr>
          <w:rFonts w:eastAsia="Times New Roman" w:cstheme="majorBidi"/>
          <w:sz w:val="26"/>
          <w:szCs w:val="26"/>
        </w:rPr>
        <w:t>Protocole facultatif se rapportant à la Convention relative aux droits des personnes handicapées</w:t>
      </w:r>
      <w:r w:rsidR="00D10B93" w:rsidRPr="003F568D">
        <w:rPr>
          <w:sz w:val="26"/>
          <w:szCs w:val="26"/>
        </w:rPr>
        <w:t>;</w:t>
      </w:r>
    </w:p>
    <w:p w:rsidR="0050386B" w:rsidRPr="00396465" w:rsidRDefault="0050386B" w:rsidP="0050386B">
      <w:pPr>
        <w:jc w:val="both"/>
        <w:rPr>
          <w:sz w:val="26"/>
          <w:szCs w:val="26"/>
        </w:rPr>
      </w:pPr>
      <w:r w:rsidRPr="00396465">
        <w:rPr>
          <w:sz w:val="26"/>
          <w:szCs w:val="26"/>
        </w:rPr>
        <w:t>C</w:t>
      </w:r>
      <w:r w:rsidR="00207BC7" w:rsidRPr="00396465">
        <w:rPr>
          <w:sz w:val="26"/>
          <w:szCs w:val="26"/>
        </w:rPr>
        <w:t xml:space="preserve">onsidérant </w:t>
      </w:r>
      <w:r w:rsidRPr="00396465">
        <w:rPr>
          <w:sz w:val="26"/>
          <w:szCs w:val="26"/>
        </w:rPr>
        <w:t>que les tribunaux ont appliqué les dispositions de l’article 11 du Pacte et 80 de la Constitution, chaque fois qu’elles sont invoquées devant eux. Il en est, à titre indicatif, de l’annulation des décisions de contrainte par corps pour les dettes ou obligations contractuelles, ainsi que le refus d’autoriser l’exécution forcée sur la même base.</w:t>
      </w:r>
    </w:p>
    <w:p w:rsidR="00207BC7" w:rsidRPr="00396465" w:rsidRDefault="0098782E" w:rsidP="0098782E">
      <w:pPr>
        <w:jc w:val="both"/>
        <w:rPr>
          <w:sz w:val="26"/>
          <w:szCs w:val="26"/>
        </w:rPr>
      </w:pPr>
      <w:r w:rsidRPr="00396465">
        <w:rPr>
          <w:sz w:val="26"/>
          <w:szCs w:val="26"/>
        </w:rPr>
        <w:t>L</w:t>
      </w:r>
      <w:r w:rsidR="00207BC7" w:rsidRPr="00396465">
        <w:rPr>
          <w:sz w:val="26"/>
          <w:szCs w:val="26"/>
        </w:rPr>
        <w:t xml:space="preserve">a Mauritanie a </w:t>
      </w:r>
      <w:r w:rsidR="001C0D12" w:rsidRPr="00396465">
        <w:rPr>
          <w:sz w:val="26"/>
          <w:szCs w:val="26"/>
        </w:rPr>
        <w:t>ratifié</w:t>
      </w:r>
      <w:r w:rsidR="00207BC7" w:rsidRPr="00396465">
        <w:rPr>
          <w:sz w:val="26"/>
          <w:szCs w:val="26"/>
        </w:rPr>
        <w:t xml:space="preserve"> </w:t>
      </w:r>
      <w:r w:rsidRPr="00396465">
        <w:rPr>
          <w:sz w:val="26"/>
          <w:szCs w:val="26"/>
        </w:rPr>
        <w:t>par la loi n°99-027 du 20 juillet 1999, le Pacte International relatif aux Droits Civils et Politiques adopté le 16 décembre 1966 à New York dans lequel le Gouvernement Mauritanien déclare que son application se fera sans préjudice à la Charia islamique.</w:t>
      </w:r>
    </w:p>
    <w:p w:rsidR="0098782E" w:rsidRPr="00396465" w:rsidRDefault="0098782E" w:rsidP="0098782E">
      <w:pPr>
        <w:jc w:val="both"/>
        <w:rPr>
          <w:sz w:val="26"/>
          <w:szCs w:val="26"/>
        </w:rPr>
      </w:pPr>
    </w:p>
    <w:p w:rsidR="008B10C0" w:rsidRPr="00396465" w:rsidRDefault="00D10B93" w:rsidP="008F3013">
      <w:pPr>
        <w:spacing w:after="0" w:line="240" w:lineRule="auto"/>
        <w:jc w:val="both"/>
        <w:rPr>
          <w:b/>
          <w:bCs/>
          <w:i/>
          <w:iCs/>
          <w:sz w:val="26"/>
          <w:szCs w:val="26"/>
        </w:rPr>
      </w:pPr>
      <w:bookmarkStart w:id="0" w:name="_Toc454388699"/>
      <w:bookmarkStart w:id="1" w:name="_Toc453672860"/>
      <w:bookmarkStart w:id="2" w:name="_Toc455360512"/>
      <w:bookmarkStart w:id="3" w:name="_Toc455364116"/>
      <w:r w:rsidRPr="00396465">
        <w:rPr>
          <w:b/>
          <w:bCs/>
          <w:i/>
          <w:iCs/>
          <w:sz w:val="26"/>
          <w:szCs w:val="26"/>
        </w:rPr>
        <w:t xml:space="preserve">2. </w:t>
      </w:r>
      <w:r w:rsidR="008B10C0" w:rsidRPr="00396465">
        <w:rPr>
          <w:b/>
          <w:bCs/>
          <w:i/>
          <w:iCs/>
          <w:sz w:val="26"/>
          <w:szCs w:val="26"/>
        </w:rPr>
        <w:t>Institutions constitutionnelles</w:t>
      </w:r>
      <w:bookmarkEnd w:id="0"/>
      <w:bookmarkEnd w:id="1"/>
      <w:bookmarkEnd w:id="2"/>
      <w:bookmarkEnd w:id="3"/>
    </w:p>
    <w:p w:rsidR="008B10C0" w:rsidRPr="00396465" w:rsidRDefault="008B10C0" w:rsidP="0098782E">
      <w:pPr>
        <w:spacing w:after="240" w:line="240" w:lineRule="auto"/>
        <w:jc w:val="both"/>
        <w:rPr>
          <w:rFonts w:eastAsia="MS Mincho"/>
          <w:sz w:val="26"/>
          <w:szCs w:val="26"/>
        </w:rPr>
      </w:pPr>
      <w:r w:rsidRPr="00396465">
        <w:rPr>
          <w:rFonts w:eastAsia="MS Mincho"/>
          <w:sz w:val="26"/>
          <w:szCs w:val="26"/>
        </w:rPr>
        <w:t>La constitution du 20 juillet 1991, modifiée en 2006,</w:t>
      </w:r>
      <w:r w:rsidR="00E77CEC" w:rsidRPr="00396465">
        <w:rPr>
          <w:rFonts w:eastAsia="MS Mincho"/>
          <w:sz w:val="26"/>
          <w:szCs w:val="26"/>
        </w:rPr>
        <w:t xml:space="preserve"> </w:t>
      </w:r>
      <w:r w:rsidRPr="00396465">
        <w:rPr>
          <w:rFonts w:eastAsia="MS Mincho"/>
          <w:sz w:val="26"/>
          <w:szCs w:val="26"/>
        </w:rPr>
        <w:t>2012 et 2017 a mis en place plusieurs institutions,  notamment le Conseil Constitutionnel, le Conseil Economique, Social et de l’Environnement,  la Cour des Comptes; le Haut Conseil pour la Fatwa, la Commission Nationale des Droits de l’</w:t>
      </w:r>
      <w:r w:rsidR="0098782E" w:rsidRPr="00396465">
        <w:rPr>
          <w:rFonts w:eastAsia="MS Mincho"/>
          <w:sz w:val="26"/>
          <w:szCs w:val="26"/>
        </w:rPr>
        <w:t>H</w:t>
      </w:r>
      <w:r w:rsidRPr="00396465">
        <w:rPr>
          <w:rFonts w:eastAsia="MS Mincho"/>
          <w:sz w:val="26"/>
          <w:szCs w:val="26"/>
        </w:rPr>
        <w:t xml:space="preserve">omme… </w:t>
      </w:r>
    </w:p>
    <w:p w:rsidR="008B10C0" w:rsidRPr="00396465" w:rsidRDefault="008B10C0" w:rsidP="008F3013">
      <w:pPr>
        <w:spacing w:after="240" w:line="240" w:lineRule="auto"/>
        <w:jc w:val="both"/>
        <w:rPr>
          <w:rFonts w:eastAsia="MS Mincho"/>
          <w:b/>
          <w:bCs/>
          <w:sz w:val="26"/>
          <w:szCs w:val="26"/>
        </w:rPr>
      </w:pPr>
      <w:r w:rsidRPr="00396465">
        <w:rPr>
          <w:rFonts w:eastAsia="MS Mincho"/>
          <w:sz w:val="26"/>
          <w:szCs w:val="26"/>
        </w:rPr>
        <w:t>Article Premier de la Constitution dispose: </w:t>
      </w:r>
      <w:r w:rsidRPr="00396465">
        <w:rPr>
          <w:rFonts w:eastAsia="MS Mincho"/>
          <w:b/>
          <w:bCs/>
          <w:i/>
          <w:iCs/>
          <w:sz w:val="26"/>
          <w:szCs w:val="26"/>
        </w:rPr>
        <w:t>« La Mauritanie est une République islamique, indivisible, démocratique et sociale.  La République  assure  à tous les citoyens sans distinction d’origine, de race, de sexe ou de condition sociale l’égalité devant la loi »</w:t>
      </w:r>
      <w:r w:rsidRPr="00396465">
        <w:rPr>
          <w:rFonts w:eastAsia="MS Mincho"/>
          <w:b/>
          <w:bCs/>
          <w:sz w:val="26"/>
          <w:szCs w:val="26"/>
        </w:rPr>
        <w:t xml:space="preserve">. </w:t>
      </w:r>
      <w:r w:rsidRPr="00396465">
        <w:rPr>
          <w:rFonts w:eastAsia="MS Mincho"/>
          <w:sz w:val="26"/>
          <w:szCs w:val="26"/>
        </w:rPr>
        <w:t>L’article 3 consacre le principe de la démocratie :</w:t>
      </w:r>
      <w:r w:rsidRPr="00396465">
        <w:rPr>
          <w:rFonts w:eastAsia="MS Mincho"/>
          <w:b/>
          <w:bCs/>
          <w:sz w:val="26"/>
          <w:szCs w:val="26"/>
        </w:rPr>
        <w:t xml:space="preserve"> « </w:t>
      </w:r>
      <w:r w:rsidRPr="00396465">
        <w:rPr>
          <w:rFonts w:eastAsia="MS Mincho"/>
          <w:b/>
          <w:bCs/>
          <w:i/>
          <w:iCs/>
          <w:sz w:val="26"/>
          <w:szCs w:val="26"/>
        </w:rPr>
        <w:t>la souveraineté appartient au peuple qui l’exerce par ses représentants ou par voie de référendum»</w:t>
      </w:r>
      <w:r w:rsidRPr="00396465">
        <w:rPr>
          <w:rFonts w:eastAsia="MS Mincho"/>
          <w:b/>
          <w:bCs/>
          <w:sz w:val="26"/>
          <w:szCs w:val="26"/>
        </w:rPr>
        <w:t xml:space="preserve">. </w:t>
      </w:r>
    </w:p>
    <w:p w:rsidR="00644435" w:rsidRPr="00644435" w:rsidRDefault="00644435" w:rsidP="003F568D">
      <w:pPr>
        <w:autoSpaceDE w:val="0"/>
        <w:autoSpaceDN w:val="0"/>
        <w:adjustRightInd w:val="0"/>
        <w:spacing w:after="0" w:line="240" w:lineRule="auto"/>
        <w:jc w:val="both"/>
        <w:rPr>
          <w:rFonts w:cs="Times New Roman"/>
          <w:sz w:val="26"/>
          <w:szCs w:val="26"/>
        </w:rPr>
      </w:pPr>
      <w:r w:rsidRPr="00396465">
        <w:rPr>
          <w:rFonts w:cs="Times New Roman"/>
          <w:sz w:val="26"/>
          <w:szCs w:val="26"/>
        </w:rPr>
        <w:t>En ce qui concerne</w:t>
      </w:r>
      <w:r w:rsidRPr="00644435">
        <w:rPr>
          <w:rFonts w:cs="Times New Roman"/>
          <w:sz w:val="26"/>
          <w:szCs w:val="26"/>
        </w:rPr>
        <w:t xml:space="preserve"> la Commission Nationale des Droits de l’Homme (CNDH)</w:t>
      </w:r>
      <w:r w:rsidRPr="00396465">
        <w:rPr>
          <w:rFonts w:cs="Times New Roman"/>
          <w:sz w:val="26"/>
          <w:szCs w:val="26"/>
        </w:rPr>
        <w:t>,</w:t>
      </w:r>
      <w:r w:rsidRPr="00644435">
        <w:rPr>
          <w:rFonts w:cs="Times New Roman"/>
          <w:sz w:val="26"/>
          <w:szCs w:val="26"/>
        </w:rPr>
        <w:t xml:space="preserve"> </w:t>
      </w:r>
      <w:r w:rsidRPr="00396465">
        <w:rPr>
          <w:rFonts w:cs="Times New Roman"/>
          <w:sz w:val="26"/>
          <w:szCs w:val="26"/>
        </w:rPr>
        <w:t>l’Etat partie</w:t>
      </w:r>
      <w:r w:rsidRPr="00644435">
        <w:rPr>
          <w:rFonts w:cs="Times New Roman"/>
          <w:sz w:val="26"/>
          <w:szCs w:val="26"/>
        </w:rPr>
        <w:t xml:space="preserve"> a adopté la loi organique n°2017-016 du 5 juillet 2017 fixant la composition, l’organisation et le fonctionnement de la CNDH. </w:t>
      </w:r>
    </w:p>
    <w:p w:rsidR="00644435" w:rsidRPr="00396465" w:rsidRDefault="00644435" w:rsidP="00644435">
      <w:pPr>
        <w:autoSpaceDE w:val="0"/>
        <w:autoSpaceDN w:val="0"/>
        <w:adjustRightInd w:val="0"/>
        <w:spacing w:after="0" w:line="240" w:lineRule="auto"/>
        <w:jc w:val="both"/>
        <w:rPr>
          <w:rFonts w:cs="Times New Roman"/>
          <w:sz w:val="26"/>
          <w:szCs w:val="26"/>
        </w:rPr>
      </w:pPr>
    </w:p>
    <w:p w:rsidR="00644435" w:rsidRPr="0039646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L’article 12 de cette loi prévoit un comité chargé de la supervision du processus de choix et sélection des membres dans lequel est représenté</w:t>
      </w:r>
      <w:r w:rsidR="003F568D">
        <w:rPr>
          <w:rFonts w:cs="Times New Roman"/>
          <w:sz w:val="26"/>
          <w:szCs w:val="26"/>
        </w:rPr>
        <w:t>e</w:t>
      </w:r>
      <w:r w:rsidRPr="00644435">
        <w:rPr>
          <w:rFonts w:cs="Times New Roman"/>
          <w:sz w:val="26"/>
          <w:szCs w:val="26"/>
        </w:rPr>
        <w:t xml:space="preserve"> la société civile par (2) membres, l’Université de Nouakchott par (01) membre, l’ordre national des Avocats par (1) membre ainsi qu’un membre de la CNDH. </w:t>
      </w:r>
    </w:p>
    <w:p w:rsidR="00644435" w:rsidRPr="00644435" w:rsidRDefault="00644435" w:rsidP="00644435">
      <w:pPr>
        <w:autoSpaceDE w:val="0"/>
        <w:autoSpaceDN w:val="0"/>
        <w:adjustRightInd w:val="0"/>
        <w:spacing w:after="0" w:line="240" w:lineRule="auto"/>
        <w:jc w:val="both"/>
        <w:rPr>
          <w:rFonts w:cs="Times New Roman"/>
          <w:sz w:val="26"/>
          <w:szCs w:val="26"/>
        </w:rPr>
      </w:pPr>
    </w:p>
    <w:p w:rsidR="00644435" w:rsidRPr="0064443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Le comité est chargé entre autres de : </w:t>
      </w:r>
    </w:p>
    <w:p w:rsidR="00644435" w:rsidRPr="0064443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 Diffuser largement l’annonce du renouvellement et de fixer des critères clairs et transparents pour assurer une plus large participation à ce processus ; </w:t>
      </w:r>
    </w:p>
    <w:p w:rsidR="00644435" w:rsidRPr="0039646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 Piloter le processus de renouvellement des structures de la CNDH. </w:t>
      </w:r>
      <w:r w:rsidRPr="00396465">
        <w:rPr>
          <w:rFonts w:cs="Times New Roman"/>
          <w:sz w:val="26"/>
          <w:szCs w:val="26"/>
        </w:rPr>
        <w:t>Ce qui a eu lieu au cours du mois d’avril 2019.</w:t>
      </w:r>
    </w:p>
    <w:p w:rsidR="00644435" w:rsidRPr="00396465" w:rsidRDefault="00644435" w:rsidP="00644435">
      <w:pPr>
        <w:autoSpaceDE w:val="0"/>
        <w:autoSpaceDN w:val="0"/>
        <w:adjustRightInd w:val="0"/>
        <w:spacing w:after="0" w:line="240" w:lineRule="auto"/>
        <w:jc w:val="both"/>
        <w:rPr>
          <w:rFonts w:cs="Times New Roman"/>
          <w:sz w:val="26"/>
          <w:szCs w:val="26"/>
        </w:rPr>
      </w:pPr>
    </w:p>
    <w:p w:rsidR="00644435" w:rsidRPr="0039646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En vue de renforcer davantage l’indépendance des organes décisionnels de la CNDH, les parlementaires, les représentants du gouvernement et les quatre personnalités choisies par le Président de la République n’ont désormais qu’une voix consultative. </w:t>
      </w:r>
    </w:p>
    <w:p w:rsidR="00644435" w:rsidRPr="00396465" w:rsidRDefault="00644435" w:rsidP="00644435">
      <w:pPr>
        <w:autoSpaceDE w:val="0"/>
        <w:autoSpaceDN w:val="0"/>
        <w:adjustRightInd w:val="0"/>
        <w:spacing w:after="0" w:line="240" w:lineRule="auto"/>
        <w:jc w:val="both"/>
        <w:rPr>
          <w:rFonts w:cs="Times New Roman"/>
          <w:sz w:val="26"/>
          <w:szCs w:val="26"/>
        </w:rPr>
      </w:pPr>
    </w:p>
    <w:p w:rsidR="00644435" w:rsidRPr="00396465" w:rsidRDefault="00644435" w:rsidP="003F568D">
      <w:pPr>
        <w:autoSpaceDE w:val="0"/>
        <w:autoSpaceDN w:val="0"/>
        <w:adjustRightInd w:val="0"/>
        <w:spacing w:after="0" w:line="240" w:lineRule="auto"/>
        <w:jc w:val="both"/>
        <w:rPr>
          <w:rFonts w:cs="Times New Roman"/>
          <w:sz w:val="26"/>
          <w:szCs w:val="26"/>
        </w:rPr>
      </w:pPr>
      <w:r w:rsidRPr="00396465">
        <w:rPr>
          <w:rFonts w:cs="Times New Roman"/>
          <w:sz w:val="26"/>
          <w:szCs w:val="26"/>
        </w:rPr>
        <w:t xml:space="preserve">Il est à rappeler que la CNDH aujourd’hui est dirigée par un ancien bâtonnier de l’Ordre National des Avocats de Mauritanie en la personne le Me </w:t>
      </w:r>
      <w:r w:rsidR="003F568D">
        <w:rPr>
          <w:rFonts w:cs="Times New Roman"/>
          <w:b/>
          <w:bCs/>
          <w:sz w:val="26"/>
          <w:szCs w:val="26"/>
        </w:rPr>
        <w:t>Ahmed</w:t>
      </w:r>
      <w:r w:rsidRPr="00396465">
        <w:rPr>
          <w:rFonts w:cs="Times New Roman"/>
          <w:b/>
          <w:bCs/>
          <w:sz w:val="26"/>
          <w:szCs w:val="26"/>
        </w:rPr>
        <w:t xml:space="preserve"> Salem Ould Bouhoubeini</w:t>
      </w:r>
      <w:r w:rsidR="003F568D" w:rsidRPr="003F568D">
        <w:rPr>
          <w:rFonts w:cs="Times New Roman"/>
          <w:sz w:val="26"/>
          <w:szCs w:val="26"/>
        </w:rPr>
        <w:t>,</w:t>
      </w:r>
      <w:r w:rsidR="003F568D">
        <w:rPr>
          <w:rFonts w:cs="Times New Roman"/>
          <w:b/>
          <w:bCs/>
          <w:sz w:val="26"/>
          <w:szCs w:val="26"/>
        </w:rPr>
        <w:t xml:space="preserve"> </w:t>
      </w:r>
      <w:r w:rsidR="003F568D" w:rsidRPr="003F568D">
        <w:rPr>
          <w:rFonts w:cs="Times New Roman"/>
          <w:sz w:val="26"/>
          <w:szCs w:val="26"/>
        </w:rPr>
        <w:t>Avocat à la Cour</w:t>
      </w:r>
      <w:r w:rsidRPr="00396465">
        <w:rPr>
          <w:rFonts w:cs="Times New Roman"/>
          <w:sz w:val="26"/>
          <w:szCs w:val="26"/>
        </w:rPr>
        <w:t xml:space="preserve"> et que tous ces membres ont été renouvelés courant le mois de Mai 2019</w:t>
      </w:r>
      <w:r w:rsidR="003F568D">
        <w:rPr>
          <w:rFonts w:cs="Times New Roman"/>
          <w:sz w:val="26"/>
          <w:szCs w:val="26"/>
        </w:rPr>
        <w:t xml:space="preserve"> avec la participation active des Organisations de la Société Civile mauritanienne à ce renouvellement</w:t>
      </w:r>
      <w:r w:rsidRPr="00396465">
        <w:rPr>
          <w:rFonts w:cs="Times New Roman"/>
          <w:sz w:val="26"/>
          <w:szCs w:val="26"/>
        </w:rPr>
        <w:t>.</w:t>
      </w:r>
    </w:p>
    <w:p w:rsidR="00644435" w:rsidRPr="00644435" w:rsidRDefault="00644435" w:rsidP="00644435">
      <w:pPr>
        <w:autoSpaceDE w:val="0"/>
        <w:autoSpaceDN w:val="0"/>
        <w:adjustRightInd w:val="0"/>
        <w:spacing w:after="0" w:line="240" w:lineRule="auto"/>
        <w:jc w:val="both"/>
        <w:rPr>
          <w:rFonts w:cs="Times New Roman"/>
          <w:sz w:val="26"/>
          <w:szCs w:val="26"/>
        </w:rPr>
      </w:pPr>
    </w:p>
    <w:p w:rsidR="00644435" w:rsidRPr="0039646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D’autre part, la CNDH a organisé des espaces de dialogue afin de clarifier les procédures de choix et sélection des membres qui ont été améliorées pour plus de transparence et une implication de la société civile dans ce processus. </w:t>
      </w:r>
    </w:p>
    <w:p w:rsidR="00644435" w:rsidRPr="00644435" w:rsidRDefault="00644435" w:rsidP="00644435">
      <w:pPr>
        <w:autoSpaceDE w:val="0"/>
        <w:autoSpaceDN w:val="0"/>
        <w:adjustRightInd w:val="0"/>
        <w:spacing w:after="0" w:line="240" w:lineRule="auto"/>
        <w:jc w:val="both"/>
        <w:rPr>
          <w:rFonts w:cs="Times New Roman"/>
          <w:sz w:val="26"/>
          <w:szCs w:val="26"/>
        </w:rPr>
      </w:pPr>
    </w:p>
    <w:p w:rsidR="00644435" w:rsidRPr="00396465" w:rsidRDefault="00644435" w:rsidP="00644435">
      <w:pPr>
        <w:autoSpaceDE w:val="0"/>
        <w:autoSpaceDN w:val="0"/>
        <w:adjustRightInd w:val="0"/>
        <w:spacing w:after="0" w:line="240" w:lineRule="auto"/>
        <w:jc w:val="both"/>
        <w:rPr>
          <w:rFonts w:cs="Times New Roman"/>
          <w:sz w:val="26"/>
          <w:szCs w:val="26"/>
        </w:rPr>
      </w:pPr>
      <w:r w:rsidRPr="00644435">
        <w:rPr>
          <w:rFonts w:cs="Times New Roman"/>
          <w:sz w:val="26"/>
          <w:szCs w:val="26"/>
        </w:rPr>
        <w:t xml:space="preserve">En outre, conformément à son engagement relatif à l’accompagnement et au soutien de la Commission et en vue de redynamiser ses structures, le Gouvernement a procédé au renouvellement du Président de la Commission et ses membres conformément à la loi en vigueur. </w:t>
      </w:r>
    </w:p>
    <w:p w:rsidR="00644435" w:rsidRPr="00396465" w:rsidRDefault="00644435">
      <w:pPr>
        <w:rPr>
          <w:rFonts w:cs="Times New Roman"/>
          <w:sz w:val="26"/>
          <w:szCs w:val="26"/>
        </w:rPr>
      </w:pPr>
      <w:r w:rsidRPr="00396465">
        <w:rPr>
          <w:rFonts w:cs="Times New Roman"/>
          <w:sz w:val="26"/>
          <w:szCs w:val="26"/>
        </w:rPr>
        <w:br w:type="page"/>
      </w:r>
    </w:p>
    <w:p w:rsidR="00644435" w:rsidRPr="00644435" w:rsidRDefault="00644435" w:rsidP="00644435">
      <w:pPr>
        <w:autoSpaceDE w:val="0"/>
        <w:autoSpaceDN w:val="0"/>
        <w:adjustRightInd w:val="0"/>
        <w:spacing w:after="0" w:line="240" w:lineRule="auto"/>
        <w:jc w:val="both"/>
        <w:rPr>
          <w:rFonts w:cs="Times New Roman"/>
          <w:sz w:val="26"/>
          <w:szCs w:val="26"/>
        </w:rPr>
      </w:pPr>
    </w:p>
    <w:p w:rsidR="008B10C0" w:rsidRPr="00396465" w:rsidRDefault="00626972" w:rsidP="008F3013">
      <w:pPr>
        <w:spacing w:after="0" w:line="240" w:lineRule="auto"/>
        <w:jc w:val="both"/>
        <w:rPr>
          <w:b/>
          <w:bCs/>
          <w:i/>
          <w:iCs/>
          <w:sz w:val="26"/>
          <w:szCs w:val="26"/>
        </w:rPr>
      </w:pPr>
      <w:r w:rsidRPr="00396465">
        <w:rPr>
          <w:b/>
          <w:bCs/>
          <w:i/>
          <w:iCs/>
          <w:sz w:val="26"/>
          <w:szCs w:val="26"/>
        </w:rPr>
        <w:t xml:space="preserve">3. </w:t>
      </w:r>
      <w:bookmarkStart w:id="4" w:name="_Toc453672861"/>
      <w:bookmarkStart w:id="5" w:name="_Toc454388700"/>
      <w:bookmarkStart w:id="6" w:name="_Toc455360513"/>
      <w:bookmarkStart w:id="7" w:name="_Toc455364117"/>
      <w:r w:rsidR="008B10C0" w:rsidRPr="00396465">
        <w:rPr>
          <w:b/>
          <w:bCs/>
          <w:i/>
          <w:iCs/>
          <w:sz w:val="26"/>
          <w:szCs w:val="26"/>
        </w:rPr>
        <w:t>Institutions judicaires</w:t>
      </w:r>
      <w:bookmarkEnd w:id="4"/>
      <w:bookmarkEnd w:id="5"/>
      <w:bookmarkEnd w:id="6"/>
      <w:bookmarkEnd w:id="7"/>
    </w:p>
    <w:p w:rsidR="00652803" w:rsidRPr="00396465" w:rsidRDefault="00626972" w:rsidP="00626972">
      <w:pPr>
        <w:spacing w:after="0" w:line="240" w:lineRule="auto"/>
        <w:jc w:val="both"/>
        <w:rPr>
          <w:rFonts w:eastAsia="MS Mincho"/>
          <w:sz w:val="26"/>
          <w:szCs w:val="26"/>
        </w:rPr>
      </w:pPr>
      <w:r w:rsidRPr="00396465">
        <w:rPr>
          <w:rFonts w:eastAsia="MS Mincho"/>
          <w:sz w:val="26"/>
          <w:szCs w:val="26"/>
        </w:rPr>
        <w:t>Le système judiciaire</w:t>
      </w:r>
      <w:r w:rsidR="008B10C0" w:rsidRPr="00396465">
        <w:rPr>
          <w:rFonts w:eastAsia="MS Mincho"/>
          <w:sz w:val="26"/>
          <w:szCs w:val="26"/>
        </w:rPr>
        <w:t xml:space="preserve"> est </w:t>
      </w:r>
      <w:r w:rsidRPr="00396465">
        <w:rPr>
          <w:rFonts w:eastAsia="MS Mincho"/>
          <w:sz w:val="26"/>
          <w:szCs w:val="26"/>
        </w:rPr>
        <w:t>basé</w:t>
      </w:r>
      <w:r w:rsidR="008B10C0" w:rsidRPr="00396465">
        <w:rPr>
          <w:rFonts w:eastAsia="MS Mincho"/>
          <w:sz w:val="26"/>
          <w:szCs w:val="26"/>
        </w:rPr>
        <w:t xml:space="preserve"> sur le principe de </w:t>
      </w:r>
      <w:r w:rsidRPr="00396465">
        <w:rPr>
          <w:rFonts w:eastAsia="MS Mincho"/>
          <w:sz w:val="26"/>
          <w:szCs w:val="26"/>
        </w:rPr>
        <w:t>double degré</w:t>
      </w:r>
      <w:r w:rsidR="008B10C0" w:rsidRPr="00396465">
        <w:rPr>
          <w:rFonts w:eastAsia="MS Mincho"/>
          <w:sz w:val="26"/>
          <w:szCs w:val="26"/>
        </w:rPr>
        <w:t xml:space="preserve"> de juridiction (les </w:t>
      </w:r>
      <w:r w:rsidR="00652803" w:rsidRPr="00396465">
        <w:rPr>
          <w:rFonts w:eastAsia="MS Mincho"/>
          <w:sz w:val="26"/>
          <w:szCs w:val="26"/>
        </w:rPr>
        <w:t>affaires</w:t>
      </w:r>
      <w:r w:rsidR="008B10C0" w:rsidRPr="00396465">
        <w:rPr>
          <w:rFonts w:eastAsia="MS Mincho"/>
          <w:sz w:val="26"/>
          <w:szCs w:val="26"/>
        </w:rPr>
        <w:t xml:space="preserve"> peuv</w:t>
      </w:r>
      <w:r w:rsidR="00652803" w:rsidRPr="00396465">
        <w:rPr>
          <w:rFonts w:eastAsia="MS Mincho"/>
          <w:sz w:val="26"/>
          <w:szCs w:val="26"/>
        </w:rPr>
        <w:t>ent être jugées en première et dernier ressort</w:t>
      </w:r>
      <w:r w:rsidR="008B10C0" w:rsidRPr="00396465">
        <w:rPr>
          <w:rFonts w:eastAsia="MS Mincho"/>
          <w:sz w:val="26"/>
          <w:szCs w:val="26"/>
        </w:rPr>
        <w:t>).</w:t>
      </w:r>
      <w:r w:rsidR="00652803" w:rsidRPr="00396465">
        <w:rPr>
          <w:rFonts w:eastAsia="MS Mincho"/>
          <w:sz w:val="26"/>
          <w:szCs w:val="26"/>
        </w:rPr>
        <w:t xml:space="preserve"> Cette composition</w:t>
      </w:r>
      <w:r w:rsidR="008B10C0" w:rsidRPr="00396465">
        <w:rPr>
          <w:rFonts w:eastAsia="MS Mincho"/>
          <w:sz w:val="26"/>
          <w:szCs w:val="26"/>
        </w:rPr>
        <w:t xml:space="preserve"> comprend des tribunaux au niveau de</w:t>
      </w:r>
      <w:r w:rsidR="00652803" w:rsidRPr="00396465">
        <w:rPr>
          <w:rFonts w:eastAsia="MS Mincho"/>
          <w:sz w:val="26"/>
          <w:szCs w:val="26"/>
        </w:rPr>
        <w:t xml:space="preserve"> toutes le</w:t>
      </w:r>
      <w:r w:rsidR="008B10C0" w:rsidRPr="00396465">
        <w:rPr>
          <w:rFonts w:eastAsia="MS Mincho"/>
          <w:sz w:val="26"/>
          <w:szCs w:val="26"/>
        </w:rPr>
        <w:t>s moughataa</w:t>
      </w:r>
      <w:r w:rsidR="0098782E" w:rsidRPr="00396465">
        <w:rPr>
          <w:rFonts w:eastAsia="MS Mincho"/>
          <w:sz w:val="26"/>
          <w:szCs w:val="26"/>
        </w:rPr>
        <w:t>s</w:t>
      </w:r>
      <w:r w:rsidR="008B10C0" w:rsidRPr="00396465">
        <w:rPr>
          <w:rFonts w:eastAsia="MS Mincho"/>
          <w:sz w:val="26"/>
          <w:szCs w:val="26"/>
        </w:rPr>
        <w:t xml:space="preserve">, des </w:t>
      </w:r>
      <w:r w:rsidR="00652803" w:rsidRPr="00396465">
        <w:rPr>
          <w:rFonts w:eastAsia="MS Mincho"/>
          <w:sz w:val="26"/>
          <w:szCs w:val="26"/>
        </w:rPr>
        <w:t xml:space="preserve">tribunaux régionaux pour chaque capitale régionale y compris trois (3) </w:t>
      </w:r>
      <w:r w:rsidR="008F3013" w:rsidRPr="00396465">
        <w:rPr>
          <w:rFonts w:eastAsia="MS Mincho"/>
          <w:sz w:val="26"/>
          <w:szCs w:val="26"/>
        </w:rPr>
        <w:t xml:space="preserve">tribunaux régionaux </w:t>
      </w:r>
      <w:r w:rsidR="00652803" w:rsidRPr="00396465">
        <w:rPr>
          <w:rFonts w:eastAsia="MS Mincho"/>
          <w:sz w:val="26"/>
          <w:szCs w:val="26"/>
        </w:rPr>
        <w:t>à Nouakchott</w:t>
      </w:r>
      <w:r w:rsidR="008B10C0" w:rsidRPr="00396465">
        <w:rPr>
          <w:rFonts w:eastAsia="MS Mincho"/>
          <w:sz w:val="26"/>
          <w:szCs w:val="26"/>
        </w:rPr>
        <w:t>,</w:t>
      </w:r>
      <w:r w:rsidR="00652803" w:rsidRPr="00396465">
        <w:rPr>
          <w:rFonts w:eastAsia="MS Mincho"/>
          <w:sz w:val="26"/>
          <w:szCs w:val="26"/>
        </w:rPr>
        <w:t xml:space="preserve"> quatre (4)</w:t>
      </w:r>
      <w:r w:rsidR="008B10C0" w:rsidRPr="00396465">
        <w:rPr>
          <w:rFonts w:eastAsia="MS Mincho"/>
          <w:sz w:val="26"/>
          <w:szCs w:val="26"/>
        </w:rPr>
        <w:t xml:space="preserve"> cours d’appel</w:t>
      </w:r>
      <w:r w:rsidR="00652803" w:rsidRPr="00396465">
        <w:rPr>
          <w:rFonts w:eastAsia="MS Mincho"/>
          <w:sz w:val="26"/>
          <w:szCs w:val="26"/>
        </w:rPr>
        <w:t xml:space="preserve"> ayant sièges à Nouakchott, Nouadhibou, Aleg et Kiffa</w:t>
      </w:r>
      <w:r w:rsidR="008B10C0" w:rsidRPr="00396465">
        <w:rPr>
          <w:rFonts w:eastAsia="MS Mincho"/>
          <w:sz w:val="26"/>
          <w:szCs w:val="26"/>
        </w:rPr>
        <w:t xml:space="preserve"> et une</w:t>
      </w:r>
      <w:r w:rsidR="00652803" w:rsidRPr="00396465">
        <w:rPr>
          <w:rFonts w:eastAsia="MS Mincho"/>
          <w:sz w:val="26"/>
          <w:szCs w:val="26"/>
        </w:rPr>
        <w:t xml:space="preserve"> (1)</w:t>
      </w:r>
      <w:r w:rsidR="008B10C0" w:rsidRPr="00396465">
        <w:rPr>
          <w:rFonts w:eastAsia="MS Mincho"/>
          <w:sz w:val="26"/>
          <w:szCs w:val="26"/>
        </w:rPr>
        <w:t xml:space="preserve"> cour suprême</w:t>
      </w:r>
      <w:r w:rsidR="00652803" w:rsidRPr="00396465">
        <w:rPr>
          <w:rFonts w:eastAsia="MS Mincho"/>
          <w:sz w:val="26"/>
          <w:szCs w:val="26"/>
        </w:rPr>
        <w:t xml:space="preserve"> à Nouakchott</w:t>
      </w:r>
      <w:r w:rsidR="008B10C0" w:rsidRPr="00396465">
        <w:rPr>
          <w:rFonts w:eastAsia="MS Mincho"/>
          <w:sz w:val="26"/>
          <w:szCs w:val="26"/>
        </w:rPr>
        <w:t xml:space="preserve">. </w:t>
      </w:r>
    </w:p>
    <w:p w:rsidR="00606FB3" w:rsidRPr="00396465" w:rsidRDefault="00652803" w:rsidP="00E77CEC">
      <w:pPr>
        <w:spacing w:after="240" w:line="240" w:lineRule="auto"/>
        <w:jc w:val="both"/>
        <w:rPr>
          <w:rFonts w:eastAsia="MS Mincho"/>
          <w:sz w:val="26"/>
          <w:szCs w:val="26"/>
        </w:rPr>
      </w:pPr>
      <w:r w:rsidRPr="00396465">
        <w:rPr>
          <w:rFonts w:eastAsia="MS Mincho"/>
          <w:sz w:val="26"/>
          <w:szCs w:val="26"/>
        </w:rPr>
        <w:t>Trois juridictions spécialisées en matière d’esclavage ayant siège à Néma, Nouakchott et Nouadhibou</w:t>
      </w:r>
      <w:r w:rsidR="00E77CEC" w:rsidRPr="00396465">
        <w:rPr>
          <w:rFonts w:eastAsia="MS Mincho"/>
          <w:sz w:val="26"/>
          <w:szCs w:val="26"/>
        </w:rPr>
        <w:t xml:space="preserve"> dont les décisions sont exécutoires nonobstant toutes voies de recours. </w:t>
      </w:r>
    </w:p>
    <w:p w:rsidR="00652803" w:rsidRPr="00396465" w:rsidRDefault="00606FB3" w:rsidP="00606FB3">
      <w:pPr>
        <w:spacing w:after="240" w:line="240" w:lineRule="auto"/>
        <w:jc w:val="both"/>
        <w:rPr>
          <w:rFonts w:eastAsia="MS Mincho"/>
          <w:sz w:val="26"/>
          <w:szCs w:val="26"/>
        </w:rPr>
      </w:pPr>
      <w:r w:rsidRPr="00396465">
        <w:rPr>
          <w:rFonts w:eastAsia="MS Mincho"/>
          <w:sz w:val="26"/>
          <w:szCs w:val="26"/>
        </w:rPr>
        <w:t>Dans ce cadre, la loi n°031-2015 portant incrimination de l’esclavage et réprimant les pratiques esclavagistes dispose</w:t>
      </w:r>
      <w:r w:rsidR="00626972" w:rsidRPr="00396465">
        <w:rPr>
          <w:rFonts w:eastAsia="MS Mincho"/>
          <w:sz w:val="26"/>
          <w:szCs w:val="26"/>
        </w:rPr>
        <w:t>,</w:t>
      </w:r>
      <w:r w:rsidRPr="00396465">
        <w:rPr>
          <w:rFonts w:eastAsia="MS Mincho"/>
          <w:sz w:val="26"/>
          <w:szCs w:val="26"/>
        </w:rPr>
        <w:t xml:space="preserve"> entre autre</w:t>
      </w:r>
      <w:r w:rsidR="00626972" w:rsidRPr="00396465">
        <w:rPr>
          <w:rFonts w:eastAsia="MS Mincho"/>
          <w:sz w:val="26"/>
          <w:szCs w:val="26"/>
        </w:rPr>
        <w:t>,</w:t>
      </w:r>
      <w:r w:rsidRPr="00396465">
        <w:rPr>
          <w:rFonts w:eastAsia="MS Mincho"/>
          <w:sz w:val="26"/>
          <w:szCs w:val="26"/>
        </w:rPr>
        <w:t xml:space="preserve"> en son article 2, l’esclavage constitue un crime contre l’humanité. Il est imprescriptible. Et interdit toute discrimination, sous quelque forme que se soit à l’encontre d’une personne considérée comme esclave. Une journée nationale est consacrée à la lutte contre les pratiques esclavagistes.</w:t>
      </w:r>
      <w:r w:rsidR="00652803" w:rsidRPr="00396465">
        <w:rPr>
          <w:rFonts w:eastAsia="MS Mincho"/>
          <w:sz w:val="26"/>
          <w:szCs w:val="26"/>
        </w:rPr>
        <w:t xml:space="preserve"> </w:t>
      </w:r>
    </w:p>
    <w:p w:rsidR="00652803" w:rsidRPr="00396465" w:rsidRDefault="00626972" w:rsidP="008F3013">
      <w:pPr>
        <w:spacing w:after="0" w:line="240" w:lineRule="auto"/>
        <w:jc w:val="both"/>
        <w:rPr>
          <w:b/>
          <w:bCs/>
          <w:i/>
          <w:iCs/>
          <w:sz w:val="26"/>
          <w:szCs w:val="26"/>
        </w:rPr>
      </w:pPr>
      <w:bookmarkStart w:id="8" w:name="_Toc453672874"/>
      <w:bookmarkStart w:id="9" w:name="_Toc454388713"/>
      <w:bookmarkStart w:id="10" w:name="_Toc455364132"/>
      <w:r w:rsidRPr="00396465">
        <w:rPr>
          <w:b/>
          <w:bCs/>
          <w:i/>
          <w:iCs/>
          <w:sz w:val="26"/>
          <w:szCs w:val="26"/>
        </w:rPr>
        <w:t xml:space="preserve">4. </w:t>
      </w:r>
      <w:r w:rsidR="00652803" w:rsidRPr="00396465">
        <w:rPr>
          <w:b/>
          <w:bCs/>
          <w:i/>
          <w:iCs/>
          <w:sz w:val="26"/>
          <w:szCs w:val="26"/>
        </w:rPr>
        <w:t>Mécanismes nationaux de protection et promotion des droits de l’homme</w:t>
      </w:r>
      <w:bookmarkEnd w:id="8"/>
      <w:bookmarkEnd w:id="9"/>
      <w:bookmarkEnd w:id="10"/>
      <w:r w:rsidR="00652803" w:rsidRPr="00396465">
        <w:rPr>
          <w:b/>
          <w:bCs/>
          <w:i/>
          <w:iCs/>
          <w:sz w:val="26"/>
          <w:szCs w:val="26"/>
        </w:rPr>
        <w:t> </w:t>
      </w:r>
    </w:p>
    <w:p w:rsidR="00652803" w:rsidRPr="00396465" w:rsidRDefault="00626972" w:rsidP="0098782E">
      <w:pPr>
        <w:spacing w:after="0" w:line="240" w:lineRule="auto"/>
        <w:jc w:val="both"/>
        <w:rPr>
          <w:sz w:val="26"/>
          <w:szCs w:val="26"/>
        </w:rPr>
      </w:pPr>
      <w:r w:rsidRPr="00396465">
        <w:rPr>
          <w:i/>
          <w:iCs/>
          <w:sz w:val="26"/>
          <w:szCs w:val="26"/>
        </w:rPr>
        <w:t xml:space="preserve">4.1. </w:t>
      </w:r>
      <w:r w:rsidR="00652803" w:rsidRPr="00396465">
        <w:rPr>
          <w:i/>
          <w:iCs/>
          <w:sz w:val="26"/>
          <w:szCs w:val="26"/>
        </w:rPr>
        <w:t>Le Commissariat aux Droits de l’Homme</w:t>
      </w:r>
      <w:r w:rsidR="0098782E" w:rsidRPr="00396465">
        <w:rPr>
          <w:i/>
          <w:iCs/>
          <w:sz w:val="26"/>
          <w:szCs w:val="26"/>
        </w:rPr>
        <w:t>,</w:t>
      </w:r>
      <w:r w:rsidR="00652803" w:rsidRPr="00396465">
        <w:rPr>
          <w:i/>
          <w:iCs/>
          <w:sz w:val="26"/>
          <w:szCs w:val="26"/>
        </w:rPr>
        <w:t xml:space="preserve"> à l’Action Humanitaire</w:t>
      </w:r>
      <w:r w:rsidRPr="00396465">
        <w:rPr>
          <w:sz w:val="26"/>
          <w:szCs w:val="26"/>
        </w:rPr>
        <w:t> </w:t>
      </w:r>
      <w:r w:rsidR="0098782E" w:rsidRPr="00396465">
        <w:rPr>
          <w:i/>
          <w:iCs/>
          <w:sz w:val="26"/>
          <w:szCs w:val="26"/>
        </w:rPr>
        <w:t>et aux Relations avec la Société Civile</w:t>
      </w:r>
      <w:r w:rsidRPr="00396465">
        <w:rPr>
          <w:sz w:val="26"/>
          <w:szCs w:val="26"/>
        </w:rPr>
        <w:t xml:space="preserve"> est</w:t>
      </w:r>
      <w:r w:rsidR="00E72A53" w:rsidRPr="00396465">
        <w:rPr>
          <w:sz w:val="26"/>
          <w:szCs w:val="26"/>
        </w:rPr>
        <w:t xml:space="preserve"> </w:t>
      </w:r>
      <w:r w:rsidR="00652803" w:rsidRPr="00396465">
        <w:rPr>
          <w:sz w:val="26"/>
          <w:szCs w:val="26"/>
        </w:rPr>
        <w:t>chargé de l’élaboration et de la mise en œuvre de la politique nationale de promotion, de défense, de protection des droits de l’homme.</w:t>
      </w:r>
    </w:p>
    <w:p w:rsidR="0098782E" w:rsidRPr="00396465" w:rsidRDefault="0098782E" w:rsidP="0098782E">
      <w:pPr>
        <w:spacing w:after="0" w:line="240" w:lineRule="auto"/>
        <w:jc w:val="both"/>
        <w:rPr>
          <w:sz w:val="26"/>
          <w:szCs w:val="26"/>
        </w:rPr>
      </w:pPr>
    </w:p>
    <w:p w:rsidR="00652803" w:rsidRPr="00396465" w:rsidRDefault="00626972" w:rsidP="008076EB">
      <w:pPr>
        <w:spacing w:after="240" w:line="240" w:lineRule="auto"/>
        <w:jc w:val="both"/>
        <w:rPr>
          <w:sz w:val="26"/>
          <w:szCs w:val="26"/>
        </w:rPr>
      </w:pPr>
      <w:r w:rsidRPr="00396465">
        <w:rPr>
          <w:i/>
          <w:iCs/>
          <w:sz w:val="26"/>
          <w:szCs w:val="26"/>
        </w:rPr>
        <w:t xml:space="preserve">4.2. </w:t>
      </w:r>
      <w:r w:rsidR="00652803" w:rsidRPr="00396465">
        <w:rPr>
          <w:i/>
          <w:iCs/>
          <w:sz w:val="26"/>
          <w:szCs w:val="26"/>
        </w:rPr>
        <w:t>Le Mécanisme National de Prévention de la Torture</w:t>
      </w:r>
      <w:r w:rsidR="00652803" w:rsidRPr="00396465">
        <w:rPr>
          <w:sz w:val="26"/>
          <w:szCs w:val="26"/>
        </w:rPr>
        <w:t xml:space="preserve"> veille au respect de la législation en vigueur dans ce domaine.</w:t>
      </w:r>
    </w:p>
    <w:p w:rsidR="00652803" w:rsidRPr="00396465" w:rsidRDefault="00626972" w:rsidP="008076EB">
      <w:pPr>
        <w:spacing w:after="240" w:line="240" w:lineRule="auto"/>
        <w:jc w:val="both"/>
        <w:rPr>
          <w:sz w:val="26"/>
          <w:szCs w:val="26"/>
        </w:rPr>
      </w:pPr>
      <w:r w:rsidRPr="00396465">
        <w:rPr>
          <w:i/>
          <w:iCs/>
          <w:sz w:val="26"/>
          <w:szCs w:val="26"/>
        </w:rPr>
        <w:t xml:space="preserve">4.3. </w:t>
      </w:r>
      <w:r w:rsidR="00652803" w:rsidRPr="00396465">
        <w:rPr>
          <w:i/>
          <w:iCs/>
          <w:sz w:val="26"/>
          <w:szCs w:val="26"/>
        </w:rPr>
        <w:t>Le Haut Conseil de la Fatwa et des Recours Gracieux</w:t>
      </w:r>
      <w:r w:rsidR="00652803" w:rsidRPr="00396465">
        <w:rPr>
          <w:sz w:val="26"/>
          <w:szCs w:val="26"/>
        </w:rPr>
        <w:t xml:space="preserve"> en fait de même dans son domaine de compétence.</w:t>
      </w:r>
    </w:p>
    <w:p w:rsidR="00652803" w:rsidRPr="00396465" w:rsidRDefault="00626972" w:rsidP="003F568D">
      <w:pPr>
        <w:spacing w:after="240" w:line="240" w:lineRule="auto"/>
        <w:jc w:val="both"/>
        <w:rPr>
          <w:sz w:val="26"/>
          <w:szCs w:val="26"/>
        </w:rPr>
      </w:pPr>
      <w:r w:rsidRPr="00396465">
        <w:rPr>
          <w:i/>
          <w:iCs/>
          <w:sz w:val="26"/>
          <w:szCs w:val="26"/>
        </w:rPr>
        <w:t xml:space="preserve">4.4. </w:t>
      </w:r>
      <w:r w:rsidR="00652803" w:rsidRPr="00396465">
        <w:rPr>
          <w:i/>
          <w:iCs/>
          <w:sz w:val="26"/>
          <w:szCs w:val="26"/>
        </w:rPr>
        <w:t>Les associations</w:t>
      </w:r>
      <w:r w:rsidR="00652803" w:rsidRPr="00396465">
        <w:rPr>
          <w:sz w:val="26"/>
          <w:szCs w:val="26"/>
        </w:rPr>
        <w:t xml:space="preserve"> sont régies par la loi </w:t>
      </w:r>
      <w:r w:rsidR="003F568D">
        <w:rPr>
          <w:sz w:val="26"/>
          <w:szCs w:val="26"/>
        </w:rPr>
        <w:t>n°</w:t>
      </w:r>
      <w:r w:rsidR="00652803" w:rsidRPr="00396465">
        <w:rPr>
          <w:sz w:val="26"/>
          <w:szCs w:val="26"/>
        </w:rPr>
        <w:t>64.098 du 9 juin 1964 modifiée par la loi 73.007</w:t>
      </w:r>
      <w:r w:rsidR="003F568D">
        <w:rPr>
          <w:sz w:val="26"/>
          <w:szCs w:val="26"/>
        </w:rPr>
        <w:t xml:space="preserve"> </w:t>
      </w:r>
      <w:r w:rsidR="00652803" w:rsidRPr="00396465">
        <w:rPr>
          <w:sz w:val="26"/>
          <w:szCs w:val="26"/>
        </w:rPr>
        <w:t xml:space="preserve">du 23 juin 1973 et par la loi </w:t>
      </w:r>
      <w:r w:rsidR="003F568D">
        <w:rPr>
          <w:sz w:val="26"/>
          <w:szCs w:val="26"/>
        </w:rPr>
        <w:t>n°</w:t>
      </w:r>
      <w:r w:rsidR="00652803" w:rsidRPr="00396465">
        <w:rPr>
          <w:sz w:val="26"/>
          <w:szCs w:val="26"/>
        </w:rPr>
        <w:t xml:space="preserve">73.157 du 2 juillet 1973. Plus de </w:t>
      </w:r>
      <w:r w:rsidR="00606FB3" w:rsidRPr="00396465">
        <w:rPr>
          <w:sz w:val="26"/>
          <w:szCs w:val="26"/>
        </w:rPr>
        <w:t xml:space="preserve">5000 </w:t>
      </w:r>
      <w:r w:rsidR="00652803" w:rsidRPr="00396465">
        <w:rPr>
          <w:sz w:val="26"/>
          <w:szCs w:val="26"/>
        </w:rPr>
        <w:t xml:space="preserve">ONG nationales et </w:t>
      </w:r>
      <w:r w:rsidR="00606FB3" w:rsidRPr="00396465">
        <w:rPr>
          <w:sz w:val="26"/>
          <w:szCs w:val="26"/>
        </w:rPr>
        <w:t>plus de 50</w:t>
      </w:r>
      <w:r w:rsidR="00652803" w:rsidRPr="00396465">
        <w:rPr>
          <w:sz w:val="26"/>
          <w:szCs w:val="26"/>
        </w:rPr>
        <w:t xml:space="preserve"> organisations non gouvernementales internationales exercent leurs activités. </w:t>
      </w:r>
    </w:p>
    <w:p w:rsidR="00496125" w:rsidRPr="00396465" w:rsidRDefault="00496125" w:rsidP="008076EB">
      <w:pPr>
        <w:spacing w:after="240" w:line="240" w:lineRule="auto"/>
        <w:jc w:val="both"/>
        <w:rPr>
          <w:sz w:val="26"/>
          <w:szCs w:val="26"/>
        </w:rPr>
      </w:pPr>
      <w:r w:rsidRPr="00396465">
        <w:rPr>
          <w:sz w:val="26"/>
          <w:szCs w:val="26"/>
        </w:rPr>
        <w:t>Les organisations œuvrant dans le domaine des Droits de l’Homme ont le bénéfice d’assister les victimes et de se constituer partie civile conformément à la loi</w:t>
      </w:r>
      <w:r w:rsidR="00A92C64" w:rsidRPr="00396465">
        <w:rPr>
          <w:sz w:val="26"/>
          <w:szCs w:val="26"/>
        </w:rPr>
        <w:t>.</w:t>
      </w:r>
    </w:p>
    <w:p w:rsidR="00001F07" w:rsidRPr="00396465" w:rsidRDefault="00207BC7" w:rsidP="008F3013">
      <w:pPr>
        <w:pStyle w:val="Commentaire"/>
        <w:spacing w:after="0"/>
        <w:jc w:val="both"/>
        <w:rPr>
          <w:b/>
          <w:bCs/>
          <w:i/>
          <w:iCs/>
          <w:sz w:val="26"/>
          <w:szCs w:val="26"/>
        </w:rPr>
      </w:pPr>
      <w:r w:rsidRPr="00396465">
        <w:rPr>
          <w:rFonts w:asciiTheme="minorHAnsi" w:hAnsiTheme="minorHAnsi"/>
          <w:b/>
          <w:bCs/>
          <w:i/>
          <w:iCs/>
          <w:sz w:val="26"/>
          <w:szCs w:val="26"/>
        </w:rPr>
        <w:t xml:space="preserve"> </w:t>
      </w:r>
      <w:r w:rsidR="00626972" w:rsidRPr="00396465">
        <w:rPr>
          <w:rFonts w:asciiTheme="minorHAnsi" w:hAnsiTheme="minorHAnsi"/>
          <w:b/>
          <w:bCs/>
          <w:i/>
          <w:iCs/>
          <w:sz w:val="26"/>
          <w:szCs w:val="26"/>
        </w:rPr>
        <w:t xml:space="preserve">5. </w:t>
      </w:r>
      <w:r w:rsidR="00EA16AC" w:rsidRPr="00396465">
        <w:rPr>
          <w:b/>
          <w:bCs/>
          <w:i/>
          <w:iCs/>
          <w:sz w:val="26"/>
          <w:szCs w:val="26"/>
        </w:rPr>
        <w:t>Vulgarisation, formation et sensibilisation</w:t>
      </w:r>
      <w:r w:rsidR="008506CF" w:rsidRPr="00396465">
        <w:rPr>
          <w:b/>
          <w:bCs/>
          <w:i/>
          <w:iCs/>
          <w:sz w:val="26"/>
          <w:szCs w:val="26"/>
        </w:rPr>
        <w:t xml:space="preserve"> </w:t>
      </w:r>
      <w:r w:rsidR="00EA16AC" w:rsidRPr="00396465">
        <w:rPr>
          <w:b/>
          <w:bCs/>
          <w:i/>
          <w:iCs/>
          <w:sz w:val="26"/>
          <w:szCs w:val="26"/>
        </w:rPr>
        <w:t xml:space="preserve">sur la Prévention et la Lutte Contre la </w:t>
      </w:r>
      <w:r w:rsidR="008506CF" w:rsidRPr="00396465">
        <w:rPr>
          <w:b/>
          <w:bCs/>
          <w:i/>
          <w:iCs/>
          <w:sz w:val="26"/>
          <w:szCs w:val="26"/>
        </w:rPr>
        <w:t>Discrimination</w:t>
      </w:r>
    </w:p>
    <w:p w:rsidR="00A92C64" w:rsidRPr="00396465" w:rsidRDefault="00A92C64" w:rsidP="008076EB">
      <w:pPr>
        <w:spacing w:after="240" w:line="240" w:lineRule="auto"/>
        <w:jc w:val="both"/>
        <w:rPr>
          <w:rFonts w:ascii="Calibri" w:eastAsia="Calibri" w:hAnsi="Calibri" w:cs="Arial"/>
          <w:sz w:val="26"/>
          <w:szCs w:val="26"/>
        </w:rPr>
      </w:pPr>
      <w:r w:rsidRPr="00396465">
        <w:rPr>
          <w:rFonts w:ascii="Calibri" w:eastAsia="Calibri" w:hAnsi="Calibri" w:cs="Arial"/>
          <w:sz w:val="26"/>
          <w:szCs w:val="26"/>
        </w:rPr>
        <w:t>Plusieurs conventions ont fait l’objet de campagnes d’information et de sensibilisation. Il s’agit notamment de :</w:t>
      </w:r>
    </w:p>
    <w:p w:rsidR="00626972" w:rsidRPr="00396465" w:rsidRDefault="00A92C64" w:rsidP="00626972">
      <w:pPr>
        <w:spacing w:after="0" w:line="240" w:lineRule="auto"/>
        <w:jc w:val="both"/>
        <w:rPr>
          <w:rFonts w:ascii="Calibri" w:eastAsia="Calibri" w:hAnsi="Calibri" w:cs="Arial"/>
          <w:sz w:val="26"/>
          <w:szCs w:val="26"/>
        </w:rPr>
      </w:pPr>
      <w:bookmarkStart w:id="11" w:name="_Toc454388715"/>
      <w:r w:rsidRPr="00396465">
        <w:rPr>
          <w:rFonts w:ascii="Calibri" w:eastAsia="Calibri" w:hAnsi="Calibri" w:cs="Arial"/>
          <w:sz w:val="26"/>
          <w:szCs w:val="26"/>
        </w:rPr>
        <w:t>- Convention sur l’élimination de toutes les formes de discrimination à l’égard des femmes</w:t>
      </w:r>
      <w:bookmarkStart w:id="12" w:name="_Toc454388716"/>
      <w:bookmarkEnd w:id="11"/>
      <w:r w:rsidR="00626972" w:rsidRPr="00396465">
        <w:rPr>
          <w:rFonts w:ascii="Calibri" w:eastAsia="Calibri" w:hAnsi="Calibri" w:cs="Arial"/>
          <w:sz w:val="26"/>
          <w:szCs w:val="26"/>
        </w:rPr>
        <w:t> ;</w:t>
      </w:r>
    </w:p>
    <w:p w:rsidR="00A92C64" w:rsidRPr="00396465" w:rsidRDefault="00626972" w:rsidP="00626972">
      <w:pPr>
        <w:spacing w:after="0" w:line="240" w:lineRule="auto"/>
        <w:jc w:val="both"/>
        <w:rPr>
          <w:rFonts w:ascii="Calibri" w:eastAsia="Calibri" w:hAnsi="Calibri" w:cs="Arial"/>
          <w:sz w:val="26"/>
          <w:szCs w:val="26"/>
        </w:rPr>
      </w:pPr>
      <w:r w:rsidRPr="00396465">
        <w:rPr>
          <w:rFonts w:ascii="Calibri" w:eastAsia="Calibri" w:hAnsi="Calibri" w:cs="Arial"/>
          <w:sz w:val="26"/>
          <w:szCs w:val="26"/>
        </w:rPr>
        <w:t xml:space="preserve">- </w:t>
      </w:r>
      <w:r w:rsidR="00A92C64" w:rsidRPr="00396465">
        <w:rPr>
          <w:rFonts w:ascii="Calibri" w:eastAsia="Calibri" w:hAnsi="Calibri" w:cs="Arial"/>
          <w:sz w:val="26"/>
          <w:szCs w:val="26"/>
        </w:rPr>
        <w:t>Convention relative aux droits de l’enfant</w:t>
      </w:r>
      <w:bookmarkEnd w:id="12"/>
      <w:r w:rsidRPr="00396465">
        <w:rPr>
          <w:rFonts w:ascii="Calibri" w:eastAsia="Calibri" w:hAnsi="Calibri" w:cs="Arial"/>
          <w:sz w:val="26"/>
          <w:szCs w:val="26"/>
        </w:rPr>
        <w:t> ;</w:t>
      </w:r>
      <w:r w:rsidR="00A92C64" w:rsidRPr="00396465">
        <w:rPr>
          <w:rFonts w:ascii="Calibri" w:eastAsia="Calibri" w:hAnsi="Calibri" w:cs="Arial"/>
          <w:sz w:val="26"/>
          <w:szCs w:val="26"/>
        </w:rPr>
        <w:t xml:space="preserve"> </w:t>
      </w:r>
    </w:p>
    <w:p w:rsidR="00A92C64" w:rsidRPr="00396465" w:rsidRDefault="00A92C64" w:rsidP="00626972">
      <w:pPr>
        <w:spacing w:after="0" w:line="240" w:lineRule="auto"/>
        <w:jc w:val="both"/>
        <w:rPr>
          <w:rFonts w:ascii="Calibri" w:eastAsia="Calibri" w:hAnsi="Calibri" w:cs="Arial"/>
          <w:sz w:val="26"/>
          <w:szCs w:val="26"/>
        </w:rPr>
      </w:pPr>
      <w:bookmarkStart w:id="13" w:name="_Toc454388717"/>
      <w:r w:rsidRPr="00396465">
        <w:rPr>
          <w:rFonts w:ascii="Calibri" w:eastAsia="Calibri" w:hAnsi="Calibri" w:cs="Arial"/>
          <w:sz w:val="26"/>
          <w:szCs w:val="26"/>
        </w:rPr>
        <w:t xml:space="preserve">- Convention internationale relative aux droits des personnes </w:t>
      </w:r>
      <w:bookmarkEnd w:id="13"/>
      <w:r w:rsidRPr="00396465">
        <w:rPr>
          <w:sz w:val="26"/>
          <w:szCs w:val="26"/>
        </w:rPr>
        <w:t>handicapées</w:t>
      </w:r>
      <w:r w:rsidR="00626972" w:rsidRPr="00396465">
        <w:rPr>
          <w:sz w:val="26"/>
          <w:szCs w:val="26"/>
        </w:rPr>
        <w:t> ;</w:t>
      </w:r>
    </w:p>
    <w:p w:rsidR="00A92C64" w:rsidRPr="00396465" w:rsidRDefault="00A92C64" w:rsidP="008F3013">
      <w:pPr>
        <w:spacing w:after="0" w:line="240" w:lineRule="auto"/>
        <w:jc w:val="both"/>
        <w:rPr>
          <w:sz w:val="26"/>
          <w:szCs w:val="26"/>
        </w:rPr>
      </w:pPr>
      <w:bookmarkStart w:id="14" w:name="_Toc454388718"/>
      <w:r w:rsidRPr="00396465">
        <w:rPr>
          <w:rFonts w:ascii="Calibri" w:eastAsia="Calibri" w:hAnsi="Calibri" w:cs="Arial"/>
          <w:sz w:val="26"/>
          <w:szCs w:val="26"/>
        </w:rPr>
        <w:t>- Convention contre la torture et autres peines ou traitements cruels, inhumains ou dégradants</w:t>
      </w:r>
      <w:bookmarkEnd w:id="14"/>
      <w:r w:rsidRPr="00396465">
        <w:rPr>
          <w:rFonts w:ascii="Calibri" w:eastAsia="Calibri" w:hAnsi="Calibri" w:cs="Arial"/>
          <w:sz w:val="26"/>
          <w:szCs w:val="26"/>
        </w:rPr>
        <w:t xml:space="preserve">. </w:t>
      </w:r>
    </w:p>
    <w:p w:rsidR="008F3013" w:rsidRPr="006251F0" w:rsidRDefault="008F3013" w:rsidP="008F3013">
      <w:pPr>
        <w:spacing w:after="0" w:line="240" w:lineRule="auto"/>
        <w:jc w:val="both"/>
        <w:rPr>
          <w:b/>
          <w:bCs/>
          <w:sz w:val="14"/>
          <w:szCs w:val="14"/>
        </w:rPr>
      </w:pPr>
      <w:bookmarkStart w:id="15" w:name="_Toc453672877"/>
      <w:bookmarkStart w:id="16" w:name="_Toc454388719"/>
      <w:bookmarkStart w:id="17" w:name="_Toc455364135"/>
    </w:p>
    <w:p w:rsidR="00A92C64" w:rsidRPr="00396465" w:rsidRDefault="00626972" w:rsidP="00626972">
      <w:pPr>
        <w:spacing w:after="0" w:line="240" w:lineRule="auto"/>
        <w:jc w:val="both"/>
        <w:rPr>
          <w:rFonts w:ascii="Calibri" w:eastAsia="Calibri" w:hAnsi="Calibri" w:cs="Arial"/>
          <w:b/>
          <w:bCs/>
          <w:i/>
          <w:iCs/>
          <w:sz w:val="26"/>
          <w:szCs w:val="26"/>
        </w:rPr>
      </w:pPr>
      <w:r w:rsidRPr="00396465">
        <w:rPr>
          <w:rFonts w:ascii="Calibri" w:eastAsia="Calibri" w:hAnsi="Calibri" w:cs="Arial"/>
          <w:b/>
          <w:bCs/>
          <w:i/>
          <w:iCs/>
          <w:sz w:val="26"/>
          <w:szCs w:val="26"/>
        </w:rPr>
        <w:t xml:space="preserve">6. </w:t>
      </w:r>
      <w:r w:rsidR="00A92C64" w:rsidRPr="00396465">
        <w:rPr>
          <w:rFonts w:ascii="Calibri" w:eastAsia="Calibri" w:hAnsi="Calibri" w:cs="Arial"/>
          <w:b/>
          <w:bCs/>
          <w:i/>
          <w:iCs/>
          <w:sz w:val="26"/>
          <w:szCs w:val="26"/>
        </w:rPr>
        <w:t>Acti</w:t>
      </w:r>
      <w:r w:rsidRPr="00396465">
        <w:rPr>
          <w:rFonts w:ascii="Calibri" w:eastAsia="Calibri" w:hAnsi="Calibri" w:cs="Arial"/>
          <w:b/>
          <w:bCs/>
          <w:i/>
          <w:iCs/>
          <w:sz w:val="26"/>
          <w:szCs w:val="26"/>
        </w:rPr>
        <w:t>vités</w:t>
      </w:r>
      <w:r w:rsidR="00A92C64" w:rsidRPr="00396465">
        <w:rPr>
          <w:rFonts w:ascii="Calibri" w:eastAsia="Calibri" w:hAnsi="Calibri" w:cs="Arial"/>
          <w:b/>
          <w:bCs/>
          <w:i/>
          <w:iCs/>
          <w:sz w:val="26"/>
          <w:szCs w:val="26"/>
        </w:rPr>
        <w:t xml:space="preserve"> de sensibilisation des agents publics et d’autres professionnels des droits de l’homme</w:t>
      </w:r>
      <w:bookmarkEnd w:id="15"/>
      <w:bookmarkEnd w:id="16"/>
      <w:bookmarkEnd w:id="17"/>
      <w:r w:rsidR="00A92C64" w:rsidRPr="00396465">
        <w:rPr>
          <w:rFonts w:ascii="Calibri" w:eastAsia="Calibri" w:hAnsi="Calibri" w:cs="Arial"/>
          <w:b/>
          <w:bCs/>
          <w:i/>
          <w:iCs/>
          <w:sz w:val="26"/>
          <w:szCs w:val="26"/>
        </w:rPr>
        <w:t xml:space="preserve"> </w:t>
      </w:r>
    </w:p>
    <w:p w:rsidR="00A92C64" w:rsidRPr="00396465" w:rsidRDefault="00A92C64" w:rsidP="008076EB">
      <w:pPr>
        <w:spacing w:after="240" w:line="240" w:lineRule="auto"/>
        <w:jc w:val="both"/>
        <w:rPr>
          <w:rFonts w:ascii="Calibri" w:eastAsia="Calibri" w:hAnsi="Calibri" w:cs="Arial"/>
          <w:sz w:val="26"/>
          <w:szCs w:val="26"/>
        </w:rPr>
      </w:pPr>
      <w:r w:rsidRPr="00396465">
        <w:rPr>
          <w:rFonts w:ascii="Calibri" w:eastAsia="Calibri" w:hAnsi="Calibri" w:cs="Arial"/>
          <w:sz w:val="26"/>
          <w:szCs w:val="26"/>
        </w:rPr>
        <w:t>Des  plans d’action de sensibilisation et de formation des fonctionnaires sur le respect des droits de l’homme ont été mis en œuvre. Des séminaires ont été organisés à l’intention des agents de la force publique par le Ministère de la Justice, le Commissariat aux Droits de l’Homme et à l’Action Humanitaire et la Commission Nationale des Droits de l’Homme, avec l’appui technique du bureau du Haut Commissariat des Nations Unies aux Droits de l’Homme et l’Association pour la Prévention de la Torture(APT).</w:t>
      </w:r>
    </w:p>
    <w:p w:rsidR="00A92C64" w:rsidRPr="00396465" w:rsidRDefault="00626972" w:rsidP="00626972">
      <w:pPr>
        <w:spacing w:after="0" w:line="240" w:lineRule="auto"/>
        <w:jc w:val="both"/>
        <w:rPr>
          <w:rFonts w:ascii="Calibri" w:eastAsia="Calibri" w:hAnsi="Calibri" w:cs="Arial"/>
          <w:b/>
          <w:bCs/>
          <w:i/>
          <w:iCs/>
          <w:sz w:val="26"/>
          <w:szCs w:val="26"/>
        </w:rPr>
      </w:pPr>
      <w:bookmarkStart w:id="18" w:name="_Toc453672880"/>
      <w:bookmarkStart w:id="19" w:name="_Toc455364138"/>
      <w:r w:rsidRPr="00396465">
        <w:rPr>
          <w:b/>
          <w:bCs/>
          <w:i/>
          <w:iCs/>
          <w:sz w:val="26"/>
          <w:szCs w:val="26"/>
        </w:rPr>
        <w:t>7. S</w:t>
      </w:r>
      <w:r w:rsidR="00A92C64" w:rsidRPr="00396465">
        <w:rPr>
          <w:rFonts w:ascii="Calibri" w:eastAsia="Calibri" w:hAnsi="Calibri" w:cs="Arial"/>
          <w:b/>
          <w:bCs/>
          <w:i/>
          <w:iCs/>
          <w:sz w:val="26"/>
          <w:szCs w:val="26"/>
        </w:rPr>
        <w:t xml:space="preserve">ociété </w:t>
      </w:r>
      <w:r w:rsidRPr="00396465">
        <w:rPr>
          <w:rFonts w:ascii="Calibri" w:eastAsia="Calibri" w:hAnsi="Calibri" w:cs="Arial"/>
          <w:b/>
          <w:bCs/>
          <w:i/>
          <w:iCs/>
          <w:sz w:val="26"/>
          <w:szCs w:val="26"/>
        </w:rPr>
        <w:t>C</w:t>
      </w:r>
      <w:r w:rsidR="00A92C64" w:rsidRPr="00396465">
        <w:rPr>
          <w:rFonts w:ascii="Calibri" w:eastAsia="Calibri" w:hAnsi="Calibri" w:cs="Arial"/>
          <w:b/>
          <w:bCs/>
          <w:i/>
          <w:iCs/>
          <w:sz w:val="26"/>
          <w:szCs w:val="26"/>
        </w:rPr>
        <w:t>ivile</w:t>
      </w:r>
      <w:bookmarkEnd w:id="18"/>
      <w:bookmarkEnd w:id="19"/>
    </w:p>
    <w:p w:rsidR="00A92C64" w:rsidRPr="00396465" w:rsidRDefault="00A92C64" w:rsidP="003F568D">
      <w:pPr>
        <w:spacing w:after="240" w:line="240" w:lineRule="auto"/>
        <w:jc w:val="both"/>
        <w:rPr>
          <w:rFonts w:ascii="Calibri" w:eastAsia="Calibri" w:hAnsi="Calibri" w:cs="Arial"/>
          <w:sz w:val="26"/>
          <w:szCs w:val="26"/>
        </w:rPr>
      </w:pPr>
      <w:r w:rsidRPr="00396465">
        <w:rPr>
          <w:sz w:val="26"/>
          <w:szCs w:val="26"/>
        </w:rPr>
        <w:t>Les organisations de la société civile œuvrant dans le domaine des droits de l’homme</w:t>
      </w:r>
      <w:r w:rsidRPr="00396465">
        <w:rPr>
          <w:rFonts w:ascii="Calibri" w:eastAsia="Calibri" w:hAnsi="Calibri" w:cs="Arial"/>
          <w:sz w:val="26"/>
          <w:szCs w:val="26"/>
        </w:rPr>
        <w:t xml:space="preserve"> réalise</w:t>
      </w:r>
      <w:r w:rsidRPr="00396465">
        <w:rPr>
          <w:sz w:val="26"/>
          <w:szCs w:val="26"/>
        </w:rPr>
        <w:t>nt</w:t>
      </w:r>
      <w:r w:rsidRPr="00396465">
        <w:rPr>
          <w:rFonts w:ascii="Calibri" w:eastAsia="Calibri" w:hAnsi="Calibri" w:cs="Arial"/>
          <w:sz w:val="26"/>
          <w:szCs w:val="26"/>
        </w:rPr>
        <w:t xml:space="preserve"> en collaboration avec </w:t>
      </w:r>
      <w:r w:rsidR="003E2BEC" w:rsidRPr="00396465">
        <w:rPr>
          <w:sz w:val="26"/>
          <w:szCs w:val="26"/>
        </w:rPr>
        <w:t xml:space="preserve">le Commissariat aux Droits de l’Homme et à l’Action </w:t>
      </w:r>
      <w:r w:rsidR="008076EB" w:rsidRPr="00396465">
        <w:rPr>
          <w:sz w:val="26"/>
          <w:szCs w:val="26"/>
        </w:rPr>
        <w:t>Humanitaire</w:t>
      </w:r>
      <w:r w:rsidR="00626972" w:rsidRPr="00396465">
        <w:rPr>
          <w:sz w:val="26"/>
          <w:szCs w:val="26"/>
        </w:rPr>
        <w:t xml:space="preserve"> et d’autres partenaires</w:t>
      </w:r>
      <w:r w:rsidRPr="00396465">
        <w:rPr>
          <w:rFonts w:ascii="Calibri" w:eastAsia="Calibri" w:hAnsi="Calibri" w:cs="Arial"/>
          <w:sz w:val="26"/>
          <w:szCs w:val="26"/>
        </w:rPr>
        <w:t>, des programmes de sensibilisation du grand public sur les droits de l'homme</w:t>
      </w:r>
      <w:r w:rsidR="00E77CEC" w:rsidRPr="00396465">
        <w:rPr>
          <w:rFonts w:ascii="Calibri" w:eastAsia="Calibri" w:hAnsi="Calibri" w:cs="Arial"/>
          <w:sz w:val="26"/>
          <w:szCs w:val="26"/>
        </w:rPr>
        <w:t xml:space="preserve"> dans toutes les toutes Wilayas (</w:t>
      </w:r>
      <w:r w:rsidR="003F568D">
        <w:rPr>
          <w:rFonts w:ascii="Calibri" w:eastAsia="Calibri" w:hAnsi="Calibri" w:cs="Arial"/>
          <w:sz w:val="26"/>
          <w:szCs w:val="26"/>
        </w:rPr>
        <w:t>R</w:t>
      </w:r>
      <w:r w:rsidR="00E77CEC" w:rsidRPr="00396465">
        <w:rPr>
          <w:rFonts w:ascii="Calibri" w:eastAsia="Calibri" w:hAnsi="Calibri" w:cs="Arial"/>
          <w:sz w:val="26"/>
          <w:szCs w:val="26"/>
        </w:rPr>
        <w:t>égions) de la Mauritanie</w:t>
      </w:r>
      <w:r w:rsidRPr="00396465">
        <w:rPr>
          <w:rFonts w:ascii="Calibri" w:eastAsia="Calibri" w:hAnsi="Calibri" w:cs="Arial"/>
          <w:sz w:val="26"/>
          <w:szCs w:val="26"/>
        </w:rPr>
        <w:t xml:space="preserve">. </w:t>
      </w:r>
    </w:p>
    <w:p w:rsidR="00EA16AC" w:rsidRPr="00396465" w:rsidRDefault="00626972" w:rsidP="0098782E">
      <w:pPr>
        <w:pStyle w:val="Sansinterligne"/>
        <w:jc w:val="both"/>
        <w:rPr>
          <w:rFonts w:asciiTheme="minorHAnsi" w:hAnsiTheme="minorHAnsi"/>
          <w:b/>
          <w:bCs/>
          <w:i/>
          <w:iCs/>
          <w:sz w:val="26"/>
          <w:szCs w:val="26"/>
          <w:lang w:bidi="ar-DZ"/>
        </w:rPr>
      </w:pPr>
      <w:r w:rsidRPr="00396465">
        <w:rPr>
          <w:rFonts w:asciiTheme="minorHAnsi" w:hAnsiTheme="minorHAnsi"/>
          <w:b/>
          <w:bCs/>
          <w:i/>
          <w:iCs/>
          <w:sz w:val="26"/>
          <w:szCs w:val="26"/>
          <w:lang w:bidi="ar-DZ"/>
        </w:rPr>
        <w:t xml:space="preserve">8. </w:t>
      </w:r>
      <w:r w:rsidR="00EA16AC" w:rsidRPr="00396465">
        <w:rPr>
          <w:rFonts w:asciiTheme="minorHAnsi" w:hAnsiTheme="minorHAnsi"/>
          <w:b/>
          <w:bCs/>
          <w:i/>
          <w:iCs/>
          <w:sz w:val="26"/>
          <w:szCs w:val="26"/>
          <w:lang w:bidi="ar-DZ"/>
        </w:rPr>
        <w:t xml:space="preserve">Application directe </w:t>
      </w:r>
      <w:r w:rsidR="0098782E" w:rsidRPr="00396465">
        <w:rPr>
          <w:rFonts w:asciiTheme="minorHAnsi" w:hAnsiTheme="minorHAnsi"/>
          <w:b/>
          <w:bCs/>
          <w:i/>
          <w:iCs/>
          <w:sz w:val="26"/>
          <w:szCs w:val="26"/>
          <w:lang w:bidi="ar-DZ"/>
        </w:rPr>
        <w:t>du Pacte</w:t>
      </w:r>
      <w:r w:rsidR="00EA16AC" w:rsidRPr="00396465">
        <w:rPr>
          <w:rFonts w:asciiTheme="minorHAnsi" w:hAnsiTheme="minorHAnsi"/>
          <w:b/>
          <w:bCs/>
          <w:i/>
          <w:iCs/>
          <w:sz w:val="26"/>
          <w:szCs w:val="26"/>
          <w:lang w:bidi="ar-DZ"/>
        </w:rPr>
        <w:t xml:space="preserve"> </w:t>
      </w:r>
      <w:r w:rsidR="0098782E" w:rsidRPr="00396465">
        <w:rPr>
          <w:rFonts w:asciiTheme="minorHAnsi" w:hAnsiTheme="minorHAnsi"/>
          <w:b/>
          <w:bCs/>
          <w:i/>
          <w:iCs/>
          <w:sz w:val="26"/>
          <w:szCs w:val="26"/>
          <w:lang w:bidi="ar-DZ"/>
        </w:rPr>
        <w:t>International relatif aux Droits Civils et Politiques</w:t>
      </w:r>
    </w:p>
    <w:p w:rsidR="009102A6" w:rsidRPr="00396465" w:rsidRDefault="00EB73E8" w:rsidP="00EB73E8">
      <w:pPr>
        <w:pStyle w:val="Sansinterligne"/>
        <w:jc w:val="both"/>
        <w:rPr>
          <w:rFonts w:asciiTheme="minorHAnsi" w:hAnsiTheme="minorHAnsi"/>
          <w:sz w:val="26"/>
          <w:szCs w:val="26"/>
          <w:lang w:bidi="ar-DZ"/>
        </w:rPr>
      </w:pPr>
      <w:r w:rsidRPr="00396465">
        <w:rPr>
          <w:rFonts w:asciiTheme="minorHAnsi" w:hAnsiTheme="minorHAnsi"/>
          <w:sz w:val="26"/>
          <w:szCs w:val="26"/>
          <w:lang w:bidi="ar-DZ"/>
        </w:rPr>
        <w:t>Le Pacte</w:t>
      </w:r>
      <w:r w:rsidR="00EA16AC" w:rsidRPr="00396465">
        <w:rPr>
          <w:rFonts w:asciiTheme="minorHAnsi" w:hAnsiTheme="minorHAnsi"/>
          <w:sz w:val="26"/>
          <w:szCs w:val="26"/>
          <w:lang w:bidi="ar-DZ"/>
        </w:rPr>
        <w:t xml:space="preserve"> a été publié dans le Journal Officiel</w:t>
      </w:r>
      <w:r w:rsidR="003E2BEC" w:rsidRPr="00396465">
        <w:rPr>
          <w:rFonts w:asciiTheme="minorHAnsi" w:hAnsiTheme="minorHAnsi"/>
          <w:sz w:val="26"/>
          <w:szCs w:val="26"/>
          <w:lang w:bidi="ar-DZ"/>
        </w:rPr>
        <w:t xml:space="preserve"> </w:t>
      </w:r>
      <w:r w:rsidR="00EA16AC" w:rsidRPr="00396465">
        <w:rPr>
          <w:rFonts w:asciiTheme="minorHAnsi" w:hAnsiTheme="minorHAnsi"/>
          <w:sz w:val="26"/>
          <w:szCs w:val="26"/>
          <w:lang w:bidi="ar-DZ"/>
        </w:rPr>
        <w:t>de la République Islamique de Mauritanie n°1326 du 09 décembre 2014</w:t>
      </w:r>
      <w:r w:rsidRPr="00396465">
        <w:rPr>
          <w:rFonts w:asciiTheme="minorHAnsi" w:hAnsiTheme="minorHAnsi"/>
          <w:sz w:val="26"/>
          <w:szCs w:val="26"/>
          <w:lang w:bidi="ar-DZ"/>
        </w:rPr>
        <w:t>.</w:t>
      </w:r>
      <w:r w:rsidR="009102A6" w:rsidRPr="00396465">
        <w:rPr>
          <w:rFonts w:asciiTheme="minorHAnsi" w:hAnsiTheme="minorHAnsi"/>
          <w:sz w:val="26"/>
          <w:szCs w:val="26"/>
          <w:lang w:bidi="ar-DZ"/>
        </w:rPr>
        <w:t xml:space="preserve"> </w:t>
      </w:r>
    </w:p>
    <w:p w:rsidR="009102A6" w:rsidRPr="00396465" w:rsidRDefault="009102A6" w:rsidP="009102A6">
      <w:pPr>
        <w:pStyle w:val="Sansinterligne"/>
        <w:jc w:val="both"/>
        <w:rPr>
          <w:rFonts w:asciiTheme="minorHAnsi" w:hAnsiTheme="minorHAnsi"/>
          <w:sz w:val="8"/>
          <w:szCs w:val="8"/>
          <w:lang w:bidi="ar-DZ"/>
        </w:rPr>
      </w:pPr>
    </w:p>
    <w:p w:rsidR="00EA16AC" w:rsidRPr="00396465" w:rsidRDefault="00626972" w:rsidP="00EA16AC">
      <w:pPr>
        <w:pStyle w:val="Sansinterligne"/>
        <w:jc w:val="both"/>
        <w:rPr>
          <w:rFonts w:asciiTheme="minorHAnsi" w:hAnsiTheme="minorHAnsi"/>
          <w:b/>
          <w:bCs/>
          <w:i/>
          <w:iCs/>
          <w:sz w:val="26"/>
          <w:szCs w:val="26"/>
          <w:lang w:bidi="ar-DZ"/>
        </w:rPr>
      </w:pPr>
      <w:r w:rsidRPr="00396465">
        <w:rPr>
          <w:rFonts w:asciiTheme="minorHAnsi" w:hAnsiTheme="minorHAnsi"/>
          <w:b/>
          <w:bCs/>
          <w:i/>
          <w:iCs/>
          <w:sz w:val="26"/>
          <w:szCs w:val="26"/>
          <w:lang w:bidi="ar-DZ"/>
        </w:rPr>
        <w:t xml:space="preserve">9. </w:t>
      </w:r>
      <w:r w:rsidR="00EA16AC" w:rsidRPr="00396465">
        <w:rPr>
          <w:rFonts w:asciiTheme="minorHAnsi" w:hAnsiTheme="minorHAnsi"/>
          <w:b/>
          <w:bCs/>
          <w:i/>
          <w:iCs/>
          <w:sz w:val="26"/>
          <w:szCs w:val="26"/>
          <w:lang w:bidi="ar-DZ"/>
        </w:rPr>
        <w:t>Garanties juridiques fondamentales</w:t>
      </w:r>
    </w:p>
    <w:p w:rsidR="0000058E" w:rsidRPr="00396465" w:rsidRDefault="0000058E" w:rsidP="0000058E">
      <w:pPr>
        <w:jc w:val="both"/>
        <w:rPr>
          <w:sz w:val="26"/>
          <w:szCs w:val="26"/>
        </w:rPr>
      </w:pPr>
      <w:r w:rsidRPr="00396465">
        <w:rPr>
          <w:sz w:val="26"/>
          <w:szCs w:val="26"/>
        </w:rPr>
        <w:t>En  ce qui concerne la liberté de l’accès à la justice</w:t>
      </w:r>
      <w:r w:rsidR="00626972" w:rsidRPr="00396465">
        <w:rPr>
          <w:sz w:val="26"/>
          <w:szCs w:val="26"/>
        </w:rPr>
        <w:t>,</w:t>
      </w:r>
      <w:r w:rsidRPr="00396465">
        <w:rPr>
          <w:sz w:val="26"/>
          <w:szCs w:val="26"/>
        </w:rPr>
        <w:t xml:space="preserve">  la loi n°2015 - 30 du 10 septembre 2015 portant aide judiciaire permet à la personne démunie et au migrant  de jouir de l’accès à la justice  au compte du Trésor Public.</w:t>
      </w:r>
    </w:p>
    <w:p w:rsidR="0000058E" w:rsidRPr="00396465" w:rsidRDefault="0000058E" w:rsidP="0000058E">
      <w:pPr>
        <w:jc w:val="both"/>
        <w:rPr>
          <w:sz w:val="26"/>
          <w:szCs w:val="26"/>
        </w:rPr>
      </w:pPr>
      <w:r w:rsidRPr="00396465">
        <w:rPr>
          <w:rFonts w:cs="Times New Roman"/>
          <w:sz w:val="26"/>
          <w:szCs w:val="26"/>
          <w:lang w:eastAsia="fr-FR"/>
        </w:rPr>
        <w:t xml:space="preserve">L’aide judiciaire est accordée </w:t>
      </w:r>
      <w:r w:rsidRPr="00396465">
        <w:rPr>
          <w:rFonts w:cs="Times New Roman"/>
          <w:bCs/>
          <w:sz w:val="26"/>
          <w:szCs w:val="26"/>
          <w:lang w:eastAsia="fr-FR"/>
        </w:rPr>
        <w:t>en matière civile</w:t>
      </w:r>
      <w:r w:rsidRPr="00396465">
        <w:rPr>
          <w:rFonts w:cs="Times New Roman"/>
          <w:sz w:val="26"/>
          <w:szCs w:val="26"/>
          <w:lang w:eastAsia="fr-FR"/>
        </w:rPr>
        <w:t xml:space="preserve"> à toute personne physique de nationalité mauritanienne, demanderesse ou défenderesse</w:t>
      </w:r>
      <w:r w:rsidRPr="00396465">
        <w:rPr>
          <w:rFonts w:cs="Times New Roman"/>
          <w:sz w:val="26"/>
          <w:szCs w:val="26"/>
        </w:rPr>
        <w:t xml:space="preserve">, </w:t>
      </w:r>
      <w:r w:rsidRPr="00396465">
        <w:rPr>
          <w:rFonts w:cs="Times New Roman"/>
          <w:sz w:val="26"/>
          <w:szCs w:val="26"/>
          <w:lang w:eastAsia="fr-FR"/>
        </w:rPr>
        <w:t>à toute phase de la procédure de l’action en justice.</w:t>
      </w:r>
    </w:p>
    <w:p w:rsidR="0000058E" w:rsidRPr="00396465" w:rsidRDefault="0000058E" w:rsidP="0000058E">
      <w:pPr>
        <w:pStyle w:val="Sansinterligne"/>
        <w:spacing w:before="120" w:after="120"/>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 xml:space="preserve">Elle est octroyée également </w:t>
      </w:r>
      <w:r w:rsidRPr="00396465">
        <w:rPr>
          <w:rFonts w:asciiTheme="minorHAnsi" w:hAnsiTheme="minorHAnsi" w:cs="Times New Roman"/>
          <w:bCs/>
          <w:sz w:val="26"/>
          <w:szCs w:val="26"/>
          <w:lang w:eastAsia="fr-FR"/>
        </w:rPr>
        <w:t>en matière pénale</w:t>
      </w:r>
      <w:r w:rsidRPr="00396465">
        <w:rPr>
          <w:rFonts w:asciiTheme="minorHAnsi" w:hAnsiTheme="minorHAnsi" w:cs="Times New Roman"/>
          <w:sz w:val="26"/>
          <w:szCs w:val="26"/>
          <w:lang w:eastAsia="fr-FR"/>
        </w:rPr>
        <w:t xml:space="preserve"> à la partie civile et au demandeur en révision.  </w:t>
      </w:r>
    </w:p>
    <w:p w:rsidR="0000058E" w:rsidRPr="00396465" w:rsidRDefault="0000058E" w:rsidP="0000058E">
      <w:pPr>
        <w:pStyle w:val="Sansinterligne"/>
        <w:spacing w:before="120" w:after="120"/>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crimes sont soumis aux dispositions en vigueur relative à la réquisition en matière de frais de justice criminelle.</w:t>
      </w:r>
    </w:p>
    <w:p w:rsidR="0000058E" w:rsidRPr="00396465" w:rsidRDefault="0000058E" w:rsidP="0000058E">
      <w:pPr>
        <w:pStyle w:val="Sansinterligne"/>
        <w:spacing w:before="120" w:after="120"/>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L'aide judiciaire est accordée pour l'exécution des jugements et l'exercice du droit de recours.</w:t>
      </w:r>
    </w:p>
    <w:p w:rsidR="0000058E" w:rsidRPr="00396465" w:rsidRDefault="0000058E" w:rsidP="0000058E">
      <w:pPr>
        <w:pStyle w:val="Sansinterligne"/>
        <w:spacing w:before="120" w:after="120"/>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L'aide judiciaire totale ou partielle comprend les frais normalement mis à la charge des parties et notamment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droits d'enregistrement et le timbre fiscal afférents aux pièces que le requérant présente pour établir ses droits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indemnités de retard et les amendes encourues pour non-paiement des droits d'enregistrement et du timbre fiscal dans les délais légaux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d'expertise et des différentes missions ordonnées par le tribunal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des actes notariés dont la délivrance est autorisée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honoraires de l'avocat désigné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des citations et des notifications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des annonces légales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 traduction, le cas échéant ;</w:t>
      </w:r>
    </w:p>
    <w:p w:rsidR="0000058E" w:rsidRPr="00396465" w:rsidRDefault="0000058E" w:rsidP="0000058E">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Les frais d'exécution ;</w:t>
      </w:r>
    </w:p>
    <w:p w:rsidR="005650F3" w:rsidRPr="00396465" w:rsidRDefault="0000058E" w:rsidP="008076EB">
      <w:pPr>
        <w:pStyle w:val="Sansinterligne"/>
        <w:numPr>
          <w:ilvl w:val="0"/>
          <w:numId w:val="6"/>
        </w:numPr>
        <w:spacing w:before="120" w:after="120"/>
        <w:ind w:left="426" w:hanging="284"/>
        <w:jc w:val="both"/>
        <w:rPr>
          <w:rFonts w:asciiTheme="minorHAnsi" w:hAnsiTheme="minorHAnsi" w:cs="Times New Roman"/>
          <w:sz w:val="26"/>
          <w:szCs w:val="26"/>
          <w:lang w:eastAsia="fr-FR"/>
        </w:rPr>
      </w:pPr>
      <w:r w:rsidRPr="00396465">
        <w:rPr>
          <w:rFonts w:asciiTheme="minorHAnsi" w:hAnsiTheme="minorHAnsi" w:cs="Times New Roman"/>
          <w:sz w:val="26"/>
          <w:szCs w:val="26"/>
          <w:lang w:eastAsia="fr-FR"/>
        </w:rPr>
        <w:t xml:space="preserve">Tous autres frais de justice engagés pour les besoins de la procédure. </w:t>
      </w:r>
    </w:p>
    <w:p w:rsidR="005D1E86" w:rsidRPr="00396465" w:rsidRDefault="005D1E86" w:rsidP="00AD3030">
      <w:pPr>
        <w:pStyle w:val="Titre2"/>
        <w:spacing w:before="120" w:after="120"/>
        <w:jc w:val="both"/>
        <w:rPr>
          <w:rFonts w:asciiTheme="minorHAnsi" w:hAnsiTheme="minorHAnsi"/>
          <w:i/>
          <w:iCs/>
          <w:color w:val="auto"/>
        </w:rPr>
      </w:pPr>
      <w:r w:rsidRPr="00396465">
        <w:rPr>
          <w:rFonts w:asciiTheme="minorHAnsi" w:hAnsiTheme="minorHAnsi"/>
          <w:i/>
          <w:iCs/>
          <w:color w:val="auto"/>
        </w:rPr>
        <w:t>10. Participation à la vie politique, économique, sociale et culturelle</w:t>
      </w:r>
    </w:p>
    <w:p w:rsidR="00E72A53" w:rsidRPr="00396465" w:rsidRDefault="00E72A53" w:rsidP="006251F0">
      <w:pPr>
        <w:pStyle w:val="Titre2"/>
        <w:spacing w:before="0" w:line="240" w:lineRule="auto"/>
        <w:jc w:val="both"/>
        <w:rPr>
          <w:rFonts w:asciiTheme="minorHAnsi" w:hAnsiTheme="minorHAnsi"/>
          <w:b w:val="0"/>
          <w:bCs w:val="0"/>
          <w:color w:val="auto"/>
        </w:rPr>
      </w:pPr>
      <w:r w:rsidRPr="00396465">
        <w:rPr>
          <w:rFonts w:asciiTheme="minorHAnsi" w:hAnsiTheme="minorHAnsi"/>
          <w:b w:val="0"/>
          <w:bCs w:val="0"/>
          <w:color w:val="auto"/>
        </w:rPr>
        <w:t>Tous les mauritaniens sont égaux devant la loi conformément à la constitution et à la déclaration universelle des droits de l’homme.</w:t>
      </w:r>
    </w:p>
    <w:p w:rsidR="00EB73E8" w:rsidRPr="00396465" w:rsidRDefault="00E72A53" w:rsidP="006251F0">
      <w:pPr>
        <w:spacing w:after="0" w:line="240" w:lineRule="auto"/>
        <w:jc w:val="both"/>
        <w:rPr>
          <w:sz w:val="26"/>
          <w:szCs w:val="26"/>
        </w:rPr>
      </w:pPr>
      <w:r w:rsidRPr="00396465">
        <w:rPr>
          <w:sz w:val="26"/>
          <w:szCs w:val="26"/>
        </w:rPr>
        <w:t xml:space="preserve">Ils occupent tous les postes sans distinction de race, de sexe, de couleur ou </w:t>
      </w:r>
      <w:r w:rsidR="00CA2462" w:rsidRPr="00396465">
        <w:rPr>
          <w:sz w:val="26"/>
          <w:szCs w:val="26"/>
        </w:rPr>
        <w:t>d’</w:t>
      </w:r>
      <w:r w:rsidRPr="00396465">
        <w:rPr>
          <w:sz w:val="26"/>
          <w:szCs w:val="26"/>
        </w:rPr>
        <w:t xml:space="preserve">ethnie, exemple le Président de la République étant maure, le </w:t>
      </w:r>
      <w:r w:rsidR="00EB73E8" w:rsidRPr="00396465">
        <w:rPr>
          <w:sz w:val="26"/>
          <w:szCs w:val="26"/>
        </w:rPr>
        <w:t>Premier Ministre</w:t>
      </w:r>
      <w:r w:rsidRPr="00396465">
        <w:rPr>
          <w:sz w:val="26"/>
          <w:szCs w:val="26"/>
        </w:rPr>
        <w:t xml:space="preserve"> est un Haratine, le Président du Conseil Constitutionnel est un </w:t>
      </w:r>
      <w:r w:rsidR="00EB73E8" w:rsidRPr="00396465">
        <w:rPr>
          <w:sz w:val="26"/>
          <w:szCs w:val="26"/>
        </w:rPr>
        <w:t>Halpular</w:t>
      </w:r>
      <w:r w:rsidRPr="00396465">
        <w:rPr>
          <w:sz w:val="26"/>
          <w:szCs w:val="26"/>
        </w:rPr>
        <w:t xml:space="preserve">, </w:t>
      </w:r>
      <w:r w:rsidR="00EB73E8" w:rsidRPr="00396465">
        <w:rPr>
          <w:sz w:val="26"/>
          <w:szCs w:val="26"/>
        </w:rPr>
        <w:t xml:space="preserve">le </w:t>
      </w:r>
      <w:r w:rsidR="00CA2462" w:rsidRPr="00396465">
        <w:rPr>
          <w:sz w:val="26"/>
          <w:szCs w:val="26"/>
        </w:rPr>
        <w:t>Ministère de la Justice</w:t>
      </w:r>
      <w:r w:rsidR="00696FF4">
        <w:rPr>
          <w:sz w:val="26"/>
          <w:szCs w:val="26"/>
        </w:rPr>
        <w:t xml:space="preserve"> Garde des Sceaux</w:t>
      </w:r>
      <w:r w:rsidR="00CA2462" w:rsidRPr="00396465">
        <w:rPr>
          <w:sz w:val="26"/>
          <w:szCs w:val="26"/>
        </w:rPr>
        <w:t xml:space="preserve"> </w:t>
      </w:r>
      <w:r w:rsidR="00EB73E8" w:rsidRPr="00396465">
        <w:rPr>
          <w:sz w:val="26"/>
          <w:szCs w:val="26"/>
        </w:rPr>
        <w:t>est un Pular</w:t>
      </w:r>
      <w:r w:rsidR="00CA2462" w:rsidRPr="00396465">
        <w:rPr>
          <w:sz w:val="26"/>
          <w:szCs w:val="26"/>
        </w:rPr>
        <w:t xml:space="preserve">, le Ministère de </w:t>
      </w:r>
      <w:r w:rsidR="00EB73E8" w:rsidRPr="00396465">
        <w:rPr>
          <w:sz w:val="26"/>
          <w:szCs w:val="26"/>
        </w:rPr>
        <w:t>l’Environnement et du Développement Durable est un Soninké, le Ministère de l’Enseignement Supérieur et celui des Affaires Sociales, de l’Enfance de la Famille sont occupés par un haratine et une haratine, le Ministère de la Jeunesse et des Sports est occupé par une Halpular, le Ministère du Commerce et du Tourisme est occupé par une Haratine</w:t>
      </w:r>
      <w:r w:rsidR="00696FF4">
        <w:rPr>
          <w:sz w:val="26"/>
          <w:szCs w:val="26"/>
        </w:rPr>
        <w:t xml:space="preserve">, le Vice ministre de l’Intérieur, le Vice président de l’Assemblée Nationale, le Secrétaire Général de l’Agence Nationale « Tadamoun » sont des Haratines </w:t>
      </w:r>
      <w:r w:rsidR="00CA2462" w:rsidRPr="00396465">
        <w:rPr>
          <w:sz w:val="26"/>
          <w:szCs w:val="26"/>
        </w:rPr>
        <w:t xml:space="preserve">ainsi que d’autres départements notamment, </w:t>
      </w:r>
      <w:r w:rsidR="00EB73E8" w:rsidRPr="00396465">
        <w:rPr>
          <w:sz w:val="26"/>
          <w:szCs w:val="26"/>
        </w:rPr>
        <w:t>la Radio Mauritanie</w:t>
      </w:r>
      <w:r w:rsidR="00CA2462" w:rsidRPr="00396465">
        <w:rPr>
          <w:sz w:val="26"/>
          <w:szCs w:val="26"/>
        </w:rPr>
        <w:t>,</w:t>
      </w:r>
      <w:r w:rsidR="00EB73E8" w:rsidRPr="00396465">
        <w:rPr>
          <w:sz w:val="26"/>
          <w:szCs w:val="26"/>
        </w:rPr>
        <w:t xml:space="preserve"> l</w:t>
      </w:r>
      <w:r w:rsidR="00696FF4">
        <w:rPr>
          <w:sz w:val="26"/>
          <w:szCs w:val="26"/>
        </w:rPr>
        <w:t>a</w:t>
      </w:r>
      <w:r w:rsidR="00EB73E8" w:rsidRPr="00396465">
        <w:rPr>
          <w:sz w:val="26"/>
          <w:szCs w:val="26"/>
        </w:rPr>
        <w:t xml:space="preserve"> Direct</w:t>
      </w:r>
      <w:r w:rsidR="00696FF4">
        <w:rPr>
          <w:sz w:val="26"/>
          <w:szCs w:val="26"/>
        </w:rPr>
        <w:t>ion</w:t>
      </w:r>
      <w:r w:rsidR="00EB73E8" w:rsidRPr="00396465">
        <w:rPr>
          <w:sz w:val="26"/>
          <w:szCs w:val="26"/>
        </w:rPr>
        <w:t xml:space="preserve"> Général</w:t>
      </w:r>
      <w:r w:rsidR="00696FF4">
        <w:rPr>
          <w:sz w:val="26"/>
          <w:szCs w:val="26"/>
        </w:rPr>
        <w:t>e</w:t>
      </w:r>
      <w:r w:rsidR="00EB73E8" w:rsidRPr="00396465">
        <w:rPr>
          <w:sz w:val="26"/>
          <w:szCs w:val="26"/>
        </w:rPr>
        <w:t xml:space="preserve"> est </w:t>
      </w:r>
      <w:r w:rsidR="00696FF4">
        <w:rPr>
          <w:sz w:val="26"/>
          <w:szCs w:val="26"/>
        </w:rPr>
        <w:t>dirigée par un</w:t>
      </w:r>
      <w:r w:rsidR="00EB73E8" w:rsidRPr="00396465">
        <w:rPr>
          <w:sz w:val="26"/>
          <w:szCs w:val="26"/>
        </w:rPr>
        <w:t xml:space="preserve"> Haratine, l’Agence Mauritanienne d’Informati</w:t>
      </w:r>
      <w:r w:rsidR="00696FF4">
        <w:rPr>
          <w:sz w:val="26"/>
          <w:szCs w:val="26"/>
        </w:rPr>
        <w:t>on est dirigée par une Haratine, la Direction de la Législation est occupé par un Wolof avec plusieurs autres directions, députés, maires et de centaines de conseils municipaux et régionaux, les Walis des régions et les Hakems des moughataas.</w:t>
      </w:r>
      <w:r w:rsidR="00EB73E8" w:rsidRPr="00396465">
        <w:rPr>
          <w:sz w:val="26"/>
          <w:szCs w:val="26"/>
        </w:rPr>
        <w:t xml:space="preserve"> Il s’agit là</w:t>
      </w:r>
      <w:r w:rsidR="00696FF4">
        <w:rPr>
          <w:sz w:val="26"/>
          <w:szCs w:val="26"/>
        </w:rPr>
        <w:t>,</w:t>
      </w:r>
      <w:r w:rsidR="00EB73E8" w:rsidRPr="00396465">
        <w:rPr>
          <w:sz w:val="26"/>
          <w:szCs w:val="26"/>
        </w:rPr>
        <w:t xml:space="preserve"> de quelques exemples sans limitation.</w:t>
      </w:r>
    </w:p>
    <w:p w:rsidR="006251F0" w:rsidRDefault="006251F0" w:rsidP="006251F0">
      <w:pPr>
        <w:pStyle w:val="Titre2"/>
        <w:spacing w:before="0" w:line="240" w:lineRule="auto"/>
        <w:jc w:val="both"/>
        <w:rPr>
          <w:rFonts w:asciiTheme="minorHAnsi" w:hAnsiTheme="minorHAnsi"/>
          <w:color w:val="auto"/>
        </w:rPr>
      </w:pPr>
    </w:p>
    <w:p w:rsidR="00EA16AC" w:rsidRPr="00396465" w:rsidRDefault="00AF50CE" w:rsidP="006251F0">
      <w:pPr>
        <w:pStyle w:val="Titre2"/>
        <w:spacing w:before="0" w:line="240" w:lineRule="auto"/>
        <w:jc w:val="both"/>
        <w:rPr>
          <w:rFonts w:asciiTheme="minorHAnsi" w:hAnsiTheme="minorHAnsi"/>
          <w:color w:val="auto"/>
        </w:rPr>
      </w:pPr>
      <w:r w:rsidRPr="00396465">
        <w:rPr>
          <w:rFonts w:asciiTheme="minorHAnsi" w:hAnsiTheme="minorHAnsi"/>
          <w:color w:val="auto"/>
        </w:rPr>
        <w:t>En conclusion :</w:t>
      </w:r>
    </w:p>
    <w:p w:rsidR="00396465" w:rsidRPr="00396465" w:rsidRDefault="00396465" w:rsidP="006251F0">
      <w:pPr>
        <w:pStyle w:val="Paragraphedeliste"/>
        <w:numPr>
          <w:ilvl w:val="0"/>
          <w:numId w:val="20"/>
        </w:numPr>
        <w:spacing w:after="0" w:line="240" w:lineRule="auto"/>
        <w:jc w:val="both"/>
        <w:rPr>
          <w:sz w:val="26"/>
          <w:szCs w:val="26"/>
        </w:rPr>
      </w:pPr>
      <w:r w:rsidRPr="00396465">
        <w:rPr>
          <w:sz w:val="26"/>
          <w:szCs w:val="26"/>
        </w:rPr>
        <w:t xml:space="preserve">Notre association félicite l’Etat partie pour le respect de ses engagements internationaux et l’exhorte à plus de rigueur dans la mise en œuvre de ses programmes de développement initié par l’Agence Nationale « Tadamoun » </w:t>
      </w:r>
      <w:r w:rsidRPr="00396465">
        <w:rPr>
          <w:rFonts w:cstheme="majorBidi"/>
          <w:sz w:val="26"/>
          <w:szCs w:val="26"/>
        </w:rPr>
        <w:t>pour l’Eradication des Séquelles de l’Esclavage, à l’Insertion et à la Lutte Contre la Pauvreté</w:t>
      </w:r>
      <w:r w:rsidRPr="00396465">
        <w:rPr>
          <w:sz w:val="26"/>
          <w:szCs w:val="26"/>
        </w:rPr>
        <w:t>.</w:t>
      </w:r>
    </w:p>
    <w:p w:rsidR="00396465" w:rsidRPr="006251F0" w:rsidRDefault="00396465" w:rsidP="006251F0">
      <w:pPr>
        <w:pStyle w:val="Paragraphedeliste"/>
        <w:spacing w:after="0" w:line="240" w:lineRule="auto"/>
        <w:jc w:val="both"/>
        <w:rPr>
          <w:sz w:val="10"/>
          <w:szCs w:val="10"/>
        </w:rPr>
      </w:pPr>
    </w:p>
    <w:p w:rsidR="00396465" w:rsidRPr="00396465" w:rsidRDefault="00AF50CE" w:rsidP="006251F0">
      <w:pPr>
        <w:pStyle w:val="Paragraphedeliste"/>
        <w:numPr>
          <w:ilvl w:val="0"/>
          <w:numId w:val="20"/>
        </w:numPr>
        <w:spacing w:after="0" w:line="240" w:lineRule="auto"/>
        <w:jc w:val="both"/>
        <w:rPr>
          <w:sz w:val="26"/>
          <w:szCs w:val="26"/>
        </w:rPr>
      </w:pPr>
      <w:r w:rsidRPr="00396465">
        <w:rPr>
          <w:sz w:val="26"/>
          <w:szCs w:val="26"/>
        </w:rPr>
        <w:t xml:space="preserve">Nous recommandons au </w:t>
      </w:r>
      <w:r w:rsidR="008076EB" w:rsidRPr="00396465">
        <w:rPr>
          <w:rFonts w:eastAsia="MS Mincho"/>
          <w:sz w:val="26"/>
          <w:szCs w:val="26"/>
        </w:rPr>
        <w:t xml:space="preserve">Comité </w:t>
      </w:r>
      <w:r w:rsidR="00396465" w:rsidRPr="00396465">
        <w:rPr>
          <w:rFonts w:eastAsia="MS Mincho"/>
          <w:sz w:val="26"/>
          <w:szCs w:val="26"/>
        </w:rPr>
        <w:t>des Droits de l’homme</w:t>
      </w:r>
      <w:r w:rsidRPr="00396465">
        <w:rPr>
          <w:sz w:val="26"/>
          <w:szCs w:val="26"/>
        </w:rPr>
        <w:t xml:space="preserve"> et </w:t>
      </w:r>
      <w:r w:rsidR="00396465" w:rsidRPr="00396465">
        <w:rPr>
          <w:sz w:val="26"/>
          <w:szCs w:val="26"/>
        </w:rPr>
        <w:t>aux</w:t>
      </w:r>
      <w:r w:rsidRPr="00396465">
        <w:rPr>
          <w:sz w:val="26"/>
          <w:szCs w:val="26"/>
        </w:rPr>
        <w:t xml:space="preserve"> partenaires</w:t>
      </w:r>
      <w:r w:rsidR="00396465" w:rsidRPr="00396465">
        <w:rPr>
          <w:sz w:val="26"/>
          <w:szCs w:val="26"/>
        </w:rPr>
        <w:t xml:space="preserve"> techniques et financiers d’accompagner le Gouvernement de</w:t>
      </w:r>
      <w:r w:rsidRPr="00396465">
        <w:rPr>
          <w:sz w:val="26"/>
          <w:szCs w:val="26"/>
        </w:rPr>
        <w:t xml:space="preserve"> </w:t>
      </w:r>
      <w:r w:rsidR="008076EB" w:rsidRPr="00396465">
        <w:rPr>
          <w:sz w:val="26"/>
          <w:szCs w:val="26"/>
        </w:rPr>
        <w:t xml:space="preserve">la Mauritanie </w:t>
      </w:r>
      <w:r w:rsidR="00396465" w:rsidRPr="00396465">
        <w:rPr>
          <w:sz w:val="26"/>
          <w:szCs w:val="26"/>
        </w:rPr>
        <w:t>pour la réalisation de ses projets de lutte contre la pauvreté.</w:t>
      </w:r>
    </w:p>
    <w:p w:rsidR="00396465" w:rsidRPr="00396465" w:rsidRDefault="00396465" w:rsidP="006251F0">
      <w:pPr>
        <w:pStyle w:val="Paragraphedeliste"/>
        <w:spacing w:after="0" w:line="240" w:lineRule="auto"/>
        <w:rPr>
          <w:sz w:val="26"/>
          <w:szCs w:val="26"/>
        </w:rPr>
      </w:pPr>
    </w:p>
    <w:p w:rsidR="001B258E" w:rsidRPr="00870F34" w:rsidRDefault="00AF50CE" w:rsidP="00870F34">
      <w:pPr>
        <w:pStyle w:val="Paragraphedeliste"/>
        <w:numPr>
          <w:ilvl w:val="0"/>
          <w:numId w:val="20"/>
        </w:numPr>
        <w:spacing w:after="0" w:line="240" w:lineRule="auto"/>
        <w:jc w:val="both"/>
        <w:rPr>
          <w:sz w:val="26"/>
          <w:szCs w:val="26"/>
        </w:rPr>
      </w:pPr>
      <w:r w:rsidRPr="00870F34">
        <w:rPr>
          <w:sz w:val="26"/>
          <w:szCs w:val="26"/>
        </w:rPr>
        <w:t xml:space="preserve">Nous recommandons également </w:t>
      </w:r>
      <w:r w:rsidR="008F3013" w:rsidRPr="00870F34">
        <w:rPr>
          <w:sz w:val="26"/>
          <w:szCs w:val="26"/>
        </w:rPr>
        <w:t xml:space="preserve">au gouvernement mauritanien </w:t>
      </w:r>
      <w:r w:rsidR="00870F34" w:rsidRPr="00870F34">
        <w:rPr>
          <w:sz w:val="26"/>
          <w:szCs w:val="26"/>
        </w:rPr>
        <w:t>plus d’implication des organisations de la société civile dans l’élaboration dans tous les programmes</w:t>
      </w:r>
      <w:r w:rsidRPr="00870F34">
        <w:rPr>
          <w:sz w:val="26"/>
          <w:szCs w:val="26"/>
        </w:rPr>
        <w:t>.</w:t>
      </w:r>
    </w:p>
    <w:sectPr w:rsidR="001B258E" w:rsidRPr="00870F34" w:rsidSect="0050386B">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55" w:rsidRDefault="00136855" w:rsidP="00AF50CE">
      <w:pPr>
        <w:spacing w:after="0" w:line="240" w:lineRule="auto"/>
      </w:pPr>
      <w:r>
        <w:separator/>
      </w:r>
    </w:p>
  </w:endnote>
  <w:endnote w:type="continuationSeparator" w:id="0">
    <w:p w:rsidR="00136855" w:rsidRDefault="00136855" w:rsidP="00AF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7968"/>
      <w:docPartObj>
        <w:docPartGallery w:val="Page Numbers (Bottom of Page)"/>
        <w:docPartUnique/>
      </w:docPartObj>
    </w:sdtPr>
    <w:sdtContent>
      <w:p w:rsidR="00AF50CE" w:rsidRDefault="00BB0E3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AF50CE" w:rsidRDefault="00BB0E34">
                    <w:pPr>
                      <w:jc w:val="center"/>
                    </w:pPr>
                    <w:fldSimple w:instr=" PAGE    \* MERGEFORMAT ">
                      <w:r w:rsidR="00136855" w:rsidRPr="00136855">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55" w:rsidRDefault="00136855" w:rsidP="00AF50CE">
      <w:pPr>
        <w:spacing w:after="0" w:line="240" w:lineRule="auto"/>
      </w:pPr>
      <w:r>
        <w:separator/>
      </w:r>
    </w:p>
  </w:footnote>
  <w:footnote w:type="continuationSeparator" w:id="0">
    <w:p w:rsidR="00136855" w:rsidRDefault="00136855" w:rsidP="00AF5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E31"/>
    <w:multiLevelType w:val="hybridMultilevel"/>
    <w:tmpl w:val="4FF0174A"/>
    <w:lvl w:ilvl="0" w:tplc="2C18ED04">
      <w:start w:val="2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9984EAF"/>
    <w:multiLevelType w:val="hybridMultilevel"/>
    <w:tmpl w:val="036A58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8F3ED6"/>
    <w:multiLevelType w:val="hybridMultilevel"/>
    <w:tmpl w:val="4CDACFD4"/>
    <w:lvl w:ilvl="0" w:tplc="72328504">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3E541E"/>
    <w:multiLevelType w:val="hybridMultilevel"/>
    <w:tmpl w:val="D696F182"/>
    <w:lvl w:ilvl="0" w:tplc="D65069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8065B7"/>
    <w:multiLevelType w:val="hybridMultilevel"/>
    <w:tmpl w:val="5AAA915C"/>
    <w:lvl w:ilvl="0" w:tplc="391E8D6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72F0D"/>
    <w:multiLevelType w:val="hybridMultilevel"/>
    <w:tmpl w:val="67FEF314"/>
    <w:lvl w:ilvl="0" w:tplc="19DA2B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AB7C9C"/>
    <w:multiLevelType w:val="hybridMultilevel"/>
    <w:tmpl w:val="97E844A8"/>
    <w:lvl w:ilvl="0" w:tplc="02467114">
      <w:numFmt w:val="bullet"/>
      <w:lvlText w:val=""/>
      <w:lvlJc w:val="left"/>
      <w:pPr>
        <w:ind w:left="1068" w:hanging="360"/>
      </w:pPr>
      <w:rPr>
        <w:rFonts w:ascii="Symbol" w:eastAsia="Calibr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AF55236"/>
    <w:multiLevelType w:val="hybridMultilevel"/>
    <w:tmpl w:val="212CD78A"/>
    <w:lvl w:ilvl="0" w:tplc="2C18ED0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8E1256"/>
    <w:multiLevelType w:val="hybridMultilevel"/>
    <w:tmpl w:val="9272ABA0"/>
    <w:lvl w:ilvl="0" w:tplc="391E8D6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40111"/>
    <w:multiLevelType w:val="hybridMultilevel"/>
    <w:tmpl w:val="FF668542"/>
    <w:lvl w:ilvl="0" w:tplc="F028DD72">
      <w:start w:val="3"/>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81B4259"/>
    <w:multiLevelType w:val="hybridMultilevel"/>
    <w:tmpl w:val="D960B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D60BD3"/>
    <w:multiLevelType w:val="hybridMultilevel"/>
    <w:tmpl w:val="0F466B1A"/>
    <w:lvl w:ilvl="0" w:tplc="4E849FBA">
      <w:start w:val="1"/>
      <w:numFmt w:val="lowerLetter"/>
      <w:lvlText w:val="%1)"/>
      <w:lvlJc w:val="left"/>
      <w:pPr>
        <w:ind w:left="92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2D0E23B0"/>
    <w:multiLevelType w:val="hybridMultilevel"/>
    <w:tmpl w:val="36A4970C"/>
    <w:lvl w:ilvl="0" w:tplc="D436B02C">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FB3770"/>
    <w:multiLevelType w:val="hybridMultilevel"/>
    <w:tmpl w:val="AE6CE4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C33DC8"/>
    <w:multiLevelType w:val="hybridMultilevel"/>
    <w:tmpl w:val="E80E2402"/>
    <w:lvl w:ilvl="0" w:tplc="877641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7E01AD"/>
    <w:multiLevelType w:val="hybridMultilevel"/>
    <w:tmpl w:val="CEF8A534"/>
    <w:lvl w:ilvl="0" w:tplc="391E8D6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C80ADA"/>
    <w:multiLevelType w:val="hybridMultilevel"/>
    <w:tmpl w:val="F640B25A"/>
    <w:lvl w:ilvl="0" w:tplc="040C000F">
      <w:start w:val="1"/>
      <w:numFmt w:val="decimal"/>
      <w:lvlText w:val="%1."/>
      <w:lvlJc w:val="left"/>
      <w:pPr>
        <w:ind w:left="107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7A37E6"/>
    <w:multiLevelType w:val="hybridMultilevel"/>
    <w:tmpl w:val="C6CC3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6B2DAD"/>
    <w:multiLevelType w:val="hybridMultilevel"/>
    <w:tmpl w:val="D3A03320"/>
    <w:lvl w:ilvl="0" w:tplc="F9EEE1E6">
      <w:start w:val="1"/>
      <w:numFmt w:val="decimal"/>
      <w:lvlText w:val="%1."/>
      <w:lvlJc w:val="left"/>
      <w:pPr>
        <w:ind w:left="720" w:hanging="360"/>
      </w:pPr>
      <w:rPr>
        <w:rFonts w:eastAsiaTheme="minorHAns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650297"/>
    <w:multiLevelType w:val="hybridMultilevel"/>
    <w:tmpl w:val="13F025B8"/>
    <w:lvl w:ilvl="0" w:tplc="2C18ED04">
      <w:start w:val="2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51B97A4F"/>
    <w:multiLevelType w:val="hybridMultilevel"/>
    <w:tmpl w:val="9C54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F0390F"/>
    <w:multiLevelType w:val="hybridMultilevel"/>
    <w:tmpl w:val="8578B2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5FD5EBE"/>
    <w:multiLevelType w:val="hybridMultilevel"/>
    <w:tmpl w:val="6F360336"/>
    <w:lvl w:ilvl="0" w:tplc="791EF21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DD30597"/>
    <w:multiLevelType w:val="hybridMultilevel"/>
    <w:tmpl w:val="E33AAD5C"/>
    <w:lvl w:ilvl="0" w:tplc="6896D2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F4D0E99"/>
    <w:multiLevelType w:val="hybridMultilevel"/>
    <w:tmpl w:val="926CC454"/>
    <w:lvl w:ilvl="0" w:tplc="391E8D6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0"/>
  </w:num>
  <w:num w:numId="4">
    <w:abstractNumId w:val="10"/>
  </w:num>
  <w:num w:numId="5">
    <w:abstractNumId w:val="19"/>
  </w:num>
  <w:num w:numId="6">
    <w:abstractNumId w:val="0"/>
  </w:num>
  <w:num w:numId="7">
    <w:abstractNumId w:val="3"/>
  </w:num>
  <w:num w:numId="8">
    <w:abstractNumId w:val="5"/>
  </w:num>
  <w:num w:numId="9">
    <w:abstractNumId w:val="4"/>
  </w:num>
  <w:num w:numId="10">
    <w:abstractNumId w:val="24"/>
  </w:num>
  <w:num w:numId="11">
    <w:abstractNumId w:val="8"/>
  </w:num>
  <w:num w:numId="12">
    <w:abstractNumId w:val="15"/>
  </w:num>
  <w:num w:numId="13">
    <w:abstractNumId w:val="17"/>
  </w:num>
  <w:num w:numId="14">
    <w:abstractNumId w:val="6"/>
  </w:num>
  <w:num w:numId="15">
    <w:abstractNumId w:val="22"/>
  </w:num>
  <w:num w:numId="16">
    <w:abstractNumId w:val="9"/>
  </w:num>
  <w:num w:numId="17">
    <w:abstractNumId w:val="16"/>
  </w:num>
  <w:num w:numId="18">
    <w:abstractNumId w:val="13"/>
  </w:num>
  <w:num w:numId="19">
    <w:abstractNumId w:val="11"/>
  </w:num>
  <w:num w:numId="20">
    <w:abstractNumId w:val="1"/>
  </w:num>
  <w:num w:numId="21">
    <w:abstractNumId w:val="18"/>
  </w:num>
  <w:num w:numId="22">
    <w:abstractNumId w:val="12"/>
  </w:num>
  <w:num w:numId="23">
    <w:abstractNumId w:val="21"/>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82"/>
    <o:shapelayout v:ext="edit">
      <o:idmap v:ext="edit" data="3"/>
    </o:shapelayout>
  </w:hdrShapeDefaults>
  <w:footnotePr>
    <w:footnote w:id="-1"/>
    <w:footnote w:id="0"/>
  </w:footnotePr>
  <w:endnotePr>
    <w:endnote w:id="-1"/>
    <w:endnote w:id="0"/>
  </w:endnotePr>
  <w:compat/>
  <w:rsids>
    <w:rsidRoot w:val="00F0321E"/>
    <w:rsid w:val="0000058E"/>
    <w:rsid w:val="00001F07"/>
    <w:rsid w:val="0005650E"/>
    <w:rsid w:val="00105AFA"/>
    <w:rsid w:val="00122E77"/>
    <w:rsid w:val="00136855"/>
    <w:rsid w:val="001575E7"/>
    <w:rsid w:val="001A03AB"/>
    <w:rsid w:val="001B258E"/>
    <w:rsid w:val="001C0D12"/>
    <w:rsid w:val="00207BC7"/>
    <w:rsid w:val="00255789"/>
    <w:rsid w:val="002820D2"/>
    <w:rsid w:val="00282FF1"/>
    <w:rsid w:val="0028510D"/>
    <w:rsid w:val="002C0B26"/>
    <w:rsid w:val="002D5A8F"/>
    <w:rsid w:val="00371541"/>
    <w:rsid w:val="00382104"/>
    <w:rsid w:val="00396465"/>
    <w:rsid w:val="003A622C"/>
    <w:rsid w:val="003E2BEC"/>
    <w:rsid w:val="003F568D"/>
    <w:rsid w:val="00462186"/>
    <w:rsid w:val="00496125"/>
    <w:rsid w:val="004E61DF"/>
    <w:rsid w:val="004F01FA"/>
    <w:rsid w:val="0050386B"/>
    <w:rsid w:val="0050493D"/>
    <w:rsid w:val="005548FE"/>
    <w:rsid w:val="005650F3"/>
    <w:rsid w:val="00576488"/>
    <w:rsid w:val="00577381"/>
    <w:rsid w:val="005D1E86"/>
    <w:rsid w:val="005D7EFC"/>
    <w:rsid w:val="00606FB3"/>
    <w:rsid w:val="006251F0"/>
    <w:rsid w:val="00626972"/>
    <w:rsid w:val="00644435"/>
    <w:rsid w:val="00650777"/>
    <w:rsid w:val="00652803"/>
    <w:rsid w:val="00665CBE"/>
    <w:rsid w:val="00696FF4"/>
    <w:rsid w:val="006B16E4"/>
    <w:rsid w:val="008076EB"/>
    <w:rsid w:val="008506CF"/>
    <w:rsid w:val="00870F34"/>
    <w:rsid w:val="00875F36"/>
    <w:rsid w:val="008B10C0"/>
    <w:rsid w:val="008B47EA"/>
    <w:rsid w:val="008F3013"/>
    <w:rsid w:val="009102A6"/>
    <w:rsid w:val="009826E4"/>
    <w:rsid w:val="0098782E"/>
    <w:rsid w:val="009929CE"/>
    <w:rsid w:val="00A764DF"/>
    <w:rsid w:val="00A92C64"/>
    <w:rsid w:val="00AB7A38"/>
    <w:rsid w:val="00AD3030"/>
    <w:rsid w:val="00AF0E46"/>
    <w:rsid w:val="00AF50CE"/>
    <w:rsid w:val="00B03C84"/>
    <w:rsid w:val="00B21E40"/>
    <w:rsid w:val="00B56816"/>
    <w:rsid w:val="00BB0E34"/>
    <w:rsid w:val="00BB6012"/>
    <w:rsid w:val="00BF6E9F"/>
    <w:rsid w:val="00C27172"/>
    <w:rsid w:val="00C5075A"/>
    <w:rsid w:val="00C5413E"/>
    <w:rsid w:val="00C610C4"/>
    <w:rsid w:val="00CA0FCA"/>
    <w:rsid w:val="00CA2462"/>
    <w:rsid w:val="00CF0D48"/>
    <w:rsid w:val="00D10B93"/>
    <w:rsid w:val="00D11F17"/>
    <w:rsid w:val="00D145C4"/>
    <w:rsid w:val="00D25E9B"/>
    <w:rsid w:val="00D56159"/>
    <w:rsid w:val="00D6434D"/>
    <w:rsid w:val="00D73FCE"/>
    <w:rsid w:val="00DB744B"/>
    <w:rsid w:val="00DD24BA"/>
    <w:rsid w:val="00E51C31"/>
    <w:rsid w:val="00E72A53"/>
    <w:rsid w:val="00E77CEC"/>
    <w:rsid w:val="00EA16AC"/>
    <w:rsid w:val="00EB73E8"/>
    <w:rsid w:val="00ED10E0"/>
    <w:rsid w:val="00EE2E84"/>
    <w:rsid w:val="00F0321E"/>
    <w:rsid w:val="00F7069D"/>
    <w:rsid w:val="00FA6846"/>
    <w:rsid w:val="00FB37DC"/>
    <w:rsid w:val="00FC29BF"/>
    <w:rsid w:val="00FD3F02"/>
    <w:rsid w:val="00FE07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8F"/>
  </w:style>
  <w:style w:type="paragraph" w:styleId="Titre1">
    <w:name w:val="heading 1"/>
    <w:basedOn w:val="Normal"/>
    <w:next w:val="Normal"/>
    <w:link w:val="Titre1Car"/>
    <w:qFormat/>
    <w:rsid w:val="00DD24BA"/>
    <w:pPr>
      <w:keepNext/>
      <w:spacing w:after="0" w:line="240" w:lineRule="auto"/>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unhideWhenUsed/>
    <w:qFormat/>
    <w:rsid w:val="00EA16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7DC"/>
    <w:pPr>
      <w:ind w:left="720"/>
      <w:contextualSpacing/>
    </w:pPr>
  </w:style>
  <w:style w:type="character" w:customStyle="1" w:styleId="Titre1Car">
    <w:name w:val="Titre 1 Car"/>
    <w:basedOn w:val="Policepardfaut"/>
    <w:link w:val="Titre1"/>
    <w:rsid w:val="00DD24BA"/>
    <w:rPr>
      <w:rFonts w:ascii="Times New Roman" w:eastAsia="Times New Roman" w:hAnsi="Times New Roman" w:cs="Times New Roman"/>
      <w:b/>
      <w:bCs/>
      <w:sz w:val="24"/>
      <w:szCs w:val="24"/>
      <w:lang w:eastAsia="fr-FR"/>
    </w:rPr>
  </w:style>
  <w:style w:type="paragraph" w:styleId="Commentaire">
    <w:name w:val="annotation text"/>
    <w:basedOn w:val="Normal"/>
    <w:link w:val="CommentaireCar"/>
    <w:unhideWhenUsed/>
    <w:rsid w:val="00AF0E46"/>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rsid w:val="00AF0E46"/>
    <w:rPr>
      <w:rFonts w:ascii="Calibri" w:eastAsia="Calibri" w:hAnsi="Calibri" w:cs="Arial"/>
      <w:sz w:val="20"/>
      <w:szCs w:val="20"/>
    </w:rPr>
  </w:style>
  <w:style w:type="paragraph" w:styleId="Sansinterligne">
    <w:name w:val="No Spacing"/>
    <w:uiPriority w:val="1"/>
    <w:qFormat/>
    <w:rsid w:val="00255789"/>
    <w:pPr>
      <w:spacing w:after="0" w:line="240" w:lineRule="auto"/>
    </w:pPr>
    <w:rPr>
      <w:rFonts w:ascii="Calibri" w:eastAsia="Calibri" w:hAnsi="Calibri" w:cs="Arial"/>
    </w:rPr>
  </w:style>
  <w:style w:type="character" w:customStyle="1" w:styleId="Titre2Car">
    <w:name w:val="Titre 2 Car"/>
    <w:basedOn w:val="Policepardfaut"/>
    <w:link w:val="Titre2"/>
    <w:uiPriority w:val="9"/>
    <w:rsid w:val="00EA16AC"/>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AF50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F50CE"/>
  </w:style>
  <w:style w:type="paragraph" w:styleId="Pieddepage">
    <w:name w:val="footer"/>
    <w:basedOn w:val="Normal"/>
    <w:link w:val="PieddepageCar"/>
    <w:uiPriority w:val="99"/>
    <w:semiHidden/>
    <w:unhideWhenUsed/>
    <w:rsid w:val="00AF50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50CE"/>
  </w:style>
  <w:style w:type="paragraph" w:styleId="Corpsdetexte">
    <w:name w:val="Body Text"/>
    <w:basedOn w:val="Normal"/>
    <w:link w:val="CorpsdetexteCar"/>
    <w:rsid w:val="00CA0FC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A0FC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A0FCA"/>
    <w:rPr>
      <w:color w:val="0000FF" w:themeColor="hyperlink"/>
      <w:u w:val="single"/>
    </w:rPr>
  </w:style>
  <w:style w:type="paragraph" w:customStyle="1" w:styleId="Default">
    <w:name w:val="Default"/>
    <w:rsid w:val="0050386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25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5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pdhong@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9F4D7-E157-49C2-AC72-13145DF5A0FC}">
  <ds:schemaRefs>
    <ds:schemaRef ds:uri="http://schemas.openxmlformats.org/officeDocument/2006/bibliography"/>
  </ds:schemaRefs>
</ds:datastoreItem>
</file>

<file path=customXml/itemProps2.xml><?xml version="1.0" encoding="utf-8"?>
<ds:datastoreItem xmlns:ds="http://schemas.openxmlformats.org/officeDocument/2006/customXml" ds:itemID="{50E95725-D60E-4797-9F10-FD5E5F2AD15C}"/>
</file>

<file path=customXml/itemProps3.xml><?xml version="1.0" encoding="utf-8"?>
<ds:datastoreItem xmlns:ds="http://schemas.openxmlformats.org/officeDocument/2006/customXml" ds:itemID="{691C70A2-9479-411B-83C8-A9CB7F485A33}"/>
</file>

<file path=customXml/itemProps4.xml><?xml version="1.0" encoding="utf-8"?>
<ds:datastoreItem xmlns:ds="http://schemas.openxmlformats.org/officeDocument/2006/customXml" ds:itemID="{FF4E98A1-CA17-4DC0-B80B-05EEAD424A3E}"/>
</file>

<file path=docProps/app.xml><?xml version="1.0" encoding="utf-8"?>
<Properties xmlns="http://schemas.openxmlformats.org/officeDocument/2006/extended-properties" xmlns:vt="http://schemas.openxmlformats.org/officeDocument/2006/docPropsVTypes">
  <Template>Normal</Template>
  <TotalTime>120</TotalTime>
  <Pages>6</Pages>
  <Words>1980</Words>
  <Characters>10895</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    Convention internationale sur l'élimination de toutes les formes de discriminati</vt:lpstr>
      <vt:lpstr>Convention sur l'élimination de toutes les formes de discrimination à l'égard de</vt:lpstr>
      <vt:lpstr>Convention contre la torture et autres peines ou traitements cruels, inhumains o</vt:lpstr>
      <vt:lpstr>    Convention relative aux droits de l'enfant;</vt:lpstr>
      <vt:lpstr>    Convention internationale sur la protection des droits de tous les travailleurs </vt:lpstr>
      <vt:lpstr>    Convention relative aux droits des personnes handicapées;</vt:lpstr>
      <vt:lpstr>    Convention internationale pour la protection de toutes les personnes contre les </vt:lpstr>
      <vt:lpstr>    Protocole facultatif se rapportant à la Convention contre la torture et autres p</vt:lpstr>
      <vt:lpstr>    Protocole facultatif se rapportant à la Convention relative aux droits des perso</vt:lpstr>
      <vt:lpstr>    10. Participation à la vie politique, économique, sociale et culturelle</vt:lpstr>
      <vt:lpstr>    Tous les mauritaniens sont égaux devant la loi conformément à la constitution et</vt:lpstr>
      <vt:lpstr>    En conclusion :</vt:lpstr>
    </vt:vector>
  </TitlesOfParts>
  <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BIBLIOTHEQUE</dc:creator>
  <cp:lastModifiedBy>Wdoc</cp:lastModifiedBy>
  <cp:revision>12</cp:revision>
  <cp:lastPrinted>2019-05-17T13:05:00Z</cp:lastPrinted>
  <dcterms:created xsi:type="dcterms:W3CDTF">2018-03-29T15:06:00Z</dcterms:created>
  <dcterms:modified xsi:type="dcterms:W3CDTF">2019-05-17T13:14:00Z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