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3118"/>
        <w:gridCol w:w="3402"/>
      </w:tblGrid>
      <w:tr w:rsidR="002527ED" w:rsidRPr="005C100D" w:rsidTr="004C27AF">
        <w:trPr>
          <w:trHeight w:val="2117"/>
        </w:trPr>
        <w:tc>
          <w:tcPr>
            <w:tcW w:w="3227" w:type="dxa"/>
          </w:tcPr>
          <w:p w:rsidR="002527ED" w:rsidRPr="005C100D" w:rsidRDefault="00E660FC" w:rsidP="005C100D">
            <w:pPr>
              <w:spacing w:after="200"/>
              <w:jc w:val="both"/>
              <w:rPr>
                <w:sz w:val="24"/>
                <w:szCs w:val="24"/>
              </w:rPr>
            </w:pPr>
            <w:r w:rsidRPr="005C100D">
              <w:rPr>
                <w:noProof/>
                <w:sz w:val="24"/>
                <w:szCs w:val="24"/>
                <w:lang w:eastAsia="da-DK"/>
              </w:rPr>
              <w:drawing>
                <wp:anchor distT="0" distB="0" distL="114300" distR="114300" simplePos="0" relativeHeight="251660288" behindDoc="0" locked="0" layoutInCell="1" allowOverlap="1" wp14:anchorId="2DFD9D8A" wp14:editId="7591759F">
                  <wp:simplePos x="0" y="0"/>
                  <wp:positionH relativeFrom="column">
                    <wp:posOffset>29836</wp:posOffset>
                  </wp:positionH>
                  <wp:positionV relativeFrom="paragraph">
                    <wp:posOffset>271477</wp:posOffset>
                  </wp:positionV>
                  <wp:extent cx="1936800" cy="558000"/>
                  <wp:effectExtent l="0" t="0" r="6350" b="0"/>
                  <wp:wrapNone/>
                  <wp:docPr id="5" name="Picture 5" descr="C:\Users\tr\AppData\Local\Microsoft\Windows\Temporary Internet Files\Content.Outlook\ZSVLFPJ2\logo_2011_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ppData\Local\Microsoft\Windows\Temporary Internet Files\Content.Outlook\ZSVLFPJ2\logo_2011_hig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6800" cy="55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27ED" w:rsidRPr="005C100D" w:rsidRDefault="002527ED" w:rsidP="005C100D">
            <w:pPr>
              <w:spacing w:after="200"/>
              <w:jc w:val="both"/>
              <w:rPr>
                <w:sz w:val="24"/>
                <w:szCs w:val="24"/>
              </w:rPr>
            </w:pPr>
          </w:p>
        </w:tc>
        <w:tc>
          <w:tcPr>
            <w:tcW w:w="3118" w:type="dxa"/>
          </w:tcPr>
          <w:p w:rsidR="002527ED" w:rsidRPr="005C100D" w:rsidRDefault="00E660FC" w:rsidP="005C100D">
            <w:pPr>
              <w:spacing w:after="200"/>
              <w:jc w:val="both"/>
              <w:rPr>
                <w:sz w:val="24"/>
                <w:szCs w:val="24"/>
              </w:rPr>
            </w:pPr>
            <w:r w:rsidRPr="005C100D">
              <w:rPr>
                <w:noProof/>
                <w:sz w:val="24"/>
                <w:szCs w:val="24"/>
                <w:lang w:eastAsia="da-DK"/>
              </w:rPr>
              <w:drawing>
                <wp:anchor distT="0" distB="0" distL="114300" distR="114300" simplePos="0" relativeHeight="251665408" behindDoc="0" locked="0" layoutInCell="1" allowOverlap="1" wp14:anchorId="4A69615B" wp14:editId="47C8AF8F">
                  <wp:simplePos x="0" y="0"/>
                  <wp:positionH relativeFrom="column">
                    <wp:posOffset>300345</wp:posOffset>
                  </wp:positionH>
                  <wp:positionV relativeFrom="paragraph">
                    <wp:posOffset>243547</wp:posOffset>
                  </wp:positionV>
                  <wp:extent cx="1823720" cy="868680"/>
                  <wp:effectExtent l="0" t="0" r="5080" b="7620"/>
                  <wp:wrapNone/>
                  <wp:docPr id="1" name="Picture 1" descr="cid:image001.png@01CDCD51.85309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CDCD51.853090D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23720" cy="868680"/>
                          </a:xfrm>
                          <a:prstGeom prst="rect">
                            <a:avLst/>
                          </a:prstGeom>
                          <a:noFill/>
                          <a:ln>
                            <a:noFill/>
                          </a:ln>
                        </pic:spPr>
                      </pic:pic>
                    </a:graphicData>
                  </a:graphic>
                </wp:anchor>
              </w:drawing>
            </w:r>
          </w:p>
          <w:p w:rsidR="002527ED" w:rsidRPr="005C100D" w:rsidRDefault="002527ED" w:rsidP="005C100D">
            <w:pPr>
              <w:spacing w:after="200"/>
              <w:jc w:val="both"/>
              <w:rPr>
                <w:sz w:val="24"/>
                <w:szCs w:val="24"/>
              </w:rPr>
            </w:pPr>
          </w:p>
        </w:tc>
        <w:tc>
          <w:tcPr>
            <w:tcW w:w="3402" w:type="dxa"/>
          </w:tcPr>
          <w:p w:rsidR="002527ED" w:rsidRPr="005C100D" w:rsidRDefault="00E660FC" w:rsidP="005C100D">
            <w:pPr>
              <w:spacing w:after="200"/>
              <w:jc w:val="both"/>
              <w:rPr>
                <w:rFonts w:cstheme="majorBidi"/>
                <w:b/>
                <w:bCs/>
                <w:sz w:val="24"/>
                <w:szCs w:val="24"/>
              </w:rPr>
            </w:pPr>
            <w:r w:rsidRPr="005C100D">
              <w:rPr>
                <w:noProof/>
                <w:sz w:val="24"/>
                <w:szCs w:val="24"/>
                <w:lang w:eastAsia="da-DK"/>
              </w:rPr>
              <w:drawing>
                <wp:anchor distT="0" distB="0" distL="114300" distR="114300" simplePos="0" relativeHeight="251664384" behindDoc="0" locked="0" layoutInCell="1" allowOverlap="1" wp14:anchorId="67AD86E1" wp14:editId="071C419B">
                  <wp:simplePos x="0" y="0"/>
                  <wp:positionH relativeFrom="column">
                    <wp:posOffset>1117913</wp:posOffset>
                  </wp:positionH>
                  <wp:positionV relativeFrom="paragraph">
                    <wp:posOffset>215900</wp:posOffset>
                  </wp:positionV>
                  <wp:extent cx="939800" cy="1014924"/>
                  <wp:effectExtent l="0" t="0" r="0" b="0"/>
                  <wp:wrapNone/>
                  <wp:docPr id="2" name="Picture 2" descr="C:\Users\tr\AppData\Local\Microsoft\Windows\Temporary Internet Files\Content.Outlook\ZSVLFPJ2\RCT Jyl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ppData\Local\Microsoft\Windows\Temporary Internet Files\Content.Outlook\ZSVLFPJ2\RCT Jylland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9800" cy="1014924"/>
                          </a:xfrm>
                          <a:prstGeom prst="rect">
                            <a:avLst/>
                          </a:prstGeom>
                          <a:noFill/>
                          <a:ln>
                            <a:noFill/>
                          </a:ln>
                        </pic:spPr>
                      </pic:pic>
                    </a:graphicData>
                  </a:graphic>
                </wp:anchor>
              </w:drawing>
            </w:r>
          </w:p>
          <w:p w:rsidR="002527ED" w:rsidRPr="005C100D" w:rsidRDefault="002527ED" w:rsidP="005C100D">
            <w:pPr>
              <w:spacing w:after="200"/>
              <w:jc w:val="both"/>
              <w:rPr>
                <w:sz w:val="24"/>
                <w:szCs w:val="24"/>
              </w:rPr>
            </w:pPr>
          </w:p>
        </w:tc>
      </w:tr>
      <w:tr w:rsidR="002527ED" w:rsidRPr="005C100D" w:rsidTr="004C27AF">
        <w:trPr>
          <w:trHeight w:val="1980"/>
        </w:trPr>
        <w:tc>
          <w:tcPr>
            <w:tcW w:w="3227" w:type="dxa"/>
          </w:tcPr>
          <w:p w:rsidR="002527ED" w:rsidRPr="005C100D" w:rsidRDefault="002527ED" w:rsidP="005C100D">
            <w:pPr>
              <w:spacing w:after="200"/>
              <w:jc w:val="both"/>
              <w:rPr>
                <w:sz w:val="24"/>
                <w:szCs w:val="24"/>
              </w:rPr>
            </w:pPr>
            <w:r w:rsidRPr="005C100D">
              <w:rPr>
                <w:rFonts w:cstheme="majorBidi"/>
                <w:noProof/>
                <w:sz w:val="24"/>
                <w:szCs w:val="24"/>
                <w:lang w:eastAsia="da-DK"/>
              </w:rPr>
              <w:drawing>
                <wp:anchor distT="0" distB="0" distL="114300" distR="114300" simplePos="0" relativeHeight="251661312" behindDoc="0" locked="0" layoutInCell="1" allowOverlap="1">
                  <wp:simplePos x="0" y="0"/>
                  <wp:positionH relativeFrom="column">
                    <wp:posOffset>2900</wp:posOffset>
                  </wp:positionH>
                  <wp:positionV relativeFrom="paragraph">
                    <wp:posOffset>3564</wp:posOffset>
                  </wp:positionV>
                  <wp:extent cx="1508760" cy="1145857"/>
                  <wp:effectExtent l="0" t="0" r="0" b="0"/>
                  <wp:wrapNone/>
                  <wp:docPr id="18" name="Picture 18" descr="C:\Users\tr\AppData\Local\Microsoft\Windows\Temporary Internet Files\Content.Outlook\ZSVLFPJ2\logo una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ppData\Local\Microsoft\Windows\Temporary Internet Files\Content.Outlook\ZSVLFPJ2\logo una_H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8760" cy="1145857"/>
                          </a:xfrm>
                          <a:prstGeom prst="rect">
                            <a:avLst/>
                          </a:prstGeom>
                          <a:noFill/>
                          <a:ln>
                            <a:noFill/>
                          </a:ln>
                        </pic:spPr>
                      </pic:pic>
                    </a:graphicData>
                  </a:graphic>
                </wp:anchor>
              </w:drawing>
            </w:r>
          </w:p>
        </w:tc>
        <w:tc>
          <w:tcPr>
            <w:tcW w:w="3118" w:type="dxa"/>
          </w:tcPr>
          <w:p w:rsidR="002527ED" w:rsidRPr="005C100D" w:rsidRDefault="002527ED" w:rsidP="005C100D">
            <w:pPr>
              <w:spacing w:after="200"/>
              <w:jc w:val="both"/>
              <w:rPr>
                <w:rFonts w:eastAsia="Times New Roman"/>
                <w:noProof/>
                <w:color w:val="1982D1"/>
                <w:sz w:val="24"/>
                <w:szCs w:val="24"/>
                <w:lang w:eastAsia="da-DK"/>
              </w:rPr>
            </w:pPr>
          </w:p>
          <w:p w:rsidR="002527ED" w:rsidRPr="005C100D" w:rsidRDefault="002527ED" w:rsidP="005C100D">
            <w:pPr>
              <w:spacing w:after="200"/>
              <w:jc w:val="both"/>
              <w:rPr>
                <w:sz w:val="24"/>
                <w:szCs w:val="24"/>
              </w:rPr>
            </w:pPr>
            <w:r w:rsidRPr="005C100D">
              <w:rPr>
                <w:rFonts w:eastAsia="Times New Roman"/>
                <w:noProof/>
                <w:color w:val="1982D1"/>
                <w:sz w:val="24"/>
                <w:szCs w:val="24"/>
                <w:lang w:eastAsia="da-DK"/>
              </w:rPr>
              <w:drawing>
                <wp:anchor distT="0" distB="0" distL="114300" distR="114300" simplePos="0" relativeHeight="251662336" behindDoc="0" locked="0" layoutInCell="1" allowOverlap="1">
                  <wp:simplePos x="0" y="0"/>
                  <wp:positionH relativeFrom="column">
                    <wp:posOffset>919</wp:posOffset>
                  </wp:positionH>
                  <wp:positionV relativeFrom="paragraph">
                    <wp:posOffset>4407</wp:posOffset>
                  </wp:positionV>
                  <wp:extent cx="2143130" cy="617220"/>
                  <wp:effectExtent l="0" t="0" r="9525" b="0"/>
                  <wp:wrapNone/>
                  <wp:docPr id="3" name="Picture 3" descr="FAUADV – Foreningen af Udlændingeretsadvoka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ADV – Foreningen af Udlændingeretsadvokater">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3130" cy="617220"/>
                          </a:xfrm>
                          <a:prstGeom prst="rect">
                            <a:avLst/>
                          </a:prstGeom>
                          <a:noFill/>
                          <a:ln>
                            <a:noFill/>
                          </a:ln>
                        </pic:spPr>
                      </pic:pic>
                    </a:graphicData>
                  </a:graphic>
                </wp:anchor>
              </w:drawing>
            </w:r>
          </w:p>
        </w:tc>
        <w:tc>
          <w:tcPr>
            <w:tcW w:w="3402" w:type="dxa"/>
          </w:tcPr>
          <w:p w:rsidR="002527ED" w:rsidRPr="005C100D" w:rsidRDefault="002527ED" w:rsidP="005C100D">
            <w:pPr>
              <w:spacing w:after="200"/>
              <w:jc w:val="both"/>
              <w:rPr>
                <w:sz w:val="24"/>
                <w:szCs w:val="24"/>
                <w:lang w:val="en-US"/>
              </w:rPr>
            </w:pPr>
            <w:r w:rsidRPr="005C100D">
              <w:rPr>
                <w:noProof/>
                <w:color w:val="000000"/>
                <w:sz w:val="24"/>
                <w:szCs w:val="24"/>
                <w:lang w:eastAsia="da-DK"/>
              </w:rPr>
              <w:drawing>
                <wp:anchor distT="0" distB="0" distL="114300" distR="114300" simplePos="0" relativeHeight="251663360" behindDoc="0" locked="0" layoutInCell="1" allowOverlap="1">
                  <wp:simplePos x="0" y="0"/>
                  <wp:positionH relativeFrom="column">
                    <wp:posOffset>517525</wp:posOffset>
                  </wp:positionH>
                  <wp:positionV relativeFrom="paragraph">
                    <wp:posOffset>139065</wp:posOffset>
                  </wp:positionV>
                  <wp:extent cx="1531828" cy="891540"/>
                  <wp:effectExtent l="0" t="0" r="0" b="3810"/>
                  <wp:wrapNone/>
                  <wp:docPr id="8" name="Picture 8" descr="http://www.krim.dk/logo-blaa.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im.dk/logo-blaa.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1828" cy="891540"/>
                          </a:xfrm>
                          <a:prstGeom prst="rect">
                            <a:avLst/>
                          </a:prstGeom>
                          <a:noFill/>
                          <a:ln>
                            <a:noFill/>
                          </a:ln>
                        </pic:spPr>
                      </pic:pic>
                    </a:graphicData>
                  </a:graphic>
                </wp:anchor>
              </w:drawing>
            </w:r>
          </w:p>
        </w:tc>
      </w:tr>
    </w:tbl>
    <w:p w:rsidR="002527ED" w:rsidRPr="005C100D" w:rsidRDefault="002527ED" w:rsidP="005C100D">
      <w:pPr>
        <w:pBdr>
          <w:bottom w:val="single" w:sz="12" w:space="1" w:color="auto"/>
        </w:pBdr>
        <w:spacing w:after="0"/>
        <w:jc w:val="both"/>
        <w:rPr>
          <w:rFonts w:cstheme="majorBidi"/>
          <w:sz w:val="24"/>
          <w:szCs w:val="24"/>
          <w:lang w:val="en-GB"/>
        </w:rPr>
      </w:pPr>
    </w:p>
    <w:p w:rsidR="002527ED" w:rsidRPr="005C100D" w:rsidRDefault="002527ED" w:rsidP="005C100D">
      <w:pPr>
        <w:spacing w:after="0"/>
        <w:jc w:val="both"/>
        <w:rPr>
          <w:rFonts w:cstheme="majorBidi"/>
          <w:b/>
          <w:bCs/>
          <w:sz w:val="24"/>
          <w:szCs w:val="24"/>
          <w:lang w:val="en-GB"/>
        </w:rPr>
      </w:pPr>
    </w:p>
    <w:p w:rsidR="002527ED" w:rsidRPr="005C100D" w:rsidRDefault="002527ED" w:rsidP="00A26212">
      <w:pPr>
        <w:jc w:val="center"/>
        <w:rPr>
          <w:rFonts w:cstheme="majorBidi"/>
          <w:b/>
          <w:bCs/>
          <w:sz w:val="24"/>
          <w:szCs w:val="24"/>
          <w:lang w:val="en-GB"/>
        </w:rPr>
      </w:pPr>
      <w:r w:rsidRPr="005C100D">
        <w:rPr>
          <w:rFonts w:cstheme="majorBidi"/>
          <w:b/>
          <w:bCs/>
          <w:sz w:val="24"/>
          <w:szCs w:val="24"/>
          <w:lang w:val="en-GB"/>
        </w:rPr>
        <w:t>ALTERNATIVE REPORT</w:t>
      </w:r>
    </w:p>
    <w:p w:rsidR="00797D57" w:rsidRDefault="002527ED" w:rsidP="00A26212">
      <w:pPr>
        <w:jc w:val="center"/>
        <w:rPr>
          <w:rFonts w:cstheme="majorBidi"/>
          <w:b/>
          <w:bCs/>
          <w:sz w:val="24"/>
          <w:szCs w:val="24"/>
          <w:lang w:val="en-GB"/>
        </w:rPr>
      </w:pPr>
      <w:r w:rsidRPr="005C100D">
        <w:rPr>
          <w:rFonts w:cstheme="majorBidi"/>
          <w:b/>
          <w:bCs/>
          <w:sz w:val="24"/>
          <w:szCs w:val="24"/>
          <w:lang w:val="en-GB"/>
        </w:rPr>
        <w:t>to the list of issues (CCPR/C/DNK/Q.6) dated 29 November 2011</w:t>
      </w:r>
      <w:r w:rsidR="00FC50EE" w:rsidRPr="005C100D">
        <w:rPr>
          <w:rFonts w:cstheme="majorBidi"/>
          <w:b/>
          <w:bCs/>
          <w:sz w:val="24"/>
          <w:szCs w:val="24"/>
          <w:lang w:val="en-GB"/>
        </w:rPr>
        <w:t xml:space="preserve"> </w:t>
      </w:r>
      <w:r w:rsidRPr="005C100D">
        <w:rPr>
          <w:rFonts w:cstheme="majorBidi"/>
          <w:b/>
          <w:bCs/>
          <w:sz w:val="24"/>
          <w:szCs w:val="24"/>
          <w:lang w:val="en-GB"/>
        </w:rPr>
        <w:t xml:space="preserve">to be considered by </w:t>
      </w:r>
    </w:p>
    <w:p w:rsidR="002527ED" w:rsidRPr="005C100D" w:rsidRDefault="002527ED" w:rsidP="00A26212">
      <w:pPr>
        <w:jc w:val="center"/>
        <w:rPr>
          <w:rFonts w:cstheme="majorBidi"/>
          <w:b/>
          <w:bCs/>
          <w:sz w:val="24"/>
          <w:szCs w:val="24"/>
          <w:lang w:val="en-GB"/>
        </w:rPr>
      </w:pPr>
      <w:r w:rsidRPr="005C100D">
        <w:rPr>
          <w:rFonts w:cstheme="majorBidi"/>
          <w:b/>
          <w:bCs/>
          <w:sz w:val="24"/>
          <w:szCs w:val="24"/>
          <w:lang w:val="en-GB"/>
        </w:rPr>
        <w:t>the UN Human Rights Committee during the examination of the 6</w:t>
      </w:r>
      <w:r w:rsidRPr="005C100D">
        <w:rPr>
          <w:rFonts w:cstheme="majorBidi"/>
          <w:b/>
          <w:bCs/>
          <w:sz w:val="24"/>
          <w:szCs w:val="24"/>
          <w:vertAlign w:val="superscript"/>
          <w:lang w:val="en-GB"/>
        </w:rPr>
        <w:t>th</w:t>
      </w:r>
      <w:r w:rsidRPr="005C100D">
        <w:rPr>
          <w:rFonts w:cstheme="majorBidi"/>
          <w:b/>
          <w:bCs/>
          <w:sz w:val="24"/>
          <w:szCs w:val="24"/>
          <w:lang w:val="en-GB"/>
        </w:rPr>
        <w:t xml:space="preserve"> periodic report of</w:t>
      </w:r>
    </w:p>
    <w:p w:rsidR="002527ED" w:rsidRPr="005C100D" w:rsidRDefault="002527ED" w:rsidP="00A26212">
      <w:pPr>
        <w:jc w:val="center"/>
        <w:rPr>
          <w:rFonts w:cstheme="majorBidi"/>
          <w:b/>
          <w:bCs/>
          <w:sz w:val="24"/>
          <w:szCs w:val="24"/>
          <w:lang w:val="en-GB"/>
        </w:rPr>
      </w:pPr>
      <w:r w:rsidRPr="005C100D">
        <w:rPr>
          <w:rFonts w:cstheme="majorBidi"/>
          <w:b/>
          <w:bCs/>
          <w:sz w:val="24"/>
          <w:szCs w:val="24"/>
          <w:lang w:val="en-GB"/>
        </w:rPr>
        <w:t>DENMARK</w:t>
      </w:r>
    </w:p>
    <w:p w:rsidR="002527ED" w:rsidRPr="005C100D" w:rsidRDefault="002527ED" w:rsidP="00A26212">
      <w:pPr>
        <w:pBdr>
          <w:bottom w:val="single" w:sz="12" w:space="1" w:color="auto"/>
        </w:pBdr>
        <w:tabs>
          <w:tab w:val="center" w:pos="4819"/>
          <w:tab w:val="left" w:pos="6990"/>
        </w:tabs>
        <w:spacing w:after="0"/>
        <w:jc w:val="center"/>
        <w:rPr>
          <w:rFonts w:cstheme="majorBidi"/>
          <w:b/>
          <w:bCs/>
          <w:sz w:val="24"/>
          <w:szCs w:val="24"/>
          <w:lang w:val="en-GB"/>
        </w:rPr>
      </w:pPr>
      <w:r w:rsidRPr="005C100D">
        <w:rPr>
          <w:rFonts w:cstheme="majorBidi"/>
          <w:b/>
          <w:bCs/>
          <w:sz w:val="24"/>
          <w:szCs w:val="24"/>
          <w:lang w:val="en-GB"/>
        </w:rPr>
        <w:t>117</w:t>
      </w:r>
      <w:r w:rsidRPr="005C100D">
        <w:rPr>
          <w:rFonts w:cstheme="majorBidi"/>
          <w:b/>
          <w:bCs/>
          <w:sz w:val="24"/>
          <w:szCs w:val="24"/>
          <w:vertAlign w:val="superscript"/>
          <w:lang w:val="en-GB"/>
        </w:rPr>
        <w:t>th</w:t>
      </w:r>
      <w:r w:rsidRPr="005C100D">
        <w:rPr>
          <w:rFonts w:cstheme="majorBidi"/>
          <w:b/>
          <w:bCs/>
          <w:sz w:val="24"/>
          <w:szCs w:val="24"/>
          <w:lang w:val="en-GB"/>
        </w:rPr>
        <w:t xml:space="preserve"> Session, 20 June – 15 July 2016</w:t>
      </w:r>
    </w:p>
    <w:p w:rsidR="002527ED" w:rsidRPr="005C100D" w:rsidRDefault="00E660FC" w:rsidP="00A26212">
      <w:pPr>
        <w:pBdr>
          <w:bottom w:val="single" w:sz="12" w:space="1" w:color="auto"/>
        </w:pBdr>
        <w:tabs>
          <w:tab w:val="center" w:pos="4819"/>
          <w:tab w:val="left" w:pos="6990"/>
        </w:tabs>
        <w:spacing w:after="0"/>
        <w:jc w:val="center"/>
        <w:rPr>
          <w:rFonts w:cstheme="majorBidi"/>
          <w:b/>
          <w:bCs/>
          <w:sz w:val="24"/>
          <w:szCs w:val="24"/>
          <w:lang w:val="en-GB"/>
        </w:rPr>
      </w:pPr>
      <w:r w:rsidRPr="005C100D">
        <w:rPr>
          <w:rFonts w:eastAsia="Times New Roman"/>
          <w:noProof/>
          <w:sz w:val="24"/>
          <w:szCs w:val="24"/>
          <w:lang w:eastAsia="da-DK"/>
        </w:rPr>
        <mc:AlternateContent>
          <mc:Choice Requires="wps">
            <w:drawing>
              <wp:anchor distT="0" distB="0" distL="114300" distR="114300" simplePos="0" relativeHeight="251658240" behindDoc="1" locked="0" layoutInCell="1" allowOverlap="1" wp14:anchorId="60EC4732" wp14:editId="63743CC7">
                <wp:simplePos x="0" y="0"/>
                <wp:positionH relativeFrom="column">
                  <wp:posOffset>-3408803</wp:posOffset>
                </wp:positionH>
                <wp:positionV relativeFrom="paragraph">
                  <wp:posOffset>328077</wp:posOffset>
                </wp:positionV>
                <wp:extent cx="914400" cy="914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0317" w:rsidRDefault="00910317" w:rsidP="004D27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C4732" id="Rectangle 6" o:spid="_x0000_s1026" style="position:absolute;left:0;text-align:left;margin-left:-268.4pt;margin-top:25.85pt;width:1in;height:1in;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" fillcolor="#4f81bd [3204]" strokecolor="#243f60 [1604]" strokeweight="2pt">
                <v:textbox>
                  <w:txbxContent>
                    <w:p w:rsidR="00910317" w:rsidRDefault="00910317" w:rsidP="004D270C">
                      <w:pPr>
                        <w:jc w:val="center"/>
                      </w:pPr>
                    </w:p>
                  </w:txbxContent>
                </v:textbox>
              </v:rect>
            </w:pict>
          </mc:Fallback>
        </mc:AlternateContent>
      </w:r>
      <w:r w:rsidR="002527ED" w:rsidRPr="005C100D">
        <w:rPr>
          <w:rFonts w:cstheme="majorBidi"/>
          <w:b/>
          <w:bCs/>
          <w:sz w:val="24"/>
          <w:szCs w:val="24"/>
          <w:lang w:val="en-GB"/>
        </w:rPr>
        <w:t>Examination of Denmark 20 – 21 June 2016</w:t>
      </w:r>
    </w:p>
    <w:p w:rsidR="002527ED" w:rsidRPr="005C100D" w:rsidRDefault="00E660FC" w:rsidP="005C100D">
      <w:pPr>
        <w:tabs>
          <w:tab w:val="center" w:pos="4819"/>
          <w:tab w:val="left" w:pos="6990"/>
        </w:tabs>
        <w:spacing w:after="240"/>
        <w:jc w:val="both"/>
        <w:rPr>
          <w:rFonts w:cstheme="majorBidi"/>
          <w:b/>
          <w:bCs/>
          <w:sz w:val="24"/>
          <w:szCs w:val="24"/>
          <w:lang w:val="en-GB"/>
        </w:rPr>
      </w:pPr>
      <w:r w:rsidRPr="005C100D">
        <w:rPr>
          <w:rFonts w:eastAsia="Times New Roman"/>
          <w:noProof/>
          <w:color w:val="1F497D"/>
          <w:sz w:val="24"/>
          <w:szCs w:val="24"/>
          <w:lang w:eastAsia="da-DK"/>
        </w:rPr>
        <w:drawing>
          <wp:anchor distT="0" distB="0" distL="114300" distR="114300" simplePos="0" relativeHeight="251670528" behindDoc="0" locked="0" layoutInCell="1" allowOverlap="1" wp14:anchorId="7D4C828B" wp14:editId="7B39100B">
            <wp:simplePos x="0" y="0"/>
            <wp:positionH relativeFrom="column">
              <wp:posOffset>99060</wp:posOffset>
            </wp:positionH>
            <wp:positionV relativeFrom="paragraph">
              <wp:posOffset>2124339</wp:posOffset>
            </wp:positionV>
            <wp:extent cx="1078302" cy="1463680"/>
            <wp:effectExtent l="0" t="0" r="7620" b="3175"/>
            <wp:wrapNone/>
            <wp:docPr id="32" name="Picture 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8302" cy="14636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343"/>
        <w:gridCol w:w="2083"/>
        <w:gridCol w:w="2490"/>
      </w:tblGrid>
      <w:tr w:rsidR="002527ED" w:rsidRPr="005C100D" w:rsidTr="004C27AF">
        <w:trPr>
          <w:jc w:val="center"/>
        </w:trPr>
        <w:tc>
          <w:tcPr>
            <w:tcW w:w="2406" w:type="dxa"/>
            <w:vMerge w:val="restart"/>
          </w:tcPr>
          <w:p w:rsidR="002527ED" w:rsidRPr="005C100D" w:rsidRDefault="002527ED" w:rsidP="005C100D">
            <w:pPr>
              <w:jc w:val="both"/>
              <w:rPr>
                <w:sz w:val="24"/>
                <w:szCs w:val="24"/>
              </w:rPr>
            </w:pPr>
          </w:p>
          <w:p w:rsidR="002527ED" w:rsidRPr="005C100D" w:rsidRDefault="00E660FC" w:rsidP="005C100D">
            <w:pPr>
              <w:jc w:val="both"/>
              <w:rPr>
                <w:rFonts w:cs="Arial"/>
                <w:b/>
                <w:sz w:val="24"/>
                <w:szCs w:val="24"/>
              </w:rPr>
            </w:pPr>
            <w:r w:rsidRPr="005C100D">
              <w:rPr>
                <w:noProof/>
                <w:sz w:val="24"/>
                <w:szCs w:val="24"/>
                <w:lang w:eastAsia="da-DK"/>
              </w:rPr>
              <w:drawing>
                <wp:inline distT="0" distB="0" distL="0" distR="0" wp14:anchorId="57297872" wp14:editId="6CFE9064">
                  <wp:extent cx="1257527" cy="38693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9416" cy="390589"/>
                          </a:xfrm>
                          <a:prstGeom prst="rect">
                            <a:avLst/>
                          </a:prstGeom>
                          <a:noFill/>
                          <a:ln>
                            <a:noFill/>
                          </a:ln>
                        </pic:spPr>
                      </pic:pic>
                    </a:graphicData>
                  </a:graphic>
                </wp:inline>
              </w:drawing>
            </w:r>
          </w:p>
          <w:p w:rsidR="00E660FC" w:rsidRPr="005C100D" w:rsidRDefault="00E660FC" w:rsidP="005C100D">
            <w:pPr>
              <w:jc w:val="both"/>
              <w:rPr>
                <w:rFonts w:cs="Arial"/>
                <w:b/>
                <w:sz w:val="24"/>
                <w:szCs w:val="24"/>
                <w:lang w:val="en-GB"/>
              </w:rPr>
            </w:pPr>
          </w:p>
          <w:p w:rsidR="002527ED" w:rsidRPr="005C100D" w:rsidRDefault="002527ED" w:rsidP="005C100D">
            <w:pPr>
              <w:jc w:val="both"/>
              <w:rPr>
                <w:rFonts w:cs="Arial"/>
                <w:b/>
                <w:sz w:val="24"/>
                <w:szCs w:val="24"/>
                <w:lang w:val="en-GB"/>
              </w:rPr>
            </w:pPr>
            <w:r w:rsidRPr="005C100D">
              <w:rPr>
                <w:rFonts w:cs="Arial"/>
                <w:b/>
                <w:sz w:val="24"/>
                <w:szCs w:val="24"/>
                <w:lang w:val="en-GB"/>
              </w:rPr>
              <w:t>R E T S P O L I T I S K</w:t>
            </w:r>
          </w:p>
          <w:p w:rsidR="002527ED" w:rsidRPr="005C100D" w:rsidRDefault="002527ED" w:rsidP="005C100D">
            <w:pPr>
              <w:jc w:val="both"/>
              <w:rPr>
                <w:rFonts w:cs="Arial"/>
                <w:b/>
                <w:sz w:val="24"/>
                <w:szCs w:val="24"/>
                <w:lang w:val="en-GB"/>
              </w:rPr>
            </w:pPr>
            <w:r w:rsidRPr="005C100D">
              <w:rPr>
                <w:rFonts w:cs="Arial"/>
                <w:b/>
                <w:sz w:val="24"/>
                <w:szCs w:val="24"/>
                <w:lang w:val="en-GB"/>
              </w:rPr>
              <w:t>F O R E N I N G</w:t>
            </w:r>
          </w:p>
          <w:p w:rsidR="002527ED" w:rsidRPr="005C100D" w:rsidRDefault="002527ED" w:rsidP="00B52BD0">
            <w:pPr>
              <w:rPr>
                <w:rFonts w:cs="Arial"/>
                <w:b/>
                <w:sz w:val="24"/>
                <w:szCs w:val="24"/>
                <w:lang w:val="en-GB"/>
              </w:rPr>
            </w:pPr>
            <w:r w:rsidRPr="005C100D">
              <w:rPr>
                <w:rFonts w:cs="Arial"/>
                <w:b/>
                <w:sz w:val="24"/>
                <w:szCs w:val="24"/>
                <w:lang w:val="en-US"/>
              </w:rPr>
              <w:t>Danish Law A</w:t>
            </w:r>
            <w:proofErr w:type="spellStart"/>
            <w:r w:rsidRPr="005C100D">
              <w:rPr>
                <w:rFonts w:cs="Arial"/>
                <w:b/>
                <w:sz w:val="24"/>
                <w:szCs w:val="24"/>
                <w:lang w:val="en-GB"/>
              </w:rPr>
              <w:t>ssociation</w:t>
            </w:r>
            <w:proofErr w:type="spellEnd"/>
          </w:p>
          <w:p w:rsidR="00E660FC" w:rsidRPr="005C100D" w:rsidRDefault="00E660FC" w:rsidP="005C100D">
            <w:pPr>
              <w:jc w:val="both"/>
              <w:rPr>
                <w:rFonts w:cs="Arial"/>
                <w:b/>
                <w:sz w:val="24"/>
                <w:szCs w:val="24"/>
                <w:lang w:val="en-GB"/>
              </w:rPr>
            </w:pPr>
          </w:p>
          <w:p w:rsidR="00E660FC" w:rsidRPr="005C100D" w:rsidRDefault="00E660FC" w:rsidP="005C100D">
            <w:pPr>
              <w:jc w:val="both"/>
              <w:rPr>
                <w:rFonts w:cs="Arial"/>
                <w:b/>
                <w:sz w:val="24"/>
                <w:szCs w:val="24"/>
                <w:lang w:val="en-GB"/>
              </w:rPr>
            </w:pPr>
          </w:p>
          <w:p w:rsidR="00E660FC" w:rsidRPr="005C100D" w:rsidRDefault="00E660FC" w:rsidP="005C100D">
            <w:pPr>
              <w:jc w:val="both"/>
              <w:rPr>
                <w:sz w:val="24"/>
                <w:szCs w:val="24"/>
                <w:lang w:val="en-GB"/>
              </w:rPr>
            </w:pPr>
          </w:p>
          <w:p w:rsidR="002527ED" w:rsidRPr="005C100D" w:rsidRDefault="002527ED" w:rsidP="005C100D">
            <w:pPr>
              <w:jc w:val="both"/>
              <w:rPr>
                <w:sz w:val="24"/>
                <w:szCs w:val="24"/>
                <w:lang w:val="en-US"/>
              </w:rPr>
            </w:pPr>
          </w:p>
        </w:tc>
        <w:tc>
          <w:tcPr>
            <w:tcW w:w="4426" w:type="dxa"/>
            <w:gridSpan w:val="2"/>
          </w:tcPr>
          <w:p w:rsidR="00E660FC" w:rsidRPr="005C100D" w:rsidRDefault="00E660FC" w:rsidP="005C100D">
            <w:pPr>
              <w:pStyle w:val="Header1"/>
              <w:spacing w:line="276" w:lineRule="auto"/>
              <w:jc w:val="both"/>
              <w:rPr>
                <w:rFonts w:asciiTheme="minorHAnsi" w:hAnsiTheme="minorHAnsi"/>
                <w:b/>
                <w:sz w:val="24"/>
                <w:szCs w:val="24"/>
                <w:lang w:val="en-US"/>
              </w:rPr>
            </w:pPr>
          </w:p>
          <w:p w:rsidR="002527ED" w:rsidRPr="005C100D" w:rsidRDefault="002527ED" w:rsidP="00797D57">
            <w:pPr>
              <w:pStyle w:val="Header1"/>
              <w:spacing w:line="276" w:lineRule="auto"/>
              <w:rPr>
                <w:rFonts w:asciiTheme="minorHAnsi" w:hAnsiTheme="minorHAnsi"/>
                <w:b/>
                <w:sz w:val="24"/>
                <w:szCs w:val="24"/>
              </w:rPr>
            </w:pPr>
            <w:r w:rsidRPr="005C100D">
              <w:rPr>
                <w:rFonts w:asciiTheme="minorHAnsi" w:hAnsiTheme="minorHAnsi"/>
                <w:b/>
                <w:sz w:val="24"/>
                <w:szCs w:val="24"/>
              </w:rPr>
              <w:t>ANTI TORTURE</w:t>
            </w:r>
          </w:p>
          <w:p w:rsidR="002527ED" w:rsidRPr="005C100D" w:rsidRDefault="002527ED" w:rsidP="00797D57">
            <w:pPr>
              <w:pStyle w:val="Header1"/>
              <w:spacing w:line="276" w:lineRule="auto"/>
              <w:rPr>
                <w:rFonts w:asciiTheme="minorHAnsi" w:hAnsiTheme="minorHAnsi"/>
                <w:b/>
                <w:sz w:val="24"/>
                <w:szCs w:val="24"/>
              </w:rPr>
            </w:pPr>
            <w:r w:rsidRPr="005C100D">
              <w:rPr>
                <w:rFonts w:asciiTheme="minorHAnsi" w:hAnsiTheme="minorHAnsi"/>
                <w:b/>
                <w:sz w:val="24"/>
                <w:szCs w:val="24"/>
              </w:rPr>
              <w:t>SUPPORT FOUNDATION</w:t>
            </w:r>
          </w:p>
          <w:p w:rsidR="00E660FC" w:rsidRPr="005C100D" w:rsidRDefault="00E660FC" w:rsidP="005C100D">
            <w:pPr>
              <w:pStyle w:val="Header1"/>
              <w:spacing w:line="276" w:lineRule="auto"/>
              <w:jc w:val="both"/>
              <w:rPr>
                <w:rFonts w:asciiTheme="minorHAnsi" w:hAnsiTheme="minorHAnsi"/>
                <w:b/>
                <w:sz w:val="24"/>
                <w:szCs w:val="24"/>
              </w:rPr>
            </w:pPr>
          </w:p>
          <w:p w:rsidR="002527ED" w:rsidRPr="005C100D" w:rsidRDefault="002527ED" w:rsidP="005C100D">
            <w:pPr>
              <w:jc w:val="both"/>
              <w:rPr>
                <w:sz w:val="24"/>
                <w:szCs w:val="24"/>
              </w:rPr>
            </w:pPr>
          </w:p>
          <w:p w:rsidR="002527ED" w:rsidRPr="005C100D" w:rsidRDefault="00E660FC" w:rsidP="005C100D">
            <w:pPr>
              <w:jc w:val="both"/>
              <w:rPr>
                <w:sz w:val="24"/>
                <w:szCs w:val="24"/>
              </w:rPr>
            </w:pPr>
            <w:r w:rsidRPr="005C100D">
              <w:rPr>
                <w:noProof/>
                <w:color w:val="1F497D"/>
                <w:sz w:val="24"/>
                <w:szCs w:val="24"/>
                <w:lang w:eastAsia="da-DK"/>
              </w:rPr>
              <w:drawing>
                <wp:anchor distT="0" distB="0" distL="114300" distR="114300" simplePos="0" relativeHeight="251671552" behindDoc="0" locked="0" layoutInCell="1" allowOverlap="1" wp14:anchorId="7CF64A81" wp14:editId="0F953293">
                  <wp:simplePos x="0" y="0"/>
                  <wp:positionH relativeFrom="column">
                    <wp:posOffset>283845</wp:posOffset>
                  </wp:positionH>
                  <wp:positionV relativeFrom="paragraph">
                    <wp:posOffset>24501</wp:posOffset>
                  </wp:positionV>
                  <wp:extent cx="1981200" cy="569595"/>
                  <wp:effectExtent l="0" t="0" r="0" b="1905"/>
                  <wp:wrapNone/>
                  <wp:docPr id="20" name="Picture 20" descr="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p"/>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981200" cy="569595"/>
                          </a:xfrm>
                          <a:prstGeom prst="rect">
                            <a:avLst/>
                          </a:prstGeom>
                          <a:noFill/>
                          <a:ln>
                            <a:noFill/>
                          </a:ln>
                        </pic:spPr>
                      </pic:pic>
                    </a:graphicData>
                  </a:graphic>
                </wp:anchor>
              </w:drawing>
            </w:r>
          </w:p>
        </w:tc>
        <w:tc>
          <w:tcPr>
            <w:tcW w:w="2490" w:type="dxa"/>
            <w:vMerge w:val="restart"/>
          </w:tcPr>
          <w:p w:rsidR="002527ED" w:rsidRPr="005C100D" w:rsidRDefault="000726AB" w:rsidP="005C100D">
            <w:pPr>
              <w:jc w:val="both"/>
              <w:rPr>
                <w:sz w:val="24"/>
                <w:szCs w:val="24"/>
              </w:rPr>
            </w:pPr>
            <w:r w:rsidRPr="005C100D">
              <w:rPr>
                <w:rFonts w:eastAsia="Times New Roman"/>
                <w:noProof/>
                <w:sz w:val="24"/>
                <w:szCs w:val="24"/>
                <w:lang w:eastAsia="da-DK"/>
              </w:rPr>
              <w:drawing>
                <wp:anchor distT="0" distB="0" distL="114300" distR="114300" simplePos="0" relativeHeight="251666432" behindDoc="0" locked="0" layoutInCell="1" allowOverlap="1" wp14:anchorId="0E8334A9" wp14:editId="5A87F0A3">
                  <wp:simplePos x="0" y="0"/>
                  <wp:positionH relativeFrom="column">
                    <wp:posOffset>103805</wp:posOffset>
                  </wp:positionH>
                  <wp:positionV relativeFrom="paragraph">
                    <wp:posOffset>7069</wp:posOffset>
                  </wp:positionV>
                  <wp:extent cx="1354335" cy="626154"/>
                  <wp:effectExtent l="0" t="0" r="0" b="2540"/>
                  <wp:wrapNone/>
                  <wp:docPr id="19" name="Picture 19" descr="cid:EBC36C03-1C6E-4CDF-9D09-1F455DC0C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366EAF-1736-43BA-B3BE-EF2394F72CA9" descr="cid:EBC36C03-1C6E-4CDF-9D09-1F455DC0C648"/>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354335" cy="6261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0FC" w:rsidRPr="005C100D">
              <w:rPr>
                <w:noProof/>
                <w:sz w:val="24"/>
                <w:szCs w:val="24"/>
                <w:lang w:eastAsia="da-DK"/>
              </w:rPr>
              <w:drawing>
                <wp:anchor distT="0" distB="0" distL="114300" distR="114300" simplePos="0" relativeHeight="251659264" behindDoc="0" locked="0" layoutInCell="1" allowOverlap="1" wp14:anchorId="13DB4A63" wp14:editId="5EC182F7">
                  <wp:simplePos x="0" y="0"/>
                  <wp:positionH relativeFrom="column">
                    <wp:posOffset>104404</wp:posOffset>
                  </wp:positionH>
                  <wp:positionV relativeFrom="paragraph">
                    <wp:posOffset>1061085</wp:posOffset>
                  </wp:positionV>
                  <wp:extent cx="1335405" cy="606425"/>
                  <wp:effectExtent l="0" t="0" r="0" b="3175"/>
                  <wp:wrapNone/>
                  <wp:docPr id="9" name="Picture 9" descr="http://www.handicap.dk/media/1014/dh-logo-cmyk-271112.png?width=155&amp;height=65&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andicap.dk/media/1014/dh-logo-cmyk-271112.png?width=155&amp;height=65&amp;mode=max"/>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5405" cy="606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527ED" w:rsidRPr="005C100D" w:rsidTr="004C27AF">
        <w:trPr>
          <w:jc w:val="center"/>
        </w:trPr>
        <w:tc>
          <w:tcPr>
            <w:tcW w:w="2406" w:type="dxa"/>
            <w:vMerge/>
          </w:tcPr>
          <w:p w:rsidR="002527ED" w:rsidRPr="005C100D" w:rsidRDefault="002527ED" w:rsidP="005C100D">
            <w:pPr>
              <w:jc w:val="both"/>
              <w:rPr>
                <w:sz w:val="24"/>
                <w:szCs w:val="24"/>
              </w:rPr>
            </w:pPr>
          </w:p>
        </w:tc>
        <w:tc>
          <w:tcPr>
            <w:tcW w:w="4426" w:type="dxa"/>
            <w:gridSpan w:val="2"/>
          </w:tcPr>
          <w:p w:rsidR="002527ED" w:rsidRPr="005C100D" w:rsidRDefault="00873141" w:rsidP="005C100D">
            <w:pPr>
              <w:jc w:val="both"/>
              <w:rPr>
                <w:sz w:val="24"/>
                <w:szCs w:val="24"/>
              </w:rPr>
            </w:pPr>
            <w:r w:rsidRPr="005C100D">
              <w:rPr>
                <w:noProof/>
                <w:sz w:val="24"/>
                <w:szCs w:val="24"/>
                <w:lang w:eastAsia="da-DK"/>
              </w:rPr>
              <w:drawing>
                <wp:anchor distT="0" distB="0" distL="114300" distR="114300" simplePos="0" relativeHeight="251667456" behindDoc="0" locked="0" layoutInCell="1" allowOverlap="1" wp14:anchorId="14338527" wp14:editId="1787D4C7">
                  <wp:simplePos x="0" y="0"/>
                  <wp:positionH relativeFrom="margin">
                    <wp:posOffset>2644140</wp:posOffset>
                  </wp:positionH>
                  <wp:positionV relativeFrom="paragraph">
                    <wp:posOffset>587746</wp:posOffset>
                  </wp:positionV>
                  <wp:extent cx="1834515" cy="1471930"/>
                  <wp:effectExtent l="0" t="0" r="0" b="0"/>
                  <wp:wrapNone/>
                  <wp:docPr id="33" name="Picture 33" descr="C:\Users\tr\AppData\Local\Microsoft\Windows\Temporary Internet Files\Content.Outlook\ZSVLFPJ2\BF_Logo2012-english-red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ppData\Local\Microsoft\Windows\Temporary Internet Files\Content.Outlook\ZSVLFPJ2\BF_Logo2012-english-redBold.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34515" cy="1471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F19" w:rsidRPr="005C100D">
              <w:rPr>
                <w:noProof/>
                <w:sz w:val="24"/>
                <w:szCs w:val="24"/>
                <w:lang w:eastAsia="da-DK"/>
              </w:rPr>
              <w:drawing>
                <wp:anchor distT="0" distB="0" distL="114300" distR="114300" simplePos="0" relativeHeight="251669504" behindDoc="0" locked="0" layoutInCell="1" allowOverlap="1" wp14:anchorId="0114AD4A" wp14:editId="1148AFF3">
                  <wp:simplePos x="0" y="0"/>
                  <wp:positionH relativeFrom="column">
                    <wp:posOffset>-28575</wp:posOffset>
                  </wp:positionH>
                  <wp:positionV relativeFrom="paragraph">
                    <wp:posOffset>870272</wp:posOffset>
                  </wp:positionV>
                  <wp:extent cx="878840" cy="1122680"/>
                  <wp:effectExtent l="0" t="0" r="0" b="1270"/>
                  <wp:wrapNone/>
                  <wp:docPr id="15" name="Picture 15" descr="C:\Users\tr\AppData\Local\Microsoft\Windows\Temporary Internet Files\Content.Outlook\ZSVLFPJ2\kvinde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ppData\Local\Microsoft\Windows\Temporary Internet Files\Content.Outlook\ZSVLFPJ2\kvinde_logo_red.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8840" cy="1122680"/>
                          </a:xfrm>
                          <a:prstGeom prst="rect">
                            <a:avLst/>
                          </a:prstGeom>
                          <a:noFill/>
                          <a:ln>
                            <a:noFill/>
                          </a:ln>
                        </pic:spPr>
                      </pic:pic>
                    </a:graphicData>
                  </a:graphic>
                </wp:anchor>
              </w:drawing>
            </w:r>
            <w:r w:rsidR="00E660FC" w:rsidRPr="005C100D">
              <w:rPr>
                <w:noProof/>
                <w:sz w:val="24"/>
                <w:szCs w:val="24"/>
                <w:lang w:eastAsia="da-DK"/>
              </w:rPr>
              <w:drawing>
                <wp:anchor distT="0" distB="0" distL="114300" distR="114300" simplePos="0" relativeHeight="251668480" behindDoc="0" locked="0" layoutInCell="1" allowOverlap="1" wp14:anchorId="58B356DF" wp14:editId="73187E34">
                  <wp:simplePos x="0" y="0"/>
                  <wp:positionH relativeFrom="column">
                    <wp:posOffset>1336040</wp:posOffset>
                  </wp:positionH>
                  <wp:positionV relativeFrom="paragraph">
                    <wp:posOffset>940122</wp:posOffset>
                  </wp:positionV>
                  <wp:extent cx="1185545" cy="1078865"/>
                  <wp:effectExtent l="0" t="0" r="0" b="6985"/>
                  <wp:wrapNone/>
                  <wp:docPr id="23" name="Picture 23" descr="C:\Users\tr\AppData\Local\Microsoft\Windows\Temporary Internet Files\Content.Outlook\ZSVLFPJ2\LGBT_Denmark_hires_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ppData\Local\Microsoft\Windows\Temporary Internet Files\Content.Outlook\ZSVLFPJ2\LGBT_Denmark_hires_UK.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5545" cy="1078865"/>
                          </a:xfrm>
                          <a:prstGeom prst="rect">
                            <a:avLst/>
                          </a:prstGeom>
                          <a:noFill/>
                          <a:ln>
                            <a:noFill/>
                          </a:ln>
                        </pic:spPr>
                      </pic:pic>
                    </a:graphicData>
                  </a:graphic>
                </wp:anchor>
              </w:drawing>
            </w:r>
          </w:p>
        </w:tc>
        <w:tc>
          <w:tcPr>
            <w:tcW w:w="2490" w:type="dxa"/>
            <w:vMerge/>
          </w:tcPr>
          <w:p w:rsidR="002527ED" w:rsidRPr="005C100D" w:rsidRDefault="002527ED" w:rsidP="005C100D">
            <w:pPr>
              <w:jc w:val="both"/>
              <w:rPr>
                <w:sz w:val="24"/>
                <w:szCs w:val="24"/>
              </w:rPr>
            </w:pPr>
          </w:p>
        </w:tc>
      </w:tr>
      <w:tr w:rsidR="002527ED" w:rsidRPr="005C100D" w:rsidTr="004C27AF">
        <w:trPr>
          <w:jc w:val="center"/>
        </w:trPr>
        <w:tc>
          <w:tcPr>
            <w:tcW w:w="2406" w:type="dxa"/>
          </w:tcPr>
          <w:p w:rsidR="002527ED" w:rsidRPr="005C100D" w:rsidRDefault="002527ED" w:rsidP="005C100D">
            <w:pPr>
              <w:jc w:val="both"/>
              <w:rPr>
                <w:noProof/>
                <w:sz w:val="24"/>
                <w:szCs w:val="24"/>
                <w:lang w:eastAsia="da-DK"/>
              </w:rPr>
            </w:pPr>
          </w:p>
          <w:p w:rsidR="002527ED" w:rsidRPr="005C100D" w:rsidRDefault="002527ED" w:rsidP="005C100D">
            <w:pPr>
              <w:jc w:val="both"/>
              <w:rPr>
                <w:sz w:val="24"/>
                <w:szCs w:val="24"/>
              </w:rPr>
            </w:pPr>
          </w:p>
        </w:tc>
        <w:tc>
          <w:tcPr>
            <w:tcW w:w="2343" w:type="dxa"/>
          </w:tcPr>
          <w:p w:rsidR="002527ED" w:rsidRPr="005C100D" w:rsidRDefault="002527ED" w:rsidP="005C100D">
            <w:pPr>
              <w:jc w:val="both"/>
              <w:rPr>
                <w:sz w:val="24"/>
                <w:szCs w:val="24"/>
              </w:rPr>
            </w:pPr>
          </w:p>
          <w:p w:rsidR="002527ED" w:rsidRPr="005C100D" w:rsidRDefault="002527ED" w:rsidP="005C100D">
            <w:pPr>
              <w:jc w:val="both"/>
              <w:rPr>
                <w:sz w:val="24"/>
                <w:szCs w:val="24"/>
              </w:rPr>
            </w:pPr>
          </w:p>
          <w:p w:rsidR="004E0F19" w:rsidRPr="005C100D" w:rsidRDefault="004E0F19" w:rsidP="005C100D">
            <w:pPr>
              <w:jc w:val="both"/>
              <w:rPr>
                <w:sz w:val="24"/>
                <w:szCs w:val="24"/>
              </w:rPr>
            </w:pPr>
          </w:p>
          <w:p w:rsidR="004E0F19" w:rsidRPr="005C100D" w:rsidRDefault="004E0F19" w:rsidP="005C100D">
            <w:pPr>
              <w:jc w:val="both"/>
              <w:rPr>
                <w:sz w:val="24"/>
                <w:szCs w:val="24"/>
              </w:rPr>
            </w:pPr>
          </w:p>
          <w:p w:rsidR="004E0F19" w:rsidRPr="005C100D" w:rsidRDefault="004E0F19" w:rsidP="005C100D">
            <w:pPr>
              <w:jc w:val="both"/>
              <w:rPr>
                <w:sz w:val="24"/>
                <w:szCs w:val="24"/>
              </w:rPr>
            </w:pPr>
          </w:p>
        </w:tc>
        <w:tc>
          <w:tcPr>
            <w:tcW w:w="2083" w:type="dxa"/>
          </w:tcPr>
          <w:p w:rsidR="002527ED" w:rsidRPr="005C100D" w:rsidRDefault="002527ED" w:rsidP="005C100D">
            <w:pPr>
              <w:jc w:val="both"/>
              <w:rPr>
                <w:noProof/>
                <w:sz w:val="24"/>
                <w:szCs w:val="24"/>
                <w:lang w:eastAsia="da-DK"/>
              </w:rPr>
            </w:pPr>
          </w:p>
          <w:p w:rsidR="002527ED" w:rsidRPr="005C100D" w:rsidRDefault="002527ED" w:rsidP="005C100D">
            <w:pPr>
              <w:jc w:val="both"/>
              <w:rPr>
                <w:sz w:val="24"/>
                <w:szCs w:val="24"/>
              </w:rPr>
            </w:pPr>
          </w:p>
        </w:tc>
        <w:tc>
          <w:tcPr>
            <w:tcW w:w="2490" w:type="dxa"/>
          </w:tcPr>
          <w:p w:rsidR="002527ED" w:rsidRPr="005C100D" w:rsidRDefault="002527ED" w:rsidP="005C100D">
            <w:pPr>
              <w:jc w:val="both"/>
              <w:rPr>
                <w:sz w:val="24"/>
                <w:szCs w:val="24"/>
              </w:rPr>
            </w:pPr>
          </w:p>
          <w:p w:rsidR="002527ED" w:rsidRPr="005C100D" w:rsidRDefault="002527ED" w:rsidP="005C100D">
            <w:pPr>
              <w:jc w:val="both"/>
              <w:rPr>
                <w:sz w:val="24"/>
                <w:szCs w:val="24"/>
              </w:rPr>
            </w:pPr>
          </w:p>
        </w:tc>
      </w:tr>
    </w:tbl>
    <w:sdt>
      <w:sdtPr>
        <w:rPr>
          <w:rFonts w:asciiTheme="minorHAnsi" w:eastAsiaTheme="minorHAnsi" w:hAnsiTheme="minorHAnsi" w:cstheme="minorBidi"/>
          <w:color w:val="auto"/>
          <w:sz w:val="24"/>
          <w:szCs w:val="24"/>
          <w:lang w:val="da-DK"/>
        </w:rPr>
        <w:id w:val="415448818"/>
        <w:docPartObj>
          <w:docPartGallery w:val="Table of Contents"/>
          <w:docPartUnique/>
        </w:docPartObj>
      </w:sdtPr>
      <w:sdtEndPr>
        <w:rPr>
          <w:b/>
          <w:bCs/>
        </w:rPr>
      </w:sdtEndPr>
      <w:sdtContent>
        <w:p w:rsidR="004E0F19" w:rsidRPr="005C100D" w:rsidRDefault="0097164E" w:rsidP="00690C6D">
          <w:pPr>
            <w:pStyle w:val="TOCHeading"/>
            <w:jc w:val="center"/>
            <w:rPr>
              <w:sz w:val="24"/>
              <w:szCs w:val="24"/>
              <w:lang w:val="da-DK"/>
            </w:rPr>
          </w:pPr>
          <w:proofErr w:type="spellStart"/>
          <w:r w:rsidRPr="005C100D">
            <w:rPr>
              <w:sz w:val="24"/>
              <w:szCs w:val="24"/>
              <w:lang w:val="da-DK"/>
            </w:rPr>
            <w:t>Table</w:t>
          </w:r>
          <w:proofErr w:type="spellEnd"/>
          <w:r w:rsidRPr="005C100D">
            <w:rPr>
              <w:sz w:val="24"/>
              <w:szCs w:val="24"/>
              <w:lang w:val="da-DK"/>
            </w:rPr>
            <w:t xml:space="preserve"> of C</w:t>
          </w:r>
          <w:r w:rsidR="00E660FC" w:rsidRPr="005C100D">
            <w:rPr>
              <w:sz w:val="24"/>
              <w:szCs w:val="24"/>
              <w:lang w:val="da-DK"/>
            </w:rPr>
            <w:t>ontents</w:t>
          </w:r>
        </w:p>
        <w:p w:rsidR="0011248E" w:rsidRDefault="005718DB">
          <w:pPr>
            <w:pStyle w:val="TOC1"/>
            <w:tabs>
              <w:tab w:val="right" w:leader="dot" w:pos="9628"/>
            </w:tabs>
            <w:rPr>
              <w:rFonts w:cstheme="minorBidi"/>
              <w:noProof/>
              <w:lang w:val="da-DK" w:eastAsia="da-DK"/>
            </w:rPr>
          </w:pPr>
          <w:r w:rsidRPr="005C100D">
            <w:rPr>
              <w:sz w:val="24"/>
              <w:szCs w:val="24"/>
            </w:rPr>
            <w:fldChar w:fldCharType="begin"/>
          </w:r>
          <w:r w:rsidRPr="005C100D">
            <w:rPr>
              <w:sz w:val="24"/>
              <w:szCs w:val="24"/>
            </w:rPr>
            <w:instrText xml:space="preserve"> TOC \o "1-3" \h \z \u </w:instrText>
          </w:r>
          <w:r w:rsidRPr="005C100D">
            <w:rPr>
              <w:sz w:val="24"/>
              <w:szCs w:val="24"/>
            </w:rPr>
            <w:fldChar w:fldCharType="separate"/>
          </w:r>
          <w:hyperlink w:anchor="_Toc451866539" w:history="1">
            <w:r w:rsidR="0011248E" w:rsidRPr="00710805">
              <w:rPr>
                <w:rStyle w:val="Hyperlink"/>
                <w:noProof/>
                <w:lang w:val="en-GB"/>
              </w:rPr>
              <w:t>Introduction</w:t>
            </w:r>
            <w:r w:rsidR="0011248E">
              <w:rPr>
                <w:noProof/>
                <w:webHidden/>
              </w:rPr>
              <w:tab/>
            </w:r>
            <w:r w:rsidR="0011248E">
              <w:rPr>
                <w:noProof/>
                <w:webHidden/>
              </w:rPr>
              <w:fldChar w:fldCharType="begin"/>
            </w:r>
            <w:r w:rsidR="0011248E">
              <w:rPr>
                <w:noProof/>
                <w:webHidden/>
              </w:rPr>
              <w:instrText xml:space="preserve"> PAGEREF _Toc451866539 \h </w:instrText>
            </w:r>
            <w:r w:rsidR="0011248E">
              <w:rPr>
                <w:noProof/>
                <w:webHidden/>
              </w:rPr>
            </w:r>
            <w:r w:rsidR="0011248E">
              <w:rPr>
                <w:noProof/>
                <w:webHidden/>
              </w:rPr>
              <w:fldChar w:fldCharType="separate"/>
            </w:r>
            <w:r w:rsidR="00BF0A91">
              <w:rPr>
                <w:noProof/>
                <w:webHidden/>
              </w:rPr>
              <w:t>3</w:t>
            </w:r>
            <w:r w:rsidR="0011248E">
              <w:rPr>
                <w:noProof/>
                <w:webHidden/>
              </w:rPr>
              <w:fldChar w:fldCharType="end"/>
            </w:r>
          </w:hyperlink>
        </w:p>
        <w:p w:rsidR="0011248E" w:rsidRDefault="00910317">
          <w:pPr>
            <w:pStyle w:val="TOC1"/>
            <w:tabs>
              <w:tab w:val="right" w:leader="dot" w:pos="9628"/>
            </w:tabs>
            <w:rPr>
              <w:rFonts w:cstheme="minorBidi"/>
              <w:noProof/>
              <w:lang w:val="da-DK" w:eastAsia="da-DK"/>
            </w:rPr>
          </w:pPr>
          <w:hyperlink w:anchor="_Toc451866540" w:history="1">
            <w:r w:rsidR="0011248E" w:rsidRPr="00E109A8">
              <w:rPr>
                <w:rStyle w:val="Hyperlink"/>
                <w:b/>
                <w:noProof/>
              </w:rPr>
              <w:t>Part A: LIST OF ISSUES PRIOR TO REPORTING (LOIPR)</w:t>
            </w:r>
            <w:r w:rsidR="0011248E">
              <w:rPr>
                <w:noProof/>
                <w:webHidden/>
              </w:rPr>
              <w:tab/>
            </w:r>
            <w:r w:rsidR="0011248E">
              <w:rPr>
                <w:noProof/>
                <w:webHidden/>
              </w:rPr>
              <w:fldChar w:fldCharType="begin"/>
            </w:r>
            <w:r w:rsidR="0011248E">
              <w:rPr>
                <w:noProof/>
                <w:webHidden/>
              </w:rPr>
              <w:instrText xml:space="preserve"> PAGEREF _Toc451866540 \h </w:instrText>
            </w:r>
            <w:r w:rsidR="0011248E">
              <w:rPr>
                <w:noProof/>
                <w:webHidden/>
              </w:rPr>
            </w:r>
            <w:r w:rsidR="0011248E">
              <w:rPr>
                <w:noProof/>
                <w:webHidden/>
              </w:rPr>
              <w:fldChar w:fldCharType="separate"/>
            </w:r>
            <w:r w:rsidR="00BF0A91">
              <w:rPr>
                <w:noProof/>
                <w:webHidden/>
              </w:rPr>
              <w:t>7</w:t>
            </w:r>
            <w:r w:rsidR="0011248E">
              <w:rPr>
                <w:noProof/>
                <w:webHidden/>
              </w:rPr>
              <w:fldChar w:fldCharType="end"/>
            </w:r>
          </w:hyperlink>
        </w:p>
        <w:p w:rsidR="0011248E" w:rsidRDefault="00910317">
          <w:pPr>
            <w:pStyle w:val="TOC2"/>
            <w:rPr>
              <w:rFonts w:cstheme="minorBidi"/>
              <w:b w:val="0"/>
              <w:lang w:val="da-DK" w:eastAsia="da-DK"/>
            </w:rPr>
          </w:pPr>
          <w:hyperlink w:anchor="_Toc451866541" w:history="1">
            <w:r w:rsidR="0011248E" w:rsidRPr="00710805">
              <w:rPr>
                <w:rStyle w:val="Hyperlink"/>
              </w:rPr>
              <w:t>I. INTRODUCTION</w:t>
            </w:r>
            <w:r w:rsidR="0011248E">
              <w:rPr>
                <w:webHidden/>
              </w:rPr>
              <w:tab/>
            </w:r>
            <w:r w:rsidR="0011248E">
              <w:rPr>
                <w:webHidden/>
              </w:rPr>
              <w:fldChar w:fldCharType="begin"/>
            </w:r>
            <w:r w:rsidR="0011248E">
              <w:rPr>
                <w:webHidden/>
              </w:rPr>
              <w:instrText xml:space="preserve"> PAGEREF _Toc451866541 \h </w:instrText>
            </w:r>
            <w:r w:rsidR="0011248E">
              <w:rPr>
                <w:webHidden/>
              </w:rPr>
            </w:r>
            <w:r w:rsidR="0011248E">
              <w:rPr>
                <w:webHidden/>
              </w:rPr>
              <w:fldChar w:fldCharType="separate"/>
            </w:r>
            <w:r w:rsidR="00BF0A91">
              <w:rPr>
                <w:webHidden/>
              </w:rPr>
              <w:t>7</w:t>
            </w:r>
            <w:r w:rsidR="0011248E">
              <w:rPr>
                <w:webHidden/>
              </w:rPr>
              <w:fldChar w:fldCharType="end"/>
            </w:r>
          </w:hyperlink>
        </w:p>
        <w:p w:rsidR="0011248E" w:rsidRDefault="00910317">
          <w:pPr>
            <w:pStyle w:val="TOC2"/>
            <w:rPr>
              <w:rFonts w:cstheme="minorBidi"/>
              <w:b w:val="0"/>
              <w:lang w:val="da-DK" w:eastAsia="da-DK"/>
            </w:rPr>
          </w:pPr>
          <w:hyperlink w:anchor="_Toc451866542" w:history="1">
            <w:r w:rsidR="0011248E" w:rsidRPr="00710805">
              <w:rPr>
                <w:rStyle w:val="Hyperlink"/>
              </w:rPr>
              <w:t>II. SUGGESTED RECOMMENDATIONS TO THE IMPLEMENTATION OF A</w:t>
            </w:r>
            <w:r w:rsidR="00E109A8">
              <w:rPr>
                <w:rStyle w:val="Hyperlink"/>
              </w:rPr>
              <w:t>RTICLES 1 – 27 OF THE ICCPR</w:t>
            </w:r>
            <w:r w:rsidR="0011248E">
              <w:rPr>
                <w:webHidden/>
              </w:rPr>
              <w:tab/>
            </w:r>
            <w:r w:rsidR="0011248E">
              <w:rPr>
                <w:webHidden/>
              </w:rPr>
              <w:fldChar w:fldCharType="begin"/>
            </w:r>
            <w:r w:rsidR="0011248E">
              <w:rPr>
                <w:webHidden/>
              </w:rPr>
              <w:instrText xml:space="preserve"> PAGEREF _Toc451866542 \h </w:instrText>
            </w:r>
            <w:r w:rsidR="0011248E">
              <w:rPr>
                <w:webHidden/>
              </w:rPr>
            </w:r>
            <w:r w:rsidR="0011248E">
              <w:rPr>
                <w:webHidden/>
              </w:rPr>
              <w:fldChar w:fldCharType="separate"/>
            </w:r>
            <w:r w:rsidR="00BF0A91">
              <w:rPr>
                <w:webHidden/>
              </w:rPr>
              <w:t>10</w:t>
            </w:r>
            <w:r w:rsidR="0011248E">
              <w:rPr>
                <w:webHidden/>
              </w:rPr>
              <w:fldChar w:fldCharType="end"/>
            </w:r>
          </w:hyperlink>
        </w:p>
        <w:p w:rsidR="0011248E" w:rsidRDefault="00910317">
          <w:pPr>
            <w:pStyle w:val="TOC3"/>
            <w:rPr>
              <w:rFonts w:cstheme="minorBidi"/>
              <w:noProof/>
              <w:lang w:val="da-DK" w:eastAsia="da-DK"/>
            </w:rPr>
          </w:pPr>
          <w:hyperlink w:anchor="_Toc451866543" w:history="1">
            <w:r w:rsidR="0011248E" w:rsidRPr="00710805">
              <w:rPr>
                <w:rStyle w:val="Hyperlink"/>
                <w:noProof/>
              </w:rPr>
              <w:t>CONSTITUTIONAL AND LEGAL FRAMEWORK WITHIN WHICH THE COVENANT IS IMPLEMENTED</w:t>
            </w:r>
            <w:r w:rsidR="0011248E">
              <w:rPr>
                <w:rStyle w:val="Hyperlink"/>
                <w:noProof/>
              </w:rPr>
              <w:t xml:space="preserve">   </w:t>
            </w:r>
            <w:r w:rsidR="0011248E" w:rsidRPr="00710805">
              <w:rPr>
                <w:rStyle w:val="Hyperlink"/>
                <w:noProof/>
              </w:rPr>
              <w:t xml:space="preserve"> (</w:t>
            </w:r>
            <w:r w:rsidR="0011248E" w:rsidRPr="00710805">
              <w:rPr>
                <w:rStyle w:val="Hyperlink"/>
                <w:b/>
                <w:bCs/>
                <w:iCs/>
                <w:noProof/>
              </w:rPr>
              <w:t xml:space="preserve">Article </w:t>
            </w:r>
            <w:r w:rsidR="0011248E" w:rsidRPr="00710805">
              <w:rPr>
                <w:rStyle w:val="Hyperlink"/>
                <w:b/>
                <w:bCs/>
                <w:i/>
                <w:iCs/>
                <w:noProof/>
              </w:rPr>
              <w:t xml:space="preserve">2; </w:t>
            </w:r>
            <w:r w:rsidR="0011248E" w:rsidRPr="00710805">
              <w:rPr>
                <w:rStyle w:val="Hyperlink"/>
                <w:noProof/>
              </w:rPr>
              <w:t>LOIPR PARA 4-7)</w:t>
            </w:r>
            <w:r w:rsidR="0011248E">
              <w:rPr>
                <w:noProof/>
                <w:webHidden/>
              </w:rPr>
              <w:tab/>
            </w:r>
            <w:r w:rsidR="0011248E">
              <w:rPr>
                <w:noProof/>
                <w:webHidden/>
              </w:rPr>
              <w:fldChar w:fldCharType="begin"/>
            </w:r>
            <w:r w:rsidR="0011248E">
              <w:rPr>
                <w:noProof/>
                <w:webHidden/>
              </w:rPr>
              <w:instrText xml:space="preserve"> PAGEREF _Toc451866543 \h </w:instrText>
            </w:r>
            <w:r w:rsidR="0011248E">
              <w:rPr>
                <w:noProof/>
                <w:webHidden/>
              </w:rPr>
            </w:r>
            <w:r w:rsidR="0011248E">
              <w:rPr>
                <w:noProof/>
                <w:webHidden/>
              </w:rPr>
              <w:fldChar w:fldCharType="separate"/>
            </w:r>
            <w:r w:rsidR="00BF0A91">
              <w:rPr>
                <w:noProof/>
                <w:webHidden/>
              </w:rPr>
              <w:t>10</w:t>
            </w:r>
            <w:r w:rsidR="0011248E">
              <w:rPr>
                <w:noProof/>
                <w:webHidden/>
              </w:rPr>
              <w:fldChar w:fldCharType="end"/>
            </w:r>
          </w:hyperlink>
        </w:p>
        <w:p w:rsidR="0011248E" w:rsidRDefault="00910317">
          <w:pPr>
            <w:pStyle w:val="TOC3"/>
            <w:rPr>
              <w:rFonts w:cstheme="minorBidi"/>
              <w:noProof/>
              <w:lang w:val="da-DK" w:eastAsia="da-DK"/>
            </w:rPr>
          </w:pPr>
          <w:hyperlink w:anchor="_Toc451866544" w:history="1">
            <w:r w:rsidR="0011248E" w:rsidRPr="00710805">
              <w:rPr>
                <w:rStyle w:val="Hyperlink"/>
                <w:noProof/>
              </w:rPr>
              <w:t>COUNTER-TERRORISM MEASURES AND RESPECT FOR THE RIGHTS GUARANTEED IN THE CONVENTION (</w:t>
            </w:r>
            <w:r w:rsidR="0011248E" w:rsidRPr="00710805">
              <w:rPr>
                <w:rStyle w:val="Hyperlink"/>
                <w:b/>
                <w:bCs/>
                <w:noProof/>
              </w:rPr>
              <w:t>Articles 7, 9 and 14</w:t>
            </w:r>
            <w:r w:rsidR="0011248E" w:rsidRPr="00710805">
              <w:rPr>
                <w:rStyle w:val="Hyperlink"/>
                <w:noProof/>
              </w:rPr>
              <w:t>; LOIPR PARA 8-9)</w:t>
            </w:r>
            <w:r w:rsidR="0011248E">
              <w:rPr>
                <w:noProof/>
                <w:webHidden/>
              </w:rPr>
              <w:tab/>
            </w:r>
            <w:r w:rsidR="0011248E">
              <w:rPr>
                <w:noProof/>
                <w:webHidden/>
              </w:rPr>
              <w:fldChar w:fldCharType="begin"/>
            </w:r>
            <w:r w:rsidR="0011248E">
              <w:rPr>
                <w:noProof/>
                <w:webHidden/>
              </w:rPr>
              <w:instrText xml:space="preserve"> PAGEREF _Toc451866544 \h </w:instrText>
            </w:r>
            <w:r w:rsidR="0011248E">
              <w:rPr>
                <w:noProof/>
                <w:webHidden/>
              </w:rPr>
            </w:r>
            <w:r w:rsidR="0011248E">
              <w:rPr>
                <w:noProof/>
                <w:webHidden/>
              </w:rPr>
              <w:fldChar w:fldCharType="separate"/>
            </w:r>
            <w:r w:rsidR="00BF0A91">
              <w:rPr>
                <w:noProof/>
                <w:webHidden/>
              </w:rPr>
              <w:t>13</w:t>
            </w:r>
            <w:r w:rsidR="0011248E">
              <w:rPr>
                <w:noProof/>
                <w:webHidden/>
              </w:rPr>
              <w:fldChar w:fldCharType="end"/>
            </w:r>
          </w:hyperlink>
        </w:p>
        <w:p w:rsidR="0011248E" w:rsidRDefault="00910317">
          <w:pPr>
            <w:pStyle w:val="TOC3"/>
            <w:rPr>
              <w:rFonts w:cstheme="minorBidi"/>
              <w:noProof/>
              <w:lang w:val="da-DK" w:eastAsia="da-DK"/>
            </w:rPr>
          </w:pPr>
          <w:hyperlink w:anchor="_Toc451866545" w:history="1">
            <w:r w:rsidR="0011248E" w:rsidRPr="00710805">
              <w:rPr>
                <w:rStyle w:val="Hyperlink"/>
                <w:noProof/>
              </w:rPr>
              <w:t xml:space="preserve">VIOLENCE AGAINST WOMEN, INCLUDING DOMESTIC VIOLENCE </w:t>
            </w:r>
            <w:r w:rsidR="0011248E">
              <w:rPr>
                <w:rStyle w:val="Hyperlink"/>
                <w:noProof/>
              </w:rPr>
              <w:t xml:space="preserve">                                                        </w:t>
            </w:r>
            <w:r w:rsidR="0011248E" w:rsidRPr="00710805">
              <w:rPr>
                <w:rStyle w:val="Hyperlink"/>
                <w:noProof/>
              </w:rPr>
              <w:t>(</w:t>
            </w:r>
            <w:r w:rsidR="0011248E" w:rsidRPr="00710805">
              <w:rPr>
                <w:rStyle w:val="Hyperlink"/>
                <w:b/>
                <w:bCs/>
                <w:noProof/>
              </w:rPr>
              <w:t>Articles 3, 7, 26</w:t>
            </w:r>
            <w:r w:rsidR="0011248E" w:rsidRPr="00710805">
              <w:rPr>
                <w:rStyle w:val="Hyperlink"/>
                <w:noProof/>
              </w:rPr>
              <w:t>; LOIPR PARA 12)</w:t>
            </w:r>
            <w:r w:rsidR="0011248E">
              <w:rPr>
                <w:noProof/>
                <w:webHidden/>
              </w:rPr>
              <w:tab/>
            </w:r>
            <w:r w:rsidR="0011248E">
              <w:rPr>
                <w:noProof/>
                <w:webHidden/>
              </w:rPr>
              <w:fldChar w:fldCharType="begin"/>
            </w:r>
            <w:r w:rsidR="0011248E">
              <w:rPr>
                <w:noProof/>
                <w:webHidden/>
              </w:rPr>
              <w:instrText xml:space="preserve"> PAGEREF _Toc451866545 \h </w:instrText>
            </w:r>
            <w:r w:rsidR="0011248E">
              <w:rPr>
                <w:noProof/>
                <w:webHidden/>
              </w:rPr>
            </w:r>
            <w:r w:rsidR="0011248E">
              <w:rPr>
                <w:noProof/>
                <w:webHidden/>
              </w:rPr>
              <w:fldChar w:fldCharType="separate"/>
            </w:r>
            <w:r w:rsidR="00BF0A91">
              <w:rPr>
                <w:noProof/>
                <w:webHidden/>
              </w:rPr>
              <w:t>15</w:t>
            </w:r>
            <w:r w:rsidR="0011248E">
              <w:rPr>
                <w:noProof/>
                <w:webHidden/>
              </w:rPr>
              <w:fldChar w:fldCharType="end"/>
            </w:r>
          </w:hyperlink>
        </w:p>
        <w:p w:rsidR="0011248E" w:rsidRDefault="00910317">
          <w:pPr>
            <w:pStyle w:val="TOC3"/>
            <w:rPr>
              <w:rFonts w:cstheme="minorBidi"/>
              <w:noProof/>
              <w:lang w:val="da-DK" w:eastAsia="da-DK"/>
            </w:rPr>
          </w:pPr>
          <w:hyperlink w:anchor="_Toc451866546" w:history="1">
            <w:r w:rsidR="0060698C">
              <w:rPr>
                <w:rStyle w:val="Hyperlink"/>
                <w:noProof/>
              </w:rPr>
              <w:t>CRIMINALISATION OF TORTURE; STATUTE OF LIMITATION; INDEPENDENT POLICE COMPLAINT AUTHORITY; PRE-TRIAL DETENTION; PROHIBITION OF SOLITARY CONFINEMENT OF MINORS; SOLITARY CONFINEMENT DURING PRE</w:t>
            </w:r>
            <w:r w:rsidR="002A013C">
              <w:rPr>
                <w:rStyle w:val="Hyperlink"/>
                <w:noProof/>
              </w:rPr>
              <w:t>-T</w:t>
            </w:r>
            <w:r w:rsidR="0060698C">
              <w:rPr>
                <w:rStyle w:val="Hyperlink"/>
                <w:noProof/>
              </w:rPr>
              <w:t>RIAL DETENTION; CONFINEMENT OF MINORS ON REMAND WITH ADULT INMATES; COERCIVE TREATMENT IN MENTAL HEALTH FACILITIES</w:t>
            </w:r>
            <w:r w:rsidR="0011248E" w:rsidRPr="00710805">
              <w:rPr>
                <w:rStyle w:val="Hyperlink"/>
                <w:noProof/>
              </w:rPr>
              <w:t xml:space="preserve"> </w:t>
            </w:r>
            <w:r w:rsidR="0011248E">
              <w:rPr>
                <w:rStyle w:val="Hyperlink"/>
                <w:noProof/>
              </w:rPr>
              <w:t xml:space="preserve">                                                                                                                                          </w:t>
            </w:r>
            <w:r w:rsidR="0011248E" w:rsidRPr="00710805">
              <w:rPr>
                <w:rStyle w:val="Hyperlink"/>
                <w:noProof/>
              </w:rPr>
              <w:t>(</w:t>
            </w:r>
            <w:r w:rsidR="0011248E" w:rsidRPr="00710805">
              <w:rPr>
                <w:rStyle w:val="Hyperlink"/>
                <w:b/>
                <w:bCs/>
                <w:noProof/>
              </w:rPr>
              <w:t xml:space="preserve">Articles 3, 6, 7, 9, 10 and 24; </w:t>
            </w:r>
            <w:r w:rsidR="0011248E" w:rsidRPr="00710805">
              <w:rPr>
                <w:rStyle w:val="Hyperlink"/>
                <w:noProof/>
              </w:rPr>
              <w:t>LOI</w:t>
            </w:r>
            <w:r w:rsidR="005813E7">
              <w:rPr>
                <w:rStyle w:val="Hyperlink"/>
                <w:noProof/>
              </w:rPr>
              <w:t>PR</w:t>
            </w:r>
            <w:r w:rsidR="0011248E" w:rsidRPr="00710805">
              <w:rPr>
                <w:rStyle w:val="Hyperlink"/>
                <w:noProof/>
              </w:rPr>
              <w:t xml:space="preserve"> PARA 13-15)</w:t>
            </w:r>
            <w:r w:rsidR="0011248E">
              <w:rPr>
                <w:noProof/>
                <w:webHidden/>
              </w:rPr>
              <w:tab/>
            </w:r>
            <w:r w:rsidR="0011248E">
              <w:rPr>
                <w:noProof/>
                <w:webHidden/>
              </w:rPr>
              <w:fldChar w:fldCharType="begin"/>
            </w:r>
            <w:r w:rsidR="0011248E">
              <w:rPr>
                <w:noProof/>
                <w:webHidden/>
              </w:rPr>
              <w:instrText xml:space="preserve"> PAGEREF _Toc451866546 \h </w:instrText>
            </w:r>
            <w:r w:rsidR="0011248E">
              <w:rPr>
                <w:noProof/>
                <w:webHidden/>
              </w:rPr>
            </w:r>
            <w:r w:rsidR="0011248E">
              <w:rPr>
                <w:noProof/>
                <w:webHidden/>
              </w:rPr>
              <w:fldChar w:fldCharType="separate"/>
            </w:r>
            <w:r w:rsidR="00BF0A91">
              <w:rPr>
                <w:noProof/>
                <w:webHidden/>
              </w:rPr>
              <w:t>17</w:t>
            </w:r>
            <w:r w:rsidR="0011248E">
              <w:rPr>
                <w:noProof/>
                <w:webHidden/>
              </w:rPr>
              <w:fldChar w:fldCharType="end"/>
            </w:r>
          </w:hyperlink>
        </w:p>
        <w:p w:rsidR="0011248E" w:rsidRDefault="00910317">
          <w:pPr>
            <w:pStyle w:val="TOC3"/>
            <w:rPr>
              <w:rFonts w:cstheme="minorBidi"/>
              <w:noProof/>
              <w:lang w:val="da-DK" w:eastAsia="da-DK"/>
            </w:rPr>
          </w:pPr>
          <w:hyperlink w:anchor="_Toc451866547" w:history="1">
            <w:r w:rsidR="0011248E" w:rsidRPr="00710805">
              <w:rPr>
                <w:rStyle w:val="Hyperlink"/>
                <w:noProof/>
              </w:rPr>
              <w:t>PROHIBITION OF SLAVERY OR FORCED OR COMPULSORY LABOUR</w:t>
            </w:r>
            <w:r w:rsidR="0011248E">
              <w:rPr>
                <w:rStyle w:val="Hyperlink"/>
                <w:noProof/>
              </w:rPr>
              <w:t xml:space="preserve">                                                    </w:t>
            </w:r>
            <w:r w:rsidR="0011248E" w:rsidRPr="00710805">
              <w:rPr>
                <w:rStyle w:val="Hyperlink"/>
                <w:noProof/>
              </w:rPr>
              <w:t xml:space="preserve"> (</w:t>
            </w:r>
            <w:r w:rsidR="0011248E" w:rsidRPr="00710805">
              <w:rPr>
                <w:rStyle w:val="Hyperlink"/>
                <w:b/>
                <w:bCs/>
                <w:noProof/>
              </w:rPr>
              <w:t xml:space="preserve">Articles 3, 8 and 24; </w:t>
            </w:r>
            <w:r w:rsidR="005813E7">
              <w:rPr>
                <w:rStyle w:val="Hyperlink"/>
                <w:noProof/>
              </w:rPr>
              <w:t xml:space="preserve">LOIPR </w:t>
            </w:r>
            <w:r w:rsidR="0011248E" w:rsidRPr="00710805">
              <w:rPr>
                <w:rStyle w:val="Hyperlink"/>
                <w:noProof/>
              </w:rPr>
              <w:t>PARA 16)</w:t>
            </w:r>
            <w:r w:rsidR="0011248E">
              <w:rPr>
                <w:noProof/>
                <w:webHidden/>
              </w:rPr>
              <w:tab/>
            </w:r>
            <w:r w:rsidR="0011248E">
              <w:rPr>
                <w:noProof/>
                <w:webHidden/>
              </w:rPr>
              <w:fldChar w:fldCharType="begin"/>
            </w:r>
            <w:r w:rsidR="0011248E">
              <w:rPr>
                <w:noProof/>
                <w:webHidden/>
              </w:rPr>
              <w:instrText xml:space="preserve"> PAGEREF _Toc451866547 \h </w:instrText>
            </w:r>
            <w:r w:rsidR="0011248E">
              <w:rPr>
                <w:noProof/>
                <w:webHidden/>
              </w:rPr>
            </w:r>
            <w:r w:rsidR="0011248E">
              <w:rPr>
                <w:noProof/>
                <w:webHidden/>
              </w:rPr>
              <w:fldChar w:fldCharType="separate"/>
            </w:r>
            <w:r w:rsidR="00BF0A91">
              <w:rPr>
                <w:noProof/>
                <w:webHidden/>
              </w:rPr>
              <w:t>25</w:t>
            </w:r>
            <w:r w:rsidR="0011248E">
              <w:rPr>
                <w:noProof/>
                <w:webHidden/>
              </w:rPr>
              <w:fldChar w:fldCharType="end"/>
            </w:r>
          </w:hyperlink>
        </w:p>
        <w:p w:rsidR="0011248E" w:rsidRPr="002A013C" w:rsidRDefault="00910317" w:rsidP="002A013C">
          <w:pPr>
            <w:pStyle w:val="TOC3"/>
            <w:rPr>
              <w:noProof/>
              <w:color w:val="0000FF" w:themeColor="hyperlink"/>
              <w:u w:val="single"/>
            </w:rPr>
          </w:pPr>
          <w:hyperlink w:anchor="_Toc451866548" w:history="1">
            <w:r w:rsidR="002A013C">
              <w:rPr>
                <w:rStyle w:val="Hyperlink"/>
                <w:noProof/>
              </w:rPr>
              <w:t>DIPLOMATIC ASSURANCES AND MAXIMUM LIMIT TO THE LENGTH OF DEPRIVATION OF LIBERTY FOR MIGRANTS AND ASYLUM-SEEKERS</w:t>
            </w:r>
            <w:r w:rsidR="0011248E">
              <w:rPr>
                <w:rStyle w:val="Hyperlink"/>
                <w:noProof/>
              </w:rPr>
              <w:t xml:space="preserve"> </w:t>
            </w:r>
            <w:r w:rsidR="0011248E" w:rsidRPr="00710805">
              <w:rPr>
                <w:rStyle w:val="Hyperlink"/>
                <w:noProof/>
              </w:rPr>
              <w:t>(</w:t>
            </w:r>
            <w:r w:rsidR="0011248E" w:rsidRPr="0011248E">
              <w:rPr>
                <w:rStyle w:val="Hyperlink"/>
                <w:b/>
                <w:noProof/>
              </w:rPr>
              <w:t>Article 2 and 13</w:t>
            </w:r>
            <w:r w:rsidR="0011248E" w:rsidRPr="00710805">
              <w:rPr>
                <w:rStyle w:val="Hyperlink"/>
                <w:noProof/>
              </w:rPr>
              <w:t>; LOI</w:t>
            </w:r>
            <w:r w:rsidR="0060698C">
              <w:rPr>
                <w:rStyle w:val="Hyperlink"/>
                <w:noProof/>
              </w:rPr>
              <w:t>PR</w:t>
            </w:r>
            <w:r w:rsidR="0011248E" w:rsidRPr="00710805">
              <w:rPr>
                <w:rStyle w:val="Hyperlink"/>
                <w:noProof/>
              </w:rPr>
              <w:t xml:space="preserve"> PARA 17)</w:t>
            </w:r>
            <w:r w:rsidR="0011248E">
              <w:rPr>
                <w:noProof/>
                <w:webHidden/>
              </w:rPr>
              <w:tab/>
            </w:r>
            <w:r w:rsidR="0011248E">
              <w:rPr>
                <w:noProof/>
                <w:webHidden/>
              </w:rPr>
              <w:fldChar w:fldCharType="begin"/>
            </w:r>
            <w:r w:rsidR="0011248E">
              <w:rPr>
                <w:noProof/>
                <w:webHidden/>
              </w:rPr>
              <w:instrText xml:space="preserve"> PAGEREF _Toc451866548 \h </w:instrText>
            </w:r>
            <w:r w:rsidR="0011248E">
              <w:rPr>
                <w:noProof/>
                <w:webHidden/>
              </w:rPr>
            </w:r>
            <w:r w:rsidR="0011248E">
              <w:rPr>
                <w:noProof/>
                <w:webHidden/>
              </w:rPr>
              <w:fldChar w:fldCharType="separate"/>
            </w:r>
            <w:r w:rsidR="00BF0A91">
              <w:rPr>
                <w:noProof/>
                <w:webHidden/>
              </w:rPr>
              <w:t>26</w:t>
            </w:r>
            <w:r w:rsidR="0011248E">
              <w:rPr>
                <w:noProof/>
                <w:webHidden/>
              </w:rPr>
              <w:fldChar w:fldCharType="end"/>
            </w:r>
          </w:hyperlink>
        </w:p>
        <w:p w:rsidR="0011248E" w:rsidRDefault="00910317" w:rsidP="00E109A8">
          <w:pPr>
            <w:pStyle w:val="TOC2"/>
            <w:ind w:left="0"/>
            <w:rPr>
              <w:rFonts w:cstheme="minorBidi"/>
              <w:b w:val="0"/>
              <w:lang w:val="da-DK" w:eastAsia="da-DK"/>
            </w:rPr>
          </w:pPr>
          <w:hyperlink w:anchor="_Toc451866549" w:history="1">
            <w:r w:rsidR="0011248E" w:rsidRPr="00710805">
              <w:rPr>
                <w:rStyle w:val="Hyperlink"/>
              </w:rPr>
              <w:t>Part B: OTHER SUGGESTED RECOMMENDATIONS</w:t>
            </w:r>
            <w:r w:rsidR="0011248E">
              <w:rPr>
                <w:webHidden/>
              </w:rPr>
              <w:tab/>
            </w:r>
            <w:r w:rsidR="0011248E">
              <w:rPr>
                <w:webHidden/>
              </w:rPr>
              <w:fldChar w:fldCharType="begin"/>
            </w:r>
            <w:r w:rsidR="0011248E">
              <w:rPr>
                <w:webHidden/>
              </w:rPr>
              <w:instrText xml:space="preserve"> PAGEREF _Toc451866549 \h </w:instrText>
            </w:r>
            <w:r w:rsidR="0011248E">
              <w:rPr>
                <w:webHidden/>
              </w:rPr>
            </w:r>
            <w:r w:rsidR="0011248E">
              <w:rPr>
                <w:webHidden/>
              </w:rPr>
              <w:fldChar w:fldCharType="separate"/>
            </w:r>
            <w:r w:rsidR="00BF0A91">
              <w:rPr>
                <w:webHidden/>
              </w:rPr>
              <w:t>29</w:t>
            </w:r>
            <w:r w:rsidR="0011248E">
              <w:rPr>
                <w:webHidden/>
              </w:rPr>
              <w:fldChar w:fldCharType="end"/>
            </w:r>
          </w:hyperlink>
        </w:p>
        <w:p w:rsidR="0011248E" w:rsidRDefault="00910317">
          <w:pPr>
            <w:pStyle w:val="TOC3"/>
            <w:rPr>
              <w:rFonts w:cstheme="minorBidi"/>
              <w:noProof/>
              <w:lang w:val="da-DK" w:eastAsia="da-DK"/>
            </w:rPr>
          </w:pPr>
          <w:hyperlink w:anchor="_Toc451866550" w:history="1">
            <w:r w:rsidR="0011248E" w:rsidRPr="00710805">
              <w:rPr>
                <w:rStyle w:val="Hyperlink"/>
                <w:bCs/>
                <w:noProof/>
              </w:rPr>
              <w:t xml:space="preserve">Issue 1: </w:t>
            </w:r>
            <w:r w:rsidR="0011248E" w:rsidRPr="00710805">
              <w:rPr>
                <w:rStyle w:val="Hyperlink"/>
                <w:noProof/>
              </w:rPr>
              <w:t>SOLITARY CONFINEMENT OF ADULTS</w:t>
            </w:r>
            <w:r w:rsidR="0060698C">
              <w:rPr>
                <w:rStyle w:val="Hyperlink"/>
                <w:noProof/>
              </w:rPr>
              <w:t xml:space="preserve"> (</w:t>
            </w:r>
            <w:r w:rsidR="0060698C" w:rsidRPr="0060698C">
              <w:rPr>
                <w:rStyle w:val="Hyperlink"/>
                <w:b/>
                <w:noProof/>
              </w:rPr>
              <w:t>Article 7 and 10</w:t>
            </w:r>
            <w:r w:rsidR="0060698C">
              <w:rPr>
                <w:rStyle w:val="Hyperlink"/>
                <w:noProof/>
              </w:rPr>
              <w:t>)</w:t>
            </w:r>
            <w:r w:rsidR="0011248E">
              <w:rPr>
                <w:noProof/>
                <w:webHidden/>
              </w:rPr>
              <w:tab/>
            </w:r>
            <w:r w:rsidR="0011248E">
              <w:rPr>
                <w:noProof/>
                <w:webHidden/>
              </w:rPr>
              <w:fldChar w:fldCharType="begin"/>
            </w:r>
            <w:r w:rsidR="0011248E">
              <w:rPr>
                <w:noProof/>
                <w:webHidden/>
              </w:rPr>
              <w:instrText xml:space="preserve"> PAGEREF _Toc451866550 \h </w:instrText>
            </w:r>
            <w:r w:rsidR="0011248E">
              <w:rPr>
                <w:noProof/>
                <w:webHidden/>
              </w:rPr>
            </w:r>
            <w:r w:rsidR="0011248E">
              <w:rPr>
                <w:noProof/>
                <w:webHidden/>
              </w:rPr>
              <w:fldChar w:fldCharType="separate"/>
            </w:r>
            <w:r w:rsidR="00BF0A91">
              <w:rPr>
                <w:noProof/>
                <w:webHidden/>
              </w:rPr>
              <w:t>29</w:t>
            </w:r>
            <w:r w:rsidR="0011248E">
              <w:rPr>
                <w:noProof/>
                <w:webHidden/>
              </w:rPr>
              <w:fldChar w:fldCharType="end"/>
            </w:r>
          </w:hyperlink>
        </w:p>
        <w:p w:rsidR="0011248E" w:rsidRDefault="00910317">
          <w:pPr>
            <w:pStyle w:val="TOC3"/>
            <w:rPr>
              <w:rFonts w:cstheme="minorBidi"/>
              <w:noProof/>
              <w:lang w:val="da-DK" w:eastAsia="da-DK"/>
            </w:rPr>
          </w:pPr>
          <w:hyperlink w:anchor="_Toc451866551" w:history="1">
            <w:r w:rsidR="0011248E" w:rsidRPr="00710805">
              <w:rPr>
                <w:rStyle w:val="Hyperlink"/>
                <w:noProof/>
              </w:rPr>
              <w:t>Issue 2: NON-REFOULEMENT AND MEDICAL “TORTURE” EXAMINATION</w:t>
            </w:r>
            <w:r w:rsidR="0060698C">
              <w:rPr>
                <w:rStyle w:val="Hyperlink"/>
                <w:noProof/>
              </w:rPr>
              <w:t xml:space="preserve"> (</w:t>
            </w:r>
            <w:r w:rsidR="0060698C" w:rsidRPr="0060698C">
              <w:rPr>
                <w:rStyle w:val="Hyperlink"/>
                <w:b/>
                <w:noProof/>
              </w:rPr>
              <w:t>Article 7</w:t>
            </w:r>
            <w:r w:rsidR="0060698C">
              <w:rPr>
                <w:rStyle w:val="Hyperlink"/>
                <w:noProof/>
              </w:rPr>
              <w:t>)</w:t>
            </w:r>
            <w:r w:rsidR="0011248E">
              <w:rPr>
                <w:noProof/>
                <w:webHidden/>
              </w:rPr>
              <w:tab/>
            </w:r>
            <w:r w:rsidR="0011248E">
              <w:rPr>
                <w:noProof/>
                <w:webHidden/>
              </w:rPr>
              <w:fldChar w:fldCharType="begin"/>
            </w:r>
            <w:r w:rsidR="0011248E">
              <w:rPr>
                <w:noProof/>
                <w:webHidden/>
              </w:rPr>
              <w:instrText xml:space="preserve"> PAGEREF _Toc451866551 \h </w:instrText>
            </w:r>
            <w:r w:rsidR="0011248E">
              <w:rPr>
                <w:noProof/>
                <w:webHidden/>
              </w:rPr>
            </w:r>
            <w:r w:rsidR="0011248E">
              <w:rPr>
                <w:noProof/>
                <w:webHidden/>
              </w:rPr>
              <w:fldChar w:fldCharType="separate"/>
            </w:r>
            <w:r w:rsidR="00BF0A91">
              <w:rPr>
                <w:noProof/>
                <w:webHidden/>
              </w:rPr>
              <w:t>33</w:t>
            </w:r>
            <w:r w:rsidR="0011248E">
              <w:rPr>
                <w:noProof/>
                <w:webHidden/>
              </w:rPr>
              <w:fldChar w:fldCharType="end"/>
            </w:r>
          </w:hyperlink>
        </w:p>
        <w:p w:rsidR="0011248E" w:rsidRDefault="00910317">
          <w:pPr>
            <w:pStyle w:val="TOC3"/>
            <w:rPr>
              <w:rFonts w:cstheme="minorBidi"/>
              <w:noProof/>
              <w:lang w:val="da-DK" w:eastAsia="da-DK"/>
            </w:rPr>
          </w:pPr>
          <w:hyperlink w:anchor="_Toc451866552" w:history="1">
            <w:r w:rsidR="0011248E" w:rsidRPr="00710805">
              <w:rPr>
                <w:rStyle w:val="Hyperlink"/>
                <w:noProof/>
              </w:rPr>
              <w:t>Issue 3: INCREASED USE OF DETENTION OF FOREIGNERS AND CONDITIONS IN DETENTION CENTERS (</w:t>
            </w:r>
            <w:r w:rsidR="0011248E" w:rsidRPr="0060698C">
              <w:rPr>
                <w:rStyle w:val="Hyperlink"/>
                <w:b/>
                <w:noProof/>
              </w:rPr>
              <w:t>Article 7, 9 and 10</w:t>
            </w:r>
            <w:r w:rsidR="0011248E" w:rsidRPr="00710805">
              <w:rPr>
                <w:rStyle w:val="Hyperlink"/>
                <w:noProof/>
              </w:rPr>
              <w:t>)</w:t>
            </w:r>
            <w:r w:rsidR="0011248E">
              <w:rPr>
                <w:noProof/>
                <w:webHidden/>
              </w:rPr>
              <w:tab/>
            </w:r>
            <w:r w:rsidR="0011248E">
              <w:rPr>
                <w:noProof/>
                <w:webHidden/>
              </w:rPr>
              <w:fldChar w:fldCharType="begin"/>
            </w:r>
            <w:r w:rsidR="0011248E">
              <w:rPr>
                <w:noProof/>
                <w:webHidden/>
              </w:rPr>
              <w:instrText xml:space="preserve"> PAGEREF _Toc451866552 \h </w:instrText>
            </w:r>
            <w:r w:rsidR="0011248E">
              <w:rPr>
                <w:noProof/>
                <w:webHidden/>
              </w:rPr>
            </w:r>
            <w:r w:rsidR="0011248E">
              <w:rPr>
                <w:noProof/>
                <w:webHidden/>
              </w:rPr>
              <w:fldChar w:fldCharType="separate"/>
            </w:r>
            <w:r w:rsidR="00BF0A91">
              <w:rPr>
                <w:noProof/>
                <w:webHidden/>
              </w:rPr>
              <w:t>34</w:t>
            </w:r>
            <w:r w:rsidR="0011248E">
              <w:rPr>
                <w:noProof/>
                <w:webHidden/>
              </w:rPr>
              <w:fldChar w:fldCharType="end"/>
            </w:r>
          </w:hyperlink>
        </w:p>
        <w:p w:rsidR="0011248E" w:rsidRDefault="00910317">
          <w:pPr>
            <w:pStyle w:val="TOC3"/>
            <w:rPr>
              <w:rFonts w:cstheme="minorBidi"/>
              <w:noProof/>
              <w:lang w:val="da-DK" w:eastAsia="da-DK"/>
            </w:rPr>
          </w:pPr>
          <w:hyperlink w:anchor="_Toc451866553" w:history="1">
            <w:r w:rsidR="0011248E" w:rsidRPr="00710805">
              <w:rPr>
                <w:rStyle w:val="Hyperlink"/>
                <w:noProof/>
              </w:rPr>
              <w:t>Issue 4: PERSONS ON TOLERATED STAY WHO CANNOT BE DEPORTED (</w:t>
            </w:r>
            <w:r w:rsidR="0011248E" w:rsidRPr="0060698C">
              <w:rPr>
                <w:rStyle w:val="Hyperlink"/>
                <w:b/>
                <w:noProof/>
              </w:rPr>
              <w:t>Article 7</w:t>
            </w:r>
            <w:r w:rsidR="0011248E" w:rsidRPr="00710805">
              <w:rPr>
                <w:rStyle w:val="Hyperlink"/>
                <w:noProof/>
              </w:rPr>
              <w:t>)</w:t>
            </w:r>
            <w:r w:rsidR="0011248E">
              <w:rPr>
                <w:noProof/>
                <w:webHidden/>
              </w:rPr>
              <w:tab/>
            </w:r>
            <w:r w:rsidR="0011248E">
              <w:rPr>
                <w:noProof/>
                <w:webHidden/>
              </w:rPr>
              <w:fldChar w:fldCharType="begin"/>
            </w:r>
            <w:r w:rsidR="0011248E">
              <w:rPr>
                <w:noProof/>
                <w:webHidden/>
              </w:rPr>
              <w:instrText xml:space="preserve"> PAGEREF _Toc451866553 \h </w:instrText>
            </w:r>
            <w:r w:rsidR="0011248E">
              <w:rPr>
                <w:noProof/>
                <w:webHidden/>
              </w:rPr>
            </w:r>
            <w:r w:rsidR="0011248E">
              <w:rPr>
                <w:noProof/>
                <w:webHidden/>
              </w:rPr>
              <w:fldChar w:fldCharType="separate"/>
            </w:r>
            <w:r w:rsidR="00BF0A91">
              <w:rPr>
                <w:noProof/>
                <w:webHidden/>
              </w:rPr>
              <w:t>36</w:t>
            </w:r>
            <w:r w:rsidR="0011248E">
              <w:rPr>
                <w:noProof/>
                <w:webHidden/>
              </w:rPr>
              <w:fldChar w:fldCharType="end"/>
            </w:r>
          </w:hyperlink>
        </w:p>
        <w:p w:rsidR="0011248E" w:rsidRDefault="00910317">
          <w:pPr>
            <w:pStyle w:val="TOC3"/>
            <w:rPr>
              <w:rFonts w:cstheme="minorBidi"/>
              <w:noProof/>
              <w:lang w:val="da-DK" w:eastAsia="da-DK"/>
            </w:rPr>
          </w:pPr>
          <w:hyperlink w:anchor="_Toc451866554" w:history="1">
            <w:r w:rsidR="0011248E" w:rsidRPr="00710805">
              <w:rPr>
                <w:rStyle w:val="Hyperlink"/>
                <w:noProof/>
                <w:lang w:val="en-GB"/>
              </w:rPr>
              <w:t>Issue 5: THE PROTECTION OF LGBTI PERSONS (</w:t>
            </w:r>
            <w:r w:rsidR="0011248E" w:rsidRPr="0060698C">
              <w:rPr>
                <w:rStyle w:val="Hyperlink"/>
                <w:b/>
                <w:noProof/>
                <w:lang w:val="en-GB"/>
              </w:rPr>
              <w:t xml:space="preserve">Article 2, </w:t>
            </w:r>
            <w:r w:rsidR="003B0799">
              <w:rPr>
                <w:rStyle w:val="Hyperlink"/>
                <w:b/>
                <w:noProof/>
                <w:lang w:val="en-GB"/>
              </w:rPr>
              <w:t xml:space="preserve">7, </w:t>
            </w:r>
            <w:r w:rsidR="0011248E" w:rsidRPr="0060698C">
              <w:rPr>
                <w:rStyle w:val="Hyperlink"/>
                <w:b/>
                <w:noProof/>
                <w:lang w:val="en-GB"/>
              </w:rPr>
              <w:t>17 and 26</w:t>
            </w:r>
            <w:r w:rsidR="0011248E" w:rsidRPr="00710805">
              <w:rPr>
                <w:rStyle w:val="Hyperlink"/>
                <w:noProof/>
                <w:lang w:val="en-GB"/>
              </w:rPr>
              <w:t>)</w:t>
            </w:r>
            <w:r w:rsidR="0011248E">
              <w:rPr>
                <w:noProof/>
                <w:webHidden/>
              </w:rPr>
              <w:tab/>
            </w:r>
            <w:r w:rsidR="0011248E">
              <w:rPr>
                <w:noProof/>
                <w:webHidden/>
              </w:rPr>
              <w:fldChar w:fldCharType="begin"/>
            </w:r>
            <w:r w:rsidR="0011248E">
              <w:rPr>
                <w:noProof/>
                <w:webHidden/>
              </w:rPr>
              <w:instrText xml:space="preserve"> PAGEREF _Toc451866554 \h </w:instrText>
            </w:r>
            <w:r w:rsidR="0011248E">
              <w:rPr>
                <w:noProof/>
                <w:webHidden/>
              </w:rPr>
            </w:r>
            <w:r w:rsidR="0011248E">
              <w:rPr>
                <w:noProof/>
                <w:webHidden/>
              </w:rPr>
              <w:fldChar w:fldCharType="separate"/>
            </w:r>
            <w:r w:rsidR="00BF0A91">
              <w:rPr>
                <w:noProof/>
                <w:webHidden/>
              </w:rPr>
              <w:t>38</w:t>
            </w:r>
            <w:r w:rsidR="0011248E">
              <w:rPr>
                <w:noProof/>
                <w:webHidden/>
              </w:rPr>
              <w:fldChar w:fldCharType="end"/>
            </w:r>
          </w:hyperlink>
        </w:p>
        <w:p w:rsidR="0011248E" w:rsidRDefault="00910317">
          <w:pPr>
            <w:pStyle w:val="TOC3"/>
            <w:rPr>
              <w:rFonts w:cstheme="minorBidi"/>
              <w:noProof/>
              <w:lang w:val="da-DK" w:eastAsia="da-DK"/>
            </w:rPr>
          </w:pPr>
          <w:hyperlink w:anchor="_Toc451866555" w:history="1">
            <w:r w:rsidR="0011248E" w:rsidRPr="00710805">
              <w:rPr>
                <w:rStyle w:val="Hyperlink"/>
                <w:noProof/>
              </w:rPr>
              <w:t>Issue 6: SEPARATION OF CONVICTED AND ACCUSED PERSONS</w:t>
            </w:r>
            <w:r w:rsidR="0060698C">
              <w:rPr>
                <w:rStyle w:val="Hyperlink"/>
                <w:noProof/>
              </w:rPr>
              <w:t xml:space="preserve"> (</w:t>
            </w:r>
            <w:r w:rsidR="0060698C" w:rsidRPr="0060698C">
              <w:rPr>
                <w:rStyle w:val="Hyperlink"/>
                <w:b/>
                <w:noProof/>
              </w:rPr>
              <w:t>Article 10 (2)(a)</w:t>
            </w:r>
            <w:r w:rsidR="0060698C">
              <w:rPr>
                <w:rStyle w:val="Hyperlink"/>
                <w:noProof/>
              </w:rPr>
              <w:t>)</w:t>
            </w:r>
            <w:r w:rsidR="0011248E">
              <w:rPr>
                <w:noProof/>
                <w:webHidden/>
              </w:rPr>
              <w:tab/>
            </w:r>
            <w:r w:rsidR="0011248E">
              <w:rPr>
                <w:noProof/>
                <w:webHidden/>
              </w:rPr>
              <w:fldChar w:fldCharType="begin"/>
            </w:r>
            <w:r w:rsidR="0011248E">
              <w:rPr>
                <w:noProof/>
                <w:webHidden/>
              </w:rPr>
              <w:instrText xml:space="preserve"> PAGEREF _Toc451866555 \h </w:instrText>
            </w:r>
            <w:r w:rsidR="0011248E">
              <w:rPr>
                <w:noProof/>
                <w:webHidden/>
              </w:rPr>
            </w:r>
            <w:r w:rsidR="0011248E">
              <w:rPr>
                <w:noProof/>
                <w:webHidden/>
              </w:rPr>
              <w:fldChar w:fldCharType="separate"/>
            </w:r>
            <w:r w:rsidR="00BF0A91">
              <w:rPr>
                <w:noProof/>
                <w:webHidden/>
              </w:rPr>
              <w:t>40</w:t>
            </w:r>
            <w:r w:rsidR="0011248E">
              <w:rPr>
                <w:noProof/>
                <w:webHidden/>
              </w:rPr>
              <w:fldChar w:fldCharType="end"/>
            </w:r>
          </w:hyperlink>
        </w:p>
        <w:p w:rsidR="0011248E" w:rsidRDefault="00910317">
          <w:pPr>
            <w:pStyle w:val="TOC3"/>
            <w:rPr>
              <w:rFonts w:cstheme="minorBidi"/>
              <w:noProof/>
              <w:lang w:val="da-DK" w:eastAsia="da-DK"/>
            </w:rPr>
          </w:pPr>
          <w:hyperlink w:anchor="_Toc451866556" w:history="1">
            <w:r w:rsidR="0011248E" w:rsidRPr="00710805">
              <w:rPr>
                <w:rStyle w:val="Hyperlink"/>
                <w:noProof/>
              </w:rPr>
              <w:t xml:space="preserve">Issue 7: </w:t>
            </w:r>
            <w:r w:rsidR="0011248E" w:rsidRPr="00710805">
              <w:rPr>
                <w:rStyle w:val="Hyperlink"/>
                <w:noProof/>
                <w:lang w:val="fr-FR"/>
              </w:rPr>
              <w:t>FAMILY REUNIFICATION</w:t>
            </w:r>
            <w:r w:rsidR="0060698C">
              <w:rPr>
                <w:rStyle w:val="Hyperlink"/>
                <w:noProof/>
                <w:lang w:val="fr-FR"/>
              </w:rPr>
              <w:t xml:space="preserve"> (</w:t>
            </w:r>
            <w:r w:rsidR="0060698C" w:rsidRPr="0060698C">
              <w:rPr>
                <w:rStyle w:val="Hyperlink"/>
                <w:b/>
                <w:noProof/>
                <w:lang w:val="fr-FR"/>
              </w:rPr>
              <w:t>Article 23</w:t>
            </w:r>
            <w:r w:rsidR="0060698C">
              <w:rPr>
                <w:rStyle w:val="Hyperlink"/>
                <w:noProof/>
                <w:lang w:val="fr-FR"/>
              </w:rPr>
              <w:t>)</w:t>
            </w:r>
            <w:r w:rsidR="0011248E">
              <w:rPr>
                <w:noProof/>
                <w:webHidden/>
              </w:rPr>
              <w:tab/>
            </w:r>
            <w:r w:rsidR="0011248E">
              <w:rPr>
                <w:noProof/>
                <w:webHidden/>
              </w:rPr>
              <w:fldChar w:fldCharType="begin"/>
            </w:r>
            <w:r w:rsidR="0011248E">
              <w:rPr>
                <w:noProof/>
                <w:webHidden/>
              </w:rPr>
              <w:instrText xml:space="preserve"> PAGEREF _Toc451866556 \h </w:instrText>
            </w:r>
            <w:r w:rsidR="0011248E">
              <w:rPr>
                <w:noProof/>
                <w:webHidden/>
              </w:rPr>
            </w:r>
            <w:r w:rsidR="0011248E">
              <w:rPr>
                <w:noProof/>
                <w:webHidden/>
              </w:rPr>
              <w:fldChar w:fldCharType="separate"/>
            </w:r>
            <w:r w:rsidR="00BF0A91">
              <w:rPr>
                <w:noProof/>
                <w:webHidden/>
              </w:rPr>
              <w:t>40</w:t>
            </w:r>
            <w:r w:rsidR="0011248E">
              <w:rPr>
                <w:noProof/>
                <w:webHidden/>
              </w:rPr>
              <w:fldChar w:fldCharType="end"/>
            </w:r>
          </w:hyperlink>
        </w:p>
        <w:p w:rsidR="0011248E" w:rsidRDefault="00910317">
          <w:pPr>
            <w:pStyle w:val="TOC3"/>
            <w:rPr>
              <w:rFonts w:cstheme="minorBidi"/>
              <w:noProof/>
              <w:lang w:val="da-DK" w:eastAsia="da-DK"/>
            </w:rPr>
          </w:pPr>
          <w:hyperlink w:anchor="_Toc451866557" w:history="1">
            <w:r w:rsidR="002A013C">
              <w:rPr>
                <w:rStyle w:val="Hyperlink"/>
                <w:noProof/>
                <w:lang w:val="fr-FR"/>
              </w:rPr>
              <w:t>Issues 8</w:t>
            </w:r>
            <w:r w:rsidR="0011248E" w:rsidRPr="00710805">
              <w:rPr>
                <w:rStyle w:val="Hyperlink"/>
                <w:noProof/>
                <w:lang w:val="fr-FR"/>
              </w:rPr>
              <w:t>: PERSONS WITH DISABILITIES</w:t>
            </w:r>
            <w:r w:rsidR="0060698C">
              <w:rPr>
                <w:rStyle w:val="Hyperlink"/>
                <w:noProof/>
                <w:lang w:val="fr-FR"/>
              </w:rPr>
              <w:t xml:space="preserve"> (</w:t>
            </w:r>
            <w:r w:rsidR="0060698C" w:rsidRPr="0060698C">
              <w:rPr>
                <w:rStyle w:val="Hyperlink"/>
                <w:b/>
                <w:noProof/>
                <w:lang w:val="fr-FR"/>
              </w:rPr>
              <w:t>Article 25 and 26</w:t>
            </w:r>
            <w:r w:rsidR="0060698C">
              <w:rPr>
                <w:rStyle w:val="Hyperlink"/>
                <w:noProof/>
                <w:lang w:val="fr-FR"/>
              </w:rPr>
              <w:t>)</w:t>
            </w:r>
            <w:r w:rsidR="0011248E">
              <w:rPr>
                <w:noProof/>
                <w:webHidden/>
              </w:rPr>
              <w:tab/>
            </w:r>
            <w:r w:rsidR="0011248E">
              <w:rPr>
                <w:noProof/>
                <w:webHidden/>
              </w:rPr>
              <w:fldChar w:fldCharType="begin"/>
            </w:r>
            <w:r w:rsidR="0011248E">
              <w:rPr>
                <w:noProof/>
                <w:webHidden/>
              </w:rPr>
              <w:instrText xml:space="preserve"> PAGEREF _Toc451866557 \h </w:instrText>
            </w:r>
            <w:r w:rsidR="0011248E">
              <w:rPr>
                <w:noProof/>
                <w:webHidden/>
              </w:rPr>
            </w:r>
            <w:r w:rsidR="0011248E">
              <w:rPr>
                <w:noProof/>
                <w:webHidden/>
              </w:rPr>
              <w:fldChar w:fldCharType="separate"/>
            </w:r>
            <w:r w:rsidR="00BF0A91">
              <w:rPr>
                <w:noProof/>
                <w:webHidden/>
              </w:rPr>
              <w:t>41</w:t>
            </w:r>
            <w:r w:rsidR="0011248E">
              <w:rPr>
                <w:noProof/>
                <w:webHidden/>
              </w:rPr>
              <w:fldChar w:fldCharType="end"/>
            </w:r>
          </w:hyperlink>
        </w:p>
        <w:p w:rsidR="004E0F19" w:rsidRPr="00690C6D" w:rsidRDefault="005718DB" w:rsidP="005C100D">
          <w:pPr>
            <w:jc w:val="both"/>
            <w:rPr>
              <w:b/>
              <w:bCs/>
              <w:sz w:val="24"/>
              <w:szCs w:val="24"/>
            </w:rPr>
          </w:pPr>
          <w:r w:rsidRPr="005C100D">
            <w:rPr>
              <w:b/>
              <w:bCs/>
              <w:sz w:val="24"/>
              <w:szCs w:val="24"/>
            </w:rPr>
            <w:fldChar w:fldCharType="end"/>
          </w:r>
        </w:p>
      </w:sdtContent>
    </w:sdt>
    <w:p w:rsidR="00D13F32" w:rsidRPr="005C100D" w:rsidRDefault="00677872" w:rsidP="005C100D">
      <w:pPr>
        <w:pStyle w:val="Heading1"/>
        <w:spacing w:after="240"/>
        <w:jc w:val="both"/>
        <w:rPr>
          <w:sz w:val="24"/>
          <w:szCs w:val="24"/>
          <w:lang w:val="en-GB"/>
        </w:rPr>
      </w:pPr>
      <w:bookmarkStart w:id="0" w:name="_Toc451866539"/>
      <w:r w:rsidRPr="005C100D">
        <w:rPr>
          <w:sz w:val="24"/>
          <w:szCs w:val="24"/>
          <w:lang w:val="en-GB"/>
        </w:rPr>
        <w:lastRenderedPageBreak/>
        <w:t>I</w:t>
      </w:r>
      <w:r w:rsidR="0097164E" w:rsidRPr="005C100D">
        <w:rPr>
          <w:sz w:val="24"/>
          <w:szCs w:val="24"/>
          <w:lang w:val="en-GB"/>
        </w:rPr>
        <w:t>ntroduction</w:t>
      </w:r>
      <w:bookmarkEnd w:id="0"/>
    </w:p>
    <w:p w:rsidR="00677872" w:rsidRDefault="00677872" w:rsidP="005C100D">
      <w:pPr>
        <w:spacing w:after="0"/>
        <w:jc w:val="both"/>
        <w:rPr>
          <w:rFonts w:cstheme="majorBidi"/>
          <w:sz w:val="24"/>
          <w:szCs w:val="24"/>
          <w:lang w:val="en-GB"/>
        </w:rPr>
      </w:pPr>
      <w:r w:rsidRPr="005C100D">
        <w:rPr>
          <w:rFonts w:cstheme="majorBidi"/>
          <w:sz w:val="24"/>
          <w:szCs w:val="24"/>
          <w:lang w:val="en-GB"/>
        </w:rPr>
        <w:t xml:space="preserve">Since Denmark’s ratification of the UN </w:t>
      </w:r>
      <w:r w:rsidR="00B73C71" w:rsidRPr="005C100D">
        <w:rPr>
          <w:rFonts w:cstheme="majorBidi"/>
          <w:sz w:val="24"/>
          <w:szCs w:val="24"/>
          <w:lang w:val="en-GB"/>
        </w:rPr>
        <w:t>International Covenant on Civil and Political Rights (ICCPR</w:t>
      </w:r>
      <w:r w:rsidRPr="005C100D">
        <w:rPr>
          <w:rFonts w:cstheme="majorBidi"/>
          <w:sz w:val="24"/>
          <w:szCs w:val="24"/>
          <w:lang w:val="en-GB"/>
        </w:rPr>
        <w:t>) in 1</w:t>
      </w:r>
      <w:r w:rsidR="00B73C71" w:rsidRPr="005C100D">
        <w:rPr>
          <w:rFonts w:cstheme="majorBidi"/>
          <w:sz w:val="24"/>
          <w:szCs w:val="24"/>
          <w:lang w:val="en-GB"/>
        </w:rPr>
        <w:t>972</w:t>
      </w:r>
      <w:r w:rsidRPr="005C100D">
        <w:rPr>
          <w:rFonts w:cstheme="majorBidi"/>
          <w:sz w:val="24"/>
          <w:szCs w:val="24"/>
          <w:lang w:val="en-GB"/>
        </w:rPr>
        <w:t xml:space="preserve">, the UN </w:t>
      </w:r>
      <w:r w:rsidR="00B73C71" w:rsidRPr="005C100D">
        <w:rPr>
          <w:rFonts w:cstheme="majorBidi"/>
          <w:sz w:val="24"/>
          <w:szCs w:val="24"/>
          <w:lang w:val="en-GB"/>
        </w:rPr>
        <w:t xml:space="preserve">Human Rights </w:t>
      </w:r>
      <w:r w:rsidRPr="005C100D">
        <w:rPr>
          <w:rFonts w:cstheme="majorBidi"/>
          <w:sz w:val="24"/>
          <w:szCs w:val="24"/>
          <w:lang w:val="en-GB"/>
        </w:rPr>
        <w:t xml:space="preserve">Committee </w:t>
      </w:r>
      <w:r w:rsidR="003E17A7" w:rsidRPr="005C100D">
        <w:rPr>
          <w:rFonts w:cstheme="majorBidi"/>
          <w:sz w:val="24"/>
          <w:szCs w:val="24"/>
          <w:lang w:val="en-GB"/>
        </w:rPr>
        <w:t xml:space="preserve">(HRC) </w:t>
      </w:r>
      <w:r w:rsidRPr="005C100D">
        <w:rPr>
          <w:rFonts w:cstheme="majorBidi"/>
          <w:sz w:val="24"/>
          <w:szCs w:val="24"/>
          <w:lang w:val="en-GB"/>
        </w:rPr>
        <w:t xml:space="preserve">has undertaken five examinations of Denmark. In relation to the upcoming review of Denmark on </w:t>
      </w:r>
      <w:r w:rsidR="00B73C71" w:rsidRPr="005C100D">
        <w:rPr>
          <w:rFonts w:cstheme="majorBidi"/>
          <w:sz w:val="24"/>
          <w:szCs w:val="24"/>
          <w:lang w:val="en-GB"/>
        </w:rPr>
        <w:t>20-21 June 2016</w:t>
      </w:r>
      <w:r w:rsidRPr="005C100D">
        <w:rPr>
          <w:rFonts w:cstheme="majorBidi"/>
          <w:sz w:val="24"/>
          <w:szCs w:val="24"/>
          <w:lang w:val="en-GB"/>
        </w:rPr>
        <w:t xml:space="preserve">, this report is submitted to the Committee as an alternative report to Denmark’s report of </w:t>
      </w:r>
      <w:r w:rsidR="00B73C71" w:rsidRPr="005C100D">
        <w:rPr>
          <w:rFonts w:cstheme="majorBidi"/>
          <w:sz w:val="24"/>
          <w:szCs w:val="24"/>
          <w:lang w:val="en-GB"/>
        </w:rPr>
        <w:t xml:space="preserve">10 November 2015 </w:t>
      </w:r>
      <w:r w:rsidR="00963D34" w:rsidRPr="005C100D">
        <w:rPr>
          <w:rFonts w:cstheme="majorBidi"/>
          <w:sz w:val="24"/>
          <w:szCs w:val="24"/>
          <w:lang w:val="en-GB"/>
        </w:rPr>
        <w:t xml:space="preserve">regarding progress made with respect to treaty implementation and compliance </w:t>
      </w:r>
      <w:r w:rsidR="00B73C71" w:rsidRPr="005C100D">
        <w:rPr>
          <w:rFonts w:cstheme="majorBidi"/>
          <w:sz w:val="24"/>
          <w:szCs w:val="24"/>
          <w:lang w:val="en-GB"/>
        </w:rPr>
        <w:t>that replied</w:t>
      </w:r>
      <w:r w:rsidRPr="005C100D">
        <w:rPr>
          <w:rFonts w:cstheme="majorBidi"/>
          <w:sz w:val="24"/>
          <w:szCs w:val="24"/>
          <w:lang w:val="en-GB"/>
        </w:rPr>
        <w:t xml:space="preserve"> to the questions in the list of issues prior to reporting </w:t>
      </w:r>
      <w:r w:rsidR="00963D34">
        <w:rPr>
          <w:rFonts w:cstheme="majorBidi"/>
          <w:sz w:val="24"/>
          <w:szCs w:val="24"/>
          <w:lang w:val="en-GB"/>
        </w:rPr>
        <w:t>published</w:t>
      </w:r>
      <w:r w:rsidR="00B73C71" w:rsidRPr="005C100D">
        <w:rPr>
          <w:rFonts w:cstheme="majorBidi"/>
          <w:sz w:val="24"/>
          <w:szCs w:val="24"/>
          <w:lang w:val="en-GB"/>
        </w:rPr>
        <w:t xml:space="preserve"> four years earlier (29 November 2011)</w:t>
      </w:r>
      <w:r w:rsidRPr="005C100D">
        <w:rPr>
          <w:rFonts w:cstheme="majorBidi"/>
          <w:sz w:val="24"/>
          <w:szCs w:val="24"/>
          <w:lang w:val="en-GB"/>
        </w:rPr>
        <w:t xml:space="preserve">. </w:t>
      </w:r>
    </w:p>
    <w:p w:rsidR="00D85808" w:rsidRPr="005C100D" w:rsidRDefault="00D85808" w:rsidP="005C100D">
      <w:pPr>
        <w:spacing w:after="0"/>
        <w:jc w:val="both"/>
        <w:rPr>
          <w:rFonts w:cstheme="majorBidi"/>
          <w:sz w:val="24"/>
          <w:szCs w:val="24"/>
          <w:lang w:val="en-GB"/>
        </w:rPr>
      </w:pPr>
    </w:p>
    <w:p w:rsidR="00677872" w:rsidRPr="005C100D" w:rsidRDefault="00873141" w:rsidP="005C100D">
      <w:pPr>
        <w:jc w:val="both"/>
        <w:rPr>
          <w:rFonts w:cstheme="majorBidi"/>
          <w:sz w:val="24"/>
          <w:szCs w:val="24"/>
          <w:lang w:val="en-GB"/>
        </w:rPr>
      </w:pPr>
      <w:r w:rsidRPr="005C100D">
        <w:rPr>
          <w:rFonts w:cstheme="majorBidi"/>
          <w:sz w:val="24"/>
          <w:szCs w:val="24"/>
          <w:lang w:val="en-GB"/>
        </w:rPr>
        <w:t xml:space="preserve">This report is written by a </w:t>
      </w:r>
      <w:r w:rsidR="00677872" w:rsidRPr="005C100D">
        <w:rPr>
          <w:rFonts w:cstheme="majorBidi"/>
          <w:sz w:val="24"/>
          <w:szCs w:val="24"/>
          <w:lang w:val="en-GB"/>
        </w:rPr>
        <w:t xml:space="preserve">Coalition of </w:t>
      </w:r>
      <w:r w:rsidR="003F56D2" w:rsidRPr="005C100D">
        <w:rPr>
          <w:rFonts w:cstheme="majorBidi"/>
          <w:sz w:val="24"/>
          <w:szCs w:val="24"/>
          <w:lang w:val="en-GB"/>
        </w:rPr>
        <w:t xml:space="preserve">15 </w:t>
      </w:r>
      <w:r w:rsidR="00677872" w:rsidRPr="005C100D">
        <w:rPr>
          <w:rFonts w:cstheme="majorBidi"/>
          <w:sz w:val="24"/>
          <w:szCs w:val="24"/>
          <w:lang w:val="en-GB"/>
        </w:rPr>
        <w:t>NGOs in Denmark composed of the following organisations:</w:t>
      </w:r>
    </w:p>
    <w:p w:rsidR="00677872" w:rsidRPr="008773F8" w:rsidRDefault="00677872" w:rsidP="005C100D">
      <w:pPr>
        <w:pStyle w:val="Default"/>
        <w:numPr>
          <w:ilvl w:val="0"/>
          <w:numId w:val="34"/>
        </w:numPr>
        <w:spacing w:after="40"/>
        <w:jc w:val="both"/>
        <w:rPr>
          <w:rFonts w:asciiTheme="minorHAnsi" w:hAnsiTheme="minorHAnsi"/>
          <w:color w:val="auto"/>
        </w:rPr>
      </w:pPr>
      <w:proofErr w:type="spellStart"/>
      <w:r w:rsidRPr="008773F8">
        <w:rPr>
          <w:rFonts w:asciiTheme="minorHAnsi" w:hAnsiTheme="minorHAnsi"/>
          <w:color w:val="auto"/>
        </w:rPr>
        <w:t>Anti</w:t>
      </w:r>
      <w:proofErr w:type="spellEnd"/>
      <w:r w:rsidRPr="008773F8">
        <w:rPr>
          <w:rFonts w:asciiTheme="minorHAnsi" w:hAnsiTheme="minorHAnsi"/>
          <w:color w:val="auto"/>
        </w:rPr>
        <w:t xml:space="preserve">-Torture Support Foundation </w:t>
      </w:r>
    </w:p>
    <w:p w:rsidR="00677872" w:rsidRPr="008773F8" w:rsidRDefault="00677872" w:rsidP="005C100D">
      <w:pPr>
        <w:pStyle w:val="Default"/>
        <w:numPr>
          <w:ilvl w:val="0"/>
          <w:numId w:val="34"/>
        </w:numPr>
        <w:spacing w:after="40"/>
        <w:jc w:val="both"/>
        <w:rPr>
          <w:rFonts w:asciiTheme="minorHAnsi" w:hAnsiTheme="minorHAnsi"/>
          <w:color w:val="auto"/>
          <w:lang w:val="en-US"/>
        </w:rPr>
      </w:pPr>
      <w:r w:rsidRPr="008773F8">
        <w:rPr>
          <w:rFonts w:asciiTheme="minorHAnsi" w:hAnsiTheme="minorHAnsi"/>
          <w:color w:val="auto"/>
          <w:lang w:val="en-US"/>
        </w:rPr>
        <w:t xml:space="preserve">Association of Aliens Law Lawyers </w:t>
      </w:r>
    </w:p>
    <w:p w:rsidR="00677872" w:rsidRPr="008773F8" w:rsidRDefault="00677872" w:rsidP="005C100D">
      <w:pPr>
        <w:pStyle w:val="Default"/>
        <w:numPr>
          <w:ilvl w:val="0"/>
          <w:numId w:val="34"/>
        </w:numPr>
        <w:spacing w:after="40"/>
        <w:jc w:val="both"/>
        <w:rPr>
          <w:rFonts w:asciiTheme="minorHAnsi" w:hAnsiTheme="minorHAnsi"/>
          <w:color w:val="auto"/>
          <w:lang w:val="en-GB"/>
        </w:rPr>
      </w:pPr>
      <w:r w:rsidRPr="008773F8">
        <w:rPr>
          <w:rFonts w:asciiTheme="minorHAnsi" w:hAnsiTheme="minorHAnsi"/>
          <w:color w:val="auto"/>
          <w:lang w:val="en-GB"/>
        </w:rPr>
        <w:t>Better Psychiatry – National Association of Relatives</w:t>
      </w:r>
      <w:r w:rsidR="004C27AF" w:rsidRPr="008773F8">
        <w:rPr>
          <w:rFonts w:asciiTheme="minorHAnsi" w:hAnsiTheme="minorHAnsi"/>
          <w:color w:val="auto"/>
          <w:lang w:val="en-GB"/>
        </w:rPr>
        <w:t xml:space="preserve"> </w:t>
      </w:r>
    </w:p>
    <w:p w:rsidR="00677872" w:rsidRPr="008773F8" w:rsidRDefault="00677872" w:rsidP="005C100D">
      <w:pPr>
        <w:pStyle w:val="Default"/>
        <w:numPr>
          <w:ilvl w:val="0"/>
          <w:numId w:val="34"/>
        </w:numPr>
        <w:spacing w:after="40"/>
        <w:jc w:val="both"/>
        <w:rPr>
          <w:rFonts w:asciiTheme="minorHAnsi" w:hAnsiTheme="minorHAnsi"/>
          <w:bCs/>
          <w:color w:val="auto"/>
          <w:lang w:val="en-GB"/>
        </w:rPr>
      </w:pPr>
      <w:r w:rsidRPr="008773F8">
        <w:rPr>
          <w:rFonts w:asciiTheme="minorHAnsi" w:hAnsiTheme="minorHAnsi"/>
          <w:color w:val="auto"/>
          <w:lang w:val="en-GB"/>
        </w:rPr>
        <w:t xml:space="preserve">Danish Association of Legal Affairs </w:t>
      </w:r>
    </w:p>
    <w:p w:rsidR="00677872" w:rsidRPr="008773F8" w:rsidRDefault="00677872" w:rsidP="005C100D">
      <w:pPr>
        <w:pStyle w:val="Default"/>
        <w:numPr>
          <w:ilvl w:val="0"/>
          <w:numId w:val="34"/>
        </w:numPr>
        <w:spacing w:after="40"/>
        <w:jc w:val="both"/>
        <w:rPr>
          <w:rFonts w:asciiTheme="minorHAnsi" w:hAnsiTheme="minorHAnsi"/>
          <w:bCs/>
          <w:color w:val="auto"/>
          <w:lang w:val="en-GB"/>
        </w:rPr>
      </w:pPr>
      <w:r w:rsidRPr="008773F8">
        <w:rPr>
          <w:rFonts w:asciiTheme="minorHAnsi" w:hAnsiTheme="minorHAnsi"/>
          <w:bCs/>
          <w:color w:val="auto"/>
          <w:lang w:val="en-GB"/>
        </w:rPr>
        <w:t>Danish Refugee C</w:t>
      </w:r>
      <w:bookmarkStart w:id="1" w:name="_GoBack"/>
      <w:bookmarkEnd w:id="1"/>
      <w:r w:rsidRPr="008773F8">
        <w:rPr>
          <w:rFonts w:asciiTheme="minorHAnsi" w:hAnsiTheme="minorHAnsi"/>
          <w:bCs/>
          <w:color w:val="auto"/>
          <w:lang w:val="en-GB"/>
        </w:rPr>
        <w:t xml:space="preserve">ouncil </w:t>
      </w:r>
    </w:p>
    <w:p w:rsidR="004C27AF" w:rsidRPr="008773F8" w:rsidRDefault="008773F8" w:rsidP="005C100D">
      <w:pPr>
        <w:pStyle w:val="Default"/>
        <w:numPr>
          <w:ilvl w:val="0"/>
          <w:numId w:val="34"/>
        </w:numPr>
        <w:spacing w:after="40"/>
        <w:jc w:val="both"/>
        <w:rPr>
          <w:rFonts w:asciiTheme="minorHAnsi" w:hAnsiTheme="minorHAnsi"/>
          <w:bCs/>
          <w:color w:val="auto"/>
          <w:lang w:val="en-GB"/>
        </w:rPr>
      </w:pPr>
      <w:r w:rsidRPr="008773F8">
        <w:rPr>
          <w:rFonts w:asciiTheme="minorHAnsi" w:hAnsiTheme="minorHAnsi"/>
          <w:color w:val="auto"/>
          <w:lang w:val="en-US"/>
        </w:rPr>
        <w:t xml:space="preserve">Disabled People’s </w:t>
      </w:r>
      <w:proofErr w:type="spellStart"/>
      <w:r w:rsidRPr="008773F8">
        <w:rPr>
          <w:rFonts w:asciiTheme="minorHAnsi" w:hAnsiTheme="minorHAnsi"/>
          <w:color w:val="auto"/>
          <w:lang w:val="en-US"/>
        </w:rPr>
        <w:t>Organisations</w:t>
      </w:r>
      <w:proofErr w:type="spellEnd"/>
      <w:r w:rsidRPr="008773F8">
        <w:rPr>
          <w:rFonts w:asciiTheme="minorHAnsi" w:hAnsiTheme="minorHAnsi"/>
          <w:color w:val="auto"/>
          <w:lang w:val="en-US"/>
        </w:rPr>
        <w:t xml:space="preserve"> Denmark</w:t>
      </w:r>
      <w:r w:rsidRPr="008773F8">
        <w:rPr>
          <w:rFonts w:asciiTheme="minorHAnsi" w:hAnsiTheme="minorHAnsi"/>
          <w:bCs/>
          <w:color w:val="auto"/>
          <w:lang w:val="en-GB"/>
        </w:rPr>
        <w:t xml:space="preserve"> </w:t>
      </w:r>
      <w:r w:rsidR="004C27AF" w:rsidRPr="008773F8">
        <w:rPr>
          <w:rFonts w:asciiTheme="minorHAnsi" w:hAnsiTheme="minorHAnsi"/>
          <w:bCs/>
          <w:color w:val="auto"/>
          <w:lang w:val="en-GB"/>
        </w:rPr>
        <w:t>(DH)</w:t>
      </w:r>
    </w:p>
    <w:p w:rsidR="00677872" w:rsidRPr="008773F8" w:rsidRDefault="00677872" w:rsidP="005C100D">
      <w:pPr>
        <w:pStyle w:val="Default"/>
        <w:numPr>
          <w:ilvl w:val="0"/>
          <w:numId w:val="34"/>
        </w:numPr>
        <w:spacing w:after="40"/>
        <w:jc w:val="both"/>
        <w:rPr>
          <w:rFonts w:asciiTheme="minorHAnsi" w:hAnsiTheme="minorHAnsi"/>
          <w:bCs/>
          <w:color w:val="auto"/>
          <w:lang w:val="en-GB"/>
        </w:rPr>
      </w:pPr>
      <w:r w:rsidRPr="008773F8">
        <w:rPr>
          <w:rFonts w:asciiTheme="minorHAnsi" w:hAnsiTheme="minorHAnsi"/>
          <w:bCs/>
          <w:color w:val="auto"/>
          <w:lang w:val="en-GB"/>
        </w:rPr>
        <w:t xml:space="preserve">DIGNITY – Danish Institute Against Torture </w:t>
      </w:r>
    </w:p>
    <w:p w:rsidR="00677872" w:rsidRPr="008773F8" w:rsidRDefault="00677872" w:rsidP="005C100D">
      <w:pPr>
        <w:pStyle w:val="Default"/>
        <w:numPr>
          <w:ilvl w:val="0"/>
          <w:numId w:val="34"/>
        </w:numPr>
        <w:spacing w:after="40"/>
        <w:jc w:val="both"/>
        <w:rPr>
          <w:rFonts w:asciiTheme="minorHAnsi" w:hAnsiTheme="minorHAnsi"/>
          <w:bCs/>
          <w:color w:val="auto"/>
          <w:lang w:val="en-GB"/>
        </w:rPr>
      </w:pPr>
      <w:r w:rsidRPr="008773F8">
        <w:rPr>
          <w:rFonts w:asciiTheme="minorHAnsi" w:hAnsiTheme="minorHAnsi"/>
          <w:bCs/>
          <w:color w:val="auto"/>
          <w:lang w:val="en-GB"/>
        </w:rPr>
        <w:t xml:space="preserve">International Rehabilitation Council for Torture Victims </w:t>
      </w:r>
    </w:p>
    <w:p w:rsidR="00677872" w:rsidRPr="008773F8" w:rsidRDefault="00677872" w:rsidP="005C100D">
      <w:pPr>
        <w:pStyle w:val="Default"/>
        <w:numPr>
          <w:ilvl w:val="0"/>
          <w:numId w:val="34"/>
        </w:numPr>
        <w:spacing w:after="40"/>
        <w:jc w:val="both"/>
        <w:rPr>
          <w:rFonts w:asciiTheme="minorHAnsi" w:hAnsiTheme="minorHAnsi"/>
          <w:color w:val="auto"/>
          <w:lang w:val="en-GB"/>
        </w:rPr>
      </w:pPr>
      <w:r w:rsidRPr="008773F8">
        <w:rPr>
          <w:rFonts w:asciiTheme="minorHAnsi" w:hAnsiTheme="minorHAnsi"/>
          <w:color w:val="auto"/>
          <w:lang w:val="en-GB"/>
        </w:rPr>
        <w:t xml:space="preserve">Joint Council for Child Issues </w:t>
      </w:r>
    </w:p>
    <w:p w:rsidR="00677872" w:rsidRPr="008773F8" w:rsidRDefault="00677872" w:rsidP="005C100D">
      <w:pPr>
        <w:pStyle w:val="Default"/>
        <w:numPr>
          <w:ilvl w:val="0"/>
          <w:numId w:val="34"/>
        </w:numPr>
        <w:spacing w:after="40"/>
        <w:jc w:val="both"/>
        <w:rPr>
          <w:rFonts w:asciiTheme="minorHAnsi" w:hAnsiTheme="minorHAnsi"/>
          <w:color w:val="auto"/>
          <w:lang w:val="en-GB"/>
        </w:rPr>
      </w:pPr>
      <w:r w:rsidRPr="008773F8">
        <w:rPr>
          <w:rFonts w:asciiTheme="minorHAnsi" w:hAnsiTheme="minorHAnsi"/>
          <w:color w:val="auto"/>
          <w:lang w:val="en-GB"/>
        </w:rPr>
        <w:t xml:space="preserve">KRIM – National Association </w:t>
      </w:r>
    </w:p>
    <w:p w:rsidR="00677872" w:rsidRPr="008773F8" w:rsidRDefault="00677872" w:rsidP="005C100D">
      <w:pPr>
        <w:pStyle w:val="Default"/>
        <w:numPr>
          <w:ilvl w:val="0"/>
          <w:numId w:val="34"/>
        </w:numPr>
        <w:spacing w:after="40"/>
        <w:jc w:val="both"/>
        <w:rPr>
          <w:rFonts w:asciiTheme="minorHAnsi" w:hAnsiTheme="minorHAnsi"/>
          <w:bCs/>
          <w:color w:val="auto"/>
          <w:lang w:val="en-GB"/>
        </w:rPr>
      </w:pPr>
      <w:r w:rsidRPr="008773F8">
        <w:rPr>
          <w:rFonts w:asciiTheme="minorHAnsi" w:hAnsiTheme="minorHAnsi"/>
          <w:bCs/>
          <w:color w:val="auto"/>
          <w:lang w:val="en-GB"/>
        </w:rPr>
        <w:t xml:space="preserve">LGBT Denmark </w:t>
      </w:r>
    </w:p>
    <w:p w:rsidR="00677872" w:rsidRPr="008773F8" w:rsidRDefault="00677872" w:rsidP="005C100D">
      <w:pPr>
        <w:pStyle w:val="Default"/>
        <w:numPr>
          <w:ilvl w:val="0"/>
          <w:numId w:val="34"/>
        </w:numPr>
        <w:spacing w:after="40"/>
        <w:jc w:val="both"/>
        <w:rPr>
          <w:rFonts w:asciiTheme="minorHAnsi" w:hAnsiTheme="minorHAnsi"/>
          <w:bCs/>
          <w:color w:val="auto"/>
          <w:lang w:val="en-GB"/>
        </w:rPr>
      </w:pPr>
      <w:r w:rsidRPr="008773F8">
        <w:rPr>
          <w:rFonts w:asciiTheme="minorHAnsi" w:hAnsiTheme="minorHAnsi"/>
          <w:bCs/>
          <w:color w:val="auto"/>
          <w:lang w:val="en-GB"/>
        </w:rPr>
        <w:t xml:space="preserve">OASIS – Treatment and Counselling of Refugees </w:t>
      </w:r>
    </w:p>
    <w:p w:rsidR="00677872" w:rsidRPr="008773F8" w:rsidRDefault="00677872" w:rsidP="005C100D">
      <w:pPr>
        <w:pStyle w:val="Default"/>
        <w:numPr>
          <w:ilvl w:val="0"/>
          <w:numId w:val="34"/>
        </w:numPr>
        <w:spacing w:after="40"/>
        <w:jc w:val="both"/>
        <w:rPr>
          <w:rFonts w:asciiTheme="minorHAnsi" w:hAnsiTheme="minorHAnsi"/>
          <w:bCs/>
          <w:color w:val="auto"/>
          <w:lang w:val="en-GB"/>
        </w:rPr>
      </w:pPr>
      <w:r w:rsidRPr="008773F8">
        <w:rPr>
          <w:rFonts w:asciiTheme="minorHAnsi" w:hAnsiTheme="minorHAnsi"/>
          <w:bCs/>
          <w:color w:val="auto"/>
          <w:lang w:val="en-GB"/>
        </w:rPr>
        <w:t>Rehabilitation Centre for Torture Victims - Jutland</w:t>
      </w:r>
    </w:p>
    <w:p w:rsidR="00677872" w:rsidRPr="008773F8" w:rsidRDefault="00677872" w:rsidP="005C100D">
      <w:pPr>
        <w:pStyle w:val="Default"/>
        <w:numPr>
          <w:ilvl w:val="0"/>
          <w:numId w:val="34"/>
        </w:numPr>
        <w:spacing w:after="40"/>
        <w:jc w:val="both"/>
        <w:rPr>
          <w:rFonts w:asciiTheme="minorHAnsi" w:hAnsiTheme="minorHAnsi"/>
          <w:bCs/>
          <w:color w:val="auto"/>
          <w:lang w:val="en-GB"/>
        </w:rPr>
      </w:pPr>
      <w:r w:rsidRPr="008773F8">
        <w:rPr>
          <w:rFonts w:asciiTheme="minorHAnsi" w:hAnsiTheme="minorHAnsi"/>
          <w:bCs/>
          <w:color w:val="auto"/>
          <w:lang w:val="en-GB"/>
        </w:rPr>
        <w:t>U</w:t>
      </w:r>
      <w:r w:rsidRPr="008773F8">
        <w:rPr>
          <w:rFonts w:asciiTheme="minorHAnsi" w:hAnsiTheme="minorHAnsi"/>
          <w:color w:val="auto"/>
          <w:lang w:val="en-GB"/>
        </w:rPr>
        <w:t xml:space="preserve">nited Nations Association Denmark </w:t>
      </w:r>
    </w:p>
    <w:p w:rsidR="00DC3BE3" w:rsidRPr="008773F8" w:rsidRDefault="00677872" w:rsidP="005C100D">
      <w:pPr>
        <w:pStyle w:val="Default"/>
        <w:numPr>
          <w:ilvl w:val="0"/>
          <w:numId w:val="34"/>
        </w:numPr>
        <w:spacing w:after="200"/>
        <w:jc w:val="both"/>
        <w:rPr>
          <w:rFonts w:asciiTheme="minorHAnsi" w:hAnsiTheme="minorHAnsi" w:cstheme="majorBidi"/>
          <w:color w:val="auto"/>
          <w:lang w:val="en-GB"/>
        </w:rPr>
      </w:pPr>
      <w:r w:rsidRPr="008773F8">
        <w:rPr>
          <w:rFonts w:asciiTheme="minorHAnsi" w:hAnsiTheme="minorHAnsi"/>
          <w:color w:val="auto"/>
          <w:lang w:val="en-GB"/>
        </w:rPr>
        <w:t>Women’s Council in Denmark</w:t>
      </w:r>
    </w:p>
    <w:p w:rsidR="00D13F32" w:rsidRPr="005C100D" w:rsidRDefault="00677872" w:rsidP="005C100D">
      <w:pPr>
        <w:jc w:val="both"/>
        <w:rPr>
          <w:rFonts w:cstheme="majorBidi"/>
          <w:b/>
          <w:sz w:val="24"/>
          <w:szCs w:val="24"/>
          <w:lang w:val="en-GB"/>
        </w:rPr>
      </w:pPr>
      <w:r w:rsidRPr="005C100D">
        <w:rPr>
          <w:rFonts w:cstheme="majorBidi"/>
          <w:b/>
          <w:sz w:val="24"/>
          <w:szCs w:val="24"/>
          <w:lang w:val="en-GB"/>
        </w:rPr>
        <w:t>Positive developments</w:t>
      </w:r>
    </w:p>
    <w:p w:rsidR="00E660FC" w:rsidRPr="005C100D" w:rsidRDefault="00677872" w:rsidP="005C100D">
      <w:pPr>
        <w:jc w:val="both"/>
        <w:rPr>
          <w:rFonts w:cstheme="majorBidi"/>
          <w:b/>
          <w:sz w:val="24"/>
          <w:szCs w:val="24"/>
          <w:lang w:val="en-GB"/>
        </w:rPr>
      </w:pPr>
      <w:r w:rsidRPr="005C100D">
        <w:rPr>
          <w:rFonts w:cstheme="majorBidi"/>
          <w:sz w:val="24"/>
          <w:szCs w:val="24"/>
          <w:lang w:val="en-GB"/>
        </w:rPr>
        <w:t>Since Denmark underwent its last</w:t>
      </w:r>
      <w:r w:rsidR="004C27AF" w:rsidRPr="005C100D">
        <w:rPr>
          <w:rFonts w:cstheme="majorBidi"/>
          <w:sz w:val="24"/>
          <w:szCs w:val="24"/>
          <w:lang w:val="en-GB"/>
        </w:rPr>
        <w:t xml:space="preserve"> review by the Committee in 2008</w:t>
      </w:r>
      <w:r w:rsidR="003F56D2" w:rsidRPr="005C100D">
        <w:rPr>
          <w:rFonts w:cstheme="majorBidi"/>
          <w:sz w:val="24"/>
          <w:szCs w:val="24"/>
          <w:lang w:val="en-GB"/>
        </w:rPr>
        <w:t xml:space="preserve"> and since the List of Issues of 2011</w:t>
      </w:r>
      <w:r w:rsidRPr="005C100D">
        <w:rPr>
          <w:rFonts w:cstheme="majorBidi"/>
          <w:sz w:val="24"/>
          <w:szCs w:val="24"/>
          <w:lang w:val="en-GB"/>
        </w:rPr>
        <w:t>, it has made progress in a number of areas, notably with regard to reduction of solitary confinement during pre-trial detention</w:t>
      </w:r>
      <w:r w:rsidR="003F56D2" w:rsidRPr="005C100D">
        <w:rPr>
          <w:rStyle w:val="FootnoteReference"/>
          <w:rFonts w:cstheme="majorBidi"/>
          <w:sz w:val="24"/>
          <w:szCs w:val="24"/>
          <w:lang w:val="en-GB"/>
        </w:rPr>
        <w:footnoteReference w:id="1"/>
      </w:r>
      <w:r w:rsidR="003F56D2" w:rsidRPr="005C100D">
        <w:rPr>
          <w:rFonts w:cstheme="majorBidi"/>
          <w:sz w:val="24"/>
          <w:szCs w:val="24"/>
          <w:lang w:val="en-GB"/>
        </w:rPr>
        <w:t>; the establishment of the Independent Police Complaints Authority</w:t>
      </w:r>
      <w:r w:rsidR="003F56D2" w:rsidRPr="005C100D">
        <w:rPr>
          <w:rStyle w:val="FootnoteReference"/>
          <w:rFonts w:cstheme="majorBidi"/>
          <w:sz w:val="24"/>
          <w:szCs w:val="24"/>
          <w:lang w:val="en-GB"/>
        </w:rPr>
        <w:footnoteReference w:id="2"/>
      </w:r>
      <w:r w:rsidR="003F56D2" w:rsidRPr="005C100D">
        <w:rPr>
          <w:rFonts w:cstheme="majorBidi"/>
          <w:sz w:val="24"/>
          <w:szCs w:val="24"/>
          <w:lang w:val="en-GB"/>
        </w:rPr>
        <w:t xml:space="preserve"> and the adoption of a comprehensive action plan to reduce the use of coercive measu</w:t>
      </w:r>
      <w:r w:rsidR="00337310">
        <w:rPr>
          <w:rFonts w:cstheme="majorBidi"/>
          <w:sz w:val="24"/>
          <w:szCs w:val="24"/>
          <w:lang w:val="en-GB"/>
        </w:rPr>
        <w:t>res in mental health facilities</w:t>
      </w:r>
      <w:r w:rsidRPr="005C100D">
        <w:rPr>
          <w:rFonts w:cstheme="majorBidi"/>
          <w:sz w:val="24"/>
          <w:szCs w:val="24"/>
          <w:lang w:val="en-GB"/>
        </w:rPr>
        <w:t>.</w:t>
      </w:r>
      <w:r w:rsidR="003F56D2" w:rsidRPr="005C100D">
        <w:rPr>
          <w:rStyle w:val="FootnoteReference"/>
          <w:rFonts w:cstheme="majorBidi"/>
          <w:sz w:val="24"/>
          <w:szCs w:val="24"/>
          <w:lang w:val="en-GB"/>
        </w:rPr>
        <w:footnoteReference w:id="3"/>
      </w:r>
      <w:r w:rsidRPr="005C100D">
        <w:rPr>
          <w:rFonts w:cstheme="majorBidi"/>
          <w:sz w:val="24"/>
          <w:szCs w:val="24"/>
          <w:lang w:val="en-GB"/>
        </w:rPr>
        <w:t xml:space="preserve"> </w:t>
      </w:r>
    </w:p>
    <w:p w:rsidR="00873141" w:rsidRPr="005C100D" w:rsidRDefault="00873141" w:rsidP="005C100D">
      <w:pPr>
        <w:jc w:val="both"/>
        <w:rPr>
          <w:rFonts w:cstheme="majorBidi"/>
          <w:b/>
          <w:sz w:val="24"/>
          <w:szCs w:val="24"/>
          <w:lang w:val="en-GB"/>
        </w:rPr>
      </w:pPr>
    </w:p>
    <w:p w:rsidR="00873141" w:rsidRPr="005C100D" w:rsidRDefault="00873141" w:rsidP="005C100D">
      <w:pPr>
        <w:jc w:val="both"/>
        <w:rPr>
          <w:rFonts w:cstheme="majorBidi"/>
          <w:b/>
          <w:sz w:val="24"/>
          <w:szCs w:val="24"/>
          <w:lang w:val="en-GB"/>
        </w:rPr>
      </w:pPr>
    </w:p>
    <w:p w:rsidR="008F0374" w:rsidRPr="005C100D" w:rsidRDefault="00E660FC" w:rsidP="005C100D">
      <w:pPr>
        <w:jc w:val="both"/>
        <w:rPr>
          <w:rFonts w:cstheme="majorBidi"/>
          <w:b/>
          <w:sz w:val="24"/>
          <w:szCs w:val="24"/>
          <w:lang w:val="en-GB"/>
        </w:rPr>
      </w:pPr>
      <w:r w:rsidRPr="005C100D">
        <w:rPr>
          <w:rFonts w:cstheme="majorBidi"/>
          <w:b/>
          <w:sz w:val="24"/>
          <w:szCs w:val="24"/>
          <w:lang w:val="en-GB"/>
        </w:rPr>
        <w:lastRenderedPageBreak/>
        <w:t>I</w:t>
      </w:r>
      <w:r w:rsidR="00677872" w:rsidRPr="005C100D">
        <w:rPr>
          <w:rFonts w:cstheme="majorBidi"/>
          <w:b/>
          <w:sz w:val="24"/>
          <w:szCs w:val="24"/>
          <w:lang w:val="en-GB"/>
        </w:rPr>
        <w:t>ssues of concern</w:t>
      </w:r>
    </w:p>
    <w:p w:rsidR="00677872" w:rsidRPr="005C100D" w:rsidRDefault="00677872" w:rsidP="005C100D">
      <w:pPr>
        <w:jc w:val="both"/>
        <w:rPr>
          <w:rFonts w:cstheme="majorBidi"/>
          <w:b/>
          <w:sz w:val="24"/>
          <w:szCs w:val="24"/>
          <w:lang w:val="en-GB"/>
        </w:rPr>
      </w:pPr>
      <w:r w:rsidRPr="005C100D">
        <w:rPr>
          <w:rFonts w:cstheme="majorBidi"/>
          <w:sz w:val="24"/>
          <w:szCs w:val="24"/>
          <w:lang w:val="en-GB"/>
        </w:rPr>
        <w:t xml:space="preserve">However, in </w:t>
      </w:r>
      <w:r w:rsidR="006D4581">
        <w:rPr>
          <w:rFonts w:cstheme="majorBidi"/>
          <w:sz w:val="24"/>
          <w:szCs w:val="24"/>
          <w:lang w:val="en-GB"/>
        </w:rPr>
        <w:t xml:space="preserve">many </w:t>
      </w:r>
      <w:r w:rsidRPr="005C100D">
        <w:rPr>
          <w:rFonts w:cstheme="majorBidi"/>
          <w:sz w:val="24"/>
          <w:szCs w:val="24"/>
          <w:lang w:val="en-GB"/>
        </w:rPr>
        <w:t>other areas</w:t>
      </w:r>
      <w:r w:rsidR="005735DD">
        <w:rPr>
          <w:rFonts w:cstheme="majorBidi"/>
          <w:sz w:val="24"/>
          <w:szCs w:val="24"/>
          <w:lang w:val="en-GB"/>
        </w:rPr>
        <w:t>,</w:t>
      </w:r>
      <w:r w:rsidRPr="005C100D">
        <w:rPr>
          <w:rFonts w:cstheme="majorBidi"/>
          <w:sz w:val="24"/>
          <w:szCs w:val="24"/>
          <w:lang w:val="en-GB"/>
        </w:rPr>
        <w:t xml:space="preserve"> improvements are lacking and the recommendations of </w:t>
      </w:r>
      <w:r w:rsidR="006D4581">
        <w:rPr>
          <w:rFonts w:cstheme="majorBidi"/>
          <w:sz w:val="24"/>
          <w:szCs w:val="24"/>
          <w:lang w:val="en-GB"/>
        </w:rPr>
        <w:t xml:space="preserve">the </w:t>
      </w:r>
      <w:r w:rsidR="003E17A7" w:rsidRPr="005C100D">
        <w:rPr>
          <w:rFonts w:cstheme="majorBidi"/>
          <w:sz w:val="24"/>
          <w:szCs w:val="24"/>
          <w:lang w:val="en-GB"/>
        </w:rPr>
        <w:t>HRC</w:t>
      </w:r>
      <w:r w:rsidRPr="005C100D">
        <w:rPr>
          <w:rFonts w:cstheme="majorBidi"/>
          <w:sz w:val="24"/>
          <w:szCs w:val="24"/>
          <w:lang w:val="en-GB"/>
        </w:rPr>
        <w:t xml:space="preserve">, other UN treaty bodies and the European Committee for the Prevention of Torture (CPT) have </w:t>
      </w:r>
      <w:r w:rsidR="006D4581">
        <w:rPr>
          <w:rFonts w:cstheme="majorBidi"/>
          <w:sz w:val="24"/>
          <w:szCs w:val="24"/>
          <w:lang w:val="en-GB"/>
        </w:rPr>
        <w:t xml:space="preserve">unfortunately </w:t>
      </w:r>
      <w:r w:rsidRPr="005C100D">
        <w:rPr>
          <w:rFonts w:cstheme="majorBidi"/>
          <w:sz w:val="24"/>
          <w:szCs w:val="24"/>
          <w:lang w:val="en-GB"/>
        </w:rPr>
        <w:t xml:space="preserve">not been implemented. </w:t>
      </w:r>
    </w:p>
    <w:p w:rsidR="00677872" w:rsidRPr="005C100D" w:rsidRDefault="006D4581" w:rsidP="005C100D">
      <w:pPr>
        <w:jc w:val="both"/>
        <w:rPr>
          <w:rFonts w:cstheme="majorBidi"/>
          <w:sz w:val="24"/>
          <w:szCs w:val="24"/>
          <w:lang w:val="en-GB"/>
        </w:rPr>
      </w:pPr>
      <w:r>
        <w:rPr>
          <w:rFonts w:cstheme="majorBidi"/>
          <w:sz w:val="24"/>
          <w:szCs w:val="24"/>
          <w:lang w:val="en-GB"/>
        </w:rPr>
        <w:t>Notably</w:t>
      </w:r>
      <w:r w:rsidR="00677872" w:rsidRPr="005C100D">
        <w:rPr>
          <w:rFonts w:cstheme="majorBidi"/>
          <w:sz w:val="24"/>
          <w:szCs w:val="24"/>
          <w:lang w:val="en-GB"/>
        </w:rPr>
        <w:t xml:space="preserve">, Denmark maintains its position </w:t>
      </w:r>
      <w:r w:rsidR="00677872" w:rsidRPr="005C100D">
        <w:rPr>
          <w:rFonts w:cstheme="majorBidi"/>
          <w:b/>
          <w:bCs/>
          <w:sz w:val="24"/>
          <w:szCs w:val="24"/>
          <w:lang w:val="en-GB"/>
        </w:rPr>
        <w:t xml:space="preserve">not to incorporate the </w:t>
      </w:r>
      <w:r w:rsidR="008F0C74" w:rsidRPr="005C100D">
        <w:rPr>
          <w:rFonts w:cstheme="majorBidi"/>
          <w:b/>
          <w:bCs/>
          <w:sz w:val="24"/>
          <w:szCs w:val="24"/>
          <w:lang w:val="en-GB"/>
        </w:rPr>
        <w:t>ICCPR</w:t>
      </w:r>
      <w:r w:rsidR="00677872" w:rsidRPr="005C100D">
        <w:rPr>
          <w:rFonts w:cstheme="majorBidi"/>
          <w:b/>
          <w:bCs/>
          <w:sz w:val="24"/>
          <w:szCs w:val="24"/>
          <w:lang w:val="en-GB"/>
        </w:rPr>
        <w:t xml:space="preserve"> into Danish law</w:t>
      </w:r>
      <w:r w:rsidR="00677872" w:rsidRPr="005C100D">
        <w:rPr>
          <w:rFonts w:cstheme="majorBidi"/>
          <w:sz w:val="24"/>
          <w:szCs w:val="24"/>
          <w:lang w:val="en-GB"/>
        </w:rPr>
        <w:t xml:space="preserve">, despite the clear recommendation to the contrary by </w:t>
      </w:r>
      <w:r w:rsidR="00FB4C0F">
        <w:rPr>
          <w:rFonts w:cstheme="majorBidi"/>
          <w:sz w:val="24"/>
          <w:szCs w:val="24"/>
          <w:lang w:val="en-GB"/>
        </w:rPr>
        <w:t xml:space="preserve">members of </w:t>
      </w:r>
      <w:r w:rsidR="00677872" w:rsidRPr="005C100D">
        <w:rPr>
          <w:rFonts w:cstheme="majorBidi"/>
          <w:sz w:val="24"/>
          <w:szCs w:val="24"/>
          <w:lang w:val="en-GB"/>
        </w:rPr>
        <w:t>two Exp</w:t>
      </w:r>
      <w:r>
        <w:rPr>
          <w:rFonts w:cstheme="majorBidi"/>
          <w:sz w:val="24"/>
          <w:szCs w:val="24"/>
          <w:lang w:val="en-GB"/>
        </w:rPr>
        <w:t>ert Committees in 2001 and 2014</w:t>
      </w:r>
      <w:r w:rsidR="00677872" w:rsidRPr="005C100D">
        <w:rPr>
          <w:rFonts w:cstheme="majorBidi"/>
          <w:sz w:val="24"/>
          <w:szCs w:val="24"/>
          <w:lang w:val="en-GB"/>
        </w:rPr>
        <w:t>. Moreover, in spite of the long-standing criticism of Denmark’s use of solitary confinement as a disciplinary sanction</w:t>
      </w:r>
      <w:r w:rsidRPr="005C100D">
        <w:rPr>
          <w:rStyle w:val="FootnoteReference"/>
          <w:rFonts w:cstheme="majorBidi"/>
          <w:sz w:val="24"/>
          <w:szCs w:val="24"/>
          <w:lang w:val="en-GB"/>
        </w:rPr>
        <w:footnoteReference w:id="4"/>
      </w:r>
      <w:r w:rsidR="00677872" w:rsidRPr="005C100D">
        <w:rPr>
          <w:rFonts w:cstheme="majorBidi"/>
          <w:sz w:val="24"/>
          <w:szCs w:val="24"/>
          <w:lang w:val="en-GB"/>
        </w:rPr>
        <w:t xml:space="preserve"> </w:t>
      </w:r>
      <w:r w:rsidR="008F0C74" w:rsidRPr="005C100D">
        <w:rPr>
          <w:rFonts w:cstheme="majorBidi"/>
          <w:sz w:val="24"/>
          <w:szCs w:val="24"/>
          <w:lang w:val="en-GB"/>
        </w:rPr>
        <w:t>(</w:t>
      </w:r>
      <w:r w:rsidR="00742BF4">
        <w:rPr>
          <w:rFonts w:cstheme="majorBidi"/>
          <w:sz w:val="24"/>
          <w:szCs w:val="24"/>
          <w:lang w:val="en-GB"/>
        </w:rPr>
        <w:t>not during</w:t>
      </w:r>
      <w:r w:rsidR="008F0C74" w:rsidRPr="005C100D">
        <w:rPr>
          <w:rFonts w:cstheme="majorBidi"/>
          <w:sz w:val="24"/>
          <w:szCs w:val="24"/>
          <w:lang w:val="en-GB"/>
        </w:rPr>
        <w:t xml:space="preserve"> pre-trial detention) </w:t>
      </w:r>
      <w:r w:rsidR="00677872" w:rsidRPr="005C100D">
        <w:rPr>
          <w:rFonts w:cstheme="majorBidi"/>
          <w:sz w:val="24"/>
          <w:szCs w:val="24"/>
          <w:lang w:val="en-GB"/>
        </w:rPr>
        <w:t xml:space="preserve">and despite the authorities’ pledge to work on reducing such measures, the numbers indicate </w:t>
      </w:r>
      <w:r w:rsidR="00677872" w:rsidRPr="005C100D">
        <w:rPr>
          <w:rFonts w:cstheme="majorBidi"/>
          <w:bCs/>
          <w:sz w:val="24"/>
          <w:szCs w:val="24"/>
          <w:lang w:val="en-GB"/>
        </w:rPr>
        <w:t>that</w:t>
      </w:r>
      <w:r w:rsidR="00677872" w:rsidRPr="005C100D">
        <w:rPr>
          <w:rFonts w:cstheme="majorBidi"/>
          <w:b/>
          <w:bCs/>
          <w:sz w:val="24"/>
          <w:szCs w:val="24"/>
          <w:lang w:val="en-GB"/>
        </w:rPr>
        <w:t xml:space="preserve"> solitary confinement is still used extensively</w:t>
      </w:r>
      <w:r w:rsidR="008F0C74" w:rsidRPr="005C100D">
        <w:rPr>
          <w:rFonts w:cstheme="majorBidi"/>
          <w:b/>
          <w:bCs/>
          <w:sz w:val="24"/>
          <w:szCs w:val="24"/>
          <w:lang w:val="en-GB"/>
        </w:rPr>
        <w:t>, including towards minors,</w:t>
      </w:r>
      <w:r w:rsidR="00677872" w:rsidRPr="005C100D">
        <w:rPr>
          <w:rFonts w:cstheme="majorBidi"/>
          <w:sz w:val="24"/>
          <w:szCs w:val="24"/>
          <w:lang w:val="en-GB"/>
        </w:rPr>
        <w:t xml:space="preserve"> and its use has increased dramatically over the past decade</w:t>
      </w:r>
      <w:r w:rsidR="008F0C74" w:rsidRPr="005C100D">
        <w:rPr>
          <w:rFonts w:cstheme="majorBidi"/>
          <w:sz w:val="24"/>
          <w:szCs w:val="24"/>
          <w:lang w:val="en-GB"/>
        </w:rPr>
        <w:t xml:space="preserve">. </w:t>
      </w:r>
      <w:r w:rsidR="00677872" w:rsidRPr="005C100D">
        <w:rPr>
          <w:rFonts w:cstheme="majorBidi"/>
          <w:sz w:val="24"/>
          <w:szCs w:val="24"/>
          <w:lang w:val="en-GB"/>
        </w:rPr>
        <w:t xml:space="preserve">Similarly, </w:t>
      </w:r>
      <w:r w:rsidR="00677872" w:rsidRPr="005C100D">
        <w:rPr>
          <w:rFonts w:cstheme="majorBidi"/>
          <w:b/>
          <w:bCs/>
          <w:sz w:val="24"/>
          <w:szCs w:val="24"/>
          <w:lang w:val="en-GB"/>
        </w:rPr>
        <w:t>the use of pre-trial detention</w:t>
      </w:r>
      <w:r w:rsidR="00677872" w:rsidRPr="005C100D">
        <w:rPr>
          <w:rFonts w:cstheme="majorBidi"/>
          <w:sz w:val="24"/>
          <w:szCs w:val="24"/>
          <w:lang w:val="en-GB"/>
        </w:rPr>
        <w:t xml:space="preserve"> continues to be extensive and respect for the legal safeguards of pre-trial detainees is at times lacking</w:t>
      </w:r>
      <w:r>
        <w:rPr>
          <w:rFonts w:cstheme="majorBidi"/>
          <w:sz w:val="24"/>
          <w:szCs w:val="24"/>
          <w:lang w:val="en-GB"/>
        </w:rPr>
        <w:t xml:space="preserve"> despite strong recommendations by UN committees and the CPT</w:t>
      </w:r>
      <w:r w:rsidR="008F0C74" w:rsidRPr="005C100D">
        <w:rPr>
          <w:rFonts w:cstheme="majorBidi"/>
          <w:sz w:val="24"/>
          <w:szCs w:val="24"/>
          <w:lang w:val="en-GB"/>
        </w:rPr>
        <w:t>.</w:t>
      </w:r>
      <w:r w:rsidR="00677872" w:rsidRPr="005C100D">
        <w:rPr>
          <w:rFonts w:cstheme="majorBidi"/>
          <w:sz w:val="24"/>
          <w:szCs w:val="24"/>
          <w:lang w:val="en-GB"/>
        </w:rPr>
        <w:t xml:space="preserve"> </w:t>
      </w:r>
    </w:p>
    <w:p w:rsidR="008B6823" w:rsidRDefault="00677872" w:rsidP="005C100D">
      <w:pPr>
        <w:jc w:val="both"/>
        <w:rPr>
          <w:rFonts w:cstheme="majorBidi"/>
          <w:sz w:val="24"/>
          <w:szCs w:val="24"/>
          <w:lang w:val="en-GB"/>
        </w:rPr>
      </w:pPr>
      <w:r w:rsidRPr="005C100D">
        <w:rPr>
          <w:rFonts w:cstheme="majorBidi"/>
          <w:sz w:val="24"/>
          <w:szCs w:val="24"/>
          <w:lang w:val="en-GB"/>
        </w:rPr>
        <w:t xml:space="preserve">Furthermore, over the last years, and especially since the election of the current government in June </w:t>
      </w:r>
      <w:r w:rsidR="006D4581">
        <w:rPr>
          <w:rFonts w:cstheme="majorBidi"/>
          <w:sz w:val="24"/>
          <w:szCs w:val="24"/>
          <w:lang w:val="en-GB"/>
        </w:rPr>
        <w:t>last</w:t>
      </w:r>
      <w:r w:rsidRPr="005C100D">
        <w:rPr>
          <w:rFonts w:cstheme="majorBidi"/>
          <w:sz w:val="24"/>
          <w:szCs w:val="24"/>
          <w:lang w:val="en-GB"/>
        </w:rPr>
        <w:t xml:space="preserve"> year, we have witnessed </w:t>
      </w:r>
      <w:r w:rsidRPr="005C100D">
        <w:rPr>
          <w:rFonts w:cstheme="majorBidi"/>
          <w:b/>
          <w:bCs/>
          <w:sz w:val="24"/>
          <w:szCs w:val="24"/>
          <w:lang w:val="en-GB"/>
        </w:rPr>
        <w:t>further restrictions on the protection granted to refugees</w:t>
      </w:r>
      <w:r w:rsidR="006D4581">
        <w:rPr>
          <w:rFonts w:cstheme="majorBidi"/>
          <w:b/>
          <w:bCs/>
          <w:sz w:val="24"/>
          <w:szCs w:val="24"/>
          <w:lang w:val="en-GB"/>
        </w:rPr>
        <w:t xml:space="preserve"> who come to Denmark</w:t>
      </w:r>
      <w:r w:rsidR="00281D3D">
        <w:rPr>
          <w:rFonts w:cstheme="majorBidi"/>
          <w:b/>
          <w:bCs/>
          <w:sz w:val="24"/>
          <w:szCs w:val="24"/>
          <w:lang w:val="en-GB"/>
        </w:rPr>
        <w:t xml:space="preserve">. </w:t>
      </w:r>
      <w:r w:rsidR="00281D3D">
        <w:rPr>
          <w:rFonts w:cstheme="majorBidi"/>
          <w:bCs/>
          <w:sz w:val="24"/>
          <w:szCs w:val="24"/>
          <w:lang w:val="en-GB"/>
        </w:rPr>
        <w:t>This</w:t>
      </w:r>
      <w:r w:rsidRPr="005C100D">
        <w:rPr>
          <w:rFonts w:cstheme="majorBidi"/>
          <w:bCs/>
          <w:sz w:val="24"/>
          <w:szCs w:val="24"/>
          <w:lang w:val="en-GB"/>
        </w:rPr>
        <w:t xml:space="preserve"> would also raise</w:t>
      </w:r>
      <w:r w:rsidR="006D4581">
        <w:rPr>
          <w:rFonts w:cstheme="majorBidi"/>
          <w:bCs/>
          <w:sz w:val="24"/>
          <w:szCs w:val="24"/>
          <w:lang w:val="en-GB"/>
        </w:rPr>
        <w:t xml:space="preserve"> serious</w:t>
      </w:r>
      <w:r w:rsidRPr="005C100D">
        <w:rPr>
          <w:rFonts w:cstheme="majorBidi"/>
          <w:bCs/>
          <w:sz w:val="24"/>
          <w:szCs w:val="24"/>
          <w:lang w:val="en-GB"/>
        </w:rPr>
        <w:t xml:space="preserve"> concerns under the </w:t>
      </w:r>
      <w:r w:rsidR="008F0C74" w:rsidRPr="005C100D">
        <w:rPr>
          <w:rFonts w:cstheme="majorBidi"/>
          <w:bCs/>
          <w:sz w:val="24"/>
          <w:szCs w:val="24"/>
          <w:lang w:val="en-GB"/>
        </w:rPr>
        <w:t>ICCPR</w:t>
      </w:r>
      <w:r w:rsidR="006D4581">
        <w:rPr>
          <w:rFonts w:cstheme="majorBidi"/>
          <w:bCs/>
          <w:sz w:val="24"/>
          <w:szCs w:val="24"/>
          <w:lang w:val="en-GB"/>
        </w:rPr>
        <w:t xml:space="preserve">, for example in relation to </w:t>
      </w:r>
      <w:r w:rsidR="00E373A6">
        <w:rPr>
          <w:rFonts w:cstheme="majorBidi"/>
          <w:bCs/>
          <w:sz w:val="24"/>
          <w:szCs w:val="24"/>
          <w:lang w:val="en-GB"/>
        </w:rPr>
        <w:t xml:space="preserve">the </w:t>
      </w:r>
      <w:r w:rsidR="008B6823">
        <w:rPr>
          <w:rFonts w:cstheme="majorBidi"/>
          <w:bCs/>
          <w:sz w:val="24"/>
          <w:szCs w:val="24"/>
          <w:lang w:val="en-GB"/>
        </w:rPr>
        <w:t xml:space="preserve">increased </w:t>
      </w:r>
      <w:r w:rsidR="00E373A6">
        <w:rPr>
          <w:rFonts w:cstheme="majorBidi"/>
          <w:bCs/>
          <w:sz w:val="24"/>
          <w:szCs w:val="24"/>
          <w:lang w:val="en-GB"/>
        </w:rPr>
        <w:t>use of detention</w:t>
      </w:r>
      <w:r w:rsidR="008B6823">
        <w:rPr>
          <w:rFonts w:cstheme="majorBidi"/>
          <w:bCs/>
          <w:sz w:val="24"/>
          <w:szCs w:val="24"/>
          <w:lang w:val="en-GB"/>
        </w:rPr>
        <w:t xml:space="preserve"> of refugees</w:t>
      </w:r>
      <w:r w:rsidR="00E373A6">
        <w:rPr>
          <w:rFonts w:cstheme="majorBidi"/>
          <w:bCs/>
          <w:sz w:val="24"/>
          <w:szCs w:val="24"/>
          <w:lang w:val="en-GB"/>
        </w:rPr>
        <w:t xml:space="preserve"> and </w:t>
      </w:r>
      <w:r w:rsidR="006D4581">
        <w:rPr>
          <w:rFonts w:cstheme="majorBidi"/>
          <w:bCs/>
          <w:sz w:val="24"/>
          <w:szCs w:val="24"/>
          <w:lang w:val="en-GB"/>
        </w:rPr>
        <w:t>the</w:t>
      </w:r>
      <w:r w:rsidR="008B6823">
        <w:rPr>
          <w:rFonts w:cstheme="majorBidi"/>
          <w:bCs/>
          <w:sz w:val="24"/>
          <w:szCs w:val="24"/>
          <w:lang w:val="en-GB"/>
        </w:rPr>
        <w:t>ir</w:t>
      </w:r>
      <w:r w:rsidR="006D4581">
        <w:rPr>
          <w:rFonts w:cstheme="majorBidi"/>
          <w:bCs/>
          <w:sz w:val="24"/>
          <w:szCs w:val="24"/>
          <w:lang w:val="en-GB"/>
        </w:rPr>
        <w:t xml:space="preserve"> right to family life</w:t>
      </w:r>
      <w:r w:rsidR="001B2541" w:rsidRPr="005C100D">
        <w:rPr>
          <w:rFonts w:cstheme="majorBidi"/>
          <w:sz w:val="24"/>
          <w:szCs w:val="24"/>
          <w:lang w:val="en-GB"/>
        </w:rPr>
        <w:t xml:space="preserve">. </w:t>
      </w:r>
    </w:p>
    <w:p w:rsidR="001B2541" w:rsidRPr="00FF4DB2" w:rsidRDefault="006D4581" w:rsidP="005C100D">
      <w:pPr>
        <w:jc w:val="both"/>
        <w:rPr>
          <w:bCs/>
          <w:i/>
          <w:iCs/>
          <w:sz w:val="24"/>
          <w:szCs w:val="24"/>
          <w:lang w:val="en-US"/>
        </w:rPr>
      </w:pPr>
      <w:r>
        <w:rPr>
          <w:rFonts w:cstheme="majorBidi"/>
          <w:sz w:val="24"/>
          <w:szCs w:val="24"/>
          <w:lang w:val="en-GB"/>
        </w:rPr>
        <w:t xml:space="preserve">Moreover, </w:t>
      </w:r>
      <w:r w:rsidR="001B2541" w:rsidRPr="005C100D">
        <w:rPr>
          <w:rFonts w:cstheme="majorBidi"/>
          <w:sz w:val="24"/>
          <w:szCs w:val="24"/>
          <w:lang w:val="en-GB"/>
        </w:rPr>
        <w:t>t</w:t>
      </w:r>
      <w:r w:rsidR="00677872" w:rsidRPr="005C100D">
        <w:rPr>
          <w:rFonts w:cstheme="majorBidi"/>
          <w:sz w:val="24"/>
          <w:szCs w:val="24"/>
          <w:lang w:val="en-GB"/>
        </w:rPr>
        <w:t xml:space="preserve">he Human Rights Committee has found that </w:t>
      </w:r>
      <w:r w:rsidR="00677872" w:rsidRPr="005C100D">
        <w:rPr>
          <w:rFonts w:cstheme="majorBidi"/>
          <w:b/>
          <w:sz w:val="24"/>
          <w:szCs w:val="24"/>
          <w:lang w:val="en-GB"/>
        </w:rPr>
        <w:t xml:space="preserve">Denmark has violated </w:t>
      </w:r>
      <w:r w:rsidR="00355BB8" w:rsidRPr="005C100D">
        <w:rPr>
          <w:rFonts w:cstheme="majorBidi"/>
          <w:b/>
          <w:sz w:val="24"/>
          <w:szCs w:val="24"/>
          <w:lang w:val="en-GB"/>
        </w:rPr>
        <w:t>th</w:t>
      </w:r>
      <w:r>
        <w:rPr>
          <w:rFonts w:cstheme="majorBidi"/>
          <w:b/>
          <w:sz w:val="24"/>
          <w:szCs w:val="24"/>
          <w:lang w:val="en-GB"/>
        </w:rPr>
        <w:t>e principle of non-</w:t>
      </w:r>
      <w:proofErr w:type="spellStart"/>
      <w:r>
        <w:rPr>
          <w:rFonts w:cstheme="majorBidi"/>
          <w:b/>
          <w:sz w:val="24"/>
          <w:szCs w:val="24"/>
          <w:lang w:val="en-GB"/>
        </w:rPr>
        <w:t>refoulement</w:t>
      </w:r>
      <w:proofErr w:type="spellEnd"/>
      <w:r w:rsidR="00B7088F">
        <w:rPr>
          <w:rFonts w:cstheme="majorBidi"/>
          <w:b/>
          <w:sz w:val="24"/>
          <w:szCs w:val="24"/>
          <w:lang w:val="en-GB"/>
        </w:rPr>
        <w:t xml:space="preserve"> in a number of</w:t>
      </w:r>
      <w:r w:rsidR="00677872" w:rsidRPr="005C100D">
        <w:rPr>
          <w:rFonts w:cstheme="majorBidi"/>
          <w:b/>
          <w:sz w:val="24"/>
          <w:szCs w:val="24"/>
          <w:lang w:val="en-GB"/>
        </w:rPr>
        <w:t xml:space="preserve"> cases</w:t>
      </w:r>
      <w:r w:rsidR="00677872" w:rsidRPr="005C100D">
        <w:rPr>
          <w:rFonts w:cstheme="majorBidi"/>
          <w:sz w:val="24"/>
          <w:szCs w:val="24"/>
          <w:lang w:val="en-GB"/>
        </w:rPr>
        <w:t xml:space="preserve"> concerning deportation of </w:t>
      </w:r>
      <w:r w:rsidR="008F0C74" w:rsidRPr="005C100D">
        <w:rPr>
          <w:rFonts w:cstheme="majorBidi"/>
          <w:sz w:val="24"/>
          <w:szCs w:val="24"/>
          <w:lang w:val="en-GB"/>
        </w:rPr>
        <w:t>refugees</w:t>
      </w:r>
      <w:r w:rsidR="00677872" w:rsidRPr="005C100D">
        <w:rPr>
          <w:rFonts w:cstheme="majorBidi"/>
          <w:sz w:val="24"/>
          <w:szCs w:val="24"/>
          <w:lang w:val="en-GB"/>
        </w:rPr>
        <w:t>.</w:t>
      </w:r>
      <w:r w:rsidR="00677872" w:rsidRPr="005C100D">
        <w:rPr>
          <w:rStyle w:val="FootnoteReference"/>
          <w:rFonts w:cstheme="majorBidi"/>
          <w:sz w:val="24"/>
          <w:szCs w:val="24"/>
          <w:lang w:val="en-GB"/>
        </w:rPr>
        <w:footnoteReference w:id="5"/>
      </w:r>
      <w:r w:rsidR="00666E13">
        <w:rPr>
          <w:rFonts w:cstheme="majorBidi"/>
          <w:sz w:val="24"/>
          <w:szCs w:val="24"/>
          <w:lang w:val="en-GB"/>
        </w:rPr>
        <w:t xml:space="preserve"> In two of the</w:t>
      </w:r>
      <w:r w:rsidR="001B2541" w:rsidRPr="005C100D">
        <w:rPr>
          <w:rFonts w:cstheme="majorBidi"/>
          <w:sz w:val="24"/>
          <w:szCs w:val="24"/>
          <w:lang w:val="en-GB"/>
        </w:rPr>
        <w:t xml:space="preserve"> cases</w:t>
      </w:r>
      <w:r w:rsidR="00666E13">
        <w:rPr>
          <w:rFonts w:cstheme="majorBidi"/>
          <w:sz w:val="24"/>
          <w:szCs w:val="24"/>
          <w:lang w:val="en-GB"/>
        </w:rPr>
        <w:t xml:space="preserve"> from last year</w:t>
      </w:r>
      <w:r w:rsidR="00F640F6">
        <w:rPr>
          <w:rFonts w:cstheme="majorBidi"/>
          <w:sz w:val="24"/>
          <w:szCs w:val="24"/>
          <w:lang w:val="en-GB"/>
        </w:rPr>
        <w:t>,</w:t>
      </w:r>
      <w:r>
        <w:rPr>
          <w:rStyle w:val="FootnoteReference"/>
          <w:rFonts w:cstheme="majorBidi"/>
          <w:sz w:val="24"/>
          <w:szCs w:val="24"/>
          <w:lang w:val="en-GB"/>
        </w:rPr>
        <w:footnoteReference w:id="6"/>
      </w:r>
      <w:r w:rsidR="001B2541" w:rsidRPr="005C100D">
        <w:rPr>
          <w:rFonts w:cstheme="majorBidi"/>
          <w:sz w:val="24"/>
          <w:szCs w:val="24"/>
          <w:lang w:val="en-GB"/>
        </w:rPr>
        <w:t xml:space="preserve"> the </w:t>
      </w:r>
      <w:r w:rsidR="00F640F6">
        <w:rPr>
          <w:rFonts w:cstheme="majorBidi"/>
          <w:sz w:val="24"/>
          <w:szCs w:val="24"/>
          <w:lang w:val="en-GB"/>
        </w:rPr>
        <w:t xml:space="preserve">Danish </w:t>
      </w:r>
      <w:r w:rsidR="001B2541" w:rsidRPr="005C100D">
        <w:rPr>
          <w:rFonts w:cstheme="majorBidi"/>
          <w:sz w:val="24"/>
          <w:szCs w:val="24"/>
          <w:lang w:val="en-GB"/>
        </w:rPr>
        <w:t>Refugee Appeals Board reopened the cases and concluded that despite the decision by the Committee, the person could be re</w:t>
      </w:r>
      <w:r w:rsidR="00F640F6">
        <w:rPr>
          <w:rFonts w:cstheme="majorBidi"/>
          <w:sz w:val="24"/>
          <w:szCs w:val="24"/>
          <w:lang w:val="en-GB"/>
        </w:rPr>
        <w:t>turned home.</w:t>
      </w:r>
      <w:r w:rsidR="001B2541" w:rsidRPr="005C100D">
        <w:rPr>
          <w:rStyle w:val="FootnoteReference"/>
          <w:bCs/>
          <w:i/>
          <w:iCs/>
          <w:sz w:val="24"/>
          <w:szCs w:val="24"/>
          <w:lang w:val="en-US"/>
        </w:rPr>
        <w:footnoteReference w:id="7"/>
      </w:r>
      <w:r w:rsidR="003E447F">
        <w:rPr>
          <w:rFonts w:cstheme="majorBidi"/>
          <w:sz w:val="24"/>
          <w:szCs w:val="24"/>
          <w:lang w:val="en-US"/>
        </w:rPr>
        <w:t xml:space="preserve"> </w:t>
      </w:r>
      <w:r w:rsidR="003C63C0">
        <w:rPr>
          <w:rFonts w:cstheme="majorBidi"/>
          <w:sz w:val="24"/>
          <w:szCs w:val="24"/>
          <w:lang w:val="en-GB"/>
        </w:rPr>
        <w:t>In light of this</w:t>
      </w:r>
      <w:r w:rsidR="00E14B82" w:rsidRPr="005C100D">
        <w:rPr>
          <w:rStyle w:val="FootnoteReference"/>
          <w:rFonts w:cstheme="majorBidi"/>
          <w:sz w:val="24"/>
          <w:szCs w:val="24"/>
          <w:lang w:val="en-GB"/>
        </w:rPr>
        <w:footnoteReference w:id="8"/>
      </w:r>
      <w:r w:rsidR="001B2541" w:rsidRPr="005C100D">
        <w:rPr>
          <w:rFonts w:cstheme="majorBidi"/>
          <w:sz w:val="24"/>
          <w:szCs w:val="24"/>
          <w:lang w:val="en-GB"/>
        </w:rPr>
        <w:t>,</w:t>
      </w:r>
      <w:r w:rsidR="001B2541" w:rsidRPr="005C100D">
        <w:rPr>
          <w:rFonts w:cstheme="majorBidi"/>
          <w:sz w:val="24"/>
          <w:szCs w:val="24"/>
          <w:lang w:val="en-GB"/>
        </w:rPr>
        <w:t xml:space="preserve"> we </w:t>
      </w:r>
      <w:r w:rsidR="00154696">
        <w:rPr>
          <w:rFonts w:cstheme="majorBidi"/>
          <w:sz w:val="24"/>
          <w:szCs w:val="24"/>
          <w:lang w:val="en-GB"/>
        </w:rPr>
        <w:t xml:space="preserve">are concerned about the response by Denmark to decisions by the Committee, and we </w:t>
      </w:r>
      <w:r w:rsidR="001B2541" w:rsidRPr="005C100D">
        <w:rPr>
          <w:rFonts w:cstheme="majorBidi"/>
          <w:sz w:val="24"/>
          <w:szCs w:val="24"/>
          <w:lang w:val="en-GB"/>
        </w:rPr>
        <w:t xml:space="preserve">would recommend that </w:t>
      </w:r>
      <w:r w:rsidR="001B2541" w:rsidRPr="005C100D">
        <w:rPr>
          <w:rFonts w:cstheme="majorBidi"/>
          <w:b/>
          <w:sz w:val="24"/>
          <w:szCs w:val="24"/>
          <w:lang w:val="en-GB"/>
        </w:rPr>
        <w:t xml:space="preserve">Denmark explains its position on the legal status of the decisions by the Human Rights Committee and its criteria for deciding when </w:t>
      </w:r>
      <w:r w:rsidR="003C63C0">
        <w:rPr>
          <w:rFonts w:cstheme="majorBidi"/>
          <w:b/>
          <w:sz w:val="24"/>
          <w:szCs w:val="24"/>
          <w:lang w:val="en-GB"/>
        </w:rPr>
        <w:t xml:space="preserve">and eventually </w:t>
      </w:r>
      <w:r w:rsidR="001B2541" w:rsidRPr="005C100D">
        <w:rPr>
          <w:rFonts w:cstheme="majorBidi"/>
          <w:b/>
          <w:sz w:val="24"/>
          <w:szCs w:val="24"/>
          <w:lang w:val="en-GB"/>
        </w:rPr>
        <w:t>not to follow such decisions</w:t>
      </w:r>
      <w:r w:rsidR="001B2541" w:rsidRPr="005C100D">
        <w:rPr>
          <w:rFonts w:cstheme="majorBidi"/>
          <w:sz w:val="24"/>
          <w:szCs w:val="24"/>
          <w:lang w:val="en-GB"/>
        </w:rPr>
        <w:t xml:space="preserve">. </w:t>
      </w:r>
    </w:p>
    <w:p w:rsidR="00677872" w:rsidRPr="005C100D" w:rsidRDefault="00677872" w:rsidP="005C100D">
      <w:pPr>
        <w:jc w:val="both"/>
        <w:rPr>
          <w:rFonts w:cstheme="majorBidi"/>
          <w:sz w:val="24"/>
          <w:szCs w:val="24"/>
          <w:lang w:val="en-GB"/>
        </w:rPr>
      </w:pPr>
      <w:r w:rsidRPr="005C100D">
        <w:rPr>
          <w:rFonts w:cstheme="majorBidi"/>
          <w:sz w:val="24"/>
          <w:szCs w:val="24"/>
          <w:lang w:val="en-GB"/>
        </w:rPr>
        <w:t xml:space="preserve">Moreover, Denmark’s participation in the armed conflicts in Iraq and Afghanistan has illustrated that it is </w:t>
      </w:r>
      <w:r w:rsidRPr="005C100D">
        <w:rPr>
          <w:rFonts w:cstheme="majorBidi"/>
          <w:b/>
          <w:bCs/>
          <w:sz w:val="24"/>
          <w:szCs w:val="24"/>
          <w:lang w:val="en-GB"/>
        </w:rPr>
        <w:t xml:space="preserve">cumbersome for </w:t>
      </w:r>
      <w:r w:rsidR="00ED2436">
        <w:rPr>
          <w:rFonts w:cstheme="majorBidi"/>
          <w:b/>
          <w:bCs/>
          <w:sz w:val="24"/>
          <w:szCs w:val="24"/>
          <w:lang w:val="en-GB"/>
        </w:rPr>
        <w:t xml:space="preserve">foreign </w:t>
      </w:r>
      <w:r w:rsidRPr="005C100D">
        <w:rPr>
          <w:rFonts w:cstheme="majorBidi"/>
          <w:b/>
          <w:bCs/>
          <w:sz w:val="24"/>
          <w:szCs w:val="24"/>
          <w:lang w:val="en-GB"/>
        </w:rPr>
        <w:t>victims of torture to have access to justice</w:t>
      </w:r>
      <w:r w:rsidRPr="005C100D">
        <w:rPr>
          <w:rFonts w:cstheme="majorBidi"/>
          <w:sz w:val="24"/>
          <w:szCs w:val="24"/>
          <w:lang w:val="en-GB"/>
        </w:rPr>
        <w:t xml:space="preserve"> before Danish courts</w:t>
      </w:r>
      <w:r w:rsidR="00ED2436">
        <w:rPr>
          <w:rFonts w:cstheme="majorBidi"/>
          <w:sz w:val="24"/>
          <w:szCs w:val="24"/>
          <w:lang w:val="en-GB"/>
        </w:rPr>
        <w:t>, which might raise issues under the ICCPR, including Article 2</w:t>
      </w:r>
      <w:r w:rsidRPr="005C100D">
        <w:rPr>
          <w:rFonts w:cstheme="majorBidi"/>
          <w:sz w:val="24"/>
          <w:szCs w:val="24"/>
          <w:lang w:val="en-GB"/>
        </w:rPr>
        <w:t xml:space="preserve">. </w:t>
      </w:r>
      <w:r w:rsidR="007A4584" w:rsidRPr="005C100D">
        <w:rPr>
          <w:rFonts w:cstheme="majorBidi"/>
          <w:sz w:val="24"/>
          <w:szCs w:val="24"/>
          <w:lang w:val="en-GB"/>
        </w:rPr>
        <w:t xml:space="preserve">By way of example, 23 Iraqis have brought a case against the Danish Ministry of Defence </w:t>
      </w:r>
      <w:r w:rsidR="00123978">
        <w:rPr>
          <w:rFonts w:cstheme="majorBidi"/>
          <w:sz w:val="24"/>
          <w:szCs w:val="24"/>
          <w:lang w:val="en-GB"/>
        </w:rPr>
        <w:t xml:space="preserve">claiming Danish </w:t>
      </w:r>
      <w:r w:rsidR="00560B6C">
        <w:rPr>
          <w:rFonts w:cstheme="majorBidi"/>
          <w:sz w:val="24"/>
          <w:szCs w:val="24"/>
          <w:lang w:val="en-GB"/>
        </w:rPr>
        <w:t xml:space="preserve">liability </w:t>
      </w:r>
      <w:r w:rsidR="007A4584" w:rsidRPr="005C100D">
        <w:rPr>
          <w:rFonts w:cstheme="majorBidi"/>
          <w:sz w:val="24"/>
          <w:szCs w:val="24"/>
          <w:lang w:val="en-GB"/>
        </w:rPr>
        <w:t xml:space="preserve">for </w:t>
      </w:r>
      <w:r w:rsidR="00560B6C">
        <w:rPr>
          <w:rFonts w:cstheme="majorBidi"/>
          <w:sz w:val="24"/>
          <w:szCs w:val="24"/>
          <w:lang w:val="en-GB"/>
        </w:rPr>
        <w:t xml:space="preserve">transfer of </w:t>
      </w:r>
      <w:r w:rsidR="00560B6C">
        <w:rPr>
          <w:rFonts w:cstheme="majorBidi"/>
          <w:sz w:val="24"/>
          <w:szCs w:val="24"/>
          <w:lang w:val="en-GB"/>
        </w:rPr>
        <w:lastRenderedPageBreak/>
        <w:t xml:space="preserve">prisoners to </w:t>
      </w:r>
      <w:r w:rsidR="007A4584" w:rsidRPr="005C100D">
        <w:rPr>
          <w:rFonts w:cstheme="majorBidi"/>
          <w:sz w:val="24"/>
          <w:szCs w:val="24"/>
          <w:lang w:val="en-GB"/>
        </w:rPr>
        <w:t>torture</w:t>
      </w:r>
      <w:r w:rsidR="00560B6C">
        <w:rPr>
          <w:rFonts w:cstheme="majorBidi"/>
          <w:sz w:val="24"/>
          <w:szCs w:val="24"/>
          <w:lang w:val="en-GB"/>
        </w:rPr>
        <w:t xml:space="preserve"> and ill-treatment</w:t>
      </w:r>
      <w:r w:rsidR="007A4584" w:rsidRPr="005C100D">
        <w:rPr>
          <w:rFonts w:cstheme="majorBidi"/>
          <w:sz w:val="24"/>
          <w:szCs w:val="24"/>
          <w:lang w:val="en-GB"/>
        </w:rPr>
        <w:t xml:space="preserve">. </w:t>
      </w:r>
      <w:r w:rsidR="00560B6C">
        <w:rPr>
          <w:rFonts w:cstheme="majorBidi"/>
          <w:sz w:val="24"/>
          <w:szCs w:val="24"/>
          <w:lang w:val="en-GB"/>
        </w:rPr>
        <w:t>Despite these serious accusations</w:t>
      </w:r>
      <w:r w:rsidR="00123978">
        <w:rPr>
          <w:rFonts w:cstheme="majorBidi"/>
          <w:sz w:val="24"/>
          <w:szCs w:val="24"/>
          <w:lang w:val="en-GB"/>
        </w:rPr>
        <w:t xml:space="preserve"> – and a previous decision by the Supreme Court on </w:t>
      </w:r>
      <w:r w:rsidR="00D151F1">
        <w:rPr>
          <w:rFonts w:cstheme="majorBidi"/>
          <w:sz w:val="24"/>
          <w:szCs w:val="24"/>
          <w:lang w:val="en-GB"/>
        </w:rPr>
        <w:t xml:space="preserve">some </w:t>
      </w:r>
      <w:r w:rsidR="00123978">
        <w:rPr>
          <w:rFonts w:cstheme="majorBidi"/>
          <w:sz w:val="24"/>
          <w:szCs w:val="24"/>
          <w:lang w:val="en-GB"/>
        </w:rPr>
        <w:t>procedural issues</w:t>
      </w:r>
      <w:r w:rsidR="00123978" w:rsidRPr="005C100D">
        <w:rPr>
          <w:rStyle w:val="FootnoteReference"/>
          <w:rFonts w:cstheme="majorBidi"/>
          <w:sz w:val="24"/>
          <w:szCs w:val="24"/>
          <w:lang w:val="en-GB"/>
        </w:rPr>
        <w:footnoteReference w:id="9"/>
      </w:r>
      <w:r w:rsidR="004E475A">
        <w:rPr>
          <w:rFonts w:cstheme="majorBidi"/>
          <w:sz w:val="24"/>
          <w:szCs w:val="24"/>
          <w:lang w:val="en-GB"/>
        </w:rPr>
        <w:t xml:space="preserve"> -</w:t>
      </w:r>
      <w:r w:rsidR="007A4584" w:rsidRPr="005C100D">
        <w:rPr>
          <w:rFonts w:cstheme="majorBidi"/>
          <w:sz w:val="24"/>
          <w:szCs w:val="24"/>
          <w:lang w:val="en-GB"/>
        </w:rPr>
        <w:t xml:space="preserve"> the Danish Ministry of </w:t>
      </w:r>
      <w:proofErr w:type="spellStart"/>
      <w:r w:rsidR="007A4584" w:rsidRPr="005C100D">
        <w:rPr>
          <w:rFonts w:cstheme="majorBidi"/>
          <w:sz w:val="24"/>
          <w:szCs w:val="24"/>
          <w:lang w:val="en-GB"/>
        </w:rPr>
        <w:t>De</w:t>
      </w:r>
      <w:r w:rsidR="00123978">
        <w:rPr>
          <w:rFonts w:cstheme="majorBidi"/>
          <w:sz w:val="24"/>
          <w:szCs w:val="24"/>
          <w:lang w:val="en-GB"/>
        </w:rPr>
        <w:t>fense</w:t>
      </w:r>
      <w:proofErr w:type="spellEnd"/>
      <w:r w:rsidR="00123978">
        <w:rPr>
          <w:rFonts w:cstheme="majorBidi"/>
          <w:sz w:val="24"/>
          <w:szCs w:val="24"/>
          <w:lang w:val="en-GB"/>
        </w:rPr>
        <w:t xml:space="preserve"> maintains that the case should be</w:t>
      </w:r>
      <w:r w:rsidR="007A4584" w:rsidRPr="005C100D">
        <w:rPr>
          <w:rFonts w:cstheme="majorBidi"/>
          <w:sz w:val="24"/>
          <w:szCs w:val="24"/>
          <w:lang w:val="en-GB"/>
        </w:rPr>
        <w:t xml:space="preserve"> barred due to rules on statute of limitation and the Ministry will make this claim during court hearings in June in an attempt to </w:t>
      </w:r>
      <w:r w:rsidR="00D151F1">
        <w:rPr>
          <w:rFonts w:cstheme="majorBidi"/>
          <w:sz w:val="24"/>
          <w:szCs w:val="24"/>
          <w:lang w:val="en-GB"/>
        </w:rPr>
        <w:t xml:space="preserve">have </w:t>
      </w:r>
      <w:r w:rsidR="007A4584" w:rsidRPr="005C100D">
        <w:rPr>
          <w:rFonts w:cstheme="majorBidi"/>
          <w:sz w:val="24"/>
          <w:szCs w:val="24"/>
          <w:lang w:val="en-GB"/>
        </w:rPr>
        <w:t xml:space="preserve">the case </w:t>
      </w:r>
      <w:r w:rsidR="00D151F1">
        <w:rPr>
          <w:rFonts w:cstheme="majorBidi"/>
          <w:sz w:val="24"/>
          <w:szCs w:val="24"/>
          <w:lang w:val="en-GB"/>
        </w:rPr>
        <w:t xml:space="preserve">ended without any adjudication of the merits - </w:t>
      </w:r>
      <w:r w:rsidR="007A4584" w:rsidRPr="005C100D">
        <w:rPr>
          <w:rFonts w:cstheme="majorBidi"/>
          <w:sz w:val="24"/>
          <w:szCs w:val="24"/>
          <w:lang w:val="en-GB"/>
        </w:rPr>
        <w:t>leaving the victims without any access to justice. Moreover, r</w:t>
      </w:r>
      <w:r w:rsidRPr="005C100D">
        <w:rPr>
          <w:rFonts w:cstheme="majorBidi"/>
          <w:sz w:val="24"/>
          <w:szCs w:val="24"/>
          <w:lang w:val="en-GB"/>
        </w:rPr>
        <w:t xml:space="preserve">egrettably, the current government decided in </w:t>
      </w:r>
      <w:r w:rsidRPr="00E1056A">
        <w:rPr>
          <w:rFonts w:cstheme="majorBidi"/>
          <w:b/>
          <w:sz w:val="24"/>
          <w:szCs w:val="24"/>
          <w:lang w:val="en-GB"/>
        </w:rPr>
        <w:t>July 2015 to end the Commission of Inquiry on Denmark’s participatio</w:t>
      </w:r>
      <w:r w:rsidR="009D726D" w:rsidRPr="00E1056A">
        <w:rPr>
          <w:rFonts w:cstheme="majorBidi"/>
          <w:b/>
          <w:sz w:val="24"/>
          <w:szCs w:val="24"/>
          <w:lang w:val="en-GB"/>
        </w:rPr>
        <w:t>n in these two armed conflicts</w:t>
      </w:r>
      <w:r w:rsidRPr="005C100D">
        <w:rPr>
          <w:rFonts w:cstheme="majorBidi"/>
          <w:sz w:val="24"/>
          <w:szCs w:val="24"/>
          <w:lang w:val="en-GB"/>
        </w:rPr>
        <w:t xml:space="preserve"> whose mandate was amongst others to assess if Denmark had adhered to its international obligations concerning the handling of persons who had been captured and detained by Danish troops and later transferred to Iraqi or Afghan jurisdiction.</w:t>
      </w:r>
      <w:r w:rsidR="007A4584" w:rsidRPr="005C100D">
        <w:rPr>
          <w:rStyle w:val="FootnoteReference"/>
          <w:rFonts w:cstheme="majorBidi"/>
          <w:sz w:val="24"/>
          <w:szCs w:val="24"/>
          <w:lang w:val="en-GB"/>
        </w:rPr>
        <w:footnoteReference w:id="10"/>
      </w:r>
      <w:r w:rsidR="007A4584" w:rsidRPr="005C100D">
        <w:rPr>
          <w:rFonts w:cstheme="majorBidi"/>
          <w:sz w:val="24"/>
          <w:szCs w:val="24"/>
          <w:lang w:val="en-GB"/>
        </w:rPr>
        <w:t xml:space="preserve"> </w:t>
      </w:r>
    </w:p>
    <w:p w:rsidR="00677872" w:rsidRPr="005C100D" w:rsidRDefault="00677872" w:rsidP="005C100D">
      <w:pPr>
        <w:jc w:val="both"/>
        <w:rPr>
          <w:rFonts w:cstheme="majorBidi"/>
          <w:sz w:val="24"/>
          <w:szCs w:val="24"/>
          <w:lang w:val="en-GB"/>
        </w:rPr>
      </w:pPr>
      <w:r w:rsidRPr="005C100D">
        <w:rPr>
          <w:rFonts w:cstheme="majorBidi"/>
          <w:sz w:val="24"/>
          <w:szCs w:val="24"/>
          <w:lang w:val="en-GB"/>
        </w:rPr>
        <w:t>The alternative report falls into two parts:</w:t>
      </w:r>
    </w:p>
    <w:p w:rsidR="00677872" w:rsidRPr="005C100D" w:rsidRDefault="00677872" w:rsidP="005C100D">
      <w:pPr>
        <w:pStyle w:val="ListParagraph"/>
        <w:numPr>
          <w:ilvl w:val="0"/>
          <w:numId w:val="34"/>
        </w:numPr>
        <w:jc w:val="both"/>
        <w:rPr>
          <w:rFonts w:cstheme="majorBidi"/>
          <w:sz w:val="24"/>
          <w:szCs w:val="24"/>
          <w:lang w:val="en-GB"/>
        </w:rPr>
      </w:pPr>
      <w:r w:rsidRPr="005C100D">
        <w:rPr>
          <w:rFonts w:cstheme="majorBidi"/>
          <w:b/>
          <w:sz w:val="24"/>
          <w:szCs w:val="24"/>
          <w:lang w:val="en-GB"/>
        </w:rPr>
        <w:t>Part A</w:t>
      </w:r>
      <w:r w:rsidRPr="005C100D">
        <w:rPr>
          <w:rFonts w:cstheme="majorBidi"/>
          <w:sz w:val="24"/>
          <w:szCs w:val="24"/>
          <w:lang w:val="en-GB"/>
        </w:rPr>
        <w:t xml:space="preserve"> provides alternative replies to some of the question</w:t>
      </w:r>
      <w:r w:rsidR="00D10D34" w:rsidRPr="005C100D">
        <w:rPr>
          <w:rFonts w:cstheme="majorBidi"/>
          <w:sz w:val="24"/>
          <w:szCs w:val="24"/>
          <w:lang w:val="en-GB"/>
        </w:rPr>
        <w:t>s raised in the list of issues and suggested recommendations</w:t>
      </w:r>
      <w:r w:rsidR="00B222D9">
        <w:rPr>
          <w:rFonts w:cstheme="majorBidi"/>
          <w:sz w:val="24"/>
          <w:szCs w:val="24"/>
          <w:lang w:val="en-GB"/>
        </w:rPr>
        <w:t xml:space="preserve"> to be made to Denmark in order to ensure full implementation of the ICCPR</w:t>
      </w:r>
      <w:r w:rsidR="00D10D34" w:rsidRPr="005C100D">
        <w:rPr>
          <w:rFonts w:cstheme="majorBidi"/>
          <w:sz w:val="24"/>
          <w:szCs w:val="24"/>
          <w:lang w:val="en-GB"/>
        </w:rPr>
        <w:t>.</w:t>
      </w:r>
    </w:p>
    <w:p w:rsidR="00D10D34" w:rsidRPr="005C100D" w:rsidRDefault="00D10D34" w:rsidP="005C100D">
      <w:pPr>
        <w:pStyle w:val="ListParagraph"/>
        <w:jc w:val="both"/>
        <w:rPr>
          <w:rFonts w:cstheme="majorBidi"/>
          <w:sz w:val="24"/>
          <w:szCs w:val="24"/>
          <w:lang w:val="en-GB"/>
        </w:rPr>
      </w:pPr>
    </w:p>
    <w:p w:rsidR="00677872" w:rsidRPr="005C100D" w:rsidRDefault="00677872" w:rsidP="005C100D">
      <w:pPr>
        <w:pStyle w:val="ListParagraph"/>
        <w:numPr>
          <w:ilvl w:val="0"/>
          <w:numId w:val="34"/>
        </w:numPr>
        <w:jc w:val="both"/>
        <w:rPr>
          <w:rFonts w:cstheme="majorBidi"/>
          <w:sz w:val="24"/>
          <w:szCs w:val="24"/>
          <w:lang w:val="en-GB"/>
        </w:rPr>
      </w:pPr>
      <w:r w:rsidRPr="005C100D">
        <w:rPr>
          <w:rFonts w:cstheme="majorBidi"/>
          <w:b/>
          <w:sz w:val="24"/>
          <w:szCs w:val="24"/>
          <w:lang w:val="en-GB"/>
        </w:rPr>
        <w:t>Part B</w:t>
      </w:r>
      <w:r w:rsidRPr="005C100D">
        <w:rPr>
          <w:rFonts w:cstheme="majorBidi"/>
          <w:sz w:val="24"/>
          <w:szCs w:val="24"/>
          <w:lang w:val="en-GB"/>
        </w:rPr>
        <w:t xml:space="preserve"> addresses new and important issues that have emerged over the past five years since the adoption of the list of issues</w:t>
      </w:r>
      <w:r w:rsidR="00B222D9">
        <w:rPr>
          <w:rFonts w:cstheme="majorBidi"/>
          <w:sz w:val="24"/>
          <w:szCs w:val="24"/>
          <w:lang w:val="en-GB"/>
        </w:rPr>
        <w:t xml:space="preserve"> in 2011, including increased use of administrative detention of foreigners; tolerated stay regime and violations of rights of LGTBI persons and persons with disabilities</w:t>
      </w:r>
      <w:r w:rsidRPr="005C100D">
        <w:rPr>
          <w:rFonts w:cstheme="majorBidi"/>
          <w:sz w:val="24"/>
          <w:szCs w:val="24"/>
          <w:lang w:val="en-GB"/>
        </w:rPr>
        <w:t>. The Coalition has chosen to do so, because some of these issues give rise to concern</w:t>
      </w:r>
      <w:r w:rsidR="00B222D9">
        <w:rPr>
          <w:rFonts w:cstheme="majorBidi"/>
          <w:sz w:val="24"/>
          <w:szCs w:val="24"/>
          <w:lang w:val="en-GB"/>
        </w:rPr>
        <w:t>s</w:t>
      </w:r>
      <w:r w:rsidRPr="005C100D">
        <w:rPr>
          <w:rFonts w:cstheme="majorBidi"/>
          <w:sz w:val="24"/>
          <w:szCs w:val="24"/>
          <w:lang w:val="en-GB"/>
        </w:rPr>
        <w:t xml:space="preserve"> regarding Denmark’s fulfilment of its international obligations under the </w:t>
      </w:r>
      <w:r w:rsidR="00D10D34" w:rsidRPr="005C100D">
        <w:rPr>
          <w:rFonts w:cstheme="majorBidi"/>
          <w:sz w:val="24"/>
          <w:szCs w:val="24"/>
          <w:lang w:val="en-GB"/>
        </w:rPr>
        <w:t>ICCPR</w:t>
      </w:r>
      <w:r w:rsidRPr="005C100D">
        <w:rPr>
          <w:rFonts w:cstheme="majorBidi"/>
          <w:sz w:val="24"/>
          <w:szCs w:val="24"/>
          <w:lang w:val="en-GB"/>
        </w:rPr>
        <w:t xml:space="preserve">. </w:t>
      </w:r>
    </w:p>
    <w:p w:rsidR="00677872" w:rsidRPr="005C100D" w:rsidRDefault="00677872" w:rsidP="005C100D">
      <w:pPr>
        <w:jc w:val="both"/>
        <w:rPr>
          <w:rFonts w:cstheme="majorBidi"/>
          <w:sz w:val="24"/>
          <w:szCs w:val="24"/>
          <w:lang w:val="en-GB"/>
        </w:rPr>
      </w:pPr>
      <w:r w:rsidRPr="005C100D">
        <w:rPr>
          <w:rFonts w:cstheme="majorBidi"/>
          <w:sz w:val="24"/>
          <w:szCs w:val="24"/>
          <w:lang w:val="en-GB"/>
        </w:rPr>
        <w:t xml:space="preserve">The documentation presented in this report primarily derives from the NGOs’ ongoing monitoring of Danish law and practice within the areas of the </w:t>
      </w:r>
      <w:r w:rsidR="004F4DDB" w:rsidRPr="005C100D">
        <w:rPr>
          <w:rFonts w:cstheme="majorBidi"/>
          <w:sz w:val="24"/>
          <w:szCs w:val="24"/>
          <w:lang w:val="en-GB"/>
        </w:rPr>
        <w:t>ICCPR</w:t>
      </w:r>
      <w:r w:rsidRPr="005C100D">
        <w:rPr>
          <w:rFonts w:cstheme="majorBidi"/>
          <w:sz w:val="24"/>
          <w:szCs w:val="24"/>
          <w:lang w:val="en-GB"/>
        </w:rPr>
        <w:t xml:space="preserve">, including advocacy activities carried out vis-à-vis the Danish government, parliament and relevant public institutions. </w:t>
      </w:r>
    </w:p>
    <w:p w:rsidR="00677872" w:rsidRPr="005C100D" w:rsidRDefault="00677872" w:rsidP="005C100D">
      <w:pPr>
        <w:jc w:val="both"/>
        <w:rPr>
          <w:rFonts w:cstheme="majorBidi"/>
          <w:b/>
          <w:sz w:val="24"/>
          <w:szCs w:val="24"/>
          <w:lang w:val="en-GB"/>
        </w:rPr>
      </w:pPr>
      <w:r w:rsidRPr="005C100D">
        <w:rPr>
          <w:rFonts w:cstheme="majorBidi"/>
          <w:b/>
          <w:sz w:val="24"/>
          <w:szCs w:val="24"/>
          <w:lang w:val="en-GB"/>
        </w:rPr>
        <w:t xml:space="preserve">Promoting implementation of the </w:t>
      </w:r>
      <w:r w:rsidR="004F4DDB" w:rsidRPr="005C100D">
        <w:rPr>
          <w:rFonts w:cstheme="majorBidi"/>
          <w:b/>
          <w:sz w:val="24"/>
          <w:szCs w:val="24"/>
          <w:lang w:val="en-GB"/>
        </w:rPr>
        <w:t>ICCPR</w:t>
      </w:r>
      <w:r w:rsidRPr="005C100D">
        <w:rPr>
          <w:rFonts w:cstheme="majorBidi"/>
          <w:b/>
          <w:sz w:val="24"/>
          <w:szCs w:val="24"/>
          <w:lang w:val="en-GB"/>
        </w:rPr>
        <w:t xml:space="preserve"> at the inter-governmental level</w:t>
      </w:r>
    </w:p>
    <w:p w:rsidR="00677872" w:rsidRPr="005C100D" w:rsidRDefault="00677872" w:rsidP="005C100D">
      <w:pPr>
        <w:jc w:val="both"/>
        <w:rPr>
          <w:rFonts w:cstheme="majorBidi"/>
          <w:sz w:val="24"/>
          <w:szCs w:val="24"/>
          <w:lang w:val="en-GB"/>
        </w:rPr>
      </w:pPr>
      <w:r w:rsidRPr="005C100D">
        <w:rPr>
          <w:rFonts w:cstheme="majorBidi"/>
          <w:sz w:val="24"/>
          <w:szCs w:val="24"/>
          <w:lang w:val="en-GB"/>
        </w:rPr>
        <w:t xml:space="preserve">Commendably, Denmark has for decades assumed a leadership role at the inter-governmental level in the efforts to </w:t>
      </w:r>
      <w:r w:rsidR="004F4DDB" w:rsidRPr="005C100D">
        <w:rPr>
          <w:rFonts w:cstheme="majorBidi"/>
          <w:sz w:val="24"/>
          <w:szCs w:val="24"/>
          <w:lang w:val="en-GB"/>
        </w:rPr>
        <w:t>promote a number of the key civil and political human rights</w:t>
      </w:r>
      <w:r w:rsidR="00980340">
        <w:rPr>
          <w:rFonts w:cstheme="majorBidi"/>
          <w:sz w:val="24"/>
          <w:szCs w:val="24"/>
          <w:lang w:val="en-GB"/>
        </w:rPr>
        <w:t>. By way of example, w</w:t>
      </w:r>
      <w:r w:rsidRPr="005C100D">
        <w:rPr>
          <w:rFonts w:cstheme="majorBidi"/>
          <w:sz w:val="24"/>
          <w:szCs w:val="24"/>
          <w:lang w:val="en-GB"/>
        </w:rPr>
        <w:t xml:space="preserve">ithin the </w:t>
      </w:r>
      <w:r w:rsidRPr="005C100D">
        <w:rPr>
          <w:rFonts w:cstheme="majorBidi"/>
          <w:b/>
          <w:sz w:val="24"/>
          <w:szCs w:val="24"/>
          <w:lang w:val="en-GB"/>
        </w:rPr>
        <w:t>UN General Assembly</w:t>
      </w:r>
      <w:r w:rsidRPr="005C100D">
        <w:rPr>
          <w:rFonts w:cstheme="majorBidi"/>
          <w:sz w:val="24"/>
          <w:szCs w:val="24"/>
          <w:lang w:val="en-GB"/>
        </w:rPr>
        <w:t xml:space="preserve">, Denmark continues to spearhead the process of drafting and promoting the annual omnibus resolutions on the issue of torture. Similarly, Denmark has been playing a pioneer role within the </w:t>
      </w:r>
      <w:r w:rsidRPr="005C100D">
        <w:rPr>
          <w:rFonts w:cstheme="majorBidi"/>
          <w:b/>
          <w:sz w:val="24"/>
          <w:szCs w:val="24"/>
          <w:lang w:val="en-GB"/>
        </w:rPr>
        <w:t>UN Human Rights Council</w:t>
      </w:r>
      <w:r w:rsidRPr="005C100D">
        <w:rPr>
          <w:rFonts w:cstheme="majorBidi"/>
          <w:sz w:val="24"/>
          <w:szCs w:val="24"/>
          <w:lang w:val="en-GB"/>
        </w:rPr>
        <w:t xml:space="preserve"> being the lead author and promoter of thematic resolutions on issues as diverse as torture and the ro</w:t>
      </w:r>
      <w:r w:rsidR="00980340">
        <w:rPr>
          <w:rFonts w:cstheme="majorBidi"/>
          <w:sz w:val="24"/>
          <w:szCs w:val="24"/>
          <w:lang w:val="en-GB"/>
        </w:rPr>
        <w:t>le and responsibility of judges</w:t>
      </w:r>
      <w:r w:rsidRPr="005C100D">
        <w:rPr>
          <w:rFonts w:cstheme="majorBidi"/>
          <w:sz w:val="24"/>
          <w:szCs w:val="24"/>
          <w:lang w:val="en-GB"/>
        </w:rPr>
        <w:t xml:space="preserve">. </w:t>
      </w:r>
    </w:p>
    <w:p w:rsidR="00677872" w:rsidRPr="005C100D" w:rsidRDefault="00677872" w:rsidP="005C100D">
      <w:pPr>
        <w:jc w:val="both"/>
        <w:rPr>
          <w:rFonts w:cstheme="majorBidi"/>
          <w:sz w:val="24"/>
          <w:szCs w:val="24"/>
          <w:lang w:val="en-GB"/>
        </w:rPr>
      </w:pPr>
      <w:r w:rsidRPr="005C100D">
        <w:rPr>
          <w:rFonts w:cstheme="majorBidi"/>
          <w:sz w:val="24"/>
          <w:szCs w:val="24"/>
          <w:lang w:val="en-GB"/>
        </w:rPr>
        <w:lastRenderedPageBreak/>
        <w:t xml:space="preserve">Within the </w:t>
      </w:r>
      <w:r w:rsidRPr="005C100D">
        <w:rPr>
          <w:rFonts w:cstheme="majorBidi"/>
          <w:b/>
          <w:sz w:val="24"/>
          <w:szCs w:val="24"/>
          <w:lang w:val="en-GB"/>
        </w:rPr>
        <w:t>European Union</w:t>
      </w:r>
      <w:r w:rsidRPr="005C100D">
        <w:rPr>
          <w:rFonts w:cstheme="majorBidi"/>
          <w:sz w:val="24"/>
          <w:szCs w:val="24"/>
          <w:lang w:val="en-GB"/>
        </w:rPr>
        <w:t xml:space="preserve">, Denmark has also had a long tradition of playing a key role, notably within the Council’s Working Group of Human Rights Aspects of EU external Relations (COHOM), which develops EU </w:t>
      </w:r>
      <w:r w:rsidR="00864177">
        <w:rPr>
          <w:rFonts w:cstheme="majorBidi"/>
          <w:sz w:val="24"/>
          <w:szCs w:val="24"/>
          <w:lang w:val="en-GB"/>
        </w:rPr>
        <w:t>human rights policy instruments</w:t>
      </w:r>
      <w:r w:rsidRPr="005C100D">
        <w:rPr>
          <w:rFonts w:cstheme="majorBidi"/>
          <w:sz w:val="24"/>
          <w:szCs w:val="24"/>
          <w:lang w:val="en-GB"/>
        </w:rPr>
        <w:t xml:space="preserve">. </w:t>
      </w:r>
    </w:p>
    <w:p w:rsidR="00677872" w:rsidRPr="005C100D" w:rsidRDefault="00677872" w:rsidP="005C100D">
      <w:pPr>
        <w:jc w:val="both"/>
        <w:rPr>
          <w:rFonts w:cstheme="majorBidi"/>
          <w:sz w:val="24"/>
          <w:szCs w:val="24"/>
          <w:lang w:val="en-GB"/>
        </w:rPr>
      </w:pPr>
      <w:r w:rsidRPr="005C100D">
        <w:rPr>
          <w:rFonts w:cstheme="majorBidi"/>
          <w:sz w:val="24"/>
          <w:szCs w:val="24"/>
          <w:lang w:val="en-GB"/>
        </w:rPr>
        <w:t xml:space="preserve">Finally, it should be emphasized that the present government – like its predecessors – has continued to provide moral and financial support to NGOs engaged in the </w:t>
      </w:r>
      <w:r w:rsidR="004F4DDB" w:rsidRPr="005C100D">
        <w:rPr>
          <w:rFonts w:cstheme="majorBidi"/>
          <w:sz w:val="24"/>
          <w:szCs w:val="24"/>
          <w:lang w:val="en-GB"/>
        </w:rPr>
        <w:t xml:space="preserve">promotion of human rights and has </w:t>
      </w:r>
      <w:r w:rsidRPr="005C100D">
        <w:rPr>
          <w:rFonts w:cstheme="majorBidi"/>
          <w:sz w:val="24"/>
          <w:szCs w:val="24"/>
          <w:lang w:val="en-GB"/>
        </w:rPr>
        <w:t>maintain</w:t>
      </w:r>
      <w:r w:rsidR="004F4DDB" w:rsidRPr="005C100D">
        <w:rPr>
          <w:rFonts w:cstheme="majorBidi"/>
          <w:sz w:val="24"/>
          <w:szCs w:val="24"/>
          <w:lang w:val="en-GB"/>
        </w:rPr>
        <w:t>ed</w:t>
      </w:r>
      <w:r w:rsidRPr="005C100D">
        <w:rPr>
          <w:rFonts w:cstheme="majorBidi"/>
          <w:sz w:val="24"/>
          <w:szCs w:val="24"/>
          <w:lang w:val="en-GB"/>
        </w:rPr>
        <w:t xml:space="preserve"> a good and constructive dialogue and cooperation with NGOs. </w:t>
      </w:r>
    </w:p>
    <w:p w:rsidR="00756C6B" w:rsidRPr="005C100D" w:rsidRDefault="00756C6B" w:rsidP="005C100D">
      <w:pPr>
        <w:jc w:val="both"/>
        <w:rPr>
          <w:rFonts w:cstheme="majorBidi"/>
          <w:sz w:val="24"/>
          <w:szCs w:val="24"/>
          <w:lang w:val="en-GB"/>
        </w:rPr>
      </w:pPr>
    </w:p>
    <w:p w:rsidR="00677872" w:rsidRDefault="00677872" w:rsidP="005C100D">
      <w:pPr>
        <w:jc w:val="both"/>
        <w:rPr>
          <w:rFonts w:cstheme="majorBidi"/>
          <w:sz w:val="24"/>
          <w:szCs w:val="24"/>
          <w:lang w:val="en-GB"/>
        </w:rPr>
      </w:pPr>
      <w:r w:rsidRPr="005C100D">
        <w:rPr>
          <w:rFonts w:cstheme="majorBidi"/>
          <w:sz w:val="24"/>
          <w:szCs w:val="24"/>
          <w:lang w:val="en-GB"/>
        </w:rPr>
        <w:t>Yours sincerely,</w:t>
      </w:r>
    </w:p>
    <w:p w:rsidR="00864177" w:rsidRDefault="00864177" w:rsidP="005C100D">
      <w:pPr>
        <w:jc w:val="both"/>
        <w:rPr>
          <w:rFonts w:cstheme="majorBidi"/>
          <w:sz w:val="24"/>
          <w:szCs w:val="24"/>
          <w:lang w:val="en-GB"/>
        </w:rPr>
      </w:pPr>
    </w:p>
    <w:p w:rsidR="00864177" w:rsidRPr="005C100D" w:rsidRDefault="00864177" w:rsidP="005C100D">
      <w:pPr>
        <w:jc w:val="both"/>
        <w:rPr>
          <w:rFonts w:cstheme="majorBidi"/>
          <w:sz w:val="24"/>
          <w:szCs w:val="24"/>
          <w:lang w:val="en-GB"/>
        </w:rPr>
      </w:pPr>
    </w:p>
    <w:p w:rsidR="00677872" w:rsidRPr="005C100D" w:rsidRDefault="00677872" w:rsidP="005C100D">
      <w:pPr>
        <w:spacing w:after="0"/>
        <w:jc w:val="both"/>
        <w:rPr>
          <w:rFonts w:cstheme="majorBidi"/>
          <w:sz w:val="24"/>
          <w:szCs w:val="24"/>
          <w:lang w:val="en-GB"/>
        </w:rPr>
      </w:pPr>
      <w:proofErr w:type="spellStart"/>
      <w:r w:rsidRPr="005C100D">
        <w:rPr>
          <w:rFonts w:cstheme="majorBidi"/>
          <w:sz w:val="24"/>
          <w:szCs w:val="24"/>
          <w:lang w:val="en-GB"/>
        </w:rPr>
        <w:t>Dr.</w:t>
      </w:r>
      <w:proofErr w:type="spellEnd"/>
      <w:r w:rsidRPr="005C100D">
        <w:rPr>
          <w:rFonts w:cstheme="majorBidi"/>
          <w:sz w:val="24"/>
          <w:szCs w:val="24"/>
          <w:lang w:val="en-GB"/>
        </w:rPr>
        <w:t xml:space="preserve"> Karin Verland </w:t>
      </w:r>
    </w:p>
    <w:p w:rsidR="00677872" w:rsidRPr="005C100D" w:rsidRDefault="00677872" w:rsidP="005C100D">
      <w:pPr>
        <w:spacing w:after="0"/>
        <w:jc w:val="both"/>
        <w:rPr>
          <w:rFonts w:cstheme="majorBidi"/>
          <w:sz w:val="24"/>
          <w:szCs w:val="24"/>
          <w:lang w:val="en-GB"/>
        </w:rPr>
      </w:pPr>
      <w:r w:rsidRPr="005C100D">
        <w:rPr>
          <w:rFonts w:cstheme="majorBidi"/>
          <w:sz w:val="24"/>
          <w:szCs w:val="24"/>
          <w:lang w:val="en-GB"/>
        </w:rPr>
        <w:t>Director General</w:t>
      </w:r>
    </w:p>
    <w:p w:rsidR="00677872" w:rsidRPr="005C100D" w:rsidRDefault="00677872" w:rsidP="005C100D">
      <w:pPr>
        <w:spacing w:after="0"/>
        <w:jc w:val="both"/>
        <w:rPr>
          <w:rFonts w:cstheme="majorBidi"/>
          <w:sz w:val="24"/>
          <w:szCs w:val="24"/>
          <w:lang w:val="en-GB"/>
        </w:rPr>
      </w:pPr>
      <w:r w:rsidRPr="005C100D">
        <w:rPr>
          <w:rFonts w:cstheme="majorBidi"/>
          <w:sz w:val="24"/>
          <w:szCs w:val="24"/>
          <w:lang w:val="en-GB"/>
        </w:rPr>
        <w:t xml:space="preserve">DIGNITY – Danish Institute Against Torture </w:t>
      </w:r>
    </w:p>
    <w:p w:rsidR="00677872" w:rsidRPr="005C100D" w:rsidRDefault="00756C6B" w:rsidP="005C100D">
      <w:pPr>
        <w:jc w:val="both"/>
        <w:rPr>
          <w:rFonts w:cstheme="majorBidi"/>
          <w:sz w:val="24"/>
          <w:szCs w:val="24"/>
          <w:lang w:val="en-GB"/>
        </w:rPr>
      </w:pPr>
      <w:r w:rsidRPr="005C100D">
        <w:rPr>
          <w:rFonts w:cstheme="majorBidi"/>
          <w:sz w:val="24"/>
          <w:szCs w:val="24"/>
          <w:lang w:val="en-GB"/>
        </w:rPr>
        <w:br w:type="page"/>
      </w:r>
    </w:p>
    <w:p w:rsidR="0022650B" w:rsidRPr="005C100D" w:rsidRDefault="00590D6E" w:rsidP="005C100D">
      <w:pPr>
        <w:pStyle w:val="Heading1"/>
        <w:pBdr>
          <w:bottom w:val="single" w:sz="4" w:space="1" w:color="auto"/>
        </w:pBdr>
        <w:spacing w:after="240"/>
        <w:jc w:val="both"/>
        <w:rPr>
          <w:sz w:val="24"/>
          <w:szCs w:val="24"/>
          <w:lang w:val="en-US"/>
        </w:rPr>
      </w:pPr>
      <w:bookmarkStart w:id="2" w:name="_Toc451866540"/>
      <w:r w:rsidRPr="005C100D">
        <w:rPr>
          <w:sz w:val="24"/>
          <w:szCs w:val="24"/>
          <w:lang w:val="en-US"/>
        </w:rPr>
        <w:lastRenderedPageBreak/>
        <w:t>Part A: LIST OF ISSUES PRIOR TO REPORTING (LOIPR)</w:t>
      </w:r>
      <w:bookmarkEnd w:id="2"/>
    </w:p>
    <w:p w:rsidR="00736A2D" w:rsidRPr="005C100D" w:rsidRDefault="0097164E" w:rsidP="005C100D">
      <w:pPr>
        <w:pStyle w:val="Heading2"/>
        <w:spacing w:after="240"/>
        <w:jc w:val="both"/>
        <w:rPr>
          <w:sz w:val="24"/>
          <w:szCs w:val="24"/>
          <w:lang w:val="en-US"/>
        </w:rPr>
      </w:pPr>
      <w:bookmarkStart w:id="3" w:name="_Toc451866541"/>
      <w:r w:rsidRPr="005C100D">
        <w:rPr>
          <w:sz w:val="24"/>
          <w:szCs w:val="24"/>
          <w:lang w:val="en-US"/>
        </w:rPr>
        <w:t xml:space="preserve">I. </w:t>
      </w:r>
      <w:r w:rsidR="00590D6E" w:rsidRPr="005C100D">
        <w:rPr>
          <w:sz w:val="24"/>
          <w:szCs w:val="24"/>
          <w:lang w:val="en-US"/>
        </w:rPr>
        <w:t>INTRODUCTION</w:t>
      </w:r>
      <w:bookmarkEnd w:id="3"/>
      <w:r w:rsidR="00590D6E" w:rsidRPr="005C100D">
        <w:rPr>
          <w:sz w:val="24"/>
          <w:szCs w:val="24"/>
          <w:lang w:val="en-US"/>
        </w:rPr>
        <w:t xml:space="preserve">   </w:t>
      </w:r>
    </w:p>
    <w:p w:rsidR="00C1350B" w:rsidRPr="005C100D" w:rsidRDefault="00590D6E" w:rsidP="005C100D">
      <w:pPr>
        <w:jc w:val="both"/>
        <w:rPr>
          <w:rFonts w:cstheme="majorBidi"/>
          <w:bCs/>
          <w:sz w:val="24"/>
          <w:szCs w:val="24"/>
          <w:lang w:val="en-US"/>
        </w:rPr>
      </w:pPr>
      <w:r w:rsidRPr="005C100D">
        <w:rPr>
          <w:rFonts w:cstheme="majorBidi"/>
          <w:bCs/>
          <w:sz w:val="24"/>
          <w:szCs w:val="24"/>
          <w:lang w:val="en-US"/>
        </w:rPr>
        <w:t xml:space="preserve">In response to the Committee’s request for general information on the human rights situation in Denmark (LOIPR PARA 1-3), Denmark provided information on various modifications to the Administration of Justice Act </w:t>
      </w:r>
      <w:r w:rsidR="00891F22" w:rsidRPr="005C100D">
        <w:rPr>
          <w:rFonts w:cstheme="majorBidi"/>
          <w:bCs/>
          <w:sz w:val="24"/>
          <w:szCs w:val="24"/>
          <w:lang w:val="en-US"/>
        </w:rPr>
        <w:t>(</w:t>
      </w:r>
      <w:proofErr w:type="spellStart"/>
      <w:r w:rsidR="00891F22" w:rsidRPr="005C100D">
        <w:rPr>
          <w:rFonts w:cstheme="majorBidi"/>
          <w:bCs/>
          <w:sz w:val="24"/>
          <w:szCs w:val="24"/>
          <w:lang w:val="en-US"/>
        </w:rPr>
        <w:t>Retsplejeloven</w:t>
      </w:r>
      <w:proofErr w:type="spellEnd"/>
      <w:r w:rsidR="00891F22" w:rsidRPr="005C100D">
        <w:rPr>
          <w:rFonts w:cstheme="majorBidi"/>
          <w:bCs/>
          <w:sz w:val="24"/>
          <w:szCs w:val="24"/>
          <w:lang w:val="en-US"/>
        </w:rPr>
        <w:t xml:space="preserve">) </w:t>
      </w:r>
      <w:r w:rsidR="00C1350B" w:rsidRPr="005C100D">
        <w:rPr>
          <w:rFonts w:cstheme="majorBidi"/>
          <w:bCs/>
          <w:sz w:val="24"/>
          <w:szCs w:val="24"/>
          <w:lang w:val="en-US"/>
        </w:rPr>
        <w:t xml:space="preserve">and other legislation </w:t>
      </w:r>
      <w:r w:rsidRPr="005C100D">
        <w:rPr>
          <w:rFonts w:cstheme="majorBidi"/>
          <w:bCs/>
          <w:sz w:val="24"/>
          <w:szCs w:val="24"/>
          <w:lang w:val="en-US"/>
        </w:rPr>
        <w:t>and information on other developments relating to the implementation of the Covenant</w:t>
      </w:r>
      <w:r w:rsidR="00C1350B" w:rsidRPr="005C100D">
        <w:rPr>
          <w:rFonts w:cstheme="majorBidi"/>
          <w:bCs/>
          <w:sz w:val="24"/>
          <w:szCs w:val="24"/>
          <w:lang w:val="en-US"/>
        </w:rPr>
        <w:t xml:space="preserve"> (National Report para 4-19).</w:t>
      </w:r>
    </w:p>
    <w:p w:rsidR="00832708" w:rsidRDefault="00B54809" w:rsidP="005C100D">
      <w:pPr>
        <w:jc w:val="both"/>
        <w:rPr>
          <w:rFonts w:cstheme="majorBidi"/>
          <w:bCs/>
          <w:sz w:val="24"/>
          <w:szCs w:val="24"/>
          <w:lang w:val="en-US"/>
        </w:rPr>
      </w:pPr>
      <w:r>
        <w:rPr>
          <w:rFonts w:cstheme="majorBidi"/>
          <w:bCs/>
          <w:sz w:val="24"/>
          <w:szCs w:val="24"/>
          <w:lang w:val="en-US"/>
        </w:rPr>
        <w:t>Below, w</w:t>
      </w:r>
      <w:r w:rsidR="00590D6E" w:rsidRPr="005C100D">
        <w:rPr>
          <w:rFonts w:cstheme="majorBidi"/>
          <w:bCs/>
          <w:sz w:val="24"/>
          <w:szCs w:val="24"/>
          <w:lang w:val="en-US"/>
        </w:rPr>
        <w:t xml:space="preserve">e would like to </w:t>
      </w:r>
      <w:r w:rsidR="004331EE" w:rsidRPr="005C100D">
        <w:rPr>
          <w:rFonts w:cstheme="majorBidi"/>
          <w:bCs/>
          <w:sz w:val="24"/>
          <w:szCs w:val="24"/>
          <w:lang w:val="en-US"/>
        </w:rPr>
        <w:t>highlight</w:t>
      </w:r>
      <w:r w:rsidR="001E756C" w:rsidRPr="005C100D">
        <w:rPr>
          <w:rFonts w:cstheme="majorBidi"/>
          <w:bCs/>
          <w:sz w:val="24"/>
          <w:szCs w:val="24"/>
          <w:lang w:val="en-US"/>
        </w:rPr>
        <w:t xml:space="preserve"> three </w:t>
      </w:r>
      <w:r w:rsidR="009F1A33" w:rsidRPr="005C100D">
        <w:rPr>
          <w:rFonts w:cstheme="majorBidi"/>
          <w:bCs/>
          <w:sz w:val="24"/>
          <w:szCs w:val="24"/>
          <w:lang w:val="en-US"/>
        </w:rPr>
        <w:t xml:space="preserve">new </w:t>
      </w:r>
      <w:r w:rsidR="00016C3D" w:rsidRPr="005C100D">
        <w:rPr>
          <w:rFonts w:cstheme="majorBidi"/>
          <w:bCs/>
          <w:sz w:val="24"/>
          <w:szCs w:val="24"/>
          <w:lang w:val="en-US"/>
        </w:rPr>
        <w:t>legislative</w:t>
      </w:r>
      <w:r w:rsidR="00590D6E" w:rsidRPr="005C100D">
        <w:rPr>
          <w:rFonts w:cstheme="majorBidi"/>
          <w:bCs/>
          <w:sz w:val="24"/>
          <w:szCs w:val="24"/>
          <w:lang w:val="en-US"/>
        </w:rPr>
        <w:t xml:space="preserve"> developments</w:t>
      </w:r>
      <w:r w:rsidR="001E756C" w:rsidRPr="005C100D">
        <w:rPr>
          <w:rFonts w:cstheme="majorBidi"/>
          <w:bCs/>
          <w:sz w:val="24"/>
          <w:szCs w:val="24"/>
          <w:lang w:val="en-US"/>
        </w:rPr>
        <w:t xml:space="preserve"> </w:t>
      </w:r>
      <w:r>
        <w:rPr>
          <w:rFonts w:cstheme="majorBidi"/>
          <w:bCs/>
          <w:sz w:val="24"/>
          <w:szCs w:val="24"/>
          <w:lang w:val="en-US"/>
        </w:rPr>
        <w:t xml:space="preserve">(1) </w:t>
      </w:r>
      <w:r w:rsidR="001E756C" w:rsidRPr="005C100D">
        <w:rPr>
          <w:rFonts w:cstheme="majorBidi"/>
          <w:bCs/>
          <w:sz w:val="24"/>
          <w:szCs w:val="24"/>
          <w:lang w:val="en-US"/>
        </w:rPr>
        <w:t>that occurred after the submission of</w:t>
      </w:r>
      <w:r w:rsidR="00C740F1" w:rsidRPr="005C100D">
        <w:rPr>
          <w:rFonts w:cstheme="majorBidi"/>
          <w:bCs/>
          <w:sz w:val="24"/>
          <w:szCs w:val="24"/>
          <w:lang w:val="en-US"/>
        </w:rPr>
        <w:t xml:space="preserve"> the National Report</w:t>
      </w:r>
      <w:r w:rsidR="0020300D">
        <w:rPr>
          <w:rFonts w:cstheme="majorBidi"/>
          <w:bCs/>
          <w:sz w:val="24"/>
          <w:szCs w:val="24"/>
          <w:lang w:val="en-US"/>
        </w:rPr>
        <w:t xml:space="preserve"> last year</w:t>
      </w:r>
      <w:r w:rsidR="001E756C" w:rsidRPr="005C100D">
        <w:rPr>
          <w:rFonts w:cstheme="majorBidi"/>
          <w:bCs/>
          <w:sz w:val="24"/>
          <w:szCs w:val="24"/>
          <w:lang w:val="en-US"/>
        </w:rPr>
        <w:t xml:space="preserve"> and that related to the situation of refugees and the possibility to be granted legal aid when submitting cases to the HRC. We would like to</w:t>
      </w:r>
      <w:r w:rsidR="00C740F1" w:rsidRPr="005C100D">
        <w:rPr>
          <w:rFonts w:cstheme="majorBidi"/>
          <w:bCs/>
          <w:sz w:val="24"/>
          <w:szCs w:val="24"/>
          <w:lang w:val="en-US"/>
        </w:rPr>
        <w:t xml:space="preserve"> suggest that </w:t>
      </w:r>
      <w:r w:rsidR="00C740F1" w:rsidRPr="005C100D">
        <w:rPr>
          <w:b/>
          <w:iCs/>
          <w:sz w:val="24"/>
          <w:szCs w:val="24"/>
          <w:lang w:val="en-US"/>
        </w:rPr>
        <w:t xml:space="preserve">Denmark </w:t>
      </w:r>
      <w:r w:rsidR="001E756C" w:rsidRPr="005C100D">
        <w:rPr>
          <w:b/>
          <w:iCs/>
          <w:sz w:val="24"/>
          <w:szCs w:val="24"/>
          <w:lang w:val="en-US"/>
        </w:rPr>
        <w:t>is asked to explain</w:t>
      </w:r>
      <w:r w:rsidR="00C740F1" w:rsidRPr="005C100D">
        <w:rPr>
          <w:b/>
          <w:iCs/>
          <w:sz w:val="24"/>
          <w:szCs w:val="24"/>
          <w:lang w:val="en-US"/>
        </w:rPr>
        <w:t xml:space="preserve"> how these </w:t>
      </w:r>
      <w:r w:rsidR="0020300D">
        <w:rPr>
          <w:b/>
          <w:iCs/>
          <w:sz w:val="24"/>
          <w:szCs w:val="24"/>
          <w:lang w:val="en-US"/>
        </w:rPr>
        <w:t xml:space="preserve">new </w:t>
      </w:r>
      <w:r w:rsidR="00E902E8" w:rsidRPr="005C100D">
        <w:rPr>
          <w:b/>
          <w:iCs/>
          <w:sz w:val="24"/>
          <w:szCs w:val="24"/>
          <w:lang w:val="en-US"/>
        </w:rPr>
        <w:t xml:space="preserve">legislative </w:t>
      </w:r>
      <w:r w:rsidR="001E756C" w:rsidRPr="005C100D">
        <w:rPr>
          <w:b/>
          <w:iCs/>
          <w:sz w:val="24"/>
          <w:szCs w:val="24"/>
          <w:lang w:val="en-US"/>
        </w:rPr>
        <w:t>developments</w:t>
      </w:r>
      <w:r w:rsidR="00C740F1" w:rsidRPr="005C100D">
        <w:rPr>
          <w:b/>
          <w:iCs/>
          <w:sz w:val="24"/>
          <w:szCs w:val="24"/>
          <w:lang w:val="en-US"/>
        </w:rPr>
        <w:t xml:space="preserve"> correspond with</w:t>
      </w:r>
      <w:r w:rsidR="00C740F1" w:rsidRPr="005C100D">
        <w:rPr>
          <w:b/>
          <w:sz w:val="24"/>
          <w:szCs w:val="24"/>
          <w:lang w:val="en-GB"/>
        </w:rPr>
        <w:t xml:space="preserve"> D</w:t>
      </w:r>
      <w:r w:rsidR="00016C3D" w:rsidRPr="005C100D">
        <w:rPr>
          <w:b/>
          <w:sz w:val="24"/>
          <w:szCs w:val="24"/>
          <w:lang w:val="en-GB"/>
        </w:rPr>
        <w:t xml:space="preserve">enmark’s </w:t>
      </w:r>
      <w:r w:rsidR="001E756C" w:rsidRPr="005C100D">
        <w:rPr>
          <w:b/>
          <w:sz w:val="24"/>
          <w:szCs w:val="24"/>
          <w:lang w:val="en-GB"/>
        </w:rPr>
        <w:t xml:space="preserve">specific </w:t>
      </w:r>
      <w:r w:rsidR="00016C3D" w:rsidRPr="005C100D">
        <w:rPr>
          <w:b/>
          <w:sz w:val="24"/>
          <w:szCs w:val="24"/>
          <w:lang w:val="en-GB"/>
        </w:rPr>
        <w:t>obligations under the ICCPR</w:t>
      </w:r>
      <w:r w:rsidR="001E756C" w:rsidRPr="005C100D">
        <w:rPr>
          <w:rFonts w:cstheme="majorBidi"/>
          <w:b/>
          <w:bCs/>
          <w:sz w:val="24"/>
          <w:szCs w:val="24"/>
          <w:lang w:val="en-US"/>
        </w:rPr>
        <w:t xml:space="preserve"> and its general legal obligation in Article 2 of ICCPR to “…adopt such legislative or other measures as may be necessary to give effect to the rights recognized in the present Covenant</w:t>
      </w:r>
      <w:r w:rsidR="001E756C" w:rsidRPr="005C100D">
        <w:rPr>
          <w:rFonts w:cstheme="majorBidi"/>
          <w:bCs/>
          <w:sz w:val="24"/>
          <w:szCs w:val="24"/>
          <w:lang w:val="en-US"/>
        </w:rPr>
        <w:t>”.</w:t>
      </w:r>
      <w:r w:rsidR="00496B97">
        <w:rPr>
          <w:rFonts w:cstheme="majorBidi"/>
          <w:bCs/>
          <w:sz w:val="24"/>
          <w:szCs w:val="24"/>
          <w:lang w:val="en-US"/>
        </w:rPr>
        <w:t xml:space="preserve"> </w:t>
      </w:r>
    </w:p>
    <w:p w:rsidR="001E756C" w:rsidRPr="005C100D" w:rsidRDefault="001E756C" w:rsidP="005C100D">
      <w:pPr>
        <w:jc w:val="both"/>
        <w:rPr>
          <w:rFonts w:cstheme="majorBidi"/>
          <w:bCs/>
          <w:sz w:val="24"/>
          <w:szCs w:val="24"/>
          <w:lang w:val="en-US"/>
        </w:rPr>
      </w:pPr>
      <w:r w:rsidRPr="005C100D">
        <w:rPr>
          <w:rFonts w:cstheme="majorBidi"/>
          <w:bCs/>
          <w:sz w:val="24"/>
          <w:szCs w:val="24"/>
          <w:lang w:val="en-US"/>
        </w:rPr>
        <w:t>Moreover</w:t>
      </w:r>
      <w:r w:rsidR="000F5D22" w:rsidRPr="005C100D">
        <w:rPr>
          <w:rFonts w:cstheme="majorBidi"/>
          <w:bCs/>
          <w:sz w:val="24"/>
          <w:szCs w:val="24"/>
          <w:lang w:val="en-US"/>
        </w:rPr>
        <w:t>,</w:t>
      </w:r>
      <w:r w:rsidRPr="005C100D">
        <w:rPr>
          <w:rFonts w:cstheme="majorBidi"/>
          <w:bCs/>
          <w:sz w:val="24"/>
          <w:szCs w:val="24"/>
          <w:lang w:val="en-US"/>
        </w:rPr>
        <w:t xml:space="preserve"> we would also make a critical comment to the new Military Manual mentioned by Denmark (National Report para 18)</w:t>
      </w:r>
      <w:r w:rsidR="00B54809">
        <w:rPr>
          <w:rFonts w:cstheme="majorBidi"/>
          <w:bCs/>
          <w:sz w:val="24"/>
          <w:szCs w:val="24"/>
          <w:lang w:val="en-US"/>
        </w:rPr>
        <w:t xml:space="preserve"> (2)</w:t>
      </w:r>
      <w:r w:rsidRPr="005C100D">
        <w:rPr>
          <w:rFonts w:cstheme="majorBidi"/>
          <w:bCs/>
          <w:sz w:val="24"/>
          <w:szCs w:val="24"/>
          <w:lang w:val="en-US"/>
        </w:rPr>
        <w:t>.</w:t>
      </w:r>
    </w:p>
    <w:p w:rsidR="003E17B5" w:rsidRPr="005C100D" w:rsidRDefault="003E17B5" w:rsidP="005C100D">
      <w:pPr>
        <w:jc w:val="both"/>
        <w:rPr>
          <w:rFonts w:cstheme="majorBidi"/>
          <w:b/>
          <w:bCs/>
          <w:sz w:val="24"/>
          <w:szCs w:val="24"/>
          <w:lang w:val="en-US"/>
        </w:rPr>
      </w:pPr>
      <w:r w:rsidRPr="005C100D">
        <w:rPr>
          <w:rFonts w:cstheme="majorBidi"/>
          <w:b/>
          <w:bCs/>
          <w:sz w:val="24"/>
          <w:szCs w:val="24"/>
          <w:lang w:val="en-US"/>
        </w:rPr>
        <w:t>1:</w:t>
      </w:r>
      <w:r w:rsidR="00114E8D" w:rsidRPr="005C100D">
        <w:rPr>
          <w:rFonts w:cstheme="majorBidi"/>
          <w:b/>
          <w:bCs/>
          <w:sz w:val="24"/>
          <w:szCs w:val="24"/>
          <w:lang w:val="en-US"/>
        </w:rPr>
        <w:t xml:space="preserve"> </w:t>
      </w:r>
      <w:r w:rsidRPr="005C100D">
        <w:rPr>
          <w:rFonts w:cstheme="majorBidi"/>
          <w:b/>
          <w:bCs/>
          <w:sz w:val="24"/>
          <w:szCs w:val="24"/>
          <w:lang w:val="en-US"/>
        </w:rPr>
        <w:t>Legislative Amendments</w:t>
      </w:r>
    </w:p>
    <w:p w:rsidR="00C740F1" w:rsidRPr="005C100D" w:rsidRDefault="00590D6E" w:rsidP="005C100D">
      <w:pPr>
        <w:pStyle w:val="ListParagraph"/>
        <w:numPr>
          <w:ilvl w:val="0"/>
          <w:numId w:val="2"/>
        </w:numPr>
        <w:jc w:val="both"/>
        <w:rPr>
          <w:b/>
          <w:i/>
          <w:sz w:val="24"/>
          <w:szCs w:val="24"/>
          <w:lang w:val="en-US"/>
        </w:rPr>
      </w:pPr>
      <w:r w:rsidRPr="005C100D">
        <w:rPr>
          <w:b/>
          <w:i/>
          <w:sz w:val="24"/>
          <w:szCs w:val="24"/>
          <w:lang w:val="en-US"/>
        </w:rPr>
        <w:t>Amendment</w:t>
      </w:r>
      <w:r w:rsidR="00016C3D" w:rsidRPr="005C100D">
        <w:rPr>
          <w:b/>
          <w:i/>
          <w:sz w:val="24"/>
          <w:szCs w:val="24"/>
          <w:lang w:val="en-US"/>
        </w:rPr>
        <w:t>s</w:t>
      </w:r>
      <w:r w:rsidRPr="005C100D">
        <w:rPr>
          <w:b/>
          <w:i/>
          <w:sz w:val="24"/>
          <w:szCs w:val="24"/>
          <w:lang w:val="en-US"/>
        </w:rPr>
        <w:t xml:space="preserve"> of the Danish Aliens Act</w:t>
      </w:r>
      <w:r w:rsidR="00863F03" w:rsidRPr="005C100D">
        <w:rPr>
          <w:b/>
          <w:i/>
          <w:sz w:val="24"/>
          <w:szCs w:val="24"/>
          <w:lang w:val="en-US"/>
        </w:rPr>
        <w:t xml:space="preserve"> (LBK 1021 of 19 September 2014)</w:t>
      </w:r>
    </w:p>
    <w:p w:rsidR="0074440A" w:rsidRPr="005C100D" w:rsidRDefault="00736A2D" w:rsidP="005C100D">
      <w:pPr>
        <w:jc w:val="both"/>
        <w:rPr>
          <w:sz w:val="24"/>
          <w:szCs w:val="24"/>
          <w:lang w:val="en-US"/>
        </w:rPr>
      </w:pPr>
      <w:r w:rsidRPr="005C100D">
        <w:rPr>
          <w:sz w:val="24"/>
          <w:szCs w:val="24"/>
          <w:lang w:val="en-US"/>
        </w:rPr>
        <w:t>T</w:t>
      </w:r>
      <w:r w:rsidR="000F5D22" w:rsidRPr="005C100D">
        <w:rPr>
          <w:sz w:val="24"/>
          <w:szCs w:val="24"/>
          <w:lang w:val="en-US"/>
        </w:rPr>
        <w:t xml:space="preserve">wo </w:t>
      </w:r>
      <w:r w:rsidR="00016C3D" w:rsidRPr="005C100D">
        <w:rPr>
          <w:sz w:val="24"/>
          <w:szCs w:val="24"/>
          <w:lang w:val="en-US"/>
        </w:rPr>
        <w:t>a</w:t>
      </w:r>
      <w:r w:rsidR="00590D6E" w:rsidRPr="005C100D">
        <w:rPr>
          <w:sz w:val="24"/>
          <w:szCs w:val="24"/>
          <w:lang w:val="en-US"/>
        </w:rPr>
        <w:t xml:space="preserve">mendments to the Aliens Act </w:t>
      </w:r>
      <w:r w:rsidR="000F5D22" w:rsidRPr="005C100D">
        <w:rPr>
          <w:sz w:val="24"/>
          <w:szCs w:val="24"/>
          <w:lang w:val="en-US"/>
        </w:rPr>
        <w:t xml:space="preserve">in November 2015 and February 2016 </w:t>
      </w:r>
      <w:r w:rsidR="00016C3D" w:rsidRPr="005C100D">
        <w:rPr>
          <w:sz w:val="24"/>
          <w:szCs w:val="24"/>
          <w:lang w:val="en-US"/>
        </w:rPr>
        <w:t>entailed</w:t>
      </w:r>
      <w:r w:rsidR="00590D6E" w:rsidRPr="005C100D">
        <w:rPr>
          <w:sz w:val="24"/>
          <w:szCs w:val="24"/>
          <w:lang w:val="en-US"/>
        </w:rPr>
        <w:t xml:space="preserve"> further </w:t>
      </w:r>
      <w:r w:rsidR="00016C3D" w:rsidRPr="005C100D">
        <w:rPr>
          <w:sz w:val="24"/>
          <w:szCs w:val="24"/>
          <w:lang w:val="en-US"/>
        </w:rPr>
        <w:t>restrictions for asylum seekers:</w:t>
      </w:r>
      <w:r w:rsidR="00590D6E" w:rsidRPr="005C100D">
        <w:rPr>
          <w:sz w:val="24"/>
          <w:szCs w:val="24"/>
          <w:lang w:val="en-US"/>
        </w:rPr>
        <w:t xml:space="preserve"> </w:t>
      </w:r>
    </w:p>
    <w:p w:rsidR="007D639F" w:rsidRPr="005C100D" w:rsidRDefault="00C740F1" w:rsidP="00483BF4">
      <w:pPr>
        <w:pStyle w:val="ListParagraph"/>
        <w:numPr>
          <w:ilvl w:val="0"/>
          <w:numId w:val="3"/>
        </w:numPr>
        <w:ind w:left="709" w:hanging="283"/>
        <w:jc w:val="both"/>
        <w:rPr>
          <w:sz w:val="24"/>
          <w:szCs w:val="24"/>
          <w:lang w:val="en-US"/>
        </w:rPr>
      </w:pPr>
      <w:r w:rsidRPr="005C100D">
        <w:rPr>
          <w:sz w:val="24"/>
          <w:szCs w:val="24"/>
          <w:lang w:val="en-US"/>
        </w:rPr>
        <w:t>L</w:t>
      </w:r>
      <w:r w:rsidR="00016C3D" w:rsidRPr="005C100D">
        <w:rPr>
          <w:sz w:val="24"/>
          <w:szCs w:val="24"/>
          <w:lang w:val="en-US"/>
        </w:rPr>
        <w:t xml:space="preserve">aw 102 of 3 February 2016: </w:t>
      </w:r>
      <w:r w:rsidRPr="005C100D">
        <w:rPr>
          <w:sz w:val="24"/>
          <w:szCs w:val="24"/>
          <w:lang w:val="en-US"/>
        </w:rPr>
        <w:t>The modification of the Aliens Act entailed that the right to family reunification for persons on temporary protection</w:t>
      </w:r>
      <w:r w:rsidR="000F5D22" w:rsidRPr="005C100D">
        <w:rPr>
          <w:rStyle w:val="FootnoteReference"/>
          <w:sz w:val="24"/>
          <w:szCs w:val="24"/>
          <w:lang w:val="en-US"/>
        </w:rPr>
        <w:footnoteReference w:id="11"/>
      </w:r>
      <w:r w:rsidRPr="005C100D">
        <w:rPr>
          <w:sz w:val="24"/>
          <w:szCs w:val="24"/>
          <w:lang w:val="en-US"/>
        </w:rPr>
        <w:t xml:space="preserve"> was postponed to after three years</w:t>
      </w:r>
      <w:r w:rsidR="000F5D22" w:rsidRPr="005C100D">
        <w:rPr>
          <w:sz w:val="24"/>
          <w:szCs w:val="24"/>
          <w:lang w:val="en-US"/>
        </w:rPr>
        <w:t xml:space="preserve"> after granted asylum</w:t>
      </w:r>
      <w:r w:rsidRPr="005C100D">
        <w:rPr>
          <w:sz w:val="24"/>
          <w:szCs w:val="24"/>
          <w:lang w:val="en-US"/>
        </w:rPr>
        <w:t>. We</w:t>
      </w:r>
      <w:r w:rsidR="00863F03" w:rsidRPr="005C100D">
        <w:rPr>
          <w:sz w:val="24"/>
          <w:szCs w:val="24"/>
          <w:lang w:val="en-US"/>
        </w:rPr>
        <w:t xml:space="preserve"> – as well as the Danish Institute for Human Rights -</w:t>
      </w:r>
      <w:r w:rsidRPr="005C100D">
        <w:rPr>
          <w:sz w:val="24"/>
          <w:szCs w:val="24"/>
          <w:lang w:val="en-US"/>
        </w:rPr>
        <w:t xml:space="preserve"> consider this modification of the Aliens Act incompatible with the right to private and family life, as stipulated in </w:t>
      </w:r>
      <w:r w:rsidR="004F7ADD">
        <w:rPr>
          <w:sz w:val="24"/>
          <w:szCs w:val="24"/>
          <w:lang w:val="en-US"/>
        </w:rPr>
        <w:t>the</w:t>
      </w:r>
      <w:r w:rsidRPr="005C100D">
        <w:rPr>
          <w:sz w:val="24"/>
          <w:szCs w:val="24"/>
          <w:lang w:val="en-US"/>
        </w:rPr>
        <w:t xml:space="preserve"> ICCPR (and article 8 of E</w:t>
      </w:r>
      <w:r w:rsidR="000F5D22" w:rsidRPr="005C100D">
        <w:rPr>
          <w:sz w:val="24"/>
          <w:szCs w:val="24"/>
          <w:lang w:val="en-US"/>
        </w:rPr>
        <w:t xml:space="preserve">uropean </w:t>
      </w:r>
      <w:r w:rsidRPr="005C100D">
        <w:rPr>
          <w:sz w:val="24"/>
          <w:szCs w:val="24"/>
          <w:lang w:val="en-US"/>
        </w:rPr>
        <w:t>C</w:t>
      </w:r>
      <w:r w:rsidR="000F5D22" w:rsidRPr="005C100D">
        <w:rPr>
          <w:sz w:val="24"/>
          <w:szCs w:val="24"/>
          <w:lang w:val="en-US"/>
        </w:rPr>
        <w:t xml:space="preserve">onvention on </w:t>
      </w:r>
      <w:r w:rsidRPr="005C100D">
        <w:rPr>
          <w:sz w:val="24"/>
          <w:szCs w:val="24"/>
          <w:lang w:val="en-US"/>
        </w:rPr>
        <w:t>H</w:t>
      </w:r>
      <w:r w:rsidR="000F5D22" w:rsidRPr="005C100D">
        <w:rPr>
          <w:sz w:val="24"/>
          <w:szCs w:val="24"/>
          <w:lang w:val="en-US"/>
        </w:rPr>
        <w:t xml:space="preserve">uman </w:t>
      </w:r>
      <w:r w:rsidRPr="005C100D">
        <w:rPr>
          <w:sz w:val="24"/>
          <w:szCs w:val="24"/>
          <w:lang w:val="en-US"/>
        </w:rPr>
        <w:t>R</w:t>
      </w:r>
      <w:r w:rsidR="000F5D22" w:rsidRPr="005C100D">
        <w:rPr>
          <w:sz w:val="24"/>
          <w:szCs w:val="24"/>
          <w:lang w:val="en-US"/>
        </w:rPr>
        <w:t>ights (ECHR)</w:t>
      </w:r>
      <w:r w:rsidRPr="005C100D">
        <w:rPr>
          <w:sz w:val="24"/>
          <w:szCs w:val="24"/>
          <w:lang w:val="en-US"/>
        </w:rPr>
        <w:t>)</w:t>
      </w:r>
      <w:r w:rsidR="000F5D22" w:rsidRPr="005C100D">
        <w:rPr>
          <w:sz w:val="24"/>
          <w:szCs w:val="24"/>
          <w:lang w:val="en-US"/>
        </w:rPr>
        <w:t xml:space="preserve"> (see further below)</w:t>
      </w:r>
      <w:r w:rsidRPr="005C100D">
        <w:rPr>
          <w:sz w:val="24"/>
          <w:szCs w:val="24"/>
          <w:lang w:val="en-US"/>
        </w:rPr>
        <w:t xml:space="preserve">. </w:t>
      </w:r>
      <w:r w:rsidRPr="005C100D">
        <w:rPr>
          <w:rStyle w:val="FootnoteReference"/>
          <w:sz w:val="24"/>
          <w:szCs w:val="24"/>
          <w:lang w:val="en-US"/>
        </w:rPr>
        <w:footnoteReference w:id="12"/>
      </w:r>
    </w:p>
    <w:p w:rsidR="00016C3D" w:rsidRPr="005C100D" w:rsidRDefault="00C740F1" w:rsidP="00483BF4">
      <w:pPr>
        <w:pStyle w:val="ListParagraph"/>
        <w:numPr>
          <w:ilvl w:val="0"/>
          <w:numId w:val="3"/>
        </w:numPr>
        <w:ind w:left="709" w:hanging="283"/>
        <w:jc w:val="both"/>
        <w:rPr>
          <w:sz w:val="24"/>
          <w:szCs w:val="24"/>
          <w:lang w:val="en-US"/>
        </w:rPr>
      </w:pPr>
      <w:r w:rsidRPr="005C100D">
        <w:rPr>
          <w:sz w:val="24"/>
          <w:szCs w:val="24"/>
          <w:lang w:val="en-US"/>
        </w:rPr>
        <w:t>L</w:t>
      </w:r>
      <w:r w:rsidR="00016C3D" w:rsidRPr="005C100D">
        <w:rPr>
          <w:sz w:val="24"/>
          <w:szCs w:val="24"/>
          <w:lang w:val="en-US"/>
        </w:rPr>
        <w:t>aw 1273 of 20 November 2015</w:t>
      </w:r>
      <w:r w:rsidRPr="005C100D">
        <w:rPr>
          <w:sz w:val="24"/>
          <w:szCs w:val="24"/>
          <w:lang w:val="en-US"/>
        </w:rPr>
        <w:t xml:space="preserve">: </w:t>
      </w:r>
      <w:r w:rsidR="00016C3D" w:rsidRPr="005C100D">
        <w:rPr>
          <w:sz w:val="24"/>
          <w:szCs w:val="24"/>
          <w:lang w:val="en-US"/>
        </w:rPr>
        <w:t xml:space="preserve">The modifications of the Aliens Act entailed that the compulsory right to judiciary control </w:t>
      </w:r>
      <w:r w:rsidR="009D3D73" w:rsidRPr="005C100D">
        <w:rPr>
          <w:sz w:val="24"/>
          <w:szCs w:val="24"/>
          <w:lang w:val="en-US"/>
        </w:rPr>
        <w:t xml:space="preserve">of the administrative decision to detain a refugee </w:t>
      </w:r>
      <w:r w:rsidR="00CB79BD">
        <w:rPr>
          <w:sz w:val="24"/>
          <w:szCs w:val="24"/>
          <w:lang w:val="en-US"/>
        </w:rPr>
        <w:t xml:space="preserve">could be </w:t>
      </w:r>
      <w:r w:rsidR="00016C3D" w:rsidRPr="005C100D">
        <w:rPr>
          <w:sz w:val="24"/>
          <w:szCs w:val="24"/>
          <w:lang w:val="en-US"/>
        </w:rPr>
        <w:t>restricted</w:t>
      </w:r>
      <w:r w:rsidR="00496B97">
        <w:rPr>
          <w:sz w:val="24"/>
          <w:szCs w:val="24"/>
          <w:lang w:val="en-US"/>
        </w:rPr>
        <w:t xml:space="preserve"> under certain circumstances</w:t>
      </w:r>
      <w:r w:rsidR="00590D6E" w:rsidRPr="005C100D">
        <w:rPr>
          <w:sz w:val="24"/>
          <w:szCs w:val="24"/>
          <w:lang w:val="en-US"/>
        </w:rPr>
        <w:t>.</w:t>
      </w:r>
      <w:r w:rsidR="000F5D22" w:rsidRPr="005C100D">
        <w:rPr>
          <w:sz w:val="24"/>
          <w:szCs w:val="24"/>
          <w:lang w:val="en-US"/>
        </w:rPr>
        <w:t xml:space="preserve"> We consider this modification incompatible with the right to fair trial under the ICCPR.</w:t>
      </w:r>
    </w:p>
    <w:p w:rsidR="00685B0A" w:rsidRPr="005C100D" w:rsidRDefault="00685B0A" w:rsidP="005C100D">
      <w:pPr>
        <w:pStyle w:val="ListParagraph"/>
        <w:ind w:left="1664"/>
        <w:jc w:val="both"/>
        <w:rPr>
          <w:sz w:val="24"/>
          <w:szCs w:val="24"/>
          <w:lang w:val="en-US"/>
        </w:rPr>
      </w:pPr>
    </w:p>
    <w:p w:rsidR="0074440A" w:rsidRPr="005C100D" w:rsidRDefault="00496B97" w:rsidP="005C100D">
      <w:pPr>
        <w:pStyle w:val="ListParagraph"/>
        <w:numPr>
          <w:ilvl w:val="0"/>
          <w:numId w:val="2"/>
        </w:numPr>
        <w:jc w:val="both"/>
        <w:rPr>
          <w:b/>
          <w:i/>
          <w:sz w:val="24"/>
          <w:szCs w:val="24"/>
          <w:lang w:val="en-GB"/>
        </w:rPr>
      </w:pPr>
      <w:r>
        <w:rPr>
          <w:b/>
          <w:i/>
          <w:sz w:val="24"/>
          <w:szCs w:val="24"/>
          <w:lang w:val="en-GB"/>
        </w:rPr>
        <w:lastRenderedPageBreak/>
        <w:t xml:space="preserve">Amendments to </w:t>
      </w:r>
      <w:r w:rsidR="0074440A" w:rsidRPr="005C100D">
        <w:rPr>
          <w:b/>
          <w:i/>
          <w:sz w:val="24"/>
          <w:szCs w:val="24"/>
          <w:lang w:val="en-GB"/>
        </w:rPr>
        <w:t>Law on Integration (LBK 1094 of 7 October 2014)</w:t>
      </w:r>
    </w:p>
    <w:p w:rsidR="0074440A" w:rsidRPr="005C100D" w:rsidRDefault="00EA24E1" w:rsidP="005C100D">
      <w:pPr>
        <w:jc w:val="both"/>
        <w:rPr>
          <w:sz w:val="24"/>
          <w:szCs w:val="24"/>
          <w:lang w:val="en-GB"/>
        </w:rPr>
      </w:pPr>
      <w:r w:rsidRPr="005C100D">
        <w:rPr>
          <w:sz w:val="24"/>
          <w:szCs w:val="24"/>
          <w:lang w:val="en-GB"/>
        </w:rPr>
        <w:t xml:space="preserve">The Parliament is currently debating </w:t>
      </w:r>
      <w:r w:rsidR="00233B21">
        <w:rPr>
          <w:sz w:val="24"/>
          <w:szCs w:val="24"/>
          <w:lang w:val="en-GB"/>
        </w:rPr>
        <w:t>to</w:t>
      </w:r>
      <w:r w:rsidR="00F51090" w:rsidRPr="005C100D">
        <w:rPr>
          <w:sz w:val="24"/>
          <w:szCs w:val="24"/>
          <w:lang w:val="en-GB"/>
        </w:rPr>
        <w:t xml:space="preserve"> </w:t>
      </w:r>
      <w:r w:rsidRPr="005C100D">
        <w:rPr>
          <w:sz w:val="24"/>
          <w:szCs w:val="24"/>
          <w:lang w:val="en-GB"/>
        </w:rPr>
        <w:t>remove</w:t>
      </w:r>
      <w:r w:rsidR="0074440A" w:rsidRPr="005C100D">
        <w:rPr>
          <w:sz w:val="24"/>
          <w:szCs w:val="24"/>
          <w:lang w:val="en-GB"/>
        </w:rPr>
        <w:t xml:space="preserve"> the compulsory medical check-up</w:t>
      </w:r>
      <w:r w:rsidRPr="005C100D">
        <w:rPr>
          <w:sz w:val="24"/>
          <w:szCs w:val="24"/>
          <w:lang w:val="en-GB"/>
        </w:rPr>
        <w:t xml:space="preserve"> that</w:t>
      </w:r>
      <w:r w:rsidR="0074440A" w:rsidRPr="005C100D">
        <w:rPr>
          <w:sz w:val="24"/>
          <w:szCs w:val="24"/>
          <w:lang w:val="en-GB"/>
        </w:rPr>
        <w:t xml:space="preserve"> refugees who have received asylum in Denmark </w:t>
      </w:r>
      <w:r w:rsidRPr="005C100D">
        <w:rPr>
          <w:sz w:val="24"/>
          <w:szCs w:val="24"/>
          <w:lang w:val="en-GB"/>
        </w:rPr>
        <w:t xml:space="preserve">are </w:t>
      </w:r>
      <w:r w:rsidR="00CA3FD0">
        <w:rPr>
          <w:sz w:val="24"/>
          <w:szCs w:val="24"/>
          <w:lang w:val="en-GB"/>
        </w:rPr>
        <w:t xml:space="preserve">so far </w:t>
      </w:r>
      <w:r w:rsidRPr="005C100D">
        <w:rPr>
          <w:sz w:val="24"/>
          <w:szCs w:val="24"/>
          <w:lang w:val="en-GB"/>
        </w:rPr>
        <w:t>entitled, except for</w:t>
      </w:r>
      <w:r w:rsidR="00863F03" w:rsidRPr="005C100D">
        <w:rPr>
          <w:sz w:val="24"/>
          <w:szCs w:val="24"/>
          <w:lang w:val="en-GB"/>
        </w:rPr>
        <w:t xml:space="preserve"> refugees who </w:t>
      </w:r>
      <w:r w:rsidR="00F52746" w:rsidRPr="005C100D">
        <w:rPr>
          <w:sz w:val="24"/>
          <w:szCs w:val="24"/>
          <w:lang w:val="en-GB"/>
        </w:rPr>
        <w:t>are referred by UNHCR</w:t>
      </w:r>
      <w:r w:rsidR="00863F03" w:rsidRPr="005C100D">
        <w:rPr>
          <w:sz w:val="24"/>
          <w:szCs w:val="24"/>
          <w:lang w:val="en-GB"/>
        </w:rPr>
        <w:t xml:space="preserve"> </w:t>
      </w:r>
      <w:r w:rsidR="00F52746" w:rsidRPr="005C100D">
        <w:rPr>
          <w:sz w:val="24"/>
          <w:szCs w:val="24"/>
          <w:lang w:val="en-GB"/>
        </w:rPr>
        <w:t>(</w:t>
      </w:r>
      <w:r w:rsidR="00863F03" w:rsidRPr="005C100D">
        <w:rPr>
          <w:sz w:val="24"/>
          <w:szCs w:val="24"/>
          <w:lang w:val="en-GB"/>
        </w:rPr>
        <w:t>“</w:t>
      </w:r>
      <w:proofErr w:type="spellStart"/>
      <w:r w:rsidR="00F07D53" w:rsidRPr="005C100D">
        <w:rPr>
          <w:sz w:val="24"/>
          <w:szCs w:val="24"/>
          <w:lang w:val="en-GB"/>
        </w:rPr>
        <w:t>kvoteflygtninge</w:t>
      </w:r>
      <w:proofErr w:type="spellEnd"/>
      <w:r w:rsidR="00F07D53" w:rsidRPr="005C100D">
        <w:rPr>
          <w:sz w:val="24"/>
          <w:szCs w:val="24"/>
          <w:lang w:val="en-GB"/>
        </w:rPr>
        <w:t>”</w:t>
      </w:r>
      <w:r w:rsidR="00896FF5" w:rsidRPr="005C100D">
        <w:rPr>
          <w:sz w:val="24"/>
          <w:szCs w:val="24"/>
          <w:lang w:val="en-GB"/>
        </w:rPr>
        <w:t xml:space="preserve">). </w:t>
      </w:r>
      <w:r w:rsidR="00F52746" w:rsidRPr="005C100D">
        <w:rPr>
          <w:sz w:val="24"/>
          <w:szCs w:val="24"/>
          <w:lang w:val="en-GB"/>
        </w:rPr>
        <w:t>This</w:t>
      </w:r>
      <w:r w:rsidR="00F93CE2" w:rsidRPr="005C100D">
        <w:rPr>
          <w:sz w:val="24"/>
          <w:szCs w:val="24"/>
          <w:lang w:val="en-GB"/>
        </w:rPr>
        <w:t xml:space="preserve"> change</w:t>
      </w:r>
      <w:r w:rsidR="00F52746" w:rsidRPr="005C100D">
        <w:rPr>
          <w:sz w:val="24"/>
          <w:szCs w:val="24"/>
          <w:lang w:val="en-GB"/>
        </w:rPr>
        <w:t xml:space="preserve"> will have severe consequences for vulnerable </w:t>
      </w:r>
      <w:r w:rsidR="00F93CE2" w:rsidRPr="005C100D">
        <w:rPr>
          <w:sz w:val="24"/>
          <w:szCs w:val="24"/>
          <w:lang w:val="en-GB"/>
        </w:rPr>
        <w:t>refugees with medical conditions, including</w:t>
      </w:r>
      <w:r w:rsidR="00F52746" w:rsidRPr="005C100D">
        <w:rPr>
          <w:sz w:val="24"/>
          <w:szCs w:val="24"/>
          <w:lang w:val="en-GB"/>
        </w:rPr>
        <w:t xml:space="preserve"> victims of torture, as their needs for treatment will not </w:t>
      </w:r>
      <w:r w:rsidR="00F93CE2" w:rsidRPr="005C100D">
        <w:rPr>
          <w:sz w:val="24"/>
          <w:szCs w:val="24"/>
          <w:lang w:val="en-GB"/>
        </w:rPr>
        <w:t>be identified at an early stage</w:t>
      </w:r>
      <w:r w:rsidR="00F52746" w:rsidRPr="005C100D">
        <w:rPr>
          <w:rStyle w:val="FootnoteReference"/>
          <w:sz w:val="24"/>
          <w:szCs w:val="24"/>
          <w:lang w:val="en-GB"/>
        </w:rPr>
        <w:footnoteReference w:id="13"/>
      </w:r>
      <w:r w:rsidR="00896FF5" w:rsidRPr="005C100D">
        <w:rPr>
          <w:sz w:val="24"/>
          <w:szCs w:val="24"/>
          <w:lang w:val="en-GB"/>
        </w:rPr>
        <w:t>– especially due to the</w:t>
      </w:r>
      <w:r w:rsidR="00F52746" w:rsidRPr="005C100D">
        <w:rPr>
          <w:sz w:val="24"/>
          <w:szCs w:val="24"/>
          <w:lang w:val="en-GB"/>
        </w:rPr>
        <w:t xml:space="preserve"> </w:t>
      </w:r>
      <w:r w:rsidR="00F93CE2" w:rsidRPr="005C100D">
        <w:rPr>
          <w:sz w:val="24"/>
          <w:szCs w:val="24"/>
          <w:lang w:val="en-GB"/>
        </w:rPr>
        <w:t xml:space="preserve">already inadequate </w:t>
      </w:r>
      <w:r w:rsidR="00F52746" w:rsidRPr="005C100D">
        <w:rPr>
          <w:sz w:val="24"/>
          <w:szCs w:val="24"/>
          <w:lang w:val="en-GB"/>
        </w:rPr>
        <w:t>identification earlier in the asylum process</w:t>
      </w:r>
      <w:r w:rsidR="00896FF5" w:rsidRPr="005C100D">
        <w:rPr>
          <w:sz w:val="24"/>
          <w:szCs w:val="24"/>
          <w:lang w:val="en-GB"/>
        </w:rPr>
        <w:t xml:space="preserve"> </w:t>
      </w:r>
      <w:r w:rsidR="00F93CE2" w:rsidRPr="005C100D">
        <w:rPr>
          <w:sz w:val="24"/>
          <w:szCs w:val="24"/>
          <w:lang w:val="en-GB"/>
        </w:rPr>
        <w:t xml:space="preserve">(see </w:t>
      </w:r>
      <w:r w:rsidR="00BA7DBC">
        <w:rPr>
          <w:sz w:val="24"/>
          <w:szCs w:val="24"/>
          <w:lang w:val="en-GB"/>
        </w:rPr>
        <w:t>Part B</w:t>
      </w:r>
      <w:r w:rsidR="00F93CE2" w:rsidRPr="005C100D">
        <w:rPr>
          <w:sz w:val="24"/>
          <w:szCs w:val="24"/>
          <w:lang w:val="en-GB"/>
        </w:rPr>
        <w:t>)</w:t>
      </w:r>
      <w:r w:rsidR="00F52746" w:rsidRPr="005C100D">
        <w:rPr>
          <w:sz w:val="24"/>
          <w:szCs w:val="24"/>
          <w:lang w:val="en-GB"/>
        </w:rPr>
        <w:t xml:space="preserve">. </w:t>
      </w:r>
      <w:r w:rsidR="00F52746" w:rsidRPr="005C100D">
        <w:rPr>
          <w:rStyle w:val="FootnoteReference"/>
          <w:sz w:val="24"/>
          <w:szCs w:val="24"/>
          <w:lang w:val="en-GB"/>
        </w:rPr>
        <w:footnoteReference w:id="14"/>
      </w:r>
      <w:r w:rsidR="006553AA" w:rsidRPr="005C100D">
        <w:rPr>
          <w:sz w:val="24"/>
          <w:szCs w:val="24"/>
          <w:lang w:val="en-GB"/>
        </w:rPr>
        <w:t xml:space="preserve"> </w:t>
      </w:r>
    </w:p>
    <w:p w:rsidR="00016C3D" w:rsidRPr="005C100D" w:rsidRDefault="00F51090" w:rsidP="005C100D">
      <w:pPr>
        <w:jc w:val="both"/>
        <w:rPr>
          <w:sz w:val="24"/>
          <w:szCs w:val="24"/>
          <w:lang w:val="en-US"/>
        </w:rPr>
      </w:pPr>
      <w:r w:rsidRPr="005C100D">
        <w:rPr>
          <w:sz w:val="24"/>
          <w:szCs w:val="24"/>
          <w:lang w:val="en-US"/>
        </w:rPr>
        <w:t>A</w:t>
      </w:r>
      <w:r w:rsidR="00016C3D" w:rsidRPr="005C100D">
        <w:rPr>
          <w:sz w:val="24"/>
          <w:szCs w:val="24"/>
          <w:lang w:val="en-US"/>
        </w:rPr>
        <w:t xml:space="preserve"> new integration allowance (</w:t>
      </w:r>
      <w:proofErr w:type="spellStart"/>
      <w:r w:rsidR="00016C3D" w:rsidRPr="005C100D">
        <w:rPr>
          <w:i/>
          <w:sz w:val="24"/>
          <w:szCs w:val="24"/>
          <w:lang w:val="en-US"/>
        </w:rPr>
        <w:t>integrationsydelsen</w:t>
      </w:r>
      <w:proofErr w:type="spellEnd"/>
      <w:r w:rsidRPr="005C100D">
        <w:rPr>
          <w:sz w:val="24"/>
          <w:szCs w:val="24"/>
          <w:lang w:val="en-US"/>
        </w:rPr>
        <w:t>)</w:t>
      </w:r>
      <w:r w:rsidR="00B7346D" w:rsidRPr="005C100D">
        <w:rPr>
          <w:sz w:val="24"/>
          <w:szCs w:val="24"/>
          <w:lang w:val="en-US"/>
        </w:rPr>
        <w:t xml:space="preserve">, which entailed a serious reduction in </w:t>
      </w:r>
      <w:r w:rsidR="00DE42C2">
        <w:rPr>
          <w:sz w:val="24"/>
          <w:szCs w:val="24"/>
          <w:lang w:val="en-US"/>
        </w:rPr>
        <w:t xml:space="preserve">the state provided </w:t>
      </w:r>
      <w:r w:rsidR="00B7346D" w:rsidRPr="005C100D">
        <w:rPr>
          <w:sz w:val="24"/>
          <w:szCs w:val="24"/>
          <w:lang w:val="en-US"/>
        </w:rPr>
        <w:t xml:space="preserve">allowance </w:t>
      </w:r>
      <w:r w:rsidR="00057168">
        <w:rPr>
          <w:sz w:val="24"/>
          <w:szCs w:val="24"/>
          <w:lang w:val="en-US"/>
        </w:rPr>
        <w:t xml:space="preserve">for refugees </w:t>
      </w:r>
      <w:r w:rsidR="00B7346D" w:rsidRPr="005C100D">
        <w:rPr>
          <w:sz w:val="24"/>
          <w:szCs w:val="24"/>
          <w:lang w:val="en-US"/>
        </w:rPr>
        <w:t>(e.g., up to 50% reduction for some individuals and families),</w:t>
      </w:r>
      <w:r w:rsidR="00016C3D" w:rsidRPr="005C100D">
        <w:rPr>
          <w:sz w:val="24"/>
          <w:szCs w:val="24"/>
          <w:lang w:val="en-US"/>
        </w:rPr>
        <w:t xml:space="preserve"> </w:t>
      </w:r>
      <w:r w:rsidR="00896FF5" w:rsidRPr="005C100D">
        <w:rPr>
          <w:sz w:val="24"/>
          <w:szCs w:val="24"/>
          <w:lang w:val="en-US"/>
        </w:rPr>
        <w:t xml:space="preserve">was introduced in </w:t>
      </w:r>
      <w:r w:rsidR="00016C3D" w:rsidRPr="005C100D">
        <w:rPr>
          <w:sz w:val="24"/>
          <w:szCs w:val="24"/>
          <w:lang w:val="en-US"/>
        </w:rPr>
        <w:t>September 20</w:t>
      </w:r>
      <w:r w:rsidRPr="005C100D">
        <w:rPr>
          <w:sz w:val="24"/>
          <w:szCs w:val="24"/>
          <w:lang w:val="en-US"/>
        </w:rPr>
        <w:t>15</w:t>
      </w:r>
      <w:r w:rsidR="00896FF5" w:rsidRPr="005C100D">
        <w:rPr>
          <w:sz w:val="24"/>
          <w:szCs w:val="24"/>
          <w:lang w:val="en-US"/>
        </w:rPr>
        <w:t xml:space="preserve"> aiming at making it less attractive for foreigners to seek asylum in Denmark</w:t>
      </w:r>
      <w:r w:rsidR="00896FF5" w:rsidRPr="005C100D">
        <w:rPr>
          <w:rStyle w:val="FootnoteReference"/>
          <w:sz w:val="24"/>
          <w:szCs w:val="24"/>
          <w:lang w:val="en-US"/>
        </w:rPr>
        <w:footnoteReference w:id="15"/>
      </w:r>
      <w:r w:rsidRPr="005C100D">
        <w:rPr>
          <w:sz w:val="24"/>
          <w:szCs w:val="24"/>
          <w:lang w:val="en-US"/>
        </w:rPr>
        <w:t xml:space="preserve"> </w:t>
      </w:r>
      <w:r w:rsidR="00896FF5" w:rsidRPr="005C100D">
        <w:rPr>
          <w:sz w:val="24"/>
          <w:szCs w:val="24"/>
          <w:lang w:val="en-US"/>
        </w:rPr>
        <w:t>and</w:t>
      </w:r>
      <w:r w:rsidR="00016C3D" w:rsidRPr="005C100D">
        <w:rPr>
          <w:sz w:val="24"/>
          <w:szCs w:val="24"/>
          <w:lang w:val="en-US"/>
        </w:rPr>
        <w:t xml:space="preserve"> at creating incentive to work and to become</w:t>
      </w:r>
      <w:r w:rsidR="00896FF5" w:rsidRPr="005C100D">
        <w:rPr>
          <w:sz w:val="24"/>
          <w:szCs w:val="24"/>
          <w:lang w:val="en-US"/>
        </w:rPr>
        <w:t xml:space="preserve"> integrated into Danish society</w:t>
      </w:r>
      <w:r w:rsidR="00016C3D" w:rsidRPr="005C100D">
        <w:rPr>
          <w:sz w:val="24"/>
          <w:szCs w:val="24"/>
          <w:lang w:val="en-US"/>
        </w:rPr>
        <w:t xml:space="preserve">. </w:t>
      </w:r>
      <w:r w:rsidR="005148BB" w:rsidRPr="005C100D">
        <w:rPr>
          <w:sz w:val="24"/>
          <w:szCs w:val="24"/>
          <w:lang w:val="en-US"/>
        </w:rPr>
        <w:t xml:space="preserve">The new lower integration allowance </w:t>
      </w:r>
      <w:r w:rsidR="00016C3D" w:rsidRPr="005C100D">
        <w:rPr>
          <w:sz w:val="24"/>
          <w:szCs w:val="24"/>
          <w:lang w:val="en-US"/>
        </w:rPr>
        <w:t>may not have the anticipated e</w:t>
      </w:r>
      <w:r w:rsidR="005148BB" w:rsidRPr="005C100D">
        <w:rPr>
          <w:sz w:val="24"/>
          <w:szCs w:val="24"/>
          <w:lang w:val="en-US"/>
        </w:rPr>
        <w:t xml:space="preserve">ffect of enhancing integration, as </w:t>
      </w:r>
      <w:r w:rsidR="00016C3D" w:rsidRPr="005C100D">
        <w:rPr>
          <w:sz w:val="24"/>
          <w:szCs w:val="24"/>
          <w:lang w:val="en-US"/>
        </w:rPr>
        <w:t xml:space="preserve">it </w:t>
      </w:r>
      <w:r w:rsidR="005148BB" w:rsidRPr="005C100D">
        <w:rPr>
          <w:sz w:val="24"/>
          <w:szCs w:val="24"/>
          <w:lang w:val="en-US"/>
        </w:rPr>
        <w:t xml:space="preserve">will </w:t>
      </w:r>
      <w:r w:rsidR="00016C3D" w:rsidRPr="005C100D">
        <w:rPr>
          <w:sz w:val="24"/>
          <w:szCs w:val="24"/>
          <w:lang w:val="en-US"/>
        </w:rPr>
        <w:t xml:space="preserve">hinder traumatized refugees from obtaining the necessary rehabilitation that is a prerequisite for their integration. </w:t>
      </w:r>
      <w:r w:rsidR="005148BB" w:rsidRPr="005C100D">
        <w:rPr>
          <w:rStyle w:val="FootnoteReference"/>
          <w:sz w:val="24"/>
          <w:szCs w:val="24"/>
          <w:lang w:val="en-US"/>
        </w:rPr>
        <w:footnoteReference w:id="16"/>
      </w:r>
    </w:p>
    <w:p w:rsidR="00016C3D" w:rsidRPr="005C100D" w:rsidRDefault="0028678F" w:rsidP="005C100D">
      <w:pPr>
        <w:pStyle w:val="ListParagraph"/>
        <w:numPr>
          <w:ilvl w:val="0"/>
          <w:numId w:val="2"/>
        </w:numPr>
        <w:jc w:val="both"/>
        <w:rPr>
          <w:b/>
          <w:i/>
          <w:sz w:val="24"/>
          <w:szCs w:val="24"/>
          <w:lang w:val="en-GB"/>
        </w:rPr>
      </w:pPr>
      <w:r w:rsidRPr="005C100D">
        <w:rPr>
          <w:b/>
          <w:i/>
          <w:sz w:val="24"/>
          <w:szCs w:val="24"/>
          <w:lang w:val="en-GB"/>
        </w:rPr>
        <w:t>Amendment</w:t>
      </w:r>
      <w:r w:rsidR="00016C3D" w:rsidRPr="005C100D">
        <w:rPr>
          <w:b/>
          <w:i/>
          <w:sz w:val="24"/>
          <w:szCs w:val="24"/>
          <w:lang w:val="en-GB"/>
        </w:rPr>
        <w:t xml:space="preserve"> to law relating to legal aid in cases related to submission of complaints to international complaints mechanisms based on human rights conventions and the Administration of Justice Act</w:t>
      </w:r>
      <w:r w:rsidR="009B43B0" w:rsidRPr="005C100D">
        <w:rPr>
          <w:b/>
          <w:i/>
          <w:sz w:val="24"/>
          <w:szCs w:val="24"/>
          <w:lang w:val="en-GB"/>
        </w:rPr>
        <w:t xml:space="preserve"> (Law 944 of 20 December 1999)</w:t>
      </w:r>
    </w:p>
    <w:p w:rsidR="00020D9C" w:rsidRPr="005C100D" w:rsidRDefault="009A7ABE" w:rsidP="005C100D">
      <w:pPr>
        <w:jc w:val="both"/>
        <w:rPr>
          <w:sz w:val="24"/>
          <w:szCs w:val="24"/>
          <w:lang w:val="en-GB"/>
        </w:rPr>
      </w:pPr>
      <w:r>
        <w:rPr>
          <w:sz w:val="24"/>
          <w:szCs w:val="24"/>
          <w:lang w:val="en-GB"/>
        </w:rPr>
        <w:t>This</w:t>
      </w:r>
      <w:r w:rsidR="0028678F" w:rsidRPr="005C100D">
        <w:rPr>
          <w:sz w:val="24"/>
          <w:szCs w:val="24"/>
          <w:lang w:val="en-GB"/>
        </w:rPr>
        <w:t xml:space="preserve"> amendment, which </w:t>
      </w:r>
      <w:r w:rsidR="00016C3D" w:rsidRPr="005C100D">
        <w:rPr>
          <w:sz w:val="24"/>
          <w:szCs w:val="24"/>
          <w:lang w:val="en-GB"/>
        </w:rPr>
        <w:t>w</w:t>
      </w:r>
      <w:r w:rsidR="00020D9C" w:rsidRPr="005C100D">
        <w:rPr>
          <w:sz w:val="24"/>
          <w:szCs w:val="24"/>
          <w:lang w:val="en-GB"/>
        </w:rPr>
        <w:t xml:space="preserve">as </w:t>
      </w:r>
      <w:r w:rsidR="00016C3D" w:rsidRPr="005C100D">
        <w:rPr>
          <w:sz w:val="24"/>
          <w:szCs w:val="24"/>
          <w:lang w:val="en-GB"/>
        </w:rPr>
        <w:t>adopted by the Par</w:t>
      </w:r>
      <w:r w:rsidR="0028678F" w:rsidRPr="005C100D">
        <w:rPr>
          <w:sz w:val="24"/>
          <w:szCs w:val="24"/>
          <w:lang w:val="en-GB"/>
        </w:rPr>
        <w:t>liame</w:t>
      </w:r>
      <w:r w:rsidR="00020D9C" w:rsidRPr="005C100D">
        <w:rPr>
          <w:sz w:val="24"/>
          <w:szCs w:val="24"/>
          <w:lang w:val="en-GB"/>
        </w:rPr>
        <w:t xml:space="preserve">nt on 3 March </w:t>
      </w:r>
      <w:r w:rsidR="00C72813" w:rsidRPr="005C100D">
        <w:rPr>
          <w:sz w:val="24"/>
          <w:szCs w:val="24"/>
          <w:lang w:val="en-GB"/>
        </w:rPr>
        <w:t xml:space="preserve">2016 </w:t>
      </w:r>
      <w:r w:rsidR="00020D9C" w:rsidRPr="005C100D">
        <w:rPr>
          <w:sz w:val="24"/>
          <w:szCs w:val="24"/>
          <w:lang w:val="en-GB"/>
        </w:rPr>
        <w:t>and entered into force on 1 April</w:t>
      </w:r>
      <w:r w:rsidR="003B3D09" w:rsidRPr="005C100D">
        <w:rPr>
          <w:sz w:val="24"/>
          <w:szCs w:val="24"/>
          <w:lang w:val="en-GB"/>
        </w:rPr>
        <w:t xml:space="preserve"> </w:t>
      </w:r>
      <w:r w:rsidR="00020D9C" w:rsidRPr="005C100D">
        <w:rPr>
          <w:sz w:val="24"/>
          <w:szCs w:val="24"/>
          <w:lang w:val="en-GB"/>
        </w:rPr>
        <w:t>2016</w:t>
      </w:r>
      <w:r w:rsidR="0028678F" w:rsidRPr="005C100D">
        <w:rPr>
          <w:sz w:val="24"/>
          <w:szCs w:val="24"/>
          <w:lang w:val="en-GB"/>
        </w:rPr>
        <w:t>,</w:t>
      </w:r>
      <w:r w:rsidR="00016C3D" w:rsidRPr="005C100D">
        <w:rPr>
          <w:sz w:val="24"/>
          <w:szCs w:val="24"/>
          <w:lang w:val="en-GB"/>
        </w:rPr>
        <w:t xml:space="preserve"> significantly restricts the possibility for legal aid when submitting complaints </w:t>
      </w:r>
      <w:r w:rsidR="003B3D09" w:rsidRPr="005C100D">
        <w:rPr>
          <w:sz w:val="24"/>
          <w:szCs w:val="24"/>
          <w:lang w:val="en-GB"/>
        </w:rPr>
        <w:t xml:space="preserve">against Denmark </w:t>
      </w:r>
      <w:r w:rsidR="00016C3D" w:rsidRPr="005C100D">
        <w:rPr>
          <w:sz w:val="24"/>
          <w:szCs w:val="24"/>
          <w:lang w:val="en-GB"/>
        </w:rPr>
        <w:t xml:space="preserve">to the </w:t>
      </w:r>
      <w:r w:rsidR="00211E96" w:rsidRPr="005C100D">
        <w:rPr>
          <w:sz w:val="24"/>
          <w:szCs w:val="24"/>
          <w:lang w:val="en-GB"/>
        </w:rPr>
        <w:t xml:space="preserve">UN </w:t>
      </w:r>
      <w:r w:rsidR="00016C3D" w:rsidRPr="005C100D">
        <w:rPr>
          <w:sz w:val="24"/>
          <w:szCs w:val="24"/>
          <w:lang w:val="en-GB"/>
        </w:rPr>
        <w:t>Committee</w:t>
      </w:r>
      <w:r w:rsidR="00211E96" w:rsidRPr="005C100D">
        <w:rPr>
          <w:sz w:val="24"/>
          <w:szCs w:val="24"/>
          <w:lang w:val="en-GB"/>
        </w:rPr>
        <w:t xml:space="preserve">s, including </w:t>
      </w:r>
      <w:r w:rsidR="003B3D09" w:rsidRPr="005C100D">
        <w:rPr>
          <w:sz w:val="24"/>
          <w:szCs w:val="24"/>
          <w:lang w:val="en-GB"/>
        </w:rPr>
        <w:t xml:space="preserve">to </w:t>
      </w:r>
      <w:r w:rsidR="00211E96" w:rsidRPr="005C100D">
        <w:rPr>
          <w:sz w:val="24"/>
          <w:szCs w:val="24"/>
          <w:lang w:val="en-GB"/>
        </w:rPr>
        <w:t>the Human Rights Committee</w:t>
      </w:r>
      <w:r w:rsidR="00016C3D" w:rsidRPr="005C100D">
        <w:rPr>
          <w:sz w:val="24"/>
          <w:szCs w:val="24"/>
          <w:lang w:val="en-GB"/>
        </w:rPr>
        <w:t xml:space="preserve">. </w:t>
      </w:r>
      <w:r w:rsidR="00B72B68" w:rsidRPr="005C100D">
        <w:rPr>
          <w:sz w:val="24"/>
          <w:szCs w:val="24"/>
          <w:lang w:val="en-GB"/>
        </w:rPr>
        <w:t>The law was strongly criticised by various human rights organisations</w:t>
      </w:r>
      <w:r w:rsidR="000E62C1">
        <w:rPr>
          <w:sz w:val="24"/>
          <w:szCs w:val="24"/>
          <w:lang w:val="en-GB"/>
        </w:rPr>
        <w:t>,</w:t>
      </w:r>
      <w:r w:rsidR="00B72B68" w:rsidRPr="005C100D">
        <w:rPr>
          <w:rStyle w:val="FootnoteReference"/>
          <w:sz w:val="24"/>
          <w:szCs w:val="24"/>
          <w:lang w:val="en-GB"/>
        </w:rPr>
        <w:footnoteReference w:id="17"/>
      </w:r>
      <w:r w:rsidR="00B72B68" w:rsidRPr="005C100D">
        <w:rPr>
          <w:sz w:val="24"/>
          <w:szCs w:val="24"/>
          <w:lang w:val="en-GB"/>
        </w:rPr>
        <w:t xml:space="preserve"> the Danish Bar Association</w:t>
      </w:r>
      <w:r w:rsidR="00B72B68" w:rsidRPr="005C100D">
        <w:rPr>
          <w:rStyle w:val="FootnoteReference"/>
          <w:sz w:val="24"/>
          <w:szCs w:val="24"/>
          <w:lang w:val="en-GB"/>
        </w:rPr>
        <w:footnoteReference w:id="18"/>
      </w:r>
      <w:r w:rsidR="00B72B68" w:rsidRPr="005C100D">
        <w:rPr>
          <w:sz w:val="24"/>
          <w:szCs w:val="24"/>
          <w:lang w:val="en-GB"/>
        </w:rPr>
        <w:t xml:space="preserve"> and three parties in the Parliament </w:t>
      </w:r>
      <w:r w:rsidR="005F7012">
        <w:rPr>
          <w:sz w:val="24"/>
          <w:szCs w:val="24"/>
          <w:lang w:val="en-GB"/>
        </w:rPr>
        <w:t xml:space="preserve">who </w:t>
      </w:r>
      <w:r w:rsidR="00B72B68" w:rsidRPr="005C100D">
        <w:rPr>
          <w:sz w:val="24"/>
          <w:szCs w:val="24"/>
          <w:lang w:val="en-GB"/>
        </w:rPr>
        <w:t>noted that in a time with mounting international criticisms of Denmark due to its government’s increased restrictions on asylum seekers, it would not be right to reduce the right to legal aid for people who wish to complain about Denmark within the UN system.</w:t>
      </w:r>
      <w:r w:rsidR="00B72B68" w:rsidRPr="005C100D">
        <w:rPr>
          <w:rStyle w:val="FootnoteReference"/>
          <w:sz w:val="24"/>
          <w:szCs w:val="24"/>
          <w:lang w:val="en-GB"/>
        </w:rPr>
        <w:footnoteReference w:id="19"/>
      </w:r>
      <w:r w:rsidR="00B72B68" w:rsidRPr="005C100D">
        <w:rPr>
          <w:sz w:val="24"/>
          <w:szCs w:val="24"/>
          <w:lang w:val="en-GB"/>
        </w:rPr>
        <w:t xml:space="preserve"> </w:t>
      </w:r>
    </w:p>
    <w:p w:rsidR="00020D9C" w:rsidRPr="005C100D" w:rsidRDefault="00020D9C" w:rsidP="005C100D">
      <w:pPr>
        <w:jc w:val="both"/>
        <w:rPr>
          <w:sz w:val="24"/>
          <w:szCs w:val="24"/>
          <w:lang w:val="en-GB"/>
        </w:rPr>
      </w:pPr>
      <w:r w:rsidRPr="005C100D">
        <w:rPr>
          <w:sz w:val="24"/>
          <w:szCs w:val="24"/>
          <w:lang w:val="en-GB"/>
        </w:rPr>
        <w:t xml:space="preserve">The </w:t>
      </w:r>
      <w:r w:rsidR="00FE4A96" w:rsidRPr="005C100D">
        <w:rPr>
          <w:sz w:val="24"/>
          <w:szCs w:val="24"/>
          <w:lang w:val="en-GB"/>
        </w:rPr>
        <w:t xml:space="preserve">new </w:t>
      </w:r>
      <w:r w:rsidRPr="005C100D">
        <w:rPr>
          <w:sz w:val="24"/>
          <w:szCs w:val="24"/>
          <w:lang w:val="en-GB"/>
        </w:rPr>
        <w:t>restriction entails that an administrative entity (</w:t>
      </w:r>
      <w:r w:rsidR="00BD7665" w:rsidRPr="005C100D">
        <w:rPr>
          <w:sz w:val="24"/>
          <w:szCs w:val="24"/>
          <w:lang w:val="en-GB"/>
        </w:rPr>
        <w:t>“</w:t>
      </w:r>
      <w:proofErr w:type="spellStart"/>
      <w:r w:rsidR="005969CC" w:rsidRPr="005C100D">
        <w:rPr>
          <w:sz w:val="24"/>
          <w:szCs w:val="24"/>
          <w:lang w:val="en-GB"/>
        </w:rPr>
        <w:t>Civilstyrelsen</w:t>
      </w:r>
      <w:proofErr w:type="spellEnd"/>
      <w:r w:rsidR="00BD7665" w:rsidRPr="005C100D">
        <w:rPr>
          <w:sz w:val="24"/>
          <w:szCs w:val="24"/>
          <w:lang w:val="en-GB"/>
        </w:rPr>
        <w:t>”</w:t>
      </w:r>
      <w:r w:rsidR="005969CC" w:rsidRPr="005C100D">
        <w:rPr>
          <w:sz w:val="24"/>
          <w:szCs w:val="24"/>
          <w:lang w:val="en-GB"/>
        </w:rPr>
        <w:t xml:space="preserve"> (first instance) with possibility for appeal to </w:t>
      </w:r>
      <w:r w:rsidR="00BD7665" w:rsidRPr="005C100D">
        <w:rPr>
          <w:sz w:val="24"/>
          <w:szCs w:val="24"/>
          <w:lang w:val="en-GB"/>
        </w:rPr>
        <w:t>“</w:t>
      </w:r>
      <w:proofErr w:type="spellStart"/>
      <w:r w:rsidRPr="005C100D">
        <w:rPr>
          <w:sz w:val="24"/>
          <w:szCs w:val="24"/>
          <w:lang w:val="en-GB"/>
        </w:rPr>
        <w:t>Procesbevillingsnævnet</w:t>
      </w:r>
      <w:proofErr w:type="spellEnd"/>
      <w:r w:rsidR="00BD7665" w:rsidRPr="005C100D">
        <w:rPr>
          <w:sz w:val="24"/>
          <w:szCs w:val="24"/>
          <w:lang w:val="en-GB"/>
        </w:rPr>
        <w:t>”</w:t>
      </w:r>
      <w:r w:rsidRPr="005C100D">
        <w:rPr>
          <w:sz w:val="24"/>
          <w:szCs w:val="24"/>
          <w:lang w:val="en-GB"/>
        </w:rPr>
        <w:t xml:space="preserve">) will assess whether it is </w:t>
      </w:r>
      <w:r w:rsidR="00FE4A96" w:rsidRPr="005C100D">
        <w:rPr>
          <w:sz w:val="24"/>
          <w:szCs w:val="24"/>
          <w:lang w:val="en-GB"/>
        </w:rPr>
        <w:t>fair</w:t>
      </w:r>
      <w:r w:rsidR="005E4516" w:rsidRPr="005C100D">
        <w:rPr>
          <w:sz w:val="24"/>
          <w:szCs w:val="24"/>
          <w:lang w:val="en-GB"/>
        </w:rPr>
        <w:t xml:space="preserve"> </w:t>
      </w:r>
      <w:r w:rsidRPr="005C100D">
        <w:rPr>
          <w:sz w:val="24"/>
          <w:szCs w:val="24"/>
          <w:lang w:val="en-GB"/>
        </w:rPr>
        <w:t xml:space="preserve">to grant legal aid in </w:t>
      </w:r>
      <w:r w:rsidRPr="005C100D">
        <w:rPr>
          <w:sz w:val="24"/>
          <w:szCs w:val="24"/>
          <w:lang w:val="en-GB"/>
        </w:rPr>
        <w:lastRenderedPageBreak/>
        <w:t xml:space="preserve">a specific case. </w:t>
      </w:r>
      <w:r w:rsidR="00137DF7" w:rsidRPr="005C100D">
        <w:rPr>
          <w:rStyle w:val="FootnoteReference"/>
          <w:sz w:val="24"/>
          <w:szCs w:val="24"/>
          <w:lang w:val="en-GB"/>
        </w:rPr>
        <w:footnoteReference w:id="20"/>
      </w:r>
      <w:r w:rsidR="00137DF7" w:rsidRPr="005C100D">
        <w:rPr>
          <w:sz w:val="24"/>
          <w:szCs w:val="24"/>
          <w:lang w:val="en-GB"/>
        </w:rPr>
        <w:t xml:space="preserve"> </w:t>
      </w:r>
      <w:r w:rsidR="00625958" w:rsidRPr="005C100D">
        <w:rPr>
          <w:sz w:val="24"/>
          <w:szCs w:val="24"/>
          <w:lang w:val="en-GB"/>
        </w:rPr>
        <w:t>This fairness criteria relates to a number of factors, in</w:t>
      </w:r>
      <w:r w:rsidR="00FE4A96" w:rsidRPr="005C100D">
        <w:rPr>
          <w:sz w:val="24"/>
          <w:szCs w:val="24"/>
          <w:lang w:val="en-GB"/>
        </w:rPr>
        <w:t>cluding procedural aspects (e.g.,</w:t>
      </w:r>
      <w:r w:rsidR="00625958" w:rsidRPr="005C100D">
        <w:rPr>
          <w:sz w:val="24"/>
          <w:szCs w:val="24"/>
          <w:lang w:val="en-GB"/>
        </w:rPr>
        <w:t xml:space="preserve"> the committees’’ </w:t>
      </w:r>
      <w:r w:rsidR="00FE4A96" w:rsidRPr="005C100D">
        <w:rPr>
          <w:sz w:val="24"/>
          <w:szCs w:val="24"/>
          <w:lang w:val="en-GB"/>
        </w:rPr>
        <w:t>admissibility conditions</w:t>
      </w:r>
      <w:r w:rsidR="00625958" w:rsidRPr="005C100D">
        <w:rPr>
          <w:sz w:val="24"/>
          <w:szCs w:val="24"/>
          <w:lang w:val="en-GB"/>
        </w:rPr>
        <w:t>), but most importan</w:t>
      </w:r>
      <w:r w:rsidR="00FE4A96" w:rsidRPr="005C100D">
        <w:rPr>
          <w:sz w:val="24"/>
          <w:szCs w:val="24"/>
          <w:lang w:val="en-GB"/>
        </w:rPr>
        <w:t>tly also to whether there is</w:t>
      </w:r>
      <w:r w:rsidR="00625958" w:rsidRPr="005C100D">
        <w:rPr>
          <w:sz w:val="24"/>
          <w:szCs w:val="24"/>
          <w:lang w:val="en-GB"/>
        </w:rPr>
        <w:t xml:space="preserve"> a fair</w:t>
      </w:r>
      <w:r w:rsidR="00FE4A96" w:rsidRPr="005C100D">
        <w:rPr>
          <w:sz w:val="24"/>
          <w:szCs w:val="24"/>
          <w:lang w:val="en-GB"/>
        </w:rPr>
        <w:t xml:space="preserve"> expectation that the ICCPR</w:t>
      </w:r>
      <w:r w:rsidR="00137DF7" w:rsidRPr="005C100D">
        <w:rPr>
          <w:sz w:val="24"/>
          <w:szCs w:val="24"/>
          <w:lang w:val="en-GB"/>
        </w:rPr>
        <w:t xml:space="preserve"> could have</w:t>
      </w:r>
      <w:r w:rsidR="00625958" w:rsidRPr="005C100D">
        <w:rPr>
          <w:sz w:val="24"/>
          <w:szCs w:val="24"/>
          <w:lang w:val="en-GB"/>
        </w:rPr>
        <w:t xml:space="preserve"> been violated by Denmark. </w:t>
      </w:r>
      <w:r w:rsidR="00050AA7" w:rsidRPr="005C100D">
        <w:rPr>
          <w:sz w:val="24"/>
          <w:szCs w:val="24"/>
          <w:lang w:val="en-GB"/>
        </w:rPr>
        <w:t xml:space="preserve">If a </w:t>
      </w:r>
      <w:r w:rsidR="00B34795" w:rsidRPr="005C100D">
        <w:rPr>
          <w:sz w:val="24"/>
          <w:szCs w:val="24"/>
          <w:lang w:val="en-GB"/>
        </w:rPr>
        <w:t xml:space="preserve">Committee requests legal comments from Denmark, it would be assumed that the complaint has a fair </w:t>
      </w:r>
      <w:r w:rsidR="00050AA7" w:rsidRPr="005C100D">
        <w:rPr>
          <w:sz w:val="24"/>
          <w:szCs w:val="24"/>
          <w:lang w:val="en-GB"/>
        </w:rPr>
        <w:t>ground to submit the complaint – except in a number of cases</w:t>
      </w:r>
      <w:r w:rsidR="00B34795" w:rsidRPr="005C100D">
        <w:rPr>
          <w:sz w:val="24"/>
          <w:szCs w:val="24"/>
          <w:lang w:val="en-GB"/>
        </w:rPr>
        <w:t xml:space="preserve">, including </w:t>
      </w:r>
      <w:r w:rsidR="00050AA7" w:rsidRPr="005C100D">
        <w:rPr>
          <w:sz w:val="24"/>
          <w:szCs w:val="24"/>
          <w:lang w:val="en-GB"/>
        </w:rPr>
        <w:t xml:space="preserve">asylum </w:t>
      </w:r>
      <w:r w:rsidR="00B34795" w:rsidRPr="005C100D">
        <w:rPr>
          <w:sz w:val="24"/>
          <w:szCs w:val="24"/>
          <w:lang w:val="en-GB"/>
        </w:rPr>
        <w:t>cases related to the assessment of evidence (</w:t>
      </w:r>
      <w:proofErr w:type="spellStart"/>
      <w:r w:rsidR="00B34795" w:rsidRPr="005C100D">
        <w:rPr>
          <w:sz w:val="24"/>
          <w:szCs w:val="24"/>
          <w:lang w:val="en-GB"/>
        </w:rPr>
        <w:t>bevisvurdering</w:t>
      </w:r>
      <w:proofErr w:type="spellEnd"/>
      <w:r w:rsidR="00B34795" w:rsidRPr="005C100D">
        <w:rPr>
          <w:sz w:val="24"/>
          <w:szCs w:val="24"/>
          <w:lang w:val="en-GB"/>
        </w:rPr>
        <w:t>), including the credibility assessmen</w:t>
      </w:r>
      <w:r w:rsidR="00050AA7" w:rsidRPr="005C100D">
        <w:rPr>
          <w:sz w:val="24"/>
          <w:szCs w:val="24"/>
          <w:lang w:val="en-GB"/>
        </w:rPr>
        <w:t xml:space="preserve">t by Danish asylum authorities – for example when assessing the credibility of </w:t>
      </w:r>
      <w:r w:rsidR="00B34795" w:rsidRPr="005C100D">
        <w:rPr>
          <w:sz w:val="24"/>
          <w:szCs w:val="24"/>
          <w:lang w:val="en-GB"/>
        </w:rPr>
        <w:t xml:space="preserve">a victim of torture </w:t>
      </w:r>
      <w:r w:rsidR="00050AA7" w:rsidRPr="005C100D">
        <w:rPr>
          <w:sz w:val="24"/>
          <w:szCs w:val="24"/>
          <w:lang w:val="en-GB"/>
        </w:rPr>
        <w:t>(even when the</w:t>
      </w:r>
      <w:r w:rsidR="00B34795" w:rsidRPr="005C100D">
        <w:rPr>
          <w:sz w:val="24"/>
          <w:szCs w:val="24"/>
          <w:lang w:val="en-GB"/>
        </w:rPr>
        <w:t xml:space="preserve"> asylum authorities have not asked for a medical examination</w:t>
      </w:r>
      <w:r w:rsidR="00050AA7" w:rsidRPr="005C100D">
        <w:rPr>
          <w:sz w:val="24"/>
          <w:szCs w:val="24"/>
          <w:lang w:val="en-GB"/>
        </w:rPr>
        <w:t>)</w:t>
      </w:r>
      <w:r w:rsidR="00B34795" w:rsidRPr="005C100D">
        <w:rPr>
          <w:sz w:val="24"/>
          <w:szCs w:val="24"/>
          <w:lang w:val="en-GB"/>
        </w:rPr>
        <w:t xml:space="preserve">. </w:t>
      </w:r>
      <w:r w:rsidRPr="005C100D">
        <w:rPr>
          <w:sz w:val="24"/>
          <w:szCs w:val="24"/>
          <w:lang w:val="en-GB"/>
        </w:rPr>
        <w:t xml:space="preserve">The government justified </w:t>
      </w:r>
      <w:r w:rsidR="00050AA7" w:rsidRPr="005C100D">
        <w:rPr>
          <w:sz w:val="24"/>
          <w:szCs w:val="24"/>
          <w:lang w:val="en-GB"/>
        </w:rPr>
        <w:t>this change</w:t>
      </w:r>
      <w:r w:rsidRPr="005C100D">
        <w:rPr>
          <w:sz w:val="24"/>
          <w:szCs w:val="24"/>
          <w:lang w:val="en-GB"/>
        </w:rPr>
        <w:t xml:space="preserve"> by </w:t>
      </w:r>
      <w:r w:rsidR="00CA0FED" w:rsidRPr="005C100D">
        <w:rPr>
          <w:sz w:val="24"/>
          <w:szCs w:val="24"/>
          <w:lang w:val="en-GB"/>
        </w:rPr>
        <w:t>noting</w:t>
      </w:r>
      <w:r w:rsidR="00050AA7" w:rsidRPr="005C100D">
        <w:rPr>
          <w:sz w:val="24"/>
          <w:szCs w:val="24"/>
          <w:lang w:val="en-GB"/>
        </w:rPr>
        <w:t xml:space="preserve"> </w:t>
      </w:r>
      <w:r w:rsidRPr="005C100D">
        <w:rPr>
          <w:sz w:val="24"/>
          <w:szCs w:val="24"/>
          <w:lang w:val="en-GB"/>
        </w:rPr>
        <w:t>that the premise for the original system</w:t>
      </w:r>
      <w:r w:rsidR="00050AA7" w:rsidRPr="005C100D">
        <w:rPr>
          <w:sz w:val="24"/>
          <w:szCs w:val="24"/>
          <w:lang w:val="en-GB"/>
        </w:rPr>
        <w:t>, which was introduced after Denmark ratified the Optional Protocol to the ICCPR,</w:t>
      </w:r>
      <w:r w:rsidRPr="005C100D">
        <w:rPr>
          <w:sz w:val="24"/>
          <w:szCs w:val="24"/>
          <w:lang w:val="en-GB"/>
        </w:rPr>
        <w:t xml:space="preserve"> was that the international committees would properly assess admissibility so that when they asked Denmark for legal comments to a complaint, Denmark could assume that </w:t>
      </w:r>
      <w:r w:rsidR="00050AA7" w:rsidRPr="005C100D">
        <w:rPr>
          <w:sz w:val="24"/>
          <w:szCs w:val="24"/>
          <w:lang w:val="en-GB"/>
        </w:rPr>
        <w:t>fairness criteria was fulfilled</w:t>
      </w:r>
      <w:r w:rsidRPr="005C100D">
        <w:rPr>
          <w:sz w:val="24"/>
          <w:szCs w:val="24"/>
          <w:lang w:val="en-GB"/>
        </w:rPr>
        <w:t>. According to the government, thi</w:t>
      </w:r>
      <w:r w:rsidR="00050AA7" w:rsidRPr="005C100D">
        <w:rPr>
          <w:sz w:val="24"/>
          <w:szCs w:val="24"/>
          <w:lang w:val="en-GB"/>
        </w:rPr>
        <w:t>s premise is no longer valid, as</w:t>
      </w:r>
      <w:r w:rsidRPr="005C100D">
        <w:rPr>
          <w:sz w:val="24"/>
          <w:szCs w:val="24"/>
          <w:lang w:val="en-GB"/>
        </w:rPr>
        <w:t xml:space="preserve"> the UN Committees have been reluctant to dismiss complaints.</w:t>
      </w:r>
      <w:r w:rsidRPr="005C100D">
        <w:rPr>
          <w:rStyle w:val="FootnoteReference"/>
          <w:sz w:val="24"/>
          <w:szCs w:val="24"/>
          <w:lang w:val="en-GB"/>
        </w:rPr>
        <w:footnoteReference w:id="21"/>
      </w:r>
      <w:r w:rsidRPr="005C100D">
        <w:rPr>
          <w:sz w:val="24"/>
          <w:szCs w:val="24"/>
          <w:lang w:val="en-GB"/>
        </w:rPr>
        <w:t xml:space="preserve"> </w:t>
      </w:r>
      <w:r w:rsidR="00CA0FED" w:rsidRPr="005C100D">
        <w:rPr>
          <w:sz w:val="24"/>
          <w:szCs w:val="24"/>
          <w:lang w:val="en-GB"/>
        </w:rPr>
        <w:t xml:space="preserve">Moreover, the government noted that </w:t>
      </w:r>
      <w:r w:rsidR="0077082D" w:rsidRPr="005C100D">
        <w:rPr>
          <w:sz w:val="24"/>
          <w:szCs w:val="24"/>
          <w:lang w:val="en-GB"/>
        </w:rPr>
        <w:t xml:space="preserve">current system </w:t>
      </w:r>
      <w:r w:rsidR="009848BD" w:rsidRPr="005C100D">
        <w:rPr>
          <w:sz w:val="24"/>
          <w:szCs w:val="24"/>
          <w:lang w:val="en-GB"/>
        </w:rPr>
        <w:t xml:space="preserve">of legal aid </w:t>
      </w:r>
      <w:r w:rsidR="0077082D" w:rsidRPr="005C100D">
        <w:rPr>
          <w:sz w:val="24"/>
          <w:szCs w:val="24"/>
          <w:lang w:val="en-GB"/>
        </w:rPr>
        <w:t>e</w:t>
      </w:r>
      <w:r w:rsidR="00CA0FED" w:rsidRPr="005C100D">
        <w:rPr>
          <w:sz w:val="24"/>
          <w:szCs w:val="24"/>
          <w:lang w:val="en-GB"/>
        </w:rPr>
        <w:t>ncourages dismissed asylum seekers</w:t>
      </w:r>
      <w:r w:rsidR="00B601AF" w:rsidRPr="005C100D">
        <w:rPr>
          <w:rStyle w:val="FootnoteReference"/>
          <w:sz w:val="24"/>
          <w:szCs w:val="24"/>
          <w:lang w:val="en-GB"/>
        </w:rPr>
        <w:footnoteReference w:id="22"/>
      </w:r>
      <w:r w:rsidR="00CA0FED" w:rsidRPr="005C100D">
        <w:rPr>
          <w:sz w:val="24"/>
          <w:szCs w:val="24"/>
          <w:lang w:val="en-GB"/>
        </w:rPr>
        <w:t xml:space="preserve"> to use the committees as a third appeal in relation to decisions by Danish authorities</w:t>
      </w:r>
      <w:r w:rsidR="00B72B68" w:rsidRPr="005C100D">
        <w:rPr>
          <w:sz w:val="24"/>
          <w:szCs w:val="24"/>
          <w:lang w:val="en-GB"/>
        </w:rPr>
        <w:t>.</w:t>
      </w:r>
      <w:r w:rsidR="009848BD" w:rsidRPr="005C100D">
        <w:rPr>
          <w:rStyle w:val="FootnoteReference"/>
          <w:sz w:val="24"/>
          <w:szCs w:val="24"/>
          <w:lang w:val="en-GB"/>
        </w:rPr>
        <w:footnoteReference w:id="23"/>
      </w:r>
      <w:r w:rsidR="00EE6AC2" w:rsidRPr="005C100D">
        <w:rPr>
          <w:sz w:val="24"/>
          <w:szCs w:val="24"/>
          <w:lang w:val="en-GB"/>
        </w:rPr>
        <w:t xml:space="preserve"> </w:t>
      </w:r>
    </w:p>
    <w:p w:rsidR="003E17B5" w:rsidRPr="005C100D" w:rsidRDefault="003E17B5" w:rsidP="005C100D">
      <w:pPr>
        <w:jc w:val="both"/>
        <w:rPr>
          <w:rFonts w:cstheme="majorBidi"/>
          <w:b/>
          <w:bCs/>
          <w:sz w:val="24"/>
          <w:szCs w:val="24"/>
          <w:lang w:val="en-US"/>
        </w:rPr>
      </w:pPr>
      <w:r w:rsidRPr="005C100D">
        <w:rPr>
          <w:rFonts w:cstheme="majorBidi"/>
          <w:b/>
          <w:bCs/>
          <w:sz w:val="24"/>
          <w:szCs w:val="24"/>
          <w:lang w:val="en-US"/>
        </w:rPr>
        <w:t>2: New Military Manual: Extraterritorial application of the ICCPR</w:t>
      </w:r>
    </w:p>
    <w:p w:rsidR="001E756C" w:rsidRPr="005C100D" w:rsidRDefault="00E902E8" w:rsidP="005C100D">
      <w:pPr>
        <w:jc w:val="both"/>
        <w:rPr>
          <w:rFonts w:cstheme="majorBidi"/>
          <w:bCs/>
          <w:sz w:val="24"/>
          <w:szCs w:val="24"/>
          <w:lang w:val="en-US"/>
        </w:rPr>
      </w:pPr>
      <w:r w:rsidRPr="005C100D">
        <w:rPr>
          <w:rFonts w:cstheme="majorBidi"/>
          <w:bCs/>
          <w:sz w:val="24"/>
          <w:szCs w:val="24"/>
          <w:lang w:val="en-US"/>
        </w:rPr>
        <w:t xml:space="preserve">Finally, with regard to the </w:t>
      </w:r>
      <w:r w:rsidR="001E756C" w:rsidRPr="005C100D">
        <w:rPr>
          <w:rFonts w:cstheme="majorBidi"/>
          <w:bCs/>
          <w:sz w:val="24"/>
          <w:szCs w:val="24"/>
          <w:lang w:val="en-US"/>
        </w:rPr>
        <w:t>new Military Ma</w:t>
      </w:r>
      <w:r w:rsidRPr="005C100D">
        <w:rPr>
          <w:rFonts w:cstheme="majorBidi"/>
          <w:bCs/>
          <w:sz w:val="24"/>
          <w:szCs w:val="24"/>
          <w:lang w:val="en-US"/>
        </w:rPr>
        <w:t>nual (National Report para 18), w</w:t>
      </w:r>
      <w:r w:rsidR="001E756C" w:rsidRPr="005C100D">
        <w:rPr>
          <w:rFonts w:cstheme="majorBidi"/>
          <w:bCs/>
          <w:sz w:val="24"/>
          <w:szCs w:val="24"/>
          <w:lang w:val="en-US"/>
        </w:rPr>
        <w:t xml:space="preserve">e would like to stress that various human rights </w:t>
      </w:r>
      <w:proofErr w:type="spellStart"/>
      <w:r w:rsidR="001E756C" w:rsidRPr="005C100D">
        <w:rPr>
          <w:rFonts w:cstheme="majorBidi"/>
          <w:bCs/>
          <w:sz w:val="24"/>
          <w:szCs w:val="24"/>
          <w:lang w:val="en-US"/>
        </w:rPr>
        <w:t>organisations</w:t>
      </w:r>
      <w:proofErr w:type="spellEnd"/>
      <w:r w:rsidR="001E756C" w:rsidRPr="005C100D">
        <w:rPr>
          <w:rFonts w:cstheme="majorBidi"/>
          <w:bCs/>
          <w:sz w:val="24"/>
          <w:szCs w:val="24"/>
          <w:lang w:val="en-US"/>
        </w:rPr>
        <w:t xml:space="preserve"> submitted critical comments to the initial draft of the Military Manual.</w:t>
      </w:r>
      <w:r w:rsidR="001E756C" w:rsidRPr="005C100D">
        <w:rPr>
          <w:rStyle w:val="FootnoteReference"/>
          <w:rFonts w:cstheme="majorBidi"/>
          <w:bCs/>
          <w:sz w:val="24"/>
          <w:szCs w:val="24"/>
          <w:lang w:val="en-US"/>
        </w:rPr>
        <w:t xml:space="preserve"> </w:t>
      </w:r>
      <w:r w:rsidR="001E756C" w:rsidRPr="005C100D">
        <w:rPr>
          <w:rStyle w:val="FootnoteReference"/>
          <w:rFonts w:cstheme="majorBidi"/>
          <w:bCs/>
          <w:sz w:val="24"/>
          <w:szCs w:val="24"/>
          <w:lang w:val="en-US"/>
        </w:rPr>
        <w:footnoteReference w:id="24"/>
      </w:r>
      <w:r w:rsidR="001E756C" w:rsidRPr="005C100D">
        <w:rPr>
          <w:rFonts w:cstheme="majorBidi"/>
          <w:bCs/>
          <w:sz w:val="24"/>
          <w:szCs w:val="24"/>
          <w:lang w:val="en-US"/>
        </w:rPr>
        <w:t xml:space="preserve"> </w:t>
      </w:r>
      <w:r w:rsidR="000079C9" w:rsidRPr="005C100D">
        <w:rPr>
          <w:rFonts w:cstheme="majorBidi"/>
          <w:bCs/>
          <w:sz w:val="24"/>
          <w:szCs w:val="24"/>
          <w:lang w:val="en-US"/>
        </w:rPr>
        <w:t>It</w:t>
      </w:r>
      <w:r w:rsidR="001E756C" w:rsidRPr="005C100D">
        <w:rPr>
          <w:rFonts w:cstheme="majorBidi"/>
          <w:bCs/>
          <w:sz w:val="24"/>
          <w:szCs w:val="24"/>
          <w:lang w:val="en-US"/>
        </w:rPr>
        <w:t xml:space="preserve"> is positive that the Manual clearly states that international human rights law apply in international military operations and that Danish forces’ will have to abide by the human rights standards – for example in relation to handling and transfer of prisoners. </w:t>
      </w:r>
      <w:r w:rsidR="000079C9" w:rsidRPr="005C100D">
        <w:rPr>
          <w:rFonts w:cstheme="majorBidi"/>
          <w:bCs/>
          <w:sz w:val="24"/>
          <w:szCs w:val="24"/>
          <w:lang w:val="en-US"/>
        </w:rPr>
        <w:t xml:space="preserve">However, in the first draft of the Manual it was not clear how the extraterritorial application of the ICCPR would be ensured in specific situation and how the human rights standards would be balanced against the military necessity principle. </w:t>
      </w:r>
      <w:r w:rsidR="001E756C" w:rsidRPr="005C100D">
        <w:rPr>
          <w:rFonts w:cstheme="majorBidi"/>
          <w:bCs/>
          <w:sz w:val="24"/>
          <w:szCs w:val="24"/>
          <w:lang w:val="en-US"/>
        </w:rPr>
        <w:t>This issue has become even more pertinent with the recent decision by the Danish Parliament to expand Denmark’s involvement in the war against ISIS (decision B 108)</w:t>
      </w:r>
      <w:r w:rsidR="000079C9" w:rsidRPr="005C100D">
        <w:rPr>
          <w:rFonts w:cstheme="majorBidi"/>
          <w:bCs/>
          <w:sz w:val="24"/>
          <w:szCs w:val="24"/>
          <w:lang w:val="en-US"/>
        </w:rPr>
        <w:t xml:space="preserve"> and the revelation last week in the media of likely poor implementation of the non-</w:t>
      </w:r>
      <w:proofErr w:type="spellStart"/>
      <w:r w:rsidR="000079C9" w:rsidRPr="005C100D">
        <w:rPr>
          <w:rFonts w:cstheme="majorBidi"/>
          <w:bCs/>
          <w:sz w:val="24"/>
          <w:szCs w:val="24"/>
          <w:lang w:val="en-US"/>
        </w:rPr>
        <w:t>refoulement</w:t>
      </w:r>
      <w:proofErr w:type="spellEnd"/>
      <w:r w:rsidR="000079C9" w:rsidRPr="005C100D">
        <w:rPr>
          <w:rFonts w:cstheme="majorBidi"/>
          <w:bCs/>
          <w:sz w:val="24"/>
          <w:szCs w:val="24"/>
          <w:lang w:val="en-US"/>
        </w:rPr>
        <w:t xml:space="preserve"> principle in the previous military operation in Iraq</w:t>
      </w:r>
      <w:r w:rsidR="001E756C" w:rsidRPr="005C100D">
        <w:rPr>
          <w:rFonts w:cstheme="majorBidi"/>
          <w:bCs/>
          <w:sz w:val="24"/>
          <w:szCs w:val="24"/>
          <w:lang w:val="en-US"/>
        </w:rPr>
        <w:t>.</w:t>
      </w:r>
      <w:r w:rsidR="000079C9" w:rsidRPr="005C100D">
        <w:rPr>
          <w:rFonts w:cstheme="majorBidi"/>
          <w:bCs/>
          <w:sz w:val="24"/>
          <w:szCs w:val="24"/>
          <w:lang w:val="en-US"/>
        </w:rPr>
        <w:t xml:space="preserve"> </w:t>
      </w:r>
      <w:r w:rsidR="000079C9" w:rsidRPr="005C100D">
        <w:rPr>
          <w:rFonts w:cstheme="majorBidi"/>
          <w:b/>
          <w:bCs/>
          <w:sz w:val="24"/>
          <w:szCs w:val="24"/>
          <w:lang w:val="en-US"/>
        </w:rPr>
        <w:t>We recommend that Denmark is asked to explain what the extraterritorial application of the ICCPR will mean for Danish troops, for example in relation to handling and eventual transfer of prisoners (Article 2, 7 and 10 of the ICCPR).</w:t>
      </w:r>
    </w:p>
    <w:p w:rsidR="00590D6E" w:rsidRPr="005C100D" w:rsidRDefault="0097164E" w:rsidP="005C100D">
      <w:pPr>
        <w:pStyle w:val="Heading2"/>
        <w:spacing w:after="240"/>
        <w:jc w:val="both"/>
        <w:rPr>
          <w:color w:val="243F60" w:themeColor="accent1" w:themeShade="7F"/>
          <w:sz w:val="24"/>
          <w:szCs w:val="24"/>
          <w:lang w:val="en-US"/>
        </w:rPr>
      </w:pPr>
      <w:bookmarkStart w:id="4" w:name="_Toc451866542"/>
      <w:r w:rsidRPr="005C100D">
        <w:rPr>
          <w:sz w:val="24"/>
          <w:szCs w:val="24"/>
          <w:lang w:val="en-US"/>
        </w:rPr>
        <w:lastRenderedPageBreak/>
        <w:t xml:space="preserve">II. </w:t>
      </w:r>
      <w:r w:rsidR="00590D6E" w:rsidRPr="005C100D">
        <w:rPr>
          <w:sz w:val="24"/>
          <w:szCs w:val="24"/>
          <w:lang w:val="en-US"/>
        </w:rPr>
        <w:t>SUGGESTED RECOMMENDATIONS TO THE IMPLEMENTATION OF ARTICLES 1 – 27 OF THE CONVENTION</w:t>
      </w:r>
      <w:bookmarkEnd w:id="4"/>
      <w:r w:rsidR="00590D6E" w:rsidRPr="005C100D">
        <w:rPr>
          <w:color w:val="243F60" w:themeColor="accent1" w:themeShade="7F"/>
          <w:sz w:val="24"/>
          <w:szCs w:val="24"/>
          <w:lang w:val="en-US"/>
        </w:rPr>
        <w:t xml:space="preserve"> </w:t>
      </w:r>
      <w:r w:rsidRPr="005C100D">
        <w:rPr>
          <w:color w:val="243F60" w:themeColor="accent1" w:themeShade="7F"/>
          <w:sz w:val="24"/>
          <w:szCs w:val="24"/>
          <w:lang w:val="en-US"/>
        </w:rPr>
        <w:t xml:space="preserve"> </w:t>
      </w:r>
    </w:p>
    <w:p w:rsidR="00590D6E" w:rsidRPr="005C100D" w:rsidRDefault="00590D6E" w:rsidP="005C100D">
      <w:pPr>
        <w:pStyle w:val="Heading3"/>
        <w:spacing w:after="240"/>
        <w:jc w:val="both"/>
        <w:rPr>
          <w:lang w:val="en-US"/>
        </w:rPr>
      </w:pPr>
      <w:bookmarkStart w:id="5" w:name="_Toc451866543"/>
      <w:r w:rsidRPr="005C100D">
        <w:rPr>
          <w:lang w:val="en-US"/>
        </w:rPr>
        <w:t>CONSTITUTIONAL AND LEGAL FRAMEWORK WITHIN WHICH THE COVENANT IS IMPLEMENTED (</w:t>
      </w:r>
      <w:r w:rsidRPr="005C100D">
        <w:rPr>
          <w:b/>
          <w:bCs/>
          <w:iCs/>
          <w:lang w:val="en-US"/>
        </w:rPr>
        <w:t xml:space="preserve">Article </w:t>
      </w:r>
      <w:r w:rsidRPr="005C100D">
        <w:rPr>
          <w:b/>
          <w:bCs/>
          <w:i/>
          <w:iCs/>
          <w:lang w:val="en-US"/>
        </w:rPr>
        <w:t xml:space="preserve">2; </w:t>
      </w:r>
      <w:r w:rsidRPr="005C100D">
        <w:rPr>
          <w:lang w:val="en-US"/>
        </w:rPr>
        <w:t>LOI</w:t>
      </w:r>
      <w:r w:rsidR="00563201" w:rsidRPr="005C100D">
        <w:rPr>
          <w:lang w:val="en-US"/>
        </w:rPr>
        <w:t>PR</w:t>
      </w:r>
      <w:r w:rsidRPr="005C100D">
        <w:rPr>
          <w:lang w:val="en-US"/>
        </w:rPr>
        <w:t xml:space="preserve"> PARA 4-7)</w:t>
      </w:r>
      <w:bookmarkEnd w:id="5"/>
    </w:p>
    <w:p w:rsidR="009F1A33" w:rsidRPr="005C100D" w:rsidRDefault="00F5369C" w:rsidP="005C100D">
      <w:pPr>
        <w:jc w:val="both"/>
        <w:rPr>
          <w:rFonts w:cstheme="majorBidi"/>
          <w:i/>
          <w:sz w:val="24"/>
          <w:szCs w:val="24"/>
          <w:u w:val="single"/>
          <w:lang w:val="en-US"/>
        </w:rPr>
      </w:pPr>
      <w:r w:rsidRPr="005C100D">
        <w:rPr>
          <w:rFonts w:cstheme="majorBidi"/>
          <w:i/>
          <w:sz w:val="24"/>
          <w:szCs w:val="24"/>
          <w:u w:val="single"/>
          <w:lang w:val="en-US"/>
        </w:rPr>
        <w:t xml:space="preserve">1: </w:t>
      </w:r>
      <w:r w:rsidR="009F1A33" w:rsidRPr="005C100D">
        <w:rPr>
          <w:rFonts w:cstheme="majorBidi"/>
          <w:i/>
          <w:sz w:val="24"/>
          <w:szCs w:val="24"/>
          <w:u w:val="single"/>
          <w:lang w:val="en-US"/>
        </w:rPr>
        <w:t>Denmark’s reservations to the ICCPR</w:t>
      </w:r>
      <w:r w:rsidR="00004A2B" w:rsidRPr="005C100D">
        <w:rPr>
          <w:rFonts w:cstheme="majorBidi"/>
          <w:i/>
          <w:sz w:val="24"/>
          <w:szCs w:val="24"/>
          <w:u w:val="single"/>
          <w:lang w:val="en-US"/>
        </w:rPr>
        <w:t xml:space="preserve"> (LOIPR PARA 4)</w:t>
      </w:r>
    </w:p>
    <w:p w:rsidR="00E403D4" w:rsidRPr="005C100D" w:rsidRDefault="009F1A33" w:rsidP="005C100D">
      <w:pPr>
        <w:jc w:val="both"/>
        <w:rPr>
          <w:rFonts w:cstheme="majorBidi"/>
          <w:sz w:val="24"/>
          <w:szCs w:val="24"/>
          <w:lang w:val="en-US"/>
        </w:rPr>
      </w:pPr>
      <w:r w:rsidRPr="005C100D">
        <w:rPr>
          <w:rFonts w:cstheme="majorBidi"/>
          <w:sz w:val="24"/>
          <w:szCs w:val="24"/>
          <w:lang w:val="en-US"/>
        </w:rPr>
        <w:t>With regard to the reservations made by Denmark upon ratification of the ICCPR, we would like to note that Denmark maintains its reservation to Article 10 (3) second sentence regarding segregation of juveniles from adults and to “be accorded treatment appropriate to their age and legal status”.</w:t>
      </w:r>
      <w:r w:rsidRPr="005C100D">
        <w:rPr>
          <w:rStyle w:val="FootnoteReference"/>
          <w:rFonts w:cstheme="majorBidi"/>
          <w:sz w:val="24"/>
          <w:szCs w:val="24"/>
          <w:lang w:val="en-US"/>
        </w:rPr>
        <w:footnoteReference w:id="25"/>
      </w:r>
      <w:r w:rsidRPr="005C100D">
        <w:rPr>
          <w:rFonts w:cstheme="majorBidi"/>
          <w:sz w:val="24"/>
          <w:szCs w:val="24"/>
          <w:lang w:val="en-US"/>
        </w:rPr>
        <w:t xml:space="preserve"> </w:t>
      </w:r>
    </w:p>
    <w:p w:rsidR="009F1A33" w:rsidRPr="005C100D" w:rsidRDefault="009F1A33" w:rsidP="005C100D">
      <w:pPr>
        <w:jc w:val="both"/>
        <w:rPr>
          <w:rFonts w:cstheme="majorBidi"/>
          <w:sz w:val="24"/>
          <w:szCs w:val="24"/>
          <w:lang w:val="en-US"/>
        </w:rPr>
      </w:pPr>
      <w:r w:rsidRPr="005C100D">
        <w:rPr>
          <w:rFonts w:cstheme="majorBidi"/>
          <w:sz w:val="24"/>
          <w:szCs w:val="24"/>
          <w:lang w:val="en-US"/>
        </w:rPr>
        <w:t xml:space="preserve">We would like </w:t>
      </w:r>
      <w:r w:rsidRPr="005C100D">
        <w:rPr>
          <w:rFonts w:cstheme="majorBidi"/>
          <w:b/>
          <w:sz w:val="24"/>
          <w:szCs w:val="24"/>
          <w:lang w:val="en-US"/>
        </w:rPr>
        <w:t>to recommend</w:t>
      </w:r>
      <w:r w:rsidRPr="005C100D">
        <w:rPr>
          <w:rFonts w:cstheme="majorBidi"/>
          <w:sz w:val="24"/>
          <w:szCs w:val="24"/>
          <w:lang w:val="en-US"/>
        </w:rPr>
        <w:t xml:space="preserve"> that Denmark withdraws this reservation</w:t>
      </w:r>
      <w:r w:rsidR="00004A2B" w:rsidRPr="005C100D">
        <w:rPr>
          <w:rFonts w:cstheme="majorBidi"/>
          <w:sz w:val="24"/>
          <w:szCs w:val="24"/>
          <w:lang w:val="en-US"/>
        </w:rPr>
        <w:t xml:space="preserve"> so that the few juveniles who currently serve their sentence in prison are placed in juvenile centers</w:t>
      </w:r>
      <w:r w:rsidRPr="005C100D">
        <w:rPr>
          <w:rFonts w:cstheme="majorBidi"/>
          <w:sz w:val="24"/>
          <w:szCs w:val="24"/>
          <w:lang w:val="en-US"/>
        </w:rPr>
        <w:t xml:space="preserve">. </w:t>
      </w:r>
      <w:r w:rsidR="003949D3">
        <w:rPr>
          <w:rStyle w:val="FootnoteReference"/>
          <w:rFonts w:cstheme="majorBidi"/>
          <w:sz w:val="24"/>
          <w:szCs w:val="24"/>
          <w:lang w:val="en-US"/>
        </w:rPr>
        <w:footnoteReference w:id="26"/>
      </w:r>
    </w:p>
    <w:p w:rsidR="009F1A33" w:rsidRPr="005C100D" w:rsidRDefault="00F5369C" w:rsidP="005C100D">
      <w:pPr>
        <w:jc w:val="both"/>
        <w:rPr>
          <w:rFonts w:cstheme="majorBidi"/>
          <w:bCs/>
          <w:i/>
          <w:iCs/>
          <w:sz w:val="24"/>
          <w:szCs w:val="24"/>
          <w:u w:val="single"/>
          <w:lang w:val="en-US"/>
        </w:rPr>
      </w:pPr>
      <w:r w:rsidRPr="005C100D">
        <w:rPr>
          <w:rFonts w:cstheme="majorBidi"/>
          <w:bCs/>
          <w:i/>
          <w:iCs/>
          <w:sz w:val="24"/>
          <w:szCs w:val="24"/>
          <w:u w:val="single"/>
          <w:lang w:val="en-US"/>
        </w:rPr>
        <w:t xml:space="preserve">2: </w:t>
      </w:r>
      <w:r w:rsidR="00004A2B" w:rsidRPr="005C100D">
        <w:rPr>
          <w:rFonts w:cstheme="majorBidi"/>
          <w:bCs/>
          <w:i/>
          <w:iCs/>
          <w:sz w:val="24"/>
          <w:szCs w:val="24"/>
          <w:u w:val="single"/>
          <w:lang w:val="en-US"/>
        </w:rPr>
        <w:t>Incorporation of the ICCPR into Danish Law (LOIPR PARA 5)</w:t>
      </w:r>
    </w:p>
    <w:p w:rsidR="00004A2B" w:rsidRPr="005C100D" w:rsidRDefault="00004A2B" w:rsidP="005C100D">
      <w:pPr>
        <w:jc w:val="both"/>
        <w:rPr>
          <w:sz w:val="24"/>
          <w:szCs w:val="24"/>
          <w:lang w:val="en-GB"/>
        </w:rPr>
      </w:pPr>
      <w:r w:rsidRPr="005C100D">
        <w:rPr>
          <w:sz w:val="24"/>
          <w:szCs w:val="24"/>
          <w:lang w:val="en-GB"/>
        </w:rPr>
        <w:t>A Committee of Experts recommended in 2001 an incorporation of ICCPR into Danish Law</w:t>
      </w:r>
      <w:r w:rsidR="00515C05" w:rsidRPr="005C100D">
        <w:rPr>
          <w:sz w:val="24"/>
          <w:szCs w:val="24"/>
          <w:lang w:val="en-GB"/>
        </w:rPr>
        <w:t>, but this was not followed up by any political initiatives</w:t>
      </w:r>
      <w:r w:rsidRPr="005C100D">
        <w:rPr>
          <w:sz w:val="24"/>
          <w:szCs w:val="24"/>
          <w:lang w:val="en-GB"/>
        </w:rPr>
        <w:t>.</w:t>
      </w:r>
      <w:r w:rsidRPr="005C100D">
        <w:rPr>
          <w:rStyle w:val="FootnoteReference"/>
          <w:sz w:val="24"/>
          <w:szCs w:val="24"/>
          <w:lang w:val="en-GB"/>
        </w:rPr>
        <w:footnoteReference w:id="27"/>
      </w:r>
      <w:r w:rsidR="00E403D4" w:rsidRPr="005C100D">
        <w:rPr>
          <w:sz w:val="24"/>
          <w:szCs w:val="24"/>
          <w:lang w:val="en-GB"/>
        </w:rPr>
        <w:t xml:space="preserve"> </w:t>
      </w:r>
      <w:r w:rsidR="00515C05" w:rsidRPr="005C100D">
        <w:rPr>
          <w:sz w:val="24"/>
          <w:szCs w:val="24"/>
          <w:lang w:val="en-GB"/>
        </w:rPr>
        <w:t>Some 13 years later – in August 2014 -</w:t>
      </w:r>
      <w:r w:rsidRPr="005C100D">
        <w:rPr>
          <w:sz w:val="24"/>
          <w:szCs w:val="24"/>
          <w:lang w:val="en-GB"/>
        </w:rPr>
        <w:t xml:space="preserve"> </w:t>
      </w:r>
      <w:r w:rsidR="00E403D4" w:rsidRPr="005C100D">
        <w:rPr>
          <w:sz w:val="24"/>
          <w:szCs w:val="24"/>
          <w:lang w:val="en-GB"/>
        </w:rPr>
        <w:t>a new</w:t>
      </w:r>
      <w:r w:rsidRPr="005C100D">
        <w:rPr>
          <w:sz w:val="24"/>
          <w:szCs w:val="24"/>
          <w:lang w:val="en-GB"/>
        </w:rPr>
        <w:t xml:space="preserve"> Committee of Experts issued its 527-page report (</w:t>
      </w:r>
      <w:proofErr w:type="spellStart"/>
      <w:r w:rsidRPr="005C100D">
        <w:rPr>
          <w:i/>
          <w:sz w:val="24"/>
          <w:szCs w:val="24"/>
          <w:lang w:val="en-GB"/>
        </w:rPr>
        <w:t>betænkning</w:t>
      </w:r>
      <w:proofErr w:type="spellEnd"/>
      <w:r w:rsidRPr="005C100D">
        <w:rPr>
          <w:sz w:val="24"/>
          <w:szCs w:val="24"/>
          <w:lang w:val="en-GB"/>
        </w:rPr>
        <w:t>) no. 1546/2014.</w:t>
      </w:r>
      <w:r w:rsidRPr="005C100D">
        <w:rPr>
          <w:rStyle w:val="FootnoteReference"/>
          <w:sz w:val="24"/>
          <w:szCs w:val="24"/>
          <w:lang w:val="en-GB"/>
        </w:rPr>
        <w:footnoteReference w:id="28"/>
      </w:r>
      <w:r w:rsidRPr="005C100D">
        <w:rPr>
          <w:sz w:val="24"/>
          <w:szCs w:val="24"/>
          <w:lang w:val="en-GB"/>
        </w:rPr>
        <w:t xml:space="preserve"> After its thorough assessment of the legal, judicial, and practical implications of incorporation of the </w:t>
      </w:r>
      <w:r w:rsidR="00E403D4" w:rsidRPr="005C100D">
        <w:rPr>
          <w:sz w:val="24"/>
          <w:szCs w:val="24"/>
          <w:lang w:val="en-GB"/>
        </w:rPr>
        <w:t>ICCPR</w:t>
      </w:r>
      <w:r w:rsidRPr="005C100D">
        <w:rPr>
          <w:sz w:val="24"/>
          <w:szCs w:val="24"/>
          <w:lang w:val="en-GB"/>
        </w:rPr>
        <w:t xml:space="preserve"> into Danish law, the </w:t>
      </w:r>
      <w:r w:rsidR="00BF6224" w:rsidRPr="005C100D">
        <w:rPr>
          <w:sz w:val="24"/>
          <w:szCs w:val="24"/>
          <w:lang w:val="en-GB"/>
        </w:rPr>
        <w:t xml:space="preserve">majority of the voting members of the </w:t>
      </w:r>
      <w:r w:rsidRPr="005C100D">
        <w:rPr>
          <w:sz w:val="24"/>
          <w:szCs w:val="24"/>
          <w:lang w:val="en-GB"/>
        </w:rPr>
        <w:t xml:space="preserve">Committee of Experts </w:t>
      </w:r>
      <w:r w:rsidR="00BF6224" w:rsidRPr="005C100D">
        <w:rPr>
          <w:sz w:val="24"/>
          <w:szCs w:val="24"/>
          <w:lang w:val="en-GB"/>
        </w:rPr>
        <w:t xml:space="preserve">recommended an incorporation of the ICCPR. The Committee </w:t>
      </w:r>
      <w:r w:rsidRPr="005C100D">
        <w:rPr>
          <w:sz w:val="24"/>
          <w:szCs w:val="24"/>
          <w:lang w:val="en-GB"/>
        </w:rPr>
        <w:t>was split</w:t>
      </w:r>
      <w:r w:rsidR="00E403D4" w:rsidRPr="005C100D">
        <w:rPr>
          <w:sz w:val="24"/>
          <w:szCs w:val="24"/>
          <w:lang w:val="en-GB"/>
        </w:rPr>
        <w:t xml:space="preserve"> in its final vote</w:t>
      </w:r>
      <w:r w:rsidR="00BF6224" w:rsidRPr="005C100D">
        <w:rPr>
          <w:sz w:val="24"/>
          <w:szCs w:val="24"/>
          <w:lang w:val="en-GB"/>
        </w:rPr>
        <w:t xml:space="preserve"> in the following way</w:t>
      </w:r>
      <w:r w:rsidRPr="005C100D">
        <w:rPr>
          <w:sz w:val="24"/>
          <w:szCs w:val="24"/>
          <w:lang w:val="en-GB"/>
        </w:rPr>
        <w:t>:</w:t>
      </w:r>
    </w:p>
    <w:p w:rsidR="00004A2B" w:rsidRPr="005C100D" w:rsidRDefault="00004A2B" w:rsidP="005C100D">
      <w:pPr>
        <w:pStyle w:val="ListParagraph"/>
        <w:numPr>
          <w:ilvl w:val="0"/>
          <w:numId w:val="6"/>
        </w:numPr>
        <w:jc w:val="both"/>
        <w:rPr>
          <w:sz w:val="24"/>
          <w:szCs w:val="24"/>
          <w:lang w:val="en-GB"/>
        </w:rPr>
      </w:pPr>
      <w:r w:rsidRPr="005C100D">
        <w:rPr>
          <w:sz w:val="24"/>
          <w:szCs w:val="24"/>
          <w:lang w:val="en-GB"/>
        </w:rPr>
        <w:t xml:space="preserve">Six members recommended that </w:t>
      </w:r>
      <w:r w:rsidR="00E403D4" w:rsidRPr="005C100D">
        <w:rPr>
          <w:sz w:val="24"/>
          <w:szCs w:val="24"/>
          <w:lang w:val="en-GB"/>
        </w:rPr>
        <w:t xml:space="preserve">ICCPR </w:t>
      </w:r>
      <w:r w:rsidRPr="005C100D">
        <w:rPr>
          <w:sz w:val="24"/>
          <w:szCs w:val="24"/>
          <w:lang w:val="en-GB"/>
        </w:rPr>
        <w:t>be incorporated into Danish law.</w:t>
      </w:r>
    </w:p>
    <w:p w:rsidR="00004A2B" w:rsidRPr="005C100D" w:rsidRDefault="00004A2B" w:rsidP="005C100D">
      <w:pPr>
        <w:pStyle w:val="ListParagraph"/>
        <w:numPr>
          <w:ilvl w:val="0"/>
          <w:numId w:val="6"/>
        </w:numPr>
        <w:jc w:val="both"/>
        <w:rPr>
          <w:sz w:val="24"/>
          <w:szCs w:val="24"/>
          <w:lang w:val="en-GB"/>
        </w:rPr>
      </w:pPr>
      <w:r w:rsidRPr="005C100D">
        <w:rPr>
          <w:sz w:val="24"/>
          <w:szCs w:val="24"/>
          <w:lang w:val="en-GB"/>
        </w:rPr>
        <w:t xml:space="preserve">Four members </w:t>
      </w:r>
      <w:r w:rsidR="00E403D4" w:rsidRPr="005C100D">
        <w:rPr>
          <w:sz w:val="24"/>
          <w:szCs w:val="24"/>
          <w:lang w:val="en-GB"/>
        </w:rPr>
        <w:t xml:space="preserve">generally </w:t>
      </w:r>
      <w:r w:rsidRPr="005C100D">
        <w:rPr>
          <w:sz w:val="24"/>
          <w:szCs w:val="24"/>
          <w:lang w:val="en-GB"/>
        </w:rPr>
        <w:t xml:space="preserve">abstained from pronouncing </w:t>
      </w:r>
      <w:r w:rsidR="00E403D4" w:rsidRPr="005C100D">
        <w:rPr>
          <w:sz w:val="24"/>
          <w:szCs w:val="24"/>
          <w:lang w:val="en-GB"/>
        </w:rPr>
        <w:t>themselves about incorporation (</w:t>
      </w:r>
      <w:r w:rsidRPr="005C100D">
        <w:rPr>
          <w:sz w:val="24"/>
          <w:szCs w:val="24"/>
          <w:lang w:val="en-GB"/>
        </w:rPr>
        <w:t>noting however that incorporation may entail a shift in the balance of power from the Legislative to the Judiciary</w:t>
      </w:r>
      <w:r w:rsidR="00E403D4" w:rsidRPr="005C100D">
        <w:rPr>
          <w:sz w:val="24"/>
          <w:szCs w:val="24"/>
          <w:lang w:val="en-GB"/>
        </w:rPr>
        <w:t>). However, two of these  (</w:t>
      </w:r>
      <w:r w:rsidR="00E403D4" w:rsidRPr="005C100D">
        <w:rPr>
          <w:sz w:val="24"/>
          <w:szCs w:val="24"/>
          <w:lang w:val="en-US"/>
        </w:rPr>
        <w:t xml:space="preserve">John </w:t>
      </w:r>
      <w:proofErr w:type="spellStart"/>
      <w:r w:rsidR="00E403D4" w:rsidRPr="005C100D">
        <w:rPr>
          <w:sz w:val="24"/>
          <w:szCs w:val="24"/>
          <w:lang w:val="en-US"/>
        </w:rPr>
        <w:t>Lundum</w:t>
      </w:r>
      <w:proofErr w:type="spellEnd"/>
      <w:r w:rsidR="00E403D4" w:rsidRPr="005C100D">
        <w:rPr>
          <w:sz w:val="24"/>
          <w:szCs w:val="24"/>
          <w:lang w:val="en-US"/>
        </w:rPr>
        <w:t xml:space="preserve"> </w:t>
      </w:r>
      <w:proofErr w:type="spellStart"/>
      <w:r w:rsidR="00E403D4" w:rsidRPr="005C100D">
        <w:rPr>
          <w:sz w:val="24"/>
          <w:szCs w:val="24"/>
          <w:lang w:val="en-US"/>
        </w:rPr>
        <w:t>og</w:t>
      </w:r>
      <w:proofErr w:type="spellEnd"/>
      <w:r w:rsidR="00E403D4" w:rsidRPr="005C100D">
        <w:rPr>
          <w:sz w:val="24"/>
          <w:szCs w:val="24"/>
          <w:lang w:val="en-US"/>
        </w:rPr>
        <w:t xml:space="preserve"> Hanne Schmidt) noted that the ICCPR is adapt for incorporation due to its clear and precise provisions</w:t>
      </w:r>
      <w:r w:rsidR="00E403D4" w:rsidRPr="005C100D">
        <w:rPr>
          <w:rStyle w:val="FootnoteReference"/>
          <w:sz w:val="24"/>
          <w:szCs w:val="24"/>
          <w:lang w:val="en-US"/>
        </w:rPr>
        <w:footnoteReference w:id="29"/>
      </w:r>
      <w:r w:rsidR="00E403D4" w:rsidRPr="005C100D">
        <w:rPr>
          <w:sz w:val="24"/>
          <w:szCs w:val="24"/>
          <w:lang w:val="en-GB"/>
        </w:rPr>
        <w:t xml:space="preserve"> </w:t>
      </w:r>
      <w:r w:rsidRPr="005C100D">
        <w:rPr>
          <w:sz w:val="24"/>
          <w:szCs w:val="24"/>
          <w:lang w:val="en-GB"/>
        </w:rPr>
        <w:t>.</w:t>
      </w:r>
    </w:p>
    <w:p w:rsidR="00004A2B" w:rsidRPr="005C100D" w:rsidRDefault="00004A2B" w:rsidP="005C100D">
      <w:pPr>
        <w:pStyle w:val="ListParagraph"/>
        <w:numPr>
          <w:ilvl w:val="0"/>
          <w:numId w:val="6"/>
        </w:numPr>
        <w:jc w:val="both"/>
        <w:rPr>
          <w:sz w:val="24"/>
          <w:szCs w:val="24"/>
          <w:lang w:val="en-GB"/>
        </w:rPr>
      </w:pPr>
      <w:r w:rsidRPr="005C100D">
        <w:rPr>
          <w:sz w:val="24"/>
          <w:szCs w:val="24"/>
          <w:lang w:val="en-GB"/>
        </w:rPr>
        <w:t xml:space="preserve">Five members – all government representatives - concluded that they would not take a stand on the issue of incorporation until the Committee of Experts had concluded its work.    </w:t>
      </w:r>
    </w:p>
    <w:p w:rsidR="00004A2B" w:rsidRPr="005C100D" w:rsidRDefault="00BF6224" w:rsidP="005C100D">
      <w:pPr>
        <w:jc w:val="both"/>
        <w:rPr>
          <w:sz w:val="24"/>
          <w:szCs w:val="24"/>
          <w:lang w:val="en-GB"/>
        </w:rPr>
      </w:pPr>
      <w:r w:rsidRPr="005C100D">
        <w:rPr>
          <w:sz w:val="24"/>
          <w:szCs w:val="24"/>
          <w:lang w:val="en-GB"/>
        </w:rPr>
        <w:lastRenderedPageBreak/>
        <w:t>N</w:t>
      </w:r>
      <w:r w:rsidR="00004A2B" w:rsidRPr="005C100D">
        <w:rPr>
          <w:sz w:val="24"/>
          <w:szCs w:val="24"/>
          <w:lang w:val="en-GB"/>
        </w:rPr>
        <w:t xml:space="preserve">o political initiatives </w:t>
      </w:r>
      <w:r w:rsidR="005359BE" w:rsidRPr="005C100D">
        <w:rPr>
          <w:sz w:val="24"/>
          <w:szCs w:val="24"/>
          <w:lang w:val="en-GB"/>
        </w:rPr>
        <w:t>were</w:t>
      </w:r>
      <w:r w:rsidR="00004A2B" w:rsidRPr="005C100D">
        <w:rPr>
          <w:sz w:val="24"/>
          <w:szCs w:val="24"/>
          <w:lang w:val="en-GB"/>
        </w:rPr>
        <w:t xml:space="preserve"> taken regarding incorporation - neither by the former government nor by the present government, which came into office in 2015</w:t>
      </w:r>
      <w:r w:rsidR="00B64853">
        <w:rPr>
          <w:rStyle w:val="FootnoteReference"/>
          <w:sz w:val="24"/>
          <w:szCs w:val="24"/>
          <w:lang w:val="en-GB"/>
        </w:rPr>
        <w:footnoteReference w:id="30"/>
      </w:r>
      <w:r w:rsidR="00004A2B" w:rsidRPr="005C100D">
        <w:rPr>
          <w:sz w:val="24"/>
          <w:szCs w:val="24"/>
          <w:lang w:val="en-GB"/>
        </w:rPr>
        <w:t xml:space="preserve">. </w:t>
      </w:r>
      <w:r w:rsidR="005359BE" w:rsidRPr="005C100D">
        <w:rPr>
          <w:sz w:val="24"/>
          <w:szCs w:val="24"/>
          <w:lang w:val="en-GB"/>
        </w:rPr>
        <w:t xml:space="preserve">During the examination of Denmark by the Committee against Torture last year, the Danish delegation noted that the incorporation of the UNCAT would be reconsidered. However, nothing has happened since that statement in November. </w:t>
      </w:r>
    </w:p>
    <w:p w:rsidR="00540062" w:rsidRPr="005C100D" w:rsidRDefault="0054012F" w:rsidP="005C100D">
      <w:pPr>
        <w:jc w:val="both"/>
        <w:rPr>
          <w:sz w:val="24"/>
          <w:szCs w:val="24"/>
          <w:lang w:val="en-GB"/>
        </w:rPr>
      </w:pPr>
      <w:r w:rsidRPr="005C100D">
        <w:rPr>
          <w:sz w:val="24"/>
          <w:szCs w:val="24"/>
          <w:lang w:val="en-GB"/>
        </w:rPr>
        <w:t xml:space="preserve">As a support for the Danish position on no need for incorporation, </w:t>
      </w:r>
      <w:r w:rsidR="00735ECB" w:rsidRPr="005C100D">
        <w:rPr>
          <w:sz w:val="24"/>
          <w:szCs w:val="24"/>
          <w:lang w:val="en-GB"/>
        </w:rPr>
        <w:t xml:space="preserve">Denmark refers to 9 decisions in which the courts have applied provisions of the </w:t>
      </w:r>
      <w:r w:rsidR="00B52778" w:rsidRPr="005C100D">
        <w:rPr>
          <w:sz w:val="24"/>
          <w:szCs w:val="24"/>
          <w:lang w:val="en-GB"/>
        </w:rPr>
        <w:t xml:space="preserve">Covenant in the </w:t>
      </w:r>
      <w:r w:rsidR="00735ECB" w:rsidRPr="005C100D">
        <w:rPr>
          <w:sz w:val="24"/>
          <w:szCs w:val="24"/>
          <w:lang w:val="en-GB"/>
        </w:rPr>
        <w:t>period January 2001 – January 20</w:t>
      </w:r>
      <w:r w:rsidRPr="005C100D">
        <w:rPr>
          <w:sz w:val="24"/>
          <w:szCs w:val="24"/>
          <w:lang w:val="en-GB"/>
        </w:rPr>
        <w:t>14 (National Report para 23)</w:t>
      </w:r>
      <w:r w:rsidR="00735ECB" w:rsidRPr="005C100D">
        <w:rPr>
          <w:sz w:val="24"/>
          <w:szCs w:val="24"/>
          <w:lang w:val="en-GB"/>
        </w:rPr>
        <w:t xml:space="preserve">. </w:t>
      </w:r>
      <w:r w:rsidRPr="005C100D">
        <w:rPr>
          <w:sz w:val="24"/>
          <w:szCs w:val="24"/>
          <w:lang w:val="en-GB"/>
        </w:rPr>
        <w:t>In response, w</w:t>
      </w:r>
      <w:r w:rsidR="00735ECB" w:rsidRPr="005C100D">
        <w:rPr>
          <w:sz w:val="24"/>
          <w:szCs w:val="24"/>
          <w:lang w:val="en-GB"/>
        </w:rPr>
        <w:t>e would like to note that</w:t>
      </w:r>
      <w:r w:rsidR="008A6CFE" w:rsidRPr="005C100D">
        <w:rPr>
          <w:sz w:val="24"/>
          <w:szCs w:val="24"/>
          <w:lang w:val="en-GB"/>
        </w:rPr>
        <w:t xml:space="preserve"> </w:t>
      </w:r>
      <w:r w:rsidR="008F2B5B" w:rsidRPr="005C100D">
        <w:rPr>
          <w:sz w:val="24"/>
          <w:szCs w:val="24"/>
          <w:lang w:val="en-GB"/>
        </w:rPr>
        <w:t xml:space="preserve">over a </w:t>
      </w:r>
      <w:r w:rsidRPr="005C100D">
        <w:rPr>
          <w:sz w:val="24"/>
          <w:szCs w:val="24"/>
          <w:lang w:val="en-GB"/>
        </w:rPr>
        <w:t xml:space="preserve">13-year </w:t>
      </w:r>
      <w:r w:rsidR="008F2B5B" w:rsidRPr="005C100D">
        <w:rPr>
          <w:sz w:val="24"/>
          <w:szCs w:val="24"/>
          <w:lang w:val="en-GB"/>
        </w:rPr>
        <w:t xml:space="preserve">period, this </w:t>
      </w:r>
      <w:r w:rsidR="00B64853" w:rsidRPr="005C100D">
        <w:rPr>
          <w:sz w:val="24"/>
          <w:szCs w:val="24"/>
          <w:lang w:val="en-GB"/>
        </w:rPr>
        <w:t>represents</w:t>
      </w:r>
      <w:r w:rsidR="008A6CFE" w:rsidRPr="005C100D">
        <w:rPr>
          <w:sz w:val="24"/>
          <w:szCs w:val="24"/>
          <w:lang w:val="en-GB"/>
        </w:rPr>
        <w:t xml:space="preserve"> a very low average (less than 1 case yearly, i.e., 0,70 % cases) demonstrating </w:t>
      </w:r>
      <w:r w:rsidR="008F2B5B" w:rsidRPr="005C100D">
        <w:rPr>
          <w:sz w:val="24"/>
          <w:szCs w:val="24"/>
          <w:lang w:val="en-GB"/>
        </w:rPr>
        <w:t xml:space="preserve">exactly </w:t>
      </w:r>
      <w:r w:rsidR="008A6CFE" w:rsidRPr="005C100D">
        <w:rPr>
          <w:sz w:val="24"/>
          <w:szCs w:val="24"/>
          <w:lang w:val="en-GB"/>
        </w:rPr>
        <w:t xml:space="preserve">the </w:t>
      </w:r>
      <w:r w:rsidR="00540062" w:rsidRPr="005C100D">
        <w:rPr>
          <w:sz w:val="24"/>
          <w:szCs w:val="24"/>
          <w:lang w:val="en-GB"/>
        </w:rPr>
        <w:t>negative consequences of no incorporation of</w:t>
      </w:r>
      <w:r w:rsidR="008A6CFE" w:rsidRPr="005C100D">
        <w:rPr>
          <w:sz w:val="24"/>
          <w:szCs w:val="24"/>
          <w:lang w:val="en-GB"/>
        </w:rPr>
        <w:t xml:space="preserve"> the ICCPR into Danish law</w:t>
      </w:r>
      <w:r w:rsidR="00540062" w:rsidRPr="005C100D">
        <w:rPr>
          <w:sz w:val="24"/>
          <w:szCs w:val="24"/>
          <w:lang w:val="en-GB"/>
        </w:rPr>
        <w:t xml:space="preserve">, namely </w:t>
      </w:r>
      <w:r w:rsidR="008A6CFE" w:rsidRPr="005C100D">
        <w:rPr>
          <w:sz w:val="24"/>
          <w:szCs w:val="24"/>
          <w:lang w:val="en-GB"/>
        </w:rPr>
        <w:t xml:space="preserve">that the Covenant is rarely relied upon in courts. Moreover, in these 9 cases, </w:t>
      </w:r>
      <w:r w:rsidR="00735ECB" w:rsidRPr="005C100D">
        <w:rPr>
          <w:sz w:val="24"/>
          <w:szCs w:val="24"/>
          <w:lang w:val="en-GB"/>
        </w:rPr>
        <w:t xml:space="preserve">the Covenant </w:t>
      </w:r>
      <w:r w:rsidR="008A6CFE" w:rsidRPr="005C100D">
        <w:rPr>
          <w:sz w:val="24"/>
          <w:szCs w:val="24"/>
          <w:lang w:val="en-GB"/>
        </w:rPr>
        <w:t>was</w:t>
      </w:r>
      <w:r w:rsidR="00735ECB" w:rsidRPr="005C100D">
        <w:rPr>
          <w:sz w:val="24"/>
          <w:szCs w:val="24"/>
          <w:lang w:val="en-GB"/>
        </w:rPr>
        <w:t xml:space="preserve"> not used to set aside Danish legislation </w:t>
      </w:r>
      <w:r w:rsidR="00540062" w:rsidRPr="005C100D">
        <w:rPr>
          <w:sz w:val="24"/>
          <w:szCs w:val="24"/>
          <w:lang w:val="en-GB"/>
        </w:rPr>
        <w:t>and the government representative</w:t>
      </w:r>
      <w:r w:rsidR="006474A4">
        <w:rPr>
          <w:sz w:val="24"/>
          <w:szCs w:val="24"/>
          <w:lang w:val="en-GB"/>
        </w:rPr>
        <w:t>s in some cases</w:t>
      </w:r>
      <w:r w:rsidR="00540062" w:rsidRPr="005C100D">
        <w:rPr>
          <w:sz w:val="24"/>
          <w:szCs w:val="24"/>
          <w:lang w:val="en-GB"/>
        </w:rPr>
        <w:t xml:space="preserve"> argued that as a non-incorporated convention, the courts should not refer to its provisions.</w:t>
      </w:r>
    </w:p>
    <w:p w:rsidR="00735ECB" w:rsidRPr="005C100D" w:rsidRDefault="00540062" w:rsidP="005C100D">
      <w:pPr>
        <w:jc w:val="both"/>
        <w:rPr>
          <w:sz w:val="24"/>
          <w:szCs w:val="24"/>
          <w:lang w:val="en-GB"/>
        </w:rPr>
      </w:pPr>
      <w:r w:rsidRPr="005C100D">
        <w:rPr>
          <w:sz w:val="24"/>
          <w:szCs w:val="24"/>
          <w:lang w:val="en-GB"/>
        </w:rPr>
        <w:t>Thus, we conclude that as</w:t>
      </w:r>
      <w:r w:rsidR="00B52778" w:rsidRPr="005C100D">
        <w:rPr>
          <w:sz w:val="24"/>
          <w:szCs w:val="24"/>
          <w:lang w:val="en-GB"/>
        </w:rPr>
        <w:t xml:space="preserve"> the Covenant is not incorporated into Danish law, judges and administrative bodies </w:t>
      </w:r>
      <w:r w:rsidRPr="005C100D">
        <w:rPr>
          <w:sz w:val="24"/>
          <w:szCs w:val="24"/>
          <w:lang w:val="en-GB"/>
        </w:rPr>
        <w:t>have been and will continue to be</w:t>
      </w:r>
      <w:r w:rsidR="00B52778" w:rsidRPr="005C100D">
        <w:rPr>
          <w:sz w:val="24"/>
          <w:szCs w:val="24"/>
          <w:lang w:val="en-GB"/>
        </w:rPr>
        <w:t xml:space="preserve"> reluctant to fully apply its provisions directly. </w:t>
      </w:r>
      <w:r w:rsidRPr="005C100D">
        <w:rPr>
          <w:sz w:val="24"/>
          <w:szCs w:val="24"/>
          <w:lang w:val="en-GB"/>
        </w:rPr>
        <w:t>Moreover, we note that in certain areas of law, the ICCPR would provide further protection than the ECHR that is incorporated in Danish law</w:t>
      </w:r>
      <w:r w:rsidRPr="00B64853">
        <w:rPr>
          <w:sz w:val="24"/>
          <w:szCs w:val="24"/>
          <w:lang w:val="en-GB"/>
        </w:rPr>
        <w:t>, for example in relation to the principle of non-discrimination (Article 26)</w:t>
      </w:r>
      <w:r w:rsidR="00B64853">
        <w:rPr>
          <w:sz w:val="24"/>
          <w:szCs w:val="24"/>
          <w:lang w:val="en-GB"/>
        </w:rPr>
        <w:t>.</w:t>
      </w:r>
    </w:p>
    <w:p w:rsidR="00E403D4" w:rsidRPr="005C100D" w:rsidRDefault="00E403D4" w:rsidP="005C100D">
      <w:pPr>
        <w:contextualSpacing/>
        <w:jc w:val="both"/>
        <w:rPr>
          <w:sz w:val="24"/>
          <w:szCs w:val="24"/>
          <w:lang w:val="en-GB"/>
        </w:rPr>
      </w:pPr>
      <w:r w:rsidRPr="005C100D">
        <w:rPr>
          <w:sz w:val="24"/>
          <w:szCs w:val="24"/>
          <w:lang w:val="en-GB"/>
        </w:rPr>
        <w:t xml:space="preserve">It is </w:t>
      </w:r>
      <w:r w:rsidRPr="005C100D">
        <w:rPr>
          <w:b/>
          <w:sz w:val="24"/>
          <w:szCs w:val="24"/>
          <w:lang w:val="en-GB"/>
        </w:rPr>
        <w:t>recommended</w:t>
      </w:r>
      <w:r w:rsidRPr="005C100D">
        <w:rPr>
          <w:sz w:val="24"/>
          <w:szCs w:val="24"/>
          <w:lang w:val="en-GB"/>
        </w:rPr>
        <w:t xml:space="preserve"> to repeat the Committee’s</w:t>
      </w:r>
      <w:r w:rsidR="00735ECB" w:rsidRPr="005C100D">
        <w:rPr>
          <w:sz w:val="24"/>
          <w:szCs w:val="24"/>
          <w:lang w:val="en-GB"/>
        </w:rPr>
        <w:t xml:space="preserve"> 2008</w:t>
      </w:r>
      <w:r w:rsidRPr="005C100D">
        <w:rPr>
          <w:sz w:val="24"/>
          <w:szCs w:val="24"/>
          <w:lang w:val="en-GB"/>
        </w:rPr>
        <w:t xml:space="preserve"> reco</w:t>
      </w:r>
      <w:r w:rsidR="00735ECB" w:rsidRPr="005C100D">
        <w:rPr>
          <w:sz w:val="24"/>
          <w:szCs w:val="24"/>
          <w:lang w:val="en-GB"/>
        </w:rPr>
        <w:t>mmendation to Denmark (para. 6</w:t>
      </w:r>
      <w:r w:rsidRPr="005C100D">
        <w:rPr>
          <w:sz w:val="24"/>
          <w:szCs w:val="24"/>
          <w:lang w:val="en-GB"/>
        </w:rPr>
        <w:t>)</w:t>
      </w:r>
      <w:r w:rsidR="00735ECB" w:rsidRPr="005C100D">
        <w:rPr>
          <w:sz w:val="24"/>
          <w:szCs w:val="24"/>
          <w:lang w:val="en-GB"/>
        </w:rPr>
        <w:t xml:space="preserve"> to incorporate the ICCPR into Danish law</w:t>
      </w:r>
      <w:r w:rsidRPr="005C100D">
        <w:rPr>
          <w:sz w:val="24"/>
          <w:szCs w:val="24"/>
          <w:lang w:val="en-GB"/>
        </w:rPr>
        <w:t xml:space="preserve">.   </w:t>
      </w:r>
    </w:p>
    <w:p w:rsidR="00735ECB" w:rsidRPr="005C100D" w:rsidRDefault="00735ECB" w:rsidP="005C100D">
      <w:pPr>
        <w:contextualSpacing/>
        <w:jc w:val="both"/>
        <w:rPr>
          <w:sz w:val="24"/>
          <w:szCs w:val="24"/>
          <w:lang w:val="en-GB"/>
        </w:rPr>
      </w:pPr>
    </w:p>
    <w:p w:rsidR="00735ECB" w:rsidRPr="005C100D" w:rsidRDefault="00F5369C" w:rsidP="005C100D">
      <w:pPr>
        <w:contextualSpacing/>
        <w:jc w:val="both"/>
        <w:rPr>
          <w:i/>
          <w:sz w:val="24"/>
          <w:szCs w:val="24"/>
          <w:u w:val="single"/>
          <w:lang w:val="en-GB"/>
        </w:rPr>
      </w:pPr>
      <w:r w:rsidRPr="005C100D">
        <w:rPr>
          <w:i/>
          <w:sz w:val="24"/>
          <w:szCs w:val="24"/>
          <w:u w:val="single"/>
          <w:lang w:val="en-GB"/>
        </w:rPr>
        <w:t xml:space="preserve">3: </w:t>
      </w:r>
      <w:r w:rsidR="00735ECB" w:rsidRPr="005C100D">
        <w:rPr>
          <w:i/>
          <w:sz w:val="24"/>
          <w:szCs w:val="24"/>
          <w:u w:val="single"/>
          <w:lang w:val="en-GB"/>
        </w:rPr>
        <w:t>Implementation of the Committee’s views under the Optional Protocol (LOIPR PARA 6)</w:t>
      </w:r>
    </w:p>
    <w:p w:rsidR="00735ECB" w:rsidRPr="005C100D" w:rsidRDefault="00735ECB" w:rsidP="005C100D">
      <w:pPr>
        <w:contextualSpacing/>
        <w:jc w:val="both"/>
        <w:rPr>
          <w:sz w:val="24"/>
          <w:szCs w:val="24"/>
          <w:lang w:val="en-GB"/>
        </w:rPr>
      </w:pPr>
    </w:p>
    <w:p w:rsidR="00E403D4" w:rsidRPr="005C100D" w:rsidRDefault="00515326" w:rsidP="005C100D">
      <w:pPr>
        <w:contextualSpacing/>
        <w:jc w:val="both"/>
        <w:rPr>
          <w:sz w:val="24"/>
          <w:szCs w:val="24"/>
          <w:lang w:val="en-GB"/>
        </w:rPr>
      </w:pPr>
      <w:r w:rsidRPr="005C100D">
        <w:rPr>
          <w:sz w:val="24"/>
          <w:szCs w:val="24"/>
          <w:lang w:val="en-GB"/>
        </w:rPr>
        <w:t>Denmark notes that the Committee’s views are carefully considered (National Report para 25).</w:t>
      </w:r>
    </w:p>
    <w:p w:rsidR="00515326" w:rsidRPr="005C100D" w:rsidRDefault="00515326" w:rsidP="005C100D">
      <w:pPr>
        <w:contextualSpacing/>
        <w:jc w:val="both"/>
        <w:rPr>
          <w:sz w:val="24"/>
          <w:szCs w:val="24"/>
          <w:lang w:val="en-GB"/>
        </w:rPr>
      </w:pPr>
    </w:p>
    <w:p w:rsidR="001B0DDA" w:rsidRPr="005C100D" w:rsidRDefault="00515326" w:rsidP="005C100D">
      <w:pPr>
        <w:jc w:val="both"/>
        <w:rPr>
          <w:rFonts w:cstheme="majorBidi"/>
          <w:bCs/>
          <w:sz w:val="24"/>
          <w:szCs w:val="24"/>
          <w:lang w:val="en-GB"/>
        </w:rPr>
      </w:pPr>
      <w:r w:rsidRPr="005C100D">
        <w:rPr>
          <w:rFonts w:cstheme="majorBidi"/>
          <w:bCs/>
          <w:sz w:val="24"/>
          <w:szCs w:val="24"/>
          <w:lang w:val="en-GB"/>
        </w:rPr>
        <w:t>W</w:t>
      </w:r>
      <w:r w:rsidR="001E756C" w:rsidRPr="005C100D">
        <w:rPr>
          <w:rFonts w:cstheme="majorBidi"/>
          <w:bCs/>
          <w:sz w:val="24"/>
          <w:szCs w:val="24"/>
          <w:lang w:val="en-GB"/>
        </w:rPr>
        <w:t>e would also like to stress that there has been an increase in the number of complaints against Denmark submitted to the Committee (some 111 complaints pending as of 8 April 2016)</w:t>
      </w:r>
      <w:r w:rsidR="001B0DDA" w:rsidRPr="005C100D">
        <w:rPr>
          <w:rFonts w:cstheme="majorBidi"/>
          <w:bCs/>
          <w:sz w:val="24"/>
          <w:szCs w:val="24"/>
          <w:lang w:val="en-GB"/>
        </w:rPr>
        <w:t xml:space="preserve"> and especially cases against the Refugee Appeals Board</w:t>
      </w:r>
      <w:r w:rsidR="001E756C" w:rsidRPr="005C100D">
        <w:rPr>
          <w:rFonts w:cstheme="majorBidi"/>
          <w:bCs/>
          <w:sz w:val="24"/>
          <w:szCs w:val="24"/>
          <w:lang w:val="en-GB"/>
        </w:rPr>
        <w:t>.</w:t>
      </w:r>
      <w:r w:rsidR="001B0DDA" w:rsidRPr="005C100D">
        <w:rPr>
          <w:rFonts w:cstheme="majorBidi"/>
          <w:bCs/>
          <w:sz w:val="24"/>
          <w:szCs w:val="24"/>
          <w:lang w:val="en-US"/>
        </w:rPr>
        <w:t xml:space="preserve"> Some lawyers explain the rise in the number of violations by the fact that there has been a shift in the credibility assessment by the Refugee Appeals Board and that it is more difficult now to be deemed credible. </w:t>
      </w:r>
      <w:r w:rsidR="001B0DDA" w:rsidRPr="005C100D">
        <w:rPr>
          <w:rStyle w:val="FootnoteReference"/>
          <w:rFonts w:cstheme="majorBidi"/>
          <w:bCs/>
          <w:sz w:val="24"/>
          <w:szCs w:val="24"/>
          <w:lang w:val="en-GB"/>
        </w:rPr>
        <w:footnoteReference w:id="31"/>
      </w:r>
    </w:p>
    <w:p w:rsidR="001E756C" w:rsidRPr="005C100D" w:rsidRDefault="001E756C" w:rsidP="005C100D">
      <w:pPr>
        <w:jc w:val="both"/>
        <w:rPr>
          <w:rFonts w:cstheme="majorBidi"/>
          <w:bCs/>
          <w:sz w:val="24"/>
          <w:szCs w:val="24"/>
          <w:lang w:val="en-GB"/>
        </w:rPr>
      </w:pPr>
      <w:r w:rsidRPr="005C100D">
        <w:rPr>
          <w:rFonts w:cstheme="majorBidi"/>
          <w:bCs/>
          <w:sz w:val="24"/>
          <w:szCs w:val="24"/>
          <w:lang w:val="en-GB"/>
        </w:rPr>
        <w:t>In the 6-month period January 2016</w:t>
      </w:r>
      <w:r w:rsidR="005E5F52" w:rsidRPr="005C100D">
        <w:rPr>
          <w:rFonts w:cstheme="majorBidi"/>
          <w:bCs/>
          <w:sz w:val="24"/>
          <w:szCs w:val="24"/>
          <w:lang w:val="en-GB"/>
        </w:rPr>
        <w:t xml:space="preserve"> – August 2015, the following 18</w:t>
      </w:r>
      <w:r w:rsidRPr="005C100D">
        <w:rPr>
          <w:rFonts w:cstheme="majorBidi"/>
          <w:bCs/>
          <w:sz w:val="24"/>
          <w:szCs w:val="24"/>
          <w:lang w:val="en-GB"/>
        </w:rPr>
        <w:t xml:space="preserve"> cases were decided by the Committee against Denmark</w:t>
      </w:r>
      <w:r w:rsidR="005E5F52" w:rsidRPr="005C100D">
        <w:rPr>
          <w:rFonts w:cstheme="majorBidi"/>
          <w:bCs/>
          <w:sz w:val="24"/>
          <w:szCs w:val="24"/>
          <w:lang w:val="en-GB"/>
        </w:rPr>
        <w:t xml:space="preserve"> (cases involving violations of ICCPR are underlined)</w:t>
      </w:r>
      <w:r w:rsidRPr="005C100D">
        <w:rPr>
          <w:rFonts w:cstheme="majorBidi"/>
          <w:bCs/>
          <w:sz w:val="24"/>
          <w:szCs w:val="24"/>
          <w:lang w:val="en-GB"/>
        </w:rPr>
        <w:t>:</w:t>
      </w:r>
    </w:p>
    <w:p w:rsidR="005E5F52" w:rsidRPr="005C100D" w:rsidRDefault="005E5F52" w:rsidP="005C100D">
      <w:pPr>
        <w:pStyle w:val="ListParagraph"/>
        <w:numPr>
          <w:ilvl w:val="0"/>
          <w:numId w:val="5"/>
        </w:numPr>
        <w:jc w:val="both"/>
        <w:rPr>
          <w:rFonts w:cstheme="majorBidi"/>
          <w:bCs/>
          <w:sz w:val="24"/>
          <w:szCs w:val="24"/>
          <w:u w:val="single"/>
          <w:lang w:val="en-GB"/>
        </w:rPr>
      </w:pPr>
      <w:r w:rsidRPr="005C100D">
        <w:rPr>
          <w:rFonts w:cstheme="majorBidi"/>
          <w:bCs/>
          <w:sz w:val="24"/>
          <w:szCs w:val="24"/>
          <w:lang w:val="en-GB"/>
        </w:rPr>
        <w:lastRenderedPageBreak/>
        <w:t>8 cases related to violations of Article 7</w:t>
      </w:r>
      <w:r w:rsidR="00036230" w:rsidRPr="005C100D">
        <w:rPr>
          <w:rFonts w:cstheme="majorBidi"/>
          <w:bCs/>
          <w:sz w:val="24"/>
          <w:szCs w:val="24"/>
          <w:lang w:val="en-GB"/>
        </w:rPr>
        <w:t xml:space="preserve"> were decided on the merits</w:t>
      </w:r>
      <w:r w:rsidRPr="005C100D">
        <w:rPr>
          <w:rFonts w:cstheme="majorBidi"/>
          <w:bCs/>
          <w:sz w:val="24"/>
          <w:szCs w:val="24"/>
          <w:lang w:val="en-GB"/>
        </w:rPr>
        <w:t xml:space="preserve">: </w:t>
      </w:r>
      <w:r w:rsidRPr="005C100D">
        <w:rPr>
          <w:rFonts w:cstheme="majorBidi"/>
          <w:bCs/>
          <w:sz w:val="24"/>
          <w:szCs w:val="24"/>
          <w:u w:val="single"/>
          <w:lang w:val="en-GB"/>
        </w:rPr>
        <w:t xml:space="preserve">2258/2013 (Sri Lanka); 2389/2014 (Iran); 2360/2014 (Italy); 2288/2013 (Nigeria); </w:t>
      </w:r>
      <w:r w:rsidRPr="005C100D">
        <w:rPr>
          <w:rFonts w:cstheme="majorBidi"/>
          <w:bCs/>
          <w:sz w:val="24"/>
          <w:szCs w:val="24"/>
          <w:lang w:val="en-GB"/>
        </w:rPr>
        <w:t>2393/2014 (Afghanistan); 2329/2014 (Iran);</w:t>
      </w:r>
      <w:r w:rsidRPr="005C100D">
        <w:rPr>
          <w:rFonts w:cstheme="majorBidi"/>
          <w:bCs/>
          <w:sz w:val="24"/>
          <w:szCs w:val="24"/>
          <w:u w:val="single"/>
          <w:lang w:val="en-GB"/>
        </w:rPr>
        <w:t xml:space="preserve"> 2370/2014 (Afghanistan) and 2343/2014 (Egypt).</w:t>
      </w:r>
    </w:p>
    <w:p w:rsidR="005E5F52" w:rsidRPr="005C100D" w:rsidRDefault="005E5F52" w:rsidP="005C100D">
      <w:pPr>
        <w:pStyle w:val="ListParagraph"/>
        <w:numPr>
          <w:ilvl w:val="0"/>
          <w:numId w:val="5"/>
        </w:numPr>
        <w:jc w:val="both"/>
        <w:rPr>
          <w:rFonts w:cstheme="majorBidi"/>
          <w:bCs/>
          <w:sz w:val="24"/>
          <w:szCs w:val="24"/>
          <w:lang w:val="en-GB"/>
        </w:rPr>
      </w:pPr>
      <w:r w:rsidRPr="005C100D">
        <w:rPr>
          <w:rFonts w:cstheme="majorBidi"/>
          <w:bCs/>
          <w:sz w:val="24"/>
          <w:szCs w:val="24"/>
          <w:lang w:val="en-GB"/>
        </w:rPr>
        <w:t xml:space="preserve">6 cases were discontinued: 2605/2015; 2535/2015; 2514/2014; 2492/2014; 2320/2013; 2363/2014. </w:t>
      </w:r>
    </w:p>
    <w:p w:rsidR="005E5F52" w:rsidRPr="005C100D" w:rsidRDefault="005E5F52" w:rsidP="005C100D">
      <w:pPr>
        <w:pStyle w:val="ListParagraph"/>
        <w:numPr>
          <w:ilvl w:val="0"/>
          <w:numId w:val="5"/>
        </w:numPr>
        <w:jc w:val="both"/>
        <w:rPr>
          <w:rFonts w:cstheme="majorBidi"/>
          <w:bCs/>
          <w:sz w:val="24"/>
          <w:szCs w:val="24"/>
          <w:lang w:val="en-GB"/>
        </w:rPr>
      </w:pPr>
      <w:r w:rsidRPr="005C100D">
        <w:rPr>
          <w:rFonts w:cstheme="majorBidi"/>
          <w:bCs/>
          <w:sz w:val="24"/>
          <w:szCs w:val="24"/>
          <w:lang w:val="en-GB"/>
        </w:rPr>
        <w:t xml:space="preserve">4 cases were declared inadmissible: 2351/2014; 2344/2014; 2426/2014; 2428/2014. </w:t>
      </w:r>
    </w:p>
    <w:p w:rsidR="005E5F52" w:rsidRPr="005C100D" w:rsidRDefault="005E5F52" w:rsidP="005C100D">
      <w:pPr>
        <w:spacing w:before="100" w:beforeAutospacing="1" w:after="100" w:afterAutospacing="1"/>
        <w:jc w:val="both"/>
        <w:rPr>
          <w:sz w:val="24"/>
          <w:szCs w:val="24"/>
          <w:lang w:val="en-GB"/>
        </w:rPr>
      </w:pPr>
      <w:r w:rsidRPr="005C100D">
        <w:rPr>
          <w:sz w:val="24"/>
          <w:szCs w:val="24"/>
          <w:lang w:val="en-US"/>
        </w:rPr>
        <w:t>During the year of 2015,</w:t>
      </w:r>
      <w:r w:rsidR="00CD088E" w:rsidRPr="005C100D">
        <w:rPr>
          <w:sz w:val="24"/>
          <w:szCs w:val="24"/>
          <w:lang w:val="en-US"/>
        </w:rPr>
        <w:t xml:space="preserve"> the Human R</w:t>
      </w:r>
      <w:r w:rsidRPr="005C100D">
        <w:rPr>
          <w:sz w:val="24"/>
          <w:szCs w:val="24"/>
          <w:lang w:val="en-US"/>
        </w:rPr>
        <w:t>ights Committee found violations in a total of 8 cases</w:t>
      </w:r>
      <w:r w:rsidR="00AB7210" w:rsidRPr="005C100D">
        <w:rPr>
          <w:sz w:val="24"/>
          <w:szCs w:val="24"/>
          <w:lang w:val="en-US"/>
        </w:rPr>
        <w:t xml:space="preserve"> against Denmark,</w:t>
      </w:r>
      <w:r w:rsidRPr="005C100D">
        <w:rPr>
          <w:sz w:val="24"/>
          <w:szCs w:val="24"/>
          <w:lang w:val="en-US"/>
        </w:rPr>
        <w:t xml:space="preserve"> primarily regarding non-</w:t>
      </w:r>
      <w:proofErr w:type="spellStart"/>
      <w:r w:rsidRPr="005C100D">
        <w:rPr>
          <w:sz w:val="24"/>
          <w:szCs w:val="24"/>
          <w:lang w:val="en-US"/>
        </w:rPr>
        <w:t>refoulement</w:t>
      </w:r>
      <w:proofErr w:type="spellEnd"/>
      <w:r w:rsidRPr="005C100D">
        <w:rPr>
          <w:sz w:val="24"/>
          <w:szCs w:val="24"/>
          <w:lang w:val="en-US"/>
        </w:rPr>
        <w:t xml:space="preserve"> (7 cases</w:t>
      </w:r>
      <w:r w:rsidR="00CD088E" w:rsidRPr="005C100D">
        <w:rPr>
          <w:rStyle w:val="FootnoteReference"/>
          <w:rFonts w:cstheme="majorBidi"/>
          <w:bCs/>
          <w:sz w:val="24"/>
          <w:szCs w:val="24"/>
          <w:lang w:val="en-US"/>
        </w:rPr>
        <w:footnoteReference w:id="32"/>
      </w:r>
      <w:r w:rsidRPr="005C100D">
        <w:rPr>
          <w:sz w:val="24"/>
          <w:szCs w:val="24"/>
          <w:lang w:val="en-US"/>
        </w:rPr>
        <w:t xml:space="preserve"> (i.e., the six cases mentioned above and Communication 2272/2013)) and </w:t>
      </w:r>
      <w:r w:rsidR="002A1403" w:rsidRPr="005C100D">
        <w:rPr>
          <w:sz w:val="24"/>
          <w:szCs w:val="24"/>
          <w:lang w:val="en-US"/>
        </w:rPr>
        <w:t xml:space="preserve">one case re </w:t>
      </w:r>
      <w:r w:rsidRPr="005C100D">
        <w:rPr>
          <w:sz w:val="24"/>
          <w:szCs w:val="24"/>
          <w:lang w:val="en-US"/>
        </w:rPr>
        <w:t xml:space="preserve">naturalization for a person with PTSD (Q v. Denmark Communication 2001/2010)). </w:t>
      </w:r>
      <w:r w:rsidR="0014380F" w:rsidRPr="005C100D">
        <w:rPr>
          <w:sz w:val="24"/>
          <w:szCs w:val="24"/>
          <w:lang w:val="en-GB"/>
        </w:rPr>
        <w:t>In a number of discontinued cases, the Danish authorities reopened the cases and granted asylum to the plaintiffs</w:t>
      </w:r>
      <w:r w:rsidR="0014380F" w:rsidRPr="005C100D">
        <w:rPr>
          <w:rStyle w:val="FootnoteReference"/>
          <w:sz w:val="24"/>
          <w:szCs w:val="24"/>
          <w:lang w:val="en-GB"/>
        </w:rPr>
        <w:footnoteReference w:id="33"/>
      </w:r>
      <w:r w:rsidR="0014380F" w:rsidRPr="005C100D">
        <w:rPr>
          <w:sz w:val="24"/>
          <w:szCs w:val="24"/>
          <w:lang w:val="en-GB"/>
        </w:rPr>
        <w:t>.</w:t>
      </w:r>
    </w:p>
    <w:p w:rsidR="002406E6" w:rsidRPr="005C100D" w:rsidRDefault="002A1403" w:rsidP="005C100D">
      <w:pPr>
        <w:spacing w:before="100" w:beforeAutospacing="1" w:after="100" w:afterAutospacing="1"/>
        <w:jc w:val="both"/>
        <w:rPr>
          <w:sz w:val="24"/>
          <w:szCs w:val="24"/>
          <w:lang w:val="en-US"/>
        </w:rPr>
      </w:pPr>
      <w:r w:rsidRPr="005C100D">
        <w:rPr>
          <w:rFonts w:cstheme="majorBidi"/>
          <w:bCs/>
          <w:sz w:val="24"/>
          <w:szCs w:val="24"/>
          <w:lang w:val="en-US"/>
        </w:rPr>
        <w:t>By way of example, in</w:t>
      </w:r>
      <w:r w:rsidR="001E756C" w:rsidRPr="005C100D">
        <w:rPr>
          <w:rFonts w:cstheme="majorBidi"/>
          <w:bCs/>
          <w:sz w:val="24"/>
          <w:szCs w:val="24"/>
          <w:lang w:val="en-US"/>
        </w:rPr>
        <w:t xml:space="preserve"> cases related to Article 7, the Committee concluded that Denmark had violated the provision in</w:t>
      </w:r>
      <w:r w:rsidR="002406E6" w:rsidRPr="005C100D">
        <w:rPr>
          <w:rFonts w:cstheme="majorBidi"/>
          <w:bCs/>
          <w:sz w:val="24"/>
          <w:szCs w:val="24"/>
          <w:lang w:val="en-US"/>
        </w:rPr>
        <w:t xml:space="preserve"> the following three cases</w:t>
      </w:r>
      <w:r w:rsidR="001E756C" w:rsidRPr="005C100D">
        <w:rPr>
          <w:rFonts w:cstheme="majorBidi"/>
          <w:bCs/>
          <w:sz w:val="24"/>
          <w:szCs w:val="24"/>
          <w:lang w:val="en-US"/>
        </w:rPr>
        <w:t xml:space="preserve">: 2258/2013 of 8 January 2016 regarding expulsion of two minors to Sri Lanka; 2389/2014 of 21 October 2015 related to expulsion to Iran; and 2288/2013 of 15 September 2015 related to expulsion to Nigeria. </w:t>
      </w:r>
      <w:r w:rsidR="002406E6" w:rsidRPr="005C100D">
        <w:rPr>
          <w:sz w:val="24"/>
          <w:szCs w:val="24"/>
          <w:lang w:val="en-US"/>
        </w:rPr>
        <w:t xml:space="preserve">On the November 17, 2015 the Danish Refugee Board reopened </w:t>
      </w:r>
      <w:r w:rsidR="0014380F" w:rsidRPr="005C100D">
        <w:rPr>
          <w:sz w:val="24"/>
          <w:szCs w:val="24"/>
          <w:lang w:val="en-US"/>
        </w:rPr>
        <w:t>the first and last of these cases</w:t>
      </w:r>
      <w:r w:rsidR="002406E6" w:rsidRPr="005C100D">
        <w:rPr>
          <w:sz w:val="24"/>
          <w:szCs w:val="24"/>
          <w:lang w:val="en-US"/>
        </w:rPr>
        <w:t>, however in both cases stating that:</w:t>
      </w:r>
    </w:p>
    <w:p w:rsidR="002406E6" w:rsidRPr="005C100D" w:rsidRDefault="002406E6" w:rsidP="005C100D">
      <w:pPr>
        <w:spacing w:before="100" w:beforeAutospacing="1" w:after="100" w:afterAutospacing="1"/>
        <w:ind w:left="1304"/>
        <w:jc w:val="both"/>
        <w:rPr>
          <w:sz w:val="24"/>
          <w:szCs w:val="24"/>
          <w:lang w:val="en-US"/>
        </w:rPr>
      </w:pPr>
      <w:r w:rsidRPr="005C100D">
        <w:rPr>
          <w:sz w:val="24"/>
          <w:szCs w:val="24"/>
          <w:lang w:val="en-US"/>
        </w:rPr>
        <w:t>"</w:t>
      </w:r>
      <w:r w:rsidRPr="005C100D">
        <w:rPr>
          <w:bCs/>
          <w:i/>
          <w:iCs/>
          <w:sz w:val="24"/>
          <w:szCs w:val="24"/>
          <w:lang w:val="en-US"/>
        </w:rPr>
        <w:t xml:space="preserve">Refugee Board first notes that the Human Rights Committee's opinion is not legally binding and that it is thus also after the reopening of the asylum cases the competent of the Danish authorities to decide whether the applicant may be sent back to (Nigeria)…” </w:t>
      </w:r>
      <w:r w:rsidRPr="005C100D">
        <w:rPr>
          <w:sz w:val="24"/>
          <w:szCs w:val="24"/>
          <w:lang w:val="en-US"/>
        </w:rPr>
        <w:t>(See homepage of the Board)</w:t>
      </w:r>
    </w:p>
    <w:p w:rsidR="002406E6" w:rsidRPr="005C100D" w:rsidRDefault="002406E6" w:rsidP="005C100D">
      <w:pPr>
        <w:spacing w:before="100" w:beforeAutospacing="1" w:after="100" w:afterAutospacing="1"/>
        <w:jc w:val="both"/>
        <w:rPr>
          <w:sz w:val="24"/>
          <w:szCs w:val="24"/>
          <w:lang w:val="en-GB"/>
        </w:rPr>
      </w:pPr>
      <w:r w:rsidRPr="005C100D">
        <w:rPr>
          <w:sz w:val="24"/>
          <w:szCs w:val="24"/>
          <w:lang w:val="en-US"/>
        </w:rPr>
        <w:t xml:space="preserve">Both </w:t>
      </w:r>
      <w:r w:rsidR="0014380F" w:rsidRPr="005C100D">
        <w:rPr>
          <w:sz w:val="24"/>
          <w:szCs w:val="24"/>
          <w:lang w:val="en-US"/>
        </w:rPr>
        <w:t xml:space="preserve">applicants </w:t>
      </w:r>
      <w:r w:rsidRPr="005C100D">
        <w:rPr>
          <w:sz w:val="24"/>
          <w:szCs w:val="24"/>
          <w:lang w:val="en-US"/>
        </w:rPr>
        <w:t xml:space="preserve">were then rejected residence permit and told to leave Denmark. </w:t>
      </w:r>
    </w:p>
    <w:p w:rsidR="000066A3" w:rsidRPr="005C100D" w:rsidRDefault="002406E6" w:rsidP="005C100D">
      <w:pPr>
        <w:tabs>
          <w:tab w:val="left" w:pos="9498"/>
        </w:tabs>
        <w:jc w:val="both"/>
        <w:rPr>
          <w:sz w:val="24"/>
          <w:szCs w:val="24"/>
          <w:lang w:val="en-US"/>
        </w:rPr>
      </w:pPr>
      <w:r w:rsidRPr="005C100D">
        <w:rPr>
          <w:sz w:val="24"/>
          <w:szCs w:val="24"/>
          <w:lang w:val="en-GB"/>
        </w:rPr>
        <w:t>Only one decision has been made as of 2015</w:t>
      </w:r>
      <w:r w:rsidR="00812E6D" w:rsidRPr="005C100D">
        <w:rPr>
          <w:sz w:val="24"/>
          <w:szCs w:val="24"/>
          <w:lang w:val="en-GB"/>
        </w:rPr>
        <w:t xml:space="preserve"> regarding naturalisation, i.e., </w:t>
      </w:r>
      <w:r w:rsidRPr="005C100D">
        <w:rPr>
          <w:sz w:val="24"/>
          <w:szCs w:val="24"/>
          <w:lang w:val="en-GB"/>
        </w:rPr>
        <w:t>Q vs. Denmark, Communication No. 2001/2010, finding violat</w:t>
      </w:r>
      <w:r w:rsidR="00812E6D" w:rsidRPr="005C100D">
        <w:rPr>
          <w:sz w:val="24"/>
          <w:szCs w:val="24"/>
          <w:lang w:val="en-GB"/>
        </w:rPr>
        <w:t>ion of the Covenant Article 26. H</w:t>
      </w:r>
      <w:r w:rsidRPr="005C100D">
        <w:rPr>
          <w:sz w:val="24"/>
          <w:szCs w:val="24"/>
          <w:lang w:val="en-GB"/>
        </w:rPr>
        <w:t>owever</w:t>
      </w:r>
      <w:r w:rsidR="00194ABB" w:rsidRPr="005C100D">
        <w:rPr>
          <w:sz w:val="24"/>
          <w:szCs w:val="24"/>
          <w:lang w:val="en-GB"/>
        </w:rPr>
        <w:t>,</w:t>
      </w:r>
      <w:r w:rsidRPr="005C100D">
        <w:rPr>
          <w:sz w:val="24"/>
          <w:szCs w:val="24"/>
          <w:lang w:val="en-GB"/>
        </w:rPr>
        <w:t xml:space="preserve"> a number of other Communication about the same issue were discontinued</w:t>
      </w:r>
      <w:r w:rsidR="00194ABB" w:rsidRPr="005C100D">
        <w:rPr>
          <w:sz w:val="24"/>
          <w:szCs w:val="24"/>
          <w:lang w:val="en-GB"/>
        </w:rPr>
        <w:t>,</w:t>
      </w:r>
      <w:r w:rsidRPr="005C100D">
        <w:rPr>
          <w:sz w:val="24"/>
          <w:szCs w:val="24"/>
          <w:lang w:val="en-GB"/>
        </w:rPr>
        <w:t xml:space="preserve"> including</w:t>
      </w:r>
      <w:r w:rsidR="00873141" w:rsidRPr="005C100D">
        <w:rPr>
          <w:sz w:val="24"/>
          <w:szCs w:val="24"/>
          <w:lang w:val="en-US"/>
        </w:rPr>
        <w:t xml:space="preserve"> </w:t>
      </w:r>
      <w:r w:rsidRPr="005C100D">
        <w:rPr>
          <w:sz w:val="24"/>
          <w:szCs w:val="24"/>
          <w:lang w:val="en-US"/>
        </w:rPr>
        <w:t xml:space="preserve">amongst other Communications </w:t>
      </w:r>
      <w:r w:rsidRPr="005C100D">
        <w:rPr>
          <w:bCs/>
          <w:sz w:val="24"/>
          <w:szCs w:val="24"/>
          <w:lang w:val="en-US"/>
        </w:rPr>
        <w:t>No. 2012/2010</w:t>
      </w:r>
      <w:r w:rsidRPr="005C100D">
        <w:rPr>
          <w:sz w:val="24"/>
          <w:szCs w:val="24"/>
          <w:lang w:val="en-US"/>
        </w:rPr>
        <w:t xml:space="preserve"> and </w:t>
      </w:r>
      <w:r w:rsidRPr="005C100D">
        <w:rPr>
          <w:bCs/>
          <w:sz w:val="24"/>
          <w:szCs w:val="24"/>
          <w:lang w:val="en-US"/>
        </w:rPr>
        <w:t>No. 2045/2011</w:t>
      </w:r>
      <w:r w:rsidRPr="005C100D">
        <w:rPr>
          <w:sz w:val="24"/>
          <w:szCs w:val="24"/>
          <w:lang w:val="en-US"/>
        </w:rPr>
        <w:t xml:space="preserve">, which were discontinued because these authors were granted Danish citizenship. All of these Communications included disabled persons seeking naturalization in Denmark, suffering amongst other PTSD due to torture in their countries </w:t>
      </w:r>
      <w:r w:rsidRPr="005C100D">
        <w:rPr>
          <w:sz w:val="24"/>
          <w:szCs w:val="24"/>
          <w:lang w:val="en-US"/>
        </w:rPr>
        <w:lastRenderedPageBreak/>
        <w:t>of origin before fleeing.</w:t>
      </w:r>
      <w:r w:rsidR="000066A3" w:rsidRPr="005C100D">
        <w:rPr>
          <w:sz w:val="24"/>
          <w:szCs w:val="24"/>
          <w:lang w:val="en-US"/>
        </w:rPr>
        <w:t xml:space="preserve"> </w:t>
      </w:r>
      <w:r w:rsidRPr="005C100D">
        <w:rPr>
          <w:sz w:val="24"/>
          <w:szCs w:val="24"/>
          <w:lang w:val="en-US"/>
        </w:rPr>
        <w:t xml:space="preserve">At the moment two other cases are pending at the European Court of Human Rights about the similar issue. </w:t>
      </w:r>
      <w:r w:rsidR="000066A3" w:rsidRPr="005C100D">
        <w:rPr>
          <w:rStyle w:val="FootnoteReference"/>
          <w:sz w:val="24"/>
          <w:szCs w:val="24"/>
          <w:lang w:val="en-US"/>
        </w:rPr>
        <w:footnoteReference w:id="34"/>
      </w:r>
    </w:p>
    <w:p w:rsidR="000066A3" w:rsidRPr="005C100D" w:rsidRDefault="000066A3" w:rsidP="005C100D">
      <w:pPr>
        <w:tabs>
          <w:tab w:val="left" w:pos="9498"/>
        </w:tabs>
        <w:jc w:val="both"/>
        <w:rPr>
          <w:sz w:val="24"/>
          <w:szCs w:val="24"/>
          <w:lang w:val="en-US"/>
        </w:rPr>
      </w:pPr>
      <w:r w:rsidRPr="005C100D">
        <w:rPr>
          <w:sz w:val="24"/>
          <w:szCs w:val="24"/>
          <w:lang w:val="en-US"/>
        </w:rPr>
        <w:t>It is expected by the Danish Government that these ECHR cases may be decided before summer 2016. The Government thus inform Parliament, that no initiatives are taking with regard to implementing the Human Rights Committees opinion in “Q vs. Denmark”, before the rulings of the European Court establish the legal interpretation under international law.</w:t>
      </w:r>
    </w:p>
    <w:p w:rsidR="002F01C0" w:rsidRPr="005C100D" w:rsidRDefault="001E5232" w:rsidP="005C100D">
      <w:pPr>
        <w:tabs>
          <w:tab w:val="left" w:pos="9498"/>
        </w:tabs>
        <w:jc w:val="both"/>
        <w:rPr>
          <w:sz w:val="24"/>
          <w:szCs w:val="24"/>
          <w:lang w:val="en-US"/>
        </w:rPr>
      </w:pPr>
      <w:r w:rsidRPr="005C100D">
        <w:rPr>
          <w:sz w:val="24"/>
          <w:szCs w:val="24"/>
          <w:lang w:val="en-US"/>
        </w:rPr>
        <w:t xml:space="preserve">We would like to </w:t>
      </w:r>
      <w:r w:rsidRPr="005C100D">
        <w:rPr>
          <w:b/>
          <w:sz w:val="24"/>
          <w:szCs w:val="24"/>
          <w:lang w:val="en-US"/>
        </w:rPr>
        <w:t xml:space="preserve">recommend that Denmark explains the procedure for implementation of the Committee’s views and the criteria for deciding </w:t>
      </w:r>
      <w:r w:rsidR="00145F14">
        <w:rPr>
          <w:b/>
          <w:sz w:val="24"/>
          <w:szCs w:val="24"/>
          <w:lang w:val="en-US"/>
        </w:rPr>
        <w:t xml:space="preserve">when and eventually </w:t>
      </w:r>
      <w:r w:rsidRPr="005C100D">
        <w:rPr>
          <w:b/>
          <w:sz w:val="24"/>
          <w:szCs w:val="24"/>
          <w:lang w:val="en-US"/>
        </w:rPr>
        <w:t>not to follow a decision</w:t>
      </w:r>
      <w:r w:rsidRPr="005C100D">
        <w:rPr>
          <w:sz w:val="24"/>
          <w:szCs w:val="24"/>
          <w:lang w:val="en-US"/>
        </w:rPr>
        <w:t xml:space="preserve">. </w:t>
      </w:r>
    </w:p>
    <w:p w:rsidR="00590D6E" w:rsidRPr="005C100D" w:rsidRDefault="00590D6E" w:rsidP="005C100D">
      <w:pPr>
        <w:pStyle w:val="Heading3"/>
        <w:spacing w:after="240"/>
        <w:jc w:val="both"/>
        <w:rPr>
          <w:lang w:val="en-US"/>
        </w:rPr>
      </w:pPr>
      <w:bookmarkStart w:id="6" w:name="_Toc451866544"/>
      <w:r w:rsidRPr="005C100D">
        <w:rPr>
          <w:lang w:val="en-US"/>
        </w:rPr>
        <w:t>COUNTER-TERRORISM MEASURES AND RESPECT FOR THE RIGHTS GUARANTEED IN THE CONVE</w:t>
      </w:r>
      <w:r w:rsidR="00F5369C" w:rsidRPr="005C100D">
        <w:rPr>
          <w:lang w:val="en-US"/>
        </w:rPr>
        <w:t>N</w:t>
      </w:r>
      <w:r w:rsidRPr="005C100D">
        <w:rPr>
          <w:lang w:val="en-US"/>
        </w:rPr>
        <w:t>TION (</w:t>
      </w:r>
      <w:r w:rsidRPr="005C100D">
        <w:rPr>
          <w:b/>
          <w:bCs/>
          <w:lang w:val="en-US"/>
        </w:rPr>
        <w:t>Articles 7, 9 and 14</w:t>
      </w:r>
      <w:r w:rsidRPr="005C100D">
        <w:rPr>
          <w:lang w:val="en-US"/>
        </w:rPr>
        <w:t>; LOI</w:t>
      </w:r>
      <w:r w:rsidR="00F5369C" w:rsidRPr="005C100D">
        <w:rPr>
          <w:lang w:val="en-US"/>
        </w:rPr>
        <w:t>PR</w:t>
      </w:r>
      <w:r w:rsidRPr="005C100D">
        <w:rPr>
          <w:lang w:val="en-US"/>
        </w:rPr>
        <w:t xml:space="preserve"> PARA 8-9)</w:t>
      </w:r>
      <w:bookmarkEnd w:id="6"/>
    </w:p>
    <w:p w:rsidR="00316F60" w:rsidRPr="005C100D" w:rsidRDefault="00F5369C" w:rsidP="005C100D">
      <w:pPr>
        <w:jc w:val="both"/>
        <w:rPr>
          <w:rFonts w:cstheme="majorBidi"/>
          <w:bCs/>
          <w:i/>
          <w:sz w:val="24"/>
          <w:szCs w:val="24"/>
          <w:u w:val="single"/>
          <w:lang w:val="en-US"/>
        </w:rPr>
      </w:pPr>
      <w:r w:rsidRPr="005C100D">
        <w:rPr>
          <w:rFonts w:cstheme="majorBidi"/>
          <w:bCs/>
          <w:i/>
          <w:sz w:val="24"/>
          <w:szCs w:val="24"/>
          <w:u w:val="single"/>
          <w:lang w:val="en-US"/>
        </w:rPr>
        <w:t xml:space="preserve">1: </w:t>
      </w:r>
      <w:r w:rsidR="00316F60" w:rsidRPr="005C100D">
        <w:rPr>
          <w:rFonts w:cstheme="majorBidi"/>
          <w:bCs/>
          <w:i/>
          <w:sz w:val="24"/>
          <w:szCs w:val="24"/>
          <w:u w:val="single"/>
          <w:lang w:val="en-US"/>
        </w:rPr>
        <w:t>Danish anti-terrorism legislation (LOIRP PARA 8)</w:t>
      </w:r>
    </w:p>
    <w:p w:rsidR="001657A0" w:rsidRPr="005C100D" w:rsidRDefault="00316F60" w:rsidP="005C100D">
      <w:pPr>
        <w:jc w:val="both"/>
        <w:rPr>
          <w:rFonts w:cstheme="majorBidi"/>
          <w:bCs/>
          <w:sz w:val="24"/>
          <w:szCs w:val="24"/>
          <w:lang w:val="en-US"/>
        </w:rPr>
      </w:pPr>
      <w:r w:rsidRPr="005C100D">
        <w:rPr>
          <w:rFonts w:cstheme="majorBidi"/>
          <w:bCs/>
          <w:sz w:val="24"/>
          <w:szCs w:val="24"/>
          <w:lang w:val="en-US"/>
        </w:rPr>
        <w:t xml:space="preserve">Since 2002, Danish anti-terrorism legislation has regularly been expanded - a trend which has been closely tied to the terrorist attacks abroad </w:t>
      </w:r>
      <w:r w:rsidR="00EE2409" w:rsidRPr="005C100D">
        <w:rPr>
          <w:rFonts w:cstheme="majorBidi"/>
          <w:bCs/>
          <w:sz w:val="24"/>
          <w:szCs w:val="24"/>
          <w:lang w:val="en-US"/>
        </w:rPr>
        <w:t>and</w:t>
      </w:r>
      <w:r w:rsidRPr="005C100D">
        <w:rPr>
          <w:rFonts w:cstheme="majorBidi"/>
          <w:bCs/>
          <w:sz w:val="24"/>
          <w:szCs w:val="24"/>
          <w:lang w:val="en-US"/>
        </w:rPr>
        <w:t xml:space="preserve"> in Copenhagen last year. When considering what anti-terrorism measures to adopt, any given state needs to strike a balance between security considerations on the one hand and human rights considerations on the other hand, notably the right to privacy, freedom of expression and freedom of movement. In recent years, this balancing act has impacted negatively on fundamental civil liberties, as reflected in the “terror packages” </w:t>
      </w:r>
      <w:r w:rsidR="00EE2409" w:rsidRPr="005C100D">
        <w:rPr>
          <w:rFonts w:cstheme="majorBidi"/>
          <w:bCs/>
          <w:sz w:val="24"/>
          <w:szCs w:val="24"/>
          <w:lang w:val="en-US"/>
        </w:rPr>
        <w:t xml:space="preserve">from 2002, 2006 and 2015. </w:t>
      </w:r>
    </w:p>
    <w:p w:rsidR="00316F60" w:rsidRPr="005C100D" w:rsidRDefault="001657A0" w:rsidP="005C100D">
      <w:pPr>
        <w:jc w:val="both"/>
        <w:rPr>
          <w:rFonts w:cstheme="majorBidi"/>
          <w:bCs/>
          <w:sz w:val="24"/>
          <w:szCs w:val="24"/>
          <w:lang w:val="en-US"/>
        </w:rPr>
      </w:pPr>
      <w:r w:rsidRPr="005C100D">
        <w:rPr>
          <w:rFonts w:cstheme="majorBidi"/>
          <w:bCs/>
          <w:sz w:val="24"/>
          <w:szCs w:val="24"/>
          <w:lang w:val="en-US"/>
        </w:rPr>
        <w:t xml:space="preserve">We would like to note some concerns: </w:t>
      </w:r>
      <w:r w:rsidR="00EE2409" w:rsidRPr="005C100D">
        <w:rPr>
          <w:rFonts w:cstheme="majorBidi"/>
          <w:bCs/>
          <w:sz w:val="24"/>
          <w:szCs w:val="24"/>
          <w:lang w:val="en-US"/>
        </w:rPr>
        <w:t>First</w:t>
      </w:r>
      <w:r w:rsidR="00316F60" w:rsidRPr="005C100D">
        <w:rPr>
          <w:rFonts w:cstheme="majorBidi"/>
          <w:bCs/>
          <w:sz w:val="24"/>
          <w:szCs w:val="24"/>
          <w:lang w:val="en-US"/>
        </w:rPr>
        <w:t>, the concept of ’terrorism’ is not clearly defined and several ‘terror lists’ appear to be drawn up in ways, which allude to arbitrariness and (undue)</w:t>
      </w:r>
      <w:r w:rsidR="007E79C7" w:rsidRPr="005C100D">
        <w:rPr>
          <w:rFonts w:cstheme="majorBidi"/>
          <w:bCs/>
          <w:sz w:val="24"/>
          <w:szCs w:val="24"/>
          <w:lang w:val="en-US"/>
        </w:rPr>
        <w:t xml:space="preserve"> geo-political considerations. </w:t>
      </w:r>
      <w:r w:rsidR="006720AE" w:rsidRPr="005C100D">
        <w:rPr>
          <w:rStyle w:val="FootnoteReference"/>
          <w:rFonts w:cstheme="majorBidi"/>
          <w:bCs/>
          <w:sz w:val="24"/>
          <w:szCs w:val="24"/>
          <w:lang w:val="en-US"/>
        </w:rPr>
        <w:footnoteReference w:id="35"/>
      </w:r>
      <w:r w:rsidR="007E79C7" w:rsidRPr="005C100D">
        <w:rPr>
          <w:rFonts w:cstheme="majorBidi"/>
          <w:bCs/>
          <w:sz w:val="24"/>
          <w:szCs w:val="24"/>
          <w:lang w:val="en-US"/>
        </w:rPr>
        <w:t xml:space="preserve"> Second, t</w:t>
      </w:r>
      <w:r w:rsidR="00316F60" w:rsidRPr="005C100D">
        <w:rPr>
          <w:rFonts w:cstheme="majorBidi"/>
          <w:bCs/>
          <w:sz w:val="24"/>
          <w:szCs w:val="24"/>
          <w:lang w:val="en-US"/>
        </w:rPr>
        <w:t>he “terror package” in 2006,</w:t>
      </w:r>
      <w:r w:rsidR="00316F60" w:rsidRPr="005C100D">
        <w:rPr>
          <w:rStyle w:val="FootnoteReference"/>
          <w:rFonts w:cstheme="majorBidi"/>
          <w:bCs/>
          <w:sz w:val="24"/>
          <w:szCs w:val="24"/>
          <w:lang w:val="en-US"/>
        </w:rPr>
        <w:footnoteReference w:id="36"/>
      </w:r>
      <w:r w:rsidR="00316F60" w:rsidRPr="005C100D">
        <w:rPr>
          <w:rFonts w:cstheme="majorBidi"/>
          <w:bCs/>
          <w:sz w:val="24"/>
          <w:szCs w:val="24"/>
          <w:lang w:val="en-US"/>
        </w:rPr>
        <w:t xml:space="preserve"> entailed an expansion of police powers insofar as the Danish Security and Intelligence Service (PET) was granted extended access to surveil and obtain information without a court order. PET given amongst others given the foll</w:t>
      </w:r>
      <w:r w:rsidR="00F00D28" w:rsidRPr="005C100D">
        <w:rPr>
          <w:rFonts w:cstheme="majorBidi"/>
          <w:bCs/>
          <w:sz w:val="24"/>
          <w:szCs w:val="24"/>
          <w:lang w:val="en-US"/>
        </w:rPr>
        <w:t xml:space="preserve">owing powers: </w:t>
      </w:r>
      <w:r w:rsidR="00316F60" w:rsidRPr="005C100D">
        <w:rPr>
          <w:rFonts w:cstheme="majorBidi"/>
          <w:bCs/>
          <w:sz w:val="24"/>
          <w:szCs w:val="24"/>
          <w:lang w:val="en-US"/>
        </w:rPr>
        <w:t xml:space="preserve">To retrieve information from public bodies, without the person </w:t>
      </w:r>
      <w:r w:rsidR="00F00D28" w:rsidRPr="005C100D">
        <w:rPr>
          <w:rFonts w:cstheme="majorBidi"/>
          <w:bCs/>
          <w:sz w:val="24"/>
          <w:szCs w:val="24"/>
          <w:lang w:val="en-US"/>
        </w:rPr>
        <w:t xml:space="preserve">of concern is </w:t>
      </w:r>
      <w:r w:rsidR="00F00D28" w:rsidRPr="005C100D">
        <w:rPr>
          <w:rFonts w:cstheme="majorBidi"/>
          <w:bCs/>
          <w:sz w:val="24"/>
          <w:szCs w:val="24"/>
          <w:lang w:val="en-US"/>
        </w:rPr>
        <w:lastRenderedPageBreak/>
        <w:t>getting notified; t</w:t>
      </w:r>
      <w:r w:rsidR="00316F60" w:rsidRPr="005C100D">
        <w:rPr>
          <w:rFonts w:cstheme="majorBidi"/>
          <w:bCs/>
          <w:sz w:val="24"/>
          <w:szCs w:val="24"/>
          <w:lang w:val="en-US"/>
        </w:rPr>
        <w:t>o tap and monitor a non-suspect, if PET estimates that a s</w:t>
      </w:r>
      <w:r w:rsidR="00F00D28" w:rsidRPr="005C100D">
        <w:rPr>
          <w:rFonts w:cstheme="majorBidi"/>
          <w:bCs/>
          <w:sz w:val="24"/>
          <w:szCs w:val="24"/>
          <w:lang w:val="en-US"/>
        </w:rPr>
        <w:t>uspect might contact the person; and t</w:t>
      </w:r>
      <w:r w:rsidR="00316F60" w:rsidRPr="005C100D">
        <w:rPr>
          <w:rFonts w:cstheme="majorBidi"/>
          <w:bCs/>
          <w:sz w:val="24"/>
          <w:szCs w:val="24"/>
          <w:lang w:val="en-US"/>
        </w:rPr>
        <w:t xml:space="preserve">o right to obtain airline passenger data one year back without a warrant. </w:t>
      </w:r>
      <w:r w:rsidR="007E79C7" w:rsidRPr="005C100D">
        <w:rPr>
          <w:rFonts w:cstheme="majorBidi"/>
          <w:bCs/>
          <w:sz w:val="24"/>
          <w:szCs w:val="24"/>
          <w:lang w:val="en-US"/>
        </w:rPr>
        <w:t>Third, i</w:t>
      </w:r>
      <w:r w:rsidR="00316F60" w:rsidRPr="005C100D">
        <w:rPr>
          <w:rFonts w:cstheme="majorBidi"/>
          <w:bCs/>
          <w:sz w:val="24"/>
          <w:szCs w:val="24"/>
          <w:lang w:val="en-US"/>
        </w:rPr>
        <w:t xml:space="preserve">n 2008, the Parliament adopted an additional series of restrictions in the freedom of movement for aliens on tolerated stay in Denmark out of security concerns (see </w:t>
      </w:r>
      <w:r w:rsidR="007E79C7" w:rsidRPr="005C100D">
        <w:rPr>
          <w:rFonts w:cstheme="majorBidi"/>
          <w:bCs/>
          <w:sz w:val="24"/>
          <w:szCs w:val="24"/>
          <w:lang w:val="en-US"/>
        </w:rPr>
        <w:t>below</w:t>
      </w:r>
      <w:r w:rsidR="00316F60" w:rsidRPr="005C100D">
        <w:rPr>
          <w:rFonts w:cstheme="majorBidi"/>
          <w:bCs/>
          <w:sz w:val="24"/>
          <w:szCs w:val="24"/>
          <w:lang w:val="en-US"/>
        </w:rPr>
        <w:t xml:space="preserve">).  The bill was met by criticism amongst other from the Danish Institute of Human Rights who considered the bill to raise concerns under </w:t>
      </w:r>
      <w:r w:rsidR="007E79C7" w:rsidRPr="005C100D">
        <w:rPr>
          <w:rFonts w:cstheme="majorBidi"/>
          <w:bCs/>
          <w:sz w:val="24"/>
          <w:szCs w:val="24"/>
          <w:lang w:val="en-US"/>
        </w:rPr>
        <w:t>international human rights law</w:t>
      </w:r>
      <w:r w:rsidR="00316F60" w:rsidRPr="005C100D">
        <w:rPr>
          <w:rFonts w:cstheme="majorBidi"/>
          <w:bCs/>
          <w:sz w:val="24"/>
          <w:szCs w:val="24"/>
          <w:lang w:val="en-US"/>
        </w:rPr>
        <w:t xml:space="preserve">. </w:t>
      </w:r>
    </w:p>
    <w:p w:rsidR="00487900" w:rsidRPr="005C100D" w:rsidRDefault="00421ABC" w:rsidP="005C100D">
      <w:pPr>
        <w:jc w:val="both"/>
        <w:rPr>
          <w:rFonts w:cstheme="majorBidi"/>
          <w:bCs/>
          <w:sz w:val="24"/>
          <w:szCs w:val="24"/>
          <w:lang w:val="en-US"/>
        </w:rPr>
      </w:pPr>
      <w:r w:rsidRPr="005C100D">
        <w:rPr>
          <w:rFonts w:cstheme="majorBidi"/>
          <w:bCs/>
          <w:sz w:val="24"/>
          <w:szCs w:val="24"/>
          <w:lang w:val="en-US"/>
        </w:rPr>
        <w:t>Further, a</w:t>
      </w:r>
      <w:r w:rsidR="00316F60" w:rsidRPr="005C100D">
        <w:rPr>
          <w:rFonts w:cstheme="majorBidi"/>
          <w:bCs/>
          <w:sz w:val="24"/>
          <w:szCs w:val="24"/>
          <w:lang w:val="en-US"/>
        </w:rPr>
        <w:t xml:space="preserve">s a result of the reinforced action against Danes and persons with a Danish residency permit involved in armed conflicts abroad, the Danish Passport Law and the Alien Act have been amended, hereby limiting the right to freedom of movement and allowing the cancellation of foreigners’ Danish residency permits. </w:t>
      </w:r>
    </w:p>
    <w:p w:rsidR="00316F60" w:rsidRPr="005C100D" w:rsidRDefault="00316F60" w:rsidP="005C100D">
      <w:pPr>
        <w:jc w:val="both"/>
        <w:rPr>
          <w:rFonts w:cstheme="majorBidi"/>
          <w:bCs/>
          <w:sz w:val="24"/>
          <w:szCs w:val="24"/>
          <w:lang w:val="en-US"/>
        </w:rPr>
      </w:pPr>
      <w:r w:rsidRPr="005C100D">
        <w:rPr>
          <w:rFonts w:cstheme="majorBidi"/>
          <w:bCs/>
          <w:sz w:val="24"/>
          <w:szCs w:val="24"/>
          <w:lang w:val="en-US"/>
        </w:rPr>
        <w:t xml:space="preserve">Finally, in February 2015, the former government established a Commission, which was mandated to assess the effectiveness and the costs of Denmark’s anti-terrorism measures. The Commission is expected to present its findings in the spring of 2016.  </w:t>
      </w:r>
    </w:p>
    <w:p w:rsidR="00316F60" w:rsidRPr="005C100D" w:rsidRDefault="00316F60" w:rsidP="005C100D">
      <w:pPr>
        <w:jc w:val="both"/>
        <w:rPr>
          <w:rFonts w:cstheme="majorBidi"/>
          <w:sz w:val="24"/>
          <w:szCs w:val="24"/>
          <w:lang w:val="en-US"/>
        </w:rPr>
      </w:pPr>
      <w:r w:rsidRPr="005C100D">
        <w:rPr>
          <w:rFonts w:cstheme="majorBidi"/>
          <w:b/>
          <w:bCs/>
          <w:sz w:val="24"/>
          <w:szCs w:val="24"/>
          <w:lang w:val="en-US"/>
        </w:rPr>
        <w:t>We suggest that the Committee</w:t>
      </w:r>
      <w:r w:rsidRPr="005C100D">
        <w:rPr>
          <w:rFonts w:cstheme="majorBidi"/>
          <w:bCs/>
          <w:sz w:val="24"/>
          <w:szCs w:val="24"/>
          <w:lang w:val="en-US"/>
        </w:rPr>
        <w:t xml:space="preserve"> calls on the State party to consider reviewing Danish anti-terror legislation with a view to determining whether it is in accordance with its obligations under the Convention, and to consider introducing ‘sunset clauses’ in any future anti-terrorism legislation</w:t>
      </w:r>
    </w:p>
    <w:p w:rsidR="009F5D15" w:rsidRPr="005C100D" w:rsidRDefault="00F5369C" w:rsidP="005C100D">
      <w:pPr>
        <w:jc w:val="both"/>
        <w:rPr>
          <w:rFonts w:eastAsia="Times New Roman" w:cs="Times New Roman"/>
          <w:i/>
          <w:sz w:val="24"/>
          <w:szCs w:val="24"/>
          <w:u w:val="single"/>
          <w:lang w:val="en-US" w:eastAsia="da-DK"/>
        </w:rPr>
      </w:pPr>
      <w:r w:rsidRPr="005C100D">
        <w:rPr>
          <w:rFonts w:eastAsia="Times New Roman" w:cs="Times New Roman"/>
          <w:i/>
          <w:sz w:val="24"/>
          <w:szCs w:val="24"/>
          <w:u w:val="single"/>
          <w:lang w:val="en-US" w:eastAsia="da-DK"/>
        </w:rPr>
        <w:t xml:space="preserve">2: </w:t>
      </w:r>
      <w:r w:rsidR="00316F60" w:rsidRPr="005C100D">
        <w:rPr>
          <w:rFonts w:eastAsia="Times New Roman" w:cs="Times New Roman"/>
          <w:i/>
          <w:sz w:val="24"/>
          <w:szCs w:val="24"/>
          <w:u w:val="single"/>
          <w:lang w:val="en-US" w:eastAsia="da-DK"/>
        </w:rPr>
        <w:t>Deportations and expulsions of aliens on national security grounds (LOIPR PARA 8)</w:t>
      </w:r>
    </w:p>
    <w:p w:rsidR="00316F60" w:rsidRPr="005C100D" w:rsidRDefault="009F5D15" w:rsidP="005C100D">
      <w:pPr>
        <w:jc w:val="both"/>
        <w:rPr>
          <w:rFonts w:eastAsia="Times New Roman" w:cs="Times New Roman"/>
          <w:sz w:val="24"/>
          <w:szCs w:val="24"/>
          <w:lang w:val="en-US" w:eastAsia="da-DK"/>
        </w:rPr>
      </w:pPr>
      <w:r w:rsidRPr="005C100D">
        <w:rPr>
          <w:rFonts w:eastAsia="Times New Roman" w:cs="Times New Roman"/>
          <w:sz w:val="24"/>
          <w:szCs w:val="24"/>
          <w:lang w:val="en-US" w:eastAsia="da-DK"/>
        </w:rPr>
        <w:t xml:space="preserve">Aliens can be deported for various reasons, and the legislative framework has been further tightened several times over the last 10 years. </w:t>
      </w:r>
      <w:r w:rsidR="00DE56C0" w:rsidRPr="005C100D">
        <w:rPr>
          <w:rFonts w:eastAsia="Times New Roman" w:cs="Times New Roman"/>
          <w:sz w:val="24"/>
          <w:szCs w:val="24"/>
          <w:lang w:val="en-US" w:eastAsia="da-DK"/>
        </w:rPr>
        <w:t xml:space="preserve">As explained in the National Report (para 56 </w:t>
      </w:r>
      <w:proofErr w:type="spellStart"/>
      <w:r w:rsidR="00DE56C0" w:rsidRPr="005C100D">
        <w:rPr>
          <w:rFonts w:eastAsia="Times New Roman" w:cs="Times New Roman"/>
          <w:sz w:val="24"/>
          <w:szCs w:val="24"/>
          <w:lang w:val="en-US" w:eastAsia="da-DK"/>
        </w:rPr>
        <w:t>ff</w:t>
      </w:r>
      <w:proofErr w:type="spellEnd"/>
      <w:r w:rsidR="00DE56C0" w:rsidRPr="005C100D">
        <w:rPr>
          <w:rFonts w:eastAsia="Times New Roman" w:cs="Times New Roman"/>
          <w:sz w:val="24"/>
          <w:szCs w:val="24"/>
          <w:lang w:val="en-US" w:eastAsia="da-DK"/>
        </w:rPr>
        <w:t xml:space="preserve">), a special procedure for expulsion of foreign nationals on national security grounds was introduced in 2009. </w:t>
      </w:r>
      <w:r w:rsidR="00316F60" w:rsidRPr="005C100D">
        <w:rPr>
          <w:rFonts w:eastAsia="Times New Roman" w:cs="Times New Roman"/>
          <w:sz w:val="24"/>
          <w:szCs w:val="24"/>
          <w:lang w:val="en-US" w:eastAsia="da-DK"/>
        </w:rPr>
        <w:t xml:space="preserve">Such decisions </w:t>
      </w:r>
      <w:r w:rsidR="00DE56C0" w:rsidRPr="005C100D">
        <w:rPr>
          <w:rFonts w:eastAsia="Times New Roman" w:cs="Times New Roman"/>
          <w:sz w:val="24"/>
          <w:szCs w:val="24"/>
          <w:lang w:val="en-US" w:eastAsia="da-DK"/>
        </w:rPr>
        <w:t xml:space="preserve">by the Security and Intelligence Service </w:t>
      </w:r>
      <w:r w:rsidR="00316F60" w:rsidRPr="005C100D">
        <w:rPr>
          <w:rFonts w:eastAsia="Times New Roman" w:cs="Times New Roman"/>
          <w:sz w:val="24"/>
          <w:szCs w:val="24"/>
          <w:lang w:val="en-US" w:eastAsia="da-DK"/>
        </w:rPr>
        <w:t>may be taken without the affected person’s access to the information. Only his lawyer may have such access but is not allow</w:t>
      </w:r>
      <w:r w:rsidR="009D54F6">
        <w:rPr>
          <w:rFonts w:eastAsia="Times New Roman" w:cs="Times New Roman"/>
          <w:sz w:val="24"/>
          <w:szCs w:val="24"/>
          <w:lang w:val="en-US" w:eastAsia="da-DK"/>
        </w:rPr>
        <w:t>ed to reveal it to his client</w:t>
      </w:r>
      <w:r w:rsidR="00F5369C" w:rsidRPr="005C100D">
        <w:rPr>
          <w:rFonts w:eastAsia="Times New Roman" w:cs="Times New Roman"/>
          <w:sz w:val="24"/>
          <w:szCs w:val="24"/>
          <w:lang w:val="en-US" w:eastAsia="da-DK"/>
        </w:rPr>
        <w:t>.</w:t>
      </w:r>
    </w:p>
    <w:p w:rsidR="00B3210D" w:rsidRPr="005C100D" w:rsidRDefault="00B3210D" w:rsidP="005C100D">
      <w:pPr>
        <w:jc w:val="both"/>
        <w:rPr>
          <w:rFonts w:eastAsia="Times New Roman" w:cs="Times New Roman"/>
          <w:sz w:val="24"/>
          <w:szCs w:val="24"/>
          <w:lang w:val="en-US" w:eastAsia="da-DK"/>
        </w:rPr>
      </w:pPr>
      <w:r w:rsidRPr="005C100D">
        <w:rPr>
          <w:rFonts w:eastAsia="Times New Roman" w:cs="Times New Roman"/>
          <w:b/>
          <w:bCs/>
          <w:sz w:val="24"/>
          <w:szCs w:val="24"/>
          <w:lang w:val="en-US" w:eastAsia="da-DK"/>
        </w:rPr>
        <w:t>We recommend</w:t>
      </w:r>
      <w:r w:rsidRPr="005C100D">
        <w:rPr>
          <w:rFonts w:eastAsia="Times New Roman" w:cs="Times New Roman"/>
          <w:sz w:val="24"/>
          <w:szCs w:val="24"/>
          <w:lang w:val="en-US" w:eastAsia="da-DK"/>
        </w:rPr>
        <w:t xml:space="preserve"> that Denmark ensures that the principle of non-</w:t>
      </w:r>
      <w:proofErr w:type="spellStart"/>
      <w:r w:rsidRPr="005C100D">
        <w:rPr>
          <w:rFonts w:eastAsia="Times New Roman" w:cs="Times New Roman"/>
          <w:sz w:val="24"/>
          <w:szCs w:val="24"/>
          <w:lang w:val="en-US" w:eastAsia="da-DK"/>
        </w:rPr>
        <w:t>refoulement</w:t>
      </w:r>
      <w:proofErr w:type="spellEnd"/>
      <w:r w:rsidRPr="005C100D">
        <w:rPr>
          <w:rFonts w:eastAsia="Times New Roman" w:cs="Times New Roman"/>
          <w:sz w:val="24"/>
          <w:szCs w:val="24"/>
          <w:lang w:val="en-US" w:eastAsia="da-DK"/>
        </w:rPr>
        <w:t xml:space="preserve"> is complied with in these deportation cases</w:t>
      </w:r>
      <w:r w:rsidR="00011276" w:rsidRPr="005C100D">
        <w:rPr>
          <w:rFonts w:eastAsia="Times New Roman" w:cs="Times New Roman"/>
          <w:sz w:val="24"/>
          <w:szCs w:val="24"/>
          <w:lang w:val="en-US" w:eastAsia="da-DK"/>
        </w:rPr>
        <w:t xml:space="preserve">, as well as </w:t>
      </w:r>
      <w:r w:rsidR="00BE3D4C" w:rsidRPr="005C100D">
        <w:rPr>
          <w:rFonts w:eastAsia="Times New Roman" w:cs="Times New Roman"/>
          <w:sz w:val="24"/>
          <w:szCs w:val="24"/>
          <w:lang w:val="en-US" w:eastAsia="da-DK"/>
        </w:rPr>
        <w:t>other standards of the ICCPR.</w:t>
      </w:r>
      <w:r w:rsidRPr="005C100D">
        <w:rPr>
          <w:rFonts w:eastAsia="Times New Roman" w:cs="Times New Roman"/>
          <w:sz w:val="24"/>
          <w:szCs w:val="24"/>
          <w:lang w:val="en-US" w:eastAsia="da-DK"/>
        </w:rPr>
        <w:t xml:space="preserve"> </w:t>
      </w:r>
    </w:p>
    <w:p w:rsidR="00316F60" w:rsidRPr="005C100D" w:rsidRDefault="00011276" w:rsidP="005C100D">
      <w:pPr>
        <w:jc w:val="both"/>
        <w:rPr>
          <w:rFonts w:cstheme="majorBidi"/>
          <w:i/>
          <w:sz w:val="24"/>
          <w:szCs w:val="24"/>
          <w:u w:val="single"/>
          <w:lang w:val="en-US"/>
        </w:rPr>
      </w:pPr>
      <w:r w:rsidRPr="005C100D">
        <w:rPr>
          <w:rFonts w:cstheme="majorBidi"/>
          <w:i/>
          <w:sz w:val="24"/>
          <w:szCs w:val="24"/>
          <w:u w:val="single"/>
          <w:lang w:val="en-US"/>
        </w:rPr>
        <w:t xml:space="preserve">3: </w:t>
      </w:r>
      <w:r w:rsidR="007E2B97" w:rsidRPr="005C100D">
        <w:rPr>
          <w:rFonts w:cstheme="majorBidi"/>
          <w:i/>
          <w:sz w:val="24"/>
          <w:szCs w:val="24"/>
          <w:u w:val="single"/>
          <w:lang w:val="en-US"/>
        </w:rPr>
        <w:t>Rendition flights (LOIPR PARA 9)</w:t>
      </w:r>
    </w:p>
    <w:p w:rsidR="007E2B97" w:rsidRPr="005C100D" w:rsidRDefault="007E2B97" w:rsidP="005C100D">
      <w:pPr>
        <w:jc w:val="both"/>
        <w:rPr>
          <w:rFonts w:cstheme="majorBidi"/>
          <w:bCs/>
          <w:sz w:val="24"/>
          <w:szCs w:val="24"/>
          <w:lang w:val="en-GB"/>
        </w:rPr>
      </w:pPr>
      <w:r w:rsidRPr="005C100D">
        <w:rPr>
          <w:rFonts w:cstheme="majorBidi"/>
          <w:bCs/>
          <w:sz w:val="24"/>
          <w:szCs w:val="24"/>
          <w:lang w:val="en-GB"/>
        </w:rPr>
        <w:t>In its Concluding Observations to Denmark (2008), the Committee noted its concern at allegations that the airspace and airports of Denmark had been used for rendition flights of persons from third countries to countries where they risk being subjected to torture or ill-treatment. The Committee recommended Denmark to establish an inspection system to ensure that its airspace and airports are not used for such purposes.</w:t>
      </w:r>
      <w:r w:rsidRPr="005C100D">
        <w:rPr>
          <w:rStyle w:val="FootnoteReference"/>
          <w:rFonts w:cstheme="majorBidi"/>
          <w:bCs/>
          <w:sz w:val="24"/>
          <w:szCs w:val="24"/>
          <w:lang w:val="en-GB"/>
        </w:rPr>
        <w:footnoteReference w:id="37"/>
      </w:r>
      <w:r w:rsidRPr="005C100D">
        <w:rPr>
          <w:rFonts w:cstheme="majorBidi"/>
          <w:bCs/>
          <w:sz w:val="24"/>
          <w:szCs w:val="24"/>
          <w:lang w:val="en-GB"/>
        </w:rPr>
        <w:t xml:space="preserve"> The European Court of Human Rights has addressed the issue of </w:t>
      </w:r>
      <w:r w:rsidRPr="005C100D">
        <w:rPr>
          <w:rFonts w:cstheme="majorBidi"/>
          <w:bCs/>
          <w:sz w:val="24"/>
          <w:szCs w:val="24"/>
          <w:lang w:val="en-GB"/>
        </w:rPr>
        <w:lastRenderedPageBreak/>
        <w:t>rendition and responsibility for complicity in a number of judgements</w:t>
      </w:r>
      <w:r w:rsidRPr="005C100D">
        <w:rPr>
          <w:rStyle w:val="FootnoteReference"/>
          <w:rFonts w:cstheme="majorBidi"/>
          <w:bCs/>
          <w:sz w:val="24"/>
          <w:szCs w:val="24"/>
          <w:lang w:val="en-GB"/>
        </w:rPr>
        <w:footnoteReference w:id="38"/>
      </w:r>
      <w:r w:rsidRPr="005C100D">
        <w:rPr>
          <w:rFonts w:cstheme="majorBidi"/>
          <w:bCs/>
          <w:sz w:val="24"/>
          <w:szCs w:val="24"/>
          <w:lang w:val="en-GB"/>
        </w:rPr>
        <w:t>, notably the two landmark rulings of 24 July 2014: al-</w:t>
      </w:r>
      <w:proofErr w:type="spellStart"/>
      <w:r w:rsidRPr="005C100D">
        <w:rPr>
          <w:rFonts w:cstheme="majorBidi"/>
          <w:bCs/>
          <w:sz w:val="24"/>
          <w:szCs w:val="24"/>
          <w:lang w:val="en-GB"/>
        </w:rPr>
        <w:t>Nashiri</w:t>
      </w:r>
      <w:proofErr w:type="spellEnd"/>
      <w:r w:rsidRPr="005C100D">
        <w:rPr>
          <w:rFonts w:cstheme="majorBidi"/>
          <w:bCs/>
          <w:sz w:val="24"/>
          <w:szCs w:val="24"/>
          <w:lang w:val="en-GB"/>
        </w:rPr>
        <w:t xml:space="preserve"> v. Poland, and </w:t>
      </w:r>
      <w:proofErr w:type="spellStart"/>
      <w:r w:rsidRPr="005C100D">
        <w:rPr>
          <w:rFonts w:cstheme="majorBidi"/>
          <w:bCs/>
          <w:sz w:val="24"/>
          <w:szCs w:val="24"/>
          <w:lang w:val="en-GB"/>
        </w:rPr>
        <w:t>Hasayn</w:t>
      </w:r>
      <w:proofErr w:type="spellEnd"/>
      <w:r w:rsidRPr="005C100D">
        <w:rPr>
          <w:rFonts w:cstheme="majorBidi"/>
          <w:bCs/>
          <w:sz w:val="24"/>
          <w:szCs w:val="24"/>
          <w:lang w:val="en-GB"/>
        </w:rPr>
        <w:t xml:space="preserve"> (Abu </w:t>
      </w:r>
      <w:proofErr w:type="spellStart"/>
      <w:r w:rsidRPr="005C100D">
        <w:rPr>
          <w:rFonts w:cstheme="majorBidi"/>
          <w:bCs/>
          <w:sz w:val="24"/>
          <w:szCs w:val="24"/>
          <w:lang w:val="en-GB"/>
        </w:rPr>
        <w:t>Zubaydah</w:t>
      </w:r>
      <w:proofErr w:type="spellEnd"/>
      <w:r w:rsidRPr="005C100D">
        <w:rPr>
          <w:rFonts w:cstheme="majorBidi"/>
          <w:bCs/>
          <w:sz w:val="24"/>
          <w:szCs w:val="24"/>
          <w:lang w:val="en-GB"/>
        </w:rPr>
        <w:t>) v. Poland.</w:t>
      </w:r>
      <w:r w:rsidRPr="005C100D">
        <w:rPr>
          <w:rStyle w:val="FootnoteReference"/>
          <w:rFonts w:cstheme="majorBidi"/>
          <w:bCs/>
          <w:sz w:val="24"/>
          <w:szCs w:val="24"/>
          <w:lang w:val="en-GB"/>
        </w:rPr>
        <w:footnoteReference w:id="39"/>
      </w:r>
    </w:p>
    <w:p w:rsidR="007E2B97" w:rsidRPr="005C100D" w:rsidRDefault="007E2B97" w:rsidP="005C100D">
      <w:pPr>
        <w:jc w:val="both"/>
        <w:rPr>
          <w:rFonts w:cstheme="majorBidi"/>
          <w:bCs/>
          <w:sz w:val="24"/>
          <w:szCs w:val="24"/>
          <w:lang w:val="en-GB"/>
        </w:rPr>
      </w:pPr>
      <w:r w:rsidRPr="005C100D">
        <w:rPr>
          <w:rFonts w:cstheme="majorBidi"/>
          <w:bCs/>
          <w:sz w:val="24"/>
          <w:szCs w:val="24"/>
          <w:lang w:val="en-GB"/>
        </w:rPr>
        <w:t>As Danish airspace has been used by CIA rendition flights (more specifically allegedly 100 flights passed through Danish airspace and 45 stopovers were done at Danish airports by planes allegedly used by the CIA</w:t>
      </w:r>
      <w:r w:rsidRPr="005C100D">
        <w:rPr>
          <w:rStyle w:val="FootnoteReference"/>
          <w:rFonts w:cstheme="majorBidi"/>
          <w:bCs/>
          <w:sz w:val="24"/>
          <w:szCs w:val="24"/>
          <w:lang w:val="en-GB"/>
        </w:rPr>
        <w:footnoteReference w:id="40"/>
      </w:r>
      <w:r w:rsidRPr="005C100D">
        <w:rPr>
          <w:rFonts w:cstheme="majorBidi"/>
          <w:bCs/>
          <w:sz w:val="24"/>
          <w:szCs w:val="24"/>
          <w:lang w:val="en-GB"/>
        </w:rPr>
        <w:t xml:space="preserve">), this raises concerns about Denmark’s fulfilment of its obligations under </w:t>
      </w:r>
      <w:r w:rsidR="00D20222" w:rsidRPr="005C100D">
        <w:rPr>
          <w:rFonts w:cstheme="majorBidi"/>
          <w:bCs/>
          <w:sz w:val="24"/>
          <w:szCs w:val="24"/>
          <w:lang w:val="en-GB"/>
        </w:rPr>
        <w:t>the ICCPR</w:t>
      </w:r>
      <w:r w:rsidRPr="005C100D">
        <w:rPr>
          <w:rFonts w:cstheme="majorBidi"/>
          <w:bCs/>
          <w:sz w:val="24"/>
          <w:szCs w:val="24"/>
          <w:lang w:val="en-GB"/>
        </w:rPr>
        <w:t xml:space="preserve">. </w:t>
      </w:r>
      <w:r w:rsidRPr="005C100D">
        <w:rPr>
          <w:rFonts w:cstheme="majorBidi"/>
          <w:sz w:val="24"/>
          <w:szCs w:val="24"/>
          <w:lang w:val="en-GB"/>
        </w:rPr>
        <w:t xml:space="preserve">Denmark has initiated two inquiries about the CIA rendition flights, </w:t>
      </w:r>
      <w:proofErr w:type="spellStart"/>
      <w:r w:rsidRPr="005C100D">
        <w:rPr>
          <w:rFonts w:cstheme="majorBidi"/>
          <w:sz w:val="24"/>
          <w:szCs w:val="24"/>
          <w:lang w:val="en-GB"/>
        </w:rPr>
        <w:t>i.e</w:t>
      </w:r>
      <w:proofErr w:type="spellEnd"/>
      <w:r w:rsidRPr="005C100D">
        <w:rPr>
          <w:rFonts w:cstheme="majorBidi"/>
          <w:sz w:val="24"/>
          <w:szCs w:val="24"/>
          <w:lang w:val="en-GB"/>
        </w:rPr>
        <w:t>, by an Inter-</w:t>
      </w:r>
      <w:proofErr w:type="gramStart"/>
      <w:r w:rsidRPr="005C100D">
        <w:rPr>
          <w:rFonts w:cstheme="majorBidi"/>
          <w:sz w:val="24"/>
          <w:szCs w:val="24"/>
          <w:lang w:val="en-GB"/>
        </w:rPr>
        <w:t>ministerial</w:t>
      </w:r>
      <w:proofErr w:type="gramEnd"/>
      <w:r w:rsidRPr="005C100D">
        <w:rPr>
          <w:rFonts w:cstheme="majorBidi"/>
          <w:sz w:val="24"/>
          <w:szCs w:val="24"/>
          <w:lang w:val="en-GB"/>
        </w:rPr>
        <w:t xml:space="preserve"> Working Group and the Danish Institute for International Studies (DIIS). However, both inquiries concluded that that it was not possible to determine whether or not CIA flights had occurred in Danish, Greenlandic or Faroese airspace.  Denmark has not clarified, as asked by the Committee, how it will in the future ensure that Denmark’s airspace and airports are not used for such purposes (last sentence LOIPR 9).</w:t>
      </w:r>
    </w:p>
    <w:p w:rsidR="007E2B97" w:rsidRPr="005C100D" w:rsidRDefault="007E2B97" w:rsidP="005C100D">
      <w:pPr>
        <w:jc w:val="both"/>
        <w:rPr>
          <w:rFonts w:cstheme="majorBidi"/>
          <w:b/>
          <w:bCs/>
          <w:sz w:val="24"/>
          <w:szCs w:val="24"/>
          <w:lang w:val="en-GB"/>
        </w:rPr>
      </w:pPr>
      <w:r w:rsidRPr="005C100D">
        <w:rPr>
          <w:rFonts w:cstheme="majorBidi"/>
          <w:bCs/>
          <w:sz w:val="24"/>
          <w:szCs w:val="24"/>
          <w:lang w:val="en-GB"/>
        </w:rPr>
        <w:t xml:space="preserve">We recommend </w:t>
      </w:r>
      <w:r w:rsidRPr="005C100D">
        <w:rPr>
          <w:rFonts w:cstheme="majorBidi"/>
          <w:b/>
          <w:bCs/>
          <w:sz w:val="24"/>
          <w:szCs w:val="24"/>
          <w:lang w:val="en-GB"/>
        </w:rPr>
        <w:t xml:space="preserve">that the Committee urges Denmark to </w:t>
      </w:r>
      <w:r w:rsidRPr="005C100D">
        <w:rPr>
          <w:b/>
          <w:bCs/>
          <w:sz w:val="24"/>
          <w:szCs w:val="24"/>
          <w:lang w:val="en-US"/>
        </w:rPr>
        <w:t>take steps to ensure that cases of rendition are prevented in the future and that</w:t>
      </w:r>
      <w:r w:rsidRPr="005C100D">
        <w:rPr>
          <w:rFonts w:cstheme="majorBidi"/>
          <w:b/>
          <w:bCs/>
          <w:sz w:val="24"/>
          <w:szCs w:val="24"/>
          <w:lang w:val="en-GB"/>
        </w:rPr>
        <w:t xml:space="preserve"> </w:t>
      </w:r>
      <w:r w:rsidRPr="005C100D">
        <w:rPr>
          <w:rFonts w:cstheme="majorBidi"/>
          <w:b/>
          <w:sz w:val="24"/>
          <w:szCs w:val="24"/>
          <w:lang w:val="en-GB"/>
        </w:rPr>
        <w:t>Danish, Greenlandic or Faroese</w:t>
      </w:r>
      <w:r w:rsidRPr="005C100D">
        <w:rPr>
          <w:rFonts w:cstheme="majorBidi"/>
          <w:b/>
          <w:bCs/>
          <w:sz w:val="24"/>
          <w:szCs w:val="24"/>
          <w:lang w:val="en-GB"/>
        </w:rPr>
        <w:t xml:space="preserve"> airspace is used in accordance with international principles, including the prohibition of non-</w:t>
      </w:r>
      <w:proofErr w:type="spellStart"/>
      <w:r w:rsidRPr="005C100D">
        <w:rPr>
          <w:rFonts w:cstheme="majorBidi"/>
          <w:b/>
          <w:bCs/>
          <w:sz w:val="24"/>
          <w:szCs w:val="24"/>
          <w:lang w:val="en-GB"/>
        </w:rPr>
        <w:t>refoulement</w:t>
      </w:r>
      <w:proofErr w:type="spellEnd"/>
      <w:r w:rsidRPr="005C100D">
        <w:rPr>
          <w:rFonts w:cstheme="majorBidi"/>
          <w:b/>
          <w:bCs/>
          <w:sz w:val="24"/>
          <w:szCs w:val="24"/>
          <w:lang w:val="en-GB"/>
        </w:rPr>
        <w:t xml:space="preserve"> (ICCPR Art 7).</w:t>
      </w:r>
    </w:p>
    <w:p w:rsidR="00590D6E" w:rsidRPr="005C100D" w:rsidRDefault="00590D6E" w:rsidP="005C100D">
      <w:pPr>
        <w:pStyle w:val="Heading3"/>
        <w:spacing w:after="240"/>
        <w:jc w:val="both"/>
        <w:rPr>
          <w:lang w:val="en-US"/>
        </w:rPr>
      </w:pPr>
      <w:bookmarkStart w:id="7" w:name="_Toc451866545"/>
      <w:r w:rsidRPr="005C100D">
        <w:rPr>
          <w:lang w:val="en-US"/>
        </w:rPr>
        <w:t>VIOLENCE AGAINST WOMEN, INCLUDING DOMESTIC VIOLENCE (</w:t>
      </w:r>
      <w:r w:rsidR="00F32192" w:rsidRPr="005C100D">
        <w:rPr>
          <w:b/>
          <w:bCs/>
          <w:lang w:val="en-US"/>
        </w:rPr>
        <w:t>Articles 3, 7,</w:t>
      </w:r>
      <w:r w:rsidRPr="005C100D">
        <w:rPr>
          <w:b/>
          <w:bCs/>
          <w:lang w:val="en-US"/>
        </w:rPr>
        <w:t xml:space="preserve"> 26</w:t>
      </w:r>
      <w:r w:rsidRPr="005C100D">
        <w:rPr>
          <w:lang w:val="en-US"/>
        </w:rPr>
        <w:t>; LOI</w:t>
      </w:r>
      <w:r w:rsidR="0045104F" w:rsidRPr="005C100D">
        <w:rPr>
          <w:lang w:val="en-US"/>
        </w:rPr>
        <w:t>PR</w:t>
      </w:r>
      <w:r w:rsidRPr="005C100D">
        <w:rPr>
          <w:lang w:val="en-US"/>
        </w:rPr>
        <w:t xml:space="preserve"> PARA 12)</w:t>
      </w:r>
      <w:bookmarkEnd w:id="7"/>
      <w:r w:rsidRPr="005C100D">
        <w:rPr>
          <w:lang w:val="en-US"/>
        </w:rPr>
        <w:t xml:space="preserve"> </w:t>
      </w:r>
    </w:p>
    <w:p w:rsidR="00E56E9F" w:rsidRPr="005C100D" w:rsidRDefault="00C20616" w:rsidP="005C100D">
      <w:pPr>
        <w:jc w:val="both"/>
        <w:rPr>
          <w:sz w:val="24"/>
          <w:szCs w:val="24"/>
          <w:lang w:val="en-US"/>
        </w:rPr>
      </w:pPr>
      <w:r w:rsidRPr="005C100D">
        <w:rPr>
          <w:sz w:val="24"/>
          <w:szCs w:val="24"/>
          <w:lang w:val="en-US"/>
        </w:rPr>
        <w:t xml:space="preserve">In its response, Denmark </w:t>
      </w:r>
      <w:r w:rsidR="00F32192" w:rsidRPr="005C100D">
        <w:rPr>
          <w:sz w:val="24"/>
          <w:szCs w:val="24"/>
          <w:lang w:val="en-US"/>
        </w:rPr>
        <w:t>notes that vi</w:t>
      </w:r>
      <w:r w:rsidR="00E56E9F" w:rsidRPr="005C100D">
        <w:rPr>
          <w:sz w:val="24"/>
          <w:szCs w:val="24"/>
          <w:lang w:val="en-US"/>
        </w:rPr>
        <w:t>olence against women continues to be</w:t>
      </w:r>
      <w:r w:rsidR="00F32192" w:rsidRPr="005C100D">
        <w:rPr>
          <w:sz w:val="24"/>
          <w:szCs w:val="24"/>
          <w:lang w:val="en-US"/>
        </w:rPr>
        <w:t xml:space="preserve"> a serious gender equality problem (National Report para 101)</w:t>
      </w:r>
      <w:r w:rsidR="00F32192" w:rsidRPr="005C100D">
        <w:rPr>
          <w:rStyle w:val="FootnoteReference"/>
          <w:sz w:val="24"/>
          <w:szCs w:val="24"/>
          <w:lang w:val="en-US"/>
        </w:rPr>
        <w:t xml:space="preserve"> </w:t>
      </w:r>
      <w:r w:rsidR="00F32192" w:rsidRPr="005C100D">
        <w:rPr>
          <w:sz w:val="24"/>
          <w:szCs w:val="24"/>
          <w:lang w:val="en-US"/>
        </w:rPr>
        <w:t xml:space="preserve">and </w:t>
      </w:r>
      <w:r w:rsidRPr="005C100D">
        <w:rPr>
          <w:sz w:val="24"/>
          <w:szCs w:val="24"/>
          <w:lang w:val="en-US"/>
        </w:rPr>
        <w:t>referre</w:t>
      </w:r>
      <w:r w:rsidR="00F32192" w:rsidRPr="005C100D">
        <w:rPr>
          <w:sz w:val="24"/>
          <w:szCs w:val="24"/>
          <w:lang w:val="en-US"/>
        </w:rPr>
        <w:t xml:space="preserve">d to the national action plans (National Report para 104 </w:t>
      </w:r>
      <w:proofErr w:type="spellStart"/>
      <w:r w:rsidR="00F32192" w:rsidRPr="005C100D">
        <w:rPr>
          <w:sz w:val="24"/>
          <w:szCs w:val="24"/>
          <w:lang w:val="en-US"/>
        </w:rPr>
        <w:t>ff</w:t>
      </w:r>
      <w:proofErr w:type="spellEnd"/>
      <w:r w:rsidRPr="005C100D">
        <w:rPr>
          <w:sz w:val="24"/>
          <w:szCs w:val="24"/>
          <w:lang w:val="en-US"/>
        </w:rPr>
        <w:t xml:space="preserve">).  </w:t>
      </w:r>
    </w:p>
    <w:p w:rsidR="00C20616" w:rsidRPr="005C100D" w:rsidRDefault="00E56E9F" w:rsidP="005C100D">
      <w:pPr>
        <w:jc w:val="both"/>
        <w:rPr>
          <w:sz w:val="24"/>
          <w:szCs w:val="24"/>
          <w:lang w:val="en-US"/>
        </w:rPr>
      </w:pPr>
      <w:r w:rsidRPr="005C100D">
        <w:rPr>
          <w:sz w:val="24"/>
          <w:szCs w:val="24"/>
          <w:lang w:val="en-US"/>
        </w:rPr>
        <w:t>T</w:t>
      </w:r>
      <w:r w:rsidR="00C20616" w:rsidRPr="005C100D">
        <w:rPr>
          <w:sz w:val="24"/>
          <w:szCs w:val="24"/>
          <w:lang w:val="en-US"/>
        </w:rPr>
        <w:t xml:space="preserve">he number of women who were victims of physical violence in intimate relations in 2000 (total of 42,000) </w:t>
      </w:r>
      <w:r w:rsidRPr="005C100D">
        <w:rPr>
          <w:sz w:val="24"/>
          <w:szCs w:val="24"/>
          <w:lang w:val="en-US"/>
        </w:rPr>
        <w:t>d</w:t>
      </w:r>
      <w:r w:rsidR="009D54F6">
        <w:rPr>
          <w:sz w:val="24"/>
          <w:szCs w:val="24"/>
          <w:lang w:val="en-US"/>
        </w:rPr>
        <w:t>e</w:t>
      </w:r>
      <w:r w:rsidR="00C20616" w:rsidRPr="005C100D">
        <w:rPr>
          <w:sz w:val="24"/>
          <w:szCs w:val="24"/>
          <w:lang w:val="en-US"/>
        </w:rPr>
        <w:t>creased to app. 29,000 in 2010.</w:t>
      </w:r>
      <w:r w:rsidRPr="005C100D">
        <w:rPr>
          <w:rStyle w:val="FootnoteReference"/>
          <w:sz w:val="24"/>
          <w:szCs w:val="24"/>
          <w:lang w:val="en-US"/>
        </w:rPr>
        <w:t xml:space="preserve"> </w:t>
      </w:r>
      <w:r w:rsidRPr="005C100D">
        <w:rPr>
          <w:rStyle w:val="FootnoteReference"/>
          <w:sz w:val="24"/>
          <w:szCs w:val="24"/>
          <w:lang w:val="en-US"/>
        </w:rPr>
        <w:footnoteReference w:id="41"/>
      </w:r>
      <w:r w:rsidR="00C20616" w:rsidRPr="005C100D">
        <w:rPr>
          <w:sz w:val="24"/>
          <w:szCs w:val="24"/>
          <w:lang w:val="en-US"/>
        </w:rPr>
        <w:t xml:space="preserve"> </w:t>
      </w:r>
      <w:r w:rsidRPr="005C100D">
        <w:rPr>
          <w:sz w:val="24"/>
          <w:szCs w:val="24"/>
          <w:lang w:val="en-US"/>
        </w:rPr>
        <w:t>A</w:t>
      </w:r>
      <w:r w:rsidR="00C20616" w:rsidRPr="005C100D">
        <w:rPr>
          <w:sz w:val="24"/>
          <w:szCs w:val="24"/>
          <w:lang w:val="en-US"/>
        </w:rPr>
        <w:t xml:space="preserve"> study by </w:t>
      </w:r>
      <w:r w:rsidR="00C20616" w:rsidRPr="005C100D">
        <w:rPr>
          <w:rFonts w:eastAsia="Times New Roman" w:cs="Times New Roman"/>
          <w:sz w:val="24"/>
          <w:szCs w:val="24"/>
          <w:lang w:val="en-US" w:eastAsia="da-DK"/>
        </w:rPr>
        <w:t>the European Agency fo</w:t>
      </w:r>
      <w:r w:rsidR="00805EB5" w:rsidRPr="005C100D">
        <w:rPr>
          <w:rFonts w:eastAsia="Times New Roman" w:cs="Times New Roman"/>
          <w:sz w:val="24"/>
          <w:szCs w:val="24"/>
          <w:lang w:val="en-US" w:eastAsia="da-DK"/>
        </w:rPr>
        <w:t xml:space="preserve">r Fundamental Rights (FRA) </w:t>
      </w:r>
      <w:r w:rsidR="007D5F64" w:rsidRPr="005C100D">
        <w:rPr>
          <w:rFonts w:eastAsia="Times New Roman" w:cs="Times New Roman"/>
          <w:sz w:val="24"/>
          <w:szCs w:val="24"/>
          <w:lang w:val="en-US" w:eastAsia="da-DK"/>
        </w:rPr>
        <w:t>of 2014</w:t>
      </w:r>
      <w:r w:rsidR="007D5F64" w:rsidRPr="005C100D">
        <w:rPr>
          <w:rStyle w:val="FootnoteReference"/>
          <w:rFonts w:eastAsia="Times New Roman"/>
          <w:sz w:val="24"/>
          <w:szCs w:val="24"/>
          <w:lang w:val="en-US"/>
        </w:rPr>
        <w:footnoteReference w:id="42"/>
      </w:r>
      <w:r w:rsidR="007D5F64" w:rsidRPr="005C100D">
        <w:rPr>
          <w:rFonts w:eastAsia="Times New Roman" w:cs="Times New Roman"/>
          <w:sz w:val="24"/>
          <w:szCs w:val="24"/>
          <w:lang w:val="en-US" w:eastAsia="da-DK"/>
        </w:rPr>
        <w:t xml:space="preserve"> </w:t>
      </w:r>
      <w:r w:rsidR="00C20616" w:rsidRPr="005C100D">
        <w:rPr>
          <w:rFonts w:eastAsia="Times New Roman" w:cs="Times New Roman"/>
          <w:sz w:val="24"/>
          <w:szCs w:val="24"/>
          <w:lang w:val="en-US" w:eastAsia="da-DK"/>
        </w:rPr>
        <w:t>showed that 30-39 % of Danish women had experienced physical and/or sexual partner violence since the age of 15 -  compar</w:t>
      </w:r>
      <w:r w:rsidR="00805EB5" w:rsidRPr="005C100D">
        <w:rPr>
          <w:rFonts w:eastAsia="Times New Roman" w:cs="Times New Roman"/>
          <w:sz w:val="24"/>
          <w:szCs w:val="24"/>
          <w:lang w:val="en-US" w:eastAsia="da-DK"/>
        </w:rPr>
        <w:t xml:space="preserve">ed to a lower EU average of 28%. </w:t>
      </w:r>
      <w:r w:rsidR="00C20616" w:rsidRPr="005C100D">
        <w:rPr>
          <w:rFonts w:eastAsia="Times New Roman" w:cs="Times New Roman"/>
          <w:sz w:val="24"/>
          <w:szCs w:val="24"/>
          <w:lang w:val="en-US" w:eastAsia="da-DK"/>
        </w:rPr>
        <w:t xml:space="preserve">The FRA study revealed that Denmark was at the top end of the scale on almost every parameter. </w:t>
      </w:r>
      <w:r w:rsidR="00C20616" w:rsidRPr="005C100D">
        <w:rPr>
          <w:sz w:val="24"/>
          <w:szCs w:val="24"/>
          <w:lang w:val="en-US"/>
        </w:rPr>
        <w:t xml:space="preserve">The study referred to a telephone survey of 3,552 women in Denmark that found – in addition to what mentioned above - that 50 % of women had experienced physical or sexual violence, or threat from a partner or a non-partner, since the age of 15. The FRA survey also found that in Denmark, 55 % of women have experienced physical and/or sexual violence or threat from a partner or a non-partner </w:t>
      </w:r>
      <w:r w:rsidR="00C20616" w:rsidRPr="005C100D">
        <w:rPr>
          <w:sz w:val="24"/>
          <w:szCs w:val="24"/>
          <w:lang w:val="en-US"/>
        </w:rPr>
        <w:lastRenderedPageBreak/>
        <w:t>since the age of 15.</w:t>
      </w:r>
      <w:r w:rsidR="00C20616" w:rsidRPr="005C100D">
        <w:rPr>
          <w:rStyle w:val="FootnoteReference"/>
          <w:sz w:val="24"/>
          <w:szCs w:val="24"/>
          <w:lang w:val="en-US"/>
        </w:rPr>
        <w:footnoteReference w:id="43"/>
      </w:r>
      <w:r w:rsidR="00C20616" w:rsidRPr="005C100D">
        <w:rPr>
          <w:sz w:val="24"/>
          <w:szCs w:val="24"/>
          <w:lang w:val="en-US"/>
        </w:rPr>
        <w:t xml:space="preserve">  Moreover, Denmark displayed a relatively high rate of partner violence, and 42 % of the most serious incidents of partner violence resulted in injuries. </w:t>
      </w:r>
      <w:r w:rsidR="00C20616" w:rsidRPr="005C100D">
        <w:rPr>
          <w:rStyle w:val="FootnoteReference"/>
          <w:sz w:val="24"/>
          <w:szCs w:val="24"/>
          <w:lang w:val="en-US"/>
        </w:rPr>
        <w:footnoteReference w:id="44"/>
      </w:r>
    </w:p>
    <w:p w:rsidR="00C20616" w:rsidRPr="005C100D" w:rsidRDefault="00C20616" w:rsidP="005C100D">
      <w:pPr>
        <w:shd w:val="clear" w:color="auto" w:fill="FFFFFF"/>
        <w:jc w:val="both"/>
        <w:rPr>
          <w:rFonts w:eastAsia="Times New Roman" w:cs="Times New Roman"/>
          <w:sz w:val="24"/>
          <w:szCs w:val="24"/>
          <w:lang w:val="en-US" w:eastAsia="da-DK"/>
        </w:rPr>
      </w:pPr>
      <w:r w:rsidRPr="005C100D">
        <w:rPr>
          <w:sz w:val="24"/>
          <w:szCs w:val="24"/>
          <w:lang w:val="en-US"/>
        </w:rPr>
        <w:t>Prevalence rates for sexual violence vary according to study design, methods and sample. However, it is well-documented that reports of rape have been stable in the past 30 years (400-600 per year).</w:t>
      </w:r>
      <w:r w:rsidRPr="005C100D">
        <w:rPr>
          <w:rStyle w:val="FootnoteReference"/>
          <w:sz w:val="24"/>
          <w:szCs w:val="24"/>
          <w:lang w:val="en-US"/>
        </w:rPr>
        <w:footnoteReference w:id="45"/>
      </w:r>
      <w:r w:rsidRPr="005C100D">
        <w:rPr>
          <w:sz w:val="24"/>
          <w:szCs w:val="24"/>
          <w:lang w:val="en-US"/>
        </w:rPr>
        <w:t xml:space="preserve"> This number of reported cases is very low compared to for example Sweden (app. 6,000 cases reported yearly).</w:t>
      </w:r>
    </w:p>
    <w:p w:rsidR="00C20616" w:rsidRPr="005C100D" w:rsidRDefault="00C20616" w:rsidP="005C100D">
      <w:pPr>
        <w:jc w:val="both"/>
        <w:rPr>
          <w:sz w:val="24"/>
          <w:szCs w:val="24"/>
          <w:lang w:val="en-US"/>
        </w:rPr>
      </w:pPr>
      <w:r w:rsidRPr="005C100D">
        <w:rPr>
          <w:sz w:val="24"/>
          <w:szCs w:val="24"/>
          <w:lang w:val="en-US"/>
        </w:rPr>
        <w:t>There is a need for strengthening and ensuring the legal rights of victims of sexual violence. A Danish report from 2010 showed that only 30 % of reported rapes come to trial, and less than one in five results in a conviction.</w:t>
      </w:r>
      <w:r w:rsidRPr="005C100D">
        <w:rPr>
          <w:rStyle w:val="FootnoteReference"/>
          <w:sz w:val="24"/>
          <w:szCs w:val="24"/>
          <w:lang w:val="en-US"/>
        </w:rPr>
        <w:footnoteReference w:id="46"/>
      </w:r>
      <w:r w:rsidR="009F68A5" w:rsidRPr="005C100D">
        <w:rPr>
          <w:sz w:val="24"/>
          <w:szCs w:val="24"/>
          <w:lang w:val="en-US"/>
        </w:rPr>
        <w:t xml:space="preserve"> </w:t>
      </w:r>
      <w:r w:rsidRPr="005C100D">
        <w:rPr>
          <w:sz w:val="24"/>
          <w:szCs w:val="24"/>
          <w:lang w:val="en-US"/>
        </w:rPr>
        <w:t>Moreover, there is a need to strengthen the support and treatment by the social and health system to victims of violence in intimate relations and their children and to do so through legislative amendments.</w:t>
      </w:r>
      <w:r w:rsidRPr="005C100D">
        <w:rPr>
          <w:rStyle w:val="FootnoteReference"/>
          <w:sz w:val="24"/>
          <w:szCs w:val="24"/>
          <w:lang w:val="en-US"/>
        </w:rPr>
        <w:footnoteReference w:id="47"/>
      </w:r>
    </w:p>
    <w:p w:rsidR="00AC6076" w:rsidRPr="005C100D" w:rsidRDefault="00AC6076" w:rsidP="005C100D">
      <w:pPr>
        <w:jc w:val="both"/>
        <w:rPr>
          <w:sz w:val="24"/>
          <w:szCs w:val="24"/>
          <w:lang w:val="en-US"/>
        </w:rPr>
      </w:pPr>
      <w:r w:rsidRPr="005C100D">
        <w:rPr>
          <w:sz w:val="24"/>
          <w:szCs w:val="24"/>
          <w:lang w:val="en-US"/>
        </w:rPr>
        <w:t xml:space="preserve">The access to shelters is limited for women with physical disabilities as only a limited number of shelters are accessible for wheelchair users. </w:t>
      </w:r>
      <w:r w:rsidRPr="005C100D">
        <w:rPr>
          <w:rStyle w:val="FootnoteReference"/>
          <w:sz w:val="24"/>
          <w:szCs w:val="24"/>
          <w:lang w:val="en-US"/>
        </w:rPr>
        <w:footnoteReference w:id="48"/>
      </w:r>
      <w:r w:rsidRPr="005C100D">
        <w:rPr>
          <w:sz w:val="24"/>
          <w:szCs w:val="24"/>
          <w:lang w:val="en-US"/>
        </w:rPr>
        <w:t xml:space="preserve"> In some areas of the country there are long distances to the nearest accessible shelter. This limits the options both for women with disabilities and for mothers to children with disabilities</w:t>
      </w:r>
      <w:r w:rsidR="0087458C">
        <w:rPr>
          <w:sz w:val="24"/>
          <w:szCs w:val="24"/>
          <w:lang w:val="en-US"/>
        </w:rPr>
        <w:t>,</w:t>
      </w:r>
      <w:r w:rsidRPr="005C100D">
        <w:rPr>
          <w:sz w:val="24"/>
          <w:szCs w:val="24"/>
          <w:lang w:val="en-US"/>
        </w:rPr>
        <w:t xml:space="preserve"> as they are forced to stay in a violent relationship or leave the disabled child with a violent partner.</w:t>
      </w:r>
    </w:p>
    <w:p w:rsidR="00C20616" w:rsidRPr="005C100D" w:rsidRDefault="00C20616" w:rsidP="005C100D">
      <w:pPr>
        <w:jc w:val="both"/>
        <w:rPr>
          <w:sz w:val="24"/>
          <w:szCs w:val="24"/>
          <w:lang w:val="en-GB"/>
        </w:rPr>
      </w:pPr>
      <w:r w:rsidRPr="005C100D">
        <w:rPr>
          <w:sz w:val="24"/>
          <w:szCs w:val="24"/>
          <w:lang w:val="en-GB"/>
        </w:rPr>
        <w:t>In its recent Concluding Observations concerning Denmark</w:t>
      </w:r>
      <w:r w:rsidRPr="005C100D">
        <w:rPr>
          <w:rStyle w:val="FootnoteReference"/>
          <w:sz w:val="24"/>
          <w:szCs w:val="24"/>
          <w:lang w:val="en-GB"/>
        </w:rPr>
        <w:footnoteReference w:id="49"/>
      </w:r>
      <w:r w:rsidRPr="005C100D">
        <w:rPr>
          <w:sz w:val="24"/>
          <w:szCs w:val="24"/>
          <w:lang w:val="en-GB"/>
        </w:rPr>
        <w:t>, the Committee on the Elimination of All Forms of Discrimination against Women recommended Denmark to incorporate the Convention on the Elimination of All Forms of Discrimination against Women or at leas</w:t>
      </w:r>
      <w:r w:rsidR="007D5F64" w:rsidRPr="005C100D">
        <w:rPr>
          <w:sz w:val="24"/>
          <w:szCs w:val="24"/>
          <w:lang w:val="en-GB"/>
        </w:rPr>
        <w:t>t to adopt relevant legislation.</w:t>
      </w:r>
      <w:r w:rsidR="007D5F64" w:rsidRPr="005C100D">
        <w:rPr>
          <w:rStyle w:val="FootnoteReference"/>
          <w:sz w:val="24"/>
          <w:szCs w:val="24"/>
          <w:lang w:val="en-GB"/>
        </w:rPr>
        <w:footnoteReference w:id="50"/>
      </w:r>
      <w:r w:rsidR="00752448">
        <w:rPr>
          <w:sz w:val="24"/>
          <w:szCs w:val="24"/>
          <w:lang w:val="en-GB"/>
        </w:rPr>
        <w:t xml:space="preserve"> We also refer to the Concluding Observations of the Committee against Torture last year.</w:t>
      </w:r>
      <w:r w:rsidR="00752448">
        <w:rPr>
          <w:rStyle w:val="FootnoteReference"/>
          <w:sz w:val="24"/>
          <w:szCs w:val="24"/>
          <w:lang w:val="en-GB"/>
        </w:rPr>
        <w:footnoteReference w:id="51"/>
      </w:r>
    </w:p>
    <w:p w:rsidR="00C20616" w:rsidRPr="005C100D" w:rsidRDefault="00C75185" w:rsidP="005C100D">
      <w:pPr>
        <w:jc w:val="both"/>
        <w:rPr>
          <w:rFonts w:eastAsia="Malgun Gothic"/>
          <w:bCs/>
          <w:sz w:val="24"/>
          <w:szCs w:val="24"/>
          <w:lang w:val="en-US"/>
        </w:rPr>
      </w:pPr>
      <w:r w:rsidRPr="005C100D">
        <w:rPr>
          <w:rFonts w:eastAsia="Malgun Gothic"/>
          <w:b/>
          <w:sz w:val="24"/>
          <w:szCs w:val="24"/>
          <w:lang w:val="en-US"/>
        </w:rPr>
        <w:t>We suggest</w:t>
      </w:r>
      <w:r w:rsidR="00C20616" w:rsidRPr="005C100D">
        <w:rPr>
          <w:rFonts w:eastAsia="Malgun Gothic"/>
          <w:bCs/>
          <w:sz w:val="24"/>
          <w:szCs w:val="24"/>
          <w:lang w:val="en-US"/>
        </w:rPr>
        <w:t xml:space="preserve"> that </w:t>
      </w:r>
      <w:r w:rsidRPr="005C100D">
        <w:rPr>
          <w:rFonts w:eastAsia="Malgun Gothic"/>
          <w:bCs/>
          <w:sz w:val="24"/>
          <w:szCs w:val="24"/>
          <w:lang w:val="en-US"/>
        </w:rPr>
        <w:t>Denmark</w:t>
      </w:r>
      <w:r w:rsidR="00C20616" w:rsidRPr="005C100D">
        <w:rPr>
          <w:rFonts w:eastAsia="Malgun Gothic"/>
          <w:bCs/>
          <w:sz w:val="24"/>
          <w:szCs w:val="24"/>
          <w:lang w:val="en-US"/>
        </w:rPr>
        <w:t xml:space="preserve"> </w:t>
      </w:r>
      <w:r w:rsidR="007D5F64" w:rsidRPr="005C100D">
        <w:rPr>
          <w:rFonts w:eastAsia="Malgun Gothic"/>
          <w:bCs/>
          <w:sz w:val="24"/>
          <w:szCs w:val="24"/>
          <w:lang w:val="en-US"/>
        </w:rPr>
        <w:t>in accordance with i</w:t>
      </w:r>
      <w:r w:rsidR="001F0F15">
        <w:rPr>
          <w:rFonts w:eastAsia="Malgun Gothic"/>
          <w:bCs/>
          <w:sz w:val="24"/>
          <w:szCs w:val="24"/>
          <w:lang w:val="en-US"/>
        </w:rPr>
        <w:t xml:space="preserve">ts obligations under the ICCPR </w:t>
      </w:r>
      <w:r w:rsidR="00C20616" w:rsidRPr="005C100D">
        <w:rPr>
          <w:rFonts w:eastAsia="Malgun Gothic"/>
          <w:bCs/>
          <w:sz w:val="24"/>
          <w:szCs w:val="24"/>
          <w:lang w:val="en-US"/>
        </w:rPr>
        <w:t xml:space="preserve">intensify its efforts to combat all forms of violence against women, including domestic violence and rape, in particular by: </w:t>
      </w:r>
    </w:p>
    <w:p w:rsidR="00C20616" w:rsidRPr="005C100D" w:rsidRDefault="00C20616" w:rsidP="005C100D">
      <w:pPr>
        <w:pStyle w:val="ListParagraph"/>
        <w:numPr>
          <w:ilvl w:val="0"/>
          <w:numId w:val="19"/>
        </w:numPr>
        <w:jc w:val="both"/>
        <w:rPr>
          <w:rFonts w:eastAsia="Malgun Gothic"/>
          <w:bCs/>
          <w:sz w:val="24"/>
          <w:szCs w:val="24"/>
          <w:lang w:val="en-US"/>
        </w:rPr>
      </w:pPr>
      <w:r w:rsidRPr="005C100D">
        <w:rPr>
          <w:rFonts w:eastAsia="Malgun Gothic"/>
          <w:bCs/>
          <w:sz w:val="24"/>
          <w:szCs w:val="24"/>
          <w:lang w:val="en-US"/>
        </w:rPr>
        <w:lastRenderedPageBreak/>
        <w:t>Conducting awareness-raising campaigns for the public at large and, in particular, providing training on domestic violence issues for law enforcement personnel, judges, lawyers and social workers who interact with the alleged and actual victims, in order to prevent and prosecute gender-based violence.</w:t>
      </w:r>
    </w:p>
    <w:p w:rsidR="00C20616" w:rsidRPr="005C100D" w:rsidRDefault="00C20616" w:rsidP="005C100D">
      <w:pPr>
        <w:pStyle w:val="ListParagraph"/>
        <w:numPr>
          <w:ilvl w:val="0"/>
          <w:numId w:val="19"/>
        </w:numPr>
        <w:jc w:val="both"/>
        <w:rPr>
          <w:rFonts w:eastAsia="Malgun Gothic"/>
          <w:bCs/>
          <w:sz w:val="24"/>
          <w:szCs w:val="24"/>
          <w:lang w:val="en-US"/>
        </w:rPr>
      </w:pPr>
      <w:r w:rsidRPr="005C100D">
        <w:rPr>
          <w:rFonts w:eastAsia="Malgun Gothic"/>
          <w:bCs/>
          <w:sz w:val="24"/>
          <w:szCs w:val="24"/>
          <w:lang w:val="en-US"/>
        </w:rPr>
        <w:t xml:space="preserve">Adopting </w:t>
      </w:r>
      <w:r w:rsidRPr="005C100D">
        <w:rPr>
          <w:rFonts w:cstheme="majorBidi"/>
          <w:bCs/>
          <w:sz w:val="24"/>
          <w:szCs w:val="24"/>
          <w:lang w:val="en-US"/>
        </w:rPr>
        <w:t>a specific legislation on the rights of victims of domestic violence, including regarding the right to receive counselling and long-term psychological treatment.</w:t>
      </w:r>
    </w:p>
    <w:p w:rsidR="00AC6076" w:rsidRPr="005C100D" w:rsidRDefault="00C20616" w:rsidP="005C100D">
      <w:pPr>
        <w:pStyle w:val="ListParagraph"/>
        <w:numPr>
          <w:ilvl w:val="0"/>
          <w:numId w:val="19"/>
        </w:numPr>
        <w:jc w:val="both"/>
        <w:rPr>
          <w:rFonts w:eastAsia="Malgun Gothic"/>
          <w:bCs/>
          <w:sz w:val="24"/>
          <w:szCs w:val="24"/>
          <w:lang w:val="en-US"/>
        </w:rPr>
      </w:pPr>
      <w:r w:rsidRPr="005C100D">
        <w:rPr>
          <w:rFonts w:cstheme="majorBidi"/>
          <w:bCs/>
          <w:sz w:val="24"/>
          <w:szCs w:val="24"/>
          <w:lang w:val="en-US"/>
        </w:rPr>
        <w:t>Adopting a national plan of action for the prevention of sexual violence and for ensuring the legal right</w:t>
      </w:r>
      <w:r w:rsidR="00AC6076" w:rsidRPr="005C100D">
        <w:rPr>
          <w:rFonts w:cstheme="majorBidi"/>
          <w:bCs/>
          <w:sz w:val="24"/>
          <w:szCs w:val="24"/>
          <w:lang w:val="en-US"/>
        </w:rPr>
        <w:t xml:space="preserve">s of victims of sexual violence, and including in the plan reconstruction of shelters to make them fully wheelchair accessible. </w:t>
      </w:r>
    </w:p>
    <w:p w:rsidR="00C20616" w:rsidRPr="005C100D" w:rsidRDefault="00C20616" w:rsidP="005C100D">
      <w:pPr>
        <w:pStyle w:val="ListParagraph"/>
        <w:jc w:val="both"/>
        <w:rPr>
          <w:rFonts w:eastAsia="Malgun Gothic"/>
          <w:bCs/>
          <w:sz w:val="24"/>
          <w:szCs w:val="24"/>
          <w:lang w:val="en-US"/>
        </w:rPr>
      </w:pPr>
    </w:p>
    <w:p w:rsidR="00590D6E" w:rsidRDefault="00590D6E" w:rsidP="005C100D">
      <w:pPr>
        <w:pStyle w:val="Heading3"/>
        <w:spacing w:after="240"/>
        <w:jc w:val="both"/>
        <w:rPr>
          <w:lang w:val="en-US"/>
        </w:rPr>
      </w:pPr>
      <w:bookmarkStart w:id="8" w:name="_Toc451866546"/>
      <w:r w:rsidRPr="005C100D">
        <w:rPr>
          <w:lang w:val="en-US"/>
        </w:rPr>
        <w:t>PROHIBITION OF TORTURE AND OF OTHER CRUEL, INUMAN OR DEGRADING TREATMENT OR PUNISHMENT, EXCESSIVE USE OF FORCE, SECURITY OF PERSON AND TREATMENT OF PRISONERS, AND JUVENILE JUSTICE (</w:t>
      </w:r>
      <w:r w:rsidRPr="005C100D">
        <w:rPr>
          <w:b/>
          <w:bCs/>
          <w:lang w:val="en-US"/>
        </w:rPr>
        <w:t xml:space="preserve">Articles 3, 6, 7, 9, 10 and 24; </w:t>
      </w:r>
      <w:r w:rsidRPr="005C100D">
        <w:rPr>
          <w:lang w:val="en-US"/>
        </w:rPr>
        <w:t>LOI PARA 13-15)</w:t>
      </w:r>
      <w:bookmarkEnd w:id="8"/>
    </w:p>
    <w:p w:rsidR="00DF1A97" w:rsidRPr="00DF1A97" w:rsidRDefault="00C7189F" w:rsidP="00DF1A97">
      <w:pPr>
        <w:rPr>
          <w:lang w:val="en-US"/>
        </w:rPr>
      </w:pPr>
      <w:r>
        <w:rPr>
          <w:lang w:val="en-US"/>
        </w:rPr>
        <w:t>The following</w:t>
      </w:r>
      <w:r w:rsidR="00DF1A97">
        <w:rPr>
          <w:lang w:val="en-US"/>
        </w:rPr>
        <w:t xml:space="preserve"> eight issues will be discussed under the above heading:</w:t>
      </w:r>
    </w:p>
    <w:p w:rsidR="001011F4" w:rsidRPr="005C100D" w:rsidRDefault="001011F4" w:rsidP="005C100D">
      <w:pPr>
        <w:pStyle w:val="ListParagraph"/>
        <w:numPr>
          <w:ilvl w:val="0"/>
          <w:numId w:val="13"/>
        </w:numPr>
        <w:jc w:val="both"/>
        <w:rPr>
          <w:i/>
          <w:sz w:val="24"/>
          <w:szCs w:val="24"/>
          <w:u w:val="single"/>
          <w:lang w:val="en-GB"/>
        </w:rPr>
      </w:pPr>
      <w:r w:rsidRPr="005C100D">
        <w:rPr>
          <w:i/>
          <w:sz w:val="24"/>
          <w:szCs w:val="24"/>
          <w:u w:val="single"/>
          <w:lang w:val="en-GB"/>
        </w:rPr>
        <w:t>Criminalisation of torture (LOIPR 13 (a))</w:t>
      </w:r>
    </w:p>
    <w:p w:rsidR="001011F4" w:rsidRPr="005C100D" w:rsidRDefault="001011F4" w:rsidP="005C100D">
      <w:pPr>
        <w:jc w:val="both"/>
        <w:rPr>
          <w:sz w:val="24"/>
          <w:szCs w:val="24"/>
          <w:lang w:val="en-GB"/>
        </w:rPr>
      </w:pPr>
      <w:r w:rsidRPr="005C100D">
        <w:rPr>
          <w:sz w:val="24"/>
          <w:szCs w:val="24"/>
          <w:lang w:val="en-GB"/>
        </w:rPr>
        <w:t xml:space="preserve">The question whether Denmark has a legal obligation to introduce a specific crime of torture in national legislation has been challenged by successive Danish governments. Denmark has repeatedly insisted on </w:t>
      </w:r>
      <w:r w:rsidRPr="005C100D">
        <w:rPr>
          <w:i/>
          <w:sz w:val="24"/>
          <w:szCs w:val="24"/>
          <w:lang w:val="en-GB"/>
        </w:rPr>
        <w:t>not</w:t>
      </w:r>
      <w:r w:rsidRPr="005C100D">
        <w:rPr>
          <w:sz w:val="24"/>
          <w:szCs w:val="24"/>
          <w:lang w:val="en-GB"/>
        </w:rPr>
        <w:t xml:space="preserve"> having such legal obligation. According to Denmark’s Committee on Criminal Law’s report no. 1494/2008 on ‘a torture provision in the criminal code’</w:t>
      </w:r>
      <w:r w:rsidRPr="005C100D">
        <w:rPr>
          <w:rStyle w:val="FootnoteReference"/>
          <w:sz w:val="24"/>
          <w:szCs w:val="24"/>
          <w:lang w:val="en-GB"/>
        </w:rPr>
        <w:footnoteReference w:id="52"/>
      </w:r>
      <w:r w:rsidRPr="005C100D">
        <w:rPr>
          <w:sz w:val="24"/>
          <w:szCs w:val="24"/>
          <w:lang w:val="en-GB"/>
        </w:rPr>
        <w:t xml:space="preserve">  Denmark is not under any international legal obligation to introduce a definition of torture or the crime of torture in Danish criminal law. The international legal obligation is interpreted as exclusively consisting of an obligation to ensure that all acts of torture are punishable by appropriate penalties. Furthermore, the Committee on Criminal Law found that the introduction of a specific offence of torture in the Criminal Code would be difficult to reconcile with the current structure of the law. It should be noted that the Criminal Code does not have a distinct chapter on crimes under international law. The reasoning was that acts of torture may have very different forms and purposes, and a specific torture offence could lead to problems regarding delimitation and collision, and possibly ‘double criminalisation’. </w:t>
      </w:r>
    </w:p>
    <w:p w:rsidR="001011F4" w:rsidRPr="005C100D" w:rsidRDefault="001011F4" w:rsidP="005C100D">
      <w:pPr>
        <w:jc w:val="both"/>
        <w:rPr>
          <w:rFonts w:cs="Arial"/>
          <w:color w:val="000000"/>
          <w:sz w:val="24"/>
          <w:szCs w:val="24"/>
          <w:lang w:val="en-GB"/>
        </w:rPr>
      </w:pPr>
      <w:r w:rsidRPr="005C100D">
        <w:rPr>
          <w:rFonts w:cs="Arial"/>
          <w:color w:val="000000"/>
          <w:sz w:val="24"/>
          <w:szCs w:val="24"/>
          <w:lang w:val="en-GB"/>
        </w:rPr>
        <w:t>Several other European states have adopted a specific provision in their national criminal legislation defining and prohibiting torture.</w:t>
      </w:r>
      <w:r w:rsidRPr="005C100D">
        <w:rPr>
          <w:rStyle w:val="FootnoteReference"/>
          <w:color w:val="000000"/>
          <w:sz w:val="24"/>
          <w:szCs w:val="24"/>
          <w:lang w:val="en-GB"/>
        </w:rPr>
        <w:footnoteReference w:id="53"/>
      </w:r>
      <w:r w:rsidRPr="005C100D">
        <w:rPr>
          <w:rFonts w:cs="Arial"/>
          <w:color w:val="000000"/>
          <w:sz w:val="24"/>
          <w:szCs w:val="24"/>
          <w:lang w:val="en-GB"/>
        </w:rPr>
        <w:t xml:space="preserve"> Some of these states have underlined the important symbolic value of such criminalisation. For instance, Norway decided to introduce a specific torture provision </w:t>
      </w:r>
      <w:r w:rsidRPr="005C100D">
        <w:rPr>
          <w:rFonts w:cs="Arial"/>
          <w:color w:val="000000"/>
          <w:sz w:val="24"/>
          <w:szCs w:val="24"/>
          <w:lang w:val="en-GB"/>
        </w:rPr>
        <w:lastRenderedPageBreak/>
        <w:t xml:space="preserve">in 2004, although the crime of torture was already covered by existing provisions, and Sweden has most recently decided to </w:t>
      </w:r>
      <w:r w:rsidR="00AB6BF9" w:rsidRPr="005C100D">
        <w:rPr>
          <w:rFonts w:cs="Arial"/>
          <w:color w:val="000000"/>
          <w:sz w:val="24"/>
          <w:szCs w:val="24"/>
          <w:lang w:val="en-GB"/>
        </w:rPr>
        <w:t>reconsider the issue</w:t>
      </w:r>
      <w:r w:rsidRPr="005C100D">
        <w:rPr>
          <w:rFonts w:cs="Arial"/>
          <w:color w:val="000000"/>
          <w:sz w:val="24"/>
          <w:szCs w:val="24"/>
          <w:lang w:val="en-GB"/>
        </w:rPr>
        <w:t xml:space="preserve">.  </w:t>
      </w:r>
    </w:p>
    <w:p w:rsidR="002C3F9D" w:rsidRPr="005C100D" w:rsidRDefault="001011F4" w:rsidP="005C100D">
      <w:pPr>
        <w:autoSpaceDE w:val="0"/>
        <w:autoSpaceDN w:val="0"/>
        <w:adjustRightInd w:val="0"/>
        <w:jc w:val="both"/>
        <w:rPr>
          <w:rFonts w:cs="Arial"/>
          <w:color w:val="000000"/>
          <w:sz w:val="24"/>
          <w:szCs w:val="24"/>
          <w:lang w:val="en-GB"/>
        </w:rPr>
      </w:pPr>
      <w:r w:rsidRPr="005C100D">
        <w:rPr>
          <w:rFonts w:cs="Arial"/>
          <w:color w:val="000000"/>
          <w:sz w:val="24"/>
          <w:szCs w:val="24"/>
          <w:lang w:val="en-GB"/>
        </w:rPr>
        <w:t>Denmark has so far rejected to introduce a torture provision in the Criminal Code solely for its symbolic value. Nevertheless, Denmark has on other occasions introduced provisions in the Criminal Code exclusively to mark the society’s rejection of a particular crime. A case in point is the introduction in 2003 of a specific provision on female circumcision in the Crim</w:t>
      </w:r>
      <w:r w:rsidR="00311036" w:rsidRPr="005C100D">
        <w:rPr>
          <w:rFonts w:cs="Arial"/>
          <w:color w:val="000000"/>
          <w:sz w:val="24"/>
          <w:szCs w:val="24"/>
          <w:lang w:val="en-GB"/>
        </w:rPr>
        <w:t xml:space="preserve">inal Code. </w:t>
      </w:r>
    </w:p>
    <w:p w:rsidR="001011F4" w:rsidRPr="005C100D" w:rsidRDefault="001011F4" w:rsidP="005C100D">
      <w:pPr>
        <w:autoSpaceDE w:val="0"/>
        <w:autoSpaceDN w:val="0"/>
        <w:adjustRightInd w:val="0"/>
        <w:jc w:val="both"/>
        <w:rPr>
          <w:rFonts w:cs="Arial"/>
          <w:color w:val="000000"/>
          <w:sz w:val="24"/>
          <w:szCs w:val="24"/>
          <w:lang w:val="en-GB"/>
        </w:rPr>
      </w:pPr>
      <w:r w:rsidRPr="005C100D">
        <w:rPr>
          <w:sz w:val="24"/>
          <w:szCs w:val="24"/>
          <w:lang w:val="en-GB"/>
        </w:rPr>
        <w:t>Nonetheless, following the recommendation of the UN Committee against Torture to Denmark in 2007, the Danish parliament amended national criminal legislation in 2008 and introduced torture as an aggravating circumstance in section 157a of the Criminal Code and section 27a of the Military Criminal Code.</w:t>
      </w:r>
      <w:r w:rsidRPr="005C100D">
        <w:rPr>
          <w:rStyle w:val="FootnoteReference"/>
          <w:sz w:val="24"/>
          <w:szCs w:val="24"/>
          <w:lang w:val="en-GB"/>
        </w:rPr>
        <w:footnoteReference w:id="54"/>
      </w:r>
      <w:r w:rsidRPr="005C100D">
        <w:rPr>
          <w:sz w:val="24"/>
          <w:szCs w:val="24"/>
          <w:lang w:val="en-GB"/>
        </w:rPr>
        <w:t xml:space="preserve">  It is noteworthy that while torture is considered as one of the most serious crimes under international law and a peremptory norm (</w:t>
      </w:r>
      <w:r w:rsidRPr="005C100D">
        <w:rPr>
          <w:i/>
          <w:sz w:val="24"/>
          <w:szCs w:val="24"/>
          <w:lang w:val="en-GB"/>
        </w:rPr>
        <w:t xml:space="preserve">jus </w:t>
      </w:r>
      <w:proofErr w:type="spellStart"/>
      <w:r w:rsidRPr="005C100D">
        <w:rPr>
          <w:i/>
          <w:sz w:val="24"/>
          <w:szCs w:val="24"/>
          <w:lang w:val="en-GB"/>
        </w:rPr>
        <w:t>cogens</w:t>
      </w:r>
      <w:proofErr w:type="spellEnd"/>
      <w:r w:rsidRPr="005C100D">
        <w:rPr>
          <w:sz w:val="24"/>
          <w:szCs w:val="24"/>
          <w:lang w:val="en-GB"/>
        </w:rPr>
        <w:t>), the very same acts of torture are merely considered as an aggravating circumstance under Danish law.</w:t>
      </w:r>
      <w:r w:rsidRPr="005C100D">
        <w:rPr>
          <w:rStyle w:val="FootnoteReference"/>
          <w:sz w:val="24"/>
          <w:szCs w:val="24"/>
          <w:lang w:val="en-GB"/>
        </w:rPr>
        <w:footnoteReference w:id="55"/>
      </w:r>
      <w:r w:rsidRPr="005C100D">
        <w:rPr>
          <w:sz w:val="24"/>
          <w:szCs w:val="24"/>
          <w:lang w:val="en-GB"/>
        </w:rPr>
        <w:t xml:space="preserve"> </w:t>
      </w:r>
    </w:p>
    <w:p w:rsidR="0051098D" w:rsidRPr="005C100D" w:rsidRDefault="0051098D" w:rsidP="005C100D">
      <w:pPr>
        <w:spacing w:before="200"/>
        <w:jc w:val="both"/>
        <w:rPr>
          <w:rFonts w:eastAsia="Times New Roman" w:cstheme="majorBidi"/>
          <w:b/>
          <w:sz w:val="24"/>
          <w:szCs w:val="24"/>
          <w:lang w:val="en-GB" w:eastAsia="fr-CH"/>
        </w:rPr>
      </w:pPr>
      <w:r w:rsidRPr="005C100D">
        <w:rPr>
          <w:rFonts w:eastAsia="Times New Roman" w:cstheme="majorBidi"/>
          <w:b/>
          <w:sz w:val="24"/>
          <w:szCs w:val="24"/>
          <w:lang w:val="en-GB" w:eastAsia="fr-CH"/>
        </w:rPr>
        <w:t xml:space="preserve">We would recommend that the Committee reiterate its recommendation 2008 re criminalisation of torture. </w:t>
      </w:r>
    </w:p>
    <w:p w:rsidR="001011F4" w:rsidRPr="005C100D" w:rsidRDefault="001011F4" w:rsidP="005C100D">
      <w:pPr>
        <w:pStyle w:val="ListParagraph"/>
        <w:numPr>
          <w:ilvl w:val="0"/>
          <w:numId w:val="13"/>
        </w:numPr>
        <w:spacing w:before="200"/>
        <w:jc w:val="both"/>
        <w:rPr>
          <w:rFonts w:eastAsia="Times New Roman" w:cstheme="majorBidi"/>
          <w:i/>
          <w:sz w:val="24"/>
          <w:szCs w:val="24"/>
          <w:u w:val="single"/>
          <w:lang w:val="en-GB" w:eastAsia="fr-CH"/>
        </w:rPr>
      </w:pPr>
      <w:r w:rsidRPr="005C100D">
        <w:rPr>
          <w:rFonts w:eastAsia="Times New Roman" w:cstheme="majorBidi"/>
          <w:i/>
          <w:sz w:val="24"/>
          <w:szCs w:val="24"/>
          <w:u w:val="single"/>
          <w:lang w:val="en-GB" w:eastAsia="fr-CH"/>
        </w:rPr>
        <w:t xml:space="preserve">Statute of limitation </w:t>
      </w:r>
      <w:r w:rsidR="0051098D" w:rsidRPr="005C100D">
        <w:rPr>
          <w:rFonts w:eastAsia="Times New Roman" w:cstheme="majorBidi"/>
          <w:i/>
          <w:sz w:val="24"/>
          <w:szCs w:val="24"/>
          <w:u w:val="single"/>
          <w:lang w:val="en-GB" w:eastAsia="fr-CH"/>
        </w:rPr>
        <w:t>(LOIPR PARA 13 (B)</w:t>
      </w:r>
    </w:p>
    <w:p w:rsidR="001011F4" w:rsidRPr="005C100D" w:rsidRDefault="001011F4" w:rsidP="005C100D">
      <w:pPr>
        <w:autoSpaceDE w:val="0"/>
        <w:autoSpaceDN w:val="0"/>
        <w:adjustRightInd w:val="0"/>
        <w:jc w:val="both"/>
        <w:rPr>
          <w:rFonts w:eastAsia="Times New Roman" w:cstheme="majorBidi"/>
          <w:sz w:val="24"/>
          <w:szCs w:val="24"/>
          <w:lang w:val="en-GB" w:eastAsia="fr-CH"/>
        </w:rPr>
      </w:pPr>
      <w:r w:rsidRPr="005C100D">
        <w:rPr>
          <w:sz w:val="24"/>
          <w:szCs w:val="24"/>
          <w:lang w:val="en-GB"/>
        </w:rPr>
        <w:t>Positively, following the above mentioned legislative amendment in 2008, acts of torture are no longer subject to any statute of limitation, cf. section 93b of the Criminal Code and section 10a of the Military Criminal Code</w:t>
      </w:r>
      <w:r w:rsidR="0051098D" w:rsidRPr="005C100D">
        <w:rPr>
          <w:sz w:val="24"/>
          <w:szCs w:val="24"/>
          <w:lang w:val="en-GB"/>
        </w:rPr>
        <w:t xml:space="preserve"> (see also National Report para 116)</w:t>
      </w:r>
      <w:r w:rsidRPr="005C100D">
        <w:rPr>
          <w:sz w:val="24"/>
          <w:szCs w:val="24"/>
          <w:lang w:val="en-GB"/>
        </w:rPr>
        <w:t>.</w:t>
      </w:r>
      <w:r w:rsidRPr="005C100D">
        <w:rPr>
          <w:rFonts w:eastAsia="Times New Roman" w:cstheme="majorBidi"/>
          <w:sz w:val="24"/>
          <w:szCs w:val="24"/>
          <w:lang w:val="en-GB" w:eastAsia="fr-CH"/>
        </w:rPr>
        <w:t xml:space="preserve"> </w:t>
      </w:r>
      <w:r w:rsidR="0051098D" w:rsidRPr="005C100D">
        <w:rPr>
          <w:rStyle w:val="FootnoteReference"/>
          <w:rFonts w:eastAsia="Times New Roman" w:cstheme="majorBidi"/>
          <w:sz w:val="24"/>
          <w:szCs w:val="24"/>
          <w:lang w:val="en-GB" w:eastAsia="fr-CH"/>
        </w:rPr>
        <w:footnoteReference w:id="56"/>
      </w:r>
      <w:r w:rsidR="0051098D" w:rsidRPr="005C100D">
        <w:rPr>
          <w:rFonts w:eastAsia="Times New Roman" w:cstheme="majorBidi"/>
          <w:sz w:val="24"/>
          <w:szCs w:val="24"/>
          <w:lang w:val="en-GB" w:eastAsia="fr-CH"/>
        </w:rPr>
        <w:t xml:space="preserve"> However, the amendments were limited to criminal liability, and the normal rules regarding statute of limitations still apply in civil cases. This deficiency prompted recently the Committee against Torture to recommend to Denmark to ensure that there is no limitation of civil claims (para 17</w:t>
      </w:r>
      <w:r w:rsidR="00F33949" w:rsidRPr="005C100D">
        <w:rPr>
          <w:rFonts w:eastAsia="Times New Roman" w:cstheme="majorBidi"/>
          <w:sz w:val="24"/>
          <w:szCs w:val="24"/>
          <w:lang w:val="en-GB" w:eastAsia="fr-CH"/>
        </w:rPr>
        <w:t xml:space="preserve"> in the Concluding Observations</w:t>
      </w:r>
      <w:r w:rsidR="0051098D" w:rsidRPr="005C100D">
        <w:rPr>
          <w:rFonts w:eastAsia="Times New Roman" w:cstheme="majorBidi"/>
          <w:sz w:val="24"/>
          <w:szCs w:val="24"/>
          <w:lang w:val="en-GB" w:eastAsia="fr-CH"/>
        </w:rPr>
        <w:t>):</w:t>
      </w:r>
    </w:p>
    <w:p w:rsidR="0051098D" w:rsidRPr="00F72020" w:rsidRDefault="0051098D" w:rsidP="005C100D">
      <w:pPr>
        <w:spacing w:after="228" w:line="258" w:lineRule="auto"/>
        <w:ind w:left="1304" w:right="1124"/>
        <w:jc w:val="both"/>
        <w:rPr>
          <w:i/>
          <w:sz w:val="18"/>
          <w:szCs w:val="18"/>
          <w:lang w:val="en-US"/>
        </w:rPr>
      </w:pPr>
      <w:r w:rsidRPr="00F72020">
        <w:rPr>
          <w:rFonts w:eastAsia="Times New Roman" w:cs="Times New Roman"/>
          <w:i/>
          <w:sz w:val="18"/>
          <w:szCs w:val="18"/>
          <w:lang w:val="en-US"/>
        </w:rPr>
        <w:t>Recalling the continuous nature of the effects of torture and that, for many victims, passage of time does not attenuate the harm, the Committee recommends that the State party take the necessary legal measures to ensure that civil proceedings related to torture and ill-treatment are not subject to statutes of limitations, which could deprive victims of the redress, compensation and rehabilitation due to them, as referred to in paragraph 40 of the Committee’s general comment No. 3 (2012).</w:t>
      </w:r>
      <w:r w:rsidRPr="00F72020">
        <w:rPr>
          <w:i/>
          <w:sz w:val="18"/>
          <w:szCs w:val="18"/>
          <w:lang w:val="en-US"/>
        </w:rPr>
        <w:t xml:space="preserve"> </w:t>
      </w:r>
    </w:p>
    <w:p w:rsidR="00F33949" w:rsidRPr="005C100D" w:rsidRDefault="00F33949" w:rsidP="005C100D">
      <w:pPr>
        <w:autoSpaceDE w:val="0"/>
        <w:autoSpaceDN w:val="0"/>
        <w:adjustRightInd w:val="0"/>
        <w:jc w:val="both"/>
        <w:rPr>
          <w:rFonts w:eastAsia="Times New Roman" w:cstheme="majorBidi"/>
          <w:bCs/>
          <w:sz w:val="24"/>
          <w:szCs w:val="24"/>
          <w:lang w:val="en-US" w:eastAsia="fr-CH"/>
        </w:rPr>
      </w:pPr>
      <w:r w:rsidRPr="005C100D">
        <w:rPr>
          <w:rFonts w:eastAsia="Times New Roman" w:cstheme="majorBidi"/>
          <w:bCs/>
          <w:sz w:val="24"/>
          <w:szCs w:val="24"/>
          <w:lang w:val="en-US" w:eastAsia="fr-CH"/>
        </w:rPr>
        <w:lastRenderedPageBreak/>
        <w:t>This recommendation has not been followed by Denmark and in the current case involving 23 Iraqis against the Danish Ministry of Defense, the Ministry will continue to rely upon the Danish rules regarding statute of limitation in order to have the case dismissed.</w:t>
      </w:r>
    </w:p>
    <w:p w:rsidR="0051098D" w:rsidRPr="005C100D" w:rsidRDefault="0051098D" w:rsidP="005C100D">
      <w:pPr>
        <w:autoSpaceDE w:val="0"/>
        <w:autoSpaceDN w:val="0"/>
        <w:adjustRightInd w:val="0"/>
        <w:jc w:val="both"/>
        <w:rPr>
          <w:rFonts w:eastAsia="Times New Roman" w:cstheme="majorBidi"/>
          <w:sz w:val="24"/>
          <w:szCs w:val="24"/>
          <w:lang w:val="en-US" w:eastAsia="fr-CH"/>
        </w:rPr>
      </w:pPr>
      <w:r w:rsidRPr="005C100D">
        <w:rPr>
          <w:rFonts w:eastAsia="Times New Roman" w:cstheme="majorBidi"/>
          <w:b/>
          <w:bCs/>
          <w:sz w:val="24"/>
          <w:szCs w:val="24"/>
          <w:lang w:val="en-US" w:eastAsia="fr-CH"/>
        </w:rPr>
        <w:t>We would suggest</w:t>
      </w:r>
      <w:r w:rsidRPr="005C100D">
        <w:rPr>
          <w:rFonts w:eastAsia="Times New Roman" w:cstheme="majorBidi"/>
          <w:sz w:val="24"/>
          <w:szCs w:val="24"/>
          <w:lang w:val="en-US" w:eastAsia="fr-CH"/>
        </w:rPr>
        <w:t xml:space="preserve"> </w:t>
      </w:r>
      <w:r w:rsidR="00641938" w:rsidRPr="005C100D">
        <w:rPr>
          <w:rFonts w:eastAsia="Times New Roman" w:cstheme="majorBidi"/>
          <w:sz w:val="24"/>
          <w:szCs w:val="24"/>
          <w:lang w:val="en-US" w:eastAsia="fr-CH"/>
        </w:rPr>
        <w:t>the Human Rights Committee to follow the Committee against Torture with a</w:t>
      </w:r>
      <w:r w:rsidRPr="005C100D">
        <w:rPr>
          <w:rFonts w:eastAsia="Times New Roman" w:cstheme="majorBidi"/>
          <w:sz w:val="24"/>
          <w:szCs w:val="24"/>
          <w:lang w:val="en-US" w:eastAsia="fr-CH"/>
        </w:rPr>
        <w:t xml:space="preserve"> similar recommendation </w:t>
      </w:r>
      <w:r w:rsidR="00641938" w:rsidRPr="005C100D">
        <w:rPr>
          <w:rFonts w:eastAsia="Times New Roman" w:cstheme="majorBidi"/>
          <w:sz w:val="24"/>
          <w:szCs w:val="24"/>
          <w:lang w:val="en-US" w:eastAsia="fr-CH"/>
        </w:rPr>
        <w:t>as the current legislation has the effect that some victims are not granted access to justice</w:t>
      </w:r>
      <w:r w:rsidRPr="005C100D">
        <w:rPr>
          <w:rFonts w:eastAsia="Times New Roman" w:cstheme="majorBidi"/>
          <w:sz w:val="24"/>
          <w:szCs w:val="24"/>
          <w:lang w:val="en-US" w:eastAsia="fr-CH"/>
        </w:rPr>
        <w:t>.</w:t>
      </w:r>
    </w:p>
    <w:p w:rsidR="001011F4" w:rsidRPr="005C100D" w:rsidRDefault="00011276" w:rsidP="005C100D">
      <w:pPr>
        <w:jc w:val="both"/>
        <w:rPr>
          <w:rFonts w:cstheme="majorBidi"/>
          <w:i/>
          <w:sz w:val="24"/>
          <w:szCs w:val="24"/>
          <w:u w:val="single"/>
          <w:lang w:val="en-GB"/>
        </w:rPr>
      </w:pPr>
      <w:r w:rsidRPr="005C100D">
        <w:rPr>
          <w:rFonts w:cstheme="majorBidi"/>
          <w:i/>
          <w:sz w:val="24"/>
          <w:szCs w:val="24"/>
          <w:u w:val="single"/>
          <w:lang w:val="en-GB"/>
        </w:rPr>
        <w:t xml:space="preserve">3: </w:t>
      </w:r>
      <w:r w:rsidR="00141BCC" w:rsidRPr="005C100D">
        <w:rPr>
          <w:rFonts w:cstheme="majorBidi"/>
          <w:i/>
          <w:sz w:val="24"/>
          <w:szCs w:val="24"/>
          <w:u w:val="single"/>
          <w:lang w:val="en-GB"/>
        </w:rPr>
        <w:t>Independent Police Complaint Authority (LOIPR PARA 13 (C))</w:t>
      </w:r>
    </w:p>
    <w:p w:rsidR="00011276" w:rsidRPr="005C100D" w:rsidRDefault="00011276" w:rsidP="005C100D">
      <w:pPr>
        <w:jc w:val="both"/>
        <w:rPr>
          <w:sz w:val="24"/>
          <w:szCs w:val="24"/>
          <w:lang w:val="en-GB"/>
        </w:rPr>
      </w:pPr>
      <w:r w:rsidRPr="005C100D">
        <w:rPr>
          <w:rFonts w:cstheme="majorBidi"/>
          <w:sz w:val="24"/>
          <w:szCs w:val="24"/>
          <w:lang w:val="en-GB"/>
        </w:rPr>
        <w:t xml:space="preserve">It is positive that the </w:t>
      </w:r>
      <w:r w:rsidRPr="005C100D">
        <w:rPr>
          <w:rFonts w:cstheme="majorBidi"/>
          <w:iCs/>
          <w:sz w:val="24"/>
          <w:szCs w:val="24"/>
          <w:lang w:val="en-GB"/>
        </w:rPr>
        <w:t>Independent Police Complaint Authority (I</w:t>
      </w:r>
      <w:r w:rsidR="00F72020">
        <w:rPr>
          <w:rFonts w:cstheme="majorBidi"/>
          <w:sz w:val="24"/>
          <w:szCs w:val="24"/>
          <w:lang w:val="en-GB"/>
        </w:rPr>
        <w:t>PCA) was established in 2012</w:t>
      </w:r>
      <w:r w:rsidRPr="005C100D">
        <w:rPr>
          <w:rFonts w:cstheme="majorBidi"/>
          <w:sz w:val="24"/>
          <w:szCs w:val="24"/>
          <w:lang w:val="en-GB"/>
        </w:rPr>
        <w:t xml:space="preserve">. However, there are still </w:t>
      </w:r>
      <w:r w:rsidR="004A56D6" w:rsidRPr="005C100D">
        <w:rPr>
          <w:rFonts w:cstheme="majorBidi"/>
          <w:sz w:val="24"/>
          <w:szCs w:val="24"/>
          <w:lang w:val="en-GB"/>
        </w:rPr>
        <w:t>some</w:t>
      </w:r>
      <w:r w:rsidRPr="005C100D">
        <w:rPr>
          <w:rFonts w:cstheme="majorBidi"/>
          <w:sz w:val="24"/>
          <w:szCs w:val="24"/>
          <w:lang w:val="en-GB"/>
        </w:rPr>
        <w:t xml:space="preserve"> concerns </w:t>
      </w:r>
      <w:r w:rsidR="004A56D6" w:rsidRPr="005C100D">
        <w:rPr>
          <w:rFonts w:cstheme="majorBidi"/>
          <w:sz w:val="24"/>
          <w:szCs w:val="24"/>
          <w:lang w:val="en-GB"/>
        </w:rPr>
        <w:t>with</w:t>
      </w:r>
      <w:r w:rsidRPr="005C100D">
        <w:rPr>
          <w:rFonts w:cstheme="majorBidi"/>
          <w:sz w:val="24"/>
          <w:szCs w:val="24"/>
          <w:lang w:val="en-GB"/>
        </w:rPr>
        <w:t xml:space="preserve"> regard to investigation and prosecution of criminal o</w:t>
      </w:r>
      <w:r w:rsidR="004A56D6" w:rsidRPr="005C100D">
        <w:rPr>
          <w:rFonts w:cstheme="majorBidi"/>
          <w:sz w:val="24"/>
          <w:szCs w:val="24"/>
          <w:lang w:val="en-GB"/>
        </w:rPr>
        <w:t>ffenses committed by the police:</w:t>
      </w:r>
    </w:p>
    <w:p w:rsidR="00011276" w:rsidRPr="005C100D" w:rsidRDefault="00011276" w:rsidP="005C100D">
      <w:pPr>
        <w:ind w:firstLine="1304"/>
        <w:jc w:val="both"/>
        <w:rPr>
          <w:sz w:val="24"/>
          <w:szCs w:val="24"/>
          <w:lang w:val="en-GB"/>
        </w:rPr>
      </w:pPr>
      <w:r w:rsidRPr="005C100D">
        <w:rPr>
          <w:i/>
          <w:sz w:val="24"/>
          <w:szCs w:val="24"/>
          <w:lang w:val="en-GB"/>
        </w:rPr>
        <w:t xml:space="preserve">Independent Police Complaint Authority (ICPA) has no </w:t>
      </w:r>
      <w:r w:rsidRPr="005C100D">
        <w:rPr>
          <w:rFonts w:cstheme="majorBidi"/>
          <w:i/>
          <w:iCs/>
          <w:sz w:val="24"/>
          <w:szCs w:val="24"/>
          <w:lang w:val="en-GB"/>
        </w:rPr>
        <w:t>mandate to indict</w:t>
      </w:r>
    </w:p>
    <w:p w:rsidR="00011276" w:rsidRPr="005C100D" w:rsidRDefault="00011276" w:rsidP="005C100D">
      <w:pPr>
        <w:jc w:val="both"/>
        <w:rPr>
          <w:rFonts w:cstheme="majorBidi"/>
          <w:sz w:val="24"/>
          <w:szCs w:val="24"/>
          <w:lang w:val="en-GB"/>
        </w:rPr>
      </w:pPr>
      <w:r w:rsidRPr="005C100D">
        <w:rPr>
          <w:rFonts w:cstheme="majorBidi"/>
          <w:sz w:val="24"/>
          <w:szCs w:val="24"/>
          <w:lang w:val="en-GB"/>
        </w:rPr>
        <w:t>First, the mandate of the ICPA-authority is limited to the investigation of criminal cases against police officers (</w:t>
      </w:r>
      <w:proofErr w:type="spellStart"/>
      <w:r w:rsidRPr="005C100D">
        <w:rPr>
          <w:rFonts w:cstheme="majorBidi"/>
          <w:sz w:val="24"/>
          <w:szCs w:val="24"/>
          <w:lang w:val="en-GB"/>
        </w:rPr>
        <w:t>eg</w:t>
      </w:r>
      <w:proofErr w:type="spellEnd"/>
      <w:r w:rsidRPr="005C100D">
        <w:rPr>
          <w:rFonts w:cstheme="majorBidi"/>
          <w:sz w:val="24"/>
          <w:szCs w:val="24"/>
          <w:lang w:val="en-GB"/>
        </w:rPr>
        <w:t xml:space="preserve">. the ICPA is authorized to make arrests and request orders for pre-trial from court) whereas the regional public prosecutor has the power of indictment and thus the power of discretion to assess whether there are grounds for prosecuting, preparing the indictment, and conducting the proceedings. </w:t>
      </w:r>
      <w:r w:rsidRPr="005C100D">
        <w:rPr>
          <w:rStyle w:val="FootnoteReference"/>
          <w:rFonts w:cstheme="majorBidi"/>
          <w:sz w:val="24"/>
          <w:szCs w:val="24"/>
          <w:lang w:val="en-GB"/>
        </w:rPr>
        <w:footnoteReference w:id="57"/>
      </w:r>
      <w:r w:rsidRPr="005C100D">
        <w:rPr>
          <w:rFonts w:cstheme="majorBidi"/>
          <w:sz w:val="24"/>
          <w:szCs w:val="24"/>
          <w:lang w:val="en-GB"/>
        </w:rPr>
        <w:t xml:space="preserve"> </w:t>
      </w:r>
    </w:p>
    <w:p w:rsidR="00011276" w:rsidRPr="005C100D" w:rsidRDefault="00011276" w:rsidP="005C100D">
      <w:pPr>
        <w:ind w:firstLine="1304"/>
        <w:jc w:val="both"/>
        <w:rPr>
          <w:rFonts w:cstheme="majorBidi"/>
          <w:i/>
          <w:iCs/>
          <w:sz w:val="24"/>
          <w:szCs w:val="24"/>
          <w:lang w:val="en-GB"/>
        </w:rPr>
      </w:pPr>
      <w:r w:rsidRPr="005C100D">
        <w:rPr>
          <w:rFonts w:cstheme="majorBidi"/>
          <w:i/>
          <w:iCs/>
          <w:sz w:val="24"/>
          <w:szCs w:val="24"/>
          <w:lang w:val="en-GB"/>
        </w:rPr>
        <w:t>Limited mandate of the ICPA</w:t>
      </w:r>
    </w:p>
    <w:p w:rsidR="00F72020" w:rsidRDefault="00011276" w:rsidP="00F72020">
      <w:pPr>
        <w:jc w:val="both"/>
        <w:rPr>
          <w:rFonts w:cstheme="majorBidi"/>
          <w:sz w:val="24"/>
          <w:szCs w:val="24"/>
          <w:lang w:val="en-GB"/>
        </w:rPr>
      </w:pPr>
      <w:r w:rsidRPr="005C100D">
        <w:rPr>
          <w:rFonts w:cstheme="majorBidi"/>
          <w:sz w:val="24"/>
          <w:szCs w:val="24"/>
          <w:lang w:val="en-GB"/>
        </w:rPr>
        <w:t>Secondly, the ICPA’s mandate does not include so-called complaints about decisions made by the police (</w:t>
      </w:r>
      <w:proofErr w:type="spellStart"/>
      <w:r w:rsidRPr="005C100D">
        <w:rPr>
          <w:rFonts w:cstheme="majorBidi"/>
          <w:i/>
          <w:sz w:val="24"/>
          <w:szCs w:val="24"/>
          <w:lang w:val="en-GB"/>
        </w:rPr>
        <w:t>dispositionsklager</w:t>
      </w:r>
      <w:proofErr w:type="spellEnd"/>
      <w:r w:rsidRPr="005C100D">
        <w:rPr>
          <w:rFonts w:cstheme="majorBidi"/>
          <w:sz w:val="24"/>
          <w:szCs w:val="24"/>
          <w:lang w:val="en-GB"/>
        </w:rPr>
        <w:t xml:space="preserve">) that are still investigated by the police. </w:t>
      </w:r>
    </w:p>
    <w:p w:rsidR="00011276" w:rsidRPr="005C100D" w:rsidRDefault="004A56D6" w:rsidP="00F72020">
      <w:pPr>
        <w:jc w:val="both"/>
        <w:rPr>
          <w:rFonts w:cstheme="majorBidi"/>
          <w:i/>
          <w:iCs/>
          <w:sz w:val="24"/>
          <w:szCs w:val="24"/>
          <w:lang w:val="en-GB"/>
        </w:rPr>
      </w:pPr>
      <w:r w:rsidRPr="005C100D">
        <w:rPr>
          <w:rFonts w:cstheme="majorBidi"/>
          <w:i/>
          <w:iCs/>
          <w:sz w:val="24"/>
          <w:szCs w:val="24"/>
          <w:lang w:val="en-GB"/>
        </w:rPr>
        <w:t xml:space="preserve">                         </w:t>
      </w:r>
      <w:r w:rsidR="00011276" w:rsidRPr="005C100D">
        <w:rPr>
          <w:rFonts w:cstheme="majorBidi"/>
          <w:i/>
          <w:iCs/>
          <w:sz w:val="24"/>
          <w:szCs w:val="24"/>
          <w:lang w:val="en-GB"/>
        </w:rPr>
        <w:t>Justice is not seen to be done</w:t>
      </w:r>
      <w:r w:rsidRPr="005C100D">
        <w:rPr>
          <w:rFonts w:cstheme="majorBidi"/>
          <w:i/>
          <w:iCs/>
          <w:sz w:val="24"/>
          <w:szCs w:val="24"/>
          <w:lang w:val="en-GB"/>
        </w:rPr>
        <w:tab/>
      </w:r>
    </w:p>
    <w:p w:rsidR="00011276" w:rsidRPr="005C100D" w:rsidRDefault="00011276" w:rsidP="005C100D">
      <w:pPr>
        <w:jc w:val="both"/>
        <w:rPr>
          <w:rFonts w:cstheme="majorBidi"/>
          <w:sz w:val="24"/>
          <w:szCs w:val="24"/>
          <w:lang w:val="en-GB"/>
        </w:rPr>
      </w:pPr>
      <w:r w:rsidRPr="005C100D">
        <w:rPr>
          <w:rFonts w:cstheme="majorBidi"/>
          <w:sz w:val="24"/>
          <w:szCs w:val="24"/>
          <w:lang w:val="en-GB"/>
        </w:rPr>
        <w:t xml:space="preserve">In light of the lack of clarity about how the ICPA assesses and eventual dismisses complaints; how the prosecutor assesses a complaint about dismissal by the ICPA, and the low number of final convictions, it might be important to review whether the public in general perceive the ICPA as actually providing justice. </w:t>
      </w:r>
    </w:p>
    <w:p w:rsidR="00011276" w:rsidRPr="005C100D" w:rsidRDefault="0067548D" w:rsidP="005C100D">
      <w:pPr>
        <w:jc w:val="both"/>
        <w:rPr>
          <w:rFonts w:eastAsiaTheme="majorEastAsia" w:cstheme="majorBidi"/>
          <w:b/>
          <w:bCs/>
          <w:color w:val="4F81BD" w:themeColor="accent1"/>
          <w:sz w:val="24"/>
          <w:szCs w:val="24"/>
          <w:lang w:val="en-GB"/>
        </w:rPr>
      </w:pPr>
      <w:r w:rsidRPr="00F72020">
        <w:rPr>
          <w:b/>
          <w:iCs/>
          <w:sz w:val="24"/>
          <w:szCs w:val="24"/>
          <w:lang w:val="en-GB"/>
        </w:rPr>
        <w:t xml:space="preserve">We therefore </w:t>
      </w:r>
      <w:r w:rsidR="00F72020" w:rsidRPr="00F72020">
        <w:rPr>
          <w:b/>
          <w:iCs/>
          <w:sz w:val="24"/>
          <w:szCs w:val="24"/>
          <w:lang w:val="en-GB"/>
        </w:rPr>
        <w:t>recommend</w:t>
      </w:r>
      <w:r w:rsidR="00F72020">
        <w:rPr>
          <w:iCs/>
          <w:sz w:val="24"/>
          <w:szCs w:val="24"/>
          <w:lang w:val="en-GB"/>
        </w:rPr>
        <w:t xml:space="preserve"> </w:t>
      </w:r>
      <w:r w:rsidR="00011276" w:rsidRPr="005C100D">
        <w:rPr>
          <w:iCs/>
          <w:sz w:val="24"/>
          <w:szCs w:val="24"/>
          <w:lang w:val="en-GB"/>
        </w:rPr>
        <w:t xml:space="preserve">to ensure </w:t>
      </w:r>
      <w:r w:rsidR="00F72020">
        <w:rPr>
          <w:iCs/>
          <w:sz w:val="24"/>
          <w:szCs w:val="24"/>
          <w:lang w:val="en-GB"/>
        </w:rPr>
        <w:t>DUPENs</w:t>
      </w:r>
      <w:r w:rsidR="00011276" w:rsidRPr="005C100D">
        <w:rPr>
          <w:iCs/>
          <w:sz w:val="24"/>
          <w:szCs w:val="24"/>
          <w:lang w:val="en-GB"/>
        </w:rPr>
        <w:t xml:space="preserve"> compliance with </w:t>
      </w:r>
      <w:r w:rsidRPr="005C100D">
        <w:rPr>
          <w:iCs/>
          <w:sz w:val="24"/>
          <w:szCs w:val="24"/>
          <w:lang w:val="en-GB"/>
        </w:rPr>
        <w:t xml:space="preserve">international standards, including </w:t>
      </w:r>
      <w:r w:rsidR="00011276" w:rsidRPr="005C100D">
        <w:rPr>
          <w:iCs/>
          <w:sz w:val="24"/>
          <w:szCs w:val="24"/>
          <w:lang w:val="en-GB"/>
        </w:rPr>
        <w:t>consider reviewing whether victims of ill-treatment have confidence in the current system and whether further measures could be taken to protect victims and witnesses.</w:t>
      </w:r>
    </w:p>
    <w:p w:rsidR="00141BCC" w:rsidRPr="005C100D" w:rsidRDefault="00011276" w:rsidP="005C100D">
      <w:pPr>
        <w:jc w:val="both"/>
        <w:rPr>
          <w:rFonts w:cstheme="majorBidi"/>
          <w:i/>
          <w:sz w:val="24"/>
          <w:szCs w:val="24"/>
          <w:u w:val="single"/>
          <w:lang w:val="en-GB"/>
        </w:rPr>
      </w:pPr>
      <w:r w:rsidRPr="005C100D">
        <w:rPr>
          <w:rFonts w:cstheme="majorBidi"/>
          <w:i/>
          <w:sz w:val="24"/>
          <w:szCs w:val="24"/>
          <w:u w:val="single"/>
          <w:lang w:val="en-GB"/>
        </w:rPr>
        <w:t xml:space="preserve">4: </w:t>
      </w:r>
      <w:r w:rsidR="00141BCC" w:rsidRPr="005C100D">
        <w:rPr>
          <w:rFonts w:cstheme="majorBidi"/>
          <w:i/>
          <w:sz w:val="24"/>
          <w:szCs w:val="24"/>
          <w:u w:val="single"/>
          <w:lang w:val="en-GB"/>
        </w:rPr>
        <w:t>Pre-trial detention (LOIPR PARA 13 (d))</w:t>
      </w:r>
    </w:p>
    <w:p w:rsidR="001870B8" w:rsidRPr="005C100D" w:rsidRDefault="001870B8" w:rsidP="005C100D">
      <w:pPr>
        <w:jc w:val="both"/>
        <w:rPr>
          <w:sz w:val="24"/>
          <w:szCs w:val="24"/>
          <w:lang w:val="en-GB"/>
        </w:rPr>
      </w:pPr>
      <w:r w:rsidRPr="005C100D">
        <w:rPr>
          <w:sz w:val="24"/>
          <w:szCs w:val="24"/>
          <w:lang w:val="en-GB"/>
        </w:rPr>
        <w:t xml:space="preserve">Pre-trial detention is regulated in the Danish Administration of Justice Act (Chapter 70).  Denmark has traditionally used pre-trial detention more extensively than neighbouring countries, including </w:t>
      </w:r>
      <w:r w:rsidRPr="005C100D">
        <w:rPr>
          <w:sz w:val="24"/>
          <w:szCs w:val="24"/>
          <w:lang w:val="en-GB"/>
        </w:rPr>
        <w:lastRenderedPageBreak/>
        <w:t>Sweden and Norway.</w:t>
      </w:r>
      <w:r w:rsidRPr="005C100D">
        <w:rPr>
          <w:rStyle w:val="FootnoteReference"/>
          <w:sz w:val="24"/>
          <w:szCs w:val="24"/>
          <w:lang w:val="en-GB"/>
        </w:rPr>
        <w:footnoteReference w:id="58"/>
      </w:r>
      <w:r w:rsidRPr="005C100D">
        <w:rPr>
          <w:sz w:val="24"/>
          <w:szCs w:val="24"/>
          <w:lang w:val="en-GB"/>
        </w:rPr>
        <w:t xml:space="preserve"> The proportion of pre-trial detainees continues to be around 30% of the total prison population.</w:t>
      </w:r>
      <w:r w:rsidRPr="005C100D">
        <w:rPr>
          <w:rStyle w:val="FootnoteReference"/>
          <w:sz w:val="24"/>
          <w:szCs w:val="24"/>
          <w:lang w:val="en-GB"/>
        </w:rPr>
        <w:footnoteReference w:id="59"/>
      </w:r>
      <w:r w:rsidRPr="005C100D">
        <w:rPr>
          <w:sz w:val="24"/>
          <w:szCs w:val="24"/>
          <w:lang w:val="en-GB"/>
        </w:rPr>
        <w:t xml:space="preserve"> In 2011, the Danish government pledged to reduce the number of persons placed in pre-trial detention, and as a result in 2012, the Director of Public Prosecution initiated a lean-project to identify best practices in handling pre-trial detention cases with the overall aim of limiting the use of pre-trial detention, particularly the length of pre-trial detention. There is no publicly available data about the preliminary outcome of the project. </w:t>
      </w:r>
    </w:p>
    <w:p w:rsidR="001870B8" w:rsidRPr="005C100D" w:rsidRDefault="001870B8" w:rsidP="005C100D">
      <w:pPr>
        <w:jc w:val="both"/>
        <w:rPr>
          <w:sz w:val="24"/>
          <w:szCs w:val="24"/>
          <w:lang w:val="en-GB"/>
        </w:rPr>
      </w:pPr>
      <w:r w:rsidRPr="005C100D">
        <w:rPr>
          <w:sz w:val="24"/>
          <w:szCs w:val="24"/>
          <w:lang w:val="en-GB"/>
        </w:rPr>
        <w:t>However, statistics from Danish Statistical Bureau established that there was an increase of the use of pre-trial detention in the period 2006 (6013 cases) – 2011 (8022 cases) followed by a decrease in 2012 (7372 cases).</w:t>
      </w:r>
      <w:r w:rsidRPr="005C100D">
        <w:rPr>
          <w:rStyle w:val="FootnoteReference"/>
          <w:sz w:val="24"/>
          <w:szCs w:val="24"/>
          <w:lang w:val="en-GB"/>
        </w:rPr>
        <w:footnoteReference w:id="60"/>
      </w:r>
      <w:r w:rsidRPr="005C100D">
        <w:rPr>
          <w:sz w:val="24"/>
          <w:szCs w:val="24"/>
          <w:lang w:val="en-GB"/>
        </w:rPr>
        <w:t xml:space="preserve"> The statistics from the Chief Prosecutor and the Ministry of Justice differ and indicate a lower number of cases. </w:t>
      </w:r>
    </w:p>
    <w:p w:rsidR="001870B8" w:rsidRPr="005C100D" w:rsidRDefault="001870B8" w:rsidP="005C100D">
      <w:pPr>
        <w:jc w:val="both"/>
        <w:rPr>
          <w:sz w:val="24"/>
          <w:szCs w:val="24"/>
          <w:lang w:val="en-GB"/>
        </w:rPr>
      </w:pPr>
      <w:r w:rsidRPr="005C100D">
        <w:rPr>
          <w:sz w:val="24"/>
          <w:szCs w:val="24"/>
          <w:lang w:val="en-GB"/>
        </w:rPr>
        <w:t>With regard to cases of lengthy pre-trial detention (i.e., more than three months), there has been a decrease from 1764 cases in 2010 to 1427 in 2012.</w:t>
      </w:r>
      <w:r w:rsidRPr="005C100D">
        <w:rPr>
          <w:rStyle w:val="FootnoteReference"/>
          <w:sz w:val="24"/>
          <w:szCs w:val="24"/>
          <w:lang w:val="en-GB"/>
        </w:rPr>
        <w:footnoteReference w:id="61"/>
      </w:r>
      <w:r w:rsidRPr="005C100D">
        <w:rPr>
          <w:sz w:val="24"/>
          <w:szCs w:val="24"/>
          <w:lang w:val="en-GB"/>
        </w:rPr>
        <w:t xml:space="preserve"> However, the average length of the pre-trial detention was still six months in 2012, and in 278 cases persons were detained longer than what is prescribed in the Administration of Justice Act. Noticeably, some 36 of these were juveniles. It should also be noted that there are still significant differences in the use of pro-longed pre-trial detention in t</w:t>
      </w:r>
      <w:r w:rsidR="001C45D4">
        <w:rPr>
          <w:sz w:val="24"/>
          <w:szCs w:val="24"/>
          <w:lang w:val="en-GB"/>
        </w:rPr>
        <w:t>he different police districts</w:t>
      </w:r>
      <w:r w:rsidRPr="005C100D">
        <w:rPr>
          <w:sz w:val="24"/>
          <w:szCs w:val="24"/>
          <w:lang w:val="en-GB"/>
        </w:rPr>
        <w:t>.</w:t>
      </w:r>
      <w:r w:rsidRPr="005C100D">
        <w:rPr>
          <w:rStyle w:val="FootnoteReference"/>
          <w:sz w:val="24"/>
          <w:szCs w:val="24"/>
          <w:lang w:val="en-GB"/>
        </w:rPr>
        <w:footnoteReference w:id="62"/>
      </w:r>
      <w:r w:rsidR="001C45D4">
        <w:rPr>
          <w:sz w:val="24"/>
          <w:szCs w:val="24"/>
          <w:lang w:val="en-GB"/>
        </w:rPr>
        <w:t xml:space="preserve"> </w:t>
      </w:r>
      <w:r w:rsidRPr="005C100D">
        <w:rPr>
          <w:sz w:val="24"/>
          <w:szCs w:val="24"/>
          <w:lang w:val="en-GB"/>
        </w:rPr>
        <w:t>Often restrictions are imposed on pre-trial detainees, for example in relation to visits and correspondence.</w:t>
      </w:r>
    </w:p>
    <w:p w:rsidR="001870B8" w:rsidRPr="005C100D" w:rsidRDefault="001870B8" w:rsidP="005C100D">
      <w:pPr>
        <w:jc w:val="both"/>
        <w:rPr>
          <w:sz w:val="24"/>
          <w:szCs w:val="24"/>
          <w:lang w:val="en-GB"/>
        </w:rPr>
      </w:pPr>
      <w:r w:rsidRPr="005C100D">
        <w:rPr>
          <w:sz w:val="24"/>
          <w:szCs w:val="24"/>
          <w:lang w:val="en-GB"/>
        </w:rPr>
        <w:t>Pre-trial detention can have severe psychological consequences for the detainees. In particular the first weeks of pre-trial detention entails increased vulnerability, as identified in studies establishing evidence for a relatively high number of suicides during pre-trial detention.</w:t>
      </w:r>
      <w:r w:rsidRPr="005C100D">
        <w:rPr>
          <w:rStyle w:val="FootnoteReference"/>
          <w:sz w:val="24"/>
          <w:szCs w:val="24"/>
          <w:lang w:val="en-GB"/>
        </w:rPr>
        <w:footnoteReference w:id="63"/>
      </w:r>
      <w:r w:rsidRPr="005C100D">
        <w:rPr>
          <w:sz w:val="24"/>
          <w:szCs w:val="24"/>
          <w:lang w:val="en-GB"/>
        </w:rPr>
        <w:t xml:space="preserve"> The uncertainty about the length of the pre-trial detention period is another important factor. </w:t>
      </w:r>
    </w:p>
    <w:p w:rsidR="001870B8" w:rsidRPr="005C100D" w:rsidRDefault="001870B8" w:rsidP="005C100D">
      <w:pPr>
        <w:jc w:val="both"/>
        <w:rPr>
          <w:sz w:val="24"/>
          <w:szCs w:val="24"/>
          <w:lang w:val="en-US"/>
        </w:rPr>
      </w:pPr>
      <w:r w:rsidRPr="005C100D">
        <w:rPr>
          <w:sz w:val="24"/>
          <w:szCs w:val="24"/>
          <w:lang w:val="en-US"/>
        </w:rPr>
        <w:t>The Committee on the Prevention of Torture recommended after its visit to Denmark last year that the Danish authorities should take with regards to legal safeguards for pre-trial detainees:</w:t>
      </w:r>
    </w:p>
    <w:p w:rsidR="001870B8" w:rsidRPr="005C100D" w:rsidRDefault="001870B8" w:rsidP="005C100D">
      <w:pPr>
        <w:ind w:left="1304"/>
        <w:jc w:val="both"/>
        <w:rPr>
          <w:sz w:val="24"/>
          <w:szCs w:val="24"/>
          <w:lang w:val="en-US"/>
        </w:rPr>
      </w:pPr>
      <w:r w:rsidRPr="001C45D4">
        <w:rPr>
          <w:i/>
          <w:sz w:val="18"/>
          <w:szCs w:val="18"/>
          <w:lang w:val="en-US"/>
        </w:rPr>
        <w:t>the Danish authorities take the necessary steps to ensure that the right of all detained persons to have access to a lawyer is effective in practice as from the very outset of custody. Further, it recommends that, in association with the Bar Association, a list of ex officio lawyers which detained persons can consult be compiled for each police station. In addition, a record should be maintained of any request by a detained person to see a lawyer and whether such a request was granted</w:t>
      </w:r>
      <w:r w:rsidRPr="005C100D">
        <w:rPr>
          <w:sz w:val="24"/>
          <w:szCs w:val="24"/>
          <w:lang w:val="en-US"/>
        </w:rPr>
        <w:t>.</w:t>
      </w:r>
      <w:r w:rsidRPr="005C100D">
        <w:rPr>
          <w:rStyle w:val="FootnoteReference"/>
          <w:sz w:val="24"/>
          <w:szCs w:val="24"/>
          <w:lang w:val="en-US"/>
        </w:rPr>
        <w:footnoteReference w:id="64"/>
      </w:r>
    </w:p>
    <w:p w:rsidR="00926C75" w:rsidRPr="005C100D" w:rsidRDefault="00926C75" w:rsidP="005C100D">
      <w:pPr>
        <w:jc w:val="both"/>
        <w:rPr>
          <w:rFonts w:eastAsia="Malgun Gothic"/>
          <w:sz w:val="24"/>
          <w:szCs w:val="24"/>
          <w:lang w:val="en-US"/>
        </w:rPr>
      </w:pPr>
      <w:r w:rsidRPr="005C100D">
        <w:rPr>
          <w:b/>
          <w:bCs/>
          <w:sz w:val="24"/>
          <w:szCs w:val="24"/>
          <w:lang w:val="en-GB"/>
        </w:rPr>
        <w:lastRenderedPageBreak/>
        <w:t>We</w:t>
      </w:r>
      <w:r w:rsidR="001870B8" w:rsidRPr="005C100D">
        <w:rPr>
          <w:b/>
          <w:bCs/>
          <w:sz w:val="24"/>
          <w:szCs w:val="24"/>
          <w:lang w:val="en-GB"/>
        </w:rPr>
        <w:t xml:space="preserve"> </w:t>
      </w:r>
      <w:r w:rsidRPr="005C100D">
        <w:rPr>
          <w:b/>
          <w:bCs/>
          <w:sz w:val="24"/>
          <w:szCs w:val="24"/>
          <w:lang w:val="en-GB"/>
        </w:rPr>
        <w:t>suggest</w:t>
      </w:r>
      <w:r w:rsidRPr="005C100D">
        <w:rPr>
          <w:sz w:val="24"/>
          <w:szCs w:val="24"/>
          <w:lang w:val="en-GB"/>
        </w:rPr>
        <w:t xml:space="preserve"> that Denmark will </w:t>
      </w:r>
      <w:r w:rsidR="001870B8" w:rsidRPr="005C100D">
        <w:rPr>
          <w:rFonts w:eastAsia="Malgun Gothic"/>
          <w:sz w:val="24"/>
          <w:szCs w:val="24"/>
          <w:lang w:val="en-US"/>
        </w:rPr>
        <w:t>use pretrial detention as a measure of last resort, in particular for minors, and prolonged pre-trial detention of minors should only be resorted to exceptionally. In general</w:t>
      </w:r>
      <w:r w:rsidRPr="005C100D">
        <w:rPr>
          <w:rFonts w:eastAsia="Malgun Gothic"/>
          <w:sz w:val="24"/>
          <w:szCs w:val="24"/>
          <w:lang w:val="en-US"/>
        </w:rPr>
        <w:t>,</w:t>
      </w:r>
      <w:r w:rsidR="001870B8" w:rsidRPr="005C100D">
        <w:rPr>
          <w:rFonts w:eastAsia="Malgun Gothic"/>
          <w:sz w:val="24"/>
          <w:szCs w:val="24"/>
          <w:lang w:val="en-US"/>
        </w:rPr>
        <w:t xml:space="preserve"> </w:t>
      </w:r>
      <w:r w:rsidRPr="005C100D">
        <w:rPr>
          <w:rFonts w:eastAsia="Malgun Gothic"/>
          <w:sz w:val="24"/>
          <w:szCs w:val="24"/>
          <w:lang w:val="en-US"/>
        </w:rPr>
        <w:t>Denmark</w:t>
      </w:r>
      <w:r w:rsidR="001870B8" w:rsidRPr="005C100D">
        <w:rPr>
          <w:rFonts w:eastAsia="Malgun Gothic"/>
          <w:sz w:val="24"/>
          <w:szCs w:val="24"/>
          <w:lang w:val="en-US"/>
        </w:rPr>
        <w:t xml:space="preserve"> should consider alternative measures to pretrial detention </w:t>
      </w:r>
      <w:r w:rsidR="001870B8" w:rsidRPr="005C100D">
        <w:rPr>
          <w:rFonts w:eastAsia="Malgun Gothic"/>
          <w:sz w:val="24"/>
          <w:szCs w:val="24"/>
          <w:lang w:val="en-GB"/>
        </w:rPr>
        <w:t>and</w:t>
      </w:r>
      <w:r w:rsidR="001870B8" w:rsidRPr="005C100D">
        <w:rPr>
          <w:rFonts w:eastAsia="Malgun Gothic"/>
          <w:sz w:val="24"/>
          <w:szCs w:val="24"/>
          <w:lang w:val="en-US"/>
        </w:rPr>
        <w:t xml:space="preserve"> ensure that the decisions imposing pretrial detention are based on objective criteria and </w:t>
      </w:r>
      <w:r w:rsidR="001870B8" w:rsidRPr="005C100D">
        <w:rPr>
          <w:rFonts w:eastAsia="Malgun Gothic"/>
          <w:sz w:val="24"/>
          <w:szCs w:val="24"/>
          <w:lang w:val="en-GB"/>
        </w:rPr>
        <w:t xml:space="preserve">supporting </w:t>
      </w:r>
      <w:r w:rsidR="001870B8" w:rsidRPr="005C100D">
        <w:rPr>
          <w:rFonts w:eastAsia="Malgun Gothic"/>
          <w:sz w:val="24"/>
          <w:szCs w:val="24"/>
          <w:lang w:val="en-US"/>
        </w:rPr>
        <w:t>facts</w:t>
      </w:r>
    </w:p>
    <w:p w:rsidR="00141BCC" w:rsidRPr="005C100D" w:rsidRDefault="00011276" w:rsidP="005C100D">
      <w:pPr>
        <w:jc w:val="both"/>
        <w:rPr>
          <w:rFonts w:cstheme="majorBidi"/>
          <w:i/>
          <w:sz w:val="24"/>
          <w:szCs w:val="24"/>
          <w:u w:val="single"/>
          <w:lang w:val="en-GB"/>
        </w:rPr>
      </w:pPr>
      <w:r w:rsidRPr="005C100D">
        <w:rPr>
          <w:rFonts w:cstheme="majorBidi"/>
          <w:i/>
          <w:sz w:val="24"/>
          <w:szCs w:val="24"/>
          <w:u w:val="single"/>
          <w:lang w:val="en-GB"/>
        </w:rPr>
        <w:t xml:space="preserve">5: </w:t>
      </w:r>
      <w:r w:rsidR="00141BCC" w:rsidRPr="005C100D">
        <w:rPr>
          <w:rFonts w:cstheme="majorBidi"/>
          <w:i/>
          <w:sz w:val="24"/>
          <w:szCs w:val="24"/>
          <w:u w:val="single"/>
          <w:lang w:val="en-GB"/>
        </w:rPr>
        <w:t>Prohibition of solitary confinement of minors (LOIPR PARA 13 (d))</w:t>
      </w:r>
    </w:p>
    <w:p w:rsidR="00523FEC" w:rsidRPr="005C100D" w:rsidRDefault="00523FEC" w:rsidP="005C100D">
      <w:pPr>
        <w:jc w:val="both"/>
        <w:rPr>
          <w:rFonts w:cstheme="majorBidi"/>
          <w:sz w:val="24"/>
          <w:szCs w:val="24"/>
          <w:shd w:val="clear" w:color="auto" w:fill="FFFFFF"/>
          <w:lang w:val="en-GB"/>
        </w:rPr>
      </w:pPr>
      <w:r w:rsidRPr="005C100D">
        <w:rPr>
          <w:rFonts w:cstheme="majorBidi"/>
          <w:sz w:val="24"/>
          <w:szCs w:val="24"/>
          <w:shd w:val="clear" w:color="auto" w:fill="FFFFFF"/>
          <w:lang w:val="en-GB"/>
        </w:rPr>
        <w:t xml:space="preserve">In its Concluding Observations on Denmark (2015), the Committee against Torture recommended (para. 14): </w:t>
      </w:r>
    </w:p>
    <w:p w:rsidR="00523FEC" w:rsidRPr="005C100D" w:rsidRDefault="00523FEC" w:rsidP="005C100D">
      <w:pPr>
        <w:ind w:left="720"/>
        <w:jc w:val="both"/>
        <w:rPr>
          <w:rFonts w:eastAsia="SimSun"/>
          <w:i/>
          <w:sz w:val="24"/>
          <w:szCs w:val="24"/>
          <w:lang w:val="en-US" w:eastAsia="zh-CN"/>
        </w:rPr>
      </w:pPr>
      <w:r w:rsidRPr="005C100D">
        <w:rPr>
          <w:rFonts w:eastAsia="SimSun"/>
          <w:bCs/>
          <w:i/>
          <w:sz w:val="24"/>
          <w:szCs w:val="24"/>
          <w:lang w:val="en-US" w:eastAsia="zh-CN"/>
        </w:rPr>
        <w:t>Solitary confinement of persons under the age of 18 should be abolished.</w:t>
      </w:r>
    </w:p>
    <w:p w:rsidR="00455983" w:rsidRPr="005C100D" w:rsidRDefault="00455983" w:rsidP="005C100D">
      <w:pPr>
        <w:jc w:val="both"/>
        <w:rPr>
          <w:rFonts w:cstheme="majorBidi"/>
          <w:i/>
          <w:iCs/>
          <w:sz w:val="24"/>
          <w:szCs w:val="24"/>
          <w:shd w:val="clear" w:color="auto" w:fill="FFFFFF"/>
          <w:lang w:val="en-GB"/>
        </w:rPr>
      </w:pPr>
      <w:r w:rsidRPr="005C100D">
        <w:rPr>
          <w:rFonts w:cstheme="majorBidi"/>
          <w:i/>
          <w:iCs/>
          <w:sz w:val="24"/>
          <w:szCs w:val="24"/>
          <w:shd w:val="clear" w:color="auto" w:fill="FFFFFF"/>
          <w:lang w:val="en-GB"/>
        </w:rPr>
        <w:t>During pre-trial detention</w:t>
      </w:r>
    </w:p>
    <w:p w:rsidR="000C55F5" w:rsidRPr="005C100D" w:rsidRDefault="00455983" w:rsidP="005C100D">
      <w:pPr>
        <w:jc w:val="both"/>
        <w:rPr>
          <w:rFonts w:cstheme="majorBidi"/>
          <w:sz w:val="24"/>
          <w:szCs w:val="24"/>
          <w:shd w:val="clear" w:color="auto" w:fill="FFFFFF"/>
          <w:lang w:val="en-GB"/>
        </w:rPr>
      </w:pPr>
      <w:r w:rsidRPr="005C100D">
        <w:rPr>
          <w:rFonts w:cstheme="majorBidi"/>
          <w:sz w:val="24"/>
          <w:szCs w:val="24"/>
          <w:shd w:val="clear" w:color="auto" w:fill="FFFFFF"/>
          <w:lang w:val="en-GB"/>
        </w:rPr>
        <w:t xml:space="preserve">The Human Rights Committee recommended in 2008 that Denmark should review its legislation and practice in relation to solitary confinement during pre-trial detention. </w:t>
      </w:r>
      <w:r w:rsidR="000C55F5" w:rsidRPr="005C100D">
        <w:rPr>
          <w:sz w:val="24"/>
          <w:szCs w:val="24"/>
          <w:shd w:val="clear" w:color="auto" w:fill="FFFFFF"/>
          <w:lang w:val="en-GB"/>
        </w:rPr>
        <w:t>The Administration of Justice Act regulates the use of solitary confinement on children, and it is required that exceptional circumstances shall be present before such measure can be taken.</w:t>
      </w:r>
    </w:p>
    <w:p w:rsidR="00455983" w:rsidRPr="005C100D" w:rsidRDefault="00455983" w:rsidP="005C100D">
      <w:pPr>
        <w:jc w:val="both"/>
        <w:rPr>
          <w:sz w:val="24"/>
          <w:szCs w:val="24"/>
          <w:shd w:val="clear" w:color="auto" w:fill="FFFFFF"/>
          <w:lang w:val="en-GB"/>
        </w:rPr>
      </w:pPr>
      <w:r w:rsidRPr="005C100D">
        <w:rPr>
          <w:rFonts w:cstheme="majorBidi"/>
          <w:sz w:val="24"/>
          <w:szCs w:val="24"/>
          <w:shd w:val="clear" w:color="auto" w:fill="FFFFFF"/>
          <w:lang w:val="en-GB"/>
        </w:rPr>
        <w:t xml:space="preserve">It is positive to note that the use of solitary confinement of minors during pre-trial detention has been reduced dramatically, and </w:t>
      </w:r>
      <w:r w:rsidRPr="005C100D">
        <w:rPr>
          <w:rFonts w:cstheme="majorBidi"/>
          <w:sz w:val="24"/>
          <w:szCs w:val="24"/>
          <w:lang w:val="en-GB"/>
        </w:rPr>
        <w:t xml:space="preserve">only amounted to </w:t>
      </w:r>
      <w:r w:rsidR="004500DE" w:rsidRPr="005C100D">
        <w:rPr>
          <w:sz w:val="24"/>
          <w:szCs w:val="24"/>
          <w:shd w:val="clear" w:color="auto" w:fill="FFFFFF"/>
          <w:lang w:val="en-GB"/>
        </w:rPr>
        <w:t>between 0 and 6 juveniles annually in the period 2001-10 and no juveniles were held in isolation in 2011-2014.</w:t>
      </w:r>
      <w:r w:rsidR="004500DE" w:rsidRPr="005C100D">
        <w:rPr>
          <w:rStyle w:val="FootnoteReference"/>
          <w:sz w:val="24"/>
          <w:szCs w:val="24"/>
          <w:shd w:val="clear" w:color="auto" w:fill="FFFFFF"/>
          <w:lang w:val="en-GB"/>
        </w:rPr>
        <w:footnoteReference w:id="65"/>
      </w:r>
      <w:r w:rsidR="004500DE" w:rsidRPr="005C100D">
        <w:rPr>
          <w:sz w:val="24"/>
          <w:szCs w:val="24"/>
          <w:shd w:val="clear" w:color="auto" w:fill="FFFFFF"/>
          <w:lang w:val="en-GB"/>
        </w:rPr>
        <w:t xml:space="preserve"> </w:t>
      </w:r>
      <w:r w:rsidR="008673FE" w:rsidRPr="005C100D">
        <w:rPr>
          <w:rFonts w:cstheme="majorBidi"/>
          <w:sz w:val="24"/>
          <w:szCs w:val="24"/>
          <w:lang w:val="en-GB"/>
        </w:rPr>
        <w:t>Earlier in 2016</w:t>
      </w:r>
      <w:r w:rsidRPr="005C100D">
        <w:rPr>
          <w:rFonts w:cstheme="majorBidi"/>
          <w:sz w:val="24"/>
          <w:szCs w:val="24"/>
          <w:lang w:val="en-GB"/>
        </w:rPr>
        <w:t>, a 15-year old girl was put in isolation during her pre-trial detention period</w:t>
      </w:r>
      <w:r w:rsidR="00523FEC" w:rsidRPr="005C100D">
        <w:rPr>
          <w:rFonts w:cstheme="majorBidi"/>
          <w:sz w:val="24"/>
          <w:szCs w:val="24"/>
          <w:lang w:val="en-GB"/>
        </w:rPr>
        <w:t>.</w:t>
      </w:r>
      <w:r w:rsidR="00874F2B" w:rsidRPr="005C100D">
        <w:rPr>
          <w:rStyle w:val="FootnoteReference"/>
          <w:rFonts w:cstheme="majorBidi"/>
          <w:sz w:val="24"/>
          <w:szCs w:val="24"/>
          <w:lang w:val="en-GB"/>
        </w:rPr>
        <w:footnoteReference w:id="66"/>
      </w:r>
      <w:r w:rsidRPr="005C100D">
        <w:rPr>
          <w:rFonts w:cstheme="majorBidi"/>
          <w:sz w:val="24"/>
          <w:szCs w:val="24"/>
          <w:lang w:val="en-GB"/>
        </w:rPr>
        <w:t xml:space="preserve"> </w:t>
      </w:r>
    </w:p>
    <w:p w:rsidR="00455983" w:rsidRPr="005C100D" w:rsidRDefault="0050642F" w:rsidP="005C100D">
      <w:pPr>
        <w:tabs>
          <w:tab w:val="left" w:pos="1560"/>
        </w:tabs>
        <w:jc w:val="both"/>
        <w:rPr>
          <w:rFonts w:cstheme="majorBidi"/>
          <w:i/>
          <w:sz w:val="24"/>
          <w:szCs w:val="24"/>
          <w:shd w:val="clear" w:color="auto" w:fill="FFFFFF"/>
          <w:lang w:val="en-GB"/>
        </w:rPr>
      </w:pPr>
      <w:r w:rsidRPr="005C100D">
        <w:rPr>
          <w:rFonts w:cstheme="majorBidi"/>
          <w:i/>
          <w:sz w:val="24"/>
          <w:szCs w:val="24"/>
          <w:shd w:val="clear" w:color="auto" w:fill="FFFFFF"/>
          <w:lang w:val="en-GB"/>
        </w:rPr>
        <w:t xml:space="preserve">During sentence </w:t>
      </w:r>
    </w:p>
    <w:p w:rsidR="00851E77" w:rsidRPr="005C100D" w:rsidRDefault="00455983" w:rsidP="005C100D">
      <w:pPr>
        <w:jc w:val="both"/>
        <w:rPr>
          <w:rFonts w:cstheme="majorBidi"/>
          <w:sz w:val="24"/>
          <w:szCs w:val="24"/>
          <w:lang w:val="en-GB"/>
        </w:rPr>
      </w:pPr>
      <w:r w:rsidRPr="005C100D">
        <w:rPr>
          <w:rFonts w:cstheme="majorBidi"/>
          <w:sz w:val="24"/>
          <w:szCs w:val="24"/>
          <w:lang w:val="en-GB"/>
        </w:rPr>
        <w:t>It is the main rule that children aged 15-17 years, who have committed an offence, are placed outside prisons. This main rule is derogated from, if the Ministry of Justice decides that the law enforcement requirement, speaks against a placement outside the prison, cf. the Sentence Enforcement Act § 78 part. 2. In 2013, the average number of children placed in prison each day was twelve (three of these children were in pre-trial detention).</w:t>
      </w:r>
      <w:r w:rsidRPr="005C100D">
        <w:rPr>
          <w:rStyle w:val="FootnoteReference"/>
          <w:rFonts w:cstheme="majorBidi"/>
          <w:sz w:val="24"/>
          <w:szCs w:val="24"/>
          <w:lang w:val="en-GB"/>
        </w:rPr>
        <w:footnoteReference w:id="67"/>
      </w:r>
      <w:r w:rsidRPr="005C100D">
        <w:rPr>
          <w:rFonts w:cstheme="majorBidi"/>
          <w:sz w:val="24"/>
          <w:szCs w:val="24"/>
          <w:lang w:val="en-GB"/>
        </w:rPr>
        <w:t xml:space="preserve">  </w:t>
      </w:r>
    </w:p>
    <w:p w:rsidR="000D5EA1" w:rsidRPr="005C100D" w:rsidRDefault="00B45AB1" w:rsidP="005C100D">
      <w:pPr>
        <w:jc w:val="both"/>
        <w:rPr>
          <w:sz w:val="24"/>
          <w:szCs w:val="24"/>
          <w:shd w:val="clear" w:color="auto" w:fill="FFFFFF"/>
          <w:lang w:val="en-GB"/>
        </w:rPr>
      </w:pPr>
      <w:r w:rsidRPr="005C100D">
        <w:rPr>
          <w:rFonts w:cstheme="majorBidi"/>
          <w:sz w:val="24"/>
          <w:szCs w:val="24"/>
          <w:lang w:val="en-GB"/>
        </w:rPr>
        <w:t>T</w:t>
      </w:r>
      <w:r w:rsidR="00455983" w:rsidRPr="005C100D">
        <w:rPr>
          <w:rFonts w:cstheme="majorBidi"/>
          <w:sz w:val="24"/>
          <w:szCs w:val="24"/>
          <w:lang w:val="en-GB"/>
        </w:rPr>
        <w:t>he Sentence Enforcement Act allow</w:t>
      </w:r>
      <w:r w:rsidR="00D774F3" w:rsidRPr="005C100D">
        <w:rPr>
          <w:rFonts w:cstheme="majorBidi"/>
          <w:sz w:val="24"/>
          <w:szCs w:val="24"/>
          <w:lang w:val="en-GB"/>
        </w:rPr>
        <w:t>s</w:t>
      </w:r>
      <w:r w:rsidR="00455983" w:rsidRPr="005C100D">
        <w:rPr>
          <w:rFonts w:cstheme="majorBidi"/>
          <w:sz w:val="24"/>
          <w:szCs w:val="24"/>
          <w:lang w:val="en-GB"/>
        </w:rPr>
        <w:t xml:space="preserve"> isolation for different offences and for rather long time periods. The system of isolation of detainees in prisons is established for adult detainees as the target group, but the reality is that this system is (with very few exceptions) equally enforced on juveniles who serve their sentences in prison. </w:t>
      </w:r>
    </w:p>
    <w:p w:rsidR="00455983" w:rsidRPr="005C100D" w:rsidRDefault="00FE72B9" w:rsidP="005C100D">
      <w:pPr>
        <w:jc w:val="both"/>
        <w:rPr>
          <w:rFonts w:cstheme="majorBidi"/>
          <w:sz w:val="24"/>
          <w:szCs w:val="24"/>
          <w:lang w:val="en-GB"/>
        </w:rPr>
      </w:pPr>
      <w:r w:rsidRPr="005C100D">
        <w:rPr>
          <w:rFonts w:cstheme="majorBidi"/>
          <w:sz w:val="24"/>
          <w:szCs w:val="24"/>
          <w:lang w:val="en-GB"/>
        </w:rPr>
        <w:t xml:space="preserve">The number of children in isolation under the Sentence Enforcement Act is still a serious problem: </w:t>
      </w:r>
      <w:r w:rsidR="00455983" w:rsidRPr="005C100D">
        <w:rPr>
          <w:rFonts w:cstheme="majorBidi"/>
          <w:sz w:val="24"/>
          <w:szCs w:val="24"/>
          <w:lang w:val="en-GB"/>
        </w:rPr>
        <w:t>The Prison</w:t>
      </w:r>
      <w:r w:rsidR="00455983" w:rsidRPr="005C100D">
        <w:rPr>
          <w:rFonts w:cstheme="majorBidi"/>
          <w:sz w:val="24"/>
          <w:szCs w:val="24"/>
          <w:shd w:val="clear" w:color="auto" w:fill="FFFFFF"/>
          <w:lang w:val="en-GB"/>
        </w:rPr>
        <w:t xml:space="preserve"> and Probation Service</w:t>
      </w:r>
      <w:r w:rsidR="00455983" w:rsidRPr="005C100D">
        <w:rPr>
          <w:rFonts w:cstheme="majorBidi"/>
          <w:sz w:val="24"/>
          <w:szCs w:val="24"/>
          <w:lang w:val="en-GB"/>
        </w:rPr>
        <w:t xml:space="preserve"> registered 158 placements of children in ‘Isolation as a disciplinary </w:t>
      </w:r>
      <w:r w:rsidR="00455983" w:rsidRPr="005C100D">
        <w:rPr>
          <w:rFonts w:cstheme="majorBidi"/>
          <w:sz w:val="24"/>
          <w:szCs w:val="24"/>
          <w:lang w:val="en-GB"/>
        </w:rPr>
        <w:lastRenderedPageBreak/>
        <w:t>sanction’ or in ‘Exclusion from association’ of a duration of 24 hours to 14 days, between 2009 and 2013</w:t>
      </w:r>
      <w:r w:rsidR="000822B1" w:rsidRPr="005C100D">
        <w:rPr>
          <w:rFonts w:cstheme="majorBidi"/>
          <w:sz w:val="24"/>
          <w:szCs w:val="24"/>
          <w:lang w:val="en-GB"/>
        </w:rPr>
        <w:t>.</w:t>
      </w:r>
      <w:r w:rsidR="00455983" w:rsidRPr="005C100D">
        <w:rPr>
          <w:rStyle w:val="FootnoteReference"/>
          <w:rFonts w:cstheme="majorBidi"/>
          <w:sz w:val="24"/>
          <w:szCs w:val="24"/>
          <w:lang w:val="en-GB"/>
        </w:rPr>
        <w:footnoteReference w:id="68"/>
      </w:r>
    </w:p>
    <w:p w:rsidR="00455983" w:rsidRPr="005C100D" w:rsidRDefault="00455983" w:rsidP="005C100D">
      <w:pPr>
        <w:jc w:val="both"/>
        <w:rPr>
          <w:rFonts w:cstheme="majorBidi"/>
          <w:sz w:val="24"/>
          <w:szCs w:val="24"/>
          <w:lang w:val="en-GB"/>
        </w:rPr>
      </w:pPr>
      <w:r w:rsidRPr="005C100D">
        <w:rPr>
          <w:rFonts w:cstheme="majorBidi"/>
          <w:sz w:val="24"/>
          <w:szCs w:val="24"/>
          <w:lang w:val="en-GB"/>
        </w:rPr>
        <w:t>The UN Committee on the Rights of the Child stated in the Concluding Observations (2011) that Denmark should:</w:t>
      </w:r>
    </w:p>
    <w:p w:rsidR="00455983" w:rsidRPr="005C100D" w:rsidRDefault="00455983" w:rsidP="005C100D">
      <w:pPr>
        <w:pStyle w:val="ListParagraph"/>
        <w:numPr>
          <w:ilvl w:val="0"/>
          <w:numId w:val="17"/>
        </w:numPr>
        <w:tabs>
          <w:tab w:val="num" w:pos="1920"/>
        </w:tabs>
        <w:jc w:val="both"/>
        <w:rPr>
          <w:sz w:val="24"/>
          <w:szCs w:val="24"/>
          <w:lang w:val="en-US"/>
        </w:rPr>
      </w:pPr>
      <w:r w:rsidRPr="005C100D">
        <w:rPr>
          <w:i/>
          <w:sz w:val="24"/>
          <w:szCs w:val="24"/>
          <w:lang w:val="en-US"/>
        </w:rPr>
        <w:t>“[…] take measures to ensure that no child, regardless of circumstance, is subjected to imprisonment in the ordinary prison system with adults.”</w:t>
      </w:r>
      <w:r w:rsidRPr="005C100D">
        <w:rPr>
          <w:rStyle w:val="FootnoteReference"/>
          <w:rFonts w:cstheme="majorBidi"/>
          <w:sz w:val="24"/>
          <w:szCs w:val="24"/>
          <w:lang w:val="en-GB"/>
        </w:rPr>
        <w:t xml:space="preserve"> </w:t>
      </w:r>
      <w:r w:rsidRPr="005C100D">
        <w:rPr>
          <w:rStyle w:val="FootnoteReference"/>
          <w:rFonts w:cstheme="majorBidi"/>
          <w:sz w:val="24"/>
          <w:szCs w:val="24"/>
          <w:lang w:val="en-GB"/>
        </w:rPr>
        <w:footnoteReference w:id="69"/>
      </w:r>
    </w:p>
    <w:p w:rsidR="00455983" w:rsidRPr="005C100D" w:rsidRDefault="00455983" w:rsidP="005C100D">
      <w:pPr>
        <w:pStyle w:val="ListParagraph"/>
        <w:numPr>
          <w:ilvl w:val="0"/>
          <w:numId w:val="17"/>
        </w:numPr>
        <w:tabs>
          <w:tab w:val="num" w:pos="1920"/>
        </w:tabs>
        <w:jc w:val="both"/>
        <w:rPr>
          <w:i/>
          <w:sz w:val="24"/>
          <w:szCs w:val="24"/>
          <w:lang w:val="en-US"/>
        </w:rPr>
      </w:pPr>
      <w:r w:rsidRPr="005C100D">
        <w:rPr>
          <w:i/>
          <w:sz w:val="24"/>
          <w:szCs w:val="24"/>
          <w:lang w:val="en-US"/>
        </w:rPr>
        <w:t>“[…] prohibit the placement of persons under the age of 18 in solitary confinement”</w:t>
      </w:r>
      <w:r w:rsidRPr="005C100D">
        <w:rPr>
          <w:rStyle w:val="FootnoteReference"/>
          <w:rFonts w:cstheme="majorBidi"/>
          <w:sz w:val="24"/>
          <w:szCs w:val="24"/>
          <w:lang w:val="en-GB"/>
        </w:rPr>
        <w:t xml:space="preserve"> </w:t>
      </w:r>
      <w:r w:rsidRPr="005C100D">
        <w:rPr>
          <w:rStyle w:val="FootnoteReference"/>
          <w:rFonts w:cstheme="majorBidi"/>
          <w:sz w:val="24"/>
          <w:szCs w:val="24"/>
          <w:lang w:val="en-GB"/>
        </w:rPr>
        <w:footnoteReference w:id="70"/>
      </w:r>
    </w:p>
    <w:p w:rsidR="000C55F5" w:rsidRPr="005C100D" w:rsidRDefault="00455983" w:rsidP="005C100D">
      <w:pPr>
        <w:jc w:val="both"/>
        <w:rPr>
          <w:rFonts w:cstheme="majorBidi"/>
          <w:sz w:val="24"/>
          <w:szCs w:val="24"/>
          <w:lang w:val="en-GB"/>
        </w:rPr>
      </w:pPr>
      <w:r w:rsidRPr="005C100D">
        <w:rPr>
          <w:rFonts w:cstheme="majorBidi"/>
          <w:sz w:val="24"/>
          <w:szCs w:val="24"/>
          <w:lang w:val="en-GB"/>
        </w:rPr>
        <w:t>In its 2014 report on Denmark, the CPT expresses very strong reservations about any form of solitary confinement of juveniles as this can compromise their physical and/or mental integrity. It considers that a juvenile should not be placed in solitary confinement for disciplinary purposes more than three days.</w:t>
      </w:r>
      <w:r w:rsidRPr="005C100D">
        <w:rPr>
          <w:rStyle w:val="FootnoteReference"/>
          <w:rFonts w:cstheme="majorBidi"/>
          <w:sz w:val="24"/>
          <w:szCs w:val="24"/>
          <w:lang w:val="en-GB"/>
        </w:rPr>
        <w:footnoteReference w:id="71"/>
      </w:r>
    </w:p>
    <w:p w:rsidR="00011276" w:rsidRPr="005C100D" w:rsidRDefault="000C55F5" w:rsidP="005C100D">
      <w:pPr>
        <w:jc w:val="both"/>
        <w:rPr>
          <w:rFonts w:cstheme="majorBidi"/>
          <w:sz w:val="24"/>
          <w:szCs w:val="24"/>
          <w:shd w:val="clear" w:color="auto" w:fill="FFFFFF"/>
          <w:lang w:val="en-GB"/>
        </w:rPr>
      </w:pPr>
      <w:r w:rsidRPr="005C100D">
        <w:rPr>
          <w:rFonts w:cstheme="majorBidi"/>
          <w:sz w:val="24"/>
          <w:szCs w:val="24"/>
          <w:lang w:val="en-GB"/>
        </w:rPr>
        <w:t xml:space="preserve">It is our view that children should not be placed in isolation </w:t>
      </w:r>
      <w:r w:rsidRPr="005C100D">
        <w:rPr>
          <w:rFonts w:cstheme="majorBidi"/>
          <w:b/>
          <w:bCs/>
          <w:sz w:val="24"/>
          <w:szCs w:val="24"/>
          <w:lang w:val="en-GB"/>
        </w:rPr>
        <w:t xml:space="preserve">and we therefore </w:t>
      </w:r>
      <w:r w:rsidRPr="005C100D">
        <w:rPr>
          <w:rFonts w:cstheme="majorBidi"/>
          <w:b/>
          <w:bCs/>
          <w:sz w:val="24"/>
          <w:szCs w:val="24"/>
          <w:shd w:val="clear" w:color="auto" w:fill="FFFFFF"/>
          <w:lang w:val="en-GB"/>
        </w:rPr>
        <w:t>recommend</w:t>
      </w:r>
      <w:r w:rsidRPr="005C100D">
        <w:rPr>
          <w:rFonts w:cstheme="majorBidi"/>
          <w:sz w:val="24"/>
          <w:szCs w:val="24"/>
          <w:shd w:val="clear" w:color="auto" w:fill="FFFFFF"/>
          <w:lang w:val="en-GB"/>
        </w:rPr>
        <w:t xml:space="preserve"> Denmark</w:t>
      </w:r>
      <w:r w:rsidR="00455983" w:rsidRPr="005C100D">
        <w:rPr>
          <w:rFonts w:cstheme="majorBidi"/>
          <w:sz w:val="24"/>
          <w:szCs w:val="24"/>
          <w:shd w:val="clear" w:color="auto" w:fill="FFFFFF"/>
          <w:lang w:val="en-GB"/>
        </w:rPr>
        <w:t xml:space="preserve"> to </w:t>
      </w:r>
      <w:r w:rsidRPr="005C100D">
        <w:rPr>
          <w:sz w:val="24"/>
          <w:szCs w:val="24"/>
          <w:lang w:val="en-US"/>
        </w:rPr>
        <w:t>prohibit</w:t>
      </w:r>
      <w:r w:rsidR="00455983" w:rsidRPr="005C100D">
        <w:rPr>
          <w:sz w:val="24"/>
          <w:szCs w:val="24"/>
          <w:lang w:val="en-US"/>
        </w:rPr>
        <w:t xml:space="preserve"> placement of persons under the age of 18 years in solitary confinement. </w:t>
      </w:r>
    </w:p>
    <w:p w:rsidR="00B666F4" w:rsidRPr="00F2210B" w:rsidRDefault="00F2210B" w:rsidP="00C3428B">
      <w:pPr>
        <w:jc w:val="both"/>
        <w:rPr>
          <w:i/>
          <w:sz w:val="24"/>
          <w:szCs w:val="24"/>
          <w:u w:val="single"/>
          <w:lang w:val="en-US"/>
        </w:rPr>
      </w:pPr>
      <w:r w:rsidRPr="00F2210B">
        <w:rPr>
          <w:i/>
          <w:sz w:val="24"/>
          <w:szCs w:val="24"/>
          <w:u w:val="single"/>
          <w:lang w:val="en-US"/>
        </w:rPr>
        <w:t>6)</w:t>
      </w:r>
      <w:r w:rsidR="00C3428B">
        <w:rPr>
          <w:i/>
          <w:sz w:val="24"/>
          <w:szCs w:val="24"/>
          <w:u w:val="single"/>
          <w:lang w:val="en-US"/>
        </w:rPr>
        <w:t xml:space="preserve"> Solitary confinement during pre-trial detention </w:t>
      </w:r>
      <w:r w:rsidR="00B666F4" w:rsidRPr="00F2210B">
        <w:rPr>
          <w:i/>
          <w:sz w:val="24"/>
          <w:szCs w:val="24"/>
          <w:u w:val="single"/>
          <w:lang w:val="en-US"/>
        </w:rPr>
        <w:t>(LOIPR PARA 14)</w:t>
      </w:r>
      <w:r w:rsidR="002C41E1" w:rsidRPr="00F2210B">
        <w:rPr>
          <w:i/>
          <w:sz w:val="24"/>
          <w:szCs w:val="24"/>
          <w:u w:val="single"/>
          <w:lang w:val="en-US"/>
        </w:rPr>
        <w:t xml:space="preserve"> </w:t>
      </w:r>
    </w:p>
    <w:p w:rsidR="000F7583" w:rsidRPr="000F7583" w:rsidRDefault="000F7583" w:rsidP="005C100D">
      <w:pPr>
        <w:jc w:val="both"/>
        <w:rPr>
          <w:sz w:val="24"/>
          <w:szCs w:val="24"/>
          <w:lang w:val="en-GB"/>
        </w:rPr>
      </w:pPr>
      <w:r w:rsidRPr="000F7583">
        <w:rPr>
          <w:sz w:val="24"/>
          <w:szCs w:val="24"/>
          <w:lang w:val="en-GB"/>
        </w:rPr>
        <w:t>The use of isolation in pre-trial detention, on the basis of the Danish Administration of Justice Act</w:t>
      </w:r>
      <w:r w:rsidRPr="000F7583">
        <w:rPr>
          <w:rStyle w:val="FootnoteReference"/>
          <w:sz w:val="24"/>
          <w:szCs w:val="24"/>
          <w:lang w:val="en-GB"/>
        </w:rPr>
        <w:footnoteReference w:id="72"/>
      </w:r>
      <w:r w:rsidRPr="000F7583">
        <w:rPr>
          <w:sz w:val="24"/>
          <w:szCs w:val="24"/>
          <w:lang w:val="en-GB"/>
        </w:rPr>
        <w:t xml:space="preserve">, is at a historically low level. The annual report of the Director of Public Prosecution shows that the number of pre-trial detainees in solitary confinement was: 132 persons in 2012, 55 persons 2013 and 36 persons in 2014. </w:t>
      </w:r>
    </w:p>
    <w:p w:rsidR="00B666F4" w:rsidRPr="000F7583" w:rsidRDefault="000F7583" w:rsidP="005C100D">
      <w:pPr>
        <w:jc w:val="both"/>
        <w:rPr>
          <w:sz w:val="24"/>
          <w:szCs w:val="24"/>
          <w:lang w:val="en-US"/>
        </w:rPr>
      </w:pPr>
      <w:r w:rsidRPr="000F7583">
        <w:rPr>
          <w:sz w:val="24"/>
          <w:szCs w:val="24"/>
          <w:lang w:val="en-GB"/>
        </w:rPr>
        <w:t xml:space="preserve">Although this development is very positive, we recommend Denmark to further work towards further </w:t>
      </w:r>
      <w:r w:rsidR="00DF2650" w:rsidRPr="000F7583">
        <w:rPr>
          <w:sz w:val="24"/>
          <w:szCs w:val="24"/>
          <w:lang w:val="en-GB"/>
        </w:rPr>
        <w:t>restricting</w:t>
      </w:r>
      <w:r w:rsidRPr="000F7583">
        <w:rPr>
          <w:sz w:val="24"/>
          <w:szCs w:val="24"/>
          <w:lang w:val="en-GB"/>
        </w:rPr>
        <w:t xml:space="preserve">, in accordance with international standards, the conditions and the </w:t>
      </w:r>
      <w:r w:rsidR="00DF2650" w:rsidRPr="000F7583">
        <w:rPr>
          <w:sz w:val="24"/>
          <w:szCs w:val="24"/>
          <w:lang w:val="en-GB"/>
        </w:rPr>
        <w:t>length</w:t>
      </w:r>
      <w:r w:rsidRPr="000F7583">
        <w:rPr>
          <w:sz w:val="24"/>
          <w:szCs w:val="24"/>
          <w:lang w:val="en-GB"/>
        </w:rPr>
        <w:t xml:space="preserve"> under which solitary confinement during pre-trial detention is permitted in the interest of criminal investigation. </w:t>
      </w:r>
      <w:r w:rsidRPr="000F7583">
        <w:rPr>
          <w:rStyle w:val="FootnoteReference"/>
          <w:sz w:val="24"/>
          <w:szCs w:val="24"/>
          <w:lang w:val="en-GB"/>
        </w:rPr>
        <w:footnoteReference w:id="73"/>
      </w:r>
    </w:p>
    <w:p w:rsidR="002C41E1" w:rsidRPr="00F2210B" w:rsidRDefault="00F2210B" w:rsidP="005C100D">
      <w:pPr>
        <w:jc w:val="both"/>
        <w:rPr>
          <w:i/>
          <w:sz w:val="24"/>
          <w:szCs w:val="24"/>
          <w:u w:val="single"/>
          <w:lang w:val="en-US"/>
        </w:rPr>
      </w:pPr>
      <w:r w:rsidRPr="00F2210B">
        <w:rPr>
          <w:i/>
          <w:sz w:val="24"/>
          <w:szCs w:val="24"/>
          <w:u w:val="single"/>
          <w:lang w:val="en-US"/>
        </w:rPr>
        <w:t xml:space="preserve">7) </w:t>
      </w:r>
      <w:r w:rsidR="00322EBE">
        <w:rPr>
          <w:i/>
          <w:sz w:val="24"/>
          <w:szCs w:val="24"/>
          <w:u w:val="single"/>
          <w:lang w:val="en-US"/>
        </w:rPr>
        <w:t>Confinement of mino</w:t>
      </w:r>
      <w:r w:rsidR="00DF2650">
        <w:rPr>
          <w:i/>
          <w:sz w:val="24"/>
          <w:szCs w:val="24"/>
          <w:u w:val="single"/>
          <w:lang w:val="en-US"/>
        </w:rPr>
        <w:t>rs on remand with adult</w:t>
      </w:r>
      <w:r w:rsidR="00322EBE">
        <w:rPr>
          <w:i/>
          <w:sz w:val="24"/>
          <w:szCs w:val="24"/>
          <w:u w:val="single"/>
          <w:lang w:val="en-US"/>
        </w:rPr>
        <w:t xml:space="preserve"> inmates </w:t>
      </w:r>
      <w:r w:rsidR="002C41E1" w:rsidRPr="00F2210B">
        <w:rPr>
          <w:i/>
          <w:sz w:val="24"/>
          <w:szCs w:val="24"/>
          <w:u w:val="single"/>
          <w:lang w:val="en-US"/>
        </w:rPr>
        <w:t>(LOIPR PARA 14)</w:t>
      </w:r>
    </w:p>
    <w:p w:rsidR="000F7583" w:rsidRPr="005C100D" w:rsidRDefault="00080D1C" w:rsidP="005C100D">
      <w:pPr>
        <w:jc w:val="both"/>
        <w:rPr>
          <w:sz w:val="24"/>
          <w:szCs w:val="24"/>
          <w:lang w:val="en-US"/>
        </w:rPr>
      </w:pPr>
      <w:r>
        <w:rPr>
          <w:sz w:val="24"/>
          <w:szCs w:val="24"/>
          <w:lang w:val="en-US"/>
        </w:rPr>
        <w:t>As noted above, a</w:t>
      </w:r>
      <w:r w:rsidR="000F7583">
        <w:rPr>
          <w:sz w:val="24"/>
          <w:szCs w:val="24"/>
          <w:lang w:val="en-US"/>
        </w:rPr>
        <w:t xml:space="preserve"> few juvenile offenders continue to be placed in prisons with adults. We refer to the recommendation of the Committee against Torture and suggests that Denmark ends this practice.</w:t>
      </w:r>
      <w:r w:rsidR="000F7583">
        <w:rPr>
          <w:rStyle w:val="FootnoteReference"/>
          <w:sz w:val="24"/>
          <w:szCs w:val="24"/>
          <w:lang w:val="en-US"/>
        </w:rPr>
        <w:footnoteReference w:id="74"/>
      </w:r>
      <w:r w:rsidR="000F7583">
        <w:rPr>
          <w:sz w:val="24"/>
          <w:szCs w:val="24"/>
          <w:lang w:val="en-US"/>
        </w:rPr>
        <w:t xml:space="preserve"> </w:t>
      </w:r>
    </w:p>
    <w:p w:rsidR="002C41E1" w:rsidRPr="00F2210B" w:rsidRDefault="00F2210B" w:rsidP="005C100D">
      <w:pPr>
        <w:jc w:val="both"/>
        <w:rPr>
          <w:sz w:val="24"/>
          <w:szCs w:val="24"/>
          <w:u w:val="single"/>
          <w:lang w:val="en-US"/>
        </w:rPr>
      </w:pPr>
      <w:r w:rsidRPr="00F2210B">
        <w:rPr>
          <w:sz w:val="24"/>
          <w:szCs w:val="24"/>
          <w:u w:val="single"/>
          <w:lang w:val="en-US"/>
        </w:rPr>
        <w:lastRenderedPageBreak/>
        <w:t xml:space="preserve">8) </w:t>
      </w:r>
      <w:r w:rsidR="00DF2650">
        <w:rPr>
          <w:sz w:val="24"/>
          <w:szCs w:val="24"/>
          <w:u w:val="single"/>
          <w:lang w:val="en-US"/>
        </w:rPr>
        <w:t>Coercive treatment in mental health facilities (</w:t>
      </w:r>
      <w:r w:rsidR="002C41E1" w:rsidRPr="00F2210B">
        <w:rPr>
          <w:sz w:val="24"/>
          <w:szCs w:val="24"/>
          <w:u w:val="single"/>
          <w:lang w:val="en-US"/>
        </w:rPr>
        <w:t>LOIPR PARA 15)</w:t>
      </w:r>
    </w:p>
    <w:p w:rsidR="002C41E1" w:rsidRPr="005C100D" w:rsidRDefault="002C41E1" w:rsidP="005C100D">
      <w:pPr>
        <w:jc w:val="both"/>
        <w:rPr>
          <w:rFonts w:cstheme="majorBidi"/>
          <w:i/>
          <w:sz w:val="24"/>
          <w:szCs w:val="24"/>
          <w:lang w:val="en-GB"/>
        </w:rPr>
      </w:pPr>
      <w:r w:rsidRPr="005C100D">
        <w:rPr>
          <w:rFonts w:cstheme="majorBidi"/>
          <w:i/>
          <w:sz w:val="24"/>
          <w:szCs w:val="24"/>
          <w:lang w:val="en-GB"/>
        </w:rPr>
        <w:t xml:space="preserve">Legislative and procedural steps taken to limit the use of coercion in psychiatric institutions </w:t>
      </w:r>
    </w:p>
    <w:p w:rsidR="002C41E1" w:rsidRPr="005C100D" w:rsidRDefault="002C41E1" w:rsidP="005C100D">
      <w:pPr>
        <w:jc w:val="both"/>
        <w:rPr>
          <w:rFonts w:cstheme="majorBidi"/>
          <w:sz w:val="24"/>
          <w:szCs w:val="24"/>
          <w:lang w:val="en-GB"/>
        </w:rPr>
      </w:pPr>
      <w:r w:rsidRPr="005C100D">
        <w:rPr>
          <w:rFonts w:cstheme="majorBidi"/>
          <w:sz w:val="24"/>
          <w:szCs w:val="24"/>
          <w:lang w:val="en-GB"/>
        </w:rPr>
        <w:t>The Psychiatry Act was amended in 2007, 2010 and 2015. The 2010 amendment</w:t>
      </w:r>
      <w:r w:rsidRPr="005C100D" w:rsidDel="00400183">
        <w:rPr>
          <w:rFonts w:cstheme="majorBidi"/>
          <w:sz w:val="24"/>
          <w:szCs w:val="24"/>
          <w:lang w:val="en-GB"/>
        </w:rPr>
        <w:t xml:space="preserve"> </w:t>
      </w:r>
      <w:r w:rsidRPr="005C100D">
        <w:rPr>
          <w:rFonts w:cstheme="majorBidi"/>
          <w:sz w:val="24"/>
          <w:szCs w:val="24"/>
          <w:lang w:val="en-GB"/>
        </w:rPr>
        <w:t>was aimed at reducing the use of coercion in psychiatric institutions, by restricting the criteria for applying medical restraint and requiring a minimum frequency of medical supervision and simultaneous assessment of whether restraint – fixation - should cease or continue.</w:t>
      </w:r>
      <w:r w:rsidRPr="005C100D">
        <w:rPr>
          <w:rFonts w:cstheme="majorBidi"/>
          <w:sz w:val="24"/>
          <w:szCs w:val="24"/>
          <w:vertAlign w:val="superscript"/>
          <w:lang w:val="en-GB"/>
        </w:rPr>
        <w:footnoteReference w:id="75"/>
      </w:r>
      <w:r w:rsidR="005226CC">
        <w:rPr>
          <w:rFonts w:cstheme="majorBidi"/>
          <w:sz w:val="24"/>
          <w:szCs w:val="24"/>
          <w:lang w:val="en-GB"/>
        </w:rPr>
        <w:t xml:space="preserve"> </w:t>
      </w:r>
      <w:r w:rsidRPr="005C100D">
        <w:rPr>
          <w:rFonts w:cstheme="majorBidi"/>
          <w:sz w:val="24"/>
          <w:szCs w:val="24"/>
          <w:lang w:val="en-GB"/>
        </w:rPr>
        <w:t>Similarly, the 2015 amendment aimed at tightening the criteria for and supervision of the use of immobilisation.</w:t>
      </w:r>
    </w:p>
    <w:p w:rsidR="002C41E1" w:rsidRPr="005C100D" w:rsidRDefault="002C41E1" w:rsidP="005C100D">
      <w:pPr>
        <w:jc w:val="both"/>
        <w:rPr>
          <w:rFonts w:cstheme="majorBidi"/>
          <w:sz w:val="24"/>
          <w:szCs w:val="24"/>
          <w:lang w:val="en-GB"/>
        </w:rPr>
      </w:pPr>
      <w:r w:rsidRPr="005C100D">
        <w:rPr>
          <w:rFonts w:cstheme="majorBidi"/>
          <w:sz w:val="24"/>
          <w:szCs w:val="24"/>
          <w:lang w:val="en-GB"/>
        </w:rPr>
        <w:t xml:space="preserve">The former government also established a Commission on Mental Health in 2012, which was tasked with developing proposals for improving the treatment of psychiatric patients, also with the aim of reducing coercion in the psychiatry. This lead to the adoption of an action plan for a 50% reduction of the level of coercion by 2020, including a 50% reduction in the use of immobilisation with belts. </w:t>
      </w:r>
    </w:p>
    <w:p w:rsidR="002C41E1" w:rsidRPr="005C100D" w:rsidRDefault="002C41E1" w:rsidP="005C100D">
      <w:pPr>
        <w:jc w:val="both"/>
        <w:rPr>
          <w:rFonts w:cstheme="majorBidi"/>
          <w:i/>
          <w:sz w:val="24"/>
          <w:szCs w:val="24"/>
          <w:lang w:val="en-GB"/>
        </w:rPr>
      </w:pPr>
      <w:r w:rsidRPr="005C100D">
        <w:rPr>
          <w:rFonts w:cstheme="majorBidi"/>
          <w:i/>
          <w:sz w:val="24"/>
          <w:szCs w:val="24"/>
          <w:lang w:val="en-GB"/>
        </w:rPr>
        <w:t>The use of coercion in practice</w:t>
      </w:r>
    </w:p>
    <w:p w:rsidR="00B637A7" w:rsidRPr="005C100D" w:rsidRDefault="002C41E1" w:rsidP="005C100D">
      <w:pPr>
        <w:jc w:val="both"/>
        <w:rPr>
          <w:rFonts w:cstheme="majorBidi"/>
          <w:sz w:val="24"/>
          <w:szCs w:val="24"/>
          <w:lang w:val="en-GB"/>
        </w:rPr>
      </w:pPr>
      <w:r w:rsidRPr="005C100D">
        <w:rPr>
          <w:rFonts w:cstheme="majorBidi"/>
          <w:sz w:val="24"/>
          <w:szCs w:val="24"/>
          <w:lang w:val="en-GB"/>
        </w:rPr>
        <w:t>Despite the positive steps taken by the state, the use of coercion on patients in psychiatric institutions is still rather extensive, also wh</w:t>
      </w:r>
      <w:r w:rsidR="00217285" w:rsidRPr="005C100D">
        <w:rPr>
          <w:rFonts w:cstheme="majorBidi"/>
          <w:sz w:val="24"/>
          <w:szCs w:val="24"/>
          <w:lang w:val="en-GB"/>
        </w:rPr>
        <w:t xml:space="preserve">en compared to other countries. </w:t>
      </w:r>
      <w:r w:rsidR="00D320F6" w:rsidRPr="005C100D">
        <w:rPr>
          <w:rFonts w:cstheme="majorBidi"/>
          <w:sz w:val="24"/>
          <w:szCs w:val="24"/>
          <w:lang w:val="en-GB"/>
        </w:rPr>
        <w:t>Generally, the percentage of adults who have been subjected to such measures are the same now as in 2011-2013 (baseline) and 2014.</w:t>
      </w:r>
      <w:r w:rsidR="00D320F6" w:rsidRPr="005C100D">
        <w:rPr>
          <w:rStyle w:val="FootnoteReference"/>
          <w:rFonts w:cstheme="majorBidi"/>
          <w:sz w:val="24"/>
          <w:szCs w:val="24"/>
          <w:lang w:val="en-GB"/>
        </w:rPr>
        <w:footnoteReference w:id="76"/>
      </w:r>
      <w:r w:rsidR="00D320F6" w:rsidRPr="005C100D">
        <w:rPr>
          <w:rFonts w:cstheme="majorBidi"/>
          <w:sz w:val="24"/>
          <w:szCs w:val="24"/>
          <w:lang w:val="en-GB"/>
        </w:rPr>
        <w:t xml:space="preserve"> </w:t>
      </w:r>
    </w:p>
    <w:p w:rsidR="00B637A7" w:rsidRPr="005C100D" w:rsidRDefault="00D320F6" w:rsidP="005C100D">
      <w:pPr>
        <w:jc w:val="both"/>
        <w:rPr>
          <w:rFonts w:cstheme="majorBidi"/>
          <w:sz w:val="24"/>
          <w:szCs w:val="24"/>
          <w:lang w:val="en-GB"/>
        </w:rPr>
      </w:pPr>
      <w:r w:rsidRPr="005C100D">
        <w:rPr>
          <w:rFonts w:cstheme="majorBidi"/>
          <w:sz w:val="24"/>
          <w:szCs w:val="24"/>
          <w:lang w:val="en-GB"/>
        </w:rPr>
        <w:t>With regard to juveniles, an increase has been noted in relation to the baseline and 2014.</w:t>
      </w:r>
      <w:r w:rsidR="00217285" w:rsidRPr="005C100D">
        <w:rPr>
          <w:rStyle w:val="FootnoteReference"/>
          <w:rFonts w:cstheme="majorBidi"/>
          <w:sz w:val="24"/>
          <w:szCs w:val="24"/>
          <w:lang w:val="en-GB"/>
        </w:rPr>
        <w:t xml:space="preserve"> </w:t>
      </w:r>
      <w:r w:rsidR="00217285" w:rsidRPr="005C100D">
        <w:rPr>
          <w:rStyle w:val="FootnoteReference"/>
          <w:rFonts w:cstheme="majorBidi"/>
          <w:sz w:val="24"/>
          <w:szCs w:val="24"/>
          <w:lang w:val="en-GB"/>
        </w:rPr>
        <w:footnoteReference w:id="77"/>
      </w:r>
      <w:r w:rsidR="00B637A7" w:rsidRPr="005C100D">
        <w:rPr>
          <w:rFonts w:cstheme="majorBidi"/>
          <w:sz w:val="24"/>
          <w:szCs w:val="24"/>
          <w:lang w:val="en-GB"/>
        </w:rPr>
        <w:t xml:space="preserve"> The National Council for Children has </w:t>
      </w:r>
      <w:r w:rsidR="00344377" w:rsidRPr="005C100D">
        <w:rPr>
          <w:rFonts w:cstheme="majorBidi"/>
          <w:sz w:val="24"/>
          <w:szCs w:val="24"/>
          <w:lang w:val="en-GB"/>
        </w:rPr>
        <w:t xml:space="preserve">documented </w:t>
      </w:r>
      <w:r w:rsidR="00B637A7" w:rsidRPr="005C100D">
        <w:rPr>
          <w:rFonts w:cstheme="majorBidi"/>
          <w:sz w:val="24"/>
          <w:szCs w:val="24"/>
          <w:lang w:val="en-GB"/>
        </w:rPr>
        <w:t xml:space="preserve">that a high number of children and youth </w:t>
      </w:r>
      <w:r w:rsidR="00344377" w:rsidRPr="005C100D">
        <w:rPr>
          <w:rFonts w:cstheme="majorBidi"/>
          <w:sz w:val="24"/>
          <w:szCs w:val="24"/>
          <w:lang w:val="en-GB"/>
        </w:rPr>
        <w:t xml:space="preserve">in psychiatric wardens </w:t>
      </w:r>
      <w:r w:rsidR="00B637A7" w:rsidRPr="005C100D">
        <w:rPr>
          <w:rFonts w:cstheme="majorBidi"/>
          <w:sz w:val="24"/>
          <w:szCs w:val="24"/>
          <w:lang w:val="en-GB"/>
        </w:rPr>
        <w:t xml:space="preserve">are subject to forced hospitalization and treatment. </w:t>
      </w:r>
      <w:r w:rsidR="00B637A7" w:rsidRPr="005C100D">
        <w:rPr>
          <w:rStyle w:val="FootnoteReference"/>
          <w:rFonts w:cstheme="majorBidi"/>
          <w:sz w:val="24"/>
          <w:szCs w:val="24"/>
          <w:lang w:val="en-GB"/>
        </w:rPr>
        <w:footnoteReference w:id="78"/>
      </w:r>
      <w:r w:rsidR="00B637A7" w:rsidRPr="005C100D">
        <w:rPr>
          <w:rFonts w:cstheme="majorBidi"/>
          <w:sz w:val="24"/>
          <w:szCs w:val="24"/>
          <w:lang w:val="en-GB"/>
        </w:rPr>
        <w:t xml:space="preserve"> The UN Committee on the Rights of Persons with Disabilities (CRPD) has recently expressed strong criticism of the Danish practice and recommended Denmark to </w:t>
      </w:r>
      <w:r w:rsidR="00B637A7" w:rsidRPr="005C100D">
        <w:rPr>
          <w:sz w:val="24"/>
          <w:szCs w:val="24"/>
          <w:lang w:val="en-US"/>
        </w:rPr>
        <w:t>abolish forced hospitalization and treatment of children in psychiatric hospitals</w:t>
      </w:r>
      <w:r w:rsidR="00B637A7" w:rsidRPr="005C100D">
        <w:rPr>
          <w:rFonts w:cstheme="majorBidi"/>
          <w:sz w:val="24"/>
          <w:szCs w:val="24"/>
          <w:lang w:val="en-GB"/>
        </w:rPr>
        <w:t>:</w:t>
      </w:r>
    </w:p>
    <w:p w:rsidR="00B637A7" w:rsidRPr="005C100D" w:rsidRDefault="00B637A7" w:rsidP="005C100D">
      <w:pPr>
        <w:ind w:left="1304"/>
        <w:jc w:val="both"/>
        <w:rPr>
          <w:rFonts w:cstheme="majorBidi"/>
          <w:sz w:val="24"/>
          <w:szCs w:val="24"/>
          <w:lang w:val="en-GB"/>
        </w:rPr>
      </w:pPr>
      <w:r w:rsidRPr="00670121">
        <w:rPr>
          <w:sz w:val="18"/>
          <w:szCs w:val="18"/>
          <w:lang w:val="en-US"/>
        </w:rPr>
        <w:t>The Committee recommends that the State party abolish forced hospitalization and treatment of children in psychiatric hospitals, and provide adequate opportunities for information and counselling to ensure that all children with disabilities have the support they need to express their views</w:t>
      </w:r>
      <w:r w:rsidRPr="005C100D">
        <w:rPr>
          <w:rFonts w:cstheme="majorBidi"/>
          <w:sz w:val="24"/>
          <w:szCs w:val="24"/>
          <w:lang w:val="en-GB"/>
        </w:rPr>
        <w:t>.</w:t>
      </w:r>
      <w:r w:rsidRPr="005C100D">
        <w:rPr>
          <w:rStyle w:val="FootnoteReference"/>
          <w:rFonts w:cstheme="majorBidi"/>
          <w:sz w:val="24"/>
          <w:szCs w:val="24"/>
          <w:lang w:val="en-GB"/>
        </w:rPr>
        <w:footnoteReference w:id="79"/>
      </w:r>
      <w:r w:rsidRPr="005C100D">
        <w:rPr>
          <w:rFonts w:cstheme="majorBidi"/>
          <w:sz w:val="24"/>
          <w:szCs w:val="24"/>
          <w:lang w:val="en-GB"/>
        </w:rPr>
        <w:t xml:space="preserve"> </w:t>
      </w:r>
    </w:p>
    <w:p w:rsidR="00D320F6" w:rsidRPr="009C3DC5" w:rsidRDefault="00F26E2B" w:rsidP="005C100D">
      <w:pPr>
        <w:jc w:val="both"/>
        <w:rPr>
          <w:rFonts w:cstheme="majorBidi"/>
          <w:sz w:val="24"/>
          <w:szCs w:val="24"/>
          <w:lang w:val="en-GB"/>
        </w:rPr>
      </w:pPr>
      <w:r w:rsidRPr="005C100D">
        <w:rPr>
          <w:rFonts w:cstheme="majorBidi"/>
          <w:sz w:val="24"/>
          <w:szCs w:val="24"/>
          <w:lang w:val="en-GB"/>
        </w:rPr>
        <w:t>This issue was selected under the 1-year follow procedure.</w:t>
      </w:r>
      <w:r w:rsidR="00B637A7" w:rsidRPr="005C100D">
        <w:rPr>
          <w:rFonts w:cstheme="majorBidi"/>
          <w:sz w:val="24"/>
          <w:szCs w:val="24"/>
          <w:lang w:val="en-GB"/>
        </w:rPr>
        <w:t xml:space="preserve"> </w:t>
      </w:r>
      <w:r w:rsidRPr="005C100D">
        <w:rPr>
          <w:rFonts w:cstheme="majorBidi"/>
          <w:sz w:val="24"/>
          <w:szCs w:val="24"/>
          <w:lang w:val="en-GB"/>
        </w:rPr>
        <w:t xml:space="preserve">The </w:t>
      </w:r>
      <w:r w:rsidR="00690931" w:rsidRPr="005C100D">
        <w:rPr>
          <w:rFonts w:cstheme="majorBidi"/>
          <w:sz w:val="24"/>
          <w:szCs w:val="24"/>
          <w:lang w:val="en-GB"/>
        </w:rPr>
        <w:t xml:space="preserve">Danish government </w:t>
      </w:r>
      <w:r w:rsidR="00B637A7" w:rsidRPr="005C100D">
        <w:rPr>
          <w:rFonts w:cstheme="majorBidi"/>
          <w:sz w:val="24"/>
          <w:szCs w:val="24"/>
          <w:lang w:val="en-GB"/>
        </w:rPr>
        <w:t xml:space="preserve">replied to the UN CRPD Committee by reiterating the legal basis for the situation, but </w:t>
      </w:r>
      <w:r w:rsidR="00690931" w:rsidRPr="005C100D">
        <w:rPr>
          <w:rFonts w:cstheme="majorBidi"/>
          <w:sz w:val="24"/>
          <w:szCs w:val="24"/>
          <w:lang w:val="en-GB"/>
        </w:rPr>
        <w:t xml:space="preserve">without </w:t>
      </w:r>
      <w:r w:rsidR="0035313B">
        <w:rPr>
          <w:rFonts w:cstheme="majorBidi"/>
          <w:sz w:val="24"/>
          <w:szCs w:val="24"/>
          <w:lang w:val="en-GB"/>
        </w:rPr>
        <w:t>noting any</w:t>
      </w:r>
      <w:r w:rsidR="00B637A7" w:rsidRPr="005C100D">
        <w:rPr>
          <w:rFonts w:cstheme="majorBidi"/>
          <w:sz w:val="24"/>
          <w:szCs w:val="24"/>
          <w:lang w:val="en-GB"/>
        </w:rPr>
        <w:t xml:space="preserve"> specific initiatives t</w:t>
      </w:r>
      <w:r w:rsidR="0035313B">
        <w:rPr>
          <w:rFonts w:cstheme="majorBidi"/>
          <w:sz w:val="24"/>
          <w:szCs w:val="24"/>
          <w:lang w:val="en-GB"/>
        </w:rPr>
        <w:t>hat have been taken t</w:t>
      </w:r>
      <w:r w:rsidR="00B637A7" w:rsidRPr="005C100D">
        <w:rPr>
          <w:rFonts w:cstheme="majorBidi"/>
          <w:sz w:val="24"/>
          <w:szCs w:val="24"/>
          <w:lang w:val="en-GB"/>
        </w:rPr>
        <w:t xml:space="preserve">o change the situation. </w:t>
      </w:r>
    </w:p>
    <w:p w:rsidR="00D320F6" w:rsidRPr="005C100D" w:rsidRDefault="00D320F6" w:rsidP="005C100D">
      <w:pPr>
        <w:jc w:val="both"/>
        <w:rPr>
          <w:rFonts w:cstheme="majorBidi"/>
          <w:sz w:val="24"/>
          <w:szCs w:val="24"/>
          <w:lang w:val="en-US"/>
        </w:rPr>
      </w:pPr>
      <w:r w:rsidRPr="005C100D">
        <w:rPr>
          <w:rFonts w:cstheme="majorBidi"/>
          <w:sz w:val="24"/>
          <w:szCs w:val="24"/>
          <w:lang w:val="en-US"/>
        </w:rPr>
        <w:lastRenderedPageBreak/>
        <w:t>Another concern is that statistic shows that minorities, especially men with a minority background, are overrepresented when it comes to being subjected to coercion in the psychiatric hospitals.</w:t>
      </w:r>
      <w:r w:rsidRPr="005C100D">
        <w:rPr>
          <w:rFonts w:cstheme="majorBidi"/>
          <w:sz w:val="24"/>
          <w:szCs w:val="24"/>
          <w:vertAlign w:val="superscript"/>
          <w:lang w:val="en-US"/>
        </w:rPr>
        <w:footnoteReference w:id="80"/>
      </w:r>
      <w:r w:rsidRPr="005C100D">
        <w:rPr>
          <w:rFonts w:cstheme="majorBidi"/>
          <w:sz w:val="24"/>
          <w:szCs w:val="24"/>
          <w:lang w:val="en-US"/>
        </w:rPr>
        <w:t xml:space="preserve"> </w:t>
      </w:r>
    </w:p>
    <w:p w:rsidR="00D320F6" w:rsidRPr="005C100D" w:rsidRDefault="00D320F6" w:rsidP="005C100D">
      <w:pPr>
        <w:jc w:val="both"/>
        <w:rPr>
          <w:rFonts w:cstheme="majorBidi"/>
          <w:sz w:val="24"/>
          <w:szCs w:val="24"/>
          <w:lang w:val="en-US"/>
        </w:rPr>
      </w:pPr>
      <w:r w:rsidRPr="005C100D">
        <w:rPr>
          <w:rFonts w:cstheme="majorBidi"/>
          <w:sz w:val="24"/>
          <w:szCs w:val="24"/>
          <w:lang w:val="en-GB"/>
        </w:rPr>
        <w:t xml:space="preserve">When focusing on the various types of measures, we can note that with regard to </w:t>
      </w:r>
      <w:r w:rsidR="004E4AF7" w:rsidRPr="005C100D">
        <w:rPr>
          <w:rFonts w:cstheme="majorBidi"/>
          <w:b/>
          <w:sz w:val="24"/>
          <w:szCs w:val="24"/>
          <w:lang w:val="en-GB"/>
        </w:rPr>
        <w:t xml:space="preserve">fixation by </w:t>
      </w:r>
      <w:r w:rsidRPr="005C100D">
        <w:rPr>
          <w:rFonts w:cstheme="majorBidi"/>
          <w:b/>
          <w:sz w:val="24"/>
          <w:szCs w:val="24"/>
          <w:lang w:val="en-GB"/>
        </w:rPr>
        <w:t>belts</w:t>
      </w:r>
      <w:r w:rsidRPr="005C100D">
        <w:rPr>
          <w:rFonts w:cstheme="majorBidi"/>
          <w:sz w:val="24"/>
          <w:szCs w:val="24"/>
          <w:lang w:val="en-GB"/>
        </w:rPr>
        <w:t>, t</w:t>
      </w:r>
      <w:r w:rsidR="002C41E1" w:rsidRPr="005C100D">
        <w:rPr>
          <w:rFonts w:cstheme="majorBidi"/>
          <w:sz w:val="24"/>
          <w:szCs w:val="24"/>
          <w:lang w:val="en-GB"/>
        </w:rPr>
        <w:t>here has been a downward trend as regards the overall use of immobilization with belt in recent years</w:t>
      </w:r>
      <w:r w:rsidR="00FC74A1" w:rsidRPr="005C100D">
        <w:rPr>
          <w:rFonts w:cstheme="majorBidi"/>
          <w:sz w:val="24"/>
          <w:szCs w:val="24"/>
          <w:lang w:val="en-GB"/>
        </w:rPr>
        <w:t xml:space="preserve"> – although the use of fixation for a medium period </w:t>
      </w:r>
      <w:r w:rsidR="00BF7192" w:rsidRPr="005C100D">
        <w:rPr>
          <w:rFonts w:cstheme="majorBidi"/>
          <w:sz w:val="24"/>
          <w:szCs w:val="24"/>
          <w:lang w:val="en-GB"/>
        </w:rPr>
        <w:t xml:space="preserve">(2 – 8 hrs) </w:t>
      </w:r>
      <w:r w:rsidR="00FC74A1" w:rsidRPr="005C100D">
        <w:rPr>
          <w:rFonts w:cstheme="majorBidi"/>
          <w:sz w:val="24"/>
          <w:szCs w:val="24"/>
          <w:lang w:val="en-GB"/>
        </w:rPr>
        <w:t>has increased</w:t>
      </w:r>
      <w:r w:rsidRPr="005C100D">
        <w:rPr>
          <w:rFonts w:cstheme="majorBidi"/>
          <w:sz w:val="24"/>
          <w:szCs w:val="24"/>
          <w:lang w:val="en-GB"/>
        </w:rPr>
        <w:t xml:space="preserve">. The total number of cases, all regions/local councils (except Region </w:t>
      </w:r>
      <w:proofErr w:type="spellStart"/>
      <w:r w:rsidRPr="005C100D">
        <w:rPr>
          <w:rFonts w:cstheme="majorBidi"/>
          <w:sz w:val="24"/>
          <w:szCs w:val="24"/>
          <w:lang w:val="en-GB"/>
        </w:rPr>
        <w:t>Midtjylland</w:t>
      </w:r>
      <w:proofErr w:type="spellEnd"/>
      <w:r w:rsidRPr="005C100D">
        <w:rPr>
          <w:rFonts w:cstheme="majorBidi"/>
          <w:sz w:val="24"/>
          <w:szCs w:val="24"/>
          <w:lang w:val="en-GB"/>
        </w:rPr>
        <w:t xml:space="preserve"> </w:t>
      </w:r>
      <w:proofErr w:type="spellStart"/>
      <w:r w:rsidRPr="005C100D">
        <w:rPr>
          <w:rFonts w:cstheme="majorBidi"/>
          <w:sz w:val="24"/>
          <w:szCs w:val="24"/>
          <w:lang w:val="en-GB"/>
        </w:rPr>
        <w:t>og</w:t>
      </w:r>
      <w:proofErr w:type="spellEnd"/>
      <w:r w:rsidRPr="005C100D">
        <w:rPr>
          <w:rFonts w:cstheme="majorBidi"/>
          <w:sz w:val="24"/>
          <w:szCs w:val="24"/>
          <w:lang w:val="en-GB"/>
        </w:rPr>
        <w:t xml:space="preserve"> </w:t>
      </w:r>
      <w:proofErr w:type="spellStart"/>
      <w:r w:rsidRPr="005C100D">
        <w:rPr>
          <w:rFonts w:cstheme="majorBidi"/>
          <w:sz w:val="24"/>
          <w:szCs w:val="24"/>
          <w:lang w:val="en-GB"/>
        </w:rPr>
        <w:t>Nordjylland</w:t>
      </w:r>
      <w:proofErr w:type="spellEnd"/>
      <w:r w:rsidRPr="005C100D">
        <w:rPr>
          <w:rFonts w:cstheme="majorBidi"/>
          <w:sz w:val="24"/>
          <w:szCs w:val="24"/>
          <w:lang w:val="en-GB"/>
        </w:rPr>
        <w:t>) have noted a decrease compared with basel</w:t>
      </w:r>
      <w:r w:rsidR="004E4AF7" w:rsidRPr="005C100D">
        <w:rPr>
          <w:rFonts w:cstheme="majorBidi"/>
          <w:sz w:val="24"/>
          <w:szCs w:val="24"/>
          <w:lang w:val="en-GB"/>
        </w:rPr>
        <w:t>ine and 2014. In</w:t>
      </w:r>
      <w:r w:rsidRPr="005C100D">
        <w:rPr>
          <w:rFonts w:cstheme="majorBidi"/>
          <w:sz w:val="24"/>
          <w:szCs w:val="24"/>
          <w:lang w:val="en-GB"/>
        </w:rPr>
        <w:t xml:space="preserve"> those two regions, the total numbers of cases have not decreased, but the total number of persons has decreased. </w:t>
      </w:r>
    </w:p>
    <w:p w:rsidR="00D320F6" w:rsidRPr="005C100D" w:rsidRDefault="00D320F6" w:rsidP="005C100D">
      <w:pPr>
        <w:jc w:val="both"/>
        <w:rPr>
          <w:rFonts w:cstheme="majorBidi"/>
          <w:sz w:val="24"/>
          <w:szCs w:val="24"/>
          <w:lang w:val="en-US"/>
        </w:rPr>
      </w:pPr>
      <w:r w:rsidRPr="005C100D">
        <w:rPr>
          <w:rFonts w:cstheme="majorBidi"/>
          <w:sz w:val="24"/>
          <w:szCs w:val="24"/>
          <w:lang w:val="en-US"/>
        </w:rPr>
        <w:t xml:space="preserve">With regard to using </w:t>
      </w:r>
      <w:r w:rsidRPr="005C100D">
        <w:rPr>
          <w:rFonts w:cstheme="majorBidi"/>
          <w:b/>
          <w:sz w:val="24"/>
          <w:szCs w:val="24"/>
          <w:lang w:val="en-US"/>
        </w:rPr>
        <w:t>medicine as an alternative</w:t>
      </w:r>
      <w:r w:rsidRPr="005C100D">
        <w:rPr>
          <w:rFonts w:cstheme="majorBidi"/>
          <w:sz w:val="24"/>
          <w:szCs w:val="24"/>
          <w:lang w:val="en-US"/>
        </w:rPr>
        <w:t xml:space="preserve">, we can note that there has been an increase </w:t>
      </w:r>
      <w:r w:rsidR="00217285" w:rsidRPr="005C100D">
        <w:rPr>
          <w:rFonts w:cstheme="majorBidi"/>
          <w:sz w:val="24"/>
          <w:szCs w:val="24"/>
          <w:lang w:val="en-US"/>
        </w:rPr>
        <w:t xml:space="preserve">in all regions (except </w:t>
      </w:r>
      <w:r w:rsidR="0083188B">
        <w:rPr>
          <w:rFonts w:cstheme="majorBidi"/>
          <w:sz w:val="24"/>
          <w:szCs w:val="24"/>
          <w:lang w:val="en-US"/>
        </w:rPr>
        <w:t>Copenhagen</w:t>
      </w:r>
      <w:r w:rsidR="00217285" w:rsidRPr="005C100D">
        <w:rPr>
          <w:rFonts w:cstheme="majorBidi"/>
          <w:sz w:val="24"/>
          <w:szCs w:val="24"/>
          <w:lang w:val="en-US"/>
        </w:rPr>
        <w:t xml:space="preserve"> and </w:t>
      </w:r>
      <w:proofErr w:type="spellStart"/>
      <w:r w:rsidR="00217285" w:rsidRPr="005C100D">
        <w:rPr>
          <w:rFonts w:cstheme="majorBidi"/>
          <w:sz w:val="24"/>
          <w:szCs w:val="24"/>
          <w:lang w:val="en-US"/>
        </w:rPr>
        <w:t>Sjælland</w:t>
      </w:r>
      <w:proofErr w:type="spellEnd"/>
      <w:r w:rsidR="00217285" w:rsidRPr="005C100D">
        <w:rPr>
          <w:rFonts w:cstheme="majorBidi"/>
          <w:sz w:val="24"/>
          <w:szCs w:val="24"/>
          <w:lang w:val="en-US"/>
        </w:rPr>
        <w:t xml:space="preserve">) </w:t>
      </w:r>
      <w:r w:rsidRPr="005C100D">
        <w:rPr>
          <w:rFonts w:cstheme="majorBidi"/>
          <w:sz w:val="24"/>
          <w:szCs w:val="24"/>
          <w:lang w:val="en-US"/>
        </w:rPr>
        <w:t xml:space="preserve">– also in regions/local councils that have decreased the use of belts (see below). </w:t>
      </w:r>
      <w:r w:rsidRPr="005C100D">
        <w:rPr>
          <w:rStyle w:val="FootnoteReference"/>
          <w:rFonts w:cstheme="majorBidi"/>
          <w:sz w:val="24"/>
          <w:szCs w:val="24"/>
          <w:lang w:val="en-US"/>
        </w:rPr>
        <w:footnoteReference w:id="81"/>
      </w:r>
      <w:r w:rsidRPr="005C100D">
        <w:rPr>
          <w:rFonts w:cstheme="majorBidi"/>
          <w:sz w:val="24"/>
          <w:szCs w:val="24"/>
          <w:lang w:val="en-US"/>
        </w:rPr>
        <w:t xml:space="preserve"> </w:t>
      </w:r>
    </w:p>
    <w:p w:rsidR="002C41E1" w:rsidRPr="005C100D" w:rsidRDefault="002C41E1" w:rsidP="005C100D">
      <w:pPr>
        <w:jc w:val="both"/>
        <w:rPr>
          <w:rFonts w:cstheme="majorBidi"/>
          <w:sz w:val="24"/>
          <w:szCs w:val="24"/>
          <w:lang w:val="en-US"/>
        </w:rPr>
      </w:pPr>
      <w:r w:rsidRPr="005C100D">
        <w:rPr>
          <w:rFonts w:cstheme="majorBidi"/>
          <w:sz w:val="24"/>
          <w:szCs w:val="24"/>
          <w:lang w:val="en-US"/>
        </w:rPr>
        <w:t xml:space="preserve">A High Court judgment concluded </w:t>
      </w:r>
      <w:r w:rsidR="0083188B">
        <w:rPr>
          <w:rFonts w:cstheme="majorBidi"/>
          <w:sz w:val="24"/>
          <w:szCs w:val="24"/>
          <w:lang w:val="en-US"/>
        </w:rPr>
        <w:t xml:space="preserve">in 2014 </w:t>
      </w:r>
      <w:r w:rsidRPr="005C100D">
        <w:rPr>
          <w:rFonts w:cstheme="majorBidi"/>
          <w:sz w:val="24"/>
          <w:szCs w:val="24"/>
          <w:lang w:val="en-US"/>
        </w:rPr>
        <w:t xml:space="preserve">that the Odense University hospital was found to have breached article 3 of the European Convention Human Rights because the plaintiff was subjected to coercive measures (fixation) that lead to such intense physical and psychological suffering. </w:t>
      </w:r>
      <w:r w:rsidRPr="005C100D">
        <w:rPr>
          <w:rStyle w:val="FootnoteReference"/>
          <w:rFonts w:cstheme="majorBidi"/>
          <w:sz w:val="24"/>
          <w:szCs w:val="24"/>
          <w:lang w:val="en-US"/>
        </w:rPr>
        <w:footnoteReference w:id="82"/>
      </w:r>
      <w:r w:rsidRPr="005C100D">
        <w:rPr>
          <w:rFonts w:cstheme="majorBidi"/>
          <w:sz w:val="24"/>
          <w:szCs w:val="24"/>
          <w:lang w:val="en-US"/>
        </w:rPr>
        <w:t xml:space="preserve"> In the judgement </w:t>
      </w:r>
      <w:proofErr w:type="spellStart"/>
      <w:r w:rsidRPr="005C100D">
        <w:rPr>
          <w:rFonts w:cstheme="majorBidi"/>
          <w:sz w:val="24"/>
          <w:szCs w:val="24"/>
          <w:lang w:val="en-US"/>
        </w:rPr>
        <w:t>Bureš</w:t>
      </w:r>
      <w:proofErr w:type="spellEnd"/>
      <w:r w:rsidRPr="005C100D">
        <w:rPr>
          <w:rFonts w:cstheme="majorBidi"/>
          <w:sz w:val="24"/>
          <w:szCs w:val="24"/>
          <w:lang w:val="en-US"/>
        </w:rPr>
        <w:t xml:space="preserve"> v. the Czech Republic, of the European Court of Human Rights, ruled that </w:t>
      </w:r>
      <w:r w:rsidR="00B7107A" w:rsidRPr="005C100D">
        <w:rPr>
          <w:rFonts w:cstheme="majorBidi"/>
          <w:sz w:val="24"/>
          <w:szCs w:val="24"/>
          <w:lang w:val="en-US"/>
        </w:rPr>
        <w:t>the use of immobilization of individuals with belts</w:t>
      </w:r>
      <w:r w:rsidR="00B7107A" w:rsidRPr="005C100D">
        <w:rPr>
          <w:rFonts w:cstheme="majorBidi"/>
          <w:sz w:val="24"/>
          <w:szCs w:val="24"/>
          <w:lang w:val="en-US"/>
        </w:rPr>
        <w:t xml:space="preserve"> </w:t>
      </w:r>
      <w:r w:rsidRPr="005C100D">
        <w:rPr>
          <w:rFonts w:cstheme="majorBidi"/>
          <w:sz w:val="24"/>
          <w:szCs w:val="24"/>
          <w:lang w:val="en-US"/>
        </w:rPr>
        <w:t>requires that the int</w:t>
      </w:r>
      <w:r w:rsidR="00371711">
        <w:rPr>
          <w:rFonts w:cstheme="majorBidi"/>
          <w:sz w:val="24"/>
          <w:szCs w:val="24"/>
          <w:lang w:val="en-US"/>
        </w:rPr>
        <w:t>ervention is strictly necessary.</w:t>
      </w:r>
      <w:r w:rsidRPr="005C100D">
        <w:rPr>
          <w:rFonts w:cstheme="majorBidi"/>
          <w:sz w:val="24"/>
          <w:szCs w:val="24"/>
          <w:vertAlign w:val="superscript"/>
          <w:lang w:val="en-US"/>
        </w:rPr>
        <w:footnoteReference w:id="83"/>
      </w:r>
      <w:r w:rsidRPr="005C100D">
        <w:rPr>
          <w:rFonts w:cstheme="majorBidi"/>
          <w:sz w:val="24"/>
          <w:szCs w:val="24"/>
          <w:lang w:val="en-US"/>
        </w:rPr>
        <w:t xml:space="preserve"> </w:t>
      </w:r>
    </w:p>
    <w:p w:rsidR="002C41E1" w:rsidRPr="005C100D" w:rsidRDefault="002C41E1" w:rsidP="005C100D">
      <w:pPr>
        <w:jc w:val="both"/>
        <w:rPr>
          <w:rFonts w:cstheme="majorBidi"/>
          <w:sz w:val="24"/>
          <w:szCs w:val="24"/>
          <w:lang w:val="en-US"/>
        </w:rPr>
      </w:pPr>
      <w:r w:rsidRPr="005C100D">
        <w:rPr>
          <w:rFonts w:cstheme="majorBidi"/>
          <w:sz w:val="24"/>
          <w:szCs w:val="24"/>
          <w:lang w:val="en-US"/>
        </w:rPr>
        <w:t xml:space="preserve">In its report on Denmark (2004), the CPT expressed serious concern about the </w:t>
      </w:r>
      <w:r w:rsidR="008C6368">
        <w:rPr>
          <w:rFonts w:cstheme="majorBidi"/>
          <w:sz w:val="24"/>
          <w:szCs w:val="24"/>
          <w:lang w:val="en-US"/>
        </w:rPr>
        <w:t>Danish practice</w:t>
      </w:r>
      <w:r w:rsidRPr="005C100D">
        <w:rPr>
          <w:rFonts w:cstheme="majorBidi"/>
          <w:sz w:val="24"/>
          <w:szCs w:val="24"/>
          <w:lang w:val="en-US"/>
        </w:rPr>
        <w:t>:</w:t>
      </w:r>
      <w:r w:rsidRPr="005C100D">
        <w:rPr>
          <w:rFonts w:cstheme="majorBidi"/>
          <w:sz w:val="24"/>
          <w:szCs w:val="24"/>
          <w:vertAlign w:val="superscript"/>
          <w:lang w:val="en-US"/>
        </w:rPr>
        <w:footnoteReference w:id="84"/>
      </w:r>
    </w:p>
    <w:p w:rsidR="002C41E1" w:rsidRPr="002D6BF1" w:rsidRDefault="002C41E1" w:rsidP="005C100D">
      <w:pPr>
        <w:pStyle w:val="ListParagraph"/>
        <w:jc w:val="both"/>
        <w:rPr>
          <w:rFonts w:cstheme="majorBidi"/>
          <w:i/>
          <w:sz w:val="20"/>
          <w:szCs w:val="20"/>
          <w:u w:val="single"/>
          <w:lang w:val="en-GB"/>
        </w:rPr>
      </w:pPr>
      <w:r w:rsidRPr="002D6BF1">
        <w:rPr>
          <w:rFonts w:cstheme="majorBidi"/>
          <w:i/>
          <w:sz w:val="20"/>
          <w:szCs w:val="20"/>
          <w:lang w:val="en-GB"/>
        </w:rPr>
        <w:t xml:space="preserve">“However, despite measures taken to tackle the frequent use and length of immobilisation in psychiatric hospitals, such as increased staff training and certain legislative amendments, there had been no reduction in the registered use of immobilisation in Denmark. On the contrary, the instances of immobilisation, and notably those of prolonged immobilisation (for more than 48 hours), has steadily increased and reached all-time peaks in 2012 and 2013 on a national level. </w:t>
      </w:r>
      <w:r w:rsidRPr="002D6BF1">
        <w:rPr>
          <w:rFonts w:cstheme="majorBidi"/>
          <w:i/>
          <w:sz w:val="20"/>
          <w:szCs w:val="20"/>
          <w:u w:val="single"/>
          <w:lang w:val="en-GB"/>
        </w:rPr>
        <w:t>The CPT therefore remains seriously concerned about the frequent and prolonged use of immobilisation in psychiatric hospitals.”</w:t>
      </w:r>
    </w:p>
    <w:p w:rsidR="002C41E1" w:rsidRPr="002D6BF1" w:rsidRDefault="002C41E1" w:rsidP="005C100D">
      <w:pPr>
        <w:pStyle w:val="ListParagraph"/>
        <w:jc w:val="both"/>
        <w:rPr>
          <w:rFonts w:cstheme="majorBidi"/>
          <w:i/>
          <w:sz w:val="20"/>
          <w:szCs w:val="20"/>
          <w:lang w:val="en-GB"/>
        </w:rPr>
      </w:pPr>
    </w:p>
    <w:p w:rsidR="007C24D4" w:rsidRPr="007C24D4" w:rsidRDefault="002C41E1" w:rsidP="007C24D4">
      <w:pPr>
        <w:pStyle w:val="ListParagraph"/>
        <w:jc w:val="both"/>
        <w:rPr>
          <w:rFonts w:cstheme="majorBidi"/>
          <w:b/>
          <w:i/>
          <w:sz w:val="20"/>
          <w:szCs w:val="20"/>
          <w:lang w:val="en-GB"/>
        </w:rPr>
      </w:pPr>
      <w:r w:rsidRPr="002D6BF1">
        <w:rPr>
          <w:rFonts w:cstheme="majorBidi"/>
          <w:i/>
          <w:sz w:val="20"/>
          <w:szCs w:val="20"/>
          <w:lang w:val="en-GB"/>
        </w:rPr>
        <w:t xml:space="preserve">“In the CPT’s view, the duration of the actual means of restraint should be for the shortest possible time (usually minutes to a few hours), and should always be terminated when the reason for the use of restraint has ceased. The maximum duration of the application of mechanical restraint should ordinarily not exceed 6 hours. As pointed out in the reports on the CPT’s 2002 and 2008 visits to Denmark, </w:t>
      </w:r>
      <w:r w:rsidRPr="002D6BF1">
        <w:rPr>
          <w:rFonts w:cstheme="majorBidi"/>
          <w:b/>
          <w:i/>
          <w:sz w:val="20"/>
          <w:szCs w:val="20"/>
          <w:lang w:val="en-GB"/>
        </w:rPr>
        <w:t>the Committee considers that applying instruments of physical restraint to psychiatric patients for days on end cannot have any medical justification and amounts to ill-treatment.</w:t>
      </w:r>
      <w:r w:rsidR="009C3DC5" w:rsidRPr="002D6BF1">
        <w:rPr>
          <w:rFonts w:cstheme="majorBidi"/>
          <w:i/>
          <w:sz w:val="20"/>
          <w:szCs w:val="20"/>
          <w:lang w:val="en-GB"/>
        </w:rPr>
        <w:t>”</w:t>
      </w:r>
    </w:p>
    <w:p w:rsidR="007C24D4" w:rsidRPr="007C24D4" w:rsidRDefault="007C24D4" w:rsidP="005C100D">
      <w:pPr>
        <w:jc w:val="both"/>
        <w:rPr>
          <w:rFonts w:cstheme="majorBidi"/>
          <w:bCs/>
          <w:sz w:val="24"/>
          <w:szCs w:val="24"/>
          <w:lang w:val="en-US"/>
        </w:rPr>
      </w:pPr>
      <w:r>
        <w:rPr>
          <w:rFonts w:cstheme="majorBidi"/>
          <w:bCs/>
          <w:sz w:val="24"/>
          <w:szCs w:val="24"/>
          <w:lang w:val="en-US"/>
        </w:rPr>
        <w:t>We also refer to the Concluding Observations of the Committee against Torture (2015).</w:t>
      </w:r>
    </w:p>
    <w:p w:rsidR="002C41E1" w:rsidRPr="005C100D" w:rsidRDefault="002C41E1" w:rsidP="005C100D">
      <w:pPr>
        <w:jc w:val="both"/>
        <w:rPr>
          <w:rFonts w:cstheme="majorBidi"/>
          <w:sz w:val="24"/>
          <w:szCs w:val="24"/>
          <w:lang w:val="en-US"/>
        </w:rPr>
      </w:pPr>
      <w:r w:rsidRPr="005C100D">
        <w:rPr>
          <w:rFonts w:cstheme="majorBidi"/>
          <w:b/>
          <w:bCs/>
          <w:sz w:val="24"/>
          <w:szCs w:val="24"/>
          <w:lang w:val="en-US"/>
        </w:rPr>
        <w:t>We therefore recommend</w:t>
      </w:r>
      <w:r w:rsidRPr="005C100D">
        <w:rPr>
          <w:rFonts w:cstheme="majorBidi"/>
          <w:sz w:val="24"/>
          <w:szCs w:val="24"/>
          <w:lang w:val="en-US"/>
        </w:rPr>
        <w:t xml:space="preserve"> Denmark to:</w:t>
      </w:r>
    </w:p>
    <w:p w:rsidR="002C41E1" w:rsidRPr="005C100D" w:rsidRDefault="002C41E1" w:rsidP="005C100D">
      <w:pPr>
        <w:pStyle w:val="ListParagraph"/>
        <w:numPr>
          <w:ilvl w:val="0"/>
          <w:numId w:val="29"/>
        </w:numPr>
        <w:jc w:val="both"/>
        <w:rPr>
          <w:rFonts w:cstheme="majorBidi"/>
          <w:sz w:val="24"/>
          <w:szCs w:val="24"/>
          <w:lang w:val="en-US"/>
        </w:rPr>
      </w:pPr>
      <w:r w:rsidRPr="005C100D">
        <w:rPr>
          <w:rFonts w:cstheme="majorBidi"/>
          <w:sz w:val="24"/>
          <w:szCs w:val="24"/>
          <w:lang w:val="en-US"/>
        </w:rPr>
        <w:t xml:space="preserve">End the use of immobilization with belt exceeding 24 hours. </w:t>
      </w:r>
    </w:p>
    <w:p w:rsidR="002C41E1" w:rsidRPr="005C100D" w:rsidRDefault="002C41E1" w:rsidP="005C100D">
      <w:pPr>
        <w:pStyle w:val="ListParagraph"/>
        <w:numPr>
          <w:ilvl w:val="0"/>
          <w:numId w:val="29"/>
        </w:numPr>
        <w:jc w:val="both"/>
        <w:rPr>
          <w:rFonts w:cstheme="majorBidi"/>
          <w:sz w:val="24"/>
          <w:szCs w:val="24"/>
          <w:lang w:val="en-US"/>
        </w:rPr>
      </w:pPr>
      <w:r w:rsidRPr="005C100D">
        <w:rPr>
          <w:rFonts w:cstheme="majorBidi"/>
          <w:sz w:val="24"/>
          <w:szCs w:val="24"/>
          <w:lang w:val="en-US"/>
        </w:rPr>
        <w:lastRenderedPageBreak/>
        <w:t>Examine why coercion in psychiatric establishment are used more widely vis-à-vis minority groups.</w:t>
      </w:r>
    </w:p>
    <w:p w:rsidR="002C41E1" w:rsidRPr="005C100D" w:rsidRDefault="002C41E1" w:rsidP="005C100D">
      <w:pPr>
        <w:pStyle w:val="ListParagraph"/>
        <w:numPr>
          <w:ilvl w:val="0"/>
          <w:numId w:val="29"/>
        </w:numPr>
        <w:jc w:val="both"/>
        <w:rPr>
          <w:rFonts w:cstheme="majorBidi"/>
          <w:sz w:val="24"/>
          <w:szCs w:val="24"/>
          <w:lang w:val="en-US"/>
        </w:rPr>
      </w:pPr>
      <w:r w:rsidRPr="005C100D">
        <w:rPr>
          <w:rFonts w:cstheme="majorBidi"/>
          <w:sz w:val="24"/>
          <w:szCs w:val="24"/>
          <w:lang w:val="en-US"/>
        </w:rPr>
        <w:t>Ensure that staffing levels and staff competencies in psychiatric institutions in order to reduce the recourse to coercion in the psychiatric hospitals.</w:t>
      </w:r>
      <w:r w:rsidR="00451E9A" w:rsidRPr="005C100D">
        <w:rPr>
          <w:rFonts w:cstheme="majorBidi"/>
          <w:sz w:val="24"/>
          <w:szCs w:val="24"/>
          <w:lang w:val="en-US"/>
        </w:rPr>
        <w:t xml:space="preserve"> This should include allocating contact persons and review guidelines for staff at the child and youth psychiatric wardens.</w:t>
      </w:r>
    </w:p>
    <w:p w:rsidR="00590D6E" w:rsidRPr="005C100D" w:rsidRDefault="00590D6E" w:rsidP="005C100D">
      <w:pPr>
        <w:pStyle w:val="Heading3"/>
        <w:spacing w:after="240"/>
        <w:jc w:val="both"/>
        <w:rPr>
          <w:b/>
          <w:bCs/>
          <w:color w:val="4F81BD" w:themeColor="accent1"/>
          <w:lang w:val="en-US"/>
        </w:rPr>
      </w:pPr>
      <w:bookmarkStart w:id="9" w:name="_Toc451866547"/>
      <w:r w:rsidRPr="005C100D">
        <w:rPr>
          <w:lang w:val="en-US"/>
        </w:rPr>
        <w:t>PROHIBITION OF SLAVERY OR FORCED OR COMPULSORY LABOUR (</w:t>
      </w:r>
      <w:r w:rsidRPr="005C100D">
        <w:rPr>
          <w:b/>
          <w:bCs/>
          <w:lang w:val="en-US"/>
        </w:rPr>
        <w:t xml:space="preserve">Articles 3, 8 and 24; </w:t>
      </w:r>
      <w:r w:rsidRPr="005C100D">
        <w:rPr>
          <w:lang w:val="en-US"/>
        </w:rPr>
        <w:t>LOI</w:t>
      </w:r>
      <w:r w:rsidR="00F8497A">
        <w:rPr>
          <w:lang w:val="en-US"/>
        </w:rPr>
        <w:t>PR</w:t>
      </w:r>
      <w:r w:rsidRPr="005C100D">
        <w:rPr>
          <w:lang w:val="en-US"/>
        </w:rPr>
        <w:t xml:space="preserve"> PARA 16)</w:t>
      </w:r>
      <w:bookmarkEnd w:id="9"/>
    </w:p>
    <w:p w:rsidR="00C75185" w:rsidRPr="005C100D" w:rsidRDefault="00C75185" w:rsidP="005C100D">
      <w:pPr>
        <w:jc w:val="both"/>
        <w:rPr>
          <w:sz w:val="24"/>
          <w:szCs w:val="24"/>
          <w:lang w:val="en-GB"/>
        </w:rPr>
      </w:pPr>
      <w:r w:rsidRPr="005C100D">
        <w:rPr>
          <w:sz w:val="24"/>
          <w:szCs w:val="24"/>
          <w:lang w:val="en-GB"/>
        </w:rPr>
        <w:t>In its response, Denmark referred to statistics</w:t>
      </w:r>
      <w:r w:rsidR="00E40491" w:rsidRPr="005C100D">
        <w:rPr>
          <w:sz w:val="24"/>
          <w:szCs w:val="24"/>
          <w:lang w:val="en-GB"/>
        </w:rPr>
        <w:t xml:space="preserve"> regarding </w:t>
      </w:r>
      <w:r w:rsidR="00E40491" w:rsidRPr="005C100D">
        <w:rPr>
          <w:b/>
          <w:sz w:val="24"/>
          <w:szCs w:val="24"/>
          <w:lang w:val="en-GB"/>
        </w:rPr>
        <w:t>human trafficking</w:t>
      </w:r>
      <w:r w:rsidR="00744DDB" w:rsidRPr="005C100D">
        <w:rPr>
          <w:b/>
          <w:sz w:val="24"/>
          <w:szCs w:val="24"/>
          <w:lang w:val="en-GB"/>
        </w:rPr>
        <w:t xml:space="preserve"> </w:t>
      </w:r>
      <w:r w:rsidR="00744DDB" w:rsidRPr="0030082A">
        <w:rPr>
          <w:sz w:val="24"/>
          <w:szCs w:val="24"/>
          <w:lang w:val="en-GB"/>
        </w:rPr>
        <w:t>(481 persons identified from 2007-2014; mainly from Nigeria (vast majority), Romania and Thailand)</w:t>
      </w:r>
      <w:r w:rsidRPr="0030082A">
        <w:rPr>
          <w:sz w:val="24"/>
          <w:szCs w:val="24"/>
          <w:lang w:val="en-GB"/>
        </w:rPr>
        <w:t>,</w:t>
      </w:r>
      <w:r w:rsidRPr="005C100D">
        <w:rPr>
          <w:sz w:val="24"/>
          <w:szCs w:val="24"/>
          <w:lang w:val="en-GB"/>
        </w:rPr>
        <w:t xml:space="preserve"> referral mechanism, the institutional system and the mandate of the Danish Centre against Human Trafficking, the various national action plans and efforts to protect victims of trafficking </w:t>
      </w:r>
      <w:r w:rsidR="00E40491" w:rsidRPr="005C100D">
        <w:rPr>
          <w:sz w:val="24"/>
          <w:szCs w:val="24"/>
          <w:lang w:val="en-GB"/>
        </w:rPr>
        <w:t>(para 153ff</w:t>
      </w:r>
      <w:r w:rsidRPr="005C100D">
        <w:rPr>
          <w:sz w:val="24"/>
          <w:szCs w:val="24"/>
          <w:lang w:val="en-GB"/>
        </w:rPr>
        <w:t>).</w:t>
      </w:r>
    </w:p>
    <w:p w:rsidR="0030082A" w:rsidRDefault="00C75185" w:rsidP="005C100D">
      <w:pPr>
        <w:jc w:val="both"/>
        <w:rPr>
          <w:sz w:val="24"/>
          <w:szCs w:val="24"/>
          <w:lang w:val="en-US"/>
        </w:rPr>
      </w:pPr>
      <w:r w:rsidRPr="005C100D">
        <w:rPr>
          <w:rFonts w:cstheme="majorBidi"/>
          <w:sz w:val="24"/>
          <w:szCs w:val="24"/>
          <w:lang w:val="en-GB"/>
        </w:rPr>
        <w:t xml:space="preserve">Denmark has initiated a number of measures to address the issue of trafficking. However, there are still a number of challenges, including only few cases reported; no protection of the women after return home despite the extension of the reflection period to 120 days; the temporary residence </w:t>
      </w:r>
      <w:proofErr w:type="gramStart"/>
      <w:r w:rsidRPr="005C100D">
        <w:rPr>
          <w:rFonts w:cstheme="majorBidi"/>
          <w:sz w:val="24"/>
          <w:szCs w:val="24"/>
          <w:lang w:val="en-GB"/>
        </w:rPr>
        <w:t>permit</w:t>
      </w:r>
      <w:proofErr w:type="gramEnd"/>
      <w:r w:rsidRPr="005C100D">
        <w:rPr>
          <w:rFonts w:cstheme="majorBidi"/>
          <w:sz w:val="24"/>
          <w:szCs w:val="24"/>
          <w:lang w:val="en-GB"/>
        </w:rPr>
        <w:t xml:space="preserve"> for women who decide to </w:t>
      </w:r>
      <w:r w:rsidR="00F112C0" w:rsidRPr="005C100D">
        <w:rPr>
          <w:rFonts w:cstheme="majorBidi"/>
          <w:sz w:val="24"/>
          <w:szCs w:val="24"/>
          <w:lang w:val="en-GB"/>
        </w:rPr>
        <w:t>bring a case does not protect</w:t>
      </w:r>
      <w:r w:rsidRPr="005C100D">
        <w:rPr>
          <w:rFonts w:cstheme="majorBidi"/>
          <w:sz w:val="24"/>
          <w:szCs w:val="24"/>
          <w:lang w:val="en-GB"/>
        </w:rPr>
        <w:t xml:space="preserve"> the women – and h</w:t>
      </w:r>
      <w:r w:rsidR="003A73EA" w:rsidRPr="005C100D">
        <w:rPr>
          <w:rFonts w:cstheme="majorBidi"/>
          <w:sz w:val="24"/>
          <w:szCs w:val="24"/>
          <w:lang w:val="en-GB"/>
        </w:rPr>
        <w:t xml:space="preserve">ence is not a real alternative. </w:t>
      </w:r>
      <w:r w:rsidRPr="005C100D">
        <w:rPr>
          <w:sz w:val="24"/>
          <w:szCs w:val="24"/>
          <w:lang w:val="en-US"/>
        </w:rPr>
        <w:t xml:space="preserve">Victims of trafficking are still treated primarily as irregular migrants, and policies and practices still emphasize return of victims to their home countries rather than ensuring redress and protection. Denmark still offers no long-term alternatives that allow victims of trafficking to stay in the country on a work or residency permit, but solely offers repatriation or, in exceptional cases, asylum. </w:t>
      </w:r>
    </w:p>
    <w:p w:rsidR="00C75185" w:rsidRPr="005C100D" w:rsidRDefault="00C75185" w:rsidP="005C100D">
      <w:pPr>
        <w:jc w:val="both"/>
        <w:rPr>
          <w:rFonts w:cstheme="majorBidi"/>
          <w:sz w:val="24"/>
          <w:szCs w:val="24"/>
          <w:lang w:val="en-GB"/>
        </w:rPr>
      </w:pPr>
      <w:r w:rsidRPr="005C100D">
        <w:rPr>
          <w:sz w:val="24"/>
          <w:szCs w:val="24"/>
          <w:lang w:val="en-US"/>
        </w:rPr>
        <w:t>Victims of trafficking are offered a reflection period of 120 days</w:t>
      </w:r>
      <w:r w:rsidR="00B80036" w:rsidRPr="005C100D">
        <w:rPr>
          <w:sz w:val="24"/>
          <w:szCs w:val="24"/>
          <w:lang w:val="en-US"/>
        </w:rPr>
        <w:t xml:space="preserve"> (National Report para 156)</w:t>
      </w:r>
      <w:r w:rsidRPr="005C100D">
        <w:rPr>
          <w:sz w:val="24"/>
          <w:szCs w:val="24"/>
          <w:lang w:val="en-US"/>
        </w:rPr>
        <w:t xml:space="preserve">. In this period, victims may remain in the country and receive some medical and psychological support. However, the victim must agree to a voluntary return to their home country. There is a need for granting the 120 </w:t>
      </w:r>
      <w:proofErr w:type="gramStart"/>
      <w:r w:rsidRPr="005C100D">
        <w:rPr>
          <w:sz w:val="24"/>
          <w:szCs w:val="24"/>
          <w:lang w:val="en-US"/>
        </w:rPr>
        <w:t>days</w:t>
      </w:r>
      <w:proofErr w:type="gramEnd"/>
      <w:r w:rsidRPr="005C100D">
        <w:rPr>
          <w:sz w:val="24"/>
          <w:szCs w:val="24"/>
          <w:lang w:val="en-US"/>
        </w:rPr>
        <w:t xml:space="preserve"> reflection period to all victims of trafficking regardless of willingness to return to the home country. </w:t>
      </w:r>
      <w:r w:rsidRPr="005C100D">
        <w:rPr>
          <w:rFonts w:cstheme="majorBidi"/>
          <w:sz w:val="24"/>
          <w:szCs w:val="24"/>
          <w:lang w:val="en-GB"/>
        </w:rPr>
        <w:t>Moreover, there is a lack of jurisprudence, as it is often impossible to establish evidence for the subjective element (i.e., intention).</w:t>
      </w:r>
    </w:p>
    <w:p w:rsidR="003A73EA" w:rsidRPr="005C100D" w:rsidRDefault="00C75185" w:rsidP="005C100D">
      <w:pPr>
        <w:jc w:val="both"/>
        <w:rPr>
          <w:sz w:val="24"/>
          <w:szCs w:val="24"/>
          <w:lang w:val="en-US"/>
        </w:rPr>
      </w:pPr>
      <w:r w:rsidRPr="005C100D">
        <w:rPr>
          <w:sz w:val="24"/>
          <w:szCs w:val="24"/>
          <w:lang w:val="en-US"/>
        </w:rPr>
        <w:t xml:space="preserve">The Special Rapporteur on Torture have on numerous occasions highlighted the rights of victims of trafficking, and he remained concerned that the efforts by </w:t>
      </w:r>
      <w:r w:rsidR="003A73EA" w:rsidRPr="005C100D">
        <w:rPr>
          <w:sz w:val="24"/>
          <w:szCs w:val="24"/>
          <w:lang w:val="en-US"/>
        </w:rPr>
        <w:t>Denmark</w:t>
      </w:r>
      <w:r w:rsidRPr="005C100D">
        <w:rPr>
          <w:sz w:val="24"/>
          <w:szCs w:val="24"/>
          <w:lang w:val="en-US"/>
        </w:rPr>
        <w:t xml:space="preserve"> in relation to trafficking appeared to be aimed less at the rehabilitation of victims than at repatriating them to their countries of origin.</w:t>
      </w:r>
      <w:r w:rsidRPr="005C100D">
        <w:rPr>
          <w:rStyle w:val="FootnoteReference"/>
          <w:sz w:val="24"/>
          <w:szCs w:val="24"/>
          <w:lang w:val="en-US"/>
        </w:rPr>
        <w:footnoteReference w:id="85"/>
      </w:r>
    </w:p>
    <w:p w:rsidR="00182996" w:rsidRPr="00F8497A" w:rsidRDefault="003A73EA" w:rsidP="005C100D">
      <w:pPr>
        <w:jc w:val="both"/>
        <w:rPr>
          <w:rFonts w:cstheme="majorBidi"/>
          <w:bCs/>
          <w:sz w:val="24"/>
          <w:szCs w:val="24"/>
          <w:lang w:val="en-US"/>
        </w:rPr>
      </w:pPr>
      <w:r w:rsidRPr="005C100D">
        <w:rPr>
          <w:b/>
          <w:bCs/>
          <w:sz w:val="24"/>
          <w:szCs w:val="24"/>
          <w:lang w:val="en-US"/>
        </w:rPr>
        <w:t>We recommend</w:t>
      </w:r>
      <w:r w:rsidRPr="005C100D">
        <w:rPr>
          <w:sz w:val="24"/>
          <w:szCs w:val="24"/>
          <w:lang w:val="en-US"/>
        </w:rPr>
        <w:t xml:space="preserve"> that Denmark </w:t>
      </w:r>
      <w:r w:rsidR="00C75185" w:rsidRPr="005C100D">
        <w:rPr>
          <w:rFonts w:eastAsia="Malgun Gothic"/>
          <w:bCs/>
          <w:sz w:val="24"/>
          <w:szCs w:val="24"/>
          <w:lang w:val="en-US"/>
        </w:rPr>
        <w:t>enhance</w:t>
      </w:r>
      <w:r w:rsidRPr="005C100D">
        <w:rPr>
          <w:rFonts w:eastAsia="Malgun Gothic"/>
          <w:bCs/>
          <w:sz w:val="24"/>
          <w:szCs w:val="24"/>
          <w:lang w:val="en-US"/>
        </w:rPr>
        <w:t>s</w:t>
      </w:r>
      <w:r w:rsidR="00C75185" w:rsidRPr="005C100D">
        <w:rPr>
          <w:rFonts w:eastAsia="Malgun Gothic"/>
          <w:bCs/>
          <w:sz w:val="24"/>
          <w:szCs w:val="24"/>
          <w:lang w:val="en-US"/>
        </w:rPr>
        <w:t xml:space="preserve"> its efforts to combat trafficking in persons by providing adequate protection and redress to the victims; by granting </w:t>
      </w:r>
      <w:r w:rsidR="00C75185" w:rsidRPr="005C100D">
        <w:rPr>
          <w:rFonts w:cstheme="majorBidi"/>
          <w:bCs/>
          <w:sz w:val="24"/>
          <w:szCs w:val="24"/>
          <w:lang w:val="en-US"/>
        </w:rPr>
        <w:t>additional education to the victims in order to make transition to a life without trafficking more sustainable</w:t>
      </w:r>
      <w:r w:rsidR="00C75185" w:rsidRPr="005C100D">
        <w:rPr>
          <w:rFonts w:eastAsia="Malgun Gothic"/>
          <w:bCs/>
          <w:sz w:val="24"/>
          <w:szCs w:val="24"/>
          <w:lang w:val="en-US"/>
        </w:rPr>
        <w:t xml:space="preserve">; and by preventing the return of trafficked persons to their countries of origin where there is a substantial ground to believe that </w:t>
      </w:r>
      <w:r w:rsidR="00C75185" w:rsidRPr="005C100D">
        <w:rPr>
          <w:rFonts w:eastAsia="Malgun Gothic"/>
          <w:bCs/>
          <w:sz w:val="24"/>
          <w:szCs w:val="24"/>
          <w:lang w:val="en-US"/>
        </w:rPr>
        <w:lastRenderedPageBreak/>
        <w:t>they would be in danger of torture or ill-treatment – for example by g</w:t>
      </w:r>
      <w:r w:rsidR="00C75185" w:rsidRPr="005C100D">
        <w:rPr>
          <w:rFonts w:cstheme="majorBidi"/>
          <w:bCs/>
          <w:sz w:val="24"/>
          <w:szCs w:val="24"/>
          <w:lang w:val="en-US"/>
        </w:rPr>
        <w:t>ranting the 120 days reflection period to all victims of trafficking regardless of willingness to return to the home country.</w:t>
      </w:r>
    </w:p>
    <w:p w:rsidR="00590D6E" w:rsidRPr="005C100D" w:rsidRDefault="00780944" w:rsidP="005C100D">
      <w:pPr>
        <w:pStyle w:val="Heading3"/>
        <w:spacing w:after="240"/>
        <w:jc w:val="both"/>
        <w:rPr>
          <w:lang w:val="en-US"/>
        </w:rPr>
      </w:pPr>
      <w:bookmarkStart w:id="10" w:name="_Toc451866548"/>
      <w:r>
        <w:rPr>
          <w:lang w:val="en-US"/>
        </w:rPr>
        <w:t>DIPLOMATIC ASSURANCES AND MAXIMUM LIMIT TO DETENTION PRIOR TO EXPULSION</w:t>
      </w:r>
      <w:r w:rsidR="00590D6E" w:rsidRPr="005C100D">
        <w:rPr>
          <w:lang w:val="en-US"/>
        </w:rPr>
        <w:t xml:space="preserve"> (Article 2 and 13; LOI</w:t>
      </w:r>
      <w:r w:rsidR="00FE41DE">
        <w:rPr>
          <w:lang w:val="en-US"/>
        </w:rPr>
        <w:t>PR</w:t>
      </w:r>
      <w:r w:rsidR="00590D6E" w:rsidRPr="005C100D">
        <w:rPr>
          <w:lang w:val="en-US"/>
        </w:rPr>
        <w:t xml:space="preserve"> PARA 17)</w:t>
      </w:r>
      <w:bookmarkEnd w:id="10"/>
    </w:p>
    <w:p w:rsidR="00804274" w:rsidRPr="00A3269D" w:rsidRDefault="00804274" w:rsidP="005C100D">
      <w:pPr>
        <w:jc w:val="both"/>
        <w:rPr>
          <w:i/>
          <w:sz w:val="24"/>
          <w:szCs w:val="24"/>
          <w:u w:val="single"/>
          <w:lang w:val="en-US"/>
        </w:rPr>
      </w:pPr>
      <w:r w:rsidRPr="00A3269D">
        <w:rPr>
          <w:i/>
          <w:sz w:val="24"/>
          <w:szCs w:val="24"/>
          <w:u w:val="single"/>
          <w:lang w:val="en-US"/>
        </w:rPr>
        <w:t>Diplomatic Assurances (LOIPR PARA 17)</w:t>
      </w:r>
    </w:p>
    <w:p w:rsidR="00334780" w:rsidRPr="005C100D" w:rsidRDefault="00334780" w:rsidP="005C100D">
      <w:pPr>
        <w:jc w:val="both"/>
        <w:rPr>
          <w:rFonts w:cstheme="majorBidi"/>
          <w:sz w:val="24"/>
          <w:szCs w:val="24"/>
          <w:lang w:val="en-GB"/>
        </w:rPr>
      </w:pPr>
      <w:r w:rsidRPr="005C100D">
        <w:rPr>
          <w:rFonts w:cstheme="majorBidi"/>
          <w:sz w:val="24"/>
          <w:szCs w:val="24"/>
          <w:lang w:val="en-GB"/>
        </w:rPr>
        <w:t>The UN Human Rights Committee noted in its previous Concluding Observations to Denmark its concerns that Denmark may be willing to rely on diplomatic assurances to return foreign nationals to countries where treatment contrary to article 7 of the Covenant is believed to occur.</w:t>
      </w:r>
      <w:r w:rsidRPr="005C100D">
        <w:rPr>
          <w:rStyle w:val="FootnoteReference"/>
          <w:rFonts w:cstheme="majorBidi"/>
          <w:sz w:val="24"/>
          <w:szCs w:val="24"/>
          <w:lang w:val="en-GB"/>
        </w:rPr>
        <w:footnoteReference w:id="86"/>
      </w:r>
    </w:p>
    <w:p w:rsidR="00804274" w:rsidRPr="005C100D" w:rsidRDefault="00804274" w:rsidP="005C100D">
      <w:pPr>
        <w:jc w:val="both"/>
        <w:rPr>
          <w:rFonts w:cstheme="majorBidi"/>
          <w:b/>
          <w:bCs/>
          <w:sz w:val="24"/>
          <w:szCs w:val="24"/>
          <w:lang w:val="en-GB"/>
        </w:rPr>
      </w:pPr>
      <w:r w:rsidRPr="005C100D">
        <w:rPr>
          <w:rFonts w:cstheme="majorBidi"/>
          <w:bCs/>
          <w:sz w:val="24"/>
          <w:szCs w:val="24"/>
          <w:lang w:val="en-GB"/>
        </w:rPr>
        <w:t xml:space="preserve">In its response, Denmark referred to the amendment of the Aliens Act in 2009 that introduced judicial review of certain decisions on administrative expulsion, and to the explanatory note to the bill setting out the limits and conditions for Denmark to rely on diplomatic assurances (National report, para 166-169). Denmark underlined that the principle of </w:t>
      </w:r>
      <w:proofErr w:type="spellStart"/>
      <w:r w:rsidRPr="005C100D">
        <w:rPr>
          <w:rFonts w:cstheme="majorBidi"/>
          <w:bCs/>
          <w:sz w:val="24"/>
          <w:szCs w:val="24"/>
          <w:lang w:val="en-GB"/>
        </w:rPr>
        <w:t>refoulement</w:t>
      </w:r>
      <w:proofErr w:type="spellEnd"/>
      <w:r w:rsidRPr="005C100D">
        <w:rPr>
          <w:rFonts w:cstheme="majorBidi"/>
          <w:bCs/>
          <w:sz w:val="24"/>
          <w:szCs w:val="24"/>
          <w:lang w:val="en-GB"/>
        </w:rPr>
        <w:t xml:space="preserve"> (Article 31 of the Aliens Act) will be upheld in all cases in which Denmark considers relying on diplomatic assurances.</w:t>
      </w:r>
      <w:r w:rsidRPr="005C100D">
        <w:rPr>
          <w:rFonts w:cstheme="majorBidi"/>
          <w:b/>
          <w:bCs/>
          <w:sz w:val="24"/>
          <w:szCs w:val="24"/>
          <w:lang w:val="en-GB"/>
        </w:rPr>
        <w:t xml:space="preserve"> </w:t>
      </w:r>
    </w:p>
    <w:p w:rsidR="00804274" w:rsidRPr="005C100D" w:rsidRDefault="00804274" w:rsidP="005C100D">
      <w:pPr>
        <w:jc w:val="both"/>
        <w:rPr>
          <w:rFonts w:cstheme="majorBidi"/>
          <w:bCs/>
          <w:sz w:val="24"/>
          <w:szCs w:val="24"/>
          <w:lang w:val="en-GB"/>
        </w:rPr>
      </w:pPr>
      <w:r w:rsidRPr="005C100D">
        <w:rPr>
          <w:rFonts w:cstheme="majorBidi"/>
          <w:bCs/>
          <w:sz w:val="24"/>
          <w:szCs w:val="24"/>
          <w:lang w:val="en-GB"/>
        </w:rPr>
        <w:t xml:space="preserve">Denmark has used a diplomatic assurance in the case regarding deportation of the Danish citizen </w:t>
      </w:r>
      <w:r w:rsidRPr="005C100D">
        <w:rPr>
          <w:rFonts w:cstheme="majorBidi"/>
          <w:sz w:val="24"/>
          <w:szCs w:val="24"/>
          <w:lang w:val="en-GB"/>
        </w:rPr>
        <w:t xml:space="preserve">Niels </w:t>
      </w:r>
      <w:proofErr w:type="spellStart"/>
      <w:r w:rsidRPr="005C100D">
        <w:rPr>
          <w:rFonts w:cstheme="majorBidi"/>
          <w:sz w:val="24"/>
          <w:szCs w:val="24"/>
          <w:lang w:val="en-GB"/>
        </w:rPr>
        <w:t>Holck</w:t>
      </w:r>
      <w:proofErr w:type="spellEnd"/>
      <w:r w:rsidRPr="005C100D">
        <w:rPr>
          <w:rFonts w:cstheme="majorBidi"/>
          <w:sz w:val="24"/>
          <w:szCs w:val="24"/>
          <w:lang w:val="en-GB"/>
        </w:rPr>
        <w:t xml:space="preserve"> who was charged with terror in India. The Danish Ministry of Justice received a diplomatic assurance from India that Niels </w:t>
      </w:r>
      <w:proofErr w:type="spellStart"/>
      <w:r w:rsidRPr="005C100D">
        <w:rPr>
          <w:rFonts w:cstheme="majorBidi"/>
          <w:sz w:val="24"/>
          <w:szCs w:val="24"/>
          <w:lang w:val="en-GB"/>
        </w:rPr>
        <w:t>Holck</w:t>
      </w:r>
      <w:proofErr w:type="spellEnd"/>
      <w:r w:rsidRPr="005C100D">
        <w:rPr>
          <w:rFonts w:cstheme="majorBidi"/>
          <w:sz w:val="24"/>
          <w:szCs w:val="24"/>
          <w:lang w:val="en-GB"/>
        </w:rPr>
        <w:t xml:space="preserve"> was not at risk of being subjected to torture or ill-treatment in India. However, the Danish Eastern High Court ruled on 30 June 2011 that despite the diplomatic assurance there was a risk that Niels </w:t>
      </w:r>
      <w:proofErr w:type="spellStart"/>
      <w:r w:rsidRPr="005C100D">
        <w:rPr>
          <w:rFonts w:cstheme="majorBidi"/>
          <w:sz w:val="24"/>
          <w:szCs w:val="24"/>
          <w:lang w:val="en-GB"/>
        </w:rPr>
        <w:t>Holck</w:t>
      </w:r>
      <w:proofErr w:type="spellEnd"/>
      <w:r w:rsidRPr="005C100D">
        <w:rPr>
          <w:rFonts w:cstheme="majorBidi"/>
          <w:sz w:val="24"/>
          <w:szCs w:val="24"/>
          <w:lang w:val="en-GB"/>
        </w:rPr>
        <w:t xml:space="preserve"> would be subjected to treatment in violation of </w:t>
      </w:r>
      <w:proofErr w:type="spellStart"/>
      <w:r w:rsidRPr="005C100D">
        <w:rPr>
          <w:rFonts w:cstheme="majorBidi"/>
          <w:sz w:val="24"/>
          <w:szCs w:val="24"/>
          <w:lang w:val="en-GB"/>
        </w:rPr>
        <w:t>Artikel</w:t>
      </w:r>
      <w:proofErr w:type="spellEnd"/>
      <w:r w:rsidRPr="005C100D">
        <w:rPr>
          <w:rFonts w:cstheme="majorBidi"/>
          <w:sz w:val="24"/>
          <w:szCs w:val="24"/>
          <w:lang w:val="en-GB"/>
        </w:rPr>
        <w:t xml:space="preserve"> 3 of the European Convention on Human Rights. </w:t>
      </w:r>
    </w:p>
    <w:p w:rsidR="00804274" w:rsidRPr="005C100D" w:rsidRDefault="00804274" w:rsidP="005C100D">
      <w:pPr>
        <w:jc w:val="both"/>
        <w:rPr>
          <w:rFonts w:cstheme="majorBidi"/>
          <w:bCs/>
          <w:sz w:val="24"/>
          <w:szCs w:val="24"/>
          <w:lang w:val="en-GB"/>
        </w:rPr>
      </w:pPr>
      <w:r w:rsidRPr="005C100D">
        <w:rPr>
          <w:rFonts w:cstheme="majorBidi"/>
          <w:bCs/>
          <w:sz w:val="24"/>
          <w:szCs w:val="24"/>
          <w:lang w:val="en-GB"/>
        </w:rPr>
        <w:t>Denmark noted that it has not used diplomatic assurances in cases in which there was a risk of d</w:t>
      </w:r>
      <w:r w:rsidR="00334780" w:rsidRPr="005C100D">
        <w:rPr>
          <w:rFonts w:cstheme="majorBidi"/>
          <w:bCs/>
          <w:sz w:val="24"/>
          <w:szCs w:val="24"/>
          <w:lang w:val="en-GB"/>
        </w:rPr>
        <w:t>eath penalty or torture (para 169 of the report). However, i</w:t>
      </w:r>
      <w:r w:rsidRPr="005C100D">
        <w:rPr>
          <w:rFonts w:cstheme="majorBidi"/>
          <w:bCs/>
          <w:sz w:val="24"/>
          <w:szCs w:val="24"/>
          <w:lang w:val="en-GB"/>
        </w:rPr>
        <w:t>n light of the current context of anti-terrorism policies, it can be expected that Denmark will use diplomatic assurances in the future. The recognition of this is also implicit in the amendment to the Aliens Act in 2009, and reflects the conclusion by a working group established by the Ministry of Integration in 2009 who stated that there is a possibility to use diplomatic assurances without violating international legal standards if certain conditions are fulfilled.</w:t>
      </w:r>
      <w:r w:rsidRPr="005C100D">
        <w:rPr>
          <w:rStyle w:val="FootnoteReference"/>
          <w:rFonts w:cstheme="majorBidi"/>
          <w:bCs/>
          <w:sz w:val="24"/>
          <w:szCs w:val="24"/>
          <w:lang w:val="en-GB"/>
        </w:rPr>
        <w:footnoteReference w:id="87"/>
      </w:r>
      <w:r w:rsidRPr="005C100D">
        <w:rPr>
          <w:rFonts w:cstheme="majorBidi"/>
          <w:bCs/>
          <w:sz w:val="24"/>
          <w:szCs w:val="24"/>
          <w:lang w:val="en-GB"/>
        </w:rPr>
        <w:t xml:space="preserve"> </w:t>
      </w:r>
    </w:p>
    <w:p w:rsidR="00804274" w:rsidRPr="005C100D" w:rsidRDefault="00804274" w:rsidP="005C100D">
      <w:pPr>
        <w:jc w:val="both"/>
        <w:rPr>
          <w:rFonts w:cstheme="majorBidi"/>
          <w:bCs/>
          <w:sz w:val="24"/>
          <w:szCs w:val="24"/>
          <w:lang w:val="en-GB"/>
        </w:rPr>
      </w:pPr>
      <w:r w:rsidRPr="005C100D">
        <w:rPr>
          <w:rFonts w:cstheme="majorBidi"/>
          <w:bCs/>
          <w:sz w:val="24"/>
          <w:szCs w:val="24"/>
          <w:lang w:val="en-GB"/>
        </w:rPr>
        <w:t xml:space="preserve">It is important to underline that the use of diplomatic assurances would entail an obligation to monitor whether the assurance is respected and to react if that is not the case. </w:t>
      </w:r>
    </w:p>
    <w:p w:rsidR="00804274" w:rsidRPr="005C100D" w:rsidRDefault="00804274" w:rsidP="005C100D">
      <w:pPr>
        <w:jc w:val="both"/>
        <w:rPr>
          <w:rFonts w:cstheme="majorBidi"/>
          <w:sz w:val="24"/>
          <w:szCs w:val="24"/>
          <w:lang w:val="en-GB"/>
        </w:rPr>
      </w:pPr>
      <w:r w:rsidRPr="005C100D">
        <w:rPr>
          <w:rFonts w:cstheme="majorBidi"/>
          <w:bCs/>
          <w:sz w:val="24"/>
          <w:szCs w:val="24"/>
          <w:lang w:val="en-GB"/>
        </w:rPr>
        <w:t xml:space="preserve">The former and the current UN </w:t>
      </w:r>
      <w:r w:rsidRPr="005C100D">
        <w:rPr>
          <w:rFonts w:cstheme="majorBidi"/>
          <w:sz w:val="24"/>
          <w:szCs w:val="24"/>
          <w:lang w:val="en-GB"/>
        </w:rPr>
        <w:t xml:space="preserve">Special Rapporteur on Torture, as well as the UN Special Rapporteur on </w:t>
      </w:r>
      <w:r w:rsidRPr="005C100D">
        <w:rPr>
          <w:color w:val="000000"/>
          <w:sz w:val="24"/>
          <w:szCs w:val="24"/>
          <w:shd w:val="clear" w:color="auto" w:fill="FFFFFF"/>
          <w:lang w:val="en-GB"/>
        </w:rPr>
        <w:t xml:space="preserve">the promotion and protection of human rights and fundamental freedoms while countering terrorism, </w:t>
      </w:r>
      <w:r w:rsidRPr="005C100D">
        <w:rPr>
          <w:rFonts w:cstheme="majorBidi"/>
          <w:sz w:val="24"/>
          <w:szCs w:val="24"/>
          <w:lang w:val="en-GB"/>
        </w:rPr>
        <w:t xml:space="preserve">have on numerous occasions stressed that diplomatic assurances with regard to torture </w:t>
      </w:r>
      <w:r w:rsidRPr="005C100D">
        <w:rPr>
          <w:rFonts w:cstheme="majorBidi"/>
          <w:sz w:val="24"/>
          <w:szCs w:val="24"/>
          <w:lang w:val="en-GB"/>
        </w:rPr>
        <w:lastRenderedPageBreak/>
        <w:t>are nothing but attempts to circumvent the absolute prohibition of torture and non-</w:t>
      </w:r>
      <w:proofErr w:type="spellStart"/>
      <w:r w:rsidRPr="005C100D">
        <w:rPr>
          <w:rFonts w:cstheme="majorBidi"/>
          <w:sz w:val="24"/>
          <w:szCs w:val="24"/>
          <w:lang w:val="en-GB"/>
        </w:rPr>
        <w:t>refoulement</w:t>
      </w:r>
      <w:proofErr w:type="spellEnd"/>
      <w:r w:rsidRPr="005C100D">
        <w:rPr>
          <w:rFonts w:cstheme="majorBidi"/>
          <w:sz w:val="24"/>
          <w:szCs w:val="24"/>
          <w:lang w:val="en-GB"/>
        </w:rPr>
        <w:t>.</w:t>
      </w:r>
      <w:r w:rsidRPr="005C100D">
        <w:rPr>
          <w:rStyle w:val="FootnoteReference"/>
          <w:rFonts w:cstheme="majorBidi"/>
          <w:sz w:val="24"/>
          <w:szCs w:val="24"/>
          <w:lang w:val="en-GB"/>
        </w:rPr>
        <w:footnoteReference w:id="88"/>
      </w:r>
      <w:r w:rsidR="00334780" w:rsidRPr="005C100D">
        <w:rPr>
          <w:rFonts w:cstheme="majorBidi"/>
          <w:sz w:val="24"/>
          <w:szCs w:val="24"/>
          <w:lang w:val="en-GB"/>
        </w:rPr>
        <w:t xml:space="preserve"> </w:t>
      </w:r>
      <w:r w:rsidRPr="005C100D">
        <w:rPr>
          <w:rFonts w:cstheme="majorBidi"/>
          <w:bCs/>
          <w:sz w:val="24"/>
          <w:szCs w:val="24"/>
          <w:lang w:val="en-GB"/>
        </w:rPr>
        <w:t>The European Court of Human Rights has in its jurisprudence accepted the use of diplomatic assurances under certain conditions and it has developed specific criteria for assessing diplomatic assurances.</w:t>
      </w:r>
      <w:r w:rsidRPr="005C100D">
        <w:rPr>
          <w:rStyle w:val="FootnoteReference"/>
          <w:rFonts w:cstheme="majorBidi"/>
          <w:bCs/>
          <w:sz w:val="24"/>
          <w:szCs w:val="24"/>
          <w:lang w:val="en-GB"/>
        </w:rPr>
        <w:footnoteReference w:id="89"/>
      </w:r>
    </w:p>
    <w:p w:rsidR="00804274" w:rsidRPr="005C100D" w:rsidRDefault="00004313" w:rsidP="005C100D">
      <w:pPr>
        <w:jc w:val="both"/>
        <w:rPr>
          <w:rFonts w:cstheme="majorBidi"/>
          <w:i/>
          <w:iCs/>
          <w:sz w:val="24"/>
          <w:szCs w:val="24"/>
          <w:u w:val="single"/>
          <w:lang w:val="en-US"/>
        </w:rPr>
      </w:pPr>
      <w:r w:rsidRPr="005C100D">
        <w:rPr>
          <w:rFonts w:eastAsia="Malgun Gothic"/>
          <w:b/>
          <w:bCs/>
          <w:sz w:val="24"/>
          <w:szCs w:val="24"/>
          <w:lang w:val="en-GB"/>
        </w:rPr>
        <w:t>We therefore suggest</w:t>
      </w:r>
      <w:r w:rsidR="00334780" w:rsidRPr="005C100D">
        <w:rPr>
          <w:rFonts w:eastAsia="Malgun Gothic"/>
          <w:sz w:val="24"/>
          <w:szCs w:val="24"/>
          <w:lang w:val="en-GB"/>
        </w:rPr>
        <w:t xml:space="preserve"> that t</w:t>
      </w:r>
      <w:r w:rsidR="00804274" w:rsidRPr="005C100D">
        <w:rPr>
          <w:rFonts w:eastAsia="Malgun Gothic"/>
          <w:sz w:val="24"/>
          <w:szCs w:val="24"/>
          <w:lang w:val="en-GB"/>
        </w:rPr>
        <w:t>he Committee calls on the State Party to respect, in law and practice, its non-</w:t>
      </w:r>
      <w:proofErr w:type="spellStart"/>
      <w:r w:rsidR="00804274" w:rsidRPr="005C100D">
        <w:rPr>
          <w:rFonts w:eastAsia="Malgun Gothic"/>
          <w:sz w:val="24"/>
          <w:szCs w:val="24"/>
          <w:lang w:val="en-GB"/>
        </w:rPr>
        <w:t>refoulement</w:t>
      </w:r>
      <w:proofErr w:type="spellEnd"/>
      <w:r w:rsidR="00804274" w:rsidRPr="005C100D">
        <w:rPr>
          <w:rFonts w:eastAsia="Malgun Gothic"/>
          <w:sz w:val="24"/>
          <w:szCs w:val="24"/>
          <w:lang w:val="en-GB"/>
        </w:rPr>
        <w:t xml:space="preserve"> obligations and to </w:t>
      </w:r>
      <w:r w:rsidR="00334780" w:rsidRPr="005C100D">
        <w:rPr>
          <w:rFonts w:eastAsia="Malgun Gothic"/>
          <w:sz w:val="24"/>
          <w:szCs w:val="24"/>
          <w:lang w:val="en-GB"/>
        </w:rPr>
        <w:t>admit</w:t>
      </w:r>
      <w:r w:rsidR="00804274" w:rsidRPr="005C100D">
        <w:rPr>
          <w:rFonts w:eastAsia="Malgun Gothic"/>
          <w:sz w:val="24"/>
          <w:szCs w:val="24"/>
          <w:lang w:val="en-US"/>
        </w:rPr>
        <w:t xml:space="preserve"> that diplomatic assurances are unreliable and ineffective and should not be used as an instrument to modify the determination of the Convention.</w:t>
      </w:r>
    </w:p>
    <w:p w:rsidR="002D02F3" w:rsidRPr="005C100D" w:rsidRDefault="002D02F3" w:rsidP="005C100D">
      <w:pPr>
        <w:jc w:val="both"/>
        <w:rPr>
          <w:rFonts w:cstheme="majorBidi"/>
          <w:i/>
          <w:iCs/>
          <w:sz w:val="24"/>
          <w:szCs w:val="24"/>
          <w:u w:val="single"/>
          <w:lang w:val="en-US"/>
        </w:rPr>
      </w:pPr>
      <w:r w:rsidRPr="005C100D">
        <w:rPr>
          <w:rFonts w:cstheme="majorBidi"/>
          <w:i/>
          <w:iCs/>
          <w:sz w:val="24"/>
          <w:szCs w:val="24"/>
          <w:u w:val="single"/>
          <w:lang w:val="en-US"/>
        </w:rPr>
        <w:t>Maximum limit to the length of deprivation of liberty for migrants and asylum-seekers pending deportation (LOIPR PARA 19)</w:t>
      </w:r>
    </w:p>
    <w:p w:rsidR="00C61C11" w:rsidRPr="005C100D" w:rsidRDefault="00C61C11" w:rsidP="005C100D">
      <w:pPr>
        <w:jc w:val="both"/>
        <w:rPr>
          <w:rFonts w:cstheme="majorBidi"/>
          <w:sz w:val="24"/>
          <w:szCs w:val="24"/>
          <w:lang w:val="en-GB"/>
        </w:rPr>
      </w:pPr>
      <w:r w:rsidRPr="005C100D">
        <w:rPr>
          <w:sz w:val="24"/>
          <w:szCs w:val="24"/>
          <w:lang w:val="en-GB"/>
        </w:rPr>
        <w:t>D</w:t>
      </w:r>
      <w:r w:rsidRPr="005C100D">
        <w:rPr>
          <w:rFonts w:cstheme="majorBidi"/>
          <w:sz w:val="24"/>
          <w:szCs w:val="24"/>
          <w:lang w:val="en-GB"/>
        </w:rPr>
        <w:t xml:space="preserve">eprivation of liberty, including administrative detention, should respect the protection provided by article </w:t>
      </w:r>
      <w:r w:rsidR="005D2A3E" w:rsidRPr="005C100D">
        <w:rPr>
          <w:rFonts w:cstheme="majorBidi"/>
          <w:sz w:val="24"/>
          <w:szCs w:val="24"/>
          <w:lang w:val="en-GB"/>
        </w:rPr>
        <w:t xml:space="preserve">7, </w:t>
      </w:r>
      <w:r w:rsidRPr="005C100D">
        <w:rPr>
          <w:rFonts w:cstheme="majorBidi"/>
          <w:sz w:val="24"/>
          <w:szCs w:val="24"/>
          <w:lang w:val="en-GB"/>
        </w:rPr>
        <w:t xml:space="preserve">9 </w:t>
      </w:r>
      <w:r w:rsidR="005D2A3E" w:rsidRPr="005C100D">
        <w:rPr>
          <w:rFonts w:cstheme="majorBidi"/>
          <w:sz w:val="24"/>
          <w:szCs w:val="24"/>
          <w:lang w:val="en-GB"/>
        </w:rPr>
        <w:t xml:space="preserve">and 10 </w:t>
      </w:r>
      <w:r w:rsidRPr="005C100D">
        <w:rPr>
          <w:rFonts w:cstheme="majorBidi"/>
          <w:sz w:val="24"/>
          <w:szCs w:val="24"/>
          <w:lang w:val="en-GB"/>
        </w:rPr>
        <w:t>of the ICCPR. Lengthy administrative detention without basic safeguards would present a severe risk of arbitrary deprivation of liberty, and might also raise concerns in relation to the UNCAT.</w:t>
      </w:r>
      <w:r w:rsidRPr="005C100D">
        <w:rPr>
          <w:rStyle w:val="FootnoteReference"/>
          <w:rFonts w:cstheme="majorBidi"/>
          <w:sz w:val="24"/>
          <w:szCs w:val="24"/>
          <w:lang w:val="en-GB"/>
        </w:rPr>
        <w:footnoteReference w:id="90"/>
      </w:r>
      <w:r w:rsidRPr="005C100D">
        <w:rPr>
          <w:rFonts w:cstheme="majorBidi"/>
          <w:sz w:val="24"/>
          <w:szCs w:val="24"/>
          <w:lang w:val="en-GB"/>
        </w:rPr>
        <w:t xml:space="preserve">  The Danish Aliens Act provides for the possibility for the police to </w:t>
      </w:r>
      <w:r w:rsidRPr="005C100D">
        <w:rPr>
          <w:rFonts w:cstheme="majorBidi"/>
          <w:i/>
          <w:iCs/>
          <w:sz w:val="24"/>
          <w:szCs w:val="24"/>
          <w:lang w:val="en-GB"/>
        </w:rPr>
        <w:t>administratively</w:t>
      </w:r>
      <w:r w:rsidRPr="005C100D">
        <w:rPr>
          <w:rFonts w:cstheme="majorBidi"/>
          <w:sz w:val="24"/>
          <w:szCs w:val="24"/>
          <w:lang w:val="en-GB"/>
        </w:rPr>
        <w:t xml:space="preserve"> – thus not in contemplation of prosecution on criminal charges - detain foreigners, including asylum seekers, pursuant to article 35 and article 36 of the Aliens Act. </w:t>
      </w:r>
      <w:r w:rsidRPr="005C100D">
        <w:rPr>
          <w:rStyle w:val="FootnoteReference"/>
          <w:rFonts w:cstheme="majorBidi"/>
          <w:sz w:val="24"/>
          <w:szCs w:val="24"/>
          <w:lang w:val="en-GB"/>
        </w:rPr>
        <w:footnoteReference w:id="91"/>
      </w:r>
      <w:r w:rsidRPr="005C100D">
        <w:rPr>
          <w:rFonts w:cstheme="majorBidi"/>
          <w:sz w:val="24"/>
          <w:szCs w:val="24"/>
          <w:lang w:val="en-GB"/>
        </w:rPr>
        <w:t xml:space="preserve"> The former relates, for example, to foreigners who have been criminally convicted and received a deportation order. </w:t>
      </w:r>
    </w:p>
    <w:p w:rsidR="00C61C11" w:rsidRPr="005C100D" w:rsidRDefault="00C61C11" w:rsidP="005C100D">
      <w:pPr>
        <w:jc w:val="both"/>
        <w:rPr>
          <w:rFonts w:cstheme="majorBidi"/>
          <w:sz w:val="24"/>
          <w:szCs w:val="24"/>
          <w:lang w:val="en-GB"/>
        </w:rPr>
      </w:pPr>
      <w:r w:rsidRPr="005C100D">
        <w:rPr>
          <w:rFonts w:cstheme="majorBidi"/>
          <w:sz w:val="24"/>
          <w:szCs w:val="24"/>
          <w:lang w:val="en-GB"/>
        </w:rPr>
        <w:t xml:space="preserve">The Aliens Act provides that the police should first consider less restrictive measures against foreigners, including for example requesting the person to leave his/her passport with the police or give notice at a specific location (article 34 of the Aliens Act). As an exemption to this main rule, the police might decide – if these less restrictive measures are insufficient - to detain foreigners and deprived them of their liberty pursuant to article 36 of the Aliens Act. Thus, detention should be the exception to the main rule of using less restrictive measures. After a maximum of three days, the court will consider the detention (article 37 of the Aliens Act). During the initial max 3-day period, there is no review of the decision by the police. </w:t>
      </w:r>
      <w:proofErr w:type="spellStart"/>
      <w:r w:rsidRPr="005C100D">
        <w:rPr>
          <w:rFonts w:cstheme="majorBidi"/>
          <w:sz w:val="24"/>
          <w:szCs w:val="24"/>
          <w:lang w:val="en-GB"/>
        </w:rPr>
        <w:t>Morover</w:t>
      </w:r>
      <w:proofErr w:type="spellEnd"/>
      <w:r w:rsidRPr="005C100D">
        <w:rPr>
          <w:rFonts w:cstheme="majorBidi"/>
          <w:sz w:val="24"/>
          <w:szCs w:val="24"/>
          <w:lang w:val="en-GB"/>
        </w:rPr>
        <w:t>, after the amendment to the Aliens Act in November 2015</w:t>
      </w:r>
      <w:r w:rsidR="005C5C4B" w:rsidRPr="005C100D">
        <w:rPr>
          <w:rFonts w:cstheme="majorBidi"/>
          <w:sz w:val="24"/>
          <w:szCs w:val="24"/>
          <w:lang w:val="en-GB"/>
        </w:rPr>
        <w:t xml:space="preserve"> (L 62)</w:t>
      </w:r>
      <w:r w:rsidRPr="005C100D">
        <w:rPr>
          <w:rFonts w:cstheme="majorBidi"/>
          <w:sz w:val="24"/>
          <w:szCs w:val="24"/>
          <w:lang w:val="en-GB"/>
        </w:rPr>
        <w:t xml:space="preserve">, the judicial review after 3 days can be suspended </w:t>
      </w:r>
      <w:r w:rsidR="008B40A9">
        <w:rPr>
          <w:rFonts w:cstheme="majorBidi"/>
          <w:sz w:val="24"/>
          <w:szCs w:val="24"/>
          <w:lang w:val="en-GB"/>
        </w:rPr>
        <w:t>by the Minister of Immigration (</w:t>
      </w:r>
      <w:r w:rsidR="008B40A9">
        <w:rPr>
          <w:rFonts w:cstheme="majorBidi"/>
          <w:sz w:val="24"/>
          <w:szCs w:val="24"/>
          <w:lang w:val="en-GB"/>
        </w:rPr>
        <w:t xml:space="preserve">see </w:t>
      </w:r>
      <w:r w:rsidR="008B40A9">
        <w:rPr>
          <w:rFonts w:cstheme="majorBidi"/>
          <w:sz w:val="24"/>
          <w:szCs w:val="24"/>
          <w:lang w:val="en-GB"/>
        </w:rPr>
        <w:t xml:space="preserve">further </w:t>
      </w:r>
      <w:r w:rsidR="008B40A9">
        <w:rPr>
          <w:rFonts w:cstheme="majorBidi"/>
          <w:sz w:val="24"/>
          <w:szCs w:val="24"/>
          <w:lang w:val="en-GB"/>
        </w:rPr>
        <w:t>below Part B)</w:t>
      </w:r>
      <w:r w:rsidR="005C5C4B" w:rsidRPr="005C100D">
        <w:rPr>
          <w:rFonts w:cstheme="majorBidi"/>
          <w:sz w:val="24"/>
          <w:szCs w:val="24"/>
          <w:lang w:val="en-GB"/>
        </w:rPr>
        <w:t xml:space="preserve">. </w:t>
      </w:r>
    </w:p>
    <w:p w:rsidR="00C61C11" w:rsidRPr="005C100D" w:rsidRDefault="00C61C11" w:rsidP="005C100D">
      <w:pPr>
        <w:jc w:val="both"/>
        <w:rPr>
          <w:rFonts w:cstheme="majorBidi"/>
          <w:sz w:val="24"/>
          <w:szCs w:val="24"/>
          <w:lang w:val="en-GB"/>
        </w:rPr>
      </w:pPr>
      <w:r w:rsidRPr="005C100D">
        <w:rPr>
          <w:rFonts w:cstheme="majorBidi"/>
          <w:sz w:val="24"/>
          <w:szCs w:val="24"/>
          <w:lang w:val="en-GB"/>
        </w:rPr>
        <w:lastRenderedPageBreak/>
        <w:t>As noted in the National report (para 172), in 2011, the authorities introduced a maximum limit of six months for administrative detention pursuant to article 36 (article 37 (8) of the Aliens Act) that can in exceptional cases be extended by 12 months (hence a total of 18 months). There is no maximum to the detention pursuant to article 35 of the Aliens Act.</w:t>
      </w:r>
    </w:p>
    <w:p w:rsidR="00C61C11" w:rsidRPr="005C100D" w:rsidRDefault="00C61C11" w:rsidP="005C100D">
      <w:pPr>
        <w:jc w:val="both"/>
        <w:rPr>
          <w:rFonts w:cstheme="majorBidi"/>
          <w:sz w:val="24"/>
          <w:szCs w:val="24"/>
          <w:lang w:val="en-GB"/>
        </w:rPr>
      </w:pPr>
      <w:r w:rsidRPr="005C100D">
        <w:rPr>
          <w:rFonts w:cstheme="majorBidi"/>
          <w:sz w:val="24"/>
          <w:szCs w:val="24"/>
          <w:lang w:val="en-GB"/>
        </w:rPr>
        <w:t xml:space="preserve">It is our experience that in practice, the rules in article 36 (with reference to article 34) and 37 of the Aliens Act are not administered in accordance with the intention that administrative detention and extension beyond six months should be the exception.  By way of example, it seems that at the review by the courts after 3 days, most judges decide to uphold the initial detention by the police, and that many decisions about detention are extended beyond 6 months. </w:t>
      </w:r>
    </w:p>
    <w:p w:rsidR="00C61C11" w:rsidRPr="005C100D" w:rsidRDefault="00C61C11" w:rsidP="005C100D">
      <w:pPr>
        <w:jc w:val="both"/>
        <w:rPr>
          <w:rFonts w:cstheme="majorBidi"/>
          <w:sz w:val="24"/>
          <w:szCs w:val="24"/>
          <w:lang w:val="en-GB"/>
        </w:rPr>
      </w:pPr>
      <w:r w:rsidRPr="005C100D">
        <w:rPr>
          <w:rFonts w:cstheme="majorBidi"/>
          <w:b/>
          <w:bCs/>
          <w:sz w:val="24"/>
          <w:szCs w:val="24"/>
          <w:lang w:val="en-GB"/>
        </w:rPr>
        <w:t>We therefore recommend</w:t>
      </w:r>
      <w:r w:rsidRPr="005C100D">
        <w:rPr>
          <w:rFonts w:cstheme="majorBidi"/>
          <w:sz w:val="24"/>
          <w:szCs w:val="24"/>
          <w:lang w:val="en-GB"/>
        </w:rPr>
        <w:t xml:space="preserve"> that Denmark </w:t>
      </w:r>
      <w:r w:rsidR="001216C0" w:rsidRPr="005C100D">
        <w:rPr>
          <w:rFonts w:cstheme="majorBidi"/>
          <w:sz w:val="24"/>
          <w:szCs w:val="24"/>
          <w:lang w:val="en-GB"/>
        </w:rPr>
        <w:t xml:space="preserve">reviews </w:t>
      </w:r>
      <w:r w:rsidR="00573AE0" w:rsidRPr="005C100D">
        <w:rPr>
          <w:rFonts w:cstheme="majorBidi"/>
          <w:sz w:val="24"/>
          <w:szCs w:val="24"/>
          <w:lang w:val="en-GB"/>
        </w:rPr>
        <w:t xml:space="preserve">the compliance of </w:t>
      </w:r>
      <w:r w:rsidR="001216C0" w:rsidRPr="005C100D">
        <w:rPr>
          <w:rFonts w:cstheme="majorBidi"/>
          <w:sz w:val="24"/>
          <w:szCs w:val="24"/>
          <w:lang w:val="en-GB"/>
        </w:rPr>
        <w:t>its regulations</w:t>
      </w:r>
      <w:r w:rsidRPr="005C100D">
        <w:rPr>
          <w:rFonts w:cstheme="majorBidi"/>
          <w:sz w:val="24"/>
          <w:szCs w:val="24"/>
          <w:lang w:val="en-GB"/>
        </w:rPr>
        <w:t xml:space="preserve"> </w:t>
      </w:r>
      <w:r w:rsidR="00573AE0" w:rsidRPr="005C100D">
        <w:rPr>
          <w:rFonts w:cstheme="majorBidi"/>
          <w:sz w:val="24"/>
          <w:szCs w:val="24"/>
          <w:lang w:val="en-GB"/>
        </w:rPr>
        <w:t xml:space="preserve">with international standards </w:t>
      </w:r>
      <w:r w:rsidRPr="005C100D">
        <w:rPr>
          <w:rFonts w:cstheme="majorBidi"/>
          <w:sz w:val="24"/>
          <w:szCs w:val="24"/>
          <w:lang w:val="en-GB"/>
        </w:rPr>
        <w:t xml:space="preserve">and that the principle that detention should be the exception is maintained. </w:t>
      </w:r>
    </w:p>
    <w:p w:rsidR="005718DB" w:rsidRPr="005C100D" w:rsidRDefault="005718DB" w:rsidP="005C100D">
      <w:pPr>
        <w:jc w:val="both"/>
        <w:rPr>
          <w:rFonts w:asciiTheme="majorHAnsi" w:eastAsiaTheme="majorEastAsia" w:hAnsiTheme="majorHAnsi" w:cstheme="majorBidi"/>
          <w:color w:val="365F91" w:themeColor="accent1" w:themeShade="BF"/>
          <w:sz w:val="24"/>
          <w:szCs w:val="24"/>
          <w:lang w:val="en-US"/>
        </w:rPr>
      </w:pPr>
      <w:r w:rsidRPr="005C100D">
        <w:rPr>
          <w:sz w:val="24"/>
          <w:szCs w:val="24"/>
          <w:lang w:val="en-US"/>
        </w:rPr>
        <w:br w:type="page"/>
      </w:r>
    </w:p>
    <w:p w:rsidR="002003E2" w:rsidRPr="005C100D" w:rsidRDefault="002003E2" w:rsidP="005C100D">
      <w:pPr>
        <w:pStyle w:val="Heading2"/>
        <w:pBdr>
          <w:bottom w:val="single" w:sz="4" w:space="1" w:color="auto"/>
        </w:pBdr>
        <w:spacing w:after="240"/>
        <w:jc w:val="both"/>
        <w:rPr>
          <w:sz w:val="24"/>
          <w:szCs w:val="24"/>
          <w:lang w:val="en-US"/>
        </w:rPr>
      </w:pPr>
      <w:bookmarkStart w:id="11" w:name="_Toc451866549"/>
      <w:r w:rsidRPr="005C100D">
        <w:rPr>
          <w:sz w:val="24"/>
          <w:szCs w:val="24"/>
          <w:lang w:val="en-US"/>
        </w:rPr>
        <w:lastRenderedPageBreak/>
        <w:t>Part B: OTHER SUGGESTED RECOMMENDATIONS</w:t>
      </w:r>
      <w:bookmarkEnd w:id="11"/>
    </w:p>
    <w:p w:rsidR="002003E2" w:rsidRPr="005C100D" w:rsidRDefault="00BB02C5" w:rsidP="005C100D">
      <w:pPr>
        <w:pStyle w:val="Heading3"/>
        <w:spacing w:after="240"/>
        <w:jc w:val="both"/>
        <w:rPr>
          <w:bCs/>
          <w:lang w:val="en-US"/>
        </w:rPr>
      </w:pPr>
      <w:bookmarkStart w:id="12" w:name="_Toc451866550"/>
      <w:r w:rsidRPr="005C100D">
        <w:rPr>
          <w:bCs/>
          <w:lang w:val="en-US"/>
        </w:rPr>
        <w:t xml:space="preserve">Issue 1: </w:t>
      </w:r>
      <w:r w:rsidR="002003E2" w:rsidRPr="005C100D">
        <w:rPr>
          <w:lang w:val="en-US"/>
        </w:rPr>
        <w:t>SOLITARY CONFINEMENT OF ADULTS</w:t>
      </w:r>
      <w:bookmarkEnd w:id="12"/>
      <w:r w:rsidRPr="005C100D">
        <w:rPr>
          <w:lang w:val="en-US"/>
        </w:rPr>
        <w:t xml:space="preserve"> </w:t>
      </w:r>
    </w:p>
    <w:p w:rsidR="00FB5C12" w:rsidRPr="005C100D" w:rsidRDefault="00FB5C12" w:rsidP="005C100D">
      <w:pPr>
        <w:jc w:val="both"/>
        <w:rPr>
          <w:rFonts w:cstheme="majorBidi"/>
          <w:sz w:val="24"/>
          <w:szCs w:val="24"/>
          <w:lang w:val="en-GB"/>
        </w:rPr>
      </w:pPr>
      <w:r w:rsidRPr="005C100D">
        <w:rPr>
          <w:rFonts w:cstheme="majorBidi"/>
          <w:sz w:val="24"/>
          <w:szCs w:val="24"/>
          <w:lang w:val="en-GB"/>
        </w:rPr>
        <w:t>The use of solitary confinement during pre-trial detenti</w:t>
      </w:r>
      <w:r w:rsidR="0082748E" w:rsidRPr="005C100D">
        <w:rPr>
          <w:rFonts w:cstheme="majorBidi"/>
          <w:sz w:val="24"/>
          <w:szCs w:val="24"/>
          <w:lang w:val="en-GB"/>
        </w:rPr>
        <w:t>o</w:t>
      </w:r>
      <w:r w:rsidR="005B33F0">
        <w:rPr>
          <w:rFonts w:cstheme="majorBidi"/>
          <w:sz w:val="24"/>
          <w:szCs w:val="24"/>
          <w:lang w:val="en-GB"/>
        </w:rPr>
        <w:t>n has been mentioned above. In this section,</w:t>
      </w:r>
      <w:r w:rsidR="0082748E" w:rsidRPr="005C100D">
        <w:rPr>
          <w:rFonts w:cstheme="majorBidi"/>
          <w:sz w:val="24"/>
          <w:szCs w:val="24"/>
          <w:lang w:val="en-GB"/>
        </w:rPr>
        <w:t xml:space="preserve"> the</w:t>
      </w:r>
      <w:r w:rsidRPr="005C100D">
        <w:rPr>
          <w:rFonts w:cstheme="majorBidi"/>
          <w:sz w:val="24"/>
          <w:szCs w:val="24"/>
          <w:lang w:val="en-GB"/>
        </w:rPr>
        <w:t xml:space="preserve"> use of solitary confinement as a form of punishme</w:t>
      </w:r>
      <w:r w:rsidR="009354F6" w:rsidRPr="005C100D">
        <w:rPr>
          <w:rFonts w:cstheme="majorBidi"/>
          <w:sz w:val="24"/>
          <w:szCs w:val="24"/>
          <w:lang w:val="en-GB"/>
        </w:rPr>
        <w:t xml:space="preserve">nt or disciplinary sanction </w:t>
      </w:r>
      <w:r w:rsidRPr="005C100D">
        <w:rPr>
          <w:rFonts w:cstheme="majorBidi"/>
          <w:sz w:val="24"/>
          <w:szCs w:val="24"/>
          <w:lang w:val="en-GB"/>
        </w:rPr>
        <w:t>related to sentence enforcement</w:t>
      </w:r>
      <w:r w:rsidR="0082748E" w:rsidRPr="005C100D">
        <w:rPr>
          <w:rFonts w:cstheme="majorBidi"/>
          <w:sz w:val="24"/>
          <w:szCs w:val="24"/>
          <w:lang w:val="en-GB"/>
        </w:rPr>
        <w:t xml:space="preserve"> will be discussed</w:t>
      </w:r>
      <w:r w:rsidRPr="005C100D">
        <w:rPr>
          <w:rFonts w:cstheme="majorBidi"/>
          <w:sz w:val="24"/>
          <w:szCs w:val="24"/>
          <w:lang w:val="en-GB"/>
        </w:rPr>
        <w:t>.  There are four types of placements in the Sentence Enforcement Act, which constitute or may amount to solitary confinement;</w:t>
      </w:r>
    </w:p>
    <w:p w:rsidR="00FB5C12" w:rsidRPr="005C100D" w:rsidRDefault="00FB5C12" w:rsidP="005C100D">
      <w:pPr>
        <w:pStyle w:val="ListParagraph"/>
        <w:numPr>
          <w:ilvl w:val="0"/>
          <w:numId w:val="24"/>
        </w:numPr>
        <w:jc w:val="both"/>
        <w:rPr>
          <w:rFonts w:cstheme="majorBidi"/>
          <w:sz w:val="24"/>
          <w:szCs w:val="24"/>
          <w:lang w:val="en-GB"/>
        </w:rPr>
      </w:pPr>
      <w:r w:rsidRPr="005C100D">
        <w:rPr>
          <w:rFonts w:cstheme="majorBidi"/>
          <w:sz w:val="24"/>
          <w:szCs w:val="24"/>
          <w:lang w:val="en-GB"/>
        </w:rPr>
        <w:t>Exclusion from association, cf.  the Sentence Enforcement Act § 63</w:t>
      </w:r>
    </w:p>
    <w:p w:rsidR="00FB5C12" w:rsidRPr="005C100D" w:rsidRDefault="00FB5C12" w:rsidP="005C100D">
      <w:pPr>
        <w:pStyle w:val="ListParagraph"/>
        <w:numPr>
          <w:ilvl w:val="0"/>
          <w:numId w:val="24"/>
        </w:numPr>
        <w:jc w:val="both"/>
        <w:rPr>
          <w:rFonts w:cstheme="majorBidi"/>
          <w:sz w:val="24"/>
          <w:szCs w:val="24"/>
          <w:lang w:val="en-GB"/>
        </w:rPr>
      </w:pPr>
      <w:r w:rsidRPr="005C100D">
        <w:rPr>
          <w:rFonts w:cstheme="majorBidi"/>
          <w:sz w:val="24"/>
          <w:szCs w:val="24"/>
          <w:lang w:val="en-GB"/>
        </w:rPr>
        <w:t>Voluntary exclusion from association, cf. the Sentence Enforcement Act § 33</w:t>
      </w:r>
    </w:p>
    <w:p w:rsidR="00FB5C12" w:rsidRPr="005C100D" w:rsidRDefault="00FB5C12" w:rsidP="005C100D">
      <w:pPr>
        <w:pStyle w:val="ListParagraph"/>
        <w:numPr>
          <w:ilvl w:val="0"/>
          <w:numId w:val="24"/>
        </w:numPr>
        <w:jc w:val="both"/>
        <w:rPr>
          <w:rFonts w:cstheme="majorBidi"/>
          <w:sz w:val="24"/>
          <w:szCs w:val="24"/>
          <w:lang w:val="en-GB"/>
        </w:rPr>
      </w:pPr>
      <w:r w:rsidRPr="005C100D">
        <w:rPr>
          <w:rFonts w:cstheme="majorBidi"/>
          <w:sz w:val="24"/>
          <w:szCs w:val="24"/>
          <w:lang w:val="en-GB"/>
        </w:rPr>
        <w:t>Isolation in a security cell (</w:t>
      </w:r>
      <w:proofErr w:type="spellStart"/>
      <w:r w:rsidRPr="005C100D">
        <w:rPr>
          <w:rFonts w:cstheme="majorBidi"/>
          <w:i/>
          <w:sz w:val="24"/>
          <w:szCs w:val="24"/>
          <w:lang w:val="en-GB"/>
        </w:rPr>
        <w:t>sikringscelle</w:t>
      </w:r>
      <w:proofErr w:type="spellEnd"/>
      <w:r w:rsidRPr="005C100D">
        <w:rPr>
          <w:rFonts w:cstheme="majorBidi"/>
          <w:sz w:val="24"/>
          <w:szCs w:val="24"/>
          <w:lang w:val="en-GB"/>
        </w:rPr>
        <w:t>), possibly under forced physical restraint, cf. the Sentence Enforcement Act § 66</w:t>
      </w:r>
    </w:p>
    <w:p w:rsidR="00FB5C12" w:rsidRPr="005C100D" w:rsidRDefault="00FB5C12" w:rsidP="005C100D">
      <w:pPr>
        <w:pStyle w:val="ListParagraph"/>
        <w:numPr>
          <w:ilvl w:val="0"/>
          <w:numId w:val="24"/>
        </w:numPr>
        <w:jc w:val="both"/>
        <w:rPr>
          <w:rFonts w:cstheme="majorBidi"/>
          <w:sz w:val="24"/>
          <w:szCs w:val="24"/>
          <w:lang w:val="en-GB"/>
        </w:rPr>
      </w:pPr>
      <w:r w:rsidRPr="005C100D">
        <w:rPr>
          <w:rFonts w:cstheme="majorBidi"/>
          <w:sz w:val="24"/>
          <w:szCs w:val="24"/>
          <w:lang w:val="en-GB"/>
        </w:rPr>
        <w:t>Isolation as a disciplinary sanction (</w:t>
      </w:r>
      <w:proofErr w:type="spellStart"/>
      <w:r w:rsidRPr="005C100D">
        <w:rPr>
          <w:rFonts w:cstheme="majorBidi"/>
          <w:i/>
          <w:sz w:val="24"/>
          <w:szCs w:val="24"/>
          <w:lang w:val="en-GB"/>
        </w:rPr>
        <w:t>strafcelle</w:t>
      </w:r>
      <w:proofErr w:type="spellEnd"/>
      <w:r w:rsidRPr="005C100D">
        <w:rPr>
          <w:rFonts w:cstheme="majorBidi"/>
          <w:sz w:val="24"/>
          <w:szCs w:val="24"/>
          <w:lang w:val="en-GB"/>
        </w:rPr>
        <w:t>), cf. the Sentence Enforcement Act § 68.</w:t>
      </w:r>
    </w:p>
    <w:p w:rsidR="00FB5C12" w:rsidRPr="005C100D" w:rsidRDefault="00FB5C12" w:rsidP="005C100D">
      <w:pPr>
        <w:jc w:val="both"/>
        <w:rPr>
          <w:rFonts w:cstheme="majorBidi"/>
          <w:sz w:val="24"/>
          <w:szCs w:val="24"/>
          <w:lang w:val="en-GB"/>
        </w:rPr>
      </w:pPr>
      <w:r w:rsidRPr="005C100D">
        <w:rPr>
          <w:rFonts w:cstheme="majorBidi"/>
          <w:sz w:val="24"/>
          <w:szCs w:val="24"/>
          <w:lang w:val="en-GB"/>
        </w:rPr>
        <w:t xml:space="preserve">The boundaries for solitary confinement in the Sentence Enforcement Act, are rather broad and </w:t>
      </w:r>
      <w:r w:rsidRPr="005C100D">
        <w:rPr>
          <w:sz w:val="24"/>
          <w:szCs w:val="24"/>
          <w:lang w:val="en-GB"/>
        </w:rPr>
        <w:t xml:space="preserve">result </w:t>
      </w:r>
      <w:r w:rsidRPr="005C100D">
        <w:rPr>
          <w:rFonts w:cstheme="majorBidi"/>
          <w:sz w:val="24"/>
          <w:szCs w:val="24"/>
          <w:lang w:val="en-GB"/>
        </w:rPr>
        <w:t>in types of isolation with fewer safeguards for the detainees, compared to isolation under the Administration of Justic</w:t>
      </w:r>
      <w:r w:rsidR="006A4B4F" w:rsidRPr="005C100D">
        <w:rPr>
          <w:rFonts w:cstheme="majorBidi"/>
          <w:sz w:val="24"/>
          <w:szCs w:val="24"/>
          <w:lang w:val="en-GB"/>
        </w:rPr>
        <w:t>e Act.</w:t>
      </w:r>
    </w:p>
    <w:p w:rsidR="00FB5C12" w:rsidRPr="005C100D" w:rsidRDefault="00FB5C12" w:rsidP="005C100D">
      <w:pPr>
        <w:spacing w:before="200"/>
        <w:jc w:val="both"/>
        <w:rPr>
          <w:rFonts w:cstheme="majorBidi"/>
          <w:bCs/>
          <w:i/>
          <w:sz w:val="24"/>
          <w:szCs w:val="24"/>
          <w:lang w:val="en-GB"/>
        </w:rPr>
      </w:pPr>
      <w:r w:rsidRPr="005C100D">
        <w:rPr>
          <w:rFonts w:cstheme="majorBidi"/>
          <w:bCs/>
          <w:i/>
          <w:sz w:val="24"/>
          <w:szCs w:val="24"/>
          <w:lang w:val="en-GB"/>
        </w:rPr>
        <w:t xml:space="preserve">Exclusion from association </w:t>
      </w:r>
    </w:p>
    <w:p w:rsidR="00FB5C12" w:rsidRPr="005C100D" w:rsidRDefault="00FB5C12" w:rsidP="005C100D">
      <w:pPr>
        <w:jc w:val="both"/>
        <w:rPr>
          <w:rFonts w:cstheme="majorBidi"/>
          <w:sz w:val="24"/>
          <w:szCs w:val="24"/>
          <w:lang w:val="en-GB"/>
        </w:rPr>
      </w:pPr>
      <w:r w:rsidRPr="005C100D">
        <w:rPr>
          <w:rFonts w:cstheme="majorBidi"/>
          <w:sz w:val="24"/>
          <w:szCs w:val="24"/>
          <w:lang w:val="en-GB"/>
        </w:rPr>
        <w:t>Such exclusion is a preventive measure that cannot be used only as sanction for previous (</w:t>
      </w:r>
      <w:proofErr w:type="spellStart"/>
      <w:r w:rsidRPr="005C100D">
        <w:rPr>
          <w:rFonts w:cstheme="majorBidi"/>
          <w:sz w:val="24"/>
          <w:szCs w:val="24"/>
          <w:lang w:val="en-GB"/>
        </w:rPr>
        <w:t>mis</w:t>
      </w:r>
      <w:proofErr w:type="spellEnd"/>
      <w:r w:rsidRPr="005C100D">
        <w:rPr>
          <w:rFonts w:cstheme="majorBidi"/>
          <w:sz w:val="24"/>
          <w:szCs w:val="24"/>
          <w:lang w:val="en-GB"/>
        </w:rPr>
        <w:t>)</w:t>
      </w:r>
      <w:proofErr w:type="spellStart"/>
      <w:r w:rsidRPr="005C100D">
        <w:rPr>
          <w:rFonts w:cstheme="majorBidi"/>
          <w:sz w:val="24"/>
          <w:szCs w:val="24"/>
          <w:lang w:val="en-GB"/>
        </w:rPr>
        <w:t>behaviuor</w:t>
      </w:r>
      <w:proofErr w:type="spellEnd"/>
      <w:r w:rsidRPr="005C100D">
        <w:rPr>
          <w:rFonts w:cstheme="majorBidi"/>
          <w:sz w:val="24"/>
          <w:szCs w:val="24"/>
          <w:lang w:val="en-GB"/>
        </w:rPr>
        <w:t xml:space="preserve">. This measure is applied to prevent future violent behaviour, criminal activity, escape, etc. Although it has to be preventive, the exclusion can be based on the detainee’s behaviour, which is not compatible with the continued stay in association with other inmates. The time limit is 3 months and </w:t>
      </w:r>
      <w:r w:rsidRPr="005C100D">
        <w:rPr>
          <w:rFonts w:cstheme="majorBidi"/>
          <w:sz w:val="24"/>
          <w:szCs w:val="24"/>
          <w:shd w:val="clear" w:color="auto" w:fill="FFFFFF"/>
          <w:lang w:val="en-GB"/>
        </w:rPr>
        <w:t>the Prison and Probation Service</w:t>
      </w:r>
      <w:r w:rsidRPr="005C100D">
        <w:rPr>
          <w:rFonts w:cstheme="majorBidi"/>
          <w:sz w:val="24"/>
          <w:szCs w:val="24"/>
          <w:lang w:val="en-GB"/>
        </w:rPr>
        <w:t xml:space="preserve"> has the authority to extend the three months’ limit under extraordinary circumstances. The prison concerned has to reconsider, if the exclusion from association can be lifted, once a week (as a minimum).</w:t>
      </w:r>
    </w:p>
    <w:p w:rsidR="00FB5C12" w:rsidRPr="005C100D" w:rsidRDefault="00FB5C12" w:rsidP="005C100D">
      <w:pPr>
        <w:jc w:val="both"/>
        <w:rPr>
          <w:rFonts w:cstheme="majorBidi"/>
          <w:sz w:val="24"/>
          <w:szCs w:val="24"/>
          <w:lang w:val="en-GB"/>
        </w:rPr>
      </w:pPr>
      <w:r w:rsidRPr="005C100D">
        <w:rPr>
          <w:rFonts w:cstheme="majorBidi"/>
          <w:sz w:val="24"/>
          <w:szCs w:val="24"/>
          <w:lang w:val="en-GB"/>
        </w:rPr>
        <w:t xml:space="preserve">Following a legislative amendment in 2012, detainees can be excluded from association for up to 5 days, in exceptional cases, if the exclusion is necessary for the protection of the detainee, cf. the Sentence Enforcement Act § 62, stk. 2. Before this 5 day-deadline, the prison authorities shall take steps to protect the inmate, notably by re-locating him/her to a safe department. This development is very positive. </w:t>
      </w:r>
    </w:p>
    <w:p w:rsidR="00FB5C12" w:rsidRPr="005C100D" w:rsidRDefault="00FB5C12" w:rsidP="005C100D">
      <w:pPr>
        <w:tabs>
          <w:tab w:val="left" w:pos="4005"/>
        </w:tabs>
        <w:jc w:val="both"/>
        <w:rPr>
          <w:rFonts w:cstheme="majorBidi"/>
          <w:i/>
          <w:sz w:val="24"/>
          <w:szCs w:val="24"/>
          <w:lang w:val="en-GB"/>
        </w:rPr>
      </w:pPr>
      <w:r w:rsidRPr="005C100D">
        <w:rPr>
          <w:rFonts w:cstheme="majorBidi"/>
          <w:i/>
          <w:sz w:val="24"/>
          <w:szCs w:val="24"/>
          <w:lang w:val="en-GB"/>
        </w:rPr>
        <w:t>Voluntary exclusion from association</w:t>
      </w:r>
    </w:p>
    <w:p w:rsidR="00FB5C12" w:rsidRPr="005C100D" w:rsidRDefault="00FB5C12" w:rsidP="005C100D">
      <w:pPr>
        <w:tabs>
          <w:tab w:val="left" w:pos="4005"/>
        </w:tabs>
        <w:jc w:val="both"/>
        <w:rPr>
          <w:rFonts w:cstheme="majorBidi"/>
          <w:sz w:val="24"/>
          <w:szCs w:val="24"/>
          <w:lang w:val="en-GB"/>
        </w:rPr>
      </w:pPr>
      <w:r w:rsidRPr="005C100D">
        <w:rPr>
          <w:rFonts w:cstheme="majorBidi"/>
          <w:sz w:val="24"/>
          <w:szCs w:val="24"/>
          <w:lang w:val="en-GB"/>
        </w:rPr>
        <w:t xml:space="preserve">It is the main rule that detainees should have access to association with other detainees. As an exception to this principle, a detainee may serve time without association with other inmates in voluntary exclusion from association cf. the Sentence Enforcement Act § 33. </w:t>
      </w:r>
      <w:r w:rsidRPr="005C100D">
        <w:rPr>
          <w:rFonts w:cstheme="majorBidi"/>
          <w:sz w:val="24"/>
          <w:szCs w:val="24"/>
          <w:lang w:val="en-US"/>
        </w:rPr>
        <w:t xml:space="preserve">I practice, this measure is used by persons who feel that they safety in association with other prisoners cannot be safeguarded by the prison, such as gang members serving on wings with rivaling gangs, pedophiles and certain vulnerable groups that rank at the low end of the informal prisoner hierarchy. </w:t>
      </w:r>
      <w:r w:rsidRPr="005C100D">
        <w:rPr>
          <w:rFonts w:cstheme="majorBidi"/>
          <w:sz w:val="24"/>
          <w:szCs w:val="24"/>
          <w:lang w:val="en-GB"/>
        </w:rPr>
        <w:t xml:space="preserve">This </w:t>
      </w:r>
      <w:r w:rsidRPr="005C100D">
        <w:rPr>
          <w:rFonts w:cstheme="majorBidi"/>
          <w:sz w:val="24"/>
          <w:szCs w:val="24"/>
          <w:lang w:val="en-GB"/>
        </w:rPr>
        <w:lastRenderedPageBreak/>
        <w:t>vulnerable group lacks legal safeguards, and statistics from the Department of Prisons and Probation show that the practice of using voluntary isolation in detention centres and in the closed prisons, is relatively common and often used for several weeks.</w:t>
      </w:r>
    </w:p>
    <w:p w:rsidR="00FB5C12" w:rsidRPr="005C100D" w:rsidRDefault="00FB5C12" w:rsidP="005C100D">
      <w:pPr>
        <w:jc w:val="both"/>
        <w:rPr>
          <w:rFonts w:cstheme="majorBidi"/>
          <w:bCs/>
          <w:sz w:val="24"/>
          <w:szCs w:val="24"/>
          <w:lang w:val="en-GB"/>
        </w:rPr>
      </w:pPr>
      <w:r w:rsidRPr="005C100D">
        <w:rPr>
          <w:rFonts w:cstheme="majorBidi"/>
          <w:bCs/>
          <w:sz w:val="24"/>
          <w:szCs w:val="24"/>
          <w:lang w:val="en-GB"/>
        </w:rPr>
        <w:t>Table from the Prison and Probation Service:</w:t>
      </w:r>
      <w:r w:rsidRPr="005C100D">
        <w:rPr>
          <w:rStyle w:val="FootnoteReference"/>
          <w:rFonts w:cstheme="majorBidi"/>
          <w:bCs/>
          <w:sz w:val="24"/>
          <w:szCs w:val="24"/>
          <w:lang w:val="en-GB"/>
        </w:rPr>
        <w:footnoteReference w:id="92"/>
      </w:r>
      <w:r w:rsidRPr="005C100D">
        <w:rPr>
          <w:rFonts w:cstheme="majorBidi"/>
          <w:bCs/>
          <w:sz w:val="24"/>
          <w:szCs w:val="24"/>
          <w:lang w:val="en-GB"/>
        </w:rPr>
        <w:t xml:space="preserve"> Voluntary exclusion from association. Closed prisons and gaols. Number and duration</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6"/>
        <w:gridCol w:w="994"/>
        <w:gridCol w:w="992"/>
        <w:gridCol w:w="1134"/>
        <w:gridCol w:w="1134"/>
        <w:gridCol w:w="1058"/>
        <w:gridCol w:w="984"/>
      </w:tblGrid>
      <w:tr w:rsidR="00FB5C12" w:rsidRPr="005C100D" w:rsidTr="000424BD">
        <w:trPr>
          <w:trHeight w:val="213"/>
        </w:trPr>
        <w:tc>
          <w:tcPr>
            <w:tcW w:w="2256" w:type="dxa"/>
          </w:tcPr>
          <w:p w:rsidR="00FB5C12" w:rsidRPr="005C100D" w:rsidRDefault="00FB5C12" w:rsidP="005C100D">
            <w:pPr>
              <w:spacing w:after="0"/>
              <w:jc w:val="both"/>
              <w:rPr>
                <w:rFonts w:cstheme="majorBidi"/>
                <w:b/>
                <w:bCs/>
                <w:sz w:val="24"/>
                <w:szCs w:val="24"/>
                <w:lang w:val="en-GB"/>
              </w:rPr>
            </w:pPr>
          </w:p>
        </w:tc>
        <w:tc>
          <w:tcPr>
            <w:tcW w:w="5312" w:type="dxa"/>
            <w:gridSpan w:val="5"/>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 xml:space="preserve">Duration of exclusion </w:t>
            </w:r>
          </w:p>
        </w:tc>
        <w:tc>
          <w:tcPr>
            <w:tcW w:w="984" w:type="dxa"/>
          </w:tcPr>
          <w:p w:rsidR="00FB5C12" w:rsidRPr="005C100D" w:rsidRDefault="00FB5C12" w:rsidP="005C100D">
            <w:pPr>
              <w:spacing w:after="0"/>
              <w:jc w:val="both"/>
              <w:rPr>
                <w:rFonts w:cstheme="majorBidi"/>
                <w:b/>
                <w:bCs/>
                <w:sz w:val="24"/>
                <w:szCs w:val="24"/>
                <w:lang w:val="en-GB"/>
              </w:rPr>
            </w:pPr>
          </w:p>
        </w:tc>
      </w:tr>
      <w:tr w:rsidR="00FB5C12" w:rsidRPr="005C100D" w:rsidTr="000424BD">
        <w:trPr>
          <w:trHeight w:val="186"/>
        </w:trPr>
        <w:tc>
          <w:tcPr>
            <w:tcW w:w="2256" w:type="dxa"/>
          </w:tcPr>
          <w:p w:rsidR="00FB5C12" w:rsidRPr="005C100D" w:rsidRDefault="00FB5C12" w:rsidP="005C100D">
            <w:pPr>
              <w:spacing w:after="0"/>
              <w:jc w:val="both"/>
              <w:rPr>
                <w:rFonts w:cstheme="majorBidi"/>
                <w:b/>
                <w:bCs/>
                <w:sz w:val="24"/>
                <w:szCs w:val="24"/>
                <w:lang w:val="en-GB"/>
              </w:rPr>
            </w:pPr>
          </w:p>
        </w:tc>
        <w:tc>
          <w:tcPr>
            <w:tcW w:w="994"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1-3 days</w:t>
            </w:r>
          </w:p>
        </w:tc>
        <w:tc>
          <w:tcPr>
            <w:tcW w:w="992"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4-7 days</w:t>
            </w:r>
          </w:p>
        </w:tc>
        <w:tc>
          <w:tcPr>
            <w:tcW w:w="1134"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8-14 days</w:t>
            </w:r>
          </w:p>
        </w:tc>
        <w:tc>
          <w:tcPr>
            <w:tcW w:w="1134"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15-28 days</w:t>
            </w:r>
          </w:p>
        </w:tc>
        <w:tc>
          <w:tcPr>
            <w:tcW w:w="1058"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 xml:space="preserve">&gt; 28 days </w:t>
            </w:r>
          </w:p>
        </w:tc>
        <w:tc>
          <w:tcPr>
            <w:tcW w:w="984"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total</w:t>
            </w:r>
          </w:p>
        </w:tc>
      </w:tr>
      <w:tr w:rsidR="00FB5C12" w:rsidRPr="005C100D" w:rsidTr="000424BD">
        <w:trPr>
          <w:trHeight w:val="113"/>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Closed prisons</w:t>
            </w:r>
          </w:p>
        </w:tc>
        <w:tc>
          <w:tcPr>
            <w:tcW w:w="994" w:type="dxa"/>
          </w:tcPr>
          <w:p w:rsidR="00FB5C12" w:rsidRPr="005C100D" w:rsidRDefault="00FB5C12" w:rsidP="005C100D">
            <w:pPr>
              <w:spacing w:after="0"/>
              <w:jc w:val="both"/>
              <w:rPr>
                <w:rFonts w:cstheme="majorBidi"/>
                <w:b/>
                <w:bCs/>
                <w:sz w:val="24"/>
                <w:szCs w:val="24"/>
                <w:lang w:val="en-GB"/>
              </w:rPr>
            </w:pPr>
            <w:r w:rsidRPr="005C100D">
              <w:rPr>
                <w:sz w:val="24"/>
                <w:szCs w:val="24"/>
                <w:lang w:val="en-GB"/>
              </w:rPr>
              <w:t>86</w:t>
            </w:r>
          </w:p>
        </w:tc>
        <w:tc>
          <w:tcPr>
            <w:tcW w:w="992" w:type="dxa"/>
          </w:tcPr>
          <w:p w:rsidR="00FB5C12" w:rsidRPr="005C100D" w:rsidRDefault="00FB5C12" w:rsidP="005C100D">
            <w:pPr>
              <w:spacing w:after="0"/>
              <w:jc w:val="both"/>
              <w:rPr>
                <w:rFonts w:cstheme="majorBidi"/>
                <w:b/>
                <w:bCs/>
                <w:sz w:val="24"/>
                <w:szCs w:val="24"/>
                <w:lang w:val="en-GB"/>
              </w:rPr>
            </w:pPr>
            <w:r w:rsidRPr="005C100D">
              <w:rPr>
                <w:sz w:val="24"/>
                <w:szCs w:val="24"/>
                <w:lang w:val="en-GB"/>
              </w:rPr>
              <w:t>36</w:t>
            </w:r>
          </w:p>
        </w:tc>
        <w:tc>
          <w:tcPr>
            <w:tcW w:w="1134" w:type="dxa"/>
          </w:tcPr>
          <w:p w:rsidR="00FB5C12" w:rsidRPr="005C100D" w:rsidRDefault="00FB5C12" w:rsidP="005C100D">
            <w:pPr>
              <w:spacing w:after="0"/>
              <w:jc w:val="both"/>
              <w:rPr>
                <w:rFonts w:cstheme="majorBidi"/>
                <w:b/>
                <w:bCs/>
                <w:sz w:val="24"/>
                <w:szCs w:val="24"/>
                <w:lang w:val="en-GB"/>
              </w:rPr>
            </w:pPr>
            <w:r w:rsidRPr="005C100D">
              <w:rPr>
                <w:sz w:val="24"/>
                <w:szCs w:val="24"/>
                <w:lang w:val="en-GB"/>
              </w:rPr>
              <w:t>38</w:t>
            </w:r>
          </w:p>
        </w:tc>
        <w:tc>
          <w:tcPr>
            <w:tcW w:w="1134" w:type="dxa"/>
          </w:tcPr>
          <w:p w:rsidR="00FB5C12" w:rsidRPr="005C100D" w:rsidRDefault="00FB5C12" w:rsidP="005C100D">
            <w:pPr>
              <w:spacing w:after="0"/>
              <w:jc w:val="both"/>
              <w:rPr>
                <w:rFonts w:cstheme="majorBidi"/>
                <w:b/>
                <w:bCs/>
                <w:sz w:val="24"/>
                <w:szCs w:val="24"/>
                <w:lang w:val="en-GB"/>
              </w:rPr>
            </w:pPr>
            <w:r w:rsidRPr="005C100D">
              <w:rPr>
                <w:sz w:val="24"/>
                <w:szCs w:val="24"/>
                <w:lang w:val="en-GB"/>
              </w:rPr>
              <w:t>43</w:t>
            </w:r>
          </w:p>
        </w:tc>
        <w:tc>
          <w:tcPr>
            <w:tcW w:w="1058" w:type="dxa"/>
          </w:tcPr>
          <w:p w:rsidR="00FB5C12" w:rsidRPr="005C100D" w:rsidRDefault="00FB5C12" w:rsidP="005C100D">
            <w:pPr>
              <w:spacing w:after="0"/>
              <w:jc w:val="both"/>
              <w:rPr>
                <w:rFonts w:cstheme="majorBidi"/>
                <w:b/>
                <w:bCs/>
                <w:sz w:val="24"/>
                <w:szCs w:val="24"/>
                <w:lang w:val="en-GB"/>
              </w:rPr>
            </w:pPr>
            <w:r w:rsidRPr="005C100D">
              <w:rPr>
                <w:sz w:val="24"/>
                <w:szCs w:val="24"/>
                <w:lang w:val="en-GB"/>
              </w:rPr>
              <w:t>98</w:t>
            </w:r>
          </w:p>
        </w:tc>
        <w:tc>
          <w:tcPr>
            <w:tcW w:w="984" w:type="dxa"/>
          </w:tcPr>
          <w:p w:rsidR="00FB5C12" w:rsidRPr="005C100D" w:rsidRDefault="00FB5C12" w:rsidP="005C100D">
            <w:pPr>
              <w:spacing w:after="0"/>
              <w:jc w:val="both"/>
              <w:rPr>
                <w:rFonts w:cstheme="majorBidi"/>
                <w:b/>
                <w:bCs/>
                <w:sz w:val="24"/>
                <w:szCs w:val="24"/>
                <w:lang w:val="en-GB"/>
              </w:rPr>
            </w:pPr>
            <w:r w:rsidRPr="005C100D">
              <w:rPr>
                <w:sz w:val="24"/>
                <w:szCs w:val="24"/>
                <w:lang w:val="en-GB"/>
              </w:rPr>
              <w:t>301</w:t>
            </w:r>
          </w:p>
        </w:tc>
      </w:tr>
      <w:tr w:rsidR="00FB5C12" w:rsidRPr="005C100D" w:rsidTr="000424BD">
        <w:trPr>
          <w:trHeight w:val="166"/>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 xml:space="preserve">Copenhagen prisons </w:t>
            </w:r>
          </w:p>
        </w:tc>
        <w:tc>
          <w:tcPr>
            <w:tcW w:w="99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25</w:t>
            </w:r>
          </w:p>
        </w:tc>
        <w:tc>
          <w:tcPr>
            <w:tcW w:w="992"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27</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21</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15</w:t>
            </w:r>
          </w:p>
        </w:tc>
        <w:tc>
          <w:tcPr>
            <w:tcW w:w="105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44</w:t>
            </w:r>
          </w:p>
        </w:tc>
        <w:tc>
          <w:tcPr>
            <w:tcW w:w="98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132</w:t>
            </w:r>
          </w:p>
        </w:tc>
      </w:tr>
      <w:tr w:rsidR="00FB5C12" w:rsidRPr="005C100D" w:rsidTr="000424BD">
        <w:trPr>
          <w:trHeight w:val="194"/>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2013</w:t>
            </w:r>
          </w:p>
        </w:tc>
        <w:tc>
          <w:tcPr>
            <w:tcW w:w="99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111</w:t>
            </w:r>
          </w:p>
        </w:tc>
        <w:tc>
          <w:tcPr>
            <w:tcW w:w="992"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63</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59</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58</w:t>
            </w:r>
          </w:p>
        </w:tc>
        <w:tc>
          <w:tcPr>
            <w:tcW w:w="105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142</w:t>
            </w:r>
          </w:p>
        </w:tc>
        <w:tc>
          <w:tcPr>
            <w:tcW w:w="98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433</w:t>
            </w:r>
          </w:p>
        </w:tc>
      </w:tr>
      <w:tr w:rsidR="00FB5C12" w:rsidRPr="005C100D" w:rsidTr="000424BD">
        <w:trPr>
          <w:trHeight w:val="206"/>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2012</w:t>
            </w:r>
          </w:p>
        </w:tc>
        <w:tc>
          <w:tcPr>
            <w:tcW w:w="99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99</w:t>
            </w:r>
          </w:p>
        </w:tc>
        <w:tc>
          <w:tcPr>
            <w:tcW w:w="992"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69</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50</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48</w:t>
            </w:r>
          </w:p>
        </w:tc>
        <w:tc>
          <w:tcPr>
            <w:tcW w:w="105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137</w:t>
            </w:r>
          </w:p>
        </w:tc>
        <w:tc>
          <w:tcPr>
            <w:tcW w:w="98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403</w:t>
            </w:r>
          </w:p>
        </w:tc>
      </w:tr>
      <w:tr w:rsidR="00FB5C12" w:rsidRPr="005C100D" w:rsidTr="000424BD">
        <w:trPr>
          <w:trHeight w:val="190"/>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2011</w:t>
            </w:r>
          </w:p>
        </w:tc>
        <w:tc>
          <w:tcPr>
            <w:tcW w:w="99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111</w:t>
            </w:r>
          </w:p>
        </w:tc>
        <w:tc>
          <w:tcPr>
            <w:tcW w:w="992"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74</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61</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58</w:t>
            </w:r>
          </w:p>
        </w:tc>
        <w:tc>
          <w:tcPr>
            <w:tcW w:w="105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143</w:t>
            </w:r>
          </w:p>
        </w:tc>
        <w:tc>
          <w:tcPr>
            <w:tcW w:w="98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447</w:t>
            </w:r>
          </w:p>
        </w:tc>
      </w:tr>
      <w:tr w:rsidR="00FB5C12" w:rsidRPr="005C100D" w:rsidTr="000424BD">
        <w:trPr>
          <w:trHeight w:val="213"/>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2010</w:t>
            </w:r>
          </w:p>
        </w:tc>
        <w:tc>
          <w:tcPr>
            <w:tcW w:w="99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130</w:t>
            </w:r>
          </w:p>
        </w:tc>
        <w:tc>
          <w:tcPr>
            <w:tcW w:w="992"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79</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86</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86</w:t>
            </w:r>
          </w:p>
        </w:tc>
        <w:tc>
          <w:tcPr>
            <w:tcW w:w="105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178</w:t>
            </w:r>
          </w:p>
        </w:tc>
        <w:tc>
          <w:tcPr>
            <w:tcW w:w="98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559</w:t>
            </w:r>
          </w:p>
        </w:tc>
      </w:tr>
      <w:tr w:rsidR="00FB5C12" w:rsidRPr="005C100D" w:rsidTr="000424BD">
        <w:trPr>
          <w:trHeight w:val="158"/>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2009</w:t>
            </w:r>
          </w:p>
        </w:tc>
        <w:tc>
          <w:tcPr>
            <w:tcW w:w="99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116</w:t>
            </w:r>
          </w:p>
        </w:tc>
        <w:tc>
          <w:tcPr>
            <w:tcW w:w="992"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69</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65</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55</w:t>
            </w:r>
          </w:p>
        </w:tc>
        <w:tc>
          <w:tcPr>
            <w:tcW w:w="105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179</w:t>
            </w:r>
          </w:p>
        </w:tc>
        <w:tc>
          <w:tcPr>
            <w:tcW w:w="98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484</w:t>
            </w:r>
          </w:p>
        </w:tc>
      </w:tr>
      <w:tr w:rsidR="00FB5C12" w:rsidRPr="005C100D" w:rsidTr="000424BD">
        <w:trPr>
          <w:trHeight w:val="245"/>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2008</w:t>
            </w:r>
          </w:p>
        </w:tc>
        <w:tc>
          <w:tcPr>
            <w:tcW w:w="99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106</w:t>
            </w:r>
          </w:p>
        </w:tc>
        <w:tc>
          <w:tcPr>
            <w:tcW w:w="992"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65</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72</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53</w:t>
            </w:r>
          </w:p>
        </w:tc>
        <w:tc>
          <w:tcPr>
            <w:tcW w:w="105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143</w:t>
            </w:r>
          </w:p>
        </w:tc>
        <w:tc>
          <w:tcPr>
            <w:tcW w:w="98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439</w:t>
            </w:r>
          </w:p>
        </w:tc>
      </w:tr>
      <w:tr w:rsidR="00FB5C12" w:rsidRPr="005C100D" w:rsidTr="000424BD">
        <w:trPr>
          <w:trHeight w:val="178"/>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2007</w:t>
            </w:r>
          </w:p>
        </w:tc>
        <w:tc>
          <w:tcPr>
            <w:tcW w:w="99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71</w:t>
            </w:r>
          </w:p>
        </w:tc>
        <w:tc>
          <w:tcPr>
            <w:tcW w:w="992"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50</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78</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51</w:t>
            </w:r>
          </w:p>
        </w:tc>
        <w:tc>
          <w:tcPr>
            <w:tcW w:w="105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140</w:t>
            </w:r>
          </w:p>
        </w:tc>
        <w:tc>
          <w:tcPr>
            <w:tcW w:w="98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390</w:t>
            </w:r>
          </w:p>
        </w:tc>
      </w:tr>
      <w:tr w:rsidR="00FB5C12" w:rsidRPr="005C100D" w:rsidTr="000424BD">
        <w:trPr>
          <w:trHeight w:val="221"/>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2006</w:t>
            </w:r>
          </w:p>
        </w:tc>
        <w:tc>
          <w:tcPr>
            <w:tcW w:w="99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57</w:t>
            </w:r>
          </w:p>
        </w:tc>
        <w:tc>
          <w:tcPr>
            <w:tcW w:w="992"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54</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43</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46</w:t>
            </w:r>
          </w:p>
        </w:tc>
        <w:tc>
          <w:tcPr>
            <w:tcW w:w="105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177</w:t>
            </w:r>
          </w:p>
        </w:tc>
        <w:tc>
          <w:tcPr>
            <w:tcW w:w="98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377</w:t>
            </w:r>
          </w:p>
        </w:tc>
      </w:tr>
      <w:tr w:rsidR="00FB5C12" w:rsidRPr="005C100D" w:rsidTr="000424BD">
        <w:trPr>
          <w:trHeight w:val="229"/>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2005</w:t>
            </w:r>
          </w:p>
        </w:tc>
        <w:tc>
          <w:tcPr>
            <w:tcW w:w="99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59</w:t>
            </w:r>
          </w:p>
        </w:tc>
        <w:tc>
          <w:tcPr>
            <w:tcW w:w="992"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39</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52</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62</w:t>
            </w:r>
          </w:p>
        </w:tc>
        <w:tc>
          <w:tcPr>
            <w:tcW w:w="105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180</w:t>
            </w:r>
          </w:p>
        </w:tc>
        <w:tc>
          <w:tcPr>
            <w:tcW w:w="98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392</w:t>
            </w:r>
          </w:p>
        </w:tc>
      </w:tr>
      <w:tr w:rsidR="00FB5C12" w:rsidRPr="005C100D" w:rsidTr="000424BD">
        <w:trPr>
          <w:trHeight w:val="283"/>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2004</w:t>
            </w:r>
          </w:p>
        </w:tc>
        <w:tc>
          <w:tcPr>
            <w:tcW w:w="99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67</w:t>
            </w:r>
          </w:p>
        </w:tc>
        <w:tc>
          <w:tcPr>
            <w:tcW w:w="992"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54</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47</w:t>
            </w:r>
          </w:p>
        </w:tc>
        <w:tc>
          <w:tcPr>
            <w:tcW w:w="113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58</w:t>
            </w:r>
          </w:p>
        </w:tc>
        <w:tc>
          <w:tcPr>
            <w:tcW w:w="105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156</w:t>
            </w:r>
          </w:p>
        </w:tc>
        <w:tc>
          <w:tcPr>
            <w:tcW w:w="984"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382</w:t>
            </w:r>
          </w:p>
        </w:tc>
      </w:tr>
    </w:tbl>
    <w:p w:rsidR="00FB5C12" w:rsidRPr="005C100D" w:rsidRDefault="00FB5C12" w:rsidP="005C100D">
      <w:pPr>
        <w:jc w:val="both"/>
        <w:rPr>
          <w:rFonts w:cstheme="majorBidi"/>
          <w:bCs/>
          <w:sz w:val="24"/>
          <w:szCs w:val="24"/>
          <w:lang w:val="en-GB"/>
        </w:rPr>
      </w:pPr>
    </w:p>
    <w:p w:rsidR="00FB5C12" w:rsidRPr="005C100D" w:rsidRDefault="00FB5C12" w:rsidP="005C100D">
      <w:pPr>
        <w:jc w:val="both"/>
        <w:rPr>
          <w:rFonts w:cstheme="majorBidi"/>
          <w:bCs/>
          <w:sz w:val="24"/>
          <w:szCs w:val="24"/>
          <w:lang w:val="en-GB"/>
        </w:rPr>
      </w:pPr>
      <w:r w:rsidRPr="005C100D">
        <w:rPr>
          <w:rFonts w:cstheme="majorBidi"/>
          <w:bCs/>
          <w:sz w:val="24"/>
          <w:szCs w:val="24"/>
          <w:lang w:val="en-GB"/>
        </w:rPr>
        <w:t>Table from the Prison and Probation Service:</w:t>
      </w:r>
      <w:r w:rsidRPr="005C100D">
        <w:rPr>
          <w:rStyle w:val="FootnoteReference"/>
          <w:rFonts w:cstheme="majorBidi"/>
          <w:bCs/>
          <w:sz w:val="24"/>
          <w:szCs w:val="24"/>
          <w:lang w:val="en-GB"/>
        </w:rPr>
        <w:footnoteReference w:id="93"/>
      </w:r>
      <w:r w:rsidRPr="005C100D">
        <w:rPr>
          <w:rFonts w:cstheme="majorBidi"/>
          <w:bCs/>
          <w:sz w:val="24"/>
          <w:szCs w:val="24"/>
          <w:lang w:val="en-GB"/>
        </w:rPr>
        <w:t xml:space="preserve"> Voluntary exclusion from association. Closed prisons and gaols. Degree of exclusion </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6"/>
        <w:gridCol w:w="2128"/>
        <w:gridCol w:w="2126"/>
        <w:gridCol w:w="1985"/>
      </w:tblGrid>
      <w:tr w:rsidR="00FB5C12" w:rsidRPr="005C100D" w:rsidTr="000424BD">
        <w:trPr>
          <w:trHeight w:val="213"/>
        </w:trPr>
        <w:tc>
          <w:tcPr>
            <w:tcW w:w="2256" w:type="dxa"/>
          </w:tcPr>
          <w:p w:rsidR="00FB5C12" w:rsidRPr="005C100D" w:rsidRDefault="00FB5C12" w:rsidP="005C100D">
            <w:pPr>
              <w:spacing w:after="0"/>
              <w:jc w:val="both"/>
              <w:rPr>
                <w:rFonts w:cstheme="majorBidi"/>
                <w:b/>
                <w:bCs/>
                <w:sz w:val="24"/>
                <w:szCs w:val="24"/>
                <w:lang w:val="en-GB"/>
              </w:rPr>
            </w:pPr>
          </w:p>
        </w:tc>
        <w:tc>
          <w:tcPr>
            <w:tcW w:w="6239" w:type="dxa"/>
            <w:gridSpan w:val="3"/>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Degree of exclusion</w:t>
            </w:r>
          </w:p>
        </w:tc>
      </w:tr>
      <w:tr w:rsidR="00FB5C12" w:rsidRPr="005C100D" w:rsidTr="000424BD">
        <w:trPr>
          <w:trHeight w:val="186"/>
        </w:trPr>
        <w:tc>
          <w:tcPr>
            <w:tcW w:w="2256" w:type="dxa"/>
          </w:tcPr>
          <w:p w:rsidR="00FB5C12" w:rsidRPr="005C100D" w:rsidRDefault="00FB5C12" w:rsidP="005C100D">
            <w:pPr>
              <w:spacing w:after="0"/>
              <w:jc w:val="both"/>
              <w:rPr>
                <w:rFonts w:cstheme="majorBidi"/>
                <w:b/>
                <w:bCs/>
                <w:sz w:val="24"/>
                <w:szCs w:val="24"/>
                <w:lang w:val="en-GB"/>
              </w:rPr>
            </w:pPr>
          </w:p>
        </w:tc>
        <w:tc>
          <w:tcPr>
            <w:tcW w:w="2128"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With access to contact with other detainees</w:t>
            </w:r>
          </w:p>
        </w:tc>
        <w:tc>
          <w:tcPr>
            <w:tcW w:w="2126" w:type="dxa"/>
          </w:tcPr>
          <w:p w:rsidR="00FB5C12" w:rsidRPr="005C100D" w:rsidRDefault="00FB5C12" w:rsidP="005C100D">
            <w:pPr>
              <w:spacing w:after="0" w:line="240" w:lineRule="auto"/>
              <w:jc w:val="both"/>
              <w:rPr>
                <w:rFonts w:cstheme="majorBidi"/>
                <w:b/>
                <w:bCs/>
                <w:sz w:val="24"/>
                <w:szCs w:val="24"/>
                <w:lang w:val="en-GB"/>
              </w:rPr>
            </w:pPr>
            <w:r w:rsidRPr="005C100D">
              <w:rPr>
                <w:rFonts w:cstheme="majorBidi"/>
                <w:b/>
                <w:bCs/>
                <w:sz w:val="24"/>
                <w:szCs w:val="24"/>
                <w:lang w:val="en-GB"/>
              </w:rPr>
              <w:t>Without access to contact with other detainees</w:t>
            </w:r>
          </w:p>
        </w:tc>
        <w:tc>
          <w:tcPr>
            <w:tcW w:w="1985"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Total</w:t>
            </w:r>
          </w:p>
        </w:tc>
      </w:tr>
      <w:tr w:rsidR="00FB5C12" w:rsidRPr="005C100D" w:rsidTr="000424BD">
        <w:trPr>
          <w:trHeight w:val="113"/>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Closed prisons</w:t>
            </w:r>
          </w:p>
        </w:tc>
        <w:tc>
          <w:tcPr>
            <w:tcW w:w="2128" w:type="dxa"/>
          </w:tcPr>
          <w:p w:rsidR="00FB5C12" w:rsidRPr="005C100D" w:rsidRDefault="00FB5C12" w:rsidP="005C100D">
            <w:pPr>
              <w:spacing w:after="0"/>
              <w:jc w:val="both"/>
              <w:rPr>
                <w:rFonts w:cstheme="majorBidi"/>
                <w:b/>
                <w:bCs/>
                <w:sz w:val="24"/>
                <w:szCs w:val="24"/>
                <w:lang w:val="en-GB"/>
              </w:rPr>
            </w:pPr>
            <w:r w:rsidRPr="005C100D">
              <w:rPr>
                <w:sz w:val="24"/>
                <w:szCs w:val="24"/>
                <w:lang w:val="en-GB"/>
              </w:rPr>
              <w:t>220</w:t>
            </w:r>
          </w:p>
        </w:tc>
        <w:tc>
          <w:tcPr>
            <w:tcW w:w="2126" w:type="dxa"/>
          </w:tcPr>
          <w:p w:rsidR="00FB5C12" w:rsidRPr="005C100D" w:rsidRDefault="00FB5C12" w:rsidP="005C100D">
            <w:pPr>
              <w:spacing w:after="0"/>
              <w:jc w:val="both"/>
              <w:rPr>
                <w:rFonts w:cstheme="majorBidi"/>
                <w:b/>
                <w:bCs/>
                <w:sz w:val="24"/>
                <w:szCs w:val="24"/>
                <w:lang w:val="en-GB"/>
              </w:rPr>
            </w:pPr>
            <w:r w:rsidRPr="005C100D">
              <w:rPr>
                <w:sz w:val="24"/>
                <w:szCs w:val="24"/>
                <w:lang w:val="en-GB"/>
              </w:rPr>
              <w:t>81</w:t>
            </w:r>
          </w:p>
        </w:tc>
        <w:tc>
          <w:tcPr>
            <w:tcW w:w="1985" w:type="dxa"/>
          </w:tcPr>
          <w:p w:rsidR="00FB5C12" w:rsidRPr="005C100D" w:rsidRDefault="00FB5C12" w:rsidP="005C100D">
            <w:pPr>
              <w:spacing w:after="0"/>
              <w:jc w:val="both"/>
              <w:rPr>
                <w:rFonts w:cstheme="majorBidi"/>
                <w:b/>
                <w:bCs/>
                <w:sz w:val="24"/>
                <w:szCs w:val="24"/>
                <w:lang w:val="en-GB"/>
              </w:rPr>
            </w:pPr>
            <w:r w:rsidRPr="005C100D">
              <w:rPr>
                <w:sz w:val="24"/>
                <w:szCs w:val="24"/>
                <w:lang w:val="en-GB"/>
              </w:rPr>
              <w:t>301</w:t>
            </w:r>
          </w:p>
        </w:tc>
      </w:tr>
      <w:tr w:rsidR="00FB5C12" w:rsidRPr="005C100D" w:rsidTr="000424BD">
        <w:trPr>
          <w:trHeight w:val="166"/>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The prisons of Copenhagen and gaols</w:t>
            </w:r>
          </w:p>
        </w:tc>
        <w:tc>
          <w:tcPr>
            <w:tcW w:w="212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76</w:t>
            </w:r>
          </w:p>
        </w:tc>
        <w:tc>
          <w:tcPr>
            <w:tcW w:w="2126"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56</w:t>
            </w:r>
          </w:p>
        </w:tc>
        <w:tc>
          <w:tcPr>
            <w:tcW w:w="1985"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132</w:t>
            </w:r>
          </w:p>
        </w:tc>
      </w:tr>
      <w:tr w:rsidR="00FB5C12" w:rsidRPr="005C100D" w:rsidTr="000424BD">
        <w:trPr>
          <w:trHeight w:val="194"/>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2013</w:t>
            </w:r>
          </w:p>
        </w:tc>
        <w:tc>
          <w:tcPr>
            <w:tcW w:w="212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296</w:t>
            </w:r>
          </w:p>
        </w:tc>
        <w:tc>
          <w:tcPr>
            <w:tcW w:w="2126"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137</w:t>
            </w:r>
          </w:p>
        </w:tc>
        <w:tc>
          <w:tcPr>
            <w:tcW w:w="1985"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433</w:t>
            </w:r>
          </w:p>
        </w:tc>
      </w:tr>
      <w:tr w:rsidR="00FB5C12" w:rsidRPr="005C100D" w:rsidTr="000424BD">
        <w:trPr>
          <w:trHeight w:val="206"/>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2012</w:t>
            </w:r>
          </w:p>
        </w:tc>
        <w:tc>
          <w:tcPr>
            <w:tcW w:w="212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260</w:t>
            </w:r>
          </w:p>
        </w:tc>
        <w:tc>
          <w:tcPr>
            <w:tcW w:w="2126"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143</w:t>
            </w:r>
          </w:p>
        </w:tc>
        <w:tc>
          <w:tcPr>
            <w:tcW w:w="1985"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403</w:t>
            </w:r>
          </w:p>
        </w:tc>
      </w:tr>
      <w:tr w:rsidR="00FB5C12" w:rsidRPr="005C100D" w:rsidTr="000424BD">
        <w:trPr>
          <w:trHeight w:val="190"/>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2011</w:t>
            </w:r>
          </w:p>
        </w:tc>
        <w:tc>
          <w:tcPr>
            <w:tcW w:w="212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276</w:t>
            </w:r>
          </w:p>
        </w:tc>
        <w:tc>
          <w:tcPr>
            <w:tcW w:w="2126"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171</w:t>
            </w:r>
          </w:p>
        </w:tc>
        <w:tc>
          <w:tcPr>
            <w:tcW w:w="1985"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447</w:t>
            </w:r>
          </w:p>
        </w:tc>
      </w:tr>
      <w:tr w:rsidR="00FB5C12" w:rsidRPr="005C100D" w:rsidTr="000424BD">
        <w:trPr>
          <w:trHeight w:val="213"/>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lastRenderedPageBreak/>
              <w:t>2010</w:t>
            </w:r>
          </w:p>
        </w:tc>
        <w:tc>
          <w:tcPr>
            <w:tcW w:w="212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353</w:t>
            </w:r>
          </w:p>
        </w:tc>
        <w:tc>
          <w:tcPr>
            <w:tcW w:w="2126"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206</w:t>
            </w:r>
          </w:p>
        </w:tc>
        <w:tc>
          <w:tcPr>
            <w:tcW w:w="1985"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559</w:t>
            </w:r>
          </w:p>
        </w:tc>
      </w:tr>
      <w:tr w:rsidR="00FB5C12" w:rsidRPr="005C100D" w:rsidTr="000424BD">
        <w:trPr>
          <w:trHeight w:val="158"/>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2009</w:t>
            </w:r>
          </w:p>
        </w:tc>
        <w:tc>
          <w:tcPr>
            <w:tcW w:w="212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312</w:t>
            </w:r>
          </w:p>
        </w:tc>
        <w:tc>
          <w:tcPr>
            <w:tcW w:w="2126"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172</w:t>
            </w:r>
          </w:p>
        </w:tc>
        <w:tc>
          <w:tcPr>
            <w:tcW w:w="1985"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484</w:t>
            </w:r>
          </w:p>
        </w:tc>
      </w:tr>
      <w:tr w:rsidR="00FB5C12" w:rsidRPr="005C100D" w:rsidTr="000424BD">
        <w:trPr>
          <w:trHeight w:val="245"/>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2008</w:t>
            </w:r>
          </w:p>
        </w:tc>
        <w:tc>
          <w:tcPr>
            <w:tcW w:w="212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259</w:t>
            </w:r>
          </w:p>
        </w:tc>
        <w:tc>
          <w:tcPr>
            <w:tcW w:w="2126"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180</w:t>
            </w:r>
          </w:p>
        </w:tc>
        <w:tc>
          <w:tcPr>
            <w:tcW w:w="1985"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439</w:t>
            </w:r>
          </w:p>
        </w:tc>
      </w:tr>
      <w:tr w:rsidR="00FB5C12" w:rsidRPr="005C100D" w:rsidTr="000424BD">
        <w:trPr>
          <w:trHeight w:val="178"/>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2007</w:t>
            </w:r>
          </w:p>
        </w:tc>
        <w:tc>
          <w:tcPr>
            <w:tcW w:w="212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259</w:t>
            </w:r>
          </w:p>
        </w:tc>
        <w:tc>
          <w:tcPr>
            <w:tcW w:w="2126"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131</w:t>
            </w:r>
          </w:p>
        </w:tc>
        <w:tc>
          <w:tcPr>
            <w:tcW w:w="1985"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390</w:t>
            </w:r>
          </w:p>
        </w:tc>
      </w:tr>
      <w:tr w:rsidR="00FB5C12" w:rsidRPr="005C100D" w:rsidTr="000424BD">
        <w:trPr>
          <w:trHeight w:val="221"/>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2006</w:t>
            </w:r>
          </w:p>
        </w:tc>
        <w:tc>
          <w:tcPr>
            <w:tcW w:w="212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272</w:t>
            </w:r>
          </w:p>
        </w:tc>
        <w:tc>
          <w:tcPr>
            <w:tcW w:w="2126"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105</w:t>
            </w:r>
          </w:p>
        </w:tc>
        <w:tc>
          <w:tcPr>
            <w:tcW w:w="1985"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377</w:t>
            </w:r>
          </w:p>
        </w:tc>
      </w:tr>
      <w:tr w:rsidR="00FB5C12" w:rsidRPr="005C100D" w:rsidTr="000424BD">
        <w:trPr>
          <w:trHeight w:val="229"/>
        </w:trPr>
        <w:tc>
          <w:tcPr>
            <w:tcW w:w="2256" w:type="dxa"/>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2005</w:t>
            </w:r>
          </w:p>
        </w:tc>
        <w:tc>
          <w:tcPr>
            <w:tcW w:w="2128"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246</w:t>
            </w:r>
          </w:p>
        </w:tc>
        <w:tc>
          <w:tcPr>
            <w:tcW w:w="2126"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146</w:t>
            </w:r>
          </w:p>
        </w:tc>
        <w:tc>
          <w:tcPr>
            <w:tcW w:w="1985" w:type="dxa"/>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392</w:t>
            </w:r>
          </w:p>
        </w:tc>
      </w:tr>
      <w:tr w:rsidR="00FB5C12" w:rsidRPr="005C100D" w:rsidTr="000424BD">
        <w:trPr>
          <w:trHeight w:val="283"/>
        </w:trPr>
        <w:tc>
          <w:tcPr>
            <w:tcW w:w="2256" w:type="dxa"/>
            <w:tcBorders>
              <w:bottom w:val="single" w:sz="4" w:space="0" w:color="auto"/>
            </w:tcBorders>
          </w:tcPr>
          <w:p w:rsidR="00FB5C12" w:rsidRPr="005C100D" w:rsidRDefault="00FB5C12" w:rsidP="005C100D">
            <w:pPr>
              <w:spacing w:after="0"/>
              <w:jc w:val="both"/>
              <w:rPr>
                <w:rFonts w:cstheme="majorBidi"/>
                <w:b/>
                <w:bCs/>
                <w:sz w:val="24"/>
                <w:szCs w:val="24"/>
                <w:lang w:val="en-GB"/>
              </w:rPr>
            </w:pPr>
            <w:r w:rsidRPr="005C100D">
              <w:rPr>
                <w:rFonts w:cstheme="majorBidi"/>
                <w:b/>
                <w:bCs/>
                <w:sz w:val="24"/>
                <w:szCs w:val="24"/>
                <w:lang w:val="en-GB"/>
              </w:rPr>
              <w:t>2004</w:t>
            </w:r>
          </w:p>
        </w:tc>
        <w:tc>
          <w:tcPr>
            <w:tcW w:w="2128" w:type="dxa"/>
            <w:tcBorders>
              <w:bottom w:val="single" w:sz="4" w:space="0" w:color="auto"/>
            </w:tcBorders>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184</w:t>
            </w:r>
          </w:p>
        </w:tc>
        <w:tc>
          <w:tcPr>
            <w:tcW w:w="2126" w:type="dxa"/>
            <w:tcBorders>
              <w:bottom w:val="single" w:sz="4" w:space="0" w:color="auto"/>
            </w:tcBorders>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198</w:t>
            </w:r>
          </w:p>
        </w:tc>
        <w:tc>
          <w:tcPr>
            <w:tcW w:w="1985" w:type="dxa"/>
            <w:tcBorders>
              <w:bottom w:val="single" w:sz="4" w:space="0" w:color="auto"/>
            </w:tcBorders>
          </w:tcPr>
          <w:p w:rsidR="00FB5C12" w:rsidRPr="005C100D" w:rsidRDefault="00FB5C12" w:rsidP="005C100D">
            <w:pPr>
              <w:spacing w:after="0"/>
              <w:jc w:val="both"/>
              <w:rPr>
                <w:rFonts w:cstheme="majorBidi"/>
                <w:bCs/>
                <w:sz w:val="24"/>
                <w:szCs w:val="24"/>
                <w:lang w:val="en-GB"/>
              </w:rPr>
            </w:pPr>
            <w:r w:rsidRPr="005C100D">
              <w:rPr>
                <w:rFonts w:cstheme="majorBidi"/>
                <w:bCs/>
                <w:sz w:val="24"/>
                <w:szCs w:val="24"/>
                <w:lang w:val="en-GB"/>
              </w:rPr>
              <w:t>382</w:t>
            </w:r>
          </w:p>
        </w:tc>
      </w:tr>
    </w:tbl>
    <w:p w:rsidR="00FB5C12" w:rsidRPr="005C100D" w:rsidRDefault="00FB5C12" w:rsidP="005C100D">
      <w:pPr>
        <w:spacing w:after="0"/>
        <w:jc w:val="both"/>
        <w:rPr>
          <w:rFonts w:cstheme="majorBidi"/>
          <w:b/>
          <w:bCs/>
          <w:sz w:val="24"/>
          <w:szCs w:val="24"/>
          <w:lang w:val="en-GB"/>
        </w:rPr>
      </w:pPr>
    </w:p>
    <w:p w:rsidR="00FB5C12" w:rsidRPr="005C100D" w:rsidRDefault="00FB5C12" w:rsidP="005C100D">
      <w:pPr>
        <w:spacing w:after="120"/>
        <w:jc w:val="both"/>
        <w:rPr>
          <w:rFonts w:cstheme="majorBidi"/>
          <w:bCs/>
          <w:i/>
          <w:sz w:val="24"/>
          <w:szCs w:val="24"/>
          <w:lang w:val="en-GB"/>
        </w:rPr>
      </w:pPr>
      <w:r w:rsidRPr="005C100D">
        <w:rPr>
          <w:rFonts w:cstheme="majorBidi"/>
          <w:bCs/>
          <w:i/>
          <w:sz w:val="24"/>
          <w:szCs w:val="24"/>
          <w:lang w:val="en-GB"/>
        </w:rPr>
        <w:t>Isolation in protection cell (</w:t>
      </w:r>
      <w:proofErr w:type="spellStart"/>
      <w:r w:rsidRPr="005C100D">
        <w:rPr>
          <w:rFonts w:cstheme="majorBidi"/>
          <w:bCs/>
          <w:i/>
          <w:sz w:val="24"/>
          <w:szCs w:val="24"/>
          <w:lang w:val="en-GB"/>
        </w:rPr>
        <w:t>sikringscelle</w:t>
      </w:r>
      <w:proofErr w:type="spellEnd"/>
      <w:r w:rsidRPr="005C100D">
        <w:rPr>
          <w:rFonts w:cstheme="majorBidi"/>
          <w:bCs/>
          <w:i/>
          <w:sz w:val="24"/>
          <w:szCs w:val="24"/>
          <w:lang w:val="en-GB"/>
        </w:rPr>
        <w:t xml:space="preserve">), possibly under forced physical restraint </w:t>
      </w:r>
    </w:p>
    <w:p w:rsidR="00FB5C12" w:rsidRPr="005C100D" w:rsidRDefault="00FB5C12" w:rsidP="005C100D">
      <w:pPr>
        <w:jc w:val="both"/>
        <w:rPr>
          <w:rFonts w:cstheme="majorBidi"/>
          <w:b/>
          <w:bCs/>
          <w:sz w:val="24"/>
          <w:szCs w:val="24"/>
          <w:lang w:val="en-GB"/>
        </w:rPr>
      </w:pPr>
      <w:r w:rsidRPr="005C100D">
        <w:rPr>
          <w:rFonts w:cstheme="majorBidi"/>
          <w:sz w:val="24"/>
          <w:szCs w:val="24"/>
          <w:lang w:val="en-GB"/>
        </w:rPr>
        <w:t xml:space="preserve">This measure is used when an inmate poses a danger to himself (to prevent suicide or other self-harm) or to others (to prevent/overcome violent resistance). </w:t>
      </w:r>
    </w:p>
    <w:p w:rsidR="00FB5C12" w:rsidRPr="005C100D" w:rsidRDefault="00FB5C12" w:rsidP="005C100D">
      <w:pPr>
        <w:jc w:val="both"/>
        <w:rPr>
          <w:rFonts w:cstheme="majorBidi"/>
          <w:sz w:val="24"/>
          <w:szCs w:val="24"/>
          <w:lang w:val="en-GB"/>
        </w:rPr>
      </w:pPr>
      <w:r w:rsidRPr="005C100D">
        <w:rPr>
          <w:rFonts w:cstheme="majorBidi"/>
          <w:sz w:val="24"/>
          <w:szCs w:val="24"/>
          <w:lang w:val="en-GB"/>
        </w:rPr>
        <w:t>Isolation and the additional possibility of forced physical restraint (fixation), does not have any upper time limit. However, the prison is obliged to report instances of isolation to the Prison and Probation Service, if they extend beyond 24 hours in the case of children aged 14-17 years and beyond 3 days for adults</w:t>
      </w:r>
      <w:r w:rsidRPr="005C100D">
        <w:rPr>
          <w:rFonts w:cstheme="majorBidi"/>
          <w:sz w:val="24"/>
          <w:szCs w:val="24"/>
          <w:shd w:val="clear" w:color="auto" w:fill="FFFFFF"/>
          <w:lang w:val="en-GB"/>
        </w:rPr>
        <w:t>.</w:t>
      </w:r>
      <w:r w:rsidRPr="005C100D">
        <w:rPr>
          <w:rStyle w:val="FootnoteReference"/>
          <w:rFonts w:cstheme="majorBidi"/>
          <w:sz w:val="24"/>
          <w:szCs w:val="24"/>
          <w:shd w:val="clear" w:color="auto" w:fill="FFFFFF"/>
          <w:lang w:val="en-GB"/>
        </w:rPr>
        <w:footnoteReference w:id="94"/>
      </w:r>
      <w:r w:rsidRPr="005C100D">
        <w:rPr>
          <w:rFonts w:cstheme="majorBidi"/>
          <w:sz w:val="24"/>
          <w:szCs w:val="24"/>
          <w:shd w:val="clear" w:color="auto" w:fill="FFFFFF"/>
          <w:lang w:val="en-GB"/>
        </w:rPr>
        <w:t xml:space="preserve"> </w:t>
      </w:r>
      <w:r w:rsidRPr="005C100D">
        <w:rPr>
          <w:rFonts w:cstheme="majorBidi"/>
          <w:sz w:val="24"/>
          <w:szCs w:val="24"/>
          <w:lang w:val="en-GB"/>
        </w:rPr>
        <w:t xml:space="preserve"> </w:t>
      </w:r>
    </w:p>
    <w:p w:rsidR="00FB5C12" w:rsidRPr="005C100D" w:rsidRDefault="00FB5C12" w:rsidP="005C100D">
      <w:pPr>
        <w:jc w:val="both"/>
        <w:rPr>
          <w:sz w:val="24"/>
          <w:szCs w:val="24"/>
          <w:lang w:val="en-GB"/>
        </w:rPr>
      </w:pPr>
      <w:r w:rsidRPr="005C100D">
        <w:rPr>
          <w:rFonts w:cstheme="majorBidi"/>
          <w:sz w:val="24"/>
          <w:szCs w:val="24"/>
          <w:lang w:val="en-GB"/>
        </w:rPr>
        <w:t xml:space="preserve">As the table below shows, there has been an increase in the total number of isolations under this provision, in the period from 2004 - 2013. </w:t>
      </w:r>
    </w:p>
    <w:p w:rsidR="00FB5C12" w:rsidRPr="005C100D" w:rsidRDefault="00FB5C12" w:rsidP="005C100D">
      <w:pPr>
        <w:spacing w:after="0" w:line="240" w:lineRule="auto"/>
        <w:jc w:val="both"/>
        <w:rPr>
          <w:rFonts w:cstheme="majorBidi"/>
          <w:sz w:val="24"/>
          <w:szCs w:val="24"/>
          <w:lang w:val="en-GB"/>
        </w:rPr>
      </w:pPr>
      <w:r w:rsidRPr="005C100D">
        <w:rPr>
          <w:rFonts w:cstheme="majorBidi"/>
          <w:bCs/>
          <w:sz w:val="24"/>
          <w:szCs w:val="24"/>
          <w:lang w:val="en-GB"/>
        </w:rPr>
        <w:t xml:space="preserve">Table from the </w:t>
      </w:r>
      <w:r w:rsidRPr="005C100D">
        <w:rPr>
          <w:rFonts w:cstheme="majorBidi"/>
          <w:bCs/>
          <w:sz w:val="24"/>
          <w:szCs w:val="24"/>
          <w:shd w:val="clear" w:color="auto" w:fill="FFFFFF"/>
          <w:lang w:val="en-GB"/>
        </w:rPr>
        <w:t>Prison and Probation Service:</w:t>
      </w:r>
      <w:r w:rsidRPr="005C100D">
        <w:rPr>
          <w:rStyle w:val="FootnoteReference"/>
          <w:rFonts w:cstheme="majorBidi"/>
          <w:bCs/>
          <w:sz w:val="24"/>
          <w:szCs w:val="24"/>
          <w:shd w:val="clear" w:color="auto" w:fill="FFFFFF"/>
          <w:lang w:val="en-GB"/>
        </w:rPr>
        <w:footnoteReference w:id="95"/>
      </w:r>
      <w:r w:rsidRPr="005C100D">
        <w:rPr>
          <w:rFonts w:cstheme="majorBidi"/>
          <w:sz w:val="24"/>
          <w:szCs w:val="24"/>
          <w:shd w:val="clear" w:color="auto" w:fill="FFFFFF"/>
          <w:lang w:val="en-GB"/>
        </w:rPr>
        <w:t xml:space="preserve"> </w:t>
      </w:r>
      <w:r w:rsidRPr="005C100D">
        <w:rPr>
          <w:rFonts w:cstheme="majorBidi"/>
          <w:bCs/>
          <w:sz w:val="24"/>
          <w:szCs w:val="24"/>
          <w:lang w:val="en-GB"/>
        </w:rPr>
        <w:t>Isolation in protection cell. Number and duration</w:t>
      </w:r>
    </w:p>
    <w:tbl>
      <w:tblPr>
        <w:tblStyle w:val="TableGrid"/>
        <w:tblpPr w:leftFromText="141" w:rightFromText="141" w:vertAnchor="text" w:horzAnchor="margin" w:tblpY="603"/>
        <w:tblW w:w="9312" w:type="dxa"/>
        <w:tblLook w:val="04A0" w:firstRow="1" w:lastRow="0" w:firstColumn="1" w:lastColumn="0" w:noHBand="0" w:noVBand="1"/>
      </w:tblPr>
      <w:tblGrid>
        <w:gridCol w:w="1462"/>
        <w:gridCol w:w="1121"/>
        <w:gridCol w:w="1122"/>
        <w:gridCol w:w="1122"/>
        <w:gridCol w:w="1115"/>
        <w:gridCol w:w="1120"/>
        <w:gridCol w:w="1118"/>
        <w:gridCol w:w="1132"/>
      </w:tblGrid>
      <w:tr w:rsidR="00FB5C12" w:rsidRPr="005C100D" w:rsidTr="000424BD">
        <w:trPr>
          <w:trHeight w:val="602"/>
        </w:trPr>
        <w:tc>
          <w:tcPr>
            <w:tcW w:w="1398" w:type="dxa"/>
          </w:tcPr>
          <w:p w:rsidR="00FB5C12" w:rsidRPr="005C100D" w:rsidRDefault="00FB5C12" w:rsidP="005C100D">
            <w:pPr>
              <w:jc w:val="both"/>
              <w:rPr>
                <w:rFonts w:cstheme="majorBidi"/>
                <w:sz w:val="24"/>
                <w:szCs w:val="24"/>
                <w:lang w:val="en-GB"/>
              </w:rPr>
            </w:pPr>
          </w:p>
        </w:tc>
        <w:tc>
          <w:tcPr>
            <w:tcW w:w="1130"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Less than 6 hours</w:t>
            </w:r>
          </w:p>
        </w:tc>
        <w:tc>
          <w:tcPr>
            <w:tcW w:w="1131"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 xml:space="preserve">6 – 12 hours </w:t>
            </w:r>
          </w:p>
        </w:tc>
        <w:tc>
          <w:tcPr>
            <w:tcW w:w="1131"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12 – 24</w:t>
            </w:r>
          </w:p>
          <w:p w:rsidR="00FB5C12" w:rsidRPr="005C100D" w:rsidRDefault="00FB5C12" w:rsidP="005C100D">
            <w:pPr>
              <w:jc w:val="both"/>
              <w:rPr>
                <w:rFonts w:cstheme="majorBidi"/>
                <w:b/>
                <w:sz w:val="24"/>
                <w:szCs w:val="24"/>
                <w:lang w:val="en-GB"/>
              </w:rPr>
            </w:pPr>
            <w:r w:rsidRPr="005C100D">
              <w:rPr>
                <w:rFonts w:cstheme="majorBidi"/>
                <w:b/>
                <w:sz w:val="24"/>
                <w:szCs w:val="24"/>
                <w:lang w:val="en-GB"/>
              </w:rPr>
              <w:t>hours</w:t>
            </w:r>
          </w:p>
        </w:tc>
        <w:tc>
          <w:tcPr>
            <w:tcW w:w="1127"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1 – 3</w:t>
            </w:r>
          </w:p>
          <w:p w:rsidR="00FB5C12" w:rsidRPr="005C100D" w:rsidRDefault="00FB5C12" w:rsidP="005C100D">
            <w:pPr>
              <w:jc w:val="both"/>
              <w:rPr>
                <w:rFonts w:cstheme="majorBidi"/>
                <w:b/>
                <w:sz w:val="24"/>
                <w:szCs w:val="24"/>
                <w:lang w:val="en-GB"/>
              </w:rPr>
            </w:pPr>
            <w:r w:rsidRPr="005C100D">
              <w:rPr>
                <w:rFonts w:cstheme="majorBidi"/>
                <w:b/>
                <w:sz w:val="24"/>
                <w:szCs w:val="24"/>
                <w:lang w:val="en-GB"/>
              </w:rPr>
              <w:t>days</w:t>
            </w:r>
          </w:p>
        </w:tc>
        <w:tc>
          <w:tcPr>
            <w:tcW w:w="1130"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 xml:space="preserve">More than 3 days </w:t>
            </w:r>
          </w:p>
        </w:tc>
        <w:tc>
          <w:tcPr>
            <w:tcW w:w="1129"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Total</w:t>
            </w:r>
          </w:p>
        </w:tc>
        <w:tc>
          <w:tcPr>
            <w:tcW w:w="1136"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 xml:space="preserve">- Here of fixation </w:t>
            </w:r>
          </w:p>
        </w:tc>
      </w:tr>
      <w:tr w:rsidR="00FB5C12" w:rsidRPr="005C100D" w:rsidTr="000424BD">
        <w:trPr>
          <w:trHeight w:val="301"/>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Closed prisons</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45</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9</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9</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83</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63</w:t>
            </w:r>
          </w:p>
        </w:tc>
      </w:tr>
      <w:tr w:rsidR="00FB5C12" w:rsidRPr="005C100D" w:rsidTr="000424BD">
        <w:trPr>
          <w:trHeight w:val="301"/>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Open prisons</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8</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3</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10</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24</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22</w:t>
            </w:r>
          </w:p>
        </w:tc>
      </w:tr>
      <w:tr w:rsidR="00FB5C12" w:rsidRPr="005C100D" w:rsidTr="000424BD">
        <w:trPr>
          <w:trHeight w:val="318"/>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Copenhagen prisons and gaols</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70</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21</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45</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9</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0</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145</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129</w:t>
            </w:r>
          </w:p>
        </w:tc>
      </w:tr>
      <w:tr w:rsidR="00FB5C12" w:rsidRPr="005C100D" w:rsidTr="000424BD">
        <w:trPr>
          <w:trHeight w:val="301"/>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2013</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123</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33</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75</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19</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252</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213</w:t>
            </w:r>
          </w:p>
        </w:tc>
      </w:tr>
      <w:tr w:rsidR="00FB5C12" w:rsidRPr="005C100D" w:rsidTr="000424BD">
        <w:trPr>
          <w:trHeight w:val="301"/>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2012</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113</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47</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64</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14</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239</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204</w:t>
            </w:r>
          </w:p>
        </w:tc>
      </w:tr>
      <w:tr w:rsidR="00FB5C12" w:rsidRPr="005C100D" w:rsidTr="000424BD">
        <w:trPr>
          <w:trHeight w:val="301"/>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2011</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121</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31</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55</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9</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218</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193</w:t>
            </w:r>
          </w:p>
        </w:tc>
      </w:tr>
      <w:tr w:rsidR="00FB5C12" w:rsidRPr="005C100D" w:rsidTr="000424BD">
        <w:trPr>
          <w:trHeight w:val="301"/>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2010</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90</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45</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58</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13</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5</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211</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157</w:t>
            </w:r>
          </w:p>
        </w:tc>
      </w:tr>
      <w:tr w:rsidR="00FB5C12" w:rsidRPr="005C100D" w:rsidTr="000424BD">
        <w:trPr>
          <w:trHeight w:val="301"/>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2009</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97</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42</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43</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13</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197</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179</w:t>
            </w:r>
          </w:p>
        </w:tc>
      </w:tr>
      <w:tr w:rsidR="00FB5C12" w:rsidRPr="005C100D" w:rsidTr="000424BD">
        <w:trPr>
          <w:trHeight w:val="301"/>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2008</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98</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34</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46</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12</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192</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185</w:t>
            </w:r>
          </w:p>
        </w:tc>
      </w:tr>
      <w:tr w:rsidR="00FB5C12" w:rsidRPr="005C100D" w:rsidTr="000424BD">
        <w:trPr>
          <w:trHeight w:val="301"/>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2007</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122</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40</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30</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12</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206</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187</w:t>
            </w:r>
          </w:p>
        </w:tc>
      </w:tr>
      <w:tr w:rsidR="00FB5C12" w:rsidRPr="005C100D" w:rsidTr="000424BD">
        <w:trPr>
          <w:trHeight w:val="301"/>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lastRenderedPageBreak/>
              <w:t>2006</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89</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33</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50</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17</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191</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140</w:t>
            </w:r>
          </w:p>
        </w:tc>
      </w:tr>
      <w:tr w:rsidR="00FB5C12" w:rsidRPr="005C100D" w:rsidTr="000424BD">
        <w:trPr>
          <w:trHeight w:val="301"/>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2005</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105</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39</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60</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18</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4</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226</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177</w:t>
            </w:r>
          </w:p>
        </w:tc>
      </w:tr>
      <w:tr w:rsidR="00FB5C12" w:rsidRPr="005C100D" w:rsidTr="000424BD">
        <w:trPr>
          <w:trHeight w:val="318"/>
        </w:trPr>
        <w:tc>
          <w:tcPr>
            <w:tcW w:w="1398" w:type="dxa"/>
          </w:tcPr>
          <w:p w:rsidR="00FB5C12" w:rsidRPr="005C100D" w:rsidRDefault="00FB5C12" w:rsidP="005C100D">
            <w:pPr>
              <w:jc w:val="both"/>
              <w:rPr>
                <w:rFonts w:cstheme="majorBidi"/>
                <w:b/>
                <w:sz w:val="24"/>
                <w:szCs w:val="24"/>
                <w:lang w:val="en-GB"/>
              </w:rPr>
            </w:pPr>
            <w:r w:rsidRPr="005C100D">
              <w:rPr>
                <w:rFonts w:cstheme="majorBidi"/>
                <w:b/>
                <w:sz w:val="24"/>
                <w:szCs w:val="24"/>
                <w:lang w:val="en-GB"/>
              </w:rPr>
              <w:t>2004</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100</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38</w:t>
            </w:r>
          </w:p>
        </w:tc>
        <w:tc>
          <w:tcPr>
            <w:tcW w:w="1131"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69</w:t>
            </w:r>
          </w:p>
        </w:tc>
        <w:tc>
          <w:tcPr>
            <w:tcW w:w="1127"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16</w:t>
            </w:r>
          </w:p>
        </w:tc>
        <w:tc>
          <w:tcPr>
            <w:tcW w:w="113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w:t>
            </w:r>
          </w:p>
        </w:tc>
        <w:tc>
          <w:tcPr>
            <w:tcW w:w="1129"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224</w:t>
            </w:r>
          </w:p>
        </w:tc>
        <w:tc>
          <w:tcPr>
            <w:tcW w:w="113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156</w:t>
            </w:r>
          </w:p>
        </w:tc>
      </w:tr>
    </w:tbl>
    <w:p w:rsidR="00FB5C12" w:rsidRPr="005C100D" w:rsidRDefault="00FB5C12" w:rsidP="005C100D">
      <w:pPr>
        <w:spacing w:after="0"/>
        <w:jc w:val="both"/>
        <w:rPr>
          <w:rFonts w:cstheme="majorBidi"/>
          <w:b/>
          <w:bCs/>
          <w:sz w:val="24"/>
          <w:szCs w:val="24"/>
          <w:lang w:val="en-GB"/>
        </w:rPr>
      </w:pPr>
    </w:p>
    <w:p w:rsidR="00FB5C12" w:rsidRPr="005C100D" w:rsidRDefault="00FB5C12" w:rsidP="005C100D">
      <w:pPr>
        <w:spacing w:after="0"/>
        <w:jc w:val="both"/>
        <w:rPr>
          <w:rFonts w:cstheme="majorBidi"/>
          <w:sz w:val="24"/>
          <w:szCs w:val="24"/>
          <w:lang w:val="en-US"/>
        </w:rPr>
      </w:pPr>
    </w:p>
    <w:p w:rsidR="00FB5C12" w:rsidRPr="005C100D" w:rsidRDefault="006B7069" w:rsidP="005C100D">
      <w:pPr>
        <w:jc w:val="both"/>
        <w:rPr>
          <w:rFonts w:cstheme="majorBidi"/>
          <w:sz w:val="24"/>
          <w:szCs w:val="24"/>
          <w:lang w:val="en-US"/>
        </w:rPr>
      </w:pPr>
      <w:r>
        <w:rPr>
          <w:rFonts w:cstheme="majorBidi"/>
          <w:sz w:val="24"/>
          <w:szCs w:val="24"/>
          <w:lang w:val="en-US"/>
        </w:rPr>
        <w:t>A</w:t>
      </w:r>
      <w:r w:rsidR="00FB5C12" w:rsidRPr="005C100D">
        <w:rPr>
          <w:rFonts w:cstheme="majorBidi"/>
          <w:sz w:val="24"/>
          <w:szCs w:val="24"/>
          <w:lang w:val="en-US"/>
        </w:rPr>
        <w:t xml:space="preserve"> High Court judgment of 4 June 2014 found that an inmate had been treated inhumanely in breach of article 3 of the European Convention on Human Rights. The inmate had on several occasions been placed in a security cell and fixated to a restraint bed. The High Court found that four of the fixations were wrongful, and that eight of the fixations lasted longer than necessary</w:t>
      </w:r>
      <w:r w:rsidR="00AB729B" w:rsidRPr="005C100D">
        <w:rPr>
          <w:rFonts w:cstheme="majorBidi"/>
          <w:sz w:val="24"/>
          <w:szCs w:val="24"/>
          <w:lang w:val="en-US"/>
        </w:rPr>
        <w:t xml:space="preserve">. </w:t>
      </w:r>
    </w:p>
    <w:p w:rsidR="00FB5C12" w:rsidRPr="005C100D" w:rsidRDefault="00FB5C12" w:rsidP="005C100D">
      <w:pPr>
        <w:jc w:val="both"/>
        <w:rPr>
          <w:rFonts w:cstheme="majorBidi"/>
          <w:b/>
          <w:bCs/>
          <w:sz w:val="24"/>
          <w:szCs w:val="24"/>
          <w:lang w:val="en-GB"/>
        </w:rPr>
      </w:pPr>
      <w:r w:rsidRPr="005C100D">
        <w:rPr>
          <w:rFonts w:cstheme="majorBidi"/>
          <w:bCs/>
          <w:i/>
          <w:sz w:val="24"/>
          <w:szCs w:val="24"/>
          <w:lang w:val="en-GB"/>
        </w:rPr>
        <w:t>Solitary confinement as a disciplinary sanction (punishment cell)</w:t>
      </w:r>
      <w:r w:rsidRPr="005C100D">
        <w:rPr>
          <w:rFonts w:cstheme="majorBidi"/>
          <w:b/>
          <w:bCs/>
          <w:sz w:val="24"/>
          <w:szCs w:val="24"/>
          <w:lang w:val="en-GB"/>
        </w:rPr>
        <w:t xml:space="preserve"> </w:t>
      </w:r>
    </w:p>
    <w:p w:rsidR="00FB5C12" w:rsidRPr="005C100D" w:rsidRDefault="00FB5C12" w:rsidP="005C100D">
      <w:pPr>
        <w:jc w:val="both"/>
        <w:rPr>
          <w:rFonts w:cstheme="majorBidi"/>
          <w:sz w:val="24"/>
          <w:szCs w:val="24"/>
          <w:lang w:val="en-GB"/>
        </w:rPr>
      </w:pPr>
      <w:r w:rsidRPr="005C100D">
        <w:rPr>
          <w:rFonts w:cstheme="majorBidi"/>
          <w:bCs/>
          <w:sz w:val="24"/>
          <w:szCs w:val="24"/>
          <w:lang w:val="en-GB"/>
        </w:rPr>
        <w:t xml:space="preserve">Solitary confinement as a disciplinary sanction may be imposed for the following offences: </w:t>
      </w:r>
      <w:r w:rsidRPr="005C100D">
        <w:rPr>
          <w:rFonts w:cstheme="majorBidi"/>
          <w:sz w:val="24"/>
          <w:szCs w:val="24"/>
          <w:lang w:val="en-GB"/>
        </w:rPr>
        <w:t xml:space="preserve"> failure to return from leave, escape, smuggling or possession of alcohol, drugs, weapons, etc., refusal to provide urine samples, violence or threats of violence against fellow inmates or staff, gross vandalism or other gross or freq</w:t>
      </w:r>
      <w:r w:rsidR="00A7178C">
        <w:rPr>
          <w:rFonts w:cstheme="majorBidi"/>
          <w:sz w:val="24"/>
          <w:szCs w:val="24"/>
          <w:lang w:val="en-GB"/>
        </w:rPr>
        <w:t xml:space="preserve">uently repeated offenses. </w:t>
      </w:r>
      <w:r w:rsidRPr="005C100D">
        <w:rPr>
          <w:rFonts w:cstheme="majorBidi"/>
          <w:sz w:val="24"/>
          <w:szCs w:val="24"/>
          <w:lang w:val="en-GB"/>
        </w:rPr>
        <w:t>The absolute time limit is 4 weeks</w:t>
      </w:r>
      <w:r w:rsidRPr="005C100D">
        <w:rPr>
          <w:rStyle w:val="FootnoteReference"/>
          <w:rFonts w:cstheme="majorBidi"/>
          <w:sz w:val="24"/>
          <w:szCs w:val="24"/>
          <w:lang w:val="en-GB"/>
        </w:rPr>
        <w:footnoteReference w:id="96"/>
      </w:r>
      <w:r w:rsidRPr="005C100D">
        <w:rPr>
          <w:rFonts w:cstheme="majorBidi"/>
          <w:sz w:val="24"/>
          <w:szCs w:val="24"/>
          <w:lang w:val="en-GB"/>
        </w:rPr>
        <w:t>, except for pre-trial detainees held in isolation for whom the absolute time limit is 2 weeks.</w:t>
      </w:r>
      <w:r w:rsidRPr="005C100D">
        <w:rPr>
          <w:rStyle w:val="FootnoteReference"/>
          <w:rFonts w:cstheme="majorBidi"/>
          <w:sz w:val="24"/>
          <w:szCs w:val="24"/>
          <w:lang w:val="en-GB"/>
        </w:rPr>
        <w:footnoteReference w:id="97"/>
      </w:r>
      <w:r w:rsidRPr="005C100D">
        <w:rPr>
          <w:rFonts w:cstheme="majorBidi"/>
          <w:sz w:val="24"/>
          <w:szCs w:val="24"/>
          <w:lang w:val="en-GB"/>
        </w:rPr>
        <w:t xml:space="preserve">  In the latter case, the pre-trial detainee has an extended access to a judicial review, after seven days of isolation.</w:t>
      </w:r>
      <w:r w:rsidRPr="005C100D">
        <w:rPr>
          <w:rStyle w:val="FootnoteReference"/>
          <w:rFonts w:cstheme="majorBidi"/>
          <w:sz w:val="24"/>
          <w:szCs w:val="24"/>
          <w:lang w:val="en-GB"/>
        </w:rPr>
        <w:footnoteReference w:id="98"/>
      </w:r>
      <w:r w:rsidRPr="005C100D">
        <w:rPr>
          <w:rFonts w:cstheme="majorBidi"/>
          <w:sz w:val="24"/>
          <w:szCs w:val="24"/>
          <w:lang w:val="en-GB"/>
        </w:rPr>
        <w:t xml:space="preserve"> </w:t>
      </w:r>
    </w:p>
    <w:p w:rsidR="00FB5C12" w:rsidRPr="005C100D" w:rsidRDefault="00FB5C12" w:rsidP="005C100D">
      <w:pPr>
        <w:jc w:val="both"/>
        <w:rPr>
          <w:rFonts w:cstheme="majorBidi"/>
          <w:sz w:val="24"/>
          <w:szCs w:val="24"/>
          <w:lang w:val="en-GB"/>
        </w:rPr>
      </w:pPr>
      <w:r w:rsidRPr="005C100D">
        <w:rPr>
          <w:rFonts w:cstheme="majorBidi"/>
          <w:sz w:val="24"/>
          <w:szCs w:val="24"/>
          <w:lang w:val="en-GB"/>
        </w:rPr>
        <w:t xml:space="preserve">As appears from the table below there has been a steady increase from 2004 to 2013. </w:t>
      </w:r>
    </w:p>
    <w:p w:rsidR="00FB5C12" w:rsidRPr="005C100D" w:rsidRDefault="00FB5C12" w:rsidP="005C100D">
      <w:pPr>
        <w:spacing w:after="0"/>
        <w:jc w:val="both"/>
        <w:rPr>
          <w:rFonts w:cstheme="majorBidi"/>
          <w:sz w:val="24"/>
          <w:szCs w:val="24"/>
          <w:lang w:val="en-GB"/>
        </w:rPr>
      </w:pPr>
      <w:r w:rsidRPr="005C100D">
        <w:rPr>
          <w:rFonts w:cstheme="majorBidi"/>
          <w:bCs/>
          <w:sz w:val="24"/>
          <w:szCs w:val="24"/>
          <w:lang w:val="en-GB"/>
        </w:rPr>
        <w:t xml:space="preserve">Table from the </w:t>
      </w:r>
      <w:r w:rsidRPr="005C100D">
        <w:rPr>
          <w:rFonts w:cstheme="majorBidi"/>
          <w:bCs/>
          <w:sz w:val="24"/>
          <w:szCs w:val="24"/>
          <w:shd w:val="clear" w:color="auto" w:fill="FFFFFF"/>
          <w:lang w:val="en-GB"/>
        </w:rPr>
        <w:t>Prison and Probation Service:</w:t>
      </w:r>
      <w:r w:rsidRPr="005C100D">
        <w:rPr>
          <w:rStyle w:val="FootnoteReference"/>
          <w:rFonts w:cstheme="majorBidi"/>
          <w:bCs/>
          <w:sz w:val="24"/>
          <w:szCs w:val="24"/>
          <w:shd w:val="clear" w:color="auto" w:fill="FFFFFF"/>
          <w:lang w:val="en-GB"/>
        </w:rPr>
        <w:footnoteReference w:id="99"/>
      </w:r>
      <w:r w:rsidRPr="005C100D">
        <w:rPr>
          <w:rFonts w:cstheme="majorBidi"/>
          <w:sz w:val="24"/>
          <w:szCs w:val="24"/>
          <w:lang w:val="en-GB"/>
        </w:rPr>
        <w:t xml:space="preserve"> Disciplinary sanctions. Number and character</w:t>
      </w:r>
    </w:p>
    <w:tbl>
      <w:tblPr>
        <w:tblStyle w:val="TableGrid"/>
        <w:tblpPr w:leftFromText="141" w:rightFromText="141" w:vertAnchor="text" w:horzAnchor="margin" w:tblpXSpec="center" w:tblpY="309"/>
        <w:tblW w:w="8250" w:type="dxa"/>
        <w:tblLook w:val="04A0" w:firstRow="1" w:lastRow="0" w:firstColumn="1" w:lastColumn="0" w:noHBand="0" w:noVBand="1"/>
      </w:tblPr>
      <w:tblGrid>
        <w:gridCol w:w="1947"/>
        <w:gridCol w:w="1590"/>
        <w:gridCol w:w="1574"/>
        <w:gridCol w:w="1570"/>
        <w:gridCol w:w="1569"/>
      </w:tblGrid>
      <w:tr w:rsidR="00FB5C12" w:rsidRPr="005C100D" w:rsidTr="000424BD">
        <w:trPr>
          <w:trHeight w:val="617"/>
        </w:trPr>
        <w:tc>
          <w:tcPr>
            <w:tcW w:w="1950" w:type="dxa"/>
          </w:tcPr>
          <w:p w:rsidR="00FB5C12" w:rsidRPr="005C100D" w:rsidRDefault="00FB5C12" w:rsidP="005C100D">
            <w:pPr>
              <w:jc w:val="both"/>
              <w:rPr>
                <w:rFonts w:cstheme="majorBidi"/>
                <w:sz w:val="24"/>
                <w:szCs w:val="24"/>
                <w:lang w:val="en-GB"/>
              </w:rPr>
            </w:pP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Unconditional isolation</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Suspended isolation</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fine</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Total</w:t>
            </w:r>
          </w:p>
        </w:tc>
      </w:tr>
      <w:tr w:rsidR="00FB5C12" w:rsidRPr="005C100D" w:rsidTr="000424BD">
        <w:trPr>
          <w:trHeight w:val="309"/>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Closed prisons</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897</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389</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2.229</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2.515</w:t>
            </w:r>
          </w:p>
        </w:tc>
      </w:tr>
      <w:tr w:rsidR="00FB5C12" w:rsidRPr="005C100D" w:rsidTr="000424BD">
        <w:trPr>
          <w:trHeight w:val="309"/>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Open prisons</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1.012</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1.318</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6.391</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8.721</w:t>
            </w:r>
          </w:p>
        </w:tc>
      </w:tr>
      <w:tr w:rsidR="00FB5C12" w:rsidRPr="005C100D" w:rsidTr="000424BD">
        <w:trPr>
          <w:trHeight w:val="326"/>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Copenhagen prisons and gaols</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1.050</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710</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1.561</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4.321</w:t>
            </w:r>
          </w:p>
        </w:tc>
      </w:tr>
      <w:tr w:rsidR="00FB5C12" w:rsidRPr="005C100D" w:rsidTr="000424BD">
        <w:trPr>
          <w:trHeight w:val="309"/>
        </w:trPr>
        <w:tc>
          <w:tcPr>
            <w:tcW w:w="1950" w:type="dxa"/>
          </w:tcPr>
          <w:p w:rsidR="00FB5C12" w:rsidRPr="005C100D" w:rsidRDefault="00FB5C12" w:rsidP="005C100D">
            <w:pPr>
              <w:jc w:val="both"/>
              <w:rPr>
                <w:rFonts w:cstheme="majorBidi"/>
                <w:b/>
                <w:bCs/>
                <w:sz w:val="24"/>
                <w:szCs w:val="24"/>
                <w:lang w:val="en-GB"/>
              </w:rPr>
            </w:pPr>
            <w:r w:rsidRPr="005C100D">
              <w:rPr>
                <w:rFonts w:cstheme="majorBidi"/>
                <w:b/>
                <w:bCs/>
                <w:sz w:val="24"/>
                <w:szCs w:val="24"/>
                <w:lang w:val="en-GB"/>
              </w:rPr>
              <w:t>2013</w:t>
            </w:r>
          </w:p>
        </w:tc>
        <w:tc>
          <w:tcPr>
            <w:tcW w:w="1575" w:type="dxa"/>
          </w:tcPr>
          <w:p w:rsidR="00FB5C12" w:rsidRPr="005C100D" w:rsidRDefault="00FB5C12" w:rsidP="005C100D">
            <w:pPr>
              <w:jc w:val="both"/>
              <w:rPr>
                <w:rFonts w:cstheme="majorBidi"/>
                <w:b/>
                <w:bCs/>
                <w:sz w:val="24"/>
                <w:szCs w:val="24"/>
                <w:lang w:val="en-GB"/>
              </w:rPr>
            </w:pPr>
            <w:r w:rsidRPr="005C100D">
              <w:rPr>
                <w:rFonts w:cstheme="majorBidi"/>
                <w:b/>
                <w:bCs/>
                <w:sz w:val="24"/>
                <w:szCs w:val="24"/>
                <w:lang w:val="en-GB"/>
              </w:rPr>
              <w:t>2.959</w:t>
            </w:r>
          </w:p>
        </w:tc>
        <w:tc>
          <w:tcPr>
            <w:tcW w:w="1576" w:type="dxa"/>
          </w:tcPr>
          <w:p w:rsidR="00FB5C12" w:rsidRPr="005C100D" w:rsidRDefault="00FB5C12" w:rsidP="005C100D">
            <w:pPr>
              <w:jc w:val="both"/>
              <w:rPr>
                <w:rFonts w:cstheme="majorBidi"/>
                <w:b/>
                <w:bCs/>
                <w:sz w:val="24"/>
                <w:szCs w:val="24"/>
                <w:lang w:val="en-GB"/>
              </w:rPr>
            </w:pPr>
            <w:r w:rsidRPr="005C100D">
              <w:rPr>
                <w:rFonts w:cstheme="majorBidi"/>
                <w:b/>
                <w:bCs/>
                <w:sz w:val="24"/>
                <w:szCs w:val="24"/>
                <w:lang w:val="en-GB"/>
              </w:rPr>
              <w:t>2.417</w:t>
            </w:r>
          </w:p>
        </w:tc>
        <w:tc>
          <w:tcPr>
            <w:tcW w:w="1575" w:type="dxa"/>
          </w:tcPr>
          <w:p w:rsidR="00FB5C12" w:rsidRPr="005C100D" w:rsidRDefault="00FB5C12" w:rsidP="005C100D">
            <w:pPr>
              <w:jc w:val="both"/>
              <w:rPr>
                <w:rFonts w:cstheme="majorBidi"/>
                <w:b/>
                <w:bCs/>
                <w:sz w:val="24"/>
                <w:szCs w:val="24"/>
                <w:lang w:val="en-GB"/>
              </w:rPr>
            </w:pPr>
            <w:r w:rsidRPr="005C100D">
              <w:rPr>
                <w:rFonts w:cstheme="majorBidi"/>
                <w:b/>
                <w:bCs/>
                <w:sz w:val="24"/>
                <w:szCs w:val="24"/>
                <w:lang w:val="en-GB"/>
              </w:rPr>
              <w:t>11.181</w:t>
            </w:r>
          </w:p>
        </w:tc>
        <w:tc>
          <w:tcPr>
            <w:tcW w:w="1574" w:type="dxa"/>
          </w:tcPr>
          <w:p w:rsidR="00FB5C12" w:rsidRPr="005C100D" w:rsidRDefault="00FB5C12" w:rsidP="005C100D">
            <w:pPr>
              <w:jc w:val="both"/>
              <w:rPr>
                <w:rFonts w:cstheme="majorBidi"/>
                <w:b/>
                <w:bCs/>
                <w:sz w:val="24"/>
                <w:szCs w:val="24"/>
                <w:lang w:val="en-GB"/>
              </w:rPr>
            </w:pPr>
            <w:r w:rsidRPr="005C100D">
              <w:rPr>
                <w:rFonts w:cstheme="majorBidi"/>
                <w:b/>
                <w:bCs/>
                <w:sz w:val="24"/>
                <w:szCs w:val="24"/>
                <w:lang w:val="en-GB"/>
              </w:rPr>
              <w:t>16.557</w:t>
            </w:r>
          </w:p>
        </w:tc>
      </w:tr>
      <w:tr w:rsidR="00FB5C12" w:rsidRPr="005C100D" w:rsidTr="000424BD">
        <w:trPr>
          <w:trHeight w:val="309"/>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2012</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2.892</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2.261</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11.353</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16.506</w:t>
            </w:r>
          </w:p>
        </w:tc>
      </w:tr>
      <w:tr w:rsidR="00FB5C12" w:rsidRPr="005C100D" w:rsidTr="000424BD">
        <w:trPr>
          <w:trHeight w:val="309"/>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2011</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3.044</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2.445</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12.963</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18.452</w:t>
            </w:r>
          </w:p>
        </w:tc>
      </w:tr>
      <w:tr w:rsidR="00FB5C12" w:rsidRPr="005C100D" w:rsidTr="000424BD">
        <w:trPr>
          <w:trHeight w:val="309"/>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2010</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2.849</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2.323</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12.270</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17.422</w:t>
            </w:r>
          </w:p>
        </w:tc>
      </w:tr>
      <w:tr w:rsidR="00FB5C12" w:rsidRPr="005C100D" w:rsidTr="000424BD">
        <w:trPr>
          <w:trHeight w:val="309"/>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2009</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2.677</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2.351</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11.993</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17.021</w:t>
            </w:r>
          </w:p>
        </w:tc>
      </w:tr>
      <w:tr w:rsidR="00FB5C12" w:rsidRPr="005C100D" w:rsidTr="000424BD">
        <w:trPr>
          <w:trHeight w:val="309"/>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2008</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2.421</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2.088</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10.777</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15.286</w:t>
            </w:r>
          </w:p>
        </w:tc>
      </w:tr>
      <w:tr w:rsidR="00FB5C12" w:rsidRPr="005C100D" w:rsidTr="000424BD">
        <w:trPr>
          <w:trHeight w:val="309"/>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2007</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2.569</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2.048</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19.240</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14.857</w:t>
            </w:r>
          </w:p>
        </w:tc>
      </w:tr>
      <w:tr w:rsidR="00FB5C12" w:rsidRPr="005C100D" w:rsidTr="000424BD">
        <w:trPr>
          <w:trHeight w:val="309"/>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2006</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2.574</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2.113</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10.710</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15.397</w:t>
            </w:r>
          </w:p>
        </w:tc>
      </w:tr>
      <w:tr w:rsidR="00FB5C12" w:rsidRPr="005C100D" w:rsidTr="000424BD">
        <w:trPr>
          <w:trHeight w:val="309"/>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2005</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2.667</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2.297</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11.205</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16.169</w:t>
            </w:r>
          </w:p>
        </w:tc>
      </w:tr>
      <w:tr w:rsidR="00FB5C12" w:rsidRPr="005C100D" w:rsidTr="000424BD">
        <w:trPr>
          <w:trHeight w:val="326"/>
        </w:trPr>
        <w:tc>
          <w:tcPr>
            <w:tcW w:w="1950"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lastRenderedPageBreak/>
              <w:t>2004</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2.023</w:t>
            </w:r>
          </w:p>
        </w:tc>
        <w:tc>
          <w:tcPr>
            <w:tcW w:w="1576"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1.003</w:t>
            </w:r>
          </w:p>
        </w:tc>
        <w:tc>
          <w:tcPr>
            <w:tcW w:w="1575"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8.935</w:t>
            </w:r>
          </w:p>
        </w:tc>
        <w:tc>
          <w:tcPr>
            <w:tcW w:w="1574" w:type="dxa"/>
          </w:tcPr>
          <w:p w:rsidR="00FB5C12" w:rsidRPr="005C100D" w:rsidRDefault="00FB5C12" w:rsidP="005C100D">
            <w:pPr>
              <w:jc w:val="both"/>
              <w:rPr>
                <w:rFonts w:cstheme="majorBidi"/>
                <w:sz w:val="24"/>
                <w:szCs w:val="24"/>
                <w:lang w:val="en-GB"/>
              </w:rPr>
            </w:pPr>
            <w:r w:rsidRPr="005C100D">
              <w:rPr>
                <w:rFonts w:cstheme="majorBidi"/>
                <w:sz w:val="24"/>
                <w:szCs w:val="24"/>
                <w:lang w:val="en-GB"/>
              </w:rPr>
              <w:t>11.961</w:t>
            </w:r>
          </w:p>
        </w:tc>
      </w:tr>
    </w:tbl>
    <w:p w:rsidR="00FB5C12" w:rsidRPr="005C100D" w:rsidRDefault="00FB5C12" w:rsidP="005C100D">
      <w:pPr>
        <w:jc w:val="both"/>
        <w:rPr>
          <w:rFonts w:cstheme="majorBidi"/>
          <w:sz w:val="24"/>
          <w:szCs w:val="24"/>
          <w:lang w:val="en-GB"/>
        </w:rPr>
      </w:pPr>
    </w:p>
    <w:p w:rsidR="00AB729B" w:rsidRPr="005C100D" w:rsidRDefault="00AB729B" w:rsidP="005C100D">
      <w:pPr>
        <w:jc w:val="both"/>
        <w:rPr>
          <w:rFonts w:cstheme="majorBidi"/>
          <w:sz w:val="24"/>
          <w:szCs w:val="24"/>
          <w:lang w:val="en-GB"/>
        </w:rPr>
      </w:pPr>
    </w:p>
    <w:p w:rsidR="00612E48" w:rsidRPr="005C100D" w:rsidRDefault="00612E48" w:rsidP="005C100D">
      <w:pPr>
        <w:jc w:val="both"/>
        <w:rPr>
          <w:rFonts w:cstheme="majorBidi"/>
          <w:sz w:val="24"/>
          <w:szCs w:val="24"/>
          <w:lang w:val="en-GB"/>
        </w:rPr>
      </w:pPr>
    </w:p>
    <w:p w:rsidR="00082293" w:rsidRPr="003E0084" w:rsidRDefault="00FB5C12" w:rsidP="003E0084">
      <w:pPr>
        <w:jc w:val="both"/>
        <w:rPr>
          <w:rFonts w:cstheme="majorBidi"/>
          <w:sz w:val="24"/>
          <w:szCs w:val="24"/>
          <w:lang w:val="en-GB"/>
        </w:rPr>
      </w:pPr>
      <w:r w:rsidRPr="005C100D">
        <w:rPr>
          <w:rFonts w:cstheme="majorBidi"/>
          <w:sz w:val="24"/>
          <w:szCs w:val="24"/>
          <w:lang w:val="en-GB"/>
        </w:rPr>
        <w:t>In its 2014 report to the Danish government, CPT stated that a continued period of up to 28 days of solitary confinement as punishment is excessive. The Committee considers that the maximum length of solitary confinement as punishment should be no more than 14 days for a given offense, and preferably lower. In conclusion, the CPT recommended that the Sentence Enforcement Act be revised accordingly.</w:t>
      </w:r>
      <w:r w:rsidRPr="005C100D">
        <w:rPr>
          <w:rStyle w:val="FootnoteReference"/>
          <w:rFonts w:cstheme="majorBidi"/>
          <w:sz w:val="24"/>
          <w:szCs w:val="24"/>
          <w:lang w:val="en-GB"/>
        </w:rPr>
        <w:footnoteReference w:id="100"/>
      </w:r>
      <w:r w:rsidRPr="005C100D">
        <w:rPr>
          <w:rFonts w:cstheme="majorBidi"/>
          <w:sz w:val="24"/>
          <w:szCs w:val="24"/>
          <w:lang w:val="en-GB"/>
        </w:rPr>
        <w:t xml:space="preserve"> As follow-up to its 2008 visit to Denmark, the </w:t>
      </w:r>
      <w:r w:rsidRPr="005C100D">
        <w:rPr>
          <w:sz w:val="24"/>
          <w:szCs w:val="24"/>
          <w:lang w:val="en-GB"/>
        </w:rPr>
        <w:t>CPT recommended that the Danish authorities develop a national approach to address the issue of prisoners seeking isolation for their own protection.</w:t>
      </w:r>
      <w:r w:rsidR="00082293" w:rsidRPr="005C100D">
        <w:rPr>
          <w:rFonts w:cstheme="majorBidi"/>
          <w:sz w:val="24"/>
          <w:szCs w:val="24"/>
          <w:lang w:val="en-GB"/>
        </w:rPr>
        <w:t xml:space="preserve"> </w:t>
      </w:r>
      <w:r w:rsidR="003E0084">
        <w:rPr>
          <w:rFonts w:cstheme="majorBidi"/>
          <w:sz w:val="24"/>
          <w:szCs w:val="24"/>
          <w:lang w:val="en-GB"/>
        </w:rPr>
        <w:t xml:space="preserve">Reference is also made to the 2009 report on Denmark by </w:t>
      </w:r>
      <w:r w:rsidRPr="005C100D">
        <w:rPr>
          <w:rFonts w:cstheme="majorBidi"/>
          <w:sz w:val="24"/>
          <w:szCs w:val="24"/>
          <w:lang w:val="en-GB"/>
        </w:rPr>
        <w:t>th</w:t>
      </w:r>
      <w:r w:rsidR="003E0084">
        <w:rPr>
          <w:rFonts w:cstheme="majorBidi"/>
          <w:sz w:val="24"/>
          <w:szCs w:val="24"/>
          <w:lang w:val="en-GB"/>
        </w:rPr>
        <w:t>e UN Special Rapporteur stated</w:t>
      </w:r>
      <w:r w:rsidR="003E0084">
        <w:rPr>
          <w:rFonts w:cstheme="majorBidi"/>
          <w:i/>
          <w:sz w:val="24"/>
          <w:szCs w:val="24"/>
          <w:lang w:val="en-GB"/>
        </w:rPr>
        <w:t>.</w:t>
      </w:r>
      <w:r w:rsidRPr="005C100D">
        <w:rPr>
          <w:rStyle w:val="FootnoteReference"/>
          <w:rFonts w:cstheme="majorBidi"/>
          <w:i/>
          <w:sz w:val="24"/>
          <w:szCs w:val="24"/>
          <w:lang w:val="en-GB"/>
        </w:rPr>
        <w:footnoteReference w:id="101"/>
      </w:r>
    </w:p>
    <w:p w:rsidR="00BA5B70" w:rsidRPr="005C100D" w:rsidRDefault="00082293" w:rsidP="007D66C5">
      <w:pPr>
        <w:spacing w:after="117" w:line="258" w:lineRule="auto"/>
        <w:ind w:right="-1"/>
        <w:jc w:val="both"/>
        <w:rPr>
          <w:sz w:val="24"/>
          <w:szCs w:val="24"/>
          <w:lang w:val="en-US"/>
        </w:rPr>
      </w:pPr>
      <w:r w:rsidRPr="005C100D">
        <w:rPr>
          <w:rFonts w:cstheme="majorBidi"/>
          <w:iCs/>
          <w:sz w:val="24"/>
          <w:szCs w:val="24"/>
          <w:lang w:val="en-GB"/>
        </w:rPr>
        <w:t>In 2015, the Committee a</w:t>
      </w:r>
      <w:r w:rsidR="008C74E3" w:rsidRPr="005C100D">
        <w:rPr>
          <w:rFonts w:cstheme="majorBidi"/>
          <w:iCs/>
          <w:sz w:val="24"/>
          <w:szCs w:val="24"/>
          <w:lang w:val="en-GB"/>
        </w:rPr>
        <w:t>g</w:t>
      </w:r>
      <w:r w:rsidR="003A78DB">
        <w:rPr>
          <w:rFonts w:cstheme="majorBidi"/>
          <w:iCs/>
          <w:sz w:val="24"/>
          <w:szCs w:val="24"/>
          <w:lang w:val="en-GB"/>
        </w:rPr>
        <w:t>ainst Torture recommended that Denmark:</w:t>
      </w:r>
    </w:p>
    <w:p w:rsidR="003A78DB" w:rsidRPr="00B31034" w:rsidRDefault="00BA5B70" w:rsidP="003A78DB">
      <w:pPr>
        <w:pStyle w:val="ListParagraph"/>
        <w:numPr>
          <w:ilvl w:val="1"/>
          <w:numId w:val="17"/>
        </w:numPr>
        <w:spacing w:after="117" w:line="258" w:lineRule="auto"/>
        <w:ind w:right="1124"/>
        <w:jc w:val="both"/>
        <w:rPr>
          <w:sz w:val="20"/>
          <w:szCs w:val="20"/>
          <w:lang w:val="en-US"/>
        </w:rPr>
      </w:pPr>
      <w:r w:rsidRPr="00B31034">
        <w:rPr>
          <w:rFonts w:eastAsia="Times New Roman" w:cs="Times New Roman"/>
          <w:sz w:val="20"/>
          <w:szCs w:val="20"/>
          <w:lang w:val="en-US"/>
        </w:rPr>
        <w:t xml:space="preserve">Limiting the length of permissible solitary confinement to a maximum of 15 days; </w:t>
      </w:r>
    </w:p>
    <w:p w:rsidR="00BA5B70" w:rsidRPr="00B31034" w:rsidRDefault="00BA5B70" w:rsidP="003A78DB">
      <w:pPr>
        <w:pStyle w:val="ListParagraph"/>
        <w:numPr>
          <w:ilvl w:val="1"/>
          <w:numId w:val="17"/>
        </w:numPr>
        <w:spacing w:after="117" w:line="258" w:lineRule="auto"/>
        <w:ind w:right="1124"/>
        <w:jc w:val="both"/>
        <w:rPr>
          <w:sz w:val="20"/>
          <w:szCs w:val="20"/>
          <w:lang w:val="en-US"/>
        </w:rPr>
      </w:pPr>
      <w:r w:rsidRPr="00B31034">
        <w:rPr>
          <w:rFonts w:eastAsia="Times New Roman" w:cs="Times New Roman"/>
          <w:sz w:val="20"/>
          <w:szCs w:val="20"/>
          <w:lang w:val="en-US"/>
        </w:rPr>
        <w:t xml:space="preserve">Abolishing the practice of voluntary exclusion from association and putting into place mechanisms for the immediate removal and relocation of detainees who fear for their own safety. </w:t>
      </w:r>
    </w:p>
    <w:p w:rsidR="00FB5C12" w:rsidRPr="007D66C5" w:rsidRDefault="00EE0D91" w:rsidP="005C100D">
      <w:pPr>
        <w:jc w:val="both"/>
        <w:rPr>
          <w:rFonts w:cstheme="majorBidi"/>
          <w:iCs/>
          <w:sz w:val="24"/>
          <w:szCs w:val="24"/>
          <w:lang w:val="en-GB"/>
        </w:rPr>
      </w:pPr>
      <w:r>
        <w:rPr>
          <w:rFonts w:cstheme="majorBidi"/>
          <w:sz w:val="24"/>
          <w:szCs w:val="24"/>
          <w:lang w:val="en-GB"/>
        </w:rPr>
        <w:t>In light of these recommendations; the experience from o</w:t>
      </w:r>
      <w:r w:rsidR="00082293" w:rsidRPr="005C100D">
        <w:rPr>
          <w:rFonts w:cstheme="majorBidi"/>
          <w:sz w:val="24"/>
          <w:szCs w:val="24"/>
          <w:lang w:val="en-GB"/>
        </w:rPr>
        <w:t>ur neighbouring country Sweden</w:t>
      </w:r>
      <w:r>
        <w:rPr>
          <w:rFonts w:cstheme="majorBidi"/>
          <w:sz w:val="24"/>
          <w:szCs w:val="24"/>
          <w:lang w:val="en-GB"/>
        </w:rPr>
        <w:t xml:space="preserve">, where </w:t>
      </w:r>
      <w:r w:rsidR="00082293" w:rsidRPr="005C100D">
        <w:rPr>
          <w:rFonts w:cstheme="majorBidi"/>
          <w:sz w:val="24"/>
          <w:szCs w:val="24"/>
          <w:lang w:val="en-GB"/>
        </w:rPr>
        <w:t>solitary confinement</w:t>
      </w:r>
      <w:r>
        <w:rPr>
          <w:rFonts w:cstheme="majorBidi"/>
          <w:sz w:val="24"/>
          <w:szCs w:val="24"/>
          <w:lang w:val="en-GB"/>
        </w:rPr>
        <w:t xml:space="preserve"> is no longer used; and th</w:t>
      </w:r>
      <w:r w:rsidR="00082293" w:rsidRPr="005C100D">
        <w:rPr>
          <w:rFonts w:cstheme="majorBidi"/>
          <w:sz w:val="24"/>
          <w:szCs w:val="24"/>
          <w:lang w:val="en-GB"/>
        </w:rPr>
        <w:t xml:space="preserve">e lack of improvements with regard to the use of solitary confinement, we would </w:t>
      </w:r>
      <w:proofErr w:type="gramStart"/>
      <w:r w:rsidR="00082293" w:rsidRPr="005C100D">
        <w:rPr>
          <w:rFonts w:cstheme="majorBidi"/>
          <w:sz w:val="24"/>
          <w:szCs w:val="24"/>
          <w:lang w:val="en-GB"/>
        </w:rPr>
        <w:t xml:space="preserve">like </w:t>
      </w:r>
      <w:r w:rsidR="00FB5C12" w:rsidRPr="005C100D">
        <w:rPr>
          <w:rFonts w:cstheme="majorBidi"/>
          <w:sz w:val="24"/>
          <w:szCs w:val="24"/>
          <w:lang w:val="en-GB"/>
        </w:rPr>
        <w:t xml:space="preserve"> </w:t>
      </w:r>
      <w:r w:rsidR="00B06CB9" w:rsidRPr="005C100D">
        <w:rPr>
          <w:rFonts w:cstheme="majorBidi"/>
          <w:sz w:val="24"/>
          <w:szCs w:val="24"/>
          <w:lang w:val="en-GB"/>
        </w:rPr>
        <w:t>to</w:t>
      </w:r>
      <w:proofErr w:type="gramEnd"/>
      <w:r w:rsidR="00B06CB9" w:rsidRPr="005C100D">
        <w:rPr>
          <w:rFonts w:cstheme="majorBidi"/>
          <w:sz w:val="24"/>
          <w:szCs w:val="24"/>
          <w:lang w:val="en-GB"/>
        </w:rPr>
        <w:t xml:space="preserve"> </w:t>
      </w:r>
      <w:r w:rsidR="00FB5C12" w:rsidRPr="005C100D">
        <w:rPr>
          <w:rFonts w:cstheme="majorBidi"/>
          <w:sz w:val="24"/>
          <w:szCs w:val="24"/>
          <w:lang w:val="en-GB"/>
        </w:rPr>
        <w:t>recom</w:t>
      </w:r>
      <w:r w:rsidR="00082293" w:rsidRPr="005C100D">
        <w:rPr>
          <w:rFonts w:cstheme="majorBidi"/>
          <w:sz w:val="24"/>
          <w:szCs w:val="24"/>
          <w:lang w:val="en-GB"/>
        </w:rPr>
        <w:t xml:space="preserve">mend Denmark </w:t>
      </w:r>
      <w:r w:rsidR="00FB5C12" w:rsidRPr="005C100D">
        <w:rPr>
          <w:rFonts w:cstheme="majorBidi"/>
          <w:sz w:val="24"/>
          <w:szCs w:val="24"/>
          <w:lang w:val="en-GB"/>
        </w:rPr>
        <w:t>to:</w:t>
      </w:r>
    </w:p>
    <w:p w:rsidR="00FB5C12" w:rsidRPr="005C100D" w:rsidRDefault="00FB5C12" w:rsidP="005C100D">
      <w:pPr>
        <w:pStyle w:val="ListParagraph"/>
        <w:numPr>
          <w:ilvl w:val="0"/>
          <w:numId w:val="23"/>
        </w:numPr>
        <w:jc w:val="both"/>
        <w:rPr>
          <w:rFonts w:cstheme="majorBidi"/>
          <w:sz w:val="24"/>
          <w:szCs w:val="24"/>
          <w:lang w:val="en-GB"/>
        </w:rPr>
      </w:pPr>
      <w:r w:rsidRPr="005C100D">
        <w:rPr>
          <w:rFonts w:cstheme="majorBidi"/>
          <w:sz w:val="24"/>
          <w:szCs w:val="24"/>
          <w:lang w:val="en-GB"/>
        </w:rPr>
        <w:t>Abolish the use of solitary confinement as a disciplinary sanction.</w:t>
      </w:r>
    </w:p>
    <w:p w:rsidR="00FB5C12" w:rsidRPr="005C100D" w:rsidRDefault="00FB5C12" w:rsidP="005C100D">
      <w:pPr>
        <w:pStyle w:val="ListParagraph"/>
        <w:numPr>
          <w:ilvl w:val="0"/>
          <w:numId w:val="23"/>
        </w:numPr>
        <w:jc w:val="both"/>
        <w:rPr>
          <w:rFonts w:cstheme="majorBidi"/>
          <w:sz w:val="24"/>
          <w:szCs w:val="24"/>
          <w:lang w:val="en-GB"/>
        </w:rPr>
      </w:pPr>
      <w:r w:rsidRPr="005C100D">
        <w:rPr>
          <w:rFonts w:cstheme="majorBidi"/>
          <w:sz w:val="24"/>
          <w:szCs w:val="24"/>
          <w:lang w:val="en-GB"/>
        </w:rPr>
        <w:t>Ensure that all persons in solitary confinement have sufficient opportunity for access to psychologically meaningful social contact.</w:t>
      </w:r>
    </w:p>
    <w:p w:rsidR="00FB5C12" w:rsidRPr="005C100D" w:rsidRDefault="00FB5C12" w:rsidP="005C100D">
      <w:pPr>
        <w:pStyle w:val="ListParagraph"/>
        <w:numPr>
          <w:ilvl w:val="0"/>
          <w:numId w:val="23"/>
        </w:numPr>
        <w:jc w:val="both"/>
        <w:rPr>
          <w:rFonts w:cstheme="majorBidi"/>
          <w:sz w:val="24"/>
          <w:szCs w:val="24"/>
          <w:lang w:val="en-GB"/>
        </w:rPr>
      </w:pPr>
      <w:r w:rsidRPr="005C100D">
        <w:rPr>
          <w:rFonts w:cstheme="majorBidi"/>
          <w:sz w:val="24"/>
          <w:szCs w:val="24"/>
          <w:lang w:val="en-GB"/>
        </w:rPr>
        <w:t>Develop legal safeguards for prisoners choosing to go into voluntary isolation, and offer this group the level of protection that applies for inmates who are placed in isolation for their own safety, hence by re-locating him/her in a safe department, in a timeframe on maximum 5 days.</w:t>
      </w:r>
    </w:p>
    <w:p w:rsidR="000B6F85" w:rsidRPr="005C100D" w:rsidRDefault="00FB5C12" w:rsidP="005C100D">
      <w:pPr>
        <w:pStyle w:val="ListParagraph"/>
        <w:numPr>
          <w:ilvl w:val="0"/>
          <w:numId w:val="23"/>
        </w:numPr>
        <w:jc w:val="both"/>
        <w:rPr>
          <w:rFonts w:cstheme="majorBidi"/>
          <w:sz w:val="24"/>
          <w:szCs w:val="24"/>
          <w:lang w:val="en-GB"/>
        </w:rPr>
      </w:pPr>
      <w:r w:rsidRPr="005C100D">
        <w:rPr>
          <w:rFonts w:cstheme="majorBidi"/>
          <w:sz w:val="24"/>
          <w:szCs w:val="24"/>
          <w:lang w:val="en-GB"/>
        </w:rPr>
        <w:t xml:space="preserve">Shorten the time limits of lawful isolation under the Sentence Enforcement Act. </w:t>
      </w:r>
    </w:p>
    <w:p w:rsidR="002003E2" w:rsidRPr="005C100D" w:rsidRDefault="00BB02C5" w:rsidP="005C100D">
      <w:pPr>
        <w:pStyle w:val="Heading3"/>
        <w:spacing w:after="240"/>
        <w:jc w:val="both"/>
        <w:rPr>
          <w:lang w:val="en-US"/>
        </w:rPr>
      </w:pPr>
      <w:bookmarkStart w:id="13" w:name="_Toc451866551"/>
      <w:r w:rsidRPr="005C100D">
        <w:rPr>
          <w:lang w:val="en-US"/>
        </w:rPr>
        <w:t xml:space="preserve">Issue 2: </w:t>
      </w:r>
      <w:r w:rsidR="002003E2" w:rsidRPr="005C100D">
        <w:rPr>
          <w:lang w:val="en-US"/>
        </w:rPr>
        <w:t>NON-REFOULEMENT AND MEDICAL “TORTURE” EXAMINATION</w:t>
      </w:r>
      <w:bookmarkEnd w:id="13"/>
    </w:p>
    <w:p w:rsidR="006820D6" w:rsidRPr="005C100D" w:rsidRDefault="005E22DC" w:rsidP="005C100D">
      <w:pPr>
        <w:jc w:val="both"/>
        <w:rPr>
          <w:rFonts w:cstheme="majorBidi"/>
          <w:sz w:val="24"/>
          <w:szCs w:val="24"/>
          <w:lang w:val="en-GB"/>
        </w:rPr>
      </w:pPr>
      <w:r w:rsidRPr="005C100D">
        <w:rPr>
          <w:rFonts w:cstheme="majorBidi"/>
          <w:sz w:val="24"/>
          <w:szCs w:val="24"/>
          <w:lang w:val="en-GB"/>
        </w:rPr>
        <w:t xml:space="preserve">The </w:t>
      </w:r>
      <w:r w:rsidR="007D66C5">
        <w:rPr>
          <w:rFonts w:cstheme="majorBidi"/>
          <w:sz w:val="24"/>
          <w:szCs w:val="24"/>
          <w:lang w:val="en-GB"/>
        </w:rPr>
        <w:t xml:space="preserve">Human Rights </w:t>
      </w:r>
      <w:r w:rsidRPr="005C100D">
        <w:rPr>
          <w:rFonts w:cstheme="majorBidi"/>
          <w:sz w:val="24"/>
          <w:szCs w:val="24"/>
          <w:lang w:val="en-GB"/>
        </w:rPr>
        <w:t>Committee and the Committee against Torture has repeatedly reiterated the absolute nature of the principle of non-</w:t>
      </w:r>
      <w:proofErr w:type="spellStart"/>
      <w:r w:rsidRPr="005C100D">
        <w:rPr>
          <w:rFonts w:cstheme="majorBidi"/>
          <w:sz w:val="24"/>
          <w:szCs w:val="24"/>
          <w:lang w:val="en-GB"/>
        </w:rPr>
        <w:t>refoulement</w:t>
      </w:r>
      <w:proofErr w:type="spellEnd"/>
      <w:r w:rsidRPr="005C100D">
        <w:rPr>
          <w:rFonts w:cstheme="majorBidi"/>
          <w:sz w:val="24"/>
          <w:szCs w:val="24"/>
          <w:lang w:val="en-GB"/>
        </w:rPr>
        <w:t xml:space="preserve"> and called on Denmark to </w:t>
      </w:r>
      <w:r w:rsidR="004430CB">
        <w:rPr>
          <w:rFonts w:cstheme="majorBidi"/>
          <w:sz w:val="24"/>
          <w:szCs w:val="24"/>
          <w:lang w:val="en-GB"/>
        </w:rPr>
        <w:t>ensure the implementation of this principle in individual cases</w:t>
      </w:r>
      <w:r w:rsidRPr="005C100D">
        <w:rPr>
          <w:rFonts w:cstheme="majorBidi"/>
          <w:sz w:val="24"/>
          <w:szCs w:val="24"/>
          <w:lang w:val="en-GB"/>
        </w:rPr>
        <w:t xml:space="preserve"> relating to the detention and deportation of immigrants or asylum seekers.</w:t>
      </w:r>
      <w:r w:rsidR="00E814B5" w:rsidRPr="005C100D">
        <w:rPr>
          <w:rFonts w:cstheme="majorBidi"/>
          <w:sz w:val="24"/>
          <w:szCs w:val="24"/>
          <w:lang w:val="en-GB"/>
        </w:rPr>
        <w:t xml:space="preserve"> </w:t>
      </w:r>
      <w:r w:rsidRPr="005C100D">
        <w:rPr>
          <w:rFonts w:cstheme="majorBidi"/>
          <w:sz w:val="24"/>
          <w:szCs w:val="24"/>
          <w:lang w:val="en-GB"/>
        </w:rPr>
        <w:t xml:space="preserve">Furthermore, in </w:t>
      </w:r>
      <w:r w:rsidR="00E814B5" w:rsidRPr="005C100D">
        <w:rPr>
          <w:rFonts w:cstheme="majorBidi"/>
          <w:sz w:val="24"/>
          <w:szCs w:val="24"/>
          <w:lang w:val="en-GB"/>
        </w:rPr>
        <w:t>seven concrete cases in 2015, the Committee noted that Denmark had violated the principle of non-</w:t>
      </w:r>
      <w:proofErr w:type="spellStart"/>
      <w:r w:rsidR="00E814B5" w:rsidRPr="005C100D">
        <w:rPr>
          <w:rFonts w:cstheme="majorBidi"/>
          <w:sz w:val="24"/>
          <w:szCs w:val="24"/>
          <w:lang w:val="en-GB"/>
        </w:rPr>
        <w:t>refoulement</w:t>
      </w:r>
      <w:proofErr w:type="spellEnd"/>
      <w:r w:rsidR="0091160B">
        <w:rPr>
          <w:rFonts w:cstheme="majorBidi"/>
          <w:sz w:val="24"/>
          <w:szCs w:val="24"/>
          <w:lang w:val="en-GB"/>
        </w:rPr>
        <w:t xml:space="preserve"> (see above)</w:t>
      </w:r>
      <w:r w:rsidR="00E814B5" w:rsidRPr="005C100D">
        <w:rPr>
          <w:rFonts w:cstheme="majorBidi"/>
          <w:sz w:val="24"/>
          <w:szCs w:val="24"/>
          <w:lang w:val="en-GB"/>
        </w:rPr>
        <w:t xml:space="preserve">. </w:t>
      </w:r>
    </w:p>
    <w:p w:rsidR="005E22DC" w:rsidRPr="005C100D" w:rsidRDefault="006820D6" w:rsidP="005C100D">
      <w:pPr>
        <w:jc w:val="both"/>
        <w:rPr>
          <w:i/>
          <w:sz w:val="24"/>
          <w:szCs w:val="24"/>
          <w:lang w:val="en-US"/>
        </w:rPr>
      </w:pPr>
      <w:r w:rsidRPr="005C100D">
        <w:rPr>
          <w:rFonts w:cstheme="majorBidi"/>
          <w:sz w:val="24"/>
          <w:szCs w:val="24"/>
          <w:lang w:val="en-GB"/>
        </w:rPr>
        <w:lastRenderedPageBreak/>
        <w:t xml:space="preserve">Moreover, </w:t>
      </w:r>
      <w:r w:rsidR="005E22DC" w:rsidRPr="005C100D">
        <w:rPr>
          <w:rFonts w:cstheme="majorBidi"/>
          <w:sz w:val="24"/>
          <w:szCs w:val="24"/>
          <w:lang w:val="en-GB"/>
        </w:rPr>
        <w:t xml:space="preserve">the Committee </w:t>
      </w:r>
      <w:r w:rsidRPr="005C100D">
        <w:rPr>
          <w:rFonts w:cstheme="majorBidi"/>
          <w:sz w:val="24"/>
          <w:szCs w:val="24"/>
          <w:lang w:val="en-GB"/>
        </w:rPr>
        <w:t xml:space="preserve">against Torture </w:t>
      </w:r>
      <w:r w:rsidR="005E22DC" w:rsidRPr="005C100D">
        <w:rPr>
          <w:rFonts w:cstheme="majorBidi"/>
          <w:sz w:val="24"/>
          <w:szCs w:val="24"/>
          <w:lang w:val="en-GB"/>
        </w:rPr>
        <w:t xml:space="preserve">has emphasised </w:t>
      </w:r>
      <w:r w:rsidR="00827FB7">
        <w:rPr>
          <w:rFonts w:cstheme="majorBidi"/>
          <w:sz w:val="24"/>
          <w:szCs w:val="24"/>
          <w:lang w:val="en-GB"/>
        </w:rPr>
        <w:t xml:space="preserve">in its concluding Observations and in individual cases </w:t>
      </w:r>
      <w:r w:rsidR="005E22DC" w:rsidRPr="005C100D">
        <w:rPr>
          <w:rFonts w:cstheme="majorBidi"/>
          <w:sz w:val="24"/>
          <w:szCs w:val="24"/>
          <w:lang w:val="en-GB"/>
        </w:rPr>
        <w:t xml:space="preserve">that Denmark </w:t>
      </w:r>
      <w:r w:rsidR="00987613">
        <w:rPr>
          <w:rFonts w:cstheme="majorBidi"/>
          <w:sz w:val="24"/>
          <w:szCs w:val="24"/>
          <w:lang w:val="en-GB"/>
        </w:rPr>
        <w:t>is</w:t>
      </w:r>
      <w:r w:rsidR="00827FB7">
        <w:rPr>
          <w:rFonts w:cstheme="majorBidi"/>
          <w:sz w:val="24"/>
          <w:szCs w:val="24"/>
          <w:lang w:val="en-GB"/>
        </w:rPr>
        <w:t xml:space="preserve"> </w:t>
      </w:r>
      <w:r w:rsidR="005E22DC" w:rsidRPr="005C100D">
        <w:rPr>
          <w:rFonts w:cstheme="majorBidi"/>
          <w:sz w:val="24"/>
          <w:szCs w:val="24"/>
          <w:lang w:val="en-GB"/>
        </w:rPr>
        <w:t>under an obligation to make substantial efforts to determine whether there were grounds for believing that an asylum seeker would risk torture, if returned. This may include a specialised medical torture ex</w:t>
      </w:r>
      <w:r w:rsidRPr="005C100D">
        <w:rPr>
          <w:rFonts w:cstheme="majorBidi"/>
          <w:sz w:val="24"/>
          <w:szCs w:val="24"/>
          <w:lang w:val="en-GB"/>
        </w:rPr>
        <w:t xml:space="preserve">amination of the asylum seeker. </w:t>
      </w:r>
      <w:r w:rsidRPr="005C100D">
        <w:rPr>
          <w:rStyle w:val="FootnoteReference"/>
          <w:rFonts w:cstheme="majorBidi"/>
          <w:sz w:val="24"/>
          <w:szCs w:val="24"/>
          <w:lang w:val="en-GB"/>
        </w:rPr>
        <w:footnoteReference w:id="102"/>
      </w:r>
      <w:r w:rsidR="001F0FB6" w:rsidRPr="005C100D">
        <w:rPr>
          <w:rFonts w:cstheme="majorBidi"/>
          <w:sz w:val="24"/>
          <w:szCs w:val="24"/>
          <w:lang w:val="en-GB"/>
        </w:rPr>
        <w:t xml:space="preserve">  </w:t>
      </w:r>
    </w:p>
    <w:p w:rsidR="00081326" w:rsidRPr="005C100D" w:rsidRDefault="001F0FB6" w:rsidP="005C100D">
      <w:pPr>
        <w:jc w:val="both"/>
        <w:rPr>
          <w:rFonts w:cstheme="majorBidi"/>
          <w:sz w:val="24"/>
          <w:szCs w:val="24"/>
          <w:lang w:val="en-GB"/>
        </w:rPr>
      </w:pPr>
      <w:r w:rsidRPr="005C100D">
        <w:rPr>
          <w:rFonts w:cstheme="majorBidi"/>
          <w:sz w:val="24"/>
          <w:szCs w:val="24"/>
          <w:lang w:val="en-GB"/>
        </w:rPr>
        <w:t xml:space="preserve">However, the Danish asylum authorities </w:t>
      </w:r>
      <w:r w:rsidR="007E18DE">
        <w:rPr>
          <w:rFonts w:cstheme="majorBidi"/>
          <w:sz w:val="24"/>
          <w:szCs w:val="24"/>
          <w:lang w:val="en-GB"/>
        </w:rPr>
        <w:t xml:space="preserve">still </w:t>
      </w:r>
      <w:r w:rsidRPr="005C100D">
        <w:rPr>
          <w:rFonts w:cstheme="majorBidi"/>
          <w:sz w:val="24"/>
          <w:szCs w:val="24"/>
          <w:lang w:val="en-GB"/>
        </w:rPr>
        <w:t>rarely</w:t>
      </w:r>
      <w:r w:rsidR="0014452E">
        <w:rPr>
          <w:rFonts w:cstheme="majorBidi"/>
          <w:sz w:val="24"/>
          <w:szCs w:val="24"/>
          <w:lang w:val="en-GB"/>
        </w:rPr>
        <w:t xml:space="preserve"> request a torture examination and </w:t>
      </w:r>
      <w:r w:rsidRPr="005C100D">
        <w:rPr>
          <w:rFonts w:cstheme="majorBidi"/>
          <w:sz w:val="24"/>
          <w:szCs w:val="24"/>
          <w:lang w:val="en-GB"/>
        </w:rPr>
        <w:t xml:space="preserve">there has been a significant downward trend as regards the number of requests made by the immigration authorities for specialized medical </w:t>
      </w:r>
      <w:r w:rsidR="007D66C5">
        <w:rPr>
          <w:rFonts w:cstheme="majorBidi"/>
          <w:sz w:val="24"/>
          <w:szCs w:val="24"/>
          <w:lang w:val="en-GB"/>
        </w:rPr>
        <w:t xml:space="preserve">torture examinations. </w:t>
      </w:r>
      <w:r w:rsidRPr="005C100D">
        <w:rPr>
          <w:rFonts w:cstheme="majorBidi"/>
          <w:sz w:val="24"/>
          <w:szCs w:val="24"/>
          <w:lang w:val="en-GB"/>
        </w:rPr>
        <w:t xml:space="preserve">The precise number of specialised ‘torture’ examinations in the period 2009-15 was </w:t>
      </w:r>
      <w:r w:rsidRPr="005C100D">
        <w:rPr>
          <w:rFonts w:cstheme="majorBidi"/>
          <w:sz w:val="24"/>
          <w:szCs w:val="24"/>
          <w:u w:val="single"/>
          <w:lang w:val="en-GB"/>
        </w:rPr>
        <w:t>14</w:t>
      </w:r>
      <w:r w:rsidRPr="005C100D">
        <w:rPr>
          <w:rFonts w:cstheme="majorBidi"/>
          <w:sz w:val="24"/>
          <w:szCs w:val="24"/>
          <w:lang w:val="en-GB"/>
        </w:rPr>
        <w:t xml:space="preserve"> (2009: 0; 2010: 3; 2011: 7; 2012: 0; 2013: 0; 2014: 2 and 2015:2). </w:t>
      </w:r>
      <w:r w:rsidR="004066DB" w:rsidRPr="005C100D">
        <w:rPr>
          <w:rFonts w:cstheme="majorBidi"/>
          <w:sz w:val="24"/>
          <w:szCs w:val="24"/>
          <w:lang w:val="en-GB"/>
        </w:rPr>
        <w:t>In 2016, so far to our knowledge one examination has been requested.</w:t>
      </w:r>
    </w:p>
    <w:p w:rsidR="00A25074" w:rsidRPr="005C100D" w:rsidRDefault="00A25074" w:rsidP="005C100D">
      <w:pPr>
        <w:jc w:val="both"/>
        <w:rPr>
          <w:rFonts w:cstheme="majorBidi"/>
          <w:sz w:val="24"/>
          <w:szCs w:val="24"/>
          <w:lang w:val="en-US"/>
        </w:rPr>
      </w:pPr>
      <w:r w:rsidRPr="005C100D">
        <w:rPr>
          <w:b/>
          <w:bCs/>
          <w:sz w:val="24"/>
          <w:szCs w:val="24"/>
          <w:lang w:val="en-US"/>
        </w:rPr>
        <w:t xml:space="preserve">In order to </w:t>
      </w:r>
      <w:r w:rsidR="0014452E">
        <w:rPr>
          <w:b/>
          <w:bCs/>
          <w:sz w:val="24"/>
          <w:szCs w:val="24"/>
          <w:lang w:val="en-US"/>
        </w:rPr>
        <w:t xml:space="preserve">fully </w:t>
      </w:r>
      <w:r w:rsidRPr="005C100D">
        <w:rPr>
          <w:b/>
          <w:bCs/>
          <w:sz w:val="24"/>
          <w:szCs w:val="24"/>
          <w:lang w:val="en-US"/>
        </w:rPr>
        <w:t xml:space="preserve">protect against unlawful deportation </w:t>
      </w:r>
      <w:r w:rsidRPr="005C100D">
        <w:rPr>
          <w:b/>
          <w:bCs/>
          <w:sz w:val="24"/>
          <w:szCs w:val="24"/>
          <w:lang w:val="en-GB"/>
        </w:rPr>
        <w:t>we recommend</w:t>
      </w:r>
      <w:r w:rsidR="000D2982">
        <w:rPr>
          <w:sz w:val="24"/>
          <w:szCs w:val="24"/>
          <w:lang w:val="en-GB"/>
        </w:rPr>
        <w:t xml:space="preserve"> that Denmark respect </w:t>
      </w:r>
      <w:r w:rsidRPr="005C100D">
        <w:rPr>
          <w:sz w:val="24"/>
          <w:szCs w:val="24"/>
          <w:lang w:val="en-GB"/>
        </w:rPr>
        <w:t>its no</w:t>
      </w:r>
      <w:r w:rsidR="00DF2C51">
        <w:rPr>
          <w:sz w:val="24"/>
          <w:szCs w:val="24"/>
          <w:lang w:val="en-GB"/>
        </w:rPr>
        <w:t>n-</w:t>
      </w:r>
      <w:proofErr w:type="spellStart"/>
      <w:r w:rsidR="00DF2C51">
        <w:rPr>
          <w:sz w:val="24"/>
          <w:szCs w:val="24"/>
          <w:lang w:val="en-GB"/>
        </w:rPr>
        <w:t>refoulement</w:t>
      </w:r>
      <w:proofErr w:type="spellEnd"/>
      <w:r w:rsidR="00DF2C51">
        <w:rPr>
          <w:sz w:val="24"/>
          <w:szCs w:val="24"/>
          <w:lang w:val="en-GB"/>
        </w:rPr>
        <w:t xml:space="preserve"> obligation and </w:t>
      </w:r>
      <w:r w:rsidRPr="005C100D">
        <w:rPr>
          <w:sz w:val="24"/>
          <w:szCs w:val="24"/>
          <w:lang w:val="en-GB"/>
        </w:rPr>
        <w:t>make substantial efforts within the asylum process to determine whether there ar</w:t>
      </w:r>
      <w:r w:rsidR="00DF2C51">
        <w:rPr>
          <w:sz w:val="24"/>
          <w:szCs w:val="24"/>
          <w:lang w:val="en-GB"/>
        </w:rPr>
        <w:t xml:space="preserve">e ground for believing that an </w:t>
      </w:r>
      <w:r w:rsidRPr="005C100D">
        <w:rPr>
          <w:sz w:val="24"/>
          <w:szCs w:val="24"/>
          <w:lang w:val="en-GB"/>
        </w:rPr>
        <w:t>asylum seeker would be in danger of being subjected to torture if returned and, when deemed necessary, to ensure that independent and specialised medical examinations be undertaken so as to esta</w:t>
      </w:r>
      <w:r w:rsidR="00CE68ED">
        <w:rPr>
          <w:sz w:val="24"/>
          <w:szCs w:val="24"/>
          <w:lang w:val="en-GB"/>
        </w:rPr>
        <w:t>blish whether the asylum seeker previously</w:t>
      </w:r>
      <w:r w:rsidRPr="005C100D">
        <w:rPr>
          <w:sz w:val="24"/>
          <w:szCs w:val="24"/>
          <w:lang w:val="en-GB"/>
        </w:rPr>
        <w:t xml:space="preserve"> have been subjected to torture</w:t>
      </w:r>
    </w:p>
    <w:p w:rsidR="002003E2" w:rsidRPr="005C100D" w:rsidRDefault="00BB02C5" w:rsidP="005C100D">
      <w:pPr>
        <w:pStyle w:val="Heading3"/>
        <w:spacing w:after="240"/>
        <w:jc w:val="both"/>
        <w:rPr>
          <w:lang w:val="en-US"/>
        </w:rPr>
      </w:pPr>
      <w:bookmarkStart w:id="14" w:name="_Toc451866552"/>
      <w:r w:rsidRPr="005C100D">
        <w:rPr>
          <w:lang w:val="en-US"/>
        </w:rPr>
        <w:t xml:space="preserve">Issue 3: </w:t>
      </w:r>
      <w:r w:rsidR="00AE4F9D">
        <w:rPr>
          <w:lang w:val="en-US"/>
        </w:rPr>
        <w:t xml:space="preserve">INCREASED USE OF DETENTION OF FOREIGNERS AND </w:t>
      </w:r>
      <w:r w:rsidR="002003E2" w:rsidRPr="005C100D">
        <w:rPr>
          <w:lang w:val="en-US"/>
        </w:rPr>
        <w:t xml:space="preserve">CONDITIONS IN DETENTION CENTERS </w:t>
      </w:r>
      <w:r w:rsidR="00AB0282">
        <w:rPr>
          <w:lang w:val="en-US"/>
        </w:rPr>
        <w:t>(Article 7, 9 and 10)</w:t>
      </w:r>
      <w:bookmarkEnd w:id="14"/>
    </w:p>
    <w:p w:rsidR="00073490" w:rsidRDefault="00AE4F9D" w:rsidP="00AE4F9D">
      <w:pPr>
        <w:spacing w:before="100" w:beforeAutospacing="1" w:after="100" w:afterAutospacing="1"/>
        <w:jc w:val="both"/>
        <w:rPr>
          <w:color w:val="000000"/>
          <w:sz w:val="24"/>
          <w:szCs w:val="24"/>
          <w:lang w:val="en-US"/>
        </w:rPr>
      </w:pPr>
      <w:r>
        <w:rPr>
          <w:color w:val="000000"/>
          <w:sz w:val="24"/>
          <w:szCs w:val="24"/>
          <w:lang w:val="en-GB"/>
        </w:rPr>
        <w:t>Last year’s</w:t>
      </w:r>
      <w:r>
        <w:rPr>
          <w:color w:val="000000"/>
          <w:sz w:val="24"/>
          <w:szCs w:val="24"/>
          <w:lang w:val="en-US"/>
        </w:rPr>
        <w:t xml:space="preserve"> amendment of</w:t>
      </w:r>
      <w:r w:rsidRPr="005C100D">
        <w:rPr>
          <w:color w:val="000000"/>
          <w:sz w:val="24"/>
          <w:szCs w:val="24"/>
          <w:lang w:val="en-US"/>
        </w:rPr>
        <w:t xml:space="preserve"> t</w:t>
      </w:r>
      <w:r>
        <w:rPr>
          <w:color w:val="000000"/>
          <w:sz w:val="24"/>
          <w:szCs w:val="24"/>
          <w:lang w:val="en-US"/>
        </w:rPr>
        <w:t xml:space="preserve">he Danish Aliens Law reflected an intention to use </w:t>
      </w:r>
      <w:r w:rsidRPr="005C100D">
        <w:rPr>
          <w:color w:val="000000"/>
          <w:sz w:val="24"/>
          <w:szCs w:val="24"/>
          <w:lang w:val="en-US"/>
        </w:rPr>
        <w:t>detention of newly arrived asylum seekers and rejected asylum seekers</w:t>
      </w:r>
      <w:r>
        <w:rPr>
          <w:color w:val="000000"/>
          <w:sz w:val="24"/>
          <w:szCs w:val="24"/>
          <w:lang w:val="en-US"/>
        </w:rPr>
        <w:t xml:space="preserve"> to a larger extent.</w:t>
      </w:r>
      <w:r>
        <w:rPr>
          <w:rStyle w:val="FootnoteReference"/>
          <w:color w:val="000000"/>
          <w:sz w:val="24"/>
          <w:szCs w:val="24"/>
          <w:lang w:val="en-US"/>
        </w:rPr>
        <w:footnoteReference w:id="103"/>
      </w:r>
      <w:r>
        <w:rPr>
          <w:color w:val="000000"/>
          <w:sz w:val="24"/>
          <w:szCs w:val="24"/>
          <w:lang w:val="en-US"/>
        </w:rPr>
        <w:t xml:space="preserve"> </w:t>
      </w:r>
    </w:p>
    <w:p w:rsidR="00AE4F9D" w:rsidRDefault="00AE4F9D" w:rsidP="00AE4F9D">
      <w:pPr>
        <w:spacing w:before="100" w:beforeAutospacing="1" w:after="100" w:afterAutospacing="1"/>
        <w:jc w:val="both"/>
        <w:rPr>
          <w:color w:val="000000"/>
          <w:sz w:val="24"/>
          <w:szCs w:val="24"/>
          <w:lang w:val="en-US"/>
        </w:rPr>
      </w:pPr>
      <w:r>
        <w:rPr>
          <w:color w:val="000000"/>
          <w:sz w:val="24"/>
          <w:szCs w:val="24"/>
          <w:lang w:val="en-US"/>
        </w:rPr>
        <w:t>D</w:t>
      </w:r>
      <w:r w:rsidRPr="005C100D">
        <w:rPr>
          <w:color w:val="000000"/>
          <w:sz w:val="24"/>
          <w:szCs w:val="24"/>
          <w:lang w:val="en-US"/>
        </w:rPr>
        <w:t xml:space="preserve">etention of </w:t>
      </w:r>
      <w:r>
        <w:rPr>
          <w:color w:val="000000"/>
          <w:sz w:val="24"/>
          <w:szCs w:val="24"/>
          <w:lang w:val="en-US"/>
        </w:rPr>
        <w:t xml:space="preserve">the latter group is justified by being a </w:t>
      </w:r>
      <w:r w:rsidRPr="005C100D">
        <w:rPr>
          <w:color w:val="000000"/>
          <w:sz w:val="24"/>
          <w:szCs w:val="24"/>
          <w:lang w:val="en-US"/>
        </w:rPr>
        <w:t xml:space="preserve">motivation enhancing instrument and </w:t>
      </w:r>
      <w:r>
        <w:rPr>
          <w:color w:val="000000"/>
          <w:sz w:val="24"/>
          <w:szCs w:val="24"/>
          <w:lang w:val="en-US"/>
        </w:rPr>
        <w:t>by the aim of securing</w:t>
      </w:r>
      <w:r w:rsidRPr="005C100D">
        <w:rPr>
          <w:color w:val="000000"/>
          <w:sz w:val="24"/>
          <w:szCs w:val="24"/>
          <w:lang w:val="en-US"/>
        </w:rPr>
        <w:t xml:space="preserve"> the presence </w:t>
      </w:r>
      <w:r>
        <w:rPr>
          <w:color w:val="000000"/>
          <w:sz w:val="24"/>
          <w:szCs w:val="24"/>
          <w:lang w:val="en-US"/>
        </w:rPr>
        <w:t xml:space="preserve">of the rejected asylum seeker. </w:t>
      </w:r>
      <w:r w:rsidR="00073490">
        <w:rPr>
          <w:color w:val="000000"/>
          <w:sz w:val="24"/>
          <w:szCs w:val="24"/>
          <w:lang w:val="en-US"/>
        </w:rPr>
        <w:t>However, t</w:t>
      </w:r>
      <w:r w:rsidRPr="005C100D">
        <w:rPr>
          <w:color w:val="000000"/>
          <w:sz w:val="24"/>
          <w:szCs w:val="24"/>
          <w:lang w:val="en-US"/>
        </w:rPr>
        <w:t xml:space="preserve">he Danish Police has repeatedly concluded that detention has limited effect on forcing rejected asylum seekers to cooperate. Unfortunately, the </w:t>
      </w:r>
      <w:r>
        <w:rPr>
          <w:color w:val="000000"/>
          <w:sz w:val="24"/>
          <w:szCs w:val="24"/>
          <w:lang w:val="en-US"/>
        </w:rPr>
        <w:t>experience of the Danish police was</w:t>
      </w:r>
      <w:r w:rsidRPr="005C100D">
        <w:rPr>
          <w:color w:val="000000"/>
          <w:sz w:val="24"/>
          <w:szCs w:val="24"/>
          <w:lang w:val="en-US"/>
        </w:rPr>
        <w:t xml:space="preserve"> not </w:t>
      </w:r>
      <w:r>
        <w:rPr>
          <w:color w:val="000000"/>
          <w:sz w:val="24"/>
          <w:szCs w:val="24"/>
          <w:lang w:val="en-US"/>
        </w:rPr>
        <w:t xml:space="preserve">taken into consideration </w:t>
      </w:r>
      <w:r w:rsidRPr="005C100D">
        <w:rPr>
          <w:color w:val="000000"/>
          <w:sz w:val="24"/>
          <w:szCs w:val="24"/>
          <w:lang w:val="en-US"/>
        </w:rPr>
        <w:t xml:space="preserve">during the </w:t>
      </w:r>
      <w:r>
        <w:rPr>
          <w:color w:val="000000"/>
          <w:sz w:val="24"/>
          <w:szCs w:val="24"/>
          <w:lang w:val="en-US"/>
        </w:rPr>
        <w:t xml:space="preserve">extremely brief </w:t>
      </w:r>
      <w:r w:rsidRPr="005C100D">
        <w:rPr>
          <w:color w:val="000000"/>
          <w:sz w:val="24"/>
          <w:szCs w:val="24"/>
          <w:lang w:val="en-US"/>
        </w:rPr>
        <w:t xml:space="preserve">legislative process </w:t>
      </w:r>
      <w:r>
        <w:rPr>
          <w:color w:val="000000"/>
          <w:sz w:val="24"/>
          <w:szCs w:val="24"/>
          <w:lang w:val="en-US"/>
        </w:rPr>
        <w:t>(less than 5 days) during which the</w:t>
      </w:r>
      <w:r w:rsidRPr="005C100D">
        <w:rPr>
          <w:color w:val="000000"/>
          <w:sz w:val="24"/>
          <w:szCs w:val="24"/>
          <w:lang w:val="en-US"/>
        </w:rPr>
        <w:t xml:space="preserve"> amendment</w:t>
      </w:r>
      <w:r>
        <w:rPr>
          <w:color w:val="000000"/>
          <w:sz w:val="24"/>
          <w:szCs w:val="24"/>
          <w:lang w:val="en-US"/>
        </w:rPr>
        <w:t xml:space="preserve"> was amended by the Parliament and during which civil society and others did not have a proper chance to provide comments.</w:t>
      </w:r>
      <w:r w:rsidRPr="005C100D">
        <w:rPr>
          <w:color w:val="000000"/>
          <w:sz w:val="24"/>
          <w:szCs w:val="24"/>
          <w:lang w:val="en-US"/>
        </w:rPr>
        <w:t xml:space="preserve"> </w:t>
      </w:r>
    </w:p>
    <w:p w:rsidR="00B111E6" w:rsidRPr="00CC3FBE" w:rsidRDefault="00CC3FBE" w:rsidP="00B111E6">
      <w:pPr>
        <w:jc w:val="both"/>
        <w:rPr>
          <w:rFonts w:cs="Times New Roman"/>
          <w:sz w:val="24"/>
          <w:szCs w:val="24"/>
          <w:lang w:val="en-GB"/>
        </w:rPr>
      </w:pPr>
      <w:r w:rsidRPr="005C100D">
        <w:rPr>
          <w:rFonts w:cs="Times New Roman"/>
          <w:sz w:val="24"/>
          <w:szCs w:val="24"/>
          <w:lang w:val="en-GB"/>
        </w:rPr>
        <w:t>The Danish Bar and Law Society – the organisation of lawyers specialised in the Danish Aliens Law is aware of cases in which their lawyers have represented clients who have waited for years in Danish asylum centres. A recent extreme example was a single mother of two who fled Iran in year 2000, and only in 2015 did she finally get as</w:t>
      </w:r>
      <w:r w:rsidR="00050BB3">
        <w:rPr>
          <w:rFonts w:cs="Times New Roman"/>
          <w:sz w:val="24"/>
          <w:szCs w:val="24"/>
          <w:lang w:val="en-GB"/>
        </w:rPr>
        <w:t>ylum after spending 15 years at asylum places</w:t>
      </w:r>
      <w:r>
        <w:rPr>
          <w:rFonts w:cs="Times New Roman"/>
          <w:sz w:val="24"/>
          <w:szCs w:val="24"/>
          <w:lang w:val="en-GB"/>
        </w:rPr>
        <w:t xml:space="preserve"> with her children. </w:t>
      </w:r>
    </w:p>
    <w:p w:rsidR="004056BB" w:rsidRDefault="00F50070" w:rsidP="00B111E6">
      <w:pPr>
        <w:jc w:val="both"/>
        <w:rPr>
          <w:rFonts w:cs="Times New Roman"/>
          <w:sz w:val="24"/>
          <w:szCs w:val="24"/>
          <w:lang w:val="en-US"/>
        </w:rPr>
      </w:pPr>
      <w:r>
        <w:rPr>
          <w:rFonts w:cstheme="majorBidi"/>
          <w:sz w:val="24"/>
          <w:szCs w:val="24"/>
          <w:lang w:val="en-GB"/>
        </w:rPr>
        <w:lastRenderedPageBreak/>
        <w:t xml:space="preserve">The group of </w:t>
      </w:r>
      <w:r w:rsidR="00B111E6" w:rsidRPr="005C100D">
        <w:rPr>
          <w:rFonts w:cstheme="majorBidi"/>
          <w:i/>
          <w:iCs/>
          <w:sz w:val="24"/>
          <w:szCs w:val="24"/>
          <w:lang w:val="en-GB"/>
        </w:rPr>
        <w:t>foreigners who are awaiting deportation</w:t>
      </w:r>
      <w:r w:rsidR="0036474C">
        <w:rPr>
          <w:rFonts w:cstheme="majorBidi"/>
          <w:sz w:val="24"/>
          <w:szCs w:val="24"/>
          <w:lang w:val="en-GB"/>
        </w:rPr>
        <w:t xml:space="preserve"> -</w:t>
      </w:r>
      <w:r w:rsidR="00B111E6" w:rsidRPr="005C100D">
        <w:rPr>
          <w:rFonts w:cstheme="majorBidi"/>
          <w:sz w:val="24"/>
          <w:szCs w:val="24"/>
          <w:lang w:val="en-GB"/>
        </w:rPr>
        <w:t xml:space="preserve"> either following a judgement</w:t>
      </w:r>
      <w:r w:rsidR="0036474C">
        <w:rPr>
          <w:rFonts w:cstheme="majorBidi"/>
          <w:sz w:val="24"/>
          <w:szCs w:val="24"/>
          <w:lang w:val="en-GB"/>
        </w:rPr>
        <w:t xml:space="preserve"> or an administrative decision - </w:t>
      </w:r>
      <w:r w:rsidR="00B111E6" w:rsidRPr="005C100D">
        <w:rPr>
          <w:rFonts w:cstheme="majorBidi"/>
          <w:sz w:val="24"/>
          <w:szCs w:val="24"/>
          <w:lang w:val="en-GB"/>
        </w:rPr>
        <w:t>is diverse and would include, for example, foreigners who have been illegally in Denmark; asylum seekers who have been rejected; or foreigners who have been convicted of a crime. The group would generally include many less resourceful people and various vulnerable groups, including victims of to</w:t>
      </w:r>
      <w:r w:rsidR="00B111E6">
        <w:rPr>
          <w:rFonts w:cstheme="majorBidi"/>
          <w:sz w:val="24"/>
          <w:szCs w:val="24"/>
          <w:lang w:val="en-GB"/>
        </w:rPr>
        <w:t xml:space="preserve">rture and children. </w:t>
      </w:r>
      <w:r w:rsidR="00B111E6" w:rsidRPr="005C100D">
        <w:rPr>
          <w:rFonts w:cs="Times New Roman"/>
          <w:sz w:val="24"/>
          <w:szCs w:val="24"/>
          <w:lang w:val="en-US"/>
        </w:rPr>
        <w:t>Imprisonment can be particularly damaging to those who are already psychologically vulnerable because of past trauma, such as torture</w:t>
      </w:r>
      <w:r w:rsidR="0011248E">
        <w:rPr>
          <w:rFonts w:cs="Times New Roman"/>
          <w:sz w:val="24"/>
          <w:szCs w:val="24"/>
          <w:lang w:val="en-US"/>
        </w:rPr>
        <w:t>.</w:t>
      </w:r>
      <w:r w:rsidR="00B111E6" w:rsidRPr="005C100D">
        <w:rPr>
          <w:rStyle w:val="FootnoteReference"/>
          <w:sz w:val="24"/>
          <w:szCs w:val="24"/>
        </w:rPr>
        <w:footnoteReference w:id="104"/>
      </w:r>
      <w:r w:rsidR="0011248E">
        <w:rPr>
          <w:rFonts w:cs="Times New Roman"/>
          <w:sz w:val="24"/>
          <w:szCs w:val="24"/>
          <w:lang w:val="en-US"/>
        </w:rPr>
        <w:t xml:space="preserve"> </w:t>
      </w:r>
      <w:r w:rsidR="00B111E6" w:rsidRPr="005C100D">
        <w:rPr>
          <w:rFonts w:cs="Times New Roman"/>
          <w:sz w:val="24"/>
          <w:szCs w:val="24"/>
          <w:lang w:val="en-US"/>
        </w:rPr>
        <w:t xml:space="preserve">The UN Special Rapporteur on the human rights of migrants has pointed out that </w:t>
      </w:r>
    </w:p>
    <w:p w:rsidR="004056BB" w:rsidRPr="00235FCC" w:rsidRDefault="004056BB" w:rsidP="004056BB">
      <w:pPr>
        <w:ind w:left="1304"/>
        <w:jc w:val="both"/>
        <w:rPr>
          <w:rFonts w:cs="Times New Roman"/>
          <w:sz w:val="20"/>
          <w:szCs w:val="20"/>
          <w:lang w:val="en-US"/>
        </w:rPr>
      </w:pPr>
      <w:r w:rsidRPr="00E13F66">
        <w:rPr>
          <w:rFonts w:cs="Times New Roman"/>
          <w:sz w:val="18"/>
          <w:szCs w:val="18"/>
          <w:lang w:val="en-US"/>
        </w:rPr>
        <w:t>“</w:t>
      </w:r>
      <w:r w:rsidR="00B111E6" w:rsidRPr="00235FCC">
        <w:rPr>
          <w:rFonts w:cs="Times New Roman"/>
          <w:sz w:val="20"/>
          <w:szCs w:val="20"/>
          <w:lang w:val="en-US"/>
        </w:rPr>
        <w:t>detention can be particularly damaging to vulnerable categories of migrants, including victims of torture, unaccompanied older persons, persons with a mental or physical disability, and persons living with HIV/AIDS.”</w:t>
      </w:r>
      <w:r w:rsidR="00B111E6" w:rsidRPr="00235FCC">
        <w:rPr>
          <w:rStyle w:val="FootnoteReference"/>
          <w:sz w:val="20"/>
          <w:szCs w:val="20"/>
          <w:lang w:val="en-US"/>
        </w:rPr>
        <w:footnoteReference w:id="105"/>
      </w:r>
      <w:r w:rsidR="00B111E6" w:rsidRPr="00235FCC">
        <w:rPr>
          <w:rFonts w:cs="Times New Roman"/>
          <w:sz w:val="20"/>
          <w:szCs w:val="20"/>
          <w:lang w:val="en-US"/>
        </w:rPr>
        <w:t xml:space="preserve"> </w:t>
      </w:r>
    </w:p>
    <w:p w:rsidR="00073490" w:rsidRPr="004056BB" w:rsidRDefault="00B111E6" w:rsidP="004056BB">
      <w:pPr>
        <w:jc w:val="both"/>
        <w:rPr>
          <w:rFonts w:cstheme="majorBidi"/>
          <w:sz w:val="24"/>
          <w:szCs w:val="24"/>
          <w:lang w:val="en-GB"/>
        </w:rPr>
      </w:pPr>
      <w:r w:rsidRPr="005C100D">
        <w:rPr>
          <w:rFonts w:cs="Times New Roman"/>
          <w:sz w:val="24"/>
          <w:szCs w:val="24"/>
          <w:lang w:val="en-GB"/>
        </w:rPr>
        <w:t xml:space="preserve">Research also </w:t>
      </w:r>
      <w:r w:rsidRPr="005C100D">
        <w:rPr>
          <w:rFonts w:cs="Times New Roman"/>
          <w:sz w:val="24"/>
          <w:szCs w:val="24"/>
          <w:lang w:val="es-MX"/>
        </w:rPr>
        <w:t>shows</w:t>
      </w:r>
      <w:r w:rsidRPr="005C100D">
        <w:rPr>
          <w:rFonts w:cs="Times New Roman"/>
          <w:sz w:val="24"/>
          <w:szCs w:val="24"/>
          <w:lang w:val="en-US"/>
        </w:rPr>
        <w:t xml:space="preserve"> that detention of specifically asylum seekers has widespread and seriously damaging effects on the mental (and sometimes physical) health of those incarcerated.</w:t>
      </w:r>
      <w:r w:rsidRPr="005C100D">
        <w:rPr>
          <w:rStyle w:val="FootnoteReference"/>
          <w:sz w:val="24"/>
          <w:szCs w:val="24"/>
        </w:rPr>
        <w:footnoteReference w:id="106"/>
      </w:r>
      <w:r w:rsidRPr="005C100D">
        <w:rPr>
          <w:rFonts w:cs="Times New Roman"/>
          <w:sz w:val="24"/>
          <w:szCs w:val="24"/>
          <w:lang w:val="en-US"/>
        </w:rPr>
        <w:t xml:space="preserve"> </w:t>
      </w:r>
    </w:p>
    <w:p w:rsidR="00AE4F9D" w:rsidRPr="005C100D" w:rsidRDefault="00AE4F9D" w:rsidP="00AE4F9D">
      <w:pPr>
        <w:jc w:val="both"/>
        <w:rPr>
          <w:rFonts w:cstheme="majorBidi"/>
          <w:sz w:val="24"/>
          <w:szCs w:val="24"/>
          <w:lang w:val="en-GB"/>
        </w:rPr>
      </w:pPr>
      <w:r w:rsidRPr="005C100D">
        <w:rPr>
          <w:rFonts w:cstheme="majorBidi"/>
          <w:sz w:val="24"/>
          <w:szCs w:val="24"/>
          <w:lang w:val="en-GB"/>
        </w:rPr>
        <w:t>The Committee against Torture raised concerns about the long waiting periods at asylum centres in its Concluding Observations concerning Denmark (2015</w:t>
      </w:r>
      <w:r>
        <w:rPr>
          <w:rFonts w:cstheme="majorBidi"/>
          <w:sz w:val="24"/>
          <w:szCs w:val="24"/>
          <w:lang w:val="en-GB"/>
        </w:rPr>
        <w:t>). Moreover, in a</w:t>
      </w:r>
      <w:r w:rsidRPr="005C100D">
        <w:rPr>
          <w:rFonts w:cstheme="majorBidi"/>
          <w:sz w:val="24"/>
          <w:szCs w:val="24"/>
          <w:lang w:val="en-GB"/>
        </w:rPr>
        <w:t xml:space="preserve"> decision of 6 February 2013 to Denmark, the Committee noted that;</w:t>
      </w:r>
    </w:p>
    <w:p w:rsidR="00AE4F9D" w:rsidRPr="00235FCC" w:rsidRDefault="00AE4F9D" w:rsidP="00C93B6F">
      <w:pPr>
        <w:ind w:left="1304" w:firstLine="4"/>
        <w:jc w:val="both"/>
        <w:rPr>
          <w:rFonts w:cstheme="majorBidi"/>
          <w:sz w:val="20"/>
          <w:szCs w:val="20"/>
          <w:lang w:val="en-GB"/>
        </w:rPr>
      </w:pPr>
      <w:r w:rsidRPr="00235FCC">
        <w:rPr>
          <w:i/>
          <w:sz w:val="20"/>
          <w:szCs w:val="20"/>
          <w:lang w:val="en-US"/>
        </w:rPr>
        <w:t>when detention of refused asylum seekers is applied, as a last resort, its duration should be limited, medical checks upon arrival in detention facilities should be ensured, and a medical and psychological follow-up by a specially trained independent health expert should be provided when signs of torture or traumatization have been detected during the asylum proceedings</w:t>
      </w:r>
      <w:r w:rsidRPr="00235FCC">
        <w:rPr>
          <w:sz w:val="20"/>
          <w:szCs w:val="20"/>
          <w:lang w:val="en-US"/>
        </w:rPr>
        <w:t>.</w:t>
      </w:r>
      <w:r w:rsidRPr="00235FCC">
        <w:rPr>
          <w:rStyle w:val="FootnoteReference"/>
          <w:sz w:val="20"/>
          <w:szCs w:val="20"/>
          <w:lang w:val="en-US"/>
        </w:rPr>
        <w:footnoteReference w:id="107"/>
      </w:r>
    </w:p>
    <w:p w:rsidR="00AE4F9D" w:rsidRPr="005C100D" w:rsidRDefault="00AE4F9D" w:rsidP="00AE4F9D">
      <w:pPr>
        <w:jc w:val="both"/>
        <w:rPr>
          <w:i/>
          <w:iCs/>
          <w:sz w:val="24"/>
          <w:szCs w:val="24"/>
          <w:lang w:val="en-US"/>
        </w:rPr>
      </w:pPr>
      <w:r w:rsidRPr="005C100D">
        <w:rPr>
          <w:sz w:val="24"/>
          <w:szCs w:val="24"/>
          <w:lang w:val="en-US"/>
        </w:rPr>
        <w:t xml:space="preserve">In the opinion of the Special Rapporteur on Torture, deprivation of liberty for administrative reasons for a prolonged period without knowing the length of the detention may amount to inhuman and degrading treatment. </w:t>
      </w:r>
      <w:r w:rsidRPr="005C100D">
        <w:rPr>
          <w:rStyle w:val="FootnoteReference"/>
          <w:sz w:val="24"/>
          <w:szCs w:val="24"/>
          <w:lang w:val="en-US"/>
        </w:rPr>
        <w:footnoteReference w:id="108"/>
      </w:r>
      <w:r w:rsidRPr="005C100D">
        <w:rPr>
          <w:sz w:val="24"/>
          <w:szCs w:val="24"/>
          <w:lang w:val="en-US"/>
        </w:rPr>
        <w:t xml:space="preserve"> </w:t>
      </w:r>
    </w:p>
    <w:p w:rsidR="00AE4F9D" w:rsidRPr="005C100D" w:rsidRDefault="00AE4F9D" w:rsidP="00AE4F9D">
      <w:pPr>
        <w:jc w:val="both"/>
        <w:rPr>
          <w:rFonts w:cstheme="majorBidi"/>
          <w:sz w:val="24"/>
          <w:szCs w:val="24"/>
          <w:lang w:val="en-GB"/>
        </w:rPr>
      </w:pPr>
      <w:r w:rsidRPr="005C100D">
        <w:rPr>
          <w:rFonts w:cstheme="majorBidi"/>
          <w:sz w:val="24"/>
          <w:szCs w:val="24"/>
          <w:lang w:val="en-GB"/>
        </w:rPr>
        <w:t>The CPT stressed, in its report to the Danish Government on its visit to Denmark in 2014, that asylum seekers should only be detained as a last resort, for the shortest possible duration, and after other, less coercive measures have proven insufficient to ensure the presence of the persons.</w:t>
      </w:r>
      <w:r w:rsidRPr="005C100D">
        <w:rPr>
          <w:rStyle w:val="FootnoteReference"/>
          <w:rFonts w:cstheme="majorBidi"/>
          <w:sz w:val="24"/>
          <w:szCs w:val="24"/>
          <w:lang w:val="en-GB"/>
        </w:rPr>
        <w:footnoteReference w:id="109"/>
      </w:r>
      <w:r w:rsidRPr="005C100D">
        <w:rPr>
          <w:rFonts w:cstheme="majorBidi"/>
          <w:sz w:val="24"/>
          <w:szCs w:val="24"/>
          <w:lang w:val="en-GB"/>
        </w:rPr>
        <w:t xml:space="preserve"> </w:t>
      </w:r>
    </w:p>
    <w:p w:rsidR="00AE4F9D" w:rsidRPr="005C100D" w:rsidRDefault="00AE4F9D" w:rsidP="00AE4F9D">
      <w:pPr>
        <w:jc w:val="both"/>
        <w:rPr>
          <w:rFonts w:cstheme="majorBidi"/>
          <w:sz w:val="24"/>
          <w:szCs w:val="24"/>
          <w:lang w:val="en-GB"/>
        </w:rPr>
      </w:pPr>
      <w:r w:rsidRPr="005C100D">
        <w:rPr>
          <w:rFonts w:cstheme="majorBidi"/>
          <w:sz w:val="24"/>
          <w:szCs w:val="24"/>
          <w:lang w:val="en-GB"/>
        </w:rPr>
        <w:t xml:space="preserve">Specifically with regard to minors, CPT noted after its visit to </w:t>
      </w:r>
      <w:proofErr w:type="spellStart"/>
      <w:r w:rsidRPr="005C100D">
        <w:rPr>
          <w:rFonts w:cstheme="majorBidi"/>
          <w:sz w:val="24"/>
          <w:szCs w:val="24"/>
          <w:lang w:val="en-GB"/>
        </w:rPr>
        <w:t>Ellebæk</w:t>
      </w:r>
      <w:proofErr w:type="spellEnd"/>
      <w:r w:rsidRPr="005C100D">
        <w:rPr>
          <w:rFonts w:cstheme="majorBidi"/>
          <w:sz w:val="24"/>
          <w:szCs w:val="24"/>
          <w:lang w:val="en-GB"/>
        </w:rPr>
        <w:t>, (formerly “</w:t>
      </w:r>
      <w:proofErr w:type="spellStart"/>
      <w:r w:rsidRPr="005C100D">
        <w:rPr>
          <w:rFonts w:cstheme="majorBidi"/>
          <w:sz w:val="24"/>
          <w:szCs w:val="24"/>
          <w:lang w:val="en-GB"/>
        </w:rPr>
        <w:t>Sandholm</w:t>
      </w:r>
      <w:proofErr w:type="spellEnd"/>
      <w:r w:rsidRPr="005C100D">
        <w:rPr>
          <w:rFonts w:cstheme="majorBidi"/>
          <w:sz w:val="24"/>
          <w:szCs w:val="24"/>
          <w:lang w:val="en-GB"/>
        </w:rPr>
        <w:t>”) Prison and Probation Establishment for Asylum-seekers and Others Deprived of their Liberty</w:t>
      </w:r>
      <w:r w:rsidRPr="005C100D">
        <w:rPr>
          <w:rStyle w:val="FootnoteReference"/>
          <w:rFonts w:cstheme="majorBidi"/>
          <w:sz w:val="24"/>
          <w:szCs w:val="24"/>
          <w:lang w:val="en-GB"/>
        </w:rPr>
        <w:footnoteReference w:id="110"/>
      </w:r>
      <w:r w:rsidRPr="005C100D">
        <w:rPr>
          <w:rFonts w:cstheme="majorBidi"/>
          <w:sz w:val="24"/>
          <w:szCs w:val="24"/>
          <w:lang w:val="en-GB"/>
        </w:rPr>
        <w:t>:</w:t>
      </w:r>
    </w:p>
    <w:p w:rsidR="004056BB" w:rsidRPr="008273E1" w:rsidRDefault="00AE4F9D" w:rsidP="004056BB">
      <w:pPr>
        <w:ind w:left="426"/>
        <w:jc w:val="both"/>
        <w:rPr>
          <w:rFonts w:cstheme="majorBidi"/>
          <w:sz w:val="20"/>
          <w:szCs w:val="20"/>
          <w:lang w:val="en-GB"/>
        </w:rPr>
      </w:pPr>
      <w:r w:rsidRPr="008273E1">
        <w:rPr>
          <w:rFonts w:cstheme="majorBidi"/>
          <w:i/>
          <w:sz w:val="20"/>
          <w:szCs w:val="20"/>
          <w:lang w:val="en-GB"/>
        </w:rPr>
        <w:lastRenderedPageBreak/>
        <w:t>The CPT wishes to recall its position that every effort should be made to avoid resorting to the deprivation of liberty of an irregular migrant who is a minor. Following the principle of the “best interests of the child”, as formulated in Article 3 of the United Nations Convention on the Rights of the Child, detention of children, including unaccompanied children, is rarely justified and, in the Committee’s view, can certainly not be motivated solely by the absence of residence status.</w:t>
      </w:r>
      <w:r w:rsidRPr="008273E1">
        <w:rPr>
          <w:rStyle w:val="FootnoteReference"/>
          <w:rFonts w:cstheme="majorBidi"/>
          <w:i/>
          <w:sz w:val="20"/>
          <w:szCs w:val="20"/>
          <w:lang w:val="en-GB"/>
        </w:rPr>
        <w:footnoteReference w:id="111"/>
      </w:r>
      <w:r w:rsidRPr="008273E1">
        <w:rPr>
          <w:rFonts w:cstheme="majorBidi"/>
          <w:sz w:val="20"/>
          <w:szCs w:val="20"/>
          <w:lang w:val="en-GB"/>
        </w:rPr>
        <w:t xml:space="preserve"> </w:t>
      </w:r>
    </w:p>
    <w:p w:rsidR="004056BB" w:rsidRPr="008C2782" w:rsidRDefault="004056BB" w:rsidP="008C2782">
      <w:pPr>
        <w:spacing w:before="100" w:beforeAutospacing="1" w:after="100" w:afterAutospacing="1"/>
        <w:jc w:val="both"/>
        <w:rPr>
          <w:sz w:val="24"/>
          <w:szCs w:val="24"/>
          <w:lang w:val="en-GB"/>
        </w:rPr>
      </w:pPr>
      <w:r>
        <w:rPr>
          <w:color w:val="000000"/>
          <w:sz w:val="24"/>
          <w:szCs w:val="24"/>
          <w:lang w:val="en-US"/>
        </w:rPr>
        <w:t>Moreover, </w:t>
      </w:r>
      <w:r w:rsidRPr="005C100D">
        <w:rPr>
          <w:color w:val="000000"/>
          <w:sz w:val="24"/>
          <w:szCs w:val="24"/>
          <w:lang w:val="en-US"/>
        </w:rPr>
        <w:t xml:space="preserve">the amendment to the Danish </w:t>
      </w:r>
      <w:r>
        <w:rPr>
          <w:color w:val="000000"/>
          <w:sz w:val="24"/>
          <w:szCs w:val="24"/>
          <w:lang w:val="en-US"/>
        </w:rPr>
        <w:t xml:space="preserve">Aliens </w:t>
      </w:r>
      <w:r w:rsidRPr="005C100D">
        <w:rPr>
          <w:color w:val="000000"/>
          <w:sz w:val="24"/>
          <w:szCs w:val="24"/>
          <w:lang w:val="en-US"/>
        </w:rPr>
        <w:t xml:space="preserve">Law opens up for suspension of the automatic judicial review of detention </w:t>
      </w:r>
      <w:r>
        <w:rPr>
          <w:color w:val="000000"/>
          <w:sz w:val="24"/>
          <w:szCs w:val="24"/>
          <w:lang w:val="en-US"/>
        </w:rPr>
        <w:t xml:space="preserve">in special circumstances – for example </w:t>
      </w:r>
      <w:r w:rsidRPr="005C100D">
        <w:rPr>
          <w:color w:val="000000"/>
          <w:sz w:val="24"/>
          <w:szCs w:val="24"/>
          <w:lang w:val="en-US"/>
        </w:rPr>
        <w:t xml:space="preserve">in a situation of mass influx. </w:t>
      </w:r>
      <w:r w:rsidRPr="005C100D">
        <w:rPr>
          <w:sz w:val="24"/>
          <w:szCs w:val="24"/>
          <w:lang w:val="en-GB"/>
        </w:rPr>
        <w:t>D</w:t>
      </w:r>
      <w:r w:rsidRPr="005C100D">
        <w:rPr>
          <w:rFonts w:cstheme="majorBidi"/>
          <w:sz w:val="24"/>
          <w:szCs w:val="24"/>
          <w:lang w:val="en-GB"/>
        </w:rPr>
        <w:t xml:space="preserve">eprivation of liberty, including administrative detention, should respect the protection provided by article 9 of the </w:t>
      </w:r>
      <w:r w:rsidR="00235FCC">
        <w:rPr>
          <w:rFonts w:cstheme="majorBidi"/>
          <w:sz w:val="24"/>
          <w:szCs w:val="24"/>
          <w:lang w:val="en-GB"/>
        </w:rPr>
        <w:t>ICCPR</w:t>
      </w:r>
      <w:r w:rsidRPr="005C100D">
        <w:rPr>
          <w:rFonts w:cstheme="majorBidi"/>
          <w:sz w:val="24"/>
          <w:szCs w:val="24"/>
          <w:lang w:val="en-GB"/>
        </w:rPr>
        <w:t xml:space="preserve">. </w:t>
      </w:r>
    </w:p>
    <w:p w:rsidR="002F01C0" w:rsidRPr="001220FD" w:rsidRDefault="00AE4F9D" w:rsidP="005C100D">
      <w:pPr>
        <w:jc w:val="both"/>
        <w:rPr>
          <w:rFonts w:cstheme="majorBidi"/>
          <w:sz w:val="24"/>
          <w:szCs w:val="24"/>
          <w:lang w:val="en-US"/>
        </w:rPr>
      </w:pPr>
      <w:r w:rsidRPr="005C100D">
        <w:rPr>
          <w:rFonts w:cstheme="majorBidi"/>
          <w:sz w:val="24"/>
          <w:szCs w:val="24"/>
          <w:lang w:val="en-GB"/>
        </w:rPr>
        <w:t xml:space="preserve">We </w:t>
      </w:r>
      <w:r w:rsidRPr="00CC3FBE">
        <w:rPr>
          <w:rFonts w:cstheme="majorBidi"/>
          <w:b/>
          <w:sz w:val="24"/>
          <w:szCs w:val="24"/>
          <w:lang w:val="en-GB"/>
        </w:rPr>
        <w:t>recommend that Denmark</w:t>
      </w:r>
      <w:r w:rsidRPr="00CC3FBE">
        <w:rPr>
          <w:rFonts w:cstheme="majorBidi"/>
          <w:sz w:val="24"/>
          <w:szCs w:val="24"/>
          <w:lang w:val="en-GB"/>
        </w:rPr>
        <w:t xml:space="preserve"> </w:t>
      </w:r>
      <w:r w:rsidRPr="00CC3FBE">
        <w:rPr>
          <w:rFonts w:eastAsia="Malgun Gothic"/>
          <w:sz w:val="24"/>
          <w:szCs w:val="24"/>
          <w:lang w:val="en-US"/>
        </w:rPr>
        <w:t xml:space="preserve">takes all necessary measures to ensure that the detention of foreigners is </w:t>
      </w:r>
      <w:r w:rsidR="008C2782" w:rsidRPr="00CC3FBE">
        <w:rPr>
          <w:rFonts w:eastAsia="Malgun Gothic"/>
          <w:sz w:val="24"/>
          <w:szCs w:val="24"/>
          <w:lang w:val="en-US"/>
        </w:rPr>
        <w:t xml:space="preserve">applied in accordance with the standards of ICCPR and </w:t>
      </w:r>
      <w:r w:rsidRPr="00CC3FBE">
        <w:rPr>
          <w:rFonts w:eastAsia="Malgun Gothic"/>
          <w:sz w:val="24"/>
          <w:szCs w:val="24"/>
          <w:lang w:val="en-US"/>
        </w:rPr>
        <w:t>used only as a last resort and, where necessary, for as short</w:t>
      </w:r>
      <w:r w:rsidRPr="00CC3FBE">
        <w:rPr>
          <w:rFonts w:eastAsia="Malgun Gothic"/>
          <w:sz w:val="24"/>
          <w:szCs w:val="24"/>
          <w:lang w:val="en-GB"/>
        </w:rPr>
        <w:t xml:space="preserve"> a</w:t>
      </w:r>
      <w:r w:rsidRPr="00CC3FBE">
        <w:rPr>
          <w:rFonts w:eastAsia="Malgun Gothic"/>
          <w:sz w:val="24"/>
          <w:szCs w:val="24"/>
          <w:lang w:val="en-US"/>
        </w:rPr>
        <w:t xml:space="preserve"> period as possible and without excessive restrictions. </w:t>
      </w:r>
      <w:r w:rsidR="002F01C0" w:rsidRPr="00CC3FBE">
        <w:rPr>
          <w:rFonts w:cstheme="majorBidi"/>
          <w:sz w:val="24"/>
          <w:szCs w:val="24"/>
          <w:lang w:val="en-US"/>
        </w:rPr>
        <w:t xml:space="preserve">We </w:t>
      </w:r>
      <w:r w:rsidR="002F01C0" w:rsidRPr="00CC3FBE">
        <w:rPr>
          <w:rFonts w:cstheme="majorBidi"/>
          <w:b/>
          <w:sz w:val="24"/>
          <w:szCs w:val="24"/>
          <w:lang w:val="en-US"/>
        </w:rPr>
        <w:t xml:space="preserve">recommend </w:t>
      </w:r>
      <w:r w:rsidR="002F01C0" w:rsidRPr="00CC3FBE">
        <w:rPr>
          <w:b/>
          <w:sz w:val="24"/>
          <w:szCs w:val="24"/>
          <w:lang w:val="en-GB"/>
        </w:rPr>
        <w:t>to Denmark</w:t>
      </w:r>
      <w:r w:rsidR="002F01C0" w:rsidRPr="00CC3FBE">
        <w:rPr>
          <w:sz w:val="24"/>
          <w:szCs w:val="24"/>
          <w:lang w:val="en-GB"/>
        </w:rPr>
        <w:t xml:space="preserve"> to take particular measures vis-à-vis particularly vulnerable groups, notably children and victims of se</w:t>
      </w:r>
      <w:r w:rsidR="00CC3FBE" w:rsidRPr="00CC3FBE">
        <w:rPr>
          <w:sz w:val="24"/>
          <w:szCs w:val="24"/>
          <w:lang w:val="en-GB"/>
        </w:rPr>
        <w:t>vere traumatisation and torture,</w:t>
      </w:r>
      <w:r w:rsidR="002F01C0" w:rsidRPr="00CC3FBE">
        <w:rPr>
          <w:sz w:val="24"/>
          <w:szCs w:val="24"/>
          <w:lang w:val="en-GB"/>
        </w:rPr>
        <w:t xml:space="preserve"> </w:t>
      </w:r>
      <w:r w:rsidR="00CC3FBE" w:rsidRPr="00CC3FBE">
        <w:rPr>
          <w:rFonts w:eastAsia="Malgun Gothic"/>
          <w:sz w:val="24"/>
          <w:szCs w:val="24"/>
          <w:lang w:val="en-US"/>
        </w:rPr>
        <w:t>and that generally, the conditions of detention are appropriate and in accordance with international standards.</w:t>
      </w:r>
    </w:p>
    <w:p w:rsidR="002003E2" w:rsidRPr="005C100D" w:rsidRDefault="00BB02C5" w:rsidP="005C100D">
      <w:pPr>
        <w:pStyle w:val="Heading3"/>
        <w:spacing w:after="240"/>
        <w:jc w:val="both"/>
        <w:rPr>
          <w:bCs/>
          <w:color w:val="365F91" w:themeColor="accent1" w:themeShade="BF"/>
          <w:lang w:val="en-GB"/>
        </w:rPr>
      </w:pPr>
      <w:bookmarkStart w:id="15" w:name="_Toc451866553"/>
      <w:r w:rsidRPr="005C100D">
        <w:rPr>
          <w:lang w:val="en-US"/>
        </w:rPr>
        <w:t xml:space="preserve">Issue 4: </w:t>
      </w:r>
      <w:r w:rsidR="002003E2" w:rsidRPr="005C100D">
        <w:rPr>
          <w:lang w:val="en-US"/>
        </w:rPr>
        <w:t>PERSONS ON TOLERATED STAY WHO CANNOT BE DEPORTED</w:t>
      </w:r>
      <w:r w:rsidR="00876F59">
        <w:rPr>
          <w:lang w:val="en-US"/>
        </w:rPr>
        <w:t xml:space="preserve"> (Article 7)</w:t>
      </w:r>
      <w:bookmarkEnd w:id="15"/>
    </w:p>
    <w:p w:rsidR="00A25074" w:rsidRPr="005C100D" w:rsidRDefault="00A25074" w:rsidP="005C100D">
      <w:pPr>
        <w:jc w:val="both"/>
        <w:rPr>
          <w:rFonts w:cstheme="majorBidi"/>
          <w:sz w:val="24"/>
          <w:szCs w:val="24"/>
          <w:lang w:val="en-GB"/>
        </w:rPr>
      </w:pPr>
      <w:r w:rsidRPr="005C100D">
        <w:rPr>
          <w:rFonts w:cstheme="majorBidi"/>
          <w:sz w:val="24"/>
          <w:szCs w:val="24"/>
          <w:lang w:val="en-GB"/>
        </w:rPr>
        <w:t>The tolerated stay regime in Denmark is governed by the Aliens Act. There are three categories of persons placed on tolerated stay. Common for all persons on tolerated stay is that they have no residency permit in Denmark, but cannot be expelled due to the risk of torture or death penalty upon expulsion. The categories are:</w:t>
      </w:r>
    </w:p>
    <w:p w:rsidR="00A25074" w:rsidRPr="005C100D" w:rsidRDefault="00A25074" w:rsidP="005C100D">
      <w:pPr>
        <w:pStyle w:val="ListParagraph"/>
        <w:numPr>
          <w:ilvl w:val="0"/>
          <w:numId w:val="25"/>
        </w:numPr>
        <w:jc w:val="both"/>
        <w:rPr>
          <w:rFonts w:cstheme="majorBidi"/>
          <w:sz w:val="24"/>
          <w:szCs w:val="24"/>
          <w:lang w:val="en-GB"/>
        </w:rPr>
      </w:pPr>
      <w:r w:rsidRPr="005C100D">
        <w:rPr>
          <w:rFonts w:cstheme="majorBidi"/>
          <w:sz w:val="24"/>
          <w:szCs w:val="24"/>
          <w:lang w:val="en-GB"/>
        </w:rPr>
        <w:t xml:space="preserve">Persons who are excluded from obtaining asylum or have been deprived of their residence permit on the basis of crime committed in Denmark. These persons have served their time in prison and are then afterwards placed on tolerated stay. </w:t>
      </w:r>
    </w:p>
    <w:p w:rsidR="00A25074" w:rsidRPr="005C100D" w:rsidRDefault="00A25074" w:rsidP="005C100D">
      <w:pPr>
        <w:pStyle w:val="ListParagraph"/>
        <w:numPr>
          <w:ilvl w:val="0"/>
          <w:numId w:val="25"/>
        </w:numPr>
        <w:jc w:val="both"/>
        <w:rPr>
          <w:rFonts w:cstheme="majorBidi"/>
          <w:sz w:val="24"/>
          <w:szCs w:val="24"/>
          <w:lang w:val="en-GB"/>
        </w:rPr>
      </w:pPr>
      <w:r w:rsidRPr="005C100D">
        <w:rPr>
          <w:rFonts w:cstheme="majorBidi"/>
          <w:sz w:val="24"/>
          <w:szCs w:val="24"/>
          <w:lang w:val="en-GB"/>
        </w:rPr>
        <w:t xml:space="preserve">Persons, who are excluded from obtaining asylum in Denmark, cf. the UN Refugee Convention art.  F section 1 (strong reasons to believe that they have committed non-political crimes abroad). </w:t>
      </w:r>
    </w:p>
    <w:p w:rsidR="00A25074" w:rsidRPr="005C100D" w:rsidRDefault="00A25074" w:rsidP="005C100D">
      <w:pPr>
        <w:pStyle w:val="ListParagraph"/>
        <w:numPr>
          <w:ilvl w:val="0"/>
          <w:numId w:val="25"/>
        </w:numPr>
        <w:jc w:val="both"/>
        <w:rPr>
          <w:rFonts w:cstheme="majorBidi"/>
          <w:sz w:val="24"/>
          <w:szCs w:val="24"/>
          <w:lang w:val="en-GB"/>
        </w:rPr>
      </w:pPr>
      <w:r w:rsidRPr="005C100D">
        <w:rPr>
          <w:rFonts w:cstheme="majorBidi"/>
          <w:sz w:val="24"/>
          <w:szCs w:val="24"/>
          <w:lang w:val="en-GB"/>
        </w:rPr>
        <w:t>Foreigners who are administratively expelled from Demark, on the basis of being considered a treat to the national security.</w:t>
      </w:r>
    </w:p>
    <w:p w:rsidR="00A25074" w:rsidRPr="005C100D" w:rsidRDefault="00A25074" w:rsidP="005C100D">
      <w:pPr>
        <w:jc w:val="both"/>
        <w:rPr>
          <w:rFonts w:cstheme="majorBidi"/>
          <w:sz w:val="24"/>
          <w:szCs w:val="24"/>
          <w:lang w:val="en-GB"/>
        </w:rPr>
      </w:pPr>
      <w:r w:rsidRPr="005C100D">
        <w:rPr>
          <w:rFonts w:cstheme="majorBidi"/>
          <w:sz w:val="24"/>
          <w:szCs w:val="24"/>
          <w:lang w:val="en-GB"/>
        </w:rPr>
        <w:t xml:space="preserve">Until expulsion can be effectuated, these persons remain on tolerated stay </w:t>
      </w:r>
      <w:r w:rsidRPr="005C100D">
        <w:rPr>
          <w:rFonts w:cstheme="majorBidi"/>
          <w:sz w:val="24"/>
          <w:szCs w:val="24"/>
          <w:u w:val="single"/>
          <w:lang w:val="en-GB"/>
        </w:rPr>
        <w:t>indefinitely</w:t>
      </w:r>
      <w:r w:rsidRPr="005C100D">
        <w:rPr>
          <w:rFonts w:cstheme="majorBidi"/>
          <w:sz w:val="24"/>
          <w:szCs w:val="24"/>
          <w:lang w:val="en-GB"/>
        </w:rPr>
        <w:t xml:space="preserve">. The main condition when being on tolerated stay is; that the person as a main rule, must take residence at a deportation centre, either Centre </w:t>
      </w:r>
      <w:proofErr w:type="spellStart"/>
      <w:r w:rsidRPr="005C100D">
        <w:rPr>
          <w:rFonts w:cstheme="majorBidi"/>
          <w:sz w:val="24"/>
          <w:szCs w:val="24"/>
          <w:lang w:val="en-GB"/>
        </w:rPr>
        <w:t>Sandholm</w:t>
      </w:r>
      <w:proofErr w:type="spellEnd"/>
      <w:r w:rsidRPr="005C100D">
        <w:rPr>
          <w:rFonts w:cstheme="majorBidi"/>
          <w:sz w:val="24"/>
          <w:szCs w:val="24"/>
          <w:lang w:val="en-GB"/>
        </w:rPr>
        <w:t xml:space="preserve"> or Centre </w:t>
      </w:r>
      <w:proofErr w:type="spellStart"/>
      <w:r w:rsidRPr="005C100D">
        <w:rPr>
          <w:rFonts w:cstheme="majorBidi"/>
          <w:sz w:val="24"/>
          <w:szCs w:val="24"/>
          <w:lang w:val="en-GB"/>
        </w:rPr>
        <w:t>Sjælsmark</w:t>
      </w:r>
      <w:proofErr w:type="spellEnd"/>
      <w:r w:rsidRPr="005C100D">
        <w:rPr>
          <w:rFonts w:cstheme="majorBidi"/>
          <w:sz w:val="24"/>
          <w:szCs w:val="24"/>
          <w:lang w:val="en-GB"/>
        </w:rPr>
        <w:t xml:space="preserve">, and/or must report to the police daily or several times a weekly, does not have the right to work or receive education, receives a daily allowance of DKK 31 (EUR 4), can as a main rule not marry and has restricted access to health care. </w:t>
      </w:r>
    </w:p>
    <w:p w:rsidR="00A25074" w:rsidRPr="005C100D" w:rsidRDefault="00A25074" w:rsidP="005C100D">
      <w:pPr>
        <w:jc w:val="both"/>
        <w:rPr>
          <w:rFonts w:cstheme="majorBidi"/>
          <w:sz w:val="24"/>
          <w:szCs w:val="24"/>
          <w:lang w:val="en-GB"/>
        </w:rPr>
      </w:pPr>
      <w:r w:rsidRPr="005C100D">
        <w:rPr>
          <w:rFonts w:cstheme="majorBidi"/>
          <w:sz w:val="24"/>
          <w:szCs w:val="24"/>
          <w:lang w:val="en-GB"/>
        </w:rPr>
        <w:lastRenderedPageBreak/>
        <w:t>In December 2008, the tolerated stay provisions in the Aliens Act were amended. These amendments introduced requirements that significantly worsened the conditions for persons on tolerated stay, e.g. by introducing the daily reporting requirement.  It is clear from the preparatory work to the amendment, that the purpose is to reinforce the control of foreigners, who are a danger to national security, but who do not leave voluntarily and cannot expelled due to Denmark's international obligations. Despite this purpose, the amendment addresses all the three categories of persons on tolerated stay, without distinguishing between those who are considered to be a danger to the state security, and those who do not.</w:t>
      </w:r>
    </w:p>
    <w:p w:rsidR="00A25074" w:rsidRPr="005C100D" w:rsidRDefault="00A25074" w:rsidP="005C100D">
      <w:pPr>
        <w:jc w:val="both"/>
        <w:rPr>
          <w:rFonts w:cstheme="majorBidi"/>
          <w:sz w:val="24"/>
          <w:szCs w:val="24"/>
          <w:lang w:val="en-GB"/>
        </w:rPr>
      </w:pPr>
      <w:r w:rsidRPr="005C100D">
        <w:rPr>
          <w:rFonts w:cstheme="majorBidi"/>
          <w:sz w:val="24"/>
          <w:szCs w:val="24"/>
          <w:lang w:val="en-GB"/>
        </w:rPr>
        <w:t>If a person on tolerated stay does not comply with the prescribed reporting obligations, the punishment is a fine or up to one year of imprisonment, cf. the Aliens Act § 60 stk. 1.  In 2015, The High Court</w:t>
      </w:r>
      <w:r w:rsidRPr="005C100D">
        <w:rPr>
          <w:rStyle w:val="FootnoteReference"/>
          <w:rFonts w:cstheme="majorBidi"/>
          <w:sz w:val="24"/>
          <w:szCs w:val="24"/>
          <w:lang w:val="en-GB"/>
        </w:rPr>
        <w:footnoteReference w:id="112"/>
      </w:r>
      <w:r w:rsidRPr="005C100D">
        <w:rPr>
          <w:rFonts w:cstheme="majorBidi"/>
          <w:sz w:val="24"/>
          <w:szCs w:val="24"/>
          <w:lang w:val="en-GB"/>
        </w:rPr>
        <w:t xml:space="preserve"> sentenced a person on tolerated stay who had not met the reporting requirements, to 40 days of imprisonment. </w:t>
      </w:r>
    </w:p>
    <w:p w:rsidR="00A25074" w:rsidRPr="005C100D" w:rsidRDefault="00A25074" w:rsidP="005C100D">
      <w:pPr>
        <w:jc w:val="both"/>
        <w:rPr>
          <w:rFonts w:cstheme="majorBidi"/>
          <w:sz w:val="24"/>
          <w:szCs w:val="24"/>
          <w:lang w:val="en-GB"/>
        </w:rPr>
      </w:pPr>
      <w:r w:rsidRPr="005C100D">
        <w:rPr>
          <w:rFonts w:cstheme="majorBidi"/>
          <w:sz w:val="24"/>
          <w:szCs w:val="24"/>
          <w:lang w:val="en-GB"/>
        </w:rPr>
        <w:t xml:space="preserve">Following an NPM inspection of </w:t>
      </w:r>
      <w:proofErr w:type="spellStart"/>
      <w:r w:rsidRPr="005C100D">
        <w:rPr>
          <w:rFonts w:cstheme="majorBidi"/>
          <w:i/>
          <w:sz w:val="24"/>
          <w:szCs w:val="24"/>
          <w:lang w:val="en-GB"/>
        </w:rPr>
        <w:t>Center</w:t>
      </w:r>
      <w:proofErr w:type="spellEnd"/>
      <w:r w:rsidRPr="005C100D">
        <w:rPr>
          <w:rFonts w:cstheme="majorBidi"/>
          <w:i/>
          <w:sz w:val="24"/>
          <w:szCs w:val="24"/>
          <w:lang w:val="en-GB"/>
        </w:rPr>
        <w:t xml:space="preserve"> </w:t>
      </w:r>
      <w:proofErr w:type="spellStart"/>
      <w:r w:rsidRPr="005C100D">
        <w:rPr>
          <w:rFonts w:cstheme="majorBidi"/>
          <w:i/>
          <w:sz w:val="24"/>
          <w:szCs w:val="24"/>
          <w:lang w:val="en-GB"/>
        </w:rPr>
        <w:t>Sandholm</w:t>
      </w:r>
      <w:proofErr w:type="spellEnd"/>
      <w:r w:rsidRPr="005C100D">
        <w:rPr>
          <w:rFonts w:cstheme="majorBidi"/>
          <w:sz w:val="24"/>
          <w:szCs w:val="24"/>
          <w:lang w:val="en-GB"/>
        </w:rPr>
        <w:t xml:space="preserve"> in 2014, in which DIGNITY – Danish Institute Against Torture participated - the Ombudsman concluded that while the general conditions for persons on tolerated stay are not at this point in time contrary to article 3 of the ECHR, the cumulative effect of the restrictions under which persons on tolerated stay live may over time, and in concrete cases, amount to a violation of article 3 of the European Convention of Human Rights. It was concluded that the overall conditions for persons on tolerated stay are a tremendous personal burden and restriction on living conditions. The Ombudsman recommended that the entire tolerated stay regime be re-considered. </w:t>
      </w:r>
    </w:p>
    <w:p w:rsidR="00A25074" w:rsidRPr="005C100D" w:rsidRDefault="00A25074" w:rsidP="005C100D">
      <w:pPr>
        <w:jc w:val="both"/>
        <w:rPr>
          <w:rFonts w:cstheme="majorBidi"/>
          <w:sz w:val="24"/>
          <w:szCs w:val="24"/>
          <w:lang w:val="en-GB"/>
        </w:rPr>
      </w:pPr>
      <w:r w:rsidRPr="005C100D">
        <w:rPr>
          <w:rFonts w:cstheme="majorBidi"/>
          <w:sz w:val="24"/>
          <w:szCs w:val="24"/>
          <w:lang w:val="en-GB"/>
        </w:rPr>
        <w:t xml:space="preserve">This recommendation was not followed by the previous government and there are no statements or indications from the current government that they will follow the Ombudsman recommendation. </w:t>
      </w:r>
    </w:p>
    <w:p w:rsidR="002C41E1" w:rsidRPr="005C100D" w:rsidRDefault="00A25074" w:rsidP="005C100D">
      <w:pPr>
        <w:jc w:val="both"/>
        <w:rPr>
          <w:rFonts w:cstheme="majorBidi"/>
          <w:sz w:val="24"/>
          <w:szCs w:val="24"/>
          <w:lang w:val="en-GB"/>
        </w:rPr>
      </w:pPr>
      <w:r w:rsidRPr="005C100D">
        <w:rPr>
          <w:rFonts w:cstheme="majorBidi"/>
          <w:sz w:val="24"/>
          <w:szCs w:val="24"/>
          <w:lang w:val="en-GB"/>
        </w:rPr>
        <w:t xml:space="preserve">In recent years more and more individuals have been placed on tolerated stay. However, since 2007, not a single person has been expelled. In 2015, there were 67 persons on tolerated stay. </w:t>
      </w:r>
    </w:p>
    <w:p w:rsidR="00A25074" w:rsidRPr="005C100D" w:rsidRDefault="00A25074" w:rsidP="005C100D">
      <w:pPr>
        <w:jc w:val="both"/>
        <w:rPr>
          <w:sz w:val="24"/>
          <w:szCs w:val="24"/>
          <w:lang w:val="en-GB"/>
        </w:rPr>
      </w:pPr>
      <w:r w:rsidRPr="005C100D">
        <w:rPr>
          <w:sz w:val="24"/>
          <w:szCs w:val="24"/>
          <w:lang w:val="en-GB"/>
        </w:rPr>
        <w:t xml:space="preserve">LGBT Denmark is particularly concerned about a case of an LGBT person who was sentenced to five years of imprisonment and subsequent expulsion. The person has served his sentence but the expulsion order cannot be effectuated and, as a result, the case remains in deadlock, now in its 17th year. The case was brought to the attention of the </w:t>
      </w:r>
      <w:proofErr w:type="spellStart"/>
      <w:r w:rsidRPr="005C100D">
        <w:rPr>
          <w:sz w:val="24"/>
          <w:szCs w:val="24"/>
          <w:lang w:val="en-GB"/>
        </w:rPr>
        <w:t>CoE</w:t>
      </w:r>
      <w:proofErr w:type="spellEnd"/>
      <w:r w:rsidRPr="005C100D">
        <w:rPr>
          <w:sz w:val="24"/>
          <w:szCs w:val="24"/>
          <w:lang w:val="en-GB"/>
        </w:rPr>
        <w:t xml:space="preserve"> Commissioner for Human Rights during his visit to Denmark in 2013.</w:t>
      </w:r>
      <w:r w:rsidRPr="005C100D">
        <w:rPr>
          <w:rStyle w:val="FootnoteReference"/>
          <w:sz w:val="24"/>
          <w:szCs w:val="24"/>
          <w:lang w:val="en-GB"/>
        </w:rPr>
        <w:footnoteReference w:id="113"/>
      </w:r>
      <w:r w:rsidRPr="005C100D">
        <w:rPr>
          <w:sz w:val="24"/>
          <w:szCs w:val="24"/>
          <w:lang w:val="en-GB"/>
        </w:rPr>
        <w:t xml:space="preserve"> </w:t>
      </w:r>
    </w:p>
    <w:p w:rsidR="00BE0673" w:rsidRDefault="002C41E1" w:rsidP="005C100D">
      <w:pPr>
        <w:jc w:val="both"/>
        <w:rPr>
          <w:rFonts w:cstheme="majorBidi"/>
          <w:sz w:val="24"/>
          <w:szCs w:val="24"/>
          <w:lang w:val="en-GB"/>
        </w:rPr>
      </w:pPr>
      <w:r w:rsidRPr="005C100D">
        <w:rPr>
          <w:rFonts w:cstheme="majorBidi"/>
          <w:b/>
          <w:bCs/>
          <w:sz w:val="24"/>
          <w:szCs w:val="24"/>
          <w:lang w:val="en-GB"/>
        </w:rPr>
        <w:t>We recommend Denmark</w:t>
      </w:r>
      <w:r w:rsidRPr="005C100D">
        <w:rPr>
          <w:rFonts w:cstheme="majorBidi"/>
          <w:sz w:val="24"/>
          <w:szCs w:val="24"/>
          <w:lang w:val="en-GB"/>
        </w:rPr>
        <w:t xml:space="preserve"> </w:t>
      </w:r>
      <w:r w:rsidR="00A25074" w:rsidRPr="005C100D">
        <w:rPr>
          <w:rFonts w:cstheme="majorBidi"/>
          <w:sz w:val="24"/>
          <w:szCs w:val="24"/>
          <w:lang w:val="en-GB"/>
        </w:rPr>
        <w:t>to consider</w:t>
      </w:r>
      <w:r w:rsidR="00BE0673">
        <w:rPr>
          <w:rFonts w:cstheme="majorBidi"/>
          <w:sz w:val="24"/>
          <w:szCs w:val="24"/>
          <w:lang w:val="en-GB"/>
        </w:rPr>
        <w:t>:</w:t>
      </w:r>
    </w:p>
    <w:p w:rsidR="00BE0673" w:rsidRDefault="00A25074" w:rsidP="00BE0673">
      <w:pPr>
        <w:pStyle w:val="ListParagraph"/>
        <w:numPr>
          <w:ilvl w:val="0"/>
          <w:numId w:val="32"/>
        </w:numPr>
        <w:jc w:val="both"/>
        <w:rPr>
          <w:rFonts w:cstheme="majorBidi"/>
          <w:sz w:val="24"/>
          <w:szCs w:val="24"/>
          <w:lang w:val="en-GB"/>
        </w:rPr>
      </w:pPr>
      <w:r w:rsidRPr="00BE0673">
        <w:rPr>
          <w:rFonts w:cstheme="majorBidi"/>
          <w:sz w:val="24"/>
          <w:szCs w:val="24"/>
          <w:lang w:val="en-GB"/>
        </w:rPr>
        <w:lastRenderedPageBreak/>
        <w:t xml:space="preserve">introducing an upper time limit in the legislation on tolerated stay, which is decided upon in connection with the judgement on expulsion, which is proportionate to the gravity of the crime and sentence. </w:t>
      </w:r>
    </w:p>
    <w:p w:rsidR="00BE0673" w:rsidRDefault="00A25074" w:rsidP="00BE0673">
      <w:pPr>
        <w:pStyle w:val="ListParagraph"/>
        <w:numPr>
          <w:ilvl w:val="0"/>
          <w:numId w:val="32"/>
        </w:numPr>
        <w:jc w:val="both"/>
        <w:rPr>
          <w:rFonts w:cstheme="majorBidi"/>
          <w:sz w:val="24"/>
          <w:szCs w:val="24"/>
          <w:lang w:val="en-GB"/>
        </w:rPr>
      </w:pPr>
      <w:r w:rsidRPr="00BE0673">
        <w:rPr>
          <w:rFonts w:cstheme="majorBidi"/>
          <w:sz w:val="24"/>
          <w:szCs w:val="24"/>
          <w:lang w:val="en-GB"/>
        </w:rPr>
        <w:t xml:space="preserve">introducing an absolute time limit for persons on tolerated stay. </w:t>
      </w:r>
    </w:p>
    <w:p w:rsidR="005C6FFD" w:rsidRPr="00BE0673" w:rsidRDefault="00BE0673" w:rsidP="00BE0673">
      <w:pPr>
        <w:pStyle w:val="ListParagraph"/>
        <w:numPr>
          <w:ilvl w:val="0"/>
          <w:numId w:val="32"/>
        </w:numPr>
        <w:jc w:val="both"/>
        <w:rPr>
          <w:rFonts w:cstheme="majorBidi"/>
          <w:sz w:val="24"/>
          <w:szCs w:val="24"/>
          <w:lang w:val="en-GB"/>
        </w:rPr>
      </w:pPr>
      <w:r>
        <w:rPr>
          <w:rFonts w:cstheme="majorBidi"/>
          <w:sz w:val="24"/>
          <w:szCs w:val="24"/>
          <w:lang w:val="en-GB"/>
        </w:rPr>
        <w:t>Re-considering the conditions for persons on tolerated stay ensuring that the restrictions are not an disproportionate infringement upon their lives</w:t>
      </w:r>
      <w:r w:rsidR="00876F59">
        <w:rPr>
          <w:rFonts w:cstheme="majorBidi"/>
          <w:sz w:val="24"/>
          <w:szCs w:val="24"/>
          <w:lang w:val="en-GB"/>
        </w:rPr>
        <w:t xml:space="preserve"> and do not violated the rights of foreigners on tolerated stay</w:t>
      </w:r>
      <w:r w:rsidR="00004AE6">
        <w:rPr>
          <w:rFonts w:cstheme="majorBidi"/>
          <w:sz w:val="24"/>
          <w:szCs w:val="24"/>
          <w:lang w:val="en-GB"/>
        </w:rPr>
        <w:t>, including Article 7 ICCPR.</w:t>
      </w:r>
      <w:r w:rsidR="00876F59">
        <w:rPr>
          <w:rStyle w:val="FootnoteReference"/>
          <w:rFonts w:cstheme="majorBidi"/>
          <w:sz w:val="24"/>
          <w:szCs w:val="24"/>
          <w:lang w:val="en-GB"/>
        </w:rPr>
        <w:footnoteReference w:id="114"/>
      </w:r>
    </w:p>
    <w:p w:rsidR="00513403" w:rsidRPr="005C100D" w:rsidRDefault="00D01594" w:rsidP="005C100D">
      <w:pPr>
        <w:pStyle w:val="Heading3"/>
        <w:spacing w:after="240"/>
        <w:jc w:val="both"/>
        <w:rPr>
          <w:lang w:val="en-GB"/>
        </w:rPr>
      </w:pPr>
      <w:bookmarkStart w:id="16" w:name="_Toc451866554"/>
      <w:r w:rsidRPr="005C100D">
        <w:rPr>
          <w:lang w:val="en-GB"/>
        </w:rPr>
        <w:t>I</w:t>
      </w:r>
      <w:r w:rsidR="00851A06">
        <w:rPr>
          <w:lang w:val="en-GB"/>
        </w:rPr>
        <w:t xml:space="preserve">ssue 5: THE PROTECTION OF LGBTI PERSONS (Article 2, </w:t>
      </w:r>
      <w:r w:rsidR="00C63F68">
        <w:rPr>
          <w:lang w:val="en-GB"/>
        </w:rPr>
        <w:t xml:space="preserve">7, </w:t>
      </w:r>
      <w:r w:rsidR="00851A06">
        <w:rPr>
          <w:lang w:val="en-GB"/>
        </w:rPr>
        <w:t>17 and 26)</w:t>
      </w:r>
      <w:bookmarkEnd w:id="16"/>
      <w:r w:rsidRPr="005C100D">
        <w:rPr>
          <w:lang w:val="en-GB"/>
        </w:rPr>
        <w:t xml:space="preserve"> </w:t>
      </w:r>
    </w:p>
    <w:p w:rsidR="00C042E5" w:rsidRPr="00C042E5" w:rsidRDefault="00C042E5" w:rsidP="005C100D">
      <w:pPr>
        <w:jc w:val="both"/>
        <w:rPr>
          <w:b/>
          <w:sz w:val="24"/>
          <w:szCs w:val="24"/>
          <w:lang w:val="en-US"/>
        </w:rPr>
      </w:pPr>
      <w:r w:rsidRPr="005C100D">
        <w:rPr>
          <w:sz w:val="24"/>
          <w:szCs w:val="24"/>
          <w:lang w:val="en-US"/>
        </w:rPr>
        <w:t xml:space="preserve">While Danish authorities have taken commendable steps to enhance the protection of LGBTI persons against discrimination, certain formal structures remain in place, making it challenging to report and </w:t>
      </w:r>
      <w:r>
        <w:rPr>
          <w:sz w:val="24"/>
          <w:szCs w:val="24"/>
          <w:lang w:val="en-US"/>
        </w:rPr>
        <w:t xml:space="preserve">obtain remedies in cases related to discrimination on </w:t>
      </w:r>
      <w:r w:rsidRPr="005C100D">
        <w:rPr>
          <w:sz w:val="24"/>
          <w:szCs w:val="24"/>
          <w:lang w:val="en-US"/>
        </w:rPr>
        <w:t>the basis of sexual orientation, gender identity &amp; expression or sex chara</w:t>
      </w:r>
      <w:r>
        <w:rPr>
          <w:sz w:val="24"/>
          <w:szCs w:val="24"/>
          <w:lang w:val="en-US"/>
        </w:rPr>
        <w:t>cteristics</w:t>
      </w:r>
      <w:r>
        <w:rPr>
          <w:sz w:val="24"/>
          <w:szCs w:val="24"/>
          <w:lang w:val="en-US"/>
        </w:rPr>
        <w:t>, and to access health services</w:t>
      </w:r>
      <w:r w:rsidRPr="005C100D">
        <w:rPr>
          <w:b/>
          <w:sz w:val="24"/>
          <w:szCs w:val="24"/>
          <w:lang w:val="en-US"/>
        </w:rPr>
        <w:t xml:space="preserve">. </w:t>
      </w:r>
    </w:p>
    <w:p w:rsidR="00513403" w:rsidRPr="005C100D" w:rsidRDefault="00C63F68" w:rsidP="005C100D">
      <w:pPr>
        <w:jc w:val="both"/>
        <w:rPr>
          <w:sz w:val="24"/>
          <w:szCs w:val="24"/>
          <w:u w:val="single"/>
          <w:lang w:val="en-US"/>
        </w:rPr>
      </w:pPr>
      <w:r>
        <w:rPr>
          <w:sz w:val="24"/>
          <w:szCs w:val="24"/>
          <w:u w:val="single"/>
          <w:lang w:val="en-US"/>
        </w:rPr>
        <w:t>Danish Legislation</w:t>
      </w:r>
    </w:p>
    <w:p w:rsidR="003F0346" w:rsidRDefault="00513403" w:rsidP="005C100D">
      <w:pPr>
        <w:jc w:val="both"/>
        <w:rPr>
          <w:sz w:val="24"/>
          <w:szCs w:val="24"/>
          <w:lang w:val="en-US"/>
        </w:rPr>
      </w:pPr>
      <w:r w:rsidRPr="005C100D">
        <w:rPr>
          <w:sz w:val="24"/>
          <w:szCs w:val="24"/>
          <w:lang w:val="en-US"/>
        </w:rPr>
        <w:t xml:space="preserve">The Danish </w:t>
      </w:r>
      <w:r w:rsidR="00460BAF">
        <w:rPr>
          <w:sz w:val="24"/>
          <w:szCs w:val="24"/>
          <w:lang w:val="en-US"/>
        </w:rPr>
        <w:t>legislation is inadequate with</w:t>
      </w:r>
      <w:r w:rsidRPr="005C100D">
        <w:rPr>
          <w:sz w:val="24"/>
          <w:szCs w:val="24"/>
          <w:lang w:val="en-US"/>
        </w:rPr>
        <w:t xml:space="preserve"> regard to </w:t>
      </w:r>
      <w:r w:rsidR="00460BAF">
        <w:rPr>
          <w:sz w:val="24"/>
          <w:szCs w:val="24"/>
          <w:lang w:val="en-US"/>
        </w:rPr>
        <w:t xml:space="preserve">protection </w:t>
      </w:r>
      <w:r w:rsidR="00E9674B">
        <w:rPr>
          <w:sz w:val="24"/>
          <w:szCs w:val="24"/>
          <w:lang w:val="en-US"/>
        </w:rPr>
        <w:t>of</w:t>
      </w:r>
      <w:r w:rsidRPr="005C100D">
        <w:rPr>
          <w:sz w:val="24"/>
          <w:szCs w:val="24"/>
          <w:lang w:val="en-US"/>
        </w:rPr>
        <w:t xml:space="preserve"> LGBTI (lesbian, gay, bisexu</w:t>
      </w:r>
      <w:r w:rsidR="003951B3">
        <w:rPr>
          <w:sz w:val="24"/>
          <w:szCs w:val="24"/>
          <w:lang w:val="en-US"/>
        </w:rPr>
        <w:t xml:space="preserve">al, trans*, intersex) persons. By way of example, the legislation </w:t>
      </w:r>
      <w:r w:rsidRPr="005C100D">
        <w:rPr>
          <w:sz w:val="24"/>
          <w:szCs w:val="24"/>
          <w:lang w:val="en-US"/>
        </w:rPr>
        <w:t xml:space="preserve">does not specify that it is illegal to discriminate on the basis of sexual orientation, gender identity &amp; expression or sex characteristics in </w:t>
      </w:r>
      <w:r w:rsidRPr="005B1A90">
        <w:rPr>
          <w:sz w:val="24"/>
          <w:szCs w:val="24"/>
          <w:u w:val="single"/>
          <w:lang w:val="en-US"/>
        </w:rPr>
        <w:t>all contexts</w:t>
      </w:r>
      <w:r w:rsidR="005B1A90">
        <w:rPr>
          <w:sz w:val="24"/>
          <w:szCs w:val="24"/>
          <w:lang w:val="en-US"/>
        </w:rPr>
        <w:t xml:space="preserve"> (see further below)</w:t>
      </w:r>
      <w:r w:rsidRPr="005C100D">
        <w:rPr>
          <w:sz w:val="24"/>
          <w:szCs w:val="24"/>
          <w:lang w:val="en-US"/>
        </w:rPr>
        <w:t xml:space="preserve">. While the law includes the prohibition to discriminate in the workplace, this does in </w:t>
      </w:r>
      <w:r w:rsidR="002C3B1A">
        <w:rPr>
          <w:sz w:val="24"/>
          <w:szCs w:val="24"/>
          <w:lang w:val="en-US"/>
        </w:rPr>
        <w:t>many cases not adequately protect</w:t>
      </w:r>
      <w:r w:rsidRPr="005C100D">
        <w:rPr>
          <w:sz w:val="24"/>
          <w:szCs w:val="24"/>
          <w:lang w:val="en-US"/>
        </w:rPr>
        <w:t xml:space="preserve"> trans* or intersex persons. </w:t>
      </w:r>
    </w:p>
    <w:p w:rsidR="003F0346" w:rsidRPr="005C100D" w:rsidRDefault="00513403" w:rsidP="005C100D">
      <w:pPr>
        <w:jc w:val="both"/>
        <w:rPr>
          <w:sz w:val="24"/>
          <w:szCs w:val="24"/>
          <w:lang w:val="en-US"/>
        </w:rPr>
      </w:pPr>
      <w:r w:rsidRPr="005C100D">
        <w:rPr>
          <w:sz w:val="24"/>
          <w:szCs w:val="24"/>
          <w:lang w:val="en-US"/>
        </w:rPr>
        <w:t xml:space="preserve">Furthermore, </w:t>
      </w:r>
      <w:r w:rsidR="003F0346">
        <w:rPr>
          <w:sz w:val="24"/>
          <w:szCs w:val="24"/>
          <w:lang w:val="en-US"/>
        </w:rPr>
        <w:t>as</w:t>
      </w:r>
      <w:r w:rsidRPr="005C100D">
        <w:rPr>
          <w:sz w:val="24"/>
          <w:szCs w:val="24"/>
          <w:lang w:val="en-US"/>
        </w:rPr>
        <w:t xml:space="preserve"> the illegality of discrimination on th</w:t>
      </w:r>
      <w:r w:rsidR="003F0346">
        <w:rPr>
          <w:sz w:val="24"/>
          <w:szCs w:val="24"/>
          <w:lang w:val="en-US"/>
        </w:rPr>
        <w:t>e basis of sexual orientation is limited to</w:t>
      </w:r>
      <w:r w:rsidRPr="005C100D">
        <w:rPr>
          <w:sz w:val="24"/>
          <w:szCs w:val="24"/>
          <w:lang w:val="en-US"/>
        </w:rPr>
        <w:t xml:space="preserve"> the work place, </w:t>
      </w:r>
      <w:proofErr w:type="spellStart"/>
      <w:r w:rsidRPr="005C100D">
        <w:rPr>
          <w:sz w:val="24"/>
          <w:szCs w:val="24"/>
          <w:lang w:val="en-US"/>
        </w:rPr>
        <w:t>organisations</w:t>
      </w:r>
      <w:proofErr w:type="spellEnd"/>
      <w:r w:rsidRPr="005C100D">
        <w:rPr>
          <w:sz w:val="24"/>
          <w:szCs w:val="24"/>
          <w:lang w:val="en-US"/>
        </w:rPr>
        <w:t xml:space="preserve"> and individuals cannot report </w:t>
      </w:r>
      <w:r w:rsidR="003F0346">
        <w:rPr>
          <w:sz w:val="24"/>
          <w:szCs w:val="24"/>
          <w:lang w:val="en-US"/>
        </w:rPr>
        <w:t xml:space="preserve">other </w:t>
      </w:r>
      <w:r w:rsidRPr="005C100D">
        <w:rPr>
          <w:sz w:val="24"/>
          <w:szCs w:val="24"/>
          <w:lang w:val="en-US"/>
        </w:rPr>
        <w:t xml:space="preserve">cases regarding discrimination taking place in the public sphere to the Danish Board of Equal Treatment. </w:t>
      </w:r>
    </w:p>
    <w:p w:rsidR="00513403" w:rsidRPr="005C100D" w:rsidRDefault="00C843FA" w:rsidP="005C100D">
      <w:pPr>
        <w:jc w:val="both"/>
        <w:rPr>
          <w:sz w:val="24"/>
          <w:szCs w:val="24"/>
          <w:lang w:val="en-US"/>
        </w:rPr>
      </w:pPr>
      <w:r>
        <w:rPr>
          <w:sz w:val="24"/>
          <w:szCs w:val="24"/>
          <w:lang w:val="en-US"/>
        </w:rPr>
        <w:t>We suggest more focus on c</w:t>
      </w:r>
      <w:r w:rsidR="00513403" w:rsidRPr="005C100D">
        <w:rPr>
          <w:sz w:val="24"/>
          <w:szCs w:val="24"/>
          <w:lang w:val="en-US"/>
        </w:rPr>
        <w:t xml:space="preserve">ases of discrimination </w:t>
      </w:r>
      <w:r>
        <w:rPr>
          <w:sz w:val="24"/>
          <w:szCs w:val="24"/>
          <w:lang w:val="en-US"/>
        </w:rPr>
        <w:t>with more thorough investigations</w:t>
      </w:r>
      <w:r w:rsidR="00513403" w:rsidRPr="005C100D">
        <w:rPr>
          <w:sz w:val="24"/>
          <w:szCs w:val="24"/>
          <w:lang w:val="en-US"/>
        </w:rPr>
        <w:t xml:space="preserve"> and </w:t>
      </w:r>
      <w:r>
        <w:rPr>
          <w:sz w:val="24"/>
          <w:szCs w:val="24"/>
          <w:lang w:val="en-US"/>
        </w:rPr>
        <w:t xml:space="preserve">access to justice before the </w:t>
      </w:r>
      <w:r w:rsidR="00513403" w:rsidRPr="005C100D">
        <w:rPr>
          <w:sz w:val="24"/>
          <w:szCs w:val="24"/>
          <w:lang w:val="en-US"/>
        </w:rPr>
        <w:t>court</w:t>
      </w:r>
      <w:r>
        <w:rPr>
          <w:sz w:val="24"/>
          <w:szCs w:val="24"/>
          <w:lang w:val="en-US"/>
        </w:rPr>
        <w:t>s</w:t>
      </w:r>
      <w:r w:rsidR="00513403" w:rsidRPr="005C100D">
        <w:rPr>
          <w:sz w:val="24"/>
          <w:szCs w:val="24"/>
          <w:lang w:val="en-US"/>
        </w:rPr>
        <w:t xml:space="preserve">. </w:t>
      </w:r>
      <w:r w:rsidR="00276CF3">
        <w:rPr>
          <w:sz w:val="24"/>
          <w:szCs w:val="24"/>
          <w:lang w:val="en-US"/>
        </w:rPr>
        <w:t>It should be easier to</w:t>
      </w:r>
      <w:r w:rsidR="00513403" w:rsidRPr="005C100D">
        <w:rPr>
          <w:sz w:val="24"/>
          <w:szCs w:val="24"/>
          <w:lang w:val="en-US"/>
        </w:rPr>
        <w:t xml:space="preserve"> </w:t>
      </w:r>
      <w:r w:rsidR="00276CF3">
        <w:rPr>
          <w:sz w:val="24"/>
          <w:szCs w:val="24"/>
          <w:lang w:val="en-US"/>
        </w:rPr>
        <w:t>bring claims against</w:t>
      </w:r>
      <w:r w:rsidR="00513403" w:rsidRPr="005C100D">
        <w:rPr>
          <w:sz w:val="24"/>
          <w:szCs w:val="24"/>
          <w:lang w:val="en-US"/>
        </w:rPr>
        <w:t xml:space="preserve"> companies and individuals </w:t>
      </w:r>
      <w:r w:rsidR="00276CF3">
        <w:rPr>
          <w:sz w:val="24"/>
          <w:szCs w:val="24"/>
          <w:lang w:val="en-US"/>
        </w:rPr>
        <w:t xml:space="preserve">in cases related to </w:t>
      </w:r>
      <w:r w:rsidR="00513403" w:rsidRPr="005C100D">
        <w:rPr>
          <w:sz w:val="24"/>
          <w:szCs w:val="24"/>
          <w:lang w:val="en-US"/>
        </w:rPr>
        <w:t xml:space="preserve">discrimination on the basis of gender identity or expression. Likewise, to include the prohibition to discriminate on the basis of sexual orientation, gender identity &amp; expression or sex characteristics in non-discrimination and equal treatment legislation would enhance the legal protection of LGBTI persons in the public sphere and simplify the process of reporting cases to the Danish Board of Equal Treatment. </w:t>
      </w:r>
    </w:p>
    <w:p w:rsidR="00513403" w:rsidRPr="005C100D" w:rsidRDefault="003974BC" w:rsidP="005C100D">
      <w:pPr>
        <w:jc w:val="both"/>
        <w:rPr>
          <w:sz w:val="24"/>
          <w:szCs w:val="24"/>
          <w:lang w:val="en-US"/>
        </w:rPr>
      </w:pPr>
      <w:r w:rsidRPr="005C100D">
        <w:rPr>
          <w:sz w:val="24"/>
          <w:szCs w:val="24"/>
          <w:lang w:val="en-US"/>
        </w:rPr>
        <w:t xml:space="preserve">We therefore suggest </w:t>
      </w:r>
      <w:r w:rsidRPr="005C100D">
        <w:rPr>
          <w:b/>
          <w:sz w:val="24"/>
          <w:szCs w:val="24"/>
          <w:lang w:val="en-US"/>
        </w:rPr>
        <w:t>that t</w:t>
      </w:r>
      <w:r w:rsidR="00513403" w:rsidRPr="005C100D">
        <w:rPr>
          <w:b/>
          <w:sz w:val="24"/>
          <w:szCs w:val="24"/>
          <w:lang w:val="en-US"/>
        </w:rPr>
        <w:t>he Committee recommends the State party to adopt necessary changes or additions to the legislation, in order for it to sufficiently protect LGBTI persons from discrimination or inhuman treatment</w:t>
      </w:r>
      <w:r w:rsidR="00513403" w:rsidRPr="005C100D">
        <w:rPr>
          <w:sz w:val="24"/>
          <w:szCs w:val="24"/>
          <w:lang w:val="en-US"/>
        </w:rPr>
        <w:t xml:space="preserve">. </w:t>
      </w:r>
    </w:p>
    <w:p w:rsidR="00513403" w:rsidRPr="005C100D" w:rsidRDefault="00513403" w:rsidP="005C100D">
      <w:pPr>
        <w:jc w:val="both"/>
        <w:rPr>
          <w:sz w:val="24"/>
          <w:szCs w:val="24"/>
          <w:u w:val="single"/>
          <w:lang w:val="en-US"/>
        </w:rPr>
      </w:pPr>
      <w:r w:rsidRPr="005C100D">
        <w:rPr>
          <w:sz w:val="24"/>
          <w:szCs w:val="24"/>
          <w:u w:val="single"/>
          <w:lang w:val="en-US"/>
        </w:rPr>
        <w:t>The health system</w:t>
      </w:r>
    </w:p>
    <w:p w:rsidR="00513403" w:rsidRPr="005C100D" w:rsidRDefault="00995C3B" w:rsidP="005C100D">
      <w:pPr>
        <w:jc w:val="both"/>
        <w:rPr>
          <w:sz w:val="24"/>
          <w:szCs w:val="24"/>
          <w:lang w:val="en-US"/>
        </w:rPr>
      </w:pPr>
      <w:r>
        <w:rPr>
          <w:sz w:val="24"/>
          <w:szCs w:val="24"/>
          <w:lang w:val="en-US"/>
        </w:rPr>
        <w:lastRenderedPageBreak/>
        <w:t>S</w:t>
      </w:r>
      <w:r w:rsidR="00513403" w:rsidRPr="005C100D">
        <w:rPr>
          <w:sz w:val="24"/>
          <w:szCs w:val="24"/>
          <w:lang w:val="en-US"/>
        </w:rPr>
        <w:t xml:space="preserve">ome formal </w:t>
      </w:r>
      <w:r w:rsidR="00FC2D99">
        <w:rPr>
          <w:sz w:val="24"/>
          <w:szCs w:val="24"/>
          <w:lang w:val="en-US"/>
        </w:rPr>
        <w:t xml:space="preserve">obstacles also </w:t>
      </w:r>
      <w:r w:rsidR="00513403" w:rsidRPr="005C100D">
        <w:rPr>
          <w:sz w:val="24"/>
          <w:szCs w:val="24"/>
          <w:lang w:val="en-US"/>
        </w:rPr>
        <w:t xml:space="preserve">remain </w:t>
      </w:r>
      <w:r w:rsidR="00FC2D99">
        <w:rPr>
          <w:sz w:val="24"/>
          <w:szCs w:val="24"/>
          <w:lang w:val="en-US"/>
        </w:rPr>
        <w:t>in the health system</w:t>
      </w:r>
      <w:r w:rsidR="00513403" w:rsidRPr="005C100D">
        <w:rPr>
          <w:sz w:val="24"/>
          <w:szCs w:val="24"/>
          <w:lang w:val="en-US"/>
        </w:rPr>
        <w:t xml:space="preserve"> resulting in serious mental and physical health issues particularly for trans* and intersex persons, which may r</w:t>
      </w:r>
      <w:r w:rsidR="00612E48" w:rsidRPr="005C100D">
        <w:rPr>
          <w:sz w:val="24"/>
          <w:szCs w:val="24"/>
          <w:lang w:val="en-US"/>
        </w:rPr>
        <w:t>aise concerns under article 7</w:t>
      </w:r>
      <w:r w:rsidR="00FC2D99">
        <w:rPr>
          <w:sz w:val="24"/>
          <w:szCs w:val="24"/>
          <w:lang w:val="en-US"/>
        </w:rPr>
        <w:t xml:space="preserve"> ICCPR</w:t>
      </w:r>
      <w:r w:rsidR="00612E48" w:rsidRPr="005C100D">
        <w:rPr>
          <w:sz w:val="24"/>
          <w:szCs w:val="24"/>
          <w:lang w:val="en-US"/>
        </w:rPr>
        <w:t xml:space="preserve">. </w:t>
      </w:r>
    </w:p>
    <w:p w:rsidR="00E037F2" w:rsidRDefault="00513403" w:rsidP="005C100D">
      <w:pPr>
        <w:widowControl w:val="0"/>
        <w:autoSpaceDE w:val="0"/>
        <w:autoSpaceDN w:val="0"/>
        <w:adjustRightInd w:val="0"/>
        <w:jc w:val="both"/>
        <w:rPr>
          <w:rFonts w:cs="Helvetica"/>
          <w:sz w:val="24"/>
          <w:szCs w:val="24"/>
          <w:lang w:val="en-US"/>
        </w:rPr>
      </w:pPr>
      <w:r w:rsidRPr="005C100D">
        <w:rPr>
          <w:rFonts w:cs="Helvetica"/>
          <w:sz w:val="24"/>
          <w:szCs w:val="24"/>
          <w:lang w:val="en-US"/>
        </w:rPr>
        <w:t>Many trans* persons do not have access to timely and appropriate healthcare, as they meet an unusually slow process of tr</w:t>
      </w:r>
      <w:r w:rsidR="00FC2D99">
        <w:rPr>
          <w:rFonts w:cs="Helvetica"/>
          <w:sz w:val="24"/>
          <w:szCs w:val="24"/>
          <w:lang w:val="en-US"/>
        </w:rPr>
        <w:t xml:space="preserve">eatment in the health system due to </w:t>
      </w:r>
      <w:r w:rsidRPr="005C100D">
        <w:rPr>
          <w:rFonts w:cs="Helvetica"/>
          <w:sz w:val="24"/>
          <w:szCs w:val="24"/>
          <w:lang w:val="en-US"/>
        </w:rPr>
        <w:t xml:space="preserve">only a single institution with the </w:t>
      </w:r>
      <w:proofErr w:type="spellStart"/>
      <w:r w:rsidRPr="005C100D">
        <w:rPr>
          <w:rFonts w:cs="Helvetica"/>
          <w:sz w:val="24"/>
          <w:szCs w:val="24"/>
          <w:lang w:val="en-US"/>
        </w:rPr>
        <w:t>authorisation</w:t>
      </w:r>
      <w:proofErr w:type="spellEnd"/>
      <w:r w:rsidRPr="005C100D">
        <w:rPr>
          <w:rFonts w:cs="Helvetica"/>
          <w:sz w:val="24"/>
          <w:szCs w:val="24"/>
          <w:lang w:val="en-US"/>
        </w:rPr>
        <w:t xml:space="preserve"> to help trans* persons accessing hormones and receiving gender reassignment medical treatment. Many trans* persons are highly uncomfortable with the </w:t>
      </w:r>
      <w:r w:rsidR="00FC2D99">
        <w:rPr>
          <w:rFonts w:cs="Helvetica"/>
          <w:sz w:val="24"/>
          <w:szCs w:val="24"/>
          <w:lang w:val="en-US"/>
        </w:rPr>
        <w:t xml:space="preserve">biological </w:t>
      </w:r>
      <w:r w:rsidRPr="005C100D">
        <w:rPr>
          <w:rFonts w:cs="Helvetica"/>
          <w:sz w:val="24"/>
          <w:szCs w:val="24"/>
          <w:lang w:val="en-US"/>
        </w:rPr>
        <w:t>gender, and a r</w:t>
      </w:r>
      <w:r w:rsidR="00FC2D99">
        <w:rPr>
          <w:rFonts w:cs="Helvetica"/>
          <w:sz w:val="24"/>
          <w:szCs w:val="24"/>
          <w:lang w:val="en-US"/>
        </w:rPr>
        <w:t>ecent r</w:t>
      </w:r>
      <w:r w:rsidR="00E037F2">
        <w:rPr>
          <w:rFonts w:cs="Helvetica"/>
          <w:sz w:val="24"/>
          <w:szCs w:val="24"/>
          <w:lang w:val="en-US"/>
        </w:rPr>
        <w:t>eport released (</w:t>
      </w:r>
      <w:r w:rsidRPr="005C100D">
        <w:rPr>
          <w:rFonts w:cs="Helvetica"/>
          <w:sz w:val="24"/>
          <w:szCs w:val="24"/>
          <w:lang w:val="en-US"/>
        </w:rPr>
        <w:t>2015</w:t>
      </w:r>
      <w:r w:rsidR="00E037F2">
        <w:rPr>
          <w:rFonts w:cs="Helvetica"/>
          <w:sz w:val="24"/>
          <w:szCs w:val="24"/>
          <w:lang w:val="en-US"/>
        </w:rPr>
        <w:t>)</w:t>
      </w:r>
      <w:r w:rsidRPr="005C100D">
        <w:rPr>
          <w:rFonts w:cs="Helvetica"/>
          <w:sz w:val="24"/>
          <w:szCs w:val="24"/>
          <w:lang w:val="en-US"/>
        </w:rPr>
        <w:t xml:space="preserve"> shows that 18% of trans* persons in Denmark are accessing and treating themselves with hormones</w:t>
      </w:r>
      <w:r w:rsidR="00E037F2">
        <w:rPr>
          <w:rFonts w:cs="Helvetica"/>
          <w:sz w:val="24"/>
          <w:szCs w:val="24"/>
          <w:lang w:val="en-US"/>
        </w:rPr>
        <w:t>.</w:t>
      </w:r>
      <w:r w:rsidRPr="005C100D">
        <w:rPr>
          <w:rStyle w:val="FootnoteReference"/>
          <w:rFonts w:cs="Helvetica"/>
          <w:sz w:val="24"/>
          <w:szCs w:val="24"/>
          <w:lang w:val="en-US"/>
        </w:rPr>
        <w:footnoteReference w:id="115"/>
      </w:r>
    </w:p>
    <w:p w:rsidR="00513403" w:rsidRPr="005C100D" w:rsidRDefault="00E037F2" w:rsidP="005C100D">
      <w:pPr>
        <w:widowControl w:val="0"/>
        <w:autoSpaceDE w:val="0"/>
        <w:autoSpaceDN w:val="0"/>
        <w:adjustRightInd w:val="0"/>
        <w:jc w:val="both"/>
        <w:rPr>
          <w:rFonts w:cs="Helvetica"/>
          <w:sz w:val="24"/>
          <w:szCs w:val="24"/>
          <w:lang w:val="en-US"/>
        </w:rPr>
      </w:pPr>
      <w:r>
        <w:rPr>
          <w:rFonts w:cs="Helvetica"/>
          <w:sz w:val="24"/>
          <w:szCs w:val="24"/>
          <w:lang w:val="en-US"/>
        </w:rPr>
        <w:t>We would like to argue</w:t>
      </w:r>
      <w:r w:rsidR="00513403" w:rsidRPr="005C100D">
        <w:rPr>
          <w:rFonts w:cs="Helvetica"/>
          <w:sz w:val="24"/>
          <w:szCs w:val="24"/>
          <w:lang w:val="en-US"/>
        </w:rPr>
        <w:t xml:space="preserve"> that giving a single health institution the monopoly of providi</w:t>
      </w:r>
      <w:r w:rsidR="00F464AF">
        <w:rPr>
          <w:rFonts w:cs="Helvetica"/>
          <w:sz w:val="24"/>
          <w:szCs w:val="24"/>
          <w:lang w:val="en-US"/>
        </w:rPr>
        <w:t>ng trans* persons with hormones</w:t>
      </w:r>
      <w:r w:rsidR="00513403" w:rsidRPr="005C100D">
        <w:rPr>
          <w:rFonts w:cs="Helvetica"/>
          <w:sz w:val="24"/>
          <w:szCs w:val="24"/>
          <w:lang w:val="en-US"/>
        </w:rPr>
        <w:t xml:space="preserve"> is strengthening the trend of trans* persons to access hormones on their own witho</w:t>
      </w:r>
      <w:r w:rsidR="00F464AF">
        <w:rPr>
          <w:rFonts w:cs="Helvetica"/>
          <w:sz w:val="24"/>
          <w:szCs w:val="24"/>
          <w:lang w:val="en-US"/>
        </w:rPr>
        <w:t>ut any medical supervision. T</w:t>
      </w:r>
      <w:r w:rsidR="00513403" w:rsidRPr="005C100D">
        <w:rPr>
          <w:rFonts w:cs="Helvetica"/>
          <w:sz w:val="24"/>
          <w:szCs w:val="24"/>
          <w:lang w:val="en-US"/>
        </w:rPr>
        <w:t>he lack of access to proper and timely healthcare is pushing trans* persons into an unsecure and dange</w:t>
      </w:r>
      <w:r w:rsidR="00F464AF">
        <w:rPr>
          <w:rFonts w:cs="Helvetica"/>
          <w:sz w:val="24"/>
          <w:szCs w:val="24"/>
          <w:lang w:val="en-US"/>
        </w:rPr>
        <w:t>rous process of self-medication</w:t>
      </w:r>
      <w:r w:rsidR="00513403" w:rsidRPr="005C100D">
        <w:rPr>
          <w:rFonts w:cs="Helvetica"/>
          <w:sz w:val="24"/>
          <w:szCs w:val="24"/>
          <w:lang w:val="en-US"/>
        </w:rPr>
        <w:t>. Furthermore, the lack of access to proper and timely healthcare leaves trans* persons in a situation of stress and discomfort, which can have a serious effect on the reported high</w:t>
      </w:r>
      <w:r w:rsidR="00B305B5" w:rsidRPr="005C100D">
        <w:rPr>
          <w:rFonts w:cs="Helvetica"/>
          <w:sz w:val="24"/>
          <w:szCs w:val="24"/>
          <w:lang w:val="en-US"/>
        </w:rPr>
        <w:t xml:space="preserve"> levels of poor mental health</w:t>
      </w:r>
      <w:r w:rsidR="00513403" w:rsidRPr="005C100D">
        <w:rPr>
          <w:rFonts w:cs="Helvetica"/>
          <w:sz w:val="24"/>
          <w:szCs w:val="24"/>
          <w:lang w:val="en-US"/>
        </w:rPr>
        <w:t>.</w:t>
      </w:r>
    </w:p>
    <w:p w:rsidR="00513403" w:rsidRPr="005C100D" w:rsidRDefault="00513403" w:rsidP="005C100D">
      <w:pPr>
        <w:widowControl w:val="0"/>
        <w:autoSpaceDE w:val="0"/>
        <w:autoSpaceDN w:val="0"/>
        <w:adjustRightInd w:val="0"/>
        <w:jc w:val="both"/>
        <w:rPr>
          <w:rFonts w:cs="Helvetica"/>
          <w:sz w:val="24"/>
          <w:szCs w:val="24"/>
          <w:lang w:val="en-US"/>
        </w:rPr>
      </w:pPr>
      <w:r w:rsidRPr="005C100D">
        <w:rPr>
          <w:rFonts w:cs="Helvetica"/>
          <w:sz w:val="24"/>
          <w:szCs w:val="24"/>
          <w:lang w:val="en-US"/>
        </w:rPr>
        <w:t xml:space="preserve">The </w:t>
      </w:r>
      <w:r w:rsidR="0011626E">
        <w:rPr>
          <w:rFonts w:cs="Helvetica"/>
          <w:sz w:val="24"/>
          <w:szCs w:val="24"/>
          <w:lang w:val="en-US"/>
        </w:rPr>
        <w:t xml:space="preserve">2015 </w:t>
      </w:r>
      <w:r w:rsidR="00C86B68">
        <w:rPr>
          <w:rFonts w:cs="Helvetica"/>
          <w:sz w:val="24"/>
          <w:szCs w:val="24"/>
          <w:lang w:val="en-US"/>
        </w:rPr>
        <w:t>report also concluded</w:t>
      </w:r>
      <w:r w:rsidRPr="005C100D">
        <w:rPr>
          <w:rFonts w:cs="Helvetica"/>
          <w:sz w:val="24"/>
          <w:szCs w:val="24"/>
          <w:lang w:val="en-US"/>
        </w:rPr>
        <w:t xml:space="preserve"> that particularly trans* persons under the age of 35, have poorer mental health</w:t>
      </w:r>
      <w:r w:rsidRPr="005C100D">
        <w:rPr>
          <w:rStyle w:val="FootnoteReference"/>
          <w:rFonts w:cs="Helvetica"/>
          <w:sz w:val="24"/>
          <w:szCs w:val="24"/>
          <w:lang w:val="en-US"/>
        </w:rPr>
        <w:footnoteReference w:id="116"/>
      </w:r>
      <w:r w:rsidRPr="005C100D">
        <w:rPr>
          <w:rFonts w:cs="Helvetica"/>
          <w:sz w:val="24"/>
          <w:szCs w:val="24"/>
          <w:lang w:val="en-US"/>
        </w:rPr>
        <w:t>. For children who have gender dysphoria, the teenage years can be unbearable. Trans men struggle with growing breast that are not wanted, as well as broader hips and lower end-height than the average men. Trans women struggle with body hears that are not wanted as well as the Adam's apple, a dark voice and a taller end-height than the average women</w:t>
      </w:r>
      <w:r w:rsidR="00C86B68">
        <w:rPr>
          <w:rFonts w:cs="Helvetica"/>
          <w:sz w:val="24"/>
          <w:szCs w:val="24"/>
          <w:lang w:val="en-US"/>
        </w:rPr>
        <w:t>.</w:t>
      </w:r>
      <w:r w:rsidRPr="005C100D">
        <w:rPr>
          <w:rStyle w:val="FootnoteReference"/>
          <w:rFonts w:cs="Helvetica"/>
          <w:sz w:val="24"/>
          <w:szCs w:val="24"/>
          <w:lang w:val="en-US"/>
        </w:rPr>
        <w:footnoteReference w:id="117"/>
      </w:r>
      <w:r w:rsidR="00C86B68">
        <w:rPr>
          <w:rFonts w:cs="Helvetica"/>
          <w:sz w:val="24"/>
          <w:szCs w:val="24"/>
          <w:lang w:val="en-US"/>
        </w:rPr>
        <w:t xml:space="preserve"> </w:t>
      </w:r>
      <w:r w:rsidRPr="005C100D">
        <w:rPr>
          <w:rFonts w:cs="Helvetica"/>
          <w:sz w:val="24"/>
          <w:szCs w:val="24"/>
          <w:lang w:val="en-US"/>
        </w:rPr>
        <w:t xml:space="preserve">In order to meet the physical and psychological needs of particularly young trans* persons, the government ought to address the </w:t>
      </w:r>
      <w:r w:rsidR="0020679E">
        <w:rPr>
          <w:rFonts w:cs="Helvetica"/>
          <w:sz w:val="24"/>
          <w:szCs w:val="24"/>
          <w:lang w:val="en-US"/>
        </w:rPr>
        <w:t xml:space="preserve">lack of </w:t>
      </w:r>
      <w:r w:rsidRPr="005C100D">
        <w:rPr>
          <w:rFonts w:cs="Helvetica"/>
          <w:sz w:val="24"/>
          <w:szCs w:val="24"/>
          <w:lang w:val="en-US"/>
        </w:rPr>
        <w:t>recourse</w:t>
      </w:r>
      <w:r w:rsidR="0020679E">
        <w:rPr>
          <w:rFonts w:cs="Helvetica"/>
          <w:sz w:val="24"/>
          <w:szCs w:val="24"/>
          <w:lang w:val="en-US"/>
        </w:rPr>
        <w:t>s</w:t>
      </w:r>
      <w:r w:rsidRPr="005C100D">
        <w:rPr>
          <w:rFonts w:cs="Helvetica"/>
          <w:sz w:val="24"/>
          <w:szCs w:val="24"/>
          <w:lang w:val="en-US"/>
        </w:rPr>
        <w:t xml:space="preserve">. </w:t>
      </w:r>
    </w:p>
    <w:p w:rsidR="00513403" w:rsidRPr="005C100D" w:rsidRDefault="00580724" w:rsidP="005C100D">
      <w:pPr>
        <w:widowControl w:val="0"/>
        <w:autoSpaceDE w:val="0"/>
        <w:autoSpaceDN w:val="0"/>
        <w:adjustRightInd w:val="0"/>
        <w:jc w:val="both"/>
        <w:rPr>
          <w:rFonts w:cs="Helvetica"/>
          <w:sz w:val="24"/>
          <w:szCs w:val="24"/>
          <w:lang w:val="en-US"/>
        </w:rPr>
      </w:pPr>
      <w:r>
        <w:rPr>
          <w:rFonts w:cs="Helvetica"/>
          <w:sz w:val="24"/>
          <w:szCs w:val="24"/>
          <w:lang w:val="en-US"/>
        </w:rPr>
        <w:t>I</w:t>
      </w:r>
      <w:r w:rsidR="00513403" w:rsidRPr="005C100D">
        <w:rPr>
          <w:rFonts w:cs="Helvetica"/>
          <w:sz w:val="24"/>
          <w:szCs w:val="24"/>
          <w:lang w:val="en-US"/>
        </w:rPr>
        <w:t>ntersex persons are subjected to inhuman or degrading treatment. This is particularly the case when they as infants are subject to so called "</w:t>
      </w:r>
      <w:proofErr w:type="spellStart"/>
      <w:r w:rsidR="00513403" w:rsidRPr="005C100D">
        <w:rPr>
          <w:rFonts w:cs="Helvetica"/>
          <w:sz w:val="24"/>
          <w:szCs w:val="24"/>
          <w:lang w:val="en-US"/>
        </w:rPr>
        <w:t>normalising</w:t>
      </w:r>
      <w:proofErr w:type="spellEnd"/>
      <w:r w:rsidR="00513403" w:rsidRPr="005C100D">
        <w:rPr>
          <w:rFonts w:cs="Helvetica"/>
          <w:sz w:val="24"/>
          <w:szCs w:val="24"/>
          <w:lang w:val="en-US"/>
        </w:rPr>
        <w:t>" corrections of the infants' genitalia</w:t>
      </w:r>
      <w:r w:rsidR="00513403" w:rsidRPr="005C100D">
        <w:rPr>
          <w:rStyle w:val="FootnoteReference"/>
          <w:rFonts w:cs="Helvetica"/>
          <w:sz w:val="24"/>
          <w:szCs w:val="24"/>
          <w:lang w:val="en-US"/>
        </w:rPr>
        <w:footnoteReference w:id="118"/>
      </w:r>
      <w:r w:rsidR="00513403" w:rsidRPr="005C100D">
        <w:rPr>
          <w:rFonts w:cs="Helvetica"/>
          <w:sz w:val="24"/>
          <w:szCs w:val="24"/>
          <w:lang w:val="en-US"/>
        </w:rPr>
        <w:t>. These are irreversible surgeri</w:t>
      </w:r>
      <w:r w:rsidR="00CE328B">
        <w:rPr>
          <w:rFonts w:cs="Helvetica"/>
          <w:sz w:val="24"/>
          <w:szCs w:val="24"/>
          <w:lang w:val="en-US"/>
        </w:rPr>
        <w:t>es that</w:t>
      </w:r>
      <w:r w:rsidR="00513403" w:rsidRPr="005C100D">
        <w:rPr>
          <w:rFonts w:cs="Helvetica"/>
          <w:sz w:val="24"/>
          <w:szCs w:val="24"/>
          <w:lang w:val="en-US"/>
        </w:rPr>
        <w:t xml:space="preserve"> can affect the persona</w:t>
      </w:r>
      <w:r w:rsidR="009B072F">
        <w:rPr>
          <w:rFonts w:cs="Helvetica"/>
          <w:sz w:val="24"/>
          <w:szCs w:val="24"/>
          <w:lang w:val="en-US"/>
        </w:rPr>
        <w:t>l development of the individual.</w:t>
      </w:r>
      <w:r w:rsidR="00513403" w:rsidRPr="005C100D">
        <w:rPr>
          <w:rStyle w:val="FootnoteReference"/>
          <w:rFonts w:cs="Helvetica"/>
          <w:sz w:val="24"/>
          <w:szCs w:val="24"/>
          <w:lang w:val="en-US"/>
        </w:rPr>
        <w:footnoteReference w:id="119"/>
      </w:r>
    </w:p>
    <w:p w:rsidR="00513403" w:rsidRDefault="001C1E82" w:rsidP="005C100D">
      <w:pPr>
        <w:widowControl w:val="0"/>
        <w:autoSpaceDE w:val="0"/>
        <w:autoSpaceDN w:val="0"/>
        <w:adjustRightInd w:val="0"/>
        <w:jc w:val="both"/>
        <w:rPr>
          <w:rFonts w:cs="Helvetica"/>
          <w:sz w:val="24"/>
          <w:szCs w:val="24"/>
          <w:lang w:val="en-US"/>
        </w:rPr>
      </w:pPr>
      <w:r>
        <w:rPr>
          <w:rFonts w:cs="Helvetica"/>
          <w:sz w:val="24"/>
          <w:szCs w:val="24"/>
          <w:lang w:val="en-US"/>
        </w:rPr>
        <w:t xml:space="preserve">The above might involve a violation of Denmark’s positive obligations towards protecting the rights </w:t>
      </w:r>
      <w:r>
        <w:rPr>
          <w:rFonts w:cs="Helvetica"/>
          <w:sz w:val="24"/>
          <w:szCs w:val="24"/>
          <w:lang w:val="en-US"/>
        </w:rPr>
        <w:lastRenderedPageBreak/>
        <w:t xml:space="preserve">of intersex persons. Reference is made to the recent recommendation by the UN Committee against Torture that </w:t>
      </w:r>
      <w:r w:rsidR="004E49D6">
        <w:rPr>
          <w:rFonts w:cs="Helvetica"/>
          <w:sz w:val="24"/>
          <w:szCs w:val="24"/>
          <w:lang w:val="en-US"/>
        </w:rPr>
        <w:t xml:space="preserve">in order to fulfil the obligations in Article 14 and 16 of UNCAT </w:t>
      </w:r>
      <w:r>
        <w:rPr>
          <w:rFonts w:cs="Helvetica"/>
          <w:sz w:val="24"/>
          <w:szCs w:val="24"/>
          <w:lang w:val="en-US"/>
        </w:rPr>
        <w:t>Denmark should</w:t>
      </w:r>
      <w:r>
        <w:rPr>
          <w:rStyle w:val="FootnoteReference"/>
          <w:rFonts w:cs="Helvetica"/>
          <w:sz w:val="24"/>
          <w:szCs w:val="24"/>
          <w:lang w:val="en-US"/>
        </w:rPr>
        <w:footnoteReference w:id="120"/>
      </w:r>
      <w:r>
        <w:rPr>
          <w:rFonts w:cs="Helvetica"/>
          <w:sz w:val="24"/>
          <w:szCs w:val="24"/>
          <w:lang w:val="en-US"/>
        </w:rPr>
        <w:t>:</w:t>
      </w:r>
    </w:p>
    <w:p w:rsidR="001C1E82" w:rsidRPr="009F402C" w:rsidRDefault="001C1E82" w:rsidP="001C1E82">
      <w:pPr>
        <w:numPr>
          <w:ilvl w:val="1"/>
          <w:numId w:val="45"/>
        </w:numPr>
        <w:spacing w:after="117" w:line="258" w:lineRule="auto"/>
        <w:ind w:right="1124" w:hanging="10"/>
        <w:jc w:val="both"/>
        <w:rPr>
          <w:i/>
          <w:sz w:val="18"/>
          <w:szCs w:val="18"/>
          <w:lang w:val="en-US"/>
        </w:rPr>
      </w:pPr>
      <w:r w:rsidRPr="009F402C">
        <w:rPr>
          <w:rFonts w:ascii="Times New Roman" w:eastAsia="Times New Roman" w:hAnsi="Times New Roman" w:cs="Times New Roman"/>
          <w:i/>
          <w:sz w:val="18"/>
          <w:szCs w:val="18"/>
          <w:lang w:val="en-US"/>
        </w:rPr>
        <w:t xml:space="preserve">Take the necessary legislative, administrative and other measures to guarantee the respect for the physical integrity and autonomy of intersex persons and ensure that no one is subjected during infancy or childhood to unnecessary medical or surgical procedures; </w:t>
      </w:r>
    </w:p>
    <w:p w:rsidR="001C1E82" w:rsidRPr="009F402C" w:rsidRDefault="001C1E82" w:rsidP="001C1E82">
      <w:pPr>
        <w:numPr>
          <w:ilvl w:val="1"/>
          <w:numId w:val="45"/>
        </w:numPr>
        <w:spacing w:after="117" w:line="258" w:lineRule="auto"/>
        <w:ind w:right="1124" w:hanging="10"/>
        <w:jc w:val="both"/>
        <w:rPr>
          <w:i/>
          <w:sz w:val="18"/>
          <w:szCs w:val="18"/>
          <w:lang w:val="en-US"/>
        </w:rPr>
      </w:pPr>
      <w:r w:rsidRPr="009F402C">
        <w:rPr>
          <w:rFonts w:ascii="Times New Roman" w:eastAsia="Times New Roman" w:hAnsi="Times New Roman" w:cs="Times New Roman"/>
          <w:i/>
          <w:sz w:val="18"/>
          <w:szCs w:val="18"/>
          <w:lang w:val="en-US"/>
        </w:rPr>
        <w:t xml:space="preserve">Guarantee counselling services for all intersex children and their parents, so as to inform them of the consequences of unnecessary surgery and other medical treatment; </w:t>
      </w:r>
    </w:p>
    <w:p w:rsidR="001C1E82" w:rsidRPr="009F402C" w:rsidRDefault="001C1E82" w:rsidP="001C1E82">
      <w:pPr>
        <w:numPr>
          <w:ilvl w:val="1"/>
          <w:numId w:val="45"/>
        </w:numPr>
        <w:spacing w:after="117" w:line="258" w:lineRule="auto"/>
        <w:ind w:right="1124" w:hanging="10"/>
        <w:jc w:val="both"/>
        <w:rPr>
          <w:i/>
          <w:sz w:val="18"/>
          <w:szCs w:val="18"/>
          <w:lang w:val="en-US"/>
        </w:rPr>
      </w:pPr>
      <w:r w:rsidRPr="009F402C">
        <w:rPr>
          <w:rFonts w:ascii="Times New Roman" w:eastAsia="Times New Roman" w:hAnsi="Times New Roman" w:cs="Times New Roman"/>
          <w:i/>
          <w:sz w:val="18"/>
          <w:szCs w:val="18"/>
          <w:lang w:val="en-US"/>
        </w:rPr>
        <w:t xml:space="preserve">Ensure that full, free and informed consent is respected in connection with medical and surgical treatments for intersex persons and that non-urgent, irreversible medical interventions are postponed until a child is sufficiently mature to participate in decision-making and give full, free and informed consent; </w:t>
      </w:r>
    </w:p>
    <w:p w:rsidR="001C1E82" w:rsidRPr="009F402C" w:rsidRDefault="001C1E82" w:rsidP="001C1E82">
      <w:pPr>
        <w:numPr>
          <w:ilvl w:val="1"/>
          <w:numId w:val="45"/>
        </w:numPr>
        <w:spacing w:after="196" w:line="258" w:lineRule="auto"/>
        <w:ind w:right="1124" w:hanging="10"/>
        <w:jc w:val="both"/>
        <w:rPr>
          <w:i/>
          <w:sz w:val="18"/>
          <w:szCs w:val="18"/>
          <w:lang w:val="en-US"/>
        </w:rPr>
      </w:pPr>
      <w:r w:rsidRPr="009F402C">
        <w:rPr>
          <w:rFonts w:ascii="Times New Roman" w:eastAsia="Times New Roman" w:hAnsi="Times New Roman" w:cs="Times New Roman"/>
          <w:i/>
          <w:sz w:val="18"/>
          <w:szCs w:val="18"/>
          <w:lang w:val="en-US"/>
        </w:rPr>
        <w:t>Provide adequate redress for the physical and psychological suffering caused by such practices to intersex persons.</w:t>
      </w:r>
      <w:r w:rsidRPr="009F402C">
        <w:rPr>
          <w:i/>
          <w:sz w:val="18"/>
          <w:szCs w:val="18"/>
          <w:lang w:val="en-US"/>
        </w:rPr>
        <w:t xml:space="preserve"> </w:t>
      </w:r>
    </w:p>
    <w:p w:rsidR="001C1E82" w:rsidRPr="005C100D" w:rsidRDefault="001C1E82" w:rsidP="005C100D">
      <w:pPr>
        <w:widowControl w:val="0"/>
        <w:autoSpaceDE w:val="0"/>
        <w:autoSpaceDN w:val="0"/>
        <w:adjustRightInd w:val="0"/>
        <w:jc w:val="both"/>
        <w:rPr>
          <w:rFonts w:cs="Helvetica"/>
          <w:sz w:val="24"/>
          <w:szCs w:val="24"/>
          <w:lang w:val="en-US"/>
        </w:rPr>
      </w:pPr>
    </w:p>
    <w:p w:rsidR="00513403" w:rsidRPr="00C93B6F" w:rsidRDefault="00D56ACF" w:rsidP="005C100D">
      <w:pPr>
        <w:widowControl w:val="0"/>
        <w:autoSpaceDE w:val="0"/>
        <w:autoSpaceDN w:val="0"/>
        <w:adjustRightInd w:val="0"/>
        <w:jc w:val="both"/>
        <w:rPr>
          <w:rFonts w:cs="Helvetica"/>
          <w:sz w:val="24"/>
          <w:szCs w:val="24"/>
          <w:lang w:val="en-US"/>
        </w:rPr>
      </w:pPr>
      <w:r w:rsidRPr="005C100D">
        <w:rPr>
          <w:rFonts w:cs="Helvetica"/>
          <w:sz w:val="24"/>
          <w:szCs w:val="24"/>
          <w:lang w:val="en-US"/>
        </w:rPr>
        <w:t xml:space="preserve">We therefore </w:t>
      </w:r>
      <w:r w:rsidRPr="005C100D">
        <w:rPr>
          <w:rFonts w:cs="Helvetica"/>
          <w:b/>
          <w:sz w:val="24"/>
          <w:szCs w:val="24"/>
          <w:lang w:val="en-US"/>
        </w:rPr>
        <w:t>suggest that t</w:t>
      </w:r>
      <w:r w:rsidR="00513403" w:rsidRPr="005C100D">
        <w:rPr>
          <w:rFonts w:cs="Helvetica"/>
          <w:b/>
          <w:sz w:val="24"/>
          <w:szCs w:val="24"/>
          <w:lang w:val="en-US"/>
        </w:rPr>
        <w:t xml:space="preserve">he Committee recommends the State party to ensure that procedures and </w:t>
      </w:r>
      <w:r w:rsidR="00513403" w:rsidRPr="00C93B6F">
        <w:rPr>
          <w:rFonts w:cs="Helvetica"/>
          <w:b/>
          <w:sz w:val="24"/>
          <w:szCs w:val="24"/>
          <w:lang w:val="en-US"/>
        </w:rPr>
        <w:t>practices within the public health care systems take into account the particular needs and vulnerabilities of LGBTI persons in order to prevent inhuman or degrading treatment</w:t>
      </w:r>
      <w:r w:rsidR="00B24308" w:rsidRPr="00C93B6F">
        <w:rPr>
          <w:rFonts w:cs="Helvetica"/>
          <w:sz w:val="24"/>
          <w:szCs w:val="24"/>
          <w:lang w:val="en-US"/>
        </w:rPr>
        <w:t>.</w:t>
      </w:r>
    </w:p>
    <w:p w:rsidR="002003E2" w:rsidRPr="00C93B6F" w:rsidRDefault="00D01594" w:rsidP="00874CAE">
      <w:pPr>
        <w:pStyle w:val="Heading3"/>
        <w:spacing w:after="240"/>
        <w:jc w:val="both"/>
        <w:rPr>
          <w:rFonts w:asciiTheme="minorHAnsi" w:hAnsiTheme="minorHAnsi"/>
          <w:lang w:val="en-US"/>
        </w:rPr>
      </w:pPr>
      <w:bookmarkStart w:id="17" w:name="_Toc451866555"/>
      <w:r w:rsidRPr="00C93B6F">
        <w:rPr>
          <w:rFonts w:asciiTheme="minorHAnsi" w:hAnsiTheme="minorHAnsi"/>
          <w:lang w:val="en-US"/>
        </w:rPr>
        <w:t xml:space="preserve">Issue 6: </w:t>
      </w:r>
      <w:r w:rsidR="004671C4" w:rsidRPr="00C93B6F">
        <w:rPr>
          <w:rFonts w:asciiTheme="minorHAnsi" w:hAnsiTheme="minorHAnsi"/>
          <w:lang w:val="en-US"/>
        </w:rPr>
        <w:t>SEPARATION OF CONVICTED AND ACCUSED PERSONS</w:t>
      </w:r>
      <w:bookmarkEnd w:id="17"/>
    </w:p>
    <w:p w:rsidR="008331A9" w:rsidRDefault="008331A9" w:rsidP="00874CAE">
      <w:pPr>
        <w:jc w:val="both"/>
        <w:rPr>
          <w:sz w:val="24"/>
          <w:szCs w:val="24"/>
          <w:lang w:val="en-US"/>
        </w:rPr>
      </w:pPr>
      <w:r>
        <w:rPr>
          <w:sz w:val="24"/>
          <w:szCs w:val="24"/>
          <w:lang w:val="en-US"/>
        </w:rPr>
        <w:t>Denmark has a practice to occasionally placed persons convicted of short sentences in places of detention with pre-trial detainees. The Danish NPM has noted this during visits to places of detention.</w:t>
      </w:r>
    </w:p>
    <w:p w:rsidR="004671C4" w:rsidRPr="00C93B6F" w:rsidRDefault="004671C4" w:rsidP="00874CAE">
      <w:pPr>
        <w:jc w:val="both"/>
        <w:rPr>
          <w:sz w:val="24"/>
          <w:szCs w:val="24"/>
          <w:lang w:val="en-US"/>
        </w:rPr>
      </w:pPr>
      <w:r w:rsidRPr="00C93B6F">
        <w:rPr>
          <w:sz w:val="24"/>
          <w:szCs w:val="24"/>
          <w:lang w:val="en-US"/>
        </w:rPr>
        <w:t>The Committee against Torture</w:t>
      </w:r>
      <w:r w:rsidR="008331A9">
        <w:rPr>
          <w:sz w:val="24"/>
          <w:szCs w:val="24"/>
          <w:lang w:val="en-US"/>
        </w:rPr>
        <w:t xml:space="preserve"> therefore</w:t>
      </w:r>
      <w:r w:rsidRPr="00C93B6F">
        <w:rPr>
          <w:sz w:val="24"/>
          <w:szCs w:val="24"/>
          <w:lang w:val="en-US"/>
        </w:rPr>
        <w:t xml:space="preserve"> recommended to Denmark last year to ensure that convicted are </w:t>
      </w:r>
      <w:r w:rsidR="008331A9">
        <w:rPr>
          <w:sz w:val="24"/>
          <w:szCs w:val="24"/>
          <w:lang w:val="en-US"/>
        </w:rPr>
        <w:t xml:space="preserve">always </w:t>
      </w:r>
      <w:r w:rsidRPr="00C93B6F">
        <w:rPr>
          <w:sz w:val="24"/>
          <w:szCs w:val="24"/>
          <w:lang w:val="en-US"/>
        </w:rPr>
        <w:t>separated from persons on pre-trial detention. W</w:t>
      </w:r>
      <w:r w:rsidR="008331A9">
        <w:rPr>
          <w:sz w:val="24"/>
          <w:szCs w:val="24"/>
          <w:lang w:val="en-US"/>
        </w:rPr>
        <w:t>ith reference to the reasons be</w:t>
      </w:r>
      <w:r w:rsidR="00874CAE">
        <w:rPr>
          <w:sz w:val="24"/>
          <w:szCs w:val="24"/>
          <w:lang w:val="en-US"/>
        </w:rPr>
        <w:t xml:space="preserve">hind Article 10 (2) (a) ICCPR, </w:t>
      </w:r>
      <w:r w:rsidR="00874CAE" w:rsidRPr="00874CAE">
        <w:rPr>
          <w:b/>
          <w:sz w:val="24"/>
          <w:szCs w:val="24"/>
          <w:lang w:val="en-US"/>
        </w:rPr>
        <w:t>w</w:t>
      </w:r>
      <w:r w:rsidRPr="00874CAE">
        <w:rPr>
          <w:b/>
          <w:sz w:val="24"/>
          <w:szCs w:val="24"/>
          <w:lang w:val="en-US"/>
        </w:rPr>
        <w:t xml:space="preserve">e suggest </w:t>
      </w:r>
      <w:r w:rsidR="00874CAE" w:rsidRPr="00874CAE">
        <w:rPr>
          <w:b/>
          <w:sz w:val="24"/>
          <w:szCs w:val="24"/>
          <w:lang w:val="en-US"/>
        </w:rPr>
        <w:t>Denmark to end this practice</w:t>
      </w:r>
      <w:r w:rsidRPr="00C93B6F">
        <w:rPr>
          <w:sz w:val="24"/>
          <w:szCs w:val="24"/>
          <w:lang w:val="en-US"/>
        </w:rPr>
        <w:t xml:space="preserve">. </w:t>
      </w:r>
    </w:p>
    <w:p w:rsidR="004671C4" w:rsidRDefault="00D01594" w:rsidP="004671C4">
      <w:pPr>
        <w:pStyle w:val="Heading3"/>
        <w:spacing w:after="240"/>
        <w:jc w:val="both"/>
        <w:rPr>
          <w:b/>
          <w:lang w:val="fr-FR"/>
        </w:rPr>
      </w:pPr>
      <w:bookmarkStart w:id="18" w:name="_Toc451866556"/>
      <w:r w:rsidRPr="005C100D">
        <w:rPr>
          <w:lang w:val="en-US"/>
        </w:rPr>
        <w:t xml:space="preserve">Issue 7: </w:t>
      </w:r>
      <w:r w:rsidR="004671C4" w:rsidRPr="0011248E">
        <w:rPr>
          <w:lang w:val="fr-FR"/>
        </w:rPr>
        <w:t>FAMILY REUNIFICATION</w:t>
      </w:r>
      <w:bookmarkEnd w:id="18"/>
      <w:r w:rsidR="004671C4" w:rsidRPr="005C100D">
        <w:rPr>
          <w:b/>
          <w:lang w:val="fr-FR"/>
        </w:rPr>
        <w:t xml:space="preserve"> </w:t>
      </w:r>
    </w:p>
    <w:p w:rsidR="0033735C" w:rsidRDefault="00D64B67" w:rsidP="005C100D">
      <w:pPr>
        <w:spacing w:before="100" w:beforeAutospacing="1" w:after="100" w:afterAutospacing="1"/>
        <w:jc w:val="both"/>
        <w:rPr>
          <w:color w:val="000000"/>
          <w:sz w:val="24"/>
          <w:szCs w:val="24"/>
          <w:lang w:val="en-US"/>
        </w:rPr>
      </w:pPr>
      <w:r w:rsidRPr="005C100D">
        <w:rPr>
          <w:color w:val="000000"/>
          <w:sz w:val="24"/>
          <w:szCs w:val="24"/>
          <w:lang w:val="en-US"/>
        </w:rPr>
        <w:t xml:space="preserve">The Danish Aliens Law was amended </w:t>
      </w:r>
      <w:r w:rsidR="0033735C">
        <w:rPr>
          <w:color w:val="000000"/>
          <w:sz w:val="24"/>
          <w:szCs w:val="24"/>
          <w:lang w:val="en-US"/>
        </w:rPr>
        <w:t>in</w:t>
      </w:r>
      <w:r w:rsidRPr="005C100D">
        <w:rPr>
          <w:color w:val="000000"/>
          <w:sz w:val="24"/>
          <w:szCs w:val="24"/>
          <w:lang w:val="en-US"/>
        </w:rPr>
        <w:t xml:space="preserve"> February 2015 to the effect that asylum seekers with origin in countries of armed conflict (typically Syria</w:t>
      </w:r>
      <w:r w:rsidR="0033735C">
        <w:rPr>
          <w:color w:val="000000"/>
          <w:sz w:val="24"/>
          <w:szCs w:val="24"/>
          <w:lang w:val="en-US"/>
        </w:rPr>
        <w:t>) would</w:t>
      </w:r>
      <w:r w:rsidRPr="005C100D">
        <w:rPr>
          <w:color w:val="000000"/>
          <w:sz w:val="24"/>
          <w:szCs w:val="24"/>
          <w:lang w:val="en-US"/>
        </w:rPr>
        <w:t xml:space="preserve"> obtain temporary protection status. Temporary protection status entailed initially a limited right to family reunification </w:t>
      </w:r>
      <w:r w:rsidR="0033735C">
        <w:rPr>
          <w:color w:val="000000"/>
          <w:sz w:val="24"/>
          <w:szCs w:val="24"/>
          <w:lang w:val="en-US"/>
        </w:rPr>
        <w:t>(</w:t>
      </w:r>
      <w:r w:rsidRPr="005C100D">
        <w:rPr>
          <w:color w:val="000000"/>
          <w:sz w:val="24"/>
          <w:szCs w:val="24"/>
          <w:lang w:val="en-US"/>
        </w:rPr>
        <w:t>at the earliest one year after their recognition</w:t>
      </w:r>
      <w:r w:rsidR="0033735C">
        <w:rPr>
          <w:color w:val="000000"/>
          <w:sz w:val="24"/>
          <w:szCs w:val="24"/>
          <w:lang w:val="en-US"/>
        </w:rPr>
        <w:t>)</w:t>
      </w:r>
      <w:r w:rsidRPr="005C100D">
        <w:rPr>
          <w:color w:val="000000"/>
          <w:sz w:val="24"/>
          <w:szCs w:val="24"/>
          <w:lang w:val="en-US"/>
        </w:rPr>
        <w:t xml:space="preserve">. </w:t>
      </w:r>
      <w:r w:rsidR="0033735C">
        <w:rPr>
          <w:color w:val="000000"/>
          <w:sz w:val="24"/>
          <w:szCs w:val="24"/>
          <w:lang w:val="en-US"/>
        </w:rPr>
        <w:t>Recently, in</w:t>
      </w:r>
      <w:r w:rsidRPr="005C100D">
        <w:rPr>
          <w:color w:val="000000"/>
          <w:sz w:val="24"/>
          <w:szCs w:val="24"/>
          <w:lang w:val="en-US"/>
        </w:rPr>
        <w:t xml:space="preserve"> February 2016 the </w:t>
      </w:r>
      <w:r w:rsidR="0033735C">
        <w:rPr>
          <w:color w:val="000000"/>
          <w:sz w:val="24"/>
          <w:szCs w:val="24"/>
          <w:lang w:val="en-US"/>
        </w:rPr>
        <w:t xml:space="preserve">Aliens </w:t>
      </w:r>
      <w:r w:rsidRPr="005C100D">
        <w:rPr>
          <w:color w:val="000000"/>
          <w:sz w:val="24"/>
          <w:szCs w:val="24"/>
          <w:lang w:val="en-US"/>
        </w:rPr>
        <w:t xml:space="preserve">Law was </w:t>
      </w:r>
      <w:r w:rsidR="007D4C58">
        <w:rPr>
          <w:color w:val="000000"/>
          <w:sz w:val="24"/>
          <w:szCs w:val="24"/>
          <w:lang w:val="en-US"/>
        </w:rPr>
        <w:t>further restricted</w:t>
      </w:r>
      <w:r w:rsidR="0033735C">
        <w:rPr>
          <w:rStyle w:val="FootnoteReference"/>
          <w:color w:val="000000"/>
          <w:sz w:val="24"/>
          <w:szCs w:val="24"/>
          <w:lang w:val="en-US"/>
        </w:rPr>
        <w:footnoteReference w:id="121"/>
      </w:r>
      <w:r w:rsidRPr="005C100D">
        <w:rPr>
          <w:color w:val="000000"/>
          <w:sz w:val="24"/>
          <w:szCs w:val="24"/>
          <w:lang w:val="en-US"/>
        </w:rPr>
        <w:t xml:space="preserve"> </w:t>
      </w:r>
      <w:r w:rsidR="007D4C58">
        <w:rPr>
          <w:color w:val="000000"/>
          <w:sz w:val="24"/>
          <w:szCs w:val="24"/>
          <w:lang w:val="en-US"/>
        </w:rPr>
        <w:t>so</w:t>
      </w:r>
      <w:r w:rsidR="0033735C">
        <w:rPr>
          <w:color w:val="000000"/>
          <w:sz w:val="24"/>
          <w:szCs w:val="24"/>
          <w:lang w:val="en-US"/>
        </w:rPr>
        <w:t xml:space="preserve"> that </w:t>
      </w:r>
      <w:r w:rsidR="007D4C58">
        <w:rPr>
          <w:color w:val="000000"/>
          <w:sz w:val="24"/>
          <w:szCs w:val="24"/>
          <w:lang w:val="en-US"/>
        </w:rPr>
        <w:t xml:space="preserve">refugees </w:t>
      </w:r>
      <w:r w:rsidR="0033735C">
        <w:rPr>
          <w:color w:val="000000"/>
          <w:sz w:val="24"/>
          <w:szCs w:val="24"/>
          <w:lang w:val="en-US"/>
        </w:rPr>
        <w:t>with temporary protection would</w:t>
      </w:r>
      <w:r w:rsidRPr="005C100D">
        <w:rPr>
          <w:color w:val="000000"/>
          <w:sz w:val="24"/>
          <w:szCs w:val="24"/>
          <w:lang w:val="en-US"/>
        </w:rPr>
        <w:t xml:space="preserve"> not have a right to family reunification until at the earliest three years after their recognition. </w:t>
      </w:r>
    </w:p>
    <w:p w:rsidR="0033735C" w:rsidRDefault="0033735C" w:rsidP="005C100D">
      <w:pPr>
        <w:spacing w:before="100" w:beforeAutospacing="1" w:after="100" w:afterAutospacing="1"/>
        <w:jc w:val="both"/>
        <w:rPr>
          <w:color w:val="000000"/>
          <w:sz w:val="24"/>
          <w:szCs w:val="24"/>
          <w:lang w:val="en-US"/>
        </w:rPr>
      </w:pPr>
      <w:r>
        <w:rPr>
          <w:color w:val="000000"/>
          <w:sz w:val="24"/>
          <w:szCs w:val="24"/>
          <w:lang w:val="en-US"/>
        </w:rPr>
        <w:t>We would like to note that m</w:t>
      </w:r>
      <w:r w:rsidR="00D64B67" w:rsidRPr="005C100D">
        <w:rPr>
          <w:color w:val="000000"/>
          <w:sz w:val="24"/>
          <w:szCs w:val="24"/>
          <w:lang w:val="en-US"/>
        </w:rPr>
        <w:t xml:space="preserve">any of the family members </w:t>
      </w:r>
      <w:r>
        <w:rPr>
          <w:color w:val="000000"/>
          <w:sz w:val="24"/>
          <w:szCs w:val="24"/>
          <w:lang w:val="en-US"/>
        </w:rPr>
        <w:t>of these refugees, who are in Denmark</w:t>
      </w:r>
      <w:r w:rsidR="00910317">
        <w:rPr>
          <w:color w:val="000000"/>
          <w:sz w:val="24"/>
          <w:szCs w:val="24"/>
          <w:lang w:val="en-US"/>
        </w:rPr>
        <w:t xml:space="preserve"> on a temporary protection status</w:t>
      </w:r>
      <w:r>
        <w:rPr>
          <w:color w:val="000000"/>
          <w:sz w:val="24"/>
          <w:szCs w:val="24"/>
          <w:lang w:val="en-US"/>
        </w:rPr>
        <w:t xml:space="preserve">, </w:t>
      </w:r>
      <w:r w:rsidR="00910317">
        <w:rPr>
          <w:color w:val="000000"/>
          <w:sz w:val="24"/>
          <w:szCs w:val="24"/>
          <w:lang w:val="en-US"/>
        </w:rPr>
        <w:t xml:space="preserve">live in conflict zones </w:t>
      </w:r>
      <w:r w:rsidR="00BB0A06" w:rsidRPr="005C100D">
        <w:rPr>
          <w:color w:val="000000"/>
          <w:sz w:val="24"/>
          <w:szCs w:val="24"/>
          <w:lang w:val="en-US"/>
        </w:rPr>
        <w:t xml:space="preserve">in their home </w:t>
      </w:r>
      <w:r w:rsidR="00BB0A06">
        <w:rPr>
          <w:color w:val="000000"/>
          <w:sz w:val="24"/>
          <w:szCs w:val="24"/>
          <w:lang w:val="en-US"/>
        </w:rPr>
        <w:t>country or neighboring countries</w:t>
      </w:r>
      <w:r w:rsidR="00BB0A06">
        <w:rPr>
          <w:color w:val="000000"/>
          <w:sz w:val="24"/>
          <w:szCs w:val="24"/>
          <w:lang w:val="en-US"/>
        </w:rPr>
        <w:t xml:space="preserve"> </w:t>
      </w:r>
      <w:r w:rsidR="00910317">
        <w:rPr>
          <w:color w:val="000000"/>
          <w:sz w:val="24"/>
          <w:szCs w:val="24"/>
          <w:lang w:val="en-US"/>
        </w:rPr>
        <w:t xml:space="preserve">and </w:t>
      </w:r>
      <w:r w:rsidR="00D64B67" w:rsidRPr="005C100D">
        <w:rPr>
          <w:color w:val="000000"/>
          <w:sz w:val="24"/>
          <w:szCs w:val="24"/>
          <w:lang w:val="en-US"/>
        </w:rPr>
        <w:t xml:space="preserve">barely survive under highly insecure circumstances. Therefore, </w:t>
      </w:r>
      <w:r>
        <w:rPr>
          <w:color w:val="000000"/>
          <w:sz w:val="24"/>
          <w:szCs w:val="24"/>
          <w:lang w:val="en-US"/>
        </w:rPr>
        <w:t>we are</w:t>
      </w:r>
      <w:r w:rsidR="00D64B67" w:rsidRPr="005C100D">
        <w:rPr>
          <w:color w:val="000000"/>
          <w:sz w:val="24"/>
          <w:szCs w:val="24"/>
          <w:lang w:val="en-US"/>
        </w:rPr>
        <w:t xml:space="preserve"> deeply concerned about </w:t>
      </w:r>
      <w:r w:rsidR="00D64B67" w:rsidRPr="005C100D">
        <w:rPr>
          <w:color w:val="000000"/>
          <w:sz w:val="24"/>
          <w:szCs w:val="24"/>
          <w:lang w:val="en-US"/>
        </w:rPr>
        <w:lastRenderedPageBreak/>
        <w:t xml:space="preserve">the risks these family members face </w:t>
      </w:r>
      <w:r w:rsidR="0046274B">
        <w:rPr>
          <w:color w:val="000000"/>
          <w:sz w:val="24"/>
          <w:szCs w:val="24"/>
          <w:lang w:val="en-US"/>
        </w:rPr>
        <w:t>while waiting for family reunification</w:t>
      </w:r>
      <w:r>
        <w:rPr>
          <w:color w:val="000000"/>
          <w:sz w:val="24"/>
          <w:szCs w:val="24"/>
          <w:lang w:val="en-US"/>
        </w:rPr>
        <w:t>,</w:t>
      </w:r>
      <w:r w:rsidR="00D64B67" w:rsidRPr="005C100D">
        <w:rPr>
          <w:color w:val="000000"/>
          <w:sz w:val="24"/>
          <w:szCs w:val="24"/>
          <w:lang w:val="en-US"/>
        </w:rPr>
        <w:t xml:space="preserve"> as well as the stress </w:t>
      </w:r>
      <w:r>
        <w:rPr>
          <w:color w:val="000000"/>
          <w:sz w:val="24"/>
          <w:szCs w:val="24"/>
          <w:lang w:val="en-US"/>
        </w:rPr>
        <w:t xml:space="preserve">that is </w:t>
      </w:r>
      <w:r w:rsidR="00D64B67" w:rsidRPr="005C100D">
        <w:rPr>
          <w:color w:val="000000"/>
          <w:sz w:val="24"/>
          <w:szCs w:val="24"/>
          <w:lang w:val="en-US"/>
        </w:rPr>
        <w:t>imposed on the refugee</w:t>
      </w:r>
      <w:r>
        <w:rPr>
          <w:color w:val="000000"/>
          <w:sz w:val="24"/>
          <w:szCs w:val="24"/>
          <w:lang w:val="en-US"/>
        </w:rPr>
        <w:t>s</w:t>
      </w:r>
      <w:r w:rsidR="00D64B67" w:rsidRPr="005C100D">
        <w:rPr>
          <w:color w:val="000000"/>
          <w:sz w:val="24"/>
          <w:szCs w:val="24"/>
          <w:lang w:val="en-US"/>
        </w:rPr>
        <w:t xml:space="preserve"> in Denmark</w:t>
      </w:r>
      <w:r>
        <w:rPr>
          <w:color w:val="000000"/>
          <w:sz w:val="24"/>
          <w:szCs w:val="24"/>
          <w:lang w:val="en-US"/>
        </w:rPr>
        <w:t xml:space="preserve"> due to the uncertainty about the protection of their families</w:t>
      </w:r>
      <w:r w:rsidR="00D64B67" w:rsidRPr="005C100D">
        <w:rPr>
          <w:color w:val="000000"/>
          <w:sz w:val="24"/>
          <w:szCs w:val="24"/>
          <w:lang w:val="en-US"/>
        </w:rPr>
        <w:t>. </w:t>
      </w:r>
    </w:p>
    <w:p w:rsidR="00D64B67" w:rsidRDefault="0033735C" w:rsidP="005C100D">
      <w:pPr>
        <w:spacing w:before="100" w:beforeAutospacing="1" w:after="100" w:afterAutospacing="1"/>
        <w:jc w:val="both"/>
        <w:rPr>
          <w:color w:val="000000"/>
          <w:sz w:val="24"/>
          <w:szCs w:val="24"/>
          <w:lang w:val="en-US"/>
        </w:rPr>
      </w:pPr>
      <w:r>
        <w:rPr>
          <w:color w:val="000000"/>
          <w:sz w:val="24"/>
          <w:szCs w:val="24"/>
          <w:lang w:val="en-US"/>
        </w:rPr>
        <w:t>Moreo</w:t>
      </w:r>
      <w:r w:rsidR="0046274B">
        <w:rPr>
          <w:color w:val="000000"/>
          <w:sz w:val="24"/>
          <w:szCs w:val="24"/>
          <w:lang w:val="en-US"/>
        </w:rPr>
        <w:t>ver, we are of the view that this serious</w:t>
      </w:r>
      <w:r>
        <w:rPr>
          <w:color w:val="000000"/>
          <w:sz w:val="24"/>
          <w:szCs w:val="24"/>
          <w:lang w:val="en-US"/>
        </w:rPr>
        <w:t xml:space="preserve"> limitation of the right to </w:t>
      </w:r>
      <w:r w:rsidR="00D64B67" w:rsidRPr="005C100D">
        <w:rPr>
          <w:color w:val="000000"/>
          <w:sz w:val="24"/>
          <w:szCs w:val="24"/>
          <w:lang w:val="en-US"/>
        </w:rPr>
        <w:t>family reunification is a violation of the right to family life</w:t>
      </w:r>
      <w:r w:rsidR="004B2263">
        <w:rPr>
          <w:color w:val="000000"/>
          <w:sz w:val="24"/>
          <w:szCs w:val="24"/>
          <w:lang w:val="en-US"/>
        </w:rPr>
        <w:t xml:space="preserve"> as stipulated in Article 23 ICCPR </w:t>
      </w:r>
      <w:r w:rsidR="00015119">
        <w:rPr>
          <w:color w:val="000000"/>
          <w:sz w:val="24"/>
          <w:szCs w:val="24"/>
          <w:lang w:val="en-US"/>
        </w:rPr>
        <w:t xml:space="preserve">(and </w:t>
      </w:r>
      <w:r w:rsidR="004B2263">
        <w:rPr>
          <w:color w:val="000000"/>
          <w:sz w:val="24"/>
          <w:szCs w:val="24"/>
          <w:lang w:val="en-US"/>
        </w:rPr>
        <w:t>Article 8 of the ECHR</w:t>
      </w:r>
      <w:r w:rsidR="00015119">
        <w:rPr>
          <w:color w:val="000000"/>
          <w:sz w:val="24"/>
          <w:szCs w:val="24"/>
          <w:lang w:val="en-US"/>
        </w:rPr>
        <w:t>)</w:t>
      </w:r>
      <w:r w:rsidR="005277DF">
        <w:rPr>
          <w:color w:val="000000"/>
          <w:sz w:val="24"/>
          <w:szCs w:val="24"/>
          <w:lang w:val="en-US"/>
        </w:rPr>
        <w:t>. C</w:t>
      </w:r>
      <w:r w:rsidR="00A214E3">
        <w:rPr>
          <w:color w:val="000000"/>
          <w:sz w:val="24"/>
          <w:szCs w:val="24"/>
          <w:lang w:val="en-US"/>
        </w:rPr>
        <w:t xml:space="preserve">riticism by civil society – and by the Danish Institute for Human Rights - </w:t>
      </w:r>
      <w:r w:rsidR="005277DF">
        <w:rPr>
          <w:color w:val="000000"/>
          <w:sz w:val="24"/>
          <w:szCs w:val="24"/>
          <w:lang w:val="en-US"/>
        </w:rPr>
        <w:t>was</w:t>
      </w:r>
      <w:r w:rsidR="00A214E3">
        <w:rPr>
          <w:color w:val="000000"/>
          <w:sz w:val="24"/>
          <w:szCs w:val="24"/>
          <w:lang w:val="en-US"/>
        </w:rPr>
        <w:t xml:space="preserve"> expressed </w:t>
      </w:r>
      <w:r w:rsidR="001C7BEF">
        <w:rPr>
          <w:color w:val="000000"/>
          <w:sz w:val="24"/>
          <w:szCs w:val="24"/>
          <w:lang w:val="en-US"/>
        </w:rPr>
        <w:t>to the government</w:t>
      </w:r>
      <w:r w:rsidR="005277DF">
        <w:rPr>
          <w:color w:val="000000"/>
          <w:sz w:val="24"/>
          <w:szCs w:val="24"/>
          <w:lang w:val="en-US"/>
        </w:rPr>
        <w:t xml:space="preserve"> prior to the adoption of the amendment to the Aliens Act.</w:t>
      </w:r>
      <w:r w:rsidR="00A214E3">
        <w:rPr>
          <w:rStyle w:val="FootnoteReference"/>
          <w:color w:val="000000"/>
          <w:sz w:val="24"/>
          <w:szCs w:val="24"/>
          <w:lang w:val="en-US"/>
        </w:rPr>
        <w:footnoteReference w:id="122"/>
      </w:r>
      <w:r w:rsidR="001C7BEF">
        <w:rPr>
          <w:color w:val="000000"/>
          <w:sz w:val="24"/>
          <w:szCs w:val="24"/>
          <w:lang w:val="en-US"/>
        </w:rPr>
        <w:t xml:space="preserve"> </w:t>
      </w:r>
      <w:r w:rsidR="005277DF">
        <w:rPr>
          <w:color w:val="000000"/>
          <w:sz w:val="24"/>
          <w:szCs w:val="24"/>
          <w:lang w:val="en-US"/>
        </w:rPr>
        <w:t>However, the government proceeded with the adoption of the law noting that there c</w:t>
      </w:r>
      <w:r w:rsidR="001C7BEF">
        <w:rPr>
          <w:color w:val="000000"/>
          <w:sz w:val="24"/>
          <w:szCs w:val="24"/>
          <w:lang w:val="en-US"/>
        </w:rPr>
        <w:t xml:space="preserve">ould be a risk </w:t>
      </w:r>
      <w:r w:rsidR="005277DF">
        <w:rPr>
          <w:color w:val="000000"/>
          <w:sz w:val="24"/>
          <w:szCs w:val="24"/>
          <w:lang w:val="en-US"/>
        </w:rPr>
        <w:t>of violation of</w:t>
      </w:r>
      <w:r w:rsidR="001C7BEF">
        <w:rPr>
          <w:color w:val="000000"/>
          <w:sz w:val="24"/>
          <w:szCs w:val="24"/>
          <w:lang w:val="en-US"/>
        </w:rPr>
        <w:t xml:space="preserve"> </w:t>
      </w:r>
      <w:r w:rsidR="009B5DED">
        <w:rPr>
          <w:color w:val="000000"/>
          <w:sz w:val="24"/>
          <w:szCs w:val="24"/>
          <w:lang w:val="en-US"/>
        </w:rPr>
        <w:t>ECHR Article 8</w:t>
      </w:r>
      <w:r w:rsidR="009B5DED">
        <w:rPr>
          <w:rStyle w:val="FootnoteReference"/>
          <w:color w:val="000000"/>
          <w:sz w:val="24"/>
          <w:szCs w:val="24"/>
          <w:lang w:val="en-US"/>
        </w:rPr>
        <w:footnoteReference w:id="123"/>
      </w:r>
      <w:r w:rsidR="003E3D8A">
        <w:rPr>
          <w:color w:val="000000"/>
          <w:sz w:val="24"/>
          <w:szCs w:val="24"/>
          <w:lang w:val="en-US"/>
        </w:rPr>
        <w:t xml:space="preserve">. </w:t>
      </w:r>
    </w:p>
    <w:p w:rsidR="00263DB5" w:rsidRDefault="00263DB5" w:rsidP="005C100D">
      <w:pPr>
        <w:spacing w:before="100" w:beforeAutospacing="1" w:after="100" w:afterAutospacing="1"/>
        <w:jc w:val="both"/>
        <w:rPr>
          <w:color w:val="000000"/>
          <w:sz w:val="24"/>
          <w:szCs w:val="24"/>
          <w:lang w:val="en-US"/>
        </w:rPr>
      </w:pPr>
      <w:r>
        <w:rPr>
          <w:color w:val="000000"/>
          <w:sz w:val="24"/>
          <w:szCs w:val="24"/>
          <w:lang w:val="en-US"/>
        </w:rPr>
        <w:t xml:space="preserve">Finally, we would like to note that it is unclear how the provision in the Danish Aliens Act regarding marriage between cousins (Article 9 (8)) </w:t>
      </w:r>
      <w:r w:rsidR="005813E7">
        <w:rPr>
          <w:color w:val="000000"/>
          <w:sz w:val="24"/>
          <w:szCs w:val="24"/>
          <w:lang w:val="en-US"/>
        </w:rPr>
        <w:t>i</w:t>
      </w:r>
      <w:r w:rsidR="00BD154D">
        <w:rPr>
          <w:color w:val="000000"/>
          <w:sz w:val="24"/>
          <w:szCs w:val="24"/>
          <w:lang w:val="en-US"/>
        </w:rPr>
        <w:t>n practice i</w:t>
      </w:r>
      <w:r w:rsidR="005813E7">
        <w:rPr>
          <w:color w:val="000000"/>
          <w:sz w:val="24"/>
          <w:szCs w:val="24"/>
          <w:lang w:val="en-US"/>
        </w:rPr>
        <w:t>s</w:t>
      </w:r>
      <w:r>
        <w:rPr>
          <w:color w:val="000000"/>
          <w:sz w:val="24"/>
          <w:szCs w:val="24"/>
          <w:lang w:val="en-US"/>
        </w:rPr>
        <w:t xml:space="preserve"> implemented in accordance with international standards. </w:t>
      </w:r>
    </w:p>
    <w:p w:rsidR="00A214E3" w:rsidRPr="005C100D" w:rsidRDefault="00A214E3" w:rsidP="005C100D">
      <w:pPr>
        <w:spacing w:before="100" w:beforeAutospacing="1" w:after="100" w:afterAutospacing="1"/>
        <w:jc w:val="both"/>
        <w:rPr>
          <w:sz w:val="24"/>
          <w:szCs w:val="24"/>
          <w:lang w:val="en-US"/>
        </w:rPr>
      </w:pPr>
      <w:r>
        <w:rPr>
          <w:color w:val="000000"/>
          <w:sz w:val="24"/>
          <w:szCs w:val="24"/>
          <w:lang w:val="en-US"/>
        </w:rPr>
        <w:t xml:space="preserve">We would like to </w:t>
      </w:r>
      <w:r w:rsidRPr="00A214E3">
        <w:rPr>
          <w:b/>
          <w:color w:val="000000"/>
          <w:sz w:val="24"/>
          <w:szCs w:val="24"/>
          <w:lang w:val="en-US"/>
        </w:rPr>
        <w:t>recommend that Denmark amends the Aliens Act and abolish the three-year restriction of access to family reunification</w:t>
      </w:r>
      <w:r>
        <w:rPr>
          <w:color w:val="000000"/>
          <w:sz w:val="24"/>
          <w:szCs w:val="24"/>
          <w:lang w:val="en-US"/>
        </w:rPr>
        <w:t xml:space="preserve">. </w:t>
      </w:r>
    </w:p>
    <w:p w:rsidR="0086727A" w:rsidRPr="005C100D" w:rsidRDefault="00C93B6F" w:rsidP="005C100D">
      <w:pPr>
        <w:pStyle w:val="Heading3"/>
        <w:spacing w:after="240"/>
        <w:jc w:val="both"/>
        <w:rPr>
          <w:lang w:val="fr-FR"/>
        </w:rPr>
      </w:pPr>
      <w:bookmarkStart w:id="19" w:name="_Toc451866557"/>
      <w:r>
        <w:rPr>
          <w:lang w:val="fr-FR"/>
        </w:rPr>
        <w:t xml:space="preserve">Issues </w:t>
      </w:r>
      <w:proofErr w:type="gramStart"/>
      <w:r>
        <w:rPr>
          <w:lang w:val="fr-FR"/>
        </w:rPr>
        <w:t>8</w:t>
      </w:r>
      <w:r w:rsidR="0086727A" w:rsidRPr="005C100D">
        <w:rPr>
          <w:lang w:val="fr-FR"/>
        </w:rPr>
        <w:t>:</w:t>
      </w:r>
      <w:proofErr w:type="gramEnd"/>
      <w:r w:rsidR="0086727A" w:rsidRPr="005C100D">
        <w:rPr>
          <w:lang w:val="fr-FR"/>
        </w:rPr>
        <w:t xml:space="preserve"> </w:t>
      </w:r>
      <w:r w:rsidR="005C100D" w:rsidRPr="005C100D">
        <w:rPr>
          <w:lang w:val="fr-FR"/>
        </w:rPr>
        <w:t>PERSONS WITH DISABILITIES</w:t>
      </w:r>
      <w:bookmarkEnd w:id="19"/>
      <w:r w:rsidR="005C100D" w:rsidRPr="005C100D">
        <w:rPr>
          <w:lang w:val="fr-FR"/>
        </w:rPr>
        <w:t xml:space="preserve"> </w:t>
      </w:r>
    </w:p>
    <w:p w:rsidR="005C100D" w:rsidRPr="005C100D" w:rsidRDefault="00F60306" w:rsidP="005C100D">
      <w:pPr>
        <w:jc w:val="both"/>
        <w:rPr>
          <w:sz w:val="24"/>
          <w:szCs w:val="24"/>
          <w:lang w:val="en-US"/>
        </w:rPr>
      </w:pPr>
      <w:r>
        <w:rPr>
          <w:sz w:val="24"/>
          <w:szCs w:val="24"/>
          <w:lang w:val="en-US"/>
        </w:rPr>
        <w:t>NO</w:t>
      </w:r>
      <w:r w:rsidR="005C100D" w:rsidRPr="005C100D">
        <w:rPr>
          <w:sz w:val="24"/>
          <w:szCs w:val="24"/>
          <w:lang w:val="en-US"/>
        </w:rPr>
        <w:t xml:space="preserve"> RIGHT TO VOTE (Article 25)</w:t>
      </w:r>
    </w:p>
    <w:p w:rsidR="005C100D" w:rsidRDefault="005C100D" w:rsidP="005C100D">
      <w:pPr>
        <w:jc w:val="both"/>
        <w:rPr>
          <w:sz w:val="24"/>
          <w:szCs w:val="24"/>
          <w:lang w:val="en-US"/>
        </w:rPr>
      </w:pPr>
      <w:r w:rsidRPr="005C100D">
        <w:rPr>
          <w:sz w:val="24"/>
          <w:szCs w:val="24"/>
          <w:lang w:val="en-US"/>
        </w:rPr>
        <w:t xml:space="preserve">In Denmark, persons under extensive guardianship are deprived of the right to vote. This is </w:t>
      </w:r>
      <w:r>
        <w:rPr>
          <w:sz w:val="24"/>
          <w:szCs w:val="24"/>
          <w:lang w:val="en-US"/>
        </w:rPr>
        <w:t>justified by a reference to the Danish Constitution.</w:t>
      </w:r>
    </w:p>
    <w:p w:rsidR="00ED5131" w:rsidRDefault="005C100D" w:rsidP="005C100D">
      <w:pPr>
        <w:jc w:val="both"/>
        <w:rPr>
          <w:sz w:val="24"/>
          <w:szCs w:val="24"/>
          <w:lang w:val="en-US"/>
        </w:rPr>
      </w:pPr>
      <w:r>
        <w:rPr>
          <w:sz w:val="24"/>
          <w:szCs w:val="24"/>
          <w:lang w:val="en-US"/>
        </w:rPr>
        <w:t xml:space="preserve">Currently, the </w:t>
      </w:r>
      <w:r w:rsidR="009C022C">
        <w:rPr>
          <w:sz w:val="24"/>
          <w:szCs w:val="24"/>
          <w:lang w:val="en-US"/>
        </w:rPr>
        <w:t xml:space="preserve">Danish </w:t>
      </w:r>
      <w:r>
        <w:rPr>
          <w:sz w:val="24"/>
          <w:szCs w:val="24"/>
          <w:lang w:val="en-US"/>
        </w:rPr>
        <w:t xml:space="preserve">Parliament </w:t>
      </w:r>
      <w:r w:rsidR="009C022C">
        <w:rPr>
          <w:sz w:val="24"/>
          <w:szCs w:val="24"/>
          <w:lang w:val="en-US"/>
        </w:rPr>
        <w:t>(</w:t>
      </w:r>
      <w:proofErr w:type="spellStart"/>
      <w:r w:rsidR="009C022C">
        <w:rPr>
          <w:sz w:val="24"/>
          <w:szCs w:val="24"/>
          <w:lang w:val="en-US"/>
        </w:rPr>
        <w:t>Folketinget</w:t>
      </w:r>
      <w:proofErr w:type="spellEnd"/>
      <w:r w:rsidR="009C022C">
        <w:rPr>
          <w:sz w:val="24"/>
          <w:szCs w:val="24"/>
          <w:lang w:val="en-US"/>
        </w:rPr>
        <w:t xml:space="preserve">) </w:t>
      </w:r>
      <w:r>
        <w:rPr>
          <w:sz w:val="24"/>
          <w:szCs w:val="24"/>
          <w:lang w:val="en-US"/>
        </w:rPr>
        <w:t>is debating a</w:t>
      </w:r>
      <w:r w:rsidRPr="005C100D">
        <w:rPr>
          <w:sz w:val="24"/>
          <w:szCs w:val="24"/>
          <w:lang w:val="en-US"/>
        </w:rPr>
        <w:t xml:space="preserve"> new legislation </w:t>
      </w:r>
      <w:r w:rsidR="009C022C">
        <w:rPr>
          <w:sz w:val="24"/>
          <w:szCs w:val="24"/>
          <w:lang w:val="en-US"/>
        </w:rPr>
        <w:t xml:space="preserve">that </w:t>
      </w:r>
      <w:r w:rsidRPr="005C100D">
        <w:rPr>
          <w:sz w:val="24"/>
          <w:szCs w:val="24"/>
          <w:lang w:val="en-US"/>
        </w:rPr>
        <w:t xml:space="preserve">will grant persons under guardianship </w:t>
      </w:r>
      <w:r w:rsidR="009C022C" w:rsidRPr="005C100D">
        <w:rPr>
          <w:sz w:val="24"/>
          <w:szCs w:val="24"/>
          <w:lang w:val="en-US"/>
        </w:rPr>
        <w:t xml:space="preserve">the right to vote </w:t>
      </w:r>
      <w:r w:rsidRPr="005C100D">
        <w:rPr>
          <w:sz w:val="24"/>
          <w:szCs w:val="24"/>
          <w:lang w:val="en-US"/>
        </w:rPr>
        <w:t>at elections to the European Parliament, regional counc</w:t>
      </w:r>
      <w:r w:rsidR="009C022C">
        <w:rPr>
          <w:sz w:val="24"/>
          <w:szCs w:val="24"/>
          <w:lang w:val="en-US"/>
        </w:rPr>
        <w:t>ils and municipality councils. However, such p</w:t>
      </w:r>
      <w:r w:rsidRPr="005C100D">
        <w:rPr>
          <w:sz w:val="24"/>
          <w:szCs w:val="24"/>
          <w:lang w:val="en-US"/>
        </w:rPr>
        <w:t>ersons will still be deprived of the right to vote at electi</w:t>
      </w:r>
      <w:r w:rsidR="009C022C">
        <w:rPr>
          <w:sz w:val="24"/>
          <w:szCs w:val="24"/>
          <w:lang w:val="en-US"/>
        </w:rPr>
        <w:t xml:space="preserve">ons to the national parliament </w:t>
      </w:r>
      <w:r w:rsidRPr="005C100D">
        <w:rPr>
          <w:sz w:val="24"/>
          <w:szCs w:val="24"/>
          <w:lang w:val="en-US"/>
        </w:rPr>
        <w:t xml:space="preserve">and at referendums. </w:t>
      </w:r>
    </w:p>
    <w:p w:rsidR="005C100D" w:rsidRPr="005C100D" w:rsidRDefault="005C100D" w:rsidP="005C100D">
      <w:pPr>
        <w:jc w:val="both"/>
        <w:rPr>
          <w:sz w:val="24"/>
          <w:szCs w:val="24"/>
          <w:lang w:val="en-US"/>
        </w:rPr>
      </w:pPr>
      <w:r w:rsidRPr="005C100D">
        <w:rPr>
          <w:sz w:val="24"/>
          <w:szCs w:val="24"/>
          <w:lang w:val="en-US"/>
        </w:rPr>
        <w:t xml:space="preserve">The issue has been subject for recommendations </w:t>
      </w:r>
      <w:r w:rsidR="00ED5131">
        <w:rPr>
          <w:sz w:val="24"/>
          <w:szCs w:val="24"/>
          <w:lang w:val="en-US"/>
        </w:rPr>
        <w:t>by</w:t>
      </w:r>
      <w:r w:rsidRPr="005C100D">
        <w:rPr>
          <w:sz w:val="24"/>
          <w:szCs w:val="24"/>
          <w:lang w:val="en-US"/>
        </w:rPr>
        <w:t xml:space="preserve"> the UN CRPD-Committee in September 2014</w:t>
      </w:r>
      <w:r w:rsidRPr="005C100D">
        <w:rPr>
          <w:rStyle w:val="FootnoteReference"/>
          <w:sz w:val="24"/>
          <w:szCs w:val="24"/>
          <w:lang w:val="en-US"/>
        </w:rPr>
        <w:footnoteReference w:id="124"/>
      </w:r>
      <w:r w:rsidRPr="005C100D">
        <w:rPr>
          <w:sz w:val="24"/>
          <w:szCs w:val="24"/>
          <w:lang w:val="en-US"/>
        </w:rPr>
        <w:t xml:space="preserve"> and in the latest Universal Periodic Review for Denmark</w:t>
      </w:r>
      <w:r w:rsidR="00ED5131">
        <w:rPr>
          <w:sz w:val="24"/>
          <w:szCs w:val="24"/>
          <w:lang w:val="en-US"/>
        </w:rPr>
        <w:t xml:space="preserve"> January 2016. </w:t>
      </w:r>
    </w:p>
    <w:p w:rsidR="005C100D" w:rsidRPr="005C100D" w:rsidRDefault="005C100D" w:rsidP="005C100D">
      <w:pPr>
        <w:jc w:val="both"/>
        <w:rPr>
          <w:sz w:val="24"/>
          <w:szCs w:val="24"/>
          <w:lang w:val="en-US"/>
        </w:rPr>
      </w:pPr>
      <w:r w:rsidRPr="005C100D">
        <w:rPr>
          <w:sz w:val="24"/>
          <w:szCs w:val="24"/>
          <w:lang w:val="en-US"/>
        </w:rPr>
        <w:t xml:space="preserve">We </w:t>
      </w:r>
      <w:r w:rsidRPr="00AD5204">
        <w:rPr>
          <w:b/>
          <w:sz w:val="24"/>
          <w:szCs w:val="24"/>
          <w:lang w:val="en-US"/>
        </w:rPr>
        <w:t xml:space="preserve">recommend that Denmark takes all necessary measures to ensure that no Danish citizens above the age of </w:t>
      </w:r>
      <w:r w:rsidR="00AD5204">
        <w:rPr>
          <w:b/>
          <w:sz w:val="24"/>
          <w:szCs w:val="24"/>
          <w:lang w:val="en-US"/>
        </w:rPr>
        <w:t>18</w:t>
      </w:r>
      <w:r w:rsidRPr="00AD5204">
        <w:rPr>
          <w:b/>
          <w:sz w:val="24"/>
          <w:szCs w:val="24"/>
          <w:lang w:val="en-US"/>
        </w:rPr>
        <w:t xml:space="preserve"> are</w:t>
      </w:r>
      <w:r w:rsidR="00ED5131" w:rsidRPr="00AD5204">
        <w:rPr>
          <w:b/>
          <w:sz w:val="24"/>
          <w:szCs w:val="24"/>
          <w:lang w:val="en-US"/>
        </w:rPr>
        <w:t xml:space="preserve"> deprived of the right to vote</w:t>
      </w:r>
      <w:r w:rsidR="00F60306">
        <w:rPr>
          <w:b/>
          <w:sz w:val="24"/>
          <w:szCs w:val="24"/>
          <w:lang w:val="en-US"/>
        </w:rPr>
        <w:t xml:space="preserve"> at national elections and referendums</w:t>
      </w:r>
      <w:r w:rsidR="00ED5131">
        <w:rPr>
          <w:sz w:val="24"/>
          <w:szCs w:val="24"/>
          <w:lang w:val="en-US"/>
        </w:rPr>
        <w:t>.</w:t>
      </w:r>
    </w:p>
    <w:p w:rsidR="00F81032" w:rsidRPr="005C100D" w:rsidRDefault="00F81032" w:rsidP="005C100D">
      <w:pPr>
        <w:jc w:val="both"/>
        <w:rPr>
          <w:sz w:val="24"/>
          <w:szCs w:val="24"/>
          <w:lang w:val="en-US"/>
        </w:rPr>
      </w:pPr>
      <w:r w:rsidRPr="005C100D">
        <w:rPr>
          <w:sz w:val="24"/>
          <w:szCs w:val="24"/>
          <w:lang w:val="en-US"/>
        </w:rPr>
        <w:t>LIMITE</w:t>
      </w:r>
      <w:r w:rsidR="001E6049" w:rsidRPr="005C100D">
        <w:rPr>
          <w:sz w:val="24"/>
          <w:szCs w:val="24"/>
          <w:lang w:val="en-US"/>
        </w:rPr>
        <w:t xml:space="preserve">D PROTECTION AGAINST </w:t>
      </w:r>
      <w:r w:rsidRPr="005C100D">
        <w:rPr>
          <w:sz w:val="24"/>
          <w:szCs w:val="24"/>
          <w:lang w:val="en-US"/>
        </w:rPr>
        <w:t>DISCRIMINATION</w:t>
      </w:r>
      <w:r w:rsidR="00983DAC">
        <w:rPr>
          <w:sz w:val="24"/>
          <w:szCs w:val="24"/>
          <w:lang w:val="en-US"/>
        </w:rPr>
        <w:t xml:space="preserve"> </w:t>
      </w:r>
      <w:r w:rsidR="00F60306">
        <w:rPr>
          <w:sz w:val="24"/>
          <w:szCs w:val="24"/>
          <w:lang w:val="en-US"/>
        </w:rPr>
        <w:t>BASED ON DISABILITY</w:t>
      </w:r>
      <w:r w:rsidR="00F60306" w:rsidRPr="005C100D">
        <w:rPr>
          <w:sz w:val="24"/>
          <w:szCs w:val="24"/>
          <w:lang w:val="en-US"/>
        </w:rPr>
        <w:t xml:space="preserve"> </w:t>
      </w:r>
      <w:r w:rsidR="00983DAC">
        <w:rPr>
          <w:sz w:val="24"/>
          <w:szCs w:val="24"/>
          <w:lang w:val="en-US"/>
        </w:rPr>
        <w:t>(Article 26)</w:t>
      </w:r>
    </w:p>
    <w:p w:rsidR="001E6049" w:rsidRPr="005C100D" w:rsidRDefault="00F81032" w:rsidP="005C100D">
      <w:pPr>
        <w:jc w:val="both"/>
        <w:rPr>
          <w:sz w:val="24"/>
          <w:szCs w:val="24"/>
          <w:lang w:val="en-US"/>
        </w:rPr>
      </w:pPr>
      <w:r w:rsidRPr="005C100D">
        <w:rPr>
          <w:sz w:val="24"/>
          <w:szCs w:val="24"/>
          <w:lang w:val="en-US"/>
        </w:rPr>
        <w:lastRenderedPageBreak/>
        <w:t xml:space="preserve">Discrimination for disability reasons is prohibited </w:t>
      </w:r>
      <w:r w:rsidR="001E6049" w:rsidRPr="005C100D">
        <w:rPr>
          <w:sz w:val="24"/>
          <w:szCs w:val="24"/>
          <w:lang w:val="en-US"/>
        </w:rPr>
        <w:t>in relation to employment</w:t>
      </w:r>
      <w:r w:rsidRPr="005C100D">
        <w:rPr>
          <w:sz w:val="24"/>
          <w:szCs w:val="24"/>
          <w:lang w:val="en-US"/>
        </w:rPr>
        <w:t xml:space="preserve">. </w:t>
      </w:r>
      <w:r w:rsidR="001E6049" w:rsidRPr="005C100D">
        <w:rPr>
          <w:sz w:val="24"/>
          <w:szCs w:val="24"/>
          <w:lang w:val="en-US"/>
        </w:rPr>
        <w:t xml:space="preserve">However, Denmark </w:t>
      </w:r>
      <w:r w:rsidR="00F60306">
        <w:rPr>
          <w:sz w:val="24"/>
          <w:szCs w:val="24"/>
          <w:lang w:val="en-US"/>
        </w:rPr>
        <w:t>has not adopted</w:t>
      </w:r>
      <w:r w:rsidR="001E6049" w:rsidRPr="005C100D">
        <w:rPr>
          <w:sz w:val="24"/>
          <w:szCs w:val="24"/>
          <w:lang w:val="en-US"/>
        </w:rPr>
        <w:t xml:space="preserve"> a general anti-discrimination legislation that would apply to and protect persons with disabilities in </w:t>
      </w:r>
      <w:r w:rsidRPr="005C100D">
        <w:rPr>
          <w:sz w:val="24"/>
          <w:szCs w:val="24"/>
          <w:lang w:val="en-US"/>
        </w:rPr>
        <w:t xml:space="preserve">all </w:t>
      </w:r>
      <w:r w:rsidR="00E42FDE">
        <w:rPr>
          <w:sz w:val="24"/>
          <w:szCs w:val="24"/>
          <w:lang w:val="en-US"/>
        </w:rPr>
        <w:t xml:space="preserve">areas, including outside </w:t>
      </w:r>
      <w:proofErr w:type="spellStart"/>
      <w:r w:rsidR="00E42FDE">
        <w:rPr>
          <w:sz w:val="24"/>
          <w:szCs w:val="24"/>
          <w:lang w:val="en-US"/>
        </w:rPr>
        <w:t>labour</w:t>
      </w:r>
      <w:proofErr w:type="spellEnd"/>
      <w:r w:rsidR="00E42FDE">
        <w:rPr>
          <w:sz w:val="24"/>
          <w:szCs w:val="24"/>
          <w:lang w:val="en-US"/>
        </w:rPr>
        <w:t xml:space="preserve"> issues</w:t>
      </w:r>
      <w:r w:rsidRPr="005C100D">
        <w:rPr>
          <w:sz w:val="24"/>
          <w:szCs w:val="24"/>
          <w:lang w:val="en-US"/>
        </w:rPr>
        <w:t xml:space="preserve">. </w:t>
      </w:r>
    </w:p>
    <w:p w:rsidR="00F81032" w:rsidRPr="005C100D" w:rsidRDefault="001E6049" w:rsidP="005C100D">
      <w:pPr>
        <w:jc w:val="both"/>
        <w:rPr>
          <w:sz w:val="24"/>
          <w:szCs w:val="24"/>
          <w:lang w:val="en-US"/>
        </w:rPr>
      </w:pPr>
      <w:r w:rsidRPr="005C100D">
        <w:rPr>
          <w:sz w:val="24"/>
          <w:szCs w:val="24"/>
          <w:lang w:val="en-US"/>
        </w:rPr>
        <w:t>Various UN bodies have recommended an amendment to the Danish legislation (by way of example, the UN CRPD-Committee in September 2014</w:t>
      </w:r>
      <w:r w:rsidRPr="005C100D">
        <w:rPr>
          <w:rStyle w:val="FootnoteReference"/>
          <w:sz w:val="24"/>
          <w:szCs w:val="24"/>
          <w:lang w:val="en-US"/>
        </w:rPr>
        <w:footnoteReference w:id="125"/>
      </w:r>
      <w:r w:rsidRPr="005C100D">
        <w:rPr>
          <w:sz w:val="24"/>
          <w:szCs w:val="24"/>
          <w:lang w:val="en-US"/>
        </w:rPr>
        <w:t>, and the latest Universal Periodic Review January 2016).  However, t</w:t>
      </w:r>
      <w:r w:rsidR="00F81032" w:rsidRPr="005C100D">
        <w:rPr>
          <w:sz w:val="24"/>
          <w:szCs w:val="24"/>
          <w:lang w:val="en-US"/>
        </w:rPr>
        <w:t xml:space="preserve">he government </w:t>
      </w:r>
      <w:r w:rsidRPr="005C100D">
        <w:rPr>
          <w:sz w:val="24"/>
          <w:szCs w:val="24"/>
          <w:lang w:val="en-US"/>
        </w:rPr>
        <w:t>maintains</w:t>
      </w:r>
      <w:r w:rsidR="00F81032" w:rsidRPr="005C100D">
        <w:rPr>
          <w:sz w:val="24"/>
          <w:szCs w:val="24"/>
          <w:lang w:val="en-US"/>
        </w:rPr>
        <w:t xml:space="preserve"> </w:t>
      </w:r>
      <w:r w:rsidRPr="005C100D">
        <w:rPr>
          <w:sz w:val="24"/>
          <w:szCs w:val="24"/>
          <w:lang w:val="en-US"/>
        </w:rPr>
        <w:t xml:space="preserve">its position </w:t>
      </w:r>
      <w:r w:rsidR="00F81032" w:rsidRPr="005C100D">
        <w:rPr>
          <w:sz w:val="24"/>
          <w:szCs w:val="24"/>
          <w:lang w:val="en-US"/>
        </w:rPr>
        <w:t xml:space="preserve">that </w:t>
      </w:r>
      <w:r w:rsidRPr="005C100D">
        <w:rPr>
          <w:sz w:val="24"/>
          <w:szCs w:val="24"/>
          <w:lang w:val="en-US"/>
        </w:rPr>
        <w:t xml:space="preserve">there is no need for such a general ban on discrimination while noting that </w:t>
      </w:r>
      <w:r w:rsidR="00F81032" w:rsidRPr="005C100D">
        <w:rPr>
          <w:sz w:val="24"/>
          <w:szCs w:val="24"/>
          <w:lang w:val="en-US"/>
        </w:rPr>
        <w:t xml:space="preserve">all legislation is </w:t>
      </w:r>
      <w:r w:rsidR="001F2CA0">
        <w:rPr>
          <w:sz w:val="24"/>
          <w:szCs w:val="24"/>
          <w:lang w:val="en-US"/>
        </w:rPr>
        <w:t>equally</w:t>
      </w:r>
      <w:r w:rsidRPr="005C100D">
        <w:rPr>
          <w:sz w:val="24"/>
          <w:szCs w:val="24"/>
          <w:lang w:val="en-US"/>
        </w:rPr>
        <w:t xml:space="preserve"> </w:t>
      </w:r>
      <w:r w:rsidR="00F81032" w:rsidRPr="005C100D">
        <w:rPr>
          <w:sz w:val="24"/>
          <w:szCs w:val="24"/>
          <w:lang w:val="en-US"/>
        </w:rPr>
        <w:t xml:space="preserve">applicable to everybody. </w:t>
      </w:r>
      <w:r w:rsidRPr="005C100D">
        <w:rPr>
          <w:rStyle w:val="FootnoteReference"/>
          <w:sz w:val="24"/>
          <w:szCs w:val="24"/>
          <w:lang w:val="en-US"/>
        </w:rPr>
        <w:footnoteReference w:id="126"/>
      </w:r>
    </w:p>
    <w:p w:rsidR="00F81032" w:rsidRPr="005C100D" w:rsidRDefault="00F81032" w:rsidP="005C100D">
      <w:pPr>
        <w:jc w:val="both"/>
        <w:rPr>
          <w:sz w:val="24"/>
          <w:szCs w:val="24"/>
          <w:lang w:val="en-US"/>
        </w:rPr>
      </w:pPr>
      <w:r w:rsidRPr="005C100D">
        <w:rPr>
          <w:sz w:val="24"/>
          <w:szCs w:val="24"/>
          <w:lang w:val="en-US"/>
        </w:rPr>
        <w:t>In practice that is highly questionable. The</w:t>
      </w:r>
      <w:r w:rsidR="001E6049" w:rsidRPr="005C100D">
        <w:rPr>
          <w:sz w:val="24"/>
          <w:szCs w:val="24"/>
          <w:lang w:val="en-US"/>
        </w:rPr>
        <w:t xml:space="preserve"> Danish</w:t>
      </w:r>
      <w:r w:rsidRPr="005C100D">
        <w:rPr>
          <w:sz w:val="24"/>
          <w:szCs w:val="24"/>
          <w:lang w:val="en-US"/>
        </w:rPr>
        <w:t xml:space="preserve"> Board of Equal Treatment </w:t>
      </w:r>
      <w:r w:rsidR="001E6049" w:rsidRPr="005C100D">
        <w:rPr>
          <w:sz w:val="24"/>
          <w:szCs w:val="24"/>
          <w:lang w:val="en-US"/>
        </w:rPr>
        <w:t>makes</w:t>
      </w:r>
      <w:r w:rsidRPr="005C100D">
        <w:rPr>
          <w:sz w:val="24"/>
          <w:szCs w:val="24"/>
          <w:lang w:val="en-US"/>
        </w:rPr>
        <w:t xml:space="preserve"> decisions in cases of discrimination </w:t>
      </w:r>
      <w:r w:rsidR="001E6049" w:rsidRPr="005C100D">
        <w:rPr>
          <w:sz w:val="24"/>
          <w:szCs w:val="24"/>
          <w:lang w:val="en-US"/>
        </w:rPr>
        <w:t>based on</w:t>
      </w:r>
      <w:r w:rsidRPr="005C100D">
        <w:rPr>
          <w:sz w:val="24"/>
          <w:szCs w:val="24"/>
          <w:lang w:val="en-US"/>
        </w:rPr>
        <w:t xml:space="preserve"> ethnicity and gender</w:t>
      </w:r>
      <w:r w:rsidR="001E6049" w:rsidRPr="005C100D">
        <w:rPr>
          <w:sz w:val="24"/>
          <w:szCs w:val="24"/>
          <w:lang w:val="en-US"/>
        </w:rPr>
        <w:t xml:space="preserve"> whereas its mandate in cases regarding discrimination based on </w:t>
      </w:r>
      <w:r w:rsidRPr="005C100D">
        <w:rPr>
          <w:sz w:val="24"/>
          <w:szCs w:val="24"/>
          <w:lang w:val="en-US"/>
        </w:rPr>
        <w:t xml:space="preserve">disability </w:t>
      </w:r>
      <w:r w:rsidR="001E6049" w:rsidRPr="005C100D">
        <w:rPr>
          <w:sz w:val="24"/>
          <w:szCs w:val="24"/>
          <w:lang w:val="en-US"/>
        </w:rPr>
        <w:t xml:space="preserve">is limited to </w:t>
      </w:r>
      <w:r w:rsidRPr="005C100D">
        <w:rPr>
          <w:sz w:val="24"/>
          <w:szCs w:val="24"/>
          <w:lang w:val="en-US"/>
        </w:rPr>
        <w:t>discrimination on the</w:t>
      </w:r>
      <w:r w:rsidR="001E6049" w:rsidRPr="005C100D">
        <w:rPr>
          <w:sz w:val="24"/>
          <w:szCs w:val="24"/>
          <w:lang w:val="en-US"/>
        </w:rPr>
        <w:t xml:space="preserve"> labor</w:t>
      </w:r>
      <w:r w:rsidRPr="005C100D">
        <w:rPr>
          <w:sz w:val="24"/>
          <w:szCs w:val="24"/>
          <w:lang w:val="en-US"/>
        </w:rPr>
        <w:t>.</w:t>
      </w:r>
      <w:r w:rsidRPr="005C100D">
        <w:rPr>
          <w:rStyle w:val="FootnoteReference"/>
          <w:sz w:val="24"/>
          <w:szCs w:val="24"/>
          <w:lang w:val="en-US"/>
        </w:rPr>
        <w:footnoteReference w:id="127"/>
      </w:r>
    </w:p>
    <w:p w:rsidR="00F81032" w:rsidRPr="005C100D" w:rsidRDefault="00F81032" w:rsidP="005C100D">
      <w:pPr>
        <w:jc w:val="both"/>
        <w:rPr>
          <w:sz w:val="24"/>
          <w:szCs w:val="24"/>
          <w:lang w:val="en-US"/>
        </w:rPr>
      </w:pPr>
      <w:r w:rsidRPr="005C100D">
        <w:rPr>
          <w:sz w:val="24"/>
          <w:szCs w:val="24"/>
          <w:lang w:val="en-US"/>
        </w:rPr>
        <w:t xml:space="preserve">We </w:t>
      </w:r>
      <w:r w:rsidRPr="005C100D">
        <w:rPr>
          <w:b/>
          <w:sz w:val="24"/>
          <w:szCs w:val="24"/>
          <w:lang w:val="en-US"/>
        </w:rPr>
        <w:t xml:space="preserve">recommend that </w:t>
      </w:r>
      <w:r w:rsidR="000D20E3">
        <w:rPr>
          <w:b/>
          <w:sz w:val="24"/>
          <w:szCs w:val="24"/>
          <w:lang w:val="en-US"/>
        </w:rPr>
        <w:t xml:space="preserve">Denmark </w:t>
      </w:r>
      <w:r w:rsidRPr="005C100D">
        <w:rPr>
          <w:b/>
          <w:sz w:val="24"/>
          <w:szCs w:val="24"/>
          <w:lang w:val="en-US"/>
        </w:rPr>
        <w:t>adopt</w:t>
      </w:r>
      <w:r w:rsidR="000D20E3">
        <w:rPr>
          <w:b/>
          <w:sz w:val="24"/>
          <w:szCs w:val="24"/>
          <w:lang w:val="en-US"/>
        </w:rPr>
        <w:t>s</w:t>
      </w:r>
      <w:r w:rsidRPr="005C100D">
        <w:rPr>
          <w:b/>
          <w:sz w:val="24"/>
          <w:szCs w:val="24"/>
          <w:lang w:val="en-US"/>
        </w:rPr>
        <w:t xml:space="preserve"> legislation stating a coherent </w:t>
      </w:r>
      <w:r w:rsidR="007E2115" w:rsidRPr="005C100D">
        <w:rPr>
          <w:b/>
          <w:sz w:val="24"/>
          <w:szCs w:val="24"/>
          <w:lang w:val="en-US"/>
        </w:rPr>
        <w:t xml:space="preserve">and general </w:t>
      </w:r>
      <w:r w:rsidRPr="005C100D">
        <w:rPr>
          <w:b/>
          <w:sz w:val="24"/>
          <w:szCs w:val="24"/>
          <w:lang w:val="en-US"/>
        </w:rPr>
        <w:t>prohibition on discrimination</w:t>
      </w:r>
      <w:r w:rsidR="000D20E3" w:rsidRPr="000D20E3">
        <w:rPr>
          <w:b/>
          <w:sz w:val="24"/>
          <w:szCs w:val="24"/>
          <w:lang w:val="en-US"/>
        </w:rPr>
        <w:t xml:space="preserve"> </w:t>
      </w:r>
      <w:r w:rsidR="000D20E3">
        <w:rPr>
          <w:b/>
          <w:sz w:val="24"/>
          <w:szCs w:val="24"/>
          <w:lang w:val="en-US"/>
        </w:rPr>
        <w:t>based on disability</w:t>
      </w:r>
      <w:r w:rsidRPr="005C100D">
        <w:rPr>
          <w:sz w:val="24"/>
          <w:szCs w:val="24"/>
          <w:lang w:val="en-US"/>
        </w:rPr>
        <w:t xml:space="preserve">. </w:t>
      </w:r>
    </w:p>
    <w:p w:rsidR="0086727A" w:rsidRPr="005C100D" w:rsidRDefault="0086727A" w:rsidP="005C100D">
      <w:pPr>
        <w:tabs>
          <w:tab w:val="left" w:pos="2556"/>
        </w:tabs>
        <w:jc w:val="both"/>
        <w:rPr>
          <w:sz w:val="24"/>
          <w:szCs w:val="24"/>
          <w:lang w:val="en-US"/>
        </w:rPr>
      </w:pPr>
    </w:p>
    <w:p w:rsidR="002003E2" w:rsidRPr="005C100D" w:rsidRDefault="002003E2" w:rsidP="005C100D">
      <w:pPr>
        <w:jc w:val="both"/>
        <w:rPr>
          <w:sz w:val="24"/>
          <w:szCs w:val="24"/>
          <w:lang w:val="en-US"/>
        </w:rPr>
      </w:pPr>
      <w:r w:rsidRPr="005C100D">
        <w:rPr>
          <w:sz w:val="24"/>
          <w:szCs w:val="24"/>
          <w:lang w:val="en-US"/>
        </w:rPr>
        <w:br w:type="page"/>
      </w:r>
    </w:p>
    <w:p w:rsidR="001C4188" w:rsidRPr="005C100D" w:rsidRDefault="001C4188" w:rsidP="005C100D">
      <w:pPr>
        <w:tabs>
          <w:tab w:val="left" w:pos="2556"/>
        </w:tabs>
        <w:jc w:val="both"/>
        <w:rPr>
          <w:sz w:val="24"/>
          <w:szCs w:val="24"/>
          <w:lang w:val="en-US"/>
        </w:rPr>
      </w:pPr>
    </w:p>
    <w:sectPr w:rsidR="001C4188" w:rsidRPr="005C100D">
      <w:footerReference w:type="default" r:id="rId2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74C" w:rsidRDefault="00BD074C" w:rsidP="00C740F1">
      <w:pPr>
        <w:spacing w:after="0" w:line="240" w:lineRule="auto"/>
      </w:pPr>
      <w:r>
        <w:separator/>
      </w:r>
    </w:p>
  </w:endnote>
  <w:endnote w:type="continuationSeparator" w:id="0">
    <w:p w:rsidR="00BD074C" w:rsidRDefault="00BD074C" w:rsidP="00C7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080469"/>
      <w:docPartObj>
        <w:docPartGallery w:val="Page Numbers (Bottom of Page)"/>
        <w:docPartUnique/>
      </w:docPartObj>
    </w:sdtPr>
    <w:sdtContent>
      <w:p w:rsidR="00910317" w:rsidRDefault="00910317">
        <w:pPr>
          <w:pStyle w:val="Footer"/>
        </w:pPr>
        <w:r>
          <w:fldChar w:fldCharType="begin"/>
        </w:r>
        <w:r>
          <w:instrText>PAGE   \* MERGEFORMAT</w:instrText>
        </w:r>
        <w:r>
          <w:fldChar w:fldCharType="separate"/>
        </w:r>
        <w:r w:rsidR="008773F8">
          <w:rPr>
            <w:noProof/>
          </w:rPr>
          <w:t>21</w:t>
        </w:r>
        <w:r>
          <w:fldChar w:fldCharType="end"/>
        </w:r>
      </w:p>
    </w:sdtContent>
  </w:sdt>
  <w:p w:rsidR="00910317" w:rsidRDefault="00910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74C" w:rsidRDefault="00BD074C" w:rsidP="00C740F1">
      <w:pPr>
        <w:spacing w:after="0" w:line="240" w:lineRule="auto"/>
      </w:pPr>
      <w:r>
        <w:separator/>
      </w:r>
    </w:p>
  </w:footnote>
  <w:footnote w:type="continuationSeparator" w:id="0">
    <w:p w:rsidR="00BD074C" w:rsidRDefault="00BD074C" w:rsidP="00C740F1">
      <w:pPr>
        <w:spacing w:after="0" w:line="240" w:lineRule="auto"/>
      </w:pPr>
      <w:r>
        <w:continuationSeparator/>
      </w:r>
    </w:p>
  </w:footnote>
  <w:footnote w:id="1">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One of the recommendations by the Human Rights Committee during the last review in 2008 (para 11 in Concluding Observations).</w:t>
      </w:r>
    </w:p>
  </w:footnote>
  <w:footnote w:id="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List of Issues para 13.</w:t>
      </w:r>
    </w:p>
  </w:footnote>
  <w:footnote w:id="3">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List of Issues para 15.</w:t>
      </w:r>
    </w:p>
  </w:footnote>
  <w:footnote w:id="4">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See also List of Issue</w:t>
      </w:r>
      <w:r w:rsidR="00087A66" w:rsidRPr="00DA7A68">
        <w:rPr>
          <w:sz w:val="18"/>
          <w:szCs w:val="18"/>
          <w:lang w:val="en-US"/>
        </w:rPr>
        <w:t>s,</w:t>
      </w:r>
      <w:r w:rsidRPr="00DA7A68">
        <w:rPr>
          <w:sz w:val="18"/>
          <w:szCs w:val="18"/>
          <w:lang w:val="en-US"/>
        </w:rPr>
        <w:t xml:space="preserve"> para 13.</w:t>
      </w:r>
    </w:p>
  </w:footnote>
  <w:footnote w:id="5">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r w:rsidR="00B7088F" w:rsidRPr="00DA7A68">
        <w:rPr>
          <w:rFonts w:cstheme="majorBidi"/>
          <w:sz w:val="18"/>
          <w:szCs w:val="18"/>
          <w:lang w:val="en-GB"/>
        </w:rPr>
        <w:t>I</w:t>
      </w:r>
      <w:r w:rsidR="00B7088F" w:rsidRPr="00DA7A68">
        <w:rPr>
          <w:rFonts w:cstheme="majorBidi"/>
          <w:sz w:val="18"/>
          <w:szCs w:val="18"/>
          <w:lang w:val="en-GB"/>
        </w:rPr>
        <w:t>n the 6-month period of January 2016 - August 2015</w:t>
      </w:r>
      <w:r w:rsidR="00B7088F" w:rsidRPr="00DA7A68">
        <w:rPr>
          <w:rFonts w:cstheme="majorBidi"/>
          <w:sz w:val="18"/>
          <w:szCs w:val="18"/>
          <w:lang w:val="en-GB"/>
        </w:rPr>
        <w:t xml:space="preserve">, a total of 6 cases: </w:t>
      </w:r>
      <w:r w:rsidRPr="00DA7A68">
        <w:rPr>
          <w:sz w:val="18"/>
          <w:szCs w:val="18"/>
          <w:lang w:val="en-US"/>
        </w:rPr>
        <w:t xml:space="preserve">See the webpage of the UN Human Rights Committee: Communication No. 2343/2014 (Egypt) of 3 September 2015; Communication No. 2370/2014 (Afghanistan) of 7 September 2015; Communication No. 2288/2013 of 15 September 2015 (Nigeria); 2360/2014 of 25 September 2015 (Italy); Communication no. 2389/2014 of 21 October 2015 (Iran); and Communication 2258/2013 of 8 January 2016 (Sri Lanka). </w:t>
      </w:r>
    </w:p>
  </w:footnote>
  <w:footnote w:id="6">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r w:rsidRPr="00DA7A68">
        <w:rPr>
          <w:rFonts w:cstheme="majorBidi"/>
          <w:sz w:val="18"/>
          <w:szCs w:val="18"/>
          <w:lang w:val="en-US"/>
        </w:rPr>
        <w:t>I</w:t>
      </w:r>
      <w:r w:rsidRPr="00DA7A68">
        <w:rPr>
          <w:rFonts w:cstheme="majorBidi"/>
          <w:sz w:val="18"/>
          <w:szCs w:val="18"/>
          <w:lang w:val="en-GB"/>
        </w:rPr>
        <w:t>.e., deportation to Sri Lanka (Communication 2258/2013) and to Nigeria (Communication 2288/2013</w:t>
      </w:r>
      <w:r w:rsidR="00495212" w:rsidRPr="00DA7A68">
        <w:rPr>
          <w:rFonts w:cstheme="majorBidi"/>
          <w:sz w:val="18"/>
          <w:szCs w:val="18"/>
          <w:lang w:val="en-GB"/>
        </w:rPr>
        <w:t>)</w:t>
      </w:r>
      <w:r w:rsidRPr="00DA7A68">
        <w:rPr>
          <w:rFonts w:cstheme="majorBidi"/>
          <w:sz w:val="18"/>
          <w:szCs w:val="18"/>
          <w:lang w:val="en-GB"/>
        </w:rPr>
        <w:t>.</w:t>
      </w:r>
    </w:p>
  </w:footnote>
  <w:footnote w:id="7">
    <w:p w:rsidR="00910317" w:rsidRPr="00DA7A68" w:rsidRDefault="00910317" w:rsidP="004722B3">
      <w:pPr>
        <w:jc w:val="both"/>
        <w:rPr>
          <w:rFonts w:cstheme="majorBidi"/>
          <w:sz w:val="18"/>
          <w:szCs w:val="18"/>
          <w:lang w:val="en-GB"/>
        </w:rPr>
      </w:pPr>
      <w:r w:rsidRPr="00DA7A68">
        <w:rPr>
          <w:rStyle w:val="FootnoteReference"/>
          <w:sz w:val="18"/>
          <w:szCs w:val="18"/>
        </w:rPr>
        <w:footnoteRef/>
      </w:r>
      <w:r w:rsidRPr="00DA7A68">
        <w:rPr>
          <w:sz w:val="18"/>
          <w:szCs w:val="18"/>
          <w:lang w:val="en-US"/>
        </w:rPr>
        <w:t xml:space="preserve"> </w:t>
      </w:r>
      <w:r w:rsidRPr="00DA7A68">
        <w:rPr>
          <w:rFonts w:cstheme="majorBidi"/>
          <w:sz w:val="18"/>
          <w:szCs w:val="18"/>
          <w:lang w:val="en-GB"/>
        </w:rPr>
        <w:t xml:space="preserve">In Communication 2288/2013, the Board noted: </w:t>
      </w:r>
      <w:r w:rsidRPr="00DA7A68">
        <w:rPr>
          <w:bCs/>
          <w:iCs/>
          <w:sz w:val="18"/>
          <w:szCs w:val="18"/>
          <w:lang w:val="en-US"/>
        </w:rPr>
        <w:t xml:space="preserve">“The Refugee Board first notes that the Human Rights Committee's opinion is not legally binding and that it is thus also after the reopening of the asylum cases the competent of the Danish authorities to decide whether the applicant may be sent back to (Nigeria), see </w:t>
      </w:r>
      <w:r w:rsidRPr="00DA7A68">
        <w:rPr>
          <w:sz w:val="18"/>
          <w:szCs w:val="18"/>
          <w:lang w:val="en-US"/>
        </w:rPr>
        <w:t xml:space="preserve">Website of the Refugee Appeals Board. </w:t>
      </w:r>
    </w:p>
  </w:footnote>
  <w:footnote w:id="8">
    <w:p w:rsidR="00E14B82" w:rsidRPr="00DA7A68" w:rsidRDefault="00E14B82"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r w:rsidRPr="00DA7A68">
        <w:rPr>
          <w:rFonts w:cstheme="majorBidi"/>
          <w:sz w:val="18"/>
          <w:szCs w:val="18"/>
          <w:lang w:val="en-GB"/>
        </w:rPr>
        <w:t xml:space="preserve">See also the Human Rights Committee’s decision in the case Q v. Denmark (Communication No. 2001/2010) in relation to which </w:t>
      </w:r>
      <w:r w:rsidRPr="00DA7A68">
        <w:rPr>
          <w:sz w:val="18"/>
          <w:szCs w:val="18"/>
          <w:lang w:val="en-US"/>
        </w:rPr>
        <w:t>the Danish government has informed the Parliament that it is awaiting the ruling by the European Court of Human Rights in two similar pending cases against Denmark.</w:t>
      </w:r>
    </w:p>
  </w:footnote>
  <w:footnote w:id="9">
    <w:p w:rsidR="00123978" w:rsidRPr="00DA7A68" w:rsidRDefault="00123978"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Decision by the Supreme Court of Denmark 13 September 2013</w:t>
      </w:r>
      <w:r w:rsidR="004722B3" w:rsidRPr="00DA7A68">
        <w:rPr>
          <w:sz w:val="18"/>
          <w:szCs w:val="18"/>
          <w:lang w:val="en-US"/>
        </w:rPr>
        <w:t xml:space="preserve"> regarding the procedural issue concerning providing guarantee of security</w:t>
      </w:r>
      <w:r w:rsidRPr="00DA7A68">
        <w:rPr>
          <w:sz w:val="18"/>
          <w:szCs w:val="18"/>
          <w:lang w:val="en-US"/>
        </w:rPr>
        <w:t>.</w:t>
      </w:r>
    </w:p>
  </w:footnote>
  <w:footnote w:id="10">
    <w:p w:rsidR="00910317" w:rsidRPr="00DA7A68" w:rsidRDefault="00910317" w:rsidP="004722B3">
      <w:pPr>
        <w:pStyle w:val="FootnoteText"/>
        <w:jc w:val="both"/>
        <w:rPr>
          <w:sz w:val="18"/>
          <w:szCs w:val="18"/>
          <w:lang w:val="en-US"/>
        </w:rPr>
      </w:pPr>
      <w:r w:rsidRPr="00DA7A68">
        <w:rPr>
          <w:rStyle w:val="FootnoteReference"/>
          <w:sz w:val="18"/>
          <w:szCs w:val="18"/>
        </w:rPr>
        <w:footnoteRef/>
      </w:r>
      <w:r w:rsidR="00196D3F" w:rsidRPr="00DA7A68">
        <w:rPr>
          <w:sz w:val="18"/>
          <w:szCs w:val="18"/>
          <w:lang w:val="en-US"/>
        </w:rPr>
        <w:t xml:space="preserve"> </w:t>
      </w:r>
      <w:r w:rsidR="00196D3F" w:rsidRPr="00DA7A68">
        <w:rPr>
          <w:rFonts w:cstheme="majorBidi"/>
          <w:sz w:val="18"/>
          <w:szCs w:val="18"/>
          <w:lang w:val="en-GB"/>
        </w:rPr>
        <w:t>Last week, it was revealed in the media</w:t>
      </w:r>
      <w:r w:rsidR="00196D3F" w:rsidRPr="00DA7A68">
        <w:rPr>
          <w:rFonts w:cstheme="majorBidi"/>
          <w:sz w:val="18"/>
          <w:szCs w:val="18"/>
          <w:lang w:val="en-GB"/>
        </w:rPr>
        <w:t xml:space="preserve"> </w:t>
      </w:r>
      <w:r w:rsidR="00196D3F" w:rsidRPr="00DA7A68">
        <w:rPr>
          <w:rFonts w:cstheme="majorBidi"/>
          <w:sz w:val="18"/>
          <w:szCs w:val="18"/>
          <w:lang w:val="en-GB"/>
        </w:rPr>
        <w:t xml:space="preserve">that Denmark had transferred a higher number of prisoners than previously known and that Denmark likely knew that these prisoners would be maltreated by Iraqi authorities. </w:t>
      </w:r>
      <w:r w:rsidRPr="00DA7A68">
        <w:rPr>
          <w:sz w:val="18"/>
          <w:szCs w:val="18"/>
          <w:lang w:val="en-US"/>
        </w:rPr>
        <w:t>Information news</w:t>
      </w:r>
      <w:r w:rsidR="00196D3F" w:rsidRPr="00DA7A68">
        <w:rPr>
          <w:sz w:val="18"/>
          <w:szCs w:val="18"/>
          <w:lang w:val="en-US"/>
        </w:rPr>
        <w:t xml:space="preserve">paper 19, 20, </w:t>
      </w:r>
      <w:r w:rsidRPr="00DA7A68">
        <w:rPr>
          <w:sz w:val="18"/>
          <w:szCs w:val="18"/>
          <w:lang w:val="en-US"/>
        </w:rPr>
        <w:t>23</w:t>
      </w:r>
      <w:r w:rsidR="00196D3F" w:rsidRPr="00DA7A68">
        <w:rPr>
          <w:sz w:val="18"/>
          <w:szCs w:val="18"/>
          <w:lang w:val="en-US"/>
        </w:rPr>
        <w:t xml:space="preserve"> and 25</w:t>
      </w:r>
      <w:r w:rsidRPr="00DA7A68">
        <w:rPr>
          <w:sz w:val="18"/>
          <w:szCs w:val="18"/>
          <w:lang w:val="en-US"/>
        </w:rPr>
        <w:t xml:space="preserve"> May 2016.</w:t>
      </w:r>
    </w:p>
  </w:footnote>
  <w:footnote w:id="11">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This temporary protection status was introduced by the previous government in February 2015 with limited possibility for family reunification.</w:t>
      </w:r>
    </w:p>
  </w:footnote>
  <w:footnote w:id="1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See response by DIGNITY to the Ministry of Immigration, Integration and Housing (MIIH) 6 January 2016. See also response by the Danish Institute for Human Rights of 6 January 2016.</w:t>
      </w:r>
    </w:p>
  </w:footnote>
  <w:footnote w:id="13">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r w:rsidRPr="00DA7A68">
        <w:rPr>
          <w:sz w:val="18"/>
          <w:szCs w:val="18"/>
          <w:lang w:val="en-GB"/>
        </w:rPr>
        <w:t xml:space="preserve">Today, there are serious challenges in the referral system for victims of torture who in average have to wait 15,7 </w:t>
      </w:r>
      <w:proofErr w:type="gramStart"/>
      <w:r w:rsidRPr="00DA7A68">
        <w:rPr>
          <w:sz w:val="18"/>
          <w:szCs w:val="18"/>
          <w:lang w:val="en-GB"/>
        </w:rPr>
        <w:t>year</w:t>
      </w:r>
      <w:proofErr w:type="gramEnd"/>
      <w:r w:rsidRPr="00DA7A68">
        <w:rPr>
          <w:sz w:val="18"/>
          <w:szCs w:val="18"/>
          <w:lang w:val="en-GB"/>
        </w:rPr>
        <w:t xml:space="preserve"> after obtaining residence before they are referred to treatment at DIGNITY.</w:t>
      </w:r>
    </w:p>
  </w:footnote>
  <w:footnote w:id="14">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r w:rsidRPr="00DA7A68">
        <w:rPr>
          <w:sz w:val="18"/>
          <w:szCs w:val="18"/>
          <w:lang w:val="en-GB"/>
        </w:rPr>
        <w:t xml:space="preserve">This amendment will affect a large group of refugees, as an estimate of 30% are traumatised and many of these are victims of torture. These numbers are likely higher among the Syrian refugees. </w:t>
      </w:r>
      <w:r w:rsidRPr="00DA7A68">
        <w:rPr>
          <w:sz w:val="18"/>
          <w:szCs w:val="18"/>
          <w:lang w:val="en-US"/>
        </w:rPr>
        <w:t>The Committee against Torture noted in its latest Concluding Observations this deficiency in the Danish asylum system and asked Denmark to set up a procedure for systematic screening within a year (follow-up procedure, para 50 of the CAT Concluding Observations).</w:t>
      </w:r>
    </w:p>
  </w:footnote>
  <w:footnote w:id="15">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See the preparatory notes to the law.</w:t>
      </w:r>
    </w:p>
  </w:footnote>
  <w:footnote w:id="16">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The lower allowance may also </w:t>
      </w:r>
      <w:r w:rsidR="0086539A" w:rsidRPr="00DA7A68">
        <w:rPr>
          <w:sz w:val="18"/>
          <w:szCs w:val="18"/>
          <w:lang w:val="en-US"/>
        </w:rPr>
        <w:t>have the negative side effect of increasing</w:t>
      </w:r>
      <w:r w:rsidRPr="00DA7A68">
        <w:rPr>
          <w:sz w:val="18"/>
          <w:szCs w:val="18"/>
          <w:lang w:val="en-US"/>
        </w:rPr>
        <w:t xml:space="preserve"> the risk of expulsion and ultimately the risk of radicalization, as underlined by an expert group on prevention of radicalization in August 2015.</w:t>
      </w:r>
    </w:p>
  </w:footnote>
  <w:footnote w:id="17">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Politiken 13 </w:t>
      </w:r>
      <w:proofErr w:type="gramStart"/>
      <w:r w:rsidRPr="00DA7A68">
        <w:rPr>
          <w:sz w:val="18"/>
          <w:szCs w:val="18"/>
        </w:rPr>
        <w:t>December</w:t>
      </w:r>
      <w:proofErr w:type="gramEnd"/>
      <w:r w:rsidRPr="00DA7A68">
        <w:rPr>
          <w:sz w:val="18"/>
          <w:szCs w:val="18"/>
        </w:rPr>
        <w:t xml:space="preserve"> 2015.</w:t>
      </w:r>
    </w:p>
  </w:footnote>
  <w:footnote w:id="18">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Høringssvar (</w:t>
      </w:r>
      <w:proofErr w:type="spellStart"/>
      <w:r w:rsidRPr="00DA7A68">
        <w:rPr>
          <w:sz w:val="18"/>
          <w:szCs w:val="18"/>
        </w:rPr>
        <w:t>response</w:t>
      </w:r>
      <w:proofErr w:type="spellEnd"/>
      <w:r w:rsidRPr="00DA7A68">
        <w:rPr>
          <w:sz w:val="18"/>
          <w:szCs w:val="18"/>
        </w:rPr>
        <w:t xml:space="preserve"> to the </w:t>
      </w:r>
      <w:proofErr w:type="spellStart"/>
      <w:r w:rsidRPr="00DA7A68">
        <w:rPr>
          <w:sz w:val="18"/>
          <w:szCs w:val="18"/>
        </w:rPr>
        <w:t>law</w:t>
      </w:r>
      <w:proofErr w:type="spellEnd"/>
      <w:r w:rsidRPr="00DA7A68">
        <w:rPr>
          <w:sz w:val="18"/>
          <w:szCs w:val="18"/>
        </w:rPr>
        <w:t xml:space="preserve">) of 4 </w:t>
      </w:r>
      <w:proofErr w:type="gramStart"/>
      <w:r w:rsidRPr="00DA7A68">
        <w:rPr>
          <w:sz w:val="18"/>
          <w:szCs w:val="18"/>
        </w:rPr>
        <w:t>December</w:t>
      </w:r>
      <w:proofErr w:type="gramEnd"/>
      <w:r w:rsidRPr="00DA7A68">
        <w:rPr>
          <w:sz w:val="18"/>
          <w:szCs w:val="18"/>
        </w:rPr>
        <w:t xml:space="preserve"> 2015: “På denne baggrund finder Advokatrådet, at den foreslåede lovændring, som lægger op til en markant mere restriktiv anvendelse af adgangen til retshjælp, er unødvendig og </w:t>
      </w:r>
      <w:proofErr w:type="spellStart"/>
      <w:r w:rsidRPr="00DA7A68">
        <w:rPr>
          <w:sz w:val="18"/>
          <w:szCs w:val="18"/>
        </w:rPr>
        <w:t>retssikerhedsmæssigt</w:t>
      </w:r>
      <w:proofErr w:type="spellEnd"/>
      <w:r w:rsidRPr="00DA7A68">
        <w:rPr>
          <w:sz w:val="18"/>
          <w:szCs w:val="18"/>
        </w:rPr>
        <w:t xml:space="preserve"> meget betænkelig”.</w:t>
      </w:r>
    </w:p>
  </w:footnote>
  <w:footnote w:id="19">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B</w:t>
      </w:r>
      <w:r w:rsidR="000E2CCC" w:rsidRPr="00DA7A68">
        <w:rPr>
          <w:sz w:val="18"/>
          <w:szCs w:val="18"/>
        </w:rPr>
        <w:t>etænkning til L 97, afgivet af R</w:t>
      </w:r>
      <w:r w:rsidRPr="00DA7A68">
        <w:rPr>
          <w:sz w:val="18"/>
          <w:szCs w:val="18"/>
        </w:rPr>
        <w:t>etsudvalget d. 25. februar 2016.</w:t>
      </w:r>
    </w:p>
  </w:footnote>
  <w:footnote w:id="20">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Lovbemærkninger s. 13: </w:t>
      </w:r>
      <w:proofErr w:type="gramStart"/>
      <w:r w:rsidRPr="00DA7A68">
        <w:rPr>
          <w:sz w:val="18"/>
          <w:szCs w:val="18"/>
        </w:rPr>
        <w:t>”…indebærer</w:t>
      </w:r>
      <w:proofErr w:type="gramEnd"/>
      <w:r w:rsidRPr="00DA7A68">
        <w:rPr>
          <w:sz w:val="18"/>
          <w:szCs w:val="18"/>
        </w:rPr>
        <w:t xml:space="preserve"> kriteriet ”rimelig grund” endvidere, at der skal foreligge en rimelig udsigt til, at der foreligger en krænkelse af den omhandlede konvention”. </w:t>
      </w:r>
    </w:p>
  </w:footnote>
  <w:footnote w:id="21">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 </w:t>
      </w:r>
      <w:proofErr w:type="spellStart"/>
      <w:r w:rsidRPr="00DA7A68">
        <w:rPr>
          <w:sz w:val="18"/>
          <w:szCs w:val="18"/>
          <w:lang w:val="en-US"/>
        </w:rPr>
        <w:t>bemærkninger</w:t>
      </w:r>
      <w:proofErr w:type="spellEnd"/>
      <w:r w:rsidRPr="00DA7A68">
        <w:rPr>
          <w:sz w:val="18"/>
          <w:szCs w:val="18"/>
          <w:lang w:val="en-US"/>
        </w:rPr>
        <w:t xml:space="preserve"> to law proposal, s. 3-4.</w:t>
      </w:r>
    </w:p>
  </w:footnote>
  <w:footnote w:id="2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The majority of cases against Denmark relates to deportation of rejected asylum seekers. The numbers of such cases against the Refugee Appeals Board amount to: 2011: 9 cases; 2012: 10 cases; 2013: 14 cases; 2014 83 cases; and 2015 until 1 September 36 cases (see </w:t>
      </w:r>
      <w:proofErr w:type="spellStart"/>
      <w:r w:rsidRPr="00DA7A68">
        <w:rPr>
          <w:sz w:val="18"/>
          <w:szCs w:val="18"/>
          <w:lang w:val="en-US"/>
        </w:rPr>
        <w:t>lovbemærkninger</w:t>
      </w:r>
      <w:proofErr w:type="spellEnd"/>
      <w:r w:rsidRPr="00DA7A68">
        <w:rPr>
          <w:sz w:val="18"/>
          <w:szCs w:val="18"/>
          <w:lang w:val="en-US"/>
        </w:rPr>
        <w:t>).</w:t>
      </w:r>
    </w:p>
  </w:footnote>
  <w:footnote w:id="23">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r w:rsidRPr="00DA7A68">
        <w:rPr>
          <w:sz w:val="18"/>
          <w:szCs w:val="18"/>
          <w:lang w:val="en-GB"/>
        </w:rPr>
        <w:t>The government referred to the case 2393/2014, K v. Denmark, in which the Human Rights Committee asked Denmark for legal comments in May 2014 and then in July 2015 the Committee dismissed the case due to the fact that the complaint had not explained why the credibility assessment by the Refugee Appeals Board had been arbitrary or entailed a denial of justice.</w:t>
      </w:r>
    </w:p>
  </w:footnote>
  <w:footnote w:id="24">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See DIGNITY’s response available at: https://hoeringsportalen.dk/Hearing/Details/59198</w:t>
      </w:r>
    </w:p>
  </w:footnote>
  <w:footnote w:id="25">
    <w:p w:rsidR="00910317" w:rsidRPr="00DA7A68" w:rsidRDefault="00910317" w:rsidP="004722B3">
      <w:pPr>
        <w:jc w:val="both"/>
        <w:rPr>
          <w:rFonts w:cstheme="majorBidi"/>
          <w:sz w:val="18"/>
          <w:szCs w:val="18"/>
          <w:lang w:val="en-US"/>
        </w:rPr>
      </w:pPr>
      <w:r w:rsidRPr="00DA7A68">
        <w:rPr>
          <w:rStyle w:val="FootnoteReference"/>
          <w:sz w:val="18"/>
          <w:szCs w:val="18"/>
        </w:rPr>
        <w:footnoteRef/>
      </w:r>
      <w:r w:rsidRPr="00DA7A68">
        <w:rPr>
          <w:sz w:val="18"/>
          <w:szCs w:val="18"/>
          <w:lang w:val="en-US"/>
        </w:rPr>
        <w:t xml:space="preserve"> </w:t>
      </w:r>
      <w:r w:rsidRPr="00DA7A68">
        <w:rPr>
          <w:rFonts w:eastAsia="Times New Roman" w:cs="Times New Roman"/>
          <w:sz w:val="18"/>
          <w:szCs w:val="18"/>
          <w:lang w:val="en-US" w:eastAsia="da-DK"/>
        </w:rPr>
        <w:t>The Government of Denmark makes a reservation in respect of Article 10, paragraph 3, second sentence. In Danish practice, considerable efforts are made to ensure appropriate age distribution of convicts serving sentences of imprisonment, but it is considered valuable to maintain possibilities of flexible arrangements.</w:t>
      </w:r>
    </w:p>
  </w:footnote>
  <w:footnote w:id="26">
    <w:p w:rsidR="003949D3" w:rsidRPr="00DA7A68" w:rsidRDefault="003949D3">
      <w:pPr>
        <w:pStyle w:val="FootnoteText"/>
        <w:rPr>
          <w:sz w:val="18"/>
          <w:szCs w:val="18"/>
          <w:lang w:val="en-US"/>
        </w:rPr>
      </w:pPr>
      <w:r w:rsidRPr="00DA7A68">
        <w:rPr>
          <w:rStyle w:val="FootnoteReference"/>
          <w:sz w:val="18"/>
          <w:szCs w:val="18"/>
        </w:rPr>
        <w:footnoteRef/>
      </w:r>
      <w:r w:rsidRPr="00DA7A68">
        <w:rPr>
          <w:sz w:val="18"/>
          <w:szCs w:val="18"/>
          <w:lang w:val="en-US"/>
        </w:rPr>
        <w:t xml:space="preserve"> Reference is also made to the recommendation by the Committee against Torture, Concluding Observation para 35. </w:t>
      </w:r>
    </w:p>
  </w:footnote>
  <w:footnote w:id="27">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Report no. 1407/2001.</w:t>
      </w:r>
    </w:p>
  </w:footnote>
  <w:footnote w:id="28">
    <w:p w:rsidR="00910317" w:rsidRPr="00DA7A68" w:rsidRDefault="00910317" w:rsidP="004722B3">
      <w:pPr>
        <w:autoSpaceDE w:val="0"/>
        <w:autoSpaceDN w:val="0"/>
        <w:adjustRightInd w:val="0"/>
        <w:spacing w:after="0" w:line="240" w:lineRule="auto"/>
        <w:jc w:val="both"/>
        <w:rPr>
          <w:sz w:val="18"/>
          <w:szCs w:val="18"/>
          <w:lang w:val="en-US"/>
        </w:rPr>
      </w:pPr>
      <w:r w:rsidRPr="00DA7A68">
        <w:rPr>
          <w:rStyle w:val="FootnoteReference"/>
          <w:sz w:val="18"/>
          <w:szCs w:val="18"/>
        </w:rPr>
        <w:footnoteRef/>
      </w:r>
      <w:r w:rsidRPr="00DA7A68">
        <w:rPr>
          <w:sz w:val="18"/>
          <w:szCs w:val="18"/>
          <w:lang w:val="en-US"/>
        </w:rPr>
        <w:t xml:space="preserve"> Report no 1546/2014 on incorporation etc. in the human rights field, 14 August 2014, available at:</w:t>
      </w:r>
    </w:p>
    <w:p w:rsidR="00910317" w:rsidRPr="00DA7A68" w:rsidRDefault="00910317" w:rsidP="004722B3">
      <w:pPr>
        <w:autoSpaceDE w:val="0"/>
        <w:autoSpaceDN w:val="0"/>
        <w:adjustRightInd w:val="0"/>
        <w:spacing w:after="0" w:line="240" w:lineRule="auto"/>
        <w:jc w:val="both"/>
        <w:rPr>
          <w:sz w:val="18"/>
          <w:szCs w:val="18"/>
          <w:lang w:val="en-US"/>
        </w:rPr>
      </w:pPr>
      <w:r w:rsidRPr="00DA7A68">
        <w:rPr>
          <w:sz w:val="18"/>
          <w:szCs w:val="18"/>
          <w:lang w:val="en-US"/>
        </w:rPr>
        <w:t xml:space="preserve">  </w:t>
      </w:r>
      <w:hyperlink r:id="rId1" w:history="1">
        <w:r w:rsidRPr="00DA7A68">
          <w:rPr>
            <w:rStyle w:val="Hyperlink"/>
            <w:color w:val="auto"/>
            <w:sz w:val="18"/>
            <w:szCs w:val="18"/>
            <w:u w:val="none"/>
            <w:lang w:val="en-US"/>
          </w:rPr>
          <w:t>http://justitsministeriet.dk/sites/default/files/media/Pressemeddelelser/pdf/2014/Betaenkning_1546.pdf</w:t>
        </w:r>
      </w:hyperlink>
      <w:r w:rsidRPr="00DA7A68">
        <w:rPr>
          <w:sz w:val="18"/>
          <w:szCs w:val="18"/>
          <w:lang w:val="en-US"/>
        </w:rPr>
        <w:t xml:space="preserve"> </w:t>
      </w:r>
    </w:p>
  </w:footnote>
  <w:footnote w:id="29">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P. 13: Disse medlemmer afstår derfor fra at komme med udtrykkelige anbefalinger om de enkelte konventioner, men finder grund til at bemærke, at de konventioner, som generelt indeholder de mest præcist formulerede rettigheder og pligter, og som indebærer mindst risiko for en forskydning af balancen mellem lovgiver og domstole og andre </w:t>
      </w:r>
      <w:proofErr w:type="spellStart"/>
      <w:r w:rsidRPr="00DA7A68">
        <w:rPr>
          <w:sz w:val="18"/>
          <w:szCs w:val="18"/>
        </w:rPr>
        <w:t>retsanvendende</w:t>
      </w:r>
      <w:proofErr w:type="spellEnd"/>
      <w:r w:rsidRPr="00DA7A68">
        <w:rPr>
          <w:sz w:val="18"/>
          <w:szCs w:val="18"/>
        </w:rPr>
        <w:t xml:space="preserve"> myndigheder, er FN’s konvention om borgerlige og politiske rettigheder, FN’s konvention om afskaffelse af alle former for racediskrimination og FN’s konvention mod tortur og anden grusom, umenneskelig eller nedværdigende behandling eller straf</w:t>
      </w:r>
    </w:p>
  </w:footnote>
  <w:footnote w:id="30">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Denmark decided, however, to accept the individual complaints mechanisms under the Convention on the Rights of the Child. </w:t>
      </w:r>
    </w:p>
  </w:footnote>
  <w:footnote w:id="31">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rPr>
        <w:t xml:space="preserve"> See Information 22 </w:t>
      </w:r>
      <w:proofErr w:type="gramStart"/>
      <w:r w:rsidRPr="00DA7A68">
        <w:rPr>
          <w:sz w:val="18"/>
          <w:szCs w:val="18"/>
        </w:rPr>
        <w:t>September</w:t>
      </w:r>
      <w:proofErr w:type="gramEnd"/>
      <w:r w:rsidRPr="00DA7A68">
        <w:rPr>
          <w:sz w:val="18"/>
          <w:szCs w:val="18"/>
        </w:rPr>
        <w:t xml:space="preserve"> 2015: Flygtningenævnet får massiv kritik af FN-komite. </w:t>
      </w:r>
      <w:r w:rsidRPr="00DA7A68">
        <w:rPr>
          <w:sz w:val="18"/>
          <w:szCs w:val="18"/>
          <w:lang w:val="en-US"/>
        </w:rPr>
        <w:t xml:space="preserve">With reference to four cases in which the Committee concluded violations of Article </w:t>
      </w:r>
      <w:r w:rsidR="00E91565" w:rsidRPr="00DA7A68">
        <w:rPr>
          <w:sz w:val="18"/>
          <w:szCs w:val="18"/>
          <w:lang w:val="en-US"/>
        </w:rPr>
        <w:t>7: Egypt, Afghanistan, Nigeria, and Italy.</w:t>
      </w:r>
    </w:p>
  </w:footnote>
  <w:footnote w:id="3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A total of 8 cases in 2015 by the UN Committees (HRC and UNCAT) against Denmark’s decision about deportation whereas only 4 such cases in the previous 11 years. </w:t>
      </w:r>
    </w:p>
  </w:footnote>
  <w:footnote w:id="33">
    <w:p w:rsidR="00910317" w:rsidRPr="00DA7A68" w:rsidRDefault="00910317" w:rsidP="004722B3">
      <w:pPr>
        <w:jc w:val="both"/>
        <w:rPr>
          <w:sz w:val="18"/>
          <w:szCs w:val="18"/>
          <w:lang w:val="en-US"/>
        </w:rPr>
      </w:pPr>
      <w:r w:rsidRPr="00DA7A68">
        <w:rPr>
          <w:rStyle w:val="FootnoteReference"/>
          <w:sz w:val="18"/>
          <w:szCs w:val="18"/>
        </w:rPr>
        <w:footnoteRef/>
      </w:r>
      <w:r w:rsidRPr="00DA7A68">
        <w:rPr>
          <w:sz w:val="18"/>
          <w:szCs w:val="18"/>
          <w:lang w:val="en-US"/>
        </w:rPr>
        <w:t xml:space="preserve"> Including </w:t>
      </w:r>
      <w:proofErr w:type="gramStart"/>
      <w:r w:rsidRPr="00DA7A68">
        <w:rPr>
          <w:sz w:val="18"/>
          <w:szCs w:val="18"/>
          <w:lang w:val="en-US"/>
        </w:rPr>
        <w:t>Communication</w:t>
      </w:r>
      <w:proofErr w:type="gramEnd"/>
      <w:r w:rsidRPr="00DA7A68">
        <w:rPr>
          <w:sz w:val="18"/>
          <w:szCs w:val="18"/>
          <w:lang w:val="en-US"/>
        </w:rPr>
        <w:t xml:space="preserve"> No 2150/2012; No 2286/2013; </w:t>
      </w:r>
      <w:r w:rsidRPr="00DA7A68">
        <w:rPr>
          <w:sz w:val="18"/>
          <w:szCs w:val="18"/>
          <w:lang w:val="en-GB"/>
        </w:rPr>
        <w:t xml:space="preserve">No. 2023/2011; No. 2056/2011; No. 2074/2011; No. 2150/2012; No. 2167/2012; No. 2180/2012; No. 2194/2012; No. 2207/2012; No. 2246/2013; No. 2286/2013; No. 2320/2013 and No. </w:t>
      </w:r>
      <w:r w:rsidRPr="00DA7A68">
        <w:rPr>
          <w:bCs/>
          <w:sz w:val="18"/>
          <w:szCs w:val="18"/>
          <w:lang w:val="en-GB"/>
        </w:rPr>
        <w:t>2488/2014.</w:t>
      </w:r>
    </w:p>
    <w:p w:rsidR="00910317" w:rsidRPr="00DA7A68" w:rsidRDefault="00910317" w:rsidP="004722B3">
      <w:pPr>
        <w:pStyle w:val="FootnoteText"/>
        <w:jc w:val="both"/>
        <w:rPr>
          <w:sz w:val="18"/>
          <w:szCs w:val="18"/>
          <w:lang w:val="en-US"/>
        </w:rPr>
      </w:pPr>
    </w:p>
  </w:footnote>
  <w:footnote w:id="34">
    <w:p w:rsidR="00910317" w:rsidRPr="00DA7A68" w:rsidRDefault="00910317" w:rsidP="004722B3">
      <w:pPr>
        <w:tabs>
          <w:tab w:val="left" w:pos="9498"/>
        </w:tabs>
        <w:jc w:val="both"/>
        <w:rPr>
          <w:sz w:val="18"/>
          <w:szCs w:val="18"/>
          <w:lang w:val="en-US"/>
        </w:rPr>
      </w:pPr>
      <w:r w:rsidRPr="00DA7A68">
        <w:rPr>
          <w:rStyle w:val="FootnoteReference"/>
          <w:sz w:val="18"/>
          <w:szCs w:val="18"/>
        </w:rPr>
        <w:footnoteRef/>
      </w:r>
      <w:r w:rsidRPr="00DA7A68">
        <w:rPr>
          <w:sz w:val="18"/>
          <w:szCs w:val="18"/>
          <w:lang w:val="en-US"/>
        </w:rPr>
        <w:t xml:space="preserve"> On January 18, 2016, the Minister wrote to the Danish Parliament that: “</w:t>
      </w:r>
      <w:r w:rsidRPr="00DA7A68">
        <w:rPr>
          <w:bCs/>
          <w:iCs/>
          <w:sz w:val="18"/>
          <w:szCs w:val="18"/>
          <w:lang w:val="en-US"/>
        </w:rPr>
        <w:t>There currently pending two cases against Denmark at the European Court of Human Rights (ECHR), which also concerns the Naturalization Committee of lack of reasoning and where the question is whether the lack of justification is in line with the European Convention on Human Rights (ECHR) Article 8 in particular the right to privacy, as well as the ECHR Article 8 in conjunction with the prohibition of discrimination in Article 14 (Case 55607/09 and case 64372/11)</w:t>
      </w:r>
      <w:r w:rsidRPr="00DA7A68">
        <w:rPr>
          <w:sz w:val="18"/>
          <w:szCs w:val="18"/>
          <w:lang w:val="en-US"/>
        </w:rPr>
        <w:t>.”</w:t>
      </w:r>
    </w:p>
  </w:footnote>
  <w:footnote w:id="35">
    <w:p w:rsidR="00910317" w:rsidRPr="00DA7A68" w:rsidRDefault="00910317" w:rsidP="004722B3">
      <w:pPr>
        <w:jc w:val="both"/>
        <w:rPr>
          <w:rFonts w:cstheme="majorBidi"/>
          <w:bCs/>
          <w:sz w:val="18"/>
          <w:szCs w:val="18"/>
          <w:lang w:val="en-US"/>
        </w:rPr>
      </w:pPr>
      <w:r w:rsidRPr="00DA7A68">
        <w:rPr>
          <w:rStyle w:val="FootnoteReference"/>
          <w:sz w:val="18"/>
          <w:szCs w:val="18"/>
        </w:rPr>
        <w:footnoteRef/>
      </w:r>
      <w:r w:rsidRPr="00DA7A68">
        <w:rPr>
          <w:sz w:val="18"/>
          <w:szCs w:val="18"/>
          <w:lang w:val="en-US"/>
        </w:rPr>
        <w:t xml:space="preserve"> See case </w:t>
      </w:r>
      <w:r w:rsidRPr="00DA7A68">
        <w:rPr>
          <w:rFonts w:cstheme="majorBidi"/>
          <w:bCs/>
          <w:sz w:val="18"/>
          <w:szCs w:val="18"/>
          <w:lang w:val="en-US"/>
        </w:rPr>
        <w:t xml:space="preserve">against ROJ-TV. As a consequence of </w:t>
      </w:r>
      <w:proofErr w:type="gramStart"/>
      <w:r w:rsidRPr="00DA7A68">
        <w:rPr>
          <w:rFonts w:cstheme="majorBidi"/>
          <w:bCs/>
          <w:sz w:val="18"/>
          <w:szCs w:val="18"/>
          <w:lang w:val="en-US"/>
        </w:rPr>
        <w:t>the ”terror</w:t>
      </w:r>
      <w:proofErr w:type="gramEnd"/>
      <w:r w:rsidRPr="00DA7A68">
        <w:rPr>
          <w:rFonts w:cstheme="majorBidi"/>
          <w:bCs/>
          <w:sz w:val="18"/>
          <w:szCs w:val="18"/>
          <w:lang w:val="en-US"/>
        </w:rPr>
        <w:t xml:space="preserve"> package” of 2002, a case was initiated against the Kurdish television station, ROJ-TV. ROJ-TV had approx. 30 million viewers worldwide, and a Danish broadcasting license. ROJ-TV was acquitted in three decisions by the Danish Radio and TV Board, concerning complaints from the Turkish authorities about ROJ-TV’s coverage of the conflict between Turkey and PKK. In these decisions the Board found that ROJ-TV’s coverage of the conflict correspond-</w:t>
      </w:r>
      <w:proofErr w:type="spellStart"/>
      <w:r w:rsidRPr="00DA7A68">
        <w:rPr>
          <w:rFonts w:cstheme="majorBidi"/>
          <w:bCs/>
          <w:sz w:val="18"/>
          <w:szCs w:val="18"/>
          <w:lang w:val="en-US"/>
        </w:rPr>
        <w:t>ded</w:t>
      </w:r>
      <w:proofErr w:type="spellEnd"/>
      <w:r w:rsidRPr="00DA7A68">
        <w:rPr>
          <w:rFonts w:cstheme="majorBidi"/>
          <w:bCs/>
          <w:sz w:val="18"/>
          <w:szCs w:val="18"/>
          <w:lang w:val="en-US"/>
        </w:rPr>
        <w:t xml:space="preserve"> to the coverage of the two main TV-stations in Denmark, DR and TV2. However, in 2014, the Supreme Court found that ROJ-TV was guilty of propaganda for PKK and suspended its broadcasting license.</w:t>
      </w:r>
      <w:r w:rsidRPr="00DA7A68">
        <w:rPr>
          <w:rStyle w:val="FootnoteReference"/>
          <w:rFonts w:cstheme="majorBidi"/>
          <w:bCs/>
          <w:sz w:val="18"/>
          <w:szCs w:val="18"/>
          <w:lang w:val="en-US"/>
        </w:rPr>
        <w:footnoteRef/>
      </w:r>
      <w:r w:rsidRPr="00DA7A68">
        <w:rPr>
          <w:rFonts w:cstheme="majorBidi"/>
          <w:bCs/>
          <w:sz w:val="18"/>
          <w:szCs w:val="18"/>
          <w:lang w:val="en-US"/>
        </w:rPr>
        <w:t xml:space="preserve"> This case currently pending before the European Court of Human Rights, where Denmark is charged with allegation of violating article 10 of the European Convention of Human Rights.    </w:t>
      </w:r>
    </w:p>
  </w:footnote>
  <w:footnote w:id="36">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Act No. 542 of 06.08.2006</w:t>
      </w:r>
    </w:p>
  </w:footnote>
  <w:footnote w:id="37">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CCPR/C/DNK/CO/5, 16 December 2008, para. 9.</w:t>
      </w:r>
    </w:p>
  </w:footnote>
  <w:footnote w:id="38">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See further fact sheet available at </w:t>
      </w:r>
      <w:hyperlink r:id="rId2" w:history="1">
        <w:r w:rsidRPr="00DA7A68">
          <w:rPr>
            <w:rStyle w:val="Hyperlink"/>
            <w:color w:val="auto"/>
            <w:sz w:val="18"/>
            <w:szCs w:val="18"/>
            <w:u w:val="none"/>
            <w:lang w:val="en-US"/>
          </w:rPr>
          <w:t>http://www.echr.coe.int/Documents/FS_Secret_detention_ENG.PDF</w:t>
        </w:r>
      </w:hyperlink>
    </w:p>
  </w:footnote>
  <w:footnote w:id="39">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Application no. 28761/11 and 7511/13, decision of 27 July 2014.</w:t>
      </w:r>
    </w:p>
  </w:footnote>
  <w:footnote w:id="40">
    <w:p w:rsidR="00910317" w:rsidRPr="00DA7A68" w:rsidRDefault="00910317" w:rsidP="004722B3">
      <w:pPr>
        <w:spacing w:after="0"/>
        <w:jc w:val="both"/>
        <w:rPr>
          <w:rFonts w:cstheme="majorBidi"/>
          <w:bCs/>
          <w:sz w:val="18"/>
          <w:szCs w:val="18"/>
          <w:lang w:val="en-US"/>
        </w:rPr>
      </w:pPr>
      <w:r w:rsidRPr="00DA7A68">
        <w:rPr>
          <w:rStyle w:val="FootnoteReference"/>
          <w:sz w:val="18"/>
          <w:szCs w:val="18"/>
        </w:rPr>
        <w:footnoteRef/>
      </w:r>
      <w:r w:rsidRPr="00DA7A68">
        <w:rPr>
          <w:sz w:val="18"/>
          <w:szCs w:val="18"/>
          <w:lang w:val="en-US"/>
        </w:rPr>
        <w:t xml:space="preserve"> </w:t>
      </w:r>
      <w:r w:rsidRPr="00DA7A68">
        <w:rPr>
          <w:rFonts w:cstheme="majorBidi"/>
          <w:bCs/>
          <w:sz w:val="18"/>
          <w:szCs w:val="18"/>
          <w:lang w:val="en-US"/>
        </w:rPr>
        <w:t xml:space="preserve">See letter to the European Parliament’s Temporary Committee on the alleged use of European countries by the CIA for the transport and illegal detention of prisoners. </w:t>
      </w:r>
    </w:p>
  </w:footnote>
  <w:footnote w:id="41">
    <w:p w:rsidR="00910317" w:rsidRPr="00DA7A68" w:rsidRDefault="00910317" w:rsidP="004722B3">
      <w:pPr>
        <w:autoSpaceDE w:val="0"/>
        <w:autoSpaceDN w:val="0"/>
        <w:adjustRightInd w:val="0"/>
        <w:spacing w:after="0" w:line="240" w:lineRule="auto"/>
        <w:jc w:val="both"/>
        <w:rPr>
          <w:rFonts w:cs="Times New Roman"/>
          <w:sz w:val="18"/>
          <w:szCs w:val="18"/>
          <w:lang w:val="en-US"/>
        </w:rPr>
      </w:pPr>
      <w:r w:rsidRPr="00DA7A68">
        <w:rPr>
          <w:rStyle w:val="FootnoteReference"/>
          <w:sz w:val="18"/>
          <w:szCs w:val="18"/>
        </w:rPr>
        <w:footnoteRef/>
      </w:r>
      <w:r w:rsidRPr="00DA7A68">
        <w:rPr>
          <w:sz w:val="18"/>
          <w:szCs w:val="18"/>
          <w:lang w:val="en-US"/>
        </w:rPr>
        <w:t xml:space="preserve"> </w:t>
      </w:r>
      <w:r w:rsidRPr="00DA7A68">
        <w:rPr>
          <w:rFonts w:cs="Times New Roman"/>
          <w:sz w:val="18"/>
          <w:szCs w:val="18"/>
          <w:lang w:val="en-US"/>
        </w:rPr>
        <w:t>According to the National Institute of Public Health, the estimated annual number of women (age 16-74 years) exposed to violence in the family and in intimate relations has decreased from 42.000 (2,4 pct.) in 2000 to 29.000 (1,5 pct.) in 2010. As regards dating violence (age 16-24 years) the number of women is estimated to have decreased from 13.000 (4,7 % in 2007) to 10.000 (3,2 pct.) in 2011.</w:t>
      </w:r>
    </w:p>
  </w:footnote>
  <w:footnote w:id="4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r w:rsidRPr="00DA7A68">
        <w:rPr>
          <w:rFonts w:eastAsia="Times New Roman"/>
          <w:sz w:val="18"/>
          <w:szCs w:val="18"/>
          <w:lang w:val="en-US"/>
        </w:rPr>
        <w:t xml:space="preserve">European Agency for Fundamental Rights </w:t>
      </w:r>
      <w:r w:rsidRPr="00DA7A68">
        <w:rPr>
          <w:sz w:val="18"/>
          <w:szCs w:val="18"/>
          <w:lang w:val="en-US"/>
        </w:rPr>
        <w:t>Violence against women: An EU-wide survey (2014)</w:t>
      </w:r>
    </w:p>
  </w:footnote>
  <w:footnote w:id="43">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Ib, at page 24.</w:t>
      </w:r>
    </w:p>
  </w:footnote>
  <w:footnote w:id="44">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Ib, at page 63.</w:t>
      </w:r>
    </w:p>
  </w:footnote>
  <w:footnote w:id="45">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proofErr w:type="spellStart"/>
      <w:r w:rsidRPr="00DA7A68">
        <w:rPr>
          <w:sz w:val="18"/>
          <w:szCs w:val="18"/>
          <w:lang w:val="en-US"/>
        </w:rPr>
        <w:t>Balvig</w:t>
      </w:r>
      <w:proofErr w:type="spellEnd"/>
      <w:r w:rsidRPr="00DA7A68">
        <w:rPr>
          <w:sz w:val="18"/>
          <w:szCs w:val="18"/>
          <w:lang w:val="en-US"/>
        </w:rPr>
        <w:t xml:space="preserve">: </w:t>
      </w:r>
      <w:proofErr w:type="spellStart"/>
      <w:r w:rsidRPr="00DA7A68">
        <w:rPr>
          <w:sz w:val="18"/>
          <w:szCs w:val="18"/>
          <w:lang w:val="en-US"/>
        </w:rPr>
        <w:t>Offerundersøgelsen</w:t>
      </w:r>
      <w:proofErr w:type="spellEnd"/>
      <w:r w:rsidRPr="00DA7A68">
        <w:rPr>
          <w:sz w:val="18"/>
          <w:szCs w:val="18"/>
          <w:lang w:val="en-US"/>
        </w:rPr>
        <w:t xml:space="preserve"> 2012 (2013).</w:t>
      </w:r>
    </w:p>
  </w:footnote>
  <w:footnote w:id="46">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The Danish Crime Prevention Council (2010).</w:t>
      </w:r>
    </w:p>
  </w:footnote>
  <w:footnote w:id="47">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Act on Social Service Section 109 obliges municipalities to provide battered women and their children with shelter. This also applies to women with disabilities. See further Denmark’s response to ICCPR.</w:t>
      </w:r>
    </w:p>
  </w:footnote>
  <w:footnote w:id="48">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http://www.lokk.dk/Faa-hjaelp-her/Oversigt-over-krisecentre/</w:t>
      </w:r>
    </w:p>
  </w:footnote>
  <w:footnote w:id="49">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CEDAW/C/DNK/CO/8</w:t>
      </w:r>
      <w:r w:rsidR="00DA7A68">
        <w:rPr>
          <w:sz w:val="18"/>
          <w:szCs w:val="18"/>
          <w:lang w:val="en-US"/>
        </w:rPr>
        <w:t>.</w:t>
      </w:r>
    </w:p>
  </w:footnote>
  <w:footnote w:id="50">
    <w:p w:rsidR="00910317" w:rsidRPr="00DA7A68" w:rsidRDefault="00910317" w:rsidP="004722B3">
      <w:pPr>
        <w:jc w:val="both"/>
        <w:rPr>
          <w:sz w:val="18"/>
          <w:szCs w:val="18"/>
          <w:lang w:val="en-US"/>
        </w:rPr>
      </w:pPr>
      <w:r w:rsidRPr="00DA7A68">
        <w:rPr>
          <w:rStyle w:val="FootnoteReference"/>
          <w:sz w:val="18"/>
          <w:szCs w:val="18"/>
        </w:rPr>
        <w:footnoteRef/>
      </w:r>
      <w:r w:rsidRPr="00DA7A68">
        <w:rPr>
          <w:sz w:val="18"/>
          <w:szCs w:val="18"/>
          <w:lang w:val="en-US"/>
        </w:rPr>
        <w:t xml:space="preserve"> The Committee reiterates its call upon the State party to reconsider its decision not to incorporate the Convention into its national legal order, or at least to adopt a comprehensive law on the prohibition of sex discrimination in all areas covered by the Convention. The Committee also recommends that the State party consider the enactment of a comprehensive law on the prohibition of discrimination covering all internationally recognized grounds and the establishment of institutionalized structures to exchange and coordinate information among its various bodies for tackling discrimination, with a view to ensuring legal clarity and consistency, especially for women who are victims of intersecting forms of discrimination.</w:t>
      </w:r>
    </w:p>
    <w:p w:rsidR="00910317" w:rsidRPr="00DA7A68" w:rsidRDefault="00910317" w:rsidP="004722B3">
      <w:pPr>
        <w:pStyle w:val="FootnoteText"/>
        <w:jc w:val="both"/>
        <w:rPr>
          <w:sz w:val="18"/>
          <w:szCs w:val="18"/>
          <w:lang w:val="en-US"/>
        </w:rPr>
      </w:pPr>
    </w:p>
  </w:footnote>
  <w:footnote w:id="51">
    <w:p w:rsidR="00752448" w:rsidRPr="00DA7A68" w:rsidRDefault="00752448">
      <w:pPr>
        <w:pStyle w:val="FootnoteText"/>
        <w:rPr>
          <w:sz w:val="18"/>
          <w:szCs w:val="18"/>
          <w:lang w:val="en-US"/>
        </w:rPr>
      </w:pPr>
      <w:r w:rsidRPr="00DA7A68">
        <w:rPr>
          <w:rStyle w:val="FootnoteReference"/>
          <w:sz w:val="18"/>
          <w:szCs w:val="18"/>
        </w:rPr>
        <w:footnoteRef/>
      </w:r>
      <w:r w:rsidRPr="00DA7A68">
        <w:rPr>
          <w:sz w:val="18"/>
          <w:szCs w:val="18"/>
          <w:lang w:val="en-US"/>
        </w:rPr>
        <w:t xml:space="preserve"> Concluding Observations para 45.</w:t>
      </w:r>
    </w:p>
  </w:footnote>
  <w:footnote w:id="5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Committee on Criminal Law, Report 1494/2008, 25 January 2008, available at:   </w:t>
      </w:r>
      <w:hyperlink r:id="rId3" w:history="1">
        <w:r w:rsidRPr="00DA7A68">
          <w:rPr>
            <w:rStyle w:val="Hyperlink"/>
            <w:color w:val="auto"/>
            <w:sz w:val="18"/>
            <w:szCs w:val="18"/>
            <w:u w:val="none"/>
            <w:lang w:val="en-US"/>
          </w:rPr>
          <w:t>http://www.statensnet.dk/betaenkninger/1401-1600/1494-2008/1494-2008_pdf/printversion_1494-2008.pdf</w:t>
        </w:r>
      </w:hyperlink>
      <w:r w:rsidRPr="00DA7A68">
        <w:rPr>
          <w:sz w:val="18"/>
          <w:szCs w:val="18"/>
          <w:lang w:val="en-US"/>
        </w:rPr>
        <w:t xml:space="preserve"> </w:t>
      </w:r>
    </w:p>
  </w:footnote>
  <w:footnote w:id="53">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Torture is criminalized in several European states, including the Germany (Article 340 and 223a, 224-25), Great Britain (Article 134), France (Article 222), Spain (Article 173-77) and Norway (§ 117a).  </w:t>
      </w:r>
    </w:p>
  </w:footnote>
  <w:footnote w:id="54">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Law no. 494 on the amendment of the Criminal Code and the Military Criminal Code, 17 June 2008, available at: </w:t>
      </w:r>
      <w:hyperlink r:id="rId4" w:history="1">
        <w:r w:rsidRPr="00DA7A68">
          <w:rPr>
            <w:rStyle w:val="Hyperlink"/>
            <w:color w:val="auto"/>
            <w:sz w:val="18"/>
            <w:szCs w:val="18"/>
            <w:u w:val="none"/>
            <w:lang w:val="en-US"/>
          </w:rPr>
          <w:t>https://www.retsinformation.dk/Forms/R0710.aspx?id=120191</w:t>
        </w:r>
      </w:hyperlink>
      <w:r w:rsidRPr="00DA7A68">
        <w:rPr>
          <w:sz w:val="18"/>
          <w:szCs w:val="18"/>
          <w:lang w:val="en-US"/>
        </w:rPr>
        <w:t xml:space="preserve"> </w:t>
      </w:r>
    </w:p>
  </w:footnote>
  <w:footnote w:id="55">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Law no. 494 on the amendment of the Criminal Code and the Military Criminal Code (torture as an aggravating circumstance), 16 June 2008, available at:  </w:t>
      </w:r>
      <w:hyperlink r:id="rId5" w:history="1">
        <w:r w:rsidRPr="00DA7A68">
          <w:rPr>
            <w:rStyle w:val="Hyperlink"/>
            <w:color w:val="auto"/>
            <w:sz w:val="18"/>
            <w:szCs w:val="18"/>
            <w:u w:val="none"/>
            <w:lang w:val="en-US"/>
          </w:rPr>
          <w:t>https://www.retsinformation.dk/Forms/R0710.aspx?id=120191</w:t>
        </w:r>
      </w:hyperlink>
      <w:r w:rsidRPr="00DA7A68">
        <w:rPr>
          <w:sz w:val="18"/>
          <w:szCs w:val="18"/>
          <w:lang w:val="en-US"/>
        </w:rPr>
        <w:t xml:space="preserve"> </w:t>
      </w:r>
    </w:p>
  </w:footnote>
  <w:footnote w:id="56">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However, this late amendment prevented universal jurisdiction over older cases: </w:t>
      </w:r>
      <w:r w:rsidRPr="00DA7A68">
        <w:rPr>
          <w:rFonts w:eastAsia="Times New Roman" w:cstheme="majorBidi"/>
          <w:sz w:val="18"/>
          <w:szCs w:val="18"/>
          <w:lang w:val="en-GB" w:eastAsia="fr-CH"/>
        </w:rPr>
        <w:t xml:space="preserve">In January 2014, Mr Carmi </w:t>
      </w:r>
      <w:proofErr w:type="spellStart"/>
      <w:r w:rsidRPr="00DA7A68">
        <w:rPr>
          <w:rFonts w:eastAsia="Times New Roman" w:cstheme="majorBidi"/>
          <w:sz w:val="18"/>
          <w:szCs w:val="18"/>
          <w:lang w:val="en-GB" w:eastAsia="fr-CH"/>
        </w:rPr>
        <w:t>Gillon</w:t>
      </w:r>
      <w:proofErr w:type="spellEnd"/>
      <w:r w:rsidRPr="00DA7A68">
        <w:rPr>
          <w:rFonts w:eastAsia="Times New Roman" w:cstheme="majorBidi"/>
          <w:sz w:val="18"/>
          <w:szCs w:val="18"/>
          <w:lang w:val="en-GB" w:eastAsia="fr-CH"/>
        </w:rPr>
        <w:t xml:space="preserve">, a former head of the Israeli intelligence service Shin Bet, visited Denmark. He is known to have been responsible for Shin Bet’s use of torture and ‘moderate physical pressure’ under his leadership in 1994-95. A complaint of torture was filed to the Danish police during </w:t>
      </w:r>
      <w:proofErr w:type="spellStart"/>
      <w:r w:rsidRPr="00DA7A68">
        <w:rPr>
          <w:rFonts w:eastAsia="Times New Roman" w:cstheme="majorBidi"/>
          <w:sz w:val="18"/>
          <w:szCs w:val="18"/>
          <w:lang w:val="en-GB" w:eastAsia="fr-CH"/>
        </w:rPr>
        <w:t>Gillon’s</w:t>
      </w:r>
      <w:proofErr w:type="spellEnd"/>
      <w:r w:rsidRPr="00DA7A68">
        <w:rPr>
          <w:rFonts w:eastAsia="Times New Roman" w:cstheme="majorBidi"/>
          <w:sz w:val="18"/>
          <w:szCs w:val="18"/>
          <w:lang w:val="en-GB" w:eastAsia="fr-CH"/>
        </w:rPr>
        <w:t xml:space="preserve"> stay in Denmark. Prior to the 2008-amendment of the Criminal Code, acts of torture were subject to a </w:t>
      </w:r>
      <w:proofErr w:type="gramStart"/>
      <w:r w:rsidRPr="00DA7A68">
        <w:rPr>
          <w:rFonts w:eastAsia="Times New Roman" w:cstheme="majorBidi"/>
          <w:sz w:val="18"/>
          <w:szCs w:val="18"/>
          <w:lang w:val="en-GB" w:eastAsia="fr-CH"/>
        </w:rPr>
        <w:t>10 year</w:t>
      </w:r>
      <w:proofErr w:type="gramEnd"/>
      <w:r w:rsidRPr="00DA7A68">
        <w:rPr>
          <w:rFonts w:eastAsia="Times New Roman" w:cstheme="majorBidi"/>
          <w:sz w:val="18"/>
          <w:szCs w:val="18"/>
          <w:lang w:val="en-GB" w:eastAsia="fr-CH"/>
        </w:rPr>
        <w:t xml:space="preserve"> statute of limitation. As the torture in the present case took place in 1994-95, the Danish Prosecution concluded its preliminary investigation into the </w:t>
      </w:r>
      <w:proofErr w:type="spellStart"/>
      <w:r w:rsidRPr="00DA7A68">
        <w:rPr>
          <w:rFonts w:eastAsia="Times New Roman" w:cstheme="majorBidi"/>
          <w:sz w:val="18"/>
          <w:szCs w:val="18"/>
          <w:lang w:val="en-GB" w:eastAsia="fr-CH"/>
        </w:rPr>
        <w:t>Gillon</w:t>
      </w:r>
      <w:proofErr w:type="spellEnd"/>
      <w:r w:rsidRPr="00DA7A68">
        <w:rPr>
          <w:rFonts w:eastAsia="Times New Roman" w:cstheme="majorBidi"/>
          <w:sz w:val="18"/>
          <w:szCs w:val="18"/>
          <w:lang w:val="en-GB" w:eastAsia="fr-CH"/>
        </w:rPr>
        <w:t xml:space="preserve"> case. Denmark could not pursue the case, because criminal responsibility for acts of torture, which have taken place before 1998, are time barred under Danish law. In conclusion, Denmark’s delayed implementation of its international obligation – to repeal the statute of limitation - has effectively shielded alleged perpetrators/accomplices from responsibility.</w:t>
      </w:r>
    </w:p>
  </w:footnote>
  <w:footnote w:id="57">
    <w:p w:rsidR="00910317" w:rsidRPr="00DA7A68" w:rsidRDefault="00910317" w:rsidP="004722B3">
      <w:pPr>
        <w:spacing w:after="0"/>
        <w:jc w:val="both"/>
        <w:rPr>
          <w:sz w:val="18"/>
          <w:szCs w:val="18"/>
          <w:lang w:val="en-GB"/>
        </w:rPr>
      </w:pPr>
      <w:r w:rsidRPr="00DA7A68">
        <w:rPr>
          <w:rStyle w:val="FootnoteReference"/>
          <w:sz w:val="18"/>
          <w:szCs w:val="18"/>
        </w:rPr>
        <w:footnoteRef/>
      </w:r>
      <w:r w:rsidRPr="00DA7A68">
        <w:rPr>
          <w:sz w:val="18"/>
          <w:szCs w:val="18"/>
          <w:lang w:val="en-US"/>
        </w:rPr>
        <w:t xml:space="preserve"> </w:t>
      </w:r>
      <w:r w:rsidRPr="00DA7A68">
        <w:rPr>
          <w:rFonts w:cstheme="majorBidi"/>
          <w:sz w:val="18"/>
          <w:szCs w:val="18"/>
          <w:lang w:val="en-GB"/>
        </w:rPr>
        <w:t>The decision of the prosecution can be appealed to the Director of Public Prosecution (</w:t>
      </w:r>
      <w:proofErr w:type="spellStart"/>
      <w:r w:rsidRPr="00DA7A68">
        <w:rPr>
          <w:rFonts w:cstheme="majorBidi"/>
          <w:sz w:val="18"/>
          <w:szCs w:val="18"/>
          <w:lang w:val="en-GB"/>
        </w:rPr>
        <w:t>Rigsadvokaten</w:t>
      </w:r>
      <w:proofErr w:type="spellEnd"/>
      <w:r w:rsidRPr="00DA7A68">
        <w:rPr>
          <w:rFonts w:cstheme="majorBidi"/>
          <w:sz w:val="18"/>
          <w:szCs w:val="18"/>
          <w:lang w:val="en-GB"/>
        </w:rPr>
        <w:t>) (see the Administration of Justice Act Chapter 11a).</w:t>
      </w:r>
    </w:p>
  </w:footnote>
  <w:footnote w:id="58">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Report by the Danish Institute for Human Rights 2014-2015, </w:t>
      </w:r>
      <w:proofErr w:type="spellStart"/>
      <w:r w:rsidRPr="00DA7A68">
        <w:rPr>
          <w:sz w:val="18"/>
          <w:szCs w:val="18"/>
          <w:lang w:val="en-US"/>
        </w:rPr>
        <w:t>Frihedsberøvelse</w:t>
      </w:r>
      <w:proofErr w:type="spellEnd"/>
      <w:r w:rsidRPr="00DA7A68">
        <w:rPr>
          <w:sz w:val="18"/>
          <w:szCs w:val="18"/>
          <w:lang w:val="en-US"/>
        </w:rPr>
        <w:t>, page 17.</w:t>
      </w:r>
    </w:p>
  </w:footnote>
  <w:footnote w:id="59">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Statistics from the Danish Prison and Probation Service referred to in Report by the Danish Institute for Human Rights 2014-2015, </w:t>
      </w:r>
      <w:proofErr w:type="spellStart"/>
      <w:r w:rsidRPr="00DA7A68">
        <w:rPr>
          <w:sz w:val="18"/>
          <w:szCs w:val="18"/>
          <w:lang w:val="en-US"/>
        </w:rPr>
        <w:t>Frihedsberøvelse</w:t>
      </w:r>
      <w:proofErr w:type="spellEnd"/>
      <w:r w:rsidRPr="00DA7A68">
        <w:rPr>
          <w:sz w:val="18"/>
          <w:szCs w:val="18"/>
          <w:lang w:val="en-US"/>
        </w:rPr>
        <w:t>, page 19.</w:t>
      </w:r>
    </w:p>
  </w:footnote>
  <w:footnote w:id="60">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Ib.</w:t>
      </w:r>
    </w:p>
  </w:footnote>
  <w:footnote w:id="61">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Chief of Prosecution Report on lengthy pre-trial detention 2011-2012.</w:t>
      </w:r>
    </w:p>
  </w:footnote>
  <w:footnote w:id="6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r w:rsidRPr="00DA7A68">
        <w:rPr>
          <w:sz w:val="18"/>
          <w:szCs w:val="18"/>
          <w:lang w:val="en-GB"/>
        </w:rPr>
        <w:t>The Danish courts have on several occasions concluded that the rules regarding pre-trial detention in the Danish Administration of Justice Act have not been respected. By way of example, the Supreme Court ruled on 2 February 2015 that the detention of a Swedish citizen prior to trial did not comply with the Danish Administration of Justice Act</w:t>
      </w:r>
      <w:r w:rsidRPr="00DA7A68">
        <w:rPr>
          <w:sz w:val="18"/>
          <w:szCs w:val="18"/>
          <w:lang w:val="en-US"/>
        </w:rPr>
        <w:t>Case 209/2014</w:t>
      </w:r>
    </w:p>
  </w:footnote>
  <w:footnote w:id="63">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Report by the Institute for Human Rights, at page 20.</w:t>
      </w:r>
    </w:p>
  </w:footnote>
  <w:footnote w:id="64">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Ib, </w:t>
      </w:r>
      <w:proofErr w:type="spellStart"/>
      <w:r w:rsidRPr="00DA7A68">
        <w:rPr>
          <w:sz w:val="18"/>
          <w:szCs w:val="18"/>
        </w:rPr>
        <w:t>para</w:t>
      </w:r>
      <w:proofErr w:type="spellEnd"/>
      <w:r w:rsidRPr="00DA7A68">
        <w:rPr>
          <w:sz w:val="18"/>
          <w:szCs w:val="18"/>
        </w:rPr>
        <w:t xml:space="preserve"> 16.</w:t>
      </w:r>
    </w:p>
  </w:footnote>
  <w:footnote w:id="65">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w:t>
      </w:r>
      <w:proofErr w:type="spellStart"/>
      <w:r w:rsidRPr="00DA7A68">
        <w:rPr>
          <w:sz w:val="18"/>
          <w:szCs w:val="18"/>
        </w:rPr>
        <w:t>Annex</w:t>
      </w:r>
      <w:proofErr w:type="spellEnd"/>
      <w:r w:rsidRPr="00DA7A68">
        <w:rPr>
          <w:sz w:val="18"/>
          <w:szCs w:val="18"/>
        </w:rPr>
        <w:t xml:space="preserve"> C to Rigsadvokatens Redegørelse August 2015.</w:t>
      </w:r>
    </w:p>
  </w:footnote>
  <w:footnote w:id="66">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She was arrested on 14 January 2016 and release</w:t>
      </w:r>
      <w:r w:rsidR="00C8489D">
        <w:rPr>
          <w:sz w:val="18"/>
          <w:szCs w:val="18"/>
          <w:lang w:val="en-US"/>
        </w:rPr>
        <w:t>d</w:t>
      </w:r>
      <w:r w:rsidRPr="00DA7A68">
        <w:rPr>
          <w:sz w:val="18"/>
          <w:szCs w:val="18"/>
          <w:lang w:val="en-US"/>
        </w:rPr>
        <w:t xml:space="preserve"> early February. The </w:t>
      </w:r>
      <w:proofErr w:type="spellStart"/>
      <w:r w:rsidRPr="00DA7A68">
        <w:rPr>
          <w:sz w:val="18"/>
          <w:szCs w:val="18"/>
          <w:lang w:val="en-US"/>
        </w:rPr>
        <w:t>Ombudsmand</w:t>
      </w:r>
      <w:proofErr w:type="spellEnd"/>
      <w:r w:rsidRPr="00DA7A68">
        <w:rPr>
          <w:sz w:val="18"/>
          <w:szCs w:val="18"/>
          <w:lang w:val="en-US"/>
        </w:rPr>
        <w:t xml:space="preserve"> visited her on 4 February.</w:t>
      </w:r>
    </w:p>
  </w:footnote>
  <w:footnote w:id="67">
    <w:p w:rsidR="00910317" w:rsidRPr="00DA7A68" w:rsidRDefault="00910317" w:rsidP="004722B3">
      <w:pPr>
        <w:pStyle w:val="FootnoteText"/>
        <w:jc w:val="both"/>
        <w:rPr>
          <w:rFonts w:cs="Arial"/>
          <w:sz w:val="18"/>
          <w:szCs w:val="18"/>
          <w:shd w:val="clear" w:color="auto" w:fill="FFFFFF"/>
          <w:lang w:val="en-US"/>
        </w:rPr>
      </w:pPr>
      <w:r w:rsidRPr="00DA7A68">
        <w:rPr>
          <w:rStyle w:val="FootnoteReference"/>
          <w:sz w:val="18"/>
          <w:szCs w:val="18"/>
        </w:rPr>
        <w:footnoteRef/>
      </w:r>
      <w:r w:rsidRPr="00DA7A68">
        <w:rPr>
          <w:sz w:val="18"/>
          <w:szCs w:val="18"/>
          <w:lang w:val="en-US"/>
        </w:rPr>
        <w:t xml:space="preserve"> </w:t>
      </w:r>
      <w:r w:rsidRPr="00DA7A68">
        <w:rPr>
          <w:rFonts w:cs="Arial"/>
          <w:sz w:val="18"/>
          <w:szCs w:val="18"/>
          <w:shd w:val="clear" w:color="auto" w:fill="FFFFFF"/>
          <w:lang w:val="en-US"/>
        </w:rPr>
        <w:t xml:space="preserve">the Prison and Probation Service, yearly </w:t>
      </w:r>
      <w:proofErr w:type="gramStart"/>
      <w:r w:rsidRPr="00DA7A68">
        <w:rPr>
          <w:rFonts w:cs="Arial"/>
          <w:sz w:val="18"/>
          <w:szCs w:val="18"/>
          <w:shd w:val="clear" w:color="auto" w:fill="FFFFFF"/>
          <w:lang w:val="en-US"/>
        </w:rPr>
        <w:t>statistic(</w:t>
      </w:r>
      <w:proofErr w:type="gramEnd"/>
      <w:r w:rsidRPr="00DA7A68">
        <w:rPr>
          <w:rFonts w:cs="Arial"/>
          <w:sz w:val="18"/>
          <w:szCs w:val="18"/>
          <w:shd w:val="clear" w:color="auto" w:fill="FFFFFF"/>
          <w:lang w:val="en-US"/>
        </w:rPr>
        <w:t>2003), page 15;</w:t>
      </w:r>
    </w:p>
    <w:p w:rsidR="00910317" w:rsidRPr="00DA7A68" w:rsidRDefault="00910317" w:rsidP="004722B3">
      <w:pPr>
        <w:pStyle w:val="FootnoteText"/>
        <w:jc w:val="both"/>
        <w:rPr>
          <w:sz w:val="18"/>
          <w:szCs w:val="18"/>
        </w:rPr>
      </w:pPr>
      <w:r w:rsidRPr="00DA7A68">
        <w:rPr>
          <w:rFonts w:cs="Arial"/>
          <w:sz w:val="18"/>
          <w:szCs w:val="18"/>
          <w:shd w:val="clear" w:color="auto" w:fill="FFFFFF"/>
          <w:lang w:val="en-US"/>
        </w:rPr>
        <w:t xml:space="preserve">  </w:t>
      </w:r>
      <w:hyperlink r:id="rId6" w:history="1">
        <w:r w:rsidRPr="00DA7A68">
          <w:rPr>
            <w:rStyle w:val="Hyperlink"/>
            <w:color w:val="auto"/>
            <w:sz w:val="18"/>
            <w:szCs w:val="18"/>
            <w:u w:val="none"/>
          </w:rPr>
          <w:t>file:///C:/Users/nnb/Downloads/Kriminalforsorgens+Statistik+2013+juli+2014%20(1).pdf</w:t>
        </w:r>
      </w:hyperlink>
    </w:p>
  </w:footnote>
  <w:footnote w:id="68">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According to the National Council for Children;</w:t>
      </w:r>
    </w:p>
    <w:p w:rsidR="00910317" w:rsidRPr="00DA7A68" w:rsidRDefault="00910317" w:rsidP="004722B3">
      <w:pPr>
        <w:pStyle w:val="FootnoteText"/>
        <w:jc w:val="both"/>
        <w:rPr>
          <w:sz w:val="18"/>
          <w:szCs w:val="18"/>
          <w:lang w:val="en-US"/>
        </w:rPr>
      </w:pPr>
      <w:hyperlink r:id="rId7" w:history="1">
        <w:r w:rsidRPr="00DA7A68">
          <w:rPr>
            <w:rStyle w:val="Hyperlink"/>
            <w:color w:val="auto"/>
            <w:sz w:val="18"/>
            <w:szCs w:val="18"/>
            <w:u w:val="none"/>
            <w:lang w:val="en-US"/>
          </w:rPr>
          <w:t>http://www.boerneraadet.dk/media/77586/Brev20til20justitsministeren20vedr2020isolationsfc3a6ngsling20af20unge2007101420underskrevet.pdf</w:t>
        </w:r>
      </w:hyperlink>
    </w:p>
  </w:footnote>
  <w:footnote w:id="69">
    <w:p w:rsidR="00910317" w:rsidRPr="00DA7A68" w:rsidRDefault="00910317" w:rsidP="004722B3">
      <w:pPr>
        <w:spacing w:after="0"/>
        <w:jc w:val="both"/>
        <w:rPr>
          <w:sz w:val="18"/>
          <w:szCs w:val="18"/>
          <w:lang w:val="en-US"/>
        </w:rPr>
      </w:pPr>
      <w:r w:rsidRPr="00DA7A68">
        <w:rPr>
          <w:rStyle w:val="FootnoteReference"/>
          <w:sz w:val="18"/>
          <w:szCs w:val="18"/>
        </w:rPr>
        <w:footnoteRef/>
      </w:r>
      <w:r w:rsidRPr="00DA7A68">
        <w:rPr>
          <w:sz w:val="18"/>
          <w:szCs w:val="18"/>
          <w:lang w:val="en-US"/>
        </w:rPr>
        <w:t xml:space="preserve"> CRC/C/DKN/CO/4 2011, para. 66(d) </w:t>
      </w:r>
    </w:p>
  </w:footnote>
  <w:footnote w:id="70">
    <w:p w:rsidR="00910317" w:rsidRPr="00DA7A68" w:rsidRDefault="00910317" w:rsidP="004722B3">
      <w:pPr>
        <w:spacing w:after="0"/>
        <w:jc w:val="both"/>
        <w:rPr>
          <w:sz w:val="18"/>
          <w:szCs w:val="18"/>
          <w:lang w:val="en-US"/>
        </w:rPr>
      </w:pPr>
      <w:r w:rsidRPr="00DA7A68">
        <w:rPr>
          <w:rStyle w:val="FootnoteReference"/>
          <w:sz w:val="18"/>
          <w:szCs w:val="18"/>
        </w:rPr>
        <w:footnoteRef/>
      </w:r>
      <w:r w:rsidRPr="00DA7A68">
        <w:rPr>
          <w:sz w:val="18"/>
          <w:szCs w:val="18"/>
          <w:lang w:val="en-US"/>
        </w:rPr>
        <w:t xml:space="preserve"> CRC/C/DKN/CO/4 2011, para. 66(b) </w:t>
      </w:r>
    </w:p>
  </w:footnote>
  <w:footnote w:id="71">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CPT report to the Danish government on the visit to Denmark in 2014, CPT/</w:t>
      </w:r>
      <w:proofErr w:type="spellStart"/>
      <w:proofErr w:type="gramStart"/>
      <w:r w:rsidRPr="00DA7A68">
        <w:rPr>
          <w:sz w:val="18"/>
          <w:szCs w:val="18"/>
          <w:lang w:val="en-US"/>
        </w:rPr>
        <w:t>Inf</w:t>
      </w:r>
      <w:proofErr w:type="spellEnd"/>
      <w:r w:rsidRPr="00DA7A68">
        <w:rPr>
          <w:sz w:val="18"/>
          <w:szCs w:val="18"/>
          <w:lang w:val="en-US"/>
        </w:rPr>
        <w:t>(</w:t>
      </w:r>
      <w:proofErr w:type="gramEnd"/>
      <w:r w:rsidRPr="00DA7A68">
        <w:rPr>
          <w:sz w:val="18"/>
          <w:szCs w:val="18"/>
          <w:lang w:val="en-US"/>
        </w:rPr>
        <w:t>2014)25, para. 61.</w:t>
      </w:r>
    </w:p>
  </w:footnote>
  <w:footnote w:id="7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Cf. Act No. 1561 of 20 December 2006, entering into force on 1 January 2007.</w:t>
      </w:r>
    </w:p>
  </w:footnote>
  <w:footnote w:id="73">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See recommendation by the Committee against Torture (2015), Concluding Observations, para 33.</w:t>
      </w:r>
    </w:p>
  </w:footnote>
  <w:footnote w:id="74">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proofErr w:type="spellStart"/>
      <w:r w:rsidRPr="00DA7A68">
        <w:rPr>
          <w:sz w:val="18"/>
          <w:szCs w:val="18"/>
          <w:lang w:val="en-US"/>
        </w:rPr>
        <w:t>Ib</w:t>
      </w:r>
      <w:proofErr w:type="spellEnd"/>
      <w:r w:rsidRPr="00DA7A68">
        <w:rPr>
          <w:sz w:val="18"/>
          <w:szCs w:val="18"/>
          <w:lang w:val="en-US"/>
        </w:rPr>
        <w:t>, para 35.</w:t>
      </w:r>
    </w:p>
  </w:footnote>
  <w:footnote w:id="75">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Patients are attached to their bed (or a bed in an isolation room) </w:t>
      </w:r>
      <w:r w:rsidR="00584E26">
        <w:rPr>
          <w:sz w:val="18"/>
          <w:szCs w:val="18"/>
          <w:lang w:val="en-US"/>
        </w:rPr>
        <w:t>with an abdominal belt.</w:t>
      </w:r>
    </w:p>
  </w:footnote>
  <w:footnote w:id="76">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See Sundhedsstyrelsen: Monitorering af tvang i psykiatrien 2015, </w:t>
      </w:r>
      <w:proofErr w:type="spellStart"/>
      <w:r w:rsidRPr="00DA7A68">
        <w:rPr>
          <w:sz w:val="18"/>
          <w:szCs w:val="18"/>
        </w:rPr>
        <w:t>published</w:t>
      </w:r>
      <w:proofErr w:type="spellEnd"/>
      <w:r w:rsidRPr="00DA7A68">
        <w:rPr>
          <w:sz w:val="18"/>
          <w:szCs w:val="18"/>
        </w:rPr>
        <w:t xml:space="preserve"> </w:t>
      </w:r>
      <w:proofErr w:type="gramStart"/>
      <w:r w:rsidRPr="00DA7A68">
        <w:rPr>
          <w:sz w:val="18"/>
          <w:szCs w:val="18"/>
        </w:rPr>
        <w:t>April</w:t>
      </w:r>
      <w:proofErr w:type="gramEnd"/>
      <w:r w:rsidRPr="00DA7A68">
        <w:rPr>
          <w:sz w:val="18"/>
          <w:szCs w:val="18"/>
        </w:rPr>
        <w:t xml:space="preserve"> 2016. </w:t>
      </w:r>
    </w:p>
  </w:footnote>
  <w:footnote w:id="77">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See Sundhedsstyrelsen: Monitorering af tvang i psykiatrien 2015, </w:t>
      </w:r>
      <w:proofErr w:type="spellStart"/>
      <w:r w:rsidRPr="00DA7A68">
        <w:rPr>
          <w:sz w:val="18"/>
          <w:szCs w:val="18"/>
        </w:rPr>
        <w:t>published</w:t>
      </w:r>
      <w:proofErr w:type="spellEnd"/>
      <w:r w:rsidRPr="00DA7A68">
        <w:rPr>
          <w:sz w:val="18"/>
          <w:szCs w:val="18"/>
        </w:rPr>
        <w:t xml:space="preserve"> </w:t>
      </w:r>
      <w:proofErr w:type="gramStart"/>
      <w:r w:rsidRPr="00DA7A68">
        <w:rPr>
          <w:sz w:val="18"/>
          <w:szCs w:val="18"/>
        </w:rPr>
        <w:t>April</w:t>
      </w:r>
      <w:proofErr w:type="gramEnd"/>
      <w:r w:rsidRPr="00DA7A68">
        <w:rPr>
          <w:sz w:val="18"/>
          <w:szCs w:val="18"/>
        </w:rPr>
        <w:t xml:space="preserve"> 2016. </w:t>
      </w:r>
    </w:p>
  </w:footnote>
  <w:footnote w:id="78">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http://www.boerneraadet.dk/media/31161/Det-er-bare-almindelige-mennesker-der-har-en-saarbarhed_-til-web.pdf</w:t>
      </w:r>
    </w:p>
  </w:footnote>
  <w:footnote w:id="79">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Concluding Observations (2014), para 20-21 </w:t>
      </w:r>
      <w:proofErr w:type="spellStart"/>
      <w:r w:rsidRPr="00DA7A68">
        <w:rPr>
          <w:sz w:val="18"/>
          <w:szCs w:val="18"/>
          <w:lang w:val="en-US"/>
        </w:rPr>
        <w:t>og</w:t>
      </w:r>
      <w:proofErr w:type="spellEnd"/>
      <w:r w:rsidRPr="00DA7A68">
        <w:rPr>
          <w:sz w:val="18"/>
          <w:szCs w:val="18"/>
          <w:lang w:val="en-US"/>
        </w:rPr>
        <w:t xml:space="preserve"> 68. Available at </w:t>
      </w:r>
      <w:hyperlink r:id="rId8" w:history="1">
        <w:r w:rsidRPr="00DA7A68">
          <w:rPr>
            <w:rStyle w:val="Hyperlink"/>
            <w:color w:val="auto"/>
            <w:sz w:val="18"/>
            <w:szCs w:val="18"/>
            <w:u w:val="none"/>
            <w:lang w:val="en-US"/>
          </w:rPr>
          <w:t>http://tbinternet.ohchr.org/_layouts/treatybodyexternal/Download.aspx?symbolno=CRPD%2fC%2fDNK%2fCO%2f1&amp;Lang=en</w:t>
        </w:r>
      </w:hyperlink>
      <w:r w:rsidRPr="00DA7A68">
        <w:rPr>
          <w:sz w:val="18"/>
          <w:szCs w:val="18"/>
          <w:lang w:val="en-US"/>
        </w:rPr>
        <w:t xml:space="preserve"> </w:t>
      </w:r>
    </w:p>
  </w:footnote>
  <w:footnote w:id="80">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rPr>
        <w:t xml:space="preserve"> Danish </w:t>
      </w:r>
      <w:r w:rsidR="002C614F" w:rsidRPr="00DA7A68">
        <w:rPr>
          <w:sz w:val="18"/>
          <w:szCs w:val="18"/>
        </w:rPr>
        <w:t>Institut</w:t>
      </w:r>
      <w:r w:rsidRPr="00DA7A68">
        <w:rPr>
          <w:sz w:val="18"/>
          <w:szCs w:val="18"/>
        </w:rPr>
        <w:t xml:space="preserve"> of Human Rights, “Menneskerettigheder og tvang I psykiatrien. </w:t>
      </w:r>
      <w:proofErr w:type="spellStart"/>
      <w:r w:rsidRPr="00DA7A68">
        <w:rPr>
          <w:sz w:val="18"/>
          <w:szCs w:val="18"/>
          <w:lang w:val="en-US"/>
        </w:rPr>
        <w:t>Anbefalinger</w:t>
      </w:r>
      <w:proofErr w:type="spellEnd"/>
      <w:r w:rsidRPr="00DA7A68">
        <w:rPr>
          <w:sz w:val="18"/>
          <w:szCs w:val="18"/>
          <w:lang w:val="en-US"/>
        </w:rPr>
        <w:t>”, page 7, Refers to a 2012 survey.</w:t>
      </w:r>
    </w:p>
  </w:footnote>
  <w:footnote w:id="81">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Ib.</w:t>
      </w:r>
    </w:p>
  </w:footnote>
  <w:footnote w:id="8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002C614F">
        <w:rPr>
          <w:sz w:val="18"/>
          <w:szCs w:val="18"/>
          <w:lang w:val="en-US"/>
        </w:rPr>
        <w:t xml:space="preserve"> Judgement of 4 July</w:t>
      </w:r>
      <w:r w:rsidRPr="00DA7A68">
        <w:rPr>
          <w:sz w:val="18"/>
          <w:szCs w:val="18"/>
          <w:lang w:val="en-US"/>
        </w:rPr>
        <w:t xml:space="preserve"> 2014.</w:t>
      </w:r>
    </w:p>
  </w:footnote>
  <w:footnote w:id="83">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proofErr w:type="spellStart"/>
      <w:r w:rsidRPr="00DA7A68">
        <w:rPr>
          <w:sz w:val="18"/>
          <w:szCs w:val="18"/>
          <w:lang w:val="en-US"/>
        </w:rPr>
        <w:t>Bureš</w:t>
      </w:r>
      <w:proofErr w:type="spellEnd"/>
      <w:r w:rsidRPr="00DA7A68">
        <w:rPr>
          <w:sz w:val="18"/>
          <w:szCs w:val="18"/>
          <w:lang w:val="en-US"/>
        </w:rPr>
        <w:t xml:space="preserve"> v. the Czech Republic, 18 January 2013, para. 80 and 86</w:t>
      </w:r>
    </w:p>
  </w:footnote>
  <w:footnote w:id="84">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CPT/</w:t>
      </w:r>
      <w:proofErr w:type="spellStart"/>
      <w:r w:rsidRPr="00DA7A68">
        <w:rPr>
          <w:sz w:val="18"/>
          <w:szCs w:val="18"/>
          <w:lang w:val="en-US"/>
        </w:rPr>
        <w:t>Inf</w:t>
      </w:r>
      <w:proofErr w:type="spellEnd"/>
      <w:r w:rsidRPr="00DA7A68">
        <w:rPr>
          <w:sz w:val="18"/>
          <w:szCs w:val="18"/>
          <w:lang w:val="en-US"/>
        </w:rPr>
        <w:t xml:space="preserve"> (2014) 25, para. 121 and 125</w:t>
      </w:r>
      <w:r w:rsidR="004012C9">
        <w:rPr>
          <w:sz w:val="18"/>
          <w:szCs w:val="18"/>
          <w:lang w:val="en-US"/>
        </w:rPr>
        <w:t>.</w:t>
      </w:r>
    </w:p>
  </w:footnote>
  <w:footnote w:id="85">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See for example Report A/HRC/13/39/Add.5 of 5 February 2010.</w:t>
      </w:r>
    </w:p>
  </w:footnote>
  <w:footnote w:id="86">
    <w:p w:rsidR="00910317" w:rsidRPr="00DA7A68" w:rsidRDefault="00910317" w:rsidP="004722B3">
      <w:pPr>
        <w:spacing w:after="0"/>
        <w:jc w:val="both"/>
        <w:rPr>
          <w:sz w:val="18"/>
          <w:szCs w:val="18"/>
          <w:lang w:val="en-US"/>
        </w:rPr>
      </w:pPr>
      <w:r w:rsidRPr="00DA7A68">
        <w:rPr>
          <w:rStyle w:val="FootnoteReference"/>
          <w:sz w:val="18"/>
          <w:szCs w:val="18"/>
        </w:rPr>
        <w:footnoteRef/>
      </w:r>
      <w:r w:rsidRPr="00DA7A68">
        <w:rPr>
          <w:sz w:val="18"/>
          <w:szCs w:val="18"/>
          <w:lang w:val="en-US"/>
        </w:rPr>
        <w:t xml:space="preserve"> Report </w:t>
      </w:r>
      <w:r w:rsidRPr="00DA7A68">
        <w:rPr>
          <w:rFonts w:cstheme="majorBidi"/>
          <w:bCs/>
          <w:sz w:val="18"/>
          <w:szCs w:val="18"/>
          <w:lang w:val="en-US"/>
        </w:rPr>
        <w:t>CCPR/C/DNK/CO/5, at para 10.</w:t>
      </w:r>
    </w:p>
  </w:footnote>
  <w:footnote w:id="87">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Report </w:t>
      </w:r>
      <w:proofErr w:type="spellStart"/>
      <w:r w:rsidRPr="00DA7A68">
        <w:rPr>
          <w:sz w:val="18"/>
          <w:szCs w:val="18"/>
        </w:rPr>
        <w:t>concerning</w:t>
      </w:r>
      <w:proofErr w:type="spellEnd"/>
      <w:r w:rsidRPr="00DA7A68">
        <w:rPr>
          <w:sz w:val="18"/>
          <w:szCs w:val="18"/>
        </w:rPr>
        <w:t xml:space="preserve"> administrative deportation of </w:t>
      </w:r>
      <w:proofErr w:type="spellStart"/>
      <w:r w:rsidRPr="00DA7A68">
        <w:rPr>
          <w:sz w:val="18"/>
          <w:szCs w:val="18"/>
        </w:rPr>
        <w:t>foreigners</w:t>
      </w:r>
      <w:proofErr w:type="spellEnd"/>
      <w:r w:rsidRPr="00DA7A68">
        <w:rPr>
          <w:sz w:val="18"/>
          <w:szCs w:val="18"/>
        </w:rPr>
        <w:t xml:space="preserve"> (betænkning om administrativ udvisning af udlændinge) page 266: ”Sammenfattende er det vurderingen, at det ikke kan afvises, at der er mulighed for at anvende diplomatiske forsikringer uden at krænke folkeretten, men at mulighederne er begrænsede.”</w:t>
      </w:r>
    </w:p>
  </w:footnote>
  <w:footnote w:id="88">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Report submitted by the Special Rapporteur on torture and other cruel, inhuman or degrading treatment or punishment, Juan E. Méndez, 3 February 201, A/HRC/16/52 (Section D, page 14): “Indeed, diplomatic assurance has been proven to be unreliable, and cannot be considered an effective safeguard against torture and ill-treatment, particularly in States where there are reasonable grounds to believe that a person would face the danger of being subjected to torture or ill-treatment.” See also joint statement with the UN Special Rapporteur </w:t>
      </w:r>
      <w:r w:rsidRPr="00DA7A68">
        <w:rPr>
          <w:sz w:val="18"/>
          <w:szCs w:val="18"/>
          <w:shd w:val="clear" w:color="auto" w:fill="FFFFFF"/>
          <w:lang w:val="en-US"/>
        </w:rPr>
        <w:t>on the promotion and protection of human rights and fundamental freedoms while countering terrorism</w:t>
      </w:r>
      <w:r w:rsidRPr="00DA7A68">
        <w:rPr>
          <w:sz w:val="18"/>
          <w:szCs w:val="18"/>
          <w:lang w:val="en-US"/>
        </w:rPr>
        <w:t xml:space="preserve"> http://www.ohchr.org/EN/NewsEvents/Pages/DisplayNews.aspx?NewsID=14084</w:t>
      </w:r>
    </w:p>
  </w:footnote>
  <w:footnote w:id="89">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See further Fact Sheet regarding Expulsions and Extraditions (available at: </w:t>
      </w:r>
    </w:p>
    <w:p w:rsidR="00910317" w:rsidRPr="00DA7A68" w:rsidRDefault="00910317" w:rsidP="004722B3">
      <w:pPr>
        <w:pStyle w:val="FootnoteText"/>
        <w:jc w:val="both"/>
        <w:rPr>
          <w:sz w:val="18"/>
          <w:szCs w:val="18"/>
          <w:lang w:val="en-US"/>
        </w:rPr>
      </w:pPr>
      <w:r w:rsidRPr="00DA7A68">
        <w:rPr>
          <w:sz w:val="18"/>
          <w:szCs w:val="18"/>
          <w:lang w:val="en-US"/>
        </w:rPr>
        <w:t xml:space="preserve">http://www.echr.coe.int/Documents/FS_Expulsions_Extraditions_ENG.pdf) </w:t>
      </w:r>
    </w:p>
  </w:footnote>
  <w:footnote w:id="90">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Human Rights Committee, General Comment No. 35, CCPR/C/GC/35, para 56. The link between article 9 and the standards of the UNCAT was further elaborated in the comments submitted by DIGNITY and other anti-torture </w:t>
      </w:r>
      <w:proofErr w:type="spellStart"/>
      <w:r w:rsidRPr="00DA7A68">
        <w:rPr>
          <w:sz w:val="18"/>
          <w:szCs w:val="18"/>
          <w:lang w:val="en-US"/>
        </w:rPr>
        <w:t>organisations</w:t>
      </w:r>
      <w:proofErr w:type="spellEnd"/>
      <w:r w:rsidRPr="00DA7A68">
        <w:rPr>
          <w:sz w:val="18"/>
          <w:szCs w:val="18"/>
          <w:lang w:val="en-US"/>
        </w:rPr>
        <w:t xml:space="preserve"> prior to the adoption of the General Comment No. 35, available at </w:t>
      </w:r>
      <w:hyperlink r:id="rId9" w:history="1">
        <w:r w:rsidRPr="00DA7A68">
          <w:rPr>
            <w:rStyle w:val="Hyperlink"/>
            <w:color w:val="auto"/>
            <w:sz w:val="18"/>
            <w:szCs w:val="18"/>
            <w:u w:val="none"/>
            <w:lang w:val="en-US"/>
          </w:rPr>
          <w:t>http://www.ohchr.org/EN/HRBodies/CCPR/Pages/DGCArticle9.aspx</w:t>
        </w:r>
      </w:hyperlink>
      <w:r w:rsidRPr="00DA7A68">
        <w:rPr>
          <w:sz w:val="18"/>
          <w:szCs w:val="18"/>
          <w:lang w:val="en-US"/>
        </w:rPr>
        <w:t>.</w:t>
      </w:r>
    </w:p>
  </w:footnote>
  <w:footnote w:id="91">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See further strategy of the Prosecution Office of 25 August 2009, amended as of 4 January 2011 (</w:t>
      </w:r>
      <w:proofErr w:type="spellStart"/>
      <w:r w:rsidRPr="00DA7A68">
        <w:rPr>
          <w:iCs/>
          <w:sz w:val="18"/>
          <w:szCs w:val="18"/>
          <w:lang w:val="en-US"/>
        </w:rPr>
        <w:t>Strategi</w:t>
      </w:r>
      <w:proofErr w:type="spellEnd"/>
      <w:r w:rsidRPr="00DA7A68">
        <w:rPr>
          <w:iCs/>
          <w:sz w:val="18"/>
          <w:szCs w:val="18"/>
          <w:lang w:val="en-US"/>
        </w:rPr>
        <w:t xml:space="preserve"> for </w:t>
      </w:r>
      <w:proofErr w:type="spellStart"/>
      <w:r w:rsidRPr="00DA7A68">
        <w:rPr>
          <w:iCs/>
          <w:sz w:val="18"/>
          <w:szCs w:val="18"/>
          <w:lang w:val="en-US"/>
        </w:rPr>
        <w:t>anvendelse</w:t>
      </w:r>
      <w:proofErr w:type="spellEnd"/>
      <w:r w:rsidRPr="00DA7A68">
        <w:rPr>
          <w:iCs/>
          <w:sz w:val="18"/>
          <w:szCs w:val="18"/>
          <w:lang w:val="en-US"/>
        </w:rPr>
        <w:t xml:space="preserve"> </w:t>
      </w:r>
      <w:proofErr w:type="spellStart"/>
      <w:r w:rsidRPr="00DA7A68">
        <w:rPr>
          <w:iCs/>
          <w:sz w:val="18"/>
          <w:szCs w:val="18"/>
          <w:lang w:val="en-US"/>
        </w:rPr>
        <w:t>af</w:t>
      </w:r>
      <w:proofErr w:type="spellEnd"/>
      <w:r w:rsidRPr="00DA7A68">
        <w:rPr>
          <w:iCs/>
          <w:sz w:val="18"/>
          <w:szCs w:val="18"/>
          <w:lang w:val="en-US"/>
        </w:rPr>
        <w:t xml:space="preserve"> </w:t>
      </w:r>
      <w:proofErr w:type="spellStart"/>
      <w:r w:rsidRPr="00DA7A68">
        <w:rPr>
          <w:iCs/>
          <w:sz w:val="18"/>
          <w:szCs w:val="18"/>
          <w:lang w:val="en-US"/>
        </w:rPr>
        <w:t>varetægtsfængsling</w:t>
      </w:r>
      <w:proofErr w:type="spellEnd"/>
      <w:r w:rsidRPr="00DA7A68">
        <w:rPr>
          <w:iCs/>
          <w:sz w:val="18"/>
          <w:szCs w:val="18"/>
          <w:lang w:val="en-US"/>
        </w:rPr>
        <w:t xml:space="preserve"> </w:t>
      </w:r>
      <w:proofErr w:type="spellStart"/>
      <w:r w:rsidRPr="00DA7A68">
        <w:rPr>
          <w:iCs/>
          <w:sz w:val="18"/>
          <w:szCs w:val="18"/>
          <w:lang w:val="en-US"/>
        </w:rPr>
        <w:t>og</w:t>
      </w:r>
      <w:proofErr w:type="spellEnd"/>
      <w:r w:rsidRPr="00DA7A68">
        <w:rPr>
          <w:iCs/>
          <w:sz w:val="18"/>
          <w:szCs w:val="18"/>
          <w:lang w:val="en-US"/>
        </w:rPr>
        <w:t xml:space="preserve"> </w:t>
      </w:r>
      <w:proofErr w:type="spellStart"/>
      <w:proofErr w:type="gramStart"/>
      <w:r w:rsidRPr="00DA7A68">
        <w:rPr>
          <w:iCs/>
          <w:sz w:val="18"/>
          <w:szCs w:val="18"/>
          <w:lang w:val="en-US"/>
        </w:rPr>
        <w:t>frihedsberøvelse</w:t>
      </w:r>
      <w:proofErr w:type="spellEnd"/>
      <w:r w:rsidRPr="00DA7A68">
        <w:rPr>
          <w:iCs/>
          <w:sz w:val="18"/>
          <w:szCs w:val="18"/>
          <w:lang w:val="en-US"/>
        </w:rPr>
        <w:t xml:space="preserve">  </w:t>
      </w:r>
      <w:proofErr w:type="spellStart"/>
      <w:r w:rsidRPr="00DA7A68">
        <w:rPr>
          <w:iCs/>
          <w:sz w:val="18"/>
          <w:szCs w:val="18"/>
          <w:lang w:val="en-US"/>
        </w:rPr>
        <w:t>efter</w:t>
      </w:r>
      <w:proofErr w:type="spellEnd"/>
      <w:proofErr w:type="gramEnd"/>
      <w:r w:rsidRPr="00DA7A68">
        <w:rPr>
          <w:iCs/>
          <w:sz w:val="18"/>
          <w:szCs w:val="18"/>
          <w:lang w:val="en-US"/>
        </w:rPr>
        <w:t xml:space="preserve"> </w:t>
      </w:r>
      <w:proofErr w:type="spellStart"/>
      <w:r w:rsidRPr="00DA7A68">
        <w:rPr>
          <w:iCs/>
          <w:sz w:val="18"/>
          <w:szCs w:val="18"/>
          <w:lang w:val="en-US"/>
        </w:rPr>
        <w:t>udlændingeloven</w:t>
      </w:r>
      <w:proofErr w:type="spellEnd"/>
      <w:r w:rsidRPr="00DA7A68">
        <w:rPr>
          <w:sz w:val="18"/>
          <w:szCs w:val="18"/>
          <w:lang w:val="en-US"/>
        </w:rPr>
        <w:t>).</w:t>
      </w:r>
    </w:p>
  </w:footnote>
  <w:footnote w:id="9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“Statistic 2013”, Prison and Probation Service Table 5.5</w:t>
      </w:r>
    </w:p>
  </w:footnote>
  <w:footnote w:id="93">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“Statistic 2013”, Prison and Probation Service Table 5.6</w:t>
      </w:r>
    </w:p>
  </w:footnote>
  <w:footnote w:id="94">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Regulation (</w:t>
      </w:r>
      <w:proofErr w:type="spellStart"/>
      <w:r w:rsidRPr="00DA7A68">
        <w:rPr>
          <w:sz w:val="18"/>
          <w:szCs w:val="18"/>
          <w:lang w:val="en-US"/>
        </w:rPr>
        <w:t>bekendtgørelse</w:t>
      </w:r>
      <w:proofErr w:type="spellEnd"/>
      <w:r w:rsidRPr="00DA7A68">
        <w:rPr>
          <w:sz w:val="18"/>
          <w:szCs w:val="18"/>
          <w:lang w:val="en-US"/>
        </w:rPr>
        <w:t>) No. 791 of 25 June 2010, § 14 (3).</w:t>
      </w:r>
    </w:p>
  </w:footnote>
  <w:footnote w:id="95">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“Statistic 2013”, Prison and Probation Service, Table 5.7. </w:t>
      </w:r>
    </w:p>
  </w:footnote>
  <w:footnote w:id="96">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Sentence Enforcement Act §70.</w:t>
      </w:r>
    </w:p>
  </w:footnote>
  <w:footnote w:id="97">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Administration of Justice </w:t>
      </w:r>
      <w:proofErr w:type="spellStart"/>
      <w:r w:rsidRPr="00DA7A68">
        <w:rPr>
          <w:sz w:val="18"/>
          <w:szCs w:val="18"/>
          <w:lang w:val="en-US"/>
        </w:rPr>
        <w:t>Avt</w:t>
      </w:r>
      <w:proofErr w:type="spellEnd"/>
      <w:r w:rsidRPr="00DA7A68">
        <w:rPr>
          <w:sz w:val="18"/>
          <w:szCs w:val="18"/>
          <w:lang w:val="en-US"/>
        </w:rPr>
        <w:t xml:space="preserve"> § 775 (1). </w:t>
      </w:r>
    </w:p>
  </w:footnote>
  <w:footnote w:id="98">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Sentence Enforcement Act § 122 (1) No. 3.</w:t>
      </w:r>
    </w:p>
  </w:footnote>
  <w:footnote w:id="99">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“Statistic 2013”, Prison and Probation Service, Table 5.1 </w:t>
      </w:r>
    </w:p>
  </w:footnote>
  <w:footnote w:id="100">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CPT report to the Danish government on the visit to Denmark in 2014, CPT/</w:t>
      </w:r>
      <w:proofErr w:type="spellStart"/>
      <w:r w:rsidRPr="00DA7A68">
        <w:rPr>
          <w:sz w:val="18"/>
          <w:szCs w:val="18"/>
          <w:lang w:val="en-US"/>
        </w:rPr>
        <w:t>Inf</w:t>
      </w:r>
      <w:proofErr w:type="spellEnd"/>
      <w:r w:rsidRPr="00DA7A68">
        <w:rPr>
          <w:sz w:val="18"/>
          <w:szCs w:val="18"/>
          <w:lang w:val="en-US"/>
        </w:rPr>
        <w:t xml:space="preserve"> (2014)25, para. 61.</w:t>
      </w:r>
    </w:p>
  </w:footnote>
  <w:footnote w:id="101">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UNSRT, Mission to Denmark, </w:t>
      </w:r>
      <w:r w:rsidRPr="00DA7A68">
        <w:rPr>
          <w:rFonts w:cstheme="majorBidi"/>
          <w:sz w:val="18"/>
          <w:szCs w:val="18"/>
          <w:lang w:val="en-US"/>
        </w:rPr>
        <w:t>A/HRC/10/44/Add.2, 18 February 2009, para. 45.</w:t>
      </w:r>
    </w:p>
  </w:footnote>
  <w:footnote w:id="10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r w:rsidR="0091160B">
        <w:rPr>
          <w:rFonts w:cstheme="majorBidi"/>
          <w:sz w:val="18"/>
          <w:szCs w:val="18"/>
          <w:lang w:val="en-GB"/>
        </w:rPr>
        <w:t>CAT/C/49/D/464/2011,</w:t>
      </w:r>
      <w:r w:rsidRPr="00DA7A68">
        <w:rPr>
          <w:rFonts w:cstheme="majorBidi"/>
          <w:sz w:val="18"/>
          <w:szCs w:val="18"/>
          <w:lang w:val="en-GB"/>
        </w:rPr>
        <w:t xml:space="preserve"> CAT/C/45/D/393/2008</w:t>
      </w:r>
      <w:r w:rsidR="007E18DE">
        <w:rPr>
          <w:rFonts w:cstheme="majorBidi"/>
          <w:sz w:val="18"/>
          <w:szCs w:val="18"/>
          <w:lang w:val="en-GB"/>
        </w:rPr>
        <w:t xml:space="preserve"> and CAT 580/2014 of 22 December 2015</w:t>
      </w:r>
      <w:r w:rsidRPr="00DA7A68">
        <w:rPr>
          <w:rFonts w:cstheme="majorBidi"/>
          <w:sz w:val="18"/>
          <w:szCs w:val="18"/>
          <w:lang w:val="en-GB"/>
        </w:rPr>
        <w:t>.</w:t>
      </w:r>
    </w:p>
  </w:footnote>
  <w:footnote w:id="103">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Law no. 1273 of November 2015.</w:t>
      </w:r>
    </w:p>
  </w:footnote>
  <w:footnote w:id="104">
    <w:p w:rsidR="00910317" w:rsidRPr="00DA7A68" w:rsidRDefault="00910317" w:rsidP="004722B3">
      <w:pPr>
        <w:widowControl w:val="0"/>
        <w:autoSpaceDE w:val="0"/>
        <w:autoSpaceDN w:val="0"/>
        <w:adjustRightInd w:val="0"/>
        <w:spacing w:after="0"/>
        <w:jc w:val="both"/>
        <w:rPr>
          <w:rFonts w:cs="Times New Roman"/>
          <w:sz w:val="18"/>
          <w:szCs w:val="18"/>
          <w:lang w:val="en-US"/>
        </w:rPr>
      </w:pPr>
      <w:r w:rsidRPr="00DA7A68">
        <w:rPr>
          <w:rStyle w:val="FootnoteReference"/>
          <w:sz w:val="18"/>
          <w:szCs w:val="18"/>
        </w:rPr>
        <w:footnoteRef/>
      </w:r>
      <w:r w:rsidRPr="00DA7A68">
        <w:rPr>
          <w:rFonts w:cs="Times New Roman"/>
          <w:sz w:val="18"/>
          <w:szCs w:val="18"/>
          <w:lang w:val="en-US"/>
        </w:rPr>
        <w:t xml:space="preserve"> Zachary Steel and Derrick M </w:t>
      </w:r>
      <w:proofErr w:type="spellStart"/>
      <w:r w:rsidRPr="00DA7A68">
        <w:rPr>
          <w:rFonts w:cs="Times New Roman"/>
          <w:sz w:val="18"/>
          <w:szCs w:val="18"/>
          <w:lang w:val="en-US"/>
        </w:rPr>
        <w:t>Silove</w:t>
      </w:r>
      <w:proofErr w:type="spellEnd"/>
      <w:r w:rsidRPr="00DA7A68">
        <w:rPr>
          <w:rFonts w:cs="Times New Roman"/>
          <w:sz w:val="18"/>
          <w:szCs w:val="18"/>
          <w:lang w:val="en-US"/>
        </w:rPr>
        <w:t xml:space="preserve"> (2001), ‘The mental health implications of detaining asylum seekers’, (2001) MJA 2001 175: 596-599.</w:t>
      </w:r>
    </w:p>
  </w:footnote>
  <w:footnote w:id="105">
    <w:p w:rsidR="00910317" w:rsidRPr="00DA7A68" w:rsidRDefault="00910317" w:rsidP="004722B3">
      <w:pPr>
        <w:pStyle w:val="FootnoteText"/>
        <w:tabs>
          <w:tab w:val="left" w:pos="1304"/>
        </w:tabs>
        <w:jc w:val="both"/>
        <w:rPr>
          <w:sz w:val="18"/>
          <w:szCs w:val="18"/>
          <w:lang w:val="en-GB"/>
        </w:rPr>
      </w:pPr>
      <w:r w:rsidRPr="00DA7A68">
        <w:rPr>
          <w:rStyle w:val="FootnoteReference"/>
          <w:sz w:val="18"/>
          <w:szCs w:val="18"/>
        </w:rPr>
        <w:footnoteRef/>
      </w:r>
      <w:r w:rsidRPr="00DA7A68">
        <w:rPr>
          <w:sz w:val="18"/>
          <w:szCs w:val="18"/>
          <w:lang w:val="en-US"/>
        </w:rPr>
        <w:t xml:space="preserve"> Report of the Special Rapporteur on the Human Rights of Migrants: Detention of Migrants in an Irregular Situation, supra n. 23, para. 43.</w:t>
      </w:r>
    </w:p>
  </w:footnote>
  <w:footnote w:id="106">
    <w:p w:rsidR="00910317" w:rsidRPr="00DA7A68" w:rsidRDefault="00910317" w:rsidP="004722B3">
      <w:pPr>
        <w:pStyle w:val="FootnoteText"/>
        <w:jc w:val="both"/>
        <w:rPr>
          <w:sz w:val="18"/>
          <w:szCs w:val="18"/>
          <w:lang w:val="en-GB"/>
        </w:rPr>
      </w:pPr>
      <w:r w:rsidRPr="00DA7A68">
        <w:rPr>
          <w:rStyle w:val="FootnoteReference"/>
          <w:sz w:val="18"/>
          <w:szCs w:val="18"/>
        </w:rPr>
        <w:footnoteRef/>
      </w:r>
      <w:r w:rsidRPr="00DA7A68">
        <w:rPr>
          <w:sz w:val="18"/>
          <w:szCs w:val="18"/>
          <w:lang w:val="en-US"/>
        </w:rPr>
        <w:t xml:space="preserve"> See, e.g. Coffey et al. (2010), ‘The Meaning and Mental Health Consequences of Long-Term Immigration Detention for People Seeking Asylum’, 70 Social Science &amp; Medicine 2070-2079. See also Newman, Dudley and Steel (2008), ‘Asylum, Detention and Mental Health in Australia’, 27(3) Refugee Survey Quarterly 110-127.</w:t>
      </w:r>
    </w:p>
  </w:footnote>
  <w:footnote w:id="107">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Communication No. 412/2010, para 7.3.</w:t>
      </w:r>
    </w:p>
  </w:footnote>
  <w:footnote w:id="108">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Report to Denmark, A/HRC/10/44/Add. 2. Para 47.</w:t>
      </w:r>
    </w:p>
  </w:footnote>
  <w:footnote w:id="109">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Report to the Danish Government on the visit to Denmark from 4 to 13 February 2014, CPT/</w:t>
      </w:r>
      <w:proofErr w:type="spellStart"/>
      <w:r w:rsidRPr="00DA7A68">
        <w:rPr>
          <w:sz w:val="18"/>
          <w:szCs w:val="18"/>
          <w:lang w:val="en-US"/>
        </w:rPr>
        <w:t>inf</w:t>
      </w:r>
      <w:proofErr w:type="spellEnd"/>
      <w:r w:rsidRPr="00DA7A68">
        <w:rPr>
          <w:sz w:val="18"/>
          <w:szCs w:val="18"/>
          <w:lang w:val="en-US"/>
        </w:rPr>
        <w:t xml:space="preserve"> (2014) 25, </w:t>
      </w:r>
      <w:r w:rsidRPr="00DA7A68">
        <w:rPr>
          <w:rFonts w:cstheme="majorBidi"/>
          <w:sz w:val="18"/>
          <w:szCs w:val="18"/>
          <w:lang w:val="en-GB"/>
        </w:rPr>
        <w:t>para. 75.</w:t>
      </w:r>
    </w:p>
  </w:footnote>
  <w:footnote w:id="110">
    <w:p w:rsidR="00910317" w:rsidRPr="00DA7A68" w:rsidRDefault="00910317" w:rsidP="004722B3">
      <w:pPr>
        <w:spacing w:after="0" w:line="240" w:lineRule="auto"/>
        <w:jc w:val="both"/>
        <w:rPr>
          <w:sz w:val="18"/>
          <w:szCs w:val="18"/>
          <w:lang w:val="en-US"/>
        </w:rPr>
      </w:pPr>
      <w:r w:rsidRPr="00DA7A68">
        <w:rPr>
          <w:rStyle w:val="FootnoteReference"/>
          <w:sz w:val="18"/>
          <w:szCs w:val="18"/>
        </w:rPr>
        <w:footnoteRef/>
      </w:r>
      <w:r w:rsidRPr="00DA7A68">
        <w:rPr>
          <w:sz w:val="18"/>
          <w:szCs w:val="18"/>
          <w:lang w:val="en-US"/>
        </w:rPr>
        <w:t xml:space="preserve"> At the time of the 2014 visit, </w:t>
      </w:r>
      <w:proofErr w:type="spellStart"/>
      <w:r w:rsidRPr="00DA7A68">
        <w:rPr>
          <w:sz w:val="18"/>
          <w:szCs w:val="18"/>
          <w:lang w:val="en-US"/>
        </w:rPr>
        <w:t>Ellebæk</w:t>
      </w:r>
      <w:proofErr w:type="spellEnd"/>
      <w:r w:rsidRPr="00DA7A68">
        <w:rPr>
          <w:sz w:val="18"/>
          <w:szCs w:val="18"/>
          <w:lang w:val="en-US"/>
        </w:rPr>
        <w:t xml:space="preserve"> was holding 87 asylum seekers of whom three were women and, in a separate section, 18 detainees (including one juvenile) awaiting deportation. </w:t>
      </w:r>
    </w:p>
  </w:footnote>
  <w:footnote w:id="111">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proofErr w:type="spellStart"/>
      <w:r w:rsidRPr="00DA7A68">
        <w:rPr>
          <w:sz w:val="18"/>
          <w:szCs w:val="18"/>
          <w:lang w:val="en-US"/>
        </w:rPr>
        <w:t>Ib</w:t>
      </w:r>
      <w:proofErr w:type="spellEnd"/>
      <w:r w:rsidRPr="00DA7A68">
        <w:rPr>
          <w:sz w:val="18"/>
          <w:szCs w:val="18"/>
          <w:lang w:val="en-US"/>
        </w:rPr>
        <w:t>, at para. 76.</w:t>
      </w:r>
    </w:p>
  </w:footnote>
  <w:footnote w:id="11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Judgment from the Eastern High Court, 13 March 2015.</w:t>
      </w:r>
    </w:p>
  </w:footnote>
  <w:footnote w:id="113">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LGBT Denmark (2013), LGBT Denmark to the human rights commissioner: Several concerns, available at:</w:t>
      </w:r>
    </w:p>
    <w:p w:rsidR="00910317" w:rsidRPr="00DA7A68" w:rsidRDefault="00910317" w:rsidP="004722B3">
      <w:pPr>
        <w:pStyle w:val="FootnoteText"/>
        <w:jc w:val="both"/>
        <w:rPr>
          <w:sz w:val="18"/>
          <w:szCs w:val="18"/>
          <w:lang w:val="en-US"/>
        </w:rPr>
      </w:pPr>
      <w:r w:rsidRPr="00DA7A68">
        <w:rPr>
          <w:sz w:val="18"/>
          <w:szCs w:val="18"/>
          <w:lang w:val="en-US"/>
        </w:rPr>
        <w:t xml:space="preserve"> </w:t>
      </w:r>
      <w:hyperlink r:id="rId10" w:history="1">
        <w:r w:rsidRPr="00DA7A68">
          <w:rPr>
            <w:rStyle w:val="Hyperlink"/>
            <w:color w:val="auto"/>
            <w:sz w:val="18"/>
            <w:szCs w:val="18"/>
            <w:u w:val="none"/>
            <w:lang w:val="en-US"/>
          </w:rPr>
          <w:t>www.Panbloggen.wordpress.com</w:t>
        </w:r>
      </w:hyperlink>
      <w:r w:rsidRPr="00DA7A68">
        <w:rPr>
          <w:sz w:val="18"/>
          <w:szCs w:val="18"/>
          <w:lang w:val="en-US"/>
        </w:rPr>
        <w:t xml:space="preserve"> &lt; </w:t>
      </w:r>
      <w:hyperlink r:id="rId11" w:history="1">
        <w:r w:rsidRPr="00DA7A68">
          <w:rPr>
            <w:rStyle w:val="Hyperlink"/>
            <w:color w:val="auto"/>
            <w:sz w:val="18"/>
            <w:szCs w:val="18"/>
            <w:u w:val="none"/>
            <w:lang w:val="en-US"/>
          </w:rPr>
          <w:t>https://panbloggen.wordpress.com/2013/11/21/lgbt-denmark-to-human-rights-commissioner-several-concerns/</w:t>
        </w:r>
      </w:hyperlink>
      <w:r w:rsidRPr="00DA7A68">
        <w:rPr>
          <w:sz w:val="18"/>
          <w:szCs w:val="18"/>
          <w:lang w:val="en-US"/>
        </w:rPr>
        <w:t xml:space="preserve">&gt; </w:t>
      </w:r>
    </w:p>
  </w:footnote>
  <w:footnote w:id="114">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Reference is also made to the recommendation by the Committee against Torture (2015), para 29.</w:t>
      </w:r>
    </w:p>
  </w:footnote>
  <w:footnote w:id="115">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Holm Johansen, Katrine Bindesbøl; Laursen, Bjarne; Juel, Knud (2015), LGBT Sundhed: Helbred og Trivsel </w:t>
      </w:r>
      <w:proofErr w:type="spellStart"/>
      <w:r w:rsidRPr="00DA7A68">
        <w:rPr>
          <w:sz w:val="18"/>
          <w:szCs w:val="18"/>
        </w:rPr>
        <w:t>blant</w:t>
      </w:r>
      <w:proofErr w:type="spellEnd"/>
      <w:r w:rsidRPr="00DA7A68">
        <w:rPr>
          <w:sz w:val="18"/>
          <w:szCs w:val="18"/>
        </w:rPr>
        <w:t xml:space="preserve"> lesbiske, bøsser, biseksuelle og </w:t>
      </w:r>
      <w:proofErr w:type="spellStart"/>
      <w:r w:rsidRPr="00DA7A68">
        <w:rPr>
          <w:sz w:val="18"/>
          <w:szCs w:val="18"/>
        </w:rPr>
        <w:t>transpersoner</w:t>
      </w:r>
      <w:proofErr w:type="spellEnd"/>
      <w:r w:rsidRPr="00DA7A68">
        <w:rPr>
          <w:sz w:val="18"/>
          <w:szCs w:val="18"/>
        </w:rPr>
        <w:t xml:space="preserve">, Statens Institut for Folkesundhed, Syddansk Universitet, Københavns Kommune &lt; </w:t>
      </w:r>
      <w:hyperlink r:id="rId12" w:history="1">
        <w:r w:rsidRPr="00DA7A68">
          <w:rPr>
            <w:rStyle w:val="Hyperlink"/>
            <w:color w:val="auto"/>
            <w:sz w:val="18"/>
            <w:szCs w:val="18"/>
            <w:u w:val="none"/>
          </w:rPr>
          <w:t>http://www.kk.dk/sites/default/files/LGBT-sundhed%20%28si-folkesundhed%29%20%282015%29.pdf</w:t>
        </w:r>
      </w:hyperlink>
      <w:r w:rsidRPr="00DA7A68">
        <w:rPr>
          <w:sz w:val="18"/>
          <w:szCs w:val="18"/>
        </w:rPr>
        <w:t xml:space="preserve">&gt; from </w:t>
      </w:r>
      <w:hyperlink r:id="rId13" w:history="1">
        <w:r w:rsidRPr="00DA7A68">
          <w:rPr>
            <w:rStyle w:val="Hyperlink"/>
            <w:color w:val="auto"/>
            <w:sz w:val="18"/>
            <w:szCs w:val="18"/>
            <w:u w:val="none"/>
          </w:rPr>
          <w:t>http://www.kk.dk/nyheder/lgbt-personer-k%C3%A6mper-med-d%C3%A5rligt-helbred</w:t>
        </w:r>
      </w:hyperlink>
    </w:p>
  </w:footnote>
  <w:footnote w:id="116">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Holm Johansen, Katrine Bindesbøl; Laursen, Bjarne; Juel, Knud (2015), LGBT Sundhed: Helbred og Trivsel </w:t>
      </w:r>
      <w:proofErr w:type="spellStart"/>
      <w:r w:rsidRPr="00DA7A68">
        <w:rPr>
          <w:sz w:val="18"/>
          <w:szCs w:val="18"/>
        </w:rPr>
        <w:t>blant</w:t>
      </w:r>
      <w:proofErr w:type="spellEnd"/>
      <w:r w:rsidRPr="00DA7A68">
        <w:rPr>
          <w:sz w:val="18"/>
          <w:szCs w:val="18"/>
        </w:rPr>
        <w:t xml:space="preserve"> lesbiske, bøsser, biseksuelle og </w:t>
      </w:r>
      <w:proofErr w:type="spellStart"/>
      <w:r w:rsidRPr="00DA7A68">
        <w:rPr>
          <w:sz w:val="18"/>
          <w:szCs w:val="18"/>
        </w:rPr>
        <w:t>transpersoner</w:t>
      </w:r>
      <w:proofErr w:type="spellEnd"/>
      <w:r w:rsidRPr="00DA7A68">
        <w:rPr>
          <w:sz w:val="18"/>
          <w:szCs w:val="18"/>
        </w:rPr>
        <w:t>, Statens Institut for Folkesundhed, Syddansk U</w:t>
      </w:r>
      <w:r w:rsidR="00995EF7" w:rsidRPr="00DA7A68">
        <w:rPr>
          <w:sz w:val="18"/>
          <w:szCs w:val="18"/>
        </w:rPr>
        <w:t xml:space="preserve">niversitet, Københavns Kommune, </w:t>
      </w:r>
      <w:proofErr w:type="spellStart"/>
      <w:r w:rsidR="00995EF7" w:rsidRPr="00DA7A68">
        <w:rPr>
          <w:sz w:val="18"/>
          <w:szCs w:val="18"/>
        </w:rPr>
        <w:t>available</w:t>
      </w:r>
      <w:proofErr w:type="spellEnd"/>
      <w:r w:rsidR="00995EF7" w:rsidRPr="00DA7A68">
        <w:rPr>
          <w:sz w:val="18"/>
          <w:szCs w:val="18"/>
        </w:rPr>
        <w:t xml:space="preserve"> at</w:t>
      </w:r>
      <w:r w:rsidRPr="00DA7A68">
        <w:rPr>
          <w:sz w:val="18"/>
          <w:szCs w:val="18"/>
        </w:rPr>
        <w:t xml:space="preserve"> </w:t>
      </w:r>
      <w:hyperlink r:id="rId14" w:history="1">
        <w:r w:rsidRPr="00DA7A68">
          <w:rPr>
            <w:rStyle w:val="Hyperlink"/>
            <w:color w:val="auto"/>
            <w:sz w:val="18"/>
            <w:szCs w:val="18"/>
            <w:u w:val="none"/>
          </w:rPr>
          <w:t>http://www.kk.dk/sites/default/files/LGBT-sundhed%20%28si-folkesundhed%29%20%282015%29.pdf</w:t>
        </w:r>
      </w:hyperlink>
      <w:r w:rsidR="00995EF7" w:rsidRPr="00DA7A68">
        <w:rPr>
          <w:sz w:val="18"/>
          <w:szCs w:val="18"/>
        </w:rPr>
        <w:t>, and</w:t>
      </w:r>
      <w:r w:rsidRPr="00DA7A68">
        <w:rPr>
          <w:sz w:val="18"/>
          <w:szCs w:val="18"/>
        </w:rPr>
        <w:t xml:space="preserve"> </w:t>
      </w:r>
      <w:hyperlink r:id="rId15" w:history="1">
        <w:r w:rsidRPr="00DA7A68">
          <w:rPr>
            <w:rStyle w:val="Hyperlink"/>
            <w:color w:val="auto"/>
            <w:sz w:val="18"/>
            <w:szCs w:val="18"/>
            <w:u w:val="none"/>
          </w:rPr>
          <w:t>http://www.kk.dk/nyheder/lgbt-personer-k%C3%A6mper-med-d%C3%A5rligt-helbred</w:t>
        </w:r>
      </w:hyperlink>
    </w:p>
  </w:footnote>
  <w:footnote w:id="117">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LGBT Denmark (2015), Open letter to the Minister of Health, LGBT Denmark </w:t>
      </w:r>
      <w:hyperlink r:id="rId16" w:history="1">
        <w:r w:rsidRPr="00DA7A68">
          <w:rPr>
            <w:rStyle w:val="Hyperlink"/>
            <w:color w:val="auto"/>
            <w:sz w:val="18"/>
            <w:szCs w:val="18"/>
            <w:u w:val="none"/>
            <w:lang w:val="en-US"/>
          </w:rPr>
          <w:t>http://lgbt.dk/wp-content/uploads/Aabent-brev-LGBT-Danmark-til-Sundheds-og-aeldreminister.pdf</w:t>
        </w:r>
      </w:hyperlink>
    </w:p>
  </w:footnote>
  <w:footnote w:id="118">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Region </w:t>
      </w:r>
      <w:proofErr w:type="spellStart"/>
      <w:r w:rsidRPr="00DA7A68">
        <w:rPr>
          <w:sz w:val="18"/>
          <w:szCs w:val="18"/>
          <w:lang w:val="en-US"/>
        </w:rPr>
        <w:t>Midtjylland</w:t>
      </w:r>
      <w:proofErr w:type="spellEnd"/>
      <w:r w:rsidRPr="00DA7A68">
        <w:rPr>
          <w:sz w:val="18"/>
          <w:szCs w:val="18"/>
          <w:lang w:val="en-US"/>
        </w:rPr>
        <w:t xml:space="preserve"> (no year), Intersex – </w:t>
      </w:r>
      <w:proofErr w:type="spellStart"/>
      <w:r w:rsidRPr="00DA7A68">
        <w:rPr>
          <w:sz w:val="18"/>
          <w:szCs w:val="18"/>
          <w:lang w:val="en-US"/>
        </w:rPr>
        <w:t>Usikkert</w:t>
      </w:r>
      <w:proofErr w:type="spellEnd"/>
      <w:r w:rsidRPr="00DA7A68">
        <w:rPr>
          <w:sz w:val="18"/>
          <w:szCs w:val="18"/>
          <w:lang w:val="en-US"/>
        </w:rPr>
        <w:t xml:space="preserve"> </w:t>
      </w:r>
      <w:proofErr w:type="spellStart"/>
      <w:r w:rsidRPr="00DA7A68">
        <w:rPr>
          <w:sz w:val="18"/>
          <w:szCs w:val="18"/>
          <w:lang w:val="en-US"/>
        </w:rPr>
        <w:t>køn</w:t>
      </w:r>
      <w:proofErr w:type="spellEnd"/>
      <w:r w:rsidRPr="00DA7A68">
        <w:rPr>
          <w:sz w:val="18"/>
          <w:szCs w:val="18"/>
          <w:lang w:val="en-US"/>
        </w:rPr>
        <w:t xml:space="preserve">, from &lt; </w:t>
      </w:r>
      <w:hyperlink r:id="rId17" w:history="1">
        <w:r w:rsidRPr="00DA7A68">
          <w:rPr>
            <w:rStyle w:val="Hyperlink"/>
            <w:color w:val="auto"/>
            <w:sz w:val="18"/>
            <w:szCs w:val="18"/>
            <w:u w:val="none"/>
            <w:lang w:val="en-US"/>
          </w:rPr>
          <w:t>https://pri.rn.dk/Sider/11732.aspx</w:t>
        </w:r>
      </w:hyperlink>
      <w:r w:rsidRPr="00DA7A68">
        <w:rPr>
          <w:sz w:val="18"/>
          <w:szCs w:val="18"/>
          <w:lang w:val="en-US"/>
        </w:rPr>
        <w:t>&gt;</w:t>
      </w:r>
    </w:p>
  </w:footnote>
  <w:footnote w:id="119">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w:t>
      </w:r>
      <w:r w:rsidR="009B072F" w:rsidRPr="00DA7A68">
        <w:rPr>
          <w:rFonts w:cs="Helvetica"/>
          <w:sz w:val="18"/>
          <w:szCs w:val="18"/>
          <w:lang w:val="en-US"/>
        </w:rPr>
        <w:t>As pointed out in the UN's fact sheet on "The Right to Health", the right to health includes "the freedom to be free from non-consensual medical treatment"</w:t>
      </w:r>
      <w:r w:rsidR="009B072F" w:rsidRPr="00DA7A68">
        <w:rPr>
          <w:rFonts w:cs="Helvetica"/>
          <w:sz w:val="18"/>
          <w:szCs w:val="18"/>
          <w:lang w:val="en-US"/>
        </w:rPr>
        <w:t xml:space="preserve">, see </w:t>
      </w:r>
      <w:r w:rsidRPr="00DA7A68">
        <w:rPr>
          <w:sz w:val="18"/>
          <w:szCs w:val="18"/>
          <w:lang w:val="en-US"/>
        </w:rPr>
        <w:t>Office of the High Commissioner on Human Rights &amp; World Health Organization (2008), The Right to H</w:t>
      </w:r>
      <w:r w:rsidR="00995EF7" w:rsidRPr="00DA7A68">
        <w:rPr>
          <w:sz w:val="18"/>
          <w:szCs w:val="18"/>
          <w:lang w:val="en-US"/>
        </w:rPr>
        <w:t xml:space="preserve">ealth, Fact Sheet </w:t>
      </w:r>
      <w:proofErr w:type="spellStart"/>
      <w:r w:rsidR="00995EF7" w:rsidRPr="00DA7A68">
        <w:rPr>
          <w:sz w:val="18"/>
          <w:szCs w:val="18"/>
          <w:lang w:val="en-US"/>
        </w:rPr>
        <w:t>nr</w:t>
      </w:r>
      <w:proofErr w:type="spellEnd"/>
      <w:r w:rsidR="00995EF7" w:rsidRPr="00DA7A68">
        <w:rPr>
          <w:sz w:val="18"/>
          <w:szCs w:val="18"/>
          <w:lang w:val="en-US"/>
        </w:rPr>
        <w:t>. 31, p. 3, available at</w:t>
      </w:r>
      <w:r w:rsidRPr="00DA7A68">
        <w:rPr>
          <w:sz w:val="18"/>
          <w:szCs w:val="18"/>
          <w:lang w:val="en-US"/>
        </w:rPr>
        <w:t xml:space="preserve"> </w:t>
      </w:r>
      <w:hyperlink r:id="rId18" w:history="1">
        <w:r w:rsidRPr="00DA7A68">
          <w:rPr>
            <w:rStyle w:val="Hyperlink"/>
            <w:color w:val="auto"/>
            <w:sz w:val="18"/>
            <w:szCs w:val="18"/>
            <w:u w:val="none"/>
            <w:lang w:val="en-US"/>
          </w:rPr>
          <w:t>http://www.ohchr.org/Documents/Publications/Factsheet31.pdf</w:t>
        </w:r>
      </w:hyperlink>
      <w:r w:rsidR="00995EF7" w:rsidRPr="00DA7A68">
        <w:rPr>
          <w:sz w:val="18"/>
          <w:szCs w:val="18"/>
          <w:lang w:val="en-US"/>
        </w:rPr>
        <w:t>.</w:t>
      </w:r>
    </w:p>
  </w:footnote>
  <w:footnote w:id="120">
    <w:p w:rsidR="001C1E82" w:rsidRPr="00DA7A68" w:rsidRDefault="001C1E82" w:rsidP="004722B3">
      <w:pPr>
        <w:pStyle w:val="FootnoteText"/>
        <w:jc w:val="both"/>
        <w:rPr>
          <w:sz w:val="18"/>
          <w:szCs w:val="18"/>
        </w:rPr>
      </w:pPr>
      <w:r w:rsidRPr="00DA7A68">
        <w:rPr>
          <w:rStyle w:val="FootnoteReference"/>
          <w:sz w:val="18"/>
          <w:szCs w:val="18"/>
        </w:rPr>
        <w:footnoteRef/>
      </w:r>
      <w:r w:rsidRPr="00DA7A68">
        <w:rPr>
          <w:sz w:val="18"/>
          <w:szCs w:val="18"/>
        </w:rPr>
        <w:t xml:space="preserve"> </w:t>
      </w:r>
      <w:proofErr w:type="spellStart"/>
      <w:r w:rsidRPr="00DA7A68">
        <w:rPr>
          <w:sz w:val="18"/>
          <w:szCs w:val="18"/>
        </w:rPr>
        <w:t>Concluding</w:t>
      </w:r>
      <w:proofErr w:type="spellEnd"/>
      <w:r w:rsidRPr="00DA7A68">
        <w:rPr>
          <w:sz w:val="18"/>
          <w:szCs w:val="18"/>
        </w:rPr>
        <w:t xml:space="preserve"> Observations, </w:t>
      </w:r>
      <w:proofErr w:type="spellStart"/>
      <w:r w:rsidRPr="00DA7A68">
        <w:rPr>
          <w:sz w:val="18"/>
          <w:szCs w:val="18"/>
        </w:rPr>
        <w:t>para</w:t>
      </w:r>
      <w:proofErr w:type="spellEnd"/>
      <w:r w:rsidRPr="00DA7A68">
        <w:rPr>
          <w:sz w:val="18"/>
          <w:szCs w:val="18"/>
        </w:rPr>
        <w:t xml:space="preserve"> 43.</w:t>
      </w:r>
    </w:p>
  </w:footnote>
  <w:footnote w:id="121">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Law 102 of 3 February 2016.</w:t>
      </w:r>
    </w:p>
  </w:footnote>
  <w:footnote w:id="122">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Responses of 6 January 2016 (see above). </w:t>
      </w:r>
    </w:p>
  </w:footnote>
  <w:footnote w:id="123">
    <w:p w:rsidR="009B5DED" w:rsidRPr="00DA7A68" w:rsidRDefault="009B5DED" w:rsidP="004722B3">
      <w:pPr>
        <w:pStyle w:val="FootnoteText"/>
        <w:jc w:val="both"/>
        <w:rPr>
          <w:sz w:val="18"/>
          <w:szCs w:val="18"/>
        </w:rPr>
      </w:pPr>
      <w:r w:rsidRPr="00DA7A68">
        <w:rPr>
          <w:rStyle w:val="FootnoteReference"/>
          <w:sz w:val="18"/>
          <w:szCs w:val="18"/>
        </w:rPr>
        <w:footnoteRef/>
      </w:r>
      <w:r w:rsidRPr="00DA7A68">
        <w:rPr>
          <w:sz w:val="18"/>
          <w:szCs w:val="18"/>
          <w:lang w:val="en-US"/>
        </w:rPr>
        <w:t xml:space="preserve"> </w:t>
      </w:r>
      <w:proofErr w:type="spellStart"/>
      <w:r w:rsidRPr="00DA7A68">
        <w:rPr>
          <w:sz w:val="18"/>
          <w:szCs w:val="18"/>
          <w:lang w:val="en-US"/>
        </w:rPr>
        <w:t>Lovbemærkninger</w:t>
      </w:r>
      <w:proofErr w:type="spellEnd"/>
      <w:proofErr w:type="gramStart"/>
      <w:r w:rsidRPr="00DA7A68">
        <w:rPr>
          <w:sz w:val="18"/>
          <w:szCs w:val="18"/>
          <w:lang w:val="en-US"/>
        </w:rPr>
        <w:t>: ”</w:t>
      </w:r>
      <w:proofErr w:type="gramEnd"/>
      <w:r w:rsidRPr="00DA7A68">
        <w:rPr>
          <w:sz w:val="18"/>
          <w:szCs w:val="18"/>
          <w:lang w:val="en-US"/>
        </w:rPr>
        <w:t>…</w:t>
      </w:r>
      <w:proofErr w:type="spellStart"/>
      <w:r w:rsidRPr="00DA7A68">
        <w:rPr>
          <w:sz w:val="18"/>
          <w:szCs w:val="18"/>
          <w:lang w:val="en-US"/>
        </w:rPr>
        <w:t>Henset</w:t>
      </w:r>
      <w:proofErr w:type="spellEnd"/>
      <w:r w:rsidRPr="00DA7A68">
        <w:rPr>
          <w:sz w:val="18"/>
          <w:szCs w:val="18"/>
          <w:lang w:val="en-US"/>
        </w:rPr>
        <w:t xml:space="preserve"> </w:t>
      </w:r>
      <w:proofErr w:type="spellStart"/>
      <w:r w:rsidRPr="00DA7A68">
        <w:rPr>
          <w:sz w:val="18"/>
          <w:szCs w:val="18"/>
          <w:lang w:val="en-US"/>
        </w:rPr>
        <w:t>hertil</w:t>
      </w:r>
      <w:proofErr w:type="spellEnd"/>
      <w:r w:rsidRPr="00DA7A68">
        <w:rPr>
          <w:sz w:val="18"/>
          <w:szCs w:val="18"/>
          <w:lang w:val="en-US"/>
        </w:rPr>
        <w:t xml:space="preserve"> </w:t>
      </w:r>
      <w:proofErr w:type="spellStart"/>
      <w:r w:rsidRPr="00DA7A68">
        <w:rPr>
          <w:sz w:val="18"/>
          <w:szCs w:val="18"/>
          <w:lang w:val="en-US"/>
        </w:rPr>
        <w:t>og</w:t>
      </w:r>
      <w:proofErr w:type="spellEnd"/>
      <w:r w:rsidRPr="00DA7A68">
        <w:rPr>
          <w:sz w:val="18"/>
          <w:szCs w:val="18"/>
          <w:lang w:val="en-US"/>
        </w:rPr>
        <w:t xml:space="preserve"> da EMRK </w:t>
      </w:r>
      <w:proofErr w:type="spellStart"/>
      <w:r w:rsidRPr="00DA7A68">
        <w:rPr>
          <w:sz w:val="18"/>
          <w:szCs w:val="18"/>
          <w:lang w:val="en-US"/>
        </w:rPr>
        <w:t>artikel</w:t>
      </w:r>
      <w:proofErr w:type="spellEnd"/>
      <w:r w:rsidRPr="00DA7A68">
        <w:rPr>
          <w:sz w:val="18"/>
          <w:szCs w:val="18"/>
          <w:lang w:val="en-US"/>
        </w:rPr>
        <w:t xml:space="preserve"> 8 </w:t>
      </w:r>
      <w:proofErr w:type="spellStart"/>
      <w:r w:rsidRPr="00DA7A68">
        <w:rPr>
          <w:sz w:val="18"/>
          <w:szCs w:val="18"/>
          <w:lang w:val="en-US"/>
        </w:rPr>
        <w:t>i</w:t>
      </w:r>
      <w:proofErr w:type="spellEnd"/>
      <w:r w:rsidRPr="00DA7A68">
        <w:rPr>
          <w:sz w:val="18"/>
          <w:szCs w:val="18"/>
          <w:lang w:val="en-US"/>
        </w:rPr>
        <w:t xml:space="preserve"> </w:t>
      </w:r>
      <w:proofErr w:type="spellStart"/>
      <w:r w:rsidRPr="00DA7A68">
        <w:rPr>
          <w:sz w:val="18"/>
          <w:szCs w:val="18"/>
          <w:lang w:val="en-US"/>
        </w:rPr>
        <w:t>alle</w:t>
      </w:r>
      <w:proofErr w:type="spellEnd"/>
      <w:r w:rsidRPr="00DA7A68">
        <w:rPr>
          <w:sz w:val="18"/>
          <w:szCs w:val="18"/>
          <w:lang w:val="en-US"/>
        </w:rPr>
        <w:t xml:space="preserve"> </w:t>
      </w:r>
      <w:proofErr w:type="spellStart"/>
      <w:r w:rsidRPr="00DA7A68">
        <w:rPr>
          <w:sz w:val="18"/>
          <w:szCs w:val="18"/>
          <w:lang w:val="en-US"/>
        </w:rPr>
        <w:t>tilfælde</w:t>
      </w:r>
      <w:proofErr w:type="spellEnd"/>
      <w:r w:rsidRPr="00DA7A68">
        <w:rPr>
          <w:sz w:val="18"/>
          <w:szCs w:val="18"/>
          <w:lang w:val="en-US"/>
        </w:rPr>
        <w:t xml:space="preserve"> </w:t>
      </w:r>
      <w:proofErr w:type="spellStart"/>
      <w:r w:rsidRPr="00DA7A68">
        <w:rPr>
          <w:sz w:val="18"/>
          <w:szCs w:val="18"/>
          <w:lang w:val="en-US"/>
        </w:rPr>
        <w:t>indebærer</w:t>
      </w:r>
      <w:proofErr w:type="spellEnd"/>
      <w:r w:rsidRPr="00DA7A68">
        <w:rPr>
          <w:sz w:val="18"/>
          <w:szCs w:val="18"/>
          <w:lang w:val="en-US"/>
        </w:rPr>
        <w:t xml:space="preserve"> </w:t>
      </w:r>
      <w:r w:rsidRPr="00DA7A68">
        <w:rPr>
          <w:sz w:val="18"/>
          <w:szCs w:val="18"/>
        </w:rPr>
        <w:t>en afvejning, er der en vis risiko for, at Den Europæiske Menneskerettighedsdomstol i forbindelse med prøvelse af en konkret sag vil kunne nå frem til, at det ikke efter Den Europæiske Menneskerettighedskonventions artikel 8 er muligt generelt at stille krav om 3 års ophold</w:t>
      </w:r>
      <w:r w:rsidRPr="00DA7A68">
        <w:rPr>
          <w:sz w:val="18"/>
          <w:szCs w:val="18"/>
        </w:rPr>
        <w:t>.”</w:t>
      </w:r>
    </w:p>
  </w:footnote>
  <w:footnote w:id="124">
    <w:p w:rsidR="00910317" w:rsidRPr="00DA7A68" w:rsidRDefault="00910317" w:rsidP="004722B3">
      <w:pPr>
        <w:pStyle w:val="FootnoteText"/>
        <w:jc w:val="both"/>
        <w:rPr>
          <w:sz w:val="18"/>
          <w:szCs w:val="18"/>
        </w:rPr>
      </w:pPr>
      <w:r w:rsidRPr="00DA7A68">
        <w:rPr>
          <w:rStyle w:val="FootnoteReference"/>
          <w:sz w:val="18"/>
          <w:szCs w:val="18"/>
        </w:rPr>
        <w:footnoteRef/>
      </w:r>
      <w:r w:rsidRPr="00DA7A68">
        <w:rPr>
          <w:sz w:val="18"/>
          <w:szCs w:val="18"/>
        </w:rPr>
        <w:t xml:space="preserve"> </w:t>
      </w:r>
      <w:proofErr w:type="spellStart"/>
      <w:r w:rsidRPr="00DA7A68">
        <w:rPr>
          <w:sz w:val="18"/>
          <w:szCs w:val="18"/>
        </w:rPr>
        <w:t>Concluding</w:t>
      </w:r>
      <w:proofErr w:type="spellEnd"/>
      <w:r w:rsidRPr="00DA7A68">
        <w:rPr>
          <w:sz w:val="18"/>
          <w:szCs w:val="18"/>
        </w:rPr>
        <w:t xml:space="preserve"> Observations (2014), </w:t>
      </w:r>
      <w:proofErr w:type="spellStart"/>
      <w:r w:rsidRPr="00DA7A68">
        <w:rPr>
          <w:sz w:val="18"/>
          <w:szCs w:val="18"/>
        </w:rPr>
        <w:t>para</w:t>
      </w:r>
      <w:proofErr w:type="spellEnd"/>
      <w:r w:rsidRPr="00DA7A68">
        <w:rPr>
          <w:sz w:val="18"/>
          <w:szCs w:val="18"/>
        </w:rPr>
        <w:t xml:space="preserve"> 32-33 and 60-61.</w:t>
      </w:r>
    </w:p>
  </w:footnote>
  <w:footnote w:id="125">
    <w:p w:rsidR="00910317" w:rsidRPr="00DA7A68" w:rsidRDefault="00910317" w:rsidP="004722B3">
      <w:pPr>
        <w:autoSpaceDE w:val="0"/>
        <w:autoSpaceDN w:val="0"/>
        <w:adjustRightInd w:val="0"/>
        <w:spacing w:after="0" w:line="240" w:lineRule="auto"/>
        <w:jc w:val="both"/>
        <w:rPr>
          <w:sz w:val="18"/>
          <w:szCs w:val="18"/>
        </w:rPr>
      </w:pPr>
      <w:r w:rsidRPr="00DA7A68">
        <w:rPr>
          <w:rStyle w:val="FootnoteReference"/>
          <w:sz w:val="18"/>
          <w:szCs w:val="18"/>
        </w:rPr>
        <w:footnoteRef/>
      </w:r>
      <w:r w:rsidRPr="00DA7A68">
        <w:rPr>
          <w:sz w:val="18"/>
          <w:szCs w:val="18"/>
        </w:rPr>
        <w:t xml:space="preserve"> Ib, </w:t>
      </w:r>
      <w:proofErr w:type="spellStart"/>
      <w:r w:rsidRPr="00DA7A68">
        <w:rPr>
          <w:sz w:val="18"/>
          <w:szCs w:val="18"/>
        </w:rPr>
        <w:t>para</w:t>
      </w:r>
      <w:proofErr w:type="spellEnd"/>
      <w:r w:rsidRPr="00DA7A68">
        <w:rPr>
          <w:sz w:val="18"/>
          <w:szCs w:val="18"/>
        </w:rPr>
        <w:t xml:space="preserve"> 14-17.</w:t>
      </w:r>
    </w:p>
  </w:footnote>
  <w:footnote w:id="126">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It is also worth noting that Denmark has still not ratified Protocol No. 12 of the ECHR.</w:t>
      </w:r>
    </w:p>
  </w:footnote>
  <w:footnote w:id="127">
    <w:p w:rsidR="00910317" w:rsidRPr="00DA7A68" w:rsidRDefault="00910317" w:rsidP="004722B3">
      <w:pPr>
        <w:pStyle w:val="FootnoteText"/>
        <w:jc w:val="both"/>
        <w:rPr>
          <w:sz w:val="18"/>
          <w:szCs w:val="18"/>
          <w:lang w:val="en-US"/>
        </w:rPr>
      </w:pPr>
      <w:r w:rsidRPr="00DA7A68">
        <w:rPr>
          <w:rStyle w:val="FootnoteReference"/>
          <w:sz w:val="18"/>
          <w:szCs w:val="18"/>
        </w:rPr>
        <w:footnoteRef/>
      </w:r>
      <w:r w:rsidRPr="00DA7A68">
        <w:rPr>
          <w:sz w:val="18"/>
          <w:szCs w:val="18"/>
          <w:lang w:val="en-US"/>
        </w:rPr>
        <w:t xml:space="preserve"> This is done on the basis of EU regulation, i.e., Council directive </w:t>
      </w:r>
      <w:hyperlink r:id="rId19" w:history="1">
        <w:r w:rsidRPr="00DA7A68">
          <w:rPr>
            <w:rStyle w:val="Hyperlink"/>
            <w:rFonts w:cs="Arial"/>
            <w:color w:val="auto"/>
            <w:sz w:val="18"/>
            <w:szCs w:val="18"/>
            <w:u w:val="none"/>
            <w:bdr w:val="none" w:sz="0" w:space="0" w:color="auto" w:frame="1"/>
            <w:shd w:val="clear" w:color="auto" w:fill="FFFFFF"/>
            <w:lang w:val="en-US"/>
          </w:rPr>
          <w:t>2000/78/EC</w:t>
        </w:r>
      </w:hyperlink>
      <w:r w:rsidRPr="00DA7A68">
        <w:rPr>
          <w:rStyle w:val="apple-converted-space"/>
          <w:rFonts w:cs="Arial"/>
          <w:sz w:val="18"/>
          <w:szCs w:val="18"/>
          <w:shd w:val="clear" w:color="auto" w:fill="FFFFFF"/>
          <w:lang w:val="en-US"/>
        </w:rPr>
        <w:t> </w:t>
      </w:r>
      <w:r w:rsidRPr="00DA7A68">
        <w:rPr>
          <w:rFonts w:cs="Arial"/>
          <w:sz w:val="18"/>
          <w:szCs w:val="18"/>
          <w:shd w:val="clear" w:color="auto" w:fill="FFFFFF"/>
          <w:lang w:val="en-US"/>
        </w:rPr>
        <w:t xml:space="preserve">of 27 November 2000 that is </w:t>
      </w:r>
      <w:r w:rsidRPr="00DA7A68">
        <w:rPr>
          <w:sz w:val="18"/>
          <w:szCs w:val="18"/>
          <w:lang w:val="en-US"/>
        </w:rPr>
        <w:t xml:space="preserve">available at  </w:t>
      </w:r>
      <w:hyperlink r:id="rId20" w:history="1">
        <w:r w:rsidRPr="00DA7A68">
          <w:rPr>
            <w:rStyle w:val="Hyperlink"/>
            <w:color w:val="auto"/>
            <w:sz w:val="18"/>
            <w:szCs w:val="18"/>
            <w:u w:val="none"/>
            <w:lang w:val="en-US"/>
          </w:rPr>
          <w:t>http://eur-lex.europa.eu/legal-content/EN/TXT/?uri=URISERV:c10823</w:t>
        </w:r>
      </w:hyperlink>
      <w:r w:rsidRPr="00DA7A68">
        <w:rPr>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313"/>
    <w:multiLevelType w:val="hybridMultilevel"/>
    <w:tmpl w:val="4EAA428E"/>
    <w:lvl w:ilvl="0" w:tplc="4952497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296DFD"/>
    <w:multiLevelType w:val="hybridMultilevel"/>
    <w:tmpl w:val="759A23EA"/>
    <w:lvl w:ilvl="0" w:tplc="25C8BE56">
      <w:start w:val="1"/>
      <w:numFmt w:val="upperLetter"/>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50A6ED5"/>
    <w:multiLevelType w:val="hybridMultilevel"/>
    <w:tmpl w:val="60E6E3BE"/>
    <w:lvl w:ilvl="0" w:tplc="067E66E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5B0037"/>
    <w:multiLevelType w:val="hybridMultilevel"/>
    <w:tmpl w:val="BD62D3F2"/>
    <w:lvl w:ilvl="0" w:tplc="7E10C7E4">
      <w:start w:val="10"/>
      <w:numFmt w:val="decimal"/>
      <w:lvlText w:val="%1."/>
      <w:lvlJc w:val="left"/>
      <w:pPr>
        <w:ind w:left="1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E05B36">
      <w:start w:val="1"/>
      <w:numFmt w:val="lowerLetter"/>
      <w:lvlText w:val="(%2)"/>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109058">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B61504">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B22AE0">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92ADC6">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ECB920">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FA77DA">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B82088">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BE550A"/>
    <w:multiLevelType w:val="hybridMultilevel"/>
    <w:tmpl w:val="770EE972"/>
    <w:lvl w:ilvl="0" w:tplc="9AE6DEF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DB631D6"/>
    <w:multiLevelType w:val="hybridMultilevel"/>
    <w:tmpl w:val="5EDED016"/>
    <w:lvl w:ilvl="0" w:tplc="58C88DB6">
      <w:start w:val="1"/>
      <w:numFmt w:val="lowerLetter"/>
      <w:lvlText w:val="(%1)"/>
      <w:lvlJc w:val="left"/>
      <w:pPr>
        <w:ind w:left="720" w:hanging="360"/>
      </w:pPr>
      <w:rPr>
        <w:rFonts w:asciiTheme="minorHAnsi" w:eastAsia="Malgun Gothic"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6B711B6"/>
    <w:multiLevelType w:val="hybridMultilevel"/>
    <w:tmpl w:val="E2EC3D8C"/>
    <w:lvl w:ilvl="0" w:tplc="7DA24C1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1B729D"/>
    <w:multiLevelType w:val="hybridMultilevel"/>
    <w:tmpl w:val="2E62B3F4"/>
    <w:lvl w:ilvl="0" w:tplc="AAF6359C">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8" w15:restartNumberingAfterBreak="0">
    <w:nsid w:val="1E211833"/>
    <w:multiLevelType w:val="hybridMultilevel"/>
    <w:tmpl w:val="EE40AC7A"/>
    <w:lvl w:ilvl="0" w:tplc="81528FD2">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128216B"/>
    <w:multiLevelType w:val="hybridMultilevel"/>
    <w:tmpl w:val="158AB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1C77A9"/>
    <w:multiLevelType w:val="hybridMultilevel"/>
    <w:tmpl w:val="3D72CFD0"/>
    <w:lvl w:ilvl="0" w:tplc="AEDEE6EA">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B6A394E"/>
    <w:multiLevelType w:val="hybridMultilevel"/>
    <w:tmpl w:val="2DA8D6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DD632EF"/>
    <w:multiLevelType w:val="hybridMultilevel"/>
    <w:tmpl w:val="53C29528"/>
    <w:lvl w:ilvl="0" w:tplc="9D64A02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EFC3CBB"/>
    <w:multiLevelType w:val="hybridMultilevel"/>
    <w:tmpl w:val="1CAA24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1F41DD0"/>
    <w:multiLevelType w:val="hybridMultilevel"/>
    <w:tmpl w:val="AD3665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25C3E4E"/>
    <w:multiLevelType w:val="hybridMultilevel"/>
    <w:tmpl w:val="1A28D014"/>
    <w:lvl w:ilvl="0" w:tplc="4C7ECFEC">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7DF2858"/>
    <w:multiLevelType w:val="hybridMultilevel"/>
    <w:tmpl w:val="7DF6EDF8"/>
    <w:lvl w:ilvl="0" w:tplc="575A8A7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CC51C03"/>
    <w:multiLevelType w:val="hybridMultilevel"/>
    <w:tmpl w:val="A61A9E2A"/>
    <w:lvl w:ilvl="0" w:tplc="46A6A1F4">
      <w:start w:val="1"/>
      <w:numFmt w:val="bullet"/>
      <w:lvlText w:val=""/>
      <w:lvlJc w:val="left"/>
      <w:pPr>
        <w:ind w:left="720" w:hanging="360"/>
      </w:pPr>
      <w:rPr>
        <w:rFonts w:ascii="Symbol" w:eastAsia="Cambria"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8C676F"/>
    <w:multiLevelType w:val="hybridMultilevel"/>
    <w:tmpl w:val="BA0832DA"/>
    <w:lvl w:ilvl="0" w:tplc="964670EE">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E2E3339"/>
    <w:multiLevelType w:val="hybridMultilevel"/>
    <w:tmpl w:val="2F78718E"/>
    <w:lvl w:ilvl="0" w:tplc="F1EC8A58">
      <w:start w:val="10"/>
      <w:numFmt w:val="decimal"/>
      <w:lvlText w:val="%1."/>
      <w:lvlJc w:val="left"/>
      <w:pPr>
        <w:ind w:left="1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BC80BC">
      <w:start w:val="1"/>
      <w:numFmt w:val="lowerLetter"/>
      <w:lvlText w:val="(%2)"/>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5CC46C">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9E17CE">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58C37A">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A628FE">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98753A">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12FBA6">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2846FE">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E697D27"/>
    <w:multiLevelType w:val="hybridMultilevel"/>
    <w:tmpl w:val="A302EEF2"/>
    <w:lvl w:ilvl="0" w:tplc="6CB032C8">
      <w:start w:val="1"/>
      <w:numFmt w:val="bullet"/>
      <w:lvlText w:val=""/>
      <w:lvlJc w:val="left"/>
      <w:pPr>
        <w:ind w:left="1664" w:hanging="360"/>
      </w:pPr>
      <w:rPr>
        <w:rFonts w:ascii="Symbol" w:eastAsiaTheme="minorHAnsi" w:hAnsi="Symbol" w:cstheme="minorBid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1" w15:restartNumberingAfterBreak="0">
    <w:nsid w:val="40152CC9"/>
    <w:multiLevelType w:val="hybridMultilevel"/>
    <w:tmpl w:val="927E716C"/>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22" w15:restartNumberingAfterBreak="0">
    <w:nsid w:val="4477575C"/>
    <w:multiLevelType w:val="hybridMultilevel"/>
    <w:tmpl w:val="953C92D2"/>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70300D3"/>
    <w:multiLevelType w:val="hybridMultilevel"/>
    <w:tmpl w:val="69B82122"/>
    <w:lvl w:ilvl="0" w:tplc="25C8BE56">
      <w:start w:val="1"/>
      <w:numFmt w:val="upperLetter"/>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90A58BC"/>
    <w:multiLevelType w:val="hybridMultilevel"/>
    <w:tmpl w:val="730ACB98"/>
    <w:lvl w:ilvl="0" w:tplc="7968EAA6">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D057D26"/>
    <w:multiLevelType w:val="hybridMultilevel"/>
    <w:tmpl w:val="68D4E952"/>
    <w:lvl w:ilvl="0" w:tplc="8806D69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F314899"/>
    <w:multiLevelType w:val="hybridMultilevel"/>
    <w:tmpl w:val="CA34C9E0"/>
    <w:lvl w:ilvl="0" w:tplc="2AF0C418">
      <w:start w:val="1"/>
      <w:numFmt w:val="upperLetter"/>
      <w:lvlText w:val="%1)"/>
      <w:lvlJc w:val="left"/>
      <w:pPr>
        <w:ind w:left="720" w:hanging="360"/>
      </w:pPr>
      <w:rPr>
        <w:rFonts w:cstheme="minorBidi"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0FA4188"/>
    <w:multiLevelType w:val="hybridMultilevel"/>
    <w:tmpl w:val="BCB874F8"/>
    <w:lvl w:ilvl="0" w:tplc="429CEA1C">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2AD6D2C"/>
    <w:multiLevelType w:val="hybridMultilevel"/>
    <w:tmpl w:val="03426D8C"/>
    <w:lvl w:ilvl="0" w:tplc="B95C8724">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34F3A90"/>
    <w:multiLevelType w:val="hybridMultilevel"/>
    <w:tmpl w:val="918412F8"/>
    <w:lvl w:ilvl="0" w:tplc="64F8D936">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6C57F6A"/>
    <w:multiLevelType w:val="hybridMultilevel"/>
    <w:tmpl w:val="A5DA3CF0"/>
    <w:lvl w:ilvl="0" w:tplc="4C7ECFEC">
      <w:start w:val="1"/>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4153F19"/>
    <w:multiLevelType w:val="hybridMultilevel"/>
    <w:tmpl w:val="CFEAFE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4723D68"/>
    <w:multiLevelType w:val="hybridMultilevel"/>
    <w:tmpl w:val="B80ACDB8"/>
    <w:lvl w:ilvl="0" w:tplc="23C812CE">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48B6C7F"/>
    <w:multiLevelType w:val="hybridMultilevel"/>
    <w:tmpl w:val="2F78718E"/>
    <w:lvl w:ilvl="0" w:tplc="F1EC8A58">
      <w:start w:val="10"/>
      <w:numFmt w:val="decimal"/>
      <w:lvlText w:val="%1."/>
      <w:lvlJc w:val="left"/>
      <w:pPr>
        <w:ind w:left="1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BC80BC">
      <w:start w:val="1"/>
      <w:numFmt w:val="lowerLetter"/>
      <w:lvlText w:val="(%2)"/>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5CC46C">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9E17CE">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58C37A">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A628FE">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98753A">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12FBA6">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2846FE">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4E6129C"/>
    <w:multiLevelType w:val="hybridMultilevel"/>
    <w:tmpl w:val="D7CC346C"/>
    <w:lvl w:ilvl="0" w:tplc="BF5EF8B4">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56F1673"/>
    <w:multiLevelType w:val="hybridMultilevel"/>
    <w:tmpl w:val="5B7E6D96"/>
    <w:lvl w:ilvl="0" w:tplc="909892E6">
      <w:start w:val="1"/>
      <w:numFmt w:val="decimal"/>
      <w:lvlText w:val="%1."/>
      <w:lvlJc w:val="left"/>
      <w:pPr>
        <w:ind w:left="1080" w:hanging="360"/>
      </w:pPr>
      <w:rPr>
        <w:rFonts w:asciiTheme="minorHAnsi" w:eastAsiaTheme="minorHAnsi" w:hAnsiTheme="minorHAnsi" w:cstheme="majorBidi"/>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6" w15:restartNumberingAfterBreak="0">
    <w:nsid w:val="667314B6"/>
    <w:multiLevelType w:val="hybridMultilevel"/>
    <w:tmpl w:val="F7F29FCA"/>
    <w:lvl w:ilvl="0" w:tplc="9904BCAA">
      <w:start w:val="1"/>
      <w:numFmt w:val="decimal"/>
      <w:lvlText w:val="%1."/>
      <w:lvlJc w:val="left"/>
      <w:pPr>
        <w:ind w:left="720" w:hanging="360"/>
      </w:pPr>
      <w:rPr>
        <w:rFonts w:asciiTheme="minorHAnsi" w:eastAsiaTheme="minorHAnsi" w:hAnsiTheme="minorHAnsi" w:cstheme="maj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8FB37D7"/>
    <w:multiLevelType w:val="hybridMultilevel"/>
    <w:tmpl w:val="953C92D2"/>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9791F2C"/>
    <w:multiLevelType w:val="hybridMultilevel"/>
    <w:tmpl w:val="EC32E9AA"/>
    <w:lvl w:ilvl="0" w:tplc="2ABE3F90">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A551439"/>
    <w:multiLevelType w:val="hybridMultilevel"/>
    <w:tmpl w:val="447E04F2"/>
    <w:lvl w:ilvl="0" w:tplc="154C820A">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0" w15:restartNumberingAfterBreak="0">
    <w:nsid w:val="6B3364E2"/>
    <w:multiLevelType w:val="hybridMultilevel"/>
    <w:tmpl w:val="6AF47B16"/>
    <w:lvl w:ilvl="0" w:tplc="8B96873C">
      <w:numFmt w:val="bullet"/>
      <w:lvlText w:val=""/>
      <w:lvlJc w:val="left"/>
      <w:pPr>
        <w:ind w:left="720" w:hanging="360"/>
      </w:pPr>
      <w:rPr>
        <w:rFonts w:ascii="Symbol" w:eastAsiaTheme="minorHAnsi" w:hAnsi="Symbol"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EDF36B2"/>
    <w:multiLevelType w:val="hybridMultilevel"/>
    <w:tmpl w:val="730ACB98"/>
    <w:lvl w:ilvl="0" w:tplc="7968EAA6">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21736F0"/>
    <w:multiLevelType w:val="hybridMultilevel"/>
    <w:tmpl w:val="B7745526"/>
    <w:lvl w:ilvl="0" w:tplc="86480C36">
      <w:start w:val="4"/>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76E087E"/>
    <w:multiLevelType w:val="hybridMultilevel"/>
    <w:tmpl w:val="F264A63E"/>
    <w:lvl w:ilvl="0" w:tplc="04060013">
      <w:start w:val="1"/>
      <w:numFmt w:val="upperRoman"/>
      <w:lvlText w:val="%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BA710DD"/>
    <w:multiLevelType w:val="hybridMultilevel"/>
    <w:tmpl w:val="4CACE3E0"/>
    <w:lvl w:ilvl="0" w:tplc="7EFAD98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22"/>
  </w:num>
  <w:num w:numId="3">
    <w:abstractNumId w:val="20"/>
  </w:num>
  <w:num w:numId="4">
    <w:abstractNumId w:val="37"/>
  </w:num>
  <w:num w:numId="5">
    <w:abstractNumId w:val="7"/>
  </w:num>
  <w:num w:numId="6">
    <w:abstractNumId w:val="17"/>
  </w:num>
  <w:num w:numId="7">
    <w:abstractNumId w:val="21"/>
  </w:num>
  <w:num w:numId="8">
    <w:abstractNumId w:val="31"/>
  </w:num>
  <w:num w:numId="9">
    <w:abstractNumId w:val="4"/>
  </w:num>
  <w:num w:numId="10">
    <w:abstractNumId w:val="42"/>
  </w:num>
  <w:num w:numId="11">
    <w:abstractNumId w:val="1"/>
  </w:num>
  <w:num w:numId="12">
    <w:abstractNumId w:val="3"/>
  </w:num>
  <w:num w:numId="13">
    <w:abstractNumId w:val="13"/>
  </w:num>
  <w:num w:numId="14">
    <w:abstractNumId w:val="39"/>
  </w:num>
  <w:num w:numId="15">
    <w:abstractNumId w:val="44"/>
  </w:num>
  <w:num w:numId="16">
    <w:abstractNumId w:val="16"/>
  </w:num>
  <w:num w:numId="17">
    <w:abstractNumId w:val="30"/>
  </w:num>
  <w:num w:numId="18">
    <w:abstractNumId w:val="41"/>
  </w:num>
  <w:num w:numId="19">
    <w:abstractNumId w:val="5"/>
  </w:num>
  <w:num w:numId="20">
    <w:abstractNumId w:val="24"/>
  </w:num>
  <w:num w:numId="21">
    <w:abstractNumId w:val="27"/>
  </w:num>
  <w:num w:numId="22">
    <w:abstractNumId w:val="26"/>
  </w:num>
  <w:num w:numId="23">
    <w:abstractNumId w:val="35"/>
  </w:num>
  <w:num w:numId="24">
    <w:abstractNumId w:val="14"/>
  </w:num>
  <w:num w:numId="25">
    <w:abstractNumId w:val="36"/>
  </w:num>
  <w:num w:numId="26">
    <w:abstractNumId w:val="32"/>
  </w:num>
  <w:num w:numId="27">
    <w:abstractNumId w:val="12"/>
  </w:num>
  <w:num w:numId="28">
    <w:abstractNumId w:val="11"/>
  </w:num>
  <w:num w:numId="29">
    <w:abstractNumId w:val="38"/>
  </w:num>
  <w:num w:numId="30">
    <w:abstractNumId w:val="23"/>
  </w:num>
  <w:num w:numId="31">
    <w:abstractNumId w:val="2"/>
  </w:num>
  <w:num w:numId="32">
    <w:abstractNumId w:val="9"/>
  </w:num>
  <w:num w:numId="33">
    <w:abstractNumId w:val="0"/>
  </w:num>
  <w:num w:numId="34">
    <w:abstractNumId w:val="40"/>
  </w:num>
  <w:num w:numId="35">
    <w:abstractNumId w:val="28"/>
  </w:num>
  <w:num w:numId="36">
    <w:abstractNumId w:val="33"/>
  </w:num>
  <w:num w:numId="37">
    <w:abstractNumId w:val="15"/>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34"/>
  </w:num>
  <w:num w:numId="41">
    <w:abstractNumId w:val="25"/>
  </w:num>
  <w:num w:numId="42">
    <w:abstractNumId w:val="18"/>
  </w:num>
  <w:num w:numId="43">
    <w:abstractNumId w:val="10"/>
  </w:num>
  <w:num w:numId="44">
    <w:abstractNumId w:val="2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76"/>
    <w:rsid w:val="00004313"/>
    <w:rsid w:val="00004A2B"/>
    <w:rsid w:val="00004AE6"/>
    <w:rsid w:val="000054F7"/>
    <w:rsid w:val="000066A3"/>
    <w:rsid w:val="000079C9"/>
    <w:rsid w:val="00011276"/>
    <w:rsid w:val="00015119"/>
    <w:rsid w:val="00016C3D"/>
    <w:rsid w:val="00020D9C"/>
    <w:rsid w:val="00030F4B"/>
    <w:rsid w:val="00035D45"/>
    <w:rsid w:val="00036230"/>
    <w:rsid w:val="000424BD"/>
    <w:rsid w:val="00050AA7"/>
    <w:rsid w:val="00050BB3"/>
    <w:rsid w:val="0005419D"/>
    <w:rsid w:val="00057168"/>
    <w:rsid w:val="00063B66"/>
    <w:rsid w:val="000726AB"/>
    <w:rsid w:val="00073490"/>
    <w:rsid w:val="00075AFC"/>
    <w:rsid w:val="00080D1C"/>
    <w:rsid w:val="00081326"/>
    <w:rsid w:val="00082293"/>
    <w:rsid w:val="000822B1"/>
    <w:rsid w:val="00087A66"/>
    <w:rsid w:val="000B6F85"/>
    <w:rsid w:val="000C55F5"/>
    <w:rsid w:val="000D20E3"/>
    <w:rsid w:val="000D2982"/>
    <w:rsid w:val="000D5EA1"/>
    <w:rsid w:val="000E2CCC"/>
    <w:rsid w:val="000E62C1"/>
    <w:rsid w:val="000F5D22"/>
    <w:rsid w:val="000F7583"/>
    <w:rsid w:val="001011F4"/>
    <w:rsid w:val="00105FF8"/>
    <w:rsid w:val="0011248E"/>
    <w:rsid w:val="00114A15"/>
    <w:rsid w:val="00114E8D"/>
    <w:rsid w:val="0011626E"/>
    <w:rsid w:val="00120B9D"/>
    <w:rsid w:val="001216C0"/>
    <w:rsid w:val="001220FD"/>
    <w:rsid w:val="00123978"/>
    <w:rsid w:val="0013141E"/>
    <w:rsid w:val="001354E5"/>
    <w:rsid w:val="00137DF7"/>
    <w:rsid w:val="00141BCC"/>
    <w:rsid w:val="0014380F"/>
    <w:rsid w:val="0014452E"/>
    <w:rsid w:val="00145F14"/>
    <w:rsid w:val="00154696"/>
    <w:rsid w:val="001657A0"/>
    <w:rsid w:val="00182996"/>
    <w:rsid w:val="001870B8"/>
    <w:rsid w:val="0019179C"/>
    <w:rsid w:val="00194ABB"/>
    <w:rsid w:val="00196D3F"/>
    <w:rsid w:val="001B0DDA"/>
    <w:rsid w:val="001B2541"/>
    <w:rsid w:val="001C1E82"/>
    <w:rsid w:val="001C3BF5"/>
    <w:rsid w:val="001C4188"/>
    <w:rsid w:val="001C45D4"/>
    <w:rsid w:val="001C7BEF"/>
    <w:rsid w:val="001D28FF"/>
    <w:rsid w:val="001E5232"/>
    <w:rsid w:val="001E5EAA"/>
    <w:rsid w:val="001E6049"/>
    <w:rsid w:val="001E756C"/>
    <w:rsid w:val="001F0F15"/>
    <w:rsid w:val="001F0FB6"/>
    <w:rsid w:val="001F2CA0"/>
    <w:rsid w:val="002003E2"/>
    <w:rsid w:val="0020300D"/>
    <w:rsid w:val="0020566D"/>
    <w:rsid w:val="0020679E"/>
    <w:rsid w:val="0021002B"/>
    <w:rsid w:val="00211E5C"/>
    <w:rsid w:val="00211E96"/>
    <w:rsid w:val="00217285"/>
    <w:rsid w:val="0022650B"/>
    <w:rsid w:val="00233B21"/>
    <w:rsid w:val="00235FCC"/>
    <w:rsid w:val="002406E6"/>
    <w:rsid w:val="002479C6"/>
    <w:rsid w:val="002527ED"/>
    <w:rsid w:val="00263DB5"/>
    <w:rsid w:val="00276CF3"/>
    <w:rsid w:val="00281D3D"/>
    <w:rsid w:val="0028678F"/>
    <w:rsid w:val="00297058"/>
    <w:rsid w:val="002979BE"/>
    <w:rsid w:val="002A013C"/>
    <w:rsid w:val="002A1403"/>
    <w:rsid w:val="002C3B1A"/>
    <w:rsid w:val="002C3F9D"/>
    <w:rsid w:val="002C41E1"/>
    <w:rsid w:val="002C614F"/>
    <w:rsid w:val="002D0043"/>
    <w:rsid w:val="002D02F3"/>
    <w:rsid w:val="002D6BF1"/>
    <w:rsid w:val="002F01C0"/>
    <w:rsid w:val="002F3A85"/>
    <w:rsid w:val="002F5E2E"/>
    <w:rsid w:val="0030074D"/>
    <w:rsid w:val="0030082A"/>
    <w:rsid w:val="00311036"/>
    <w:rsid w:val="003147E7"/>
    <w:rsid w:val="00316F60"/>
    <w:rsid w:val="00320263"/>
    <w:rsid w:val="00322EBE"/>
    <w:rsid w:val="00334780"/>
    <w:rsid w:val="00337310"/>
    <w:rsid w:val="0033735C"/>
    <w:rsid w:val="00344377"/>
    <w:rsid w:val="0035313B"/>
    <w:rsid w:val="00355BB8"/>
    <w:rsid w:val="00362753"/>
    <w:rsid w:val="0036474C"/>
    <w:rsid w:val="003669F6"/>
    <w:rsid w:val="00371711"/>
    <w:rsid w:val="003949D3"/>
    <w:rsid w:val="003951B3"/>
    <w:rsid w:val="003974BC"/>
    <w:rsid w:val="003A73EA"/>
    <w:rsid w:val="003A78DB"/>
    <w:rsid w:val="003B0799"/>
    <w:rsid w:val="003B2260"/>
    <w:rsid w:val="003B3D09"/>
    <w:rsid w:val="003C2300"/>
    <w:rsid w:val="003C63C0"/>
    <w:rsid w:val="003E0084"/>
    <w:rsid w:val="003E17A7"/>
    <w:rsid w:val="003E17B5"/>
    <w:rsid w:val="003E29AE"/>
    <w:rsid w:val="003E3D8A"/>
    <w:rsid w:val="003E447F"/>
    <w:rsid w:val="003F0346"/>
    <w:rsid w:val="003F56D2"/>
    <w:rsid w:val="004012C9"/>
    <w:rsid w:val="004056BB"/>
    <w:rsid w:val="004066DB"/>
    <w:rsid w:val="00421ABC"/>
    <w:rsid w:val="004331EE"/>
    <w:rsid w:val="004430CB"/>
    <w:rsid w:val="004500DE"/>
    <w:rsid w:val="0045104F"/>
    <w:rsid w:val="00451E9A"/>
    <w:rsid w:val="00455983"/>
    <w:rsid w:val="00460BAF"/>
    <w:rsid w:val="0046274B"/>
    <w:rsid w:val="004671C4"/>
    <w:rsid w:val="004722B3"/>
    <w:rsid w:val="00483BF4"/>
    <w:rsid w:val="00487900"/>
    <w:rsid w:val="0049251E"/>
    <w:rsid w:val="00495212"/>
    <w:rsid w:val="00496B97"/>
    <w:rsid w:val="004A56D6"/>
    <w:rsid w:val="004B2263"/>
    <w:rsid w:val="004B63EE"/>
    <w:rsid w:val="004C27AF"/>
    <w:rsid w:val="004D1FB1"/>
    <w:rsid w:val="004D270C"/>
    <w:rsid w:val="004E0F19"/>
    <w:rsid w:val="004E475A"/>
    <w:rsid w:val="004E48B4"/>
    <w:rsid w:val="004E49D6"/>
    <w:rsid w:val="004E4AF7"/>
    <w:rsid w:val="004F30D9"/>
    <w:rsid w:val="004F4DDB"/>
    <w:rsid w:val="004F6024"/>
    <w:rsid w:val="004F7ADD"/>
    <w:rsid w:val="00503088"/>
    <w:rsid w:val="0050642F"/>
    <w:rsid w:val="0051098D"/>
    <w:rsid w:val="00513403"/>
    <w:rsid w:val="005148BB"/>
    <w:rsid w:val="00515326"/>
    <w:rsid w:val="00515C05"/>
    <w:rsid w:val="005226CC"/>
    <w:rsid w:val="00523FEC"/>
    <w:rsid w:val="005277DF"/>
    <w:rsid w:val="00533944"/>
    <w:rsid w:val="005352C2"/>
    <w:rsid w:val="005359BE"/>
    <w:rsid w:val="00540062"/>
    <w:rsid w:val="0054012F"/>
    <w:rsid w:val="00560B6C"/>
    <w:rsid w:val="00563201"/>
    <w:rsid w:val="005718DB"/>
    <w:rsid w:val="005735DD"/>
    <w:rsid w:val="00573AE0"/>
    <w:rsid w:val="00575FFA"/>
    <w:rsid w:val="00577909"/>
    <w:rsid w:val="00580724"/>
    <w:rsid w:val="005813E7"/>
    <w:rsid w:val="00584E26"/>
    <w:rsid w:val="00590D6E"/>
    <w:rsid w:val="005969CC"/>
    <w:rsid w:val="005A767A"/>
    <w:rsid w:val="005B1A90"/>
    <w:rsid w:val="005B33F0"/>
    <w:rsid w:val="005C100D"/>
    <w:rsid w:val="005C5C4B"/>
    <w:rsid w:val="005C6FFD"/>
    <w:rsid w:val="005D2A3E"/>
    <w:rsid w:val="005E2192"/>
    <w:rsid w:val="005E22DC"/>
    <w:rsid w:val="005E4516"/>
    <w:rsid w:val="005E5F52"/>
    <w:rsid w:val="005F0045"/>
    <w:rsid w:val="005F7012"/>
    <w:rsid w:val="0060698C"/>
    <w:rsid w:val="00612E48"/>
    <w:rsid w:val="00616D54"/>
    <w:rsid w:val="00625958"/>
    <w:rsid w:val="00632A9A"/>
    <w:rsid w:val="00633F3E"/>
    <w:rsid w:val="00641938"/>
    <w:rsid w:val="006448FE"/>
    <w:rsid w:val="006474A4"/>
    <w:rsid w:val="00650779"/>
    <w:rsid w:val="006553AA"/>
    <w:rsid w:val="006620DD"/>
    <w:rsid w:val="00663074"/>
    <w:rsid w:val="00666E13"/>
    <w:rsid w:val="00670121"/>
    <w:rsid w:val="006720AE"/>
    <w:rsid w:val="006720E2"/>
    <w:rsid w:val="0067548D"/>
    <w:rsid w:val="00677872"/>
    <w:rsid w:val="006805CC"/>
    <w:rsid w:val="006820D6"/>
    <w:rsid w:val="00683988"/>
    <w:rsid w:val="00685B0A"/>
    <w:rsid w:val="00687012"/>
    <w:rsid w:val="00690931"/>
    <w:rsid w:val="00690C6D"/>
    <w:rsid w:val="006A3174"/>
    <w:rsid w:val="006A4A5C"/>
    <w:rsid w:val="006A4B4F"/>
    <w:rsid w:val="006B3714"/>
    <w:rsid w:val="006B4424"/>
    <w:rsid w:val="006B7069"/>
    <w:rsid w:val="006C69FF"/>
    <w:rsid w:val="006D3B89"/>
    <w:rsid w:val="006D3FE5"/>
    <w:rsid w:val="006D4581"/>
    <w:rsid w:val="006F2A73"/>
    <w:rsid w:val="0070660C"/>
    <w:rsid w:val="00735ECB"/>
    <w:rsid w:val="00736A2D"/>
    <w:rsid w:val="00742BF4"/>
    <w:rsid w:val="0074440A"/>
    <w:rsid w:val="00744DDB"/>
    <w:rsid w:val="007501E9"/>
    <w:rsid w:val="00752448"/>
    <w:rsid w:val="00756C6B"/>
    <w:rsid w:val="00761820"/>
    <w:rsid w:val="00767F06"/>
    <w:rsid w:val="0077082D"/>
    <w:rsid w:val="00770AF5"/>
    <w:rsid w:val="007720C7"/>
    <w:rsid w:val="00780944"/>
    <w:rsid w:val="00797D57"/>
    <w:rsid w:val="007A4584"/>
    <w:rsid w:val="007C24D4"/>
    <w:rsid w:val="007D1192"/>
    <w:rsid w:val="007D4C58"/>
    <w:rsid w:val="007D5F64"/>
    <w:rsid w:val="007D639F"/>
    <w:rsid w:val="007D66C5"/>
    <w:rsid w:val="007E18DE"/>
    <w:rsid w:val="007E2115"/>
    <w:rsid w:val="007E2B97"/>
    <w:rsid w:val="007E381F"/>
    <w:rsid w:val="007E79C7"/>
    <w:rsid w:val="0080146A"/>
    <w:rsid w:val="00804274"/>
    <w:rsid w:val="00805EB5"/>
    <w:rsid w:val="008103ED"/>
    <w:rsid w:val="00812E6D"/>
    <w:rsid w:val="008251FB"/>
    <w:rsid w:val="00825CBA"/>
    <w:rsid w:val="008273E1"/>
    <w:rsid w:val="0082748E"/>
    <w:rsid w:val="00827FB7"/>
    <w:rsid w:val="0083188B"/>
    <w:rsid w:val="00832708"/>
    <w:rsid w:val="008331A9"/>
    <w:rsid w:val="00836A4F"/>
    <w:rsid w:val="008470FA"/>
    <w:rsid w:val="00850CDF"/>
    <w:rsid w:val="00851A06"/>
    <w:rsid w:val="00851E77"/>
    <w:rsid w:val="00854D56"/>
    <w:rsid w:val="00863082"/>
    <w:rsid w:val="00863F03"/>
    <w:rsid w:val="00864177"/>
    <w:rsid w:val="0086539A"/>
    <w:rsid w:val="0086727A"/>
    <w:rsid w:val="008673FE"/>
    <w:rsid w:val="00873141"/>
    <w:rsid w:val="0087458C"/>
    <w:rsid w:val="00874CAE"/>
    <w:rsid w:val="00874F2B"/>
    <w:rsid w:val="008764B9"/>
    <w:rsid w:val="00876F59"/>
    <w:rsid w:val="008773F8"/>
    <w:rsid w:val="008819C1"/>
    <w:rsid w:val="0088557E"/>
    <w:rsid w:val="00891F22"/>
    <w:rsid w:val="00896AC9"/>
    <w:rsid w:val="00896FF5"/>
    <w:rsid w:val="008A4137"/>
    <w:rsid w:val="008A6CFE"/>
    <w:rsid w:val="008B40A9"/>
    <w:rsid w:val="008B6823"/>
    <w:rsid w:val="008B6CF6"/>
    <w:rsid w:val="008C2782"/>
    <w:rsid w:val="008C6368"/>
    <w:rsid w:val="008C67E9"/>
    <w:rsid w:val="008C74E3"/>
    <w:rsid w:val="008D2620"/>
    <w:rsid w:val="008F0374"/>
    <w:rsid w:val="008F0C74"/>
    <w:rsid w:val="008F2B5B"/>
    <w:rsid w:val="008F3437"/>
    <w:rsid w:val="00910317"/>
    <w:rsid w:val="00910601"/>
    <w:rsid w:val="0091160B"/>
    <w:rsid w:val="00911804"/>
    <w:rsid w:val="00926647"/>
    <w:rsid w:val="00926C75"/>
    <w:rsid w:val="009314A7"/>
    <w:rsid w:val="00933225"/>
    <w:rsid w:val="009354F6"/>
    <w:rsid w:val="00937965"/>
    <w:rsid w:val="009527E6"/>
    <w:rsid w:val="00954EE3"/>
    <w:rsid w:val="00963D34"/>
    <w:rsid w:val="0097164E"/>
    <w:rsid w:val="00980340"/>
    <w:rsid w:val="00983DAC"/>
    <w:rsid w:val="009848BD"/>
    <w:rsid w:val="00985AED"/>
    <w:rsid w:val="00987613"/>
    <w:rsid w:val="00987A76"/>
    <w:rsid w:val="00995C3B"/>
    <w:rsid w:val="00995EF7"/>
    <w:rsid w:val="00996582"/>
    <w:rsid w:val="009A0296"/>
    <w:rsid w:val="009A05F6"/>
    <w:rsid w:val="009A7ABE"/>
    <w:rsid w:val="009B072F"/>
    <w:rsid w:val="009B43B0"/>
    <w:rsid w:val="009B5DED"/>
    <w:rsid w:val="009C022C"/>
    <w:rsid w:val="009C3DC5"/>
    <w:rsid w:val="009D3D73"/>
    <w:rsid w:val="009D54F6"/>
    <w:rsid w:val="009D6FC9"/>
    <w:rsid w:val="009D726D"/>
    <w:rsid w:val="009F1A33"/>
    <w:rsid w:val="009F402C"/>
    <w:rsid w:val="009F5D15"/>
    <w:rsid w:val="009F68A5"/>
    <w:rsid w:val="00A0580F"/>
    <w:rsid w:val="00A214E3"/>
    <w:rsid w:val="00A25074"/>
    <w:rsid w:val="00A26212"/>
    <w:rsid w:val="00A3269D"/>
    <w:rsid w:val="00A45121"/>
    <w:rsid w:val="00A7178C"/>
    <w:rsid w:val="00A71CF1"/>
    <w:rsid w:val="00A744D2"/>
    <w:rsid w:val="00A8101A"/>
    <w:rsid w:val="00A82298"/>
    <w:rsid w:val="00AA055F"/>
    <w:rsid w:val="00AA2BCE"/>
    <w:rsid w:val="00AB0282"/>
    <w:rsid w:val="00AB6BF9"/>
    <w:rsid w:val="00AB7210"/>
    <w:rsid w:val="00AB729B"/>
    <w:rsid w:val="00AC6076"/>
    <w:rsid w:val="00AD5204"/>
    <w:rsid w:val="00AE4F9D"/>
    <w:rsid w:val="00AF6422"/>
    <w:rsid w:val="00AF69D4"/>
    <w:rsid w:val="00B06CB9"/>
    <w:rsid w:val="00B111E6"/>
    <w:rsid w:val="00B127E4"/>
    <w:rsid w:val="00B143A9"/>
    <w:rsid w:val="00B222D9"/>
    <w:rsid w:val="00B24308"/>
    <w:rsid w:val="00B305B5"/>
    <w:rsid w:val="00B31034"/>
    <w:rsid w:val="00B3210D"/>
    <w:rsid w:val="00B34795"/>
    <w:rsid w:val="00B45AB1"/>
    <w:rsid w:val="00B52778"/>
    <w:rsid w:val="00B52BD0"/>
    <w:rsid w:val="00B54809"/>
    <w:rsid w:val="00B5620E"/>
    <w:rsid w:val="00B601AF"/>
    <w:rsid w:val="00B637A7"/>
    <w:rsid w:val="00B64853"/>
    <w:rsid w:val="00B666F4"/>
    <w:rsid w:val="00B7088F"/>
    <w:rsid w:val="00B7107A"/>
    <w:rsid w:val="00B72B68"/>
    <w:rsid w:val="00B7346D"/>
    <w:rsid w:val="00B73C71"/>
    <w:rsid w:val="00B80036"/>
    <w:rsid w:val="00BA2528"/>
    <w:rsid w:val="00BA5B70"/>
    <w:rsid w:val="00BA7DBC"/>
    <w:rsid w:val="00BA7FED"/>
    <w:rsid w:val="00BB02C5"/>
    <w:rsid w:val="00BB0A06"/>
    <w:rsid w:val="00BD074C"/>
    <w:rsid w:val="00BD0F27"/>
    <w:rsid w:val="00BD154D"/>
    <w:rsid w:val="00BD7665"/>
    <w:rsid w:val="00BE0673"/>
    <w:rsid w:val="00BE3D4C"/>
    <w:rsid w:val="00BF0A91"/>
    <w:rsid w:val="00BF6224"/>
    <w:rsid w:val="00BF7192"/>
    <w:rsid w:val="00C042E5"/>
    <w:rsid w:val="00C1350B"/>
    <w:rsid w:val="00C135FB"/>
    <w:rsid w:val="00C15375"/>
    <w:rsid w:val="00C20616"/>
    <w:rsid w:val="00C3428B"/>
    <w:rsid w:val="00C55E98"/>
    <w:rsid w:val="00C61C11"/>
    <w:rsid w:val="00C63F68"/>
    <w:rsid w:val="00C7189F"/>
    <w:rsid w:val="00C72813"/>
    <w:rsid w:val="00C740F1"/>
    <w:rsid w:val="00C75185"/>
    <w:rsid w:val="00C843FA"/>
    <w:rsid w:val="00C8489D"/>
    <w:rsid w:val="00C86B68"/>
    <w:rsid w:val="00C923B2"/>
    <w:rsid w:val="00C93B6F"/>
    <w:rsid w:val="00C94D5E"/>
    <w:rsid w:val="00C9687C"/>
    <w:rsid w:val="00CA0FED"/>
    <w:rsid w:val="00CA3FD0"/>
    <w:rsid w:val="00CB25D0"/>
    <w:rsid w:val="00CB79BD"/>
    <w:rsid w:val="00CC04AB"/>
    <w:rsid w:val="00CC3FBE"/>
    <w:rsid w:val="00CC7A7D"/>
    <w:rsid w:val="00CD088E"/>
    <w:rsid w:val="00CD4DA8"/>
    <w:rsid w:val="00CE328B"/>
    <w:rsid w:val="00CE49BE"/>
    <w:rsid w:val="00CE68ED"/>
    <w:rsid w:val="00D01594"/>
    <w:rsid w:val="00D06734"/>
    <w:rsid w:val="00D077DA"/>
    <w:rsid w:val="00D10D34"/>
    <w:rsid w:val="00D13F32"/>
    <w:rsid w:val="00D151F1"/>
    <w:rsid w:val="00D178BF"/>
    <w:rsid w:val="00D20222"/>
    <w:rsid w:val="00D234B4"/>
    <w:rsid w:val="00D304C8"/>
    <w:rsid w:val="00D320F6"/>
    <w:rsid w:val="00D515AC"/>
    <w:rsid w:val="00D56ACF"/>
    <w:rsid w:val="00D64B67"/>
    <w:rsid w:val="00D774F3"/>
    <w:rsid w:val="00D85808"/>
    <w:rsid w:val="00D877B9"/>
    <w:rsid w:val="00DA378A"/>
    <w:rsid w:val="00DA7A68"/>
    <w:rsid w:val="00DC3BE3"/>
    <w:rsid w:val="00DE42C2"/>
    <w:rsid w:val="00DE56C0"/>
    <w:rsid w:val="00DF1A97"/>
    <w:rsid w:val="00DF2650"/>
    <w:rsid w:val="00DF2C51"/>
    <w:rsid w:val="00E037F2"/>
    <w:rsid w:val="00E1056A"/>
    <w:rsid w:val="00E109A8"/>
    <w:rsid w:val="00E13F66"/>
    <w:rsid w:val="00E14B82"/>
    <w:rsid w:val="00E373A6"/>
    <w:rsid w:val="00E403D4"/>
    <w:rsid w:val="00E40491"/>
    <w:rsid w:val="00E42FDE"/>
    <w:rsid w:val="00E463FA"/>
    <w:rsid w:val="00E56E9F"/>
    <w:rsid w:val="00E6532C"/>
    <w:rsid w:val="00E660FC"/>
    <w:rsid w:val="00E70B0D"/>
    <w:rsid w:val="00E814B5"/>
    <w:rsid w:val="00E81996"/>
    <w:rsid w:val="00E86874"/>
    <w:rsid w:val="00E902E8"/>
    <w:rsid w:val="00E90D22"/>
    <w:rsid w:val="00E91565"/>
    <w:rsid w:val="00E9674B"/>
    <w:rsid w:val="00E968D0"/>
    <w:rsid w:val="00EA24E1"/>
    <w:rsid w:val="00EA52C6"/>
    <w:rsid w:val="00EC58E1"/>
    <w:rsid w:val="00ED2436"/>
    <w:rsid w:val="00ED5131"/>
    <w:rsid w:val="00EE0D91"/>
    <w:rsid w:val="00EE2409"/>
    <w:rsid w:val="00EE6AC2"/>
    <w:rsid w:val="00EF1E8E"/>
    <w:rsid w:val="00F00D28"/>
    <w:rsid w:val="00F07D53"/>
    <w:rsid w:val="00F112C0"/>
    <w:rsid w:val="00F2210B"/>
    <w:rsid w:val="00F26E2B"/>
    <w:rsid w:val="00F32192"/>
    <w:rsid w:val="00F33949"/>
    <w:rsid w:val="00F464AF"/>
    <w:rsid w:val="00F50070"/>
    <w:rsid w:val="00F51090"/>
    <w:rsid w:val="00F52746"/>
    <w:rsid w:val="00F5369C"/>
    <w:rsid w:val="00F54EE8"/>
    <w:rsid w:val="00F55010"/>
    <w:rsid w:val="00F60306"/>
    <w:rsid w:val="00F620D9"/>
    <w:rsid w:val="00F640F6"/>
    <w:rsid w:val="00F72020"/>
    <w:rsid w:val="00F81032"/>
    <w:rsid w:val="00F8366C"/>
    <w:rsid w:val="00F8497A"/>
    <w:rsid w:val="00F93CE2"/>
    <w:rsid w:val="00F95640"/>
    <w:rsid w:val="00FA0F7A"/>
    <w:rsid w:val="00FB4C0F"/>
    <w:rsid w:val="00FB5C12"/>
    <w:rsid w:val="00FC151D"/>
    <w:rsid w:val="00FC2D99"/>
    <w:rsid w:val="00FC50EE"/>
    <w:rsid w:val="00FC74A1"/>
    <w:rsid w:val="00FE41DE"/>
    <w:rsid w:val="00FE4A96"/>
    <w:rsid w:val="00FE55C9"/>
    <w:rsid w:val="00FE72B9"/>
    <w:rsid w:val="00FF4DB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0202"/>
  <w15:docId w15:val="{89674D24-8F72-4AF6-8273-60BAF527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76"/>
  </w:style>
  <w:style w:type="paragraph" w:styleId="Heading1">
    <w:name w:val="heading 1"/>
    <w:basedOn w:val="Normal"/>
    <w:next w:val="Normal"/>
    <w:link w:val="Heading1Char"/>
    <w:uiPriority w:val="9"/>
    <w:qFormat/>
    <w:rsid w:val="00226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265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65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FED"/>
    <w:pPr>
      <w:ind w:left="720"/>
      <w:contextualSpacing/>
    </w:pPr>
  </w:style>
  <w:style w:type="paragraph" w:styleId="FootnoteText">
    <w:name w:val="footnote text"/>
    <w:aliases w:val="5_G,Footnote Text Char Char Char Char Char,Footnote Text Char Char Char Char,Footnote reference,FA Fu,Footnote Text Char Char Char,Footnote Text Cha,FA Fußnotentext,FA Fu?notentext,Texto nota pie Car,Footnote Text Char Char,FA Fuﬂnotentext"/>
    <w:basedOn w:val="Normal"/>
    <w:link w:val="FootnoteTextChar"/>
    <w:uiPriority w:val="99"/>
    <w:unhideWhenUsed/>
    <w:qFormat/>
    <w:rsid w:val="00C740F1"/>
    <w:pPr>
      <w:spacing w:after="0" w:line="240" w:lineRule="auto"/>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notentext Char"/>
    <w:basedOn w:val="DefaultParagraphFont"/>
    <w:link w:val="FootnoteText"/>
    <w:uiPriority w:val="99"/>
    <w:rsid w:val="00C740F1"/>
    <w:rPr>
      <w:sz w:val="20"/>
      <w:szCs w:val="20"/>
    </w:rPr>
  </w:style>
  <w:style w:type="character" w:styleId="FootnoteReference">
    <w:name w:val="footnote reference"/>
    <w:aliases w:val="Footnote,4_G,Footnote number,Footnotes refss,Texto de nota al pie,referencia nota al pie,BVI fnr,Appel note de bas de page,Footnote symbol,f,Ref. de nota al pie.,Footnote Refernece"/>
    <w:basedOn w:val="DefaultParagraphFont"/>
    <w:uiPriority w:val="99"/>
    <w:unhideWhenUsed/>
    <w:qFormat/>
    <w:rsid w:val="00C740F1"/>
    <w:rPr>
      <w:vertAlign w:val="superscript"/>
    </w:rPr>
  </w:style>
  <w:style w:type="paragraph" w:styleId="Header">
    <w:name w:val="header"/>
    <w:basedOn w:val="Normal"/>
    <w:link w:val="HeaderChar"/>
    <w:uiPriority w:val="99"/>
    <w:unhideWhenUsed/>
    <w:rsid w:val="009F1A33"/>
    <w:pPr>
      <w:tabs>
        <w:tab w:val="center" w:pos="4819"/>
        <w:tab w:val="right" w:pos="9638"/>
      </w:tabs>
      <w:spacing w:after="0" w:line="240" w:lineRule="auto"/>
    </w:pPr>
  </w:style>
  <w:style w:type="character" w:customStyle="1" w:styleId="HeaderChar">
    <w:name w:val="Header Char"/>
    <w:basedOn w:val="DefaultParagraphFont"/>
    <w:link w:val="Header"/>
    <w:uiPriority w:val="99"/>
    <w:rsid w:val="009F1A33"/>
  </w:style>
  <w:style w:type="paragraph" w:styleId="Footer">
    <w:name w:val="footer"/>
    <w:basedOn w:val="Normal"/>
    <w:link w:val="FooterChar"/>
    <w:uiPriority w:val="99"/>
    <w:unhideWhenUsed/>
    <w:rsid w:val="009F1A33"/>
    <w:pPr>
      <w:tabs>
        <w:tab w:val="center" w:pos="4819"/>
        <w:tab w:val="right" w:pos="9638"/>
      </w:tabs>
      <w:spacing w:after="0" w:line="240" w:lineRule="auto"/>
    </w:pPr>
  </w:style>
  <w:style w:type="character" w:customStyle="1" w:styleId="FooterChar">
    <w:name w:val="Footer Char"/>
    <w:basedOn w:val="DefaultParagraphFont"/>
    <w:link w:val="Footer"/>
    <w:uiPriority w:val="99"/>
    <w:rsid w:val="009F1A33"/>
  </w:style>
  <w:style w:type="character" w:styleId="Hyperlink">
    <w:name w:val="Hyperlink"/>
    <w:basedOn w:val="DefaultParagraphFont"/>
    <w:uiPriority w:val="99"/>
    <w:unhideWhenUsed/>
    <w:rsid w:val="00004A2B"/>
    <w:rPr>
      <w:color w:val="0000FF" w:themeColor="hyperlink"/>
      <w:u w:val="single"/>
    </w:rPr>
  </w:style>
  <w:style w:type="paragraph" w:customStyle="1" w:styleId="SingleTxtG">
    <w:name w:val="_ Single Txt_G"/>
    <w:basedOn w:val="Normal"/>
    <w:link w:val="SingleTxtGChar"/>
    <w:rsid w:val="001011F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1011F4"/>
    <w:rPr>
      <w:rFonts w:ascii="Times New Roman" w:eastAsia="Times New Roman" w:hAnsi="Times New Roman" w:cs="Times New Roman"/>
      <w:sz w:val="20"/>
      <w:szCs w:val="20"/>
      <w:lang w:val="en-GB"/>
    </w:rPr>
  </w:style>
  <w:style w:type="paragraph" w:customStyle="1" w:styleId="Default">
    <w:name w:val="Default"/>
    <w:rsid w:val="00C7518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B5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1E1"/>
    <w:rPr>
      <w:rFonts w:ascii="Tahoma" w:hAnsi="Tahoma" w:cs="Tahoma"/>
      <w:sz w:val="16"/>
      <w:szCs w:val="16"/>
    </w:rPr>
  </w:style>
  <w:style w:type="paragraph" w:styleId="PlainText">
    <w:name w:val="Plain Text"/>
    <w:basedOn w:val="Normal"/>
    <w:link w:val="PlainTextChar"/>
    <w:uiPriority w:val="99"/>
    <w:semiHidden/>
    <w:unhideWhenUsed/>
    <w:rsid w:val="008672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6727A"/>
    <w:rPr>
      <w:rFonts w:ascii="Calibri" w:hAnsi="Calibri"/>
      <w:szCs w:val="21"/>
    </w:rPr>
  </w:style>
  <w:style w:type="paragraph" w:customStyle="1" w:styleId="Header1">
    <w:name w:val="Header1"/>
    <w:basedOn w:val="Normal"/>
    <w:rsid w:val="002527ED"/>
    <w:pPr>
      <w:spacing w:after="0" w:line="645" w:lineRule="atLeast"/>
      <w:jc w:val="center"/>
    </w:pPr>
    <w:rPr>
      <w:rFonts w:ascii="Times New Roman" w:eastAsia="Times New Roman" w:hAnsi="Times New Roman" w:cs="Times New Roman"/>
      <w:color w:val="AD7B12"/>
      <w:sz w:val="54"/>
      <w:szCs w:val="54"/>
      <w:lang w:eastAsia="da-DK"/>
    </w:rPr>
  </w:style>
  <w:style w:type="table" w:customStyle="1" w:styleId="TableGrid2">
    <w:name w:val="Table Grid2"/>
    <w:basedOn w:val="TableNormal"/>
    <w:next w:val="TableGrid"/>
    <w:uiPriority w:val="59"/>
    <w:rsid w:val="002527ED"/>
    <w:pPr>
      <w:spacing w:after="0" w:line="240" w:lineRule="auto"/>
    </w:pPr>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650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2650B"/>
    <w:pPr>
      <w:spacing w:line="259" w:lineRule="auto"/>
      <w:outlineLvl w:val="9"/>
    </w:pPr>
    <w:rPr>
      <w:lang w:val="en-US"/>
    </w:rPr>
  </w:style>
  <w:style w:type="paragraph" w:styleId="TOC2">
    <w:name w:val="toc 2"/>
    <w:basedOn w:val="Normal"/>
    <w:next w:val="Normal"/>
    <w:autoRedefine/>
    <w:uiPriority w:val="39"/>
    <w:unhideWhenUsed/>
    <w:rsid w:val="00873141"/>
    <w:pPr>
      <w:tabs>
        <w:tab w:val="right" w:leader="dot" w:pos="9628"/>
      </w:tabs>
      <w:spacing w:after="100" w:line="259" w:lineRule="auto"/>
      <w:ind w:left="220"/>
    </w:pPr>
    <w:rPr>
      <w:rFonts w:eastAsiaTheme="minorEastAsia" w:cs="Times New Roman"/>
      <w:b/>
      <w:noProof/>
      <w:lang w:val="en-US"/>
    </w:rPr>
  </w:style>
  <w:style w:type="paragraph" w:styleId="TOC1">
    <w:name w:val="toc 1"/>
    <w:basedOn w:val="Normal"/>
    <w:next w:val="Normal"/>
    <w:autoRedefine/>
    <w:uiPriority w:val="39"/>
    <w:unhideWhenUsed/>
    <w:rsid w:val="0022650B"/>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4E0F19"/>
    <w:pPr>
      <w:tabs>
        <w:tab w:val="right" w:leader="dot" w:pos="9628"/>
      </w:tabs>
      <w:spacing w:before="240" w:after="24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rsid w:val="0022650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2650B"/>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C100D"/>
    <w:rPr>
      <w:sz w:val="16"/>
      <w:szCs w:val="16"/>
    </w:rPr>
  </w:style>
  <w:style w:type="paragraph" w:styleId="CommentText">
    <w:name w:val="annotation text"/>
    <w:basedOn w:val="Normal"/>
    <w:link w:val="CommentTextChar"/>
    <w:uiPriority w:val="99"/>
    <w:semiHidden/>
    <w:unhideWhenUsed/>
    <w:rsid w:val="005C100D"/>
    <w:pPr>
      <w:spacing w:line="240" w:lineRule="auto"/>
    </w:pPr>
    <w:rPr>
      <w:sz w:val="20"/>
      <w:szCs w:val="20"/>
    </w:rPr>
  </w:style>
  <w:style w:type="character" w:customStyle="1" w:styleId="CommentTextChar">
    <w:name w:val="Comment Text Char"/>
    <w:basedOn w:val="DefaultParagraphFont"/>
    <w:link w:val="CommentText"/>
    <w:uiPriority w:val="99"/>
    <w:semiHidden/>
    <w:rsid w:val="005C100D"/>
    <w:rPr>
      <w:sz w:val="20"/>
      <w:szCs w:val="20"/>
    </w:rPr>
  </w:style>
  <w:style w:type="character" w:customStyle="1" w:styleId="apple-converted-space">
    <w:name w:val="apple-converted-space"/>
    <w:basedOn w:val="DefaultParagraphFont"/>
    <w:rsid w:val="00B52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0194">
      <w:bodyDiv w:val="1"/>
      <w:marLeft w:val="0"/>
      <w:marRight w:val="0"/>
      <w:marTop w:val="0"/>
      <w:marBottom w:val="0"/>
      <w:divBdr>
        <w:top w:val="none" w:sz="0" w:space="0" w:color="auto"/>
        <w:left w:val="none" w:sz="0" w:space="0" w:color="auto"/>
        <w:bottom w:val="none" w:sz="0" w:space="0" w:color="auto"/>
        <w:right w:val="none" w:sz="0" w:space="0" w:color="auto"/>
      </w:divBdr>
    </w:div>
    <w:div w:id="1178613894">
      <w:bodyDiv w:val="1"/>
      <w:marLeft w:val="0"/>
      <w:marRight w:val="0"/>
      <w:marTop w:val="0"/>
      <w:marBottom w:val="0"/>
      <w:divBdr>
        <w:top w:val="none" w:sz="0" w:space="0" w:color="auto"/>
        <w:left w:val="none" w:sz="0" w:space="0" w:color="auto"/>
        <w:bottom w:val="none" w:sz="0" w:space="0" w:color="auto"/>
        <w:right w:val="none" w:sz="0" w:space="0" w:color="auto"/>
      </w:divBdr>
    </w:div>
    <w:div w:id="1184393926">
      <w:bodyDiv w:val="1"/>
      <w:marLeft w:val="0"/>
      <w:marRight w:val="0"/>
      <w:marTop w:val="0"/>
      <w:marBottom w:val="0"/>
      <w:divBdr>
        <w:top w:val="none" w:sz="0" w:space="0" w:color="auto"/>
        <w:left w:val="none" w:sz="0" w:space="0" w:color="auto"/>
        <w:bottom w:val="none" w:sz="0" w:space="0" w:color="auto"/>
        <w:right w:val="none" w:sz="0" w:space="0" w:color="auto"/>
      </w:divBdr>
    </w:div>
    <w:div w:id="1290894595">
      <w:bodyDiv w:val="1"/>
      <w:marLeft w:val="0"/>
      <w:marRight w:val="0"/>
      <w:marTop w:val="0"/>
      <w:marBottom w:val="0"/>
      <w:divBdr>
        <w:top w:val="none" w:sz="0" w:space="0" w:color="auto"/>
        <w:left w:val="none" w:sz="0" w:space="0" w:color="auto"/>
        <w:bottom w:val="none" w:sz="0" w:space="0" w:color="auto"/>
        <w:right w:val="none" w:sz="0" w:space="0" w:color="auto"/>
      </w:divBdr>
    </w:div>
    <w:div w:id="1354765242">
      <w:bodyDiv w:val="1"/>
      <w:marLeft w:val="0"/>
      <w:marRight w:val="0"/>
      <w:marTop w:val="0"/>
      <w:marBottom w:val="0"/>
      <w:divBdr>
        <w:top w:val="none" w:sz="0" w:space="0" w:color="auto"/>
        <w:left w:val="none" w:sz="0" w:space="0" w:color="auto"/>
        <w:bottom w:val="none" w:sz="0" w:space="0" w:color="auto"/>
        <w:right w:val="none" w:sz="0" w:space="0" w:color="auto"/>
      </w:divBdr>
    </w:div>
    <w:div w:id="1596551643">
      <w:bodyDiv w:val="1"/>
      <w:marLeft w:val="0"/>
      <w:marRight w:val="0"/>
      <w:marTop w:val="0"/>
      <w:marBottom w:val="0"/>
      <w:divBdr>
        <w:top w:val="none" w:sz="0" w:space="0" w:color="auto"/>
        <w:left w:val="none" w:sz="0" w:space="0" w:color="auto"/>
        <w:bottom w:val="none" w:sz="0" w:space="0" w:color="auto"/>
        <w:right w:val="none" w:sz="0" w:space="0" w:color="auto"/>
      </w:divBdr>
    </w:div>
    <w:div w:id="1707216136">
      <w:bodyDiv w:val="1"/>
      <w:marLeft w:val="0"/>
      <w:marRight w:val="0"/>
      <w:marTop w:val="0"/>
      <w:marBottom w:val="0"/>
      <w:divBdr>
        <w:top w:val="none" w:sz="0" w:space="0" w:color="auto"/>
        <w:left w:val="none" w:sz="0" w:space="0" w:color="auto"/>
        <w:bottom w:val="none" w:sz="0" w:space="0" w:color="auto"/>
        <w:right w:val="none" w:sz="0" w:space="0" w:color="auto"/>
      </w:divBdr>
    </w:div>
    <w:div w:id="20789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auadv.dk/" TargetMode="External"/><Relationship Id="rId18" Type="http://schemas.openxmlformats.org/officeDocument/2006/relationships/image" Target="media/image8.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gif"/><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cid:image002.png@01D10FE9.CE8CDDF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krim.dk/undersider/intro-index/intro.htm" TargetMode="Externa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cid:image001.png@01CDCD51.853090D0" TargetMode="External"/><Relationship Id="rId19" Type="http://schemas.openxmlformats.org/officeDocument/2006/relationships/image" Target="media/image9.png"/><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cid:EBC36C03-1C6E-4CDF-9D09-1F455DC0C648" TargetMode="External"/><Relationship Id="rId27" Type="http://schemas.openxmlformats.org/officeDocument/2006/relationships/footer" Target="footer1.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tbinternet.ohchr.org/_layouts/treatybodyexternal/Download.aspx?symbolno=CRPD%2fC%2fDNK%2fCO%2f1&amp;Lang=en" TargetMode="External"/><Relationship Id="rId13" Type="http://schemas.openxmlformats.org/officeDocument/2006/relationships/hyperlink" Target="http://www.kk.dk/nyheder/lgbt-personer-k%C3%A6mper-med-d%C3%A5rligt-helbred" TargetMode="External"/><Relationship Id="rId18" Type="http://schemas.openxmlformats.org/officeDocument/2006/relationships/hyperlink" Target="http://www.ohchr.org/Documents/Publications/Factsheet31.pdf" TargetMode="External"/><Relationship Id="rId3" Type="http://schemas.openxmlformats.org/officeDocument/2006/relationships/hyperlink" Target="http://www.statensnet.dk/betaenkninger/1401-1600/1494-2008/1494-2008_pdf/printversion_1494-2008.pdf" TargetMode="External"/><Relationship Id="rId7" Type="http://schemas.openxmlformats.org/officeDocument/2006/relationships/hyperlink" Target="http://www.boerneraadet.dk/media/77586/Brev20til20justitsministeren20vedr2020isolationsfc3a6ngsling20af20unge2007101420underskrevet.pdf" TargetMode="External"/><Relationship Id="rId12" Type="http://schemas.openxmlformats.org/officeDocument/2006/relationships/hyperlink" Target="http://www.kk.dk/sites/default/files/LGBT-sundhed%20%28si-folkesundhed%29%20%282015%29.pdf" TargetMode="External"/><Relationship Id="rId17" Type="http://schemas.openxmlformats.org/officeDocument/2006/relationships/hyperlink" Target="https://pri.rn.dk/Sider/11732.aspx" TargetMode="External"/><Relationship Id="rId2" Type="http://schemas.openxmlformats.org/officeDocument/2006/relationships/hyperlink" Target="http://www.echr.coe.int/Documents/FS_Secret_detention_ENG.PDF" TargetMode="External"/><Relationship Id="rId16" Type="http://schemas.openxmlformats.org/officeDocument/2006/relationships/hyperlink" Target="http://lgbt.dk/wp-content/uploads/Aabent-brev-LGBT-Danmark-til-Sundheds-og-aeldreminister.pdf" TargetMode="External"/><Relationship Id="rId20" Type="http://schemas.openxmlformats.org/officeDocument/2006/relationships/hyperlink" Target="http://eur-lex.europa.eu/legal-content/EN/TXT/?uri=URISERV:c10823" TargetMode="External"/><Relationship Id="rId1" Type="http://schemas.openxmlformats.org/officeDocument/2006/relationships/hyperlink" Target="http://justitsministeriet.dk/sites/default/files/media/Pressemeddelelser/pdf/2014/Betaenkning_1546.pdf" TargetMode="External"/><Relationship Id="rId6" Type="http://schemas.openxmlformats.org/officeDocument/2006/relationships/hyperlink" Target="file:///C:/Users/nnb/Downloads/Kriminalforsorgens+Statistik+2013+juli+2014%20(1).pdf" TargetMode="External"/><Relationship Id="rId11" Type="http://schemas.openxmlformats.org/officeDocument/2006/relationships/hyperlink" Target="https://panbloggen.wordpress.com/2013/11/21/lgbt-denmark-to-human-rights-commissioner-several-concerns/" TargetMode="External"/><Relationship Id="rId5" Type="http://schemas.openxmlformats.org/officeDocument/2006/relationships/hyperlink" Target="https://www.retsinformation.dk/Forms/R0710.aspx?id=120191" TargetMode="External"/><Relationship Id="rId15" Type="http://schemas.openxmlformats.org/officeDocument/2006/relationships/hyperlink" Target="http://www.kk.dk/nyheder/lgbt-personer-k%C3%A6mper-med-d%C3%A5rligt-helbred" TargetMode="External"/><Relationship Id="rId10" Type="http://schemas.openxmlformats.org/officeDocument/2006/relationships/hyperlink" Target="http://www.Panbloggen.wordpress.com" TargetMode="External"/><Relationship Id="rId19" Type="http://schemas.openxmlformats.org/officeDocument/2006/relationships/hyperlink" Target="http://eur-lex.europa.eu/legal-content/EN/AUTO/?uri=celex:32000L0078" TargetMode="External"/><Relationship Id="rId4" Type="http://schemas.openxmlformats.org/officeDocument/2006/relationships/hyperlink" Target="https://www.retsinformation.dk/Forms/R0710.aspx?id=120191" TargetMode="External"/><Relationship Id="rId9" Type="http://schemas.openxmlformats.org/officeDocument/2006/relationships/hyperlink" Target="http://www.ohchr.org/EN/HRBodies/CCPR/Pages/DGCArticle9.aspx" TargetMode="External"/><Relationship Id="rId14" Type="http://schemas.openxmlformats.org/officeDocument/2006/relationships/hyperlink" Target="http://www.kk.dk/sites/default/files/LGBT-sundhed%20%28si-folkesundhed%29%20%282015%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434C4-F27D-4894-941C-851491F3DE40}"/>
</file>

<file path=customXml/itemProps2.xml><?xml version="1.0" encoding="utf-8"?>
<ds:datastoreItem xmlns:ds="http://schemas.openxmlformats.org/officeDocument/2006/customXml" ds:itemID="{23563FBA-227E-4FAD-A41C-6C79665BFBC5}"/>
</file>

<file path=customXml/itemProps3.xml><?xml version="1.0" encoding="utf-8"?>
<ds:datastoreItem xmlns:ds="http://schemas.openxmlformats.org/officeDocument/2006/customXml" ds:itemID="{479217AE-65CB-49C3-936B-2D750CA0C48A}"/>
</file>

<file path=customXml/itemProps4.xml><?xml version="1.0" encoding="utf-8"?>
<ds:datastoreItem xmlns:ds="http://schemas.openxmlformats.org/officeDocument/2006/customXml" ds:itemID="{0C4965DE-F5C3-443D-B7EC-DDB256002C5F}"/>
</file>

<file path=docProps/app.xml><?xml version="1.0" encoding="utf-8"?>
<Properties xmlns="http://schemas.openxmlformats.org/officeDocument/2006/extended-properties" xmlns:vt="http://schemas.openxmlformats.org/officeDocument/2006/docPropsVTypes">
  <Template>Normal</Template>
  <TotalTime>289</TotalTime>
  <Pages>43</Pages>
  <Words>13059</Words>
  <Characters>79660</Characters>
  <Application>Microsoft Office Word</Application>
  <DocSecurity>0</DocSecurity>
  <Lines>663</Lines>
  <Paragraphs>185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Elna Søndergaard</dc:creator>
  <cp:lastModifiedBy>Elna Søndergaard</cp:lastModifiedBy>
  <cp:revision>144</cp:revision>
  <cp:lastPrinted>2016-05-25T13:05:00Z</cp:lastPrinted>
  <dcterms:created xsi:type="dcterms:W3CDTF">2016-05-25T06:45:00Z</dcterms:created>
  <dcterms:modified xsi:type="dcterms:W3CDTF">2016-05-25T14:21:00Z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