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A1" w:rsidRPr="006C4A64" w:rsidRDefault="000C1443" w:rsidP="00026FA1">
      <w:pPr>
        <w:tabs>
          <w:tab w:val="left" w:pos="3585"/>
          <w:tab w:val="right" w:pos="9631"/>
        </w:tabs>
        <w:rPr>
          <w:rFonts w:ascii="Times New Roman" w:hAnsi="Times New Roman"/>
          <w:szCs w:val="24"/>
          <w:lang w:val="en-GB"/>
        </w:rPr>
      </w:pPr>
      <w:r w:rsidRPr="00D919A9">
        <w:rPr>
          <w:rFonts w:ascii="Times New Roman" w:hAnsi="Times New Roman"/>
          <w:szCs w:val="24"/>
          <w:lang w:val="en-GB"/>
        </w:rPr>
        <w:tab/>
      </w:r>
      <w:r w:rsidRPr="00D919A9">
        <w:rPr>
          <w:rFonts w:ascii="Times New Roman" w:hAnsi="Times New Roman"/>
          <w:szCs w:val="24"/>
          <w:lang w:val="en-GB"/>
        </w:rPr>
        <w:tab/>
      </w:r>
      <w:r w:rsidR="00284235">
        <w:rPr>
          <w:rFonts w:ascii="Times New Roman" w:hAnsi="Times New Roman"/>
          <w:szCs w:val="24"/>
          <w:lang w:val="en-GB"/>
        </w:rPr>
        <w:t>10</w:t>
      </w:r>
      <w:r w:rsidRPr="008B3377">
        <w:rPr>
          <w:rFonts w:ascii="Times New Roman" w:hAnsi="Times New Roman"/>
          <w:szCs w:val="24"/>
          <w:lang w:val="en-GB"/>
        </w:rPr>
        <w:t xml:space="preserve"> </w:t>
      </w:r>
      <w:r w:rsidRPr="006C4A64">
        <w:rPr>
          <w:rFonts w:ascii="Times New Roman" w:hAnsi="Times New Roman"/>
          <w:szCs w:val="24"/>
          <w:lang w:val="en-GB"/>
        </w:rPr>
        <w:t>September 2019</w:t>
      </w:r>
    </w:p>
    <w:p w:rsidR="00026FA1" w:rsidRPr="006C4A64" w:rsidRDefault="008515EA" w:rsidP="00026FA1">
      <w:pPr>
        <w:ind w:left="2880"/>
        <w:rPr>
          <w:rFonts w:ascii="Times New Roman" w:hAnsi="Times New Roman"/>
          <w:sz w:val="24"/>
          <w:szCs w:val="24"/>
          <w:lang w:val="en-GB"/>
        </w:rPr>
      </w:pPr>
    </w:p>
    <w:p w:rsidR="00026FA1" w:rsidRPr="006C4A64" w:rsidRDefault="000C1443" w:rsidP="00026FA1">
      <w:pPr>
        <w:spacing w:before="120"/>
        <w:rPr>
          <w:rFonts w:ascii="Times New Roman" w:hAnsi="Times New Roman"/>
          <w:b/>
          <w:sz w:val="32"/>
          <w:szCs w:val="32"/>
          <w:lang w:val="en-GB"/>
        </w:rPr>
      </w:pPr>
      <w:r w:rsidRPr="006C4A64">
        <w:rPr>
          <w:rFonts w:ascii="Times New Roman" w:hAnsi="Times New Roman"/>
          <w:b/>
          <w:sz w:val="32"/>
          <w:szCs w:val="32"/>
          <w:lang w:val="en-GB"/>
        </w:rPr>
        <w:t>From the European Association of Jehovah’s Witnesses</w:t>
      </w:r>
    </w:p>
    <w:p w:rsidR="00026FA1" w:rsidRPr="006C4A64" w:rsidRDefault="008515EA" w:rsidP="00026FA1">
      <w:pPr>
        <w:spacing w:before="120"/>
        <w:rPr>
          <w:rFonts w:ascii="Times New Roman" w:hAnsi="Times New Roman"/>
          <w:b/>
          <w:sz w:val="32"/>
          <w:szCs w:val="32"/>
          <w:lang w:val="en-GB"/>
        </w:rPr>
      </w:pPr>
    </w:p>
    <w:p w:rsidR="00026FA1" w:rsidRPr="006C4A64" w:rsidRDefault="008515EA" w:rsidP="00026FA1">
      <w:pPr>
        <w:spacing w:before="120"/>
        <w:rPr>
          <w:rFonts w:ascii="Times New Roman" w:hAnsi="Times New Roman"/>
          <w:b/>
          <w:sz w:val="32"/>
          <w:szCs w:val="32"/>
          <w:lang w:val="en-GB"/>
        </w:rPr>
      </w:pPr>
    </w:p>
    <w:p w:rsidR="00026FA1" w:rsidRPr="006C4A64" w:rsidRDefault="000C1443" w:rsidP="00026FA1">
      <w:pPr>
        <w:spacing w:before="360" w:after="360"/>
        <w:rPr>
          <w:rFonts w:ascii="Times New Roman" w:hAnsi="Times New Roman"/>
          <w:b/>
          <w:sz w:val="32"/>
          <w:szCs w:val="32"/>
          <w:lang w:val="en-GB"/>
        </w:rPr>
      </w:pPr>
      <w:r w:rsidRPr="006C4A64">
        <w:rPr>
          <w:rFonts w:ascii="Times New Roman" w:hAnsi="Times New Roman"/>
          <w:b/>
          <w:sz w:val="32"/>
          <w:szCs w:val="32"/>
          <w:lang w:val="en-GB"/>
        </w:rPr>
        <w:t xml:space="preserve">Submission to the UN Human Rights Committee </w:t>
      </w:r>
    </w:p>
    <w:p w:rsidR="00026FA1" w:rsidRPr="006C4A64" w:rsidRDefault="000C1443" w:rsidP="00026FA1">
      <w:pPr>
        <w:spacing w:before="360" w:after="360"/>
        <w:rPr>
          <w:rFonts w:ascii="Times New Roman" w:hAnsi="Times New Roman"/>
          <w:b/>
          <w:sz w:val="32"/>
          <w:szCs w:val="32"/>
          <w:lang w:val="en-GB"/>
        </w:rPr>
      </w:pPr>
      <w:r w:rsidRPr="006C4A64">
        <w:rPr>
          <w:rFonts w:ascii="Times New Roman" w:hAnsi="Times New Roman"/>
          <w:b/>
          <w:sz w:val="32"/>
          <w:szCs w:val="32"/>
          <w:lang w:val="en-GB"/>
        </w:rPr>
        <w:t xml:space="preserve">Subsequent to the Adoption of the List of Issues </w:t>
      </w:r>
    </w:p>
    <w:p w:rsidR="00026FA1" w:rsidRPr="006C4A64" w:rsidRDefault="000C1443" w:rsidP="00026FA1">
      <w:pPr>
        <w:spacing w:before="120"/>
        <w:rPr>
          <w:rFonts w:ascii="Times New Roman" w:hAnsi="Times New Roman"/>
          <w:b/>
          <w:sz w:val="32"/>
          <w:szCs w:val="24"/>
          <w:lang w:val="en-GB"/>
        </w:rPr>
      </w:pPr>
      <w:r w:rsidRPr="006C4A64">
        <w:rPr>
          <w:rFonts w:ascii="Times New Roman" w:hAnsi="Times New Roman"/>
          <w:b/>
          <w:sz w:val="32"/>
          <w:szCs w:val="24"/>
          <w:lang w:val="en-GB"/>
        </w:rPr>
        <w:t>127</w:t>
      </w:r>
      <w:r w:rsidRPr="006C4A64">
        <w:rPr>
          <w:rFonts w:ascii="Times New Roman" w:hAnsi="Times New Roman"/>
          <w:b/>
          <w:sz w:val="32"/>
          <w:szCs w:val="24"/>
          <w:vertAlign w:val="superscript"/>
          <w:lang w:val="en-GB"/>
        </w:rPr>
        <w:t>th</w:t>
      </w:r>
      <w:r w:rsidRPr="006C4A64">
        <w:rPr>
          <w:rFonts w:ascii="Times New Roman" w:hAnsi="Times New Roman"/>
          <w:b/>
          <w:sz w:val="32"/>
          <w:szCs w:val="24"/>
          <w:lang w:val="en-GB"/>
        </w:rPr>
        <w:t xml:space="preserve"> </w:t>
      </w:r>
      <w:r w:rsidRPr="006C4A64">
        <w:rPr>
          <w:rFonts w:ascii="Times New Roman" w:hAnsi="Times New Roman"/>
          <w:b/>
          <w:sz w:val="32"/>
          <w:szCs w:val="32"/>
          <w:lang w:val="en-GB"/>
        </w:rPr>
        <w:t>Session (14 October</w:t>
      </w:r>
      <w:r w:rsidR="00731DBD">
        <w:rPr>
          <w:rFonts w:ascii="Times New Roman" w:hAnsi="Times New Roman"/>
          <w:b/>
          <w:sz w:val="32"/>
          <w:szCs w:val="32"/>
          <w:lang w:val="en-GB"/>
        </w:rPr>
        <w:t>–</w:t>
      </w:r>
      <w:r w:rsidRPr="006C4A64">
        <w:rPr>
          <w:rFonts w:ascii="Times New Roman" w:hAnsi="Times New Roman"/>
          <w:b/>
          <w:sz w:val="32"/>
          <w:szCs w:val="32"/>
          <w:lang w:val="en-GB"/>
        </w:rPr>
        <w:t>8 November</w:t>
      </w:r>
      <w:r>
        <w:rPr>
          <w:rFonts w:ascii="Times New Roman" w:hAnsi="Times New Roman"/>
          <w:b/>
          <w:sz w:val="32"/>
          <w:szCs w:val="32"/>
          <w:lang w:val="en-GB"/>
        </w:rPr>
        <w:t xml:space="preserve"> </w:t>
      </w:r>
      <w:r w:rsidRPr="006C4A64">
        <w:rPr>
          <w:rFonts w:ascii="Times New Roman" w:hAnsi="Times New Roman"/>
          <w:b/>
          <w:sz w:val="32"/>
          <w:szCs w:val="32"/>
          <w:lang w:val="en-GB"/>
        </w:rPr>
        <w:t>2019)</w:t>
      </w:r>
    </w:p>
    <w:p w:rsidR="00026FA1" w:rsidRPr="006C4A64" w:rsidRDefault="008515EA" w:rsidP="00026FA1">
      <w:pPr>
        <w:rPr>
          <w:rFonts w:ascii="Times New Roman" w:hAnsi="Times New Roman"/>
          <w:sz w:val="24"/>
          <w:szCs w:val="24"/>
          <w:lang w:val="en-GB"/>
        </w:rPr>
      </w:pPr>
    </w:p>
    <w:p w:rsidR="00026FA1" w:rsidRPr="006C4A64" w:rsidRDefault="008515EA" w:rsidP="00026FA1">
      <w:pPr>
        <w:rPr>
          <w:rFonts w:ascii="Times New Roman" w:hAnsi="Times New Roman"/>
          <w:sz w:val="24"/>
          <w:szCs w:val="24"/>
          <w:lang w:val="en-GB"/>
        </w:rPr>
      </w:pPr>
    </w:p>
    <w:p w:rsidR="00026FA1" w:rsidRPr="006C4A64" w:rsidRDefault="008515EA" w:rsidP="00026FA1">
      <w:pPr>
        <w:rPr>
          <w:rFonts w:ascii="Times New Roman" w:hAnsi="Times New Roman"/>
          <w:sz w:val="24"/>
          <w:szCs w:val="24"/>
          <w:lang w:val="en-GB"/>
        </w:rPr>
      </w:pPr>
    </w:p>
    <w:p w:rsidR="00026FA1" w:rsidRPr="006C4A64" w:rsidRDefault="000C1443" w:rsidP="00026FA1">
      <w:pPr>
        <w:rPr>
          <w:rFonts w:ascii="Times New Roman" w:hAnsi="Times New Roman"/>
          <w:sz w:val="24"/>
          <w:szCs w:val="24"/>
          <w:lang w:val="en-GB"/>
        </w:rPr>
      </w:pPr>
      <w:r w:rsidRPr="006C4A64">
        <w:rPr>
          <w:rFonts w:ascii="Times New Roman" w:hAnsi="Times New Roman"/>
          <w:b/>
          <w:spacing w:val="40"/>
          <w:sz w:val="64"/>
          <w:szCs w:val="64"/>
          <w:lang w:val="en-GB"/>
        </w:rPr>
        <w:t>B</w:t>
      </w:r>
      <w:r w:rsidR="003E71A0">
        <w:rPr>
          <w:rFonts w:ascii="Times New Roman" w:hAnsi="Times New Roman"/>
          <w:b/>
          <w:spacing w:val="40"/>
          <w:sz w:val="64"/>
          <w:szCs w:val="64"/>
          <w:lang w:val="en-GB"/>
        </w:rPr>
        <w:t>ELGIUM</w:t>
      </w:r>
    </w:p>
    <w:p w:rsidR="00026FA1" w:rsidRPr="006C4A64" w:rsidRDefault="008515EA" w:rsidP="00026FA1">
      <w:pPr>
        <w:rPr>
          <w:rFonts w:ascii="Times New Roman" w:hAnsi="Times New Roman"/>
          <w:b/>
          <w:sz w:val="24"/>
          <w:szCs w:val="24"/>
          <w:lang w:val="en-GB"/>
        </w:rPr>
      </w:pPr>
    </w:p>
    <w:p w:rsidR="00026FA1" w:rsidRPr="006C4A64" w:rsidRDefault="008515EA" w:rsidP="00026FA1">
      <w:pPr>
        <w:rPr>
          <w:rFonts w:ascii="Times New Roman" w:hAnsi="Times New Roman"/>
          <w:b/>
          <w:sz w:val="24"/>
          <w:szCs w:val="24"/>
          <w:lang w:val="en-GB"/>
        </w:rPr>
      </w:pPr>
    </w:p>
    <w:p w:rsidR="00026FA1" w:rsidRPr="006C4A64" w:rsidRDefault="008515EA" w:rsidP="00026FA1">
      <w:pPr>
        <w:rPr>
          <w:rFonts w:ascii="Times New Roman" w:hAnsi="Times New Roman"/>
          <w:b/>
          <w:sz w:val="24"/>
          <w:szCs w:val="24"/>
          <w:lang w:val="en-GB"/>
        </w:rPr>
      </w:pPr>
    </w:p>
    <w:p w:rsidR="00026FA1" w:rsidRPr="006C4A64" w:rsidRDefault="008515EA" w:rsidP="00026FA1">
      <w:pPr>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8515EA" w:rsidP="00026FA1">
      <w:pPr>
        <w:tabs>
          <w:tab w:val="right" w:pos="8363"/>
        </w:tabs>
        <w:jc w:val="both"/>
        <w:rPr>
          <w:rFonts w:ascii="Times New Roman" w:hAnsi="Times New Roman"/>
          <w:b/>
          <w:sz w:val="24"/>
          <w:szCs w:val="24"/>
          <w:lang w:val="en-GB"/>
        </w:rPr>
      </w:pPr>
    </w:p>
    <w:p w:rsidR="00026FA1" w:rsidRPr="006C4A64" w:rsidRDefault="008515EA" w:rsidP="00026FA1">
      <w:pPr>
        <w:tabs>
          <w:tab w:val="right" w:pos="8363"/>
        </w:tabs>
        <w:jc w:val="both"/>
        <w:rPr>
          <w:rFonts w:ascii="Times New Roman" w:hAnsi="Times New Roman"/>
          <w:b/>
          <w:sz w:val="24"/>
          <w:szCs w:val="24"/>
          <w:lang w:val="en-GB"/>
        </w:rPr>
      </w:pPr>
    </w:p>
    <w:p w:rsidR="00026FA1" w:rsidRPr="006C4A64" w:rsidRDefault="008515EA" w:rsidP="00026FA1">
      <w:pPr>
        <w:tabs>
          <w:tab w:val="right" w:pos="8363"/>
        </w:tabs>
        <w:jc w:val="both"/>
        <w:rPr>
          <w:rFonts w:ascii="Times New Roman" w:hAnsi="Times New Roman"/>
          <w:b/>
          <w:sz w:val="24"/>
          <w:szCs w:val="24"/>
          <w:lang w:val="en-GB"/>
        </w:rPr>
      </w:pPr>
    </w:p>
    <w:p w:rsidR="00026FA1" w:rsidRPr="006C4A64" w:rsidRDefault="008515EA" w:rsidP="00026FA1">
      <w:pPr>
        <w:tabs>
          <w:tab w:val="right" w:pos="8363"/>
        </w:tabs>
        <w:rPr>
          <w:rFonts w:ascii="Times New Roman" w:hAnsi="Times New Roman"/>
          <w:b/>
          <w:sz w:val="24"/>
          <w:szCs w:val="24"/>
          <w:lang w:val="en-GB"/>
        </w:rPr>
      </w:pPr>
    </w:p>
    <w:p w:rsidR="00026FA1" w:rsidRPr="006C4A64" w:rsidRDefault="000C1443" w:rsidP="00026FA1">
      <w:pPr>
        <w:tabs>
          <w:tab w:val="right" w:pos="8363"/>
        </w:tabs>
        <w:spacing w:before="720"/>
        <w:rPr>
          <w:rFonts w:ascii="Times New Roman" w:hAnsi="Times New Roman"/>
          <w:lang w:val="en-GB"/>
        </w:rPr>
      </w:pPr>
      <w:r w:rsidRPr="006C4A64">
        <w:rPr>
          <w:rFonts w:ascii="Times New Roman" w:hAnsi="Times New Roman"/>
          <w:lang w:val="en-GB"/>
        </w:rPr>
        <w:t xml:space="preserve">Contact address in Belgium: Rue </w:t>
      </w:r>
      <w:proofErr w:type="spellStart"/>
      <w:r w:rsidRPr="006C4A64">
        <w:rPr>
          <w:rFonts w:ascii="Times New Roman" w:hAnsi="Times New Roman"/>
          <w:lang w:val="en-GB"/>
        </w:rPr>
        <w:t>d'Argile</w:t>
      </w:r>
      <w:proofErr w:type="spellEnd"/>
      <w:r w:rsidRPr="006C4A64">
        <w:rPr>
          <w:rFonts w:ascii="Times New Roman" w:hAnsi="Times New Roman"/>
          <w:lang w:val="en-GB"/>
        </w:rPr>
        <w:t xml:space="preserve"> 60, 1950 </w:t>
      </w:r>
      <w:proofErr w:type="spellStart"/>
      <w:r w:rsidRPr="006C4A64">
        <w:rPr>
          <w:rFonts w:ascii="Times New Roman" w:hAnsi="Times New Roman"/>
          <w:lang w:val="en-GB"/>
        </w:rPr>
        <w:t>Kraainem</w:t>
      </w:r>
      <w:proofErr w:type="spellEnd"/>
      <w:r w:rsidRPr="006C4A64">
        <w:rPr>
          <w:rFonts w:ascii="Times New Roman" w:hAnsi="Times New Roman"/>
          <w:lang w:val="en-GB"/>
        </w:rPr>
        <w:t>,</w:t>
      </w:r>
    </w:p>
    <w:p w:rsidR="00026FA1" w:rsidRPr="00284235" w:rsidRDefault="000C1443" w:rsidP="00026FA1">
      <w:pPr>
        <w:spacing w:before="60"/>
        <w:rPr>
          <w:rFonts w:ascii="Times New Roman" w:hAnsi="Times New Roman"/>
          <w:lang w:val="de-DE"/>
        </w:rPr>
      </w:pPr>
      <w:r w:rsidRPr="00284235">
        <w:rPr>
          <w:rFonts w:ascii="Times New Roman" w:hAnsi="Times New Roman"/>
          <w:lang w:val="de-DE"/>
        </w:rPr>
        <w:t xml:space="preserve">Tel.: ++ 32-2-782 00 15 - E-mail: </w:t>
      </w:r>
      <w:r w:rsidR="009A7899">
        <w:fldChar w:fldCharType="begin"/>
      </w:r>
      <w:r w:rsidR="009A7899" w:rsidRPr="00284235">
        <w:rPr>
          <w:lang w:val="de-DE"/>
        </w:rPr>
        <w:instrText xml:space="preserve"> HYPERLINK "mailto:jwitnesses.be@jw.org" </w:instrText>
      </w:r>
      <w:r w:rsidR="009A7899">
        <w:fldChar w:fldCharType="separate"/>
      </w:r>
      <w:r w:rsidRPr="00284235">
        <w:rPr>
          <w:rStyle w:val="Hyperlink"/>
          <w:rFonts w:ascii="Times New Roman" w:hAnsi="Times New Roman"/>
          <w:color w:val="auto"/>
          <w:lang w:val="de-DE"/>
        </w:rPr>
        <w:t>jwitnesses.be@jw.org</w:t>
      </w:r>
      <w:r w:rsidR="009A7899">
        <w:rPr>
          <w:rStyle w:val="Hyperlink"/>
          <w:rFonts w:ascii="Times New Roman" w:hAnsi="Times New Roman"/>
          <w:color w:val="auto"/>
          <w:lang w:val="fr-FR"/>
        </w:rPr>
        <w:fldChar w:fldCharType="end"/>
      </w:r>
    </w:p>
    <w:p w:rsidR="00026FA1" w:rsidRPr="00284235" w:rsidRDefault="000C1443" w:rsidP="00026FA1">
      <w:pPr>
        <w:spacing w:before="60"/>
        <w:rPr>
          <w:rFonts w:ascii="Times New Roman" w:hAnsi="Times New Roman"/>
          <w:lang w:val="de-DE"/>
        </w:rPr>
      </w:pPr>
      <w:r w:rsidRPr="00284235">
        <w:rPr>
          <w:rFonts w:ascii="Times New Roman" w:hAnsi="Times New Roman"/>
          <w:lang w:val="de-DE"/>
        </w:rPr>
        <w:br w:type="column"/>
      </w:r>
    </w:p>
    <w:p w:rsidR="00026FA1" w:rsidRPr="006C4A64" w:rsidRDefault="000C1443">
      <w:pPr>
        <w:pStyle w:val="TOCHeading"/>
        <w:rPr>
          <w:rFonts w:ascii="Times New Roman" w:hAnsi="Times New Roman"/>
          <w:smallCaps/>
          <w:lang w:val="en-GB"/>
        </w:rPr>
      </w:pPr>
      <w:r w:rsidRPr="006C4A64">
        <w:rPr>
          <w:rFonts w:ascii="Times New Roman" w:hAnsi="Times New Roman"/>
          <w:smallCaps/>
          <w:lang w:val="en-GB"/>
        </w:rPr>
        <w:t>Table of Contents</w:t>
      </w:r>
    </w:p>
    <w:p w:rsidR="00026FA1" w:rsidRPr="006C4A64" w:rsidRDefault="008515EA" w:rsidP="00026FA1">
      <w:pPr>
        <w:rPr>
          <w:rFonts w:ascii="Times New Roman" w:hAnsi="Times New Roman"/>
          <w:sz w:val="24"/>
          <w:szCs w:val="24"/>
          <w:lang w:val="en-GB"/>
        </w:rPr>
      </w:pPr>
    </w:p>
    <w:p w:rsidR="00026FA1" w:rsidRPr="007B19EE" w:rsidRDefault="000C1443" w:rsidP="00026FA1">
      <w:pPr>
        <w:pStyle w:val="TOC1"/>
        <w:rPr>
          <w:rStyle w:val="Hyperlink"/>
          <w:caps/>
          <w:color w:val="auto"/>
        </w:rPr>
      </w:pPr>
      <w:r w:rsidRPr="00B56E44">
        <w:fldChar w:fldCharType="begin"/>
      </w:r>
      <w:r w:rsidRPr="00B56E44">
        <w:instrText xml:space="preserve"> TOC \o "1-3" \h \z \u </w:instrText>
      </w:r>
      <w:r w:rsidRPr="00B56E44">
        <w:fldChar w:fldCharType="separate"/>
      </w:r>
      <w:hyperlink w:anchor="_Toc18415356" w:history="1">
        <w:r w:rsidRPr="007B19EE">
          <w:rPr>
            <w:rStyle w:val="Hyperlink"/>
            <w:caps/>
            <w:color w:val="auto"/>
          </w:rPr>
          <w:t>SUMMARY OF THE SUBMISSION</w:t>
        </w:r>
        <w:r w:rsidRPr="007B19EE">
          <w:rPr>
            <w:rStyle w:val="Hyperlink"/>
            <w:caps/>
            <w:color w:val="auto"/>
          </w:rPr>
          <w:tab/>
        </w:r>
        <w:r w:rsidRPr="007B19EE">
          <w:rPr>
            <w:rStyle w:val="Hyperlink"/>
            <w:caps/>
            <w:color w:val="auto"/>
          </w:rPr>
          <w:fldChar w:fldCharType="begin"/>
        </w:r>
        <w:r w:rsidRPr="007B19EE">
          <w:rPr>
            <w:rStyle w:val="Hyperlink"/>
            <w:caps/>
            <w:color w:val="auto"/>
          </w:rPr>
          <w:instrText xml:space="preserve"> PAGEREF _Toc18415356 \h </w:instrText>
        </w:r>
        <w:r w:rsidRPr="007B19EE">
          <w:rPr>
            <w:rStyle w:val="Hyperlink"/>
            <w:caps/>
            <w:color w:val="auto"/>
          </w:rPr>
        </w:r>
        <w:r w:rsidRPr="007B19EE">
          <w:rPr>
            <w:rStyle w:val="Hyperlink"/>
            <w:caps/>
            <w:color w:val="auto"/>
          </w:rPr>
          <w:fldChar w:fldCharType="separate"/>
        </w:r>
        <w:r w:rsidR="009B32AF">
          <w:rPr>
            <w:rStyle w:val="Hyperlink"/>
            <w:caps/>
            <w:color w:val="auto"/>
          </w:rPr>
          <w:t>2</w:t>
        </w:r>
        <w:r w:rsidRPr="007B19EE">
          <w:rPr>
            <w:rStyle w:val="Hyperlink"/>
            <w:caps/>
            <w:color w:val="auto"/>
          </w:rPr>
          <w:fldChar w:fldCharType="end"/>
        </w:r>
      </w:hyperlink>
    </w:p>
    <w:p w:rsidR="00026FA1" w:rsidRPr="007B19EE" w:rsidRDefault="008515EA" w:rsidP="00026FA1">
      <w:pPr>
        <w:pStyle w:val="TOC1"/>
        <w:rPr>
          <w:rStyle w:val="Hyperlink"/>
          <w:caps/>
          <w:color w:val="auto"/>
        </w:rPr>
      </w:pPr>
      <w:hyperlink w:anchor="_Toc18415357" w:history="1">
        <w:r w:rsidR="000C1443" w:rsidRPr="007B19EE">
          <w:rPr>
            <w:rStyle w:val="Hyperlink"/>
            <w:caps/>
            <w:color w:val="auto"/>
          </w:rPr>
          <w:t>I.</w:t>
        </w:r>
        <w:r w:rsidR="000C1443" w:rsidRPr="007B19EE">
          <w:rPr>
            <w:rStyle w:val="Hyperlink"/>
            <w:caps/>
            <w:color w:val="auto"/>
          </w:rPr>
          <w:tab/>
          <w:t>INTRODUCTION</w:t>
        </w:r>
        <w:r w:rsidR="000C1443" w:rsidRPr="007B19EE">
          <w:rPr>
            <w:rStyle w:val="Hyperlink"/>
            <w:caps/>
            <w:color w:val="auto"/>
          </w:rPr>
          <w:tab/>
        </w:r>
        <w:r w:rsidR="000C1443" w:rsidRPr="007B19EE">
          <w:rPr>
            <w:rStyle w:val="Hyperlink"/>
            <w:caps/>
            <w:color w:val="auto"/>
          </w:rPr>
          <w:fldChar w:fldCharType="begin"/>
        </w:r>
        <w:r w:rsidR="000C1443" w:rsidRPr="007B19EE">
          <w:rPr>
            <w:rStyle w:val="Hyperlink"/>
            <w:caps/>
            <w:color w:val="auto"/>
          </w:rPr>
          <w:instrText xml:space="preserve"> PAGEREF _Toc18415357 \h </w:instrText>
        </w:r>
        <w:r w:rsidR="000C1443" w:rsidRPr="007B19EE">
          <w:rPr>
            <w:rStyle w:val="Hyperlink"/>
            <w:caps/>
            <w:color w:val="auto"/>
          </w:rPr>
        </w:r>
        <w:r w:rsidR="000C1443" w:rsidRPr="007B19EE">
          <w:rPr>
            <w:rStyle w:val="Hyperlink"/>
            <w:caps/>
            <w:color w:val="auto"/>
          </w:rPr>
          <w:fldChar w:fldCharType="separate"/>
        </w:r>
        <w:r w:rsidR="009B32AF">
          <w:rPr>
            <w:rStyle w:val="Hyperlink"/>
            <w:caps/>
            <w:color w:val="auto"/>
          </w:rPr>
          <w:t>2</w:t>
        </w:r>
        <w:r w:rsidR="000C1443" w:rsidRPr="007B19EE">
          <w:rPr>
            <w:rStyle w:val="Hyperlink"/>
            <w:caps/>
            <w:color w:val="auto"/>
          </w:rPr>
          <w:fldChar w:fldCharType="end"/>
        </w:r>
      </w:hyperlink>
    </w:p>
    <w:p w:rsidR="00026FA1" w:rsidRPr="007B19EE" w:rsidRDefault="008515EA" w:rsidP="00026FA1">
      <w:pPr>
        <w:pStyle w:val="TOC1"/>
        <w:rPr>
          <w:rStyle w:val="Hyperlink"/>
          <w:caps/>
          <w:color w:val="auto"/>
        </w:rPr>
      </w:pPr>
      <w:hyperlink w:anchor="_Toc18415358" w:history="1">
        <w:r w:rsidR="000C1443" w:rsidRPr="007B19EE">
          <w:rPr>
            <w:rStyle w:val="Hyperlink"/>
            <w:caps/>
            <w:color w:val="auto"/>
          </w:rPr>
          <w:t>II.</w:t>
        </w:r>
        <w:r w:rsidR="000C1443" w:rsidRPr="007B19EE">
          <w:rPr>
            <w:rStyle w:val="Hyperlink"/>
            <w:caps/>
            <w:color w:val="auto"/>
          </w:rPr>
          <w:tab/>
          <w:t>Violations of the provisions of the International Covenant on Civil and Political Rights (ICCPR)</w:t>
        </w:r>
        <w:r w:rsidR="000C1443" w:rsidRPr="007B19EE">
          <w:rPr>
            <w:rStyle w:val="Hyperlink"/>
            <w:caps/>
            <w:color w:val="auto"/>
          </w:rPr>
          <w:tab/>
        </w:r>
        <w:r w:rsidR="000C1443" w:rsidRPr="007B19EE">
          <w:rPr>
            <w:rStyle w:val="Hyperlink"/>
            <w:caps/>
            <w:color w:val="auto"/>
          </w:rPr>
          <w:fldChar w:fldCharType="begin"/>
        </w:r>
        <w:r w:rsidR="000C1443" w:rsidRPr="007B19EE">
          <w:rPr>
            <w:rStyle w:val="Hyperlink"/>
            <w:caps/>
            <w:color w:val="auto"/>
          </w:rPr>
          <w:instrText xml:space="preserve"> PAGEREF _Toc18415358 \h </w:instrText>
        </w:r>
        <w:r w:rsidR="000C1443" w:rsidRPr="007B19EE">
          <w:rPr>
            <w:rStyle w:val="Hyperlink"/>
            <w:caps/>
            <w:color w:val="auto"/>
          </w:rPr>
        </w:r>
        <w:r w:rsidR="000C1443" w:rsidRPr="007B19EE">
          <w:rPr>
            <w:rStyle w:val="Hyperlink"/>
            <w:caps/>
            <w:color w:val="auto"/>
          </w:rPr>
          <w:fldChar w:fldCharType="separate"/>
        </w:r>
        <w:r w:rsidR="009B32AF">
          <w:rPr>
            <w:rStyle w:val="Hyperlink"/>
            <w:caps/>
            <w:color w:val="auto"/>
          </w:rPr>
          <w:t>2</w:t>
        </w:r>
        <w:r w:rsidR="000C1443" w:rsidRPr="007B19EE">
          <w:rPr>
            <w:rStyle w:val="Hyperlink"/>
            <w:caps/>
            <w:color w:val="auto"/>
          </w:rPr>
          <w:fldChar w:fldCharType="end"/>
        </w:r>
      </w:hyperlink>
    </w:p>
    <w:p w:rsidR="00026FA1" w:rsidRPr="007B19EE" w:rsidRDefault="000C1443" w:rsidP="00026FA1">
      <w:pPr>
        <w:pStyle w:val="TOC1"/>
        <w:rPr>
          <w:rStyle w:val="Hyperlink"/>
          <w:color w:val="auto"/>
        </w:rPr>
      </w:pPr>
      <w:r w:rsidRPr="007B19EE">
        <w:rPr>
          <w:rStyle w:val="Hyperlink"/>
          <w:color w:val="auto"/>
        </w:rPr>
        <w:tab/>
      </w:r>
      <w:hyperlink w:anchor="_Toc18415359" w:history="1">
        <w:r w:rsidRPr="007B19EE">
          <w:rPr>
            <w:rStyle w:val="Hyperlink"/>
            <w:color w:val="auto"/>
          </w:rPr>
          <w:t xml:space="preserve">A. </w:t>
        </w:r>
        <w:r w:rsidRPr="007B19EE">
          <w:rPr>
            <w:rStyle w:val="Hyperlink"/>
            <w:color w:val="auto"/>
          </w:rPr>
          <w:tab/>
          <w:t>Freedom of Thought, Conscience and Religion (Article 18), in Conjunction With Articles 17, 19 and 26; Right of Peaceful Assembly and Association (Articles 21, 22)</w:t>
        </w:r>
        <w:r w:rsidRPr="007B19EE">
          <w:rPr>
            <w:rStyle w:val="Hyperlink"/>
            <w:color w:val="auto"/>
          </w:rPr>
          <w:tab/>
        </w:r>
        <w:r w:rsidRPr="007B19EE">
          <w:rPr>
            <w:rStyle w:val="Hyperlink"/>
            <w:color w:val="auto"/>
          </w:rPr>
          <w:fldChar w:fldCharType="begin"/>
        </w:r>
        <w:r w:rsidRPr="007B19EE">
          <w:rPr>
            <w:rStyle w:val="Hyperlink"/>
            <w:color w:val="auto"/>
          </w:rPr>
          <w:instrText xml:space="preserve"> PAGEREF _Toc18415359 \h </w:instrText>
        </w:r>
        <w:r w:rsidRPr="007B19EE">
          <w:rPr>
            <w:rStyle w:val="Hyperlink"/>
            <w:color w:val="auto"/>
          </w:rPr>
        </w:r>
        <w:r w:rsidRPr="007B19EE">
          <w:rPr>
            <w:rStyle w:val="Hyperlink"/>
            <w:color w:val="auto"/>
          </w:rPr>
          <w:fldChar w:fldCharType="separate"/>
        </w:r>
        <w:r w:rsidR="009B32AF">
          <w:rPr>
            <w:rStyle w:val="Hyperlink"/>
            <w:color w:val="auto"/>
          </w:rPr>
          <w:t>2</w:t>
        </w:r>
        <w:r w:rsidRPr="007B19EE">
          <w:rPr>
            <w:rStyle w:val="Hyperlink"/>
            <w:color w:val="auto"/>
          </w:rPr>
          <w:fldChar w:fldCharType="end"/>
        </w:r>
      </w:hyperlink>
    </w:p>
    <w:p w:rsidR="00026FA1" w:rsidRPr="007B19EE" w:rsidRDefault="000C1443" w:rsidP="00026FA1">
      <w:pPr>
        <w:pStyle w:val="TOC1"/>
        <w:rPr>
          <w:rStyle w:val="Hyperlink"/>
          <w:color w:val="auto"/>
        </w:rPr>
      </w:pPr>
      <w:r w:rsidRPr="007B19EE">
        <w:rPr>
          <w:rStyle w:val="Hyperlink"/>
          <w:color w:val="auto"/>
        </w:rPr>
        <w:tab/>
      </w:r>
      <w:hyperlink w:anchor="_Toc18415364" w:history="1">
        <w:r w:rsidRPr="007B19EE">
          <w:rPr>
            <w:rStyle w:val="Hyperlink"/>
            <w:color w:val="auto"/>
          </w:rPr>
          <w:t>i. Background</w:t>
        </w:r>
        <w:r w:rsidRPr="007B19EE">
          <w:rPr>
            <w:rStyle w:val="Hyperlink"/>
            <w:color w:val="auto"/>
          </w:rPr>
          <w:tab/>
        </w:r>
        <w:r w:rsidRPr="007B19EE">
          <w:rPr>
            <w:rStyle w:val="Hyperlink"/>
            <w:color w:val="auto"/>
          </w:rPr>
          <w:fldChar w:fldCharType="begin"/>
        </w:r>
        <w:r w:rsidRPr="007B19EE">
          <w:rPr>
            <w:rStyle w:val="Hyperlink"/>
            <w:color w:val="auto"/>
          </w:rPr>
          <w:instrText xml:space="preserve"> PAGEREF _Toc18415364 \h </w:instrText>
        </w:r>
        <w:r w:rsidRPr="007B19EE">
          <w:rPr>
            <w:rStyle w:val="Hyperlink"/>
            <w:color w:val="auto"/>
          </w:rPr>
        </w:r>
        <w:r w:rsidRPr="007B19EE">
          <w:rPr>
            <w:rStyle w:val="Hyperlink"/>
            <w:color w:val="auto"/>
          </w:rPr>
          <w:fldChar w:fldCharType="separate"/>
        </w:r>
        <w:r w:rsidR="009B32AF">
          <w:rPr>
            <w:rStyle w:val="Hyperlink"/>
            <w:color w:val="auto"/>
          </w:rPr>
          <w:t>3</w:t>
        </w:r>
        <w:r w:rsidRPr="007B19EE">
          <w:rPr>
            <w:rStyle w:val="Hyperlink"/>
            <w:color w:val="auto"/>
          </w:rPr>
          <w:fldChar w:fldCharType="end"/>
        </w:r>
      </w:hyperlink>
    </w:p>
    <w:p w:rsidR="00026FA1" w:rsidRPr="007B19EE" w:rsidRDefault="000C1443" w:rsidP="00026FA1">
      <w:pPr>
        <w:pStyle w:val="TOC1"/>
        <w:rPr>
          <w:rStyle w:val="Hyperlink"/>
          <w:color w:val="auto"/>
        </w:rPr>
      </w:pPr>
      <w:r w:rsidRPr="007B19EE">
        <w:rPr>
          <w:rStyle w:val="Hyperlink"/>
          <w:color w:val="auto"/>
        </w:rPr>
        <w:tab/>
      </w:r>
      <w:hyperlink w:anchor="_Toc18415365" w:history="1">
        <w:r w:rsidRPr="007B19EE">
          <w:rPr>
            <w:rStyle w:val="Hyperlink"/>
            <w:color w:val="auto"/>
          </w:rPr>
          <w:t>ii.</w:t>
        </w:r>
        <w:r w:rsidRPr="007B19EE">
          <w:rPr>
            <w:rStyle w:val="Hyperlink"/>
            <w:color w:val="auto"/>
          </w:rPr>
          <w:tab/>
          <w:t>Parliamentary Anti-Sect Report</w:t>
        </w:r>
        <w:r w:rsidRPr="007B19EE">
          <w:rPr>
            <w:rStyle w:val="Hyperlink"/>
            <w:color w:val="auto"/>
          </w:rPr>
          <w:tab/>
        </w:r>
        <w:r w:rsidRPr="007B19EE">
          <w:rPr>
            <w:rStyle w:val="Hyperlink"/>
            <w:color w:val="auto"/>
          </w:rPr>
          <w:fldChar w:fldCharType="begin"/>
        </w:r>
        <w:r w:rsidRPr="007B19EE">
          <w:rPr>
            <w:rStyle w:val="Hyperlink"/>
            <w:color w:val="auto"/>
          </w:rPr>
          <w:instrText xml:space="preserve"> PAGEREF _Toc18415365 \h </w:instrText>
        </w:r>
        <w:r w:rsidRPr="007B19EE">
          <w:rPr>
            <w:rStyle w:val="Hyperlink"/>
            <w:color w:val="auto"/>
          </w:rPr>
        </w:r>
        <w:r w:rsidRPr="007B19EE">
          <w:rPr>
            <w:rStyle w:val="Hyperlink"/>
            <w:color w:val="auto"/>
          </w:rPr>
          <w:fldChar w:fldCharType="separate"/>
        </w:r>
        <w:r w:rsidR="009B32AF">
          <w:rPr>
            <w:rStyle w:val="Hyperlink"/>
            <w:color w:val="auto"/>
          </w:rPr>
          <w:t>4</w:t>
        </w:r>
        <w:r w:rsidRPr="007B19EE">
          <w:rPr>
            <w:rStyle w:val="Hyperlink"/>
            <w:color w:val="auto"/>
          </w:rPr>
          <w:fldChar w:fldCharType="end"/>
        </w:r>
      </w:hyperlink>
    </w:p>
    <w:p w:rsidR="00026FA1" w:rsidRPr="007B19EE" w:rsidRDefault="000C1443" w:rsidP="00026FA1">
      <w:pPr>
        <w:pStyle w:val="TOC1"/>
        <w:rPr>
          <w:rStyle w:val="Hyperlink"/>
          <w:color w:val="auto"/>
        </w:rPr>
      </w:pPr>
      <w:r w:rsidRPr="007B19EE">
        <w:rPr>
          <w:rStyle w:val="Hyperlink"/>
          <w:color w:val="auto"/>
        </w:rPr>
        <w:tab/>
      </w:r>
      <w:hyperlink w:anchor="_Toc18415366" w:history="1">
        <w:r w:rsidRPr="007B19EE">
          <w:rPr>
            <w:rStyle w:val="Hyperlink"/>
            <w:color w:val="auto"/>
          </w:rPr>
          <w:t>B.</w:t>
        </w:r>
        <w:r w:rsidRPr="007B19EE">
          <w:rPr>
            <w:rStyle w:val="Hyperlink"/>
            <w:color w:val="auto"/>
          </w:rPr>
          <w:tab/>
          <w:t xml:space="preserve">Right of Persons Deprived of Their Liberty to </w:t>
        </w:r>
        <w:r w:rsidR="005D55BB">
          <w:rPr>
            <w:rStyle w:val="Hyperlink"/>
            <w:color w:val="auto"/>
          </w:rPr>
          <w:t>B</w:t>
        </w:r>
        <w:r w:rsidRPr="007B19EE">
          <w:rPr>
            <w:rStyle w:val="Hyperlink"/>
            <w:color w:val="auto"/>
          </w:rPr>
          <w:t>e Treated With Humanity and Dignity (Article 10) in Conjunction With Articles 18, 19 and 26</w:t>
        </w:r>
        <w:r w:rsidRPr="007B19EE">
          <w:rPr>
            <w:rStyle w:val="Hyperlink"/>
            <w:color w:val="auto"/>
          </w:rPr>
          <w:tab/>
        </w:r>
        <w:r w:rsidRPr="007B19EE">
          <w:rPr>
            <w:rStyle w:val="Hyperlink"/>
            <w:color w:val="auto"/>
          </w:rPr>
          <w:fldChar w:fldCharType="begin"/>
        </w:r>
        <w:r w:rsidRPr="007B19EE">
          <w:rPr>
            <w:rStyle w:val="Hyperlink"/>
            <w:color w:val="auto"/>
          </w:rPr>
          <w:instrText xml:space="preserve"> PAGEREF _Toc18415366 \h </w:instrText>
        </w:r>
        <w:r w:rsidRPr="007B19EE">
          <w:rPr>
            <w:rStyle w:val="Hyperlink"/>
            <w:color w:val="auto"/>
          </w:rPr>
        </w:r>
        <w:r w:rsidRPr="007B19EE">
          <w:rPr>
            <w:rStyle w:val="Hyperlink"/>
            <w:color w:val="auto"/>
          </w:rPr>
          <w:fldChar w:fldCharType="separate"/>
        </w:r>
        <w:r w:rsidR="009B32AF">
          <w:rPr>
            <w:rStyle w:val="Hyperlink"/>
            <w:color w:val="auto"/>
          </w:rPr>
          <w:t>5</w:t>
        </w:r>
        <w:r w:rsidRPr="007B19EE">
          <w:rPr>
            <w:rStyle w:val="Hyperlink"/>
            <w:color w:val="auto"/>
          </w:rPr>
          <w:fldChar w:fldCharType="end"/>
        </w:r>
      </w:hyperlink>
    </w:p>
    <w:p w:rsidR="00026FA1" w:rsidRPr="00366C3F" w:rsidRDefault="008515EA" w:rsidP="00026FA1">
      <w:pPr>
        <w:pStyle w:val="TOC1"/>
      </w:pPr>
      <w:hyperlink w:anchor="_Toc18415367" w:history="1">
        <w:r w:rsidR="000C1443" w:rsidRPr="007B19EE">
          <w:rPr>
            <w:rStyle w:val="Hyperlink"/>
            <w:caps/>
            <w:color w:val="auto"/>
          </w:rPr>
          <w:t>III.</w:t>
        </w:r>
        <w:r w:rsidR="000C1443" w:rsidRPr="00366C3F">
          <w:tab/>
        </w:r>
        <w:r w:rsidR="000C1443" w:rsidRPr="007B19EE">
          <w:rPr>
            <w:rStyle w:val="Hyperlink"/>
            <w:caps/>
            <w:color w:val="auto"/>
          </w:rPr>
          <w:t>CONCLUSION AND RECOMMENDATIONS</w:t>
        </w:r>
        <w:r w:rsidR="000C1443" w:rsidRPr="00B56E44">
          <w:tab/>
        </w:r>
        <w:r w:rsidR="000C1443" w:rsidRPr="00B56E44">
          <w:fldChar w:fldCharType="begin"/>
        </w:r>
        <w:r w:rsidR="000C1443" w:rsidRPr="00B56E44">
          <w:instrText xml:space="preserve"> PAGEREF _Toc18415367 \h </w:instrText>
        </w:r>
        <w:r w:rsidR="000C1443" w:rsidRPr="00B56E44">
          <w:fldChar w:fldCharType="separate"/>
        </w:r>
        <w:r w:rsidR="009B32AF">
          <w:t>6</w:t>
        </w:r>
        <w:r w:rsidR="000C1443" w:rsidRPr="00B56E44">
          <w:fldChar w:fldCharType="end"/>
        </w:r>
      </w:hyperlink>
    </w:p>
    <w:p w:rsidR="00026FA1" w:rsidRPr="00B56E44" w:rsidRDefault="000C1443" w:rsidP="00026FA1">
      <w:pPr>
        <w:spacing w:line="276" w:lineRule="auto"/>
        <w:rPr>
          <w:rFonts w:ascii="Times New Roman" w:hAnsi="Times New Roman"/>
          <w:sz w:val="24"/>
          <w:szCs w:val="24"/>
          <w:lang w:val="en-GB"/>
        </w:rPr>
      </w:pPr>
      <w:r w:rsidRPr="00B56E44">
        <w:rPr>
          <w:rFonts w:ascii="Times New Roman" w:hAnsi="Times New Roman"/>
          <w:bCs/>
          <w:noProof/>
          <w:sz w:val="24"/>
          <w:szCs w:val="24"/>
          <w:lang w:val="en-GB"/>
        </w:rPr>
        <w:fldChar w:fldCharType="end"/>
      </w:r>
    </w:p>
    <w:p w:rsidR="00026FA1" w:rsidRPr="006C4A64" w:rsidRDefault="008515EA" w:rsidP="00026FA1">
      <w:pPr>
        <w:rPr>
          <w:lang w:val="en-GB"/>
        </w:rPr>
      </w:pPr>
    </w:p>
    <w:p w:rsidR="00026FA1" w:rsidRPr="006C4A64" w:rsidRDefault="008515EA" w:rsidP="00026FA1">
      <w:pPr>
        <w:spacing w:before="60"/>
        <w:rPr>
          <w:rFonts w:ascii="Times New Roman" w:hAnsi="Times New Roman"/>
          <w:lang w:val="en-GB"/>
        </w:rPr>
      </w:pPr>
    </w:p>
    <w:p w:rsidR="00026FA1" w:rsidRPr="006C4A64" w:rsidRDefault="008515EA" w:rsidP="00026FA1">
      <w:pPr>
        <w:spacing w:before="60"/>
        <w:rPr>
          <w:rFonts w:ascii="Times New Roman" w:hAnsi="Times New Roman"/>
          <w:lang w:val="en-GB"/>
        </w:rPr>
      </w:pPr>
    </w:p>
    <w:p w:rsidR="00026FA1" w:rsidRPr="006C4A64" w:rsidRDefault="008515EA" w:rsidP="00026FA1">
      <w:pPr>
        <w:jc w:val="both"/>
        <w:rPr>
          <w:rFonts w:ascii="Times New Roman" w:hAnsi="Times New Roman"/>
          <w:b/>
          <w:i/>
          <w:sz w:val="24"/>
          <w:szCs w:val="24"/>
          <w:lang w:val="en-GB"/>
        </w:rPr>
      </w:pPr>
    </w:p>
    <w:p w:rsidR="00026FA1" w:rsidRPr="006C4A64" w:rsidRDefault="008515EA" w:rsidP="00026FA1">
      <w:pPr>
        <w:rPr>
          <w:rFonts w:ascii="Times New Roman" w:hAnsi="Times New Roman"/>
          <w:b/>
          <w:i/>
          <w:sz w:val="24"/>
          <w:szCs w:val="24"/>
          <w:lang w:val="en-GB"/>
        </w:rPr>
        <w:sectPr w:rsidR="00026FA1" w:rsidRPr="006C4A64" w:rsidSect="00077DD8">
          <w:headerReference w:type="default" r:id="rId9"/>
          <w:headerReference w:type="first" r:id="rId10"/>
          <w:footerReference w:type="first" r:id="rId11"/>
          <w:pgSz w:w="11899" w:h="16838" w:code="9"/>
          <w:pgMar w:top="238" w:right="1134" w:bottom="250" w:left="1134" w:header="0" w:footer="0" w:gutter="0"/>
          <w:paperSrc w:first="1" w:other="1"/>
          <w:pgNumType w:start="0"/>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39"/>
      </w:tblGrid>
      <w:tr w:rsidR="00047A0D" w:rsidTr="00026FA1">
        <w:trPr>
          <w:trHeight w:val="2325"/>
        </w:trPr>
        <w:tc>
          <w:tcPr>
            <w:tcW w:w="9839" w:type="dxa"/>
            <w:shd w:val="clear" w:color="auto" w:fill="D3DFEE"/>
          </w:tcPr>
          <w:p w:rsidR="00026FA1" w:rsidRPr="006C4A64" w:rsidRDefault="000C1443" w:rsidP="00026FA1">
            <w:pPr>
              <w:pStyle w:val="Heading1"/>
              <w:rPr>
                <w:rFonts w:ascii="Times New Roman" w:eastAsia="Malgun Gothic" w:hAnsi="Times New Roman"/>
                <w:b w:val="0"/>
                <w:bCs/>
                <w:color w:val="auto"/>
                <w:lang w:val="en-GB"/>
              </w:rPr>
            </w:pPr>
            <w:bookmarkStart w:id="0" w:name="_Toc354402755"/>
            <w:bookmarkStart w:id="1" w:name="_Toc518998911"/>
            <w:bookmarkStart w:id="2" w:name="_Toc18415356"/>
            <w:r w:rsidRPr="006C4A64">
              <w:rPr>
                <w:rFonts w:ascii="Times New Roman" w:eastAsia="Malgun Gothic" w:hAnsi="Times New Roman"/>
                <w:b w:val="0"/>
                <w:bCs/>
                <w:color w:val="auto"/>
                <w:lang w:val="en-GB"/>
              </w:rPr>
              <w:lastRenderedPageBreak/>
              <w:t>SUMMARY OF THE SUBMISSION</w:t>
            </w:r>
            <w:bookmarkEnd w:id="0"/>
            <w:bookmarkEnd w:id="1"/>
            <w:bookmarkEnd w:id="2"/>
          </w:p>
          <w:p w:rsidR="00026FA1" w:rsidRPr="006C4A64" w:rsidRDefault="000C1443" w:rsidP="00026FA1">
            <w:pPr>
              <w:topLinePunct/>
              <w:spacing w:after="240"/>
              <w:ind w:right="213"/>
              <w:jc w:val="both"/>
              <w:rPr>
                <w:rFonts w:ascii="Times New Roman" w:eastAsia="Malgun Gothic" w:hAnsi="Times New Roman"/>
                <w:bCs/>
                <w:kern w:val="2"/>
                <w:sz w:val="24"/>
                <w:szCs w:val="24"/>
                <w:lang w:val="en-GB"/>
              </w:rPr>
            </w:pPr>
            <w:r w:rsidRPr="006C4A64">
              <w:rPr>
                <w:rFonts w:ascii="Times New Roman" w:eastAsia="Malgun Gothic" w:hAnsi="Times New Roman"/>
                <w:bCs/>
                <w:kern w:val="2"/>
                <w:sz w:val="24"/>
                <w:szCs w:val="24"/>
                <w:lang w:val="en-GB"/>
              </w:rPr>
              <w:t>This submission to the Human Rights Committee (CCPR) on Belgium highlights violations of the provisions of the International Covenant on Civil and Political Rights (ICCPR) subsequent to the adoption</w:t>
            </w:r>
            <w:r w:rsidRPr="006C4A64">
              <w:rPr>
                <w:rFonts w:ascii="Times New Roman" w:eastAsia="Malgun Gothic" w:hAnsi="Times New Roman"/>
                <w:b/>
                <w:bCs/>
                <w:kern w:val="2"/>
                <w:sz w:val="24"/>
                <w:szCs w:val="24"/>
                <w:lang w:val="en-GB"/>
              </w:rPr>
              <w:t xml:space="preserve"> </w:t>
            </w:r>
            <w:r w:rsidRPr="006C4A64">
              <w:rPr>
                <w:rFonts w:ascii="Times New Roman" w:eastAsia="Malgun Gothic" w:hAnsi="Times New Roman"/>
                <w:bCs/>
                <w:kern w:val="2"/>
                <w:sz w:val="24"/>
                <w:szCs w:val="24"/>
                <w:lang w:val="en-GB"/>
              </w:rPr>
              <w:t>of the</w:t>
            </w:r>
            <w:r w:rsidRPr="006C4A64">
              <w:rPr>
                <w:rFonts w:ascii="Times New Roman" w:eastAsia="Malgun Gothic" w:hAnsi="Times New Roman"/>
                <w:bCs/>
                <w:i/>
                <w:kern w:val="2"/>
                <w:sz w:val="24"/>
                <w:szCs w:val="24"/>
                <w:lang w:val="en-GB"/>
              </w:rPr>
              <w:t xml:space="preserve"> List of issues </w:t>
            </w:r>
            <w:r w:rsidRPr="006C4A64">
              <w:rPr>
                <w:rFonts w:ascii="Times New Roman" w:eastAsia="Malgun Gothic" w:hAnsi="Times New Roman"/>
                <w:bCs/>
                <w:kern w:val="2"/>
                <w:sz w:val="24"/>
                <w:szCs w:val="24"/>
                <w:lang w:val="en-GB"/>
              </w:rPr>
              <w:t>to be taken up in connection with the consideration of the 6</w:t>
            </w:r>
            <w:r w:rsidRPr="006C4A64">
              <w:rPr>
                <w:rFonts w:ascii="Times New Roman" w:eastAsia="Malgun Gothic" w:hAnsi="Times New Roman"/>
                <w:bCs/>
                <w:kern w:val="2"/>
                <w:sz w:val="24"/>
                <w:szCs w:val="24"/>
                <w:vertAlign w:val="superscript"/>
                <w:lang w:val="en-GB"/>
              </w:rPr>
              <w:t>th</w:t>
            </w:r>
            <w:r w:rsidRPr="006C4A64">
              <w:rPr>
                <w:rFonts w:ascii="Times New Roman" w:eastAsia="Malgun Gothic" w:hAnsi="Times New Roman"/>
                <w:bCs/>
                <w:kern w:val="2"/>
                <w:sz w:val="24"/>
                <w:szCs w:val="24"/>
                <w:lang w:val="en-GB"/>
              </w:rPr>
              <w:t xml:space="preserve"> report of Belgium.</w:t>
            </w:r>
          </w:p>
          <w:p w:rsidR="00026FA1" w:rsidRPr="006C4A64" w:rsidRDefault="000C1443" w:rsidP="00026FA1">
            <w:pPr>
              <w:ind w:right="340"/>
              <w:jc w:val="both"/>
              <w:rPr>
                <w:rFonts w:ascii="Times New Roman" w:eastAsia="Malgun Gothic" w:hAnsi="Times New Roman"/>
                <w:bCs/>
                <w:kern w:val="2"/>
                <w:sz w:val="24"/>
                <w:szCs w:val="24"/>
                <w:lang w:val="en-GB"/>
              </w:rPr>
            </w:pPr>
            <w:r w:rsidRPr="006C4A64">
              <w:rPr>
                <w:rFonts w:ascii="Times New Roman" w:eastAsia="Malgun Gothic" w:hAnsi="Times New Roman"/>
                <w:bCs/>
                <w:kern w:val="2"/>
                <w:sz w:val="24"/>
                <w:szCs w:val="24"/>
                <w:lang w:val="en-GB"/>
              </w:rPr>
              <w:t>Jehovah’s Witnesses in Belgium, and as a worldwide organisation, respectfully request the government of Belgium to:</w:t>
            </w:r>
          </w:p>
          <w:p w:rsidR="00026FA1" w:rsidRPr="006C4A64" w:rsidRDefault="008515EA" w:rsidP="00026FA1">
            <w:pPr>
              <w:ind w:right="340"/>
              <w:jc w:val="both"/>
              <w:rPr>
                <w:rFonts w:ascii="Times New Roman" w:eastAsia="Malgun Gothic" w:hAnsi="Times New Roman"/>
                <w:bCs/>
                <w:kern w:val="2"/>
                <w:sz w:val="24"/>
                <w:szCs w:val="24"/>
                <w:lang w:val="en-GB"/>
              </w:rPr>
            </w:pPr>
          </w:p>
          <w:p w:rsidR="00026FA1" w:rsidRPr="006C4A64" w:rsidRDefault="000C1443" w:rsidP="00026FA1">
            <w:pPr>
              <w:pStyle w:val="ListParagraph"/>
              <w:numPr>
                <w:ilvl w:val="0"/>
                <w:numId w:val="4"/>
              </w:numPr>
              <w:topLinePunct/>
              <w:spacing w:after="240"/>
              <w:ind w:left="714" w:right="227" w:hanging="357"/>
              <w:jc w:val="both"/>
              <w:rPr>
                <w:rFonts w:ascii="Times New Roman" w:eastAsia="Malgun Gothic" w:hAnsi="Times New Roman"/>
                <w:bCs/>
                <w:kern w:val="2"/>
                <w:sz w:val="24"/>
                <w:szCs w:val="24"/>
                <w:lang w:val="en-GB"/>
              </w:rPr>
            </w:pPr>
            <w:r w:rsidRPr="006C4A64">
              <w:rPr>
                <w:rFonts w:ascii="Times New Roman" w:eastAsia="Malgun Gothic" w:hAnsi="Times New Roman"/>
                <w:bCs/>
                <w:kern w:val="2"/>
                <w:sz w:val="24"/>
                <w:szCs w:val="24"/>
                <w:lang w:val="en-GB"/>
              </w:rPr>
              <w:t xml:space="preserve">Ensure that the adverse consequences to Jehovah’s Witnesses of misleading and tendentious material incorporated in the 1997 report of </w:t>
            </w:r>
            <w:r>
              <w:rPr>
                <w:rFonts w:ascii="Times New Roman" w:eastAsia="Malgun Gothic" w:hAnsi="Times New Roman"/>
                <w:bCs/>
                <w:kern w:val="2"/>
                <w:sz w:val="24"/>
                <w:szCs w:val="24"/>
                <w:lang w:val="en-GB"/>
              </w:rPr>
              <w:t xml:space="preserve">the </w:t>
            </w:r>
            <w:r w:rsidRPr="006C4A64">
              <w:rPr>
                <w:rFonts w:ascii="Times New Roman" w:eastAsia="Malgun Gothic" w:hAnsi="Times New Roman"/>
                <w:bCs/>
                <w:kern w:val="2"/>
                <w:sz w:val="24"/>
                <w:szCs w:val="24"/>
                <w:lang w:val="en-GB"/>
              </w:rPr>
              <w:t>Parliamentarian Commission regarding sects are alleviated</w:t>
            </w:r>
          </w:p>
          <w:p w:rsidR="00026FA1" w:rsidRPr="006C4A64" w:rsidRDefault="000C1443" w:rsidP="00026FA1">
            <w:pPr>
              <w:pStyle w:val="ListParagraph"/>
              <w:numPr>
                <w:ilvl w:val="0"/>
                <w:numId w:val="4"/>
              </w:numPr>
              <w:topLinePunct/>
              <w:spacing w:after="240"/>
              <w:ind w:left="714" w:right="227" w:hanging="357"/>
              <w:jc w:val="both"/>
              <w:rPr>
                <w:rFonts w:ascii="Times New Roman" w:eastAsia="Malgun Gothic" w:hAnsi="Times New Roman"/>
                <w:bCs/>
                <w:kern w:val="2"/>
                <w:sz w:val="24"/>
                <w:szCs w:val="24"/>
                <w:lang w:val="en-GB"/>
              </w:rPr>
            </w:pPr>
            <w:r w:rsidRPr="006C4A64">
              <w:rPr>
                <w:rFonts w:ascii="Times New Roman" w:eastAsia="Malgun Gothic" w:hAnsi="Times New Roman"/>
                <w:bCs/>
                <w:kern w:val="2"/>
                <w:sz w:val="24"/>
                <w:szCs w:val="24"/>
                <w:lang w:val="en-GB"/>
              </w:rPr>
              <w:t xml:space="preserve">Guarantee </w:t>
            </w:r>
            <w:r>
              <w:rPr>
                <w:rFonts w:ascii="Times New Roman" w:eastAsia="Malgun Gothic" w:hAnsi="Times New Roman"/>
                <w:bCs/>
                <w:kern w:val="2"/>
                <w:sz w:val="24"/>
                <w:szCs w:val="24"/>
                <w:lang w:val="en-GB"/>
              </w:rPr>
              <w:t xml:space="preserve">that </w:t>
            </w:r>
            <w:r w:rsidRPr="006C4A64">
              <w:rPr>
                <w:rFonts w:ascii="Times New Roman" w:eastAsia="Malgun Gothic" w:hAnsi="Times New Roman"/>
                <w:bCs/>
                <w:kern w:val="2"/>
                <w:sz w:val="24"/>
                <w:szCs w:val="24"/>
                <w:lang w:val="en-GB"/>
              </w:rPr>
              <w:t>the recurring erroneous actions of the Information and Advice Centre on Harmful Sectarian Organizations (IACSSO) are corrected and not repeated</w:t>
            </w:r>
          </w:p>
          <w:p w:rsidR="00026FA1" w:rsidRDefault="000C1443" w:rsidP="00026FA1">
            <w:pPr>
              <w:pStyle w:val="ListParagraph"/>
              <w:numPr>
                <w:ilvl w:val="0"/>
                <w:numId w:val="4"/>
              </w:numPr>
              <w:topLinePunct/>
              <w:ind w:left="714" w:right="227" w:hanging="357"/>
              <w:jc w:val="both"/>
              <w:rPr>
                <w:rFonts w:ascii="Times New Roman" w:eastAsia="Malgun Gothic" w:hAnsi="Times New Roman"/>
                <w:bCs/>
                <w:kern w:val="2"/>
                <w:sz w:val="24"/>
                <w:szCs w:val="24"/>
                <w:lang w:val="en-GB"/>
              </w:rPr>
            </w:pPr>
            <w:r>
              <w:rPr>
                <w:rFonts w:ascii="Times New Roman" w:eastAsia="Malgun Gothic" w:hAnsi="Times New Roman"/>
                <w:bCs/>
                <w:kern w:val="2"/>
                <w:sz w:val="24"/>
                <w:szCs w:val="24"/>
                <w:lang w:val="en-GB"/>
              </w:rPr>
              <w:t>Grant</w:t>
            </w:r>
            <w:r w:rsidRPr="006C4A64">
              <w:rPr>
                <w:rFonts w:ascii="Times New Roman" w:eastAsia="Malgun Gothic" w:hAnsi="Times New Roman"/>
                <w:bCs/>
                <w:kern w:val="2"/>
                <w:sz w:val="24"/>
                <w:szCs w:val="24"/>
                <w:lang w:val="en-GB"/>
              </w:rPr>
              <w:t xml:space="preserve"> ministers of Jehovah’s Witnesses the same rights and privileges as ministers of the so-called State recogni</w:t>
            </w:r>
            <w:r w:rsidR="00221D89">
              <w:rPr>
                <w:rFonts w:ascii="Times New Roman" w:eastAsia="Malgun Gothic" w:hAnsi="Times New Roman"/>
                <w:bCs/>
                <w:kern w:val="2"/>
                <w:sz w:val="24"/>
                <w:szCs w:val="24"/>
                <w:lang w:val="en-GB"/>
              </w:rPr>
              <w:t>z</w:t>
            </w:r>
            <w:r w:rsidRPr="006C4A64">
              <w:rPr>
                <w:rFonts w:ascii="Times New Roman" w:eastAsia="Malgun Gothic" w:hAnsi="Times New Roman"/>
                <w:bCs/>
                <w:kern w:val="2"/>
                <w:sz w:val="24"/>
                <w:szCs w:val="24"/>
                <w:lang w:val="en-GB"/>
              </w:rPr>
              <w:t>ed religions, including granting them the right to provide pastoral visits to prisoners</w:t>
            </w:r>
          </w:p>
          <w:p w:rsidR="00026FA1" w:rsidRPr="006C4A64" w:rsidRDefault="008515EA" w:rsidP="00026FA1">
            <w:pPr>
              <w:pStyle w:val="ListParagraph"/>
              <w:topLinePunct/>
              <w:ind w:left="714" w:right="227"/>
              <w:jc w:val="both"/>
              <w:rPr>
                <w:rFonts w:ascii="Times New Roman" w:eastAsia="Malgun Gothic" w:hAnsi="Times New Roman"/>
                <w:bCs/>
                <w:kern w:val="2"/>
                <w:sz w:val="24"/>
                <w:szCs w:val="24"/>
                <w:lang w:val="en-GB"/>
              </w:rPr>
            </w:pPr>
          </w:p>
          <w:p w:rsidR="00026FA1" w:rsidRPr="00B56E44" w:rsidRDefault="000C1443" w:rsidP="00026FA1">
            <w:pPr>
              <w:pStyle w:val="ListParagraph"/>
              <w:numPr>
                <w:ilvl w:val="0"/>
                <w:numId w:val="4"/>
              </w:numPr>
              <w:topLinePunct/>
              <w:ind w:left="714" w:right="227" w:hanging="357"/>
              <w:jc w:val="both"/>
              <w:rPr>
                <w:rFonts w:ascii="Times New Roman" w:eastAsia="Malgun Gothic" w:hAnsi="Times New Roman"/>
                <w:b/>
                <w:bCs/>
                <w:kern w:val="2"/>
                <w:sz w:val="24"/>
                <w:szCs w:val="24"/>
                <w:lang w:val="en-GB"/>
              </w:rPr>
            </w:pPr>
            <w:r w:rsidRPr="006C4A64">
              <w:rPr>
                <w:rFonts w:ascii="Times New Roman" w:eastAsia="Malgun Gothic" w:hAnsi="Times New Roman"/>
                <w:bCs/>
                <w:kern w:val="2"/>
                <w:sz w:val="24"/>
                <w:szCs w:val="24"/>
                <w:lang w:val="en-GB"/>
              </w:rPr>
              <w:t xml:space="preserve">Abide by its commitment to uphold the fundamental freedoms guaranteed by the </w:t>
            </w:r>
            <w:r w:rsidR="00284235">
              <w:rPr>
                <w:rFonts w:ascii="Times New Roman" w:eastAsia="Malgun Gothic" w:hAnsi="Times New Roman"/>
                <w:bCs/>
                <w:kern w:val="2"/>
                <w:sz w:val="24"/>
                <w:szCs w:val="24"/>
                <w:lang w:val="en-GB"/>
              </w:rPr>
              <w:t xml:space="preserve">Constitution of Belgium and the International </w:t>
            </w:r>
            <w:r w:rsidRPr="006C4A64">
              <w:rPr>
                <w:rFonts w:ascii="Times New Roman" w:eastAsia="Malgun Gothic" w:hAnsi="Times New Roman"/>
                <w:bCs/>
                <w:kern w:val="2"/>
                <w:sz w:val="24"/>
                <w:szCs w:val="24"/>
                <w:lang w:val="en-GB"/>
              </w:rPr>
              <w:t xml:space="preserve">Covenant </w:t>
            </w:r>
            <w:r w:rsidR="00284235">
              <w:rPr>
                <w:rFonts w:ascii="Times New Roman" w:eastAsia="Malgun Gothic" w:hAnsi="Times New Roman"/>
                <w:bCs/>
                <w:kern w:val="2"/>
                <w:sz w:val="24"/>
                <w:szCs w:val="24"/>
                <w:lang w:val="en-GB"/>
              </w:rPr>
              <w:t xml:space="preserve">on Civil and Political Rights </w:t>
            </w:r>
            <w:r w:rsidRPr="006C4A64">
              <w:rPr>
                <w:rFonts w:ascii="Times New Roman" w:eastAsia="Malgun Gothic" w:hAnsi="Times New Roman"/>
                <w:bCs/>
                <w:kern w:val="2"/>
                <w:sz w:val="24"/>
                <w:szCs w:val="24"/>
                <w:lang w:val="en-GB"/>
              </w:rPr>
              <w:t>for all citizens, including Jehovah’s Witnesses</w:t>
            </w:r>
          </w:p>
          <w:p w:rsidR="00026FA1" w:rsidRPr="006C4A64" w:rsidRDefault="008515EA" w:rsidP="00026FA1">
            <w:pPr>
              <w:spacing w:line="276" w:lineRule="auto"/>
              <w:jc w:val="both"/>
              <w:rPr>
                <w:rFonts w:ascii="Times New Roman" w:eastAsia="Malgun Gothic" w:hAnsi="Times New Roman"/>
                <w:b/>
                <w:bCs/>
                <w:kern w:val="2"/>
                <w:sz w:val="24"/>
                <w:szCs w:val="24"/>
                <w:lang w:val="en-GB"/>
              </w:rPr>
            </w:pPr>
          </w:p>
        </w:tc>
      </w:tr>
    </w:tbl>
    <w:p w:rsidR="00026FA1" w:rsidRPr="00284235" w:rsidRDefault="008515EA" w:rsidP="00026FA1">
      <w:pPr>
        <w:spacing w:after="240"/>
        <w:jc w:val="both"/>
        <w:rPr>
          <w:rFonts w:ascii="Times New Roman" w:hAnsi="Times New Roman"/>
          <w:sz w:val="24"/>
          <w:szCs w:val="24"/>
        </w:rPr>
      </w:pPr>
    </w:p>
    <w:p w:rsidR="00026FA1" w:rsidRPr="00B56E44" w:rsidRDefault="000C1443" w:rsidP="00026FA1">
      <w:pPr>
        <w:pStyle w:val="Heading1"/>
        <w:numPr>
          <w:ilvl w:val="0"/>
          <w:numId w:val="3"/>
        </w:numPr>
        <w:ind w:left="720" w:hanging="360"/>
        <w:jc w:val="both"/>
        <w:rPr>
          <w:rFonts w:ascii="Times New Roman Bold" w:hAnsi="Times New Roman Bold" w:cs="Times New Roman"/>
          <w:caps/>
          <w:color w:val="auto"/>
          <w:szCs w:val="24"/>
          <w:lang w:val="en-GB"/>
        </w:rPr>
      </w:pPr>
      <w:bookmarkStart w:id="3" w:name="_Toc18415357"/>
      <w:r w:rsidRPr="00B56E44">
        <w:rPr>
          <w:rFonts w:ascii="Times New Roman Bold" w:hAnsi="Times New Roman Bold" w:cs="Times New Roman"/>
          <w:caps/>
          <w:color w:val="auto"/>
          <w:szCs w:val="24"/>
          <w:lang w:val="en-GB"/>
        </w:rPr>
        <w:t>INTRODUCTION</w:t>
      </w:r>
      <w:bookmarkEnd w:id="3"/>
    </w:p>
    <w:p w:rsidR="00026FA1" w:rsidRPr="006C4A64" w:rsidRDefault="000C1443" w:rsidP="00026FA1">
      <w:pPr>
        <w:pStyle w:val="ListParagraph"/>
        <w:numPr>
          <w:ilvl w:val="1"/>
          <w:numId w:val="4"/>
        </w:numPr>
        <w:topLinePunct/>
        <w:spacing w:after="240"/>
        <w:ind w:left="435" w:right="181"/>
        <w:jc w:val="both"/>
        <w:rPr>
          <w:rFonts w:ascii="Times New Roman" w:hAnsi="Times New Roman"/>
          <w:sz w:val="24"/>
          <w:szCs w:val="24"/>
          <w:lang w:val="en-GB"/>
        </w:rPr>
      </w:pPr>
      <w:r w:rsidRPr="006C4A64">
        <w:rPr>
          <w:rFonts w:ascii="Times New Roman" w:hAnsi="Times New Roman"/>
          <w:sz w:val="24"/>
          <w:szCs w:val="24"/>
          <w:lang w:val="en-GB"/>
        </w:rPr>
        <w:t>The European Association of Jehovah’s Witnesses is a charity registered in the United Kingdom. It provides support to Jehovah’s Witnesses facing fundamental human rights violations in various parts of the world.</w:t>
      </w:r>
    </w:p>
    <w:p w:rsidR="00026FA1"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t xml:space="preserve">Jehovah’s Witnesses have been in </w:t>
      </w:r>
      <w:r w:rsidRPr="006C4A64">
        <w:rPr>
          <w:rFonts w:ascii="Times New Roman" w:eastAsia="Malgun Gothic" w:hAnsi="Times New Roman"/>
          <w:bCs/>
          <w:kern w:val="2"/>
          <w:sz w:val="24"/>
          <w:szCs w:val="24"/>
          <w:lang w:val="en-GB"/>
        </w:rPr>
        <w:t xml:space="preserve">Belgium </w:t>
      </w:r>
      <w:r w:rsidRPr="006C4A64">
        <w:rPr>
          <w:rFonts w:ascii="Times New Roman" w:hAnsi="Times New Roman"/>
          <w:sz w:val="24"/>
          <w:szCs w:val="24"/>
          <w:lang w:val="en-GB"/>
        </w:rPr>
        <w:t xml:space="preserve">for almost 120 years. Following biased and unsupported comments in a 1997 Parliamentarian Commission </w:t>
      </w:r>
      <w:r w:rsidR="00330F60">
        <w:rPr>
          <w:rFonts w:ascii="Times New Roman" w:hAnsi="Times New Roman"/>
          <w:sz w:val="24"/>
          <w:szCs w:val="24"/>
          <w:lang w:val="en-GB"/>
        </w:rPr>
        <w:t>r</w:t>
      </w:r>
      <w:r w:rsidRPr="006C4A64">
        <w:rPr>
          <w:rFonts w:ascii="Times New Roman" w:hAnsi="Times New Roman"/>
          <w:sz w:val="24"/>
          <w:szCs w:val="24"/>
          <w:lang w:val="en-GB"/>
        </w:rPr>
        <w:t>eport and the publication of similar material by the state-sponsored IACSSO, the Belgian State has besmirched the reputation of Jehovah’s Witnesses. This has caused recurrent difficulties for Jehovah’s Witnesses in obtaining suitable facilities for worship. The defamatory material has also been repeatedly cited in child custody cases involving parents who are Jehovah’s Witnesses. In addition, religious ministers of Jehovah’s Witnesses have been denied access to prisoners who have requested pastoral visits from them.</w:t>
      </w:r>
    </w:p>
    <w:p w:rsidR="00026FA1" w:rsidRPr="007553F7" w:rsidRDefault="000C1443" w:rsidP="00026FA1">
      <w:pPr>
        <w:pStyle w:val="Heading1"/>
        <w:numPr>
          <w:ilvl w:val="0"/>
          <w:numId w:val="3"/>
        </w:numPr>
        <w:ind w:left="720" w:hanging="360"/>
        <w:jc w:val="both"/>
        <w:rPr>
          <w:rFonts w:ascii="Times New Roman Bold" w:hAnsi="Times New Roman Bold" w:cs="Times New Roman"/>
          <w:caps/>
          <w:color w:val="auto"/>
          <w:szCs w:val="24"/>
          <w:lang w:val="en-GB"/>
        </w:rPr>
      </w:pPr>
      <w:bookmarkStart w:id="4" w:name="_Toc18415358"/>
      <w:r w:rsidRPr="007553F7">
        <w:rPr>
          <w:rFonts w:ascii="Times New Roman Bold" w:hAnsi="Times New Roman Bold" w:cs="Times New Roman"/>
          <w:caps/>
          <w:color w:val="auto"/>
          <w:szCs w:val="24"/>
          <w:lang w:val="en-GB"/>
        </w:rPr>
        <w:t>Violations of the provisions of the International Covenant on Civil and Political Rights (ICCPR)</w:t>
      </w:r>
      <w:bookmarkEnd w:id="4"/>
    </w:p>
    <w:p w:rsidR="00026FA1" w:rsidRPr="00B56E44" w:rsidRDefault="000C1443" w:rsidP="00026FA1">
      <w:pPr>
        <w:pStyle w:val="Heading1"/>
        <w:numPr>
          <w:ilvl w:val="1"/>
          <w:numId w:val="3"/>
        </w:numPr>
        <w:ind w:left="1080"/>
        <w:jc w:val="both"/>
        <w:rPr>
          <w:rFonts w:ascii="Times New Roman Bold" w:hAnsi="Times New Roman Bold" w:cs="Times New Roman"/>
          <w:color w:val="auto"/>
          <w:szCs w:val="24"/>
          <w:lang w:val="en-GB"/>
        </w:rPr>
      </w:pPr>
      <w:bookmarkStart w:id="5" w:name="_Toc18415359"/>
      <w:r w:rsidRPr="007553F7">
        <w:rPr>
          <w:rFonts w:ascii="Times New Roman Bold" w:hAnsi="Times New Roman Bold" w:cs="Times New Roman"/>
          <w:color w:val="auto"/>
          <w:szCs w:val="24"/>
          <w:lang w:val="en-GB"/>
        </w:rPr>
        <w:t xml:space="preserve">Freedom of </w:t>
      </w:r>
      <w:r>
        <w:rPr>
          <w:rFonts w:ascii="Times New Roman Bold" w:hAnsi="Times New Roman Bold" w:cs="Times New Roman"/>
          <w:color w:val="auto"/>
          <w:szCs w:val="24"/>
          <w:lang w:val="en-GB"/>
        </w:rPr>
        <w:t>T</w:t>
      </w:r>
      <w:r w:rsidRPr="007553F7">
        <w:rPr>
          <w:rFonts w:ascii="Times New Roman Bold" w:hAnsi="Times New Roman Bold" w:cs="Times New Roman"/>
          <w:color w:val="auto"/>
          <w:szCs w:val="24"/>
          <w:lang w:val="en-GB"/>
        </w:rPr>
        <w:t xml:space="preserve">hought, </w:t>
      </w:r>
      <w:r>
        <w:rPr>
          <w:rFonts w:ascii="Times New Roman Bold" w:hAnsi="Times New Roman Bold" w:cs="Times New Roman"/>
          <w:color w:val="auto"/>
          <w:szCs w:val="24"/>
          <w:lang w:val="en-GB"/>
        </w:rPr>
        <w:t>C</w:t>
      </w:r>
      <w:r w:rsidRPr="007553F7">
        <w:rPr>
          <w:rFonts w:ascii="Times New Roman Bold" w:hAnsi="Times New Roman Bold" w:cs="Times New Roman"/>
          <w:color w:val="auto"/>
          <w:szCs w:val="24"/>
          <w:lang w:val="en-GB"/>
        </w:rPr>
        <w:t xml:space="preserve">onscience and </w:t>
      </w:r>
      <w:r>
        <w:rPr>
          <w:rFonts w:ascii="Times New Roman Bold" w:hAnsi="Times New Roman Bold" w:cs="Times New Roman"/>
          <w:color w:val="auto"/>
          <w:szCs w:val="24"/>
          <w:lang w:val="en-GB"/>
        </w:rPr>
        <w:t>R</w:t>
      </w:r>
      <w:r w:rsidRPr="007553F7">
        <w:rPr>
          <w:rFonts w:ascii="Times New Roman Bold" w:hAnsi="Times New Roman Bold" w:cs="Times New Roman"/>
          <w:color w:val="auto"/>
          <w:szCs w:val="24"/>
          <w:lang w:val="en-GB"/>
        </w:rPr>
        <w:t xml:space="preserve">eligion (Article 18), in </w:t>
      </w:r>
      <w:r>
        <w:rPr>
          <w:rFonts w:ascii="Times New Roman Bold" w:hAnsi="Times New Roman Bold" w:cs="Times New Roman"/>
          <w:color w:val="auto"/>
          <w:szCs w:val="24"/>
          <w:lang w:val="en-GB"/>
        </w:rPr>
        <w:t>C</w:t>
      </w:r>
      <w:r w:rsidRPr="007553F7">
        <w:rPr>
          <w:rFonts w:ascii="Times New Roman Bold" w:hAnsi="Times New Roman Bold" w:cs="Times New Roman"/>
          <w:color w:val="auto"/>
          <w:szCs w:val="24"/>
          <w:lang w:val="en-GB"/>
        </w:rPr>
        <w:t xml:space="preserve">onjunction </w:t>
      </w:r>
      <w:proofErr w:type="gramStart"/>
      <w:r>
        <w:rPr>
          <w:rFonts w:ascii="Times New Roman Bold" w:hAnsi="Times New Roman Bold" w:cs="Times New Roman"/>
          <w:color w:val="auto"/>
          <w:szCs w:val="24"/>
          <w:lang w:val="en-GB"/>
        </w:rPr>
        <w:t>W</w:t>
      </w:r>
      <w:r w:rsidRPr="007553F7">
        <w:rPr>
          <w:rFonts w:ascii="Times New Roman Bold" w:hAnsi="Times New Roman Bold" w:cs="Times New Roman"/>
          <w:color w:val="auto"/>
          <w:szCs w:val="24"/>
          <w:lang w:val="en-GB"/>
        </w:rPr>
        <w:t>ith</w:t>
      </w:r>
      <w:proofErr w:type="gramEnd"/>
      <w:r w:rsidRPr="007553F7">
        <w:rPr>
          <w:rFonts w:ascii="Times New Roman Bold" w:hAnsi="Times New Roman Bold" w:cs="Times New Roman"/>
          <w:color w:val="auto"/>
          <w:szCs w:val="24"/>
          <w:lang w:val="en-GB"/>
        </w:rPr>
        <w:t xml:space="preserve"> Articles 17, 19 and 26; Right of </w:t>
      </w:r>
      <w:r>
        <w:rPr>
          <w:rFonts w:ascii="Times New Roman Bold" w:hAnsi="Times New Roman Bold" w:cs="Times New Roman"/>
          <w:color w:val="auto"/>
          <w:szCs w:val="24"/>
          <w:lang w:val="en-GB"/>
        </w:rPr>
        <w:t>P</w:t>
      </w:r>
      <w:r w:rsidRPr="007553F7">
        <w:rPr>
          <w:rFonts w:ascii="Times New Roman Bold" w:hAnsi="Times New Roman Bold" w:cs="Times New Roman"/>
          <w:color w:val="auto"/>
          <w:szCs w:val="24"/>
          <w:lang w:val="en-GB"/>
        </w:rPr>
        <w:t xml:space="preserve">eaceful </w:t>
      </w:r>
      <w:r>
        <w:rPr>
          <w:rFonts w:ascii="Times New Roman Bold" w:hAnsi="Times New Roman Bold" w:cs="Times New Roman"/>
          <w:color w:val="auto"/>
          <w:szCs w:val="24"/>
          <w:lang w:val="en-GB"/>
        </w:rPr>
        <w:t>A</w:t>
      </w:r>
      <w:r w:rsidRPr="007553F7">
        <w:rPr>
          <w:rFonts w:ascii="Times New Roman Bold" w:hAnsi="Times New Roman Bold" w:cs="Times New Roman"/>
          <w:color w:val="auto"/>
          <w:szCs w:val="24"/>
          <w:lang w:val="en-GB"/>
        </w:rPr>
        <w:t xml:space="preserve">ssembly and </w:t>
      </w:r>
      <w:r>
        <w:rPr>
          <w:rFonts w:ascii="Times New Roman Bold" w:hAnsi="Times New Roman Bold" w:cs="Times New Roman"/>
          <w:color w:val="auto"/>
          <w:szCs w:val="24"/>
          <w:lang w:val="en-GB"/>
        </w:rPr>
        <w:t>A</w:t>
      </w:r>
      <w:r w:rsidRPr="007553F7">
        <w:rPr>
          <w:rFonts w:ascii="Times New Roman Bold" w:hAnsi="Times New Roman Bold" w:cs="Times New Roman"/>
          <w:color w:val="auto"/>
          <w:szCs w:val="24"/>
          <w:lang w:val="en-GB"/>
        </w:rPr>
        <w:t>ssociation (Articles 21, 22)</w:t>
      </w:r>
      <w:bookmarkEnd w:id="5"/>
    </w:p>
    <w:p w:rsidR="00026FA1" w:rsidRPr="00B56E44" w:rsidRDefault="000C1443" w:rsidP="00026FA1">
      <w:pPr>
        <w:pStyle w:val="Heading1"/>
        <w:numPr>
          <w:ilvl w:val="2"/>
          <w:numId w:val="7"/>
        </w:numPr>
        <w:ind w:left="1440"/>
        <w:jc w:val="both"/>
        <w:rPr>
          <w:rFonts w:ascii="Times New Roman Bold" w:hAnsi="Times New Roman Bold" w:cs="Times New Roman"/>
          <w:color w:val="auto"/>
          <w:szCs w:val="24"/>
          <w:lang w:val="en-GB"/>
        </w:rPr>
      </w:pPr>
      <w:bookmarkStart w:id="6" w:name="_Toc18415024"/>
      <w:bookmarkStart w:id="7" w:name="_Toc18415360"/>
      <w:bookmarkStart w:id="8" w:name="_Toc18415025"/>
      <w:bookmarkStart w:id="9" w:name="_Toc18415361"/>
      <w:bookmarkEnd w:id="6"/>
      <w:bookmarkEnd w:id="7"/>
      <w:bookmarkEnd w:id="8"/>
      <w:bookmarkEnd w:id="9"/>
      <w:r w:rsidRPr="00D61D29">
        <w:rPr>
          <w:rFonts w:ascii="Times New Roman Bold" w:hAnsi="Times New Roman Bold" w:cs="Times New Roman"/>
          <w:b w:val="0"/>
          <w:color w:val="auto"/>
          <w:szCs w:val="24"/>
          <w:lang w:val="en-GB"/>
        </w:rPr>
        <w:lastRenderedPageBreak/>
        <w:t xml:space="preserve"> </w:t>
      </w:r>
      <w:bookmarkStart w:id="10" w:name="_Toc18415026"/>
      <w:bookmarkStart w:id="11" w:name="_Toc18415362"/>
      <w:bookmarkStart w:id="12" w:name="_Toc18415027"/>
      <w:bookmarkStart w:id="13" w:name="_Toc18415363"/>
      <w:bookmarkStart w:id="14" w:name="_Toc18415364"/>
      <w:bookmarkEnd w:id="10"/>
      <w:bookmarkEnd w:id="11"/>
      <w:bookmarkEnd w:id="12"/>
      <w:bookmarkEnd w:id="13"/>
      <w:r w:rsidRPr="00B56E44">
        <w:rPr>
          <w:rFonts w:ascii="Times New Roman Bold" w:hAnsi="Times New Roman Bold" w:cs="Times New Roman"/>
          <w:color w:val="auto"/>
          <w:szCs w:val="24"/>
          <w:lang w:val="en-GB"/>
        </w:rPr>
        <w:t>Background</w:t>
      </w:r>
      <w:bookmarkEnd w:id="14"/>
    </w:p>
    <w:p w:rsidR="00026FA1" w:rsidRPr="00924DD7" w:rsidRDefault="000C1443" w:rsidP="00026FA1">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Belgium has</w:t>
      </w:r>
      <w:r>
        <w:rPr>
          <w:rFonts w:ascii="Times New Roman" w:hAnsi="Times New Roman"/>
          <w:sz w:val="24"/>
          <w:szCs w:val="24"/>
          <w:lang w:val="en-GB"/>
        </w:rPr>
        <w:t xml:space="preserve"> in practice</w:t>
      </w:r>
      <w:r w:rsidRPr="006C4A64">
        <w:rPr>
          <w:rFonts w:ascii="Times New Roman" w:hAnsi="Times New Roman"/>
          <w:sz w:val="24"/>
          <w:szCs w:val="24"/>
          <w:lang w:val="en-GB"/>
        </w:rPr>
        <w:t xml:space="preserve"> adopted a three-class system for religions. Application of that system profoundly discriminates against the more than</w:t>
      </w:r>
      <w:r>
        <w:rPr>
          <w:rFonts w:ascii="Times New Roman" w:hAnsi="Times New Roman"/>
          <w:sz w:val="24"/>
          <w:szCs w:val="24"/>
          <w:lang w:val="en-GB"/>
        </w:rPr>
        <w:t xml:space="preserve"> </w:t>
      </w:r>
      <w:r w:rsidRPr="00924DD7">
        <w:rPr>
          <w:rFonts w:ascii="Times New Roman" w:hAnsi="Times New Roman"/>
          <w:sz w:val="24"/>
          <w:szCs w:val="24"/>
          <w:lang w:val="en-GB"/>
        </w:rPr>
        <w:t>25,429 Jehovah’s Witnesses in Belgium.</w:t>
      </w:r>
    </w:p>
    <w:p w:rsidR="00026FA1" w:rsidRPr="006C4A64" w:rsidRDefault="000C1443" w:rsidP="00026FA1">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 xml:space="preserve">The </w:t>
      </w:r>
      <w:r w:rsidRPr="006C4A64">
        <w:rPr>
          <w:rFonts w:ascii="Times New Roman" w:hAnsi="Times New Roman"/>
          <w:b/>
          <w:sz w:val="24"/>
          <w:szCs w:val="24"/>
          <w:lang w:val="en-GB"/>
        </w:rPr>
        <w:t>first class</w:t>
      </w:r>
      <w:r w:rsidRPr="006C4A64">
        <w:rPr>
          <w:rFonts w:ascii="Times New Roman" w:hAnsi="Times New Roman"/>
          <w:sz w:val="24"/>
          <w:szCs w:val="24"/>
          <w:lang w:val="en-GB"/>
        </w:rPr>
        <w:t xml:space="preserve"> is </w:t>
      </w:r>
      <w:r>
        <w:rPr>
          <w:rFonts w:ascii="Times New Roman" w:hAnsi="Times New Roman"/>
          <w:sz w:val="24"/>
          <w:szCs w:val="24"/>
          <w:lang w:val="en-GB"/>
        </w:rPr>
        <w:t>made up of</w:t>
      </w:r>
      <w:r w:rsidRPr="006C4A64">
        <w:rPr>
          <w:rFonts w:ascii="Times New Roman" w:hAnsi="Times New Roman"/>
          <w:sz w:val="24"/>
          <w:szCs w:val="24"/>
          <w:lang w:val="en-GB"/>
        </w:rPr>
        <w:t xml:space="preserve"> religions that have State recognition. Only six religions and one </w:t>
      </w:r>
      <w:proofErr w:type="spellStart"/>
      <w:r w:rsidRPr="006C4A64">
        <w:rPr>
          <w:rFonts w:ascii="Times New Roman" w:hAnsi="Times New Roman"/>
          <w:sz w:val="24"/>
          <w:szCs w:val="24"/>
          <w:lang w:val="en-GB"/>
        </w:rPr>
        <w:t>nonconfessional</w:t>
      </w:r>
      <w:proofErr w:type="spellEnd"/>
      <w:r w:rsidRPr="006C4A64">
        <w:rPr>
          <w:rFonts w:ascii="Times New Roman" w:hAnsi="Times New Roman"/>
          <w:sz w:val="24"/>
          <w:szCs w:val="24"/>
          <w:lang w:val="en-GB"/>
        </w:rPr>
        <w:t xml:space="preserve"> association in Belgium have State recognition: Catholics, Anglicans, Jews, Protestants (granted in the 19</w:t>
      </w:r>
      <w:r w:rsidRPr="00B56E44">
        <w:rPr>
          <w:rFonts w:ascii="Times New Roman" w:hAnsi="Times New Roman"/>
          <w:sz w:val="24"/>
          <w:szCs w:val="24"/>
          <w:vertAlign w:val="superscript"/>
          <w:lang w:val="en-GB"/>
        </w:rPr>
        <w:t>th</w:t>
      </w:r>
      <w:r>
        <w:rPr>
          <w:rFonts w:ascii="Times New Roman" w:hAnsi="Times New Roman"/>
          <w:sz w:val="24"/>
          <w:szCs w:val="24"/>
          <w:lang w:val="en-GB"/>
        </w:rPr>
        <w:t xml:space="preserve"> </w:t>
      </w:r>
      <w:r w:rsidRPr="006C4A64">
        <w:rPr>
          <w:rFonts w:ascii="Times New Roman" w:hAnsi="Times New Roman"/>
          <w:sz w:val="24"/>
          <w:szCs w:val="24"/>
          <w:lang w:val="en-GB"/>
        </w:rPr>
        <w:t xml:space="preserve">century), Islam (1974), Orthodox (1985) and </w:t>
      </w:r>
      <w:proofErr w:type="spellStart"/>
      <w:r w:rsidRPr="006C4A64">
        <w:rPr>
          <w:rFonts w:ascii="Times New Roman" w:hAnsi="Times New Roman"/>
          <w:sz w:val="24"/>
          <w:szCs w:val="24"/>
          <w:lang w:val="en-GB"/>
        </w:rPr>
        <w:t>nonconfessional</w:t>
      </w:r>
      <w:proofErr w:type="spellEnd"/>
      <w:r w:rsidRPr="006C4A64">
        <w:rPr>
          <w:rFonts w:ascii="Times New Roman" w:hAnsi="Times New Roman"/>
          <w:sz w:val="24"/>
          <w:szCs w:val="24"/>
          <w:lang w:val="en-GB"/>
        </w:rPr>
        <w:t xml:space="preserve"> philosophical groups (2002). </w:t>
      </w:r>
    </w:p>
    <w:p w:rsidR="00026FA1" w:rsidRPr="006C4A64" w:rsidRDefault="000C1443" w:rsidP="00026FA1">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 xml:space="preserve">Recognized religions enjoy substantial State benefits, which include the following: (1) their places of worship are free from tax, and their activity (including the for-profit activity of selling religious icons) is exempt from VAT; (2) the State pays a salary (or pension) to members of their clergy; (3) the State provides their clergy with free housing; (4) the cost of construction/maintenance of their places of worship is paid by the State; (5) </w:t>
      </w:r>
      <w:r>
        <w:rPr>
          <w:rFonts w:ascii="Times New Roman" w:hAnsi="Times New Roman"/>
          <w:sz w:val="24"/>
          <w:szCs w:val="24"/>
          <w:lang w:val="en-GB"/>
        </w:rPr>
        <w:t>their representatives</w:t>
      </w:r>
      <w:r w:rsidRPr="006C4A64">
        <w:rPr>
          <w:rFonts w:ascii="Times New Roman" w:hAnsi="Times New Roman"/>
          <w:sz w:val="24"/>
          <w:szCs w:val="24"/>
          <w:lang w:val="en-GB"/>
        </w:rPr>
        <w:t xml:space="preserve"> have access to prisons and hospitals for pastoral activities; and (6)</w:t>
      </w:r>
      <w:r>
        <w:rPr>
          <w:rFonts w:ascii="Times New Roman" w:hAnsi="Times New Roman"/>
          <w:sz w:val="24"/>
          <w:szCs w:val="24"/>
          <w:lang w:val="en-GB"/>
        </w:rPr>
        <w:t xml:space="preserve"> their representatives have access to public schools to teach </w:t>
      </w:r>
      <w:r w:rsidRPr="006C4A64">
        <w:rPr>
          <w:rFonts w:ascii="Times New Roman" w:hAnsi="Times New Roman"/>
          <w:sz w:val="24"/>
          <w:szCs w:val="24"/>
          <w:lang w:val="en-GB"/>
        </w:rPr>
        <w:t xml:space="preserve">religious instruction classes of the </w:t>
      </w:r>
      <w:r>
        <w:rPr>
          <w:rFonts w:ascii="Times New Roman" w:hAnsi="Times New Roman"/>
          <w:sz w:val="24"/>
          <w:szCs w:val="24"/>
          <w:lang w:val="en-GB"/>
        </w:rPr>
        <w:t xml:space="preserve">student’s </w:t>
      </w:r>
      <w:r w:rsidRPr="006C4A64">
        <w:rPr>
          <w:rFonts w:ascii="Times New Roman" w:hAnsi="Times New Roman"/>
          <w:sz w:val="24"/>
          <w:szCs w:val="24"/>
          <w:lang w:val="en-GB"/>
        </w:rPr>
        <w:t>choice</w:t>
      </w:r>
      <w:r>
        <w:rPr>
          <w:rFonts w:ascii="Times New Roman" w:hAnsi="Times New Roman"/>
          <w:sz w:val="24"/>
          <w:szCs w:val="24"/>
          <w:lang w:val="en-GB"/>
        </w:rPr>
        <w:t xml:space="preserve"> </w:t>
      </w:r>
      <w:r w:rsidRPr="006C4A64">
        <w:rPr>
          <w:rFonts w:ascii="Times New Roman" w:hAnsi="Times New Roman"/>
          <w:sz w:val="24"/>
          <w:szCs w:val="24"/>
          <w:lang w:val="en-GB"/>
        </w:rPr>
        <w:t>offered by the recognized religion.</w:t>
      </w:r>
    </w:p>
    <w:p w:rsidR="00026FA1" w:rsidRPr="006C4A64" w:rsidRDefault="000C1443" w:rsidP="00026FA1">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 xml:space="preserve">It is virtually impossible for </w:t>
      </w:r>
      <w:r>
        <w:rPr>
          <w:rFonts w:ascii="Times New Roman" w:hAnsi="Times New Roman"/>
          <w:sz w:val="24"/>
          <w:szCs w:val="24"/>
          <w:lang w:val="en-GB"/>
        </w:rPr>
        <w:t xml:space="preserve">other religious denominations </w:t>
      </w:r>
      <w:r w:rsidRPr="006C4A64">
        <w:rPr>
          <w:rFonts w:ascii="Times New Roman" w:hAnsi="Times New Roman"/>
          <w:sz w:val="24"/>
          <w:szCs w:val="24"/>
          <w:lang w:val="en-GB"/>
        </w:rPr>
        <w:t>to obtain State recognition. There is no law governing the process of State recognition. The Minister of Justice has explained, however, that the process begins w</w:t>
      </w:r>
      <w:r w:rsidR="00FD7C1A">
        <w:rPr>
          <w:rFonts w:ascii="Times New Roman" w:hAnsi="Times New Roman"/>
          <w:sz w:val="24"/>
          <w:szCs w:val="24"/>
          <w:lang w:val="en-GB"/>
        </w:rPr>
        <w:t>hen</w:t>
      </w:r>
      <w:r w:rsidRPr="006C4A64">
        <w:rPr>
          <w:rFonts w:ascii="Times New Roman" w:hAnsi="Times New Roman"/>
          <w:sz w:val="24"/>
          <w:szCs w:val="24"/>
          <w:lang w:val="en-GB"/>
        </w:rPr>
        <w:t xml:space="preserve"> the religion submit</w:t>
      </w:r>
      <w:r w:rsidR="00FD7C1A">
        <w:rPr>
          <w:rFonts w:ascii="Times New Roman" w:hAnsi="Times New Roman"/>
          <w:sz w:val="24"/>
          <w:szCs w:val="24"/>
          <w:lang w:val="en-GB"/>
        </w:rPr>
        <w:t>s</w:t>
      </w:r>
      <w:r w:rsidRPr="006C4A64">
        <w:rPr>
          <w:rFonts w:ascii="Times New Roman" w:hAnsi="Times New Roman"/>
          <w:sz w:val="24"/>
          <w:szCs w:val="24"/>
          <w:lang w:val="en-GB"/>
        </w:rPr>
        <w:t xml:space="preserve"> an application for recognition. If the Minister of Justice agrees, then a bill is submitted to </w:t>
      </w:r>
      <w:r w:rsidR="00EC68E3">
        <w:rPr>
          <w:rFonts w:ascii="Times New Roman" w:hAnsi="Times New Roman"/>
          <w:sz w:val="24"/>
          <w:szCs w:val="24"/>
          <w:lang w:val="en-GB"/>
        </w:rPr>
        <w:t>P</w:t>
      </w:r>
      <w:r w:rsidRPr="006C4A64">
        <w:rPr>
          <w:rFonts w:ascii="Times New Roman" w:hAnsi="Times New Roman"/>
          <w:sz w:val="24"/>
          <w:szCs w:val="24"/>
          <w:lang w:val="en-GB"/>
        </w:rPr>
        <w:t xml:space="preserve">arliament for approval. If a parliamentary majority approves the bill, then the religion’s name is added to the list of recognized religions. Later, a government decree is enacted, setting out the rights enjoyed by that religion. The Minister of Justice has explained, however, that there are five criteria that the religion must satisfy: (1) it must have “several tens of thousands” of members, (2) it should be structured with a representative body who can represent the religion before civil authorities, (3) it should have been present in Belgium for 20 or more years, (4) it should provide some social benefit to society, and (5) it should not engage in any activity contrary to public order. </w:t>
      </w:r>
    </w:p>
    <w:p w:rsidR="00026FA1" w:rsidRPr="006C4A64" w:rsidRDefault="000C1443" w:rsidP="00026FA1">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 xml:space="preserve">The European Court of Human Rights (ECHR) has already concluded that the State’s “duty of neutrality and impartiality” is violated by a scheme in which State benefits or privileges are dependent on a “political” process. In </w:t>
      </w:r>
      <w:r w:rsidRPr="006C4A64">
        <w:rPr>
          <w:rFonts w:ascii="Times New Roman" w:hAnsi="Times New Roman"/>
          <w:i/>
          <w:sz w:val="24"/>
          <w:szCs w:val="24"/>
          <w:lang w:val="en-GB"/>
        </w:rPr>
        <w:t xml:space="preserve">Magyar </w:t>
      </w:r>
      <w:proofErr w:type="spellStart"/>
      <w:r w:rsidRPr="006C4A64">
        <w:rPr>
          <w:rFonts w:ascii="Times New Roman" w:hAnsi="Times New Roman"/>
          <w:i/>
          <w:sz w:val="24"/>
          <w:szCs w:val="24"/>
          <w:lang w:val="en-GB"/>
        </w:rPr>
        <w:t>Keresztény</w:t>
      </w:r>
      <w:proofErr w:type="spellEnd"/>
      <w:r w:rsidRPr="006C4A64">
        <w:rPr>
          <w:rFonts w:ascii="Times New Roman" w:hAnsi="Times New Roman"/>
          <w:i/>
          <w:sz w:val="24"/>
          <w:szCs w:val="24"/>
          <w:lang w:val="en-GB"/>
        </w:rPr>
        <w:t xml:space="preserve"> </w:t>
      </w:r>
      <w:proofErr w:type="spellStart"/>
      <w:r w:rsidRPr="006C4A64">
        <w:rPr>
          <w:rFonts w:ascii="Times New Roman" w:hAnsi="Times New Roman"/>
          <w:i/>
          <w:sz w:val="24"/>
          <w:szCs w:val="24"/>
          <w:lang w:val="en-GB"/>
        </w:rPr>
        <w:t>Mennonita</w:t>
      </w:r>
      <w:proofErr w:type="spellEnd"/>
      <w:r w:rsidRPr="006C4A64">
        <w:rPr>
          <w:rFonts w:ascii="Times New Roman" w:hAnsi="Times New Roman"/>
          <w:i/>
          <w:sz w:val="24"/>
          <w:szCs w:val="24"/>
          <w:lang w:val="en-GB"/>
        </w:rPr>
        <w:t xml:space="preserve"> </w:t>
      </w:r>
      <w:proofErr w:type="spellStart"/>
      <w:r w:rsidRPr="006C4A64">
        <w:rPr>
          <w:rFonts w:ascii="Times New Roman" w:hAnsi="Times New Roman"/>
          <w:i/>
          <w:sz w:val="24"/>
          <w:szCs w:val="24"/>
          <w:lang w:val="en-GB"/>
        </w:rPr>
        <w:t>Egyház</w:t>
      </w:r>
      <w:proofErr w:type="spellEnd"/>
      <w:r w:rsidRPr="006C4A64">
        <w:rPr>
          <w:rFonts w:ascii="Times New Roman" w:hAnsi="Times New Roman"/>
          <w:i/>
          <w:sz w:val="24"/>
          <w:szCs w:val="24"/>
          <w:lang w:val="en-GB"/>
        </w:rPr>
        <w:t xml:space="preserve"> and Others</w:t>
      </w:r>
      <w:r w:rsidR="00B04217">
        <w:rPr>
          <w:rFonts w:ascii="Times New Roman" w:hAnsi="Times New Roman"/>
          <w:i/>
          <w:sz w:val="24"/>
          <w:szCs w:val="24"/>
          <w:lang w:val="en-GB"/>
        </w:rPr>
        <w:t xml:space="preserve"> v. Hungary</w:t>
      </w:r>
      <w:r w:rsidRPr="00284235">
        <w:rPr>
          <w:rFonts w:ascii="Times New Roman" w:hAnsi="Times New Roman"/>
          <w:i/>
          <w:sz w:val="24"/>
          <w:szCs w:val="24"/>
          <w:lang w:val="en-GB"/>
        </w:rPr>
        <w:t>,</w:t>
      </w:r>
      <w:r w:rsidRPr="006C4A64">
        <w:rPr>
          <w:rFonts w:ascii="Times New Roman" w:hAnsi="Times New Roman"/>
          <w:sz w:val="24"/>
          <w:szCs w:val="24"/>
          <w:lang w:val="en-GB"/>
        </w:rPr>
        <w:t xml:space="preserve"> the ECHR decided: </w:t>
      </w:r>
    </w:p>
    <w:p w:rsidR="00026FA1" w:rsidRPr="006C4A64" w:rsidRDefault="000C1443" w:rsidP="00026FA1">
      <w:pPr>
        <w:pStyle w:val="ListParagraph"/>
        <w:topLinePunct/>
        <w:spacing w:after="240"/>
        <w:ind w:left="1080" w:right="811"/>
        <w:jc w:val="both"/>
        <w:rPr>
          <w:rFonts w:ascii="Times New Roman" w:hAnsi="Times New Roman"/>
          <w:sz w:val="24"/>
          <w:szCs w:val="24"/>
          <w:lang w:val="en-GB"/>
        </w:rPr>
      </w:pPr>
      <w:r w:rsidRPr="006C4A64">
        <w:rPr>
          <w:rFonts w:ascii="Times New Roman" w:hAnsi="Times New Roman"/>
          <w:sz w:val="24"/>
          <w:szCs w:val="24"/>
          <w:lang w:val="en-GB"/>
        </w:rPr>
        <w:t xml:space="preserve">“102. The Court notes that decisions on the recognition of incorporated </w:t>
      </w:r>
      <w:r w:rsidR="00B04217">
        <w:rPr>
          <w:rFonts w:ascii="Times New Roman" w:hAnsi="Times New Roman"/>
          <w:sz w:val="24"/>
          <w:szCs w:val="24"/>
          <w:lang w:val="en-GB"/>
        </w:rPr>
        <w:t>C</w:t>
      </w:r>
      <w:r w:rsidRPr="006C4A64">
        <w:rPr>
          <w:rFonts w:ascii="Times New Roman" w:hAnsi="Times New Roman"/>
          <w:sz w:val="24"/>
          <w:szCs w:val="24"/>
          <w:lang w:val="en-GB"/>
        </w:rPr>
        <w:t xml:space="preserve">hurches lie with Parliament, an eminently political body … As a result, the granting or refusal of </w:t>
      </w:r>
      <w:r w:rsidR="00B04217">
        <w:rPr>
          <w:rFonts w:ascii="Times New Roman" w:hAnsi="Times New Roman"/>
          <w:sz w:val="24"/>
          <w:szCs w:val="24"/>
          <w:lang w:val="en-GB"/>
        </w:rPr>
        <w:t>C</w:t>
      </w:r>
      <w:r w:rsidRPr="006C4A64">
        <w:rPr>
          <w:rFonts w:ascii="Times New Roman" w:hAnsi="Times New Roman"/>
          <w:sz w:val="24"/>
          <w:szCs w:val="24"/>
          <w:lang w:val="en-GB"/>
        </w:rPr>
        <w:t>hurch recognition may be related to political events or situations. Such a scheme inherently entails a disregard for neutrality and a risk of arbitrariness. A situation in which religious communities are reduced to courting political parties for their votes is irreconcilable with the requirement of State neutrality in this field.</w:t>
      </w:r>
    </w:p>
    <w:p w:rsidR="00026FA1" w:rsidRPr="006C4A64" w:rsidRDefault="000C1443" w:rsidP="00026FA1">
      <w:pPr>
        <w:pStyle w:val="ListParagraph"/>
        <w:topLinePunct/>
        <w:spacing w:after="240"/>
        <w:ind w:left="1080" w:right="811"/>
        <w:jc w:val="both"/>
        <w:rPr>
          <w:rFonts w:ascii="Times New Roman" w:hAnsi="Times New Roman"/>
          <w:sz w:val="24"/>
          <w:szCs w:val="24"/>
          <w:lang w:val="en-GB"/>
        </w:rPr>
      </w:pPr>
      <w:r w:rsidRPr="006C4A64">
        <w:rPr>
          <w:rFonts w:ascii="Times New Roman" w:hAnsi="Times New Roman"/>
          <w:sz w:val="24"/>
          <w:szCs w:val="24"/>
          <w:lang w:val="en-GB"/>
        </w:rPr>
        <w:t>“103. The Court considers that the applicant religious communities cannot reasonably be expected to submit to a procedure which lacks the guarantees of objective assessment in the course of a fair procedure by a non-political body. The</w:t>
      </w:r>
      <w:r w:rsidR="00B04217">
        <w:rPr>
          <w:rFonts w:ascii="Times New Roman" w:hAnsi="Times New Roman"/>
          <w:sz w:val="24"/>
          <w:szCs w:val="24"/>
          <w:lang w:val="en-GB"/>
        </w:rPr>
        <w:t>ir</w:t>
      </w:r>
      <w:r w:rsidRPr="006C4A64">
        <w:rPr>
          <w:rFonts w:ascii="Times New Roman" w:hAnsi="Times New Roman"/>
          <w:sz w:val="24"/>
          <w:szCs w:val="24"/>
          <w:lang w:val="en-GB"/>
        </w:rPr>
        <w:t xml:space="preserve"> failure to avail themselves of this legal avenue cannot therefore result in </w:t>
      </w:r>
      <w:r w:rsidRPr="006C4A64">
        <w:rPr>
          <w:rFonts w:ascii="Times New Roman" w:hAnsi="Times New Roman"/>
          <w:sz w:val="24"/>
          <w:szCs w:val="24"/>
          <w:lang w:val="en-GB"/>
        </w:rPr>
        <w:lastRenderedPageBreak/>
        <w:t>their applications being declared inadmissible for non-exhaustion of domestic remedies …</w:t>
      </w:r>
    </w:p>
    <w:p w:rsidR="00026FA1" w:rsidRPr="006C4A64" w:rsidRDefault="000C1443" w:rsidP="00026FA1">
      <w:pPr>
        <w:pStyle w:val="ListParagraph"/>
        <w:topLinePunct/>
        <w:spacing w:after="240"/>
        <w:ind w:left="1080" w:right="811"/>
        <w:jc w:val="both"/>
        <w:rPr>
          <w:rFonts w:ascii="Times New Roman" w:hAnsi="Times New Roman"/>
          <w:sz w:val="24"/>
          <w:szCs w:val="24"/>
          <w:lang w:val="en-GB"/>
        </w:rPr>
      </w:pPr>
      <w:r w:rsidRPr="006C4A64">
        <w:rPr>
          <w:rFonts w:ascii="Times New Roman" w:hAnsi="Times New Roman"/>
          <w:sz w:val="24"/>
          <w:szCs w:val="24"/>
          <w:lang w:val="en-GB"/>
        </w:rPr>
        <w:t>…</w:t>
      </w:r>
    </w:p>
    <w:p w:rsidR="00026FA1" w:rsidRPr="006C4A64" w:rsidRDefault="000C1443" w:rsidP="00026FA1">
      <w:pPr>
        <w:pStyle w:val="ListParagraph"/>
        <w:topLinePunct/>
        <w:spacing w:after="240"/>
        <w:ind w:left="1080" w:right="811"/>
        <w:jc w:val="both"/>
        <w:rPr>
          <w:rFonts w:ascii="Times New Roman" w:hAnsi="Times New Roman"/>
          <w:sz w:val="24"/>
          <w:szCs w:val="24"/>
          <w:lang w:val="en-GB"/>
        </w:rPr>
      </w:pPr>
      <w:r w:rsidRPr="006C4A64">
        <w:rPr>
          <w:rFonts w:ascii="Times New Roman" w:hAnsi="Times New Roman"/>
          <w:sz w:val="24"/>
          <w:szCs w:val="24"/>
          <w:lang w:val="en-GB"/>
        </w:rPr>
        <w:t>105</w:t>
      </w:r>
      <w:proofErr w:type="gramStart"/>
      <w:r w:rsidRPr="006C4A64">
        <w:rPr>
          <w:rFonts w:ascii="Times New Roman" w:hAnsi="Times New Roman"/>
          <w:sz w:val="24"/>
          <w:szCs w:val="24"/>
          <w:lang w:val="en-GB"/>
        </w:rPr>
        <w:t>.  …</w:t>
      </w:r>
      <w:proofErr w:type="gramEnd"/>
      <w:r w:rsidRPr="006C4A64">
        <w:rPr>
          <w:rFonts w:ascii="Times New Roman" w:hAnsi="Times New Roman"/>
          <w:sz w:val="24"/>
          <w:szCs w:val="24"/>
          <w:lang w:val="en-GB"/>
        </w:rPr>
        <w:t xml:space="preserve"> the Court cannot but conclude that the applicant religious groups were not offered a fair opportunity (see </w:t>
      </w:r>
      <w:proofErr w:type="spellStart"/>
      <w:r w:rsidRPr="00284235">
        <w:rPr>
          <w:rFonts w:ascii="Times New Roman" w:hAnsi="Times New Roman"/>
          <w:i/>
          <w:sz w:val="24"/>
          <w:szCs w:val="24"/>
          <w:lang w:val="en-GB"/>
        </w:rPr>
        <w:t>Religionsgemeinschaft</w:t>
      </w:r>
      <w:proofErr w:type="spellEnd"/>
      <w:r w:rsidRPr="00284235">
        <w:rPr>
          <w:rFonts w:ascii="Times New Roman" w:hAnsi="Times New Roman"/>
          <w:i/>
          <w:sz w:val="24"/>
          <w:szCs w:val="24"/>
          <w:lang w:val="en-GB"/>
        </w:rPr>
        <w:t xml:space="preserve"> der </w:t>
      </w:r>
      <w:proofErr w:type="spellStart"/>
      <w:r w:rsidRPr="00284235">
        <w:rPr>
          <w:rFonts w:ascii="Times New Roman" w:hAnsi="Times New Roman"/>
          <w:i/>
          <w:sz w:val="24"/>
          <w:szCs w:val="24"/>
          <w:lang w:val="en-GB"/>
        </w:rPr>
        <w:t>Zeugen</w:t>
      </w:r>
      <w:proofErr w:type="spellEnd"/>
      <w:r w:rsidRPr="00284235">
        <w:rPr>
          <w:rFonts w:ascii="Times New Roman" w:hAnsi="Times New Roman"/>
          <w:i/>
          <w:sz w:val="24"/>
          <w:szCs w:val="24"/>
          <w:lang w:val="en-GB"/>
        </w:rPr>
        <w:t xml:space="preserve"> </w:t>
      </w:r>
      <w:proofErr w:type="spellStart"/>
      <w:r w:rsidRPr="00284235">
        <w:rPr>
          <w:rFonts w:ascii="Times New Roman" w:hAnsi="Times New Roman"/>
          <w:i/>
          <w:sz w:val="24"/>
          <w:szCs w:val="24"/>
          <w:lang w:val="en-GB"/>
        </w:rPr>
        <w:t>Jehovas</w:t>
      </w:r>
      <w:proofErr w:type="spellEnd"/>
      <w:r w:rsidR="00B04217">
        <w:rPr>
          <w:rFonts w:ascii="Times New Roman" w:hAnsi="Times New Roman"/>
          <w:i/>
          <w:sz w:val="24"/>
          <w:szCs w:val="24"/>
          <w:lang w:val="en-GB"/>
        </w:rPr>
        <w:t xml:space="preserve"> and Others</w:t>
      </w:r>
      <w:r w:rsidRPr="00284235">
        <w:rPr>
          <w:rFonts w:ascii="Times New Roman" w:hAnsi="Times New Roman"/>
          <w:i/>
          <w:sz w:val="24"/>
          <w:szCs w:val="24"/>
          <w:lang w:val="en-GB"/>
        </w:rPr>
        <w:t>,</w:t>
      </w:r>
      <w:r w:rsidRPr="006C4A64">
        <w:rPr>
          <w:rFonts w:ascii="Times New Roman" w:hAnsi="Times New Roman"/>
          <w:sz w:val="24"/>
          <w:szCs w:val="24"/>
          <w:lang w:val="en-GB"/>
        </w:rPr>
        <w:t xml:space="preserve"> cited above, § 92) to obtain the level of legal recognition sought, notably in view of the political nature of the procedure.” (</w:t>
      </w:r>
      <w:r w:rsidRPr="00284235">
        <w:rPr>
          <w:rFonts w:ascii="Times New Roman" w:hAnsi="Times New Roman"/>
          <w:i/>
          <w:sz w:val="24"/>
          <w:szCs w:val="24"/>
          <w:lang w:val="en-GB"/>
        </w:rPr>
        <w:t xml:space="preserve">Magyar </w:t>
      </w:r>
      <w:proofErr w:type="spellStart"/>
      <w:r w:rsidRPr="00284235">
        <w:rPr>
          <w:rFonts w:ascii="Times New Roman" w:hAnsi="Times New Roman"/>
          <w:i/>
          <w:sz w:val="24"/>
          <w:szCs w:val="24"/>
          <w:lang w:val="en-GB"/>
        </w:rPr>
        <w:t>Keresztény</w:t>
      </w:r>
      <w:proofErr w:type="spellEnd"/>
      <w:r w:rsidRPr="00284235">
        <w:rPr>
          <w:rFonts w:ascii="Times New Roman" w:hAnsi="Times New Roman"/>
          <w:i/>
          <w:sz w:val="24"/>
          <w:szCs w:val="24"/>
          <w:lang w:val="en-GB"/>
        </w:rPr>
        <w:t xml:space="preserve"> </w:t>
      </w:r>
      <w:proofErr w:type="spellStart"/>
      <w:r w:rsidRPr="00284235">
        <w:rPr>
          <w:rFonts w:ascii="Times New Roman" w:hAnsi="Times New Roman"/>
          <w:i/>
          <w:sz w:val="24"/>
          <w:szCs w:val="24"/>
          <w:lang w:val="en-GB"/>
        </w:rPr>
        <w:t>Mennonita</w:t>
      </w:r>
      <w:proofErr w:type="spellEnd"/>
      <w:r w:rsidRPr="00284235">
        <w:rPr>
          <w:rFonts w:ascii="Times New Roman" w:hAnsi="Times New Roman"/>
          <w:i/>
          <w:sz w:val="24"/>
          <w:szCs w:val="24"/>
          <w:lang w:val="en-GB"/>
        </w:rPr>
        <w:t xml:space="preserve"> </w:t>
      </w:r>
      <w:proofErr w:type="spellStart"/>
      <w:r w:rsidRPr="00284235">
        <w:rPr>
          <w:rFonts w:ascii="Times New Roman" w:hAnsi="Times New Roman"/>
          <w:i/>
          <w:sz w:val="24"/>
          <w:szCs w:val="24"/>
          <w:lang w:val="en-GB"/>
        </w:rPr>
        <w:t>Egyház</w:t>
      </w:r>
      <w:proofErr w:type="spellEnd"/>
      <w:r w:rsidRPr="00284235">
        <w:rPr>
          <w:rFonts w:ascii="Times New Roman" w:hAnsi="Times New Roman"/>
          <w:i/>
          <w:sz w:val="24"/>
          <w:szCs w:val="24"/>
          <w:lang w:val="en-GB"/>
        </w:rPr>
        <w:t xml:space="preserve"> and Others</w:t>
      </w:r>
      <w:r w:rsidRPr="006C4A64">
        <w:rPr>
          <w:rFonts w:ascii="Times New Roman" w:hAnsi="Times New Roman"/>
          <w:sz w:val="24"/>
          <w:szCs w:val="24"/>
          <w:lang w:val="en-GB"/>
        </w:rPr>
        <w:t>, cited above, §§ 102 and 105)</w:t>
      </w:r>
    </w:p>
    <w:p w:rsidR="00D46EAF" w:rsidRDefault="000C1443" w:rsidP="00026FA1">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 xml:space="preserve">The </w:t>
      </w:r>
      <w:r w:rsidRPr="006C4A64">
        <w:rPr>
          <w:rFonts w:ascii="Times New Roman" w:hAnsi="Times New Roman"/>
          <w:b/>
          <w:sz w:val="24"/>
          <w:szCs w:val="24"/>
          <w:lang w:val="en-GB"/>
        </w:rPr>
        <w:t>second class</w:t>
      </w:r>
      <w:r w:rsidRPr="006C4A64">
        <w:rPr>
          <w:rFonts w:ascii="Times New Roman" w:hAnsi="Times New Roman"/>
          <w:sz w:val="24"/>
          <w:szCs w:val="24"/>
          <w:lang w:val="en-GB"/>
        </w:rPr>
        <w:t xml:space="preserve"> is </w:t>
      </w:r>
      <w:r>
        <w:rPr>
          <w:rFonts w:ascii="Times New Roman" w:hAnsi="Times New Roman"/>
          <w:sz w:val="24"/>
          <w:szCs w:val="24"/>
          <w:lang w:val="en-GB"/>
        </w:rPr>
        <w:t>made up of</w:t>
      </w:r>
      <w:r w:rsidRPr="006C4A64">
        <w:rPr>
          <w:rFonts w:ascii="Times New Roman" w:hAnsi="Times New Roman"/>
          <w:sz w:val="24"/>
          <w:szCs w:val="24"/>
          <w:lang w:val="en-GB"/>
        </w:rPr>
        <w:t xml:space="preserve"> religions </w:t>
      </w:r>
      <w:r w:rsidR="00B04217">
        <w:rPr>
          <w:rFonts w:ascii="Times New Roman" w:hAnsi="Times New Roman"/>
          <w:sz w:val="24"/>
          <w:szCs w:val="24"/>
          <w:lang w:val="en-GB"/>
        </w:rPr>
        <w:t>that</w:t>
      </w:r>
      <w:r w:rsidRPr="006C4A64">
        <w:rPr>
          <w:rFonts w:ascii="Times New Roman" w:hAnsi="Times New Roman"/>
          <w:sz w:val="24"/>
          <w:szCs w:val="24"/>
          <w:lang w:val="en-GB"/>
        </w:rPr>
        <w:t xml:space="preserve"> do not have State recognition but </w:t>
      </w:r>
      <w:r w:rsidR="00B04217">
        <w:rPr>
          <w:rFonts w:ascii="Times New Roman" w:hAnsi="Times New Roman"/>
          <w:sz w:val="24"/>
          <w:szCs w:val="24"/>
          <w:lang w:val="en-GB"/>
        </w:rPr>
        <w:t xml:space="preserve">that </w:t>
      </w:r>
      <w:r w:rsidRPr="006C4A64">
        <w:rPr>
          <w:rFonts w:ascii="Times New Roman" w:hAnsi="Times New Roman"/>
          <w:sz w:val="24"/>
          <w:szCs w:val="24"/>
          <w:lang w:val="en-GB"/>
        </w:rPr>
        <w:t>enjoy the more limited rights granted to not-for-profit legal association</w:t>
      </w:r>
      <w:r>
        <w:rPr>
          <w:rFonts w:ascii="Times New Roman" w:hAnsi="Times New Roman"/>
          <w:sz w:val="24"/>
          <w:szCs w:val="24"/>
          <w:lang w:val="en-GB"/>
        </w:rPr>
        <w:t>s without being considered a dangerous sect.</w:t>
      </w:r>
    </w:p>
    <w:p w:rsidR="00026FA1" w:rsidRPr="009E73C5" w:rsidRDefault="000C1443" w:rsidP="009E73C5">
      <w:pPr>
        <w:pStyle w:val="ListParagraph"/>
        <w:numPr>
          <w:ilvl w:val="1"/>
          <w:numId w:val="4"/>
        </w:numPr>
        <w:topLinePunct/>
        <w:spacing w:after="240"/>
        <w:ind w:right="181"/>
        <w:jc w:val="both"/>
        <w:rPr>
          <w:rFonts w:ascii="Times New Roman" w:hAnsi="Times New Roman"/>
          <w:sz w:val="24"/>
          <w:szCs w:val="24"/>
          <w:lang w:val="en-GB"/>
        </w:rPr>
      </w:pPr>
      <w:r w:rsidRPr="006C4A64">
        <w:rPr>
          <w:rFonts w:ascii="Times New Roman" w:hAnsi="Times New Roman"/>
          <w:sz w:val="24"/>
          <w:szCs w:val="24"/>
          <w:lang w:val="en-GB"/>
        </w:rPr>
        <w:t xml:space="preserve">The </w:t>
      </w:r>
      <w:r w:rsidRPr="006C4A64">
        <w:rPr>
          <w:rFonts w:ascii="Times New Roman" w:hAnsi="Times New Roman"/>
          <w:b/>
          <w:sz w:val="24"/>
          <w:szCs w:val="24"/>
          <w:lang w:val="en-GB"/>
        </w:rPr>
        <w:t>third class</w:t>
      </w:r>
      <w:r w:rsidRPr="006C4A64">
        <w:rPr>
          <w:rFonts w:ascii="Times New Roman" w:hAnsi="Times New Roman"/>
          <w:sz w:val="24"/>
          <w:szCs w:val="24"/>
          <w:lang w:val="en-GB"/>
        </w:rPr>
        <w:t xml:space="preserve"> is </w:t>
      </w:r>
      <w:r>
        <w:rPr>
          <w:rFonts w:ascii="Times New Roman" w:hAnsi="Times New Roman"/>
          <w:sz w:val="24"/>
          <w:szCs w:val="24"/>
          <w:lang w:val="en-GB"/>
        </w:rPr>
        <w:t>made up of</w:t>
      </w:r>
      <w:r w:rsidRPr="006C4A64">
        <w:rPr>
          <w:rFonts w:ascii="Times New Roman" w:hAnsi="Times New Roman"/>
          <w:sz w:val="24"/>
          <w:szCs w:val="24"/>
          <w:lang w:val="en-GB"/>
        </w:rPr>
        <w:t xml:space="preserve"> religions that are branded by a 1997 </w:t>
      </w:r>
      <w:r>
        <w:rPr>
          <w:rFonts w:ascii="Times New Roman" w:hAnsi="Times New Roman"/>
          <w:sz w:val="24"/>
          <w:szCs w:val="24"/>
          <w:lang w:val="en-GB"/>
        </w:rPr>
        <w:t xml:space="preserve">Parliamentary Commission </w:t>
      </w:r>
      <w:r w:rsidR="00B451A3">
        <w:rPr>
          <w:rFonts w:ascii="Times New Roman" w:hAnsi="Times New Roman"/>
          <w:sz w:val="24"/>
          <w:szCs w:val="24"/>
          <w:lang w:val="en-GB"/>
        </w:rPr>
        <w:t>r</w:t>
      </w:r>
      <w:r>
        <w:rPr>
          <w:rFonts w:ascii="Times New Roman" w:hAnsi="Times New Roman"/>
          <w:sz w:val="24"/>
          <w:szCs w:val="24"/>
          <w:lang w:val="en-GB"/>
        </w:rPr>
        <w:t>eport</w:t>
      </w:r>
      <w:r w:rsidRPr="006C4A64">
        <w:rPr>
          <w:rFonts w:ascii="Times New Roman" w:hAnsi="Times New Roman"/>
          <w:sz w:val="24"/>
          <w:szCs w:val="24"/>
          <w:lang w:val="en-GB"/>
        </w:rPr>
        <w:t xml:space="preserve"> as so-called dangerous sects.</w:t>
      </w:r>
      <w:r>
        <w:rPr>
          <w:rStyle w:val="FootnoteReference"/>
        </w:rPr>
        <w:footnoteReference w:id="1"/>
      </w:r>
      <w:r w:rsidRPr="006C4A64">
        <w:rPr>
          <w:rFonts w:ascii="Times New Roman" w:hAnsi="Times New Roman"/>
          <w:sz w:val="24"/>
          <w:szCs w:val="24"/>
          <w:lang w:val="en-GB"/>
        </w:rPr>
        <w:t xml:space="preserve"> Jehovah’s Witnesses have been grouped by State authorities with this third class of religio</w:t>
      </w:r>
      <w:r>
        <w:rPr>
          <w:rFonts w:ascii="Times New Roman" w:hAnsi="Times New Roman"/>
          <w:sz w:val="24"/>
          <w:szCs w:val="24"/>
          <w:lang w:val="en-GB"/>
        </w:rPr>
        <w:t>us denominations</w:t>
      </w:r>
      <w:r w:rsidRPr="006C4A64">
        <w:rPr>
          <w:rFonts w:ascii="Times New Roman" w:hAnsi="Times New Roman"/>
          <w:sz w:val="24"/>
          <w:szCs w:val="24"/>
          <w:lang w:val="en-GB"/>
        </w:rPr>
        <w:t>. Without State recognition</w:t>
      </w:r>
      <w:r w:rsidR="00B451A3">
        <w:rPr>
          <w:rFonts w:ascii="Times New Roman" w:hAnsi="Times New Roman"/>
          <w:sz w:val="24"/>
          <w:szCs w:val="24"/>
          <w:lang w:val="en-GB"/>
        </w:rPr>
        <w:t>,</w:t>
      </w:r>
      <w:r w:rsidRPr="006C4A64">
        <w:rPr>
          <w:rFonts w:ascii="Times New Roman" w:hAnsi="Times New Roman"/>
          <w:sz w:val="24"/>
          <w:szCs w:val="24"/>
          <w:lang w:val="en-GB"/>
        </w:rPr>
        <w:t xml:space="preserve"> they have been relegated to forming 1</w:t>
      </w:r>
      <w:r>
        <w:rPr>
          <w:rFonts w:ascii="Times New Roman" w:hAnsi="Times New Roman"/>
          <w:sz w:val="24"/>
          <w:szCs w:val="24"/>
          <w:lang w:val="en-GB"/>
        </w:rPr>
        <w:t>7</w:t>
      </w:r>
      <w:r w:rsidRPr="006C4A64">
        <w:rPr>
          <w:rFonts w:ascii="Times New Roman" w:hAnsi="Times New Roman"/>
          <w:sz w:val="24"/>
          <w:szCs w:val="24"/>
          <w:lang w:val="en-GB"/>
        </w:rPr>
        <w:t xml:space="preserve">3 local not-for-profit legal associations, with each holding title to the places of worship used by Jehovah’s Witnesses (called “Kingdom Halls”). As documented below, they are denied several benefits afforded to religions with State recognition. Moreover, being labelled as a “sect” has cast Jehovah’s Witnesses in an “unfavourable light in public opinion” and “may amplify prejudices”, fostering the mistaken assumption </w:t>
      </w:r>
      <w:r w:rsidR="00B451A3">
        <w:rPr>
          <w:rFonts w:ascii="Times New Roman" w:hAnsi="Times New Roman"/>
          <w:sz w:val="24"/>
          <w:szCs w:val="24"/>
          <w:lang w:val="en-GB"/>
        </w:rPr>
        <w:t xml:space="preserve">that </w:t>
      </w:r>
      <w:r w:rsidRPr="006C4A64">
        <w:rPr>
          <w:rFonts w:ascii="Times New Roman" w:hAnsi="Times New Roman"/>
          <w:sz w:val="24"/>
          <w:szCs w:val="24"/>
          <w:lang w:val="en-GB"/>
        </w:rPr>
        <w:t>they are a “dubious sect” and a third-class religion. “[S]</w:t>
      </w:r>
      <w:proofErr w:type="spellStart"/>
      <w:r w:rsidRPr="006C4A64">
        <w:rPr>
          <w:rFonts w:ascii="Times New Roman" w:hAnsi="Times New Roman"/>
          <w:sz w:val="24"/>
          <w:szCs w:val="24"/>
          <w:lang w:val="en-GB"/>
        </w:rPr>
        <w:t>uch</w:t>
      </w:r>
      <w:proofErr w:type="spellEnd"/>
      <w:r w:rsidRPr="006C4A64">
        <w:rPr>
          <w:rFonts w:ascii="Times New Roman" w:hAnsi="Times New Roman"/>
          <w:sz w:val="24"/>
          <w:szCs w:val="24"/>
          <w:lang w:val="en-GB"/>
        </w:rPr>
        <w:t xml:space="preserve"> a situation of perceived inferiority goes to the freedom to manifest one’s religion”. (See ECHR judgments in </w:t>
      </w:r>
      <w:r w:rsidRPr="006C4A64">
        <w:rPr>
          <w:rFonts w:ascii="Times New Roman" w:hAnsi="Times New Roman"/>
          <w:i/>
          <w:iCs/>
          <w:sz w:val="24"/>
          <w:szCs w:val="24"/>
          <w:lang w:val="en-GB"/>
        </w:rPr>
        <w:t xml:space="preserve">Magyar </w:t>
      </w:r>
      <w:proofErr w:type="spellStart"/>
      <w:r w:rsidRPr="006C4A64">
        <w:rPr>
          <w:rFonts w:ascii="Times New Roman" w:hAnsi="Times New Roman"/>
          <w:i/>
          <w:iCs/>
          <w:sz w:val="24"/>
          <w:szCs w:val="24"/>
          <w:lang w:val="en-GB"/>
        </w:rPr>
        <w:t>Keresztény</w:t>
      </w:r>
      <w:proofErr w:type="spellEnd"/>
      <w:r w:rsidRPr="006C4A64">
        <w:rPr>
          <w:rFonts w:ascii="Times New Roman" w:hAnsi="Times New Roman"/>
          <w:i/>
          <w:iCs/>
          <w:sz w:val="24"/>
          <w:szCs w:val="24"/>
          <w:lang w:val="en-GB"/>
        </w:rPr>
        <w:t xml:space="preserve"> </w:t>
      </w:r>
      <w:proofErr w:type="spellStart"/>
      <w:r w:rsidRPr="006C4A64">
        <w:rPr>
          <w:rFonts w:ascii="Times New Roman" w:hAnsi="Times New Roman"/>
          <w:i/>
          <w:iCs/>
          <w:sz w:val="24"/>
          <w:szCs w:val="24"/>
          <w:lang w:val="en-GB"/>
        </w:rPr>
        <w:t>Mennonita</w:t>
      </w:r>
      <w:proofErr w:type="spellEnd"/>
      <w:r w:rsidRPr="006C4A64">
        <w:rPr>
          <w:rFonts w:ascii="Times New Roman" w:hAnsi="Times New Roman"/>
          <w:i/>
          <w:iCs/>
          <w:sz w:val="24"/>
          <w:szCs w:val="24"/>
          <w:lang w:val="en-GB"/>
        </w:rPr>
        <w:t xml:space="preserve"> </w:t>
      </w:r>
      <w:proofErr w:type="spellStart"/>
      <w:r w:rsidRPr="006C4A64">
        <w:rPr>
          <w:rFonts w:ascii="Times New Roman" w:hAnsi="Times New Roman"/>
          <w:i/>
          <w:iCs/>
          <w:sz w:val="24"/>
          <w:szCs w:val="24"/>
          <w:lang w:val="en-GB"/>
        </w:rPr>
        <w:t>Egyház</w:t>
      </w:r>
      <w:proofErr w:type="spellEnd"/>
      <w:r w:rsidRPr="006C4A64">
        <w:rPr>
          <w:rFonts w:ascii="Times New Roman" w:hAnsi="Times New Roman"/>
          <w:i/>
          <w:iCs/>
          <w:sz w:val="24"/>
          <w:szCs w:val="24"/>
          <w:lang w:val="en-GB"/>
        </w:rPr>
        <w:t xml:space="preserve"> and Others</w:t>
      </w:r>
      <w:r w:rsidRPr="006C4A64">
        <w:rPr>
          <w:rFonts w:ascii="Times New Roman" w:hAnsi="Times New Roman"/>
          <w:sz w:val="24"/>
          <w:szCs w:val="24"/>
          <w:lang w:val="en-GB"/>
        </w:rPr>
        <w:t>, cited above, §§ 92 and 94</w:t>
      </w:r>
      <w:r w:rsidR="00B451A3">
        <w:rPr>
          <w:rFonts w:ascii="Times New Roman" w:hAnsi="Times New Roman"/>
          <w:sz w:val="24"/>
          <w:szCs w:val="24"/>
          <w:lang w:val="en-GB"/>
        </w:rPr>
        <w:t>;</w:t>
      </w:r>
      <w:r w:rsidRPr="006C4A64">
        <w:rPr>
          <w:rFonts w:ascii="Times New Roman" w:hAnsi="Times New Roman"/>
          <w:sz w:val="24"/>
          <w:szCs w:val="24"/>
          <w:lang w:val="en-GB"/>
        </w:rPr>
        <w:t xml:space="preserve"> and</w:t>
      </w:r>
      <w:r w:rsidRPr="006C4A64">
        <w:rPr>
          <w:rFonts w:ascii="Times New Roman" w:hAnsi="Times New Roman"/>
          <w:i/>
          <w:sz w:val="24"/>
          <w:szCs w:val="24"/>
        </w:rPr>
        <w:t xml:space="preserve"> </w:t>
      </w:r>
      <w:proofErr w:type="spellStart"/>
      <w:r w:rsidRPr="006C4A64">
        <w:rPr>
          <w:rFonts w:ascii="Times New Roman" w:hAnsi="Times New Roman"/>
          <w:i/>
          <w:sz w:val="24"/>
          <w:szCs w:val="24"/>
        </w:rPr>
        <w:t>İzzettin</w:t>
      </w:r>
      <w:proofErr w:type="spellEnd"/>
      <w:r w:rsidRPr="006C4A64">
        <w:rPr>
          <w:rFonts w:ascii="Times New Roman" w:hAnsi="Times New Roman"/>
          <w:i/>
          <w:sz w:val="24"/>
          <w:szCs w:val="24"/>
        </w:rPr>
        <w:t xml:space="preserve"> </w:t>
      </w:r>
      <w:proofErr w:type="spellStart"/>
      <w:r w:rsidRPr="006C4A64">
        <w:rPr>
          <w:rFonts w:ascii="Times New Roman" w:hAnsi="Times New Roman"/>
          <w:i/>
          <w:sz w:val="24"/>
          <w:szCs w:val="24"/>
        </w:rPr>
        <w:t>Doğan</w:t>
      </w:r>
      <w:proofErr w:type="spellEnd"/>
      <w:r w:rsidRPr="006C4A64">
        <w:rPr>
          <w:rFonts w:ascii="Times New Roman" w:hAnsi="Times New Roman"/>
          <w:i/>
          <w:sz w:val="24"/>
          <w:szCs w:val="24"/>
        </w:rPr>
        <w:t xml:space="preserve"> and Others v. Turkey</w:t>
      </w:r>
      <w:r w:rsidRPr="00B56E44">
        <w:rPr>
          <w:rFonts w:ascii="Times New Roman" w:hAnsi="Times New Roman"/>
          <w:sz w:val="24"/>
          <w:szCs w:val="24"/>
          <w:lang w:val="en-GB"/>
        </w:rPr>
        <w:t xml:space="preserve"> [GC], no. 62649/10, § 95, 26 April 2016</w:t>
      </w:r>
      <w:r w:rsidR="00B451A3">
        <w:rPr>
          <w:rFonts w:ascii="Times New Roman" w:hAnsi="Times New Roman"/>
          <w:sz w:val="24"/>
          <w:szCs w:val="24"/>
          <w:lang w:val="en-GB"/>
        </w:rPr>
        <w:t>.)</w:t>
      </w:r>
    </w:p>
    <w:p w:rsidR="00026FA1" w:rsidRPr="00B56E44" w:rsidRDefault="000C1443" w:rsidP="00026FA1">
      <w:pPr>
        <w:pStyle w:val="Heading1"/>
        <w:numPr>
          <w:ilvl w:val="2"/>
          <w:numId w:val="7"/>
        </w:numPr>
        <w:ind w:left="1440"/>
        <w:jc w:val="both"/>
        <w:rPr>
          <w:rFonts w:ascii="Times New Roman Bold" w:hAnsi="Times New Roman Bold" w:cs="Times New Roman"/>
          <w:color w:val="auto"/>
          <w:szCs w:val="24"/>
          <w:lang w:val="en-GB"/>
        </w:rPr>
      </w:pPr>
      <w:bookmarkStart w:id="15" w:name="_Toc18415365"/>
      <w:r w:rsidRPr="00B56E44">
        <w:rPr>
          <w:rFonts w:ascii="Times New Roman Bold" w:hAnsi="Times New Roman Bold" w:cs="Times New Roman"/>
          <w:color w:val="auto"/>
          <w:szCs w:val="24"/>
          <w:lang w:val="en-GB"/>
        </w:rPr>
        <w:t xml:space="preserve">Parliamentary </w:t>
      </w:r>
      <w:r>
        <w:rPr>
          <w:rFonts w:ascii="Times New Roman Bold" w:hAnsi="Times New Roman Bold" w:cs="Times New Roman"/>
          <w:color w:val="auto"/>
          <w:szCs w:val="24"/>
          <w:lang w:val="en-GB"/>
        </w:rPr>
        <w:t>A</w:t>
      </w:r>
      <w:r w:rsidRPr="00B56E44">
        <w:rPr>
          <w:rFonts w:ascii="Times New Roman Bold" w:hAnsi="Times New Roman Bold" w:cs="Times New Roman"/>
          <w:color w:val="auto"/>
          <w:szCs w:val="24"/>
          <w:lang w:val="en-GB"/>
        </w:rPr>
        <w:t>nti-</w:t>
      </w:r>
      <w:r>
        <w:rPr>
          <w:rFonts w:ascii="Times New Roman Bold" w:hAnsi="Times New Roman Bold" w:cs="Times New Roman"/>
          <w:color w:val="auto"/>
          <w:szCs w:val="24"/>
          <w:lang w:val="en-GB"/>
        </w:rPr>
        <w:t>S</w:t>
      </w:r>
      <w:r w:rsidRPr="00B56E44">
        <w:rPr>
          <w:rFonts w:ascii="Times New Roman Bold" w:hAnsi="Times New Roman Bold" w:cs="Times New Roman"/>
          <w:color w:val="auto"/>
          <w:szCs w:val="24"/>
          <w:lang w:val="en-GB"/>
        </w:rPr>
        <w:t xml:space="preserve">ect </w:t>
      </w:r>
      <w:r>
        <w:rPr>
          <w:rFonts w:ascii="Times New Roman Bold" w:hAnsi="Times New Roman Bold" w:cs="Times New Roman"/>
          <w:color w:val="auto"/>
          <w:szCs w:val="24"/>
          <w:lang w:val="en-GB"/>
        </w:rPr>
        <w:t>R</w:t>
      </w:r>
      <w:r w:rsidRPr="00B56E44">
        <w:rPr>
          <w:rFonts w:ascii="Times New Roman Bold" w:hAnsi="Times New Roman Bold" w:cs="Times New Roman"/>
          <w:color w:val="auto"/>
          <w:szCs w:val="24"/>
          <w:lang w:val="en-GB"/>
        </w:rPr>
        <w:t>eport</w:t>
      </w:r>
      <w:bookmarkEnd w:id="15"/>
    </w:p>
    <w:p w:rsidR="00C8771A" w:rsidRDefault="000C1443" w:rsidP="00026FA1">
      <w:pPr>
        <w:pStyle w:val="ListParagraph"/>
        <w:numPr>
          <w:ilvl w:val="1"/>
          <w:numId w:val="4"/>
        </w:numPr>
        <w:topLinePunct/>
        <w:spacing w:after="240"/>
        <w:ind w:left="435" w:right="181"/>
        <w:jc w:val="both"/>
        <w:rPr>
          <w:rFonts w:ascii="Times New Roman" w:hAnsi="Times New Roman"/>
          <w:sz w:val="24"/>
          <w:szCs w:val="24"/>
          <w:lang w:val="en-GB"/>
        </w:rPr>
      </w:pPr>
      <w:r w:rsidRPr="006C4A64">
        <w:rPr>
          <w:rFonts w:ascii="Times New Roman" w:hAnsi="Times New Roman"/>
          <w:sz w:val="24"/>
          <w:szCs w:val="24"/>
          <w:lang w:val="en-GB"/>
        </w:rPr>
        <w:t>In 1997, a report by the Parliamentarian Commission regarding so-called sects, a vague and tendentious term never clearly defined, included a list of 189 religious movements, Jehovah’s Witnesses included.</w:t>
      </w:r>
      <w:r>
        <w:rPr>
          <w:rFonts w:ascii="Times New Roman" w:hAnsi="Times New Roman"/>
          <w:sz w:val="24"/>
          <w:szCs w:val="24"/>
          <w:lang w:val="en-GB"/>
        </w:rPr>
        <w:t xml:space="preserve"> </w:t>
      </w:r>
    </w:p>
    <w:p w:rsidR="00C8771A" w:rsidRDefault="00C8771A" w:rsidP="00026FA1">
      <w:pPr>
        <w:pStyle w:val="ListParagraph"/>
        <w:numPr>
          <w:ilvl w:val="1"/>
          <w:numId w:val="4"/>
        </w:numPr>
        <w:topLinePunct/>
        <w:spacing w:after="240"/>
        <w:ind w:left="435" w:right="181"/>
        <w:jc w:val="both"/>
        <w:rPr>
          <w:rFonts w:ascii="Times New Roman" w:hAnsi="Times New Roman"/>
          <w:sz w:val="24"/>
          <w:szCs w:val="24"/>
          <w:lang w:val="en-GB"/>
        </w:rPr>
      </w:pPr>
      <w:r w:rsidRPr="00A66E91">
        <w:rPr>
          <w:rFonts w:ascii="Times New Roman" w:hAnsi="Times New Roman"/>
          <w:sz w:val="24"/>
          <w:szCs w:val="24"/>
          <w:lang w:val="en-GB"/>
        </w:rPr>
        <w:t xml:space="preserve">Prior to issuing their report, the Commission addressed a letter to the National Office of Jehovah’s Witnesses in Belgium in which they stated that they were considering </w:t>
      </w:r>
      <w:r w:rsidR="00684DF7">
        <w:rPr>
          <w:rFonts w:ascii="Times New Roman" w:hAnsi="Times New Roman"/>
          <w:sz w:val="24"/>
          <w:szCs w:val="24"/>
          <w:lang w:val="en-GB"/>
        </w:rPr>
        <w:t>their</w:t>
      </w:r>
      <w:r w:rsidRPr="00A66E91">
        <w:rPr>
          <w:rFonts w:ascii="Times New Roman" w:hAnsi="Times New Roman"/>
          <w:sz w:val="24"/>
          <w:szCs w:val="24"/>
          <w:lang w:val="en-GB"/>
        </w:rPr>
        <w:t xml:space="preserve"> religious movement. </w:t>
      </w:r>
      <w:r w:rsidRPr="00102765">
        <w:rPr>
          <w:rFonts w:ascii="Times New Roman" w:hAnsi="Times New Roman"/>
          <w:sz w:val="24"/>
          <w:szCs w:val="24"/>
          <w:lang w:val="en-GB"/>
        </w:rPr>
        <w:t>Jehovah’s Witnesses</w:t>
      </w:r>
      <w:r w:rsidRPr="00A66E91">
        <w:rPr>
          <w:rFonts w:ascii="Times New Roman" w:hAnsi="Times New Roman"/>
          <w:sz w:val="24"/>
          <w:szCs w:val="24"/>
          <w:lang w:val="en-GB"/>
        </w:rPr>
        <w:t xml:space="preserve"> </w:t>
      </w:r>
      <w:r>
        <w:rPr>
          <w:rFonts w:ascii="Times New Roman" w:hAnsi="Times New Roman"/>
          <w:sz w:val="24"/>
          <w:szCs w:val="24"/>
          <w:lang w:val="en-GB"/>
        </w:rPr>
        <w:t xml:space="preserve">provided </w:t>
      </w:r>
      <w:r w:rsidRPr="00A66E91">
        <w:rPr>
          <w:rFonts w:ascii="Times New Roman" w:hAnsi="Times New Roman"/>
          <w:sz w:val="24"/>
          <w:szCs w:val="24"/>
          <w:lang w:val="en-GB"/>
        </w:rPr>
        <w:t xml:space="preserve">accurate information about </w:t>
      </w:r>
      <w:r>
        <w:rPr>
          <w:rFonts w:ascii="Times New Roman" w:hAnsi="Times New Roman"/>
          <w:sz w:val="24"/>
          <w:szCs w:val="24"/>
          <w:lang w:val="en-GB"/>
        </w:rPr>
        <w:t>their beliefs and activities</w:t>
      </w:r>
      <w:r w:rsidR="00A66E91">
        <w:rPr>
          <w:rFonts w:ascii="Times New Roman" w:hAnsi="Times New Roman"/>
          <w:sz w:val="24"/>
          <w:szCs w:val="24"/>
          <w:lang w:val="en-GB"/>
        </w:rPr>
        <w:t xml:space="preserve">. The </w:t>
      </w:r>
      <w:r w:rsidR="00B451A3">
        <w:rPr>
          <w:rFonts w:ascii="Times New Roman" w:hAnsi="Times New Roman"/>
          <w:sz w:val="24"/>
          <w:szCs w:val="24"/>
          <w:lang w:val="en-GB"/>
        </w:rPr>
        <w:t>C</w:t>
      </w:r>
      <w:r w:rsidR="00A66E91">
        <w:rPr>
          <w:rFonts w:ascii="Times New Roman" w:hAnsi="Times New Roman"/>
          <w:sz w:val="24"/>
          <w:szCs w:val="24"/>
          <w:lang w:val="en-GB"/>
        </w:rPr>
        <w:t>ommission did not take this information</w:t>
      </w:r>
      <w:r w:rsidRPr="00A66E91">
        <w:rPr>
          <w:rFonts w:ascii="Times New Roman" w:hAnsi="Times New Roman"/>
          <w:sz w:val="24"/>
          <w:szCs w:val="24"/>
          <w:lang w:val="en-GB"/>
        </w:rPr>
        <w:t xml:space="preserve"> into accoun</w:t>
      </w:r>
      <w:r w:rsidR="00A66E91" w:rsidRPr="00A66E91">
        <w:rPr>
          <w:rFonts w:ascii="Times New Roman" w:hAnsi="Times New Roman"/>
          <w:sz w:val="24"/>
          <w:szCs w:val="24"/>
          <w:lang w:val="en-GB"/>
        </w:rPr>
        <w:t>t</w:t>
      </w:r>
      <w:r w:rsidR="00A66E91">
        <w:rPr>
          <w:rFonts w:ascii="Times New Roman" w:hAnsi="Times New Roman"/>
          <w:sz w:val="24"/>
          <w:szCs w:val="24"/>
          <w:lang w:val="en-GB"/>
        </w:rPr>
        <w:t xml:space="preserve"> and indicated </w:t>
      </w:r>
      <w:proofErr w:type="gramStart"/>
      <w:r w:rsidR="00A66E91">
        <w:rPr>
          <w:rFonts w:ascii="Times New Roman" w:hAnsi="Times New Roman"/>
          <w:sz w:val="24"/>
          <w:szCs w:val="24"/>
          <w:lang w:val="en-GB"/>
        </w:rPr>
        <w:t>that  it</w:t>
      </w:r>
      <w:proofErr w:type="gramEnd"/>
      <w:r w:rsidR="00A66E91">
        <w:rPr>
          <w:rFonts w:ascii="Times New Roman" w:hAnsi="Times New Roman"/>
          <w:sz w:val="24"/>
          <w:szCs w:val="24"/>
          <w:lang w:val="en-GB"/>
        </w:rPr>
        <w:t xml:space="preserve"> was too late. </w:t>
      </w:r>
      <w:r w:rsidRPr="00A66E91">
        <w:rPr>
          <w:rFonts w:ascii="Times New Roman" w:hAnsi="Times New Roman"/>
          <w:sz w:val="24"/>
          <w:szCs w:val="24"/>
          <w:lang w:val="en-GB"/>
        </w:rPr>
        <w:t xml:space="preserve">The Belgian </w:t>
      </w:r>
      <w:r w:rsidR="00A66E91">
        <w:rPr>
          <w:rFonts w:ascii="Times New Roman" w:hAnsi="Times New Roman"/>
          <w:sz w:val="24"/>
          <w:szCs w:val="24"/>
          <w:lang w:val="en-GB"/>
        </w:rPr>
        <w:t xml:space="preserve">authorities </w:t>
      </w:r>
      <w:r w:rsidRPr="00A66E91">
        <w:rPr>
          <w:rFonts w:ascii="Times New Roman" w:hAnsi="Times New Roman"/>
          <w:sz w:val="24"/>
          <w:szCs w:val="24"/>
          <w:lang w:val="en-GB"/>
        </w:rPr>
        <w:t xml:space="preserve">never explained </w:t>
      </w:r>
      <w:r w:rsidR="00A66E91">
        <w:rPr>
          <w:rFonts w:ascii="Times New Roman" w:hAnsi="Times New Roman"/>
          <w:sz w:val="24"/>
          <w:szCs w:val="24"/>
          <w:lang w:val="en-GB"/>
        </w:rPr>
        <w:t xml:space="preserve">on what basis they </w:t>
      </w:r>
      <w:r w:rsidRPr="00A66E91">
        <w:rPr>
          <w:rFonts w:ascii="Times New Roman" w:hAnsi="Times New Roman"/>
          <w:sz w:val="24"/>
          <w:szCs w:val="24"/>
          <w:lang w:val="en-GB"/>
        </w:rPr>
        <w:t>selected some religious movements and not others.</w:t>
      </w:r>
    </w:p>
    <w:p w:rsidR="00026FA1" w:rsidRPr="006C4A64" w:rsidRDefault="00A66E91" w:rsidP="00026FA1">
      <w:pPr>
        <w:pStyle w:val="ListParagraph"/>
        <w:numPr>
          <w:ilvl w:val="1"/>
          <w:numId w:val="4"/>
        </w:numPr>
        <w:topLinePunct/>
        <w:spacing w:after="240"/>
        <w:ind w:left="435" w:right="181"/>
        <w:jc w:val="both"/>
        <w:rPr>
          <w:rFonts w:ascii="Times New Roman" w:hAnsi="Times New Roman"/>
          <w:sz w:val="24"/>
          <w:szCs w:val="24"/>
          <w:lang w:val="en-GB"/>
        </w:rPr>
      </w:pPr>
      <w:r>
        <w:rPr>
          <w:rFonts w:ascii="Times New Roman" w:hAnsi="Times New Roman"/>
          <w:sz w:val="24"/>
          <w:szCs w:val="24"/>
          <w:lang w:val="en-GB"/>
        </w:rPr>
        <w:t xml:space="preserve">The </w:t>
      </w:r>
      <w:r w:rsidR="000C1443" w:rsidRPr="006C4A64">
        <w:rPr>
          <w:rFonts w:ascii="Times New Roman" w:hAnsi="Times New Roman"/>
          <w:sz w:val="24"/>
          <w:szCs w:val="24"/>
          <w:lang w:val="en-GB"/>
        </w:rPr>
        <w:t>Belgian Parliament</w:t>
      </w:r>
      <w:r>
        <w:rPr>
          <w:rFonts w:ascii="Times New Roman" w:hAnsi="Times New Roman"/>
          <w:sz w:val="24"/>
          <w:szCs w:val="24"/>
          <w:lang w:val="en-GB"/>
        </w:rPr>
        <w:t xml:space="preserve"> did not vote </w:t>
      </w:r>
      <w:r w:rsidRPr="006C4A64">
        <w:rPr>
          <w:rFonts w:ascii="Times New Roman" w:hAnsi="Times New Roman"/>
          <w:sz w:val="24"/>
          <w:szCs w:val="24"/>
          <w:lang w:val="en-GB"/>
        </w:rPr>
        <w:t xml:space="preserve">on </w:t>
      </w:r>
      <w:r>
        <w:rPr>
          <w:rFonts w:ascii="Times New Roman" w:hAnsi="Times New Roman"/>
          <w:sz w:val="24"/>
          <w:szCs w:val="24"/>
          <w:lang w:val="en-GB"/>
        </w:rPr>
        <w:t>the list</w:t>
      </w:r>
      <w:r w:rsidR="000C1443" w:rsidRPr="006C4A64">
        <w:rPr>
          <w:rFonts w:ascii="Times New Roman" w:hAnsi="Times New Roman"/>
          <w:sz w:val="24"/>
          <w:szCs w:val="24"/>
          <w:lang w:val="en-GB"/>
        </w:rPr>
        <w:t>, and the report clearly specified that being included on that list does not automatically mean that a movement is a sect. However, in practice, for both the media and the public, Jehovah’s Witnesses are consistently portrayed and considered as such. It was obvious to the Belgian State that this report created an unjustified negative image of Jehovah’s Witnesses</w:t>
      </w:r>
      <w:r w:rsidR="0060008E">
        <w:rPr>
          <w:rFonts w:ascii="Times New Roman" w:hAnsi="Times New Roman"/>
          <w:sz w:val="24"/>
          <w:szCs w:val="24"/>
          <w:lang w:val="en-GB"/>
        </w:rPr>
        <w:t>,</w:t>
      </w:r>
      <w:r w:rsidR="000C1443" w:rsidRPr="006C4A64">
        <w:rPr>
          <w:rFonts w:ascii="Times New Roman" w:hAnsi="Times New Roman"/>
          <w:sz w:val="24"/>
          <w:szCs w:val="24"/>
          <w:lang w:val="en-GB"/>
        </w:rPr>
        <w:t xml:space="preserve"> but no steps have been taken to correct the unjustifiable marginalisation of this religious </w:t>
      </w:r>
      <w:r>
        <w:rPr>
          <w:rFonts w:ascii="Times New Roman" w:hAnsi="Times New Roman"/>
          <w:sz w:val="24"/>
          <w:szCs w:val="24"/>
          <w:lang w:val="en-GB"/>
        </w:rPr>
        <w:t>d</w:t>
      </w:r>
      <w:r w:rsidR="0060008E">
        <w:rPr>
          <w:rFonts w:ascii="Times New Roman" w:hAnsi="Times New Roman"/>
          <w:sz w:val="24"/>
          <w:szCs w:val="24"/>
          <w:lang w:val="en-GB"/>
        </w:rPr>
        <w:t>en</w:t>
      </w:r>
      <w:r>
        <w:rPr>
          <w:rFonts w:ascii="Times New Roman" w:hAnsi="Times New Roman"/>
          <w:sz w:val="24"/>
          <w:szCs w:val="24"/>
          <w:lang w:val="en-GB"/>
        </w:rPr>
        <w:t>omination</w:t>
      </w:r>
      <w:r w:rsidR="000C1443" w:rsidRPr="006C4A64">
        <w:rPr>
          <w:rFonts w:ascii="Times New Roman" w:hAnsi="Times New Roman"/>
          <w:sz w:val="24"/>
          <w:szCs w:val="24"/>
          <w:lang w:val="en-GB"/>
        </w:rPr>
        <w:t xml:space="preserve">. Several legal challenges to </w:t>
      </w:r>
      <w:r w:rsidR="000C1443" w:rsidRPr="006C4A64">
        <w:rPr>
          <w:rFonts w:ascii="Times New Roman" w:hAnsi="Times New Roman"/>
          <w:sz w:val="24"/>
          <w:szCs w:val="24"/>
          <w:lang w:val="en-GB"/>
        </w:rPr>
        <w:lastRenderedPageBreak/>
        <w:t>the report were mounted by other religious groups</w:t>
      </w:r>
      <w:r w:rsidR="0060008E">
        <w:rPr>
          <w:rFonts w:ascii="Times New Roman" w:hAnsi="Times New Roman"/>
          <w:sz w:val="24"/>
          <w:szCs w:val="24"/>
          <w:lang w:val="en-GB"/>
        </w:rPr>
        <w:t>,</w:t>
      </w:r>
      <w:r w:rsidR="000C1443" w:rsidRPr="006C4A64">
        <w:rPr>
          <w:rFonts w:ascii="Times New Roman" w:hAnsi="Times New Roman"/>
          <w:sz w:val="24"/>
          <w:szCs w:val="24"/>
          <w:lang w:val="en-GB"/>
        </w:rPr>
        <w:t xml:space="preserve"> but in 2006, the Cassation Court stated that the parliamentary immunity granted by </w:t>
      </w:r>
      <w:r w:rsidR="000C1443">
        <w:rPr>
          <w:rFonts w:ascii="Times New Roman" w:hAnsi="Times New Roman"/>
          <w:sz w:val="24"/>
          <w:szCs w:val="24"/>
          <w:lang w:val="en-GB"/>
        </w:rPr>
        <w:t>Article</w:t>
      </w:r>
      <w:r w:rsidR="000C1443" w:rsidRPr="006C4A64">
        <w:rPr>
          <w:rFonts w:ascii="Times New Roman" w:hAnsi="Times New Roman"/>
          <w:sz w:val="24"/>
          <w:szCs w:val="24"/>
          <w:lang w:val="en-GB"/>
        </w:rPr>
        <w:t xml:space="preserve"> 58 of the Constitution affords unlimited protection to Parliament and its </w:t>
      </w:r>
      <w:r w:rsidR="0060008E">
        <w:rPr>
          <w:rFonts w:ascii="Times New Roman" w:hAnsi="Times New Roman"/>
          <w:sz w:val="24"/>
          <w:szCs w:val="24"/>
          <w:lang w:val="en-GB"/>
        </w:rPr>
        <w:t>c</w:t>
      </w:r>
      <w:r w:rsidR="000C1443" w:rsidRPr="006C4A64">
        <w:rPr>
          <w:rFonts w:ascii="Times New Roman" w:hAnsi="Times New Roman"/>
          <w:sz w:val="24"/>
          <w:szCs w:val="24"/>
          <w:lang w:val="en-GB"/>
        </w:rPr>
        <w:t xml:space="preserve">ommissions. </w:t>
      </w:r>
    </w:p>
    <w:p w:rsidR="00026FA1" w:rsidRPr="006C4A64"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t xml:space="preserve">As a result, religious communities </w:t>
      </w:r>
      <w:r w:rsidR="001672D7">
        <w:rPr>
          <w:rFonts w:ascii="Times New Roman" w:hAnsi="Times New Roman"/>
          <w:sz w:val="24"/>
          <w:szCs w:val="24"/>
          <w:lang w:val="en-GB"/>
        </w:rPr>
        <w:t>such as</w:t>
      </w:r>
      <w:r w:rsidRPr="006C4A64">
        <w:rPr>
          <w:rFonts w:ascii="Times New Roman" w:hAnsi="Times New Roman"/>
          <w:sz w:val="24"/>
          <w:szCs w:val="24"/>
          <w:lang w:val="en-GB"/>
        </w:rPr>
        <w:t xml:space="preserve"> Jehovah’s Witnesses have no domestic remedies available to them to challenge their inclusion in the parliamentary anti-sect report. This would appear to violate </w:t>
      </w:r>
      <w:r w:rsidRPr="006C4A64">
        <w:rPr>
          <w:rFonts w:ascii="Times New Roman" w:hAnsi="Times New Roman"/>
          <w:sz w:val="23"/>
          <w:szCs w:val="23"/>
          <w:lang w:val="en-GB"/>
        </w:rPr>
        <w:t>Article 19(</w:t>
      </w:r>
      <w:r w:rsidR="00284235">
        <w:rPr>
          <w:rFonts w:ascii="Times New Roman" w:hAnsi="Times New Roman"/>
          <w:sz w:val="23"/>
          <w:szCs w:val="23"/>
          <w:lang w:val="en-GB"/>
        </w:rPr>
        <w:t>3</w:t>
      </w:r>
      <w:r w:rsidRPr="006C4A64">
        <w:rPr>
          <w:rFonts w:ascii="Times New Roman" w:hAnsi="Times New Roman"/>
          <w:sz w:val="23"/>
          <w:szCs w:val="23"/>
          <w:lang w:val="en-GB"/>
        </w:rPr>
        <w:t xml:space="preserve">) of the Covenant, which provides: “The exercise of the rights provided for in paragraph 2 of this article carries with it special duties and responsibilities. It may therefore be subject to certain restrictions, but these shall only be such as are provided by law and are necessary: (a) </w:t>
      </w:r>
      <w:proofErr w:type="gramStart"/>
      <w:r w:rsidRPr="006C4A64">
        <w:rPr>
          <w:rFonts w:ascii="Times New Roman" w:hAnsi="Times New Roman"/>
          <w:sz w:val="23"/>
          <w:szCs w:val="23"/>
          <w:lang w:val="en-GB"/>
        </w:rPr>
        <w:t>For</w:t>
      </w:r>
      <w:proofErr w:type="gramEnd"/>
      <w:r w:rsidRPr="006C4A64">
        <w:rPr>
          <w:rFonts w:ascii="Times New Roman" w:hAnsi="Times New Roman"/>
          <w:sz w:val="23"/>
          <w:szCs w:val="23"/>
          <w:lang w:val="en-GB"/>
        </w:rPr>
        <w:t xml:space="preserve"> respect of the rights or reputations of others.” </w:t>
      </w:r>
    </w:p>
    <w:p w:rsidR="00026FA1" w:rsidRPr="006C4A64"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t>The existence of the parliamentary anti-sect report also violates Article 26 of the Covenant, which guarantees to all individuals and religious communities the right to equality before the law, to the equal protection of the law</w:t>
      </w:r>
      <w:r>
        <w:rPr>
          <w:rFonts w:ascii="Times New Roman" w:hAnsi="Times New Roman"/>
          <w:sz w:val="24"/>
          <w:szCs w:val="24"/>
          <w:lang w:val="en-GB"/>
        </w:rPr>
        <w:t xml:space="preserve"> and</w:t>
      </w:r>
      <w:r w:rsidRPr="006C4A64">
        <w:rPr>
          <w:rFonts w:ascii="Times New Roman" w:hAnsi="Times New Roman"/>
          <w:sz w:val="24"/>
          <w:szCs w:val="24"/>
          <w:lang w:val="en-GB"/>
        </w:rPr>
        <w:t xml:space="preserve"> to equal and effective protection against discrimination on any ground such as race, colour, sex, language, religion, political or other opinion, national or social origin, property, birth or other status.</w:t>
      </w:r>
    </w:p>
    <w:p w:rsidR="00026FA1" w:rsidRPr="006C4A64" w:rsidRDefault="000C1443" w:rsidP="00026FA1">
      <w:pPr>
        <w:pStyle w:val="ListParagraph"/>
        <w:numPr>
          <w:ilvl w:val="1"/>
          <w:numId w:val="4"/>
        </w:numPr>
        <w:topLinePunct/>
        <w:spacing w:after="240"/>
        <w:ind w:left="435" w:right="181"/>
        <w:jc w:val="both"/>
        <w:rPr>
          <w:rFonts w:ascii="Times New Roman" w:hAnsi="Times New Roman"/>
          <w:sz w:val="24"/>
          <w:szCs w:val="24"/>
          <w:lang w:val="en-GB"/>
        </w:rPr>
      </w:pPr>
      <w:r w:rsidRPr="006C4A64">
        <w:rPr>
          <w:rFonts w:ascii="Times New Roman" w:hAnsi="Times New Roman"/>
          <w:sz w:val="24"/>
          <w:szCs w:val="24"/>
          <w:lang w:val="en-GB"/>
        </w:rPr>
        <w:t>In 2000, the Belgian State created the IACSSO</w:t>
      </w:r>
      <w:r w:rsidR="00C853B4">
        <w:rPr>
          <w:rFonts w:ascii="Times New Roman" w:hAnsi="Times New Roman"/>
          <w:sz w:val="24"/>
          <w:szCs w:val="24"/>
          <w:lang w:val="en-GB"/>
        </w:rPr>
        <w:t>,</w:t>
      </w:r>
      <w:r w:rsidRPr="006C4A64">
        <w:rPr>
          <w:rFonts w:ascii="Times New Roman" w:hAnsi="Times New Roman"/>
          <w:sz w:val="24"/>
          <w:szCs w:val="24"/>
          <w:lang w:val="en-GB"/>
        </w:rPr>
        <w:t xml:space="preserve"> which operates under the Ministry of Justice. </w:t>
      </w:r>
      <w:r>
        <w:rPr>
          <w:rFonts w:ascii="Times New Roman" w:hAnsi="Times New Roman"/>
          <w:sz w:val="24"/>
          <w:szCs w:val="24"/>
          <w:lang w:val="en-GB"/>
        </w:rPr>
        <w:t>By adding the term “harmful” to “sectarian organizations”, the Belgian State aggravated the prejudice it had created by categori</w:t>
      </w:r>
      <w:r w:rsidR="00C853B4">
        <w:rPr>
          <w:rFonts w:ascii="Times New Roman" w:hAnsi="Times New Roman"/>
          <w:sz w:val="24"/>
          <w:szCs w:val="24"/>
          <w:lang w:val="en-GB"/>
        </w:rPr>
        <w:t>s</w:t>
      </w:r>
      <w:r>
        <w:rPr>
          <w:rFonts w:ascii="Times New Roman" w:hAnsi="Times New Roman"/>
          <w:sz w:val="24"/>
          <w:szCs w:val="24"/>
          <w:lang w:val="en-GB"/>
        </w:rPr>
        <w:t xml:space="preserve">ing some religious movements as “sects” in 1997.  </w:t>
      </w:r>
      <w:r w:rsidRPr="006C4A64">
        <w:rPr>
          <w:rFonts w:ascii="Times New Roman" w:hAnsi="Times New Roman"/>
          <w:sz w:val="24"/>
          <w:szCs w:val="24"/>
          <w:lang w:val="en-GB"/>
        </w:rPr>
        <w:t>Since then, this centre has on several occasions published what it terms “information” about Jehovah’s Witnesses. In fact, what has been published is unfounded and defamatory. By using a state-sponsored body to publish such “information”, the Belgian State in reality implies and tells the public that it considers Jehovah’s Witnesses to be a harmful sect.</w:t>
      </w:r>
      <w:r>
        <w:rPr>
          <w:rFonts w:ascii="Times New Roman" w:hAnsi="Times New Roman"/>
          <w:sz w:val="24"/>
          <w:szCs w:val="24"/>
          <w:lang w:val="en-GB"/>
        </w:rPr>
        <w:t xml:space="preserve"> </w:t>
      </w:r>
      <w:r w:rsidRPr="006C4A64">
        <w:rPr>
          <w:rFonts w:ascii="Times New Roman" w:hAnsi="Times New Roman"/>
          <w:sz w:val="24"/>
          <w:szCs w:val="24"/>
          <w:lang w:val="en-GB"/>
        </w:rPr>
        <w:t>In 2012</w:t>
      </w:r>
      <w:r>
        <w:rPr>
          <w:rFonts w:ascii="Times New Roman" w:hAnsi="Times New Roman"/>
          <w:sz w:val="24"/>
          <w:szCs w:val="24"/>
          <w:lang w:val="en-GB"/>
        </w:rPr>
        <w:t>,</w:t>
      </w:r>
      <w:r w:rsidRPr="006C4A64">
        <w:rPr>
          <w:rFonts w:ascii="Times New Roman" w:hAnsi="Times New Roman"/>
          <w:sz w:val="24"/>
          <w:szCs w:val="24"/>
          <w:lang w:val="en-GB"/>
        </w:rPr>
        <w:t xml:space="preserve"> Jehovah’s Witnesses approached the Federal Ombudsman</w:t>
      </w:r>
      <w:r w:rsidR="00C853B4">
        <w:rPr>
          <w:rFonts w:ascii="Times New Roman" w:hAnsi="Times New Roman"/>
          <w:sz w:val="24"/>
          <w:szCs w:val="24"/>
          <w:lang w:val="en-GB"/>
        </w:rPr>
        <w:t>,</w:t>
      </w:r>
      <w:r w:rsidRPr="006C4A64">
        <w:rPr>
          <w:rFonts w:ascii="Times New Roman" w:hAnsi="Times New Roman"/>
          <w:sz w:val="24"/>
          <w:szCs w:val="24"/>
          <w:lang w:val="en-GB"/>
        </w:rPr>
        <w:t xml:space="preserve"> </w:t>
      </w:r>
      <w:r>
        <w:rPr>
          <w:rFonts w:ascii="Times New Roman" w:hAnsi="Times New Roman"/>
          <w:sz w:val="24"/>
          <w:szCs w:val="24"/>
          <w:lang w:val="en-GB"/>
        </w:rPr>
        <w:t xml:space="preserve">who </w:t>
      </w:r>
      <w:r w:rsidRPr="006C4A64">
        <w:rPr>
          <w:rFonts w:ascii="Times New Roman" w:hAnsi="Times New Roman"/>
          <w:sz w:val="24"/>
          <w:szCs w:val="24"/>
          <w:lang w:val="en-GB"/>
        </w:rPr>
        <w:t xml:space="preserve">concluded that he could not intervene because </w:t>
      </w:r>
      <w:r w:rsidR="00C0444A">
        <w:rPr>
          <w:rFonts w:ascii="Times New Roman" w:hAnsi="Times New Roman"/>
          <w:sz w:val="24"/>
          <w:szCs w:val="24"/>
          <w:lang w:val="en-GB"/>
        </w:rPr>
        <w:t xml:space="preserve">the </w:t>
      </w:r>
      <w:r w:rsidRPr="006C4A64">
        <w:rPr>
          <w:rFonts w:ascii="Times New Roman" w:hAnsi="Times New Roman"/>
          <w:sz w:val="24"/>
          <w:szCs w:val="24"/>
          <w:lang w:val="en-GB"/>
        </w:rPr>
        <w:t>IACSSO is not an administrative federal entity.</w:t>
      </w:r>
      <w:r>
        <w:rPr>
          <w:rFonts w:ascii="Times New Roman" w:hAnsi="Times New Roman"/>
          <w:sz w:val="24"/>
          <w:szCs w:val="24"/>
          <w:lang w:val="en-GB"/>
        </w:rPr>
        <w:t xml:space="preserve"> Other religious groups have also mounted challenges to the actions of </w:t>
      </w:r>
      <w:r w:rsidR="00C0444A">
        <w:rPr>
          <w:rFonts w:ascii="Times New Roman" w:hAnsi="Times New Roman"/>
          <w:sz w:val="24"/>
          <w:szCs w:val="24"/>
          <w:lang w:val="en-GB"/>
        </w:rPr>
        <w:t xml:space="preserve">the </w:t>
      </w:r>
      <w:r>
        <w:rPr>
          <w:rFonts w:ascii="Times New Roman" w:hAnsi="Times New Roman"/>
          <w:sz w:val="24"/>
          <w:szCs w:val="24"/>
          <w:lang w:val="en-GB"/>
        </w:rPr>
        <w:t xml:space="preserve">IACSSO, </w:t>
      </w:r>
      <w:r w:rsidRPr="006C4A64">
        <w:rPr>
          <w:rFonts w:ascii="Times New Roman" w:hAnsi="Times New Roman"/>
          <w:sz w:val="24"/>
          <w:szCs w:val="24"/>
          <w:lang w:val="en-GB"/>
        </w:rPr>
        <w:t xml:space="preserve">but none of these challenges </w:t>
      </w:r>
      <w:r w:rsidR="00C853B4">
        <w:rPr>
          <w:rFonts w:ascii="Times New Roman" w:hAnsi="Times New Roman"/>
          <w:sz w:val="24"/>
          <w:szCs w:val="24"/>
          <w:lang w:val="en-GB"/>
        </w:rPr>
        <w:t xml:space="preserve">have </w:t>
      </w:r>
      <w:r w:rsidRPr="006C4A64">
        <w:rPr>
          <w:rFonts w:ascii="Times New Roman" w:hAnsi="Times New Roman"/>
          <w:sz w:val="24"/>
          <w:szCs w:val="24"/>
          <w:lang w:val="en-GB"/>
        </w:rPr>
        <w:t xml:space="preserve">succeeded. </w:t>
      </w:r>
    </w:p>
    <w:p w:rsidR="00026FA1" w:rsidRPr="006C4A64"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t>By their actions, the Belgian State and its IACSSO have besmirched the image of Jehovah’s Witnesses</w:t>
      </w:r>
      <w:r w:rsidR="00C853B4">
        <w:rPr>
          <w:rFonts w:ascii="Times New Roman" w:hAnsi="Times New Roman"/>
          <w:sz w:val="24"/>
          <w:szCs w:val="24"/>
          <w:lang w:val="en-GB"/>
        </w:rPr>
        <w:t>,</w:t>
      </w:r>
      <w:r w:rsidRPr="006C4A64">
        <w:rPr>
          <w:rFonts w:ascii="Times New Roman" w:hAnsi="Times New Roman"/>
          <w:sz w:val="24"/>
          <w:szCs w:val="24"/>
          <w:lang w:val="en-GB"/>
        </w:rPr>
        <w:t xml:space="preserve"> which, in turn, has caused recurrent difficulties </w:t>
      </w:r>
      <w:r w:rsidR="00C853B4">
        <w:rPr>
          <w:rFonts w:ascii="Times New Roman" w:hAnsi="Times New Roman"/>
          <w:sz w:val="24"/>
          <w:szCs w:val="24"/>
          <w:lang w:val="en-GB"/>
        </w:rPr>
        <w:t xml:space="preserve">for them </w:t>
      </w:r>
      <w:r w:rsidRPr="006C4A64">
        <w:rPr>
          <w:rFonts w:ascii="Times New Roman" w:hAnsi="Times New Roman"/>
          <w:sz w:val="24"/>
          <w:szCs w:val="24"/>
          <w:lang w:val="en-GB"/>
        </w:rPr>
        <w:t xml:space="preserve">in obtaining appropriate facilities for religious worship. The defamatory material has also been repeatedly cited in child custody cases involving parents who are Jehovah’s Witnesses, violating Article 17 (right not to be subjected to arbitrary or unlawful interference with </w:t>
      </w:r>
      <w:r w:rsidR="00C853B4">
        <w:rPr>
          <w:rFonts w:ascii="Times New Roman" w:hAnsi="Times New Roman"/>
          <w:sz w:val="24"/>
          <w:szCs w:val="24"/>
          <w:lang w:val="en-GB"/>
        </w:rPr>
        <w:t xml:space="preserve">one’s </w:t>
      </w:r>
      <w:r w:rsidRPr="006C4A64">
        <w:rPr>
          <w:rFonts w:ascii="Times New Roman" w:hAnsi="Times New Roman"/>
          <w:sz w:val="24"/>
          <w:szCs w:val="24"/>
          <w:lang w:val="en-GB"/>
        </w:rPr>
        <w:t xml:space="preserve">privacy, family, home or correspondence, nor to unlawful attacks on </w:t>
      </w:r>
      <w:r w:rsidR="00C853B4">
        <w:rPr>
          <w:rFonts w:ascii="Times New Roman" w:hAnsi="Times New Roman"/>
          <w:sz w:val="24"/>
          <w:szCs w:val="24"/>
          <w:lang w:val="en-GB"/>
        </w:rPr>
        <w:t>one’s</w:t>
      </w:r>
      <w:r w:rsidRPr="006C4A64">
        <w:rPr>
          <w:rFonts w:ascii="Times New Roman" w:hAnsi="Times New Roman"/>
          <w:sz w:val="24"/>
          <w:szCs w:val="24"/>
          <w:lang w:val="en-GB"/>
        </w:rPr>
        <w:t xml:space="preserve"> honour and reputation) and Article 26 of the Covenant. </w:t>
      </w:r>
    </w:p>
    <w:p w:rsidR="00026FA1" w:rsidRPr="00B56E44" w:rsidRDefault="000C1443" w:rsidP="00026FA1">
      <w:pPr>
        <w:pStyle w:val="Heading1"/>
        <w:numPr>
          <w:ilvl w:val="1"/>
          <w:numId w:val="3"/>
        </w:numPr>
        <w:ind w:left="1080"/>
        <w:jc w:val="both"/>
        <w:rPr>
          <w:rFonts w:ascii="Times New Roman Bold" w:hAnsi="Times New Roman Bold" w:cs="Times New Roman"/>
          <w:color w:val="auto"/>
          <w:szCs w:val="24"/>
          <w:lang w:val="en-GB"/>
        </w:rPr>
      </w:pPr>
      <w:bookmarkStart w:id="16" w:name="_Toc18415366"/>
      <w:r w:rsidRPr="00B56E44">
        <w:rPr>
          <w:rFonts w:ascii="Times New Roman Bold" w:hAnsi="Times New Roman Bold" w:cs="Times New Roman"/>
          <w:color w:val="auto"/>
          <w:szCs w:val="24"/>
          <w:lang w:val="en-GB"/>
        </w:rPr>
        <w:t xml:space="preserve">Right of </w:t>
      </w:r>
      <w:r>
        <w:rPr>
          <w:rFonts w:ascii="Times New Roman Bold" w:hAnsi="Times New Roman Bold" w:cs="Times New Roman"/>
          <w:color w:val="auto"/>
          <w:szCs w:val="24"/>
          <w:lang w:val="en-GB"/>
        </w:rPr>
        <w:t>P</w:t>
      </w:r>
      <w:r w:rsidRPr="00B56E44">
        <w:rPr>
          <w:rFonts w:ascii="Times New Roman Bold" w:hAnsi="Times New Roman Bold" w:cs="Times New Roman"/>
          <w:color w:val="auto"/>
          <w:szCs w:val="24"/>
          <w:lang w:val="en-GB"/>
        </w:rPr>
        <w:t xml:space="preserve">ersons </w:t>
      </w:r>
      <w:r>
        <w:rPr>
          <w:rFonts w:ascii="Times New Roman Bold" w:hAnsi="Times New Roman Bold" w:cs="Times New Roman"/>
          <w:color w:val="auto"/>
          <w:szCs w:val="24"/>
          <w:lang w:val="en-GB"/>
        </w:rPr>
        <w:t>D</w:t>
      </w:r>
      <w:r w:rsidRPr="00B56E44">
        <w:rPr>
          <w:rFonts w:ascii="Times New Roman Bold" w:hAnsi="Times New Roman Bold" w:cs="Times New Roman"/>
          <w:color w:val="auto"/>
          <w:szCs w:val="24"/>
          <w:lang w:val="en-GB"/>
        </w:rPr>
        <w:t xml:space="preserve">eprived of </w:t>
      </w:r>
      <w:r>
        <w:rPr>
          <w:rFonts w:ascii="Times New Roman Bold" w:hAnsi="Times New Roman Bold" w:cs="Times New Roman"/>
          <w:color w:val="auto"/>
          <w:szCs w:val="24"/>
          <w:lang w:val="en-GB"/>
        </w:rPr>
        <w:t>T</w:t>
      </w:r>
      <w:r w:rsidRPr="00B56E44">
        <w:rPr>
          <w:rFonts w:ascii="Times New Roman Bold" w:hAnsi="Times New Roman Bold" w:cs="Times New Roman"/>
          <w:color w:val="auto"/>
          <w:szCs w:val="24"/>
          <w:lang w:val="en-GB"/>
        </w:rPr>
        <w:t xml:space="preserve">heir </w:t>
      </w:r>
      <w:r>
        <w:rPr>
          <w:rFonts w:ascii="Times New Roman Bold" w:hAnsi="Times New Roman Bold" w:cs="Times New Roman"/>
          <w:color w:val="auto"/>
          <w:szCs w:val="24"/>
          <w:lang w:val="en-GB"/>
        </w:rPr>
        <w:t>L</w:t>
      </w:r>
      <w:r w:rsidRPr="00B56E44">
        <w:rPr>
          <w:rFonts w:ascii="Times New Roman Bold" w:hAnsi="Times New Roman Bold" w:cs="Times New Roman"/>
          <w:color w:val="auto"/>
          <w:szCs w:val="24"/>
          <w:lang w:val="en-GB"/>
        </w:rPr>
        <w:t xml:space="preserve">iberty to </w:t>
      </w:r>
      <w:r w:rsidR="005D55BB">
        <w:rPr>
          <w:rFonts w:ascii="Times New Roman Bold" w:hAnsi="Times New Roman Bold" w:cs="Times New Roman"/>
          <w:color w:val="auto"/>
          <w:szCs w:val="24"/>
          <w:lang w:val="en-GB"/>
        </w:rPr>
        <w:t>B</w:t>
      </w:r>
      <w:r w:rsidRPr="00B56E44">
        <w:rPr>
          <w:rFonts w:ascii="Times New Roman Bold" w:hAnsi="Times New Roman Bold" w:cs="Times New Roman"/>
          <w:color w:val="auto"/>
          <w:szCs w:val="24"/>
          <w:lang w:val="en-GB"/>
        </w:rPr>
        <w:t xml:space="preserve">e </w:t>
      </w:r>
      <w:r>
        <w:rPr>
          <w:rFonts w:ascii="Times New Roman Bold" w:hAnsi="Times New Roman Bold" w:cs="Times New Roman"/>
          <w:color w:val="auto"/>
          <w:szCs w:val="24"/>
          <w:lang w:val="en-GB"/>
        </w:rPr>
        <w:t>T</w:t>
      </w:r>
      <w:r w:rsidRPr="00B56E44">
        <w:rPr>
          <w:rFonts w:ascii="Times New Roman Bold" w:hAnsi="Times New Roman Bold" w:cs="Times New Roman"/>
          <w:color w:val="auto"/>
          <w:szCs w:val="24"/>
          <w:lang w:val="en-GB"/>
        </w:rPr>
        <w:t xml:space="preserve">reated </w:t>
      </w:r>
      <w:r>
        <w:rPr>
          <w:rFonts w:ascii="Times New Roman Bold" w:hAnsi="Times New Roman Bold" w:cs="Times New Roman"/>
          <w:color w:val="auto"/>
          <w:szCs w:val="24"/>
          <w:lang w:val="en-GB"/>
        </w:rPr>
        <w:t>W</w:t>
      </w:r>
      <w:r w:rsidRPr="00B56E44">
        <w:rPr>
          <w:rFonts w:ascii="Times New Roman Bold" w:hAnsi="Times New Roman Bold" w:cs="Times New Roman"/>
          <w:color w:val="auto"/>
          <w:szCs w:val="24"/>
          <w:lang w:val="en-GB"/>
        </w:rPr>
        <w:t xml:space="preserve">ith </w:t>
      </w:r>
      <w:r>
        <w:rPr>
          <w:rFonts w:ascii="Times New Roman Bold" w:hAnsi="Times New Roman Bold" w:cs="Times New Roman"/>
          <w:color w:val="auto"/>
          <w:szCs w:val="24"/>
          <w:lang w:val="en-GB"/>
        </w:rPr>
        <w:t>H</w:t>
      </w:r>
      <w:r w:rsidRPr="00B56E44">
        <w:rPr>
          <w:rFonts w:ascii="Times New Roman Bold" w:hAnsi="Times New Roman Bold" w:cs="Times New Roman"/>
          <w:color w:val="auto"/>
          <w:szCs w:val="24"/>
          <w:lang w:val="en-GB"/>
        </w:rPr>
        <w:t xml:space="preserve">umanity and </w:t>
      </w:r>
      <w:r>
        <w:rPr>
          <w:rFonts w:ascii="Times New Roman Bold" w:hAnsi="Times New Roman Bold" w:cs="Times New Roman"/>
          <w:color w:val="auto"/>
          <w:szCs w:val="24"/>
          <w:lang w:val="en-GB"/>
        </w:rPr>
        <w:t>D</w:t>
      </w:r>
      <w:r w:rsidRPr="00B56E44">
        <w:rPr>
          <w:rFonts w:ascii="Times New Roman Bold" w:hAnsi="Times New Roman Bold" w:cs="Times New Roman"/>
          <w:color w:val="auto"/>
          <w:szCs w:val="24"/>
          <w:lang w:val="en-GB"/>
        </w:rPr>
        <w:t xml:space="preserve">ignity (Article 10) in </w:t>
      </w:r>
      <w:r>
        <w:rPr>
          <w:rFonts w:ascii="Times New Roman Bold" w:hAnsi="Times New Roman Bold" w:cs="Times New Roman"/>
          <w:color w:val="auto"/>
          <w:szCs w:val="24"/>
          <w:lang w:val="en-GB"/>
        </w:rPr>
        <w:t>C</w:t>
      </w:r>
      <w:r w:rsidRPr="00B56E44">
        <w:rPr>
          <w:rFonts w:ascii="Times New Roman Bold" w:hAnsi="Times New Roman Bold" w:cs="Times New Roman"/>
          <w:color w:val="auto"/>
          <w:szCs w:val="24"/>
          <w:lang w:val="en-GB"/>
        </w:rPr>
        <w:t xml:space="preserve">onjunction </w:t>
      </w:r>
      <w:proofErr w:type="gramStart"/>
      <w:r>
        <w:rPr>
          <w:rFonts w:ascii="Times New Roman Bold" w:hAnsi="Times New Roman Bold" w:cs="Times New Roman"/>
          <w:color w:val="auto"/>
          <w:szCs w:val="24"/>
          <w:lang w:val="en-GB"/>
        </w:rPr>
        <w:t>W</w:t>
      </w:r>
      <w:r w:rsidRPr="00B56E44">
        <w:rPr>
          <w:rFonts w:ascii="Times New Roman Bold" w:hAnsi="Times New Roman Bold" w:cs="Times New Roman"/>
          <w:color w:val="auto"/>
          <w:szCs w:val="24"/>
          <w:lang w:val="en-GB"/>
        </w:rPr>
        <w:t>ith</w:t>
      </w:r>
      <w:proofErr w:type="gramEnd"/>
      <w:r w:rsidRPr="00B56E44">
        <w:rPr>
          <w:rFonts w:ascii="Times New Roman Bold" w:hAnsi="Times New Roman Bold" w:cs="Times New Roman"/>
          <w:color w:val="auto"/>
          <w:szCs w:val="24"/>
          <w:lang w:val="en-GB"/>
        </w:rPr>
        <w:t xml:space="preserve"> Articles 18, 19 and 26</w:t>
      </w:r>
      <w:bookmarkEnd w:id="16"/>
    </w:p>
    <w:p w:rsidR="00026FA1" w:rsidRPr="006C4A64"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t>The Belgian government has repeatedly refused to grant religious ministers of Jehovah’s Witnesses access to prisoners who have requested pastoral visits from them.</w:t>
      </w:r>
    </w:p>
    <w:p w:rsidR="00026FA1" w:rsidRPr="006C4A64" w:rsidRDefault="008515EA" w:rsidP="00026FA1">
      <w:pPr>
        <w:pStyle w:val="ListParagraph"/>
        <w:numPr>
          <w:ilvl w:val="1"/>
          <w:numId w:val="4"/>
        </w:numPr>
        <w:topLinePunct/>
        <w:spacing w:after="240"/>
        <w:ind w:left="450" w:right="181"/>
        <w:jc w:val="both"/>
        <w:rPr>
          <w:rFonts w:ascii="Times New Roman" w:hAnsi="Times New Roman"/>
          <w:sz w:val="24"/>
          <w:szCs w:val="24"/>
          <w:lang w:val="en-GB"/>
        </w:rPr>
      </w:pPr>
      <w:r>
        <w:rPr>
          <w:rFonts w:ascii="Times New Roman" w:hAnsi="Times New Roman"/>
          <w:sz w:val="24"/>
          <w:szCs w:val="24"/>
          <w:lang w:val="en-GB"/>
        </w:rPr>
        <w:t>On 25</w:t>
      </w:r>
      <w:r w:rsidR="000C1443" w:rsidRPr="006C4A64">
        <w:rPr>
          <w:rFonts w:ascii="Times New Roman" w:hAnsi="Times New Roman"/>
          <w:sz w:val="24"/>
          <w:szCs w:val="24"/>
          <w:lang w:val="en-GB"/>
        </w:rPr>
        <w:t xml:space="preserve"> June 2018</w:t>
      </w:r>
      <w:r w:rsidR="000C1443">
        <w:rPr>
          <w:rFonts w:ascii="Times New Roman" w:hAnsi="Times New Roman"/>
          <w:sz w:val="24"/>
          <w:szCs w:val="24"/>
          <w:lang w:val="en-GB"/>
        </w:rPr>
        <w:t>,</w:t>
      </w:r>
      <w:r w:rsidR="000C1443" w:rsidRPr="006C4A64">
        <w:rPr>
          <w:rFonts w:ascii="Times New Roman" w:hAnsi="Times New Roman"/>
          <w:sz w:val="24"/>
          <w:szCs w:val="24"/>
          <w:lang w:val="en-GB"/>
        </w:rPr>
        <w:t xml:space="preserve"> the representative body of Jehovah’s Witnesses in Belgium wrote to the Minister of Justice, Mr Koen </w:t>
      </w:r>
      <w:proofErr w:type="spellStart"/>
      <w:r w:rsidR="000C1443" w:rsidRPr="006C4A64">
        <w:rPr>
          <w:rFonts w:ascii="Times New Roman" w:hAnsi="Times New Roman"/>
          <w:sz w:val="24"/>
          <w:szCs w:val="24"/>
          <w:lang w:val="en-GB"/>
        </w:rPr>
        <w:t>Geens</w:t>
      </w:r>
      <w:proofErr w:type="spellEnd"/>
      <w:r w:rsidR="000C1443" w:rsidRPr="006C4A64">
        <w:rPr>
          <w:rFonts w:ascii="Times New Roman" w:hAnsi="Times New Roman"/>
          <w:sz w:val="24"/>
          <w:szCs w:val="24"/>
          <w:lang w:val="en-GB"/>
        </w:rPr>
        <w:t>, requesting that a small group of religious ministers of Jehovah’s Witnesses be granted the same access to prisons as is granted to ministers of recognized religions. That letter was ignored by the Minister of Justice. In letters dated 7</w:t>
      </w:r>
      <w:r>
        <w:rPr>
          <w:rFonts w:ascii="Times New Roman" w:hAnsi="Times New Roman"/>
          <w:sz w:val="24"/>
          <w:szCs w:val="24"/>
          <w:lang w:val="en-GB"/>
        </w:rPr>
        <w:t> </w:t>
      </w:r>
      <w:bookmarkStart w:id="17" w:name="_GoBack"/>
      <w:bookmarkEnd w:id="17"/>
      <w:r w:rsidR="000C1443" w:rsidRPr="006C4A64">
        <w:rPr>
          <w:rFonts w:ascii="Times New Roman" w:hAnsi="Times New Roman"/>
          <w:sz w:val="24"/>
          <w:szCs w:val="24"/>
          <w:lang w:val="en-GB"/>
        </w:rPr>
        <w:t>January 2019 and 25 February 2019</w:t>
      </w:r>
      <w:r w:rsidR="005D55BB">
        <w:rPr>
          <w:rFonts w:ascii="Times New Roman" w:hAnsi="Times New Roman"/>
          <w:sz w:val="24"/>
          <w:szCs w:val="24"/>
          <w:lang w:val="en-GB"/>
        </w:rPr>
        <w:t>,</w:t>
      </w:r>
      <w:r w:rsidR="000C1443" w:rsidRPr="006C4A64">
        <w:rPr>
          <w:rFonts w:ascii="Times New Roman" w:hAnsi="Times New Roman"/>
          <w:sz w:val="24"/>
          <w:szCs w:val="24"/>
          <w:lang w:val="en-GB"/>
        </w:rPr>
        <w:t xml:space="preserve"> Jehovah’s Witnesses again wrote to the Minister of Justice regarding the specific requests of two prisoners to be visited by Jehovah’s Witnesses. Those letters were also left unanswered.</w:t>
      </w:r>
    </w:p>
    <w:p w:rsidR="00026FA1" w:rsidRPr="006C4A64"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lastRenderedPageBreak/>
        <w:t xml:space="preserve"> </w:t>
      </w:r>
      <w:r>
        <w:rPr>
          <w:rFonts w:ascii="Times New Roman" w:hAnsi="Times New Roman"/>
          <w:sz w:val="24"/>
          <w:szCs w:val="24"/>
          <w:lang w:val="en-GB"/>
        </w:rPr>
        <w:t>P</w:t>
      </w:r>
      <w:r w:rsidRPr="006C4A64">
        <w:rPr>
          <w:rFonts w:ascii="Times New Roman" w:hAnsi="Times New Roman"/>
          <w:sz w:val="24"/>
          <w:szCs w:val="24"/>
          <w:lang w:val="en-GB"/>
        </w:rPr>
        <w:t>rison administration</w:t>
      </w:r>
      <w:r>
        <w:rPr>
          <w:rFonts w:ascii="Times New Roman" w:hAnsi="Times New Roman"/>
          <w:sz w:val="24"/>
          <w:szCs w:val="24"/>
          <w:lang w:val="en-GB"/>
        </w:rPr>
        <w:t>s</w:t>
      </w:r>
      <w:r w:rsidRPr="006C4A64">
        <w:rPr>
          <w:rFonts w:ascii="Times New Roman" w:hAnsi="Times New Roman"/>
          <w:sz w:val="24"/>
          <w:szCs w:val="24"/>
          <w:lang w:val="en-GB"/>
        </w:rPr>
        <w:t xml:space="preserve"> ha</w:t>
      </w:r>
      <w:r>
        <w:rPr>
          <w:rFonts w:ascii="Times New Roman" w:hAnsi="Times New Roman"/>
          <w:sz w:val="24"/>
          <w:szCs w:val="24"/>
          <w:lang w:val="en-GB"/>
        </w:rPr>
        <w:t>ve</w:t>
      </w:r>
      <w:r w:rsidRPr="006C4A64">
        <w:rPr>
          <w:rFonts w:ascii="Times New Roman" w:hAnsi="Times New Roman"/>
          <w:sz w:val="24"/>
          <w:szCs w:val="24"/>
          <w:lang w:val="en-GB"/>
        </w:rPr>
        <w:t xml:space="preserve"> refused written requests by prisoners for visits by ministers of Jehovah’s Witnesses on the pretext of “no legitimate interest”. Such discretionary refusal can only be used for a request to be visited by a private citizen, but </w:t>
      </w:r>
      <w:r w:rsidR="005D55BB">
        <w:rPr>
          <w:rFonts w:ascii="Times New Roman" w:hAnsi="Times New Roman"/>
          <w:sz w:val="24"/>
          <w:szCs w:val="24"/>
          <w:lang w:val="en-GB"/>
        </w:rPr>
        <w:t xml:space="preserve">it </w:t>
      </w:r>
      <w:r w:rsidRPr="006C4A64">
        <w:rPr>
          <w:rFonts w:ascii="Times New Roman" w:hAnsi="Times New Roman"/>
          <w:sz w:val="24"/>
          <w:szCs w:val="24"/>
          <w:lang w:val="en-GB"/>
        </w:rPr>
        <w:t xml:space="preserve">does not apply to ministers of recognized religions. On 5 August 2019, the representative body of Jehovah’s Witnesses in Belgium wrote two separate letters to the Minister of Justice requesting his approval to visit each of these </w:t>
      </w:r>
      <w:r w:rsidR="00284235">
        <w:rPr>
          <w:rFonts w:ascii="Times New Roman" w:hAnsi="Times New Roman"/>
          <w:sz w:val="24"/>
          <w:szCs w:val="24"/>
          <w:lang w:val="en-GB"/>
        </w:rPr>
        <w:t xml:space="preserve">two </w:t>
      </w:r>
      <w:r w:rsidRPr="006C4A64">
        <w:rPr>
          <w:rFonts w:ascii="Times New Roman" w:hAnsi="Times New Roman"/>
          <w:sz w:val="24"/>
          <w:szCs w:val="24"/>
          <w:lang w:val="en-GB"/>
        </w:rPr>
        <w:t xml:space="preserve">prisoners respectively. Those letters also remain unanswered. </w:t>
      </w:r>
    </w:p>
    <w:p w:rsidR="00026FA1" w:rsidRPr="006C4A64" w:rsidRDefault="000C1443" w:rsidP="00026FA1">
      <w:pPr>
        <w:pStyle w:val="ListParagraph"/>
        <w:numPr>
          <w:ilvl w:val="1"/>
          <w:numId w:val="4"/>
        </w:numPr>
        <w:topLinePunct/>
        <w:spacing w:after="240"/>
        <w:ind w:left="450" w:right="181"/>
        <w:jc w:val="both"/>
        <w:rPr>
          <w:rFonts w:ascii="Times New Roman" w:hAnsi="Times New Roman"/>
          <w:sz w:val="24"/>
          <w:szCs w:val="24"/>
          <w:lang w:val="en-GB"/>
        </w:rPr>
      </w:pPr>
      <w:r w:rsidRPr="006C4A64">
        <w:rPr>
          <w:rFonts w:ascii="Times New Roman" w:hAnsi="Times New Roman"/>
          <w:sz w:val="24"/>
          <w:szCs w:val="24"/>
          <w:lang w:val="en-GB"/>
        </w:rPr>
        <w:t xml:space="preserve">Ignoring or refusing the request for pastoral visits from a minister of an appropriate religion, as selected by a prisoner, is a clear violation of Article 10(1) of the Covenant, which provides: “All persons deprived of their liberty shall be treated with humanity and with respect for the inherent dignity of the human person,” in conjunction with Covenant Articles 18 (right to freedom of thought, conscience and religion, to have or to adopt a religion or belief of choice, and freedom, either individually or in community with others and in public or private, to manifest religion or belief in worship, observance, practice and teaching); </w:t>
      </w:r>
      <w:r w:rsidR="005D55BB">
        <w:rPr>
          <w:rFonts w:ascii="Times New Roman" w:hAnsi="Times New Roman"/>
          <w:sz w:val="24"/>
          <w:szCs w:val="24"/>
          <w:lang w:val="en-GB"/>
        </w:rPr>
        <w:t xml:space="preserve">Article </w:t>
      </w:r>
      <w:r w:rsidRPr="006C4A64">
        <w:rPr>
          <w:rFonts w:ascii="Times New Roman" w:hAnsi="Times New Roman"/>
          <w:sz w:val="24"/>
          <w:szCs w:val="24"/>
          <w:lang w:val="en-GB"/>
        </w:rPr>
        <w:t xml:space="preserve">19 (right to hold opinions without interference); and </w:t>
      </w:r>
      <w:r w:rsidR="005D55BB">
        <w:rPr>
          <w:rFonts w:ascii="Times New Roman" w:hAnsi="Times New Roman"/>
          <w:sz w:val="24"/>
          <w:szCs w:val="24"/>
          <w:lang w:val="en-GB"/>
        </w:rPr>
        <w:t xml:space="preserve">Article </w:t>
      </w:r>
      <w:r w:rsidRPr="006C4A64">
        <w:rPr>
          <w:rFonts w:ascii="Times New Roman" w:hAnsi="Times New Roman"/>
          <w:sz w:val="24"/>
          <w:szCs w:val="24"/>
          <w:lang w:val="en-GB"/>
        </w:rPr>
        <w:t>26 (right to equality before the law, to the equal protection of the law, to equal and effective protection against discrimination on any ground such as race, colour, sex, language, religion, political or other opinion, national or social origin, property, birth or other status).</w:t>
      </w:r>
    </w:p>
    <w:p w:rsidR="00026FA1" w:rsidRPr="00B56E44" w:rsidRDefault="000C1443" w:rsidP="00026FA1">
      <w:pPr>
        <w:pStyle w:val="Heading1"/>
        <w:numPr>
          <w:ilvl w:val="0"/>
          <w:numId w:val="3"/>
        </w:numPr>
        <w:ind w:left="720" w:hanging="360"/>
        <w:jc w:val="both"/>
        <w:rPr>
          <w:rFonts w:ascii="Times New Roman Bold" w:hAnsi="Times New Roman Bold" w:cs="Times New Roman"/>
          <w:caps/>
          <w:color w:val="auto"/>
          <w:szCs w:val="24"/>
          <w:lang w:val="en-GB"/>
        </w:rPr>
      </w:pPr>
      <w:bookmarkStart w:id="18" w:name="_Toc18415367"/>
      <w:r w:rsidRPr="00B56E44">
        <w:rPr>
          <w:rFonts w:ascii="Times New Roman Bold" w:hAnsi="Times New Roman Bold" w:cs="Times New Roman"/>
          <w:caps/>
          <w:color w:val="auto"/>
          <w:szCs w:val="24"/>
          <w:lang w:val="en-GB"/>
        </w:rPr>
        <w:t>CONCLUSION AND RECOMMENDATIONS</w:t>
      </w:r>
      <w:bookmarkEnd w:id="18"/>
      <w:r w:rsidRPr="00B56E44">
        <w:rPr>
          <w:rFonts w:ascii="Times New Roman Bold" w:hAnsi="Times New Roman Bold" w:cs="Times New Roman"/>
          <w:caps/>
          <w:color w:val="auto"/>
          <w:szCs w:val="24"/>
          <w:lang w:val="en-GB"/>
        </w:rPr>
        <w:t xml:space="preserve"> </w:t>
      </w:r>
    </w:p>
    <w:p w:rsidR="00026FA1" w:rsidRPr="006C4A64" w:rsidRDefault="000C1443" w:rsidP="00026FA1">
      <w:pPr>
        <w:pStyle w:val="ListParagraph"/>
        <w:numPr>
          <w:ilvl w:val="1"/>
          <w:numId w:val="4"/>
        </w:numPr>
        <w:topLinePunct/>
        <w:spacing w:after="240"/>
        <w:ind w:left="435" w:right="181"/>
        <w:jc w:val="both"/>
        <w:rPr>
          <w:rFonts w:ascii="Times New Roman" w:hAnsi="Times New Roman"/>
          <w:sz w:val="24"/>
          <w:szCs w:val="24"/>
          <w:lang w:val="en-GB"/>
        </w:rPr>
      </w:pPr>
      <w:r w:rsidRPr="006C4A64">
        <w:rPr>
          <w:rFonts w:ascii="Times New Roman" w:hAnsi="Times New Roman"/>
          <w:sz w:val="24"/>
          <w:szCs w:val="24"/>
          <w:lang w:val="en-GB"/>
        </w:rPr>
        <w:t xml:space="preserve">Jehovah’s Witnesses in </w:t>
      </w:r>
      <w:r w:rsidRPr="006C4A64">
        <w:rPr>
          <w:rFonts w:ascii="Times New Roman" w:eastAsia="Malgun Gothic" w:hAnsi="Times New Roman"/>
          <w:bCs/>
          <w:kern w:val="2"/>
          <w:sz w:val="24"/>
          <w:szCs w:val="24"/>
          <w:lang w:val="en-GB"/>
        </w:rPr>
        <w:t>Belgium</w:t>
      </w:r>
      <w:r>
        <w:rPr>
          <w:rFonts w:ascii="Times New Roman" w:eastAsia="Malgun Gothic" w:hAnsi="Times New Roman"/>
          <w:bCs/>
          <w:kern w:val="2"/>
          <w:sz w:val="24"/>
          <w:szCs w:val="24"/>
          <w:lang w:val="en-GB"/>
        </w:rPr>
        <w:t>,</w:t>
      </w:r>
      <w:r w:rsidRPr="006C4A64">
        <w:rPr>
          <w:rFonts w:ascii="Times New Roman" w:eastAsia="Malgun Gothic" w:hAnsi="Times New Roman"/>
          <w:bCs/>
          <w:kern w:val="2"/>
          <w:sz w:val="24"/>
          <w:szCs w:val="24"/>
          <w:lang w:val="en-GB"/>
        </w:rPr>
        <w:t xml:space="preserve"> </w:t>
      </w:r>
      <w:r w:rsidRPr="006C4A64">
        <w:rPr>
          <w:rFonts w:ascii="Times New Roman" w:hAnsi="Times New Roman"/>
          <w:sz w:val="24"/>
          <w:szCs w:val="24"/>
          <w:lang w:val="en-GB"/>
        </w:rPr>
        <w:t>and as a worldwide organi</w:t>
      </w:r>
      <w:r w:rsidR="00A27795">
        <w:rPr>
          <w:rFonts w:ascii="Times New Roman" w:hAnsi="Times New Roman"/>
          <w:sz w:val="24"/>
          <w:szCs w:val="24"/>
          <w:lang w:val="en-GB"/>
        </w:rPr>
        <w:t>s</w:t>
      </w:r>
      <w:r w:rsidRPr="006C4A64">
        <w:rPr>
          <w:rFonts w:ascii="Times New Roman" w:hAnsi="Times New Roman"/>
          <w:sz w:val="24"/>
          <w:szCs w:val="24"/>
          <w:lang w:val="en-GB"/>
        </w:rPr>
        <w:t xml:space="preserve">ation, </w:t>
      </w:r>
      <w:proofErr w:type="gramStart"/>
      <w:r w:rsidRPr="006C4A64">
        <w:rPr>
          <w:rFonts w:ascii="Times New Roman" w:hAnsi="Times New Roman"/>
          <w:sz w:val="24"/>
          <w:szCs w:val="24"/>
          <w:lang w:val="en-GB"/>
        </w:rPr>
        <w:t>express</w:t>
      </w:r>
      <w:proofErr w:type="gramEnd"/>
      <w:r w:rsidRPr="006C4A64">
        <w:rPr>
          <w:rFonts w:ascii="Times New Roman" w:hAnsi="Times New Roman"/>
          <w:sz w:val="24"/>
          <w:szCs w:val="24"/>
          <w:lang w:val="en-GB"/>
        </w:rPr>
        <w:t xml:space="preserve"> concern at the biased, unsubstantiated and unethical </w:t>
      </w:r>
      <w:r w:rsidR="00A27795">
        <w:rPr>
          <w:rFonts w:ascii="Times New Roman" w:hAnsi="Times New Roman"/>
          <w:sz w:val="24"/>
          <w:szCs w:val="24"/>
          <w:lang w:val="en-GB"/>
        </w:rPr>
        <w:t xml:space="preserve">way that they are </w:t>
      </w:r>
      <w:r w:rsidRPr="006C4A64">
        <w:rPr>
          <w:rFonts w:ascii="Times New Roman" w:hAnsi="Times New Roman"/>
          <w:sz w:val="24"/>
          <w:szCs w:val="24"/>
          <w:lang w:val="en-GB"/>
        </w:rPr>
        <w:t>portray</w:t>
      </w:r>
      <w:r w:rsidR="00A27795">
        <w:rPr>
          <w:rFonts w:ascii="Times New Roman" w:hAnsi="Times New Roman"/>
          <w:sz w:val="24"/>
          <w:szCs w:val="24"/>
          <w:lang w:val="en-GB"/>
        </w:rPr>
        <w:t>ed</w:t>
      </w:r>
      <w:r w:rsidRPr="006C4A64">
        <w:rPr>
          <w:rFonts w:ascii="Times New Roman" w:hAnsi="Times New Roman"/>
          <w:sz w:val="24"/>
          <w:szCs w:val="24"/>
          <w:lang w:val="en-GB"/>
        </w:rPr>
        <w:t xml:space="preserve"> by the Parliamentarian Commission regarding sects, to which they have had no right of reply. They further express concern about the disinformation published by </w:t>
      </w:r>
      <w:r w:rsidR="00C0444A">
        <w:rPr>
          <w:rFonts w:ascii="Times New Roman" w:hAnsi="Times New Roman"/>
          <w:sz w:val="24"/>
          <w:szCs w:val="24"/>
          <w:lang w:val="en-GB"/>
        </w:rPr>
        <w:t xml:space="preserve">the </w:t>
      </w:r>
      <w:r w:rsidRPr="006C4A64">
        <w:rPr>
          <w:rFonts w:ascii="Times New Roman" w:hAnsi="Times New Roman"/>
          <w:sz w:val="24"/>
          <w:szCs w:val="24"/>
          <w:lang w:val="en-GB"/>
        </w:rPr>
        <w:t>IACSSO, which operates under the auspices of the Belgian Ministry of Justice. By using a state-sponsored body to publish false and defamatory “information” on Jehovah’s Witnesses, the Belgian State in reality implies and tells the public that it considers Jehovah’s Witnesses to be a harmful sect.</w:t>
      </w:r>
    </w:p>
    <w:p w:rsidR="00026FA1" w:rsidRPr="006C4A64" w:rsidRDefault="000C1443" w:rsidP="00026FA1">
      <w:pPr>
        <w:pStyle w:val="ListParagraph"/>
        <w:numPr>
          <w:ilvl w:val="1"/>
          <w:numId w:val="4"/>
        </w:numPr>
        <w:topLinePunct/>
        <w:spacing w:after="240"/>
        <w:ind w:left="435" w:right="181"/>
        <w:jc w:val="both"/>
        <w:rPr>
          <w:rFonts w:ascii="Times New Roman" w:hAnsi="Times New Roman"/>
          <w:sz w:val="24"/>
          <w:szCs w:val="24"/>
          <w:lang w:val="en-GB"/>
        </w:rPr>
      </w:pPr>
      <w:r w:rsidRPr="006C4A64">
        <w:rPr>
          <w:rFonts w:ascii="Times New Roman" w:hAnsi="Times New Roman"/>
          <w:sz w:val="24"/>
          <w:szCs w:val="24"/>
          <w:lang w:val="en-GB"/>
        </w:rPr>
        <w:t xml:space="preserve">Jehovah’s Witnesses in </w:t>
      </w:r>
      <w:r w:rsidRPr="006C4A64">
        <w:rPr>
          <w:rFonts w:ascii="Times New Roman" w:eastAsia="Malgun Gothic" w:hAnsi="Times New Roman"/>
          <w:bCs/>
          <w:kern w:val="2"/>
          <w:sz w:val="24"/>
          <w:szCs w:val="24"/>
          <w:lang w:val="en-GB"/>
        </w:rPr>
        <w:t>Belgium</w:t>
      </w:r>
      <w:r>
        <w:rPr>
          <w:rFonts w:ascii="Times New Roman" w:eastAsia="Malgun Gothic" w:hAnsi="Times New Roman"/>
          <w:bCs/>
          <w:kern w:val="2"/>
          <w:sz w:val="24"/>
          <w:szCs w:val="24"/>
          <w:lang w:val="en-GB"/>
        </w:rPr>
        <w:t>,</w:t>
      </w:r>
      <w:r w:rsidRPr="006C4A64">
        <w:rPr>
          <w:rFonts w:ascii="Times New Roman" w:eastAsia="Malgun Gothic" w:hAnsi="Times New Roman"/>
          <w:bCs/>
          <w:kern w:val="2"/>
          <w:sz w:val="24"/>
          <w:szCs w:val="24"/>
          <w:lang w:val="en-GB"/>
        </w:rPr>
        <w:t xml:space="preserve"> </w:t>
      </w:r>
      <w:r w:rsidRPr="006C4A64">
        <w:rPr>
          <w:rFonts w:ascii="Times New Roman" w:hAnsi="Times New Roman"/>
          <w:sz w:val="24"/>
          <w:szCs w:val="24"/>
          <w:lang w:val="en-GB"/>
        </w:rPr>
        <w:t>and as a worldwide organi</w:t>
      </w:r>
      <w:r w:rsidR="00555D99">
        <w:rPr>
          <w:rFonts w:ascii="Times New Roman" w:hAnsi="Times New Roman"/>
          <w:sz w:val="24"/>
          <w:szCs w:val="24"/>
          <w:lang w:val="en-GB"/>
        </w:rPr>
        <w:t>s</w:t>
      </w:r>
      <w:r w:rsidRPr="006C4A64">
        <w:rPr>
          <w:rFonts w:ascii="Times New Roman" w:hAnsi="Times New Roman"/>
          <w:sz w:val="24"/>
          <w:szCs w:val="24"/>
          <w:lang w:val="en-GB"/>
        </w:rPr>
        <w:t>ation</w:t>
      </w:r>
      <w:r>
        <w:rPr>
          <w:rFonts w:ascii="Times New Roman" w:hAnsi="Times New Roman"/>
          <w:sz w:val="24"/>
          <w:szCs w:val="24"/>
          <w:lang w:val="en-GB"/>
        </w:rPr>
        <w:t>, are perplexed</w:t>
      </w:r>
      <w:r w:rsidRPr="006C4A64">
        <w:rPr>
          <w:rFonts w:ascii="Times New Roman" w:hAnsi="Times New Roman"/>
          <w:sz w:val="24"/>
          <w:szCs w:val="24"/>
          <w:lang w:val="en-GB"/>
        </w:rPr>
        <w:t xml:space="preserve"> </w:t>
      </w:r>
      <w:r>
        <w:rPr>
          <w:rFonts w:ascii="Times New Roman" w:hAnsi="Times New Roman"/>
          <w:sz w:val="24"/>
          <w:szCs w:val="24"/>
          <w:lang w:val="en-GB"/>
        </w:rPr>
        <w:t xml:space="preserve">by </w:t>
      </w:r>
      <w:r w:rsidRPr="006C4A64">
        <w:rPr>
          <w:rFonts w:ascii="Times New Roman" w:hAnsi="Times New Roman"/>
          <w:sz w:val="24"/>
          <w:szCs w:val="24"/>
          <w:lang w:val="en-GB"/>
        </w:rPr>
        <w:t xml:space="preserve">the refusal by the Belgian government of appropriate pastoral services to prisoners who request such services from a minister of </w:t>
      </w:r>
      <w:r w:rsidR="00555D99">
        <w:rPr>
          <w:rFonts w:ascii="Times New Roman" w:hAnsi="Times New Roman"/>
          <w:sz w:val="24"/>
          <w:szCs w:val="24"/>
          <w:lang w:val="en-GB"/>
        </w:rPr>
        <w:t>Jehovah’s Witnesses</w:t>
      </w:r>
      <w:r w:rsidRPr="006C4A64">
        <w:rPr>
          <w:rFonts w:ascii="Times New Roman" w:hAnsi="Times New Roman"/>
          <w:sz w:val="24"/>
          <w:szCs w:val="24"/>
          <w:lang w:val="en-GB"/>
        </w:rPr>
        <w:t>.</w:t>
      </w:r>
    </w:p>
    <w:p w:rsidR="00026FA1" w:rsidRPr="006C4A64" w:rsidRDefault="000C1443" w:rsidP="00026FA1">
      <w:pPr>
        <w:pStyle w:val="ListParagraph"/>
        <w:numPr>
          <w:ilvl w:val="1"/>
          <w:numId w:val="4"/>
        </w:numPr>
        <w:topLinePunct/>
        <w:spacing w:after="240"/>
        <w:ind w:left="435" w:right="181"/>
        <w:jc w:val="both"/>
        <w:rPr>
          <w:rFonts w:ascii="Times New Roman" w:hAnsi="Times New Roman"/>
          <w:sz w:val="24"/>
          <w:szCs w:val="24"/>
          <w:lang w:val="en-GB"/>
        </w:rPr>
      </w:pPr>
      <w:r w:rsidRPr="006C4A64">
        <w:rPr>
          <w:rFonts w:ascii="Times New Roman" w:hAnsi="Times New Roman"/>
          <w:sz w:val="24"/>
          <w:szCs w:val="24"/>
          <w:lang w:val="en-GB"/>
        </w:rPr>
        <w:t xml:space="preserve">Such actions by the government are in clear violation of Convention </w:t>
      </w:r>
      <w:r w:rsidR="00555D99">
        <w:rPr>
          <w:rFonts w:ascii="Times New Roman" w:hAnsi="Times New Roman"/>
          <w:sz w:val="24"/>
          <w:szCs w:val="24"/>
          <w:lang w:val="en-GB"/>
        </w:rPr>
        <w:t>A</w:t>
      </w:r>
      <w:r w:rsidRPr="006C4A64">
        <w:rPr>
          <w:rFonts w:ascii="Times New Roman" w:hAnsi="Times New Roman"/>
          <w:sz w:val="24"/>
          <w:szCs w:val="24"/>
          <w:lang w:val="en-GB"/>
        </w:rPr>
        <w:t xml:space="preserve">rticles 10, 17, 18, 19, 21, 22 and 26, as outlined in the submission above. We respectfully request the government of </w:t>
      </w:r>
      <w:r w:rsidRPr="006C4A64">
        <w:rPr>
          <w:rFonts w:ascii="Times New Roman" w:eastAsia="Malgun Gothic" w:hAnsi="Times New Roman"/>
          <w:bCs/>
          <w:kern w:val="2"/>
          <w:sz w:val="24"/>
          <w:szCs w:val="24"/>
          <w:lang w:val="en-GB"/>
        </w:rPr>
        <w:t xml:space="preserve">Belgium </w:t>
      </w:r>
      <w:r w:rsidRPr="006C4A64">
        <w:rPr>
          <w:rFonts w:ascii="Times New Roman" w:hAnsi="Times New Roman"/>
          <w:sz w:val="24"/>
          <w:szCs w:val="24"/>
          <w:lang w:val="en-GB"/>
        </w:rPr>
        <w:t xml:space="preserve">to take the necessary steps to: </w:t>
      </w:r>
    </w:p>
    <w:p w:rsidR="00284235" w:rsidRPr="006C4A64" w:rsidRDefault="00284235" w:rsidP="00284235">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6C4A64">
        <w:rPr>
          <w:rFonts w:ascii="Times New Roman" w:eastAsia="Malgun Gothic" w:hAnsi="Times New Roman"/>
          <w:bCs/>
          <w:kern w:val="2"/>
          <w:sz w:val="24"/>
          <w:szCs w:val="24"/>
          <w:lang w:val="en-GB"/>
        </w:rPr>
        <w:t xml:space="preserve">Ensure that the adverse consequences to Jehovah’s Witnesses of misleading and tendentious material incorporated in the 1997 report of </w:t>
      </w:r>
      <w:r>
        <w:rPr>
          <w:rFonts w:ascii="Times New Roman" w:eastAsia="Malgun Gothic" w:hAnsi="Times New Roman"/>
          <w:bCs/>
          <w:kern w:val="2"/>
          <w:sz w:val="24"/>
          <w:szCs w:val="24"/>
          <w:lang w:val="en-GB"/>
        </w:rPr>
        <w:t xml:space="preserve">the </w:t>
      </w:r>
      <w:r w:rsidRPr="006C4A64">
        <w:rPr>
          <w:rFonts w:ascii="Times New Roman" w:eastAsia="Malgun Gothic" w:hAnsi="Times New Roman"/>
          <w:bCs/>
          <w:kern w:val="2"/>
          <w:sz w:val="24"/>
          <w:szCs w:val="24"/>
          <w:lang w:val="en-GB"/>
        </w:rPr>
        <w:t>Parliamentarian Commission regarding sects are alleviated</w:t>
      </w:r>
    </w:p>
    <w:p w:rsidR="00284235" w:rsidRPr="006C4A64" w:rsidRDefault="00284235" w:rsidP="00284235">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6C4A64">
        <w:rPr>
          <w:rFonts w:ascii="Times New Roman" w:eastAsia="Malgun Gothic" w:hAnsi="Times New Roman"/>
          <w:bCs/>
          <w:kern w:val="2"/>
          <w:sz w:val="24"/>
          <w:szCs w:val="24"/>
          <w:lang w:val="en-GB"/>
        </w:rPr>
        <w:t xml:space="preserve">Guarantee </w:t>
      </w:r>
      <w:r>
        <w:rPr>
          <w:rFonts w:ascii="Times New Roman" w:eastAsia="Malgun Gothic" w:hAnsi="Times New Roman"/>
          <w:bCs/>
          <w:kern w:val="2"/>
          <w:sz w:val="24"/>
          <w:szCs w:val="24"/>
          <w:lang w:val="en-GB"/>
        </w:rPr>
        <w:t xml:space="preserve">that </w:t>
      </w:r>
      <w:r w:rsidRPr="006C4A64">
        <w:rPr>
          <w:rFonts w:ascii="Times New Roman" w:eastAsia="Malgun Gothic" w:hAnsi="Times New Roman"/>
          <w:bCs/>
          <w:kern w:val="2"/>
          <w:sz w:val="24"/>
          <w:szCs w:val="24"/>
          <w:lang w:val="en-GB"/>
        </w:rPr>
        <w:t>the recurring erroneous actions of the Information and Advice Centre on Harmful Sectarian Organizations (IACSSO) are corrected and not repeated</w:t>
      </w:r>
    </w:p>
    <w:p w:rsidR="00284235" w:rsidRDefault="00284235" w:rsidP="00284235">
      <w:pPr>
        <w:pStyle w:val="ListParagraph"/>
        <w:numPr>
          <w:ilvl w:val="0"/>
          <w:numId w:val="5"/>
        </w:numPr>
        <w:topLinePunct/>
        <w:ind w:right="227"/>
        <w:jc w:val="both"/>
        <w:rPr>
          <w:rFonts w:ascii="Times New Roman" w:eastAsia="Malgun Gothic" w:hAnsi="Times New Roman"/>
          <w:bCs/>
          <w:kern w:val="2"/>
          <w:sz w:val="24"/>
          <w:szCs w:val="24"/>
          <w:lang w:val="en-GB"/>
        </w:rPr>
      </w:pPr>
      <w:r>
        <w:rPr>
          <w:rFonts w:ascii="Times New Roman" w:eastAsia="Malgun Gothic" w:hAnsi="Times New Roman"/>
          <w:bCs/>
          <w:kern w:val="2"/>
          <w:sz w:val="24"/>
          <w:szCs w:val="24"/>
          <w:lang w:val="en-GB"/>
        </w:rPr>
        <w:t>Grant</w:t>
      </w:r>
      <w:r w:rsidRPr="006C4A64">
        <w:rPr>
          <w:rFonts w:ascii="Times New Roman" w:eastAsia="Malgun Gothic" w:hAnsi="Times New Roman"/>
          <w:bCs/>
          <w:kern w:val="2"/>
          <w:sz w:val="24"/>
          <w:szCs w:val="24"/>
          <w:lang w:val="en-GB"/>
        </w:rPr>
        <w:t xml:space="preserve"> ministers of Jehovah’s Witnesses the same rights and privileges as ministers of the so-called State recogni</w:t>
      </w:r>
      <w:r>
        <w:rPr>
          <w:rFonts w:ascii="Times New Roman" w:eastAsia="Malgun Gothic" w:hAnsi="Times New Roman"/>
          <w:bCs/>
          <w:kern w:val="2"/>
          <w:sz w:val="24"/>
          <w:szCs w:val="24"/>
          <w:lang w:val="en-GB"/>
        </w:rPr>
        <w:t>z</w:t>
      </w:r>
      <w:r w:rsidRPr="006C4A64">
        <w:rPr>
          <w:rFonts w:ascii="Times New Roman" w:eastAsia="Malgun Gothic" w:hAnsi="Times New Roman"/>
          <w:bCs/>
          <w:kern w:val="2"/>
          <w:sz w:val="24"/>
          <w:szCs w:val="24"/>
          <w:lang w:val="en-GB"/>
        </w:rPr>
        <w:t>ed religions, including granting them the right to provide pastoral visits to prisoners</w:t>
      </w:r>
    </w:p>
    <w:p w:rsidR="00284235" w:rsidRPr="006C4A64" w:rsidRDefault="00284235" w:rsidP="00284235">
      <w:pPr>
        <w:pStyle w:val="ListParagraph"/>
        <w:topLinePunct/>
        <w:ind w:left="714" w:right="227"/>
        <w:jc w:val="both"/>
        <w:rPr>
          <w:rFonts w:ascii="Times New Roman" w:eastAsia="Malgun Gothic" w:hAnsi="Times New Roman"/>
          <w:bCs/>
          <w:kern w:val="2"/>
          <w:sz w:val="24"/>
          <w:szCs w:val="24"/>
          <w:lang w:val="en-GB"/>
        </w:rPr>
      </w:pPr>
    </w:p>
    <w:p w:rsidR="00284235" w:rsidRPr="00B56E44" w:rsidRDefault="00284235" w:rsidP="00284235">
      <w:pPr>
        <w:pStyle w:val="ListParagraph"/>
        <w:numPr>
          <w:ilvl w:val="0"/>
          <w:numId w:val="5"/>
        </w:numPr>
        <w:topLinePunct/>
        <w:ind w:right="227"/>
        <w:jc w:val="both"/>
        <w:rPr>
          <w:rFonts w:ascii="Times New Roman" w:eastAsia="Malgun Gothic" w:hAnsi="Times New Roman"/>
          <w:b/>
          <w:bCs/>
          <w:kern w:val="2"/>
          <w:sz w:val="24"/>
          <w:szCs w:val="24"/>
          <w:lang w:val="en-GB"/>
        </w:rPr>
      </w:pPr>
      <w:r w:rsidRPr="006C4A64">
        <w:rPr>
          <w:rFonts w:ascii="Times New Roman" w:eastAsia="Malgun Gothic" w:hAnsi="Times New Roman"/>
          <w:bCs/>
          <w:kern w:val="2"/>
          <w:sz w:val="24"/>
          <w:szCs w:val="24"/>
          <w:lang w:val="en-GB"/>
        </w:rPr>
        <w:lastRenderedPageBreak/>
        <w:t xml:space="preserve">Abide by its commitment to uphold the fundamental freedoms guaranteed by the </w:t>
      </w:r>
      <w:r>
        <w:rPr>
          <w:rFonts w:ascii="Times New Roman" w:eastAsia="Malgun Gothic" w:hAnsi="Times New Roman"/>
          <w:bCs/>
          <w:kern w:val="2"/>
          <w:sz w:val="24"/>
          <w:szCs w:val="24"/>
          <w:lang w:val="en-GB"/>
        </w:rPr>
        <w:t xml:space="preserve">Constitution of Belgium and the International </w:t>
      </w:r>
      <w:r w:rsidRPr="006C4A64">
        <w:rPr>
          <w:rFonts w:ascii="Times New Roman" w:eastAsia="Malgun Gothic" w:hAnsi="Times New Roman"/>
          <w:bCs/>
          <w:kern w:val="2"/>
          <w:sz w:val="24"/>
          <w:szCs w:val="24"/>
          <w:lang w:val="en-GB"/>
        </w:rPr>
        <w:t xml:space="preserve">Covenant </w:t>
      </w:r>
      <w:r>
        <w:rPr>
          <w:rFonts w:ascii="Times New Roman" w:eastAsia="Malgun Gothic" w:hAnsi="Times New Roman"/>
          <w:bCs/>
          <w:kern w:val="2"/>
          <w:sz w:val="24"/>
          <w:szCs w:val="24"/>
          <w:lang w:val="en-GB"/>
        </w:rPr>
        <w:t xml:space="preserve">on Civil and Political Rights </w:t>
      </w:r>
      <w:r w:rsidRPr="006C4A64">
        <w:rPr>
          <w:rFonts w:ascii="Times New Roman" w:eastAsia="Malgun Gothic" w:hAnsi="Times New Roman"/>
          <w:bCs/>
          <w:kern w:val="2"/>
          <w:sz w:val="24"/>
          <w:szCs w:val="24"/>
          <w:lang w:val="en-GB"/>
        </w:rPr>
        <w:t>for all citizens, including Jehovah’s Witnesses</w:t>
      </w:r>
    </w:p>
    <w:p w:rsidR="00026FA1" w:rsidRPr="00284235" w:rsidRDefault="008515EA" w:rsidP="00284235">
      <w:pPr>
        <w:topLinePunct/>
        <w:spacing w:after="240"/>
        <w:ind w:right="227"/>
        <w:jc w:val="both"/>
        <w:rPr>
          <w:rFonts w:ascii="Times New Roman" w:eastAsia="Malgun Gothic" w:hAnsi="Times New Roman"/>
          <w:bCs/>
          <w:kern w:val="2"/>
          <w:sz w:val="24"/>
          <w:szCs w:val="24"/>
          <w:lang w:val="en-GB"/>
        </w:rPr>
      </w:pPr>
    </w:p>
    <w:sectPr w:rsidR="00026FA1" w:rsidRPr="00284235" w:rsidSect="00026FA1">
      <w:headerReference w:type="first" r:id="rId12"/>
      <w:footerReference w:type="first" r:id="rId13"/>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D9" w:rsidRDefault="000C1443">
      <w:r>
        <w:separator/>
      </w:r>
    </w:p>
  </w:endnote>
  <w:endnote w:type="continuationSeparator" w:id="0">
    <w:p w:rsidR="00DE63D9" w:rsidRDefault="000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A1" w:rsidRDefault="000C1443" w:rsidP="00026FA1">
    <w:pPr>
      <w:pStyle w:val="Footer"/>
    </w:pPr>
    <w:r>
      <w:rPr>
        <w:noProof/>
        <w:lang w:eastAsia="en-US"/>
      </w:rPr>
      <w:drawing>
        <wp:anchor distT="0" distB="0" distL="114300" distR="114300" simplePos="0" relativeHeight="251658240" behindDoc="1" locked="0" layoutInCell="1" allowOverlap="0" wp14:anchorId="00FB9D2C" wp14:editId="4FC947AF">
          <wp:simplePos x="0" y="0"/>
          <wp:positionH relativeFrom="column">
            <wp:posOffset>-720090</wp:posOffset>
          </wp:positionH>
          <wp:positionV relativeFrom="margin">
            <wp:posOffset>9813925</wp:posOffset>
          </wp:positionV>
          <wp:extent cx="7573010" cy="1023620"/>
          <wp:effectExtent l="0" t="0" r="8890" b="5080"/>
          <wp:wrapTight wrapText="bothSides">
            <wp:wrapPolygon edited="0">
              <wp:start x="0" y="0"/>
              <wp:lineTo x="0" y="21305"/>
              <wp:lineTo x="21571" y="21305"/>
              <wp:lineTo x="21571" y="0"/>
              <wp:lineTo x="0" y="0"/>
            </wp:wrapPolygon>
          </wp:wrapTight>
          <wp:docPr id="2"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A1" w:rsidRPr="006B6BF8" w:rsidRDefault="008515EA" w:rsidP="00026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2A" w:rsidRDefault="000C1443">
      <w:r>
        <w:separator/>
      </w:r>
    </w:p>
  </w:footnote>
  <w:footnote w:type="continuationSeparator" w:id="0">
    <w:p w:rsidR="00FE432A" w:rsidRDefault="000C1443">
      <w:r>
        <w:continuationSeparator/>
      </w:r>
    </w:p>
  </w:footnote>
  <w:footnote w:id="1">
    <w:p w:rsidR="00D46EAF" w:rsidRPr="002214AE" w:rsidRDefault="000C1443" w:rsidP="00D46EAF">
      <w:pPr>
        <w:pStyle w:val="FootnoteText"/>
        <w:spacing w:before="40" w:after="40"/>
        <w:ind w:left="288" w:hanging="288"/>
        <w:jc w:val="both"/>
        <w:rPr>
          <w:lang w:val="en-GB"/>
        </w:rPr>
      </w:pPr>
      <w:r>
        <w:rPr>
          <w:rStyle w:val="FootnoteReference"/>
        </w:rPr>
        <w:footnoteRef/>
      </w:r>
      <w:r>
        <w:t xml:space="preserve"> </w:t>
      </w:r>
      <w:r w:rsidRPr="00B56E44">
        <w:rPr>
          <w:rFonts w:ascii="Times New Roman" w:hAnsi="Times New Roman"/>
        </w:rPr>
        <w:tab/>
      </w:r>
      <w:r w:rsidRPr="00B56E44">
        <w:rPr>
          <w:rFonts w:ascii="Times New Roman" w:hAnsi="Times New Roman"/>
          <w:lang w:val="en-GB"/>
        </w:rPr>
        <w:t>See</w:t>
      </w:r>
      <w:r w:rsidRPr="00B56E44">
        <w:rPr>
          <w:rFonts w:ascii="Times New Roman" w:hAnsi="Times New Roman"/>
        </w:rPr>
        <w:t xml:space="preserve"> </w:t>
      </w:r>
      <w:hyperlink r:id="rId1" w:history="1">
        <w:r w:rsidRPr="00B56E44">
          <w:rPr>
            <w:rStyle w:val="Hyperlink"/>
            <w:rFonts w:ascii="Times New Roman" w:hAnsi="Times New Roman"/>
            <w:lang w:val="en-GB"/>
          </w:rPr>
          <w:t>http://www.hrwf.net/images/reports/2010/2010%20antisect%20movements%20belgium.pdf</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A1" w:rsidRPr="007E4ECD" w:rsidRDefault="008515EA" w:rsidP="00026FA1">
    <w:pPr>
      <w:pStyle w:val="Header"/>
      <w:tabs>
        <w:tab w:val="clear" w:pos="4320"/>
        <w:tab w:val="clear" w:pos="8640"/>
        <w:tab w:val="left" w:pos="0"/>
      </w:tabs>
      <w:jc w:val="left"/>
      <w:rPr>
        <w:szCs w:val="24"/>
        <w:lang w:val="fr-BE"/>
      </w:rPr>
    </w:pPr>
  </w:p>
  <w:p w:rsidR="00026FA1" w:rsidRPr="007E4ECD" w:rsidRDefault="000C1443" w:rsidP="00026FA1">
    <w:pPr>
      <w:pStyle w:val="Header"/>
      <w:jc w:val="left"/>
      <w:rPr>
        <w:szCs w:val="24"/>
      </w:rPr>
    </w:pPr>
    <w:r w:rsidRPr="007E4ECD">
      <w:rPr>
        <w:szCs w:val="24"/>
      </w:rPr>
      <w:t>127</w:t>
    </w:r>
    <w:r w:rsidRPr="007E4ECD">
      <w:rPr>
        <w:szCs w:val="24"/>
        <w:vertAlign w:val="superscript"/>
      </w:rPr>
      <w:t>th</w:t>
    </w:r>
    <w:r w:rsidRPr="007E4ECD">
      <w:rPr>
        <w:szCs w:val="24"/>
      </w:rPr>
      <w:t xml:space="preserve"> Session of the UN Human Rights Committee – </w:t>
    </w:r>
    <w:r w:rsidRPr="00454C67">
      <w:rPr>
        <w:szCs w:val="24"/>
      </w:rPr>
      <w:t>14 October-8 November 2019</w:t>
    </w:r>
  </w:p>
  <w:p w:rsidR="00026FA1" w:rsidRPr="007E4ECD" w:rsidRDefault="000C1443" w:rsidP="00026FA1">
    <w:pPr>
      <w:pStyle w:val="Header"/>
      <w:jc w:val="left"/>
      <w:rPr>
        <w:szCs w:val="24"/>
      </w:rPr>
    </w:pPr>
    <w:r w:rsidRPr="007E4ECD">
      <w:rPr>
        <w:szCs w:val="24"/>
      </w:rPr>
      <w:t xml:space="preserve">European Association of Jehovah’s Witnesses – </w:t>
    </w:r>
    <w:r w:rsidRPr="007E4ECD">
      <w:rPr>
        <w:rFonts w:eastAsia="Malgun Gothic"/>
        <w:bCs/>
        <w:kern w:val="2"/>
        <w:szCs w:val="24"/>
      </w:rPr>
      <w:t>Belgium</w:t>
    </w:r>
  </w:p>
  <w:p w:rsidR="00026FA1" w:rsidRDefault="000C1443" w:rsidP="00026FA1">
    <w:pPr>
      <w:pStyle w:val="Header"/>
      <w:tabs>
        <w:tab w:val="clear" w:pos="4320"/>
        <w:tab w:val="clear" w:pos="8640"/>
        <w:tab w:val="left" w:pos="3390"/>
        <w:tab w:val="left" w:pos="3660"/>
      </w:tabs>
      <w:jc w:val="left"/>
      <w:rPr>
        <w:noProof/>
        <w:sz w:val="22"/>
        <w:szCs w:val="22"/>
      </w:rPr>
    </w:pPr>
    <w:r w:rsidRPr="007E4ECD">
      <w:rPr>
        <w:sz w:val="22"/>
        <w:szCs w:val="22"/>
      </w:rPr>
      <w:t xml:space="preserve">Page </w:t>
    </w:r>
    <w:r w:rsidRPr="007E4ECD">
      <w:rPr>
        <w:sz w:val="22"/>
        <w:szCs w:val="22"/>
      </w:rPr>
      <w:fldChar w:fldCharType="begin"/>
    </w:r>
    <w:r w:rsidRPr="007E4ECD">
      <w:rPr>
        <w:sz w:val="22"/>
        <w:szCs w:val="22"/>
      </w:rPr>
      <w:instrText xml:space="preserve"> PAGE   \* MERGEFORMAT </w:instrText>
    </w:r>
    <w:r w:rsidRPr="007E4ECD">
      <w:rPr>
        <w:sz w:val="22"/>
        <w:szCs w:val="22"/>
      </w:rPr>
      <w:fldChar w:fldCharType="separate"/>
    </w:r>
    <w:r w:rsidR="008515EA">
      <w:rPr>
        <w:noProof/>
        <w:sz w:val="22"/>
        <w:szCs w:val="22"/>
      </w:rPr>
      <w:t>5</w:t>
    </w:r>
    <w:r w:rsidRPr="007E4ECD">
      <w:rPr>
        <w:noProof/>
        <w:sz w:val="22"/>
        <w:szCs w:val="22"/>
      </w:rPr>
      <w:fldChar w:fldCharType="end"/>
    </w:r>
  </w:p>
  <w:p w:rsidR="00026FA1" w:rsidRPr="007E4ECD" w:rsidRDefault="008515EA" w:rsidP="00026FA1">
    <w:pPr>
      <w:pStyle w:val="Header"/>
      <w:tabs>
        <w:tab w:val="clear" w:pos="4320"/>
        <w:tab w:val="clear" w:pos="8640"/>
        <w:tab w:val="left" w:pos="3390"/>
        <w:tab w:val="left" w:pos="3660"/>
      </w:tabs>
      <w:jc w:val="left"/>
      <w:rPr>
        <w:noProo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A1" w:rsidRDefault="000C1443" w:rsidP="00026FA1">
    <w:pPr>
      <w:pStyle w:val="Header"/>
      <w:spacing w:before="1020"/>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14:anchorId="2312C6CB" wp14:editId="226111FB">
          <wp:simplePos x="0" y="0"/>
          <wp:positionH relativeFrom="column">
            <wp:posOffset>-720090</wp:posOffset>
          </wp:positionH>
          <wp:positionV relativeFrom="paragraph">
            <wp:posOffset>8890</wp:posOffset>
          </wp:positionV>
          <wp:extent cx="7570470" cy="2017395"/>
          <wp:effectExtent l="0" t="0" r="0" b="190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pic:spPr>
              </pic:pic>
            </a:graphicData>
          </a:graphic>
        </wp:anchor>
      </w:drawing>
    </w:r>
    <w:r>
      <w:rPr>
        <w:rFonts w:ascii="Constantia" w:hAnsi="Constantia"/>
        <w:smallCaps/>
        <w:spacing w:val="20"/>
        <w:sz w:val="19"/>
        <w:szCs w:val="19"/>
      </w:rPr>
      <w:t xml:space="preserve"> </w:t>
    </w:r>
  </w:p>
  <w:p w:rsidR="00026FA1" w:rsidRDefault="008515EA" w:rsidP="00026FA1">
    <w:pPr>
      <w:pStyle w:val="Header"/>
      <w:spacing w:before="1020"/>
      <w:rPr>
        <w:rFonts w:ascii="Constantia" w:hAnsi="Constantia"/>
        <w:smallCaps/>
        <w:spacing w:val="20"/>
        <w:sz w:val="19"/>
        <w:szCs w:val="19"/>
      </w:rPr>
    </w:pPr>
  </w:p>
  <w:p w:rsidR="00026FA1" w:rsidRDefault="00851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A1" w:rsidRDefault="008515EA" w:rsidP="00026FA1">
    <w:pPr>
      <w:pStyle w:val="Header"/>
      <w:jc w:val="left"/>
      <w:rPr>
        <w:szCs w:val="24"/>
      </w:rPr>
    </w:pPr>
  </w:p>
  <w:p w:rsidR="00026FA1" w:rsidRPr="007E4ECD" w:rsidRDefault="000C1443" w:rsidP="00026FA1">
    <w:pPr>
      <w:pStyle w:val="Header"/>
      <w:jc w:val="left"/>
      <w:rPr>
        <w:szCs w:val="24"/>
      </w:rPr>
    </w:pPr>
    <w:r w:rsidRPr="007E4ECD">
      <w:rPr>
        <w:szCs w:val="24"/>
      </w:rPr>
      <w:t>127</w:t>
    </w:r>
    <w:r w:rsidRPr="007E4ECD">
      <w:rPr>
        <w:szCs w:val="24"/>
        <w:vertAlign w:val="superscript"/>
      </w:rPr>
      <w:t>th</w:t>
    </w:r>
    <w:r w:rsidRPr="007E4ECD">
      <w:rPr>
        <w:szCs w:val="24"/>
      </w:rPr>
      <w:t xml:space="preserve"> Session of the UN Human Rights Committee – </w:t>
    </w:r>
    <w:r w:rsidRPr="00454C67">
      <w:rPr>
        <w:szCs w:val="24"/>
      </w:rPr>
      <w:t>14 October-8 November 2019</w:t>
    </w:r>
  </w:p>
  <w:p w:rsidR="00026FA1" w:rsidRPr="007E4ECD" w:rsidRDefault="000C1443" w:rsidP="00026FA1">
    <w:pPr>
      <w:pStyle w:val="Header"/>
      <w:jc w:val="left"/>
      <w:rPr>
        <w:szCs w:val="24"/>
      </w:rPr>
    </w:pPr>
    <w:r w:rsidRPr="007E4ECD">
      <w:rPr>
        <w:szCs w:val="24"/>
      </w:rPr>
      <w:t xml:space="preserve">European Association of Jehovah’s Witnesses – </w:t>
    </w:r>
    <w:r w:rsidRPr="007E4ECD">
      <w:rPr>
        <w:rFonts w:eastAsia="Malgun Gothic"/>
        <w:bCs/>
        <w:kern w:val="2"/>
        <w:szCs w:val="24"/>
      </w:rPr>
      <w:t>Belgium</w:t>
    </w:r>
  </w:p>
  <w:p w:rsidR="00026FA1" w:rsidRDefault="000C1443" w:rsidP="00026FA1">
    <w:pPr>
      <w:pStyle w:val="Header"/>
      <w:tabs>
        <w:tab w:val="clear" w:pos="4320"/>
        <w:tab w:val="clear" w:pos="8640"/>
        <w:tab w:val="left" w:pos="3390"/>
        <w:tab w:val="left" w:pos="3660"/>
      </w:tabs>
      <w:jc w:val="left"/>
      <w:rPr>
        <w:noProof/>
        <w:sz w:val="22"/>
        <w:szCs w:val="22"/>
      </w:rPr>
    </w:pPr>
    <w:r w:rsidRPr="007E4ECD">
      <w:rPr>
        <w:sz w:val="22"/>
        <w:szCs w:val="22"/>
      </w:rPr>
      <w:t xml:space="preserve">Page </w:t>
    </w:r>
    <w:r w:rsidRPr="007E4ECD">
      <w:rPr>
        <w:sz w:val="22"/>
        <w:szCs w:val="22"/>
      </w:rPr>
      <w:fldChar w:fldCharType="begin"/>
    </w:r>
    <w:r w:rsidRPr="007E4ECD">
      <w:rPr>
        <w:sz w:val="22"/>
        <w:szCs w:val="22"/>
      </w:rPr>
      <w:instrText xml:space="preserve"> PAGE   \* MERGEFORMAT </w:instrText>
    </w:r>
    <w:r w:rsidRPr="007E4ECD">
      <w:rPr>
        <w:sz w:val="22"/>
        <w:szCs w:val="22"/>
      </w:rPr>
      <w:fldChar w:fldCharType="separate"/>
    </w:r>
    <w:r w:rsidR="008515EA">
      <w:rPr>
        <w:noProof/>
        <w:sz w:val="22"/>
        <w:szCs w:val="22"/>
      </w:rPr>
      <w:t>2</w:t>
    </w:r>
    <w:r w:rsidRPr="007E4ECD">
      <w:rPr>
        <w:noProof/>
        <w:sz w:val="22"/>
        <w:szCs w:val="22"/>
      </w:rPr>
      <w:fldChar w:fldCharType="end"/>
    </w:r>
  </w:p>
  <w:p w:rsidR="00026FA1" w:rsidRPr="007E4ECD" w:rsidRDefault="008515EA" w:rsidP="00026FA1">
    <w:pPr>
      <w:pStyle w:val="Header"/>
      <w:tabs>
        <w:tab w:val="clear" w:pos="4320"/>
        <w:tab w:val="clear" w:pos="8640"/>
        <w:tab w:val="left" w:pos="3390"/>
        <w:tab w:val="left" w:pos="3660"/>
      </w:tabs>
      <w:jc w:val="left"/>
      <w:rPr>
        <w:noProo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1">
    <w:nsid w:val="15CA2789"/>
    <w:multiLevelType w:val="hybridMultilevel"/>
    <w:tmpl w:val="DAD25042"/>
    <w:lvl w:ilvl="0" w:tplc="1D56AC0C">
      <w:start w:val="1"/>
      <w:numFmt w:val="upperLetter"/>
      <w:lvlText w:val="%1."/>
      <w:lvlJc w:val="left"/>
      <w:pPr>
        <w:ind w:left="4320" w:hanging="720"/>
      </w:pPr>
      <w:rPr>
        <w:rFonts w:hint="default"/>
      </w:rPr>
    </w:lvl>
    <w:lvl w:ilvl="1" w:tplc="D276A4E0">
      <w:start w:val="1"/>
      <w:numFmt w:val="upperLetter"/>
      <w:lvlText w:val="%2."/>
      <w:lvlJc w:val="left"/>
      <w:pPr>
        <w:ind w:left="4680" w:hanging="360"/>
      </w:pPr>
    </w:lvl>
    <w:lvl w:ilvl="2" w:tplc="B64ABF42">
      <w:start w:val="1"/>
      <w:numFmt w:val="lowerRoman"/>
      <w:lvlText w:val="%3."/>
      <w:lvlJc w:val="right"/>
      <w:pPr>
        <w:ind w:left="5400" w:hanging="180"/>
      </w:pPr>
    </w:lvl>
    <w:lvl w:ilvl="3" w:tplc="F98ACC6C" w:tentative="1">
      <w:start w:val="1"/>
      <w:numFmt w:val="decimal"/>
      <w:lvlText w:val="%4."/>
      <w:lvlJc w:val="left"/>
      <w:pPr>
        <w:ind w:left="6120" w:hanging="360"/>
      </w:pPr>
    </w:lvl>
    <w:lvl w:ilvl="4" w:tplc="BFE06E16" w:tentative="1">
      <w:start w:val="1"/>
      <w:numFmt w:val="lowerLetter"/>
      <w:lvlText w:val="%5."/>
      <w:lvlJc w:val="left"/>
      <w:pPr>
        <w:ind w:left="6840" w:hanging="360"/>
      </w:pPr>
    </w:lvl>
    <w:lvl w:ilvl="5" w:tplc="B1941EAA" w:tentative="1">
      <w:start w:val="1"/>
      <w:numFmt w:val="lowerRoman"/>
      <w:lvlText w:val="%6."/>
      <w:lvlJc w:val="right"/>
      <w:pPr>
        <w:ind w:left="7560" w:hanging="180"/>
      </w:pPr>
    </w:lvl>
    <w:lvl w:ilvl="6" w:tplc="AA843D7A" w:tentative="1">
      <w:start w:val="1"/>
      <w:numFmt w:val="decimal"/>
      <w:lvlText w:val="%7."/>
      <w:lvlJc w:val="left"/>
      <w:pPr>
        <w:ind w:left="8280" w:hanging="360"/>
      </w:pPr>
    </w:lvl>
    <w:lvl w:ilvl="7" w:tplc="F4E20DDA" w:tentative="1">
      <w:start w:val="1"/>
      <w:numFmt w:val="lowerLetter"/>
      <w:lvlText w:val="%8."/>
      <w:lvlJc w:val="left"/>
      <w:pPr>
        <w:ind w:left="9000" w:hanging="360"/>
      </w:pPr>
    </w:lvl>
    <w:lvl w:ilvl="8" w:tplc="E29AB2B2" w:tentative="1">
      <w:start w:val="1"/>
      <w:numFmt w:val="lowerRoman"/>
      <w:lvlText w:val="%9."/>
      <w:lvlJc w:val="right"/>
      <w:pPr>
        <w:ind w:left="9720" w:hanging="180"/>
      </w:pPr>
    </w:lvl>
  </w:abstractNum>
  <w:abstractNum w:abstractNumId="2">
    <w:nsid w:val="1A0E4C95"/>
    <w:multiLevelType w:val="hybridMultilevel"/>
    <w:tmpl w:val="6614A496"/>
    <w:lvl w:ilvl="0" w:tplc="8BDE3D80">
      <w:start w:val="1"/>
      <w:numFmt w:val="decimal"/>
      <w:lvlText w:val="(%1)"/>
      <w:lvlJc w:val="left"/>
      <w:pPr>
        <w:ind w:left="720" w:hanging="360"/>
      </w:pPr>
      <w:rPr>
        <w:rFonts w:hint="default"/>
        <w:b w:val="0"/>
        <w:color w:val="auto"/>
      </w:rPr>
    </w:lvl>
    <w:lvl w:ilvl="1" w:tplc="C7EC45FA">
      <w:start w:val="1"/>
      <w:numFmt w:val="decimal"/>
      <w:lvlText w:val="%2."/>
      <w:lvlJc w:val="left"/>
      <w:pPr>
        <w:ind w:left="615" w:hanging="435"/>
      </w:pPr>
      <w:rPr>
        <w:rFonts w:ascii="Times New Roman" w:hAnsi="Times New Roman" w:cs="Times New Roman" w:hint="default"/>
        <w:color w:val="auto"/>
        <w:sz w:val="24"/>
        <w:szCs w:val="24"/>
      </w:rPr>
    </w:lvl>
    <w:lvl w:ilvl="2" w:tplc="F6802C14">
      <w:start w:val="1"/>
      <w:numFmt w:val="lowerRoman"/>
      <w:lvlText w:val="%3."/>
      <w:lvlJc w:val="right"/>
      <w:pPr>
        <w:ind w:left="2160" w:hanging="180"/>
      </w:pPr>
    </w:lvl>
    <w:lvl w:ilvl="3" w:tplc="4AD6638A" w:tentative="1">
      <w:start w:val="1"/>
      <w:numFmt w:val="decimal"/>
      <w:lvlText w:val="%4."/>
      <w:lvlJc w:val="left"/>
      <w:pPr>
        <w:ind w:left="2880" w:hanging="360"/>
      </w:pPr>
    </w:lvl>
    <w:lvl w:ilvl="4" w:tplc="2D569238" w:tentative="1">
      <w:start w:val="1"/>
      <w:numFmt w:val="lowerLetter"/>
      <w:lvlText w:val="%5."/>
      <w:lvlJc w:val="left"/>
      <w:pPr>
        <w:ind w:left="3600" w:hanging="360"/>
      </w:pPr>
    </w:lvl>
    <w:lvl w:ilvl="5" w:tplc="D7266596" w:tentative="1">
      <w:start w:val="1"/>
      <w:numFmt w:val="lowerRoman"/>
      <w:lvlText w:val="%6."/>
      <w:lvlJc w:val="right"/>
      <w:pPr>
        <w:ind w:left="4320" w:hanging="180"/>
      </w:pPr>
    </w:lvl>
    <w:lvl w:ilvl="6" w:tplc="96049B36" w:tentative="1">
      <w:start w:val="1"/>
      <w:numFmt w:val="decimal"/>
      <w:lvlText w:val="%7."/>
      <w:lvlJc w:val="left"/>
      <w:pPr>
        <w:ind w:left="5040" w:hanging="360"/>
      </w:pPr>
    </w:lvl>
    <w:lvl w:ilvl="7" w:tplc="E49E3BFC" w:tentative="1">
      <w:start w:val="1"/>
      <w:numFmt w:val="lowerLetter"/>
      <w:lvlText w:val="%8."/>
      <w:lvlJc w:val="left"/>
      <w:pPr>
        <w:ind w:left="5760" w:hanging="360"/>
      </w:pPr>
    </w:lvl>
    <w:lvl w:ilvl="8" w:tplc="92A8C29C" w:tentative="1">
      <w:start w:val="1"/>
      <w:numFmt w:val="lowerRoman"/>
      <w:lvlText w:val="%9."/>
      <w:lvlJc w:val="right"/>
      <w:pPr>
        <w:ind w:left="6480" w:hanging="180"/>
      </w:pPr>
    </w:lvl>
  </w:abstractNum>
  <w:abstractNum w:abstractNumId="3">
    <w:nsid w:val="4B9F55A6"/>
    <w:multiLevelType w:val="hybridMultilevel"/>
    <w:tmpl w:val="6614A496"/>
    <w:lvl w:ilvl="0" w:tplc="00E0E756">
      <w:start w:val="1"/>
      <w:numFmt w:val="decimal"/>
      <w:lvlText w:val="(%1)"/>
      <w:lvlJc w:val="left"/>
      <w:pPr>
        <w:ind w:left="720" w:hanging="360"/>
      </w:pPr>
      <w:rPr>
        <w:rFonts w:hint="default"/>
        <w:b w:val="0"/>
        <w:color w:val="auto"/>
      </w:rPr>
    </w:lvl>
    <w:lvl w:ilvl="1" w:tplc="6E8C5FB8">
      <w:start w:val="1"/>
      <w:numFmt w:val="decimal"/>
      <w:lvlText w:val="%2."/>
      <w:lvlJc w:val="left"/>
      <w:pPr>
        <w:ind w:left="615" w:hanging="435"/>
      </w:pPr>
      <w:rPr>
        <w:rFonts w:ascii="Times New Roman" w:hAnsi="Times New Roman" w:cs="Times New Roman" w:hint="default"/>
        <w:color w:val="auto"/>
        <w:sz w:val="24"/>
        <w:szCs w:val="24"/>
      </w:rPr>
    </w:lvl>
    <w:lvl w:ilvl="2" w:tplc="6E8C7206">
      <w:start w:val="1"/>
      <w:numFmt w:val="lowerRoman"/>
      <w:lvlText w:val="%3."/>
      <w:lvlJc w:val="right"/>
      <w:pPr>
        <w:ind w:left="2160" w:hanging="180"/>
      </w:pPr>
    </w:lvl>
    <w:lvl w:ilvl="3" w:tplc="B588C6BC" w:tentative="1">
      <w:start w:val="1"/>
      <w:numFmt w:val="decimal"/>
      <w:lvlText w:val="%4."/>
      <w:lvlJc w:val="left"/>
      <w:pPr>
        <w:ind w:left="2880" w:hanging="360"/>
      </w:pPr>
    </w:lvl>
    <w:lvl w:ilvl="4" w:tplc="AB92A8BE" w:tentative="1">
      <w:start w:val="1"/>
      <w:numFmt w:val="lowerLetter"/>
      <w:lvlText w:val="%5."/>
      <w:lvlJc w:val="left"/>
      <w:pPr>
        <w:ind w:left="3600" w:hanging="360"/>
      </w:pPr>
    </w:lvl>
    <w:lvl w:ilvl="5" w:tplc="1A6E4AB2" w:tentative="1">
      <w:start w:val="1"/>
      <w:numFmt w:val="lowerRoman"/>
      <w:lvlText w:val="%6."/>
      <w:lvlJc w:val="right"/>
      <w:pPr>
        <w:ind w:left="4320" w:hanging="180"/>
      </w:pPr>
    </w:lvl>
    <w:lvl w:ilvl="6" w:tplc="10E44C0C" w:tentative="1">
      <w:start w:val="1"/>
      <w:numFmt w:val="decimal"/>
      <w:lvlText w:val="%7."/>
      <w:lvlJc w:val="left"/>
      <w:pPr>
        <w:ind w:left="5040" w:hanging="360"/>
      </w:pPr>
    </w:lvl>
    <w:lvl w:ilvl="7" w:tplc="ED6E23CA" w:tentative="1">
      <w:start w:val="1"/>
      <w:numFmt w:val="lowerLetter"/>
      <w:lvlText w:val="%8."/>
      <w:lvlJc w:val="left"/>
      <w:pPr>
        <w:ind w:left="5760" w:hanging="360"/>
      </w:pPr>
    </w:lvl>
    <w:lvl w:ilvl="8" w:tplc="894254A0" w:tentative="1">
      <w:start w:val="1"/>
      <w:numFmt w:val="lowerRoman"/>
      <w:lvlText w:val="%9."/>
      <w:lvlJc w:val="right"/>
      <w:pPr>
        <w:ind w:left="6480" w:hanging="180"/>
      </w:pPr>
    </w:lvl>
  </w:abstractNum>
  <w:abstractNum w:abstractNumId="4">
    <w:nsid w:val="5EA060EB"/>
    <w:multiLevelType w:val="hybridMultilevel"/>
    <w:tmpl w:val="53F690FA"/>
    <w:lvl w:ilvl="0" w:tplc="5C6049D0">
      <w:start w:val="1"/>
      <w:numFmt w:val="decimal"/>
      <w:pStyle w:val="Paragraphnumbered"/>
      <w:lvlText w:val="%1."/>
      <w:lvlJc w:val="left"/>
      <w:pPr>
        <w:tabs>
          <w:tab w:val="num" w:pos="720"/>
        </w:tabs>
        <w:ind w:left="720" w:hanging="720"/>
      </w:pPr>
      <w:rPr>
        <w:rFonts w:ascii="Times New Roman" w:hAnsi="Times New Roman" w:hint="default"/>
        <w:sz w:val="24"/>
      </w:rPr>
    </w:lvl>
    <w:lvl w:ilvl="1" w:tplc="42EA612A">
      <w:start w:val="1"/>
      <w:numFmt w:val="lowerRoman"/>
      <w:lvlText w:val="(%2)"/>
      <w:lvlJc w:val="left"/>
      <w:pPr>
        <w:tabs>
          <w:tab w:val="num" w:pos="1800"/>
        </w:tabs>
        <w:ind w:left="1800" w:hanging="720"/>
      </w:pPr>
      <w:rPr>
        <w:rFonts w:hint="default"/>
        <w:b/>
        <w:i w:val="0"/>
      </w:rPr>
    </w:lvl>
    <w:lvl w:ilvl="2" w:tplc="11E84234">
      <w:start w:val="1"/>
      <w:numFmt w:val="lowerRoman"/>
      <w:lvlText w:val="%3."/>
      <w:lvlJc w:val="right"/>
      <w:pPr>
        <w:tabs>
          <w:tab w:val="num" w:pos="2160"/>
        </w:tabs>
        <w:ind w:left="2160" w:hanging="180"/>
      </w:pPr>
    </w:lvl>
    <w:lvl w:ilvl="3" w:tplc="31E23A46" w:tentative="1">
      <w:start w:val="1"/>
      <w:numFmt w:val="decimal"/>
      <w:lvlText w:val="%4."/>
      <w:lvlJc w:val="left"/>
      <w:pPr>
        <w:tabs>
          <w:tab w:val="num" w:pos="2880"/>
        </w:tabs>
        <w:ind w:left="2880" w:hanging="360"/>
      </w:pPr>
    </w:lvl>
    <w:lvl w:ilvl="4" w:tplc="137A9830" w:tentative="1">
      <w:start w:val="1"/>
      <w:numFmt w:val="lowerLetter"/>
      <w:lvlText w:val="%5."/>
      <w:lvlJc w:val="left"/>
      <w:pPr>
        <w:tabs>
          <w:tab w:val="num" w:pos="3600"/>
        </w:tabs>
        <w:ind w:left="3600" w:hanging="360"/>
      </w:pPr>
    </w:lvl>
    <w:lvl w:ilvl="5" w:tplc="FCC8373E" w:tentative="1">
      <w:start w:val="1"/>
      <w:numFmt w:val="lowerRoman"/>
      <w:lvlText w:val="%6."/>
      <w:lvlJc w:val="right"/>
      <w:pPr>
        <w:tabs>
          <w:tab w:val="num" w:pos="4320"/>
        </w:tabs>
        <w:ind w:left="4320" w:hanging="180"/>
      </w:pPr>
    </w:lvl>
    <w:lvl w:ilvl="6" w:tplc="B9A22B6E" w:tentative="1">
      <w:start w:val="1"/>
      <w:numFmt w:val="decimal"/>
      <w:lvlText w:val="%7."/>
      <w:lvlJc w:val="left"/>
      <w:pPr>
        <w:tabs>
          <w:tab w:val="num" w:pos="5040"/>
        </w:tabs>
        <w:ind w:left="5040" w:hanging="360"/>
      </w:pPr>
    </w:lvl>
    <w:lvl w:ilvl="7" w:tplc="A9B05A64" w:tentative="1">
      <w:start w:val="1"/>
      <w:numFmt w:val="lowerLetter"/>
      <w:lvlText w:val="%8."/>
      <w:lvlJc w:val="left"/>
      <w:pPr>
        <w:tabs>
          <w:tab w:val="num" w:pos="5760"/>
        </w:tabs>
        <w:ind w:left="5760" w:hanging="360"/>
      </w:pPr>
    </w:lvl>
    <w:lvl w:ilvl="8" w:tplc="33361D0A" w:tentative="1">
      <w:start w:val="1"/>
      <w:numFmt w:val="lowerRoman"/>
      <w:lvlText w:val="%9."/>
      <w:lvlJc w:val="right"/>
      <w:pPr>
        <w:tabs>
          <w:tab w:val="num" w:pos="6480"/>
        </w:tabs>
        <w:ind w:left="6480" w:hanging="180"/>
      </w:pPr>
    </w:lvl>
  </w:abstractNum>
  <w:abstractNum w:abstractNumId="5">
    <w:nsid w:val="78C61D5E"/>
    <w:multiLevelType w:val="hybridMultilevel"/>
    <w:tmpl w:val="4AD68362"/>
    <w:lvl w:ilvl="0" w:tplc="007C0E24">
      <w:start w:val="1"/>
      <w:numFmt w:val="upperLetter"/>
      <w:lvlText w:val="%1."/>
      <w:lvlJc w:val="left"/>
      <w:pPr>
        <w:ind w:left="720" w:hanging="360"/>
      </w:pPr>
      <w:rPr>
        <w:rFonts w:hint="default"/>
      </w:rPr>
    </w:lvl>
    <w:lvl w:ilvl="1" w:tplc="DACC64FA" w:tentative="1">
      <w:start w:val="1"/>
      <w:numFmt w:val="lowerLetter"/>
      <w:lvlText w:val="%2."/>
      <w:lvlJc w:val="left"/>
      <w:pPr>
        <w:ind w:left="1440" w:hanging="360"/>
      </w:pPr>
    </w:lvl>
    <w:lvl w:ilvl="2" w:tplc="586460D8" w:tentative="1">
      <w:start w:val="1"/>
      <w:numFmt w:val="lowerRoman"/>
      <w:lvlText w:val="%3."/>
      <w:lvlJc w:val="right"/>
      <w:pPr>
        <w:ind w:left="2160" w:hanging="180"/>
      </w:pPr>
    </w:lvl>
    <w:lvl w:ilvl="3" w:tplc="92E27DFC" w:tentative="1">
      <w:start w:val="1"/>
      <w:numFmt w:val="decimal"/>
      <w:lvlText w:val="%4."/>
      <w:lvlJc w:val="left"/>
      <w:pPr>
        <w:ind w:left="2880" w:hanging="360"/>
      </w:pPr>
    </w:lvl>
    <w:lvl w:ilvl="4" w:tplc="9064F5FA" w:tentative="1">
      <w:start w:val="1"/>
      <w:numFmt w:val="lowerLetter"/>
      <w:lvlText w:val="%5."/>
      <w:lvlJc w:val="left"/>
      <w:pPr>
        <w:ind w:left="3600" w:hanging="360"/>
      </w:pPr>
    </w:lvl>
    <w:lvl w:ilvl="5" w:tplc="FF4E0ACE" w:tentative="1">
      <w:start w:val="1"/>
      <w:numFmt w:val="lowerRoman"/>
      <w:lvlText w:val="%6."/>
      <w:lvlJc w:val="right"/>
      <w:pPr>
        <w:ind w:left="4320" w:hanging="180"/>
      </w:pPr>
    </w:lvl>
    <w:lvl w:ilvl="6" w:tplc="DE0AA6B0" w:tentative="1">
      <w:start w:val="1"/>
      <w:numFmt w:val="decimal"/>
      <w:lvlText w:val="%7."/>
      <w:lvlJc w:val="left"/>
      <w:pPr>
        <w:ind w:left="5040" w:hanging="360"/>
      </w:pPr>
    </w:lvl>
    <w:lvl w:ilvl="7" w:tplc="22F476F8" w:tentative="1">
      <w:start w:val="1"/>
      <w:numFmt w:val="lowerLetter"/>
      <w:lvlText w:val="%8."/>
      <w:lvlJc w:val="left"/>
      <w:pPr>
        <w:ind w:left="5760" w:hanging="360"/>
      </w:pPr>
    </w:lvl>
    <w:lvl w:ilvl="8" w:tplc="9CC4A50A" w:tentative="1">
      <w:start w:val="1"/>
      <w:numFmt w:val="lowerRoman"/>
      <w:lvlText w:val="%9."/>
      <w:lvlJc w:val="right"/>
      <w:pPr>
        <w:ind w:left="6480" w:hanging="180"/>
      </w:pPr>
    </w:lvl>
  </w:abstractNum>
  <w:abstractNum w:abstractNumId="6">
    <w:nsid w:val="7A9B535F"/>
    <w:multiLevelType w:val="hybridMultilevel"/>
    <w:tmpl w:val="16DEA3BE"/>
    <w:lvl w:ilvl="0" w:tplc="B5144808">
      <w:start w:val="1"/>
      <w:numFmt w:val="upperRoman"/>
      <w:lvlText w:val="%1."/>
      <w:lvlJc w:val="left"/>
      <w:pPr>
        <w:ind w:left="5760" w:hanging="720"/>
      </w:pPr>
      <w:rPr>
        <w:rFonts w:hint="default"/>
      </w:rPr>
    </w:lvl>
    <w:lvl w:ilvl="1" w:tplc="B77E0940">
      <w:start w:val="1"/>
      <w:numFmt w:val="upperLetter"/>
      <w:lvlText w:val="%2."/>
      <w:lvlJc w:val="left"/>
      <w:pPr>
        <w:ind w:left="6120" w:hanging="360"/>
      </w:pPr>
    </w:lvl>
    <w:lvl w:ilvl="2" w:tplc="34A4F570">
      <w:start w:val="1"/>
      <w:numFmt w:val="lowerRoman"/>
      <w:lvlText w:val="%3."/>
      <w:lvlJc w:val="right"/>
      <w:pPr>
        <w:ind w:left="6840" w:hanging="180"/>
      </w:pPr>
    </w:lvl>
    <w:lvl w:ilvl="3" w:tplc="5492C660" w:tentative="1">
      <w:start w:val="1"/>
      <w:numFmt w:val="decimal"/>
      <w:lvlText w:val="%4."/>
      <w:lvlJc w:val="left"/>
      <w:pPr>
        <w:ind w:left="7560" w:hanging="360"/>
      </w:pPr>
    </w:lvl>
    <w:lvl w:ilvl="4" w:tplc="F18E6EF8" w:tentative="1">
      <w:start w:val="1"/>
      <w:numFmt w:val="lowerLetter"/>
      <w:lvlText w:val="%5."/>
      <w:lvlJc w:val="left"/>
      <w:pPr>
        <w:ind w:left="8280" w:hanging="360"/>
      </w:pPr>
    </w:lvl>
    <w:lvl w:ilvl="5" w:tplc="8C3091FC" w:tentative="1">
      <w:start w:val="1"/>
      <w:numFmt w:val="lowerRoman"/>
      <w:lvlText w:val="%6."/>
      <w:lvlJc w:val="right"/>
      <w:pPr>
        <w:ind w:left="9000" w:hanging="180"/>
      </w:pPr>
    </w:lvl>
    <w:lvl w:ilvl="6" w:tplc="194CF6CC" w:tentative="1">
      <w:start w:val="1"/>
      <w:numFmt w:val="decimal"/>
      <w:lvlText w:val="%7."/>
      <w:lvlJc w:val="left"/>
      <w:pPr>
        <w:ind w:left="9720" w:hanging="360"/>
      </w:pPr>
    </w:lvl>
    <w:lvl w:ilvl="7" w:tplc="AD38CEE2" w:tentative="1">
      <w:start w:val="1"/>
      <w:numFmt w:val="lowerLetter"/>
      <w:lvlText w:val="%8."/>
      <w:lvlJc w:val="left"/>
      <w:pPr>
        <w:ind w:left="10440" w:hanging="360"/>
      </w:pPr>
    </w:lvl>
    <w:lvl w:ilvl="8" w:tplc="40FA1BD8" w:tentative="1">
      <w:start w:val="1"/>
      <w:numFmt w:val="lowerRoman"/>
      <w:lvlText w:val="%9."/>
      <w:lvlJc w:val="right"/>
      <w:pPr>
        <w:ind w:left="1116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0D"/>
    <w:rsid w:val="00047A0D"/>
    <w:rsid w:val="0007111E"/>
    <w:rsid w:val="000C1443"/>
    <w:rsid w:val="001672D7"/>
    <w:rsid w:val="00221D89"/>
    <w:rsid w:val="00284235"/>
    <w:rsid w:val="002E329F"/>
    <w:rsid w:val="00330F60"/>
    <w:rsid w:val="003E71A0"/>
    <w:rsid w:val="00555D99"/>
    <w:rsid w:val="005D55BB"/>
    <w:rsid w:val="005E70E8"/>
    <w:rsid w:val="0060008E"/>
    <w:rsid w:val="00617DEC"/>
    <w:rsid w:val="00684DF7"/>
    <w:rsid w:val="00731DBD"/>
    <w:rsid w:val="008515EA"/>
    <w:rsid w:val="009A7899"/>
    <w:rsid w:val="009B32AF"/>
    <w:rsid w:val="009E73C5"/>
    <w:rsid w:val="00A27795"/>
    <w:rsid w:val="00A66E91"/>
    <w:rsid w:val="00B04217"/>
    <w:rsid w:val="00B451A3"/>
    <w:rsid w:val="00C0444A"/>
    <w:rsid w:val="00C853B4"/>
    <w:rsid w:val="00C8771A"/>
    <w:rsid w:val="00DE63D9"/>
    <w:rsid w:val="00EC68E3"/>
    <w:rsid w:val="00FD7C1A"/>
    <w:rsid w:val="00FF6D2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unhideWhenUsed/>
    <w:rsid w:val="00651129"/>
    <w:rPr>
      <w:sz w:val="20"/>
      <w:szCs w:val="20"/>
    </w:rPr>
  </w:style>
  <w:style w:type="character" w:customStyle="1" w:styleId="CommentTextChar">
    <w:name w:val="Comment Text Char"/>
    <w:basedOn w:val="DefaultParagraphFont"/>
    <w:link w:val="CommentText"/>
    <w:uiPriority w:val="99"/>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semiHidden/>
    <w:unhideWhenUsed/>
    <w:rsid w:val="00AC671A"/>
    <w:rPr>
      <w:vertAlign w:val="superscript"/>
    </w:rPr>
  </w:style>
  <w:style w:type="paragraph" w:styleId="FootnoteText">
    <w:name w:val="footnote text"/>
    <w:basedOn w:val="Normal"/>
    <w:link w:val="FootnoteTextChar"/>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B56E44"/>
    <w:pPr>
      <w:tabs>
        <w:tab w:val="left" w:pos="720"/>
        <w:tab w:val="right" w:leader="dot" w:pos="9621"/>
      </w:tabs>
      <w:spacing w:line="360" w:lineRule="auto"/>
      <w:ind w:left="360" w:hanging="360"/>
      <w:jc w:val="both"/>
    </w:pPr>
    <w:rPr>
      <w:rFonts w:ascii="Times New Roman" w:hAnsi="Times New Roman"/>
      <w:noProof/>
      <w:sz w:val="24"/>
      <w:szCs w:val="24"/>
      <w:lang w:val="en-GB"/>
    </w:rPr>
  </w:style>
  <w:style w:type="paragraph" w:styleId="TOC2">
    <w:name w:val="toc 2"/>
    <w:basedOn w:val="Normal"/>
    <w:next w:val="Normal"/>
    <w:autoRedefine/>
    <w:uiPriority w:val="39"/>
    <w:semiHidden/>
    <w:unhideWhenUsed/>
    <w:rsid w:val="00B757F4"/>
    <w:pPr>
      <w:ind w:left="220"/>
    </w:pPr>
  </w:style>
  <w:style w:type="character" w:styleId="FollowedHyperlink">
    <w:name w:val="FollowedHyperlink"/>
    <w:uiPriority w:val="99"/>
    <w:semiHidden/>
    <w:unhideWhenUsed/>
    <w:rsid w:val="006168B7"/>
    <w:rPr>
      <w:color w:val="800080"/>
      <w:u w:val="single"/>
    </w:rPr>
  </w:style>
  <w:style w:type="paragraph" w:styleId="Revision">
    <w:name w:val="Revision"/>
    <w:hidden/>
    <w:uiPriority w:val="99"/>
    <w:semiHidden/>
    <w:rsid w:val="006C4A6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unhideWhenUsed/>
    <w:rsid w:val="00651129"/>
    <w:rPr>
      <w:sz w:val="20"/>
      <w:szCs w:val="20"/>
    </w:rPr>
  </w:style>
  <w:style w:type="character" w:customStyle="1" w:styleId="CommentTextChar">
    <w:name w:val="Comment Text Char"/>
    <w:basedOn w:val="DefaultParagraphFont"/>
    <w:link w:val="CommentText"/>
    <w:uiPriority w:val="99"/>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semiHidden/>
    <w:unhideWhenUsed/>
    <w:rsid w:val="00AC671A"/>
    <w:rPr>
      <w:vertAlign w:val="superscript"/>
    </w:rPr>
  </w:style>
  <w:style w:type="paragraph" w:styleId="FootnoteText">
    <w:name w:val="footnote text"/>
    <w:basedOn w:val="Normal"/>
    <w:link w:val="FootnoteTextChar"/>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B56E44"/>
    <w:pPr>
      <w:tabs>
        <w:tab w:val="left" w:pos="720"/>
        <w:tab w:val="right" w:leader="dot" w:pos="9621"/>
      </w:tabs>
      <w:spacing w:line="360" w:lineRule="auto"/>
      <w:ind w:left="360" w:hanging="360"/>
      <w:jc w:val="both"/>
    </w:pPr>
    <w:rPr>
      <w:rFonts w:ascii="Times New Roman" w:hAnsi="Times New Roman"/>
      <w:noProof/>
      <w:sz w:val="24"/>
      <w:szCs w:val="24"/>
      <w:lang w:val="en-GB"/>
    </w:rPr>
  </w:style>
  <w:style w:type="paragraph" w:styleId="TOC2">
    <w:name w:val="toc 2"/>
    <w:basedOn w:val="Normal"/>
    <w:next w:val="Normal"/>
    <w:autoRedefine/>
    <w:uiPriority w:val="39"/>
    <w:semiHidden/>
    <w:unhideWhenUsed/>
    <w:rsid w:val="00B757F4"/>
    <w:pPr>
      <w:ind w:left="220"/>
    </w:pPr>
  </w:style>
  <w:style w:type="character" w:styleId="FollowedHyperlink">
    <w:name w:val="FollowedHyperlink"/>
    <w:uiPriority w:val="99"/>
    <w:semiHidden/>
    <w:unhideWhenUsed/>
    <w:rsid w:val="006168B7"/>
    <w:rPr>
      <w:color w:val="800080"/>
      <w:u w:val="single"/>
    </w:rPr>
  </w:style>
  <w:style w:type="paragraph" w:styleId="Revision">
    <w:name w:val="Revision"/>
    <w:hidden/>
    <w:uiPriority w:val="99"/>
    <w:semiHidden/>
    <w:rsid w:val="006C4A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rwf.net/images/reports/2010/2010%20antisect%20movements%20belgiu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E113B-C7D3-4C22-A320-801053BF931A}">
  <ds:schemaRefs>
    <ds:schemaRef ds:uri="http://schemas.openxmlformats.org/officeDocument/2006/bibliography"/>
  </ds:schemaRefs>
</ds:datastoreItem>
</file>

<file path=customXml/itemProps2.xml><?xml version="1.0" encoding="utf-8"?>
<ds:datastoreItem xmlns:ds="http://schemas.openxmlformats.org/officeDocument/2006/customXml" ds:itemID="{A4BC74CA-B0CA-42D2-A801-B9A640E93A66}"/>
</file>

<file path=customXml/itemProps3.xml><?xml version="1.0" encoding="utf-8"?>
<ds:datastoreItem xmlns:ds="http://schemas.openxmlformats.org/officeDocument/2006/customXml" ds:itemID="{257DC4B5-34E6-42BB-BC05-B10BA7FCAE27}"/>
</file>

<file path=customXml/itemProps4.xml><?xml version="1.0" encoding="utf-8"?>
<ds:datastoreItem xmlns:ds="http://schemas.openxmlformats.org/officeDocument/2006/customXml" ds:itemID="{53A8C091-CEC3-43EA-A141-84D53DF40B2E}"/>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1901-01-01T04:00:00Z</cp:lastPrinted>
  <dcterms:created xsi:type="dcterms:W3CDTF">2019-09-11T21:04:00Z</dcterms:created>
  <dcterms:modified xsi:type="dcterms:W3CDTF">2019-09-11T21:13:00Z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1830735</vt:lpwstr>
  </property>
  <property fmtid="{D5CDD505-2E9C-101B-9397-08002B2CF9AE}" pid="3" name="ContentTypeId">
    <vt:lpwstr>0x010100D94DC6E63E0E4C40BB58A92BBDBC479C</vt:lpwstr>
  </property>
</Properties>
</file>