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9BC" w:rsidRDefault="00BF79BC" w:rsidP="00BF79BC">
      <w:pPr>
        <w:jc w:val="both"/>
        <w:rPr>
          <w:rFonts w:ascii="Times New Roman" w:hAnsi="Times New Roman" w:cs="Times New Roman"/>
          <w:b/>
          <w:sz w:val="24"/>
          <w:szCs w:val="24"/>
        </w:rPr>
      </w:pPr>
      <w:r>
        <w:rPr>
          <w:rFonts w:ascii="Times New Roman" w:hAnsi="Times New Roman" w:cs="Times New Roman"/>
          <w:b/>
          <w:sz w:val="24"/>
          <w:szCs w:val="24"/>
        </w:rPr>
        <w:t xml:space="preserve">ANEXO </w:t>
      </w:r>
      <w:r w:rsidR="003B1E94">
        <w:rPr>
          <w:rFonts w:ascii="Times New Roman" w:hAnsi="Times New Roman" w:cs="Times New Roman"/>
          <w:b/>
          <w:sz w:val="24"/>
          <w:szCs w:val="24"/>
        </w:rPr>
        <w:t>30</w:t>
      </w:r>
      <w:r w:rsidR="007819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819B0">
        <w:rPr>
          <w:rFonts w:ascii="Times New Roman" w:hAnsi="Times New Roman" w:cs="Times New Roman"/>
          <w:b/>
          <w:sz w:val="24"/>
          <w:szCs w:val="24"/>
        </w:rPr>
        <w:t xml:space="preserve">Ejemplos de consultas previas realizadas </w:t>
      </w:r>
    </w:p>
    <w:p w:rsidR="00BF79BC" w:rsidRDefault="00BF79BC" w:rsidP="00BF79BC">
      <w:pPr>
        <w:jc w:val="both"/>
        <w:rPr>
          <w:rFonts w:ascii="Times New Roman" w:hAnsi="Times New Roman" w:cs="Times New Roman"/>
          <w:b/>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Ejemplos de procedimientos de consulta previa</w:t>
      </w:r>
    </w:p>
    <w:p w:rsidR="00BF79BC" w:rsidRPr="00B84355" w:rsidRDefault="00BF79BC" w:rsidP="00BF79BC">
      <w:pPr>
        <w:jc w:val="both"/>
        <w:rPr>
          <w:rFonts w:ascii="Times New Roman" w:hAnsi="Times New Roman" w:cs="Times New Roman"/>
          <w:sz w:val="24"/>
          <w:szCs w:val="24"/>
          <w:lang w:val="es-ES"/>
        </w:rPr>
      </w:pPr>
      <w:r w:rsidRPr="00B84355">
        <w:rPr>
          <w:rFonts w:ascii="Times New Roman" w:hAnsi="Times New Roman" w:cs="Times New Roman"/>
          <w:sz w:val="24"/>
          <w:szCs w:val="24"/>
        </w:rPr>
        <w:t>A la fecha, la Secretaría ha implementado cuatro procesos de Consulta Previa: dos con comunidades pertenecientes al pueblo Zapoteco en el estado de Oaxaca, uno con la Tribu Yaqui en el estado de Sonora y uno más con comunidades pertenecientes al pueblo Rarámuri en el estado de Chihuahua. Cada uno de ellos ha tenido características parti</w:t>
      </w:r>
      <w:bookmarkStart w:id="0" w:name="_GoBack"/>
      <w:bookmarkEnd w:id="0"/>
      <w:r w:rsidRPr="00B84355">
        <w:rPr>
          <w:rFonts w:ascii="Times New Roman" w:hAnsi="Times New Roman" w:cs="Times New Roman"/>
          <w:sz w:val="24"/>
          <w:szCs w:val="24"/>
        </w:rPr>
        <w:t>culares lo cual está asociado a los rasgos culturales y la organización sociopolítica de las comunidades, así como a la naturaleza y alcance de los proyectos.</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Consulta a las comunidades zapotecas de los municipios de El Espinal y Juchitán en el estado de Oaxaca</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La empresa Energía Eólica del Sur S. A. P. I. de C. V., promueve el desarrollo de un proyecto de generación de energía eléctrica a partir del viento (parque eólico) que se interconectaría con la subestación “Ixtepec Potencia”. El citado proyecto se pretende desarrollar en un sitio ubicado en las proximidades del municipio El Espinal y del municipio Heroica Ciudad de Juchitán de Zaragoza, en el estado de Oaxaca. </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En tales municipios hay comunidades consideradas parte del pueblo zapoteco, razón por la cual la </w:t>
      </w:r>
      <w:r>
        <w:rPr>
          <w:rFonts w:ascii="Times New Roman" w:hAnsi="Times New Roman" w:cs="Times New Roman"/>
          <w:sz w:val="24"/>
          <w:szCs w:val="24"/>
        </w:rPr>
        <w:t xml:space="preserve">SENER </w:t>
      </w:r>
      <w:r w:rsidRPr="00B84355">
        <w:rPr>
          <w:rFonts w:ascii="Times New Roman" w:hAnsi="Times New Roman" w:cs="Times New Roman"/>
          <w:sz w:val="24"/>
          <w:szCs w:val="24"/>
        </w:rPr>
        <w:t xml:space="preserve">desarrolló un proceso de consulta en noviembre de 2013 con la comunidad indígena zapoteca de El Espinal y está desarrollando desde noviembre de 2014 a la fecha el proceso de consulta con la comunidad indígena zapoteca </w:t>
      </w:r>
      <w:r>
        <w:rPr>
          <w:rFonts w:ascii="Times New Roman" w:hAnsi="Times New Roman" w:cs="Times New Roman"/>
          <w:sz w:val="24"/>
          <w:szCs w:val="24"/>
        </w:rPr>
        <w:t>d</w:t>
      </w:r>
      <w:r w:rsidRPr="00B84355">
        <w:rPr>
          <w:rFonts w:ascii="Times New Roman" w:hAnsi="Times New Roman" w:cs="Times New Roman"/>
          <w:sz w:val="24"/>
          <w:szCs w:val="24"/>
        </w:rPr>
        <w:t>el municipio de Juchitán de Zaragoza.</w:t>
      </w:r>
    </w:p>
    <w:p w:rsidR="00BF79BC" w:rsidRPr="00B84355" w:rsidRDefault="00BF79BC" w:rsidP="00BF79BC">
      <w:pPr>
        <w:tabs>
          <w:tab w:val="left" w:pos="1980"/>
        </w:tabs>
        <w:jc w:val="both"/>
        <w:rPr>
          <w:rFonts w:ascii="Times New Roman" w:hAnsi="Times New Roman" w:cs="Times New Roman"/>
          <w:sz w:val="24"/>
          <w:szCs w:val="24"/>
        </w:rPr>
      </w:pPr>
      <w:r>
        <w:rPr>
          <w:rFonts w:ascii="Times New Roman" w:hAnsi="Times New Roman" w:cs="Times New Roman"/>
          <w:sz w:val="24"/>
          <w:szCs w:val="24"/>
        </w:rPr>
        <w:tab/>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Ambas comunidades zapotecas ya no cuentan con una organización social y política basada en un sistema normativo propio, sino que se rigen por un sistema de partidos, por lo que la consulta previa no se realiza a través de representantes o autoridades tradicionales, sino que involucró la definición de un sujeto colectivo de derecho amplio que considera diversas instancias representativas, incluidas las del sistema de partidos, en la figura de los Ayuntamientos Municipales.</w:t>
      </w:r>
    </w:p>
    <w:p w:rsidR="00BF79BC" w:rsidRPr="00B84355" w:rsidRDefault="00BF79BC" w:rsidP="00BF79BC">
      <w:pPr>
        <w:jc w:val="both"/>
        <w:rPr>
          <w:rFonts w:ascii="Times New Roman" w:hAnsi="Times New Roman" w:cs="Times New Roman"/>
          <w:sz w:val="24"/>
          <w:szCs w:val="24"/>
        </w:rPr>
      </w:pPr>
    </w:p>
    <w:tbl>
      <w:tblPr>
        <w:tblStyle w:val="Cuadrculamedia1-nfasis3"/>
        <w:tblW w:w="0" w:type="auto"/>
        <w:tblInd w:w="108" w:type="dxa"/>
        <w:tblLook w:val="04A0" w:firstRow="1" w:lastRow="0" w:firstColumn="1" w:lastColumn="0" w:noHBand="0" w:noVBand="1"/>
      </w:tblPr>
      <w:tblGrid>
        <w:gridCol w:w="1985"/>
        <w:gridCol w:w="7654"/>
      </w:tblGrid>
      <w:tr w:rsidR="00BF79BC" w:rsidRPr="00B84355" w:rsidTr="0066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Desarrollador</w:t>
            </w:r>
          </w:p>
        </w:tc>
        <w:tc>
          <w:tcPr>
            <w:tcW w:w="7654" w:type="dxa"/>
            <w:vAlign w:val="center"/>
          </w:tcPr>
          <w:p w:rsidR="00BF79BC" w:rsidRPr="00B84355" w:rsidRDefault="00BF79BC" w:rsidP="006602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B84355">
              <w:rPr>
                <w:rFonts w:ascii="Times New Roman" w:hAnsi="Times New Roman" w:cs="Times New Roman"/>
                <w:b w:val="0"/>
                <w:sz w:val="18"/>
                <w:szCs w:val="18"/>
              </w:rPr>
              <w:t>Energía Eólica del Sur S. A. P. I. de C. V.</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Ubicación</w:t>
            </w:r>
          </w:p>
        </w:tc>
        <w:tc>
          <w:tcPr>
            <w:tcW w:w="7654"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Proximidades del municipio El Espinal y del municipio Heroica Ciudad de Juchitán de Zaragoza, Estado de Oaxaca.,</w:t>
            </w:r>
          </w:p>
        </w:tc>
      </w:tr>
      <w:tr w:rsidR="00BF79BC" w:rsidRPr="00B84355" w:rsidTr="00660249">
        <w:tc>
          <w:tcPr>
            <w:cnfStyle w:val="001000000000" w:firstRow="0" w:lastRow="0" w:firstColumn="1" w:lastColumn="0" w:oddVBand="0" w:evenVBand="0" w:oddHBand="0" w:evenHBand="0" w:firstRowFirstColumn="0" w:firstRowLastColumn="0" w:lastRowFirstColumn="0" w:lastRowLastColumn="0"/>
            <w:tcW w:w="1985"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Características generales</w:t>
            </w:r>
          </w:p>
        </w:tc>
        <w:tc>
          <w:tcPr>
            <w:tcW w:w="7654" w:type="dxa"/>
            <w:vAlign w:val="center"/>
          </w:tcPr>
          <w:p w:rsidR="00BF79BC" w:rsidRPr="00B84355" w:rsidRDefault="00BF79BC" w:rsidP="00660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132 aerogeneradores tipo Vestas V90-3.0 con capacidad de 3 megavatios cada uno para un total de 396 megavatios</w:t>
            </w:r>
          </w:p>
          <w:p w:rsidR="00BF79BC" w:rsidRPr="00B84355" w:rsidRDefault="00BF79BC" w:rsidP="00660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132 aerogeneradores</w:t>
            </w:r>
          </w:p>
          <w:p w:rsidR="00BF79BC" w:rsidRPr="00B84355" w:rsidRDefault="00BF79BC" w:rsidP="00660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1 subestación</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Territorio afectado</w:t>
            </w:r>
          </w:p>
        </w:tc>
        <w:tc>
          <w:tcPr>
            <w:tcW w:w="7654"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5,532 hectáreas con 80 hectáreas de afectación directa permanente.</w:t>
            </w:r>
          </w:p>
        </w:tc>
      </w:tr>
    </w:tbl>
    <w:p w:rsidR="00BF79BC" w:rsidRPr="00B84355" w:rsidRDefault="00BF79BC" w:rsidP="00BF79BC">
      <w:pPr>
        <w:jc w:val="both"/>
        <w:rPr>
          <w:rFonts w:ascii="Times New Roman" w:hAnsi="Times New Roman" w:cs="Times New Roman"/>
          <w:b/>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Consulta previa a la comunidad indígena zapoteca de “El Espinal”</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El primer proceso de consulta, desarrollado en noviembre de 2013, se identificó como sujeto colectivo de la consulta previa a la comunidad indígena zapoteca ubicada en el municipio de El Espinal. La </w:t>
      </w:r>
      <w:r>
        <w:rPr>
          <w:rFonts w:ascii="Times New Roman" w:hAnsi="Times New Roman" w:cs="Times New Roman"/>
          <w:sz w:val="24"/>
          <w:szCs w:val="24"/>
        </w:rPr>
        <w:t xml:space="preserve">CDI </w:t>
      </w:r>
      <w:r w:rsidRPr="00B84355">
        <w:rPr>
          <w:rFonts w:ascii="Times New Roman" w:hAnsi="Times New Roman" w:cs="Times New Roman"/>
          <w:sz w:val="24"/>
          <w:szCs w:val="24"/>
        </w:rPr>
        <w:t>realizó un diagnóstico antropológico para la identificación de las siguientes autoridades representativas de la comunidad, por lo que el proceso de consulta se realizó con: 1) autoridades municipales, regidores indígenas y agentes municipales y de policía, 2) representantes de comités comunitarios, 3) representantes de sociedades de crédito, 4) líderes de asociaciones y organizaciones y 4) mayordomías de velas.</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a) Dependencias de gobierno participantes</w:t>
      </w:r>
    </w:p>
    <w:p w:rsidR="00BF79BC" w:rsidRPr="00B84355" w:rsidRDefault="00BF79BC" w:rsidP="00BF79BC">
      <w:pPr>
        <w:jc w:val="both"/>
        <w:rPr>
          <w:rFonts w:ascii="Times New Roman" w:hAnsi="Times New Roman" w:cs="Times New Roman"/>
          <w:sz w:val="24"/>
          <w:szCs w:val="24"/>
        </w:rPr>
      </w:pPr>
    </w:p>
    <w:tbl>
      <w:tblPr>
        <w:tblStyle w:val="Sombreadomedio1-nfasis3"/>
        <w:tblW w:w="0" w:type="auto"/>
        <w:tblInd w:w="108" w:type="dxa"/>
        <w:tblLook w:val="04A0" w:firstRow="1" w:lastRow="0" w:firstColumn="1" w:lastColumn="0" w:noHBand="0" w:noVBand="1"/>
      </w:tblPr>
      <w:tblGrid>
        <w:gridCol w:w="6946"/>
        <w:gridCol w:w="2693"/>
      </w:tblGrid>
      <w:tr w:rsidR="00BF79BC" w:rsidRPr="00B84355" w:rsidTr="0066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Dependencia</w:t>
            </w:r>
          </w:p>
        </w:tc>
        <w:tc>
          <w:tcPr>
            <w:tcW w:w="2693" w:type="dxa"/>
          </w:tcPr>
          <w:p w:rsidR="00BF79BC" w:rsidRPr="00B84355" w:rsidRDefault="00BF79BC" w:rsidP="006602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Función</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BF79BC" w:rsidRPr="00B84355" w:rsidRDefault="00BF79BC" w:rsidP="00660249">
            <w:pPr>
              <w:jc w:val="center"/>
              <w:rPr>
                <w:rFonts w:ascii="Times New Roman" w:hAnsi="Times New Roman" w:cs="Times New Roman"/>
                <w:b w:val="0"/>
                <w:sz w:val="18"/>
                <w:szCs w:val="18"/>
              </w:rPr>
            </w:pP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Energía;</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lastRenderedPageBreak/>
              <w:t>Gobierno del Estado de Oaxaca; y</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Ayuntamiento del Municipio de El Espinal</w:t>
            </w:r>
          </w:p>
          <w:p w:rsidR="00BF79BC" w:rsidRPr="00B84355" w:rsidRDefault="00BF79BC" w:rsidP="00660249">
            <w:pPr>
              <w:jc w:val="center"/>
              <w:rPr>
                <w:rFonts w:ascii="Times New Roman" w:hAnsi="Times New Roman" w:cs="Times New Roman"/>
                <w:b w:val="0"/>
                <w:sz w:val="18"/>
                <w:szCs w:val="18"/>
              </w:rPr>
            </w:pPr>
          </w:p>
        </w:tc>
        <w:tc>
          <w:tcPr>
            <w:tcW w:w="2693"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lastRenderedPageBreak/>
              <w:t>Autoridad Responsable</w:t>
            </w:r>
          </w:p>
        </w:tc>
      </w:tr>
      <w:tr w:rsidR="00BF79BC" w:rsidRPr="00B84355" w:rsidTr="00660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BF79BC" w:rsidRPr="00B84355" w:rsidRDefault="00BF79BC" w:rsidP="00660249">
            <w:pPr>
              <w:jc w:val="center"/>
              <w:rPr>
                <w:rFonts w:ascii="Times New Roman" w:hAnsi="Times New Roman" w:cs="Times New Roman"/>
                <w:b w:val="0"/>
                <w:sz w:val="18"/>
                <w:szCs w:val="18"/>
              </w:rPr>
            </w:pP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Subsecretaría de Derechos Humanos de la Secretaría de Gobernación</w:t>
            </w:r>
          </w:p>
          <w:p w:rsidR="00BF79BC" w:rsidRPr="00B84355" w:rsidRDefault="00BF79BC" w:rsidP="00660249">
            <w:pPr>
              <w:jc w:val="center"/>
              <w:rPr>
                <w:rFonts w:ascii="Times New Roman" w:hAnsi="Times New Roman" w:cs="Times New Roman"/>
                <w:b w:val="0"/>
                <w:sz w:val="18"/>
                <w:szCs w:val="18"/>
              </w:rPr>
            </w:pPr>
          </w:p>
        </w:tc>
        <w:tc>
          <w:tcPr>
            <w:tcW w:w="2693" w:type="dxa"/>
            <w:vAlign w:val="center"/>
          </w:tcPr>
          <w:p w:rsidR="00BF79BC" w:rsidRPr="00B84355" w:rsidRDefault="00BF79BC" w:rsidP="0066024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Órgano Garante</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BF79BC" w:rsidRPr="00B84355" w:rsidRDefault="00BF79BC" w:rsidP="00660249">
            <w:pPr>
              <w:jc w:val="center"/>
              <w:rPr>
                <w:rFonts w:ascii="Times New Roman" w:hAnsi="Times New Roman" w:cs="Times New Roman"/>
                <w:b w:val="0"/>
                <w:sz w:val="18"/>
                <w:szCs w:val="18"/>
              </w:rPr>
            </w:pP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Gobernación;</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Relaciones Exteriores; y</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Comisión Nacional para el Desarrollo de los Pueblos Indígenas.</w:t>
            </w:r>
          </w:p>
        </w:tc>
        <w:tc>
          <w:tcPr>
            <w:tcW w:w="2693"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Órgano Técnico</w:t>
            </w:r>
          </w:p>
        </w:tc>
      </w:tr>
    </w:tbl>
    <w:p w:rsidR="00BF79BC" w:rsidRDefault="00BF79BC" w:rsidP="00BF79BC">
      <w:pPr>
        <w:jc w:val="both"/>
        <w:rPr>
          <w:rFonts w:hAnsi="Times New Roman" w:cs="Times New Roman"/>
          <w:b/>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b) Desarrollo del procedimiento de consulta y situación actual</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Para llevar a cabo este proceso de consulta se definió un procedimiento que contempló cuatro etapas: 1) Etapa informativa, 2) etapa deliberativa, 3) etapa consultiva y 4) etapa de ejecución y seguimiento de acuerdos.</w:t>
      </w:r>
      <w:r>
        <w:rPr>
          <w:rFonts w:ascii="Times New Roman" w:hAnsi="Times New Roman" w:cs="Times New Roman"/>
          <w:sz w:val="24"/>
          <w:szCs w:val="24"/>
        </w:rPr>
        <w:t xml:space="preserve"> </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El proceso de consulta actualmente se encuentra en la etapa de ejecución y seguimiento de acuerdos. Para tales fines, se integró un Comité de Seguimiento, compuesto por un representante del Gobierno del Estado en calidad de president</w:t>
      </w:r>
      <w:r>
        <w:rPr>
          <w:rFonts w:ascii="Times New Roman" w:hAnsi="Times New Roman" w:cs="Times New Roman"/>
          <w:sz w:val="24"/>
          <w:szCs w:val="24"/>
        </w:rPr>
        <w:t>e, por un representante de la SENER</w:t>
      </w:r>
      <w:r w:rsidRPr="00B84355">
        <w:rPr>
          <w:rFonts w:ascii="Times New Roman" w:hAnsi="Times New Roman" w:cs="Times New Roman"/>
          <w:sz w:val="24"/>
          <w:szCs w:val="24"/>
        </w:rPr>
        <w:t xml:space="preserve"> en calidad de secretario técnico y por el Presidente Municipal. Además también participan la Secretaría de Medio Ambiente y Recursos Naturale</w:t>
      </w:r>
      <w:r>
        <w:rPr>
          <w:rFonts w:ascii="Times New Roman" w:hAnsi="Times New Roman" w:cs="Times New Roman"/>
          <w:sz w:val="24"/>
          <w:szCs w:val="24"/>
        </w:rPr>
        <w:t>s (SEMARNAT),</w:t>
      </w:r>
      <w:r w:rsidRPr="00B84355">
        <w:rPr>
          <w:rFonts w:ascii="Times New Roman" w:hAnsi="Times New Roman" w:cs="Times New Roman"/>
          <w:sz w:val="24"/>
          <w:szCs w:val="24"/>
        </w:rPr>
        <w:t xml:space="preserve"> la</w:t>
      </w:r>
      <w:r>
        <w:rPr>
          <w:rFonts w:ascii="Times New Roman" w:hAnsi="Times New Roman" w:cs="Times New Roman"/>
          <w:sz w:val="24"/>
          <w:szCs w:val="24"/>
        </w:rPr>
        <w:t xml:space="preserve"> CDI </w:t>
      </w:r>
      <w:r w:rsidRPr="00B84355">
        <w:rPr>
          <w:rFonts w:ascii="Times New Roman" w:hAnsi="Times New Roman" w:cs="Times New Roman"/>
          <w:sz w:val="24"/>
          <w:szCs w:val="24"/>
        </w:rPr>
        <w:t xml:space="preserve">, la Secretaría de Asuntos Indígenas del Gobierno del Estado y dos representantes del comité de propietarios de los bienes y derechos de los terrenos donde se pretende construir el parque. Este comité trabaja en sesiones para avanzar en la ejecución de los acuerdos, verificar su cumplimiento y dar seguimiento a los mismos. </w:t>
      </w:r>
    </w:p>
    <w:p w:rsidR="00BF79BC" w:rsidRPr="00B84355" w:rsidRDefault="00BF79BC" w:rsidP="00BF79BC">
      <w:pPr>
        <w:jc w:val="both"/>
        <w:rPr>
          <w:rFonts w:ascii="Times New Roman" w:hAnsi="Times New Roman" w:cs="Times New Roman"/>
          <w:b/>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Consulta previa a la comunidad indígena zapoteca de Juchitán de Zaragoza</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Este proceso de consulta, que se ha venido desarrollando desde octubre de 2014 a la fecha. Se está realizando en el municipio de la Heroica Ciudad de Juchitán de Zaragoza. Para su desarrollo se identificó como sujeto colectivo de la consulta a la comunidad indígena de Juchitán de Zaragoza. Debido a que la organización social y política de esta comunidad ya no se rige por un sistema normativo, autoridades e instituciones propias, se realizaron las siguientes actividades a fin de identificar al sujeto colectivo de derecho:</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 </w:t>
      </w:r>
    </w:p>
    <w:p w:rsidR="00BF79BC" w:rsidRPr="00B84355" w:rsidRDefault="00BF79BC" w:rsidP="00BF79BC">
      <w:pPr>
        <w:pStyle w:val="Prrafodelista"/>
        <w:numPr>
          <w:ilvl w:val="0"/>
          <w:numId w:val="3"/>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Se identificaron</w:t>
      </w:r>
      <w:r>
        <w:rPr>
          <w:rFonts w:ascii="Times New Roman" w:hAnsi="Times New Roman" w:cs="Times New Roman"/>
          <w:sz w:val="24"/>
          <w:szCs w:val="24"/>
        </w:rPr>
        <w:t xml:space="preserve"> </w:t>
      </w:r>
      <w:r w:rsidRPr="00B84355">
        <w:rPr>
          <w:rFonts w:ascii="Times New Roman" w:hAnsi="Times New Roman" w:cs="Times New Roman"/>
          <w:sz w:val="24"/>
          <w:szCs w:val="24"/>
        </w:rPr>
        <w:t>localidades de población hablante de una lengua indígena que podrían ser afectadas en sus derechos e intereses por el desarrollo del proyecto;</w:t>
      </w:r>
    </w:p>
    <w:p w:rsidR="00BF79BC" w:rsidRPr="00B84355" w:rsidRDefault="00BF79BC" w:rsidP="00BF79BC">
      <w:pPr>
        <w:pStyle w:val="Prrafodelista"/>
        <w:numPr>
          <w:ilvl w:val="0"/>
          <w:numId w:val="3"/>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Se identificaron las localidades en el Catálogo de localidades indígenas de la </w:t>
      </w:r>
      <w:r>
        <w:rPr>
          <w:rFonts w:ascii="Times New Roman" w:hAnsi="Times New Roman" w:cs="Times New Roman"/>
          <w:sz w:val="24"/>
          <w:szCs w:val="24"/>
        </w:rPr>
        <w:t xml:space="preserve">CDI </w:t>
      </w:r>
      <w:r w:rsidRPr="00B84355">
        <w:rPr>
          <w:rFonts w:ascii="Times New Roman" w:hAnsi="Times New Roman" w:cs="Times New Roman"/>
          <w:sz w:val="24"/>
          <w:szCs w:val="24"/>
        </w:rPr>
        <w:t xml:space="preserve">(actualización 2010). </w:t>
      </w:r>
    </w:p>
    <w:p w:rsidR="00BF79BC" w:rsidRPr="00B84355" w:rsidRDefault="00BF79BC" w:rsidP="00BF79BC">
      <w:pPr>
        <w:pStyle w:val="Prrafodelista"/>
        <w:numPr>
          <w:ilvl w:val="0"/>
          <w:numId w:val="3"/>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Se verificó</w:t>
      </w:r>
      <w:r>
        <w:rPr>
          <w:rFonts w:ascii="Times New Roman" w:hAnsi="Times New Roman" w:cs="Times New Roman"/>
          <w:sz w:val="24"/>
          <w:szCs w:val="24"/>
        </w:rPr>
        <w:t xml:space="preserve"> </w:t>
      </w:r>
      <w:r w:rsidRPr="00C6075A">
        <w:rPr>
          <w:rFonts w:ascii="Times New Roman" w:hAnsi="Times New Roman" w:cs="Times New Roman"/>
          <w:i/>
          <w:sz w:val="24"/>
          <w:szCs w:val="24"/>
        </w:rPr>
        <w:t>in situ</w:t>
      </w:r>
      <w:r w:rsidRPr="00B84355">
        <w:rPr>
          <w:rFonts w:ascii="Times New Roman" w:hAnsi="Times New Roman" w:cs="Times New Roman"/>
          <w:sz w:val="24"/>
          <w:szCs w:val="24"/>
        </w:rPr>
        <w:t xml:space="preserve"> la presencia de otras localidades y/o asentamientos poblacionales, que permitiría consolidar la propuesta sobre el sujeto colectivo de derecho a la consulta previa;</w:t>
      </w:r>
    </w:p>
    <w:p w:rsidR="00BF79BC" w:rsidRPr="00B84355" w:rsidRDefault="00BF79BC" w:rsidP="00BF79BC">
      <w:pPr>
        <w:pStyle w:val="Prrafodelista"/>
        <w:numPr>
          <w:ilvl w:val="0"/>
          <w:numId w:val="3"/>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Se consideró el diagnóstico antropológico sobre autoridades representativas del pueblo indígena zapoteco, elaborado por la</w:t>
      </w:r>
      <w:r>
        <w:rPr>
          <w:rFonts w:ascii="Times New Roman" w:hAnsi="Times New Roman" w:cs="Times New Roman"/>
          <w:sz w:val="24"/>
          <w:szCs w:val="24"/>
        </w:rPr>
        <w:t xml:space="preserve"> CDI</w:t>
      </w:r>
      <w:r w:rsidRPr="00B84355">
        <w:rPr>
          <w:rFonts w:ascii="Times New Roman" w:hAnsi="Times New Roman" w:cs="Times New Roman"/>
          <w:sz w:val="24"/>
          <w:szCs w:val="24"/>
        </w:rPr>
        <w:t>.</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Pr>
          <w:rFonts w:ascii="Times New Roman" w:hAnsi="Times New Roman" w:cs="Times New Roman"/>
          <w:sz w:val="24"/>
          <w:szCs w:val="24"/>
        </w:rPr>
        <w:t>Basado en lo</w:t>
      </w:r>
      <w:r w:rsidRPr="00B84355">
        <w:rPr>
          <w:rFonts w:ascii="Times New Roman" w:hAnsi="Times New Roman" w:cs="Times New Roman"/>
          <w:sz w:val="24"/>
          <w:szCs w:val="24"/>
        </w:rPr>
        <w:t xml:space="preserve"> interior</w:t>
      </w:r>
      <w:r>
        <w:rPr>
          <w:rFonts w:ascii="Times New Roman" w:hAnsi="Times New Roman" w:cs="Times New Roman"/>
          <w:sz w:val="24"/>
          <w:szCs w:val="24"/>
        </w:rPr>
        <w:t>,</w:t>
      </w:r>
      <w:r w:rsidRPr="00B84355">
        <w:rPr>
          <w:rFonts w:ascii="Times New Roman" w:hAnsi="Times New Roman" w:cs="Times New Roman"/>
          <w:sz w:val="24"/>
          <w:szCs w:val="24"/>
        </w:rPr>
        <w:t xml:space="preserve"> se identificó a las siguientes instancias representativas, a través de las cuales se está llevando a cabo el proceso de consulta previa: </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Asamblea, Comisariado y Con</w:t>
      </w:r>
      <w:r>
        <w:rPr>
          <w:rFonts w:ascii="Times New Roman" w:hAnsi="Times New Roman" w:cs="Times New Roman"/>
          <w:sz w:val="24"/>
          <w:szCs w:val="24"/>
        </w:rPr>
        <w:t>s</w:t>
      </w:r>
      <w:r w:rsidRPr="00B84355">
        <w:rPr>
          <w:rFonts w:ascii="Times New Roman" w:hAnsi="Times New Roman" w:cs="Times New Roman"/>
          <w:sz w:val="24"/>
          <w:szCs w:val="24"/>
        </w:rPr>
        <w:t xml:space="preserve">ejo de Vigilancia y/o integrantes del Padrón básico de Comuneros, comuneras y/o ejidatarios y ejidatarias que forman parte del municipio de la Heroica Ciudad de Juchitán de Zaragoza.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lastRenderedPageBreak/>
        <w:t xml:space="preserve">Poseedores, poseedoras y/o las y los titulares de bienes o derechos sobre los terrenos ubicados donde se pretende construir el proyecto eólico.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Las y los habitantes de las localidades y/o asentamientos humanos: El Tamarindo, Huanacastal, La Guadalupana y Rancho la Soledad, Simona Robles, y demás localidades afectadas por el desarrollo del proyecto.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Las y los representantes de las Instituciones Educativas y Culturales ubicadas en las áreas de influencia del proyecto.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Autoridades municipales: Presidente Municipal, Síndicos, Regidores</w:t>
      </w:r>
      <w:r>
        <w:rPr>
          <w:rFonts w:ascii="Times New Roman" w:hAnsi="Times New Roman" w:cs="Times New Roman"/>
          <w:sz w:val="24"/>
          <w:szCs w:val="24"/>
        </w:rPr>
        <w:t xml:space="preserve"> y</w:t>
      </w:r>
      <w:r w:rsidRPr="00B84355">
        <w:rPr>
          <w:rFonts w:ascii="Times New Roman" w:hAnsi="Times New Roman" w:cs="Times New Roman"/>
          <w:sz w:val="24"/>
          <w:szCs w:val="24"/>
        </w:rPr>
        <w:t xml:space="preserve"> Regidoras.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Las y los integrantes del Consejo Municipal de Desarrollo Social que forman parte de la cabecera municipal de la Heroica Ciudad de Juchitán de Zaragoza.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Las y los integrantes del Consejo Municipal de Desarrollo Rural Sustentable que forman parte de la cabecera municipal de la Heroica Ciudad de Juchitán de Zaragoza.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Las y los representantes de Sociedades de Velas que realizan ceremoniales en las áreas de influencia del proyecto. </w:t>
      </w:r>
    </w:p>
    <w:p w:rsidR="00BF79BC" w:rsidRPr="00B84355" w:rsidRDefault="00BF79BC" w:rsidP="00BF79BC">
      <w:pPr>
        <w:pStyle w:val="Prrafodelista"/>
        <w:numPr>
          <w:ilvl w:val="0"/>
          <w:numId w:val="1"/>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Las y los representantes de Comités Comunitarios. </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a) Dependencias de gobierno participantes</w:t>
      </w:r>
    </w:p>
    <w:p w:rsidR="00BF79BC" w:rsidRPr="00B84355" w:rsidRDefault="00BF79BC" w:rsidP="00BF79BC">
      <w:pPr>
        <w:jc w:val="both"/>
        <w:rPr>
          <w:rFonts w:ascii="Times New Roman" w:hAnsi="Times New Roman" w:cs="Times New Roman"/>
          <w:sz w:val="24"/>
          <w:szCs w:val="24"/>
        </w:rPr>
      </w:pPr>
    </w:p>
    <w:tbl>
      <w:tblPr>
        <w:tblStyle w:val="Sombreadomedio1-nfasis3"/>
        <w:tblW w:w="0" w:type="auto"/>
        <w:tblInd w:w="108" w:type="dxa"/>
        <w:tblLook w:val="04A0" w:firstRow="1" w:lastRow="0" w:firstColumn="1" w:lastColumn="0" w:noHBand="0" w:noVBand="1"/>
      </w:tblPr>
      <w:tblGrid>
        <w:gridCol w:w="7088"/>
        <w:gridCol w:w="2551"/>
      </w:tblGrid>
      <w:tr w:rsidR="00BF79BC" w:rsidRPr="00B84355" w:rsidTr="0066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Dependencia</w:t>
            </w:r>
          </w:p>
        </w:tc>
        <w:tc>
          <w:tcPr>
            <w:tcW w:w="2551" w:type="dxa"/>
          </w:tcPr>
          <w:p w:rsidR="00BF79BC" w:rsidRPr="00B84355" w:rsidRDefault="00BF79BC" w:rsidP="006602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Función</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BF79BC" w:rsidRPr="00B84355" w:rsidRDefault="00BF79BC" w:rsidP="00660249">
            <w:pPr>
              <w:jc w:val="center"/>
              <w:rPr>
                <w:rFonts w:ascii="Times New Roman" w:hAnsi="Times New Roman" w:cs="Times New Roman"/>
                <w:b w:val="0"/>
                <w:sz w:val="18"/>
                <w:szCs w:val="18"/>
              </w:rPr>
            </w:pP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Energía;</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Gobierno del Estado de Oaxaca; y</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Ayuntamiento del Municipio de Juchitán.</w:t>
            </w:r>
          </w:p>
          <w:p w:rsidR="00BF79BC" w:rsidRPr="00B84355" w:rsidRDefault="00BF79BC" w:rsidP="00660249">
            <w:pPr>
              <w:jc w:val="center"/>
              <w:rPr>
                <w:rFonts w:ascii="Times New Roman" w:hAnsi="Times New Roman" w:cs="Times New Roman"/>
                <w:b w:val="0"/>
                <w:sz w:val="18"/>
                <w:szCs w:val="18"/>
              </w:rPr>
            </w:pPr>
          </w:p>
        </w:tc>
        <w:tc>
          <w:tcPr>
            <w:tcW w:w="2551"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Autoridad Responsable</w:t>
            </w:r>
          </w:p>
        </w:tc>
      </w:tr>
      <w:tr w:rsidR="00BF79BC" w:rsidRPr="00B84355" w:rsidTr="00660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BF79BC" w:rsidRPr="00B84355" w:rsidRDefault="00BF79BC" w:rsidP="00660249">
            <w:pPr>
              <w:jc w:val="center"/>
              <w:rPr>
                <w:rFonts w:ascii="Times New Roman" w:hAnsi="Times New Roman" w:cs="Times New Roman"/>
                <w:b w:val="0"/>
                <w:sz w:val="18"/>
                <w:szCs w:val="18"/>
              </w:rPr>
            </w:pP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Subsecretaría de Derechos Humanos de la Secretaría de Gobernación</w:t>
            </w:r>
          </w:p>
          <w:p w:rsidR="00BF79BC" w:rsidRPr="00B84355" w:rsidRDefault="00BF79BC" w:rsidP="00660249">
            <w:pPr>
              <w:jc w:val="center"/>
              <w:rPr>
                <w:rFonts w:ascii="Times New Roman" w:hAnsi="Times New Roman" w:cs="Times New Roman"/>
                <w:b w:val="0"/>
                <w:sz w:val="18"/>
                <w:szCs w:val="18"/>
              </w:rPr>
            </w:pPr>
          </w:p>
        </w:tc>
        <w:tc>
          <w:tcPr>
            <w:tcW w:w="2551" w:type="dxa"/>
            <w:vAlign w:val="center"/>
          </w:tcPr>
          <w:p w:rsidR="00BF79BC" w:rsidRPr="00B84355" w:rsidRDefault="00BF79BC" w:rsidP="0066024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Órgano Garante</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BF79BC" w:rsidRPr="00B84355" w:rsidRDefault="00BF79BC" w:rsidP="00660249">
            <w:pPr>
              <w:jc w:val="center"/>
              <w:rPr>
                <w:rFonts w:ascii="Times New Roman" w:hAnsi="Times New Roman" w:cs="Times New Roman"/>
                <w:b w:val="0"/>
                <w:sz w:val="18"/>
                <w:szCs w:val="18"/>
              </w:rPr>
            </w:pP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Asuntos Indígenas del Gobierno del Estado de Oaxaca;</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Turismo y Desarrollo Económico del Gobierno del Estado de Oaxaca;</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Medio Ambiente y Recursos Naturales;</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Relaciones Exteriores;</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Desarrollo Agrario, Territorial y Urbano;</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Instituto Nacional de Antropología e Historia; y</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 xml:space="preserve">Comisión para el Diálogo con los Pueblos Indígenas de México; </w:t>
            </w:r>
          </w:p>
          <w:p w:rsidR="00BF79BC" w:rsidRPr="00B84355" w:rsidRDefault="00BF79BC" w:rsidP="00660249">
            <w:pPr>
              <w:jc w:val="center"/>
              <w:rPr>
                <w:rFonts w:ascii="Times New Roman" w:hAnsi="Times New Roman" w:cs="Times New Roman"/>
                <w:b w:val="0"/>
                <w:sz w:val="18"/>
                <w:szCs w:val="18"/>
              </w:rPr>
            </w:pPr>
          </w:p>
        </w:tc>
        <w:tc>
          <w:tcPr>
            <w:tcW w:w="2551"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Comité Técnico Asesor</w:t>
            </w:r>
          </w:p>
        </w:tc>
      </w:tr>
      <w:tr w:rsidR="00BF79BC" w:rsidRPr="00B84355" w:rsidTr="00660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BF79BC" w:rsidRPr="00B84355" w:rsidRDefault="00BF79BC" w:rsidP="00660249">
            <w:pPr>
              <w:jc w:val="center"/>
              <w:rPr>
                <w:rFonts w:ascii="Times New Roman" w:hAnsi="Times New Roman" w:cs="Times New Roman"/>
                <w:b w:val="0"/>
                <w:sz w:val="18"/>
                <w:szCs w:val="18"/>
              </w:rPr>
            </w:pP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Comisión Nacional para el Desarrollo de los Pueblos Indígenas</w:t>
            </w:r>
          </w:p>
          <w:p w:rsidR="00BF79BC" w:rsidRPr="00B84355" w:rsidRDefault="00BF79BC" w:rsidP="00660249">
            <w:pPr>
              <w:jc w:val="center"/>
              <w:rPr>
                <w:rFonts w:ascii="Times New Roman" w:hAnsi="Times New Roman" w:cs="Times New Roman"/>
                <w:b w:val="0"/>
                <w:sz w:val="18"/>
                <w:szCs w:val="18"/>
              </w:rPr>
            </w:pPr>
          </w:p>
        </w:tc>
        <w:tc>
          <w:tcPr>
            <w:tcW w:w="2551" w:type="dxa"/>
            <w:vAlign w:val="center"/>
          </w:tcPr>
          <w:p w:rsidR="00BF79BC" w:rsidRPr="00B84355" w:rsidRDefault="00BF79BC" w:rsidP="0066024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Órgano Técnico</w:t>
            </w:r>
          </w:p>
        </w:tc>
      </w:tr>
    </w:tbl>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b) Desarrollo del procedimiento de consulta y situación actual</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Para llevar a cabo el proceso de consulta previa a la comunidad indígena zapoteca de Juchitán de Zaragoza, se definió un procedimiento que contempla cinco etapas, la f</w:t>
      </w:r>
      <w:r>
        <w:rPr>
          <w:rFonts w:ascii="Times New Roman" w:hAnsi="Times New Roman" w:cs="Times New Roman"/>
          <w:sz w:val="24"/>
          <w:szCs w:val="24"/>
        </w:rPr>
        <w:t>ase de acuerdos previos, la</w:t>
      </w:r>
      <w:r w:rsidRPr="00B84355">
        <w:rPr>
          <w:rFonts w:ascii="Times New Roman" w:hAnsi="Times New Roman" w:cs="Times New Roman"/>
          <w:sz w:val="24"/>
          <w:szCs w:val="24"/>
        </w:rPr>
        <w:t xml:space="preserve"> informativa, la deliberativa, la </w:t>
      </w:r>
      <w:r>
        <w:rPr>
          <w:rFonts w:ascii="Times New Roman" w:hAnsi="Times New Roman" w:cs="Times New Roman"/>
          <w:sz w:val="24"/>
          <w:szCs w:val="24"/>
        </w:rPr>
        <w:t>c</w:t>
      </w:r>
      <w:r w:rsidRPr="00B84355">
        <w:rPr>
          <w:rFonts w:ascii="Times New Roman" w:hAnsi="Times New Roman" w:cs="Times New Roman"/>
          <w:sz w:val="24"/>
          <w:szCs w:val="24"/>
        </w:rPr>
        <w:t>onsultiva, y la de ejecuc</w:t>
      </w:r>
      <w:r>
        <w:rPr>
          <w:rFonts w:ascii="Times New Roman" w:hAnsi="Times New Roman" w:cs="Times New Roman"/>
          <w:sz w:val="24"/>
          <w:szCs w:val="24"/>
        </w:rPr>
        <w:t xml:space="preserve">ión y seguimiento de acuerdos. </w:t>
      </w:r>
      <w:r w:rsidRPr="00B84355">
        <w:rPr>
          <w:rFonts w:ascii="Times New Roman" w:hAnsi="Times New Roman" w:cs="Times New Roman"/>
          <w:sz w:val="24"/>
          <w:szCs w:val="24"/>
        </w:rPr>
        <w:t>Actualmente el proceso de consulta previa se encuentra en la fase deliberativa, la cual consiste en el diálogo al interior</w:t>
      </w:r>
      <w:r>
        <w:rPr>
          <w:rFonts w:ascii="Times New Roman" w:hAnsi="Times New Roman" w:cs="Times New Roman"/>
          <w:sz w:val="24"/>
          <w:szCs w:val="24"/>
        </w:rPr>
        <w:t xml:space="preserve"> y entre la comunidad respecto a</w:t>
      </w:r>
      <w:r w:rsidRPr="00B84355">
        <w:rPr>
          <w:rFonts w:ascii="Times New Roman" w:hAnsi="Times New Roman" w:cs="Times New Roman"/>
          <w:sz w:val="24"/>
          <w:szCs w:val="24"/>
        </w:rPr>
        <w:t xml:space="preserve"> la información presentada en la fase informativa.</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A la fecha se han realizado más de 40 Asambleas. La información sobre esta consulta (relatorías, convocatorias, presentaciones, etc.) está disponible en el sitio web de la Secretaría </w:t>
      </w:r>
      <w:hyperlink r:id="rId7" w:history="1">
        <w:r w:rsidRPr="00B84355">
          <w:rPr>
            <w:rStyle w:val="Hipervnculo"/>
            <w:rFonts w:ascii="Times New Roman" w:hAnsi="Times New Roman" w:cs="Times New Roman"/>
            <w:sz w:val="24"/>
            <w:szCs w:val="24"/>
          </w:rPr>
          <w:t>www.sener.gob.mx</w:t>
        </w:r>
      </w:hyperlink>
      <w:r w:rsidRPr="00B84355">
        <w:rPr>
          <w:rFonts w:ascii="Times New Roman" w:hAnsi="Times New Roman" w:cs="Times New Roman"/>
          <w:sz w:val="24"/>
          <w:szCs w:val="24"/>
        </w:rPr>
        <w:t xml:space="preserve"> en la sección relativa a consulta a comunidades indígenas.</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center"/>
        <w:rPr>
          <w:rFonts w:ascii="Times New Roman" w:hAnsi="Times New Roman" w:cs="Times New Roman"/>
          <w:sz w:val="24"/>
          <w:szCs w:val="24"/>
        </w:rPr>
      </w:pPr>
      <w:r w:rsidRPr="00B84355">
        <w:rPr>
          <w:rFonts w:ascii="Times New Roman" w:hAnsi="Times New Roman" w:cs="Times New Roman"/>
          <w:noProof/>
          <w:sz w:val="24"/>
          <w:szCs w:val="24"/>
          <w:lang w:eastAsia="es-MX"/>
        </w:rPr>
        <w:lastRenderedPageBreak/>
        <mc:AlternateContent>
          <mc:Choice Requires="wps">
            <w:drawing>
              <wp:anchor distT="0" distB="0" distL="114300" distR="114300" simplePos="0" relativeHeight="251659264" behindDoc="0" locked="0" layoutInCell="1" allowOverlap="1" wp14:anchorId="7AB81609" wp14:editId="03325C92">
                <wp:simplePos x="0" y="0"/>
                <wp:positionH relativeFrom="column">
                  <wp:posOffset>2070735</wp:posOffset>
                </wp:positionH>
                <wp:positionV relativeFrom="paragraph">
                  <wp:posOffset>880829</wp:posOffset>
                </wp:positionV>
                <wp:extent cx="1552754" cy="1328468"/>
                <wp:effectExtent l="38100" t="19050" r="66675" b="100330"/>
                <wp:wrapNone/>
                <wp:docPr id="7" name="2 Elipse"/>
                <wp:cNvGraphicFramePr/>
                <a:graphic xmlns:a="http://schemas.openxmlformats.org/drawingml/2006/main">
                  <a:graphicData uri="http://schemas.microsoft.com/office/word/2010/wordprocessingShape">
                    <wps:wsp>
                      <wps:cNvSpPr/>
                      <wps:spPr>
                        <a:xfrm>
                          <a:off x="0" y="0"/>
                          <a:ext cx="1552754" cy="1328468"/>
                        </a:xfrm>
                        <a:prstGeom prst="ellipse">
                          <a:avLst/>
                        </a:prstGeom>
                        <a:noFill/>
                        <a:ln w="1270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6E8B3DBD" id="2 Elipse" o:spid="_x0000_s1026" style="position:absolute;margin-left:163.05pt;margin-top:69.35pt;width:122.25pt;height:10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" filled="f" strokecolor="red" strokeweight="1pt">
                <v:stroke miterlimit="4" joinstyle="miter"/>
                <v:shadow on="t" color="black" opacity=".5" origin=",.5" offset="0"/>
                <v:textbox style="mso-fit-shape-to-text:t" inset="4pt,4pt,4pt,4pt"/>
              </v:oval>
            </w:pict>
          </mc:Fallback>
        </mc:AlternateContent>
      </w:r>
      <w:r w:rsidRPr="00B84355">
        <w:rPr>
          <w:rFonts w:ascii="Times New Roman" w:hAnsi="Times New Roman" w:cs="Times New Roman"/>
          <w:noProof/>
          <w:sz w:val="24"/>
          <w:szCs w:val="24"/>
          <w:lang w:eastAsia="es-MX"/>
        </w:rPr>
        <w:drawing>
          <wp:inline distT="0" distB="0" distL="0" distR="0" wp14:anchorId="3E1605E9" wp14:editId="6DED9050">
            <wp:extent cx="5257800" cy="34582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461" t="4695" r="5688" b="6103"/>
                    <a:stretch/>
                  </pic:blipFill>
                  <pic:spPr bwMode="auto">
                    <a:xfrm>
                      <a:off x="0" y="0"/>
                      <a:ext cx="5279029" cy="3472173"/>
                    </a:xfrm>
                    <a:prstGeom prst="rect">
                      <a:avLst/>
                    </a:prstGeom>
                    <a:ln>
                      <a:noFill/>
                    </a:ln>
                    <a:extLst>
                      <a:ext uri="{53640926-AAD7-44D8-BBD7-CCE9431645EC}">
                        <a14:shadowObscured xmlns:a14="http://schemas.microsoft.com/office/drawing/2010/main"/>
                      </a:ext>
                    </a:extLst>
                  </pic:spPr>
                </pic:pic>
              </a:graphicData>
            </a:graphic>
          </wp:inline>
        </w:drawing>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Consulta a la Tribu Yaqui</w:t>
      </w: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sz w:val="24"/>
          <w:szCs w:val="24"/>
        </w:rPr>
        <w:t>En el marco de la</w:t>
      </w:r>
      <w:r>
        <w:rPr>
          <w:rFonts w:ascii="Times New Roman" w:hAnsi="Times New Roman" w:cs="Times New Roman"/>
          <w:sz w:val="24"/>
          <w:szCs w:val="24"/>
        </w:rPr>
        <w:t xml:space="preserve"> construcción del sistema Norte–N</w:t>
      </w:r>
      <w:r w:rsidRPr="00B84355">
        <w:rPr>
          <w:rFonts w:ascii="Times New Roman" w:hAnsi="Times New Roman" w:cs="Times New Roman"/>
          <w:sz w:val="24"/>
          <w:szCs w:val="24"/>
        </w:rPr>
        <w:t>oroeste de transporte de gas natural impulsado por el Gobierno Federal, la Comisión Federal de Electricidad</w:t>
      </w:r>
      <w:r>
        <w:rPr>
          <w:rFonts w:ascii="Times New Roman" w:hAnsi="Times New Roman" w:cs="Times New Roman"/>
          <w:sz w:val="24"/>
          <w:szCs w:val="24"/>
        </w:rPr>
        <w:t xml:space="preserve"> (CFE)</w:t>
      </w:r>
      <w:r w:rsidRPr="00B84355">
        <w:rPr>
          <w:rFonts w:ascii="Times New Roman" w:hAnsi="Times New Roman" w:cs="Times New Roman"/>
          <w:sz w:val="24"/>
          <w:szCs w:val="24"/>
        </w:rPr>
        <w:t xml:space="preserve"> emitió en 2012 cuatro licitaciones públicas para la construcción de cuatro gasoductos en los estados de Sonora, Chihuahua y Sinaloa. </w:t>
      </w:r>
    </w:p>
    <w:p w:rsidR="00BF79BC" w:rsidRPr="00B84355" w:rsidRDefault="00BF79BC" w:rsidP="00BF79BC">
      <w:pPr>
        <w:jc w:val="both"/>
        <w:rPr>
          <w:rFonts w:ascii="Times New Roman" w:hAnsi="Times New Roman" w:cs="Times New Roman"/>
          <w:b/>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sz w:val="24"/>
          <w:szCs w:val="24"/>
        </w:rPr>
        <w:t xml:space="preserve">La empresa IEnova, a través de una filial denominada Gasoducto de Aguaprieta, S. de R. L. De C. V., ganó dos licitaciones correspondientes a los tramos Sásabe – Guaymas y Guaymas – El Oro. El trazo establecido por la empresa para este último segmento en el estado de Sonora contempla cruzar territorio de la Tribu Yaqui. Por esta razón la </w:t>
      </w:r>
      <w:r>
        <w:rPr>
          <w:rFonts w:ascii="Times New Roman" w:hAnsi="Times New Roman" w:cs="Times New Roman"/>
          <w:sz w:val="24"/>
          <w:szCs w:val="24"/>
        </w:rPr>
        <w:t xml:space="preserve">SENER </w:t>
      </w:r>
      <w:r w:rsidRPr="00B84355">
        <w:rPr>
          <w:rFonts w:ascii="Times New Roman" w:hAnsi="Times New Roman" w:cs="Times New Roman"/>
          <w:sz w:val="24"/>
          <w:szCs w:val="24"/>
        </w:rPr>
        <w:t>está realizando desde julio de 2014 a la fecha la Consulta Previa respectiva.</w:t>
      </w:r>
    </w:p>
    <w:p w:rsidR="00BF79BC" w:rsidRPr="00B84355" w:rsidRDefault="00BF79BC" w:rsidP="00BF79BC">
      <w:pPr>
        <w:jc w:val="both"/>
        <w:rPr>
          <w:rFonts w:ascii="Times New Roman" w:hAnsi="Times New Roman" w:cs="Times New Roman"/>
          <w:sz w:val="24"/>
          <w:szCs w:val="24"/>
        </w:rPr>
      </w:pPr>
    </w:p>
    <w:tbl>
      <w:tblPr>
        <w:tblStyle w:val="Cuadrculamedia1-nfasis3"/>
        <w:tblW w:w="0" w:type="auto"/>
        <w:tblInd w:w="108" w:type="dxa"/>
        <w:tblLook w:val="04A0" w:firstRow="1" w:lastRow="0" w:firstColumn="1" w:lastColumn="0" w:noHBand="0" w:noVBand="1"/>
      </w:tblPr>
      <w:tblGrid>
        <w:gridCol w:w="2694"/>
        <w:gridCol w:w="6945"/>
      </w:tblGrid>
      <w:tr w:rsidR="00BF79BC" w:rsidRPr="00B84355" w:rsidTr="0066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Desarrollador</w:t>
            </w:r>
          </w:p>
        </w:tc>
        <w:tc>
          <w:tcPr>
            <w:tcW w:w="6945" w:type="dxa"/>
            <w:vAlign w:val="center"/>
          </w:tcPr>
          <w:p w:rsidR="00BF79BC" w:rsidRPr="00B84355" w:rsidRDefault="00BF79BC" w:rsidP="006602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B84355">
              <w:rPr>
                <w:rFonts w:ascii="Times New Roman" w:hAnsi="Times New Roman" w:cs="Times New Roman"/>
                <w:b w:val="0"/>
                <w:sz w:val="18"/>
                <w:szCs w:val="18"/>
              </w:rPr>
              <w:t>IEnova</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Filial</w:t>
            </w:r>
          </w:p>
        </w:tc>
        <w:tc>
          <w:tcPr>
            <w:tcW w:w="6945"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Gasoducto de Aguaprieta, S. de R. L. De C. V</w:t>
            </w:r>
          </w:p>
        </w:tc>
      </w:tr>
      <w:tr w:rsidR="00BF79BC" w:rsidRPr="00B84355" w:rsidTr="00660249">
        <w:tc>
          <w:tcPr>
            <w:cnfStyle w:val="001000000000" w:firstRow="0" w:lastRow="0" w:firstColumn="1" w:lastColumn="0" w:oddVBand="0" w:evenVBand="0" w:oddHBand="0" w:evenHBand="0" w:firstRowFirstColumn="0" w:firstRowLastColumn="0" w:lastRowFirstColumn="0" w:lastRowLastColumn="0"/>
            <w:tcW w:w="2694"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Ubicación</w:t>
            </w:r>
          </w:p>
        </w:tc>
        <w:tc>
          <w:tcPr>
            <w:tcW w:w="6945" w:type="dxa"/>
            <w:vAlign w:val="center"/>
          </w:tcPr>
          <w:p w:rsidR="00BF79BC" w:rsidRPr="00B84355" w:rsidRDefault="00BF79BC" w:rsidP="00660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Guaymas, Sonora a El Oro, Sinaloa</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Característica generales</w:t>
            </w:r>
          </w:p>
        </w:tc>
        <w:tc>
          <w:tcPr>
            <w:tcW w:w="6945"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328 km de 30” en tubería de acero, capacidad 510 Millones pcd, máxima presión de operación de 1,440 psi</w:t>
            </w:r>
          </w:p>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Estación de compresión (futuro) en Guaymas,</w:t>
            </w:r>
          </w:p>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Estación de Medición, Recepción y Compresión en El Oro</w:t>
            </w:r>
          </w:p>
        </w:tc>
      </w:tr>
      <w:tr w:rsidR="00BF79BC" w:rsidRPr="00B84355" w:rsidTr="00660249">
        <w:tc>
          <w:tcPr>
            <w:cnfStyle w:val="001000000000" w:firstRow="0" w:lastRow="0" w:firstColumn="1" w:lastColumn="0" w:oddVBand="0" w:evenVBand="0" w:oddHBand="0" w:evenHBand="0" w:firstRowFirstColumn="0" w:firstRowLastColumn="0" w:lastRowFirstColumn="0" w:lastRowLastColumn="0"/>
            <w:tcW w:w="2694"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Territorio afectado</w:t>
            </w:r>
          </w:p>
        </w:tc>
        <w:tc>
          <w:tcPr>
            <w:tcW w:w="6945" w:type="dxa"/>
            <w:vAlign w:val="center"/>
          </w:tcPr>
          <w:p w:rsidR="00BF79BC" w:rsidRPr="00B84355" w:rsidRDefault="00BF79BC" w:rsidP="00660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90 kilómetros lineales, 198 hectáreas</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Inicio de operaciones</w:t>
            </w:r>
          </w:p>
        </w:tc>
        <w:tc>
          <w:tcPr>
            <w:tcW w:w="6945"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1 de agosto de 2016</w:t>
            </w:r>
          </w:p>
        </w:tc>
      </w:tr>
    </w:tbl>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La Tribu Yaqui cuenta con un territorio reconocido mediante decreto presidencial firmado en 1940 por el entonces presidente Lázaro Cárdenas. Se compone de ocho pueblos: Belem, Huírivis, Rahum, Pótam, Vícam y Tórim, pertenecientes al municipio de Guaymas; Bácum (Loma de Bácum), perteneciente al municipio de Bácum; y Cócorit (Loma de Guamúchil), perteneciente al municipio de Cajeme; todos ellos asentados en el estado de Sonora.</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lastRenderedPageBreak/>
        <w:t>La tribu se rige por un sistema normativo propio en su organización social y política. Por esta razón el desarrollo de cada una de las fases de la Consulta Previa se ha llevado a cabo a través de sus instituciones y autoridades representativas y de acuerdo a los mecanismos y tiempos que ellas han establecido con la Secretaría en el Protocolo de Consulta respectivo y principalmente en el lugar que ocupa la Guardia Tradicional (lugar en el que se asientan los poderes civiles) de cada uno de los pueblos.</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a) Dependencias de gobierno participantes</w:t>
      </w:r>
    </w:p>
    <w:p w:rsidR="00BF79BC" w:rsidRPr="00B84355" w:rsidRDefault="00BF79BC" w:rsidP="00BF79BC">
      <w:pPr>
        <w:jc w:val="both"/>
        <w:rPr>
          <w:rFonts w:ascii="Times New Roman" w:hAnsi="Times New Roman" w:cs="Times New Roman"/>
          <w:sz w:val="24"/>
          <w:szCs w:val="24"/>
        </w:rPr>
      </w:pPr>
    </w:p>
    <w:tbl>
      <w:tblPr>
        <w:tblStyle w:val="Sombreadomedio1-nfasis3"/>
        <w:tblW w:w="0" w:type="auto"/>
        <w:tblInd w:w="108" w:type="dxa"/>
        <w:tblLook w:val="04A0" w:firstRow="1" w:lastRow="0" w:firstColumn="1" w:lastColumn="0" w:noHBand="0" w:noVBand="1"/>
      </w:tblPr>
      <w:tblGrid>
        <w:gridCol w:w="7088"/>
        <w:gridCol w:w="2551"/>
      </w:tblGrid>
      <w:tr w:rsidR="00BF79BC" w:rsidRPr="00B84355" w:rsidTr="0066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Dependencia</w:t>
            </w:r>
          </w:p>
        </w:tc>
        <w:tc>
          <w:tcPr>
            <w:tcW w:w="2551" w:type="dxa"/>
          </w:tcPr>
          <w:p w:rsidR="00BF79BC" w:rsidRPr="00B84355" w:rsidRDefault="00BF79BC" w:rsidP="006602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Función</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Energía</w:t>
            </w:r>
          </w:p>
        </w:tc>
        <w:tc>
          <w:tcPr>
            <w:tcW w:w="2551"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Autoridad Responsable</w:t>
            </w:r>
          </w:p>
        </w:tc>
      </w:tr>
      <w:tr w:rsidR="00BF79BC" w:rsidRPr="00B84355" w:rsidTr="00660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Subsecretaría de Derechos Humanos de la Secretaría de Gobernación</w:t>
            </w:r>
          </w:p>
        </w:tc>
        <w:tc>
          <w:tcPr>
            <w:tcW w:w="2551" w:type="dxa"/>
            <w:vAlign w:val="center"/>
          </w:tcPr>
          <w:p w:rsidR="00BF79BC" w:rsidRPr="00B84355" w:rsidRDefault="00BF79BC" w:rsidP="0066024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Órgano Garante</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Gobernación;</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Dirección General de Impacto y Riesgo Ambiental de la Secretaría de Medio Ambiente y Recursos Naturales;</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Instituto Nacional de Antropología e Historia;</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 xml:space="preserve">Comisión Federal de Electricidad; </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Comisión Reguladora de Energía; y</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Comisión Nacional para el Desarrollo de los Pueblos Indígenas</w:t>
            </w:r>
          </w:p>
        </w:tc>
        <w:tc>
          <w:tcPr>
            <w:tcW w:w="2551"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Comité Técnico Asesor</w:t>
            </w:r>
          </w:p>
        </w:tc>
      </w:tr>
    </w:tbl>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b) Desarrollo del procedimiento de consulta y situación actual</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La Consulta a la Tribu Yaqui sobre la construcción y operación del Gasoducto Sonora, contempla el desarrollo de las cinco fases de consulta: 1) Acuerdos Previos, 2) Fase Informativa, 3) Fase Deliberativa, 4) Fase Consultiva y 5) Fase de monitoreo y seguimiento. </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Debido a las condiciones sociopolíticas de la tribu y a la existencia de más de una autoridad en algunos pueblos, el desarrollo de cada fase ha seguido tiempos y mecanismos distintos en cada uno de ellos. Cabe destacar la creación de un Comité Técnico Asesor con los técnicos y asesores de la tribu, quienes han apoyado invaluablemente la fase informativa, lo cual ha permitido un proceso de información muy amplio y atendiendo a los distintos sectores sociales que la integran.</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Actualmente, los ocho pueblos y sus respectivas autoridades se encuentran en la fase consultiva. Siete de ellos (Belem, Huírivis, Rahum, Pótam, Vícam, Tórim y Cócorit) han otorgado su consentimiento previo, libre e informado para la construcción y operación de la obra y se encuentran en el establecimiento de acuerdos para la contraprestación respectiva. </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 xml:space="preserve">Consulta a comunidades Rarámuris </w:t>
      </w: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En relación a la</w:t>
      </w:r>
      <w:r>
        <w:rPr>
          <w:rFonts w:ascii="Times New Roman" w:hAnsi="Times New Roman" w:cs="Times New Roman"/>
          <w:sz w:val="24"/>
          <w:szCs w:val="24"/>
        </w:rPr>
        <w:t xml:space="preserve"> construcción del sistema norte–</w:t>
      </w:r>
      <w:r w:rsidRPr="00B84355">
        <w:rPr>
          <w:rFonts w:ascii="Times New Roman" w:hAnsi="Times New Roman" w:cs="Times New Roman"/>
          <w:sz w:val="24"/>
          <w:szCs w:val="24"/>
        </w:rPr>
        <w:t xml:space="preserve">noroeste de transporte de gas natural impulsado por el Gobierno Federal, y que implicó que la </w:t>
      </w:r>
      <w:r>
        <w:rPr>
          <w:rFonts w:ascii="Times New Roman" w:hAnsi="Times New Roman" w:cs="Times New Roman"/>
          <w:sz w:val="24"/>
          <w:szCs w:val="24"/>
        </w:rPr>
        <w:t xml:space="preserve">CFE </w:t>
      </w:r>
      <w:r w:rsidRPr="00B84355">
        <w:rPr>
          <w:rFonts w:ascii="Times New Roman" w:hAnsi="Times New Roman" w:cs="Times New Roman"/>
          <w:sz w:val="24"/>
          <w:szCs w:val="24"/>
        </w:rPr>
        <w:t>emitiera en 2012 cuatro licitaciones públicas para la construcción de cuatro gasoductos en los estados de Sonora, Chihuahua y Sinaloa.</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La empresa TransCanada, a través de la filial Transportadora de Gas Natural del Noroeste, S. de R.L. de C. V., ganó la licitación corres</w:t>
      </w:r>
      <w:r>
        <w:rPr>
          <w:rFonts w:ascii="Times New Roman" w:hAnsi="Times New Roman" w:cs="Times New Roman"/>
          <w:sz w:val="24"/>
          <w:szCs w:val="24"/>
        </w:rPr>
        <w:t>pondiente al segmento El Encino</w:t>
      </w:r>
      <w:r w:rsidRPr="00B84355">
        <w:rPr>
          <w:rFonts w:ascii="Times New Roman" w:hAnsi="Times New Roman" w:cs="Times New Roman"/>
          <w:sz w:val="24"/>
          <w:szCs w:val="24"/>
        </w:rPr>
        <w:t xml:space="preserve">–Topolobampo. El trazo establecido por la empresa para el desarrollo de la obra en el estado de Chihuahua, cruza territorio del pueblo Rarámuri. Por esta razón, la </w:t>
      </w:r>
      <w:r>
        <w:rPr>
          <w:rFonts w:ascii="Times New Roman" w:hAnsi="Times New Roman" w:cs="Times New Roman"/>
          <w:sz w:val="24"/>
          <w:szCs w:val="24"/>
        </w:rPr>
        <w:t xml:space="preserve">SENER </w:t>
      </w:r>
      <w:r w:rsidRPr="00B84355">
        <w:rPr>
          <w:rFonts w:ascii="Times New Roman" w:hAnsi="Times New Roman" w:cs="Times New Roman"/>
          <w:sz w:val="24"/>
          <w:szCs w:val="24"/>
        </w:rPr>
        <w:t>desarrolla desde noviembre de 2014 y hasta la fecha, la consulta respectiva.</w:t>
      </w:r>
    </w:p>
    <w:p w:rsidR="00BF79BC" w:rsidRPr="00B84355" w:rsidRDefault="00BF79BC" w:rsidP="00BF79BC">
      <w:pPr>
        <w:jc w:val="both"/>
        <w:rPr>
          <w:rFonts w:ascii="Times New Roman" w:hAnsi="Times New Roman" w:cs="Times New Roman"/>
          <w:sz w:val="24"/>
          <w:szCs w:val="24"/>
        </w:rPr>
      </w:pPr>
    </w:p>
    <w:tbl>
      <w:tblPr>
        <w:tblStyle w:val="Cuadrculamedia1-nfasis3"/>
        <w:tblW w:w="0" w:type="auto"/>
        <w:tblInd w:w="108" w:type="dxa"/>
        <w:tblLook w:val="04A0" w:firstRow="1" w:lastRow="0" w:firstColumn="1" w:lastColumn="0" w:noHBand="0" w:noVBand="1"/>
      </w:tblPr>
      <w:tblGrid>
        <w:gridCol w:w="2552"/>
        <w:gridCol w:w="7087"/>
      </w:tblGrid>
      <w:tr w:rsidR="00BF79BC" w:rsidRPr="00B84355" w:rsidTr="0066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Desarrollador</w:t>
            </w:r>
          </w:p>
        </w:tc>
        <w:tc>
          <w:tcPr>
            <w:tcW w:w="7087" w:type="dxa"/>
            <w:vAlign w:val="center"/>
          </w:tcPr>
          <w:p w:rsidR="00BF79BC" w:rsidRPr="00B84355" w:rsidRDefault="00BF79BC" w:rsidP="006602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B84355">
              <w:rPr>
                <w:rFonts w:ascii="Times New Roman" w:hAnsi="Times New Roman" w:cs="Times New Roman"/>
                <w:b w:val="0"/>
                <w:sz w:val="18"/>
                <w:szCs w:val="18"/>
              </w:rPr>
              <w:t>TransCanada</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Filial</w:t>
            </w:r>
          </w:p>
        </w:tc>
        <w:tc>
          <w:tcPr>
            <w:tcW w:w="7087"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Transportadora de Gas Natural del Noroeste, S. de R. L.</w:t>
            </w:r>
          </w:p>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de C. V.</w:t>
            </w:r>
          </w:p>
        </w:tc>
      </w:tr>
      <w:tr w:rsidR="00BF79BC" w:rsidRPr="00B84355" w:rsidTr="00660249">
        <w:tc>
          <w:tcPr>
            <w:cnfStyle w:val="001000000000" w:firstRow="0" w:lastRow="0" w:firstColumn="1" w:lastColumn="0" w:oddVBand="0" w:evenVBand="0" w:oddHBand="0" w:evenHBand="0" w:firstRowFirstColumn="0" w:firstRowLastColumn="0" w:lastRowFirstColumn="0" w:lastRowLastColumn="0"/>
            <w:tcW w:w="2552"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Ubicación</w:t>
            </w:r>
          </w:p>
        </w:tc>
        <w:tc>
          <w:tcPr>
            <w:tcW w:w="7087" w:type="dxa"/>
            <w:vAlign w:val="center"/>
          </w:tcPr>
          <w:p w:rsidR="00BF79BC" w:rsidRPr="00B84355" w:rsidRDefault="00BF79BC" w:rsidP="00660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Municipios considerados en el estado de Chihuahua: Santa Isabel, Gran Morelos, Cuauhtémoc, Cusihuiriachi, Carichi, Bocoyna, Urique, y Guazapares.</w:t>
            </w:r>
          </w:p>
          <w:p w:rsidR="00BF79BC" w:rsidRPr="00B84355" w:rsidRDefault="00BF79BC" w:rsidP="00660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lastRenderedPageBreak/>
              <w:t>Municipios considerados en el estado de Sinaloa: Choix, El Fuerte y Ahome.</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lastRenderedPageBreak/>
              <w:t>Características generales</w:t>
            </w:r>
          </w:p>
        </w:tc>
        <w:tc>
          <w:tcPr>
            <w:tcW w:w="7087"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550 km de tubería de acero de 30”, capacidad 510 Millones pcd, máxima presión de operación de 1,440 psi</w:t>
            </w:r>
          </w:p>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Dos estaciones de compresión</w:t>
            </w:r>
          </w:p>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Dos estaciones de Entrega y Medición</w:t>
            </w:r>
          </w:p>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19 válvulas de seccionamiento y 3 estaciones de trampa de diablos</w:t>
            </w:r>
          </w:p>
        </w:tc>
      </w:tr>
    </w:tbl>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El territorio del pueblo Rarámuri se encuentra dividido en propiedad ejidal, privada y comunal. El procedimiento de consulta se realizó a las comunidades Rarámuris que se ubican a lo largo del trayecto del Gasoducto, correspondiente a los municipios de Carichí, Bocoyna, Guazapares y Urique. En el proceso han participado 51 comunidades indígenas distribuidas en 19 centros de reunión: Pasigochi, en el municipio de Carichi; Choguita, Bawinocachi, Sojáwachi, Neróchachi, La Laguna, San Luis de Majimachi, Repechike, San Elías, Rosavichi, Rochivo – Gasisuchi en el municipio de Bocoyna; Mogotavo, San Alonso y Cuiteco en el municipio de Urique, y Corarayvo, Coruyvo - Bahuichivo, Santa Matilde, Monterde y Témoris en el municipio de Guazapares.</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En tanto el pueblo Rarámuri conserva un sistema normativo propio en su organización social y política, el procedimiento de consulta se efectuó a través de sus autoridades tradicionales</w:t>
      </w:r>
      <w:r>
        <w:rPr>
          <w:rFonts w:ascii="Times New Roman" w:hAnsi="Times New Roman" w:cs="Times New Roman"/>
          <w:sz w:val="24"/>
          <w:szCs w:val="24"/>
        </w:rPr>
        <w:t xml:space="preserve"> </w:t>
      </w:r>
      <w:r w:rsidRPr="00B84355">
        <w:rPr>
          <w:rFonts w:ascii="Times New Roman" w:hAnsi="Times New Roman" w:cs="Times New Roman"/>
          <w:sz w:val="24"/>
          <w:szCs w:val="24"/>
        </w:rPr>
        <w:t>(gobernadores indígenas o Siriames), en los espacios de reunión tradicionales (Centros de Reunión), a los cuales acudieron distintas comunidades o rancherías.</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a) Dependencias de gobierno participantes</w:t>
      </w:r>
    </w:p>
    <w:p w:rsidR="00BF79BC" w:rsidRPr="00B84355" w:rsidRDefault="00BF79BC" w:rsidP="00BF79BC">
      <w:pPr>
        <w:jc w:val="both"/>
        <w:rPr>
          <w:rFonts w:ascii="Times New Roman" w:hAnsi="Times New Roman" w:cs="Times New Roman"/>
          <w:sz w:val="24"/>
          <w:szCs w:val="24"/>
        </w:rPr>
      </w:pPr>
    </w:p>
    <w:tbl>
      <w:tblPr>
        <w:tblStyle w:val="Sombreadomedio1-nfasis3"/>
        <w:tblW w:w="0" w:type="auto"/>
        <w:tblLook w:val="04A0" w:firstRow="1" w:lastRow="0" w:firstColumn="1" w:lastColumn="0" w:noHBand="0" w:noVBand="1"/>
      </w:tblPr>
      <w:tblGrid>
        <w:gridCol w:w="4928"/>
        <w:gridCol w:w="4050"/>
      </w:tblGrid>
      <w:tr w:rsidR="00BF79BC" w:rsidRPr="00B84355" w:rsidTr="00660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BF79BC" w:rsidRPr="00B84355" w:rsidRDefault="00BF79BC" w:rsidP="00660249">
            <w:pPr>
              <w:jc w:val="center"/>
              <w:rPr>
                <w:rFonts w:ascii="Times New Roman" w:hAnsi="Times New Roman" w:cs="Times New Roman"/>
                <w:sz w:val="18"/>
                <w:szCs w:val="18"/>
              </w:rPr>
            </w:pPr>
            <w:r w:rsidRPr="00B84355">
              <w:rPr>
                <w:rFonts w:ascii="Times New Roman" w:hAnsi="Times New Roman" w:cs="Times New Roman"/>
                <w:sz w:val="18"/>
                <w:szCs w:val="18"/>
              </w:rPr>
              <w:t>Dependencia</w:t>
            </w:r>
          </w:p>
        </w:tc>
        <w:tc>
          <w:tcPr>
            <w:tcW w:w="4050" w:type="dxa"/>
          </w:tcPr>
          <w:p w:rsidR="00BF79BC" w:rsidRPr="00B84355" w:rsidRDefault="00BF79BC" w:rsidP="006602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Función</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Secretaría de Energía</w:t>
            </w:r>
          </w:p>
        </w:tc>
        <w:tc>
          <w:tcPr>
            <w:tcW w:w="4050"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Autoridad Responsable</w:t>
            </w:r>
          </w:p>
        </w:tc>
      </w:tr>
      <w:tr w:rsidR="00BF79BC" w:rsidRPr="00B84355" w:rsidTr="00660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Comisión Federal de Electricidad; y</w:t>
            </w:r>
          </w:p>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Coordinación Estatal de la Tarahumara</w:t>
            </w:r>
          </w:p>
        </w:tc>
        <w:tc>
          <w:tcPr>
            <w:tcW w:w="4050" w:type="dxa"/>
            <w:vAlign w:val="center"/>
          </w:tcPr>
          <w:p w:rsidR="00BF79BC" w:rsidRPr="00B84355" w:rsidRDefault="00BF79BC" w:rsidP="0066024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Autoridades Coadyuvantes</w:t>
            </w:r>
          </w:p>
        </w:tc>
      </w:tr>
      <w:tr w:rsidR="00BF79BC" w:rsidRPr="00B84355" w:rsidTr="0066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BF79BC" w:rsidRPr="00B84355" w:rsidRDefault="00BF79BC" w:rsidP="00660249">
            <w:pPr>
              <w:jc w:val="center"/>
              <w:rPr>
                <w:rFonts w:ascii="Times New Roman" w:hAnsi="Times New Roman" w:cs="Times New Roman"/>
                <w:b w:val="0"/>
                <w:sz w:val="18"/>
                <w:szCs w:val="18"/>
              </w:rPr>
            </w:pPr>
            <w:r w:rsidRPr="00B84355">
              <w:rPr>
                <w:rFonts w:ascii="Times New Roman" w:hAnsi="Times New Roman" w:cs="Times New Roman"/>
                <w:b w:val="0"/>
                <w:sz w:val="18"/>
                <w:szCs w:val="18"/>
              </w:rPr>
              <w:t>Comisión Nacional para el Desarrollo de los Pueblos Indígenas</w:t>
            </w:r>
          </w:p>
        </w:tc>
        <w:tc>
          <w:tcPr>
            <w:tcW w:w="4050" w:type="dxa"/>
            <w:vAlign w:val="center"/>
          </w:tcPr>
          <w:p w:rsidR="00BF79BC" w:rsidRPr="00B84355" w:rsidRDefault="00BF79BC" w:rsidP="00660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4355">
              <w:rPr>
                <w:rFonts w:ascii="Times New Roman" w:hAnsi="Times New Roman" w:cs="Times New Roman"/>
                <w:sz w:val="18"/>
                <w:szCs w:val="18"/>
              </w:rPr>
              <w:t>Órgano Técnico Asesor</w:t>
            </w:r>
          </w:p>
        </w:tc>
      </w:tr>
    </w:tbl>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b/>
          <w:sz w:val="24"/>
          <w:szCs w:val="24"/>
        </w:rPr>
      </w:pPr>
      <w:r w:rsidRPr="00B84355">
        <w:rPr>
          <w:rFonts w:ascii="Times New Roman" w:hAnsi="Times New Roman" w:cs="Times New Roman"/>
          <w:b/>
          <w:sz w:val="24"/>
          <w:szCs w:val="24"/>
        </w:rPr>
        <w:t>b) Desarrollo del procedimiento de consulta y situación actual</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 xml:space="preserve">El procedimiento de consulta se desarrolló atendiendo las siguientes fases generales: </w:t>
      </w:r>
    </w:p>
    <w:p w:rsidR="00BF79BC" w:rsidRPr="00B84355" w:rsidRDefault="00BF79BC" w:rsidP="00BF79BC">
      <w:pPr>
        <w:pStyle w:val="Prrafodelista"/>
        <w:numPr>
          <w:ilvl w:val="0"/>
          <w:numId w:val="2"/>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Plan de consulta </w:t>
      </w:r>
    </w:p>
    <w:p w:rsidR="00BF79BC" w:rsidRPr="00B84355" w:rsidRDefault="00BF79BC" w:rsidP="00BF79BC">
      <w:pPr>
        <w:pStyle w:val="Prrafodelista"/>
        <w:numPr>
          <w:ilvl w:val="0"/>
          <w:numId w:val="2"/>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Acuerdos previos </w:t>
      </w:r>
    </w:p>
    <w:p w:rsidR="00BF79BC" w:rsidRPr="00B84355" w:rsidRDefault="00BF79BC" w:rsidP="00BF79BC">
      <w:pPr>
        <w:pStyle w:val="Prrafodelista"/>
        <w:numPr>
          <w:ilvl w:val="0"/>
          <w:numId w:val="2"/>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Informativa</w:t>
      </w:r>
    </w:p>
    <w:p w:rsidR="00BF79BC" w:rsidRPr="00B84355" w:rsidRDefault="00BF79BC" w:rsidP="00BF79BC">
      <w:pPr>
        <w:pStyle w:val="Prrafodelista"/>
        <w:numPr>
          <w:ilvl w:val="0"/>
          <w:numId w:val="2"/>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Deliberativa</w:t>
      </w:r>
    </w:p>
    <w:p w:rsidR="00BF79BC" w:rsidRPr="00B84355" w:rsidRDefault="00BF79BC" w:rsidP="00BF79BC">
      <w:pPr>
        <w:pStyle w:val="Prrafodelista"/>
        <w:numPr>
          <w:ilvl w:val="0"/>
          <w:numId w:val="2"/>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 xml:space="preserve">Consultiva y </w:t>
      </w:r>
    </w:p>
    <w:p w:rsidR="00BF79BC" w:rsidRPr="00B84355" w:rsidRDefault="00BF79BC" w:rsidP="00BF79BC">
      <w:pPr>
        <w:pStyle w:val="Prrafodelista"/>
        <w:numPr>
          <w:ilvl w:val="0"/>
          <w:numId w:val="2"/>
        </w:numPr>
        <w:pBdr>
          <w:top w:val="nil"/>
          <w:left w:val="nil"/>
          <w:bottom w:val="nil"/>
          <w:right w:val="nil"/>
          <w:between w:val="nil"/>
          <w:bar w:val="nil"/>
        </w:pBdr>
        <w:jc w:val="both"/>
        <w:rPr>
          <w:rFonts w:ascii="Times New Roman" w:hAnsi="Times New Roman" w:cs="Times New Roman"/>
          <w:sz w:val="24"/>
          <w:szCs w:val="24"/>
        </w:rPr>
      </w:pPr>
      <w:r w:rsidRPr="00B84355">
        <w:rPr>
          <w:rFonts w:ascii="Times New Roman" w:hAnsi="Times New Roman" w:cs="Times New Roman"/>
          <w:sz w:val="24"/>
          <w:szCs w:val="24"/>
        </w:rPr>
        <w:t>Seguimiento de acuerdos.</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rPr>
      </w:pPr>
      <w:r w:rsidRPr="00B84355">
        <w:rPr>
          <w:rFonts w:ascii="Times New Roman" w:hAnsi="Times New Roman" w:cs="Times New Roman"/>
          <w:sz w:val="24"/>
          <w:szCs w:val="24"/>
        </w:rPr>
        <w:t>La Fase Consultiva a las comunidades Rarámuris concluyó en febrero de 2015, razón por lo que con su consentimiento libre e informado para la construcción y op</w:t>
      </w:r>
      <w:r>
        <w:rPr>
          <w:rFonts w:ascii="Times New Roman" w:hAnsi="Times New Roman" w:cs="Times New Roman"/>
          <w:sz w:val="24"/>
          <w:szCs w:val="24"/>
        </w:rPr>
        <w:t>eración del gasoducto El Encino–</w:t>
      </w:r>
      <w:r w:rsidRPr="00B84355">
        <w:rPr>
          <w:rFonts w:ascii="Times New Roman" w:hAnsi="Times New Roman" w:cs="Times New Roman"/>
          <w:sz w:val="24"/>
          <w:szCs w:val="24"/>
        </w:rPr>
        <w:t>Topolobampo. Actualmente se desarrollan acciones en el marco de la Fase de Seguimiento de Acuerdos; mismos que fueron suscritos por los gobernadores Rarámuris, la</w:t>
      </w:r>
      <w:r>
        <w:rPr>
          <w:rFonts w:ascii="Times New Roman" w:hAnsi="Times New Roman" w:cs="Times New Roman"/>
          <w:sz w:val="24"/>
          <w:szCs w:val="24"/>
        </w:rPr>
        <w:t xml:space="preserve"> SENER</w:t>
      </w:r>
      <w:r w:rsidRPr="00B84355">
        <w:rPr>
          <w:rFonts w:ascii="Times New Roman" w:hAnsi="Times New Roman" w:cs="Times New Roman"/>
          <w:sz w:val="24"/>
          <w:szCs w:val="24"/>
        </w:rPr>
        <w:t>, la Comisión Estatal de la Tarahumara, la</w:t>
      </w:r>
      <w:r>
        <w:rPr>
          <w:rFonts w:ascii="Times New Roman" w:hAnsi="Times New Roman" w:cs="Times New Roman"/>
          <w:sz w:val="24"/>
          <w:szCs w:val="24"/>
        </w:rPr>
        <w:t>CFE, la CDI</w:t>
      </w:r>
      <w:r w:rsidRPr="00B84355">
        <w:rPr>
          <w:rFonts w:ascii="Times New Roman" w:hAnsi="Times New Roman" w:cs="Times New Roman"/>
          <w:sz w:val="24"/>
          <w:szCs w:val="24"/>
        </w:rPr>
        <w:t xml:space="preserve"> y la empresa. Tales acuerdos han sido ratificados por cada una de las comunidades Rarámuris sujetas al procedimiento de consulta.</w:t>
      </w:r>
    </w:p>
    <w:p w:rsidR="00BF79BC" w:rsidRPr="00B84355" w:rsidRDefault="00BF79BC" w:rsidP="00BF79BC">
      <w:pPr>
        <w:jc w:val="both"/>
        <w:rPr>
          <w:rFonts w:ascii="Times New Roman" w:hAnsi="Times New Roman" w:cs="Times New Roman"/>
          <w:sz w:val="24"/>
          <w:szCs w:val="24"/>
        </w:rPr>
      </w:pPr>
    </w:p>
    <w:p w:rsidR="00BF79BC" w:rsidRPr="00B84355" w:rsidRDefault="00BF79BC" w:rsidP="00BF79BC">
      <w:pPr>
        <w:jc w:val="both"/>
        <w:rPr>
          <w:rFonts w:ascii="Times New Roman" w:hAnsi="Times New Roman" w:cs="Times New Roman"/>
          <w:sz w:val="24"/>
          <w:szCs w:val="24"/>
          <w:lang w:val="es-ES"/>
        </w:rPr>
      </w:pPr>
      <w:r w:rsidRPr="00B84355">
        <w:rPr>
          <w:rFonts w:ascii="Times New Roman" w:hAnsi="Times New Roman" w:cs="Times New Roman"/>
          <w:sz w:val="24"/>
          <w:szCs w:val="24"/>
        </w:rPr>
        <w:t xml:space="preserve">Cabe destacar que en los acuerdos alcanzados </w:t>
      </w:r>
      <w:r>
        <w:rPr>
          <w:rFonts w:ascii="Times New Roman" w:hAnsi="Times New Roman" w:cs="Times New Roman"/>
          <w:sz w:val="24"/>
          <w:szCs w:val="24"/>
        </w:rPr>
        <w:t xml:space="preserve">por </w:t>
      </w:r>
      <w:r w:rsidRPr="00B84355">
        <w:rPr>
          <w:rFonts w:ascii="Times New Roman" w:hAnsi="Times New Roman" w:cs="Times New Roman"/>
          <w:sz w:val="24"/>
          <w:szCs w:val="24"/>
        </w:rPr>
        <w:t xml:space="preserve">las partes, la Empresa está obligada a implementar un Plan de Inversión Social con el objeto de financiar obras y/o actividades de desarrollo comunitario; lo anterior en el marco del derecho de las comunidades indígenas a participar, de forma razonable y </w:t>
      </w:r>
      <w:r w:rsidRPr="00B84355">
        <w:rPr>
          <w:rFonts w:ascii="Times New Roman" w:hAnsi="Times New Roman" w:cs="Times New Roman"/>
          <w:sz w:val="24"/>
          <w:szCs w:val="24"/>
        </w:rPr>
        <w:lastRenderedPageBreak/>
        <w:t>equitativa, en los beneficios derivados del desarrollo de proyectos; así como la implementación de un “Protocolo para la protección y manejo de cuerpos de agua”; con el propósito atender la exigencias y preocupaciones de las comunidades Rarámuris consultadas sobre la salvaguarda de la integridad de los manantiales, pozos y aguajes de su territorio.</w:t>
      </w:r>
    </w:p>
    <w:p w:rsidR="00BF79BC" w:rsidRPr="00363EB4" w:rsidRDefault="00BF79BC" w:rsidP="00BF79BC">
      <w:pPr>
        <w:jc w:val="both"/>
        <w:rPr>
          <w:rFonts w:ascii="Times New Roman" w:hAnsi="Times New Roman" w:cs="Times New Roman"/>
          <w:sz w:val="24"/>
          <w:szCs w:val="24"/>
          <w:lang w:val="es-ES"/>
        </w:rPr>
      </w:pPr>
    </w:p>
    <w:p w:rsidR="00141B16" w:rsidRPr="00BF79BC" w:rsidRDefault="00141B16">
      <w:pPr>
        <w:rPr>
          <w:lang w:val="es-ES"/>
        </w:rPr>
      </w:pPr>
    </w:p>
    <w:sectPr w:rsidR="00141B16" w:rsidRPr="00BF79BC" w:rsidSect="001671ED">
      <w:headerReference w:type="default" r:id="rId9"/>
      <w:footerReference w:type="default" r:id="rId10"/>
      <w:pgSz w:w="12240" w:h="15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FE1" w:rsidRDefault="00412FE1">
      <w:r>
        <w:separator/>
      </w:r>
    </w:p>
  </w:endnote>
  <w:endnote w:type="continuationSeparator" w:id="0">
    <w:p w:rsidR="00412FE1" w:rsidRDefault="0041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193403"/>
      <w:docPartObj>
        <w:docPartGallery w:val="Page Numbers (Bottom of Page)"/>
        <w:docPartUnique/>
      </w:docPartObj>
    </w:sdtPr>
    <w:sdtEndPr>
      <w:rPr>
        <w:rFonts w:ascii="Times New Roman" w:hAnsi="Times New Roman" w:cs="Times New Roman"/>
        <w:sz w:val="16"/>
      </w:rPr>
    </w:sdtEndPr>
    <w:sdtContent>
      <w:p w:rsidR="00647B46" w:rsidRPr="00115BCD" w:rsidRDefault="00BF79BC">
        <w:pPr>
          <w:pStyle w:val="Piedepgina"/>
          <w:jc w:val="right"/>
          <w:rPr>
            <w:rFonts w:ascii="Times New Roman" w:hAnsi="Times New Roman" w:cs="Times New Roman"/>
            <w:sz w:val="16"/>
          </w:rPr>
        </w:pPr>
        <w:r w:rsidRPr="00115BCD">
          <w:rPr>
            <w:rFonts w:ascii="Times New Roman" w:hAnsi="Times New Roman" w:cs="Times New Roman"/>
            <w:sz w:val="16"/>
          </w:rPr>
          <w:fldChar w:fldCharType="begin"/>
        </w:r>
        <w:r w:rsidRPr="00115BCD">
          <w:rPr>
            <w:rFonts w:ascii="Times New Roman" w:hAnsi="Times New Roman" w:cs="Times New Roman"/>
            <w:sz w:val="16"/>
          </w:rPr>
          <w:instrText>PAGE   \* MERGEFORMAT</w:instrText>
        </w:r>
        <w:r w:rsidRPr="00115BCD">
          <w:rPr>
            <w:rFonts w:ascii="Times New Roman" w:hAnsi="Times New Roman" w:cs="Times New Roman"/>
            <w:sz w:val="16"/>
          </w:rPr>
          <w:fldChar w:fldCharType="separate"/>
        </w:r>
        <w:r w:rsidR="003B1E94" w:rsidRPr="003B1E94">
          <w:rPr>
            <w:rFonts w:ascii="Times New Roman" w:hAnsi="Times New Roman" w:cs="Times New Roman"/>
            <w:noProof/>
            <w:sz w:val="16"/>
            <w:lang w:val="es-ES"/>
          </w:rPr>
          <w:t>7</w:t>
        </w:r>
        <w:r w:rsidRPr="00115BCD">
          <w:rPr>
            <w:rFonts w:ascii="Times New Roman" w:hAnsi="Times New Roman" w:cs="Times New Roman"/>
            <w:sz w:val="16"/>
          </w:rPr>
          <w:fldChar w:fldCharType="end"/>
        </w:r>
      </w:p>
    </w:sdtContent>
  </w:sdt>
  <w:p w:rsidR="00647B46" w:rsidRDefault="003B1E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FE1" w:rsidRDefault="00412FE1">
      <w:r>
        <w:separator/>
      </w:r>
    </w:p>
  </w:footnote>
  <w:footnote w:type="continuationSeparator" w:id="0">
    <w:p w:rsidR="00412FE1" w:rsidRDefault="00412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46" w:rsidRPr="00EB40F3" w:rsidRDefault="00BF79BC" w:rsidP="00EB40F3">
    <w:pPr>
      <w:pStyle w:val="Encabezado"/>
      <w:jc w:val="right"/>
      <w:rPr>
        <w:rFonts w:ascii="Arial" w:hAnsi="Arial" w:cs="Arial"/>
        <w:sz w:val="16"/>
        <w:szCs w:val="16"/>
      </w:rPr>
    </w:pPr>
    <w:r w:rsidRPr="00EB40F3">
      <w:rPr>
        <w:rFonts w:ascii="Arial" w:hAnsi="Arial" w:cs="Arial"/>
        <w:sz w:val="16"/>
        <w:szCs w:val="16"/>
      </w:rPr>
      <w:t>Secretaría de Relaciones Exteriores</w:t>
    </w:r>
  </w:p>
  <w:p w:rsidR="00647B46" w:rsidRPr="00EB40F3" w:rsidRDefault="00BF79BC" w:rsidP="00EB40F3">
    <w:pPr>
      <w:pStyle w:val="Encabezado"/>
      <w:jc w:val="right"/>
      <w:rPr>
        <w:rFonts w:ascii="Arial" w:hAnsi="Arial" w:cs="Arial"/>
        <w:sz w:val="16"/>
        <w:szCs w:val="16"/>
      </w:rPr>
    </w:pPr>
    <w:r w:rsidRPr="00EB40F3">
      <w:rPr>
        <w:rFonts w:ascii="Arial" w:hAnsi="Arial" w:cs="Arial"/>
        <w:sz w:val="16"/>
        <w:szCs w:val="16"/>
      </w:rPr>
      <w:t>Dirección General de Derechos Humanos</w:t>
    </w:r>
  </w:p>
  <w:p w:rsidR="00647B46" w:rsidRPr="00EB40F3" w:rsidRDefault="00BF79BC" w:rsidP="00EB40F3">
    <w:pPr>
      <w:pStyle w:val="Encabezado"/>
      <w:jc w:val="right"/>
      <w:rPr>
        <w:rFonts w:ascii="Arial" w:hAnsi="Arial" w:cs="Arial"/>
        <w:sz w:val="16"/>
        <w:szCs w:val="16"/>
      </w:rPr>
    </w:pPr>
    <w:r w:rsidRPr="00EB40F3">
      <w:rPr>
        <w:rFonts w:ascii="Arial" w:hAnsi="Arial" w:cs="Arial"/>
        <w:sz w:val="16"/>
        <w:szCs w:val="16"/>
      </w:rPr>
      <w:t>Proyecto 1</w:t>
    </w:r>
  </w:p>
  <w:p w:rsidR="00647B46" w:rsidRPr="00EB40F3" w:rsidRDefault="00BF79BC" w:rsidP="00EB40F3">
    <w:pPr>
      <w:pStyle w:val="Encabezado"/>
      <w:jc w:val="right"/>
      <w:rPr>
        <w:rFonts w:ascii="Arial" w:hAnsi="Arial" w:cs="Arial"/>
        <w:sz w:val="16"/>
        <w:szCs w:val="16"/>
      </w:rPr>
    </w:pPr>
    <w:r>
      <w:rPr>
        <w:rFonts w:ascii="Arial" w:hAnsi="Arial" w:cs="Arial"/>
        <w:sz w:val="16"/>
        <w:szCs w:val="16"/>
      </w:rPr>
      <w:t>13 de agosto 2015</w:t>
    </w:r>
  </w:p>
  <w:p w:rsidR="00647B46" w:rsidRPr="00EB40F3" w:rsidRDefault="003B1E94" w:rsidP="00EB40F3">
    <w:pPr>
      <w:pStyle w:val="Encabezado"/>
      <w:jc w:val="right"/>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D281B"/>
    <w:multiLevelType w:val="hybridMultilevel"/>
    <w:tmpl w:val="77E4D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E67A0B"/>
    <w:multiLevelType w:val="hybridMultilevel"/>
    <w:tmpl w:val="A838D7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6740937"/>
    <w:multiLevelType w:val="hybridMultilevel"/>
    <w:tmpl w:val="6AD26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9BC"/>
    <w:rsid w:val="00141B16"/>
    <w:rsid w:val="002848F3"/>
    <w:rsid w:val="003B1E94"/>
    <w:rsid w:val="00412FE1"/>
    <w:rsid w:val="0060010D"/>
    <w:rsid w:val="007819B0"/>
    <w:rsid w:val="00BF79BC"/>
    <w:rsid w:val="00CB6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22533A-C0E8-442A-B961-1CA86C431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9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79BC"/>
    <w:pPr>
      <w:tabs>
        <w:tab w:val="center" w:pos="4419"/>
        <w:tab w:val="right" w:pos="8838"/>
      </w:tabs>
    </w:pPr>
  </w:style>
  <w:style w:type="character" w:customStyle="1" w:styleId="EncabezadoCar">
    <w:name w:val="Encabezado Car"/>
    <w:basedOn w:val="Fuentedeprrafopredeter"/>
    <w:link w:val="Encabezado"/>
    <w:uiPriority w:val="99"/>
    <w:rsid w:val="00BF79BC"/>
  </w:style>
  <w:style w:type="paragraph" w:styleId="Piedepgina">
    <w:name w:val="footer"/>
    <w:basedOn w:val="Normal"/>
    <w:link w:val="PiedepginaCar"/>
    <w:uiPriority w:val="99"/>
    <w:unhideWhenUsed/>
    <w:rsid w:val="00BF79BC"/>
    <w:pPr>
      <w:tabs>
        <w:tab w:val="center" w:pos="4419"/>
        <w:tab w:val="right" w:pos="8838"/>
      </w:tabs>
    </w:pPr>
  </w:style>
  <w:style w:type="character" w:customStyle="1" w:styleId="PiedepginaCar">
    <w:name w:val="Pie de página Car"/>
    <w:basedOn w:val="Fuentedeprrafopredeter"/>
    <w:link w:val="Piedepgina"/>
    <w:uiPriority w:val="99"/>
    <w:rsid w:val="00BF79BC"/>
  </w:style>
  <w:style w:type="paragraph" w:styleId="Prrafodelista">
    <w:name w:val="List Paragraph"/>
    <w:aliases w:val="viñetas,Dot pt,No Spacing1,List Paragraph Char Char Char,Indicator Text,List Paragraph1,Numbered Para 1,Colorful List - Accent 11,Bullet 1,F5 List Paragraph,Bullet Points,4 Párrafo de lista,Figuras,DH1,Párrafo Título 3,List Paragraph"/>
    <w:basedOn w:val="Normal"/>
    <w:link w:val="PrrafodelistaCar"/>
    <w:uiPriority w:val="34"/>
    <w:qFormat/>
    <w:rsid w:val="00BF79BC"/>
    <w:pPr>
      <w:ind w:left="720"/>
      <w:contextualSpacing/>
    </w:pPr>
  </w:style>
  <w:style w:type="character" w:styleId="Hipervnculo">
    <w:name w:val="Hyperlink"/>
    <w:basedOn w:val="Fuentedeprrafopredeter"/>
    <w:uiPriority w:val="99"/>
    <w:unhideWhenUsed/>
    <w:rsid w:val="00BF79BC"/>
    <w:rPr>
      <w:color w:val="0000FF"/>
      <w:u w:val="single"/>
    </w:rPr>
  </w:style>
  <w:style w:type="character" w:customStyle="1" w:styleId="PrrafodelistaCar">
    <w:name w:val="Párrafo de lista Car"/>
    <w:aliases w:val="viñetas Car,Dot pt Car,No Spacing1 Car,List Paragraph Char Char Char Car,Indicator Text Car,List Paragraph1 Car,Numbered Para 1 Car,Colorful List - Accent 11 Car,Bullet 1 Car,F5 List Paragraph Car,Bullet Points Car,Figuras Car"/>
    <w:basedOn w:val="Fuentedeprrafopredeter"/>
    <w:link w:val="Prrafodelista"/>
    <w:uiPriority w:val="34"/>
    <w:qFormat/>
    <w:locked/>
    <w:rsid w:val="00BF79BC"/>
  </w:style>
  <w:style w:type="table" w:styleId="Cuadrculamedia1-nfasis3">
    <w:name w:val="Medium Grid 1 Accent 3"/>
    <w:basedOn w:val="Tablanormal"/>
    <w:uiPriority w:val="67"/>
    <w:rsid w:val="00BF79BC"/>
    <w:rPr>
      <w:rFonts w:eastAsiaTheme="minorEastAsia"/>
      <w:sz w:val="24"/>
      <w:szCs w:val="24"/>
      <w:lang w:val="es-ES_tradnl" w:eastAsia="es-E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medio1-nfasis3">
    <w:name w:val="Medium Shading 1 Accent 3"/>
    <w:basedOn w:val="Tablanormal"/>
    <w:uiPriority w:val="63"/>
    <w:rsid w:val="00BF79BC"/>
    <w:rPr>
      <w:rFonts w:eastAsiaTheme="minorEastAsia"/>
      <w:sz w:val="24"/>
      <w:szCs w:val="24"/>
      <w:lang w:val="es-ES_tradnl" w:eastAsia="es-E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sener.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84172-6993-43C5-B1CC-2BF92E78E51B}"/>
</file>

<file path=customXml/itemProps2.xml><?xml version="1.0" encoding="utf-8"?>
<ds:datastoreItem xmlns:ds="http://schemas.openxmlformats.org/officeDocument/2006/customXml" ds:itemID="{C6BC0F48-978C-4580-80B5-41EA91E458BB}"/>
</file>

<file path=customXml/itemProps3.xml><?xml version="1.0" encoding="utf-8"?>
<ds:datastoreItem xmlns:ds="http://schemas.openxmlformats.org/officeDocument/2006/customXml" ds:itemID="{541CFE7B-40D2-401F-8D4C-024635EB38D1}"/>
</file>

<file path=docProps/app.xml><?xml version="1.0" encoding="utf-8"?>
<Properties xmlns="http://schemas.openxmlformats.org/officeDocument/2006/extended-properties" xmlns:vt="http://schemas.openxmlformats.org/officeDocument/2006/docPropsVTypes">
  <Template>Normal</Template>
  <TotalTime>1</TotalTime>
  <Pages>7</Pages>
  <Words>2580</Words>
  <Characters>14193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Cardona Huerta, Sofía (Honorarios)</dc:creator>
  <cp:keywords/>
  <dc:description/>
  <cp:lastModifiedBy>Arias Guerrero, Alejandra</cp:lastModifiedBy>
  <cp:revision>5</cp:revision>
  <dcterms:created xsi:type="dcterms:W3CDTF">2016-04-13T15:34:00Z</dcterms:created>
  <dcterms:modified xsi:type="dcterms:W3CDTF">2018-01-08T18:39:00Z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