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3.xml" ContentType="application/vnd.ms-office.chartstyle+xml"/>
  <Override PartName="/word/theme/theme1.xml" ContentType="application/vnd.openxmlformats-officedocument.theme+xml"/>
  <Override PartName="/word/charts/chart5.xml" ContentType="application/vnd.openxmlformats-officedocument.drawingml.chart+xml"/>
  <Override PartName="/word/charts/colors3.xml" ContentType="application/vnd.ms-office.chartcolorstyle+xml"/>
  <Override PartName="/word/charts/style2.xml" ContentType="application/vnd.ms-office.chartstyle+xml"/>
  <Override PartName="/word/charts/style1.xml" ContentType="application/vnd.ms-office.chartstyle+xml"/>
  <Override PartName="/word/charts/chart2.xml" ContentType="application/vnd.openxmlformats-officedocument.drawingml.chart+xml"/>
  <Override PartName="/word/theme/themeOverride1.xml" ContentType="application/vnd.openxmlformats-officedocument.themeOverride+xml"/>
  <Override PartName="/word/charts/colors1.xml" ContentType="application/vnd.ms-office.chartcolorstyle+xml"/>
  <Override PartName="/word/charts/colors2.xml" ContentType="application/vnd.ms-office.chartcolorstyle+xml"/>
  <Override PartName="/word/charts/chart4.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CA" w:rsidRPr="000714C6" w:rsidRDefault="006F31B0" w:rsidP="00161A45">
      <w:pPr>
        <w:jc w:val="center"/>
        <w:rPr>
          <w:rFonts w:ascii="Times New Roman" w:hAnsi="Times New Roman" w:cs="Times New Roman"/>
          <w:b/>
          <w:sz w:val="20"/>
          <w:szCs w:val="20"/>
          <w:lang w:val="es-ES"/>
        </w:rPr>
      </w:pPr>
      <w:r>
        <w:rPr>
          <w:rFonts w:ascii="Times New Roman" w:hAnsi="Times New Roman" w:cs="Times New Roman"/>
          <w:b/>
          <w:sz w:val="24"/>
          <w:szCs w:val="20"/>
          <w:lang w:val="es-ES"/>
        </w:rPr>
        <w:t xml:space="preserve">ANEXO </w:t>
      </w:r>
      <w:r w:rsidR="00C22308">
        <w:rPr>
          <w:rFonts w:ascii="Times New Roman" w:hAnsi="Times New Roman" w:cs="Times New Roman"/>
          <w:b/>
          <w:sz w:val="24"/>
          <w:szCs w:val="20"/>
          <w:lang w:val="es-ES"/>
        </w:rPr>
        <w:t>2</w:t>
      </w:r>
      <w:r w:rsidR="00051B7B">
        <w:rPr>
          <w:rFonts w:ascii="Times New Roman" w:hAnsi="Times New Roman" w:cs="Times New Roman"/>
          <w:b/>
          <w:sz w:val="24"/>
          <w:szCs w:val="20"/>
          <w:lang w:val="es-ES"/>
        </w:rPr>
        <w:t>9</w:t>
      </w:r>
      <w:r w:rsidR="002C4EE7">
        <w:rPr>
          <w:rFonts w:ascii="Times New Roman" w:hAnsi="Times New Roman" w:cs="Times New Roman"/>
          <w:b/>
          <w:sz w:val="24"/>
          <w:szCs w:val="20"/>
          <w:lang w:val="es-ES"/>
        </w:rPr>
        <w:t xml:space="preserve"> -</w:t>
      </w:r>
      <w:r w:rsidR="000714C6">
        <w:rPr>
          <w:rFonts w:ascii="Times New Roman" w:hAnsi="Times New Roman" w:cs="Times New Roman"/>
          <w:b/>
          <w:sz w:val="24"/>
          <w:szCs w:val="20"/>
          <w:lang w:val="es-ES"/>
        </w:rPr>
        <w:t xml:space="preserve"> </w:t>
      </w:r>
      <w:r w:rsidR="00076ACA" w:rsidRPr="000714C6">
        <w:rPr>
          <w:rFonts w:ascii="Times New Roman" w:hAnsi="Times New Roman" w:cs="Times New Roman"/>
          <w:b/>
          <w:sz w:val="24"/>
          <w:szCs w:val="20"/>
          <w:lang w:val="es-ES"/>
        </w:rPr>
        <w:t>Tabla</w:t>
      </w:r>
      <w:bookmarkStart w:id="0" w:name="_GoBack"/>
      <w:bookmarkEnd w:id="0"/>
      <w:r w:rsidR="00076ACA" w:rsidRPr="000714C6">
        <w:rPr>
          <w:rFonts w:ascii="Times New Roman" w:hAnsi="Times New Roman" w:cs="Times New Roman"/>
          <w:b/>
          <w:sz w:val="24"/>
          <w:szCs w:val="20"/>
          <w:lang w:val="es-ES"/>
        </w:rPr>
        <w:t xml:space="preserve">s sobre denuncias recibidas y </w:t>
      </w:r>
      <w:r w:rsidR="00161A45">
        <w:rPr>
          <w:rFonts w:ascii="Times New Roman" w:hAnsi="Times New Roman" w:cs="Times New Roman"/>
          <w:b/>
          <w:sz w:val="24"/>
          <w:szCs w:val="20"/>
          <w:lang w:val="es-ES"/>
        </w:rPr>
        <w:t>averiguaciones previas iniciadas</w:t>
      </w:r>
      <w:r w:rsidR="00076ACA" w:rsidRPr="000714C6">
        <w:rPr>
          <w:rFonts w:ascii="Times New Roman" w:hAnsi="Times New Roman" w:cs="Times New Roman"/>
          <w:b/>
          <w:sz w:val="24"/>
          <w:szCs w:val="20"/>
          <w:lang w:val="es-ES"/>
        </w:rPr>
        <w:t xml:space="preserve"> por </w:t>
      </w:r>
      <w:r w:rsidR="00161A45">
        <w:rPr>
          <w:rFonts w:ascii="Times New Roman" w:hAnsi="Times New Roman" w:cs="Times New Roman"/>
          <w:b/>
          <w:sz w:val="24"/>
          <w:szCs w:val="20"/>
          <w:lang w:val="es-ES"/>
        </w:rPr>
        <w:t>delitos</w:t>
      </w:r>
      <w:r w:rsidR="00076ACA" w:rsidRPr="000714C6">
        <w:rPr>
          <w:rFonts w:ascii="Times New Roman" w:hAnsi="Times New Roman" w:cs="Times New Roman"/>
          <w:b/>
          <w:sz w:val="24"/>
          <w:szCs w:val="20"/>
          <w:lang w:val="es-ES"/>
        </w:rPr>
        <w:t xml:space="preserve"> contra periodistas </w:t>
      </w:r>
      <w:r w:rsidR="00161A45" w:rsidRPr="00161A45">
        <w:rPr>
          <w:rFonts w:ascii="Times New Roman" w:hAnsi="Times New Roman" w:cs="Times New Roman"/>
          <w:b/>
          <w:sz w:val="24"/>
          <w:szCs w:val="20"/>
          <w:lang w:val="es-ES"/>
        </w:rPr>
        <w:t xml:space="preserve">a partir del 5 de julio de 2010 al </w:t>
      </w:r>
      <w:r w:rsidR="00161A45">
        <w:rPr>
          <w:rFonts w:ascii="Times New Roman" w:hAnsi="Times New Roman" w:cs="Times New Roman"/>
          <w:b/>
          <w:sz w:val="24"/>
          <w:szCs w:val="20"/>
          <w:lang w:val="es-ES"/>
        </w:rPr>
        <w:t>28 de febrero de 2016</w:t>
      </w:r>
    </w:p>
    <w:tbl>
      <w:tblPr>
        <w:tblW w:w="8138" w:type="dxa"/>
        <w:jc w:val="center"/>
        <w:tblCellMar>
          <w:left w:w="70" w:type="dxa"/>
          <w:right w:w="70" w:type="dxa"/>
        </w:tblCellMar>
        <w:tblLook w:val="04A0" w:firstRow="1" w:lastRow="0" w:firstColumn="1" w:lastColumn="0" w:noHBand="0" w:noVBand="1"/>
      </w:tblPr>
      <w:tblGrid>
        <w:gridCol w:w="3850"/>
        <w:gridCol w:w="595"/>
        <w:gridCol w:w="650"/>
        <w:gridCol w:w="556"/>
        <w:gridCol w:w="556"/>
        <w:gridCol w:w="674"/>
        <w:gridCol w:w="556"/>
        <w:gridCol w:w="701"/>
      </w:tblGrid>
      <w:tr w:rsidR="00161A45" w:rsidRPr="00161A45" w:rsidTr="00814643">
        <w:trPr>
          <w:trHeight w:hRule="exact" w:val="227"/>
          <w:jc w:val="center"/>
        </w:trPr>
        <w:tc>
          <w:tcPr>
            <w:tcW w:w="3850"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Delito</w:t>
            </w:r>
          </w:p>
        </w:tc>
        <w:tc>
          <w:tcPr>
            <w:tcW w:w="595" w:type="dxa"/>
            <w:tcBorders>
              <w:top w:val="single" w:sz="8" w:space="0" w:color="auto"/>
              <w:left w:val="nil"/>
              <w:bottom w:val="single" w:sz="8" w:space="0" w:color="auto"/>
              <w:right w:val="single" w:sz="8"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2010</w:t>
            </w:r>
          </w:p>
        </w:tc>
        <w:tc>
          <w:tcPr>
            <w:tcW w:w="650" w:type="dxa"/>
            <w:tcBorders>
              <w:top w:val="single" w:sz="8" w:space="0" w:color="auto"/>
              <w:left w:val="nil"/>
              <w:bottom w:val="single" w:sz="8" w:space="0" w:color="auto"/>
              <w:right w:val="single" w:sz="8"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2011</w:t>
            </w:r>
          </w:p>
        </w:tc>
        <w:tc>
          <w:tcPr>
            <w:tcW w:w="556" w:type="dxa"/>
            <w:tcBorders>
              <w:top w:val="single" w:sz="8" w:space="0" w:color="auto"/>
              <w:left w:val="nil"/>
              <w:bottom w:val="single" w:sz="8" w:space="0" w:color="auto"/>
              <w:right w:val="single" w:sz="8"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2012</w:t>
            </w:r>
          </w:p>
        </w:tc>
        <w:tc>
          <w:tcPr>
            <w:tcW w:w="556" w:type="dxa"/>
            <w:tcBorders>
              <w:top w:val="single" w:sz="8" w:space="0" w:color="auto"/>
              <w:left w:val="nil"/>
              <w:bottom w:val="single" w:sz="8" w:space="0" w:color="auto"/>
              <w:right w:val="single" w:sz="8"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2013</w:t>
            </w:r>
          </w:p>
        </w:tc>
        <w:tc>
          <w:tcPr>
            <w:tcW w:w="674" w:type="dxa"/>
            <w:tcBorders>
              <w:top w:val="single" w:sz="8" w:space="0" w:color="auto"/>
              <w:left w:val="nil"/>
              <w:bottom w:val="single" w:sz="8" w:space="0" w:color="auto"/>
              <w:right w:val="single" w:sz="4"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2014</w:t>
            </w:r>
          </w:p>
        </w:tc>
        <w:tc>
          <w:tcPr>
            <w:tcW w:w="556"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bottom"/>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2015</w:t>
            </w:r>
          </w:p>
        </w:tc>
        <w:tc>
          <w:tcPr>
            <w:tcW w:w="701" w:type="dxa"/>
            <w:tcBorders>
              <w:top w:val="single" w:sz="4" w:space="0" w:color="auto"/>
              <w:left w:val="single" w:sz="4" w:space="0" w:color="auto"/>
              <w:bottom w:val="single" w:sz="8" w:space="0" w:color="auto"/>
              <w:right w:val="single" w:sz="4" w:space="0" w:color="auto"/>
            </w:tcBorders>
            <w:shd w:val="clear" w:color="auto" w:fill="A6A6A6" w:themeFill="background1" w:themeFillShade="A6"/>
            <w:vAlign w:val="center"/>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2016</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Abuso de Autoridad</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31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18</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26</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32</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18</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Acceso Ilícito a Sistemas y Equipos de Informática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3</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Allanamiento de Morada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3</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Amenazas</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45</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45</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66</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67</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64</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12</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Ataque a las Vías Generales de Comunicación</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xml:space="preserve">Contra el Honor </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Contra la Administración de Justicia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Daño en Propiedad Ajena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5</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5</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16</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5</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Delincuencia Organizada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Denuncia de hechos posiblemente constitutivos de delito</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Ejercicio Indebido del Servicio Público</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xml:space="preserve">Enriquecimiento Ilícito </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Extorsión</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xml:space="preserve">Falsedad en Declaraciones </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Falsificación de Documentos</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Homicidio</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4</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13</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12</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15</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8</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Intervención de Comunicación Privada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Intimidación</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Lesiones</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12</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9</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11</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r>
              <w:rPr>
                <w:rFonts w:ascii="Calibri" w:eastAsia="Times New Roman" w:hAnsi="Calibri" w:cs="Times New Roman"/>
                <w:color w:val="000000"/>
                <w:sz w:val="18"/>
                <w:szCs w:val="18"/>
                <w:lang w:eastAsia="es-MX"/>
              </w:rPr>
              <w:t>6</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9</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Ley General de Bienes Nacionales</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10</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xml:space="preserve">Privación Ilegal de la Libertad </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9</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14</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17</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3</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7</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Robo</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4</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5</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18</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10</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Secuestro</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4</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Tentativa de Daño en Propiedad Ajena</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Tentativa de Extorsión</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xml:space="preserve">Tentativa de Homicidio </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4</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2</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Tentativa de Privación Ilegal de la Libertad</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Tentativa de Robo</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674" w:type="dxa"/>
            <w:tcBorders>
              <w:top w:val="nil"/>
              <w:left w:val="nil"/>
              <w:bottom w:val="single" w:sz="8" w:space="0" w:color="auto"/>
              <w:right w:val="single" w:sz="4"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Tentativa de Secuestro</w:t>
            </w:r>
          </w:p>
        </w:tc>
        <w:tc>
          <w:tcPr>
            <w:tcW w:w="595" w:type="dxa"/>
            <w:tcBorders>
              <w:top w:val="nil"/>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650" w:type="dxa"/>
            <w:tcBorders>
              <w:top w:val="nil"/>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nil"/>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nil"/>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Violación a la Ley Federal de Armas de Fuego y Explosivos</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6</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Violación a la Ley Federal de Derechos de Autor</w:t>
            </w:r>
          </w:p>
        </w:tc>
        <w:tc>
          <w:tcPr>
            <w:tcW w:w="595"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50"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 </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nil"/>
              <w:left w:val="nil"/>
              <w:bottom w:val="single" w:sz="8" w:space="0" w:color="auto"/>
              <w:right w:val="single" w:sz="8" w:space="0" w:color="auto"/>
            </w:tcBorders>
            <w:shd w:val="clear" w:color="auto" w:fill="auto"/>
            <w:vAlign w:val="center"/>
            <w:hideMark/>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674" w:type="dxa"/>
            <w:tcBorders>
              <w:top w:val="nil"/>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sidRPr="00C11CE3">
              <w:rPr>
                <w:rFonts w:ascii="Calibri" w:eastAsia="Times New Roman" w:hAnsi="Calibri" w:cs="Times New Roman"/>
                <w:color w:val="000000"/>
                <w:sz w:val="18"/>
                <w:szCs w:val="18"/>
                <w:lang w:eastAsia="es-MX"/>
              </w:rPr>
              <w:t>1</w:t>
            </w: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r>
      <w:tr w:rsidR="00161A45" w:rsidRPr="00C11CE3" w:rsidTr="00161A45">
        <w:trPr>
          <w:trHeight w:hRule="exact" w:val="227"/>
          <w:jc w:val="center"/>
        </w:trPr>
        <w:tc>
          <w:tcPr>
            <w:tcW w:w="3850" w:type="dxa"/>
            <w:tcBorders>
              <w:top w:val="single" w:sz="8" w:space="0" w:color="auto"/>
              <w:left w:val="single" w:sz="8" w:space="0" w:color="auto"/>
              <w:bottom w:val="single" w:sz="8" w:space="0" w:color="auto"/>
              <w:right w:val="single" w:sz="8" w:space="0" w:color="auto"/>
            </w:tcBorders>
            <w:shd w:val="clear" w:color="auto" w:fill="auto"/>
            <w:vAlign w:val="center"/>
          </w:tcPr>
          <w:p w:rsidR="00161A45" w:rsidRPr="00C11CE3" w:rsidRDefault="00161A45" w:rsidP="00DE6F21">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Tortura</w:t>
            </w:r>
          </w:p>
        </w:tc>
        <w:tc>
          <w:tcPr>
            <w:tcW w:w="595" w:type="dxa"/>
            <w:tcBorders>
              <w:top w:val="single" w:sz="8" w:space="0" w:color="auto"/>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650" w:type="dxa"/>
            <w:tcBorders>
              <w:top w:val="single" w:sz="8" w:space="0" w:color="auto"/>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nil"/>
              <w:bottom w:val="single" w:sz="8" w:space="0" w:color="auto"/>
              <w:right w:val="single" w:sz="8"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674" w:type="dxa"/>
            <w:tcBorders>
              <w:top w:val="single" w:sz="8" w:space="0" w:color="auto"/>
              <w:left w:val="nil"/>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556"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p>
        </w:tc>
        <w:tc>
          <w:tcPr>
            <w:tcW w:w="701" w:type="dxa"/>
            <w:tcBorders>
              <w:top w:val="single" w:sz="8" w:space="0" w:color="auto"/>
              <w:left w:val="single" w:sz="4" w:space="0" w:color="auto"/>
              <w:bottom w:val="single" w:sz="8" w:space="0" w:color="auto"/>
              <w:right w:val="single" w:sz="4" w:space="0" w:color="auto"/>
            </w:tcBorders>
            <w:shd w:val="clear" w:color="auto" w:fill="auto"/>
            <w:vAlign w:val="center"/>
          </w:tcPr>
          <w:p w:rsidR="00161A45" w:rsidRPr="00C11CE3" w:rsidRDefault="00161A45" w:rsidP="00DE6F2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r>
      <w:tr w:rsidR="00161A45" w:rsidRPr="00161A45" w:rsidTr="00814643">
        <w:trPr>
          <w:trHeight w:hRule="exact" w:val="227"/>
          <w:jc w:val="center"/>
        </w:trPr>
        <w:tc>
          <w:tcPr>
            <w:tcW w:w="3850" w:type="dxa"/>
            <w:tcBorders>
              <w:top w:val="nil"/>
              <w:left w:val="single" w:sz="8" w:space="0" w:color="auto"/>
              <w:bottom w:val="single" w:sz="8" w:space="0" w:color="auto"/>
              <w:right w:val="single" w:sz="8" w:space="0" w:color="auto"/>
            </w:tcBorders>
            <w:shd w:val="clear" w:color="auto" w:fill="A6A6A6" w:themeFill="background1" w:themeFillShade="A6"/>
            <w:vAlign w:val="bottom"/>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Total</w:t>
            </w:r>
          </w:p>
        </w:tc>
        <w:tc>
          <w:tcPr>
            <w:tcW w:w="595" w:type="dxa"/>
            <w:tcBorders>
              <w:top w:val="nil"/>
              <w:left w:val="nil"/>
              <w:bottom w:val="single" w:sz="8" w:space="0" w:color="auto"/>
              <w:right w:val="single" w:sz="8" w:space="0" w:color="auto"/>
            </w:tcBorders>
            <w:shd w:val="clear" w:color="auto" w:fill="A6A6A6" w:themeFill="background1" w:themeFillShade="A6"/>
            <w:vAlign w:val="center"/>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41</w:t>
            </w:r>
          </w:p>
        </w:tc>
        <w:tc>
          <w:tcPr>
            <w:tcW w:w="650" w:type="dxa"/>
            <w:tcBorders>
              <w:top w:val="nil"/>
              <w:left w:val="nil"/>
              <w:bottom w:val="single" w:sz="8" w:space="0" w:color="auto"/>
              <w:right w:val="single" w:sz="8" w:space="0" w:color="auto"/>
            </w:tcBorders>
            <w:shd w:val="clear" w:color="auto" w:fill="A6A6A6" w:themeFill="background1" w:themeFillShade="A6"/>
            <w:vAlign w:val="center"/>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132</w:t>
            </w:r>
          </w:p>
        </w:tc>
        <w:tc>
          <w:tcPr>
            <w:tcW w:w="556" w:type="dxa"/>
            <w:tcBorders>
              <w:top w:val="nil"/>
              <w:left w:val="nil"/>
              <w:bottom w:val="single" w:sz="8" w:space="0" w:color="auto"/>
              <w:right w:val="single" w:sz="8" w:space="0" w:color="auto"/>
            </w:tcBorders>
            <w:shd w:val="clear" w:color="auto" w:fill="A6A6A6" w:themeFill="background1" w:themeFillShade="A6"/>
            <w:vAlign w:val="center"/>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124</w:t>
            </w:r>
          </w:p>
        </w:tc>
        <w:tc>
          <w:tcPr>
            <w:tcW w:w="556" w:type="dxa"/>
            <w:tcBorders>
              <w:top w:val="nil"/>
              <w:left w:val="nil"/>
              <w:bottom w:val="single" w:sz="8" w:space="0" w:color="auto"/>
              <w:right w:val="single" w:sz="8" w:space="0" w:color="auto"/>
            </w:tcBorders>
            <w:shd w:val="clear" w:color="auto" w:fill="A6A6A6" w:themeFill="background1" w:themeFillShade="A6"/>
            <w:vAlign w:val="center"/>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180</w:t>
            </w:r>
          </w:p>
        </w:tc>
        <w:tc>
          <w:tcPr>
            <w:tcW w:w="674" w:type="dxa"/>
            <w:tcBorders>
              <w:top w:val="nil"/>
              <w:left w:val="nil"/>
              <w:bottom w:val="single" w:sz="8" w:space="0" w:color="auto"/>
              <w:right w:val="single" w:sz="4" w:space="0" w:color="auto"/>
            </w:tcBorders>
            <w:shd w:val="clear" w:color="auto" w:fill="A6A6A6" w:themeFill="background1" w:themeFillShade="A6"/>
            <w:vAlign w:val="center"/>
            <w:hideMark/>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169</w:t>
            </w:r>
          </w:p>
        </w:tc>
        <w:tc>
          <w:tcPr>
            <w:tcW w:w="556"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132</w:t>
            </w:r>
          </w:p>
        </w:tc>
        <w:tc>
          <w:tcPr>
            <w:tcW w:w="701" w:type="dxa"/>
            <w:tcBorders>
              <w:top w:val="single" w:sz="8" w:space="0" w:color="auto"/>
              <w:left w:val="single" w:sz="4" w:space="0" w:color="auto"/>
              <w:bottom w:val="single" w:sz="4" w:space="0" w:color="auto"/>
              <w:right w:val="single" w:sz="4" w:space="0" w:color="auto"/>
            </w:tcBorders>
            <w:shd w:val="clear" w:color="auto" w:fill="A6A6A6" w:themeFill="background1" w:themeFillShade="A6"/>
            <w:vAlign w:val="center"/>
          </w:tcPr>
          <w:p w:rsidR="00161A45" w:rsidRPr="00161A45" w:rsidRDefault="00161A45" w:rsidP="00DE6F21">
            <w:pPr>
              <w:spacing w:after="0" w:line="240" w:lineRule="auto"/>
              <w:jc w:val="center"/>
              <w:rPr>
                <w:rFonts w:ascii="Calibri" w:eastAsia="Times New Roman" w:hAnsi="Calibri" w:cs="Times New Roman"/>
                <w:b/>
                <w:bCs/>
                <w:sz w:val="18"/>
                <w:szCs w:val="18"/>
                <w:lang w:eastAsia="es-MX"/>
              </w:rPr>
            </w:pPr>
            <w:r w:rsidRPr="00161A45">
              <w:rPr>
                <w:rFonts w:ascii="Calibri" w:eastAsia="Times New Roman" w:hAnsi="Calibri" w:cs="Times New Roman"/>
                <w:b/>
                <w:bCs/>
                <w:sz w:val="18"/>
                <w:szCs w:val="18"/>
                <w:lang w:eastAsia="es-MX"/>
              </w:rPr>
              <w:t>21</w:t>
            </w:r>
          </w:p>
        </w:tc>
      </w:tr>
    </w:tbl>
    <w:p w:rsidR="00076ACA" w:rsidRPr="000714C6" w:rsidRDefault="00076ACA" w:rsidP="00076ACA">
      <w:pPr>
        <w:jc w:val="center"/>
        <w:rPr>
          <w:rFonts w:ascii="Times New Roman" w:hAnsi="Times New Roman" w:cs="Times New Roman"/>
          <w:b/>
          <w:sz w:val="20"/>
          <w:szCs w:val="20"/>
        </w:rPr>
      </w:pPr>
    </w:p>
    <w:p w:rsidR="00076ACA" w:rsidRPr="000714C6" w:rsidRDefault="00161A45" w:rsidP="00076ACA">
      <w:pPr>
        <w:jc w:val="both"/>
        <w:rPr>
          <w:rFonts w:ascii="Times New Roman" w:hAnsi="Times New Roman" w:cs="Times New Roman"/>
          <w:sz w:val="20"/>
          <w:szCs w:val="20"/>
          <w:lang w:val="es-ES"/>
        </w:rPr>
      </w:pPr>
      <w:r>
        <w:rPr>
          <w:noProof/>
          <w:lang w:eastAsia="es-MX"/>
        </w:rPr>
        <w:drawing>
          <wp:anchor distT="0" distB="0" distL="114300" distR="114300" simplePos="0" relativeHeight="251659264" behindDoc="0" locked="0" layoutInCell="1" allowOverlap="1" wp14:anchorId="2B05FD5A" wp14:editId="1FD53ABE">
            <wp:simplePos x="0" y="0"/>
            <wp:positionH relativeFrom="margin">
              <wp:posOffset>-146685</wp:posOffset>
            </wp:positionH>
            <wp:positionV relativeFrom="paragraph">
              <wp:posOffset>305435</wp:posOffset>
            </wp:positionV>
            <wp:extent cx="5953125" cy="1905000"/>
            <wp:effectExtent l="0" t="0" r="9525" b="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00076ACA" w:rsidRPr="000714C6">
        <w:rPr>
          <w:rFonts w:ascii="Times New Roman" w:hAnsi="Times New Roman" w:cs="Times New Roman"/>
          <w:sz w:val="20"/>
          <w:szCs w:val="20"/>
          <w:lang w:val="es-ES"/>
        </w:rPr>
        <w:t>Las conductas que se detallan, fueron cometidas en las siguientes entidades federativas:</w:t>
      </w:r>
    </w:p>
    <w:p w:rsidR="00076ACA" w:rsidRPr="00180163" w:rsidRDefault="00180163" w:rsidP="00076ACA">
      <w:pPr>
        <w:jc w:val="center"/>
        <w:rPr>
          <w:rFonts w:ascii="Times New Roman" w:hAnsi="Times New Roman" w:cs="Times New Roman"/>
          <w:b/>
          <w:sz w:val="20"/>
          <w:szCs w:val="20"/>
          <w:lang w:val="es-ES"/>
        </w:rPr>
      </w:pPr>
      <w:r>
        <w:rPr>
          <w:noProof/>
          <w:lang w:eastAsia="es-MX"/>
        </w:rPr>
        <w:lastRenderedPageBreak/>
        <w:drawing>
          <wp:inline distT="0" distB="0" distL="0" distR="0" wp14:anchorId="7D2BB51B" wp14:editId="1DD81EFF">
            <wp:extent cx="5612130" cy="5248910"/>
            <wp:effectExtent l="0" t="0" r="7620" b="88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6ACA" w:rsidRPr="000714C6" w:rsidRDefault="00076ACA" w:rsidP="00076ACA">
      <w:pPr>
        <w:jc w:val="center"/>
        <w:rPr>
          <w:rFonts w:ascii="Times New Roman" w:hAnsi="Times New Roman" w:cs="Times New Roman"/>
          <w:b/>
          <w:sz w:val="20"/>
          <w:szCs w:val="20"/>
        </w:rPr>
      </w:pPr>
    </w:p>
    <w:p w:rsidR="00076ACA" w:rsidRPr="000714C6" w:rsidRDefault="00EA5239" w:rsidP="00076ACA">
      <w:pPr>
        <w:jc w:val="both"/>
        <w:rPr>
          <w:rFonts w:ascii="Times New Roman" w:hAnsi="Times New Roman" w:cs="Times New Roman"/>
          <w:sz w:val="20"/>
          <w:szCs w:val="20"/>
          <w:lang w:val="es-ES"/>
        </w:rPr>
      </w:pPr>
      <w:r>
        <w:rPr>
          <w:noProof/>
          <w:lang w:eastAsia="es-MX"/>
        </w:rPr>
        <w:drawing>
          <wp:anchor distT="0" distB="0" distL="114300" distR="114300" simplePos="0" relativeHeight="251661312" behindDoc="0" locked="0" layoutInCell="1" allowOverlap="1" wp14:anchorId="1A258098" wp14:editId="2BC2F7B3">
            <wp:simplePos x="0" y="0"/>
            <wp:positionH relativeFrom="margin">
              <wp:posOffset>-203835</wp:posOffset>
            </wp:positionH>
            <wp:positionV relativeFrom="paragraph">
              <wp:posOffset>547370</wp:posOffset>
            </wp:positionV>
            <wp:extent cx="5924550" cy="2171700"/>
            <wp:effectExtent l="0" t="0" r="0" b="0"/>
            <wp:wrapThrough wrapText="bothSides">
              <wp:wrapPolygon edited="0">
                <wp:start x="0" y="0"/>
                <wp:lineTo x="0" y="21411"/>
                <wp:lineTo x="21531" y="21411"/>
                <wp:lineTo x="21531" y="0"/>
                <wp:lineTo x="0" y="0"/>
              </wp:wrapPolygon>
            </wp:wrapThrough>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076ACA" w:rsidRPr="000714C6">
        <w:rPr>
          <w:rFonts w:ascii="Times New Roman" w:hAnsi="Times New Roman" w:cs="Times New Roman"/>
          <w:sz w:val="20"/>
          <w:szCs w:val="20"/>
        </w:rPr>
        <w:t>D</w:t>
      </w:r>
      <w:r w:rsidR="00076ACA" w:rsidRPr="000714C6">
        <w:rPr>
          <w:rFonts w:ascii="Times New Roman" w:hAnsi="Times New Roman" w:cs="Times New Roman"/>
          <w:sz w:val="20"/>
          <w:szCs w:val="20"/>
          <w:lang w:val="es-ES"/>
        </w:rPr>
        <w:t xml:space="preserve">el 5 de julio de 2010 al </w:t>
      </w:r>
      <w:r w:rsidR="0041369E">
        <w:rPr>
          <w:rFonts w:ascii="Times New Roman" w:hAnsi="Times New Roman" w:cs="Times New Roman"/>
          <w:sz w:val="20"/>
          <w:szCs w:val="20"/>
          <w:lang w:val="es-ES"/>
        </w:rPr>
        <w:t>28</w:t>
      </w:r>
      <w:r w:rsidR="00076ACA" w:rsidRPr="000714C6">
        <w:rPr>
          <w:rFonts w:ascii="Times New Roman" w:hAnsi="Times New Roman" w:cs="Times New Roman"/>
          <w:sz w:val="20"/>
          <w:szCs w:val="20"/>
          <w:lang w:val="es-ES"/>
        </w:rPr>
        <w:t xml:space="preserve"> de </w:t>
      </w:r>
      <w:r w:rsidR="0041369E">
        <w:rPr>
          <w:rFonts w:ascii="Times New Roman" w:hAnsi="Times New Roman" w:cs="Times New Roman"/>
          <w:sz w:val="20"/>
          <w:szCs w:val="20"/>
          <w:lang w:val="es-ES"/>
        </w:rPr>
        <w:t xml:space="preserve">febrero </w:t>
      </w:r>
      <w:r w:rsidR="00076ACA" w:rsidRPr="000714C6">
        <w:rPr>
          <w:rFonts w:ascii="Times New Roman" w:hAnsi="Times New Roman" w:cs="Times New Roman"/>
          <w:sz w:val="20"/>
          <w:szCs w:val="20"/>
          <w:lang w:val="es-ES"/>
        </w:rPr>
        <w:t>de 201</w:t>
      </w:r>
      <w:r w:rsidR="0041369E">
        <w:rPr>
          <w:rFonts w:ascii="Times New Roman" w:hAnsi="Times New Roman" w:cs="Times New Roman"/>
          <w:sz w:val="20"/>
          <w:szCs w:val="20"/>
          <w:lang w:val="es-ES"/>
        </w:rPr>
        <w:t>6</w:t>
      </w:r>
      <w:r w:rsidR="00076ACA" w:rsidRPr="000714C6">
        <w:rPr>
          <w:rFonts w:ascii="Times New Roman" w:hAnsi="Times New Roman" w:cs="Times New Roman"/>
          <w:sz w:val="20"/>
          <w:szCs w:val="20"/>
          <w:lang w:val="es-ES"/>
        </w:rPr>
        <w:t xml:space="preserve">, se han </w:t>
      </w:r>
      <w:r w:rsidR="0041369E">
        <w:rPr>
          <w:rFonts w:ascii="Times New Roman" w:hAnsi="Times New Roman" w:cs="Times New Roman"/>
          <w:sz w:val="20"/>
          <w:szCs w:val="20"/>
          <w:lang w:val="es-ES"/>
        </w:rPr>
        <w:t>consignado</w:t>
      </w:r>
      <w:r w:rsidR="00076ACA" w:rsidRPr="000714C6">
        <w:rPr>
          <w:rFonts w:ascii="Times New Roman" w:hAnsi="Times New Roman" w:cs="Times New Roman"/>
          <w:sz w:val="20"/>
          <w:szCs w:val="20"/>
          <w:lang w:val="es-ES"/>
        </w:rPr>
        <w:t xml:space="preserve"> </w:t>
      </w:r>
      <w:r w:rsidR="0041369E">
        <w:rPr>
          <w:rFonts w:ascii="Times New Roman" w:hAnsi="Times New Roman" w:cs="Times New Roman"/>
          <w:sz w:val="20"/>
          <w:szCs w:val="20"/>
          <w:lang w:val="es-ES"/>
        </w:rPr>
        <w:t>112</w:t>
      </w:r>
      <w:r w:rsidR="00076ACA" w:rsidRPr="000714C6">
        <w:rPr>
          <w:rFonts w:ascii="Times New Roman" w:hAnsi="Times New Roman" w:cs="Times New Roman"/>
          <w:sz w:val="20"/>
          <w:szCs w:val="20"/>
          <w:lang w:val="es-ES"/>
        </w:rPr>
        <w:t xml:space="preserve"> </w:t>
      </w:r>
      <w:r w:rsidR="0041369E">
        <w:rPr>
          <w:rFonts w:ascii="Times New Roman" w:hAnsi="Times New Roman" w:cs="Times New Roman"/>
          <w:sz w:val="20"/>
          <w:szCs w:val="20"/>
          <w:lang w:val="es-ES"/>
        </w:rPr>
        <w:t xml:space="preserve">averiguaciones previas </w:t>
      </w:r>
      <w:r w:rsidR="00076ACA" w:rsidRPr="000714C6">
        <w:rPr>
          <w:rFonts w:ascii="Times New Roman" w:hAnsi="Times New Roman" w:cs="Times New Roman"/>
          <w:sz w:val="20"/>
          <w:szCs w:val="20"/>
          <w:lang w:val="es-ES"/>
        </w:rPr>
        <w:t>por los delitos que se muestran a continuación:</w:t>
      </w:r>
    </w:p>
    <w:p w:rsidR="00076ACA" w:rsidRPr="000714C6" w:rsidRDefault="00076ACA" w:rsidP="00076ACA">
      <w:pPr>
        <w:jc w:val="both"/>
        <w:rPr>
          <w:rFonts w:ascii="Times New Roman" w:hAnsi="Times New Roman" w:cs="Times New Roman"/>
          <w:sz w:val="20"/>
          <w:szCs w:val="20"/>
          <w:lang w:val="es-ES"/>
        </w:rPr>
      </w:pPr>
    </w:p>
    <w:p w:rsidR="00EA5239" w:rsidRDefault="00EA5239" w:rsidP="00076ACA">
      <w:pPr>
        <w:rPr>
          <w:rFonts w:ascii="Times New Roman" w:hAnsi="Times New Roman" w:cs="Times New Roman"/>
          <w:sz w:val="20"/>
          <w:szCs w:val="20"/>
          <w:lang w:val="es-ES"/>
        </w:rPr>
      </w:pPr>
    </w:p>
    <w:p w:rsidR="00076ACA" w:rsidRPr="000714C6" w:rsidRDefault="00076ACA" w:rsidP="00076ACA">
      <w:pPr>
        <w:rPr>
          <w:rFonts w:ascii="Times New Roman" w:hAnsi="Times New Roman" w:cs="Times New Roman"/>
          <w:sz w:val="20"/>
          <w:szCs w:val="20"/>
          <w:lang w:val="es-ES"/>
        </w:rPr>
      </w:pPr>
      <w:r w:rsidRPr="000714C6">
        <w:rPr>
          <w:rFonts w:ascii="Times New Roman" w:hAnsi="Times New Roman" w:cs="Times New Roman"/>
          <w:sz w:val="20"/>
          <w:szCs w:val="20"/>
          <w:lang w:val="es-ES"/>
        </w:rPr>
        <w:t>En las siguientes entidades federativas:</w:t>
      </w:r>
    </w:p>
    <w:p w:rsidR="00076ACA" w:rsidRPr="000714C6" w:rsidRDefault="002969DE" w:rsidP="00076ACA">
      <w:pPr>
        <w:jc w:val="center"/>
        <w:rPr>
          <w:rFonts w:ascii="Times New Roman" w:hAnsi="Times New Roman" w:cs="Times New Roman"/>
          <w:b/>
          <w:sz w:val="20"/>
          <w:szCs w:val="20"/>
          <w:lang w:val="es-ES"/>
        </w:rPr>
      </w:pPr>
      <w:r>
        <w:rPr>
          <w:noProof/>
          <w:lang w:eastAsia="es-MX"/>
        </w:rPr>
        <w:drawing>
          <wp:inline distT="0" distB="0" distL="0" distR="0" wp14:anchorId="036CE902" wp14:editId="4CB1896C">
            <wp:extent cx="4961614" cy="2743200"/>
            <wp:effectExtent l="0" t="0" r="1079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6ACA" w:rsidRDefault="00076ACA" w:rsidP="00076ACA">
      <w:pPr>
        <w:rPr>
          <w:rFonts w:ascii="Times New Roman" w:hAnsi="Times New Roman" w:cs="Times New Roman"/>
          <w:sz w:val="20"/>
          <w:szCs w:val="20"/>
          <w:lang w:val="es-ES"/>
        </w:rPr>
      </w:pPr>
      <w:r w:rsidRPr="000714C6">
        <w:rPr>
          <w:rFonts w:ascii="Times New Roman" w:hAnsi="Times New Roman" w:cs="Times New Roman"/>
          <w:sz w:val="20"/>
          <w:szCs w:val="20"/>
          <w:lang w:val="es-ES"/>
        </w:rPr>
        <w:t>Personas identificadas como víctimas en los procesos penales:</w:t>
      </w:r>
    </w:p>
    <w:p w:rsidR="00412043" w:rsidRDefault="00412043" w:rsidP="00076ACA">
      <w:pPr>
        <w:rPr>
          <w:rFonts w:ascii="Times New Roman" w:hAnsi="Times New Roman" w:cs="Times New Roman"/>
          <w:sz w:val="20"/>
          <w:szCs w:val="20"/>
          <w:lang w:val="es-ES"/>
        </w:rPr>
      </w:pPr>
      <w:r>
        <w:rPr>
          <w:noProof/>
          <w:lang w:eastAsia="es-MX"/>
        </w:rPr>
        <w:drawing>
          <wp:inline distT="0" distB="0" distL="0" distR="0" wp14:anchorId="23BA3C00" wp14:editId="3A9C8432">
            <wp:extent cx="5612130" cy="3959225"/>
            <wp:effectExtent l="0" t="0" r="7620" b="31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2043" w:rsidRDefault="00412043" w:rsidP="00076ACA">
      <w:pPr>
        <w:rPr>
          <w:rFonts w:ascii="Times New Roman" w:hAnsi="Times New Roman" w:cs="Times New Roman"/>
          <w:sz w:val="20"/>
          <w:szCs w:val="20"/>
          <w:lang w:val="es-ES"/>
        </w:rPr>
      </w:pPr>
    </w:p>
    <w:p w:rsidR="00412043" w:rsidRDefault="00412043" w:rsidP="00076ACA">
      <w:pPr>
        <w:rPr>
          <w:rFonts w:ascii="Times New Roman" w:hAnsi="Times New Roman" w:cs="Times New Roman"/>
          <w:sz w:val="20"/>
          <w:szCs w:val="20"/>
          <w:lang w:val="es-ES"/>
        </w:rPr>
      </w:pPr>
      <w:r w:rsidRPr="000714C6">
        <w:rPr>
          <w:rFonts w:ascii="Times New Roman" w:hAnsi="Times New Roman" w:cs="Times New Roman"/>
          <w:b/>
          <w:sz w:val="24"/>
          <w:szCs w:val="20"/>
          <w:lang w:val="es-ES"/>
        </w:rPr>
        <w:lastRenderedPageBreak/>
        <w:t xml:space="preserve">Tablas sobre denuncias recibidas y </w:t>
      </w:r>
      <w:r>
        <w:rPr>
          <w:rFonts w:ascii="Times New Roman" w:hAnsi="Times New Roman" w:cs="Times New Roman"/>
          <w:b/>
          <w:sz w:val="24"/>
          <w:szCs w:val="20"/>
          <w:lang w:val="es-ES"/>
        </w:rPr>
        <w:t xml:space="preserve">carpetas de investigación </w:t>
      </w:r>
      <w:r w:rsidR="00944772">
        <w:rPr>
          <w:rFonts w:ascii="Times New Roman" w:hAnsi="Times New Roman" w:cs="Times New Roman"/>
          <w:b/>
          <w:sz w:val="24"/>
          <w:szCs w:val="20"/>
          <w:lang w:val="es-ES"/>
        </w:rPr>
        <w:t xml:space="preserve">(CI) </w:t>
      </w:r>
      <w:r>
        <w:rPr>
          <w:rFonts w:ascii="Times New Roman" w:hAnsi="Times New Roman" w:cs="Times New Roman"/>
          <w:b/>
          <w:sz w:val="24"/>
          <w:szCs w:val="20"/>
          <w:lang w:val="es-ES"/>
        </w:rPr>
        <w:t>iniciadas</w:t>
      </w:r>
      <w:r w:rsidRPr="000714C6">
        <w:rPr>
          <w:rFonts w:ascii="Times New Roman" w:hAnsi="Times New Roman" w:cs="Times New Roman"/>
          <w:b/>
          <w:sz w:val="24"/>
          <w:szCs w:val="20"/>
          <w:lang w:val="es-ES"/>
        </w:rPr>
        <w:t xml:space="preserve"> por </w:t>
      </w:r>
      <w:r>
        <w:rPr>
          <w:rFonts w:ascii="Times New Roman" w:hAnsi="Times New Roman" w:cs="Times New Roman"/>
          <w:b/>
          <w:sz w:val="24"/>
          <w:szCs w:val="20"/>
          <w:lang w:val="es-ES"/>
        </w:rPr>
        <w:t>delitos</w:t>
      </w:r>
      <w:r w:rsidRPr="000714C6">
        <w:rPr>
          <w:rFonts w:ascii="Times New Roman" w:hAnsi="Times New Roman" w:cs="Times New Roman"/>
          <w:b/>
          <w:sz w:val="24"/>
          <w:szCs w:val="20"/>
          <w:lang w:val="es-ES"/>
        </w:rPr>
        <w:t xml:space="preserve"> contra periodistas </w:t>
      </w:r>
      <w:r w:rsidRPr="00161A45">
        <w:rPr>
          <w:rFonts w:ascii="Times New Roman" w:hAnsi="Times New Roman" w:cs="Times New Roman"/>
          <w:b/>
          <w:sz w:val="24"/>
          <w:szCs w:val="20"/>
          <w:lang w:val="es-ES"/>
        </w:rPr>
        <w:t xml:space="preserve">a partir del </w:t>
      </w:r>
      <w:r>
        <w:rPr>
          <w:rFonts w:ascii="Times New Roman" w:hAnsi="Times New Roman" w:cs="Times New Roman"/>
          <w:b/>
          <w:sz w:val="24"/>
          <w:szCs w:val="20"/>
          <w:lang w:val="es-ES"/>
        </w:rPr>
        <w:t>29</w:t>
      </w:r>
      <w:r w:rsidRPr="00161A45">
        <w:rPr>
          <w:rFonts w:ascii="Times New Roman" w:hAnsi="Times New Roman" w:cs="Times New Roman"/>
          <w:b/>
          <w:sz w:val="24"/>
          <w:szCs w:val="20"/>
          <w:lang w:val="es-ES"/>
        </w:rPr>
        <w:t xml:space="preserve"> de </w:t>
      </w:r>
      <w:r>
        <w:rPr>
          <w:rFonts w:ascii="Times New Roman" w:hAnsi="Times New Roman" w:cs="Times New Roman"/>
          <w:b/>
          <w:sz w:val="24"/>
          <w:szCs w:val="20"/>
          <w:lang w:val="es-ES"/>
        </w:rPr>
        <w:t>febrero</w:t>
      </w:r>
      <w:r w:rsidRPr="00161A45">
        <w:rPr>
          <w:rFonts w:ascii="Times New Roman" w:hAnsi="Times New Roman" w:cs="Times New Roman"/>
          <w:b/>
          <w:sz w:val="24"/>
          <w:szCs w:val="20"/>
          <w:lang w:val="es-ES"/>
        </w:rPr>
        <w:t xml:space="preserve"> de 201</w:t>
      </w:r>
      <w:r>
        <w:rPr>
          <w:rFonts w:ascii="Times New Roman" w:hAnsi="Times New Roman" w:cs="Times New Roman"/>
          <w:b/>
          <w:sz w:val="24"/>
          <w:szCs w:val="20"/>
          <w:lang w:val="es-ES"/>
        </w:rPr>
        <w:t>6</w:t>
      </w:r>
      <w:r w:rsidRPr="00161A45">
        <w:rPr>
          <w:rFonts w:ascii="Times New Roman" w:hAnsi="Times New Roman" w:cs="Times New Roman"/>
          <w:b/>
          <w:sz w:val="24"/>
          <w:szCs w:val="20"/>
          <w:lang w:val="es-ES"/>
        </w:rPr>
        <w:t xml:space="preserve"> al </w:t>
      </w:r>
      <w:r>
        <w:rPr>
          <w:rFonts w:ascii="Times New Roman" w:hAnsi="Times New Roman" w:cs="Times New Roman"/>
          <w:b/>
          <w:sz w:val="24"/>
          <w:szCs w:val="20"/>
          <w:lang w:val="es-ES"/>
        </w:rPr>
        <w:t>31 de mayo de 2017</w:t>
      </w:r>
    </w:p>
    <w:tbl>
      <w:tblPr>
        <w:tblW w:w="6653" w:type="dxa"/>
        <w:jc w:val="center"/>
        <w:tblCellMar>
          <w:left w:w="70" w:type="dxa"/>
          <w:right w:w="70" w:type="dxa"/>
        </w:tblCellMar>
        <w:tblLook w:val="04A0" w:firstRow="1" w:lastRow="0" w:firstColumn="1" w:lastColumn="0" w:noHBand="0" w:noVBand="1"/>
      </w:tblPr>
      <w:tblGrid>
        <w:gridCol w:w="4927"/>
        <w:gridCol w:w="875"/>
        <w:gridCol w:w="851"/>
      </w:tblGrid>
      <w:tr w:rsidR="00412043" w:rsidRPr="00412043" w:rsidTr="00412043">
        <w:trPr>
          <w:trHeight w:val="227"/>
          <w:jc w:val="center"/>
        </w:trPr>
        <w:tc>
          <w:tcPr>
            <w:tcW w:w="492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rsidR="00412043" w:rsidRPr="00412043" w:rsidRDefault="00412043" w:rsidP="00F26471">
            <w:pPr>
              <w:spacing w:after="0" w:line="240" w:lineRule="auto"/>
              <w:jc w:val="center"/>
              <w:rPr>
                <w:rFonts w:ascii="Calibri" w:eastAsia="Times New Roman" w:hAnsi="Calibri" w:cs="Times New Roman"/>
                <w:b/>
                <w:bCs/>
                <w:sz w:val="18"/>
                <w:szCs w:val="18"/>
                <w:lang w:eastAsia="es-MX"/>
              </w:rPr>
            </w:pPr>
            <w:r w:rsidRPr="00412043">
              <w:rPr>
                <w:rFonts w:ascii="Calibri" w:eastAsia="Times New Roman" w:hAnsi="Calibri" w:cs="Times New Roman"/>
                <w:b/>
                <w:bCs/>
                <w:sz w:val="18"/>
                <w:szCs w:val="18"/>
                <w:lang w:eastAsia="es-MX"/>
              </w:rPr>
              <w:t>Delito</w:t>
            </w:r>
          </w:p>
        </w:tc>
        <w:tc>
          <w:tcPr>
            <w:tcW w:w="8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412043" w:rsidRPr="00412043" w:rsidRDefault="00412043" w:rsidP="00F26471">
            <w:pPr>
              <w:spacing w:after="0" w:line="240" w:lineRule="auto"/>
              <w:jc w:val="center"/>
              <w:rPr>
                <w:rFonts w:ascii="Calibri" w:eastAsia="Times New Roman" w:hAnsi="Calibri" w:cs="Times New Roman"/>
                <w:b/>
                <w:bCs/>
                <w:sz w:val="18"/>
                <w:szCs w:val="18"/>
                <w:lang w:eastAsia="es-MX"/>
              </w:rPr>
            </w:pPr>
            <w:r w:rsidRPr="00412043">
              <w:rPr>
                <w:rFonts w:ascii="Calibri" w:eastAsia="Times New Roman" w:hAnsi="Calibri" w:cs="Times New Roman"/>
                <w:b/>
                <w:bCs/>
                <w:sz w:val="18"/>
                <w:szCs w:val="18"/>
                <w:lang w:eastAsia="es-MX"/>
              </w:rPr>
              <w:t>2016</w:t>
            </w:r>
          </w:p>
        </w:tc>
        <w:tc>
          <w:tcPr>
            <w:tcW w:w="851" w:type="dxa"/>
            <w:tcBorders>
              <w:top w:val="single" w:sz="8" w:space="0" w:color="auto"/>
              <w:left w:val="nil"/>
              <w:bottom w:val="single" w:sz="8" w:space="0" w:color="auto"/>
              <w:right w:val="single" w:sz="8" w:space="0" w:color="auto"/>
            </w:tcBorders>
            <w:shd w:val="clear" w:color="auto" w:fill="A6A6A6" w:themeFill="background1" w:themeFillShade="A6"/>
          </w:tcPr>
          <w:p w:rsidR="00412043" w:rsidRPr="00412043" w:rsidRDefault="00412043" w:rsidP="00F26471">
            <w:pPr>
              <w:spacing w:after="0" w:line="240" w:lineRule="auto"/>
              <w:jc w:val="center"/>
              <w:rPr>
                <w:rFonts w:ascii="Calibri" w:eastAsia="Times New Roman" w:hAnsi="Calibri" w:cs="Times New Roman"/>
                <w:b/>
                <w:bCs/>
                <w:sz w:val="18"/>
                <w:szCs w:val="18"/>
                <w:lang w:eastAsia="es-MX"/>
              </w:rPr>
            </w:pPr>
            <w:r w:rsidRPr="00412043">
              <w:rPr>
                <w:rFonts w:ascii="Calibri" w:eastAsia="Times New Roman" w:hAnsi="Calibri" w:cs="Times New Roman"/>
                <w:b/>
                <w:bCs/>
                <w:sz w:val="18"/>
                <w:szCs w:val="18"/>
                <w:lang w:eastAsia="es-MX"/>
              </w:rPr>
              <w:t>2017</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AMENAZAS</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47</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26</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ABUSO DE AUTORIDAD</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18</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9</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ROBO</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10</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9</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LESIONES</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9</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2</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HOMICIDIO</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10</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7</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DAÑO EN PROPIEDAD AJENA</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6</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2</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PRIVACIÓN ILEGAL DE LA LIBERTAD</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2</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ACCESO ILICITO A SISTEMAS Y EQUIPOS DE INFORMÁTICA</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1</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CONTRA LA ADMINISTRACIÓN DE JUSTICIA</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2</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HOSTIGAMIENTO O ABUSO SEXUAL</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0</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PORTACIÓN DE ARMA DE FUEGO DE USO EXCLUSIVO DEL EJÉRCITO, ARMADA Y FUERZA AÉREA</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0</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ACCESO ILICITO A SISTEMAS Y EQUIPOS DE COMPUTO</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0</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ALLANAMIENTO DE MORADA</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0</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INTIMIDACIÓN</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1</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hideMark/>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sidRPr="00E71C47">
              <w:rPr>
                <w:rFonts w:ascii="Calibri" w:eastAsia="Times New Roman" w:hAnsi="Calibri" w:cs="Times New Roman"/>
                <w:color w:val="000000"/>
                <w:sz w:val="18"/>
                <w:szCs w:val="18"/>
                <w:lang w:eastAsia="es-MX"/>
              </w:rPr>
              <w:t xml:space="preserve">USURPACIÓN DE FUNSIONES </w:t>
            </w:r>
          </w:p>
        </w:tc>
        <w:tc>
          <w:tcPr>
            <w:tcW w:w="875" w:type="dxa"/>
            <w:tcBorders>
              <w:top w:val="nil"/>
              <w:left w:val="nil"/>
              <w:bottom w:val="single" w:sz="8" w:space="0" w:color="auto"/>
              <w:right w:val="single" w:sz="8" w:space="0" w:color="auto"/>
            </w:tcBorders>
            <w:shd w:val="clear" w:color="auto" w:fill="auto"/>
            <w:vAlign w:val="center"/>
          </w:tcPr>
          <w:p w:rsidR="00412043" w:rsidRPr="00E71C47"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1</w:t>
            </w:r>
          </w:p>
        </w:tc>
      </w:tr>
      <w:tr w:rsidR="00412043" w:rsidRPr="00E71C47"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uto"/>
            <w:vAlign w:val="center"/>
          </w:tcPr>
          <w:p w:rsidR="00412043" w:rsidRPr="00E71C47" w:rsidRDefault="00412043" w:rsidP="00F26471">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TENTATIVA DE HOMICIDIO</w:t>
            </w:r>
          </w:p>
        </w:tc>
        <w:tc>
          <w:tcPr>
            <w:tcW w:w="875"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vAlign w:val="center"/>
          </w:tcPr>
          <w:p w:rsidR="00412043" w:rsidRDefault="00412043" w:rsidP="00F26471">
            <w:pPr>
              <w:spacing w:after="0" w:line="240" w:lineRule="auto"/>
              <w:jc w:val="center"/>
              <w:rPr>
                <w:rFonts w:ascii="Calibri" w:hAnsi="Calibri"/>
                <w:color w:val="000000"/>
                <w:sz w:val="18"/>
                <w:szCs w:val="18"/>
              </w:rPr>
            </w:pPr>
            <w:r>
              <w:rPr>
                <w:rFonts w:ascii="Calibri" w:hAnsi="Calibri"/>
                <w:color w:val="000000"/>
                <w:sz w:val="18"/>
                <w:szCs w:val="18"/>
              </w:rPr>
              <w:t>2</w:t>
            </w:r>
          </w:p>
        </w:tc>
      </w:tr>
      <w:tr w:rsidR="00412043" w:rsidRPr="00412043" w:rsidTr="00412043">
        <w:trPr>
          <w:trHeight w:val="227"/>
          <w:jc w:val="center"/>
        </w:trPr>
        <w:tc>
          <w:tcPr>
            <w:tcW w:w="4927"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412043" w:rsidRPr="00412043" w:rsidRDefault="00412043" w:rsidP="00F26471">
            <w:pPr>
              <w:spacing w:after="0" w:line="240" w:lineRule="auto"/>
              <w:jc w:val="center"/>
              <w:rPr>
                <w:rFonts w:ascii="Calibri" w:eastAsia="Times New Roman" w:hAnsi="Calibri" w:cs="Times New Roman"/>
                <w:b/>
                <w:bCs/>
                <w:sz w:val="18"/>
                <w:szCs w:val="18"/>
                <w:lang w:eastAsia="es-MX"/>
              </w:rPr>
            </w:pPr>
            <w:r w:rsidRPr="00412043">
              <w:rPr>
                <w:rFonts w:ascii="Calibri" w:eastAsia="Times New Roman" w:hAnsi="Calibri" w:cs="Times New Roman"/>
                <w:b/>
                <w:bCs/>
                <w:sz w:val="18"/>
                <w:szCs w:val="18"/>
                <w:lang w:eastAsia="es-MX"/>
              </w:rPr>
              <w:t xml:space="preserve">TOTAL </w:t>
            </w:r>
          </w:p>
        </w:tc>
        <w:tc>
          <w:tcPr>
            <w:tcW w:w="875" w:type="dxa"/>
            <w:tcBorders>
              <w:top w:val="nil"/>
              <w:left w:val="nil"/>
              <w:bottom w:val="single" w:sz="8" w:space="0" w:color="auto"/>
              <w:right w:val="single" w:sz="8" w:space="0" w:color="auto"/>
            </w:tcBorders>
            <w:shd w:val="clear" w:color="auto" w:fill="A6A6A6" w:themeFill="background1" w:themeFillShade="A6"/>
            <w:vAlign w:val="center"/>
            <w:hideMark/>
          </w:tcPr>
          <w:p w:rsidR="00412043" w:rsidRPr="00412043" w:rsidRDefault="00412043" w:rsidP="00F26471">
            <w:pPr>
              <w:spacing w:after="0" w:line="240" w:lineRule="auto"/>
              <w:jc w:val="center"/>
              <w:rPr>
                <w:rFonts w:ascii="Calibri" w:eastAsia="Times New Roman" w:hAnsi="Calibri" w:cs="Times New Roman"/>
                <w:b/>
                <w:bCs/>
                <w:sz w:val="18"/>
                <w:szCs w:val="18"/>
                <w:lang w:eastAsia="es-MX"/>
              </w:rPr>
            </w:pPr>
            <w:r w:rsidRPr="00412043">
              <w:rPr>
                <w:rFonts w:ascii="Calibri" w:eastAsia="Times New Roman" w:hAnsi="Calibri" w:cs="Times New Roman"/>
                <w:b/>
                <w:bCs/>
                <w:sz w:val="18"/>
                <w:szCs w:val="18"/>
                <w:lang w:eastAsia="es-MX"/>
              </w:rPr>
              <w:t>108</w:t>
            </w:r>
          </w:p>
        </w:tc>
        <w:tc>
          <w:tcPr>
            <w:tcW w:w="851" w:type="dxa"/>
            <w:tcBorders>
              <w:top w:val="nil"/>
              <w:left w:val="nil"/>
              <w:bottom w:val="single" w:sz="8" w:space="0" w:color="auto"/>
              <w:right w:val="single" w:sz="8" w:space="0" w:color="auto"/>
            </w:tcBorders>
            <w:shd w:val="clear" w:color="auto" w:fill="A6A6A6" w:themeFill="background1" w:themeFillShade="A6"/>
            <w:vAlign w:val="center"/>
          </w:tcPr>
          <w:p w:rsidR="00412043" w:rsidRPr="00412043" w:rsidRDefault="00412043" w:rsidP="00F26471">
            <w:pPr>
              <w:spacing w:after="0" w:line="240" w:lineRule="auto"/>
              <w:jc w:val="center"/>
              <w:rPr>
                <w:rFonts w:ascii="Calibri" w:hAnsi="Calibri"/>
                <w:b/>
                <w:bCs/>
                <w:sz w:val="18"/>
                <w:szCs w:val="18"/>
              </w:rPr>
            </w:pPr>
            <w:r w:rsidRPr="00412043">
              <w:rPr>
                <w:rFonts w:ascii="Calibri" w:hAnsi="Calibri"/>
                <w:b/>
                <w:bCs/>
                <w:sz w:val="18"/>
                <w:szCs w:val="18"/>
              </w:rPr>
              <w:t>64</w:t>
            </w:r>
          </w:p>
        </w:tc>
      </w:tr>
    </w:tbl>
    <w:p w:rsidR="00412043" w:rsidRDefault="00412043" w:rsidP="00076ACA">
      <w:pPr>
        <w:rPr>
          <w:rFonts w:ascii="Times New Roman" w:hAnsi="Times New Roman" w:cs="Times New Roman"/>
          <w:sz w:val="20"/>
          <w:szCs w:val="20"/>
          <w:lang w:val="es-ES"/>
        </w:rPr>
      </w:pPr>
    </w:p>
    <w:tbl>
      <w:tblPr>
        <w:tblW w:w="5519" w:type="dxa"/>
        <w:jc w:val="center"/>
        <w:tblCellMar>
          <w:left w:w="70" w:type="dxa"/>
          <w:right w:w="70" w:type="dxa"/>
        </w:tblCellMar>
        <w:tblLook w:val="04A0" w:firstRow="1" w:lastRow="0" w:firstColumn="1" w:lastColumn="0" w:noHBand="0" w:noVBand="1"/>
      </w:tblPr>
      <w:tblGrid>
        <w:gridCol w:w="3304"/>
        <w:gridCol w:w="2215"/>
      </w:tblGrid>
      <w:tr w:rsidR="00412043" w:rsidRPr="00412043" w:rsidTr="00412043">
        <w:trPr>
          <w:trHeight w:val="170"/>
          <w:jc w:val="center"/>
        </w:trPr>
        <w:tc>
          <w:tcPr>
            <w:tcW w:w="330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rsidR="00412043" w:rsidRPr="00412043" w:rsidRDefault="00412043" w:rsidP="00412043">
            <w:pPr>
              <w:spacing w:after="0" w:line="240" w:lineRule="auto"/>
              <w:jc w:val="center"/>
              <w:rPr>
                <w:rFonts w:ascii="Calibri" w:eastAsia="Times New Roman" w:hAnsi="Calibri" w:cs="Times New Roman"/>
                <w:b/>
                <w:bCs/>
                <w:sz w:val="16"/>
                <w:szCs w:val="18"/>
                <w:lang w:eastAsia="es-MX"/>
              </w:rPr>
            </w:pPr>
            <w:r w:rsidRPr="00412043">
              <w:rPr>
                <w:rFonts w:ascii="Calibri" w:eastAsia="Times New Roman" w:hAnsi="Calibri" w:cs="Times New Roman"/>
                <w:b/>
                <w:bCs/>
                <w:sz w:val="16"/>
                <w:szCs w:val="18"/>
                <w:lang w:eastAsia="es-MX"/>
              </w:rPr>
              <w:t>Estado</w:t>
            </w:r>
          </w:p>
        </w:tc>
        <w:tc>
          <w:tcPr>
            <w:tcW w:w="221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412043" w:rsidRPr="00412043" w:rsidRDefault="00412043" w:rsidP="00412043">
            <w:pPr>
              <w:spacing w:after="0" w:line="240" w:lineRule="auto"/>
              <w:jc w:val="center"/>
              <w:rPr>
                <w:rFonts w:ascii="Calibri" w:eastAsia="Times New Roman" w:hAnsi="Calibri" w:cs="Times New Roman"/>
                <w:b/>
                <w:bCs/>
                <w:sz w:val="16"/>
                <w:szCs w:val="18"/>
                <w:lang w:eastAsia="es-MX"/>
              </w:rPr>
            </w:pPr>
            <w:r w:rsidRPr="00412043">
              <w:rPr>
                <w:rFonts w:ascii="Calibri" w:eastAsia="Times New Roman" w:hAnsi="Calibri" w:cs="Times New Roman"/>
                <w:b/>
                <w:bCs/>
                <w:sz w:val="16"/>
                <w:szCs w:val="18"/>
                <w:lang w:eastAsia="es-MX"/>
              </w:rPr>
              <w:t>Numero de CI iniciadas</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BAJA CALIFORNIA SUR</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8</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BAJA CALIFORNIA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6</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CAMPECHE</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4</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CHIAPAS</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7</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CHIHUAHUA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5</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CIUDAD DE MÉXICO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23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COAHUILA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6</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ESTADO DE MÉXICO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11</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GUANAJUATO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2</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GUERRERO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11</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HIDALGO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JALISCO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MICHOACÁN</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6</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MORELOS</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NAYARIT</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NUEVO LEÓN</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OAXACA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10</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PUEBLA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7</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QUERÉTARO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QUINTANA ROO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2</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SAN LUIS POTOSÍ</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SINALOA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4</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SONORA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1</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TABASCO</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5</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TAMAULIPAS</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12</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TLAXCALA</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2</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VERACRUZ</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16</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rPr>
                <w:rFonts w:ascii="Calibri" w:eastAsia="Times New Roman" w:hAnsi="Calibri" w:cs="Times New Roman"/>
                <w:sz w:val="16"/>
                <w:szCs w:val="18"/>
                <w:lang w:eastAsia="es-MX"/>
              </w:rPr>
            </w:pPr>
            <w:r w:rsidRPr="00412043">
              <w:rPr>
                <w:rFonts w:ascii="Calibri" w:eastAsia="Times New Roman" w:hAnsi="Calibri" w:cs="Times New Roman"/>
                <w:sz w:val="16"/>
                <w:szCs w:val="18"/>
                <w:lang w:eastAsia="es-MX"/>
              </w:rPr>
              <w:t>YUCATÁN</w:t>
            </w:r>
          </w:p>
        </w:tc>
        <w:tc>
          <w:tcPr>
            <w:tcW w:w="2215" w:type="dxa"/>
            <w:tcBorders>
              <w:top w:val="nil"/>
              <w:left w:val="nil"/>
              <w:bottom w:val="single" w:sz="8" w:space="0" w:color="auto"/>
              <w:right w:val="single" w:sz="8" w:space="0" w:color="auto"/>
            </w:tcBorders>
            <w:shd w:val="clear" w:color="auto" w:fill="auto"/>
            <w:noWrap/>
            <w:vAlign w:val="center"/>
            <w:hideMark/>
          </w:tcPr>
          <w:p w:rsidR="00412043" w:rsidRPr="00412043" w:rsidRDefault="00412043" w:rsidP="00412043">
            <w:pPr>
              <w:spacing w:after="0" w:line="240" w:lineRule="auto"/>
              <w:jc w:val="right"/>
              <w:rPr>
                <w:rFonts w:ascii="Calibri" w:hAnsi="Calibri"/>
                <w:sz w:val="16"/>
                <w:szCs w:val="18"/>
              </w:rPr>
            </w:pPr>
            <w:r w:rsidRPr="00412043">
              <w:rPr>
                <w:rFonts w:ascii="Calibri" w:hAnsi="Calibri"/>
                <w:sz w:val="16"/>
                <w:szCs w:val="18"/>
              </w:rPr>
              <w:t>3</w:t>
            </w:r>
          </w:p>
        </w:tc>
      </w:tr>
      <w:tr w:rsidR="00412043" w:rsidRPr="00412043" w:rsidTr="00412043">
        <w:trPr>
          <w:trHeight w:val="170"/>
          <w:jc w:val="center"/>
        </w:trPr>
        <w:tc>
          <w:tcPr>
            <w:tcW w:w="3304"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412043" w:rsidRPr="00412043" w:rsidRDefault="00412043" w:rsidP="00412043">
            <w:pPr>
              <w:spacing w:after="0" w:line="240" w:lineRule="auto"/>
              <w:jc w:val="center"/>
              <w:rPr>
                <w:rFonts w:ascii="Calibri" w:eastAsia="Times New Roman" w:hAnsi="Calibri" w:cs="Times New Roman"/>
                <w:b/>
                <w:bCs/>
                <w:sz w:val="16"/>
                <w:szCs w:val="18"/>
                <w:lang w:eastAsia="es-MX"/>
              </w:rPr>
            </w:pPr>
            <w:r w:rsidRPr="00412043">
              <w:rPr>
                <w:rFonts w:ascii="Calibri" w:eastAsia="Times New Roman" w:hAnsi="Calibri" w:cs="Times New Roman"/>
                <w:b/>
                <w:bCs/>
                <w:sz w:val="16"/>
                <w:szCs w:val="18"/>
                <w:lang w:eastAsia="es-MX"/>
              </w:rPr>
              <w:t>Total general</w:t>
            </w:r>
          </w:p>
        </w:tc>
        <w:tc>
          <w:tcPr>
            <w:tcW w:w="2215" w:type="dxa"/>
            <w:tcBorders>
              <w:top w:val="nil"/>
              <w:left w:val="nil"/>
              <w:bottom w:val="single" w:sz="8" w:space="0" w:color="auto"/>
              <w:right w:val="single" w:sz="8" w:space="0" w:color="auto"/>
            </w:tcBorders>
            <w:shd w:val="clear" w:color="auto" w:fill="A6A6A6" w:themeFill="background1" w:themeFillShade="A6"/>
            <w:vAlign w:val="center"/>
            <w:hideMark/>
          </w:tcPr>
          <w:p w:rsidR="00412043" w:rsidRPr="00412043" w:rsidRDefault="00412043" w:rsidP="00412043">
            <w:pPr>
              <w:spacing w:after="0" w:line="240" w:lineRule="auto"/>
              <w:jc w:val="center"/>
              <w:rPr>
                <w:rFonts w:ascii="Calibri" w:hAnsi="Calibri"/>
                <w:b/>
                <w:bCs/>
                <w:sz w:val="16"/>
                <w:szCs w:val="18"/>
              </w:rPr>
            </w:pPr>
            <w:r w:rsidRPr="00412043">
              <w:rPr>
                <w:rFonts w:ascii="Calibri" w:hAnsi="Calibri"/>
                <w:b/>
                <w:bCs/>
                <w:sz w:val="16"/>
                <w:szCs w:val="18"/>
              </w:rPr>
              <w:t>172</w:t>
            </w:r>
          </w:p>
        </w:tc>
      </w:tr>
    </w:tbl>
    <w:p w:rsidR="00412043" w:rsidRDefault="00412043" w:rsidP="00944772">
      <w:pPr>
        <w:rPr>
          <w:rFonts w:ascii="Times New Roman" w:hAnsi="Times New Roman" w:cs="Times New Roman"/>
          <w:sz w:val="20"/>
          <w:szCs w:val="20"/>
          <w:lang w:val="es-ES"/>
        </w:rPr>
      </w:pPr>
    </w:p>
    <w:p w:rsidR="000B2EA4" w:rsidRDefault="000B2EA4" w:rsidP="00944772">
      <w:pPr>
        <w:rPr>
          <w:rFonts w:ascii="Times New Roman" w:hAnsi="Times New Roman" w:cs="Times New Roman"/>
          <w:sz w:val="20"/>
          <w:szCs w:val="20"/>
          <w:lang w:val="es-ES"/>
        </w:rPr>
      </w:pPr>
    </w:p>
    <w:p w:rsidR="000B2EA4" w:rsidRPr="00C4191A" w:rsidRDefault="000B2EA4" w:rsidP="000B2EA4">
      <w:pPr>
        <w:jc w:val="both"/>
        <w:rPr>
          <w:rFonts w:ascii="Times New Roman" w:hAnsi="Times New Roman" w:cs="Times New Roman"/>
          <w:sz w:val="24"/>
          <w:szCs w:val="24"/>
        </w:rPr>
      </w:pPr>
      <w:r w:rsidRPr="00C4191A">
        <w:rPr>
          <w:rFonts w:ascii="Times New Roman" w:hAnsi="Times New Roman" w:cs="Times New Roman"/>
          <w:sz w:val="24"/>
          <w:szCs w:val="24"/>
        </w:rPr>
        <w:lastRenderedPageBreak/>
        <w:t>La FEADLE ha otorgado 547 tipos de medidas cautelares para periodistas en riesgo, entr</w:t>
      </w:r>
      <w:r w:rsidR="00690F5E" w:rsidRPr="00C4191A">
        <w:rPr>
          <w:rFonts w:ascii="Times New Roman" w:hAnsi="Times New Roman" w:cs="Times New Roman"/>
          <w:sz w:val="24"/>
          <w:szCs w:val="24"/>
        </w:rPr>
        <w:t>e 2010 y el 31 de mayo de 2017.</w:t>
      </w:r>
    </w:p>
    <w:p w:rsidR="000B2EA4" w:rsidRPr="00C4191A" w:rsidRDefault="000B2EA4" w:rsidP="000B2EA4">
      <w:pPr>
        <w:jc w:val="both"/>
        <w:rPr>
          <w:rFonts w:ascii="Times New Roman" w:hAnsi="Times New Roman" w:cs="Times New Roman"/>
          <w:sz w:val="24"/>
          <w:szCs w:val="24"/>
          <w:lang w:val="es-ES"/>
        </w:rPr>
      </w:pPr>
      <w:r w:rsidRPr="00C4191A">
        <w:rPr>
          <w:rFonts w:ascii="Times New Roman" w:hAnsi="Times New Roman" w:cs="Times New Roman"/>
          <w:sz w:val="24"/>
          <w:szCs w:val="24"/>
        </w:rPr>
        <w:t>En ese mismo periodo</w:t>
      </w:r>
      <w:r w:rsidRPr="00C4191A">
        <w:rPr>
          <w:rFonts w:ascii="Times New Roman" w:hAnsi="Times New Roman" w:cs="Times New Roman"/>
          <w:sz w:val="24"/>
          <w:szCs w:val="24"/>
          <w:lang w:val="es-ES"/>
        </w:rPr>
        <w:t>, se han iniciado 799 averiguaciones previas y 172 carpetas de investigación a nivel federal, con motivo de la probable comisión de los delitos de: abuso de autoridad, acceso ilícito a sistemas y equipos de informática, allanamiento de morada, amenazas, ataque a las vías generales de comunicación, contra el honor, contra la administración de justicia, daño en propiedad ajena, delincuencia organizada, denuncia de hechos posiblemente constitutivos de delito, ejercicio indebido del servicio público, enriquecimiento ilícito, extorsión, falsedad en declaraciones, falsificación de documentos, homicidio, intervención de comunicación privada, intimidación, lesiones, ley general de bienes nacionales, privación ilegal de la libertad, robo, secuestro, tentativa de daño en propiedad ajena, tentativa de extorsión, tentativa de homicidio, tentativa de privación ilegal de la libertad, tentativa de robo, tentativa de secuestro, violación a la ley federal de armas de fuego y explosivos y violación a la ley federal de derechos de autor. En las denuncias por averiguaciones previas se encuentran relacionadas 1004 víctimas, de las cuales 750 son hombres, 205 mujeres y 49 identificadas como “otros”, siendo estos familiares o personas a cargo de la víctima directa, así como medios de comunicación; en lo relativo a las carpetas de investigación se tienen 186 víctimas, de las cuales 149 son hombres, 30 mujeres y 7 identific</w:t>
      </w:r>
      <w:r w:rsidR="003B043B" w:rsidRPr="00C4191A">
        <w:rPr>
          <w:rFonts w:ascii="Times New Roman" w:hAnsi="Times New Roman" w:cs="Times New Roman"/>
          <w:sz w:val="24"/>
          <w:szCs w:val="24"/>
          <w:lang w:val="es-ES"/>
        </w:rPr>
        <w:t xml:space="preserve">ados como “otros”. </w:t>
      </w:r>
    </w:p>
    <w:p w:rsidR="000B2EA4" w:rsidRPr="00C4191A" w:rsidRDefault="000B2EA4" w:rsidP="003B043B">
      <w:pPr>
        <w:jc w:val="both"/>
        <w:rPr>
          <w:rFonts w:ascii="Times New Roman" w:hAnsi="Times New Roman" w:cs="Times New Roman"/>
          <w:sz w:val="24"/>
          <w:szCs w:val="24"/>
          <w:lang w:val="es-ES"/>
        </w:rPr>
      </w:pPr>
      <w:r w:rsidRPr="00C4191A">
        <w:rPr>
          <w:rFonts w:ascii="Times New Roman" w:hAnsi="Times New Roman" w:cs="Times New Roman"/>
          <w:sz w:val="24"/>
          <w:szCs w:val="24"/>
          <w:lang w:val="es-ES"/>
        </w:rPr>
        <w:t>Asimismo, del 5 de julio de 2010 al 31 de mayo de 2017, se han consignado 112 averiguaciones previas en distintas entidades federativas, en las cuales, se encuentran relacionadas 220 personas como víctimas, siendo 194 hombres, 26 mujer</w:t>
      </w:r>
      <w:r w:rsidR="003B043B" w:rsidRPr="00C4191A">
        <w:rPr>
          <w:rFonts w:ascii="Times New Roman" w:hAnsi="Times New Roman" w:cs="Times New Roman"/>
          <w:sz w:val="24"/>
          <w:szCs w:val="24"/>
          <w:lang w:val="es-ES"/>
        </w:rPr>
        <w:t xml:space="preserve">es. </w:t>
      </w:r>
    </w:p>
    <w:p w:rsidR="00AE67B5" w:rsidRPr="00C4191A" w:rsidRDefault="00AE67B5" w:rsidP="003B043B">
      <w:pPr>
        <w:jc w:val="both"/>
        <w:rPr>
          <w:rFonts w:ascii="Times New Roman" w:hAnsi="Times New Roman" w:cs="Times New Roman"/>
          <w:sz w:val="24"/>
          <w:szCs w:val="24"/>
          <w:lang w:val="es-ES"/>
        </w:rPr>
      </w:pPr>
    </w:p>
    <w:p w:rsidR="00AE67B5" w:rsidRPr="00C4191A" w:rsidRDefault="00AE67B5" w:rsidP="003B043B">
      <w:pPr>
        <w:jc w:val="both"/>
        <w:rPr>
          <w:rFonts w:ascii="Times New Roman" w:hAnsi="Times New Roman" w:cs="Times New Roman"/>
          <w:b/>
          <w:sz w:val="24"/>
          <w:szCs w:val="24"/>
          <w:lang w:val="es-ES"/>
        </w:rPr>
      </w:pPr>
      <w:r w:rsidRPr="00C4191A">
        <w:rPr>
          <w:rFonts w:ascii="Times New Roman" w:hAnsi="Times New Roman" w:cs="Times New Roman"/>
          <w:b/>
          <w:sz w:val="24"/>
          <w:szCs w:val="24"/>
          <w:lang w:val="es-ES"/>
        </w:rPr>
        <w:t xml:space="preserve">Quejas ante la CNDH </w:t>
      </w:r>
    </w:p>
    <w:p w:rsidR="000B2EA4" w:rsidRPr="00C4191A" w:rsidRDefault="000B2EA4" w:rsidP="000B2EA4">
      <w:pPr>
        <w:jc w:val="both"/>
        <w:rPr>
          <w:rFonts w:ascii="Times New Roman" w:hAnsi="Times New Roman" w:cs="Times New Roman"/>
          <w:sz w:val="24"/>
          <w:szCs w:val="24"/>
        </w:rPr>
      </w:pPr>
      <w:r w:rsidRPr="00C4191A">
        <w:rPr>
          <w:rFonts w:ascii="Times New Roman" w:hAnsi="Times New Roman" w:cs="Times New Roman"/>
          <w:sz w:val="24"/>
          <w:szCs w:val="24"/>
        </w:rPr>
        <w:t xml:space="preserve">Del 1 de enero de 2011 al 30 de abril de 2015, la CNDH recibió 228 quejas en las que la persona agraviada era periodista. Esas quejas correspondieron a las entidades federativas siguientes: Aguascalientes, 1; Baja California, 7: Baja California Sur, 1; Campeche, 1; Chiapas, 8; Chihua, 8; Coahuila, 10; Colima, 1: Ciudad de México, 32; Durango, 2; Estado de México, 7 Guanajuato, 2: Guerrero, 17;  Hidalgo, 1; Jalisco, 1; Michoacán, 9;  Morelos, 3; Nayarit; 3; Nuevo León, 5;  Oaxaca, 13; Puebla, 6; Querétaro, 3; Quintan Roo, 13; San Luis Potosí, 4: Sinaloa, 5; Sonora, 15; Tabasco, 2; Tamaulipas, 14; Tlaxcala, 2: Veraxcruz,22; Yucatán, </w:t>
      </w:r>
      <w:r w:rsidR="003B043B" w:rsidRPr="00C4191A">
        <w:rPr>
          <w:rFonts w:ascii="Times New Roman" w:hAnsi="Times New Roman" w:cs="Times New Roman"/>
          <w:sz w:val="24"/>
          <w:szCs w:val="24"/>
        </w:rPr>
        <w:t>2; Zacatecas, 4, Sin Estado, 4.</w:t>
      </w:r>
    </w:p>
    <w:p w:rsidR="000B2EA4" w:rsidRPr="00C4191A" w:rsidRDefault="000B2EA4" w:rsidP="000B2EA4">
      <w:pPr>
        <w:jc w:val="both"/>
        <w:rPr>
          <w:rFonts w:ascii="Times New Roman" w:hAnsi="Times New Roman" w:cs="Times New Roman"/>
          <w:color w:val="000000" w:themeColor="text1"/>
          <w:sz w:val="24"/>
          <w:szCs w:val="24"/>
        </w:rPr>
      </w:pPr>
      <w:r w:rsidRPr="00C4191A">
        <w:rPr>
          <w:rFonts w:ascii="Times New Roman" w:hAnsi="Times New Roman" w:cs="Times New Roman"/>
          <w:color w:val="000000" w:themeColor="text1"/>
          <w:sz w:val="24"/>
          <w:szCs w:val="24"/>
        </w:rPr>
        <w:t xml:space="preserve">Los 10 hechos </w:t>
      </w:r>
      <w:r w:rsidRPr="00C4191A">
        <w:rPr>
          <w:rFonts w:ascii="Times New Roman" w:hAnsi="Times New Roman" w:cs="Times New Roman"/>
          <w:bCs/>
          <w:color w:val="000000"/>
          <w:sz w:val="24"/>
          <w:szCs w:val="24"/>
        </w:rPr>
        <w:t xml:space="preserve">presuntamente </w:t>
      </w:r>
      <w:r w:rsidRPr="00C4191A">
        <w:rPr>
          <w:rFonts w:ascii="Times New Roman" w:hAnsi="Times New Roman" w:cs="Times New Roman"/>
          <w:color w:val="000000" w:themeColor="text1"/>
          <w:sz w:val="24"/>
          <w:szCs w:val="24"/>
        </w:rPr>
        <w:t>violatorios d</w:t>
      </w:r>
      <w:r w:rsidRPr="00C4191A">
        <w:rPr>
          <w:rFonts w:ascii="Times New Roman" w:hAnsi="Times New Roman" w:cs="Times New Roman"/>
          <w:bCs/>
          <w:color w:val="000000"/>
          <w:sz w:val="24"/>
          <w:szCs w:val="24"/>
        </w:rPr>
        <w:t>e derechos humanos señalados con mayor frecuencia en los expedientes de queja son</w:t>
      </w:r>
      <w:r w:rsidRPr="00C4191A">
        <w:rPr>
          <w:rFonts w:ascii="Times New Roman" w:hAnsi="Times New Roman" w:cs="Times New Roman"/>
          <w:color w:val="000000" w:themeColor="text1"/>
          <w:sz w:val="24"/>
          <w:szCs w:val="24"/>
        </w:rPr>
        <w:t>: falta a la legalidad, honradez, lealtad, imparcialidad y eficacia en el desempeño de las funciones, empleos, cargos o comisiones (132); prestar indebidamente el servicio público (84); integrar la averiguación previa de manera irregular o deficiente (81); restringir el derecho de expresión por vías o medios indirectos (33); intimidación (32); emplear arbitrariamente la fuerza pública (27); detención arbitraria (17); trato cruel, inhumano o degradante (14); y omitir fu</w:t>
      </w:r>
      <w:r w:rsidR="008D0D97" w:rsidRPr="00C4191A">
        <w:rPr>
          <w:rFonts w:ascii="Times New Roman" w:hAnsi="Times New Roman" w:cs="Times New Roman"/>
          <w:color w:val="000000" w:themeColor="text1"/>
          <w:sz w:val="24"/>
          <w:szCs w:val="24"/>
        </w:rPr>
        <w:t>ndar el acto de autoridad (12).</w:t>
      </w:r>
    </w:p>
    <w:p w:rsidR="000B2EA4" w:rsidRPr="0095421C" w:rsidRDefault="000B2EA4" w:rsidP="000B2EA4">
      <w:pPr>
        <w:jc w:val="both"/>
        <w:rPr>
          <w:rFonts w:ascii="Times New Roman" w:hAnsi="Times New Roman" w:cs="Times New Roman"/>
          <w:sz w:val="24"/>
          <w:szCs w:val="24"/>
        </w:rPr>
      </w:pPr>
      <w:r w:rsidRPr="00C4191A">
        <w:rPr>
          <w:rFonts w:ascii="Times New Roman" w:hAnsi="Times New Roman" w:cs="Times New Roman"/>
          <w:sz w:val="24"/>
          <w:szCs w:val="24"/>
        </w:rPr>
        <w:lastRenderedPageBreak/>
        <w:t>Por lo que se refiere a defensores civiles de derechos humanos, la CNDH recibió 121 quejas en el período comprendido del 1 de enero de 2011 al 30 de abril de 2015, las cuales correspondieron a las entidades federativas siguientes: Baja California, 5; Campeche, 1; Chiapas, 14; Chihuahua, 12; Coahuila, 5, Ciudad de México, 11: Durango, 1; Estado de México, 5; Guerrero, 5; Hidalgo, 2; Jalisco, 2: Michoacán, 4: Morelos, 2: Nuevo León, 1: Oaxaca, 18: Puebla, 5; San Luis Potosí, 3, Sinaloa, 3; Sonora, 1; Tabasco, 6; Veracruz, 5; Yucatán, 1; Sin Estado 1; En el Extranjero, 1.</w:t>
      </w:r>
    </w:p>
    <w:p w:rsidR="000B2EA4" w:rsidRPr="000B2EA4" w:rsidRDefault="000B2EA4" w:rsidP="00944772">
      <w:pPr>
        <w:rPr>
          <w:rFonts w:ascii="Times New Roman" w:hAnsi="Times New Roman" w:cs="Times New Roman"/>
          <w:sz w:val="20"/>
          <w:szCs w:val="20"/>
        </w:rPr>
      </w:pPr>
    </w:p>
    <w:sectPr w:rsidR="000B2EA4" w:rsidRPr="000B2E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CA"/>
    <w:rsid w:val="00051B7B"/>
    <w:rsid w:val="000714C6"/>
    <w:rsid w:val="00076ACA"/>
    <w:rsid w:val="000B2EA4"/>
    <w:rsid w:val="00135447"/>
    <w:rsid w:val="00161A45"/>
    <w:rsid w:val="00180163"/>
    <w:rsid w:val="002969DE"/>
    <w:rsid w:val="002C4EE7"/>
    <w:rsid w:val="00305A48"/>
    <w:rsid w:val="003B043B"/>
    <w:rsid w:val="00412043"/>
    <w:rsid w:val="0041369E"/>
    <w:rsid w:val="00664EFD"/>
    <w:rsid w:val="00690F5E"/>
    <w:rsid w:val="006F31B0"/>
    <w:rsid w:val="008017E4"/>
    <w:rsid w:val="00814643"/>
    <w:rsid w:val="008D0D97"/>
    <w:rsid w:val="0090389E"/>
    <w:rsid w:val="00944772"/>
    <w:rsid w:val="00980F99"/>
    <w:rsid w:val="00AB4EBE"/>
    <w:rsid w:val="00AE67B5"/>
    <w:rsid w:val="00AE7370"/>
    <w:rsid w:val="00AE7B16"/>
    <w:rsid w:val="00BD1409"/>
    <w:rsid w:val="00C22308"/>
    <w:rsid w:val="00C4191A"/>
    <w:rsid w:val="00E01041"/>
    <w:rsid w:val="00EA5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A4E47-7417-4116-8C53-D78489B9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ustomXml" Target="../customXml/item1.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DEME%20INICIO%20SEP%202016\Tarjetas%20Comparecencia%20FEADLE\Consignaciones%20FEADLE%202.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Hoja12!$C$12</c:f>
              <c:strCache>
                <c:ptCount val="1"/>
                <c:pt idx="0">
                  <c:v>Total general</c:v>
                </c:pt>
              </c:strCache>
            </c:strRef>
          </c:tx>
          <c:spPr>
            <a:solidFill>
              <a:schemeClr val="accent3">
                <a:lumMod val="75000"/>
              </a:schemeClr>
            </a:solidFill>
          </c:spPr>
          <c:invertIfNegative val="0"/>
          <c:dLbls>
            <c:spPr>
              <a:noFill/>
              <a:ln>
                <a:noFill/>
              </a:ln>
              <a:effectLst/>
            </c:spPr>
            <c:txPr>
              <a:bodyPr wrap="square" lIns="38100" tIns="19050" rIns="38100" bIns="19050" anchor="ctr">
                <a:spAutoFit/>
              </a:bodyPr>
              <a:lstStyle/>
              <a:p>
                <a:pPr>
                  <a:defRPr sz="900"/>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Hoja12!$B$13:$B$44</c:f>
              <c:strCache>
                <c:ptCount val="32"/>
                <c:pt idx="0">
                  <c:v>Aguascalientes</c:v>
                </c:pt>
                <c:pt idx="1">
                  <c:v>Baja California</c:v>
                </c:pt>
                <c:pt idx="2">
                  <c:v>Baja California sur</c:v>
                </c:pt>
                <c:pt idx="3">
                  <c:v>Campeche</c:v>
                </c:pt>
                <c:pt idx="4">
                  <c:v>Chiapas</c:v>
                </c:pt>
                <c:pt idx="5">
                  <c:v>Chihuahua</c:v>
                </c:pt>
                <c:pt idx="6">
                  <c:v>Coahuila</c:v>
                </c:pt>
                <c:pt idx="7">
                  <c:v>Colima</c:v>
                </c:pt>
                <c:pt idx="8">
                  <c:v>Distrito Federal</c:v>
                </c:pt>
                <c:pt idx="9">
                  <c:v>Durango</c:v>
                </c:pt>
                <c:pt idx="10">
                  <c:v>Estado de México</c:v>
                </c:pt>
                <c:pt idx="11">
                  <c:v>Guanajuato</c:v>
                </c:pt>
                <c:pt idx="12">
                  <c:v>Guerrero</c:v>
                </c:pt>
                <c:pt idx="13">
                  <c:v>Hidalgo</c:v>
                </c:pt>
                <c:pt idx="14">
                  <c:v>Jalisco</c:v>
                </c:pt>
                <c:pt idx="15">
                  <c:v>Michoacán</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c:v>
                </c:pt>
                <c:pt idx="30">
                  <c:v>Yucatán</c:v>
                </c:pt>
                <c:pt idx="31">
                  <c:v>Zacatecas</c:v>
                </c:pt>
              </c:strCache>
            </c:strRef>
          </c:cat>
          <c:val>
            <c:numRef>
              <c:f>Hoja12!$C$13:$C$44</c:f>
              <c:numCache>
                <c:formatCode>General</c:formatCode>
                <c:ptCount val="32"/>
                <c:pt idx="0">
                  <c:v>8</c:v>
                </c:pt>
                <c:pt idx="1">
                  <c:v>12</c:v>
                </c:pt>
                <c:pt idx="2">
                  <c:v>10</c:v>
                </c:pt>
                <c:pt idx="3">
                  <c:v>6</c:v>
                </c:pt>
                <c:pt idx="4">
                  <c:v>20</c:v>
                </c:pt>
                <c:pt idx="5">
                  <c:v>37</c:v>
                </c:pt>
                <c:pt idx="6">
                  <c:v>39</c:v>
                </c:pt>
                <c:pt idx="7">
                  <c:v>1</c:v>
                </c:pt>
                <c:pt idx="8">
                  <c:v>121</c:v>
                </c:pt>
                <c:pt idx="9">
                  <c:v>2</c:v>
                </c:pt>
                <c:pt idx="10">
                  <c:v>65</c:v>
                </c:pt>
                <c:pt idx="11">
                  <c:v>7</c:v>
                </c:pt>
                <c:pt idx="12">
                  <c:v>44</c:v>
                </c:pt>
                <c:pt idx="13">
                  <c:v>8</c:v>
                </c:pt>
                <c:pt idx="14">
                  <c:v>13</c:v>
                </c:pt>
                <c:pt idx="15">
                  <c:v>26</c:v>
                </c:pt>
                <c:pt idx="16">
                  <c:v>20</c:v>
                </c:pt>
                <c:pt idx="17">
                  <c:v>12</c:v>
                </c:pt>
                <c:pt idx="18">
                  <c:v>9</c:v>
                </c:pt>
                <c:pt idx="19">
                  <c:v>49</c:v>
                </c:pt>
                <c:pt idx="20">
                  <c:v>24</c:v>
                </c:pt>
                <c:pt idx="21">
                  <c:v>5</c:v>
                </c:pt>
                <c:pt idx="22">
                  <c:v>38</c:v>
                </c:pt>
                <c:pt idx="23">
                  <c:v>8</c:v>
                </c:pt>
                <c:pt idx="24">
                  <c:v>17</c:v>
                </c:pt>
                <c:pt idx="25">
                  <c:v>20</c:v>
                </c:pt>
                <c:pt idx="26">
                  <c:v>17</c:v>
                </c:pt>
                <c:pt idx="27">
                  <c:v>35</c:v>
                </c:pt>
                <c:pt idx="28">
                  <c:v>16</c:v>
                </c:pt>
                <c:pt idx="29">
                  <c:v>78</c:v>
                </c:pt>
                <c:pt idx="30">
                  <c:v>23</c:v>
                </c:pt>
                <c:pt idx="31">
                  <c:v>9</c:v>
                </c:pt>
              </c:numCache>
            </c:numRef>
          </c:val>
        </c:ser>
        <c:dLbls>
          <c:showLegendKey val="0"/>
          <c:showVal val="0"/>
          <c:showCatName val="0"/>
          <c:showSerName val="0"/>
          <c:showPercent val="0"/>
          <c:showBubbleSize val="0"/>
        </c:dLbls>
        <c:gapWidth val="150"/>
        <c:shape val="cylinder"/>
        <c:axId val="1104748368"/>
        <c:axId val="1104754896"/>
        <c:axId val="0"/>
      </c:bar3DChart>
      <c:catAx>
        <c:axId val="1104748368"/>
        <c:scaling>
          <c:orientation val="minMax"/>
        </c:scaling>
        <c:delete val="0"/>
        <c:axPos val="b"/>
        <c:numFmt formatCode="General" sourceLinked="1"/>
        <c:majorTickMark val="out"/>
        <c:minorTickMark val="none"/>
        <c:tickLblPos val="nextTo"/>
        <c:txPr>
          <a:bodyPr/>
          <a:lstStyle/>
          <a:p>
            <a:pPr>
              <a:defRPr sz="900"/>
            </a:pPr>
            <a:endParaRPr lang="es-MX"/>
          </a:p>
        </c:txPr>
        <c:crossAx val="1104754896"/>
        <c:crosses val="autoZero"/>
        <c:auto val="1"/>
        <c:lblAlgn val="ctr"/>
        <c:lblOffset val="100"/>
        <c:noMultiLvlLbl val="0"/>
      </c:catAx>
      <c:valAx>
        <c:axId val="1104754896"/>
        <c:scaling>
          <c:orientation val="minMax"/>
        </c:scaling>
        <c:delete val="0"/>
        <c:axPos val="l"/>
        <c:majorGridlines/>
        <c:numFmt formatCode="General" sourceLinked="1"/>
        <c:majorTickMark val="out"/>
        <c:minorTickMark val="none"/>
        <c:tickLblPos val="nextTo"/>
        <c:txPr>
          <a:bodyPr/>
          <a:lstStyle/>
          <a:p>
            <a:pPr>
              <a:defRPr sz="900"/>
            </a:pPr>
            <a:endParaRPr lang="es-MX"/>
          </a:p>
        </c:txPr>
        <c:crossAx val="110474836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'TODAS AP GENERO'!$C$2</c:f>
              <c:strCache>
                <c:ptCount val="1"/>
                <c:pt idx="0">
                  <c:v>HOMBRES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'TODAS AP GENERO'!$B$3:$B$34</c:f>
              <c:strCache>
                <c:ptCount val="32"/>
                <c:pt idx="0">
                  <c:v>AGUASCALIENTES</c:v>
                </c:pt>
                <c:pt idx="1">
                  <c:v>BAJA CALIFORNIA</c:v>
                </c:pt>
                <c:pt idx="2">
                  <c:v>BAJA CALIFORNIA SUR</c:v>
                </c:pt>
                <c:pt idx="3">
                  <c:v>CAMPACHE</c:v>
                </c:pt>
                <c:pt idx="4">
                  <c:v>CHIAPAS</c:v>
                </c:pt>
                <c:pt idx="5">
                  <c:v>CHIHUAHUA</c:v>
                </c:pt>
                <c:pt idx="6">
                  <c:v>COAHUILA</c:v>
                </c:pt>
                <c:pt idx="7">
                  <c:v>COLIMA</c:v>
                </c:pt>
                <c:pt idx="8">
                  <c:v>DISTRITO FEDERAL</c:v>
                </c:pt>
                <c:pt idx="9">
                  <c:v>DURANGO</c:v>
                </c:pt>
                <c:pt idx="10">
                  <c:v>ESTADO DE MÉXICO</c:v>
                </c:pt>
                <c:pt idx="11">
                  <c:v>GUANAJUATO</c:v>
                </c:pt>
                <c:pt idx="12">
                  <c:v>GUERRERO</c:v>
                </c:pt>
                <c:pt idx="13">
                  <c:v>HIDALGO</c:v>
                </c:pt>
                <c:pt idx="14">
                  <c:v>JALISCO</c:v>
                </c:pt>
                <c:pt idx="15">
                  <c:v>MICHOACAN</c:v>
                </c:pt>
                <c:pt idx="16">
                  <c:v>MORELOS</c:v>
                </c:pt>
                <c:pt idx="17">
                  <c:v>NAYARIT</c:v>
                </c:pt>
                <c:pt idx="18">
                  <c:v>NUEVO LEON</c:v>
                </c:pt>
                <c:pt idx="19">
                  <c:v>OAXACA</c:v>
                </c:pt>
                <c:pt idx="20">
                  <c:v>PUEBLA</c:v>
                </c:pt>
                <c:pt idx="21">
                  <c:v>QUERETARO</c:v>
                </c:pt>
                <c:pt idx="22">
                  <c:v>QUINTANA ROO</c:v>
                </c:pt>
                <c:pt idx="23">
                  <c:v>SAN LUIS POTOSI</c:v>
                </c:pt>
                <c:pt idx="24">
                  <c:v>SINALOA</c:v>
                </c:pt>
                <c:pt idx="25">
                  <c:v>SONORA</c:v>
                </c:pt>
                <c:pt idx="26">
                  <c:v>TABASCO</c:v>
                </c:pt>
                <c:pt idx="27">
                  <c:v>TAMAULIPAS</c:v>
                </c:pt>
                <c:pt idx="28">
                  <c:v>TLAXCALA</c:v>
                </c:pt>
                <c:pt idx="29">
                  <c:v>VERACRUZ</c:v>
                </c:pt>
                <c:pt idx="30">
                  <c:v>YUCATÁN</c:v>
                </c:pt>
                <c:pt idx="31">
                  <c:v>ZACATECAS</c:v>
                </c:pt>
              </c:strCache>
            </c:strRef>
          </c:cat>
          <c:val>
            <c:numRef>
              <c:f>'TODAS AP GENERO'!$C$3:$C$34</c:f>
              <c:numCache>
                <c:formatCode>General</c:formatCode>
                <c:ptCount val="32"/>
                <c:pt idx="0">
                  <c:v>5</c:v>
                </c:pt>
                <c:pt idx="1">
                  <c:v>8</c:v>
                </c:pt>
                <c:pt idx="2">
                  <c:v>8</c:v>
                </c:pt>
                <c:pt idx="3">
                  <c:v>6</c:v>
                </c:pt>
                <c:pt idx="4">
                  <c:v>20</c:v>
                </c:pt>
                <c:pt idx="5">
                  <c:v>33</c:v>
                </c:pt>
                <c:pt idx="6">
                  <c:v>44</c:v>
                </c:pt>
                <c:pt idx="7">
                  <c:v>1</c:v>
                </c:pt>
                <c:pt idx="8">
                  <c:v>91</c:v>
                </c:pt>
                <c:pt idx="10">
                  <c:v>65</c:v>
                </c:pt>
                <c:pt idx="11">
                  <c:v>6</c:v>
                </c:pt>
                <c:pt idx="12">
                  <c:v>60</c:v>
                </c:pt>
                <c:pt idx="13">
                  <c:v>6</c:v>
                </c:pt>
                <c:pt idx="14">
                  <c:v>10</c:v>
                </c:pt>
                <c:pt idx="15">
                  <c:v>28</c:v>
                </c:pt>
                <c:pt idx="16">
                  <c:v>26</c:v>
                </c:pt>
                <c:pt idx="17">
                  <c:v>8</c:v>
                </c:pt>
                <c:pt idx="18">
                  <c:v>3</c:v>
                </c:pt>
                <c:pt idx="19">
                  <c:v>46</c:v>
                </c:pt>
                <c:pt idx="20">
                  <c:v>21</c:v>
                </c:pt>
                <c:pt idx="21">
                  <c:v>4</c:v>
                </c:pt>
                <c:pt idx="22">
                  <c:v>36</c:v>
                </c:pt>
                <c:pt idx="23">
                  <c:v>5</c:v>
                </c:pt>
                <c:pt idx="24">
                  <c:v>13</c:v>
                </c:pt>
                <c:pt idx="25">
                  <c:v>17</c:v>
                </c:pt>
                <c:pt idx="26">
                  <c:v>13</c:v>
                </c:pt>
                <c:pt idx="27">
                  <c:v>39</c:v>
                </c:pt>
                <c:pt idx="28">
                  <c:v>23</c:v>
                </c:pt>
                <c:pt idx="29">
                  <c:v>70</c:v>
                </c:pt>
                <c:pt idx="30">
                  <c:v>24</c:v>
                </c:pt>
                <c:pt idx="31">
                  <c:v>11</c:v>
                </c:pt>
              </c:numCache>
            </c:numRef>
          </c:val>
        </c:ser>
        <c:ser>
          <c:idx val="1"/>
          <c:order val="1"/>
          <c:tx>
            <c:strRef>
              <c:f>'TODAS AP GENERO'!$D$2</c:f>
              <c:strCache>
                <c:ptCount val="1"/>
                <c:pt idx="0">
                  <c:v>MUJERES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'TODAS AP GENERO'!$B$3:$B$34</c:f>
              <c:strCache>
                <c:ptCount val="32"/>
                <c:pt idx="0">
                  <c:v>AGUASCALIENTES</c:v>
                </c:pt>
                <c:pt idx="1">
                  <c:v>BAJA CALIFORNIA</c:v>
                </c:pt>
                <c:pt idx="2">
                  <c:v>BAJA CALIFORNIA SUR</c:v>
                </c:pt>
                <c:pt idx="3">
                  <c:v>CAMPACHE</c:v>
                </c:pt>
                <c:pt idx="4">
                  <c:v>CHIAPAS</c:v>
                </c:pt>
                <c:pt idx="5">
                  <c:v>CHIHUAHUA</c:v>
                </c:pt>
                <c:pt idx="6">
                  <c:v>COAHUILA</c:v>
                </c:pt>
                <c:pt idx="7">
                  <c:v>COLIMA</c:v>
                </c:pt>
                <c:pt idx="8">
                  <c:v>DISTRITO FEDERAL</c:v>
                </c:pt>
                <c:pt idx="9">
                  <c:v>DURANGO</c:v>
                </c:pt>
                <c:pt idx="10">
                  <c:v>ESTADO DE MÉXICO</c:v>
                </c:pt>
                <c:pt idx="11">
                  <c:v>GUANAJUATO</c:v>
                </c:pt>
                <c:pt idx="12">
                  <c:v>GUERRERO</c:v>
                </c:pt>
                <c:pt idx="13">
                  <c:v>HIDALGO</c:v>
                </c:pt>
                <c:pt idx="14">
                  <c:v>JALISCO</c:v>
                </c:pt>
                <c:pt idx="15">
                  <c:v>MICHOACAN</c:v>
                </c:pt>
                <c:pt idx="16">
                  <c:v>MORELOS</c:v>
                </c:pt>
                <c:pt idx="17">
                  <c:v>NAYARIT</c:v>
                </c:pt>
                <c:pt idx="18">
                  <c:v>NUEVO LEON</c:v>
                </c:pt>
                <c:pt idx="19">
                  <c:v>OAXACA</c:v>
                </c:pt>
                <c:pt idx="20">
                  <c:v>PUEBLA</c:v>
                </c:pt>
                <c:pt idx="21">
                  <c:v>QUERETARO</c:v>
                </c:pt>
                <c:pt idx="22">
                  <c:v>QUINTANA ROO</c:v>
                </c:pt>
                <c:pt idx="23">
                  <c:v>SAN LUIS POTOSI</c:v>
                </c:pt>
                <c:pt idx="24">
                  <c:v>SINALOA</c:v>
                </c:pt>
                <c:pt idx="25">
                  <c:v>SONORA</c:v>
                </c:pt>
                <c:pt idx="26">
                  <c:v>TABASCO</c:v>
                </c:pt>
                <c:pt idx="27">
                  <c:v>TAMAULIPAS</c:v>
                </c:pt>
                <c:pt idx="28">
                  <c:v>TLAXCALA</c:v>
                </c:pt>
                <c:pt idx="29">
                  <c:v>VERACRUZ</c:v>
                </c:pt>
                <c:pt idx="30">
                  <c:v>YUCATÁN</c:v>
                </c:pt>
                <c:pt idx="31">
                  <c:v>ZACATECAS</c:v>
                </c:pt>
              </c:strCache>
            </c:strRef>
          </c:cat>
          <c:val>
            <c:numRef>
              <c:f>'TODAS AP GENERO'!$D$3:$D$34</c:f>
              <c:numCache>
                <c:formatCode>General</c:formatCode>
                <c:ptCount val="32"/>
                <c:pt idx="0">
                  <c:v>3</c:v>
                </c:pt>
                <c:pt idx="1">
                  <c:v>4</c:v>
                </c:pt>
                <c:pt idx="2">
                  <c:v>2</c:v>
                </c:pt>
                <c:pt idx="3">
                  <c:v>1</c:v>
                </c:pt>
                <c:pt idx="4">
                  <c:v>3</c:v>
                </c:pt>
                <c:pt idx="5">
                  <c:v>4</c:v>
                </c:pt>
                <c:pt idx="6">
                  <c:v>5</c:v>
                </c:pt>
                <c:pt idx="8">
                  <c:v>46</c:v>
                </c:pt>
                <c:pt idx="9">
                  <c:v>2</c:v>
                </c:pt>
                <c:pt idx="10">
                  <c:v>10</c:v>
                </c:pt>
                <c:pt idx="11">
                  <c:v>2</c:v>
                </c:pt>
                <c:pt idx="12">
                  <c:v>19</c:v>
                </c:pt>
                <c:pt idx="13">
                  <c:v>4</c:v>
                </c:pt>
                <c:pt idx="14">
                  <c:v>5</c:v>
                </c:pt>
                <c:pt idx="15">
                  <c:v>6</c:v>
                </c:pt>
                <c:pt idx="16">
                  <c:v>4</c:v>
                </c:pt>
                <c:pt idx="17">
                  <c:v>4</c:v>
                </c:pt>
                <c:pt idx="18">
                  <c:v>1</c:v>
                </c:pt>
                <c:pt idx="19">
                  <c:v>6</c:v>
                </c:pt>
                <c:pt idx="20">
                  <c:v>6</c:v>
                </c:pt>
                <c:pt idx="21">
                  <c:v>1</c:v>
                </c:pt>
                <c:pt idx="22">
                  <c:v>16</c:v>
                </c:pt>
                <c:pt idx="23">
                  <c:v>3</c:v>
                </c:pt>
                <c:pt idx="24">
                  <c:v>4</c:v>
                </c:pt>
                <c:pt idx="25">
                  <c:v>3</c:v>
                </c:pt>
                <c:pt idx="26">
                  <c:v>3</c:v>
                </c:pt>
                <c:pt idx="27">
                  <c:v>2</c:v>
                </c:pt>
                <c:pt idx="28">
                  <c:v>2</c:v>
                </c:pt>
                <c:pt idx="29">
                  <c:v>28</c:v>
                </c:pt>
                <c:pt idx="30">
                  <c:v>1</c:v>
                </c:pt>
                <c:pt idx="31">
                  <c:v>5</c:v>
                </c:pt>
              </c:numCache>
            </c:numRef>
          </c:val>
        </c:ser>
        <c:ser>
          <c:idx val="2"/>
          <c:order val="2"/>
          <c:tx>
            <c:strRef>
              <c:f>'TODAS AP GENERO'!$E$2</c:f>
              <c:strCache>
                <c:ptCount val="1"/>
                <c:pt idx="0">
                  <c:v>MEDIO</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'TODAS AP GENERO'!$B$3:$B$34</c:f>
              <c:strCache>
                <c:ptCount val="32"/>
                <c:pt idx="0">
                  <c:v>AGUASCALIENTES</c:v>
                </c:pt>
                <c:pt idx="1">
                  <c:v>BAJA CALIFORNIA</c:v>
                </c:pt>
                <c:pt idx="2">
                  <c:v>BAJA CALIFORNIA SUR</c:v>
                </c:pt>
                <c:pt idx="3">
                  <c:v>CAMPACHE</c:v>
                </c:pt>
                <c:pt idx="4">
                  <c:v>CHIAPAS</c:v>
                </c:pt>
                <c:pt idx="5">
                  <c:v>CHIHUAHUA</c:v>
                </c:pt>
                <c:pt idx="6">
                  <c:v>COAHUILA</c:v>
                </c:pt>
                <c:pt idx="7">
                  <c:v>COLIMA</c:v>
                </c:pt>
                <c:pt idx="8">
                  <c:v>DISTRITO FEDERAL</c:v>
                </c:pt>
                <c:pt idx="9">
                  <c:v>DURANGO</c:v>
                </c:pt>
                <c:pt idx="10">
                  <c:v>ESTADO DE MÉXICO</c:v>
                </c:pt>
                <c:pt idx="11">
                  <c:v>GUANAJUATO</c:v>
                </c:pt>
                <c:pt idx="12">
                  <c:v>GUERRERO</c:v>
                </c:pt>
                <c:pt idx="13">
                  <c:v>HIDALGO</c:v>
                </c:pt>
                <c:pt idx="14">
                  <c:v>JALISCO</c:v>
                </c:pt>
                <c:pt idx="15">
                  <c:v>MICHOACAN</c:v>
                </c:pt>
                <c:pt idx="16">
                  <c:v>MORELOS</c:v>
                </c:pt>
                <c:pt idx="17">
                  <c:v>NAYARIT</c:v>
                </c:pt>
                <c:pt idx="18">
                  <c:v>NUEVO LEON</c:v>
                </c:pt>
                <c:pt idx="19">
                  <c:v>OAXACA</c:v>
                </c:pt>
                <c:pt idx="20">
                  <c:v>PUEBLA</c:v>
                </c:pt>
                <c:pt idx="21">
                  <c:v>QUERETARO</c:v>
                </c:pt>
                <c:pt idx="22">
                  <c:v>QUINTANA ROO</c:v>
                </c:pt>
                <c:pt idx="23">
                  <c:v>SAN LUIS POTOSI</c:v>
                </c:pt>
                <c:pt idx="24">
                  <c:v>SINALOA</c:v>
                </c:pt>
                <c:pt idx="25">
                  <c:v>SONORA</c:v>
                </c:pt>
                <c:pt idx="26">
                  <c:v>TABASCO</c:v>
                </c:pt>
                <c:pt idx="27">
                  <c:v>TAMAULIPAS</c:v>
                </c:pt>
                <c:pt idx="28">
                  <c:v>TLAXCALA</c:v>
                </c:pt>
                <c:pt idx="29">
                  <c:v>VERACRUZ</c:v>
                </c:pt>
                <c:pt idx="30">
                  <c:v>YUCATÁN</c:v>
                </c:pt>
                <c:pt idx="31">
                  <c:v>ZACATECAS</c:v>
                </c:pt>
              </c:strCache>
            </c:strRef>
          </c:cat>
          <c:val>
            <c:numRef>
              <c:f>'TODAS AP GENERO'!$E$3:$E$34</c:f>
              <c:numCache>
                <c:formatCode>General</c:formatCode>
                <c:ptCount val="32"/>
                <c:pt idx="0">
                  <c:v>1</c:v>
                </c:pt>
                <c:pt idx="5">
                  <c:v>5</c:v>
                </c:pt>
                <c:pt idx="6">
                  <c:v>5</c:v>
                </c:pt>
                <c:pt idx="8">
                  <c:v>6</c:v>
                </c:pt>
                <c:pt idx="10">
                  <c:v>1</c:v>
                </c:pt>
                <c:pt idx="14">
                  <c:v>8</c:v>
                </c:pt>
                <c:pt idx="16">
                  <c:v>1</c:v>
                </c:pt>
                <c:pt idx="18">
                  <c:v>5</c:v>
                </c:pt>
                <c:pt idx="19">
                  <c:v>3</c:v>
                </c:pt>
                <c:pt idx="22">
                  <c:v>2</c:v>
                </c:pt>
                <c:pt idx="24">
                  <c:v>1</c:v>
                </c:pt>
                <c:pt idx="26">
                  <c:v>2</c:v>
                </c:pt>
                <c:pt idx="27">
                  <c:v>4</c:v>
                </c:pt>
                <c:pt idx="28">
                  <c:v>1</c:v>
                </c:pt>
                <c:pt idx="29">
                  <c:v>3</c:v>
                </c:pt>
                <c:pt idx="30">
                  <c:v>1</c:v>
                </c:pt>
              </c:numCache>
            </c:numRef>
          </c:val>
        </c:ser>
        <c:dLbls>
          <c:showLegendKey val="0"/>
          <c:showVal val="1"/>
          <c:showCatName val="0"/>
          <c:showSerName val="0"/>
          <c:showPercent val="0"/>
          <c:showBubbleSize val="0"/>
        </c:dLbls>
        <c:gapWidth val="150"/>
        <c:shape val="box"/>
        <c:axId val="1104743472"/>
        <c:axId val="1104740208"/>
        <c:axId val="0"/>
      </c:bar3DChart>
      <c:catAx>
        <c:axId val="1104743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04740208"/>
        <c:crosses val="autoZero"/>
        <c:auto val="1"/>
        <c:lblAlgn val="ctr"/>
        <c:lblOffset val="100"/>
        <c:noMultiLvlLbl val="0"/>
      </c:catAx>
      <c:valAx>
        <c:axId val="1104740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04743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8.5106379387464043E-2"/>
          <c:y val="3.198185753096653E-2"/>
          <c:w val="0.89114835725920127"/>
          <c:h val="0.83807846387622587"/>
        </c:manualLayout>
      </c:layout>
      <c:bar3DChart>
        <c:barDir val="col"/>
        <c:grouping val="clustered"/>
        <c:varyColors val="0"/>
        <c:ser>
          <c:idx val="0"/>
          <c:order val="0"/>
          <c:tx>
            <c:strRef>
              <c:f>Hoja3!$B$4:$B$5</c:f>
              <c:strCache>
                <c:ptCount val="2"/>
                <c:pt idx="0">
                  <c:v>INCIDENCIA DELICTIVA DE LAS AVERIGUACIONES PREVIAS CONSIGNADAS</c:v>
                </c:pt>
                <c:pt idx="1">
                  <c:v>INCIDENCIA</c:v>
                </c:pt>
              </c:strCache>
            </c:strRef>
          </c:tx>
          <c:spPr>
            <a:solidFill>
              <a:srgbClr val="5B9BD5"/>
            </a:solidFill>
            <a:ln w="25400">
              <a:noFill/>
            </a:ln>
          </c:spPr>
          <c:invertIfNegative val="0"/>
          <c:dLbls>
            <c:spPr>
              <a:noFill/>
              <a:ln>
                <a:noFill/>
              </a:ln>
              <a:effectLst/>
            </c:spPr>
            <c:txPr>
              <a:bodyPr wrap="square" lIns="38100" tIns="19050" rIns="38100" bIns="19050" anchor="ctr">
                <a:spAutoFit/>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Hoja3!$A$6:$A$17</c:f>
              <c:strCache>
                <c:ptCount val="12"/>
                <c:pt idx="0">
                  <c:v>ABUSO DE AUTORIDAD </c:v>
                </c:pt>
                <c:pt idx="1">
                  <c:v>ROBO</c:v>
                </c:pt>
                <c:pt idx="2">
                  <c:v>LESIONES</c:v>
                </c:pt>
                <c:pt idx="3">
                  <c:v>AMENAZAS</c:v>
                </c:pt>
                <c:pt idx="4">
                  <c:v>PRIVACIÓN ILEGAL
DE LA LIBERTAD</c:v>
                </c:pt>
                <c:pt idx="5">
                  <c:v>DAÑO EN PROPIEDAD AJENA</c:v>
                </c:pt>
                <c:pt idx="6">
                  <c:v>HOMICIDIO</c:v>
                </c:pt>
                <c:pt idx="7">
                  <c:v>VIOLACIÓN A LA LEY FEDERAL DE ARMAS DE FUEGO Y EXPLOSIVOS</c:v>
                </c:pt>
                <c:pt idx="8">
                  <c:v>TORTURA*</c:v>
                </c:pt>
                <c:pt idx="9">
                  <c:v>TENTATIVA DE HOMICIDIO</c:v>
                </c:pt>
                <c:pt idx="10">
                  <c:v>ATAQUE A LAS VÍAS GENERALES DE COMUNICACIÓN</c:v>
                </c:pt>
                <c:pt idx="11">
                  <c:v>FALSEDAD DE DECLARACIÓN</c:v>
                </c:pt>
              </c:strCache>
            </c:strRef>
          </c:cat>
          <c:val>
            <c:numRef>
              <c:f>Hoja3!$B$6:$B$17</c:f>
              <c:numCache>
                <c:formatCode>General</c:formatCode>
                <c:ptCount val="12"/>
                <c:pt idx="0">
                  <c:v>60</c:v>
                </c:pt>
                <c:pt idx="1">
                  <c:v>11</c:v>
                </c:pt>
                <c:pt idx="2">
                  <c:v>11</c:v>
                </c:pt>
                <c:pt idx="3">
                  <c:v>8</c:v>
                </c:pt>
                <c:pt idx="4">
                  <c:v>6</c:v>
                </c:pt>
                <c:pt idx="5">
                  <c:v>5</c:v>
                </c:pt>
                <c:pt idx="6">
                  <c:v>4</c:v>
                </c:pt>
                <c:pt idx="7">
                  <c:v>2</c:v>
                </c:pt>
                <c:pt idx="8">
                  <c:v>2</c:v>
                </c:pt>
                <c:pt idx="9">
                  <c:v>1</c:v>
                </c:pt>
                <c:pt idx="10">
                  <c:v>1</c:v>
                </c:pt>
                <c:pt idx="11">
                  <c:v>1</c:v>
                </c:pt>
              </c:numCache>
            </c:numRef>
          </c:val>
        </c:ser>
        <c:dLbls>
          <c:showLegendKey val="0"/>
          <c:showVal val="0"/>
          <c:showCatName val="0"/>
          <c:showSerName val="0"/>
          <c:showPercent val="0"/>
          <c:showBubbleSize val="0"/>
        </c:dLbls>
        <c:gapWidth val="150"/>
        <c:shape val="box"/>
        <c:axId val="1104742384"/>
        <c:axId val="1104744016"/>
        <c:axId val="0"/>
      </c:bar3DChart>
      <c:catAx>
        <c:axId val="1104742384"/>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s-MX"/>
          </a:p>
        </c:txPr>
        <c:crossAx val="1104744016"/>
        <c:crosses val="autoZero"/>
        <c:auto val="0"/>
        <c:lblAlgn val="ctr"/>
        <c:lblOffset val="100"/>
        <c:noMultiLvlLbl val="0"/>
      </c:catAx>
      <c:valAx>
        <c:axId val="110474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104742384"/>
        <c:crosses val="autoZero"/>
        <c:crossBetween val="between"/>
      </c:valAx>
      <c:spPr>
        <a:noFill/>
        <a:ln w="25400">
          <a:noFill/>
        </a:ln>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'CONSIGNADAS EDO'!$C$2</c:f>
              <c:strCache>
                <c:ptCount val="1"/>
                <c:pt idx="0">
                  <c:v>CANTIDAD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'CONSIGNADAS EDO'!$B$3:$B$27</c:f>
              <c:strCache>
                <c:ptCount val="25"/>
                <c:pt idx="0">
                  <c:v>AGUASCALIENTES</c:v>
                </c:pt>
                <c:pt idx="1">
                  <c:v>BAJA CALIFORNIA</c:v>
                </c:pt>
                <c:pt idx="2">
                  <c:v>BAJA CALIFORNIA SUR</c:v>
                </c:pt>
                <c:pt idx="3">
                  <c:v>CAMPACHE</c:v>
                </c:pt>
                <c:pt idx="4">
                  <c:v>CHIAPAS</c:v>
                </c:pt>
                <c:pt idx="5">
                  <c:v>CHIHUAHUA</c:v>
                </c:pt>
                <c:pt idx="6">
                  <c:v>COAHUILA</c:v>
                </c:pt>
                <c:pt idx="7">
                  <c:v>DISTRITO FEDERAL</c:v>
                </c:pt>
                <c:pt idx="8">
                  <c:v>ESTADO DE MÉXICO</c:v>
                </c:pt>
                <c:pt idx="9">
                  <c:v>GUANAJUATO</c:v>
                </c:pt>
                <c:pt idx="10">
                  <c:v>GUERRERO</c:v>
                </c:pt>
                <c:pt idx="11">
                  <c:v>HIDALGO</c:v>
                </c:pt>
                <c:pt idx="12">
                  <c:v>MICHOACAN</c:v>
                </c:pt>
                <c:pt idx="13">
                  <c:v>MORELOS</c:v>
                </c:pt>
                <c:pt idx="14">
                  <c:v>OAXACA</c:v>
                </c:pt>
                <c:pt idx="15">
                  <c:v>PUEBLA</c:v>
                </c:pt>
                <c:pt idx="16">
                  <c:v>QUERETARO</c:v>
                </c:pt>
                <c:pt idx="17">
                  <c:v>QUINTANA ROO</c:v>
                </c:pt>
                <c:pt idx="18">
                  <c:v>SONORA</c:v>
                </c:pt>
                <c:pt idx="19">
                  <c:v>TABASCO</c:v>
                </c:pt>
                <c:pt idx="20">
                  <c:v>TAMAULIPAS</c:v>
                </c:pt>
                <c:pt idx="21">
                  <c:v>TLAXCALA</c:v>
                </c:pt>
                <c:pt idx="22">
                  <c:v>VERACRUZ</c:v>
                </c:pt>
                <c:pt idx="23">
                  <c:v>YUCATÁN</c:v>
                </c:pt>
                <c:pt idx="24">
                  <c:v>ZACATECAS</c:v>
                </c:pt>
              </c:strCache>
            </c:strRef>
          </c:cat>
          <c:val>
            <c:numRef>
              <c:f>'CONSIGNADAS EDO'!$C$3:$C$27</c:f>
              <c:numCache>
                <c:formatCode>General</c:formatCode>
                <c:ptCount val="25"/>
                <c:pt idx="0">
                  <c:v>1</c:v>
                </c:pt>
                <c:pt idx="1">
                  <c:v>2</c:v>
                </c:pt>
                <c:pt idx="2">
                  <c:v>2</c:v>
                </c:pt>
                <c:pt idx="3">
                  <c:v>1</c:v>
                </c:pt>
                <c:pt idx="4">
                  <c:v>7</c:v>
                </c:pt>
                <c:pt idx="5">
                  <c:v>7</c:v>
                </c:pt>
                <c:pt idx="6">
                  <c:v>8</c:v>
                </c:pt>
                <c:pt idx="7">
                  <c:v>7</c:v>
                </c:pt>
                <c:pt idx="8">
                  <c:v>17</c:v>
                </c:pt>
                <c:pt idx="9">
                  <c:v>2</c:v>
                </c:pt>
                <c:pt idx="10">
                  <c:v>3</c:v>
                </c:pt>
                <c:pt idx="11">
                  <c:v>3</c:v>
                </c:pt>
                <c:pt idx="12">
                  <c:v>6</c:v>
                </c:pt>
                <c:pt idx="13">
                  <c:v>2</c:v>
                </c:pt>
                <c:pt idx="14">
                  <c:v>7</c:v>
                </c:pt>
                <c:pt idx="15">
                  <c:v>4</c:v>
                </c:pt>
                <c:pt idx="16">
                  <c:v>3</c:v>
                </c:pt>
                <c:pt idx="17">
                  <c:v>7</c:v>
                </c:pt>
                <c:pt idx="18">
                  <c:v>1</c:v>
                </c:pt>
                <c:pt idx="19">
                  <c:v>5</c:v>
                </c:pt>
                <c:pt idx="20">
                  <c:v>5</c:v>
                </c:pt>
                <c:pt idx="21">
                  <c:v>1</c:v>
                </c:pt>
                <c:pt idx="22">
                  <c:v>7</c:v>
                </c:pt>
                <c:pt idx="23">
                  <c:v>3</c:v>
                </c:pt>
                <c:pt idx="24">
                  <c:v>1</c:v>
                </c:pt>
              </c:numCache>
            </c:numRef>
          </c:val>
        </c:ser>
        <c:dLbls>
          <c:dLblPos val="outEnd"/>
          <c:showLegendKey val="0"/>
          <c:showVal val="1"/>
          <c:showCatName val="0"/>
          <c:showSerName val="0"/>
          <c:showPercent val="0"/>
          <c:showBubbleSize val="0"/>
        </c:dLbls>
        <c:gapWidth val="219"/>
        <c:overlap val="-27"/>
        <c:axId val="1225532400"/>
        <c:axId val="1225539472"/>
      </c:barChart>
      <c:catAx>
        <c:axId val="122553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25539472"/>
        <c:crosses val="autoZero"/>
        <c:auto val="1"/>
        <c:lblAlgn val="ctr"/>
        <c:lblOffset val="100"/>
        <c:noMultiLvlLbl val="0"/>
      </c:catAx>
      <c:valAx>
        <c:axId val="122553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2553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45957951793703"/>
          <c:y val="1.5687160997417425E-2"/>
          <c:w val="0.74701405705142254"/>
          <c:h val="0.81692578724371567"/>
        </c:manualLayout>
      </c:layout>
      <c:barChart>
        <c:barDir val="bar"/>
        <c:grouping val="clustered"/>
        <c:varyColors val="0"/>
        <c:ser>
          <c:idx val="0"/>
          <c:order val="0"/>
          <c:tx>
            <c:strRef>
              <c:f>'CONSIG EDO GEN'!$C$2</c:f>
              <c:strCache>
                <c:ptCount val="1"/>
                <c:pt idx="0">
                  <c:v>MASCULINO</c:v>
                </c:pt>
              </c:strCache>
            </c:strRef>
          </c:tx>
          <c:spPr>
            <a:solidFill>
              <a:schemeClr val="accent1">
                <a:lumMod val="75000"/>
              </a:schemeClr>
            </a:solidFill>
            <a:ln w="9525" cap="flat" cmpd="sng" algn="ctr">
              <a:solidFill>
                <a:schemeClr val="accent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'CONSIG EDO GEN'!$B$3:$B$27</c:f>
              <c:strCache>
                <c:ptCount val="25"/>
                <c:pt idx="0">
                  <c:v>AGUASCALIENTES</c:v>
                </c:pt>
                <c:pt idx="1">
                  <c:v>BAJA CALIFORNIA</c:v>
                </c:pt>
                <c:pt idx="2">
                  <c:v>BAJA CALIFORNIA SUR</c:v>
                </c:pt>
                <c:pt idx="3">
                  <c:v>CAMPACHE</c:v>
                </c:pt>
                <c:pt idx="4">
                  <c:v>CHIAPAS</c:v>
                </c:pt>
                <c:pt idx="5">
                  <c:v>CHIHUAHUA</c:v>
                </c:pt>
                <c:pt idx="6">
                  <c:v>COAHUILA</c:v>
                </c:pt>
                <c:pt idx="7">
                  <c:v>DISTRITO FEDERAL</c:v>
                </c:pt>
                <c:pt idx="8">
                  <c:v>ESTADO DE MÉXICO</c:v>
                </c:pt>
                <c:pt idx="9">
                  <c:v>GUANAJUATO</c:v>
                </c:pt>
                <c:pt idx="10">
                  <c:v>GUERRERO</c:v>
                </c:pt>
                <c:pt idx="11">
                  <c:v>HIDALGO</c:v>
                </c:pt>
                <c:pt idx="12">
                  <c:v>MICHOACAN</c:v>
                </c:pt>
                <c:pt idx="13">
                  <c:v>MORELOS</c:v>
                </c:pt>
                <c:pt idx="14">
                  <c:v>OAXACA</c:v>
                </c:pt>
                <c:pt idx="15">
                  <c:v>PUEBLA</c:v>
                </c:pt>
                <c:pt idx="16">
                  <c:v>QUERETARO</c:v>
                </c:pt>
                <c:pt idx="17">
                  <c:v>QUINTANA ROO</c:v>
                </c:pt>
                <c:pt idx="18">
                  <c:v>SONORA</c:v>
                </c:pt>
                <c:pt idx="19">
                  <c:v>TABASCO</c:v>
                </c:pt>
                <c:pt idx="20">
                  <c:v>TAMAULIPAS</c:v>
                </c:pt>
                <c:pt idx="21">
                  <c:v>TLAXCALA</c:v>
                </c:pt>
                <c:pt idx="22">
                  <c:v>VERACRUZ</c:v>
                </c:pt>
                <c:pt idx="23">
                  <c:v>YUCATÁN</c:v>
                </c:pt>
                <c:pt idx="24">
                  <c:v>ZACATECAS</c:v>
                </c:pt>
              </c:strCache>
            </c:strRef>
          </c:cat>
          <c:val>
            <c:numRef>
              <c:f>'CONSIG EDO GEN'!$C$3:$C$27</c:f>
              <c:numCache>
                <c:formatCode>General</c:formatCode>
                <c:ptCount val="25"/>
                <c:pt idx="0">
                  <c:v>2</c:v>
                </c:pt>
                <c:pt idx="1">
                  <c:v>3</c:v>
                </c:pt>
                <c:pt idx="2">
                  <c:v>5</c:v>
                </c:pt>
                <c:pt idx="3">
                  <c:v>2</c:v>
                </c:pt>
                <c:pt idx="4">
                  <c:v>8</c:v>
                </c:pt>
                <c:pt idx="5">
                  <c:v>12</c:v>
                </c:pt>
                <c:pt idx="6">
                  <c:v>17</c:v>
                </c:pt>
                <c:pt idx="7">
                  <c:v>9</c:v>
                </c:pt>
                <c:pt idx="8">
                  <c:v>26</c:v>
                </c:pt>
                <c:pt idx="10">
                  <c:v>14</c:v>
                </c:pt>
                <c:pt idx="11">
                  <c:v>1</c:v>
                </c:pt>
                <c:pt idx="12">
                  <c:v>6</c:v>
                </c:pt>
                <c:pt idx="13">
                  <c:v>3</c:v>
                </c:pt>
                <c:pt idx="14">
                  <c:v>33</c:v>
                </c:pt>
                <c:pt idx="15">
                  <c:v>6</c:v>
                </c:pt>
                <c:pt idx="16">
                  <c:v>3</c:v>
                </c:pt>
                <c:pt idx="17">
                  <c:v>9</c:v>
                </c:pt>
                <c:pt idx="18">
                  <c:v>1</c:v>
                </c:pt>
                <c:pt idx="19">
                  <c:v>4</c:v>
                </c:pt>
                <c:pt idx="20">
                  <c:v>3</c:v>
                </c:pt>
                <c:pt idx="21">
                  <c:v>1</c:v>
                </c:pt>
                <c:pt idx="22">
                  <c:v>12</c:v>
                </c:pt>
                <c:pt idx="23">
                  <c:v>10</c:v>
                </c:pt>
                <c:pt idx="24">
                  <c:v>1</c:v>
                </c:pt>
              </c:numCache>
            </c:numRef>
          </c:val>
        </c:ser>
        <c:ser>
          <c:idx val="1"/>
          <c:order val="1"/>
          <c:tx>
            <c:strRef>
              <c:f>'CONSIG EDO GEN'!$D$2</c:f>
              <c:strCache>
                <c:ptCount val="1"/>
                <c:pt idx="0">
                  <c:v>FEMENINO</c:v>
                </c:pt>
              </c:strCache>
            </c:strRef>
          </c:tx>
          <c:spPr>
            <a:solidFill>
              <a:srgbClr val="7030A0"/>
            </a:soli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'CONSIG EDO GEN'!$B$3:$B$27</c:f>
              <c:strCache>
                <c:ptCount val="25"/>
                <c:pt idx="0">
                  <c:v>AGUASCALIENTES</c:v>
                </c:pt>
                <c:pt idx="1">
                  <c:v>BAJA CALIFORNIA</c:v>
                </c:pt>
                <c:pt idx="2">
                  <c:v>BAJA CALIFORNIA SUR</c:v>
                </c:pt>
                <c:pt idx="3">
                  <c:v>CAMPACHE</c:v>
                </c:pt>
                <c:pt idx="4">
                  <c:v>CHIAPAS</c:v>
                </c:pt>
                <c:pt idx="5">
                  <c:v>CHIHUAHUA</c:v>
                </c:pt>
                <c:pt idx="6">
                  <c:v>COAHUILA</c:v>
                </c:pt>
                <c:pt idx="7">
                  <c:v>DISTRITO FEDERAL</c:v>
                </c:pt>
                <c:pt idx="8">
                  <c:v>ESTADO DE MÉXICO</c:v>
                </c:pt>
                <c:pt idx="9">
                  <c:v>GUANAJUATO</c:v>
                </c:pt>
                <c:pt idx="10">
                  <c:v>GUERRERO</c:v>
                </c:pt>
                <c:pt idx="11">
                  <c:v>HIDALGO</c:v>
                </c:pt>
                <c:pt idx="12">
                  <c:v>MICHOACAN</c:v>
                </c:pt>
                <c:pt idx="13">
                  <c:v>MORELOS</c:v>
                </c:pt>
                <c:pt idx="14">
                  <c:v>OAXACA</c:v>
                </c:pt>
                <c:pt idx="15">
                  <c:v>PUEBLA</c:v>
                </c:pt>
                <c:pt idx="16">
                  <c:v>QUERETARO</c:v>
                </c:pt>
                <c:pt idx="17">
                  <c:v>QUINTANA ROO</c:v>
                </c:pt>
                <c:pt idx="18">
                  <c:v>SONORA</c:v>
                </c:pt>
                <c:pt idx="19">
                  <c:v>TABASCO</c:v>
                </c:pt>
                <c:pt idx="20">
                  <c:v>TAMAULIPAS</c:v>
                </c:pt>
                <c:pt idx="21">
                  <c:v>TLAXCALA</c:v>
                </c:pt>
                <c:pt idx="22">
                  <c:v>VERACRUZ</c:v>
                </c:pt>
                <c:pt idx="23">
                  <c:v>YUCATÁN</c:v>
                </c:pt>
                <c:pt idx="24">
                  <c:v>ZACATECAS</c:v>
                </c:pt>
              </c:strCache>
            </c:strRef>
          </c:cat>
          <c:val>
            <c:numRef>
              <c:f>'CONSIG EDO GEN'!$D$3:$D$27</c:f>
              <c:numCache>
                <c:formatCode>General</c:formatCode>
                <c:ptCount val="25"/>
                <c:pt idx="4">
                  <c:v>3</c:v>
                </c:pt>
                <c:pt idx="5">
                  <c:v>1</c:v>
                </c:pt>
                <c:pt idx="6">
                  <c:v>1</c:v>
                </c:pt>
                <c:pt idx="7">
                  <c:v>4</c:v>
                </c:pt>
                <c:pt idx="8">
                  <c:v>2</c:v>
                </c:pt>
                <c:pt idx="9">
                  <c:v>2</c:v>
                </c:pt>
                <c:pt idx="10">
                  <c:v>3</c:v>
                </c:pt>
                <c:pt idx="11">
                  <c:v>1</c:v>
                </c:pt>
                <c:pt idx="15">
                  <c:v>3</c:v>
                </c:pt>
                <c:pt idx="16">
                  <c:v>2</c:v>
                </c:pt>
                <c:pt idx="17">
                  <c:v>1</c:v>
                </c:pt>
                <c:pt idx="19">
                  <c:v>1</c:v>
                </c:pt>
                <c:pt idx="20">
                  <c:v>2</c:v>
                </c:pt>
                <c:pt idx="22">
                  <c:v>1</c:v>
                </c:pt>
              </c:numCache>
            </c:numRef>
          </c:val>
        </c:ser>
        <c:dLbls>
          <c:dLblPos val="outEnd"/>
          <c:showLegendKey val="0"/>
          <c:showVal val="1"/>
          <c:showCatName val="0"/>
          <c:showSerName val="0"/>
          <c:showPercent val="0"/>
          <c:showBubbleSize val="0"/>
        </c:dLbls>
        <c:gapWidth val="100"/>
        <c:axId val="1225537840"/>
        <c:axId val="1225536752"/>
      </c:barChart>
      <c:catAx>
        <c:axId val="122553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1225536752"/>
        <c:crosses val="autoZero"/>
        <c:auto val="1"/>
        <c:lblAlgn val="ctr"/>
        <c:lblOffset val="100"/>
        <c:noMultiLvlLbl val="0"/>
      </c:catAx>
      <c:valAx>
        <c:axId val="122553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1225537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B1A1E-60C1-4771-A51D-BDD0D6014B84}"/>
</file>

<file path=customXml/itemProps2.xml><?xml version="1.0" encoding="utf-8"?>
<ds:datastoreItem xmlns:ds="http://schemas.openxmlformats.org/officeDocument/2006/customXml" ds:itemID="{79843C63-8625-428C-AD23-708A7FECEACD}"/>
</file>

<file path=customXml/itemProps3.xml><?xml version="1.0" encoding="utf-8"?>
<ds:datastoreItem xmlns:ds="http://schemas.openxmlformats.org/officeDocument/2006/customXml" ds:itemID="{A70DD554-EE22-4708-AC2D-ECD310145E03}"/>
</file>

<file path=docProps/app.xml><?xml version="1.0" encoding="utf-8"?>
<Properties xmlns="http://schemas.openxmlformats.org/officeDocument/2006/extended-properties" xmlns:vt="http://schemas.openxmlformats.org/officeDocument/2006/docPropsVTypes">
  <Template>Normal</Template>
  <TotalTime>6</TotalTime>
  <Pages>6</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 Arroyo, Ana Paula</dc:creator>
  <cp:keywords/>
  <dc:description/>
  <cp:lastModifiedBy>Arias Guerrero, Alejandra</cp:lastModifiedBy>
  <cp:revision>10</cp:revision>
  <dcterms:created xsi:type="dcterms:W3CDTF">2017-07-12T15:13:00Z</dcterms:created>
  <dcterms:modified xsi:type="dcterms:W3CDTF">2018-01-08T18:39:00Z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