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5961A" w14:textId="77777777" w:rsidR="00BF7D9E" w:rsidRDefault="00BF7D9E" w:rsidP="00BF7D9E">
      <w:pPr>
        <w:pStyle w:val="SingleTxtG"/>
        <w:spacing w:line="240" w:lineRule="auto"/>
        <w:ind w:left="0" w:right="0"/>
        <w:jc w:val="right"/>
        <w:rPr>
          <w:b/>
          <w:i/>
          <w:sz w:val="24"/>
          <w:szCs w:val="24"/>
          <w:lang w:val="en-US" w:bidi="en-GB"/>
        </w:rPr>
      </w:pPr>
      <w:bookmarkStart w:id="0" w:name="_GoBack"/>
      <w:bookmarkEnd w:id="0"/>
      <w:r>
        <w:rPr>
          <w:b/>
          <w:i/>
          <w:sz w:val="24"/>
          <w:szCs w:val="24"/>
          <w:lang w:val="en-US" w:bidi="en-GB"/>
        </w:rPr>
        <w:t>Annex 3</w:t>
      </w:r>
    </w:p>
    <w:p w14:paraId="5EE5961B" w14:textId="77777777" w:rsidR="00BF7D9E" w:rsidRDefault="00BF7D9E" w:rsidP="00BF7D9E">
      <w:pPr>
        <w:pStyle w:val="SingleTxtG"/>
        <w:spacing w:line="240" w:lineRule="auto"/>
        <w:ind w:left="0" w:right="0"/>
        <w:jc w:val="center"/>
        <w:rPr>
          <w:b/>
          <w:sz w:val="24"/>
          <w:szCs w:val="24"/>
          <w:lang w:val="en-US" w:bidi="en-GB"/>
        </w:rPr>
      </w:pPr>
      <w:r w:rsidRPr="00BF7D9E">
        <w:rPr>
          <w:b/>
          <w:sz w:val="24"/>
          <w:szCs w:val="24"/>
          <w:lang w:val="en-US" w:bidi="en-GB"/>
        </w:rPr>
        <w:t>Information on cases before the CPD against the Ministry of Health</w:t>
      </w:r>
    </w:p>
    <w:p w14:paraId="5EE5961C" w14:textId="77777777" w:rsidR="00BF7D9E" w:rsidRPr="00BF7D9E" w:rsidRDefault="00BF7D9E" w:rsidP="00BF7D9E">
      <w:pPr>
        <w:pStyle w:val="SingleTxtG"/>
        <w:spacing w:line="240" w:lineRule="auto"/>
        <w:ind w:left="0" w:right="0"/>
        <w:jc w:val="center"/>
        <w:rPr>
          <w:b/>
          <w:sz w:val="24"/>
          <w:szCs w:val="24"/>
          <w:lang w:val="en-US" w:bidi="en-GB"/>
        </w:rPr>
      </w:pPr>
    </w:p>
    <w:p w14:paraId="5EE5961D" w14:textId="77777777" w:rsidR="00BF7D9E" w:rsidRPr="00471B41" w:rsidRDefault="00BF7D9E" w:rsidP="00BF7D9E">
      <w:pPr>
        <w:pStyle w:val="SingleTxtG"/>
        <w:spacing w:line="240" w:lineRule="auto"/>
        <w:ind w:left="0" w:right="0"/>
        <w:rPr>
          <w:sz w:val="24"/>
          <w:szCs w:val="24"/>
          <w:lang w:bidi="en-GB"/>
        </w:rPr>
      </w:pPr>
      <w:r>
        <w:rPr>
          <w:bCs/>
          <w:sz w:val="24"/>
          <w:szCs w:val="24"/>
          <w:lang w:bidi="en-GB"/>
        </w:rPr>
        <w:t>1</w:t>
      </w:r>
      <w:r w:rsidRPr="00266841">
        <w:rPr>
          <w:bCs/>
          <w:sz w:val="24"/>
          <w:szCs w:val="24"/>
          <w:lang w:bidi="en-GB"/>
        </w:rPr>
        <w:t>.</w:t>
      </w:r>
      <w:r w:rsidRPr="00266841">
        <w:rPr>
          <w:bCs/>
          <w:sz w:val="24"/>
          <w:szCs w:val="24"/>
          <w:lang w:bidi="en-GB"/>
        </w:rPr>
        <w:tab/>
      </w:r>
      <w:r w:rsidRPr="00471B41">
        <w:rPr>
          <w:sz w:val="24"/>
          <w:szCs w:val="24"/>
          <w:lang w:bidi="en-GB"/>
        </w:rPr>
        <w:t xml:space="preserve">The </w:t>
      </w:r>
      <w:r>
        <w:rPr>
          <w:sz w:val="24"/>
          <w:szCs w:val="24"/>
          <w:lang w:bidi="en-GB"/>
        </w:rPr>
        <w:t>MH</w:t>
      </w:r>
      <w:r w:rsidRPr="00471B41">
        <w:rPr>
          <w:sz w:val="24"/>
          <w:szCs w:val="24"/>
          <w:lang w:bidi="en-GB"/>
        </w:rPr>
        <w:t xml:space="preserve"> was</w:t>
      </w:r>
      <w:r>
        <w:rPr>
          <w:sz w:val="24"/>
          <w:szCs w:val="24"/>
          <w:lang w:bidi="en-GB"/>
        </w:rPr>
        <w:t xml:space="preserve"> also</w:t>
      </w:r>
      <w:r w:rsidRPr="00471B41">
        <w:rPr>
          <w:sz w:val="24"/>
          <w:szCs w:val="24"/>
          <w:lang w:bidi="en-GB"/>
        </w:rPr>
        <w:t xml:space="preserve"> a defendant in a case before CPD</w:t>
      </w:r>
      <w:r>
        <w:rPr>
          <w:sz w:val="24"/>
          <w:szCs w:val="24"/>
          <w:lang w:bidi="en-GB"/>
        </w:rPr>
        <w:t>,</w:t>
      </w:r>
      <w:r w:rsidRPr="00471B41">
        <w:rPr>
          <w:sz w:val="24"/>
          <w:szCs w:val="24"/>
          <w:lang w:bidi="en-GB"/>
        </w:rPr>
        <w:t xml:space="preserve"> initiated in 2011</w:t>
      </w:r>
      <w:r>
        <w:rPr>
          <w:sz w:val="24"/>
          <w:szCs w:val="24"/>
          <w:lang w:bidi="en-GB"/>
        </w:rPr>
        <w:t>,</w:t>
      </w:r>
      <w:r w:rsidRPr="00471B41">
        <w:rPr>
          <w:sz w:val="24"/>
          <w:szCs w:val="24"/>
          <w:lang w:bidi="en-GB"/>
        </w:rPr>
        <w:t xml:space="preserve"> after complaint for discrimination based on disability against children with bilateral sensorineural hearing loss with implanted cochlear implants, since the state budget and the budget of NHIF do not cover repair, maintenance and replacement of the implants' batteries. Pursuant to the decision of CPD from 2013, there is no </w:t>
      </w:r>
      <w:r w:rsidRPr="00592911">
        <w:rPr>
          <w:sz w:val="24"/>
          <w:szCs w:val="24"/>
          <w:lang w:bidi="en-GB"/>
        </w:rPr>
        <w:t>discrimination</w:t>
      </w:r>
      <w:r w:rsidRPr="00471B41">
        <w:rPr>
          <w:sz w:val="24"/>
          <w:szCs w:val="24"/>
          <w:lang w:bidi="en-GB"/>
        </w:rPr>
        <w:t>. This decision was appealed in court and the court proceedings have not yet been completed.</w:t>
      </w:r>
    </w:p>
    <w:p w14:paraId="5EE5961E" w14:textId="77777777" w:rsidR="00BF7D9E" w:rsidRPr="00471B41" w:rsidRDefault="00BF7D9E" w:rsidP="00BF7D9E">
      <w:pPr>
        <w:pStyle w:val="SingleTxtG"/>
        <w:spacing w:line="240" w:lineRule="auto"/>
        <w:ind w:left="0" w:right="0"/>
        <w:rPr>
          <w:sz w:val="24"/>
          <w:szCs w:val="24"/>
          <w:lang w:bidi="en-GB"/>
        </w:rPr>
      </w:pPr>
      <w:r>
        <w:rPr>
          <w:bCs/>
          <w:sz w:val="24"/>
          <w:szCs w:val="24"/>
          <w:lang w:bidi="en-GB"/>
        </w:rPr>
        <w:t>2</w:t>
      </w:r>
      <w:r w:rsidRPr="00266841">
        <w:rPr>
          <w:bCs/>
          <w:sz w:val="24"/>
          <w:szCs w:val="24"/>
          <w:lang w:bidi="en-GB"/>
        </w:rPr>
        <w:t>.</w:t>
      </w:r>
      <w:r w:rsidRPr="00266841">
        <w:rPr>
          <w:bCs/>
          <w:sz w:val="24"/>
          <w:szCs w:val="24"/>
          <w:lang w:bidi="en-GB"/>
        </w:rPr>
        <w:tab/>
      </w:r>
      <w:r w:rsidRPr="00471B41">
        <w:rPr>
          <w:sz w:val="24"/>
          <w:szCs w:val="24"/>
          <w:lang w:bidi="en-GB"/>
        </w:rPr>
        <w:t>In 2014, a case was initiated against MH, NHIF and Centre “Fund for Treatment of Children” (CFTC), after a signal for discrimination against children based on disability concerning the treatment of children with type 1 diabetes (insulin dependent diabetes mellitus), consisting of not covering the costs for purchase of insulin pumps and monthly supplies for them. The alleged discrimination was established with decision of CPD from 2015. This decision of CPD was appealed in court and the court proceedings have not yet been completed.</w:t>
      </w:r>
    </w:p>
    <w:p w14:paraId="5EE5961F" w14:textId="77777777" w:rsidR="00BF7D9E" w:rsidRPr="00471B41" w:rsidRDefault="00BF7D9E" w:rsidP="00BF7D9E">
      <w:pPr>
        <w:pStyle w:val="SingleTxtG"/>
        <w:spacing w:line="240" w:lineRule="auto"/>
        <w:ind w:left="0" w:right="0"/>
        <w:rPr>
          <w:sz w:val="24"/>
          <w:szCs w:val="24"/>
          <w:lang w:bidi="en-GB"/>
        </w:rPr>
      </w:pPr>
      <w:r>
        <w:rPr>
          <w:sz w:val="24"/>
          <w:szCs w:val="24"/>
          <w:lang w:bidi="en-GB"/>
        </w:rPr>
        <w:t>3</w:t>
      </w:r>
      <w:r w:rsidRPr="00266841">
        <w:rPr>
          <w:bCs/>
          <w:sz w:val="24"/>
          <w:szCs w:val="24"/>
          <w:lang w:bidi="en-GB"/>
        </w:rPr>
        <w:t>.</w:t>
      </w:r>
      <w:r w:rsidRPr="00266841">
        <w:rPr>
          <w:bCs/>
          <w:sz w:val="24"/>
          <w:szCs w:val="24"/>
          <w:lang w:bidi="en-GB"/>
        </w:rPr>
        <w:tab/>
      </w:r>
      <w:r w:rsidRPr="00471B41">
        <w:rPr>
          <w:sz w:val="24"/>
          <w:szCs w:val="24"/>
          <w:lang w:bidi="en-GB"/>
        </w:rPr>
        <w:t>In 2014, against MH and NHIF as defendants, a case was initiated before CPD after a complaint for discrimination based on disability due to non-providing of full or partial covering from the budget of NHIF of the costs for implantable medical devices for persons with scoliosis. A decision of CPD if 2015 recommends the defendants to remedy the de facto discrimination. This decision was appealed in court and the court proceedings have not yet been completed.</w:t>
      </w:r>
    </w:p>
    <w:p w14:paraId="5EE59620" w14:textId="77777777" w:rsidR="00BF7D9E" w:rsidRPr="00471B41" w:rsidRDefault="00BF7D9E" w:rsidP="00BF7D9E">
      <w:pPr>
        <w:pStyle w:val="SingleTxtG"/>
        <w:spacing w:line="240" w:lineRule="auto"/>
        <w:ind w:left="0" w:right="0"/>
        <w:rPr>
          <w:sz w:val="24"/>
          <w:szCs w:val="24"/>
          <w:lang w:bidi="en-GB"/>
        </w:rPr>
      </w:pPr>
      <w:r>
        <w:rPr>
          <w:sz w:val="24"/>
          <w:szCs w:val="24"/>
          <w:lang w:bidi="en-GB"/>
        </w:rPr>
        <w:t>4</w:t>
      </w:r>
      <w:r w:rsidRPr="00266841">
        <w:rPr>
          <w:bCs/>
          <w:sz w:val="24"/>
          <w:szCs w:val="24"/>
          <w:lang w:bidi="en-GB"/>
        </w:rPr>
        <w:t>.</w:t>
      </w:r>
      <w:r w:rsidRPr="00266841">
        <w:rPr>
          <w:bCs/>
          <w:sz w:val="24"/>
          <w:szCs w:val="24"/>
          <w:lang w:bidi="en-GB"/>
        </w:rPr>
        <w:tab/>
      </w:r>
      <w:r w:rsidRPr="00471B41">
        <w:rPr>
          <w:sz w:val="24"/>
          <w:szCs w:val="24"/>
          <w:lang w:bidi="en-GB"/>
        </w:rPr>
        <w:t>In 2015, a case was initiated before CPD against MH after a complaint for discrimination based on disability due to fact that the disease purulent hidradenitis is not included in the list of diseases for which NHIF covers medicinal products for home treatment At the moment of lodging the complaint, the list is determined by a decree of the Minister of Health. The proceedings concerning the case before CPD have not yet been completed.</w:t>
      </w:r>
    </w:p>
    <w:p w14:paraId="5EE59621" w14:textId="77777777" w:rsidR="00BF7D9E" w:rsidRPr="00471B41" w:rsidRDefault="00BF7D9E" w:rsidP="00BF7D9E">
      <w:pPr>
        <w:pStyle w:val="SingleTxtG"/>
        <w:spacing w:line="240" w:lineRule="auto"/>
        <w:ind w:left="0" w:right="0"/>
        <w:rPr>
          <w:sz w:val="24"/>
          <w:szCs w:val="24"/>
          <w:lang w:bidi="en-GB"/>
        </w:rPr>
      </w:pPr>
      <w:r>
        <w:rPr>
          <w:sz w:val="24"/>
          <w:szCs w:val="24"/>
          <w:lang w:bidi="en-GB"/>
        </w:rPr>
        <w:t>5</w:t>
      </w:r>
      <w:r w:rsidRPr="00266841">
        <w:rPr>
          <w:bCs/>
          <w:sz w:val="24"/>
          <w:szCs w:val="24"/>
          <w:lang w:bidi="en-GB"/>
        </w:rPr>
        <w:t>.</w:t>
      </w:r>
      <w:r w:rsidRPr="00266841">
        <w:rPr>
          <w:bCs/>
          <w:sz w:val="24"/>
          <w:szCs w:val="24"/>
          <w:lang w:bidi="en-GB"/>
        </w:rPr>
        <w:tab/>
      </w:r>
      <w:r w:rsidRPr="00471B41">
        <w:rPr>
          <w:sz w:val="24"/>
          <w:szCs w:val="24"/>
          <w:lang w:bidi="en-GB"/>
        </w:rPr>
        <w:t>Regarding a case initiated before CPD against MH for establishing discrimination based on disability due to the lack of the disease essential thrombocythemia in the aforementioned list, the claim was rejected by a decision of CPD from 2014.</w:t>
      </w:r>
    </w:p>
    <w:p w14:paraId="5EE59622" w14:textId="77777777" w:rsidR="00BF7D9E" w:rsidRPr="00471B41" w:rsidRDefault="00BF7D9E" w:rsidP="00BF7D9E">
      <w:pPr>
        <w:pStyle w:val="SingleTxtG"/>
        <w:spacing w:line="240" w:lineRule="auto"/>
        <w:ind w:left="0" w:right="0"/>
        <w:rPr>
          <w:sz w:val="24"/>
          <w:szCs w:val="24"/>
          <w:lang w:bidi="en-GB"/>
        </w:rPr>
      </w:pPr>
      <w:r>
        <w:rPr>
          <w:sz w:val="24"/>
          <w:szCs w:val="24"/>
          <w:lang w:bidi="en-GB"/>
        </w:rPr>
        <w:t>6</w:t>
      </w:r>
      <w:r w:rsidRPr="00266841">
        <w:rPr>
          <w:bCs/>
          <w:sz w:val="24"/>
          <w:szCs w:val="24"/>
          <w:lang w:bidi="en-GB"/>
        </w:rPr>
        <w:t>.</w:t>
      </w:r>
      <w:r w:rsidRPr="00266841">
        <w:rPr>
          <w:bCs/>
          <w:sz w:val="24"/>
          <w:szCs w:val="24"/>
          <w:lang w:bidi="en-GB"/>
        </w:rPr>
        <w:tab/>
      </w:r>
      <w:r w:rsidRPr="00471B41">
        <w:rPr>
          <w:sz w:val="24"/>
          <w:szCs w:val="24"/>
          <w:lang w:bidi="en-GB"/>
        </w:rPr>
        <w:t>In 2015, a case was initiated before CPD against MH as defendant after a complaint for establishing of discrimination based on disability due to the lack of the Huntington's disease in the aforementioned list with the claim that the country has no system whatsoever for provision of medical and social care for these patients. The proceedings concerning the case before CPD have not yet been completed.</w:t>
      </w:r>
    </w:p>
    <w:p w14:paraId="5EE59623" w14:textId="77777777" w:rsidR="00BF7D9E" w:rsidRPr="00471B41" w:rsidRDefault="00BF7D9E" w:rsidP="00BF7D9E">
      <w:pPr>
        <w:pStyle w:val="SingleTxtG"/>
        <w:spacing w:line="240" w:lineRule="auto"/>
        <w:ind w:left="0" w:right="0"/>
        <w:rPr>
          <w:sz w:val="24"/>
          <w:szCs w:val="24"/>
          <w:lang w:bidi="en-GB"/>
        </w:rPr>
      </w:pPr>
      <w:r w:rsidRPr="00BF7D9E">
        <w:rPr>
          <w:sz w:val="24"/>
          <w:szCs w:val="24"/>
          <w:lang w:bidi="en-GB"/>
        </w:rPr>
        <w:t>7</w:t>
      </w:r>
      <w:r w:rsidRPr="00266841">
        <w:rPr>
          <w:bCs/>
          <w:sz w:val="24"/>
          <w:szCs w:val="24"/>
          <w:lang w:bidi="en-GB"/>
        </w:rPr>
        <w:t>.</w:t>
      </w:r>
      <w:r w:rsidRPr="00266841">
        <w:rPr>
          <w:bCs/>
          <w:sz w:val="24"/>
          <w:szCs w:val="24"/>
          <w:lang w:bidi="en-GB"/>
        </w:rPr>
        <w:tab/>
      </w:r>
      <w:r w:rsidRPr="00BF7D9E">
        <w:rPr>
          <w:sz w:val="24"/>
          <w:szCs w:val="24"/>
          <w:lang w:bidi="en-GB"/>
        </w:rPr>
        <w:t>In</w:t>
      </w:r>
      <w:r w:rsidRPr="00471B41">
        <w:rPr>
          <w:sz w:val="24"/>
          <w:szCs w:val="24"/>
          <w:lang w:bidi="en-GB"/>
        </w:rPr>
        <w:t xml:space="preserve"> 2015, a case was initiated against CFTC and MH after complaint for alleged discrimination based on disability, because the Centre refused treatment abroad covered by the Fund for child with infantile autism. According to the claim, the child was not treated equally with the other children with the same or different disease. The proceedings before the Commission have not yet been completed.</w:t>
      </w:r>
    </w:p>
    <w:p w14:paraId="5EE59624" w14:textId="77777777" w:rsidR="00CC149A" w:rsidRPr="00BF7D9E" w:rsidRDefault="00CC149A">
      <w:pPr>
        <w:rPr>
          <w:lang w:val="en-GB"/>
        </w:rPr>
      </w:pPr>
    </w:p>
    <w:sectPr w:rsidR="00CC149A" w:rsidRPr="00BF7D9E" w:rsidSect="00CC1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compat>
    <w:compatSetting w:name="compatibilityMode" w:uri="http://schemas.microsoft.com/office/word" w:val="12"/>
  </w:compat>
  <w:rsids>
    <w:rsidRoot w:val="00BF7D9E"/>
    <w:rsid w:val="0017249C"/>
    <w:rsid w:val="002759F2"/>
    <w:rsid w:val="009836FC"/>
    <w:rsid w:val="00BF7D9E"/>
    <w:rsid w:val="00CC149A"/>
    <w:rsid w:val="00DF56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BF7D9E"/>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2F717-756E-4B4F-82D1-C66BB47C5D77}"/>
</file>

<file path=customXml/itemProps2.xml><?xml version="1.0" encoding="utf-8"?>
<ds:datastoreItem xmlns:ds="http://schemas.openxmlformats.org/officeDocument/2006/customXml" ds:itemID="{5723CC64-81F1-47B3-A353-46BE9D5FD4EA}"/>
</file>

<file path=customXml/itemProps3.xml><?xml version="1.0" encoding="utf-8"?>
<ds:datastoreItem xmlns:ds="http://schemas.openxmlformats.org/officeDocument/2006/customXml" ds:itemID="{AEC7A7B6-7847-4C23-ADE3-858AAB010744}"/>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dc:creator>
  <cp:lastModifiedBy>Thodiyil Sindu</cp:lastModifiedBy>
  <cp:revision>2</cp:revision>
  <dcterms:created xsi:type="dcterms:W3CDTF">2016-11-08T13:01:00Z</dcterms:created>
  <dcterms:modified xsi:type="dcterms:W3CDTF">2016-11-08T13:01:00Z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