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556FAD" w14:paraId="44E7816E" w14:textId="77777777" w:rsidTr="00CA1AEA">
        <w:trPr>
          <w:cantSplit/>
          <w:trHeight w:hRule="exact" w:val="851"/>
        </w:trPr>
        <w:tc>
          <w:tcPr>
            <w:tcW w:w="1276" w:type="dxa"/>
            <w:tcBorders>
              <w:bottom w:val="single" w:sz="4" w:space="0" w:color="auto"/>
            </w:tcBorders>
            <w:vAlign w:val="bottom"/>
          </w:tcPr>
          <w:p w14:paraId="173BC197" w14:textId="77777777" w:rsidR="00165C15" w:rsidRPr="00556FAD" w:rsidRDefault="00165C15" w:rsidP="00CA1AEA">
            <w:pPr>
              <w:spacing w:after="80"/>
            </w:pPr>
          </w:p>
        </w:tc>
        <w:tc>
          <w:tcPr>
            <w:tcW w:w="2268" w:type="dxa"/>
            <w:tcBorders>
              <w:bottom w:val="single" w:sz="4" w:space="0" w:color="auto"/>
            </w:tcBorders>
            <w:vAlign w:val="bottom"/>
          </w:tcPr>
          <w:p w14:paraId="6A7E7C6B" w14:textId="77777777" w:rsidR="00165C15" w:rsidRPr="00556FAD" w:rsidRDefault="00165C15" w:rsidP="00CA1AEA">
            <w:pPr>
              <w:spacing w:after="80" w:line="300" w:lineRule="exact"/>
              <w:rPr>
                <w:b/>
                <w:sz w:val="24"/>
                <w:szCs w:val="24"/>
              </w:rPr>
            </w:pPr>
            <w:r w:rsidRPr="00556FAD">
              <w:rPr>
                <w:sz w:val="28"/>
                <w:szCs w:val="28"/>
              </w:rPr>
              <w:t>United Nations</w:t>
            </w:r>
          </w:p>
        </w:tc>
        <w:tc>
          <w:tcPr>
            <w:tcW w:w="6095" w:type="dxa"/>
            <w:gridSpan w:val="2"/>
            <w:tcBorders>
              <w:bottom w:val="single" w:sz="4" w:space="0" w:color="auto"/>
            </w:tcBorders>
            <w:vAlign w:val="bottom"/>
          </w:tcPr>
          <w:p w14:paraId="1178086A" w14:textId="063D60E5" w:rsidR="00165C15" w:rsidRPr="00556FAD" w:rsidRDefault="00297550" w:rsidP="00274C5F">
            <w:pPr>
              <w:suppressAutoHyphens w:val="0"/>
              <w:jc w:val="right"/>
            </w:pPr>
            <w:r w:rsidRPr="00556FAD">
              <w:br/>
            </w:r>
            <w:r w:rsidR="00592583" w:rsidRPr="00556FAD">
              <w:rPr>
                <w:sz w:val="40"/>
                <w:szCs w:val="40"/>
              </w:rPr>
              <w:t>CCPR</w:t>
            </w:r>
            <w:r w:rsidR="00592583" w:rsidRPr="00556FAD">
              <w:t>/C</w:t>
            </w:r>
            <w:r w:rsidR="0061691A">
              <w:t>/</w:t>
            </w:r>
            <w:r w:rsidR="00592583" w:rsidRPr="00556FAD">
              <w:t>12</w:t>
            </w:r>
            <w:r w:rsidR="00C40681">
              <w:t>6</w:t>
            </w:r>
            <w:r w:rsidR="00592583" w:rsidRPr="00556FAD">
              <w:t>/D/26</w:t>
            </w:r>
            <w:r w:rsidR="00C40681">
              <w:t>55</w:t>
            </w:r>
            <w:r w:rsidR="00592583" w:rsidRPr="00556FAD">
              <w:t>/2015</w:t>
            </w:r>
          </w:p>
        </w:tc>
      </w:tr>
      <w:tr w:rsidR="00165C15" w:rsidRPr="00556FAD" w14:paraId="3B9A06E5" w14:textId="77777777" w:rsidTr="00CA1AEA">
        <w:trPr>
          <w:cantSplit/>
          <w:trHeight w:hRule="exact" w:val="2835"/>
        </w:trPr>
        <w:tc>
          <w:tcPr>
            <w:tcW w:w="1276" w:type="dxa"/>
            <w:tcBorders>
              <w:top w:val="single" w:sz="4" w:space="0" w:color="auto"/>
              <w:bottom w:val="single" w:sz="12" w:space="0" w:color="auto"/>
            </w:tcBorders>
          </w:tcPr>
          <w:p w14:paraId="005D3846" w14:textId="77777777" w:rsidR="00165C15" w:rsidRPr="00556FAD" w:rsidRDefault="00165C15" w:rsidP="00CA1AEA">
            <w:pPr>
              <w:spacing w:before="120"/>
            </w:pPr>
            <w:r w:rsidRPr="00556FAD">
              <w:rPr>
                <w:noProof/>
                <w:lang w:eastAsia="en-GB"/>
              </w:rPr>
              <w:drawing>
                <wp:inline distT="0" distB="0" distL="0" distR="0" wp14:anchorId="63B13A5A" wp14:editId="21187A8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6FDD45" w14:textId="77777777" w:rsidR="00165C15" w:rsidRDefault="00165C15" w:rsidP="00CA1AEA">
            <w:pPr>
              <w:spacing w:before="120" w:line="380" w:lineRule="exact"/>
              <w:rPr>
                <w:b/>
                <w:sz w:val="34"/>
                <w:szCs w:val="40"/>
              </w:rPr>
            </w:pPr>
            <w:r w:rsidRPr="00556FAD">
              <w:rPr>
                <w:b/>
                <w:sz w:val="34"/>
                <w:szCs w:val="40"/>
              </w:rPr>
              <w:t>International Covenant on</w:t>
            </w:r>
            <w:r w:rsidRPr="00556FAD">
              <w:rPr>
                <w:b/>
                <w:sz w:val="34"/>
                <w:szCs w:val="40"/>
              </w:rPr>
              <w:br/>
              <w:t>Civil and Political Rights</w:t>
            </w:r>
          </w:p>
          <w:p w14:paraId="1CAE4719" w14:textId="77777777" w:rsidR="006233D0" w:rsidRDefault="006233D0" w:rsidP="006233D0">
            <w:pPr>
              <w:spacing w:before="120" w:line="380" w:lineRule="exact"/>
              <w:rPr>
                <w:b/>
                <w:sz w:val="34"/>
                <w:szCs w:val="34"/>
              </w:rPr>
            </w:pPr>
            <w:r w:rsidRPr="000921E9">
              <w:rPr>
                <w:sz w:val="34"/>
                <w:szCs w:val="40"/>
              </w:rPr>
              <w:t>Advance unedited version</w:t>
            </w:r>
          </w:p>
          <w:p w14:paraId="13448AB5" w14:textId="68FF5BC1" w:rsidR="006233D0" w:rsidRPr="00556FAD" w:rsidRDefault="006233D0" w:rsidP="00CA1AEA">
            <w:pPr>
              <w:spacing w:before="120" w:line="380" w:lineRule="exact"/>
              <w:rPr>
                <w:sz w:val="34"/>
              </w:rPr>
            </w:pPr>
          </w:p>
        </w:tc>
        <w:tc>
          <w:tcPr>
            <w:tcW w:w="2835" w:type="dxa"/>
            <w:tcBorders>
              <w:top w:val="single" w:sz="4" w:space="0" w:color="auto"/>
              <w:bottom w:val="single" w:sz="12" w:space="0" w:color="auto"/>
            </w:tcBorders>
          </w:tcPr>
          <w:p w14:paraId="4789FADA" w14:textId="6F8CE959" w:rsidR="00165C15" w:rsidRPr="00556FAD" w:rsidRDefault="00BC613D" w:rsidP="00BC613D">
            <w:pPr>
              <w:suppressAutoHyphens w:val="0"/>
              <w:spacing w:before="240"/>
            </w:pPr>
            <w:r w:rsidRPr="00556FAD">
              <w:t xml:space="preserve">Distr.: </w:t>
            </w:r>
            <w:r w:rsidR="00274C5F">
              <w:t>General</w:t>
            </w:r>
          </w:p>
          <w:p w14:paraId="13694EC7" w14:textId="50A2EE00" w:rsidR="00BC613D" w:rsidRPr="00556FAD" w:rsidRDefault="00274C5F" w:rsidP="00BC613D">
            <w:pPr>
              <w:suppressAutoHyphens w:val="0"/>
            </w:pPr>
            <w:r>
              <w:t>29 August</w:t>
            </w:r>
            <w:r w:rsidR="00BC613D" w:rsidRPr="00556FAD">
              <w:t xml:space="preserve"> 201</w:t>
            </w:r>
            <w:r w:rsidR="00C40681">
              <w:t>9</w:t>
            </w:r>
          </w:p>
          <w:p w14:paraId="49FFDC38" w14:textId="77777777" w:rsidR="00BC613D" w:rsidRPr="00556FAD" w:rsidRDefault="00BC613D" w:rsidP="00BC613D">
            <w:pPr>
              <w:suppressAutoHyphens w:val="0"/>
            </w:pPr>
          </w:p>
          <w:p w14:paraId="5E5AE41B" w14:textId="77777777" w:rsidR="00BC613D" w:rsidRDefault="00BC613D" w:rsidP="00BC613D">
            <w:pPr>
              <w:suppressAutoHyphens w:val="0"/>
            </w:pPr>
            <w:r w:rsidRPr="00556FAD">
              <w:t>Original: English</w:t>
            </w:r>
          </w:p>
          <w:p w14:paraId="77B02576" w14:textId="36C929F1" w:rsidR="00050FC4" w:rsidRPr="00556FAD" w:rsidRDefault="00050FC4" w:rsidP="00BC4020">
            <w:pPr>
              <w:spacing w:line="240" w:lineRule="exact"/>
            </w:pPr>
          </w:p>
        </w:tc>
      </w:tr>
    </w:tbl>
    <w:p w14:paraId="1F074FBE" w14:textId="77777777" w:rsidR="00297550" w:rsidRDefault="00297550" w:rsidP="00297550">
      <w:pPr>
        <w:spacing w:before="120"/>
        <w:rPr>
          <w:b/>
          <w:bCs/>
          <w:sz w:val="24"/>
          <w:szCs w:val="24"/>
        </w:rPr>
      </w:pPr>
      <w:r w:rsidRPr="00556FAD">
        <w:rPr>
          <w:b/>
          <w:bCs/>
          <w:sz w:val="24"/>
          <w:szCs w:val="24"/>
        </w:rPr>
        <w:t>Human Rights Committee</w:t>
      </w:r>
    </w:p>
    <w:p w14:paraId="0BF7766F" w14:textId="3BFC6083" w:rsidR="0061691A" w:rsidRPr="00EA1E0C" w:rsidRDefault="0061691A" w:rsidP="00EA1E0C">
      <w:pPr>
        <w:rPr>
          <w:b/>
          <w:bCs/>
          <w:sz w:val="22"/>
          <w:szCs w:val="22"/>
        </w:rPr>
      </w:pPr>
    </w:p>
    <w:p w14:paraId="2F8742C9" w14:textId="7F25DB6B" w:rsidR="0061691A" w:rsidRDefault="00297550" w:rsidP="003C3393">
      <w:pPr>
        <w:pStyle w:val="HChG"/>
      </w:pPr>
      <w:r w:rsidRPr="00556FAD">
        <w:tab/>
      </w:r>
      <w:r w:rsidRPr="00556FAD">
        <w:tab/>
      </w:r>
      <w:r w:rsidR="00274C5F">
        <w:t>Views adopted by the Committee under article 5 (4) of the Optional Protocol, concerning c</w:t>
      </w:r>
      <w:r w:rsidR="00274C5F" w:rsidRPr="00556FAD">
        <w:t xml:space="preserve">ommunication </w:t>
      </w:r>
      <w:r w:rsidRPr="00556FAD">
        <w:t>No. 26</w:t>
      </w:r>
      <w:r w:rsidR="0061691A">
        <w:t>55</w:t>
      </w:r>
      <w:r w:rsidRPr="00556FAD">
        <w:t>/2015</w:t>
      </w:r>
      <w:r w:rsidR="00274C5F" w:rsidRPr="00BC4020">
        <w:rPr>
          <w:rStyle w:val="FootnoteReference"/>
          <w:b w:val="0"/>
          <w:sz w:val="20"/>
          <w:vertAlign w:val="baseline"/>
        </w:rPr>
        <w:footnoteReference w:customMarkFollows="1" w:id="1"/>
        <w:t>*</w:t>
      </w:r>
      <w:r w:rsidR="00274C5F">
        <w:rPr>
          <w:b w:val="0"/>
          <w:sz w:val="20"/>
        </w:rPr>
        <w:t>,</w:t>
      </w:r>
      <w:r w:rsidR="00274C5F" w:rsidRPr="00BC4020">
        <w:rPr>
          <w:rStyle w:val="FootnoteReference"/>
          <w:b w:val="0"/>
          <w:sz w:val="20"/>
          <w:vertAlign w:val="baseline"/>
        </w:rPr>
        <w:footnoteReference w:customMarkFollows="1" w:id="2"/>
        <w:t>**</w:t>
      </w:r>
      <w:proofErr w:type="gramStart"/>
      <w:r w:rsidR="007D2DF9">
        <w:rPr>
          <w:b w:val="0"/>
          <w:sz w:val="20"/>
        </w:rPr>
        <w:t>,</w:t>
      </w:r>
      <w:proofErr w:type="gramEnd"/>
      <w:r w:rsidR="007D2DF9" w:rsidRPr="00BC4020">
        <w:rPr>
          <w:rStyle w:val="FootnoteReference"/>
          <w:b w:val="0"/>
          <w:sz w:val="20"/>
          <w:vertAlign w:val="baseline"/>
        </w:rPr>
        <w:footnoteReference w:customMarkFollows="1" w:id="3"/>
        <w:t>***</w:t>
      </w:r>
    </w:p>
    <w:p w14:paraId="7319F747" w14:textId="7CCCF9AC" w:rsidR="0061691A" w:rsidRPr="0061691A" w:rsidRDefault="0061691A" w:rsidP="0061691A">
      <w:pPr>
        <w:pStyle w:val="HChG"/>
        <w:rPr>
          <w:bCs/>
          <w:sz w:val="24"/>
          <w:szCs w:val="24"/>
        </w:rPr>
      </w:pPr>
      <w:r>
        <w:tab/>
      </w:r>
      <w:r>
        <w:tab/>
      </w:r>
    </w:p>
    <w:p w14:paraId="45DF0F3B" w14:textId="49C990C3" w:rsidR="00297550" w:rsidRPr="00556FAD" w:rsidRDefault="00297550" w:rsidP="00A67F2E">
      <w:pPr>
        <w:pStyle w:val="SingleTxtG"/>
        <w:tabs>
          <w:tab w:val="left" w:pos="4536"/>
        </w:tabs>
        <w:ind w:left="4536" w:hanging="3402"/>
        <w:rPr>
          <w:i/>
          <w:iCs/>
        </w:rPr>
      </w:pPr>
      <w:r w:rsidRPr="00556FAD">
        <w:rPr>
          <w:i/>
          <w:iCs/>
        </w:rPr>
        <w:t>Communication submitted by:</w:t>
      </w:r>
      <w:r w:rsidRPr="00556FAD">
        <w:tab/>
      </w:r>
      <w:r w:rsidR="000A227D" w:rsidRPr="000A227D">
        <w:t>Sergey Ivanov</w:t>
      </w:r>
      <w:r w:rsidRPr="00556FAD">
        <w:t xml:space="preserve"> (deceased) and his </w:t>
      </w:r>
      <w:r w:rsidR="000A227D">
        <w:t>brother</w:t>
      </w:r>
      <w:r w:rsidRPr="00556FAD">
        <w:t xml:space="preserve">, </w:t>
      </w:r>
      <w:r w:rsidR="000A227D">
        <w:t>Aleksey Ivanov</w:t>
      </w:r>
      <w:r w:rsidRPr="00556FAD">
        <w:t xml:space="preserve"> (represented by counsel, </w:t>
      </w:r>
      <w:r w:rsidR="00C40681">
        <w:t xml:space="preserve">Andrei </w:t>
      </w:r>
      <w:proofErr w:type="spellStart"/>
      <w:r w:rsidR="00C40681">
        <w:t>Paluda</w:t>
      </w:r>
      <w:proofErr w:type="spellEnd"/>
      <w:r w:rsidRPr="00556FAD">
        <w:rPr>
          <w:i/>
          <w:iCs/>
        </w:rPr>
        <w:t>)</w:t>
      </w:r>
    </w:p>
    <w:p w14:paraId="195835BC" w14:textId="77777777" w:rsidR="00297550" w:rsidRPr="00556FAD" w:rsidRDefault="00297550" w:rsidP="00A67F2E">
      <w:pPr>
        <w:pStyle w:val="SingleTxtG"/>
        <w:tabs>
          <w:tab w:val="left" w:pos="4536"/>
        </w:tabs>
        <w:ind w:left="4536" w:hanging="3402"/>
      </w:pPr>
      <w:r w:rsidRPr="00556FAD">
        <w:rPr>
          <w:i/>
          <w:iCs/>
        </w:rPr>
        <w:t>Alleged victim:</w:t>
      </w:r>
      <w:r w:rsidRPr="00556FAD">
        <w:tab/>
      </w:r>
      <w:r w:rsidR="000A227D">
        <w:t>Sergey Ivanov</w:t>
      </w:r>
      <w:r w:rsidRPr="00556FAD">
        <w:t xml:space="preserve"> (deceased) </w:t>
      </w:r>
    </w:p>
    <w:p w14:paraId="681224F7" w14:textId="77777777" w:rsidR="00297550" w:rsidRPr="00556FAD" w:rsidRDefault="00297550" w:rsidP="00A67F2E">
      <w:pPr>
        <w:pStyle w:val="SingleTxtG"/>
        <w:tabs>
          <w:tab w:val="left" w:pos="4536"/>
        </w:tabs>
        <w:ind w:left="4536" w:hanging="3402"/>
      </w:pPr>
      <w:r w:rsidRPr="00556FAD">
        <w:rPr>
          <w:i/>
          <w:iCs/>
        </w:rPr>
        <w:t>State party:</w:t>
      </w:r>
      <w:r w:rsidRPr="00556FAD">
        <w:tab/>
        <w:t>Belarus</w:t>
      </w:r>
    </w:p>
    <w:p w14:paraId="1B21165D" w14:textId="69DDDA27" w:rsidR="00297550" w:rsidRPr="00556FAD" w:rsidRDefault="00297550" w:rsidP="00A67F2E">
      <w:pPr>
        <w:pStyle w:val="SingleTxtG"/>
        <w:tabs>
          <w:tab w:val="left" w:pos="4536"/>
        </w:tabs>
        <w:ind w:left="4536" w:hanging="3402"/>
      </w:pPr>
      <w:r w:rsidRPr="00556FAD">
        <w:rPr>
          <w:i/>
          <w:iCs/>
        </w:rPr>
        <w:t>Date of communication:</w:t>
      </w:r>
      <w:r w:rsidRPr="00556FAD">
        <w:tab/>
      </w:r>
      <w:r w:rsidR="00C40681">
        <w:t>14 Oc</w:t>
      </w:r>
      <w:r w:rsidR="00094E35">
        <w:t>t</w:t>
      </w:r>
      <w:r w:rsidR="00C40681">
        <w:t>ober</w:t>
      </w:r>
      <w:r w:rsidRPr="00556FAD">
        <w:t xml:space="preserve"> 2015 (initial submission)</w:t>
      </w:r>
    </w:p>
    <w:p w14:paraId="5F63A036" w14:textId="77777777" w:rsidR="00297550" w:rsidRPr="00556FAD" w:rsidRDefault="00297550" w:rsidP="00A67F2E">
      <w:pPr>
        <w:pStyle w:val="SingleTxtG"/>
        <w:tabs>
          <w:tab w:val="left" w:pos="4536"/>
        </w:tabs>
        <w:ind w:left="4536" w:hanging="3402"/>
      </w:pPr>
      <w:r w:rsidRPr="00556FAD">
        <w:rPr>
          <w:i/>
          <w:iCs/>
        </w:rPr>
        <w:t>Document references:</w:t>
      </w:r>
      <w:r w:rsidRPr="00556FAD">
        <w:tab/>
        <w:t>Decision taken pursuant to rules 92 and 97 of the Committee</w:t>
      </w:r>
      <w:r w:rsidR="00CC6592" w:rsidRPr="00556FAD">
        <w:t>’</w:t>
      </w:r>
      <w:r w:rsidRPr="00556FAD">
        <w:t xml:space="preserve">s rules of procedure, transmitted to the State party on </w:t>
      </w:r>
      <w:r w:rsidR="00C40681">
        <w:t xml:space="preserve">15 October </w:t>
      </w:r>
      <w:r w:rsidRPr="00556FAD">
        <w:t>2015 (not issued in document form)</w:t>
      </w:r>
    </w:p>
    <w:p w14:paraId="0C061AD3" w14:textId="5E933564" w:rsidR="00297550" w:rsidRPr="00556FAD" w:rsidRDefault="00297550" w:rsidP="00A67F2E">
      <w:pPr>
        <w:pStyle w:val="SingleTxtG"/>
        <w:tabs>
          <w:tab w:val="left" w:pos="4536"/>
        </w:tabs>
        <w:ind w:left="4536" w:hanging="3402"/>
      </w:pPr>
      <w:r w:rsidRPr="00556FAD">
        <w:rPr>
          <w:i/>
          <w:iCs/>
        </w:rPr>
        <w:t>Date of adoption of Views:</w:t>
      </w:r>
      <w:r w:rsidR="00EA1E0C">
        <w:tab/>
      </w:r>
      <w:r w:rsidR="003D479D">
        <w:t xml:space="preserve">18 July </w:t>
      </w:r>
      <w:r w:rsidRPr="00556FAD">
        <w:t>201</w:t>
      </w:r>
      <w:r w:rsidR="00C40681">
        <w:t>9</w:t>
      </w:r>
    </w:p>
    <w:p w14:paraId="613FD702" w14:textId="51256FFE" w:rsidR="00297550" w:rsidRPr="00556FAD" w:rsidRDefault="00297550" w:rsidP="00A67F2E">
      <w:pPr>
        <w:pStyle w:val="SingleTxtG"/>
        <w:tabs>
          <w:tab w:val="left" w:pos="4536"/>
        </w:tabs>
        <w:ind w:left="4536" w:hanging="3402"/>
      </w:pPr>
      <w:r w:rsidRPr="00556FAD">
        <w:rPr>
          <w:i/>
          <w:iCs/>
        </w:rPr>
        <w:t>Subject matter:</w:t>
      </w:r>
      <w:r w:rsidRPr="00556FAD">
        <w:tab/>
        <w:t xml:space="preserve">Imposition of a death sentence after an unfair trial </w:t>
      </w:r>
    </w:p>
    <w:p w14:paraId="69285711" w14:textId="77777777" w:rsidR="00297550" w:rsidRPr="00556FAD" w:rsidRDefault="00297550" w:rsidP="00A67F2E">
      <w:pPr>
        <w:pStyle w:val="SingleTxtG"/>
        <w:tabs>
          <w:tab w:val="left" w:pos="4536"/>
        </w:tabs>
        <w:ind w:left="4536" w:hanging="3402"/>
      </w:pPr>
      <w:r w:rsidRPr="00556FAD">
        <w:rPr>
          <w:i/>
          <w:iCs/>
        </w:rPr>
        <w:t>Procedural issues:</w:t>
      </w:r>
      <w:r w:rsidRPr="00556FAD">
        <w:t xml:space="preserve"> </w:t>
      </w:r>
      <w:r w:rsidRPr="00556FAD">
        <w:tab/>
        <w:t>Failure of the State party to cooperate; non-respect of the Committee</w:t>
      </w:r>
      <w:r w:rsidR="00CC6592" w:rsidRPr="00556FAD">
        <w:t>’</w:t>
      </w:r>
      <w:r w:rsidRPr="00556FAD">
        <w:t>s request for interim measures; non-exhaustion of domestic remedies</w:t>
      </w:r>
    </w:p>
    <w:p w14:paraId="4BA1243B" w14:textId="77777777" w:rsidR="00297550" w:rsidRPr="00556FAD" w:rsidRDefault="00297550" w:rsidP="00A67F2E">
      <w:pPr>
        <w:pStyle w:val="SingleTxtG"/>
        <w:tabs>
          <w:tab w:val="left" w:pos="4536"/>
        </w:tabs>
        <w:ind w:left="4536" w:hanging="3402"/>
      </w:pPr>
      <w:r w:rsidRPr="00556FAD">
        <w:rPr>
          <w:i/>
          <w:iCs/>
        </w:rPr>
        <w:t>Substantive issues:</w:t>
      </w:r>
      <w:r w:rsidRPr="00556FAD">
        <w:t xml:space="preserve"> </w:t>
      </w:r>
      <w:r w:rsidRPr="00556FAD">
        <w:tab/>
        <w:t>Arbitrary deprivation of life; habeas corpus; right to a fair hearing by an independent and impartial tribunal; right to be presumed innocent</w:t>
      </w:r>
    </w:p>
    <w:p w14:paraId="7FF7CB57" w14:textId="6A3705CF" w:rsidR="00297550" w:rsidRPr="00556FAD" w:rsidRDefault="00297550" w:rsidP="00A67F2E">
      <w:pPr>
        <w:pStyle w:val="SingleTxtG"/>
        <w:tabs>
          <w:tab w:val="left" w:pos="4536"/>
        </w:tabs>
        <w:ind w:left="4536" w:hanging="3402"/>
      </w:pPr>
      <w:r w:rsidRPr="00556FAD">
        <w:rPr>
          <w:i/>
          <w:iCs/>
        </w:rPr>
        <w:t>Articles of the Covenant:</w:t>
      </w:r>
      <w:r w:rsidRPr="00556FAD">
        <w:t xml:space="preserve"> </w:t>
      </w:r>
      <w:r w:rsidRPr="00556FAD">
        <w:tab/>
        <w:t>6 (1) and (2), 9 (1</w:t>
      </w:r>
      <w:r w:rsidR="00C908C9">
        <w:t xml:space="preserve"> - 4</w:t>
      </w:r>
      <w:r w:rsidRPr="00556FAD">
        <w:t>) and 14 (1), (2) and (3)</w:t>
      </w:r>
      <w:r w:rsidR="00C908C9">
        <w:t xml:space="preserve"> (a)</w:t>
      </w:r>
      <w:r w:rsidR="00CC6592" w:rsidRPr="00556FAD">
        <w:t xml:space="preserve"> </w:t>
      </w:r>
      <w:r w:rsidRPr="00556FAD">
        <w:t>(b)</w:t>
      </w:r>
      <w:r w:rsidR="00C908C9">
        <w:t xml:space="preserve"> and (d)</w:t>
      </w:r>
    </w:p>
    <w:p w14:paraId="6040B5A0" w14:textId="401D015A" w:rsidR="00297550" w:rsidRDefault="00297550" w:rsidP="00A67F2E">
      <w:pPr>
        <w:pStyle w:val="SingleTxtG"/>
        <w:tabs>
          <w:tab w:val="left" w:pos="4536"/>
        </w:tabs>
        <w:ind w:left="4536" w:hanging="3402"/>
      </w:pPr>
      <w:r w:rsidRPr="00556FAD">
        <w:rPr>
          <w:i/>
          <w:iCs/>
        </w:rPr>
        <w:lastRenderedPageBreak/>
        <w:t>Articles of the Optional Protocol:</w:t>
      </w:r>
      <w:r w:rsidRPr="00556FAD">
        <w:tab/>
        <w:t>1, 2 and 5 (2) (b)</w:t>
      </w:r>
    </w:p>
    <w:p w14:paraId="4B7E2E8C" w14:textId="77777777" w:rsidR="00EA1E0C" w:rsidRDefault="00EA1E0C">
      <w:pPr>
        <w:suppressAutoHyphens w:val="0"/>
        <w:spacing w:after="200" w:line="276" w:lineRule="auto"/>
        <w:rPr>
          <w:rFonts w:eastAsia="SimSun"/>
          <w:lang w:eastAsia="zh-CN"/>
        </w:rPr>
      </w:pPr>
      <w:r>
        <w:br w:type="page"/>
      </w:r>
    </w:p>
    <w:p w14:paraId="2D84A00E" w14:textId="45998DCF" w:rsidR="0081712C" w:rsidRDefault="0081712C" w:rsidP="00BD76AE">
      <w:pPr>
        <w:pStyle w:val="SingleTxtG"/>
      </w:pPr>
      <w:r w:rsidRPr="0081712C">
        <w:lastRenderedPageBreak/>
        <w:t>1.</w:t>
      </w:r>
      <w:r w:rsidR="00561FB7">
        <w:t>1</w:t>
      </w:r>
      <w:r w:rsidRPr="0081712C">
        <w:tab/>
      </w:r>
      <w:r>
        <w:t>The author of the c</w:t>
      </w:r>
      <w:r w:rsidRPr="0081712C">
        <w:t>ommunication</w:t>
      </w:r>
      <w:r>
        <w:t xml:space="preserve"> is</w:t>
      </w:r>
      <w:r w:rsidRPr="0081712C">
        <w:t xml:space="preserve"> Aleksey Ivanov</w:t>
      </w:r>
      <w:r>
        <w:t xml:space="preserve">, </w:t>
      </w:r>
      <w:r w:rsidRPr="0081712C">
        <w:t xml:space="preserve">a Belarus national born </w:t>
      </w:r>
      <w:r>
        <w:t xml:space="preserve">in </w:t>
      </w:r>
      <w:r w:rsidRPr="0081712C">
        <w:t>19</w:t>
      </w:r>
      <w:r>
        <w:t>88,</w:t>
      </w:r>
      <w:r w:rsidRPr="0081712C">
        <w:t xml:space="preserve"> </w:t>
      </w:r>
      <w:r>
        <w:t xml:space="preserve">submitting it </w:t>
      </w:r>
      <w:r w:rsidRPr="0081712C">
        <w:t xml:space="preserve">on behalf of his brother, Sergey Ivanov, a Belarus national born </w:t>
      </w:r>
      <w:r>
        <w:t xml:space="preserve">in </w:t>
      </w:r>
      <w:r w:rsidRPr="0081712C">
        <w:t xml:space="preserve">1994 who was at the material time </w:t>
      </w:r>
      <w:r w:rsidR="001C767C">
        <w:t xml:space="preserve">detained </w:t>
      </w:r>
      <w:r w:rsidRPr="0081712C">
        <w:t xml:space="preserve">on death row awaiting </w:t>
      </w:r>
      <w:r w:rsidRPr="00050FC4">
        <w:t>execution</w:t>
      </w:r>
      <w:r w:rsidRPr="0081712C">
        <w:t xml:space="preserve"> following an imposition of a death sentence. The author claims </w:t>
      </w:r>
      <w:r>
        <w:t xml:space="preserve">that the State party has violated </w:t>
      </w:r>
      <w:r w:rsidRPr="0081712C">
        <w:t>his brother’s rights under articles 6</w:t>
      </w:r>
      <w:r>
        <w:t xml:space="preserve"> (1) </w:t>
      </w:r>
      <w:r w:rsidRPr="0081712C">
        <w:t xml:space="preserve">and </w:t>
      </w:r>
      <w:r>
        <w:t>(</w:t>
      </w:r>
      <w:r w:rsidRPr="0081712C">
        <w:t>2</w:t>
      </w:r>
      <w:r>
        <w:t>),</w:t>
      </w:r>
      <w:r w:rsidRPr="0081712C">
        <w:t xml:space="preserve"> 9</w:t>
      </w:r>
      <w:r>
        <w:t xml:space="preserve"> (</w:t>
      </w:r>
      <w:r w:rsidRPr="0081712C">
        <w:t xml:space="preserve">1 </w:t>
      </w:r>
      <w:r>
        <w:t>–</w:t>
      </w:r>
      <w:r w:rsidRPr="0081712C">
        <w:t xml:space="preserve"> 4</w:t>
      </w:r>
      <w:r>
        <w:t>)</w:t>
      </w:r>
      <w:r w:rsidRPr="0081712C">
        <w:t xml:space="preserve"> and 14</w:t>
      </w:r>
      <w:r>
        <w:t xml:space="preserve"> (</w:t>
      </w:r>
      <w:r w:rsidRPr="0081712C">
        <w:t>1</w:t>
      </w:r>
      <w:r>
        <w:t>)</w:t>
      </w:r>
      <w:r w:rsidRPr="0081712C">
        <w:t xml:space="preserve">, </w:t>
      </w:r>
      <w:r>
        <w:t>(</w:t>
      </w:r>
      <w:r w:rsidRPr="0081712C">
        <w:t>2</w:t>
      </w:r>
      <w:r>
        <w:t>)</w:t>
      </w:r>
      <w:r w:rsidRPr="0081712C">
        <w:t xml:space="preserve">, </w:t>
      </w:r>
      <w:r>
        <w:t>(</w:t>
      </w:r>
      <w:r w:rsidRPr="0081712C">
        <w:t>3</w:t>
      </w:r>
      <w:r>
        <w:t>)</w:t>
      </w:r>
      <w:r w:rsidRPr="0081712C">
        <w:t xml:space="preserve"> (a), (b), and (d) of the </w:t>
      </w:r>
      <w:r>
        <w:t>Covenant</w:t>
      </w:r>
      <w:r w:rsidRPr="0081712C">
        <w:t>. The Optional Protocol entered into force for Belarus on 30 December 1992. The author is represented by counsel.</w:t>
      </w:r>
    </w:p>
    <w:p w14:paraId="53FD0643" w14:textId="573D9A82" w:rsidR="001C767C" w:rsidRDefault="00561FB7" w:rsidP="00BD76AE">
      <w:pPr>
        <w:pStyle w:val="SingleTxtG"/>
      </w:pPr>
      <w:r>
        <w:t>1.2</w:t>
      </w:r>
      <w:r>
        <w:tab/>
        <w:t xml:space="preserve">On 15 October 2015, the Committee, acting through its Special Rapporteur on new communications and interim </w:t>
      </w:r>
      <w:r w:rsidRPr="00050FC4">
        <w:t>measures</w:t>
      </w:r>
      <w:r>
        <w:t>, decided to grant interim measures under rule 9</w:t>
      </w:r>
      <w:r w:rsidR="00855473">
        <w:t>2</w:t>
      </w:r>
      <w:r>
        <w:t xml:space="preserve"> of its rules of procedure and requested the State party not to carry out the death sentence of </w:t>
      </w:r>
      <w:r w:rsidR="00116D05">
        <w:t>M</w:t>
      </w:r>
      <w:r>
        <w:t xml:space="preserve">r. Ivanov while his case was under examination by the Committee. </w:t>
      </w:r>
    </w:p>
    <w:p w14:paraId="2CE615A1" w14:textId="77777777" w:rsidR="00561FB7" w:rsidRPr="0081712C" w:rsidRDefault="001C767C" w:rsidP="00BD76AE">
      <w:pPr>
        <w:pStyle w:val="SingleTxtG"/>
      </w:pPr>
      <w:r>
        <w:t>1.3</w:t>
      </w:r>
      <w:r>
        <w:tab/>
      </w:r>
      <w:r w:rsidR="00561FB7">
        <w:t xml:space="preserve">On </w:t>
      </w:r>
      <w:r w:rsidR="00EB1B91">
        <w:t xml:space="preserve">24 May 2016, the </w:t>
      </w:r>
      <w:r w:rsidR="00EB1B91" w:rsidRPr="00050FC4">
        <w:t>Committee</w:t>
      </w:r>
      <w:r w:rsidR="00EB1B91">
        <w:t xml:space="preserve"> received </w:t>
      </w:r>
      <w:r w:rsidR="00116D05">
        <w:t>confi</w:t>
      </w:r>
      <w:r w:rsidR="00EB1B91">
        <w:t>rmation from counsel to the effect that Mr. Ivanov’s death sentence had been carried out on 18 April 2016.</w:t>
      </w:r>
      <w:r w:rsidR="00EB1B91">
        <w:rPr>
          <w:rStyle w:val="FootnoteReference"/>
        </w:rPr>
        <w:footnoteReference w:id="4"/>
      </w:r>
      <w:r w:rsidR="00EB1B91">
        <w:t xml:space="preserve"> </w:t>
      </w:r>
    </w:p>
    <w:p w14:paraId="11D87A70" w14:textId="7E682C62" w:rsidR="0081712C" w:rsidRPr="006B524E" w:rsidRDefault="00EA1E0C" w:rsidP="00EA1E0C">
      <w:pPr>
        <w:pStyle w:val="H23G"/>
      </w:pPr>
      <w:r>
        <w:tab/>
      </w:r>
      <w:r>
        <w:tab/>
      </w:r>
      <w:r w:rsidR="0081712C" w:rsidRPr="006B524E">
        <w:t>The facts as submitted by the author</w:t>
      </w:r>
    </w:p>
    <w:p w14:paraId="38DDCFF6" w14:textId="715D59A6" w:rsidR="0081712C" w:rsidRPr="0081712C" w:rsidRDefault="00EA1E0C" w:rsidP="00BD76AE">
      <w:pPr>
        <w:pStyle w:val="SingleTxtG"/>
      </w:pPr>
      <w:r>
        <w:t>2.1</w:t>
      </w:r>
      <w:r w:rsidR="0081712C" w:rsidRPr="0081712C">
        <w:tab/>
        <w:t xml:space="preserve">On 29 August 2013, </w:t>
      </w:r>
      <w:r w:rsidR="00561FB7">
        <w:t xml:space="preserve">the body of </w:t>
      </w:r>
      <w:r w:rsidR="0081712C" w:rsidRPr="0081712C">
        <w:t xml:space="preserve">a girl, A. A., born in 1994, was found with the signs of violence. On the same day, the author’s brother was arrested on suspicion of murder and detained in the </w:t>
      </w:r>
      <w:proofErr w:type="spellStart"/>
      <w:r w:rsidR="0081712C" w:rsidRPr="0081712C">
        <w:t>Rechitsk</w:t>
      </w:r>
      <w:proofErr w:type="spellEnd"/>
      <w:r w:rsidR="0081712C" w:rsidRPr="0081712C">
        <w:t xml:space="preserve"> </w:t>
      </w:r>
      <w:r w:rsidR="0081712C" w:rsidRPr="00050FC4">
        <w:t>District</w:t>
      </w:r>
      <w:r w:rsidR="0081712C" w:rsidRPr="0081712C">
        <w:t xml:space="preserve"> Internal Affairs Office. </w:t>
      </w:r>
      <w:r w:rsidR="009B2B96">
        <w:t xml:space="preserve">On 8 September 2013, </w:t>
      </w:r>
      <w:r w:rsidR="009B2B96" w:rsidRPr="009B2B96">
        <w:t>the author’s brother was officially placed in pre-trial detention by the order of a prosecutor.</w:t>
      </w:r>
      <w:r w:rsidR="009B2B96">
        <w:t xml:space="preserve"> </w:t>
      </w:r>
      <w:r w:rsidR="00651021">
        <w:t xml:space="preserve">He received the order of the prosecutor only on 9 September 2013. </w:t>
      </w:r>
      <w:r w:rsidR="009B2B96">
        <w:t xml:space="preserve">He was not brought before a judge or other officer authorized by law to exercise judicial power neither on 29 August 2013, nor on 8 September 2013.  </w:t>
      </w:r>
    </w:p>
    <w:p w14:paraId="307FEFD4" w14:textId="272EA81C" w:rsidR="00343F8B" w:rsidRPr="00343F8B" w:rsidRDefault="00EA1E0C" w:rsidP="00BD76AE">
      <w:pPr>
        <w:pStyle w:val="SingleTxtG"/>
      </w:pPr>
      <w:r>
        <w:t>2.2</w:t>
      </w:r>
      <w:r>
        <w:tab/>
      </w:r>
      <w:r w:rsidR="0081712C" w:rsidRPr="0081712C">
        <w:t>On 18 March 2015, the Gomel Regional Court found the author’s brother guilty of having committed repeated violent hooliganism, as part of a group of persons (article 339 part 2 of the Criminal Code); intentionally causing serious bodily harm, endangering the life of the victim (article 147 part 2, paragraph 7); repeated violent robbery committed in a group of persons endangering life and health of the victim (article 206 part 2); repeated theft of property (article 205 part 2); murder committed with a particular cruelty (article 139); the court sentenced him to death.</w:t>
      </w:r>
      <w:r w:rsidR="00343F8B">
        <w:t xml:space="preserve"> T</w:t>
      </w:r>
      <w:r w:rsidR="00343F8B" w:rsidRPr="00343F8B">
        <w:t xml:space="preserve">he </w:t>
      </w:r>
      <w:r w:rsidR="00343F8B">
        <w:t xml:space="preserve">trial </w:t>
      </w:r>
      <w:r w:rsidR="00343F8B" w:rsidRPr="00343F8B">
        <w:t xml:space="preserve">court </w:t>
      </w:r>
      <w:r w:rsidR="00343F8B">
        <w:t>did not</w:t>
      </w:r>
      <w:r w:rsidR="00343F8B" w:rsidRPr="00343F8B">
        <w:t xml:space="preserve"> </w:t>
      </w:r>
      <w:r w:rsidR="00877EAA">
        <w:t>consider as mitigating circumstances</w:t>
      </w:r>
      <w:r w:rsidR="00343F8B" w:rsidRPr="00343F8B">
        <w:t xml:space="preserve"> the defendant’s “sincere </w:t>
      </w:r>
      <w:r w:rsidR="00343F8B" w:rsidRPr="00050FC4">
        <w:t>confession</w:t>
      </w:r>
      <w:r w:rsidR="00343F8B" w:rsidRPr="00343F8B">
        <w:t>” to the murder and his cooperation throughout the investigation.</w:t>
      </w:r>
    </w:p>
    <w:p w14:paraId="37205B3A" w14:textId="13B77B1F" w:rsidR="0081712C" w:rsidRPr="0081712C" w:rsidRDefault="0081712C" w:rsidP="00BD76AE">
      <w:pPr>
        <w:pStyle w:val="SingleTxtG"/>
      </w:pPr>
      <w:r w:rsidRPr="0081712C">
        <w:t>2.3</w:t>
      </w:r>
      <w:r w:rsidR="00C908C9">
        <w:tab/>
      </w:r>
      <w:r w:rsidRPr="0081712C">
        <w:t xml:space="preserve">On 26 March 2015, the </w:t>
      </w:r>
      <w:r w:rsidRPr="00050FC4">
        <w:t>author’s</w:t>
      </w:r>
      <w:r w:rsidRPr="0081712C">
        <w:t xml:space="preserve"> brother appealed the judgment of the Gomel Regional Court to the Supreme Court. On 14 July 2015, the Supreme Court dismissed the appeal and upheld the lower court’s judgment of 18 March 2015. The author submits that, consequently, the Regional Court’s judgment entered into force immediately.</w:t>
      </w:r>
    </w:p>
    <w:p w14:paraId="6F589749" w14:textId="77777777" w:rsidR="0081712C" w:rsidRPr="0081712C" w:rsidRDefault="0081712C" w:rsidP="00BD76AE">
      <w:pPr>
        <w:pStyle w:val="SingleTxtG"/>
      </w:pPr>
      <w:r w:rsidRPr="0081712C">
        <w:t>2.4</w:t>
      </w:r>
      <w:r w:rsidR="00C908C9">
        <w:tab/>
      </w:r>
      <w:r w:rsidRPr="0081712C">
        <w:t xml:space="preserve">On 21 July 2015, the </w:t>
      </w:r>
      <w:r w:rsidRPr="00050FC4">
        <w:t>author’s</w:t>
      </w:r>
      <w:r w:rsidRPr="0081712C">
        <w:t xml:space="preserve"> brother </w:t>
      </w:r>
      <w:r w:rsidR="001B6263">
        <w:t xml:space="preserve">also submitted an application for </w:t>
      </w:r>
      <w:r w:rsidRPr="0081712C">
        <w:t>a pardon to the President of Belarus</w:t>
      </w:r>
      <w:r w:rsidR="00561FB7">
        <w:t>.</w:t>
      </w:r>
      <w:r w:rsidR="00561FB7">
        <w:rPr>
          <w:rStyle w:val="FootnoteReference"/>
        </w:rPr>
        <w:footnoteReference w:id="5"/>
      </w:r>
    </w:p>
    <w:p w14:paraId="34B0B5D8" w14:textId="064E663B" w:rsidR="0081712C" w:rsidRPr="0081712C" w:rsidRDefault="0081712C" w:rsidP="00BD76AE">
      <w:pPr>
        <w:pStyle w:val="SingleTxtG"/>
      </w:pPr>
      <w:r w:rsidRPr="0081712C">
        <w:t>2.5</w:t>
      </w:r>
      <w:r w:rsidR="00C908C9">
        <w:tab/>
      </w:r>
      <w:r w:rsidRPr="0081712C">
        <w:t xml:space="preserve">Despite considering this remedy to be ineffective, </w:t>
      </w:r>
      <w:r w:rsidR="0089525B" w:rsidRPr="0081712C">
        <w:t>on 25 August 2015</w:t>
      </w:r>
      <w:r w:rsidR="0089525B">
        <w:t xml:space="preserve">, </w:t>
      </w:r>
      <w:r w:rsidRPr="0081712C">
        <w:t xml:space="preserve">the author’s brother appealed to the Prosecutor General within the supervisory review procedure. However, his appeal was dismissed on 28 September 2015. On 2 October 2015, the author’s brother appealed within the </w:t>
      </w:r>
      <w:r w:rsidRPr="00050FC4">
        <w:t>supervisory</w:t>
      </w:r>
      <w:r w:rsidRPr="0081712C">
        <w:t xml:space="preserve"> review procedure also before the President of the Supreme Court. </w:t>
      </w:r>
      <w:r w:rsidR="0089525B">
        <w:t>At the time of the submission of the present communication, h</w:t>
      </w:r>
      <w:r w:rsidRPr="0081712C">
        <w:t>e ha</w:t>
      </w:r>
      <w:r w:rsidR="0089525B">
        <w:t>d</w:t>
      </w:r>
      <w:r w:rsidRPr="0081712C">
        <w:t xml:space="preserve"> not yet received a decision, but </w:t>
      </w:r>
      <w:r w:rsidR="00855473">
        <w:t>t</w:t>
      </w:r>
      <w:r w:rsidRPr="0081712C">
        <w:t xml:space="preserve">he </w:t>
      </w:r>
      <w:r w:rsidR="00855473">
        <w:t xml:space="preserve">author </w:t>
      </w:r>
      <w:r w:rsidRPr="0081712C">
        <w:t xml:space="preserve">notes that according to the Committee’s </w:t>
      </w:r>
      <w:r w:rsidR="00116D05" w:rsidRPr="0081712C">
        <w:t>well-established</w:t>
      </w:r>
      <w:r w:rsidRPr="0081712C">
        <w:t xml:space="preserve"> jurisprudence, this remedy may not be considered </w:t>
      </w:r>
      <w:r w:rsidR="00116D05" w:rsidRPr="0081712C">
        <w:t>effective</w:t>
      </w:r>
      <w:r w:rsidR="00855473">
        <w:t xml:space="preserve"> and</w:t>
      </w:r>
      <w:r w:rsidRPr="0081712C">
        <w:t xml:space="preserve"> claims that his brother has exhausted all the available domestic remedies.</w:t>
      </w:r>
    </w:p>
    <w:p w14:paraId="7A3CEFB7" w14:textId="77EBC6FC" w:rsidR="00116D05" w:rsidRDefault="00C908C9" w:rsidP="00BD76AE">
      <w:pPr>
        <w:pStyle w:val="SingleTxtG"/>
      </w:pPr>
      <w:r>
        <w:t>2.6</w:t>
      </w:r>
      <w:r>
        <w:tab/>
      </w:r>
      <w:r w:rsidR="005D59C0">
        <w:t xml:space="preserve">The author </w:t>
      </w:r>
      <w:r>
        <w:t xml:space="preserve">also </w:t>
      </w:r>
      <w:r w:rsidR="005D59C0">
        <w:t xml:space="preserve">contended </w:t>
      </w:r>
      <w:r w:rsidR="00116D05">
        <w:t>at the time of submission that his brother could be executed at any time</w:t>
      </w:r>
      <w:r>
        <w:t xml:space="preserve"> as his sentence had entered into force</w:t>
      </w:r>
      <w:r w:rsidR="00116D05">
        <w:t xml:space="preserve">. Mr. Ivanov therefore requested the granting of interim measures, namely suspension of the execution of the death penalty, pending the consideration of the communication. </w:t>
      </w:r>
      <w:r w:rsidR="00877EAA">
        <w:t xml:space="preserve">Despite the decision of the Committee to grant the request for interim measures, </w:t>
      </w:r>
      <w:r w:rsidR="00116D05">
        <w:t xml:space="preserve">counsel </w:t>
      </w:r>
      <w:r w:rsidR="00116D05" w:rsidRPr="00050FC4">
        <w:t>informed</w:t>
      </w:r>
      <w:r w:rsidR="00116D05">
        <w:t xml:space="preserve"> </w:t>
      </w:r>
      <w:r w:rsidR="00877EAA">
        <w:t xml:space="preserve">on 24 May 2016 </w:t>
      </w:r>
      <w:r w:rsidR="00116D05">
        <w:t>that the execution has been carried out</w:t>
      </w:r>
      <w:r>
        <w:t xml:space="preserve"> on 18 April 2016.</w:t>
      </w:r>
    </w:p>
    <w:p w14:paraId="0EC52DEE" w14:textId="77777777" w:rsidR="00297550" w:rsidRPr="00556FAD" w:rsidRDefault="00297550" w:rsidP="00BA6708">
      <w:pPr>
        <w:pStyle w:val="H23G"/>
      </w:pPr>
      <w:r w:rsidRPr="00556FAD">
        <w:tab/>
      </w:r>
      <w:r w:rsidRPr="00556FAD">
        <w:tab/>
        <w:t>The complaint</w:t>
      </w:r>
    </w:p>
    <w:p w14:paraId="3D7FAD0C" w14:textId="1AD8B5CC" w:rsidR="005A3146" w:rsidRDefault="00EA1E0C">
      <w:pPr>
        <w:pStyle w:val="SingleTxtG"/>
      </w:pPr>
      <w:r>
        <w:t>3.1</w:t>
      </w:r>
      <w:r w:rsidR="005A3146">
        <w:tab/>
      </w:r>
      <w:r w:rsidR="00884ED4" w:rsidRPr="00884ED4">
        <w:t xml:space="preserve">The author claims that the State party has </w:t>
      </w:r>
      <w:r w:rsidR="00884ED4" w:rsidRPr="00050FC4">
        <w:t>violated</w:t>
      </w:r>
      <w:r w:rsidR="00884ED4" w:rsidRPr="00884ED4">
        <w:t xml:space="preserve"> his brother’s rights under articles 6 </w:t>
      </w:r>
      <w:r w:rsidR="00884ED4">
        <w:t>(</w:t>
      </w:r>
      <w:r w:rsidR="00884ED4" w:rsidRPr="00884ED4">
        <w:t>1</w:t>
      </w:r>
      <w:r w:rsidR="00884ED4">
        <w:t>)</w:t>
      </w:r>
      <w:r w:rsidR="00884ED4" w:rsidRPr="00884ED4">
        <w:t xml:space="preserve"> and </w:t>
      </w:r>
      <w:r w:rsidR="00884ED4">
        <w:t>(</w:t>
      </w:r>
      <w:r w:rsidR="00884ED4" w:rsidRPr="00884ED4">
        <w:t>2</w:t>
      </w:r>
      <w:r w:rsidR="00884ED4">
        <w:t xml:space="preserve">), </w:t>
      </w:r>
      <w:r w:rsidR="00884ED4" w:rsidRPr="00884ED4">
        <w:t>9</w:t>
      </w:r>
      <w:r w:rsidR="00884ED4">
        <w:t xml:space="preserve"> (</w:t>
      </w:r>
      <w:r w:rsidR="00884ED4" w:rsidRPr="00884ED4">
        <w:t>1</w:t>
      </w:r>
      <w:r w:rsidR="00884ED4">
        <w:t>) – (</w:t>
      </w:r>
      <w:r w:rsidR="00884ED4" w:rsidRPr="00884ED4">
        <w:t>4</w:t>
      </w:r>
      <w:r w:rsidR="00884ED4">
        <w:t>)</w:t>
      </w:r>
      <w:r w:rsidR="00884ED4" w:rsidRPr="00884ED4">
        <w:t xml:space="preserve"> and</w:t>
      </w:r>
      <w:r w:rsidR="00884ED4">
        <w:t xml:space="preserve"> </w:t>
      </w:r>
      <w:r w:rsidR="00884ED4" w:rsidRPr="00884ED4">
        <w:t>14</w:t>
      </w:r>
      <w:r w:rsidR="00884ED4">
        <w:t xml:space="preserve"> (</w:t>
      </w:r>
      <w:r w:rsidR="00884ED4" w:rsidRPr="00884ED4">
        <w:t>1</w:t>
      </w:r>
      <w:r w:rsidR="00884ED4">
        <w:t>)</w:t>
      </w:r>
      <w:r w:rsidR="00884ED4" w:rsidRPr="00884ED4">
        <w:t xml:space="preserve">, </w:t>
      </w:r>
      <w:r w:rsidR="00884ED4">
        <w:t>(</w:t>
      </w:r>
      <w:r w:rsidR="00884ED4" w:rsidRPr="00884ED4">
        <w:t>2</w:t>
      </w:r>
      <w:r w:rsidR="00884ED4">
        <w:t>)</w:t>
      </w:r>
      <w:r w:rsidR="00884ED4" w:rsidRPr="00884ED4">
        <w:t xml:space="preserve">, </w:t>
      </w:r>
      <w:r w:rsidR="00884ED4">
        <w:t>(</w:t>
      </w:r>
      <w:r w:rsidR="00884ED4" w:rsidRPr="00884ED4">
        <w:t>3</w:t>
      </w:r>
      <w:r w:rsidR="00884ED4">
        <w:t>)</w:t>
      </w:r>
      <w:r w:rsidR="00884ED4" w:rsidRPr="00884ED4">
        <w:t xml:space="preserve"> (a), (b), and (d) of the Covenant. In particular, the State party has violated </w:t>
      </w:r>
      <w:r w:rsidR="006D4E01" w:rsidRPr="00884ED4">
        <w:t>the right</w:t>
      </w:r>
      <w:r w:rsidR="00884ED4" w:rsidRPr="00884ED4">
        <w:t xml:space="preserve"> to life under article 6 of the Covenant</w:t>
      </w:r>
      <w:r w:rsidR="00877EAA">
        <w:t xml:space="preserve"> of the author’s brother</w:t>
      </w:r>
      <w:r w:rsidR="00884ED4" w:rsidRPr="00884ED4">
        <w:t xml:space="preserve">. </w:t>
      </w:r>
      <w:r w:rsidR="005602C8">
        <w:t>The author</w:t>
      </w:r>
      <w:r w:rsidR="00CB28D0" w:rsidRPr="00CB28D0">
        <w:t xml:space="preserve"> notes that in Belarus, a person’s counsels or his family are not notified of the date and time of the planned execution but are only notified of the execution once it has already taken place. </w:t>
      </w:r>
      <w:r w:rsidR="005602C8">
        <w:t xml:space="preserve">He </w:t>
      </w:r>
      <w:r w:rsidR="00EF6E62">
        <w:t>claims that</w:t>
      </w:r>
      <w:r w:rsidR="00B946D9">
        <w:t xml:space="preserve"> the</w:t>
      </w:r>
      <w:r w:rsidR="00EF6E62">
        <w:t xml:space="preserve"> trial </w:t>
      </w:r>
      <w:r w:rsidR="005602C8">
        <w:t xml:space="preserve">lacking </w:t>
      </w:r>
      <w:r w:rsidR="004B4CA7">
        <w:t xml:space="preserve">due process guarantees and </w:t>
      </w:r>
      <w:r w:rsidR="005602C8">
        <w:t>concluding to a</w:t>
      </w:r>
      <w:r w:rsidR="00EF6E62">
        <w:t xml:space="preserve"> death sentence </w:t>
      </w:r>
      <w:r w:rsidR="00B946D9">
        <w:t>violates in itself his brother’s rights under article 6 (1) and (2)</w:t>
      </w:r>
      <w:r w:rsidR="004B4CA7">
        <w:t xml:space="preserve"> of the Covenant</w:t>
      </w:r>
      <w:r w:rsidR="005A3146">
        <w:t xml:space="preserve">. </w:t>
      </w:r>
    </w:p>
    <w:p w14:paraId="661E77EE" w14:textId="00FAFEE6" w:rsidR="00B946D9" w:rsidRPr="006B524E" w:rsidRDefault="005A3146">
      <w:pPr>
        <w:pStyle w:val="SingleTxtG"/>
        <w:rPr>
          <w:lang w:val="bg-BG"/>
        </w:rPr>
      </w:pPr>
      <w:r>
        <w:t>3.2</w:t>
      </w:r>
      <w:r>
        <w:tab/>
        <w:t>The author further claims that his brother’s rights under article 9 (1 – 4) were violated</w:t>
      </w:r>
      <w:r w:rsidR="00B946D9">
        <w:t>,</w:t>
      </w:r>
      <w:r>
        <w:t xml:space="preserve"> </w:t>
      </w:r>
      <w:r w:rsidR="00B946D9">
        <w:t>as d</w:t>
      </w:r>
      <w:r w:rsidRPr="0089525B">
        <w:t xml:space="preserve">uring his apprehension, he was </w:t>
      </w:r>
      <w:r w:rsidRPr="00050FC4">
        <w:t>not</w:t>
      </w:r>
      <w:r w:rsidRPr="0089525B">
        <w:t xml:space="preserve"> brought promptly before a judge</w:t>
      </w:r>
      <w:r w:rsidR="00B946D9">
        <w:t xml:space="preserve"> after his initial arrest</w:t>
      </w:r>
      <w:r w:rsidRPr="0089525B">
        <w:t xml:space="preserve">. </w:t>
      </w:r>
      <w:r w:rsidR="00B946D9">
        <w:t>His brother saw a judge for the first time in November 2014 already for his trial, more than 450 days after his arrest</w:t>
      </w:r>
      <w:r w:rsidR="00651021">
        <w:t>, which violates his rights under article 9 (3) of the Covenant</w:t>
      </w:r>
      <w:r w:rsidR="00B946D9">
        <w:t xml:space="preserve">. </w:t>
      </w:r>
    </w:p>
    <w:p w14:paraId="39EBC5BF" w14:textId="14DF02DC" w:rsidR="005A3146" w:rsidRPr="0089525B" w:rsidRDefault="00B946D9" w:rsidP="005A3146">
      <w:pPr>
        <w:pStyle w:val="SingleTxtG"/>
      </w:pPr>
      <w:r>
        <w:t>3.3</w:t>
      </w:r>
      <w:r>
        <w:tab/>
        <w:t xml:space="preserve">The author claims </w:t>
      </w:r>
      <w:r w:rsidR="004B4CA7">
        <w:t xml:space="preserve">a violation of his brother’s rights under article 14 (1) of the Covenant. </w:t>
      </w:r>
      <w:r w:rsidR="00FA2426" w:rsidRPr="0089525B">
        <w:t xml:space="preserve">The author claims that during the court proceedings the court was biased and failed in its duty of objectivity. </w:t>
      </w:r>
      <w:r w:rsidR="004B4CA7">
        <w:t xml:space="preserve">He submits </w:t>
      </w:r>
      <w:r w:rsidR="00F430F2">
        <w:t>that the trial court was biased as it tolerate</w:t>
      </w:r>
      <w:r w:rsidR="004B4CA7">
        <w:t>d</w:t>
      </w:r>
      <w:r w:rsidR="00F430F2">
        <w:t xml:space="preserve"> </w:t>
      </w:r>
      <w:r w:rsidR="004B4CA7">
        <w:t>the victim’s family and their counsel’s aggressive behaviour against his brother</w:t>
      </w:r>
      <w:r w:rsidR="00FA2426" w:rsidRPr="00FA2426">
        <w:t xml:space="preserve"> </w:t>
      </w:r>
      <w:r w:rsidR="00FA2426">
        <w:t>during the hearings</w:t>
      </w:r>
      <w:r w:rsidR="004B4CA7">
        <w:t>.</w:t>
      </w:r>
      <w:r w:rsidR="00F430F2">
        <w:t xml:space="preserve"> </w:t>
      </w:r>
      <w:r w:rsidR="005A3146" w:rsidRPr="0089525B">
        <w:t xml:space="preserve">He was not offered sufficient time to prepare his </w:t>
      </w:r>
      <w:proofErr w:type="spellStart"/>
      <w:r w:rsidR="005A3146" w:rsidRPr="0089525B">
        <w:t>defense</w:t>
      </w:r>
      <w:proofErr w:type="spellEnd"/>
      <w:r w:rsidR="005A3146" w:rsidRPr="0089525B">
        <w:t xml:space="preserve"> and his access to his lawyer was limited, </w:t>
      </w:r>
      <w:r w:rsidR="00EA58C1">
        <w:t xml:space="preserve">in violation </w:t>
      </w:r>
      <w:r w:rsidR="006D4E01">
        <w:t xml:space="preserve">of </w:t>
      </w:r>
      <w:r w:rsidR="005A3146" w:rsidRPr="0089525B">
        <w:t>fair trial guarantees</w:t>
      </w:r>
      <w:r w:rsidR="00EA58C1">
        <w:t>,</w:t>
      </w:r>
      <w:r w:rsidR="005A3146" w:rsidRPr="0089525B">
        <w:t xml:space="preserve"> </w:t>
      </w:r>
      <w:r w:rsidR="00EA58C1">
        <w:t>which</w:t>
      </w:r>
      <w:r w:rsidR="00505805">
        <w:t xml:space="preserve"> </w:t>
      </w:r>
      <w:r w:rsidR="005A3146" w:rsidRPr="0089525B">
        <w:t>led to a sentence to death.</w:t>
      </w:r>
    </w:p>
    <w:p w14:paraId="250DF386" w14:textId="38117E98" w:rsidR="00FA2426" w:rsidRDefault="00FA2426">
      <w:pPr>
        <w:pStyle w:val="SingleTxtG"/>
      </w:pPr>
      <w:r>
        <w:t>3.4</w:t>
      </w:r>
      <w:r>
        <w:tab/>
        <w:t xml:space="preserve">The author also claims that </w:t>
      </w:r>
      <w:r w:rsidRPr="00050FC4">
        <w:t>his</w:t>
      </w:r>
      <w:r>
        <w:t xml:space="preserve"> brother was placed on ‘death row’ even before the court sentence acquired the force of res judicata. Both before the trial</w:t>
      </w:r>
      <w:r w:rsidR="008279E4">
        <w:t xml:space="preserve"> court and the Supreme Court, h</w:t>
      </w:r>
      <w:r>
        <w:t xml:space="preserve">is brother </w:t>
      </w:r>
      <w:r w:rsidR="00855473">
        <w:t xml:space="preserve">was handcuffed and placed in a cage. During his cassation appeal, he </w:t>
      </w:r>
      <w:r>
        <w:t>had</w:t>
      </w:r>
      <w:r w:rsidR="00884ED4" w:rsidRPr="00884ED4">
        <w:t xml:space="preserve"> to wear special cloth</w:t>
      </w:r>
      <w:r>
        <w:t>ing</w:t>
      </w:r>
      <w:r w:rsidR="00884ED4" w:rsidRPr="00884ED4">
        <w:t xml:space="preserve"> </w:t>
      </w:r>
      <w:r>
        <w:t>for persons sentenced to death, marked with letters indicating his sentence</w:t>
      </w:r>
      <w:r w:rsidR="00617F67">
        <w:t>.</w:t>
      </w:r>
      <w:r w:rsidR="008279E4">
        <w:rPr>
          <w:rStyle w:val="FootnoteReference"/>
        </w:rPr>
        <w:footnoteReference w:id="6"/>
      </w:r>
      <w:r>
        <w:t xml:space="preserve"> </w:t>
      </w:r>
      <w:r w:rsidR="00617F67">
        <w:t xml:space="preserve"> </w:t>
      </w:r>
      <w:r w:rsidR="00011493">
        <w:t>In addition</w:t>
      </w:r>
      <w:r w:rsidR="00617F67">
        <w:t xml:space="preserve">, he was brought to the court hearings by a convoy of four </w:t>
      </w:r>
      <w:r w:rsidR="00011493">
        <w:t>to</w:t>
      </w:r>
      <w:r w:rsidR="00617F67">
        <w:t xml:space="preserve"> six guards in the so called ‘head to knees’</w:t>
      </w:r>
      <w:r w:rsidR="00617F67">
        <w:rPr>
          <w:rStyle w:val="FootnoteReference"/>
        </w:rPr>
        <w:footnoteReference w:id="7"/>
      </w:r>
      <w:r w:rsidR="00617F67">
        <w:t xml:space="preserve"> position which </w:t>
      </w:r>
      <w:r w:rsidR="00011493">
        <w:t xml:space="preserve">caused him suffering </w:t>
      </w:r>
      <w:r w:rsidR="00617F67">
        <w:t>increased blood pressure, dizziness and headache</w:t>
      </w:r>
      <w:r w:rsidR="00011493">
        <w:t>s</w:t>
      </w:r>
      <w:r w:rsidR="00617F67">
        <w:t xml:space="preserve">. </w:t>
      </w:r>
      <w:r w:rsidR="00011493" w:rsidRPr="00010608">
        <w:t>The trial judge d</w:t>
      </w:r>
      <w:r w:rsidR="00010608" w:rsidRPr="006B524E">
        <w:t xml:space="preserve">id not take into consideration </w:t>
      </w:r>
      <w:r w:rsidR="00011493" w:rsidRPr="00010608">
        <w:t>mitigatin</w:t>
      </w:r>
      <w:r w:rsidR="00011493" w:rsidRPr="00CE1318">
        <w:t xml:space="preserve">g circumstances, such as </w:t>
      </w:r>
      <w:r w:rsidR="00010608" w:rsidRPr="006B524E">
        <w:t>his confession and his sincere re</w:t>
      </w:r>
      <w:r w:rsidR="00343F8B">
        <w:t>pentance</w:t>
      </w:r>
      <w:r w:rsidR="00010608" w:rsidRPr="00010608">
        <w:t>.</w:t>
      </w:r>
      <w:r w:rsidR="00011493">
        <w:t xml:space="preserve"> </w:t>
      </w:r>
      <w:r w:rsidR="00EF4318">
        <w:t>The</w:t>
      </w:r>
      <w:r w:rsidR="00EF4318" w:rsidRPr="00EF4318">
        <w:t xml:space="preserve"> hearings were not held in public</w:t>
      </w:r>
      <w:r w:rsidR="00EF4318">
        <w:t xml:space="preserve"> but behind </w:t>
      </w:r>
      <w:proofErr w:type="spellStart"/>
      <w:r w:rsidR="00EF4318">
        <w:t>close</w:t>
      </w:r>
      <w:proofErr w:type="spellEnd"/>
      <w:r w:rsidR="00EF4318">
        <w:t xml:space="preserve"> doors</w:t>
      </w:r>
      <w:r w:rsidR="00EF4318" w:rsidRPr="00EF4318">
        <w:t xml:space="preserve">. </w:t>
      </w:r>
      <w:r w:rsidR="00334278">
        <w:t>Thus,</w:t>
      </w:r>
      <w:r w:rsidR="00EF4318">
        <w:t xml:space="preserve"> the information about the trial was provided to the media directly by the investigating authorities. </w:t>
      </w:r>
      <w:r w:rsidR="00334278">
        <w:t xml:space="preserve">Ordinary citizens and independent journalists had no access to information. </w:t>
      </w:r>
      <w:r w:rsidR="00B413A5">
        <w:t xml:space="preserve">State </w:t>
      </w:r>
      <w:r w:rsidR="00B413A5" w:rsidRPr="00050FC4">
        <w:t>m</w:t>
      </w:r>
      <w:r w:rsidR="00011493" w:rsidRPr="00050FC4">
        <w:t>edia</w:t>
      </w:r>
      <w:r w:rsidR="00011493">
        <w:t xml:space="preserve"> disregarded the principle of presumption of innocence and disseminated information</w:t>
      </w:r>
      <w:r w:rsidR="00334278">
        <w:t xml:space="preserve"> against the author’s brother</w:t>
      </w:r>
      <w:r w:rsidR="00011493">
        <w:t xml:space="preserve"> that was not established during the trial. </w:t>
      </w:r>
      <w:r w:rsidR="00B413A5">
        <w:t xml:space="preserve">The media called the author’s brother a murderer before the court sentence acquired the force of res judicata. </w:t>
      </w:r>
      <w:r w:rsidR="00617F67">
        <w:t>The author claims that this violated his brother’s right</w:t>
      </w:r>
      <w:r w:rsidR="00884ED4" w:rsidRPr="00884ED4">
        <w:t xml:space="preserve"> to be presumed innocent</w:t>
      </w:r>
      <w:r>
        <w:t xml:space="preserve"> under article 14 (2) of the Covenant.</w:t>
      </w:r>
      <w:r w:rsidR="00884ED4" w:rsidRPr="00884ED4">
        <w:t xml:space="preserve"> </w:t>
      </w:r>
    </w:p>
    <w:p w14:paraId="23442BEE" w14:textId="77777777" w:rsidR="00887E3E" w:rsidRPr="00887E3E" w:rsidRDefault="00617F67">
      <w:pPr>
        <w:pStyle w:val="SingleTxtG"/>
      </w:pPr>
      <w:r>
        <w:t>3.5</w:t>
      </w:r>
      <w:r>
        <w:tab/>
      </w:r>
      <w:r w:rsidR="00FC1210">
        <w:t xml:space="preserve">The author also claims a violation of his brother’s rights under article 14 (3) (a) </w:t>
      </w:r>
      <w:r w:rsidR="00F7315D">
        <w:t xml:space="preserve">of the Covenant, as he was not informed promptly of the </w:t>
      </w:r>
      <w:r w:rsidR="00F7315D" w:rsidRPr="00050FC4">
        <w:t>nature</w:t>
      </w:r>
      <w:r w:rsidR="00F7315D">
        <w:t xml:space="preserve"> and cause of the charges against him. </w:t>
      </w:r>
      <w:r w:rsidR="00887E3E" w:rsidRPr="00887E3E">
        <w:t xml:space="preserve">The author submits that </w:t>
      </w:r>
      <w:r w:rsidR="005C4319">
        <w:t xml:space="preserve">his brother was detained on 29 August 2013 at 11.35h, while </w:t>
      </w:r>
      <w:r w:rsidR="005C4319" w:rsidRPr="00887E3E">
        <w:t>the investigator drew up a detention protocol</w:t>
      </w:r>
      <w:r w:rsidR="00887E3E" w:rsidRPr="00887E3E">
        <w:t xml:space="preserve"> a</w:t>
      </w:r>
      <w:r w:rsidR="00887E3E">
        <w:t>fter 14:00</w:t>
      </w:r>
      <w:r w:rsidR="00887E3E" w:rsidRPr="00887E3E">
        <w:t xml:space="preserve">, </w:t>
      </w:r>
      <w:r w:rsidR="00887E3E">
        <w:t>more than 2</w:t>
      </w:r>
      <w:r w:rsidR="00887E3E" w:rsidRPr="00887E3E">
        <w:t xml:space="preserve"> hours after the arrest. </w:t>
      </w:r>
      <w:r w:rsidR="005C4319">
        <w:t>Moreover, t</w:t>
      </w:r>
      <w:r w:rsidR="00887E3E" w:rsidRPr="00887E3E">
        <w:t xml:space="preserve">he protocol did not indicate </w:t>
      </w:r>
      <w:r w:rsidR="00887E3E">
        <w:t>whe</w:t>
      </w:r>
      <w:r w:rsidR="005C4319">
        <w:t>n</w:t>
      </w:r>
      <w:r w:rsidR="00887E3E">
        <w:t xml:space="preserve"> </w:t>
      </w:r>
      <w:r w:rsidR="005C4319">
        <w:t xml:space="preserve">his brother was informed about its content. </w:t>
      </w:r>
    </w:p>
    <w:p w14:paraId="0956118C" w14:textId="24876489" w:rsidR="00884ED4" w:rsidRDefault="005C4319">
      <w:pPr>
        <w:pStyle w:val="SingleTxtG"/>
      </w:pPr>
      <w:r>
        <w:t>3.6</w:t>
      </w:r>
      <w:r>
        <w:tab/>
        <w:t xml:space="preserve">Further, the author claims that his brother </w:t>
      </w:r>
      <w:r w:rsidR="00884ED4" w:rsidRPr="00884ED4">
        <w:t xml:space="preserve">was not offered sufficient time to prepare his </w:t>
      </w:r>
      <w:proofErr w:type="spellStart"/>
      <w:r w:rsidR="00884ED4" w:rsidRPr="00884ED4">
        <w:t>defense</w:t>
      </w:r>
      <w:proofErr w:type="spellEnd"/>
      <w:r w:rsidR="00884ED4" w:rsidRPr="00884ED4">
        <w:t xml:space="preserve"> and his access to his lawyer was limited</w:t>
      </w:r>
      <w:r>
        <w:t xml:space="preserve"> in violation of his rights under article 14 (3) (b) </w:t>
      </w:r>
      <w:r w:rsidR="00103F39">
        <w:t xml:space="preserve">and (d) </w:t>
      </w:r>
      <w:r>
        <w:t>of the Covenant</w:t>
      </w:r>
      <w:r w:rsidR="00884ED4" w:rsidRPr="00884ED4">
        <w:t>.</w:t>
      </w:r>
      <w:r w:rsidR="006C745A">
        <w:t xml:space="preserve"> He was not informed promptly after his arrest about his rights, including about his right to counsel of his own </w:t>
      </w:r>
      <w:r w:rsidR="006C745A" w:rsidRPr="00050FC4">
        <w:t>choosing</w:t>
      </w:r>
      <w:r w:rsidR="006C745A">
        <w:t xml:space="preserve">. </w:t>
      </w:r>
      <w:r w:rsidR="00CD2070">
        <w:t>On 29 August 2013, h</w:t>
      </w:r>
      <w:r w:rsidR="00A0790E">
        <w:t>e was only provided with a</w:t>
      </w:r>
      <w:r w:rsidR="00793178">
        <w:t xml:space="preserve">n </w:t>
      </w:r>
      <w:r w:rsidR="00793178" w:rsidRPr="006B524E">
        <w:rPr>
          <w:i/>
        </w:rPr>
        <w:t>ex officio</w:t>
      </w:r>
      <w:r w:rsidR="00A0790E">
        <w:t xml:space="preserve"> counsel at 15:15h, nearly 4 hours after his arrest. </w:t>
      </w:r>
      <w:r w:rsidR="00103F39">
        <w:t>In the meantime, several procedural steps wer</w:t>
      </w:r>
      <w:r w:rsidR="00E267E8">
        <w:t>e</w:t>
      </w:r>
      <w:r w:rsidR="00103F39">
        <w:t xml:space="preserve"> already taken – </w:t>
      </w:r>
      <w:r w:rsidR="00E267E8">
        <w:t xml:space="preserve">the </w:t>
      </w:r>
      <w:r w:rsidR="00103F39">
        <w:t xml:space="preserve">detention protocol was drawn up, a </w:t>
      </w:r>
      <w:r w:rsidR="00E267E8">
        <w:t xml:space="preserve">personal </w:t>
      </w:r>
      <w:r w:rsidR="00103F39">
        <w:t xml:space="preserve">search was completed and samples were sent for a comparative analysis. </w:t>
      </w:r>
      <w:r w:rsidR="00A0790E">
        <w:t xml:space="preserve">Moreover, he was not </w:t>
      </w:r>
      <w:r w:rsidR="00CD2070">
        <w:t xml:space="preserve">allowed confidential attorney-client time, as the investigator was present. </w:t>
      </w:r>
      <w:r w:rsidR="00103F39">
        <w:t>During the pre-trial investigation, two ex officio counsels changed, and a third one</w:t>
      </w:r>
      <w:r w:rsidR="00EA58C1">
        <w:t>,</w:t>
      </w:r>
      <w:r w:rsidR="00103F39">
        <w:t xml:space="preserve"> which the author’s brother retained </w:t>
      </w:r>
      <w:r w:rsidR="00103F39" w:rsidRPr="00050FC4">
        <w:t>stepped</w:t>
      </w:r>
      <w:r w:rsidR="00103F39">
        <w:t xml:space="preserve"> in only at the stage of preparation of the additional cassation appeal.</w:t>
      </w:r>
      <w:r w:rsidR="005757D2">
        <w:t xml:space="preserve"> The author’s brother had no control over these frequent changes in his legal assistance.</w:t>
      </w:r>
      <w:r w:rsidR="00103F39">
        <w:t xml:space="preserve"> </w:t>
      </w:r>
      <w:r w:rsidR="00CD2070">
        <w:t>In addition, at the cassation appeal stage, he was not able to meet his counsel confidentially</w:t>
      </w:r>
      <w:r w:rsidR="00103F39">
        <w:t xml:space="preserve"> either</w:t>
      </w:r>
      <w:r w:rsidR="00CD2070">
        <w:t>, as the prison administration was always present. Thus he was not able to supplement his cassation appeal and t</w:t>
      </w:r>
      <w:r w:rsidR="006D4E01">
        <w:t>o</w:t>
      </w:r>
      <w:r w:rsidR="00CD2070">
        <w:t xml:space="preserve"> effectively exercise his right to defence. </w:t>
      </w:r>
    </w:p>
    <w:p w14:paraId="45EBD14B" w14:textId="77777777" w:rsidR="00297550" w:rsidRPr="00556FAD" w:rsidRDefault="00297550" w:rsidP="00BA6708">
      <w:pPr>
        <w:pStyle w:val="H23G"/>
      </w:pPr>
      <w:r w:rsidRPr="00556FAD">
        <w:tab/>
      </w:r>
      <w:r w:rsidRPr="00556FAD">
        <w:tab/>
        <w:t>State party</w:t>
      </w:r>
      <w:r w:rsidR="00CC6592" w:rsidRPr="00556FAD">
        <w:t>’</w:t>
      </w:r>
      <w:r w:rsidRPr="00556FAD">
        <w:t>s observations on admissibility and the merits</w:t>
      </w:r>
    </w:p>
    <w:p w14:paraId="02C9153F" w14:textId="12325A2D" w:rsidR="00303225" w:rsidRPr="00303225" w:rsidRDefault="00297550">
      <w:pPr>
        <w:pStyle w:val="SingleTxtG"/>
      </w:pPr>
      <w:r w:rsidRPr="00556FAD">
        <w:t>4.1</w:t>
      </w:r>
      <w:r w:rsidRPr="00556FAD">
        <w:tab/>
        <w:t xml:space="preserve">The State party, in its note </w:t>
      </w:r>
      <w:proofErr w:type="spellStart"/>
      <w:r w:rsidRPr="00556FAD">
        <w:t>verbale</w:t>
      </w:r>
      <w:proofErr w:type="spellEnd"/>
      <w:r w:rsidRPr="00556FAD">
        <w:t xml:space="preserve"> dated </w:t>
      </w:r>
      <w:r w:rsidR="00CE1318">
        <w:t xml:space="preserve">10 December </w:t>
      </w:r>
      <w:r w:rsidRPr="00556FAD">
        <w:t>201</w:t>
      </w:r>
      <w:r w:rsidR="00CE1318">
        <w:t>5</w:t>
      </w:r>
      <w:r w:rsidRPr="00556FAD">
        <w:t xml:space="preserve">, </w:t>
      </w:r>
      <w:r w:rsidR="00303225">
        <w:t xml:space="preserve">contends that the communication is inadmissible because the author’s brother failed to exhaust all domestic remedies available to </w:t>
      </w:r>
      <w:r w:rsidR="00303225" w:rsidRPr="00050FC4">
        <w:t>him</w:t>
      </w:r>
      <w:r w:rsidR="00303225">
        <w:t xml:space="preserve">, notably he did not file a supervisory review request with the Supreme Court. His </w:t>
      </w:r>
      <w:r w:rsidR="00303225" w:rsidRPr="00050FC4">
        <w:t>defence</w:t>
      </w:r>
      <w:r w:rsidR="00303225">
        <w:t xml:space="preserve"> counsel </w:t>
      </w:r>
      <w:r w:rsidR="00303225" w:rsidRPr="00303225">
        <w:rPr>
          <w:lang w:val="en-US"/>
        </w:rPr>
        <w:t xml:space="preserve">Mr. </w:t>
      </w:r>
      <w:proofErr w:type="spellStart"/>
      <w:r w:rsidR="00303225" w:rsidRPr="00303225">
        <w:rPr>
          <w:lang w:val="en-US"/>
        </w:rPr>
        <w:t>Kremko</w:t>
      </w:r>
      <w:proofErr w:type="spellEnd"/>
      <w:r w:rsidR="00303225" w:rsidRPr="00303225">
        <w:rPr>
          <w:lang w:val="en-US"/>
        </w:rPr>
        <w:t xml:space="preserve"> </w:t>
      </w:r>
      <w:r w:rsidR="00303225">
        <w:rPr>
          <w:lang w:val="en-US"/>
        </w:rPr>
        <w:t>filed such a supervisory review request with the Supreme Court on 5 October 2015</w:t>
      </w:r>
      <w:r w:rsidR="00F844DE">
        <w:rPr>
          <w:lang w:val="en-US"/>
        </w:rPr>
        <w:t xml:space="preserve">, which was rejected by the </w:t>
      </w:r>
      <w:r w:rsidR="00303225" w:rsidRPr="00303225">
        <w:rPr>
          <w:lang w:val="en-US"/>
        </w:rPr>
        <w:t>first Deputy Chair of the Supreme Court</w:t>
      </w:r>
      <w:r w:rsidR="00F844DE">
        <w:rPr>
          <w:lang w:val="en-US"/>
        </w:rPr>
        <w:t>.</w:t>
      </w:r>
      <w:r w:rsidR="00303225" w:rsidRPr="00303225">
        <w:rPr>
          <w:lang w:val="en-US"/>
        </w:rPr>
        <w:t xml:space="preserve"> According to article 175</w:t>
      </w:r>
      <w:r w:rsidR="00C81372">
        <w:rPr>
          <w:lang w:val="en-US"/>
        </w:rPr>
        <w:t xml:space="preserve"> (1)</w:t>
      </w:r>
      <w:r w:rsidR="00303225" w:rsidRPr="00303225">
        <w:rPr>
          <w:lang w:val="en-US"/>
        </w:rPr>
        <w:t xml:space="preserve"> of the Criminal Code, the submission of a supervisory </w:t>
      </w:r>
      <w:r w:rsidR="00C81372">
        <w:rPr>
          <w:lang w:val="en-US"/>
        </w:rPr>
        <w:t xml:space="preserve">review request </w:t>
      </w:r>
      <w:r w:rsidR="00303225" w:rsidRPr="00303225">
        <w:rPr>
          <w:lang w:val="en-US"/>
        </w:rPr>
        <w:t xml:space="preserve">suspends the execution of the death penalty for the time of its consideration. </w:t>
      </w:r>
    </w:p>
    <w:p w14:paraId="7740D40C" w14:textId="30BA1DD5" w:rsidR="00303225" w:rsidRPr="00303225" w:rsidRDefault="00303225">
      <w:pPr>
        <w:pStyle w:val="SingleTxtG"/>
      </w:pPr>
      <w:r w:rsidRPr="00303225">
        <w:rPr>
          <w:lang w:val="en-US"/>
        </w:rPr>
        <w:t>4.2</w:t>
      </w:r>
      <w:r w:rsidRPr="00303225">
        <w:rPr>
          <w:lang w:val="en-US"/>
        </w:rPr>
        <w:tab/>
      </w:r>
      <w:r w:rsidR="001B6263">
        <w:rPr>
          <w:lang w:val="en-US"/>
        </w:rPr>
        <w:t>T</w:t>
      </w:r>
      <w:r w:rsidRPr="00303225">
        <w:rPr>
          <w:lang w:val="en-US"/>
        </w:rPr>
        <w:t xml:space="preserve">he </w:t>
      </w:r>
      <w:r w:rsidR="000E4C3B">
        <w:rPr>
          <w:lang w:val="en-US"/>
        </w:rPr>
        <w:t xml:space="preserve">State party submits that Mr. S. Ivanov </w:t>
      </w:r>
      <w:r w:rsidR="001B6263">
        <w:rPr>
          <w:lang w:val="en-US"/>
        </w:rPr>
        <w:t xml:space="preserve">also </w:t>
      </w:r>
      <w:r w:rsidR="000E4C3B">
        <w:rPr>
          <w:lang w:val="en-US"/>
        </w:rPr>
        <w:t xml:space="preserve">applied for </w:t>
      </w:r>
      <w:r w:rsidRPr="00303225">
        <w:rPr>
          <w:lang w:val="en-US"/>
        </w:rPr>
        <w:t>a pardon to the President</w:t>
      </w:r>
      <w:r w:rsidR="000E4C3B">
        <w:rPr>
          <w:lang w:val="en-US"/>
        </w:rPr>
        <w:t xml:space="preserve">, which application was still pending at the </w:t>
      </w:r>
      <w:r w:rsidR="00076B63">
        <w:rPr>
          <w:lang w:val="en-US"/>
        </w:rPr>
        <w:t>time of the submission of the communication</w:t>
      </w:r>
      <w:r w:rsidR="001B6263">
        <w:rPr>
          <w:lang w:val="en-US"/>
        </w:rPr>
        <w:t xml:space="preserve">. </w:t>
      </w:r>
      <w:r w:rsidRPr="00303225">
        <w:rPr>
          <w:lang w:val="en-US"/>
        </w:rPr>
        <w:t xml:space="preserve">In accordance with article 175 of the Criminal Code, the execution of the sentence against a person sentenced to death </w:t>
      </w:r>
      <w:r w:rsidR="00C81372">
        <w:rPr>
          <w:lang w:val="en-US"/>
        </w:rPr>
        <w:t xml:space="preserve">is </w:t>
      </w:r>
      <w:r w:rsidRPr="00BD76AE">
        <w:t>suspended</w:t>
      </w:r>
      <w:r w:rsidRPr="00303225">
        <w:rPr>
          <w:lang w:val="en-US"/>
        </w:rPr>
        <w:t xml:space="preserve"> </w:t>
      </w:r>
      <w:r w:rsidR="00C81372">
        <w:rPr>
          <w:lang w:val="en-US"/>
        </w:rPr>
        <w:t>while</w:t>
      </w:r>
      <w:r w:rsidRPr="00303225">
        <w:rPr>
          <w:lang w:val="en-US"/>
        </w:rPr>
        <w:t xml:space="preserve"> the request for pardon is </w:t>
      </w:r>
      <w:r w:rsidR="00C81372">
        <w:rPr>
          <w:lang w:val="en-US"/>
        </w:rPr>
        <w:t>examined</w:t>
      </w:r>
      <w:r w:rsidRPr="00303225">
        <w:rPr>
          <w:lang w:val="en-US"/>
        </w:rPr>
        <w:t>.</w:t>
      </w:r>
    </w:p>
    <w:p w14:paraId="0D13B91D" w14:textId="77777777" w:rsidR="00F114D0" w:rsidRDefault="00303225">
      <w:pPr>
        <w:pStyle w:val="SingleTxtG"/>
        <w:rPr>
          <w:lang w:val="en-US"/>
        </w:rPr>
      </w:pPr>
      <w:r w:rsidRPr="00303225">
        <w:rPr>
          <w:lang w:val="en-US"/>
        </w:rPr>
        <w:t>4.3</w:t>
      </w:r>
      <w:r w:rsidRPr="00303225">
        <w:rPr>
          <w:lang w:val="en-US"/>
        </w:rPr>
        <w:tab/>
      </w:r>
      <w:r w:rsidR="006374A1">
        <w:rPr>
          <w:lang w:val="en-US"/>
        </w:rPr>
        <w:t>As to the merits, t</w:t>
      </w:r>
      <w:r w:rsidR="001B6263">
        <w:rPr>
          <w:lang w:val="en-US"/>
        </w:rPr>
        <w:t>he State party explains that o</w:t>
      </w:r>
      <w:r w:rsidRPr="00303225">
        <w:rPr>
          <w:lang w:val="en-US"/>
        </w:rPr>
        <w:t xml:space="preserve">n 18 March 2015, the Gomel Regional Court found the author’s brother guilty and convicted </w:t>
      </w:r>
      <w:r w:rsidR="001B6263">
        <w:rPr>
          <w:lang w:val="en-US"/>
        </w:rPr>
        <w:t xml:space="preserve">him for </w:t>
      </w:r>
      <w:r w:rsidRPr="00303225">
        <w:rPr>
          <w:lang w:val="en-US"/>
        </w:rPr>
        <w:t>violation of articles 147 (2</w:t>
      </w:r>
      <w:r w:rsidR="00E4686E">
        <w:rPr>
          <w:lang w:val="en-US"/>
        </w:rPr>
        <w:t>) (</w:t>
      </w:r>
      <w:r w:rsidRPr="00303225">
        <w:rPr>
          <w:lang w:val="en-US"/>
        </w:rPr>
        <w:t>7), 139 (2</w:t>
      </w:r>
      <w:r w:rsidR="00E4686E">
        <w:rPr>
          <w:lang w:val="en-US"/>
        </w:rPr>
        <w:t>) (</w:t>
      </w:r>
      <w:r w:rsidRPr="00303225">
        <w:rPr>
          <w:lang w:val="en-US"/>
        </w:rPr>
        <w:t>6), 205 (2), 206 (2), 339 (</w:t>
      </w:r>
      <w:r w:rsidR="00E4686E">
        <w:rPr>
          <w:lang w:val="en-US"/>
        </w:rPr>
        <w:t>2) of the Criminal C</w:t>
      </w:r>
      <w:r w:rsidRPr="00303225">
        <w:rPr>
          <w:lang w:val="en-US"/>
        </w:rPr>
        <w:t xml:space="preserve">ode. The </w:t>
      </w:r>
      <w:r w:rsidR="00E4686E">
        <w:rPr>
          <w:lang w:val="en-US"/>
        </w:rPr>
        <w:t xml:space="preserve">trial </w:t>
      </w:r>
      <w:r w:rsidRPr="00303225">
        <w:rPr>
          <w:lang w:val="en-US"/>
        </w:rPr>
        <w:t>court sentenced him to death</w:t>
      </w:r>
      <w:r w:rsidR="001B6263">
        <w:rPr>
          <w:lang w:val="en-US"/>
        </w:rPr>
        <w:t xml:space="preserve"> penalty by </w:t>
      </w:r>
      <w:r w:rsidR="001B6263" w:rsidRPr="00BD76AE">
        <w:t>shooting</w:t>
      </w:r>
      <w:r w:rsidRPr="00303225">
        <w:rPr>
          <w:lang w:val="en-US"/>
        </w:rPr>
        <w:t xml:space="preserve">. On 14 July 2015, the Supreme Court upheld the decision of the Gomel Regional Court </w:t>
      </w:r>
      <w:r w:rsidR="001B6263">
        <w:rPr>
          <w:lang w:val="en-US"/>
        </w:rPr>
        <w:t xml:space="preserve">and </w:t>
      </w:r>
      <w:r w:rsidRPr="00303225">
        <w:rPr>
          <w:lang w:val="en-US"/>
        </w:rPr>
        <w:t>dismissed the cassation appeal</w:t>
      </w:r>
      <w:r w:rsidR="001B6263">
        <w:rPr>
          <w:lang w:val="en-US"/>
        </w:rPr>
        <w:t>s</w:t>
      </w:r>
      <w:r w:rsidRPr="00303225">
        <w:rPr>
          <w:lang w:val="en-US"/>
        </w:rPr>
        <w:t xml:space="preserve"> filed by </w:t>
      </w:r>
      <w:r w:rsidR="001B6263">
        <w:rPr>
          <w:lang w:val="en-US"/>
        </w:rPr>
        <w:t>the author’s brother and by his retained counsel</w:t>
      </w:r>
      <w:r w:rsidRPr="00303225">
        <w:rPr>
          <w:lang w:val="en-US"/>
        </w:rPr>
        <w:t xml:space="preserve">, Ms. </w:t>
      </w:r>
      <w:proofErr w:type="spellStart"/>
      <w:r w:rsidRPr="00303225">
        <w:rPr>
          <w:lang w:val="en-US"/>
        </w:rPr>
        <w:t>Romanovskaya</w:t>
      </w:r>
      <w:proofErr w:type="spellEnd"/>
      <w:r w:rsidRPr="00303225">
        <w:rPr>
          <w:lang w:val="en-US"/>
        </w:rPr>
        <w:t xml:space="preserve">. </w:t>
      </w:r>
    </w:p>
    <w:p w14:paraId="48B1558B" w14:textId="197914CD" w:rsidR="00303225" w:rsidRPr="00303225" w:rsidRDefault="00F114D0">
      <w:pPr>
        <w:pStyle w:val="SingleTxtG"/>
      </w:pPr>
      <w:r>
        <w:rPr>
          <w:lang w:val="en-US"/>
        </w:rPr>
        <w:t>4.4</w:t>
      </w:r>
      <w:r>
        <w:rPr>
          <w:lang w:val="en-US"/>
        </w:rPr>
        <w:tab/>
        <w:t xml:space="preserve">The </w:t>
      </w:r>
      <w:r w:rsidR="00303225" w:rsidRPr="00303225">
        <w:rPr>
          <w:lang w:val="en-US"/>
        </w:rPr>
        <w:t>State party</w:t>
      </w:r>
      <w:r>
        <w:rPr>
          <w:lang w:val="en-US"/>
        </w:rPr>
        <w:t xml:space="preserve"> maintains that the author’s brother </w:t>
      </w:r>
      <w:r w:rsidR="00303225" w:rsidRPr="00303225">
        <w:rPr>
          <w:lang w:val="en-US"/>
        </w:rPr>
        <w:t xml:space="preserve">guilt </w:t>
      </w:r>
      <w:r>
        <w:rPr>
          <w:lang w:val="en-US"/>
        </w:rPr>
        <w:t>was</w:t>
      </w:r>
      <w:r w:rsidR="00303225" w:rsidRPr="00303225">
        <w:rPr>
          <w:lang w:val="en-US"/>
        </w:rPr>
        <w:t xml:space="preserve"> prove</w:t>
      </w:r>
      <w:r>
        <w:rPr>
          <w:lang w:val="en-US"/>
        </w:rPr>
        <w:t>n</w:t>
      </w:r>
      <w:r w:rsidR="00303225" w:rsidRPr="00303225">
        <w:rPr>
          <w:lang w:val="en-US"/>
        </w:rPr>
        <w:t xml:space="preserve">, confirmed by the totality of the evidence, examined and </w:t>
      </w:r>
      <w:r w:rsidR="00303225" w:rsidRPr="00BD76AE">
        <w:t>evaluated</w:t>
      </w:r>
      <w:r w:rsidR="00303225" w:rsidRPr="00303225">
        <w:rPr>
          <w:lang w:val="en-US"/>
        </w:rPr>
        <w:t xml:space="preserve"> by the court. He admitted his guilt on all charge</w:t>
      </w:r>
      <w:r w:rsidR="00E4686E">
        <w:rPr>
          <w:lang w:val="en-US"/>
        </w:rPr>
        <w:t>s</w:t>
      </w:r>
      <w:r w:rsidR="00303225" w:rsidRPr="00303225">
        <w:rPr>
          <w:lang w:val="en-US"/>
        </w:rPr>
        <w:t xml:space="preserve"> and confirmed the circumstances of the crime</w:t>
      </w:r>
      <w:r w:rsidR="00303225" w:rsidRPr="00303225">
        <w:rPr>
          <w:lang w:val="ru-RU"/>
        </w:rPr>
        <w:t xml:space="preserve"> </w:t>
      </w:r>
      <w:r w:rsidR="00303225" w:rsidRPr="00303225">
        <w:rPr>
          <w:lang w:val="en-US"/>
        </w:rPr>
        <w:t xml:space="preserve">committed against the victims of the criminal case. The State party asserts that the court </w:t>
      </w:r>
      <w:r w:rsidR="00E4686E">
        <w:rPr>
          <w:lang w:val="en-US"/>
        </w:rPr>
        <w:t xml:space="preserve">examined in </w:t>
      </w:r>
      <w:r w:rsidR="00303225" w:rsidRPr="00303225">
        <w:rPr>
          <w:lang w:val="en-US"/>
        </w:rPr>
        <w:t xml:space="preserve">a comprehensive, complete and objective </w:t>
      </w:r>
      <w:r w:rsidR="00E4686E">
        <w:rPr>
          <w:lang w:val="en-US"/>
        </w:rPr>
        <w:t>manner</w:t>
      </w:r>
      <w:r w:rsidR="00303225" w:rsidRPr="00303225">
        <w:rPr>
          <w:lang w:val="en-US"/>
        </w:rPr>
        <w:t xml:space="preserve"> the circumstances of the case, which </w:t>
      </w:r>
      <w:r w:rsidR="00303225" w:rsidRPr="00303225">
        <w:rPr>
          <w:lang w:val="it-IT"/>
        </w:rPr>
        <w:t>indicate</w:t>
      </w:r>
      <w:r w:rsidR="00E4686E">
        <w:rPr>
          <w:lang w:val="it-IT"/>
        </w:rPr>
        <w:t>d</w:t>
      </w:r>
      <w:r w:rsidR="00303225" w:rsidRPr="00303225">
        <w:rPr>
          <w:lang w:val="it-IT"/>
        </w:rPr>
        <w:t xml:space="preserve"> </w:t>
      </w:r>
      <w:r w:rsidR="00E4686E">
        <w:rPr>
          <w:lang w:val="it-IT"/>
        </w:rPr>
        <w:t>the</w:t>
      </w:r>
      <w:r w:rsidR="00303225" w:rsidRPr="00303225">
        <w:rPr>
          <w:lang w:val="it-IT"/>
        </w:rPr>
        <w:t xml:space="preserve"> </w:t>
      </w:r>
      <w:r w:rsidR="00303225" w:rsidRPr="00303225">
        <w:rPr>
          <w:lang w:val="en-US"/>
        </w:rPr>
        <w:t>particular</w:t>
      </w:r>
      <w:r w:rsidR="00303225" w:rsidRPr="00EA1E0C">
        <w:t xml:space="preserve"> danger</w:t>
      </w:r>
      <w:r w:rsidR="00303225" w:rsidRPr="00303225">
        <w:rPr>
          <w:lang w:val="en-US"/>
        </w:rPr>
        <w:t xml:space="preserve"> of Mr. </w:t>
      </w:r>
      <w:r w:rsidR="00E4686E">
        <w:rPr>
          <w:lang w:val="en-US"/>
        </w:rPr>
        <w:t>S.</w:t>
      </w:r>
      <w:r w:rsidR="00303225" w:rsidRPr="00303225">
        <w:t xml:space="preserve"> Ivanov for</w:t>
      </w:r>
      <w:r w:rsidR="00E4686E">
        <w:t xml:space="preserve"> the</w:t>
      </w:r>
      <w:r w:rsidR="00303225" w:rsidRPr="00303225">
        <w:t xml:space="preserve"> society.</w:t>
      </w:r>
      <w:r w:rsidR="00303225" w:rsidRPr="00303225">
        <w:rPr>
          <w:lang w:val="en-US"/>
        </w:rPr>
        <w:t xml:space="preserve"> Therefore, the death penalty imposed </w:t>
      </w:r>
      <w:r w:rsidR="00E4686E">
        <w:rPr>
          <w:lang w:val="en-US"/>
        </w:rPr>
        <w:t xml:space="preserve">on Mr. S. Ivanov </w:t>
      </w:r>
      <w:r w:rsidR="00303225" w:rsidRPr="00303225">
        <w:rPr>
          <w:lang w:val="en-US"/>
        </w:rPr>
        <w:t xml:space="preserve">is </w:t>
      </w:r>
      <w:r w:rsidR="00DE56AD">
        <w:t xml:space="preserve">reasonable and </w:t>
      </w:r>
      <w:r w:rsidR="00303225" w:rsidRPr="00303225">
        <w:rPr>
          <w:lang w:val="en-US"/>
        </w:rPr>
        <w:t>fair. The allegations stated in the communication submitted by Mr. A</w:t>
      </w:r>
      <w:r w:rsidR="00DE56AD">
        <w:rPr>
          <w:lang w:val="en-US"/>
        </w:rPr>
        <w:t>.</w:t>
      </w:r>
      <w:r w:rsidR="00303225" w:rsidRPr="00303225">
        <w:rPr>
          <w:lang w:val="en-US"/>
        </w:rPr>
        <w:t xml:space="preserve"> Ivanov on behalf of his brother, S</w:t>
      </w:r>
      <w:r w:rsidR="00DE56AD">
        <w:rPr>
          <w:lang w:val="en-US"/>
        </w:rPr>
        <w:t>.</w:t>
      </w:r>
      <w:r w:rsidR="00303225" w:rsidRPr="00303225">
        <w:rPr>
          <w:lang w:val="en-US"/>
        </w:rPr>
        <w:t xml:space="preserve"> Ivanov, on the violation of articles 6, 9 and 14 of the Covenant are not based on the materials of the criminal case</w:t>
      </w:r>
      <w:r w:rsidR="00DE56AD">
        <w:rPr>
          <w:lang w:val="en-US"/>
        </w:rPr>
        <w:t>. The criminal case was</w:t>
      </w:r>
      <w:r w:rsidR="00303225" w:rsidRPr="00303225">
        <w:rPr>
          <w:lang w:val="en-US"/>
        </w:rPr>
        <w:t xml:space="preserve"> considered by </w:t>
      </w:r>
      <w:r w:rsidR="00DE56AD">
        <w:rPr>
          <w:lang w:val="en-US"/>
        </w:rPr>
        <w:t>a</w:t>
      </w:r>
      <w:r w:rsidR="00303225" w:rsidRPr="00303225">
        <w:rPr>
          <w:lang w:val="en-US"/>
        </w:rPr>
        <w:t xml:space="preserve"> competent, independent and impartial court. </w:t>
      </w:r>
      <w:r w:rsidR="00627CA8">
        <w:rPr>
          <w:lang w:val="en-US"/>
        </w:rPr>
        <w:t xml:space="preserve">No requests for </w:t>
      </w:r>
      <w:r w:rsidR="00505805">
        <w:rPr>
          <w:lang w:val="en-US"/>
        </w:rPr>
        <w:t xml:space="preserve">the </w:t>
      </w:r>
      <w:r w:rsidR="00627CA8">
        <w:rPr>
          <w:lang w:val="en-US"/>
        </w:rPr>
        <w:t xml:space="preserve">recusal of judges were made by the parties during the trial. </w:t>
      </w:r>
      <w:r w:rsidR="00C2702E">
        <w:rPr>
          <w:lang w:val="en-US"/>
        </w:rPr>
        <w:t>The court has examined a</w:t>
      </w:r>
      <w:r w:rsidR="00627CA8">
        <w:rPr>
          <w:lang w:val="en-US"/>
        </w:rPr>
        <w:t xml:space="preserve">ll motions of the parties and </w:t>
      </w:r>
      <w:r w:rsidR="00C2702E">
        <w:rPr>
          <w:lang w:val="en-US"/>
        </w:rPr>
        <w:t xml:space="preserve">issued </w:t>
      </w:r>
      <w:r w:rsidR="00627CA8">
        <w:rPr>
          <w:lang w:val="en-US"/>
        </w:rPr>
        <w:t xml:space="preserve">reasoned decisions. </w:t>
      </w:r>
      <w:r w:rsidR="00303225" w:rsidRPr="00303225">
        <w:rPr>
          <w:lang w:val="en-US"/>
        </w:rPr>
        <w:t xml:space="preserve">Mr. </w:t>
      </w:r>
      <w:r w:rsidR="00627CA8">
        <w:rPr>
          <w:lang w:val="en-US"/>
        </w:rPr>
        <w:t>S.</w:t>
      </w:r>
      <w:r w:rsidR="00303225" w:rsidRPr="00303225">
        <w:rPr>
          <w:lang w:val="en-US"/>
        </w:rPr>
        <w:t xml:space="preserve"> Ivanov</w:t>
      </w:r>
      <w:r w:rsidR="00C2702E">
        <w:rPr>
          <w:lang w:val="en-US"/>
        </w:rPr>
        <w:t xml:space="preserve"> had legal assistance assigned to him throughout the proceedings, notably </w:t>
      </w:r>
      <w:r w:rsidR="009A4918">
        <w:rPr>
          <w:lang w:val="en-US"/>
        </w:rPr>
        <w:t xml:space="preserve">was represented </w:t>
      </w:r>
      <w:r w:rsidR="00303225" w:rsidRPr="00303225">
        <w:rPr>
          <w:lang w:val="en-US"/>
        </w:rPr>
        <w:t>by</w:t>
      </w:r>
      <w:r w:rsidR="009A4918">
        <w:rPr>
          <w:lang w:val="en-US"/>
        </w:rPr>
        <w:t xml:space="preserve"> </w:t>
      </w:r>
      <w:proofErr w:type="gramStart"/>
      <w:r w:rsidR="009A4918">
        <w:rPr>
          <w:lang w:val="en-US"/>
        </w:rPr>
        <w:t>counsel</w:t>
      </w:r>
      <w:proofErr w:type="gramEnd"/>
      <w:r w:rsidR="00303225" w:rsidRPr="00303225">
        <w:rPr>
          <w:lang w:val="en-US"/>
        </w:rPr>
        <w:t xml:space="preserve"> Ms. </w:t>
      </w:r>
      <w:proofErr w:type="spellStart"/>
      <w:r w:rsidR="00303225" w:rsidRPr="00303225">
        <w:rPr>
          <w:lang w:val="en-US"/>
        </w:rPr>
        <w:t>Romanovskaya</w:t>
      </w:r>
      <w:proofErr w:type="spellEnd"/>
      <w:r w:rsidR="00C2702E">
        <w:rPr>
          <w:lang w:val="en-US"/>
        </w:rPr>
        <w:t xml:space="preserve"> </w:t>
      </w:r>
      <w:r w:rsidR="00C2702E" w:rsidRPr="00303225">
        <w:rPr>
          <w:lang w:val="en-US"/>
        </w:rPr>
        <w:t xml:space="preserve">during the pre-trial </w:t>
      </w:r>
      <w:r w:rsidR="00C2702E">
        <w:rPr>
          <w:lang w:val="en-US"/>
        </w:rPr>
        <w:t xml:space="preserve">investigation </w:t>
      </w:r>
      <w:r w:rsidR="00C2702E" w:rsidRPr="00303225">
        <w:rPr>
          <w:lang w:val="en-US"/>
        </w:rPr>
        <w:t xml:space="preserve">and the </w:t>
      </w:r>
      <w:r w:rsidR="00C2702E">
        <w:rPr>
          <w:lang w:val="en-US"/>
        </w:rPr>
        <w:t xml:space="preserve">trial </w:t>
      </w:r>
      <w:r w:rsidR="00C2702E" w:rsidRPr="00303225">
        <w:rPr>
          <w:lang w:val="en-US"/>
        </w:rPr>
        <w:t>court hearings</w:t>
      </w:r>
      <w:r w:rsidR="00C2702E">
        <w:rPr>
          <w:lang w:val="en-US"/>
        </w:rPr>
        <w:t xml:space="preserve">, </w:t>
      </w:r>
      <w:r w:rsidR="00303225" w:rsidRPr="00303225">
        <w:rPr>
          <w:lang w:val="en-US"/>
        </w:rPr>
        <w:t xml:space="preserve">and by </w:t>
      </w:r>
      <w:r w:rsidR="009A4918">
        <w:rPr>
          <w:lang w:val="en-US"/>
        </w:rPr>
        <w:t>counsel</w:t>
      </w:r>
      <w:r w:rsidR="00303225" w:rsidRPr="00303225">
        <w:rPr>
          <w:lang w:val="en-US"/>
        </w:rPr>
        <w:t xml:space="preserve">, Mr. </w:t>
      </w:r>
      <w:proofErr w:type="spellStart"/>
      <w:r w:rsidR="00303225" w:rsidRPr="00303225">
        <w:rPr>
          <w:lang w:val="en-US"/>
        </w:rPr>
        <w:t>Kremko</w:t>
      </w:r>
      <w:proofErr w:type="spellEnd"/>
      <w:r w:rsidR="00C2702E" w:rsidRPr="00C2702E">
        <w:rPr>
          <w:lang w:val="en-US"/>
        </w:rPr>
        <w:t xml:space="preserve"> </w:t>
      </w:r>
      <w:r w:rsidR="00C2702E" w:rsidRPr="00303225">
        <w:rPr>
          <w:lang w:val="en-US"/>
        </w:rPr>
        <w:t xml:space="preserve">during the cassation </w:t>
      </w:r>
      <w:r w:rsidR="00C2702E">
        <w:rPr>
          <w:lang w:val="en-US"/>
        </w:rPr>
        <w:t>proceedings</w:t>
      </w:r>
      <w:r w:rsidR="00303225" w:rsidRPr="00303225">
        <w:rPr>
          <w:lang w:val="en-US"/>
        </w:rPr>
        <w:t>.</w:t>
      </w:r>
    </w:p>
    <w:p w14:paraId="562B7E53" w14:textId="67D95D49" w:rsidR="0061570E" w:rsidRPr="006B524E" w:rsidRDefault="00303225">
      <w:pPr>
        <w:pStyle w:val="SingleTxtG"/>
      </w:pPr>
      <w:r w:rsidRPr="00303225">
        <w:rPr>
          <w:lang w:val="en-US"/>
        </w:rPr>
        <w:t>4.</w:t>
      </w:r>
      <w:r w:rsidR="00407339">
        <w:rPr>
          <w:lang w:val="en-US"/>
        </w:rPr>
        <w:t>5</w:t>
      </w:r>
      <w:r w:rsidRPr="00303225">
        <w:rPr>
          <w:lang w:val="en-US"/>
        </w:rPr>
        <w:tab/>
      </w:r>
      <w:r w:rsidR="0060656D">
        <w:rPr>
          <w:lang w:val="en-US"/>
        </w:rPr>
        <w:t xml:space="preserve">As to the alleged violations of Mr. S. Ivanov rights under article 9 of the Covenant, the State party </w:t>
      </w:r>
      <w:r w:rsidR="0060656D" w:rsidRPr="00BD76AE">
        <w:t>clarifie</w:t>
      </w:r>
      <w:r w:rsidR="00551890" w:rsidRPr="00BD76AE">
        <w:t>d</w:t>
      </w:r>
      <w:r w:rsidR="0060656D">
        <w:rPr>
          <w:lang w:val="en-US"/>
        </w:rPr>
        <w:t xml:space="preserve"> that </w:t>
      </w:r>
      <w:r w:rsidR="00D60F50">
        <w:rPr>
          <w:lang w:val="en-US"/>
        </w:rPr>
        <w:t>o</w:t>
      </w:r>
      <w:r w:rsidRPr="00303225">
        <w:rPr>
          <w:lang w:val="en-US"/>
        </w:rPr>
        <w:t>n 29 August 2013, Mr. S</w:t>
      </w:r>
      <w:r w:rsidR="00407339">
        <w:rPr>
          <w:lang w:val="en-US"/>
        </w:rPr>
        <w:t>.</w:t>
      </w:r>
      <w:r w:rsidRPr="00303225">
        <w:rPr>
          <w:lang w:val="en-US"/>
        </w:rPr>
        <w:t xml:space="preserve"> Ivanov was arrested on suspicion of murder, which was </w:t>
      </w:r>
      <w:r w:rsidR="00D60F50">
        <w:rPr>
          <w:lang w:val="en-US"/>
        </w:rPr>
        <w:t xml:space="preserve">explained </w:t>
      </w:r>
      <w:r w:rsidRPr="00303225">
        <w:rPr>
          <w:lang w:val="en-US"/>
        </w:rPr>
        <w:t xml:space="preserve">to him during the detention and </w:t>
      </w:r>
      <w:r w:rsidR="00551890">
        <w:rPr>
          <w:lang w:val="en-US"/>
        </w:rPr>
        <w:t xml:space="preserve">he was provided with </w:t>
      </w:r>
      <w:r w:rsidRPr="00303225">
        <w:rPr>
          <w:lang w:val="en-US"/>
        </w:rPr>
        <w:t xml:space="preserve">a copy of the detention </w:t>
      </w:r>
      <w:r w:rsidR="00407339">
        <w:rPr>
          <w:lang w:val="en-US"/>
        </w:rPr>
        <w:t>order</w:t>
      </w:r>
      <w:r w:rsidRPr="00303225">
        <w:rPr>
          <w:lang w:val="en-US"/>
        </w:rPr>
        <w:t xml:space="preserve">. </w:t>
      </w:r>
      <w:r w:rsidR="00551890">
        <w:rPr>
          <w:lang w:val="en-US"/>
        </w:rPr>
        <w:t>H</w:t>
      </w:r>
      <w:r w:rsidR="005A6C47">
        <w:rPr>
          <w:lang w:val="en-US"/>
        </w:rPr>
        <w:t xml:space="preserve">e was </w:t>
      </w:r>
      <w:r w:rsidR="00C7644E">
        <w:rPr>
          <w:lang w:val="en-US"/>
        </w:rPr>
        <w:t>informed</w:t>
      </w:r>
      <w:r w:rsidR="005A6C47">
        <w:rPr>
          <w:lang w:val="en-US"/>
        </w:rPr>
        <w:t xml:space="preserve">, against his signature and in the presence of his counsel, Ms. </w:t>
      </w:r>
      <w:proofErr w:type="spellStart"/>
      <w:r w:rsidR="005A6C47">
        <w:rPr>
          <w:lang w:val="en-US"/>
        </w:rPr>
        <w:t>Romanovskaya</w:t>
      </w:r>
      <w:proofErr w:type="spellEnd"/>
      <w:r w:rsidR="005A6C47">
        <w:rPr>
          <w:lang w:val="en-US"/>
        </w:rPr>
        <w:t xml:space="preserve">, </w:t>
      </w:r>
      <w:r w:rsidR="00C7644E">
        <w:rPr>
          <w:lang w:val="en-US"/>
        </w:rPr>
        <w:t xml:space="preserve">about </w:t>
      </w:r>
      <w:r w:rsidR="005A6C47">
        <w:rPr>
          <w:lang w:val="en-US"/>
        </w:rPr>
        <w:t>h</w:t>
      </w:r>
      <w:r w:rsidR="00551890">
        <w:rPr>
          <w:lang w:val="en-US"/>
        </w:rPr>
        <w:t xml:space="preserve">is </w:t>
      </w:r>
      <w:r w:rsidR="00295C32" w:rsidRPr="00303225">
        <w:rPr>
          <w:lang w:val="en-US"/>
        </w:rPr>
        <w:t>rights</w:t>
      </w:r>
      <w:r w:rsidR="00551890">
        <w:rPr>
          <w:lang w:val="en-US"/>
        </w:rPr>
        <w:t xml:space="preserve"> and</w:t>
      </w:r>
      <w:r w:rsidR="00295C32" w:rsidRPr="00303225">
        <w:rPr>
          <w:lang w:val="en-US"/>
        </w:rPr>
        <w:t xml:space="preserve"> obligations</w:t>
      </w:r>
      <w:r w:rsidR="0061570E">
        <w:rPr>
          <w:lang w:val="en-US"/>
        </w:rPr>
        <w:t xml:space="preserve"> as a suspect</w:t>
      </w:r>
      <w:r w:rsidR="00295C32" w:rsidRPr="00303225">
        <w:rPr>
          <w:lang w:val="en-US"/>
        </w:rPr>
        <w:t xml:space="preserve"> a</w:t>
      </w:r>
      <w:r w:rsidR="00551890">
        <w:rPr>
          <w:lang w:val="en-US"/>
        </w:rPr>
        <w:t xml:space="preserve">s well as </w:t>
      </w:r>
      <w:r w:rsidR="00C7644E">
        <w:rPr>
          <w:lang w:val="en-US"/>
        </w:rPr>
        <w:t xml:space="preserve">about </w:t>
      </w:r>
      <w:r w:rsidR="00295C32">
        <w:rPr>
          <w:lang w:val="en-US"/>
        </w:rPr>
        <w:t xml:space="preserve">the </w:t>
      </w:r>
      <w:r w:rsidR="00295C32" w:rsidRPr="00303225">
        <w:rPr>
          <w:lang w:val="en-US"/>
        </w:rPr>
        <w:t>p</w:t>
      </w:r>
      <w:r w:rsidR="00295C32">
        <w:rPr>
          <w:lang w:val="en-US"/>
        </w:rPr>
        <w:t>ossibility to challenge</w:t>
      </w:r>
      <w:r w:rsidR="00295C32" w:rsidRPr="00303225">
        <w:rPr>
          <w:lang w:val="en-US"/>
        </w:rPr>
        <w:t xml:space="preserve"> </w:t>
      </w:r>
      <w:r w:rsidR="00295C32">
        <w:rPr>
          <w:lang w:val="en-US"/>
        </w:rPr>
        <w:t>his detention</w:t>
      </w:r>
      <w:r w:rsidRPr="00303225">
        <w:rPr>
          <w:lang w:val="en-US"/>
        </w:rPr>
        <w:t xml:space="preserve">. </w:t>
      </w:r>
      <w:r w:rsidR="000C37BE">
        <w:rPr>
          <w:lang w:val="en-US"/>
        </w:rPr>
        <w:t xml:space="preserve">Subsequently, </w:t>
      </w:r>
      <w:r w:rsidR="005A6C47">
        <w:rPr>
          <w:lang w:val="en-US"/>
        </w:rPr>
        <w:t xml:space="preserve">in the presence of his counsel, he was presented with the </w:t>
      </w:r>
      <w:r w:rsidR="005A6C47">
        <w:t>decisions to prosecute him, the decision to detain him on remand, which was sanctioned by a prosecutor, and was given copies of these documents</w:t>
      </w:r>
      <w:r w:rsidR="00E35436">
        <w:t>, his rights and obligations as accused as well as his right to appeal his detention on rem</w:t>
      </w:r>
      <w:r w:rsidR="009D6137">
        <w:rPr>
          <w:rFonts w:eastAsia="MS Mincho" w:hint="eastAsia"/>
          <w:lang w:eastAsia="ja-JP"/>
        </w:rPr>
        <w:t>a</w:t>
      </w:r>
      <w:r w:rsidR="00E35436">
        <w:t>nd were explained.</w:t>
      </w:r>
    </w:p>
    <w:p w14:paraId="5D9A2545" w14:textId="18DCB694" w:rsidR="00D77013" w:rsidRDefault="00D77013" w:rsidP="00303225">
      <w:pPr>
        <w:pStyle w:val="SingleTxtG"/>
        <w:rPr>
          <w:lang w:val="en-US"/>
        </w:rPr>
      </w:pPr>
      <w:r>
        <w:rPr>
          <w:lang w:val="en-US"/>
        </w:rPr>
        <w:t>4.6</w:t>
      </w:r>
      <w:r>
        <w:rPr>
          <w:lang w:val="en-US"/>
        </w:rPr>
        <w:tab/>
      </w:r>
      <w:r w:rsidR="00303225" w:rsidRPr="00303225">
        <w:rPr>
          <w:lang w:val="en-US"/>
        </w:rPr>
        <w:t xml:space="preserve">The State party </w:t>
      </w:r>
      <w:r>
        <w:rPr>
          <w:lang w:val="en-US"/>
        </w:rPr>
        <w:t xml:space="preserve">maintains </w:t>
      </w:r>
      <w:r w:rsidR="00303225" w:rsidRPr="00303225">
        <w:rPr>
          <w:lang w:val="en-US"/>
        </w:rPr>
        <w:t>that Mr. S</w:t>
      </w:r>
      <w:r>
        <w:rPr>
          <w:lang w:val="en-US"/>
        </w:rPr>
        <w:t>.</w:t>
      </w:r>
      <w:r w:rsidR="00303225" w:rsidRPr="00303225">
        <w:rPr>
          <w:lang w:val="en-US"/>
        </w:rPr>
        <w:t xml:space="preserve"> Ivanov did not appeal </w:t>
      </w:r>
      <w:r>
        <w:rPr>
          <w:lang w:val="en-US"/>
        </w:rPr>
        <w:t xml:space="preserve">before the court his detention on remand. </w:t>
      </w:r>
      <w:r w:rsidR="00DD6A0C">
        <w:rPr>
          <w:lang w:val="en-US"/>
        </w:rPr>
        <w:t>The State party further maintains that h</w:t>
      </w:r>
      <w:r>
        <w:rPr>
          <w:lang w:val="en-US"/>
        </w:rPr>
        <w:t xml:space="preserve">e did not file any complaints about violations of his right to communicate confidentially with his counsels, Ms. </w:t>
      </w:r>
      <w:proofErr w:type="spellStart"/>
      <w:r>
        <w:rPr>
          <w:lang w:val="en-US"/>
        </w:rPr>
        <w:t>Romanovska</w:t>
      </w:r>
      <w:proofErr w:type="spellEnd"/>
      <w:r>
        <w:rPr>
          <w:lang w:val="en-US"/>
        </w:rPr>
        <w:t xml:space="preserve"> and Mr. </w:t>
      </w:r>
      <w:proofErr w:type="spellStart"/>
      <w:r>
        <w:rPr>
          <w:lang w:val="en-US"/>
        </w:rPr>
        <w:t>Kremko</w:t>
      </w:r>
      <w:proofErr w:type="spellEnd"/>
      <w:r>
        <w:rPr>
          <w:lang w:val="en-US"/>
        </w:rPr>
        <w:t xml:space="preserve">, in the course of the pre-trial investigation, the trial and the cassation proceedings either. </w:t>
      </w:r>
    </w:p>
    <w:p w14:paraId="7D94B037" w14:textId="6655054F" w:rsidR="005A6C47" w:rsidRDefault="004E53F7">
      <w:pPr>
        <w:pStyle w:val="SingleTxtG"/>
        <w:rPr>
          <w:lang w:val="en-US"/>
        </w:rPr>
      </w:pPr>
      <w:r>
        <w:rPr>
          <w:lang w:val="en-US"/>
        </w:rPr>
        <w:t>4.7</w:t>
      </w:r>
      <w:r>
        <w:rPr>
          <w:lang w:val="en-US"/>
        </w:rPr>
        <w:tab/>
        <w:t>The court assessed fully his psychological state. A</w:t>
      </w:r>
      <w:r w:rsidR="00303225" w:rsidRPr="00303225">
        <w:rPr>
          <w:lang w:val="en-US"/>
        </w:rPr>
        <w:t xml:space="preserve">ccording to the </w:t>
      </w:r>
      <w:r>
        <w:rPr>
          <w:lang w:val="en-US"/>
        </w:rPr>
        <w:t xml:space="preserve">conclusions </w:t>
      </w:r>
      <w:r w:rsidR="00303225" w:rsidRPr="00303225">
        <w:rPr>
          <w:lang w:val="en-US"/>
        </w:rPr>
        <w:t xml:space="preserve">of the forensic psychiatric examination, a </w:t>
      </w:r>
      <w:r w:rsidR="00303225" w:rsidRPr="00BD76AE">
        <w:t>dissocial</w:t>
      </w:r>
      <w:r w:rsidR="00303225" w:rsidRPr="00303225">
        <w:rPr>
          <w:lang w:val="en-US"/>
        </w:rPr>
        <w:t xml:space="preserve"> personality disorder</w:t>
      </w:r>
      <w:r w:rsidR="00303225" w:rsidRPr="00303225">
        <w:rPr>
          <w:lang w:val="ru-RU"/>
        </w:rPr>
        <w:t xml:space="preserve"> </w:t>
      </w:r>
      <w:r w:rsidR="00303225" w:rsidRPr="00303225">
        <w:rPr>
          <w:lang w:val="en-US"/>
        </w:rPr>
        <w:t xml:space="preserve">of </w:t>
      </w:r>
      <w:r>
        <w:rPr>
          <w:lang w:val="en-US"/>
        </w:rPr>
        <w:t xml:space="preserve">Mr. S. Ivanov </w:t>
      </w:r>
      <w:r w:rsidR="00303225" w:rsidRPr="00303225">
        <w:rPr>
          <w:lang w:val="en-US"/>
        </w:rPr>
        <w:t>was</w:t>
      </w:r>
      <w:r w:rsidR="00EA58C1">
        <w:rPr>
          <w:lang w:val="en-US"/>
        </w:rPr>
        <w:t xml:space="preserve"> </w:t>
      </w:r>
      <w:r w:rsidR="00303225" w:rsidRPr="00303225">
        <w:rPr>
          <w:lang w:val="en-US"/>
        </w:rPr>
        <w:t>revealed</w:t>
      </w:r>
      <w:r w:rsidR="00303225" w:rsidRPr="00303225">
        <w:t>,</w:t>
      </w:r>
      <w:r w:rsidR="00303225" w:rsidRPr="00303225">
        <w:rPr>
          <w:lang w:val="en-US"/>
        </w:rPr>
        <w:t xml:space="preserve"> as well as an inability to feel guilt.</w:t>
      </w:r>
      <w:r w:rsidR="00303225" w:rsidRPr="00303225">
        <w:rPr>
          <w:lang w:val="ru-RU"/>
        </w:rPr>
        <w:t xml:space="preserve"> </w:t>
      </w:r>
      <w:r w:rsidR="00303225" w:rsidRPr="00303225">
        <w:rPr>
          <w:lang w:val="en-US"/>
        </w:rPr>
        <w:t>Despite this disorder, while committing crimes, he could fully understand the nature and social danger of his actions and lead them. During the court hearings</w:t>
      </w:r>
      <w:r w:rsidR="00303225" w:rsidRPr="00303225">
        <w:t xml:space="preserve">, </w:t>
      </w:r>
      <w:r w:rsidR="00303225" w:rsidRPr="00303225">
        <w:rPr>
          <w:lang w:val="en-US"/>
        </w:rPr>
        <w:t>Mr. S. Ivanov agreed with the conclusions of the experts.</w:t>
      </w:r>
    </w:p>
    <w:p w14:paraId="4C391A40" w14:textId="77777777" w:rsidR="00303225" w:rsidRPr="00303225" w:rsidRDefault="00303225">
      <w:pPr>
        <w:pStyle w:val="SingleTxtG"/>
      </w:pPr>
      <w:r w:rsidRPr="00303225">
        <w:rPr>
          <w:lang w:val="en-US"/>
        </w:rPr>
        <w:t>4.</w:t>
      </w:r>
      <w:r w:rsidR="00682385">
        <w:rPr>
          <w:lang w:val="en-US"/>
        </w:rPr>
        <w:t>8</w:t>
      </w:r>
      <w:r w:rsidRPr="00303225">
        <w:rPr>
          <w:lang w:val="en-US"/>
        </w:rPr>
        <w:tab/>
        <w:t xml:space="preserve">The State party </w:t>
      </w:r>
      <w:r w:rsidR="00682385">
        <w:rPr>
          <w:lang w:val="en-US"/>
        </w:rPr>
        <w:t xml:space="preserve">invites </w:t>
      </w:r>
      <w:r w:rsidRPr="00303225">
        <w:rPr>
          <w:lang w:val="en-US"/>
        </w:rPr>
        <w:t xml:space="preserve">the Committee </w:t>
      </w:r>
      <w:r w:rsidR="00682385">
        <w:rPr>
          <w:lang w:val="en-US"/>
        </w:rPr>
        <w:t>to</w:t>
      </w:r>
      <w:r w:rsidRPr="00303225">
        <w:rPr>
          <w:lang w:val="en-US"/>
        </w:rPr>
        <w:t xml:space="preserve"> take into account article 6</w:t>
      </w:r>
      <w:r w:rsidR="00682385">
        <w:rPr>
          <w:lang w:val="en-US"/>
        </w:rPr>
        <w:t xml:space="preserve"> (</w:t>
      </w:r>
      <w:r w:rsidRPr="00303225">
        <w:rPr>
          <w:lang w:val="en-US"/>
        </w:rPr>
        <w:t>2</w:t>
      </w:r>
      <w:r w:rsidR="00682385">
        <w:rPr>
          <w:lang w:val="en-US"/>
        </w:rPr>
        <w:t>)</w:t>
      </w:r>
      <w:r w:rsidRPr="00303225">
        <w:rPr>
          <w:lang w:val="en-US"/>
        </w:rPr>
        <w:t xml:space="preserve"> of the Covenant, which states that in countries that have not abolished the death penalty, it may be imposed only for the most serious crimes in accordance with the law in force at the time of the commission of the crime, </w:t>
      </w:r>
      <w:r w:rsidR="00682385">
        <w:rPr>
          <w:lang w:val="en-US"/>
        </w:rPr>
        <w:t xml:space="preserve">and this </w:t>
      </w:r>
      <w:r w:rsidRPr="00303225">
        <w:rPr>
          <w:lang w:val="en-US"/>
        </w:rPr>
        <w:t>is not contrary to the provisions of the Covenant.</w:t>
      </w:r>
    </w:p>
    <w:p w14:paraId="45B0F539" w14:textId="66B994B8" w:rsidR="00297550" w:rsidRPr="00556FAD" w:rsidRDefault="00297550" w:rsidP="00BA6708">
      <w:pPr>
        <w:pStyle w:val="H23G"/>
      </w:pPr>
      <w:r w:rsidRPr="00556FAD">
        <w:tab/>
      </w:r>
      <w:r w:rsidRPr="00556FAD">
        <w:tab/>
        <w:t>Author</w:t>
      </w:r>
      <w:r w:rsidR="00CC6592" w:rsidRPr="00556FAD">
        <w:t>’</w:t>
      </w:r>
      <w:r w:rsidRPr="00556FAD">
        <w:t>s comments on the State party</w:t>
      </w:r>
      <w:r w:rsidR="00CC6592" w:rsidRPr="00556FAD">
        <w:t>’</w:t>
      </w:r>
      <w:r w:rsidRPr="00556FAD">
        <w:t>s observations</w:t>
      </w:r>
      <w:r w:rsidR="008B55EA">
        <w:t xml:space="preserve"> on admissibility</w:t>
      </w:r>
    </w:p>
    <w:p w14:paraId="30BC5BBB" w14:textId="788B3BB2" w:rsidR="00FD2376" w:rsidRDefault="00EE5152">
      <w:pPr>
        <w:pStyle w:val="SingleTxtG"/>
        <w:rPr>
          <w:lang w:val="en-US"/>
        </w:rPr>
      </w:pPr>
      <w:r w:rsidRPr="00EE5152">
        <w:rPr>
          <w:lang w:val="en-US"/>
        </w:rPr>
        <w:t>5.1</w:t>
      </w:r>
      <w:r w:rsidRPr="00EE5152">
        <w:rPr>
          <w:lang w:val="en-US"/>
        </w:rPr>
        <w:tab/>
      </w:r>
      <w:r>
        <w:rPr>
          <w:lang w:val="en-US"/>
        </w:rPr>
        <w:t>On 8 February 2016, the author</w:t>
      </w:r>
      <w:r w:rsidRPr="00EE5152">
        <w:t xml:space="preserve">, responding to the State party’s </w:t>
      </w:r>
      <w:r>
        <w:t>observations</w:t>
      </w:r>
      <w:r w:rsidRPr="00EE5152">
        <w:t xml:space="preserve">, submits that the author of a complaint before the Committee does not need to exhaust all available domestic remedies, only those that can be considered effective. </w:t>
      </w:r>
      <w:r w:rsidR="00DD6A0C">
        <w:t>According to the author, t</w:t>
      </w:r>
      <w:r w:rsidRPr="00EE5152">
        <w:t>he Committee has long-standing jurisprudence according to which the supervisory review procedure, which still exists in post-Soviet countries, is deemed ineffective.</w:t>
      </w:r>
      <w:r w:rsidRPr="00EE5152">
        <w:rPr>
          <w:vertAlign w:val="superscript"/>
        </w:rPr>
        <w:footnoteReference w:id="8"/>
      </w:r>
      <w:r>
        <w:t xml:space="preserve"> Besides, the author reiterates that his brother’s counsel, Mr. </w:t>
      </w:r>
      <w:proofErr w:type="spellStart"/>
      <w:r>
        <w:t>Kremko</w:t>
      </w:r>
      <w:proofErr w:type="spellEnd"/>
      <w:r>
        <w:t>, filed a supervisory review request, which was rejected by the Deputy Chair of the Supreme Court. Moreover,</w:t>
      </w:r>
      <w:r w:rsidRPr="00EE5152">
        <w:rPr>
          <w:lang w:val="en-US"/>
        </w:rPr>
        <w:t xml:space="preserve"> the submission of this </w:t>
      </w:r>
      <w:r>
        <w:rPr>
          <w:lang w:val="en-US"/>
        </w:rPr>
        <w:t xml:space="preserve">request </w:t>
      </w:r>
      <w:r w:rsidRPr="00EE5152">
        <w:rPr>
          <w:lang w:val="en-US"/>
        </w:rPr>
        <w:t xml:space="preserve">can only delay the execution of the death penalty, since </w:t>
      </w:r>
      <w:r>
        <w:rPr>
          <w:lang w:val="en-US"/>
        </w:rPr>
        <w:t>it suspends</w:t>
      </w:r>
      <w:r w:rsidRPr="00EE5152">
        <w:rPr>
          <w:lang w:val="en-US"/>
        </w:rPr>
        <w:t xml:space="preserve"> the execution of the death penalty </w:t>
      </w:r>
      <w:r>
        <w:rPr>
          <w:lang w:val="en-US"/>
        </w:rPr>
        <w:t xml:space="preserve">during </w:t>
      </w:r>
      <w:r w:rsidRPr="00EE5152">
        <w:rPr>
          <w:lang w:val="en-US"/>
        </w:rPr>
        <w:t xml:space="preserve">its consideration, but does not constitute an effective remedy. </w:t>
      </w:r>
      <w:r>
        <w:rPr>
          <w:lang w:val="en-US"/>
        </w:rPr>
        <w:t>The author submits that i</w:t>
      </w:r>
      <w:r w:rsidRPr="00EE5152">
        <w:rPr>
          <w:lang w:val="en-US"/>
        </w:rPr>
        <w:t xml:space="preserve">n 2009, none of the filed supervisory </w:t>
      </w:r>
      <w:r>
        <w:rPr>
          <w:lang w:val="en-US"/>
        </w:rPr>
        <w:t xml:space="preserve">review requests in </w:t>
      </w:r>
      <w:r w:rsidRPr="00EE5152">
        <w:rPr>
          <w:lang w:val="en-US"/>
        </w:rPr>
        <w:t>death penalty</w:t>
      </w:r>
      <w:r>
        <w:rPr>
          <w:lang w:val="en-US"/>
        </w:rPr>
        <w:t xml:space="preserve"> cases was successful </w:t>
      </w:r>
      <w:r w:rsidR="00FD2376">
        <w:rPr>
          <w:lang w:val="en-US"/>
        </w:rPr>
        <w:t xml:space="preserve">to trigger a review of such a case. </w:t>
      </w:r>
    </w:p>
    <w:p w14:paraId="4517EE79" w14:textId="77777777" w:rsidR="00EE5152" w:rsidRPr="00EE5152" w:rsidRDefault="00EE5152">
      <w:pPr>
        <w:pStyle w:val="SingleTxtG"/>
      </w:pPr>
      <w:r w:rsidRPr="00EE5152">
        <w:rPr>
          <w:lang w:val="en-US"/>
        </w:rPr>
        <w:t>5.2</w:t>
      </w:r>
      <w:r w:rsidRPr="00EE5152">
        <w:rPr>
          <w:lang w:val="en-US"/>
        </w:rPr>
        <w:tab/>
        <w:t>The author alleges that according to article 5</w:t>
      </w:r>
      <w:r w:rsidR="00FD2376">
        <w:rPr>
          <w:lang w:val="en-US"/>
        </w:rPr>
        <w:t xml:space="preserve"> (</w:t>
      </w:r>
      <w:r w:rsidRPr="00EE5152">
        <w:rPr>
          <w:lang w:val="en-US"/>
        </w:rPr>
        <w:t>2</w:t>
      </w:r>
      <w:r w:rsidR="00FD2376">
        <w:rPr>
          <w:lang w:val="en-US"/>
        </w:rPr>
        <w:t>)</w:t>
      </w:r>
      <w:r w:rsidRPr="00EE5152">
        <w:rPr>
          <w:lang w:val="en-US"/>
        </w:rPr>
        <w:t xml:space="preserve"> (b) of the Optional Protocol, the Committee does not consider communications until it makes sure that the author has exhausted all available domestic remedies. However, the Committee's jurisprudence provides that the rule of exhaustion </w:t>
      </w:r>
      <w:r w:rsidR="00FD2376" w:rsidRPr="00EE5152">
        <w:rPr>
          <w:lang w:val="en-US"/>
        </w:rPr>
        <w:t>apply</w:t>
      </w:r>
      <w:r w:rsidRPr="00EE5152">
        <w:rPr>
          <w:lang w:val="en-US"/>
        </w:rPr>
        <w:t xml:space="preserve"> only if legal protection is effective and available. The author </w:t>
      </w:r>
      <w:r w:rsidR="00FD2376">
        <w:rPr>
          <w:lang w:val="en-US"/>
        </w:rPr>
        <w:t xml:space="preserve">recalls </w:t>
      </w:r>
      <w:r w:rsidRPr="00EE5152">
        <w:rPr>
          <w:lang w:val="en-US"/>
        </w:rPr>
        <w:t>the Committee</w:t>
      </w:r>
      <w:r w:rsidR="00FD2376">
        <w:rPr>
          <w:lang w:val="en-US"/>
        </w:rPr>
        <w:t>’s jurisprudence</w:t>
      </w:r>
      <w:r w:rsidRPr="00EE5152">
        <w:rPr>
          <w:lang w:val="en-US"/>
        </w:rPr>
        <w:t xml:space="preserve"> that the supervisory review procedure </w:t>
      </w:r>
      <w:r w:rsidR="00FD2376">
        <w:rPr>
          <w:lang w:val="en-US"/>
        </w:rPr>
        <w:t xml:space="preserve">concerning </w:t>
      </w:r>
      <w:r w:rsidR="00FD2376" w:rsidRPr="00EE5152">
        <w:rPr>
          <w:lang w:val="en-US"/>
        </w:rPr>
        <w:t>court</w:t>
      </w:r>
      <w:r w:rsidRPr="00EE5152">
        <w:rPr>
          <w:lang w:val="en-US"/>
        </w:rPr>
        <w:t xml:space="preserve"> decisions that have entered into force constitute</w:t>
      </w:r>
      <w:r w:rsidR="00FD2376">
        <w:rPr>
          <w:lang w:val="en-US"/>
        </w:rPr>
        <w:t>s</w:t>
      </w:r>
      <w:r w:rsidRPr="00EE5152">
        <w:rPr>
          <w:lang w:val="en-US"/>
        </w:rPr>
        <w:t xml:space="preserve"> an </w:t>
      </w:r>
      <w:r w:rsidRPr="00BD76AE">
        <w:t>extraordinary</w:t>
      </w:r>
      <w:r w:rsidRPr="00EE5152">
        <w:rPr>
          <w:lang w:val="en-US"/>
        </w:rPr>
        <w:t xml:space="preserve"> </w:t>
      </w:r>
      <w:r w:rsidR="00FD2376">
        <w:rPr>
          <w:lang w:val="en-US"/>
        </w:rPr>
        <w:t xml:space="preserve">remedy of discretionary nature, which </w:t>
      </w:r>
      <w:r w:rsidRPr="00EE5152">
        <w:rPr>
          <w:lang w:val="en-US"/>
        </w:rPr>
        <w:t>is limited to legal matters</w:t>
      </w:r>
      <w:r w:rsidR="00FD2376">
        <w:rPr>
          <w:lang w:val="en-US"/>
        </w:rPr>
        <w:t xml:space="preserve"> and therefore, is not </w:t>
      </w:r>
      <w:r w:rsidRPr="00EE5152">
        <w:rPr>
          <w:lang w:val="en-US"/>
        </w:rPr>
        <w:t>an effective remedy for the purposes of article 5</w:t>
      </w:r>
      <w:r w:rsidR="00FD2376">
        <w:rPr>
          <w:lang w:val="en-US"/>
        </w:rPr>
        <w:t xml:space="preserve"> (2)</w:t>
      </w:r>
      <w:r w:rsidRPr="00EE5152">
        <w:rPr>
          <w:lang w:val="en-US"/>
        </w:rPr>
        <w:t xml:space="preserve"> (b) of the O</w:t>
      </w:r>
      <w:r w:rsidRPr="00EE5152">
        <w:rPr>
          <w:lang w:val="it-IT"/>
        </w:rPr>
        <w:t>ptional Protocol</w:t>
      </w:r>
      <w:r w:rsidR="00FD2376">
        <w:rPr>
          <w:lang w:val="it-IT"/>
        </w:rPr>
        <w:t>.</w:t>
      </w:r>
      <w:r w:rsidR="00FD2376">
        <w:rPr>
          <w:rStyle w:val="FootnoteReference"/>
          <w:lang w:val="it-IT"/>
        </w:rPr>
        <w:footnoteReference w:id="9"/>
      </w:r>
      <w:r w:rsidRPr="00EE5152">
        <w:rPr>
          <w:lang w:val="it-IT"/>
        </w:rPr>
        <w:t xml:space="preserve"> </w:t>
      </w:r>
      <w:r w:rsidRPr="00EE5152">
        <w:rPr>
          <w:lang w:val="en-US"/>
        </w:rPr>
        <w:t xml:space="preserve">The author </w:t>
      </w:r>
      <w:r w:rsidR="00C522C6">
        <w:rPr>
          <w:lang w:val="en-US"/>
        </w:rPr>
        <w:t>further re</w:t>
      </w:r>
      <w:r w:rsidR="00E67A37">
        <w:rPr>
          <w:lang w:val="en-US"/>
        </w:rPr>
        <w:t>calls that</w:t>
      </w:r>
      <w:r w:rsidRPr="00EE5152">
        <w:rPr>
          <w:lang w:val="en-US"/>
        </w:rPr>
        <w:t xml:space="preserve"> "</w:t>
      </w:r>
      <w:r w:rsidR="00BC58BB">
        <w:rPr>
          <w:lang w:val="en-US"/>
        </w:rPr>
        <w:t>a</w:t>
      </w:r>
      <w:r w:rsidRPr="00EE5152">
        <w:rPr>
          <w:lang w:val="en-US"/>
        </w:rPr>
        <w:t xml:space="preserve"> system of supervisory review</w:t>
      </w:r>
      <w:r w:rsidR="00BC58BB">
        <w:rPr>
          <w:lang w:val="en-US"/>
        </w:rPr>
        <w:t xml:space="preserve"> that only applies </w:t>
      </w:r>
      <w:r w:rsidRPr="00EE5152">
        <w:rPr>
          <w:lang w:val="en-US"/>
        </w:rPr>
        <w:t xml:space="preserve">to sentences </w:t>
      </w:r>
      <w:r w:rsidR="00BC58BB">
        <w:rPr>
          <w:lang w:val="en-US"/>
        </w:rPr>
        <w:t xml:space="preserve">whose execution has commenced </w:t>
      </w:r>
      <w:r w:rsidRPr="00EE5152">
        <w:rPr>
          <w:lang w:val="en-US"/>
        </w:rPr>
        <w:t xml:space="preserve">does not meet the requirements of article 14, paragraph 5, </w:t>
      </w:r>
      <w:r w:rsidR="00BC58BB">
        <w:rPr>
          <w:lang w:val="en-US"/>
        </w:rPr>
        <w:t xml:space="preserve">regardless of </w:t>
      </w:r>
      <w:r w:rsidRPr="00EE5152">
        <w:rPr>
          <w:lang w:val="en-US"/>
        </w:rPr>
        <w:t xml:space="preserve">whether such review </w:t>
      </w:r>
      <w:r w:rsidR="00BC58BB">
        <w:rPr>
          <w:lang w:val="en-US"/>
        </w:rPr>
        <w:t>can be requested by</w:t>
      </w:r>
      <w:r w:rsidRPr="00EE5152">
        <w:rPr>
          <w:lang w:val="en-US"/>
        </w:rPr>
        <w:t xml:space="preserve"> the convicted person or i</w:t>
      </w:r>
      <w:r w:rsidR="00BC58BB">
        <w:rPr>
          <w:lang w:val="en-US"/>
        </w:rPr>
        <w:t>s dependent on</w:t>
      </w:r>
      <w:r w:rsidRPr="00EE5152">
        <w:rPr>
          <w:lang w:val="en-US"/>
        </w:rPr>
        <w:t xml:space="preserve"> the discretion</w:t>
      </w:r>
      <w:r w:rsidR="00BC58BB">
        <w:rPr>
          <w:lang w:val="en-US"/>
        </w:rPr>
        <w:t>ary power</w:t>
      </w:r>
      <w:r w:rsidRPr="00EE5152">
        <w:rPr>
          <w:lang w:val="en-US"/>
        </w:rPr>
        <w:t xml:space="preserve"> of </w:t>
      </w:r>
      <w:r w:rsidR="00BC58BB">
        <w:rPr>
          <w:lang w:val="en-US"/>
        </w:rPr>
        <w:t xml:space="preserve">a </w:t>
      </w:r>
      <w:r w:rsidRPr="00EE5152">
        <w:rPr>
          <w:lang w:val="en-US"/>
        </w:rPr>
        <w:t>judge or prosecutor</w:t>
      </w:r>
      <w:r w:rsidRPr="00EE5152">
        <w:rPr>
          <w:lang w:val="ru-RU"/>
        </w:rPr>
        <w:t>”</w:t>
      </w:r>
      <w:r w:rsidRPr="00EE5152">
        <w:t>.</w:t>
      </w:r>
      <w:r w:rsidR="00C522C6">
        <w:rPr>
          <w:rStyle w:val="FootnoteReference"/>
        </w:rPr>
        <w:footnoteReference w:id="10"/>
      </w:r>
    </w:p>
    <w:p w14:paraId="4224741E" w14:textId="77777777" w:rsidR="00EE5152" w:rsidRPr="00EE5152" w:rsidRDefault="00EE5152">
      <w:pPr>
        <w:pStyle w:val="SingleTxtG"/>
      </w:pPr>
      <w:r w:rsidRPr="00EE5152">
        <w:rPr>
          <w:lang w:val="ru-RU"/>
        </w:rPr>
        <w:t>5</w:t>
      </w:r>
      <w:r w:rsidRPr="00EE5152">
        <w:rPr>
          <w:lang w:val="en-US"/>
        </w:rPr>
        <w:t>.3</w:t>
      </w:r>
      <w:r w:rsidRPr="00EE5152">
        <w:rPr>
          <w:lang w:val="en-US"/>
        </w:rPr>
        <w:tab/>
        <w:t xml:space="preserve">The author states that a person sentenced to death in Belarus usually learns about the refusal to grant a supervisory </w:t>
      </w:r>
      <w:r w:rsidR="00504543">
        <w:rPr>
          <w:lang w:val="en-US"/>
        </w:rPr>
        <w:t xml:space="preserve">review request </w:t>
      </w:r>
      <w:r w:rsidRPr="00EE5152">
        <w:rPr>
          <w:lang w:val="en-US"/>
        </w:rPr>
        <w:t xml:space="preserve">a few minutes before the </w:t>
      </w:r>
      <w:r w:rsidRPr="00EE5152">
        <w:rPr>
          <w:lang w:val="pt-PT"/>
        </w:rPr>
        <w:t xml:space="preserve">execution. </w:t>
      </w:r>
      <w:r w:rsidRPr="00EE5152">
        <w:rPr>
          <w:lang w:val="en-US"/>
        </w:rPr>
        <w:t xml:space="preserve">He alleges that </w:t>
      </w:r>
      <w:r w:rsidR="00504543" w:rsidRPr="00EE5152">
        <w:rPr>
          <w:lang w:val="en-US"/>
        </w:rPr>
        <w:t>the death penalty in Belarus is carried out in conditions of secrecy</w:t>
      </w:r>
      <w:r w:rsidR="00504543">
        <w:rPr>
          <w:lang w:val="en-US"/>
        </w:rPr>
        <w:t>. B</w:t>
      </w:r>
      <w:r w:rsidRPr="00EE5152">
        <w:rPr>
          <w:lang w:val="en-US"/>
        </w:rPr>
        <w:t xml:space="preserve">efore the execution, the convicted person, his lawyer and </w:t>
      </w:r>
      <w:r w:rsidR="00504543">
        <w:rPr>
          <w:lang w:val="en-US"/>
        </w:rPr>
        <w:t xml:space="preserve">his </w:t>
      </w:r>
      <w:r w:rsidRPr="00EE5152">
        <w:rPr>
          <w:lang w:val="en-US"/>
        </w:rPr>
        <w:t xml:space="preserve">family are </w:t>
      </w:r>
      <w:r w:rsidR="00504543">
        <w:rPr>
          <w:lang w:val="en-US"/>
        </w:rPr>
        <w:t xml:space="preserve">not informed </w:t>
      </w:r>
      <w:r w:rsidRPr="00EE5152">
        <w:rPr>
          <w:lang w:val="en-US"/>
        </w:rPr>
        <w:t xml:space="preserve">about the </w:t>
      </w:r>
      <w:r w:rsidR="00504543">
        <w:rPr>
          <w:lang w:val="en-US"/>
        </w:rPr>
        <w:t>outcome of the request</w:t>
      </w:r>
      <w:r w:rsidRPr="00EE5152">
        <w:rPr>
          <w:lang w:val="en-US"/>
        </w:rPr>
        <w:t xml:space="preserve">. Therefore, the person </w:t>
      </w:r>
      <w:r w:rsidR="001B7E99">
        <w:rPr>
          <w:lang w:val="en-US"/>
        </w:rPr>
        <w:t xml:space="preserve">sentenced to a death penalty </w:t>
      </w:r>
      <w:r w:rsidRPr="00EE5152">
        <w:rPr>
          <w:lang w:val="en-US"/>
        </w:rPr>
        <w:t>has no time to appeal to the H</w:t>
      </w:r>
      <w:proofErr w:type="spellStart"/>
      <w:r w:rsidRPr="00EE5152">
        <w:t>uman</w:t>
      </w:r>
      <w:proofErr w:type="spellEnd"/>
      <w:r w:rsidRPr="00EE5152">
        <w:t xml:space="preserve"> </w:t>
      </w:r>
      <w:r w:rsidRPr="00EE5152">
        <w:rPr>
          <w:lang w:val="en-US"/>
        </w:rPr>
        <w:t>Rights Committee</w:t>
      </w:r>
      <w:r w:rsidR="001B7E99">
        <w:rPr>
          <w:lang w:val="en-US"/>
        </w:rPr>
        <w:t xml:space="preserve"> upon rejection of his internal appeals</w:t>
      </w:r>
      <w:r w:rsidRPr="00EE5152">
        <w:rPr>
          <w:lang w:val="en-US"/>
        </w:rPr>
        <w:t>.</w:t>
      </w:r>
    </w:p>
    <w:p w14:paraId="0B878CC7" w14:textId="1D01B7F6" w:rsidR="00EE5152" w:rsidRPr="00EE5152" w:rsidRDefault="00EE5152">
      <w:pPr>
        <w:pStyle w:val="SingleTxtG"/>
      </w:pPr>
      <w:r w:rsidRPr="00EE5152">
        <w:rPr>
          <w:lang w:val="en-US"/>
        </w:rPr>
        <w:t>5.4</w:t>
      </w:r>
      <w:r w:rsidRPr="00EE5152">
        <w:rPr>
          <w:lang w:val="en-US"/>
        </w:rPr>
        <w:tab/>
      </w:r>
      <w:r w:rsidR="001B7E99">
        <w:rPr>
          <w:lang w:val="en-US"/>
        </w:rPr>
        <w:t xml:space="preserve">As to </w:t>
      </w:r>
      <w:r w:rsidRPr="00EE5152">
        <w:rPr>
          <w:lang w:val="en-US"/>
        </w:rPr>
        <w:t>the State party’s argument that the procedure</w:t>
      </w:r>
      <w:r w:rsidRPr="00EE5152">
        <w:t xml:space="preserve"> </w:t>
      </w:r>
      <w:r w:rsidRPr="00EE5152">
        <w:rPr>
          <w:lang w:val="en-US"/>
        </w:rPr>
        <w:t xml:space="preserve">of </w:t>
      </w:r>
      <w:r w:rsidR="001B7E99">
        <w:rPr>
          <w:lang w:val="en-US"/>
        </w:rPr>
        <w:t xml:space="preserve">applying for a </w:t>
      </w:r>
      <w:r w:rsidRPr="00EE5152">
        <w:rPr>
          <w:lang w:val="en-US"/>
        </w:rPr>
        <w:t>pardon to the President of Belarus has not been exhausted as a</w:t>
      </w:r>
      <w:r w:rsidR="001B7E99">
        <w:rPr>
          <w:lang w:val="en-US"/>
        </w:rPr>
        <w:t>n available</w:t>
      </w:r>
      <w:r w:rsidRPr="00EE5152">
        <w:rPr>
          <w:lang w:val="en-US"/>
        </w:rPr>
        <w:t xml:space="preserve"> domestic remedy, the author points out that it must not be exhausted before applying to the Committee and constitutes a legal procedure of a humanitarian nature and not a legal remedy for the violation of rights. The author</w:t>
      </w:r>
      <w:r w:rsidR="001B7E99">
        <w:rPr>
          <w:lang w:val="en-US"/>
        </w:rPr>
        <w:t xml:space="preserve"> recalls that according to well</w:t>
      </w:r>
      <w:r w:rsidR="00F414A9">
        <w:rPr>
          <w:lang w:val="en-US"/>
        </w:rPr>
        <w:t>-</w:t>
      </w:r>
      <w:r w:rsidR="001B7E99">
        <w:rPr>
          <w:lang w:val="en-US"/>
        </w:rPr>
        <w:t xml:space="preserve">established </w:t>
      </w:r>
      <w:r w:rsidRPr="00EE5152">
        <w:rPr>
          <w:lang w:val="en-US"/>
        </w:rPr>
        <w:t>Committee</w:t>
      </w:r>
      <w:r w:rsidR="001B7E99">
        <w:rPr>
          <w:lang w:val="en-US"/>
        </w:rPr>
        <w:t>’s jurisprudence</w:t>
      </w:r>
      <w:r w:rsidRPr="00EE5152">
        <w:rPr>
          <w:lang w:val="en-US"/>
        </w:rPr>
        <w:t xml:space="preserve"> this procedure </w:t>
      </w:r>
      <w:r w:rsidR="001B7E99">
        <w:rPr>
          <w:lang w:val="en-US"/>
        </w:rPr>
        <w:t xml:space="preserve">does not constitute </w:t>
      </w:r>
      <w:r w:rsidRPr="00EE5152">
        <w:rPr>
          <w:lang w:val="en-US"/>
        </w:rPr>
        <w:t xml:space="preserve">as </w:t>
      </w:r>
      <w:r w:rsidRPr="00EE5152">
        <w:t>a</w:t>
      </w:r>
      <w:r w:rsidRPr="00EE5152">
        <w:rPr>
          <w:lang w:val="en-US"/>
        </w:rPr>
        <w:t>n effective domestic remedy.</w:t>
      </w:r>
      <w:r w:rsidR="001B7E99">
        <w:rPr>
          <w:rStyle w:val="FootnoteReference"/>
          <w:lang w:val="en-US"/>
        </w:rPr>
        <w:footnoteReference w:id="11"/>
      </w:r>
      <w:r w:rsidRPr="00EE5152">
        <w:rPr>
          <w:lang w:val="en-US"/>
        </w:rPr>
        <w:t xml:space="preserve"> The author states that according to the </w:t>
      </w:r>
      <w:r w:rsidRPr="00BD76AE">
        <w:t>Regulations</w:t>
      </w:r>
      <w:r w:rsidRPr="00EE5152">
        <w:rPr>
          <w:lang w:val="en-US"/>
        </w:rPr>
        <w:t xml:space="preserve"> on the procedure of implementation in the Republic of Belarus of pardoning convicted persons</w:t>
      </w:r>
      <w:r w:rsidRPr="00EE5152">
        <w:rPr>
          <w:vertAlign w:val="superscript"/>
        </w:rPr>
        <w:footnoteReference w:id="12"/>
      </w:r>
      <w:r w:rsidRPr="00EE5152">
        <w:t>,</w:t>
      </w:r>
      <w:r w:rsidRPr="00EE5152">
        <w:rPr>
          <w:lang w:val="en-US"/>
        </w:rPr>
        <w:t xml:space="preserve"> the </w:t>
      </w:r>
      <w:r w:rsidRPr="00BD76AE">
        <w:t>execution</w:t>
      </w:r>
      <w:r w:rsidRPr="00EE5152">
        <w:rPr>
          <w:lang w:val="en-US"/>
        </w:rPr>
        <w:t xml:space="preserve"> of a sentence against a person sentenced to death shall be suspended until the consideration or refusal of a request for pardon. Then, the President, regardless of whether this procedure was initiated by the sentenced to death or not, makes the final decision and issues the decree. </w:t>
      </w:r>
      <w:r w:rsidR="001B7E99" w:rsidRPr="006B524E">
        <w:rPr>
          <w:lang w:val="en-US"/>
        </w:rPr>
        <w:t>The author emphasizes that a</w:t>
      </w:r>
      <w:r w:rsidRPr="006B524E">
        <w:rPr>
          <w:lang w:val="en-US"/>
        </w:rPr>
        <w:t xml:space="preserve"> decision to replace </w:t>
      </w:r>
      <w:r w:rsidR="001B7E99" w:rsidRPr="006B524E">
        <w:rPr>
          <w:lang w:val="en-US"/>
        </w:rPr>
        <w:t>a</w:t>
      </w:r>
      <w:r w:rsidRPr="006B524E">
        <w:rPr>
          <w:lang w:val="en-US"/>
        </w:rPr>
        <w:t xml:space="preserve"> death sentence with life </w:t>
      </w:r>
      <w:r w:rsidRPr="00BD76AE">
        <w:t>imprisonment</w:t>
      </w:r>
      <w:r w:rsidRPr="006B524E">
        <w:rPr>
          <w:lang w:val="en-US"/>
        </w:rPr>
        <w:t xml:space="preserve"> by the President of the Republic of Belarus was taken </w:t>
      </w:r>
      <w:r w:rsidR="001B7E99" w:rsidRPr="006B524E">
        <w:rPr>
          <w:lang w:val="en-US"/>
        </w:rPr>
        <w:t xml:space="preserve">only </w:t>
      </w:r>
      <w:r w:rsidRPr="006B524E">
        <w:rPr>
          <w:lang w:val="en-US"/>
        </w:rPr>
        <w:t>once in the last twenty years.</w:t>
      </w:r>
      <w:r w:rsidRPr="00EE5152">
        <w:rPr>
          <w:lang w:val="ru-RU"/>
        </w:rPr>
        <w:t xml:space="preserve"> </w:t>
      </w:r>
      <w:r w:rsidR="001B7E99">
        <w:t>B</w:t>
      </w:r>
      <w:proofErr w:type="spellStart"/>
      <w:r w:rsidR="001B7E99" w:rsidRPr="00EE5152">
        <w:rPr>
          <w:lang w:val="en-US"/>
        </w:rPr>
        <w:t>efore</w:t>
      </w:r>
      <w:proofErr w:type="spellEnd"/>
      <w:r w:rsidR="001B7E99" w:rsidRPr="00EE5152">
        <w:rPr>
          <w:lang w:val="en-US"/>
        </w:rPr>
        <w:t xml:space="preserve"> the consideration by the President</w:t>
      </w:r>
      <w:r w:rsidR="001B7E99">
        <w:rPr>
          <w:lang w:val="en-US"/>
        </w:rPr>
        <w:t>,</w:t>
      </w:r>
      <w:r w:rsidR="001B7E99" w:rsidRPr="00EE5152">
        <w:rPr>
          <w:lang w:val="en-US"/>
        </w:rPr>
        <w:t xml:space="preserve"> </w:t>
      </w:r>
      <w:r w:rsidR="001B7E99">
        <w:rPr>
          <w:lang w:val="en-US"/>
        </w:rPr>
        <w:t>the r</w:t>
      </w:r>
      <w:r w:rsidRPr="00EE5152">
        <w:rPr>
          <w:lang w:val="en-US"/>
        </w:rPr>
        <w:t>equests for pardon are preliminary considered by the Commission on requests for pardon under the President of the Republic of Belarus. Decisions are taken by a simple majority of the members of the Commission, which may invite representatives of State bodies, public associations and the media to its meetings. However, th</w:t>
      </w:r>
      <w:r w:rsidR="001B7E99">
        <w:rPr>
          <w:lang w:val="en-US"/>
        </w:rPr>
        <w:t>e</w:t>
      </w:r>
      <w:r w:rsidRPr="00EE5152">
        <w:rPr>
          <w:lang w:val="en-US"/>
        </w:rPr>
        <w:t xml:space="preserve"> representatives </w:t>
      </w:r>
      <w:r w:rsidR="001B7E99">
        <w:rPr>
          <w:lang w:val="en-US"/>
        </w:rPr>
        <w:t>of the author’s brother have not been</w:t>
      </w:r>
      <w:r w:rsidRPr="00EE5152">
        <w:rPr>
          <w:lang w:val="en-US"/>
        </w:rPr>
        <w:t xml:space="preserve"> invited</w:t>
      </w:r>
      <w:r w:rsidRPr="00EE5152">
        <w:rPr>
          <w:vertAlign w:val="superscript"/>
        </w:rPr>
        <w:footnoteReference w:id="13"/>
      </w:r>
      <w:r w:rsidRPr="00EE5152">
        <w:rPr>
          <w:lang w:val="en-US"/>
        </w:rPr>
        <w:t xml:space="preserve"> to the Commission’s meetings.</w:t>
      </w:r>
    </w:p>
    <w:p w14:paraId="6A3054A7" w14:textId="77777777" w:rsidR="00297550" w:rsidRPr="00556FAD" w:rsidRDefault="00297550" w:rsidP="00BA6708">
      <w:pPr>
        <w:pStyle w:val="H23G"/>
      </w:pPr>
      <w:r w:rsidRPr="00556FAD">
        <w:tab/>
      </w:r>
      <w:r w:rsidRPr="00556FAD">
        <w:tab/>
        <w:t>Lack of cooperation by the State party</w:t>
      </w:r>
    </w:p>
    <w:p w14:paraId="5B2C8ADE" w14:textId="77777777" w:rsidR="00297550" w:rsidRPr="00556FAD" w:rsidRDefault="00297550">
      <w:pPr>
        <w:pStyle w:val="SingleTxtG"/>
      </w:pPr>
      <w:r w:rsidRPr="00556FAD">
        <w:t>6.1</w:t>
      </w:r>
      <w:r w:rsidRPr="00556FAD">
        <w:tab/>
        <w:t>The Committee notes that the State party failed to respect the Committee</w:t>
      </w:r>
      <w:r w:rsidR="00CC6592" w:rsidRPr="00556FAD">
        <w:t>’</w:t>
      </w:r>
      <w:r w:rsidRPr="00556FAD">
        <w:t xml:space="preserve">s request for interim measures by executing Mr. </w:t>
      </w:r>
      <w:r w:rsidR="00D51646">
        <w:t>S. Ivanov</w:t>
      </w:r>
      <w:r w:rsidRPr="00556FAD">
        <w:t xml:space="preserve"> before the Committee had concluded its consideration of the communication. </w:t>
      </w:r>
    </w:p>
    <w:p w14:paraId="56D85EAF" w14:textId="77777777" w:rsidR="00297550" w:rsidRPr="00556FAD" w:rsidRDefault="00297550">
      <w:pPr>
        <w:pStyle w:val="SingleTxtG"/>
      </w:pPr>
      <w:r w:rsidRPr="00556FAD">
        <w:t>6.2</w:t>
      </w:r>
      <w:r w:rsidRPr="00556FAD">
        <w:tab/>
        <w:t xml:space="preserve">The Committee recalls that article 39 (2) of the Covenant authorizes it to establish its own rules of procedure, which States parties have agreed to recognize. The Committee further observes that, by </w:t>
      </w:r>
      <w:r w:rsidRPr="00050FC4">
        <w:t>adhering</w:t>
      </w:r>
      <w:r w:rsidRPr="00556FAD">
        <w:t xml:space="preserve"> to the Optional Protocol, a State party to the Covenant recognizes the competence of the Committee to receive and consider communications from individuals subject to its </w:t>
      </w:r>
      <w:r w:rsidRPr="00050FC4">
        <w:t>jurisdiction</w:t>
      </w:r>
      <w:r w:rsidRPr="00556FAD">
        <w:t xml:space="preserve"> who claim to be victims of a violation of any of the rights set forth in the Covenant (preamble and art. 1 of the Optional Protocol). Implicit in the adherence of a State to the Optional Protocol is an undertaking to cooperate with the Committee in good faith, so as to permit and enable it to consider such communications and, after examination, to forward its Views to the State party and to the individual concerned (art. 5 (1) and (4)). It is incompatible with its obligations under article 1 of the Optional Protocol for a State party to take any action that would prevent or frustrate the Committee in its consideration and examination of communications and in the expression of its Views.</w:t>
      </w:r>
      <w:r w:rsidRPr="00D042F7">
        <w:rPr>
          <w:rStyle w:val="FootnoteReference"/>
        </w:rPr>
        <w:footnoteReference w:id="14"/>
      </w:r>
      <w:r w:rsidRPr="00556FAD">
        <w:t xml:space="preserve"> </w:t>
      </w:r>
    </w:p>
    <w:p w14:paraId="45B538F7" w14:textId="5223E915" w:rsidR="00297550" w:rsidRPr="00556FAD" w:rsidRDefault="00297550">
      <w:pPr>
        <w:pStyle w:val="SingleTxtG"/>
      </w:pPr>
      <w:r w:rsidRPr="00556FAD">
        <w:t>6.3</w:t>
      </w:r>
      <w:r w:rsidRPr="00556FAD">
        <w:tab/>
        <w:t xml:space="preserve">In the present case, the Committee observes that, when </w:t>
      </w:r>
      <w:r w:rsidR="00FC6986">
        <w:t>the author</w:t>
      </w:r>
      <w:r w:rsidRPr="00556FAD">
        <w:t xml:space="preserve"> submitted the communication, on </w:t>
      </w:r>
      <w:r w:rsidR="00FC6986">
        <w:t>14 October 2015</w:t>
      </w:r>
      <w:r w:rsidRPr="00556FAD">
        <w:t>, he informed the Committee that h</w:t>
      </w:r>
      <w:r w:rsidR="00FC6986">
        <w:t>is brother</w:t>
      </w:r>
      <w:r w:rsidRPr="00556FAD">
        <w:t xml:space="preserve"> had been sentenced to death </w:t>
      </w:r>
      <w:r w:rsidRPr="00050FC4">
        <w:t>and</w:t>
      </w:r>
      <w:r w:rsidRPr="00556FAD">
        <w:t xml:space="preserve"> that the sentence could be carried out at any time. On </w:t>
      </w:r>
      <w:r w:rsidR="00FC6986">
        <w:t xml:space="preserve">15 </w:t>
      </w:r>
      <w:r w:rsidR="0037142C">
        <w:t>October</w:t>
      </w:r>
      <w:r w:rsidRPr="00556FAD">
        <w:t xml:space="preserve"> 201</w:t>
      </w:r>
      <w:r w:rsidR="00FC6986">
        <w:t>5</w:t>
      </w:r>
      <w:r w:rsidRPr="00556FAD">
        <w:t xml:space="preserve">, the Committee transmitted to the </w:t>
      </w:r>
      <w:r w:rsidRPr="00050FC4">
        <w:t>State</w:t>
      </w:r>
      <w:r w:rsidRPr="00556FAD">
        <w:t xml:space="preserve"> party a request not to carry out the death sentence while the case was under examination by the Committee. On </w:t>
      </w:r>
      <w:r w:rsidR="00FC6986" w:rsidRPr="00FC6986">
        <w:t>24 May 2016</w:t>
      </w:r>
      <w:r w:rsidRPr="00556FAD">
        <w:t xml:space="preserve">, the Committee received information that Mr. </w:t>
      </w:r>
      <w:r w:rsidR="00FC6986">
        <w:t>S. Ivanov</w:t>
      </w:r>
      <w:r w:rsidRPr="00556FAD">
        <w:t xml:space="preserve"> had been executed, despite its request for interim measures of protection. The Committee observes that it is uncontested that the execution in question took place, </w:t>
      </w:r>
      <w:r w:rsidR="00F414A9">
        <w:t>in total disregard to the</w:t>
      </w:r>
      <w:r w:rsidRPr="00556FAD">
        <w:t xml:space="preserve"> request for interim measures of protection addressed to the State party. </w:t>
      </w:r>
    </w:p>
    <w:p w14:paraId="545729F4" w14:textId="77777777" w:rsidR="00297550" w:rsidRPr="00556FAD" w:rsidRDefault="00297550">
      <w:pPr>
        <w:pStyle w:val="SingleTxtG"/>
      </w:pPr>
      <w:r w:rsidRPr="00556FAD">
        <w:t>6.4</w:t>
      </w:r>
      <w:r w:rsidRPr="00556FAD">
        <w:tab/>
        <w:t xml:space="preserve">The Committee reiterates that, apart from any violation of the Covenant found against a State party in a communication, a State party commits serious violations of its obligations under the Optional </w:t>
      </w:r>
      <w:r w:rsidRPr="00050FC4">
        <w:t>Protocol</w:t>
      </w:r>
      <w:r w:rsidRPr="00556FAD">
        <w:t xml:space="preserve"> if it acts to prevent or frustrate consideration by the Committee of a communication alleging a violation of the Covenant, or to render examination by the Committee moot and the expression of its Views concerning the implementation of the obligations of the State party under the Covenant nugatory and futile.</w:t>
      </w:r>
      <w:r w:rsidRPr="00D042F7">
        <w:rPr>
          <w:rStyle w:val="FootnoteReference"/>
        </w:rPr>
        <w:footnoteReference w:id="15"/>
      </w:r>
      <w:r w:rsidRPr="00556FAD">
        <w:t xml:space="preserve"> In the present case, Mr. </w:t>
      </w:r>
      <w:r w:rsidR="00FC6986">
        <w:t>S. Ivanov</w:t>
      </w:r>
      <w:r w:rsidRPr="00556FAD">
        <w:t xml:space="preserve"> alleged that his rights under various provisions of the Covenant had been violated in a manner that directly reflected on the legality of his </w:t>
      </w:r>
      <w:r w:rsidRPr="00050FC4">
        <w:t>death</w:t>
      </w:r>
      <w:r w:rsidRPr="00556FAD">
        <w:t xml:space="preserve"> sentence. Having been notified of the communication and the request by the Committee for interim measures of protection, the State party committed a serious violation of its obligations under the Optional Protocol by executing the alleged victim before the Committee had concluded its consideration of the communication. </w:t>
      </w:r>
    </w:p>
    <w:p w14:paraId="2EF167C2" w14:textId="107E083D" w:rsidR="00297550" w:rsidRPr="00556FAD" w:rsidRDefault="00297550">
      <w:pPr>
        <w:pStyle w:val="SingleTxtG"/>
      </w:pPr>
      <w:r w:rsidRPr="00556FAD">
        <w:t>6.5</w:t>
      </w:r>
      <w:r w:rsidRPr="00556FAD">
        <w:tab/>
        <w:t>The Committee recalls that interim measures under rule 9</w:t>
      </w:r>
      <w:r w:rsidR="00F414A9">
        <w:t>4</w:t>
      </w:r>
      <w:r w:rsidRPr="00556FAD">
        <w:t xml:space="preserve"> of its rules of procedure, adopted in accordance with article 39 of the Covenant, are essential to its role under the Optional Protocol, in order to avoid </w:t>
      </w:r>
      <w:r w:rsidRPr="00050FC4">
        <w:t>irreparable</w:t>
      </w:r>
      <w:r w:rsidRPr="00556FAD">
        <w:t xml:space="preserve"> damage to the victim of an alleged violation. </w:t>
      </w:r>
      <w:r w:rsidR="00DD6A0C">
        <w:t>Violation</w:t>
      </w:r>
      <w:r w:rsidRPr="00556FAD">
        <w:t xml:space="preserve"> of that rule, especially by irreversible measures, such as, in the present case, the execution of Mr. </w:t>
      </w:r>
      <w:r w:rsidR="00FC6986">
        <w:t>S. Ivanov</w:t>
      </w:r>
      <w:r w:rsidRPr="00556FAD">
        <w:t>, undermines the protection of Covenant rights through the Optional Protocol.</w:t>
      </w:r>
      <w:r w:rsidRPr="00730CA5">
        <w:rPr>
          <w:rStyle w:val="FootnoteReference"/>
        </w:rPr>
        <w:footnoteReference w:id="16"/>
      </w:r>
    </w:p>
    <w:p w14:paraId="7E264973" w14:textId="77777777" w:rsidR="00297550" w:rsidRPr="00556FAD" w:rsidRDefault="00297550" w:rsidP="00BA6708">
      <w:pPr>
        <w:pStyle w:val="H23G"/>
      </w:pPr>
      <w:r w:rsidRPr="00556FAD">
        <w:tab/>
      </w:r>
      <w:r w:rsidRPr="00556FAD">
        <w:tab/>
        <w:t>Issues and proceedings before the Committee</w:t>
      </w:r>
    </w:p>
    <w:p w14:paraId="1DDCC806" w14:textId="77777777" w:rsidR="00297550" w:rsidRPr="00556FAD" w:rsidRDefault="00297550" w:rsidP="00BA6708">
      <w:pPr>
        <w:pStyle w:val="H4G"/>
      </w:pPr>
      <w:r w:rsidRPr="00556FAD">
        <w:tab/>
      </w:r>
      <w:r w:rsidRPr="00556FAD">
        <w:tab/>
        <w:t>Consideration of admissibility</w:t>
      </w:r>
    </w:p>
    <w:p w14:paraId="39F262C6" w14:textId="642C4C80" w:rsidR="00297550" w:rsidRPr="00556FAD" w:rsidRDefault="00297550">
      <w:pPr>
        <w:pStyle w:val="SingleTxtG"/>
      </w:pPr>
      <w:r w:rsidRPr="00556FAD">
        <w:t>7.1</w:t>
      </w:r>
      <w:r w:rsidRPr="00556FAD">
        <w:tab/>
        <w:t xml:space="preserve">Before considering any claim </w:t>
      </w:r>
      <w:r w:rsidRPr="00050FC4">
        <w:t>contained</w:t>
      </w:r>
      <w:r w:rsidRPr="00556FAD">
        <w:t xml:space="preserve"> in a communication, the Committee must decide, in accordance with article 9</w:t>
      </w:r>
      <w:r w:rsidR="00F414A9">
        <w:t>7</w:t>
      </w:r>
      <w:r w:rsidRPr="00556FAD">
        <w:t xml:space="preserve"> of its rules of procedure, whether the communication is admissible under the Optional Protocol.</w:t>
      </w:r>
    </w:p>
    <w:p w14:paraId="22C4228B" w14:textId="77777777" w:rsidR="00297550" w:rsidRPr="00556FAD" w:rsidRDefault="00297550">
      <w:pPr>
        <w:pStyle w:val="SingleTxtG"/>
      </w:pPr>
      <w:r w:rsidRPr="00556FAD">
        <w:t>7.2</w:t>
      </w:r>
      <w:r w:rsidRPr="00556FAD">
        <w:tab/>
        <w:t xml:space="preserve">The Committee has </w:t>
      </w:r>
      <w:r w:rsidRPr="00050FC4">
        <w:t>ascertained</w:t>
      </w:r>
      <w:r w:rsidRPr="00556FAD">
        <w:t xml:space="preserve">, as required under article 5 (2) (a) of the Optional Protocol, that the same matter is not being examined under another procedure of international investigation or settlement. </w:t>
      </w:r>
    </w:p>
    <w:p w14:paraId="596DF574" w14:textId="08936A35" w:rsidR="00297550" w:rsidRDefault="00297550">
      <w:pPr>
        <w:pStyle w:val="SingleTxtG"/>
      </w:pPr>
      <w:r w:rsidRPr="00556FAD">
        <w:t>7.3</w:t>
      </w:r>
      <w:r w:rsidRPr="00556FAD">
        <w:tab/>
        <w:t>The Committee notes the State party</w:t>
      </w:r>
      <w:r w:rsidR="00CC6592" w:rsidRPr="00556FAD">
        <w:t>’</w:t>
      </w:r>
      <w:r w:rsidRPr="00556FAD">
        <w:t>s contention that M</w:t>
      </w:r>
      <w:r w:rsidR="00FC6986">
        <w:t>r. S. Ivanov</w:t>
      </w:r>
      <w:r w:rsidRPr="00556FAD">
        <w:t xml:space="preserve"> failed to exhaust all domestic remedies available to h</w:t>
      </w:r>
      <w:r w:rsidR="00FC6986">
        <w:t>im</w:t>
      </w:r>
      <w:r w:rsidRPr="00556FAD">
        <w:t xml:space="preserve"> by not filing </w:t>
      </w:r>
      <w:r w:rsidR="006374A1">
        <w:t xml:space="preserve">himself </w:t>
      </w:r>
      <w:r w:rsidRPr="00556FAD">
        <w:t xml:space="preserve">a supervisory review request with the </w:t>
      </w:r>
      <w:r w:rsidR="006374A1">
        <w:t>Supreme Court</w:t>
      </w:r>
      <w:r w:rsidRPr="00556FAD">
        <w:t xml:space="preserve">. </w:t>
      </w:r>
      <w:r w:rsidR="006374A1">
        <w:t xml:space="preserve">The Committee observes that his counsel, Mr. </w:t>
      </w:r>
      <w:proofErr w:type="spellStart"/>
      <w:r w:rsidR="006374A1">
        <w:t>Kremko</w:t>
      </w:r>
      <w:proofErr w:type="spellEnd"/>
      <w:r w:rsidR="006374A1">
        <w:t xml:space="preserve">, filed such a request, which was </w:t>
      </w:r>
      <w:r w:rsidR="006374A1" w:rsidRPr="00050FC4">
        <w:t>rejected</w:t>
      </w:r>
      <w:r w:rsidR="006374A1">
        <w:t xml:space="preserve"> by the Deputy Chair of the Supreme Court. </w:t>
      </w:r>
      <w:r w:rsidRPr="00556FAD">
        <w:t xml:space="preserve">The Committee </w:t>
      </w:r>
      <w:r w:rsidR="006374A1">
        <w:t xml:space="preserve">further </w:t>
      </w:r>
      <w:r w:rsidRPr="00556FAD">
        <w:t>recalls its jurisprudence according to which the filing of requests to a court, or to a prosecutor</w:t>
      </w:r>
      <w:r w:rsidR="00CC6592" w:rsidRPr="00556FAD">
        <w:t>’</w:t>
      </w:r>
      <w:r w:rsidRPr="00556FAD">
        <w:t>s office, for a supervisory review directed against court decisions that have entered into force and depend on the discretionary power of a judge or a prosecutor constitutes an extraordinary remedy, and that therefore the State party must show that there is a reasonable prospect that such requests would provide an effective remedy in the circumstances of the case.</w:t>
      </w:r>
      <w:r w:rsidRPr="00730CA5">
        <w:rPr>
          <w:rStyle w:val="FootnoteReference"/>
        </w:rPr>
        <w:footnoteReference w:id="17"/>
      </w:r>
      <w:r w:rsidRPr="00556FAD">
        <w:t xml:space="preserve"> However, the State party has not shown whether and in how many cases petitions under supervisory review procedures have been applied successfully in cases concerning the procedure of carrying out death penalty sentences. In those circumstances, the Committee considers that it is not precluded by article 5 (2) (b) of the Optional Protocol from examining the present communication.</w:t>
      </w:r>
      <w:r w:rsidRPr="00730CA5">
        <w:rPr>
          <w:rStyle w:val="FootnoteReference"/>
        </w:rPr>
        <w:footnoteReference w:id="18"/>
      </w:r>
      <w:r w:rsidRPr="00556FAD">
        <w:t xml:space="preserve"> </w:t>
      </w:r>
    </w:p>
    <w:p w14:paraId="6A6E3D80" w14:textId="77777777" w:rsidR="00E41BD2" w:rsidRPr="00556FAD" w:rsidRDefault="00E41BD2">
      <w:pPr>
        <w:pStyle w:val="SingleTxtG"/>
      </w:pPr>
      <w:r>
        <w:t>7.4</w:t>
      </w:r>
      <w:r>
        <w:tab/>
        <w:t xml:space="preserve">With regard to the requirements laid down in article 5(2) (b) of the Optional Protocol, the Committee also takes note of the State party’s argument that Mr. S. Ivanov had not exhausted all domestic remedies at the time of submission of the communication, in particular in view of the fact that his application for a presidential pardon was still pending. In this regard, </w:t>
      </w:r>
      <w:r w:rsidR="0037142C">
        <w:t>and in the light of the information regar</w:t>
      </w:r>
      <w:r w:rsidR="00B80FE2">
        <w:t>ding the execution of Mr. S. Ivanov, the Committee reiterates its previous jurisprudence, according to which the presidential pardon is an extraordinary remedy</w:t>
      </w:r>
      <w:r w:rsidR="00B80FE2">
        <w:rPr>
          <w:rStyle w:val="FootnoteReference"/>
        </w:rPr>
        <w:footnoteReference w:id="19"/>
      </w:r>
      <w:r w:rsidR="00200E97">
        <w:t xml:space="preserve"> and as such does not constitute an effective remedy for the purposes of article 5 (2) (b) of the Optional Protocol. Furthermore, in the present case the pardon could </w:t>
      </w:r>
      <w:r w:rsidR="00200E97" w:rsidRPr="00050FC4">
        <w:t>not</w:t>
      </w:r>
      <w:r w:rsidR="00200E97">
        <w:t xml:space="preserve"> on its own have constituted a sufficient remedy for the violations alleged. Therefore, the Committee considers that it is not precluded by article 5 (2) (b) of the Optional Protocol from considering the communication. </w:t>
      </w:r>
    </w:p>
    <w:p w14:paraId="333213D8" w14:textId="3FD22C82" w:rsidR="00C1297B" w:rsidRDefault="00C1297B" w:rsidP="00C1297B">
      <w:pPr>
        <w:pStyle w:val="SingleTxtG"/>
      </w:pPr>
      <w:r>
        <w:t xml:space="preserve">7.5 The Committee further </w:t>
      </w:r>
      <w:r w:rsidRPr="00C1297B">
        <w:t>takes note of the author’s allegation that investigators or prison authorities’ presence did not allow confidential attorney-client meetings to take place</w:t>
      </w:r>
      <w:r w:rsidR="00DD6A0C">
        <w:t xml:space="preserve"> between his brother and his counsels</w:t>
      </w:r>
      <w:r w:rsidRPr="00C1297B">
        <w:t>.</w:t>
      </w:r>
      <w:r w:rsidR="007366AF">
        <w:t xml:space="preserve"> In this regard, the Committee notes the </w:t>
      </w:r>
      <w:r w:rsidRPr="00C1297B">
        <w:t xml:space="preserve">State party’s objection </w:t>
      </w:r>
      <w:r w:rsidR="007366AF">
        <w:t xml:space="preserve">that </w:t>
      </w:r>
      <w:r w:rsidR="007366AF" w:rsidRPr="007366AF">
        <w:t>the author’s brother did not file any complaint about violations of his right to communicate confidentially with his counsels</w:t>
      </w:r>
      <w:r w:rsidR="007366AF">
        <w:t xml:space="preserve">. In the absence of further information, the Committee is unable to establish whether domestic remedies have been exhausted </w:t>
      </w:r>
      <w:r w:rsidR="00DD6A0C">
        <w:t xml:space="preserve">with regard to this </w:t>
      </w:r>
      <w:r w:rsidR="00C417AF">
        <w:t xml:space="preserve">particular </w:t>
      </w:r>
      <w:r w:rsidR="00DD6A0C">
        <w:t xml:space="preserve">claim under </w:t>
      </w:r>
      <w:r w:rsidR="00DD6A0C" w:rsidRPr="00C1297B">
        <w:t>article 14 (3) (b) and (d) of the Covenant</w:t>
      </w:r>
      <w:r w:rsidR="00DD6A0C">
        <w:t xml:space="preserve"> </w:t>
      </w:r>
      <w:r w:rsidR="007366AF">
        <w:t xml:space="preserve">and considers that it is precluded by article 5 (2) (b) of the Optional Protocol from considering this part of the communication.  </w:t>
      </w:r>
    </w:p>
    <w:p w14:paraId="223A59F4" w14:textId="1C8F8BB4" w:rsidR="00297550" w:rsidRPr="00556FAD" w:rsidRDefault="00297550">
      <w:pPr>
        <w:pStyle w:val="SingleTxtG"/>
      </w:pPr>
      <w:r w:rsidRPr="00556FAD">
        <w:t>7.</w:t>
      </w:r>
      <w:r w:rsidR="000913FE">
        <w:t>6</w:t>
      </w:r>
      <w:r w:rsidRPr="00556FAD">
        <w:tab/>
        <w:t xml:space="preserve">The Committee takes note of the allegations that Mr. </w:t>
      </w:r>
      <w:r w:rsidR="00F1157F">
        <w:t>S. Ivanov</w:t>
      </w:r>
      <w:r w:rsidR="00CC6592" w:rsidRPr="00556FAD">
        <w:t>’</w:t>
      </w:r>
      <w:r w:rsidRPr="00556FAD">
        <w:t xml:space="preserve">s rights under article 9 (1) </w:t>
      </w:r>
      <w:r w:rsidR="00F1157F">
        <w:t xml:space="preserve">(2) </w:t>
      </w:r>
      <w:r w:rsidRPr="00556FAD">
        <w:t xml:space="preserve">and </w:t>
      </w:r>
      <w:r w:rsidR="00F1157F">
        <w:t xml:space="preserve">(4) and </w:t>
      </w:r>
      <w:r w:rsidRPr="00556FAD">
        <w:t xml:space="preserve">article 14 (1) </w:t>
      </w:r>
      <w:r w:rsidR="00F1157F">
        <w:t>and (3) (a)</w:t>
      </w:r>
      <w:r w:rsidR="007366AF">
        <w:t xml:space="preserve"> (b) and (d) </w:t>
      </w:r>
      <w:r w:rsidRPr="00556FAD">
        <w:t xml:space="preserve">of the Covenant were violated. It notes that the State party has </w:t>
      </w:r>
      <w:r w:rsidR="008F2958">
        <w:t>disputed</w:t>
      </w:r>
      <w:r w:rsidRPr="00556FAD">
        <w:t xml:space="preserve"> those allegations. </w:t>
      </w:r>
      <w:r w:rsidR="00F1157F">
        <w:t>I</w:t>
      </w:r>
      <w:r w:rsidRPr="00556FAD">
        <w:t xml:space="preserve">n the absence of further detailed information, or evidence in support of those claims, the Committee finds those allegations insufficiently substantiated for the purposes of admissibility, and declares this part of the communication inadmissible under article 2 of the Optional Protocol. </w:t>
      </w:r>
    </w:p>
    <w:p w14:paraId="3399A22F" w14:textId="7247BB5C" w:rsidR="00297550" w:rsidRPr="00556FAD" w:rsidRDefault="00297550">
      <w:pPr>
        <w:pStyle w:val="SingleTxtG"/>
      </w:pPr>
      <w:r w:rsidRPr="00556FAD">
        <w:t>7.</w:t>
      </w:r>
      <w:r w:rsidR="000913FE">
        <w:t>7</w:t>
      </w:r>
      <w:r w:rsidRPr="00556FAD">
        <w:tab/>
        <w:t>The Committee considers that the author</w:t>
      </w:r>
      <w:r w:rsidR="00F657E5">
        <w:t xml:space="preserve">’s remaining claims, raising issues </w:t>
      </w:r>
      <w:r w:rsidRPr="00556FAD">
        <w:t xml:space="preserve"> under articles 6 (1) and (2), 9 (3) and 14 (2) of the Covenant</w:t>
      </w:r>
      <w:r w:rsidR="00516B99">
        <w:t xml:space="preserve"> </w:t>
      </w:r>
      <w:r w:rsidR="00F657E5">
        <w:t>have been sufficiently substantiated</w:t>
      </w:r>
      <w:r w:rsidRPr="00556FAD">
        <w:t xml:space="preserve"> for the purposes of admissibility and proceeds </w:t>
      </w:r>
      <w:r w:rsidR="00F657E5">
        <w:t xml:space="preserve">to their examination on </w:t>
      </w:r>
      <w:r w:rsidRPr="00556FAD">
        <w:t xml:space="preserve">the merits. </w:t>
      </w:r>
    </w:p>
    <w:p w14:paraId="27EFB5EC" w14:textId="77777777" w:rsidR="00297550" w:rsidRPr="00556FAD" w:rsidRDefault="00297550" w:rsidP="00BA6708">
      <w:pPr>
        <w:pStyle w:val="H4G"/>
      </w:pPr>
      <w:r w:rsidRPr="00556FAD">
        <w:tab/>
      </w:r>
      <w:r w:rsidRPr="00556FAD">
        <w:tab/>
        <w:t>Consideration of the merits</w:t>
      </w:r>
    </w:p>
    <w:p w14:paraId="3222F833" w14:textId="77777777" w:rsidR="00297550" w:rsidRPr="00556FAD" w:rsidRDefault="00297550" w:rsidP="00BA6708">
      <w:pPr>
        <w:pStyle w:val="SingleTxtG"/>
      </w:pPr>
      <w:r w:rsidRPr="00556FAD">
        <w:t>8.1</w:t>
      </w:r>
      <w:r w:rsidRPr="00556FAD">
        <w:tab/>
        <w:t>The Committee has considered the case in the light of all the information submitted to it by the parties, in accordance with article 5 (1) of the Optional Protocol.</w:t>
      </w:r>
    </w:p>
    <w:p w14:paraId="029891BA" w14:textId="26B4D024" w:rsidR="00297550" w:rsidRPr="00556FAD" w:rsidRDefault="00297550">
      <w:pPr>
        <w:pStyle w:val="SingleTxtG"/>
      </w:pPr>
      <w:r w:rsidRPr="00556FAD">
        <w:t>8.</w:t>
      </w:r>
      <w:r w:rsidR="00145190">
        <w:t>2</w:t>
      </w:r>
      <w:r w:rsidRPr="00556FAD">
        <w:tab/>
        <w:t xml:space="preserve">Regarding the claims that Mr. </w:t>
      </w:r>
      <w:r w:rsidR="00E267E8">
        <w:t>S. Ivanov</w:t>
      </w:r>
      <w:r w:rsidRPr="00556FAD">
        <w:t xml:space="preserve"> was </w:t>
      </w:r>
      <w:r w:rsidRPr="00050FC4">
        <w:t>not</w:t>
      </w:r>
      <w:r w:rsidRPr="00556FAD">
        <w:t xml:space="preserve"> afforded his rights under article 9 (3) of the Covenant, the Committee recalls that, in accordance with that article, any person arrested or detained on a criminal charge must be brought promptly before a judge or other officer authorized by law to exercise judicial power. The Committee also recalls that, while the exact meaning of “promptly” may vary depending on objective circumstances, delays should not exceed a few </w:t>
      </w:r>
      <w:r w:rsidRPr="00050FC4">
        <w:t>days</w:t>
      </w:r>
      <w:r w:rsidRPr="00556FAD">
        <w:t xml:space="preserve"> from the time </w:t>
      </w:r>
      <w:r w:rsidRPr="00050FC4">
        <w:t>of</w:t>
      </w:r>
      <w:r w:rsidRPr="00556FAD">
        <w:t xml:space="preserve"> arrest. In the view of the Committee, 48 hours is ordinarily sufficient to transport the individual and to prepare for the judicial hearing; any delay longer than 48 hours must remain absolutely exceptional and be justified under the circumstances.</w:t>
      </w:r>
      <w:r w:rsidRPr="00D042F7">
        <w:rPr>
          <w:rStyle w:val="FootnoteReference"/>
        </w:rPr>
        <w:footnoteReference w:id="20"/>
      </w:r>
      <w:r w:rsidRPr="00556FAD">
        <w:t xml:space="preserve"> The Committee takes note of Mr. </w:t>
      </w:r>
      <w:r w:rsidR="00E267E8">
        <w:t>S. Ivanov</w:t>
      </w:r>
      <w:r w:rsidR="00CC6592" w:rsidRPr="00556FAD">
        <w:t>’</w:t>
      </w:r>
      <w:r w:rsidRPr="00556FAD">
        <w:t>s unchallenged allegations that he was apprehended on 2</w:t>
      </w:r>
      <w:r w:rsidR="005757D2">
        <w:t>9</w:t>
      </w:r>
      <w:r w:rsidRPr="00556FAD">
        <w:t xml:space="preserve"> </w:t>
      </w:r>
      <w:r w:rsidR="00855473">
        <w:t>August</w:t>
      </w:r>
      <w:r w:rsidRPr="00556FAD">
        <w:t xml:space="preserve"> 201</w:t>
      </w:r>
      <w:r w:rsidR="00855473">
        <w:t>3</w:t>
      </w:r>
      <w:r w:rsidRPr="00556FAD">
        <w:t xml:space="preserve">, was officially placed in </w:t>
      </w:r>
      <w:r w:rsidR="006B524E" w:rsidRPr="00556FAD">
        <w:t>pre-trial</w:t>
      </w:r>
      <w:r w:rsidRPr="00556FAD">
        <w:t xml:space="preserve"> detention by the order of a prosecutor on </w:t>
      </w:r>
      <w:r w:rsidR="005C4E3F">
        <w:t>8</w:t>
      </w:r>
      <w:r w:rsidRPr="00556FAD">
        <w:t xml:space="preserve"> September 201</w:t>
      </w:r>
      <w:r w:rsidR="005C4E3F">
        <w:t>3</w:t>
      </w:r>
      <w:r w:rsidRPr="00556FAD">
        <w:t xml:space="preserve"> and was not brought before a judge until </w:t>
      </w:r>
      <w:proofErr w:type="gramStart"/>
      <w:r w:rsidR="00C7644E">
        <w:t xml:space="preserve">November </w:t>
      </w:r>
      <w:r w:rsidRPr="00556FAD">
        <w:t xml:space="preserve"> 201</w:t>
      </w:r>
      <w:r w:rsidR="00C7644E">
        <w:t>4</w:t>
      </w:r>
      <w:proofErr w:type="gramEnd"/>
      <w:r w:rsidRPr="00556FAD">
        <w:t xml:space="preserve">. The Committee recalls that, in its general comment No. 35 (2014) on liberty and security of person, it stated that it was inherent to the proper exercise of judicial power that such power should be exercised by an authority that was independent, objective and impartial in relation to the issues dealt with, and that a public prosecutor could not be considered as an officer authorized </w:t>
      </w:r>
      <w:r w:rsidRPr="00050FC4">
        <w:t>to</w:t>
      </w:r>
      <w:r w:rsidRPr="00556FAD">
        <w:t xml:space="preserve"> exercise judicial power within the meaning of article 9 (3)</w:t>
      </w:r>
      <w:r w:rsidR="005757D2">
        <w:t>.</w:t>
      </w:r>
      <w:r w:rsidR="005A3C9D">
        <w:rPr>
          <w:rStyle w:val="FootnoteReference"/>
        </w:rPr>
        <w:footnoteReference w:id="21"/>
      </w:r>
      <w:r w:rsidRPr="00556FAD">
        <w:t xml:space="preserve"> In these circumstances, the Committee considers that the facts before it show that Mr. </w:t>
      </w:r>
      <w:r w:rsidR="00BC3A6E">
        <w:t>S. Ivanov</w:t>
      </w:r>
      <w:r w:rsidRPr="00556FAD">
        <w:t xml:space="preserve"> was not brought promptly before a judge or other officer authorized by law to exercise judicial power, as required under article 9 (3) of the Covenant. Accordingly, the Committee concludes that the above-mentioned facts reveal a violation of Mr. </w:t>
      </w:r>
      <w:r w:rsidR="00BC3A6E">
        <w:t>S. Ivanov</w:t>
      </w:r>
      <w:r w:rsidR="00CC6592" w:rsidRPr="00556FAD">
        <w:t>’</w:t>
      </w:r>
      <w:r w:rsidRPr="00556FAD">
        <w:t xml:space="preserve">s rights under article 9 (3) of the Covenant. </w:t>
      </w:r>
    </w:p>
    <w:p w14:paraId="321B2DD7" w14:textId="0039555D" w:rsidR="00297550" w:rsidRPr="00556FAD" w:rsidRDefault="00297550">
      <w:pPr>
        <w:pStyle w:val="SingleTxtG"/>
      </w:pPr>
      <w:r w:rsidRPr="00556FAD">
        <w:t>8.</w:t>
      </w:r>
      <w:r w:rsidR="00145190">
        <w:t>3</w:t>
      </w:r>
      <w:r w:rsidRPr="00556FAD">
        <w:tab/>
        <w:t xml:space="preserve">The Committee also notes </w:t>
      </w:r>
      <w:r w:rsidR="00687B35">
        <w:t xml:space="preserve">the </w:t>
      </w:r>
      <w:r w:rsidRPr="00556FAD">
        <w:t>allegations that the principle of presumption of innocence was not respected in Mr.</w:t>
      </w:r>
      <w:r w:rsidR="00687B35">
        <w:t xml:space="preserve"> S. Ivanov</w:t>
      </w:r>
      <w:r w:rsidR="00CC6592" w:rsidRPr="00556FAD">
        <w:t>’</w:t>
      </w:r>
      <w:r w:rsidRPr="00556FAD">
        <w:t>s case, because he was handcuffed</w:t>
      </w:r>
      <w:r w:rsidR="00855473">
        <w:t xml:space="preserve"> and kept in a cage during the court hearings</w:t>
      </w:r>
      <w:r w:rsidR="00DA5337">
        <w:t xml:space="preserve">, </w:t>
      </w:r>
      <w:r w:rsidR="00855473">
        <w:t xml:space="preserve">and in addition, </w:t>
      </w:r>
      <w:r w:rsidR="00DA5337" w:rsidRPr="00DA5337">
        <w:t xml:space="preserve">had to wear special clothing for persons sentenced to death, marked with letters indicating exceptional measure of punishment </w:t>
      </w:r>
      <w:r w:rsidR="00542AD5">
        <w:t>in the prison and during the cassation proceedings, while the sentence had not yet entered into force</w:t>
      </w:r>
      <w:r w:rsidRPr="00556FAD">
        <w:t xml:space="preserve">. In this respect, the Committee recalls its jurisprudence, as also reflected in its general comment No. 32 (2007) on the right to equality before </w:t>
      </w:r>
      <w:r w:rsidRPr="00050FC4">
        <w:t>courts</w:t>
      </w:r>
      <w:r w:rsidRPr="00556FAD">
        <w:t xml:space="preserve"> and tribunals and to a fair trial,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that principle. In the same general comment, the Committee also states that defendants should normally not be shackled or kept in cages during trial, or otherwise presented to the court in a manner indicating that they may be dangerous criminals, and that the media should avoid news coverage that undermines the presumption of innocence.</w:t>
      </w:r>
      <w:r w:rsidRPr="00D042F7">
        <w:rPr>
          <w:rStyle w:val="FootnoteReference"/>
        </w:rPr>
        <w:footnoteReference w:id="22"/>
      </w:r>
      <w:r w:rsidRPr="00556FAD">
        <w:t xml:space="preserve"> On the basis of the information before it and in the absence of any other pertinent information or argumentation from the State party</w:t>
      </w:r>
      <w:r w:rsidRPr="00050FC4">
        <w:t xml:space="preserve"> </w:t>
      </w:r>
      <w:r w:rsidRPr="00556FAD">
        <w:t>as to the need to keep the author</w:t>
      </w:r>
      <w:r w:rsidR="00687B35">
        <w:t>’s brother</w:t>
      </w:r>
      <w:r w:rsidRPr="00556FAD">
        <w:t xml:space="preserve"> </w:t>
      </w:r>
      <w:r w:rsidR="00542AD5">
        <w:t xml:space="preserve">handcuffed and </w:t>
      </w:r>
      <w:r w:rsidRPr="00556FAD">
        <w:t xml:space="preserve">in a cage throughout the court trial, </w:t>
      </w:r>
      <w:r w:rsidR="00542AD5">
        <w:t xml:space="preserve">and wearing special clothing for persons sentenced to death during his cassation appeal hearing, </w:t>
      </w:r>
      <w:r w:rsidRPr="00556FAD">
        <w:t xml:space="preserve">the Committee considers that the facts as presented demonstrate that the right of Mr. </w:t>
      </w:r>
      <w:r w:rsidR="00687B35">
        <w:t>S. Ivanov</w:t>
      </w:r>
      <w:r w:rsidRPr="00556FAD">
        <w:t xml:space="preserve"> to be presumed innocent, as guaranteed under article 14 (2) of the Covenant, has been violated.</w:t>
      </w:r>
    </w:p>
    <w:p w14:paraId="57BA5D75" w14:textId="69CE5C9E" w:rsidR="00297550" w:rsidRPr="00556FAD" w:rsidRDefault="00297550" w:rsidP="00FC6BB7">
      <w:pPr>
        <w:pStyle w:val="SingleTxtG"/>
      </w:pPr>
      <w:r w:rsidRPr="00556FAD">
        <w:t>8.</w:t>
      </w:r>
      <w:r w:rsidR="00145190">
        <w:t>4</w:t>
      </w:r>
      <w:r w:rsidRPr="00556FAD">
        <w:tab/>
      </w:r>
      <w:r w:rsidR="00FC6BB7" w:rsidRPr="00FC6BB7">
        <w:t xml:space="preserve">The Committee notes the statement by the State party (para 4.8) that the death penalty is not prohibited when imposed for the ‘most serious crimes’. This is provided for article 6 (2) of the Covenant. </w:t>
      </w:r>
      <w:r w:rsidR="008563B2">
        <w:t xml:space="preserve">The Committee recalls its </w:t>
      </w:r>
      <w:r w:rsidR="00FC6BB7" w:rsidRPr="00FC6BB7">
        <w:t xml:space="preserve">General Comment </w:t>
      </w:r>
      <w:r w:rsidR="009D6137">
        <w:t xml:space="preserve">No. </w:t>
      </w:r>
      <w:r w:rsidR="00FC6BB7" w:rsidRPr="00FC6BB7">
        <w:t xml:space="preserve">36 </w:t>
      </w:r>
      <w:r w:rsidR="001C65AE">
        <w:t>in which</w:t>
      </w:r>
      <w:r w:rsidR="00FC6BB7" w:rsidRPr="00FC6BB7">
        <w:t xml:space="preserve"> the Committee states that the term ‘most serious crimes’ refers to intentional killing. The author’s brother in this case was sentenced to death after a conviction for murder, which is a most serious crime. However, the Covenant also provides that stringent fair trial requirements must furthermore be met before the death penalty may be imposed, to comply with article</w:t>
      </w:r>
      <w:r w:rsidR="008F2958">
        <w:t xml:space="preserve"> 6 of the Covenant</w:t>
      </w:r>
      <w:r w:rsidR="00FC6BB7" w:rsidRPr="00FC6BB7">
        <w:t>.</w:t>
      </w:r>
      <w:r w:rsidR="001C65AE" w:rsidRPr="001C65AE">
        <w:rPr>
          <w:rStyle w:val="FootnoteReference"/>
        </w:rPr>
        <w:t xml:space="preserve"> </w:t>
      </w:r>
      <w:r w:rsidR="001C65AE">
        <w:rPr>
          <w:rStyle w:val="FootnoteReference"/>
        </w:rPr>
        <w:footnoteReference w:id="23"/>
      </w:r>
      <w:r w:rsidR="00FC6BB7" w:rsidRPr="00FC6BB7">
        <w:t xml:space="preserve"> </w:t>
      </w:r>
    </w:p>
    <w:p w14:paraId="23A045DF" w14:textId="6C5EDB2D" w:rsidR="00297550" w:rsidRPr="00556FAD" w:rsidRDefault="00297550">
      <w:pPr>
        <w:pStyle w:val="SingleTxtG"/>
      </w:pPr>
      <w:r w:rsidRPr="00556FAD">
        <w:t>8.</w:t>
      </w:r>
      <w:r w:rsidR="00145190">
        <w:t>5</w:t>
      </w:r>
      <w:r w:rsidRPr="00556FAD">
        <w:tab/>
        <w:t xml:space="preserve">The authors also claim that Mr. </w:t>
      </w:r>
      <w:r w:rsidR="00A44361">
        <w:t>S. Ivanov</w:t>
      </w:r>
      <w:r w:rsidR="00CC6592" w:rsidRPr="00556FAD">
        <w:t>’</w:t>
      </w:r>
      <w:r w:rsidRPr="00556FAD">
        <w:t xml:space="preserve">s right to life under article 6 of the Covenant was violated, since he was sentenced </w:t>
      </w:r>
      <w:r w:rsidRPr="00050FC4">
        <w:t>to</w:t>
      </w:r>
      <w:r w:rsidRPr="00556FAD">
        <w:t xml:space="preserve"> death after an unfair trial. In that respect, the Committee recalls </w:t>
      </w:r>
      <w:r w:rsidR="00CD6C29" w:rsidRPr="00556FAD">
        <w:t>its jurisprudence that the imposition of a sentence of death upon the conclusion of a trial in which the provisions of article 14 of the Covenant have not been respected constitutes a violation of article 6 of the Covenant.</w:t>
      </w:r>
      <w:r w:rsidR="00CD6C29" w:rsidRPr="004168A2">
        <w:rPr>
          <w:rStyle w:val="FootnoteReference"/>
        </w:rPr>
        <w:footnoteReference w:id="24"/>
      </w:r>
      <w:r w:rsidR="00CD6C29">
        <w:t xml:space="preserve"> </w:t>
      </w:r>
      <w:r w:rsidR="006F18A3">
        <w:t xml:space="preserve">Referring to its general comment No. 32, the Committee </w:t>
      </w:r>
      <w:r w:rsidR="00897304">
        <w:t>r</w:t>
      </w:r>
      <w:r w:rsidR="006F18A3">
        <w:t>ecalls that in cases of trials leading to the imposition of the death penalty scrupulous respect of the guarantees of fair trial is particularly important</w:t>
      </w:r>
      <w:r w:rsidR="00897304">
        <w:t>.</w:t>
      </w:r>
      <w:r w:rsidR="00897304">
        <w:rPr>
          <w:rStyle w:val="FootnoteReference"/>
        </w:rPr>
        <w:footnoteReference w:id="25"/>
      </w:r>
      <w:r w:rsidR="00897304">
        <w:t xml:space="preserve"> </w:t>
      </w:r>
      <w:r w:rsidR="00CD6C29">
        <w:t xml:space="preserve">In addition, </w:t>
      </w:r>
      <w:r w:rsidR="00691392">
        <w:rPr>
          <w:rFonts w:eastAsia="MS Mincho"/>
          <w:lang w:eastAsia="ja-JP"/>
        </w:rPr>
        <w:t xml:space="preserve">in </w:t>
      </w:r>
      <w:r w:rsidRPr="00556FAD">
        <w:t xml:space="preserve">its general comment </w:t>
      </w:r>
      <w:r w:rsidR="00A44361">
        <w:t xml:space="preserve">No. 36 </w:t>
      </w:r>
      <w:r w:rsidRPr="00556FAD">
        <w:t xml:space="preserve">on the right to life, it </w:t>
      </w:r>
      <w:r w:rsidR="00691392">
        <w:t xml:space="preserve">also </w:t>
      </w:r>
      <w:r w:rsidRPr="00556FAD">
        <w:t>note</w:t>
      </w:r>
      <w:r w:rsidR="00691392">
        <w:t>d</w:t>
      </w:r>
      <w:r w:rsidRPr="00556FAD">
        <w:t xml:space="preserve"> that</w:t>
      </w:r>
      <w:r w:rsidR="00DD608D">
        <w:t xml:space="preserve"> violation of the fair trial guarantees provided for in article 14 of the Covenant in proceedings resulting in the imposition of the death penalty would render the sentence arbitrary in nature, and in violation of article 6 of the Covenant. Such violations might involve failure to respect the presumption of </w:t>
      </w:r>
      <w:r w:rsidR="00145190">
        <w:t>innocence, which</w:t>
      </w:r>
      <w:r w:rsidR="00DD608D">
        <w:t xml:space="preserve"> may manifest itself in the accused being placed in a cage</w:t>
      </w:r>
      <w:r w:rsidR="00DA5337">
        <w:t xml:space="preserve"> </w:t>
      </w:r>
      <w:r w:rsidR="00DD608D">
        <w:t>or handcuffed during the trial.</w:t>
      </w:r>
      <w:r w:rsidR="00BA3CA8">
        <w:rPr>
          <w:rStyle w:val="FootnoteReference"/>
        </w:rPr>
        <w:footnoteReference w:id="26"/>
      </w:r>
      <w:r w:rsidR="00145190">
        <w:t xml:space="preserve"> </w:t>
      </w:r>
      <w:r w:rsidRPr="00556FAD">
        <w:t>In the light of the Committee</w:t>
      </w:r>
      <w:r w:rsidR="00CC6592" w:rsidRPr="00556FAD">
        <w:t>’</w:t>
      </w:r>
      <w:r w:rsidRPr="00556FAD">
        <w:t xml:space="preserve">s findings of a violation of article 14 (2) of the Covenant, the Committee concludes that the final sentence of death and the subsequent execution of Mr. </w:t>
      </w:r>
      <w:r w:rsidR="00610ADC">
        <w:t>S. Ivanov</w:t>
      </w:r>
      <w:r w:rsidRPr="00556FAD">
        <w:t xml:space="preserve"> did not meet the requirements of article 14 and that, as a result, his right to life under article 6 of the Covenant has also been violated.</w:t>
      </w:r>
    </w:p>
    <w:p w14:paraId="56A532DC" w14:textId="688C936F" w:rsidR="00297550" w:rsidRPr="00556FAD" w:rsidRDefault="00297550">
      <w:pPr>
        <w:pStyle w:val="SingleTxtG"/>
      </w:pPr>
      <w:r w:rsidRPr="00556FAD">
        <w:t>9.</w:t>
      </w:r>
      <w:r w:rsidRPr="00556FAD">
        <w:tab/>
        <w:t xml:space="preserve">The Committee, acting under article 5 (4) of the Optional Protocol, is of the view that the facts before it disclose a violation by the State party of Mr. </w:t>
      </w:r>
      <w:r w:rsidR="00335344">
        <w:t>S. Ivanov</w:t>
      </w:r>
      <w:r w:rsidR="00CC6592" w:rsidRPr="00556FAD">
        <w:t>’</w:t>
      </w:r>
      <w:r w:rsidRPr="00556FAD">
        <w:t xml:space="preserve">s rights under articles </w:t>
      </w:r>
      <w:proofErr w:type="gramStart"/>
      <w:r w:rsidRPr="00556FAD">
        <w:t>6 ,</w:t>
      </w:r>
      <w:proofErr w:type="gramEnd"/>
      <w:r w:rsidRPr="00556FAD">
        <w:t xml:space="preserve"> 9 (3) and 14 (2) of the Covenant. The Committee also concludes that by not respecting its request for interim measures, the State party violated its obligations under article 1 of the Optional Protocol. </w:t>
      </w:r>
    </w:p>
    <w:p w14:paraId="1A9CFA44" w14:textId="07713ACA" w:rsidR="00297550" w:rsidRPr="00556FAD" w:rsidRDefault="00297550">
      <w:pPr>
        <w:pStyle w:val="SingleTxtG"/>
      </w:pPr>
      <w:r w:rsidRPr="00556FAD">
        <w:t>10.</w:t>
      </w:r>
      <w:r w:rsidRPr="00556FAD">
        <w:tab/>
        <w:t xml:space="preserve">Pursuant to article 2 (3) (a) of the Covenant, the State party is under an obligation to provide individuals </w:t>
      </w:r>
      <w:r w:rsidRPr="00050FC4">
        <w:t>whose</w:t>
      </w:r>
      <w:r w:rsidRPr="00556FAD">
        <w:t xml:space="preserve"> Covenant rights have been violated with an effective remedy in the form of full reparation. The State party is also under an obligation to take all steps necessary to prevent similar violations from occurring in the future. </w:t>
      </w:r>
    </w:p>
    <w:p w14:paraId="1339BC1A" w14:textId="77777777" w:rsidR="00297550" w:rsidRPr="00556FAD" w:rsidRDefault="00297550">
      <w:pPr>
        <w:pStyle w:val="SingleTxtG"/>
      </w:pPr>
      <w:r w:rsidRPr="00556FAD">
        <w:t>11.</w:t>
      </w:r>
      <w:r w:rsidRPr="00556FAD">
        <w:tab/>
        <w:t xml:space="preserve">Bearing in mind that, by becoming a party to the Optional Protocol, the State party has recognized the competence of the Committee to </w:t>
      </w:r>
      <w:r w:rsidRPr="00050FC4">
        <w:t>determine</w:t>
      </w:r>
      <w:r w:rsidRPr="00556FAD">
        <w:t xml:space="preserve"> whether there has been a violation of the Covenant and </w:t>
      </w:r>
      <w:r w:rsidRPr="00050FC4">
        <w:t>that</w:t>
      </w:r>
      <w:r w:rsidRPr="00556FAD">
        <w:t xml:space="preserve">, pursuant to article 2 of the Covenant, the State party has undertaken to ensure to all individuals within its territory and subject to its jurisdiction the rights recognized in the </w:t>
      </w:r>
      <w:r w:rsidRPr="00050FC4">
        <w:t>Covenant</w:t>
      </w:r>
      <w:r w:rsidRPr="00556FAD">
        <w:t xml:space="preserve"> and to provide an effective and enforceable remedy when it has been determined that a violation has occurred, the Committee wishes to receive from the State party, within 180 days, information about the measures taken to give effect to the Committee</w:t>
      </w:r>
      <w:r w:rsidR="00CC6592" w:rsidRPr="00556FAD">
        <w:t>’</w:t>
      </w:r>
      <w:r w:rsidRPr="00556FAD">
        <w:t>s Views. The State party is also requested to publish the present Views and to have them widely disseminated in the official languages of the State party.</w:t>
      </w:r>
    </w:p>
    <w:p w14:paraId="24A9020A" w14:textId="1DE90F0F" w:rsidR="006324FE" w:rsidRDefault="006324FE" w:rsidP="00297550">
      <w:pPr>
        <w:jc w:val="center"/>
        <w:rPr>
          <w:u w:val="single"/>
        </w:rPr>
        <w:sectPr w:rsidR="006324FE" w:rsidSect="00EA1E0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36E5D60E" w14:textId="2B79A150" w:rsidR="0057722D" w:rsidRDefault="0057722D" w:rsidP="0057722D">
      <w:pPr>
        <w:pStyle w:val="HChG"/>
      </w:pPr>
      <w:r>
        <w:t xml:space="preserve">Annex </w:t>
      </w:r>
      <w:bookmarkStart w:id="0" w:name="_GoBack"/>
      <w:bookmarkEnd w:id="0"/>
    </w:p>
    <w:p w14:paraId="4EF66848" w14:textId="3EDBAE8A" w:rsidR="006324FE" w:rsidRDefault="0057722D" w:rsidP="00BC4020">
      <w:pPr>
        <w:pStyle w:val="HChG"/>
      </w:pPr>
      <w:r>
        <w:tab/>
      </w:r>
      <w:r>
        <w:tab/>
      </w:r>
      <w:r w:rsidR="006324FE" w:rsidRPr="00DA15D8">
        <w:t xml:space="preserve">Joint Opinion of Committee members </w:t>
      </w:r>
      <w:proofErr w:type="spellStart"/>
      <w:r w:rsidR="006324FE" w:rsidRPr="00DA15D8">
        <w:t>Arif</w:t>
      </w:r>
      <w:proofErr w:type="spellEnd"/>
      <w:r w:rsidR="006324FE" w:rsidRPr="00DA15D8">
        <w:t xml:space="preserve"> </w:t>
      </w:r>
      <w:proofErr w:type="spellStart"/>
      <w:r w:rsidR="006324FE" w:rsidRPr="00DA15D8">
        <w:t>Bulkan</w:t>
      </w:r>
      <w:proofErr w:type="spellEnd"/>
      <w:r w:rsidR="006324FE" w:rsidRPr="00DA15D8">
        <w:t xml:space="preserve">, Hélène </w:t>
      </w:r>
      <w:proofErr w:type="spellStart"/>
      <w:r w:rsidR="006324FE" w:rsidRPr="00DA15D8">
        <w:t>Tigroudja</w:t>
      </w:r>
      <w:proofErr w:type="spellEnd"/>
      <w:r w:rsidR="006324FE" w:rsidRPr="00DA15D8">
        <w:t>,</w:t>
      </w:r>
      <w:r w:rsidRPr="0057722D">
        <w:t xml:space="preserve"> </w:t>
      </w:r>
      <w:r w:rsidRPr="00DA15D8">
        <w:t xml:space="preserve">Andreas Zimmermann and Gentian </w:t>
      </w:r>
      <w:proofErr w:type="spellStart"/>
      <w:r w:rsidRPr="00DA15D8">
        <w:t>Zyberi</w:t>
      </w:r>
      <w:proofErr w:type="spellEnd"/>
      <w:r w:rsidRPr="00DA15D8">
        <w:t xml:space="preserve"> (partly dissenting)</w:t>
      </w:r>
      <w:r w:rsidR="006324FE" w:rsidRPr="00DA15D8">
        <w:t xml:space="preserve"> </w:t>
      </w:r>
    </w:p>
    <w:p w14:paraId="6C64B6F8" w14:textId="7D02D461" w:rsidR="006324FE" w:rsidRPr="0057722D" w:rsidRDefault="0057722D">
      <w:pPr>
        <w:pStyle w:val="SingleTxtG"/>
      </w:pPr>
      <w:r>
        <w:tab/>
      </w:r>
      <w:r w:rsidR="006324FE" w:rsidRPr="0057722D">
        <w:t xml:space="preserve">1. </w:t>
      </w:r>
      <w:r w:rsidR="006324FE" w:rsidRPr="0057722D">
        <w:tab/>
        <w:t>We fully concur with the Committee’s conclusions on this communication as expressed in paragraph 9, but disagree with the finding of inadmissibility of the author’s claim under article 14(3)(b) and (d). At the outset we note that the circumstances surrounding Mr Ivanov’s trial, conviction and execution were replete with irregularities, commencing from the time of his arrest. Notably, he was detained for more than 450 days before being taken before a judge for the first time. Such an inordinate delay is incompatible with fairness and violates the State’s obligations under this Covenant, as repeatedly observed in previous cases.</w:t>
      </w:r>
      <w:r w:rsidR="006324FE" w:rsidRPr="00BC4020">
        <w:rPr>
          <w:vertAlign w:val="superscript"/>
        </w:rPr>
        <w:footnoteReference w:id="27"/>
      </w:r>
      <w:r w:rsidR="006324FE" w:rsidRPr="0057722D">
        <w:t xml:space="preserve"> Considered together with the problems alleged regarding his legal representation, which we discuss below, these amount to procedural irregularities that cannot be tolerated in a trial which might result in the imposition of the death penalty – a punishment that is both final and irreversible. In this regard, we recall this Committee’s unwavering stance that the death penalty, if retained, must be subject to ‘strict conditions’</w:t>
      </w:r>
      <w:r w:rsidR="006324FE" w:rsidRPr="0057722D">
        <w:footnoteReference w:id="28"/>
      </w:r>
      <w:r w:rsidR="006324FE" w:rsidRPr="0057722D">
        <w:t xml:space="preserve"> and procedural guarantees be scrupulously respected.</w:t>
      </w:r>
      <w:r w:rsidR="006324FE" w:rsidRPr="0057722D">
        <w:footnoteReference w:id="29"/>
      </w:r>
      <w:r w:rsidR="006324FE" w:rsidRPr="0057722D">
        <w:t xml:space="preserve"> Moreover, the State party did not comply with the interim measures requested in this case, which the Committee has already found (para 6.4) to constitute a serious violation of its obligations under the Optional Protocol.</w:t>
      </w:r>
    </w:p>
    <w:p w14:paraId="6ECC34F6" w14:textId="77777777" w:rsidR="006324FE" w:rsidRPr="001E55D9" w:rsidRDefault="006324FE" w:rsidP="006324FE">
      <w:pPr>
        <w:pStyle w:val="SingleTxtG"/>
      </w:pPr>
      <w:r w:rsidRPr="001E55D9">
        <w:t>2.</w:t>
      </w:r>
      <w:r w:rsidRPr="001E55D9">
        <w:tab/>
        <w:t>The author alleges that his brother’s access to legal counsel was violated because of a number of circumstances, including the facts that he was not provided with counsel until 4 hours after his arrest and when certain procedural steps had already been taken, that during the pre-trial investigation two ex-officio counsel changed and a third one retained by him only became involved at the final stage of the cassation appeal, that he had no control over these changes in counsel, and that he was not allowed confidential attorney-client time as the investigator was always present (para 3.6). Relying on the State party’s objection that the author’s brother did not file any complaint regarding these breaches at the domestic level, the majority found this claim to be inadmissible under article 5(2</w:t>
      </w:r>
      <w:proofErr w:type="gramStart"/>
      <w:r w:rsidRPr="001E55D9">
        <w:t>)(</w:t>
      </w:r>
      <w:proofErr w:type="gramEnd"/>
      <w:r w:rsidRPr="001E55D9">
        <w:t xml:space="preserve">b) of the Optional Protocol. </w:t>
      </w:r>
    </w:p>
    <w:p w14:paraId="2B18BEB9" w14:textId="77777777" w:rsidR="006324FE" w:rsidRPr="001E55D9" w:rsidRDefault="006324FE" w:rsidP="006324FE">
      <w:pPr>
        <w:pStyle w:val="SingleTxtG"/>
      </w:pPr>
      <w:r w:rsidRPr="001E55D9">
        <w:t>3.</w:t>
      </w:r>
      <w:r w:rsidRPr="001E55D9">
        <w:tab/>
        <w:t>We find the conclusion of inadmissibility unconvincing, partly because the matters complained of were all facts which the State party did not dispute. Indeed, the State party admitted that there were changes in counsel afforded to the author’s brother, mentioning at least two different names of counsel who represented him at different stages of the trial (para 4.4).</w:t>
      </w:r>
    </w:p>
    <w:p w14:paraId="6F5994B3" w14:textId="77777777" w:rsidR="006324FE" w:rsidRPr="001E55D9" w:rsidRDefault="006324FE" w:rsidP="006324FE">
      <w:pPr>
        <w:pStyle w:val="SingleTxtG"/>
      </w:pPr>
      <w:r w:rsidRPr="001E55D9">
        <w:t>4.</w:t>
      </w:r>
      <w:r w:rsidRPr="001E55D9">
        <w:tab/>
        <w:t>The majority’s position is even more peculiar given that the State party expressly raised the non-exhaustion objection in relation to two allegations – the second concerning the brother’s detention on remand. However, and without any discussion, the majority found the other claim to be admissible, thereafter rightly proceeding to a finding of violation by reason of the 450-day detention of the brother before he was taken before a judge. In our view, this is an inconsistent approach given that the procedural background in relation to both claims (under articles 9 and 14) is the same – so that if the former is admissible, so too should be the latter.</w:t>
      </w:r>
    </w:p>
    <w:p w14:paraId="5AAA7A88" w14:textId="77777777" w:rsidR="006324FE" w:rsidRPr="001E55D9" w:rsidRDefault="006324FE" w:rsidP="006324FE">
      <w:pPr>
        <w:pStyle w:val="SingleTxtG"/>
      </w:pPr>
      <w:r w:rsidRPr="001E55D9">
        <w:t>5.</w:t>
      </w:r>
      <w:r w:rsidRPr="001E55D9">
        <w:tab/>
        <w:t>Ultimately, it is unclear what domestic remedy would have been available to the brother and effective in the circumstances. The changes in counsel and denial of private communication were occasioned by domestic authorities and were occurrences over which the author’s brother had no control. Not only were these claims unrefuted, but the State party merely alleged that no complaint was made without specifying what domestic procedures were available to provide redress. Where non-exhaustion is raised, this Committee has frequently required the State party to show both what procedure was available and that there is a reasonable prospect that the purported remedy would be effective in the circumstances.</w:t>
      </w:r>
      <w:r w:rsidRPr="001E55D9">
        <w:footnoteReference w:id="30"/>
      </w:r>
      <w:r w:rsidRPr="001E55D9">
        <w:t xml:space="preserve"> For all these reasons, therefore, we find that there is no substance in the non-exhaustion objection and that the author’s claim under article 14(b) and (d) is admissible.  </w:t>
      </w:r>
    </w:p>
    <w:p w14:paraId="592B95A3" w14:textId="77777777" w:rsidR="006324FE" w:rsidRPr="001E55D9" w:rsidRDefault="006324FE" w:rsidP="006324FE">
      <w:pPr>
        <w:pStyle w:val="SingleTxtG"/>
      </w:pPr>
      <w:r w:rsidRPr="001E55D9">
        <w:t>6.</w:t>
      </w:r>
      <w:r w:rsidRPr="001E55D9">
        <w:tab/>
        <w:t>The right to counsel is an indispensable aspect of a fair trial, acknowledged in many domestic systems and in this Committee’s longstanding and consistent jurisprudence. In our General Comment No. 32, the right was described as ‘an application of the principle of equality of arms.’</w:t>
      </w:r>
      <w:r w:rsidRPr="001E55D9">
        <w:footnoteReference w:id="31"/>
      </w:r>
      <w:r w:rsidRPr="001E55D9">
        <w:t xml:space="preserve"> In capital cases, legal representation assumes such importance that where lacking – for whatever reason – the imbalance created cannot be cured even by a vigilant and fair trial judge. As stated by this Committee, ‘it is axiomatic that legal assistance be available in capital cases... even if the unavailability of private counsel is to some degree attributable to the author himself, and even if the provision of legal assistance would entail an adjournment of proceedings. This requirement is not rendered unnecessary by efforts that might otherwise be made by the trial judge to assist the author in handling his defence in the absence of counsel.’</w:t>
      </w:r>
      <w:r w:rsidRPr="001E55D9">
        <w:footnoteReference w:id="32"/>
      </w:r>
    </w:p>
    <w:p w14:paraId="78186D12" w14:textId="77777777" w:rsidR="006324FE" w:rsidRPr="001E55D9" w:rsidRDefault="006324FE" w:rsidP="006324FE">
      <w:pPr>
        <w:pStyle w:val="SingleTxtG"/>
      </w:pPr>
      <w:r w:rsidRPr="001E55D9">
        <w:t>7.</w:t>
      </w:r>
      <w:r w:rsidRPr="001E55D9">
        <w:tab/>
        <w:t>Moreover, the right of the defendant is to have counsel of her/his own choosing, as specifically emphasized in both 14(3</w:t>
      </w:r>
      <w:proofErr w:type="gramStart"/>
      <w:r w:rsidRPr="001E55D9">
        <w:t>)(</w:t>
      </w:r>
      <w:proofErr w:type="gramEnd"/>
      <w:r w:rsidRPr="001E55D9">
        <w:t>b) and 14(3)(d). This requirement underscores not just the objective value of legal representation, but the necessity of a defendant being able to choose and have confidence in counsel providing that representation. As stated by this Committee, the right ‘entails the freedom of the defendant not only to choose but also to replace a lawyer and this right should not be restricted unless it is absolutely necessary for the administration of justice...’</w:t>
      </w:r>
      <w:r w:rsidRPr="001E55D9">
        <w:footnoteReference w:id="33"/>
      </w:r>
      <w:r w:rsidRPr="001E55D9">
        <w:t xml:space="preserve"> These multiple dimensions of the right speak to its unassailable importance and its heightened role in capital cases.</w:t>
      </w:r>
    </w:p>
    <w:p w14:paraId="5C1D4A17" w14:textId="1AEE3B3D" w:rsidR="006324FE" w:rsidRDefault="006324FE" w:rsidP="006324FE">
      <w:pPr>
        <w:pStyle w:val="SingleTxtG"/>
      </w:pPr>
      <w:r w:rsidRPr="001E55D9">
        <w:t>8.</w:t>
      </w:r>
      <w:r w:rsidRPr="001E55D9">
        <w:tab/>
        <w:t xml:space="preserve">Against this legal background, we note the very serious breaches alleged by the author to have occurred during his brother’s trial. In particular, counsel changed on several occasions for reasons out of the brother’s control, and a third counsel started representing him only when an additional cassation appeal was under preparation. Those disadvantages, already significant, were compounded by the denial of confidential time between the brother and his counsel. We cannot state with any confidence that such seemingly desultory, erratic compromised representation, over which the brother had no control, did not impact negatively on the trial and the ultimate finding of guilt. Given the failure of the State party to refute these allegations, due weight must be accorded to them. In these circumstances, we find that these facts as submitted reveal a violation of Mr Sergey Ivanov’s rights under article 14(3)(b) and (d) of the Covenant. </w:t>
      </w:r>
    </w:p>
    <w:p w14:paraId="40635CE4" w14:textId="7A56B8C8" w:rsidR="00B55508" w:rsidRPr="00B55508" w:rsidRDefault="00B55508" w:rsidP="00B55508">
      <w:pPr>
        <w:pStyle w:val="SingleTxtG"/>
        <w:spacing w:before="240" w:after="0"/>
        <w:jc w:val="center"/>
        <w:rPr>
          <w:u w:val="single"/>
        </w:rPr>
      </w:pPr>
      <w:r>
        <w:rPr>
          <w:u w:val="single"/>
        </w:rPr>
        <w:tab/>
      </w:r>
      <w:r>
        <w:rPr>
          <w:u w:val="single"/>
        </w:rPr>
        <w:tab/>
      </w:r>
      <w:r>
        <w:rPr>
          <w:u w:val="single"/>
        </w:rPr>
        <w:tab/>
      </w:r>
    </w:p>
    <w:p w14:paraId="28F1EA2B" w14:textId="4607648B" w:rsidR="00297550" w:rsidRPr="00556FAD" w:rsidRDefault="00297550" w:rsidP="00297550">
      <w:pPr>
        <w:jc w:val="center"/>
      </w:pPr>
    </w:p>
    <w:sectPr w:rsidR="00297550" w:rsidRPr="00556FAD">
      <w:footnotePr>
        <w:pos w:val="beneathText"/>
        <w:numRestart w:val="eachSect"/>
      </w:foot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955FC" w16cid:durableId="20DAFCF0"/>
  <w16cid:commentId w16cid:paraId="1F55F134" w16cid:durableId="20DAFE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A2D8D" w14:textId="77777777" w:rsidR="00E94948" w:rsidRPr="00B903E5" w:rsidRDefault="00E94948" w:rsidP="00B903E5">
      <w:pPr>
        <w:pStyle w:val="Footer"/>
      </w:pPr>
    </w:p>
  </w:endnote>
  <w:endnote w:type="continuationSeparator" w:id="0">
    <w:p w14:paraId="439CA5B4" w14:textId="77777777" w:rsidR="00E94948" w:rsidRPr="00B903E5" w:rsidRDefault="00E9494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5AD3" w14:textId="1EC51F64" w:rsidR="00C34F56" w:rsidRDefault="00C34F56" w:rsidP="006D1DB3">
    <w:pPr>
      <w:pStyle w:val="Footer"/>
      <w:tabs>
        <w:tab w:val="right" w:pos="9638"/>
      </w:tabs>
    </w:pPr>
    <w:r w:rsidRPr="00BC613D">
      <w:rPr>
        <w:b/>
        <w:bCs/>
        <w:sz w:val="18"/>
      </w:rPr>
      <w:fldChar w:fldCharType="begin"/>
    </w:r>
    <w:r w:rsidRPr="00BC613D">
      <w:rPr>
        <w:b/>
        <w:bCs/>
        <w:sz w:val="18"/>
      </w:rPr>
      <w:instrText xml:space="preserve"> PAGE  \* MERGEFORMAT </w:instrText>
    </w:r>
    <w:r w:rsidRPr="00BC613D">
      <w:rPr>
        <w:b/>
        <w:bCs/>
        <w:sz w:val="18"/>
      </w:rPr>
      <w:fldChar w:fldCharType="separate"/>
    </w:r>
    <w:r w:rsidR="00B55508">
      <w:rPr>
        <w:b/>
        <w:bCs/>
        <w:noProof/>
        <w:sz w:val="18"/>
      </w:rPr>
      <w:t>12</w:t>
    </w:r>
    <w:r w:rsidRPr="00BC613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F68A" w14:textId="65A54EEC" w:rsidR="00C34F56" w:rsidRDefault="00C34F56" w:rsidP="00BC613D">
    <w:pPr>
      <w:pStyle w:val="Footer"/>
      <w:tabs>
        <w:tab w:val="right" w:pos="9638"/>
      </w:tabs>
    </w:pPr>
    <w:r>
      <w:tab/>
    </w:r>
    <w:r w:rsidRPr="00BC613D">
      <w:rPr>
        <w:b/>
        <w:bCs/>
        <w:sz w:val="18"/>
      </w:rPr>
      <w:fldChar w:fldCharType="begin"/>
    </w:r>
    <w:r w:rsidRPr="00BC613D">
      <w:rPr>
        <w:b/>
        <w:bCs/>
        <w:sz w:val="18"/>
      </w:rPr>
      <w:instrText xml:space="preserve"> PAGE  \* MERGEFORMAT </w:instrText>
    </w:r>
    <w:r w:rsidRPr="00BC613D">
      <w:rPr>
        <w:b/>
        <w:bCs/>
        <w:sz w:val="18"/>
      </w:rPr>
      <w:fldChar w:fldCharType="separate"/>
    </w:r>
    <w:r w:rsidR="00B55508">
      <w:rPr>
        <w:b/>
        <w:bCs/>
        <w:noProof/>
        <w:sz w:val="18"/>
      </w:rPr>
      <w:t>13</w:t>
    </w:r>
    <w:r w:rsidRPr="00BC613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E954" w14:textId="44F93ECB" w:rsidR="003E3E7B" w:rsidRDefault="003E3E7B" w:rsidP="003E3E7B">
    <w:pPr>
      <w:pStyle w:val="Footer"/>
    </w:pPr>
    <w:r>
      <w:rPr>
        <w:noProof/>
        <w:lang w:eastAsia="en-GB"/>
      </w:rPr>
      <w:drawing>
        <wp:anchor distT="0" distB="0" distL="114300" distR="114300" simplePos="0" relativeHeight="251659264" behindDoc="1" locked="1" layoutInCell="1" allowOverlap="1" wp14:anchorId="309100D9" wp14:editId="45DA5FB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A27F23" w14:textId="2BA3CCF9" w:rsidR="003E3E7B" w:rsidRPr="003E3E7B" w:rsidRDefault="003E3E7B" w:rsidP="003E3E7B">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23EAF543" wp14:editId="4491C06F">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R/265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R/2655/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830A7" w14:textId="77777777" w:rsidR="00E94948" w:rsidRPr="00B903E5" w:rsidRDefault="00E94948" w:rsidP="00B903E5">
      <w:pPr>
        <w:tabs>
          <w:tab w:val="right" w:pos="2155"/>
        </w:tabs>
        <w:spacing w:after="80" w:line="240" w:lineRule="auto"/>
        <w:ind w:left="680"/>
      </w:pPr>
      <w:r>
        <w:rPr>
          <w:u w:val="single"/>
        </w:rPr>
        <w:tab/>
      </w:r>
    </w:p>
  </w:footnote>
  <w:footnote w:type="continuationSeparator" w:id="0">
    <w:p w14:paraId="6D0E7BEF" w14:textId="77777777" w:rsidR="00E94948" w:rsidRPr="00B903E5" w:rsidRDefault="00E94948" w:rsidP="00B903E5">
      <w:pPr>
        <w:tabs>
          <w:tab w:val="right" w:pos="2155"/>
        </w:tabs>
        <w:spacing w:after="80" w:line="240" w:lineRule="auto"/>
        <w:ind w:left="680"/>
      </w:pPr>
      <w:r>
        <w:rPr>
          <w:u w:val="single"/>
        </w:rPr>
        <w:tab/>
      </w:r>
    </w:p>
  </w:footnote>
  <w:footnote w:id="1">
    <w:p w14:paraId="78664AA1" w14:textId="37349825" w:rsidR="00274C5F" w:rsidRPr="00274C5F" w:rsidRDefault="00274C5F">
      <w:pPr>
        <w:pStyle w:val="FootnoteText"/>
      </w:pPr>
      <w:r>
        <w:rPr>
          <w:rStyle w:val="FootnoteReference"/>
        </w:rPr>
        <w:tab/>
      </w:r>
      <w:r w:rsidRPr="00BC4020">
        <w:rPr>
          <w:rStyle w:val="FootnoteReference"/>
          <w:sz w:val="20"/>
          <w:vertAlign w:val="baseline"/>
        </w:rPr>
        <w:t>*</w:t>
      </w:r>
      <w:r>
        <w:rPr>
          <w:rStyle w:val="FootnoteReference"/>
          <w:sz w:val="20"/>
          <w:vertAlign w:val="baseline"/>
        </w:rPr>
        <w:tab/>
      </w:r>
      <w:r>
        <w:t xml:space="preserve">Adopted by </w:t>
      </w:r>
      <w:r w:rsidRPr="00394314">
        <w:t>the</w:t>
      </w:r>
      <w:r>
        <w:t xml:space="preserve"> Committee at its 126</w:t>
      </w:r>
      <w:r w:rsidRPr="000C0942">
        <w:rPr>
          <w:vertAlign w:val="superscript"/>
        </w:rPr>
        <w:t>th</w:t>
      </w:r>
      <w:r>
        <w:t xml:space="preserve"> session (1 – 26 July 2019).</w:t>
      </w:r>
    </w:p>
  </w:footnote>
  <w:footnote w:id="2">
    <w:p w14:paraId="1C9E4C95" w14:textId="2BCD0130" w:rsidR="00274C5F" w:rsidRPr="00274C5F" w:rsidRDefault="00274C5F">
      <w:pPr>
        <w:pStyle w:val="FootnoteText"/>
      </w:pPr>
      <w:r>
        <w:rPr>
          <w:rStyle w:val="FootnoteReference"/>
        </w:rPr>
        <w:tab/>
      </w:r>
      <w:r w:rsidRPr="00BC4020">
        <w:rPr>
          <w:rStyle w:val="FootnoteReference"/>
          <w:sz w:val="20"/>
          <w:vertAlign w:val="baseline"/>
        </w:rPr>
        <w:t>**</w:t>
      </w:r>
      <w:r>
        <w:rPr>
          <w:rStyle w:val="FootnoteReference"/>
          <w:sz w:val="20"/>
          <w:vertAlign w:val="baseline"/>
        </w:rPr>
        <w:tab/>
      </w:r>
      <w:r>
        <w:t xml:space="preserve">The following members of the Committee participated in the examination of the present </w:t>
      </w:r>
      <w:r w:rsidRPr="00DF6B8C">
        <w:t xml:space="preserve">communication: </w:t>
      </w:r>
      <w:r>
        <w:t xml:space="preserve">Tania </w:t>
      </w:r>
      <w:proofErr w:type="spellStart"/>
      <w:r>
        <w:t>María</w:t>
      </w:r>
      <w:proofErr w:type="spellEnd"/>
      <w:r>
        <w:t xml:space="preserve"> </w:t>
      </w:r>
      <w:proofErr w:type="spellStart"/>
      <w:r>
        <w:t>Abdo</w:t>
      </w:r>
      <w:proofErr w:type="spellEnd"/>
      <w:r>
        <w:t xml:space="preserve"> </w:t>
      </w:r>
      <w:proofErr w:type="spellStart"/>
      <w:r>
        <w:t>Rocholl</w:t>
      </w:r>
      <w:proofErr w:type="spellEnd"/>
      <w:r>
        <w:t xml:space="preserve">, </w:t>
      </w:r>
      <w:proofErr w:type="spellStart"/>
      <w:r w:rsidRPr="00DF6B8C">
        <w:t>Yadh</w:t>
      </w:r>
      <w:proofErr w:type="spellEnd"/>
      <w:r w:rsidRPr="00DF6B8C">
        <w:t xml:space="preserve"> Ben </w:t>
      </w:r>
      <w:proofErr w:type="spellStart"/>
      <w:r w:rsidRPr="00DF6B8C">
        <w:t>Achour</w:t>
      </w:r>
      <w:proofErr w:type="spellEnd"/>
      <w:r w:rsidRPr="00DF6B8C">
        <w:t xml:space="preserve">, </w:t>
      </w:r>
      <w:proofErr w:type="spellStart"/>
      <w:r w:rsidRPr="00DF6B8C">
        <w:t>Ilze</w:t>
      </w:r>
      <w:proofErr w:type="spellEnd"/>
      <w:r w:rsidRPr="00DF6B8C">
        <w:t xml:space="preserve"> Brands </w:t>
      </w:r>
      <w:proofErr w:type="spellStart"/>
      <w:r w:rsidRPr="00DF6B8C">
        <w:t>Kehris</w:t>
      </w:r>
      <w:proofErr w:type="spellEnd"/>
      <w:r w:rsidRPr="00DF6B8C">
        <w:t xml:space="preserve">, </w:t>
      </w:r>
      <w:proofErr w:type="spellStart"/>
      <w:r>
        <w:t>Arif</w:t>
      </w:r>
      <w:proofErr w:type="spellEnd"/>
      <w:r>
        <w:t xml:space="preserve"> </w:t>
      </w:r>
      <w:proofErr w:type="spellStart"/>
      <w:r>
        <w:t>Bulkan</w:t>
      </w:r>
      <w:proofErr w:type="spellEnd"/>
      <w:r>
        <w:t xml:space="preserve">, </w:t>
      </w:r>
      <w:r w:rsidRPr="00DF6B8C">
        <w:t xml:space="preserve">Ahmed Amin </w:t>
      </w:r>
      <w:proofErr w:type="spellStart"/>
      <w:r w:rsidRPr="00DF6B8C">
        <w:t>Fathalla</w:t>
      </w:r>
      <w:proofErr w:type="spellEnd"/>
      <w:r w:rsidRPr="00DF6B8C">
        <w:t>,</w:t>
      </w:r>
      <w:r>
        <w:t xml:space="preserve"> Shuichi </w:t>
      </w:r>
      <w:proofErr w:type="spellStart"/>
      <w:r>
        <w:t>Furuya</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rsidRPr="0098434E">
        <w:t>Bamariam</w:t>
      </w:r>
      <w:proofErr w:type="spellEnd"/>
      <w:r w:rsidRPr="0098434E">
        <w:t xml:space="preserve"> </w:t>
      </w:r>
      <w:proofErr w:type="spellStart"/>
      <w:r w:rsidRPr="0098434E">
        <w:t>Koita</w:t>
      </w:r>
      <w:proofErr w:type="spellEnd"/>
      <w:r w:rsidRPr="0098434E">
        <w:t>,</w:t>
      </w:r>
      <w:r>
        <w:t>,</w:t>
      </w:r>
      <w:r w:rsidRPr="000C0942">
        <w:t xml:space="preserve"> </w:t>
      </w:r>
      <w:r>
        <w:t xml:space="preserve">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proofErr w:type="spellStart"/>
      <w:r>
        <w:t>Hern</w:t>
      </w:r>
      <w:proofErr w:type="spellEnd"/>
      <w:r>
        <w:rPr>
          <w:lang w:val="cs-CZ"/>
        </w:rPr>
        <w:t xml:space="preserve">án Quezada, Vasilka Sancin, </w:t>
      </w:r>
      <w:r w:rsidRPr="0098434E">
        <w:t xml:space="preserve">José Manuel </w:t>
      </w:r>
      <w:r>
        <w:t xml:space="preserve">Santos </w:t>
      </w:r>
      <w:proofErr w:type="spellStart"/>
      <w:r>
        <w:t>Pais</w:t>
      </w:r>
      <w:proofErr w:type="spellEnd"/>
      <w:r>
        <w:t xml:space="preserve">, Yuval </w:t>
      </w:r>
      <w:proofErr w:type="spellStart"/>
      <w:r>
        <w:t>Shany</w:t>
      </w:r>
      <w:proofErr w:type="spellEnd"/>
      <w:r>
        <w:t xml:space="preserve">, Hélène </w:t>
      </w:r>
      <w:proofErr w:type="spellStart"/>
      <w:r>
        <w:t>Tigroudja</w:t>
      </w:r>
      <w:proofErr w:type="spellEnd"/>
      <w:r>
        <w:t xml:space="preserve">, Andreas Zimmermann and Gentian </w:t>
      </w:r>
      <w:proofErr w:type="spellStart"/>
      <w:r>
        <w:t>Zyberi</w:t>
      </w:r>
      <w:proofErr w:type="spellEnd"/>
    </w:p>
  </w:footnote>
  <w:footnote w:id="3">
    <w:p w14:paraId="1B7E40D4" w14:textId="539CF476" w:rsidR="007D2DF9" w:rsidRPr="00770252" w:rsidRDefault="007D2DF9" w:rsidP="00BC4020">
      <w:pPr>
        <w:pStyle w:val="FootnoteText"/>
        <w:rPr>
          <w:lang w:val="en-US"/>
        </w:rPr>
      </w:pPr>
      <w:r>
        <w:rPr>
          <w:rStyle w:val="FootnoteReference"/>
        </w:rPr>
        <w:tab/>
      </w:r>
      <w:r w:rsidRPr="00BC4020">
        <w:rPr>
          <w:rStyle w:val="FootnoteReference"/>
          <w:sz w:val="20"/>
          <w:vertAlign w:val="baseline"/>
        </w:rPr>
        <w:t>***</w:t>
      </w:r>
      <w:r>
        <w:rPr>
          <w:rStyle w:val="FootnoteReference"/>
          <w:sz w:val="20"/>
          <w:vertAlign w:val="baseline"/>
        </w:rPr>
        <w:tab/>
      </w:r>
      <w:r>
        <w:t xml:space="preserve">A joint opinion (partly </w:t>
      </w:r>
      <w:r w:rsidRPr="00DA15D8">
        <w:t>dissenting</w:t>
      </w:r>
      <w:r w:rsidRPr="00B043A4">
        <w:t xml:space="preserve">) by Committee members </w:t>
      </w:r>
      <w:proofErr w:type="spellStart"/>
      <w:r w:rsidRPr="00DA15D8">
        <w:t>Arif</w:t>
      </w:r>
      <w:proofErr w:type="spellEnd"/>
      <w:r w:rsidRPr="00DA15D8">
        <w:t xml:space="preserve"> </w:t>
      </w:r>
      <w:proofErr w:type="spellStart"/>
      <w:r w:rsidRPr="00DA15D8">
        <w:t>Bulkan</w:t>
      </w:r>
      <w:proofErr w:type="spellEnd"/>
      <w:r w:rsidRPr="00DA15D8">
        <w:t xml:space="preserve">, Hélène </w:t>
      </w:r>
      <w:proofErr w:type="spellStart"/>
      <w:r w:rsidRPr="00DA15D8">
        <w:t>Tigroudja</w:t>
      </w:r>
      <w:proofErr w:type="spellEnd"/>
      <w:r w:rsidRPr="00DA15D8">
        <w:t>,</w:t>
      </w:r>
      <w:r w:rsidRPr="0057722D">
        <w:t xml:space="preserve"> </w:t>
      </w:r>
      <w:r w:rsidRPr="00DA15D8">
        <w:t xml:space="preserve">Andreas Zimmermann and Gentian </w:t>
      </w:r>
      <w:proofErr w:type="spellStart"/>
      <w:r w:rsidRPr="00DA15D8">
        <w:t>Zyberi</w:t>
      </w:r>
      <w:proofErr w:type="spellEnd"/>
      <w:r w:rsidRPr="007D2DF9">
        <w:t xml:space="preserve"> </w:t>
      </w:r>
      <w:r w:rsidR="009928AD">
        <w:t>is</w:t>
      </w:r>
      <w:r>
        <w:t xml:space="preserve"> </w:t>
      </w:r>
      <w:r w:rsidRPr="00B043A4">
        <w:t xml:space="preserve">annexed to the present </w:t>
      </w:r>
      <w:r>
        <w:t>Views</w:t>
      </w:r>
    </w:p>
    <w:p w14:paraId="14D08A93" w14:textId="1CFCD9A7" w:rsidR="007D2DF9" w:rsidRPr="007D2DF9" w:rsidRDefault="007D2DF9">
      <w:pPr>
        <w:pStyle w:val="FootnoteText"/>
      </w:pPr>
    </w:p>
  </w:footnote>
  <w:footnote w:id="4">
    <w:p w14:paraId="467A48D1" w14:textId="591C094A" w:rsidR="00C34F56" w:rsidRPr="002128B2" w:rsidRDefault="008E035B" w:rsidP="002128B2">
      <w:pPr>
        <w:pStyle w:val="FootnoteText"/>
      </w:pPr>
      <w:r>
        <w:tab/>
      </w:r>
      <w:r w:rsidR="00C34F56">
        <w:rPr>
          <w:rStyle w:val="FootnoteReference"/>
        </w:rPr>
        <w:footnoteRef/>
      </w:r>
      <w:r>
        <w:tab/>
      </w:r>
      <w:r w:rsidR="00C34F56">
        <w:t>Counsel submitted a copy of Mr. Ivanov’s death certificate.</w:t>
      </w:r>
      <w:r w:rsidR="00C34F56" w:rsidRPr="002128B2">
        <w:t xml:space="preserve"> </w:t>
      </w:r>
      <w:r w:rsidR="00C34F56">
        <w:t>At that time, t</w:t>
      </w:r>
      <w:r w:rsidR="00C34F56" w:rsidRPr="002128B2">
        <w:t>he Committee issued a press release deploring the situation and condemning the execution.</w:t>
      </w:r>
    </w:p>
  </w:footnote>
  <w:footnote w:id="5">
    <w:p w14:paraId="5C484E4B" w14:textId="3A5DC436" w:rsidR="00C34F56" w:rsidRDefault="008E035B">
      <w:pPr>
        <w:pStyle w:val="FootnoteText"/>
      </w:pPr>
      <w:r>
        <w:tab/>
      </w:r>
      <w:r w:rsidR="00C34F56">
        <w:rPr>
          <w:rStyle w:val="FootnoteReference"/>
        </w:rPr>
        <w:footnoteRef/>
      </w:r>
      <w:r>
        <w:tab/>
      </w:r>
      <w:r w:rsidR="00C34F56">
        <w:t>At the time of the submission of the communication, the application was still pending.</w:t>
      </w:r>
    </w:p>
  </w:footnote>
  <w:footnote w:id="6">
    <w:p w14:paraId="119DD3C0" w14:textId="2CBDBCFB" w:rsidR="00C34F56" w:rsidRPr="006B524E" w:rsidRDefault="008E035B">
      <w:pPr>
        <w:pStyle w:val="FootnoteText"/>
        <w:rPr>
          <w:lang w:val="bg-BG"/>
        </w:rPr>
      </w:pPr>
      <w:r>
        <w:tab/>
      </w:r>
      <w:r w:rsidR="00C34F56">
        <w:rPr>
          <w:rStyle w:val="FootnoteReference"/>
        </w:rPr>
        <w:footnoteRef/>
      </w:r>
      <w:r>
        <w:tab/>
      </w:r>
      <w:r w:rsidR="00C34F56" w:rsidRPr="008279E4">
        <w:t xml:space="preserve">The clothing bore the Russian letters “ИМН”, an abbreviation for </w:t>
      </w:r>
      <w:proofErr w:type="spellStart"/>
      <w:r w:rsidR="00C34F56" w:rsidRPr="008279E4">
        <w:rPr>
          <w:i/>
          <w:iCs/>
        </w:rPr>
        <w:t>исключительная</w:t>
      </w:r>
      <w:proofErr w:type="spellEnd"/>
      <w:r w:rsidR="00C34F56" w:rsidRPr="008279E4">
        <w:rPr>
          <w:i/>
          <w:iCs/>
        </w:rPr>
        <w:t xml:space="preserve"> </w:t>
      </w:r>
      <w:proofErr w:type="spellStart"/>
      <w:r w:rsidR="00C34F56" w:rsidRPr="008279E4">
        <w:rPr>
          <w:i/>
          <w:iCs/>
        </w:rPr>
        <w:t>мера</w:t>
      </w:r>
      <w:proofErr w:type="spellEnd"/>
      <w:r w:rsidR="00C34F56" w:rsidRPr="008279E4">
        <w:rPr>
          <w:i/>
          <w:iCs/>
        </w:rPr>
        <w:t xml:space="preserve"> </w:t>
      </w:r>
      <w:proofErr w:type="spellStart"/>
      <w:r w:rsidR="00C34F56" w:rsidRPr="008279E4">
        <w:rPr>
          <w:i/>
          <w:iCs/>
        </w:rPr>
        <w:t>наказания</w:t>
      </w:r>
      <w:proofErr w:type="spellEnd"/>
      <w:r w:rsidR="00C34F56" w:rsidRPr="008279E4">
        <w:t xml:space="preserve"> (exceptional measure of punishment). </w:t>
      </w:r>
    </w:p>
  </w:footnote>
  <w:footnote w:id="7">
    <w:p w14:paraId="6ED11FA0" w14:textId="53CB93DD" w:rsidR="00C34F56" w:rsidRDefault="008E035B">
      <w:pPr>
        <w:pStyle w:val="FootnoteText"/>
      </w:pPr>
      <w:r>
        <w:tab/>
      </w:r>
      <w:r w:rsidR="00C34F56">
        <w:rPr>
          <w:rStyle w:val="FootnoteReference"/>
        </w:rPr>
        <w:footnoteRef/>
      </w:r>
      <w:r>
        <w:tab/>
      </w:r>
      <w:r w:rsidR="00C34F56">
        <w:t xml:space="preserve">A position in which the person’s head is placed below the level of the thighs. </w:t>
      </w:r>
    </w:p>
  </w:footnote>
  <w:footnote w:id="8">
    <w:p w14:paraId="1FF736D1" w14:textId="77777777" w:rsidR="00C34F56" w:rsidRPr="00162ED4" w:rsidRDefault="00C34F56" w:rsidP="00EE5152">
      <w:pPr>
        <w:pStyle w:val="FootnoteText"/>
      </w:pPr>
      <w:r>
        <w:tab/>
      </w:r>
      <w:r w:rsidRPr="00162ED4">
        <w:rPr>
          <w:rStyle w:val="FootnoteReference"/>
          <w:szCs w:val="18"/>
        </w:rPr>
        <w:footnoteRef/>
      </w:r>
      <w:r>
        <w:tab/>
        <w:t xml:space="preserve">See </w:t>
      </w:r>
      <w:proofErr w:type="spellStart"/>
      <w:r w:rsidRPr="00162ED4">
        <w:rPr>
          <w:i/>
        </w:rPr>
        <w:t>Iskiyaev</w:t>
      </w:r>
      <w:proofErr w:type="spellEnd"/>
      <w:r w:rsidRPr="00EA1E0C">
        <w:rPr>
          <w:i/>
          <w:iCs/>
        </w:rPr>
        <w:t xml:space="preserve"> v. Uzbekistan </w:t>
      </w:r>
      <w:r w:rsidRPr="00EA1E0C">
        <w:t>(</w:t>
      </w:r>
      <w:r w:rsidRPr="00162ED4">
        <w:t>CCPR/C/95/D/1418/2005</w:t>
      </w:r>
      <w:r w:rsidRPr="00EA1E0C">
        <w:rPr>
          <w:iCs/>
        </w:rPr>
        <w:t>)</w:t>
      </w:r>
      <w:r w:rsidRPr="00EA1E0C">
        <w:t>.</w:t>
      </w:r>
    </w:p>
  </w:footnote>
  <w:footnote w:id="9">
    <w:p w14:paraId="69FEAD4A" w14:textId="40339C65" w:rsidR="00C34F56" w:rsidRPr="00FD2376" w:rsidRDefault="008E035B" w:rsidP="00FD2376">
      <w:pPr>
        <w:pStyle w:val="FootnoteText"/>
      </w:pPr>
      <w:r>
        <w:tab/>
      </w:r>
      <w:r w:rsidR="00C34F56">
        <w:rPr>
          <w:rStyle w:val="FootnoteReference"/>
        </w:rPr>
        <w:footnoteRef/>
      </w:r>
      <w:r>
        <w:tab/>
      </w:r>
      <w:r w:rsidR="00C34F56">
        <w:rPr>
          <w:lang w:val="it-IT"/>
        </w:rPr>
        <w:t>Communications</w:t>
      </w:r>
      <w:r w:rsidR="00C34F56" w:rsidRPr="00FD2376">
        <w:rPr>
          <w:lang w:val="it-IT"/>
        </w:rPr>
        <w:t xml:space="preserve"> No. 4/1977 "Torres Ramirez </w:t>
      </w:r>
      <w:r w:rsidR="00C34F56" w:rsidRPr="00FD2376">
        <w:rPr>
          <w:lang w:val="en-US"/>
        </w:rPr>
        <w:t>v</w:t>
      </w:r>
      <w:r w:rsidR="00C34F56" w:rsidRPr="00FD2376">
        <w:rPr>
          <w:lang w:val="it-IT"/>
        </w:rPr>
        <w:t xml:space="preserve">. Uruguay", No. 836/1998 "Gelazauskas </w:t>
      </w:r>
      <w:r w:rsidR="00C34F56" w:rsidRPr="00FD2376">
        <w:rPr>
          <w:lang w:val="en-US"/>
        </w:rPr>
        <w:t>v.</w:t>
      </w:r>
      <w:r w:rsidR="00C34F56" w:rsidRPr="00FD2376">
        <w:rPr>
          <w:lang w:val="it-IT"/>
        </w:rPr>
        <w:t xml:space="preserve"> Lithuania", No. 1100/2002 "Bandazhevsky </w:t>
      </w:r>
      <w:r w:rsidR="00C34F56" w:rsidRPr="00FD2376">
        <w:rPr>
          <w:lang w:val="en-US"/>
        </w:rPr>
        <w:t xml:space="preserve">v. The Republic of </w:t>
      </w:r>
      <w:r w:rsidR="00C34F56" w:rsidRPr="00FD2376">
        <w:t>Belarus", No. 1344/2005 "</w:t>
      </w:r>
      <w:proofErr w:type="spellStart"/>
      <w:r w:rsidR="00C34F56" w:rsidRPr="00FD2376">
        <w:t>Korolko</w:t>
      </w:r>
      <w:proofErr w:type="spellEnd"/>
      <w:r w:rsidR="00C34F56" w:rsidRPr="00FD2376">
        <w:t xml:space="preserve"> </w:t>
      </w:r>
      <w:r w:rsidR="00C34F56" w:rsidRPr="00FD2376">
        <w:rPr>
          <w:lang w:val="en-US"/>
        </w:rPr>
        <w:t>v</w:t>
      </w:r>
      <w:r w:rsidR="00C34F56" w:rsidRPr="00FD2376">
        <w:t xml:space="preserve">. </w:t>
      </w:r>
      <w:r w:rsidR="00C34F56" w:rsidRPr="00FD2376">
        <w:rPr>
          <w:lang w:val="en-US"/>
        </w:rPr>
        <w:t xml:space="preserve">The </w:t>
      </w:r>
      <w:r w:rsidR="00C34F56" w:rsidRPr="00FD2376">
        <w:rPr>
          <w:lang w:val="it-IT"/>
        </w:rPr>
        <w:t xml:space="preserve">Russian Federation", No. 1449/2006 "Umarov </w:t>
      </w:r>
      <w:r w:rsidR="00C34F56" w:rsidRPr="00FD2376">
        <w:rPr>
          <w:lang w:val="en-US"/>
        </w:rPr>
        <w:t>v</w:t>
      </w:r>
      <w:r w:rsidR="00C34F56" w:rsidRPr="00FD2376">
        <w:rPr>
          <w:lang w:val="de-DE"/>
        </w:rPr>
        <w:t xml:space="preserve">. Uzbekistan", No. 1537/2006 "Yekaterina Gerashchenko </w:t>
      </w:r>
      <w:r w:rsidR="00C34F56" w:rsidRPr="00FD2376">
        <w:rPr>
          <w:lang w:val="en-US"/>
        </w:rPr>
        <w:t>v</w:t>
      </w:r>
      <w:r w:rsidR="00C34F56" w:rsidRPr="00FD2376">
        <w:t>.</w:t>
      </w:r>
      <w:r w:rsidR="00C34F56" w:rsidRPr="00FD2376">
        <w:rPr>
          <w:lang w:val="en-US"/>
        </w:rPr>
        <w:t xml:space="preserve"> The Republic of</w:t>
      </w:r>
      <w:r w:rsidR="00C34F56" w:rsidRPr="00FD2376">
        <w:rPr>
          <w:lang w:val="pt-PT"/>
        </w:rPr>
        <w:t xml:space="preserve"> Belarus", No. 1814/2008 "P. L. </w:t>
      </w:r>
      <w:r w:rsidR="00C34F56" w:rsidRPr="00FD2376">
        <w:rPr>
          <w:lang w:val="en-US"/>
        </w:rPr>
        <w:t xml:space="preserve">v. The Republic of Belarus", No. 1838/2008 "Maria </w:t>
      </w:r>
      <w:proofErr w:type="spellStart"/>
      <w:r w:rsidR="00C34F56" w:rsidRPr="00FD2376">
        <w:rPr>
          <w:lang w:val="en-US"/>
        </w:rPr>
        <w:t>Tulzhe</w:t>
      </w:r>
      <w:r w:rsidR="00C34F56" w:rsidRPr="00FD2376">
        <w:t>nkova</w:t>
      </w:r>
      <w:proofErr w:type="spellEnd"/>
      <w:r w:rsidR="00C34F56" w:rsidRPr="00FD2376">
        <w:t xml:space="preserve"> </w:t>
      </w:r>
      <w:r w:rsidR="00C34F56" w:rsidRPr="00FD2376">
        <w:rPr>
          <w:lang w:val="en-US"/>
        </w:rPr>
        <w:t>v. The Republic of Belarus”</w:t>
      </w:r>
      <w:r w:rsidR="00C34F56" w:rsidRPr="00FD2376">
        <w:t>.</w:t>
      </w:r>
    </w:p>
  </w:footnote>
  <w:footnote w:id="10">
    <w:p w14:paraId="6A4AE704" w14:textId="32DF996C" w:rsidR="00C34F56" w:rsidRDefault="008E035B">
      <w:pPr>
        <w:pStyle w:val="FootnoteText"/>
      </w:pPr>
      <w:r>
        <w:tab/>
      </w:r>
      <w:r w:rsidR="00C34F56">
        <w:rPr>
          <w:rStyle w:val="FootnoteReference"/>
        </w:rPr>
        <w:footnoteRef/>
      </w:r>
      <w:r>
        <w:tab/>
      </w:r>
      <w:r w:rsidR="00C34F56">
        <w:t>General Comment No. 32 on article 14 of the Covenant, para.50.</w:t>
      </w:r>
    </w:p>
  </w:footnote>
  <w:footnote w:id="11">
    <w:p w14:paraId="568D7D50" w14:textId="05D87643" w:rsidR="00C34F56" w:rsidRPr="00EA1E0C" w:rsidRDefault="008E035B">
      <w:pPr>
        <w:pStyle w:val="FootnoteText"/>
        <w:rPr>
          <w:lang w:val="es-ES"/>
        </w:rPr>
      </w:pPr>
      <w:r>
        <w:tab/>
      </w:r>
      <w:r w:rsidR="00C34F56">
        <w:rPr>
          <w:rStyle w:val="FootnoteReference"/>
        </w:rPr>
        <w:footnoteRef/>
      </w:r>
      <w:r w:rsidRPr="00EA1E0C">
        <w:rPr>
          <w:lang w:val="es-ES"/>
        </w:rPr>
        <w:tab/>
      </w:r>
      <w:proofErr w:type="spellStart"/>
      <w:r w:rsidR="00C34F56" w:rsidRPr="00EA1E0C">
        <w:rPr>
          <w:lang w:val="es-ES"/>
        </w:rPr>
        <w:t>Communications</w:t>
      </w:r>
      <w:proofErr w:type="spellEnd"/>
      <w:r w:rsidR="00C34F56" w:rsidRPr="00EA1E0C">
        <w:rPr>
          <w:lang w:val="es-ES"/>
        </w:rPr>
        <w:t xml:space="preserve"> </w:t>
      </w:r>
      <w:r w:rsidR="00C34F56" w:rsidRPr="001B7E99">
        <w:rPr>
          <w:lang w:val="it-IT"/>
        </w:rPr>
        <w:t>No. 1033/2001</w:t>
      </w:r>
      <w:r w:rsidR="00C34F56">
        <w:rPr>
          <w:lang w:val="it-IT"/>
        </w:rPr>
        <w:t xml:space="preserve">, </w:t>
      </w:r>
      <w:r w:rsidR="00C34F56" w:rsidRPr="001B7E99">
        <w:rPr>
          <w:lang w:val="pt-PT"/>
        </w:rPr>
        <w:t xml:space="preserve">Sinharasa </w:t>
      </w:r>
      <w:r w:rsidR="00C34F56" w:rsidRPr="00EA1E0C">
        <w:rPr>
          <w:lang w:val="es-ES"/>
        </w:rPr>
        <w:t>v</w:t>
      </w:r>
      <w:r w:rsidR="00C34F56">
        <w:rPr>
          <w:lang w:val="it-IT"/>
        </w:rPr>
        <w:t xml:space="preserve">. Sri Lanka; </w:t>
      </w:r>
      <w:r w:rsidR="00C34F56" w:rsidRPr="00EA1E0C">
        <w:rPr>
          <w:lang w:val="es-ES"/>
        </w:rPr>
        <w:t>No. 1132/2002,</w:t>
      </w:r>
      <w:r w:rsidR="00C34F56" w:rsidRPr="001B7E99">
        <w:rPr>
          <w:lang w:val="it-IT"/>
        </w:rPr>
        <w:t xml:space="preserve"> Chisanga </w:t>
      </w:r>
      <w:r w:rsidR="00C34F56" w:rsidRPr="00EA1E0C">
        <w:rPr>
          <w:lang w:val="es-ES"/>
        </w:rPr>
        <w:t>v</w:t>
      </w:r>
      <w:r w:rsidR="00C34F56">
        <w:rPr>
          <w:lang w:val="it-IT"/>
        </w:rPr>
        <w:t>. Zambia.</w:t>
      </w:r>
      <w:r w:rsidR="00C34F56" w:rsidRPr="001B7E99">
        <w:rPr>
          <w:lang w:val="it-IT"/>
        </w:rPr>
        <w:t xml:space="preserve"> </w:t>
      </w:r>
    </w:p>
  </w:footnote>
  <w:footnote w:id="12">
    <w:p w14:paraId="0D0D3F61" w14:textId="17EFE9FC" w:rsidR="00C34F56" w:rsidRDefault="008E035B" w:rsidP="00BD76AE">
      <w:pPr>
        <w:pStyle w:val="FootnoteText"/>
      </w:pPr>
      <w:r w:rsidRPr="00EA1E0C">
        <w:rPr>
          <w:lang w:val="es-ES"/>
        </w:rPr>
        <w:tab/>
      </w:r>
      <w:r w:rsidR="00C34F56">
        <w:rPr>
          <w:vertAlign w:val="superscript"/>
        </w:rPr>
        <w:footnoteRef/>
      </w:r>
      <w:r>
        <w:tab/>
      </w:r>
      <w:r w:rsidR="00C34F56">
        <w:rPr>
          <w:lang w:val="en-US"/>
        </w:rPr>
        <w:t xml:space="preserve">Approved by decree of the President of the Republic of Belarus dated 3 December </w:t>
      </w:r>
      <w:r w:rsidR="00C34F56">
        <w:t>1994</w:t>
      </w:r>
      <w:r w:rsidR="00C34F56">
        <w:rPr>
          <w:lang w:val="en-US"/>
        </w:rPr>
        <w:t>.</w:t>
      </w:r>
      <w:r w:rsidR="00C34F56">
        <w:t xml:space="preserve"> </w:t>
      </w:r>
    </w:p>
  </w:footnote>
  <w:footnote w:id="13">
    <w:p w14:paraId="5045337F" w14:textId="662012FC" w:rsidR="00C34F56" w:rsidRDefault="008E035B" w:rsidP="00BD76AE">
      <w:pPr>
        <w:pStyle w:val="FootnoteText"/>
      </w:pPr>
      <w:r>
        <w:tab/>
      </w:r>
      <w:r w:rsidR="00C34F56">
        <w:rPr>
          <w:vertAlign w:val="superscript"/>
        </w:rPr>
        <w:footnoteRef/>
      </w:r>
      <w:r>
        <w:tab/>
      </w:r>
      <w:r w:rsidR="00C34F56">
        <w:rPr>
          <w:lang w:val="en-US"/>
        </w:rPr>
        <w:t>The Belarusian Helsinki Committee has repeatedly made such a request, but its approval was denied.</w:t>
      </w:r>
    </w:p>
  </w:footnote>
  <w:footnote w:id="14">
    <w:p w14:paraId="09D55F04" w14:textId="77777777" w:rsidR="00C34F56" w:rsidRPr="00EA1E0C" w:rsidRDefault="00C34F56">
      <w:pPr>
        <w:pStyle w:val="FootnoteText"/>
        <w:rPr>
          <w:lang w:val="es-ES"/>
        </w:rPr>
      </w:pPr>
      <w:r w:rsidRPr="00C104F4">
        <w:tab/>
      </w:r>
      <w:r w:rsidRPr="00C104F4">
        <w:rPr>
          <w:rStyle w:val="FootnoteReference"/>
        </w:rPr>
        <w:footnoteRef/>
      </w:r>
      <w:r w:rsidRPr="00C104F4">
        <w:tab/>
        <w:t xml:space="preserve">See, inter alia, </w:t>
      </w:r>
      <w:proofErr w:type="spellStart"/>
      <w:r w:rsidRPr="00C104F4">
        <w:rPr>
          <w:i/>
          <w:iCs/>
        </w:rPr>
        <w:t>Piandiong</w:t>
      </w:r>
      <w:proofErr w:type="spellEnd"/>
      <w:r w:rsidRPr="00C104F4">
        <w:rPr>
          <w:i/>
          <w:iCs/>
        </w:rPr>
        <w:t xml:space="preserve"> </w:t>
      </w:r>
      <w:r w:rsidRPr="007B7502">
        <w:rPr>
          <w:i/>
        </w:rPr>
        <w:t>v.</w:t>
      </w:r>
      <w:r w:rsidRPr="00C104F4">
        <w:rPr>
          <w:i/>
          <w:iCs/>
        </w:rPr>
        <w:t xml:space="preserve"> Philippines</w:t>
      </w:r>
      <w:r>
        <w:t xml:space="preserve"> (</w:t>
      </w:r>
      <w:r w:rsidRPr="00317BFE">
        <w:t>CCPR/C/70/D/869/1999</w:t>
      </w:r>
      <w:r>
        <w:t>)</w:t>
      </w:r>
      <w:r w:rsidRPr="00C104F4">
        <w:t>, para.</w:t>
      </w:r>
      <w:r>
        <w:t xml:space="preserve"> </w:t>
      </w:r>
      <w:r w:rsidRPr="00C104F4">
        <w:t xml:space="preserve">5.1; </w:t>
      </w:r>
      <w:proofErr w:type="spellStart"/>
      <w:r w:rsidRPr="00C104F4">
        <w:rPr>
          <w:i/>
          <w:iCs/>
        </w:rPr>
        <w:t>Maksudov</w:t>
      </w:r>
      <w:proofErr w:type="spellEnd"/>
      <w:r w:rsidRPr="00C104F4">
        <w:rPr>
          <w:i/>
          <w:iCs/>
        </w:rPr>
        <w:t xml:space="preserve"> </w:t>
      </w:r>
      <w:r w:rsidRPr="007B7502">
        <w:rPr>
          <w:i/>
        </w:rPr>
        <w:t>v.</w:t>
      </w:r>
      <w:r w:rsidRPr="00C104F4">
        <w:rPr>
          <w:i/>
          <w:iCs/>
        </w:rPr>
        <w:t xml:space="preserve"> Kyrgyzstan</w:t>
      </w:r>
      <w:r>
        <w:t xml:space="preserve"> (</w:t>
      </w:r>
      <w:r w:rsidRPr="00317BFE">
        <w:t>CCPR/C/93/D/1461,</w:t>
      </w:r>
      <w:r>
        <w:t xml:space="preserve"> </w:t>
      </w:r>
      <w:r w:rsidRPr="00317BFE">
        <w:t>1</w:t>
      </w:r>
      <w:r>
        <w:t>462, 1476 and</w:t>
      </w:r>
      <w:r w:rsidRPr="00317BFE">
        <w:t xml:space="preserve"> 1477/2006</w:t>
      </w:r>
      <w:r>
        <w:t>)</w:t>
      </w:r>
      <w:r w:rsidRPr="00C104F4">
        <w:t>, paras.</w:t>
      </w:r>
      <w:r>
        <w:t xml:space="preserve"> </w:t>
      </w:r>
      <w:r w:rsidRPr="00C104F4">
        <w:t>10.1</w:t>
      </w:r>
      <w:r>
        <w:t>–</w:t>
      </w:r>
      <w:r w:rsidRPr="00C104F4">
        <w:t xml:space="preserve">10.3; and </w:t>
      </w:r>
      <w:proofErr w:type="spellStart"/>
      <w:r w:rsidRPr="00C104F4">
        <w:rPr>
          <w:i/>
        </w:rPr>
        <w:t>Yuzepchuk</w:t>
      </w:r>
      <w:proofErr w:type="spellEnd"/>
      <w:r w:rsidRPr="00C104F4">
        <w:rPr>
          <w:i/>
        </w:rPr>
        <w:t xml:space="preserve"> v. Belarus</w:t>
      </w:r>
      <w:r>
        <w:rPr>
          <w:i/>
        </w:rPr>
        <w:t xml:space="preserve"> </w:t>
      </w:r>
      <w:r w:rsidRPr="00284C65">
        <w:rPr>
          <w:iCs/>
        </w:rPr>
        <w:t>(CCPR/C/112/D/1906/2009</w:t>
      </w:r>
      <w:r>
        <w:t xml:space="preserve">), </w:t>
      </w:r>
      <w:r w:rsidRPr="00C104F4">
        <w:t xml:space="preserve">para. </w:t>
      </w:r>
      <w:r w:rsidRPr="00EA1E0C">
        <w:rPr>
          <w:lang w:val="es-ES"/>
        </w:rPr>
        <w:t>6.2.</w:t>
      </w:r>
    </w:p>
  </w:footnote>
  <w:footnote w:id="15">
    <w:p w14:paraId="59AAC1B1" w14:textId="77777777" w:rsidR="00C34F56" w:rsidRPr="00EA1E0C" w:rsidRDefault="00C34F56" w:rsidP="00297550">
      <w:pPr>
        <w:pStyle w:val="FootnoteText"/>
        <w:rPr>
          <w:lang w:val="es-ES"/>
        </w:rPr>
      </w:pPr>
      <w:r w:rsidRPr="00EA1E0C">
        <w:rPr>
          <w:lang w:val="es-ES"/>
        </w:rPr>
        <w:tab/>
      </w:r>
      <w:r w:rsidRPr="00C104F4">
        <w:rPr>
          <w:rStyle w:val="FootnoteReference"/>
        </w:rPr>
        <w:footnoteRef/>
      </w:r>
      <w:r w:rsidRPr="00EA1E0C">
        <w:rPr>
          <w:lang w:val="es-ES"/>
        </w:rPr>
        <w:tab/>
      </w:r>
      <w:proofErr w:type="spellStart"/>
      <w:r w:rsidRPr="00EA1E0C">
        <w:rPr>
          <w:lang w:val="es-ES"/>
        </w:rPr>
        <w:t>See</w:t>
      </w:r>
      <w:proofErr w:type="spellEnd"/>
      <w:r w:rsidRPr="00EA1E0C">
        <w:rPr>
          <w:lang w:val="es-ES"/>
        </w:rPr>
        <w:t xml:space="preserve">, inter </w:t>
      </w:r>
      <w:proofErr w:type="spellStart"/>
      <w:r w:rsidRPr="00EA1E0C">
        <w:rPr>
          <w:lang w:val="es-ES"/>
        </w:rPr>
        <w:t>alia</w:t>
      </w:r>
      <w:proofErr w:type="spellEnd"/>
      <w:r w:rsidRPr="00EA1E0C">
        <w:rPr>
          <w:lang w:val="es-ES"/>
        </w:rPr>
        <w:t xml:space="preserve">, </w:t>
      </w:r>
      <w:proofErr w:type="spellStart"/>
      <w:r w:rsidRPr="00EA1E0C">
        <w:rPr>
          <w:i/>
          <w:iCs/>
          <w:lang w:val="es-ES"/>
        </w:rPr>
        <w:t>Idieva</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Tajikistan</w:t>
      </w:r>
      <w:proofErr w:type="spellEnd"/>
      <w:r w:rsidRPr="00EA1E0C">
        <w:rPr>
          <w:lang w:val="es-ES"/>
        </w:rPr>
        <w:t xml:space="preserve"> (CCPR/C/95/D/1276/2004), para. 7.3; and </w:t>
      </w:r>
      <w:proofErr w:type="spellStart"/>
      <w:r w:rsidRPr="00EA1E0C">
        <w:rPr>
          <w:i/>
          <w:iCs/>
          <w:lang w:val="es-ES"/>
        </w:rPr>
        <w:t>Kovaleva</w:t>
      </w:r>
      <w:proofErr w:type="spellEnd"/>
      <w:r w:rsidRPr="00EA1E0C">
        <w:rPr>
          <w:i/>
          <w:iCs/>
          <w:lang w:val="es-ES"/>
        </w:rPr>
        <w:t xml:space="preserve"> and </w:t>
      </w:r>
      <w:proofErr w:type="spellStart"/>
      <w:r w:rsidRPr="00EA1E0C">
        <w:rPr>
          <w:i/>
          <w:iCs/>
          <w:lang w:val="es-ES"/>
        </w:rPr>
        <w:t>Kozyar</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Belarus</w:t>
      </w:r>
      <w:proofErr w:type="spellEnd"/>
      <w:r w:rsidRPr="00EA1E0C">
        <w:rPr>
          <w:lang w:val="es-ES"/>
        </w:rPr>
        <w:t xml:space="preserve"> (CCPR/C/106/D/2120/2011), para. 9.4.</w:t>
      </w:r>
    </w:p>
  </w:footnote>
  <w:footnote w:id="16">
    <w:p w14:paraId="06D587B5" w14:textId="77777777" w:rsidR="00C34F56" w:rsidRPr="00EA1E0C" w:rsidRDefault="00C34F56" w:rsidP="00297550">
      <w:pPr>
        <w:pStyle w:val="FootnoteText"/>
        <w:rPr>
          <w:lang w:val="es-ES"/>
        </w:rPr>
      </w:pPr>
      <w:r w:rsidRPr="00EA1E0C">
        <w:rPr>
          <w:lang w:val="es-ES"/>
        </w:rPr>
        <w:tab/>
      </w:r>
      <w:r w:rsidRPr="00C104F4">
        <w:rPr>
          <w:rStyle w:val="FootnoteReference"/>
        </w:rPr>
        <w:footnoteRef/>
      </w:r>
      <w:r w:rsidRPr="00EA1E0C">
        <w:rPr>
          <w:lang w:val="es-ES"/>
        </w:rPr>
        <w:tab/>
      </w:r>
      <w:proofErr w:type="spellStart"/>
      <w:r w:rsidRPr="00EA1E0C">
        <w:rPr>
          <w:lang w:val="es-ES"/>
        </w:rPr>
        <w:t>See</w:t>
      </w:r>
      <w:proofErr w:type="spellEnd"/>
      <w:r w:rsidRPr="00EA1E0C">
        <w:rPr>
          <w:lang w:val="es-ES"/>
        </w:rPr>
        <w:t xml:space="preserve">, inter </w:t>
      </w:r>
      <w:proofErr w:type="spellStart"/>
      <w:r w:rsidRPr="00EA1E0C">
        <w:rPr>
          <w:lang w:val="es-ES"/>
        </w:rPr>
        <w:t>alia</w:t>
      </w:r>
      <w:proofErr w:type="spellEnd"/>
      <w:r w:rsidRPr="00EA1E0C">
        <w:rPr>
          <w:lang w:val="es-ES"/>
        </w:rPr>
        <w:t xml:space="preserve">, </w:t>
      </w:r>
      <w:proofErr w:type="spellStart"/>
      <w:r w:rsidRPr="00EA1E0C">
        <w:rPr>
          <w:i/>
          <w:iCs/>
          <w:lang w:val="es-ES"/>
        </w:rPr>
        <w:t>Saidova</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Tajikistan</w:t>
      </w:r>
      <w:proofErr w:type="spellEnd"/>
      <w:r w:rsidRPr="00EA1E0C">
        <w:rPr>
          <w:lang w:val="es-ES"/>
        </w:rPr>
        <w:t xml:space="preserve"> (CCPR/C/81/D/964/2001), para. 4.4; </w:t>
      </w:r>
      <w:proofErr w:type="spellStart"/>
      <w:r w:rsidRPr="00EA1E0C">
        <w:rPr>
          <w:i/>
          <w:iCs/>
          <w:lang w:val="es-ES"/>
        </w:rPr>
        <w:t>Tolipkhuzhaev</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Uzbekistan</w:t>
      </w:r>
      <w:proofErr w:type="spellEnd"/>
      <w:r w:rsidRPr="00EA1E0C">
        <w:rPr>
          <w:lang w:val="es-ES"/>
        </w:rPr>
        <w:t xml:space="preserve"> (CCPR/C/96/D/1280/2004), para. 6.4; and </w:t>
      </w:r>
      <w:proofErr w:type="spellStart"/>
      <w:r w:rsidRPr="00EA1E0C">
        <w:rPr>
          <w:i/>
          <w:iCs/>
          <w:lang w:val="es-ES"/>
        </w:rPr>
        <w:t>Kovaleva</w:t>
      </w:r>
      <w:proofErr w:type="spellEnd"/>
      <w:r w:rsidRPr="00EA1E0C">
        <w:rPr>
          <w:i/>
          <w:iCs/>
          <w:lang w:val="es-ES"/>
        </w:rPr>
        <w:t xml:space="preserve"> and </w:t>
      </w:r>
      <w:proofErr w:type="spellStart"/>
      <w:r w:rsidRPr="00EA1E0C">
        <w:rPr>
          <w:i/>
          <w:iCs/>
          <w:lang w:val="es-ES"/>
        </w:rPr>
        <w:t>Kozyar</w:t>
      </w:r>
      <w:proofErr w:type="spellEnd"/>
      <w:r w:rsidRPr="00EA1E0C">
        <w:rPr>
          <w:i/>
          <w:iCs/>
          <w:lang w:val="es-ES"/>
        </w:rPr>
        <w:t xml:space="preserve"> v. </w:t>
      </w:r>
      <w:proofErr w:type="spellStart"/>
      <w:r w:rsidRPr="00EA1E0C">
        <w:rPr>
          <w:i/>
          <w:iCs/>
          <w:lang w:val="es-ES"/>
        </w:rPr>
        <w:t>Belarus</w:t>
      </w:r>
      <w:proofErr w:type="spellEnd"/>
      <w:r w:rsidRPr="00EA1E0C">
        <w:rPr>
          <w:lang w:val="es-ES"/>
        </w:rPr>
        <w:t>, para. 9.5.</w:t>
      </w:r>
    </w:p>
  </w:footnote>
  <w:footnote w:id="17">
    <w:p w14:paraId="48C3ED84" w14:textId="77777777" w:rsidR="00C34F56" w:rsidRPr="00DD4C00" w:rsidRDefault="00C34F56" w:rsidP="00297550">
      <w:pPr>
        <w:pStyle w:val="FootnoteText"/>
      </w:pPr>
      <w:r w:rsidRPr="00EA1E0C">
        <w:rPr>
          <w:lang w:val="es-ES"/>
        </w:rPr>
        <w:tab/>
      </w:r>
      <w:r>
        <w:rPr>
          <w:rStyle w:val="FootnoteReference"/>
        </w:rPr>
        <w:footnoteRef/>
      </w:r>
      <w:r w:rsidRPr="00EA1E0C">
        <w:rPr>
          <w:lang w:val="es-ES"/>
        </w:rPr>
        <w:tab/>
      </w:r>
      <w:proofErr w:type="spellStart"/>
      <w:r w:rsidRPr="00EA1E0C">
        <w:rPr>
          <w:lang w:val="es-ES"/>
        </w:rPr>
        <w:t>See</w:t>
      </w:r>
      <w:proofErr w:type="spellEnd"/>
      <w:r w:rsidRPr="00EA1E0C">
        <w:rPr>
          <w:lang w:val="es-ES"/>
        </w:rPr>
        <w:t xml:space="preserve"> </w:t>
      </w:r>
      <w:proofErr w:type="spellStart"/>
      <w:r w:rsidRPr="00EA1E0C">
        <w:rPr>
          <w:i/>
          <w:lang w:val="es-ES"/>
        </w:rPr>
        <w:t>Gelazauskas</w:t>
      </w:r>
      <w:proofErr w:type="spellEnd"/>
      <w:r w:rsidRPr="00EA1E0C">
        <w:rPr>
          <w:i/>
          <w:lang w:val="es-ES"/>
        </w:rPr>
        <w:t xml:space="preserve"> v. </w:t>
      </w:r>
      <w:proofErr w:type="spellStart"/>
      <w:r w:rsidRPr="00EA1E0C">
        <w:rPr>
          <w:i/>
          <w:lang w:val="es-ES"/>
        </w:rPr>
        <w:t>Lithuania</w:t>
      </w:r>
      <w:proofErr w:type="spellEnd"/>
      <w:r w:rsidRPr="00EA1E0C">
        <w:rPr>
          <w:i/>
          <w:lang w:val="es-ES"/>
        </w:rPr>
        <w:t xml:space="preserve"> </w:t>
      </w:r>
      <w:r w:rsidRPr="00EA1E0C">
        <w:rPr>
          <w:iCs/>
          <w:lang w:val="es-ES"/>
        </w:rPr>
        <w:t>(CCPR/C/77/D/836/1998)</w:t>
      </w:r>
      <w:r w:rsidRPr="00EA1E0C">
        <w:rPr>
          <w:lang w:val="es-ES"/>
        </w:rPr>
        <w:t xml:space="preserve">, para. 7.5; </w:t>
      </w:r>
      <w:proofErr w:type="spellStart"/>
      <w:r w:rsidRPr="00EA1E0C">
        <w:rPr>
          <w:i/>
          <w:iCs/>
          <w:lang w:val="es-ES"/>
        </w:rPr>
        <w:t>Sekerko</w:t>
      </w:r>
      <w:proofErr w:type="spellEnd"/>
      <w:r w:rsidRPr="00EA1E0C">
        <w:rPr>
          <w:i/>
          <w:iCs/>
          <w:lang w:val="es-ES"/>
        </w:rPr>
        <w:t xml:space="preserve"> v. </w:t>
      </w:r>
      <w:proofErr w:type="spellStart"/>
      <w:r w:rsidRPr="00EA1E0C">
        <w:rPr>
          <w:i/>
          <w:iCs/>
          <w:lang w:val="es-ES"/>
        </w:rPr>
        <w:t>Belarus</w:t>
      </w:r>
      <w:proofErr w:type="spellEnd"/>
      <w:r w:rsidRPr="00EA1E0C">
        <w:rPr>
          <w:i/>
          <w:iCs/>
          <w:lang w:val="es-ES"/>
        </w:rPr>
        <w:t xml:space="preserve"> </w:t>
      </w:r>
      <w:r w:rsidRPr="00EA1E0C">
        <w:rPr>
          <w:lang w:val="es-ES"/>
        </w:rPr>
        <w:t xml:space="preserve">(CCPR/C/109/D/1851/2008), para. 8.3; </w:t>
      </w:r>
      <w:proofErr w:type="spellStart"/>
      <w:r w:rsidRPr="00EA1E0C">
        <w:rPr>
          <w:i/>
          <w:lang w:val="es-ES"/>
        </w:rPr>
        <w:t>Protsko</w:t>
      </w:r>
      <w:proofErr w:type="spellEnd"/>
      <w:r w:rsidRPr="00EA1E0C">
        <w:rPr>
          <w:i/>
          <w:lang w:val="es-ES"/>
        </w:rPr>
        <w:t xml:space="preserve"> and </w:t>
      </w:r>
      <w:proofErr w:type="spellStart"/>
      <w:r w:rsidRPr="00EA1E0C">
        <w:rPr>
          <w:i/>
          <w:lang w:val="es-ES"/>
        </w:rPr>
        <w:t>Tolchin</w:t>
      </w:r>
      <w:proofErr w:type="spellEnd"/>
      <w:r w:rsidRPr="00EA1E0C">
        <w:rPr>
          <w:i/>
          <w:lang w:val="es-ES"/>
        </w:rPr>
        <w:t xml:space="preserve"> v. </w:t>
      </w:r>
      <w:proofErr w:type="spellStart"/>
      <w:r w:rsidRPr="00EA1E0C">
        <w:rPr>
          <w:i/>
          <w:lang w:val="es-ES"/>
        </w:rPr>
        <w:t>Belarus</w:t>
      </w:r>
      <w:proofErr w:type="spellEnd"/>
      <w:r w:rsidRPr="00EA1E0C">
        <w:rPr>
          <w:iCs/>
          <w:lang w:val="es-ES"/>
        </w:rPr>
        <w:t xml:space="preserve"> (CCPR/C/109/D/1919-1920/2009)</w:t>
      </w:r>
      <w:r w:rsidRPr="00EA1E0C">
        <w:rPr>
          <w:lang w:val="es-ES"/>
        </w:rPr>
        <w:t xml:space="preserve">, para. 6.5; </w:t>
      </w:r>
      <w:proofErr w:type="spellStart"/>
      <w:r w:rsidRPr="00EA1E0C">
        <w:rPr>
          <w:i/>
          <w:lang w:val="es-ES"/>
        </w:rPr>
        <w:t>Schumilin</w:t>
      </w:r>
      <w:proofErr w:type="spellEnd"/>
      <w:r w:rsidRPr="00EA1E0C">
        <w:rPr>
          <w:i/>
          <w:lang w:val="es-ES"/>
        </w:rPr>
        <w:t xml:space="preserve"> v. </w:t>
      </w:r>
      <w:proofErr w:type="spellStart"/>
      <w:r w:rsidRPr="00EA1E0C">
        <w:rPr>
          <w:i/>
          <w:lang w:val="es-ES"/>
        </w:rPr>
        <w:t>Belarus</w:t>
      </w:r>
      <w:proofErr w:type="spellEnd"/>
      <w:r w:rsidRPr="00EA1E0C">
        <w:rPr>
          <w:iCs/>
          <w:lang w:val="es-ES"/>
        </w:rPr>
        <w:t xml:space="preserve"> (CCPR/C/105/D/1784/2008)</w:t>
      </w:r>
      <w:r w:rsidRPr="00EA1E0C">
        <w:rPr>
          <w:lang w:val="es-ES"/>
        </w:rPr>
        <w:t xml:space="preserve">, para. 8.3; </w:t>
      </w:r>
      <w:r w:rsidRPr="00EA1E0C">
        <w:rPr>
          <w:i/>
          <w:lang w:val="es-ES"/>
        </w:rPr>
        <w:t xml:space="preserve">P.L. v. </w:t>
      </w:r>
      <w:proofErr w:type="spellStart"/>
      <w:r w:rsidRPr="00EA1E0C">
        <w:rPr>
          <w:i/>
          <w:lang w:val="es-ES"/>
        </w:rPr>
        <w:t>Belarus</w:t>
      </w:r>
      <w:proofErr w:type="spellEnd"/>
      <w:r w:rsidRPr="00EA1E0C">
        <w:rPr>
          <w:iCs/>
          <w:lang w:val="es-ES"/>
        </w:rPr>
        <w:t xml:space="preserve"> (CCPR/C/102/D/1814/2008)</w:t>
      </w:r>
      <w:r w:rsidRPr="00EA1E0C">
        <w:rPr>
          <w:lang w:val="es-ES"/>
        </w:rPr>
        <w:t xml:space="preserve">, para. 6.2; </w:t>
      </w:r>
      <w:r w:rsidRPr="00EA1E0C">
        <w:rPr>
          <w:i/>
          <w:lang w:val="es-ES"/>
        </w:rPr>
        <w:t xml:space="preserve">E.Z. v. </w:t>
      </w:r>
      <w:proofErr w:type="spellStart"/>
      <w:r w:rsidRPr="00EA1E0C">
        <w:rPr>
          <w:i/>
          <w:lang w:val="es-ES"/>
        </w:rPr>
        <w:t>Kazakhstan</w:t>
      </w:r>
      <w:proofErr w:type="spellEnd"/>
      <w:r w:rsidRPr="00EA1E0C">
        <w:rPr>
          <w:iCs/>
          <w:lang w:val="es-ES"/>
        </w:rPr>
        <w:t xml:space="preserve"> (CCPR/C/113/D/2021/2010)</w:t>
      </w:r>
      <w:r w:rsidRPr="00EA1E0C">
        <w:rPr>
          <w:lang w:val="es-ES"/>
        </w:rPr>
        <w:t>, para. 7.3;</w:t>
      </w:r>
      <w:r w:rsidRPr="00EA1E0C">
        <w:rPr>
          <w:szCs w:val="18"/>
          <w:lang w:val="es-ES"/>
        </w:rPr>
        <w:t xml:space="preserve"> </w:t>
      </w:r>
      <w:proofErr w:type="spellStart"/>
      <w:r w:rsidRPr="00EA1E0C">
        <w:rPr>
          <w:i/>
          <w:szCs w:val="18"/>
          <w:lang w:val="es-ES"/>
        </w:rPr>
        <w:t>Alekseev</w:t>
      </w:r>
      <w:proofErr w:type="spellEnd"/>
      <w:r w:rsidRPr="00EA1E0C">
        <w:rPr>
          <w:i/>
          <w:szCs w:val="18"/>
          <w:lang w:val="es-ES"/>
        </w:rPr>
        <w:t xml:space="preserve"> v. </w:t>
      </w:r>
      <w:proofErr w:type="spellStart"/>
      <w:r w:rsidRPr="00EA1E0C">
        <w:rPr>
          <w:i/>
          <w:szCs w:val="18"/>
          <w:lang w:val="es-ES"/>
        </w:rPr>
        <w:t>Russian</w:t>
      </w:r>
      <w:proofErr w:type="spellEnd"/>
      <w:r w:rsidRPr="00EA1E0C">
        <w:rPr>
          <w:i/>
          <w:szCs w:val="18"/>
          <w:lang w:val="es-ES"/>
        </w:rPr>
        <w:t xml:space="preserve"> </w:t>
      </w:r>
      <w:proofErr w:type="spellStart"/>
      <w:r w:rsidRPr="00EA1E0C">
        <w:rPr>
          <w:i/>
          <w:szCs w:val="18"/>
          <w:lang w:val="es-ES"/>
        </w:rPr>
        <w:t>Federation</w:t>
      </w:r>
      <w:proofErr w:type="spellEnd"/>
      <w:r w:rsidRPr="00EA1E0C">
        <w:rPr>
          <w:szCs w:val="18"/>
          <w:lang w:val="es-ES"/>
        </w:rPr>
        <w:t xml:space="preserve"> (CCPR/C/109/D/1873/2009), para. 8.4</w:t>
      </w:r>
      <w:proofErr w:type="gramStart"/>
      <w:r w:rsidRPr="00EA1E0C">
        <w:rPr>
          <w:szCs w:val="18"/>
          <w:lang w:val="es-ES"/>
        </w:rPr>
        <w:t xml:space="preserve">;  </w:t>
      </w:r>
      <w:proofErr w:type="spellStart"/>
      <w:r w:rsidRPr="00EA1E0C">
        <w:rPr>
          <w:i/>
          <w:szCs w:val="18"/>
          <w:lang w:val="es-ES"/>
        </w:rPr>
        <w:t>Dorofeev</w:t>
      </w:r>
      <w:proofErr w:type="spellEnd"/>
      <w:proofErr w:type="gramEnd"/>
      <w:r w:rsidRPr="00EA1E0C">
        <w:rPr>
          <w:i/>
          <w:szCs w:val="18"/>
          <w:lang w:val="es-ES"/>
        </w:rPr>
        <w:t xml:space="preserve"> v. </w:t>
      </w:r>
      <w:proofErr w:type="spellStart"/>
      <w:r w:rsidRPr="00EA1E0C">
        <w:rPr>
          <w:i/>
          <w:szCs w:val="18"/>
          <w:lang w:val="es-ES"/>
        </w:rPr>
        <w:t>Russian</w:t>
      </w:r>
      <w:proofErr w:type="spellEnd"/>
      <w:r w:rsidRPr="00EA1E0C">
        <w:rPr>
          <w:i/>
          <w:szCs w:val="18"/>
          <w:lang w:val="es-ES"/>
        </w:rPr>
        <w:t xml:space="preserve"> </w:t>
      </w:r>
      <w:proofErr w:type="spellStart"/>
      <w:r w:rsidRPr="00EA1E0C">
        <w:rPr>
          <w:i/>
          <w:szCs w:val="18"/>
          <w:lang w:val="es-ES"/>
        </w:rPr>
        <w:t>Federation</w:t>
      </w:r>
      <w:proofErr w:type="spellEnd"/>
      <w:r w:rsidRPr="00EA1E0C">
        <w:rPr>
          <w:i/>
          <w:szCs w:val="18"/>
          <w:lang w:val="es-ES"/>
        </w:rPr>
        <w:t xml:space="preserve"> </w:t>
      </w:r>
      <w:r w:rsidRPr="00EA1E0C">
        <w:rPr>
          <w:iCs/>
          <w:szCs w:val="18"/>
          <w:lang w:val="es-ES"/>
        </w:rPr>
        <w:t>(CCPR/C/111/D/2041/2011)</w:t>
      </w:r>
      <w:r w:rsidRPr="00EA1E0C">
        <w:rPr>
          <w:szCs w:val="18"/>
          <w:lang w:val="es-ES"/>
        </w:rPr>
        <w:t xml:space="preserve">, </w:t>
      </w:r>
      <w:r w:rsidRPr="00EA1E0C">
        <w:rPr>
          <w:lang w:val="es-ES"/>
        </w:rPr>
        <w:t xml:space="preserve">para. </w:t>
      </w:r>
      <w:r w:rsidRPr="00C15B6B">
        <w:t>9.6</w:t>
      </w:r>
      <w:r>
        <w:t xml:space="preserve">; and </w:t>
      </w:r>
      <w:proofErr w:type="spellStart"/>
      <w:r>
        <w:rPr>
          <w:i/>
        </w:rPr>
        <w:t>Aleksandr</w:t>
      </w:r>
      <w:proofErr w:type="spellEnd"/>
      <w:r>
        <w:rPr>
          <w:i/>
        </w:rPr>
        <w:t xml:space="preserve"> </w:t>
      </w:r>
      <w:proofErr w:type="spellStart"/>
      <w:r>
        <w:rPr>
          <w:i/>
        </w:rPr>
        <w:t>Grunov</w:t>
      </w:r>
      <w:proofErr w:type="spellEnd"/>
      <w:r>
        <w:rPr>
          <w:i/>
        </w:rPr>
        <w:t xml:space="preserve"> and Olga </w:t>
      </w:r>
      <w:proofErr w:type="spellStart"/>
      <w:r>
        <w:rPr>
          <w:i/>
        </w:rPr>
        <w:t>Grunova</w:t>
      </w:r>
      <w:proofErr w:type="spellEnd"/>
      <w:r>
        <w:rPr>
          <w:i/>
        </w:rPr>
        <w:t xml:space="preserve"> v. Belarus </w:t>
      </w:r>
      <w:r>
        <w:t>(CCPR/C/123/D/2375/2014) and (CCPR/C/123/D/2690/2015), para. 7.3</w:t>
      </w:r>
      <w:r w:rsidRPr="00C15B6B">
        <w:t>.</w:t>
      </w:r>
      <w:r>
        <w:t xml:space="preserve"> </w:t>
      </w:r>
    </w:p>
  </w:footnote>
  <w:footnote w:id="18">
    <w:p w14:paraId="1F7BB4BA" w14:textId="77777777" w:rsidR="00C34F56" w:rsidRPr="003230F7" w:rsidRDefault="00C34F56" w:rsidP="00297550">
      <w:pPr>
        <w:pStyle w:val="FootnoteText"/>
      </w:pPr>
      <w:r>
        <w:tab/>
      </w:r>
      <w:r>
        <w:rPr>
          <w:rStyle w:val="FootnoteReference"/>
        </w:rPr>
        <w:footnoteRef/>
      </w:r>
      <w:r>
        <w:tab/>
      </w:r>
      <w:r w:rsidRPr="00444A52">
        <w:t xml:space="preserve">See also </w:t>
      </w:r>
      <w:proofErr w:type="spellStart"/>
      <w:r w:rsidRPr="00444A52">
        <w:rPr>
          <w:i/>
        </w:rPr>
        <w:t>Kostenko</w:t>
      </w:r>
      <w:proofErr w:type="spellEnd"/>
      <w:r w:rsidRPr="00444A52">
        <w:rPr>
          <w:i/>
        </w:rPr>
        <w:t xml:space="preserve"> v. Russian Federation</w:t>
      </w:r>
      <w:r>
        <w:rPr>
          <w:i/>
        </w:rPr>
        <w:t xml:space="preserve"> </w:t>
      </w:r>
      <w:r>
        <w:rPr>
          <w:iCs/>
        </w:rPr>
        <w:t>(</w:t>
      </w:r>
      <w:r w:rsidRPr="001B0DAF">
        <w:rPr>
          <w:iCs/>
        </w:rPr>
        <w:t>CCPR/C/115/D/2141/2012</w:t>
      </w:r>
      <w:r>
        <w:rPr>
          <w:iCs/>
        </w:rPr>
        <w:t>)</w:t>
      </w:r>
      <w:r>
        <w:t xml:space="preserve">, para 6.3. </w:t>
      </w:r>
    </w:p>
  </w:footnote>
  <w:footnote w:id="19">
    <w:p w14:paraId="570F941E" w14:textId="0BE506B2" w:rsidR="00C34F56" w:rsidRDefault="008E035B">
      <w:pPr>
        <w:pStyle w:val="FootnoteText"/>
      </w:pPr>
      <w:r>
        <w:rPr>
          <w:lang w:val="en-US"/>
        </w:rPr>
        <w:tab/>
      </w:r>
      <w:r w:rsidR="00C34F56">
        <w:rPr>
          <w:rStyle w:val="FootnoteReference"/>
        </w:rPr>
        <w:footnoteRef/>
      </w:r>
      <w:r>
        <w:rPr>
          <w:lang w:val="en-US"/>
        </w:rPr>
        <w:tab/>
      </w:r>
      <w:r w:rsidR="00C34F56" w:rsidRPr="00011DBB">
        <w:rPr>
          <w:lang w:val="en-US"/>
        </w:rPr>
        <w:t xml:space="preserve">See communications No. 1033/2001, </w:t>
      </w:r>
      <w:proofErr w:type="spellStart"/>
      <w:r w:rsidR="00C34F56" w:rsidRPr="00011DBB">
        <w:rPr>
          <w:i/>
          <w:lang w:val="en-US"/>
        </w:rPr>
        <w:t>Singarasa</w:t>
      </w:r>
      <w:proofErr w:type="spellEnd"/>
      <w:r w:rsidR="00C34F56" w:rsidRPr="00011DBB">
        <w:rPr>
          <w:i/>
          <w:lang w:val="en-US"/>
        </w:rPr>
        <w:t xml:space="preserve"> </w:t>
      </w:r>
      <w:r w:rsidR="00C34F56" w:rsidRPr="00011DBB">
        <w:rPr>
          <w:i/>
          <w:iCs/>
          <w:lang w:val="en-US"/>
        </w:rPr>
        <w:t>v.</w:t>
      </w:r>
      <w:r w:rsidR="00C34F56" w:rsidRPr="00011DBB">
        <w:rPr>
          <w:i/>
          <w:lang w:val="en-US"/>
        </w:rPr>
        <w:t xml:space="preserve"> Sri Lanka</w:t>
      </w:r>
      <w:r w:rsidR="00C34F56" w:rsidRPr="00011DBB">
        <w:rPr>
          <w:lang w:val="en-US"/>
        </w:rPr>
        <w:t xml:space="preserve">, Views adopted on 21 July 2004, para. 6.4; No. 1132/2002, </w:t>
      </w:r>
      <w:proofErr w:type="spellStart"/>
      <w:r w:rsidR="00C34F56" w:rsidRPr="00011DBB">
        <w:rPr>
          <w:i/>
          <w:lang w:val="en-US"/>
        </w:rPr>
        <w:t>Chisanga</w:t>
      </w:r>
      <w:proofErr w:type="spellEnd"/>
      <w:r w:rsidR="00C34F56" w:rsidRPr="00011DBB">
        <w:rPr>
          <w:lang w:val="en-US"/>
        </w:rPr>
        <w:t xml:space="preserve"> </w:t>
      </w:r>
      <w:r w:rsidR="00C34F56" w:rsidRPr="00011DBB">
        <w:rPr>
          <w:i/>
          <w:iCs/>
          <w:lang w:val="en-US"/>
        </w:rPr>
        <w:t>v.</w:t>
      </w:r>
      <w:r w:rsidR="00C34F56" w:rsidRPr="00011DBB">
        <w:rPr>
          <w:lang w:val="en-US"/>
        </w:rPr>
        <w:t xml:space="preserve"> </w:t>
      </w:r>
      <w:r w:rsidR="00C34F56" w:rsidRPr="00011DBB">
        <w:rPr>
          <w:i/>
          <w:lang w:val="en-US"/>
        </w:rPr>
        <w:t>Zambia</w:t>
      </w:r>
      <w:r w:rsidR="00C34F56" w:rsidRPr="00011DBB">
        <w:rPr>
          <w:lang w:val="en-US"/>
        </w:rPr>
        <w:t xml:space="preserve">, Views adopted on 18 October 2005, para. 6.3; and </w:t>
      </w:r>
      <w:proofErr w:type="spellStart"/>
      <w:r w:rsidR="00C34F56" w:rsidRPr="00011DBB">
        <w:rPr>
          <w:i/>
          <w:lang w:val="en-US"/>
        </w:rPr>
        <w:t>Koveleva</w:t>
      </w:r>
      <w:proofErr w:type="spellEnd"/>
      <w:r w:rsidR="00C34F56" w:rsidRPr="00011DBB">
        <w:rPr>
          <w:i/>
          <w:lang w:val="en-US"/>
        </w:rPr>
        <w:t xml:space="preserve"> and </w:t>
      </w:r>
      <w:proofErr w:type="spellStart"/>
      <w:r w:rsidR="00C34F56" w:rsidRPr="00011DBB">
        <w:rPr>
          <w:i/>
          <w:lang w:val="en-US"/>
        </w:rPr>
        <w:t>Kozyar</w:t>
      </w:r>
      <w:proofErr w:type="spellEnd"/>
      <w:r w:rsidR="00C34F56" w:rsidRPr="00011DBB">
        <w:rPr>
          <w:i/>
          <w:lang w:val="en-US"/>
        </w:rPr>
        <w:t xml:space="preserve"> v. Belarus</w:t>
      </w:r>
      <w:r w:rsidR="00C34F56" w:rsidRPr="00011DBB">
        <w:rPr>
          <w:lang w:val="en-US"/>
        </w:rPr>
        <w:t>, para. 10.4</w:t>
      </w:r>
      <w:r w:rsidR="00C34F56">
        <w:rPr>
          <w:lang w:val="en-US"/>
        </w:rPr>
        <w:t xml:space="preserve">; and </w:t>
      </w:r>
      <w:r w:rsidR="00C34F56">
        <w:rPr>
          <w:i/>
          <w:lang w:val="en-US"/>
        </w:rPr>
        <w:t xml:space="preserve">Pavel </w:t>
      </w:r>
      <w:proofErr w:type="spellStart"/>
      <w:r w:rsidR="00C34F56">
        <w:rPr>
          <w:i/>
          <w:lang w:val="en-US"/>
        </w:rPr>
        <w:t>Selyun</w:t>
      </w:r>
      <w:proofErr w:type="spellEnd"/>
      <w:r w:rsidR="00C34F56">
        <w:rPr>
          <w:i/>
          <w:lang w:val="en-US"/>
        </w:rPr>
        <w:t xml:space="preserve"> v. Belarus</w:t>
      </w:r>
      <w:r w:rsidR="00C34F56">
        <w:rPr>
          <w:lang w:val="en-US"/>
        </w:rPr>
        <w:t xml:space="preserve"> (CCPR/C/115/D/2289/2013), para. 6.3</w:t>
      </w:r>
      <w:r w:rsidR="00EA1E0C">
        <w:rPr>
          <w:lang w:val="en-US"/>
        </w:rPr>
        <w:t>.</w:t>
      </w:r>
    </w:p>
  </w:footnote>
  <w:footnote w:id="20">
    <w:p w14:paraId="0BB21925" w14:textId="77777777" w:rsidR="00C34F56" w:rsidRPr="00C104F4" w:rsidRDefault="00C34F56" w:rsidP="00297550">
      <w:pPr>
        <w:pStyle w:val="FootnoteText"/>
      </w:pPr>
      <w:r w:rsidRPr="00C104F4">
        <w:tab/>
      </w:r>
      <w:r w:rsidRPr="00C104F4">
        <w:rPr>
          <w:rStyle w:val="FootnoteReference"/>
        </w:rPr>
        <w:footnoteRef/>
      </w:r>
      <w:r w:rsidRPr="00C104F4">
        <w:tab/>
        <w:t xml:space="preserve">See </w:t>
      </w:r>
      <w:r>
        <w:t xml:space="preserve">the Committee’s </w:t>
      </w:r>
      <w:r w:rsidRPr="00C104F4">
        <w:t>general comment No. 35 (2014)</w:t>
      </w:r>
      <w:r>
        <w:t xml:space="preserve"> on liberty and security of person</w:t>
      </w:r>
      <w:r w:rsidRPr="00C104F4">
        <w:t xml:space="preserve">, para. 33. </w:t>
      </w:r>
    </w:p>
  </w:footnote>
  <w:footnote w:id="21">
    <w:p w14:paraId="33AB9E5D" w14:textId="7382AD5E" w:rsidR="00C34F56" w:rsidRPr="008C4477" w:rsidRDefault="008E035B">
      <w:pPr>
        <w:pStyle w:val="FootnoteText"/>
        <w:rPr>
          <w:rFonts w:eastAsia="MS Mincho"/>
          <w:lang w:eastAsia="ja-JP"/>
        </w:rPr>
      </w:pPr>
      <w:r>
        <w:tab/>
      </w:r>
      <w:r w:rsidR="00C34F56">
        <w:rPr>
          <w:rStyle w:val="FootnoteReference"/>
        </w:rPr>
        <w:footnoteRef/>
      </w:r>
      <w:r>
        <w:tab/>
      </w:r>
      <w:proofErr w:type="gramStart"/>
      <w:r w:rsidR="00C34F56" w:rsidRPr="008C4477">
        <w:rPr>
          <w:rFonts w:eastAsia="MS Mincho"/>
          <w:i/>
          <w:lang w:eastAsia="ja-JP"/>
        </w:rPr>
        <w:t>Ibid.</w:t>
      </w:r>
      <w:r w:rsidR="00C34F56">
        <w:rPr>
          <w:rFonts w:eastAsia="MS Mincho"/>
          <w:lang w:eastAsia="ja-JP"/>
        </w:rPr>
        <w:t>,</w:t>
      </w:r>
      <w:proofErr w:type="gramEnd"/>
      <w:r w:rsidR="00C34F56">
        <w:rPr>
          <w:rFonts w:eastAsia="MS Mincho"/>
          <w:lang w:eastAsia="ja-JP"/>
        </w:rPr>
        <w:t xml:space="preserve"> para. 32.</w:t>
      </w:r>
    </w:p>
  </w:footnote>
  <w:footnote w:id="22">
    <w:p w14:paraId="4A7B568A" w14:textId="431AE50D" w:rsidR="00C34F56" w:rsidRPr="00C104F4" w:rsidRDefault="00C34F56" w:rsidP="00297550">
      <w:pPr>
        <w:pStyle w:val="FootnoteText"/>
      </w:pPr>
      <w:r w:rsidRPr="00C104F4">
        <w:tab/>
      </w:r>
      <w:r w:rsidRPr="00C104F4">
        <w:rPr>
          <w:rStyle w:val="FootnoteReference"/>
        </w:rPr>
        <w:footnoteRef/>
      </w:r>
      <w:r w:rsidRPr="00C104F4">
        <w:tab/>
      </w:r>
      <w:r>
        <w:t>G</w:t>
      </w:r>
      <w:r w:rsidRPr="00C104F4">
        <w:t>eneral comment No. 3</w:t>
      </w:r>
      <w:r>
        <w:t xml:space="preserve">2 (2007), para. 30. </w:t>
      </w:r>
      <w:r w:rsidRPr="00C104F4">
        <w:t xml:space="preserve"> See </w:t>
      </w:r>
      <w:r>
        <w:t xml:space="preserve">also </w:t>
      </w:r>
      <w:proofErr w:type="spellStart"/>
      <w:r w:rsidRPr="00C104F4">
        <w:rPr>
          <w:i/>
        </w:rPr>
        <w:t>Pustovoit</w:t>
      </w:r>
      <w:proofErr w:type="spellEnd"/>
      <w:r w:rsidRPr="00C104F4">
        <w:rPr>
          <w:i/>
        </w:rPr>
        <w:t xml:space="preserve"> v. Ukraine</w:t>
      </w:r>
      <w:r>
        <w:t xml:space="preserve"> (</w:t>
      </w:r>
      <w:r w:rsidRPr="002B36F0">
        <w:t>CCPR/C/110/D/1405/2005</w:t>
      </w:r>
      <w:r>
        <w:t>)</w:t>
      </w:r>
      <w:r w:rsidRPr="00C104F4">
        <w:t>, para.</w:t>
      </w:r>
      <w:r>
        <w:t xml:space="preserve"> </w:t>
      </w:r>
      <w:r w:rsidRPr="00C104F4">
        <w:t>9.2.</w:t>
      </w:r>
    </w:p>
  </w:footnote>
  <w:footnote w:id="23">
    <w:p w14:paraId="503B6216" w14:textId="17190140" w:rsidR="001C65AE" w:rsidRDefault="001C65AE" w:rsidP="001C65AE">
      <w:pPr>
        <w:pStyle w:val="FootnoteText"/>
      </w:pPr>
      <w:r>
        <w:rPr>
          <w:rStyle w:val="FootnoteReference"/>
        </w:rPr>
        <w:footnoteRef/>
      </w:r>
      <w:r>
        <w:t xml:space="preserve"> General comment No. 36 (2018) on article 6 of the International Covenant on Civil and Political Rights, on the right to life, para. 35 and 41.</w:t>
      </w:r>
    </w:p>
  </w:footnote>
  <w:footnote w:id="24">
    <w:p w14:paraId="0108EE80" w14:textId="264B8488" w:rsidR="00C34F56" w:rsidRDefault="00C34F56" w:rsidP="00CD6C29">
      <w:pPr>
        <w:pStyle w:val="FootnoteText"/>
      </w:pPr>
      <w:r w:rsidRPr="00C104F4">
        <w:tab/>
      </w:r>
      <w:r w:rsidRPr="00C104F4">
        <w:rPr>
          <w:rStyle w:val="FootnoteReference"/>
        </w:rPr>
        <w:footnoteRef/>
      </w:r>
      <w:r w:rsidRPr="00C104F4">
        <w:tab/>
        <w:t>See general comment No.</w:t>
      </w:r>
      <w:r>
        <w:t xml:space="preserve"> </w:t>
      </w:r>
      <w:r w:rsidRPr="00C104F4">
        <w:t>32, para.</w:t>
      </w:r>
      <w:r>
        <w:t xml:space="preserve"> </w:t>
      </w:r>
      <w:r w:rsidRPr="00C104F4">
        <w:t>59</w:t>
      </w:r>
      <w:r>
        <w:t>. See also</w:t>
      </w:r>
      <w:r w:rsidRPr="00C104F4">
        <w:t xml:space="preserve"> </w:t>
      </w:r>
      <w:r w:rsidRPr="00C104F4">
        <w:rPr>
          <w:i/>
          <w:iCs/>
        </w:rPr>
        <w:t xml:space="preserve">Levy </w:t>
      </w:r>
      <w:r w:rsidRPr="007B7502">
        <w:rPr>
          <w:i/>
        </w:rPr>
        <w:t>v.</w:t>
      </w:r>
      <w:r w:rsidRPr="00C104F4">
        <w:rPr>
          <w:i/>
          <w:iCs/>
        </w:rPr>
        <w:t xml:space="preserve"> Jamaica</w:t>
      </w:r>
      <w:r>
        <w:t xml:space="preserve"> (</w:t>
      </w:r>
      <w:r w:rsidRPr="007D39BA">
        <w:t>CCPR/C/64/D/719/1996</w:t>
      </w:r>
      <w:r>
        <w:t>)</w:t>
      </w:r>
      <w:r w:rsidRPr="00C104F4">
        <w:t>, para.</w:t>
      </w:r>
      <w:r>
        <w:t xml:space="preserve"> </w:t>
      </w:r>
      <w:r w:rsidRPr="00EA1E0C">
        <w:rPr>
          <w:lang w:val="es-ES"/>
        </w:rPr>
        <w:t xml:space="preserve">7.3; </w:t>
      </w:r>
      <w:proofErr w:type="spellStart"/>
      <w:r w:rsidRPr="00EA1E0C">
        <w:rPr>
          <w:i/>
          <w:iCs/>
          <w:lang w:val="es-ES"/>
        </w:rPr>
        <w:t>Kurbanov</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Tajikistan</w:t>
      </w:r>
      <w:proofErr w:type="spellEnd"/>
      <w:r w:rsidRPr="00EA1E0C">
        <w:rPr>
          <w:lang w:val="es-ES"/>
        </w:rPr>
        <w:t xml:space="preserve"> (CCPR/C/79/D/1096/2002), para. 7.7; </w:t>
      </w:r>
      <w:proofErr w:type="spellStart"/>
      <w:r w:rsidRPr="00EA1E0C">
        <w:rPr>
          <w:i/>
          <w:iCs/>
          <w:lang w:val="es-ES"/>
        </w:rPr>
        <w:t>Shukurova</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Tajikistan</w:t>
      </w:r>
      <w:proofErr w:type="spellEnd"/>
      <w:r w:rsidRPr="00EA1E0C">
        <w:rPr>
          <w:lang w:val="es-ES"/>
        </w:rPr>
        <w:t xml:space="preserve"> (CCPR/C/86/D/1044/2002), para. 8.6; </w:t>
      </w:r>
      <w:proofErr w:type="spellStart"/>
      <w:r w:rsidRPr="00EA1E0C">
        <w:rPr>
          <w:i/>
          <w:iCs/>
          <w:lang w:val="es-ES"/>
        </w:rPr>
        <w:t>Idieva</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Tajikistan</w:t>
      </w:r>
      <w:proofErr w:type="spellEnd"/>
      <w:r w:rsidRPr="00EA1E0C">
        <w:rPr>
          <w:lang w:val="es-ES"/>
        </w:rPr>
        <w:t xml:space="preserve">, para. 9.7; </w:t>
      </w:r>
      <w:proofErr w:type="spellStart"/>
      <w:r w:rsidRPr="00EA1E0C">
        <w:rPr>
          <w:i/>
          <w:iCs/>
          <w:lang w:val="es-ES"/>
        </w:rPr>
        <w:t>Khoroshenko</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Russian</w:t>
      </w:r>
      <w:proofErr w:type="spellEnd"/>
      <w:r w:rsidRPr="00EA1E0C">
        <w:rPr>
          <w:i/>
          <w:iCs/>
          <w:lang w:val="es-ES"/>
        </w:rPr>
        <w:t xml:space="preserve"> </w:t>
      </w:r>
      <w:proofErr w:type="spellStart"/>
      <w:r w:rsidRPr="00EA1E0C">
        <w:rPr>
          <w:i/>
          <w:iCs/>
          <w:lang w:val="es-ES"/>
        </w:rPr>
        <w:t>Federation</w:t>
      </w:r>
      <w:proofErr w:type="spellEnd"/>
      <w:r w:rsidRPr="00EA1E0C">
        <w:rPr>
          <w:lang w:val="es-ES"/>
        </w:rPr>
        <w:t xml:space="preserve"> (CCPR/C/101/D/1304/2004), para. 9.11; and </w:t>
      </w:r>
      <w:proofErr w:type="spellStart"/>
      <w:r w:rsidRPr="00EA1E0C">
        <w:rPr>
          <w:i/>
          <w:iCs/>
          <w:lang w:val="es-ES"/>
        </w:rPr>
        <w:t>Gunan</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Kyrgyzstan</w:t>
      </w:r>
      <w:proofErr w:type="spellEnd"/>
      <w:r w:rsidRPr="00EA1E0C">
        <w:rPr>
          <w:lang w:val="es-ES"/>
        </w:rPr>
        <w:t xml:space="preserve"> (CCPR/C/102/D/1545/2007), para. </w:t>
      </w:r>
      <w:r w:rsidRPr="00C104F4">
        <w:t>6.5</w:t>
      </w:r>
      <w:r>
        <w:t xml:space="preserve">; and </w:t>
      </w:r>
      <w:proofErr w:type="spellStart"/>
      <w:r w:rsidRPr="00145190">
        <w:rPr>
          <w:i/>
        </w:rPr>
        <w:t>Aleksandr</w:t>
      </w:r>
      <w:proofErr w:type="spellEnd"/>
      <w:r w:rsidRPr="00145190">
        <w:rPr>
          <w:i/>
        </w:rPr>
        <w:t xml:space="preserve"> </w:t>
      </w:r>
      <w:proofErr w:type="spellStart"/>
      <w:r w:rsidRPr="00145190">
        <w:rPr>
          <w:i/>
        </w:rPr>
        <w:t>Grunov</w:t>
      </w:r>
      <w:proofErr w:type="spellEnd"/>
      <w:r w:rsidRPr="00145190">
        <w:rPr>
          <w:i/>
        </w:rPr>
        <w:t xml:space="preserve"> and Olga </w:t>
      </w:r>
      <w:proofErr w:type="spellStart"/>
      <w:r w:rsidRPr="00145190">
        <w:rPr>
          <w:i/>
        </w:rPr>
        <w:t>Grunova</w:t>
      </w:r>
      <w:proofErr w:type="spellEnd"/>
      <w:r w:rsidRPr="00145190">
        <w:rPr>
          <w:i/>
        </w:rPr>
        <w:t xml:space="preserve"> v. Belarus </w:t>
      </w:r>
      <w:r w:rsidRPr="00145190">
        <w:t xml:space="preserve">(CCPR/C/123/D/2375/2014) and (CCPR/C/123/D/2690/2015), para. </w:t>
      </w:r>
      <w:r>
        <w:t>8</w:t>
      </w:r>
      <w:r w:rsidRPr="00145190">
        <w:t>.</w:t>
      </w:r>
      <w:r>
        <w:t>6</w:t>
      </w:r>
      <w:r w:rsidRPr="00C104F4">
        <w:t>.</w:t>
      </w:r>
      <w:r>
        <w:t xml:space="preserve"> </w:t>
      </w:r>
    </w:p>
  </w:footnote>
  <w:footnote w:id="25">
    <w:p w14:paraId="058E029A" w14:textId="355D9CDC" w:rsidR="00897304" w:rsidRDefault="008E035B">
      <w:pPr>
        <w:pStyle w:val="FootnoteText"/>
      </w:pPr>
      <w:r>
        <w:tab/>
      </w:r>
      <w:r w:rsidR="00897304">
        <w:rPr>
          <w:rStyle w:val="FootnoteReference"/>
        </w:rPr>
        <w:footnoteRef/>
      </w:r>
      <w:r>
        <w:tab/>
      </w:r>
      <w:r w:rsidR="00897304">
        <w:t>General comment No.32, para.59.</w:t>
      </w:r>
    </w:p>
  </w:footnote>
  <w:footnote w:id="26">
    <w:p w14:paraId="78B3CB83" w14:textId="79EF6854" w:rsidR="00C34F56" w:rsidRDefault="008E035B">
      <w:pPr>
        <w:pStyle w:val="FootnoteText"/>
      </w:pPr>
      <w:r>
        <w:tab/>
      </w:r>
      <w:r w:rsidR="00C34F56">
        <w:rPr>
          <w:rStyle w:val="FootnoteReference"/>
        </w:rPr>
        <w:footnoteRef/>
      </w:r>
      <w:r>
        <w:tab/>
      </w:r>
      <w:r w:rsidR="00C34F56">
        <w:t>General comment No. 36 (2018) on article 6 of the Covenant, on the right to life, para. 41.</w:t>
      </w:r>
    </w:p>
  </w:footnote>
  <w:footnote w:id="27">
    <w:p w14:paraId="6AB04C9D" w14:textId="77777777" w:rsidR="006324FE" w:rsidRPr="001E55D9" w:rsidRDefault="006324FE" w:rsidP="00BC4020">
      <w:pPr>
        <w:pStyle w:val="FootnoteText"/>
        <w:widowControl w:val="0"/>
      </w:pPr>
      <w:r>
        <w:tab/>
      </w:r>
      <w:r w:rsidRPr="001E55D9">
        <w:rPr>
          <w:rStyle w:val="FootnoteReference"/>
        </w:rPr>
        <w:footnoteRef/>
      </w:r>
      <w:r w:rsidRPr="001E55D9">
        <w:t xml:space="preserve"> </w:t>
      </w:r>
      <w:r w:rsidRPr="001E55D9">
        <w:tab/>
        <w:t xml:space="preserve">Communications No. 704/1996, Shaw v Jamaica, para. 7.3; No. 2252/2013, </w:t>
      </w:r>
      <w:proofErr w:type="spellStart"/>
      <w:r w:rsidRPr="001E55D9">
        <w:t>Khadzhiyev</w:t>
      </w:r>
      <w:proofErr w:type="spellEnd"/>
      <w:r w:rsidRPr="001E55D9">
        <w:t xml:space="preserve"> and </w:t>
      </w:r>
      <w:proofErr w:type="spellStart"/>
      <w:r w:rsidRPr="001E55D9">
        <w:t>Muradova</w:t>
      </w:r>
      <w:proofErr w:type="spellEnd"/>
      <w:r w:rsidRPr="001E55D9">
        <w:t xml:space="preserve"> v Turkmenistan, para. 7.8.</w:t>
      </w:r>
    </w:p>
  </w:footnote>
  <w:footnote w:id="28">
    <w:p w14:paraId="08781155" w14:textId="77777777" w:rsidR="006324FE" w:rsidRPr="001E55D9" w:rsidRDefault="006324FE" w:rsidP="006324FE">
      <w:pPr>
        <w:pStyle w:val="FootnoteText"/>
      </w:pPr>
      <w:r w:rsidRPr="001E55D9">
        <w:tab/>
      </w:r>
      <w:r w:rsidRPr="001E55D9">
        <w:rPr>
          <w:rStyle w:val="FootnoteReference"/>
        </w:rPr>
        <w:footnoteRef/>
      </w:r>
      <w:r w:rsidRPr="001E55D9">
        <w:t xml:space="preserve"> </w:t>
      </w:r>
      <w:r w:rsidRPr="001E55D9">
        <w:tab/>
        <w:t>General Comment No. 36, paras. 16 and 17.</w:t>
      </w:r>
    </w:p>
  </w:footnote>
  <w:footnote w:id="29">
    <w:p w14:paraId="013DABBF" w14:textId="77777777" w:rsidR="006324FE" w:rsidRPr="00CF77C1" w:rsidRDefault="006324FE" w:rsidP="006324FE">
      <w:pPr>
        <w:pStyle w:val="FootnoteText"/>
      </w:pPr>
      <w:r w:rsidRPr="001E55D9">
        <w:tab/>
      </w:r>
      <w:r w:rsidRPr="001E55D9">
        <w:rPr>
          <w:rStyle w:val="FootnoteReference"/>
        </w:rPr>
        <w:footnoteRef/>
      </w:r>
      <w:r w:rsidRPr="001E55D9">
        <w:t xml:space="preserve"> </w:t>
      </w:r>
      <w:r w:rsidRPr="001E55D9">
        <w:tab/>
        <w:t>General Comment No. 32, para. 59.</w:t>
      </w:r>
    </w:p>
  </w:footnote>
  <w:footnote w:id="30">
    <w:p w14:paraId="35F264E7" w14:textId="77777777" w:rsidR="006324FE" w:rsidRPr="001E55D9" w:rsidRDefault="006324FE" w:rsidP="006324FE">
      <w:pPr>
        <w:pStyle w:val="FootnoteText"/>
      </w:pPr>
      <w:r>
        <w:tab/>
      </w:r>
      <w:r w:rsidRPr="001E55D9">
        <w:rPr>
          <w:rStyle w:val="FootnoteReference"/>
          <w:lang w:val="en-TT"/>
        </w:rPr>
        <w:footnoteRef/>
      </w:r>
      <w:r w:rsidRPr="001E55D9">
        <w:rPr>
          <w:vertAlign w:val="superscript"/>
        </w:rPr>
        <w:t xml:space="preserve"> </w:t>
      </w:r>
      <w:r w:rsidRPr="001E55D9">
        <w:tab/>
        <w:t xml:space="preserve">Communications No. 1919-1920/2009, </w:t>
      </w:r>
      <w:proofErr w:type="spellStart"/>
      <w:r w:rsidRPr="001E55D9">
        <w:t>Protsko</w:t>
      </w:r>
      <w:proofErr w:type="spellEnd"/>
      <w:r w:rsidRPr="001E55D9">
        <w:t xml:space="preserve"> and </w:t>
      </w:r>
      <w:proofErr w:type="spellStart"/>
      <w:r w:rsidRPr="001E55D9">
        <w:t>Tolchin</w:t>
      </w:r>
      <w:proofErr w:type="spellEnd"/>
      <w:r w:rsidRPr="001E55D9">
        <w:t xml:space="preserve"> v. Belarus, Views adopted on 1 November 2013, para. 6.5; No. 1784/2008, </w:t>
      </w:r>
      <w:proofErr w:type="spellStart"/>
      <w:r w:rsidRPr="001E55D9">
        <w:t>Schumilin</w:t>
      </w:r>
      <w:proofErr w:type="spellEnd"/>
      <w:r w:rsidRPr="001E55D9">
        <w:t xml:space="preserve"> v. Belarus, Views adopted on 23 July 2012, para. 8.3; No. 2041/2011, </w:t>
      </w:r>
      <w:proofErr w:type="spellStart"/>
      <w:r w:rsidRPr="001E55D9">
        <w:t>Dorofeev</w:t>
      </w:r>
      <w:proofErr w:type="spellEnd"/>
      <w:r w:rsidRPr="001E55D9">
        <w:t xml:space="preserve"> v Russia, para. 9.6.</w:t>
      </w:r>
    </w:p>
  </w:footnote>
  <w:footnote w:id="31">
    <w:p w14:paraId="2F15B355" w14:textId="77777777" w:rsidR="006324FE" w:rsidRPr="001E55D9" w:rsidRDefault="006324FE" w:rsidP="006324FE">
      <w:pPr>
        <w:pStyle w:val="FootnoteText"/>
      </w:pPr>
      <w:r w:rsidRPr="001E55D9">
        <w:tab/>
      </w:r>
      <w:r w:rsidRPr="001E55D9">
        <w:rPr>
          <w:rStyle w:val="FootnoteReference"/>
          <w:lang w:val="en-TT"/>
        </w:rPr>
        <w:footnoteRef/>
      </w:r>
      <w:r w:rsidRPr="001E55D9">
        <w:rPr>
          <w:vertAlign w:val="superscript"/>
        </w:rPr>
        <w:t xml:space="preserve"> </w:t>
      </w:r>
      <w:r w:rsidRPr="001E55D9">
        <w:tab/>
        <w:t>General Comment No. 32, para 32; See also Communication No. 282/1988, Smith v. Jamaica, para. 10.4.</w:t>
      </w:r>
    </w:p>
  </w:footnote>
  <w:footnote w:id="32">
    <w:p w14:paraId="6E8D98C5" w14:textId="77777777" w:rsidR="006324FE" w:rsidRPr="001E55D9" w:rsidRDefault="006324FE" w:rsidP="006324FE">
      <w:pPr>
        <w:pStyle w:val="FootnoteText"/>
      </w:pPr>
      <w:r w:rsidRPr="001E55D9">
        <w:tab/>
      </w:r>
      <w:r w:rsidRPr="001E55D9">
        <w:rPr>
          <w:rStyle w:val="FootnoteReference"/>
          <w:lang w:val="en-TT"/>
        </w:rPr>
        <w:footnoteRef/>
      </w:r>
      <w:r w:rsidRPr="001E55D9">
        <w:rPr>
          <w:vertAlign w:val="superscript"/>
        </w:rPr>
        <w:t xml:space="preserve"> </w:t>
      </w:r>
      <w:r w:rsidRPr="001E55D9">
        <w:tab/>
        <w:t>Communication No. 223/1987, Robinson v Jamaica, para. 10.3.</w:t>
      </w:r>
    </w:p>
  </w:footnote>
  <w:footnote w:id="33">
    <w:p w14:paraId="492AB60D" w14:textId="77777777" w:rsidR="006324FE" w:rsidRPr="00CF77C1" w:rsidRDefault="006324FE" w:rsidP="006324FE">
      <w:pPr>
        <w:pStyle w:val="FootnoteText"/>
      </w:pPr>
      <w:r w:rsidRPr="001E55D9">
        <w:tab/>
      </w:r>
      <w:r w:rsidRPr="001E55D9">
        <w:rPr>
          <w:rStyle w:val="FootnoteReference"/>
          <w:lang w:val="en-TT"/>
        </w:rPr>
        <w:footnoteRef/>
      </w:r>
      <w:r w:rsidRPr="001E55D9">
        <w:rPr>
          <w:vertAlign w:val="superscript"/>
        </w:rPr>
        <w:t xml:space="preserve"> </w:t>
      </w:r>
      <w:r w:rsidRPr="001E55D9">
        <w:tab/>
        <w:t>Communication No. 2059/2011, Y.M. v Russia, para. 9.4</w:t>
      </w:r>
      <w:r w:rsidRPr="00CF77C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F799" w14:textId="10F3645B" w:rsidR="00C34F56" w:rsidRDefault="006233D0" w:rsidP="00BC613D">
    <w:pPr>
      <w:pStyle w:val="Header"/>
    </w:pPr>
    <w:r w:rsidRPr="006233D0">
      <w:t>Advance unedited version</w:t>
    </w:r>
    <w:r>
      <w:t xml:space="preserve"> </w:t>
    </w:r>
    <w:r w:rsidR="00C34F56" w:rsidRPr="00303C33">
      <w:t>CCPR/C/12</w:t>
    </w:r>
    <w:r w:rsidR="00C34F56">
      <w:t>6</w:t>
    </w:r>
    <w:r w:rsidR="00C34F56" w:rsidRPr="00303C33">
      <w:t>/D/26</w:t>
    </w:r>
    <w:r w:rsidR="00C34F56">
      <w:t>55</w:t>
    </w:r>
    <w:r w:rsidR="00C34F56" w:rsidRPr="00303C33">
      <w:t>/2015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22E4" w14:textId="645DA97C" w:rsidR="00C34F56" w:rsidRDefault="006233D0" w:rsidP="00BC613D">
    <w:pPr>
      <w:pStyle w:val="Header"/>
      <w:jc w:val="right"/>
    </w:pPr>
    <w:r w:rsidRPr="006233D0">
      <w:t>Advance unedited version</w:t>
    </w:r>
    <w:r>
      <w:t xml:space="preserve"> </w:t>
    </w:r>
    <w:r w:rsidR="00C34F56" w:rsidRPr="00297550">
      <w:t>CCPR/C</w:t>
    </w:r>
    <w:r w:rsidR="00C34F56">
      <w:t>/</w:t>
    </w:r>
    <w:r w:rsidR="00C34F56" w:rsidRPr="00297550">
      <w:t>12</w:t>
    </w:r>
    <w:r w:rsidR="00C34F56">
      <w:t>6</w:t>
    </w:r>
    <w:r w:rsidR="00C34F56" w:rsidRPr="00297550">
      <w:t>/D/26</w:t>
    </w:r>
    <w:r w:rsidR="00C34F56">
      <w:t>55</w:t>
    </w:r>
    <w:r w:rsidR="00C34F56" w:rsidRPr="00297550">
      <w:t>/2015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AC7F" w14:textId="77777777" w:rsidR="006233D0" w:rsidRDefault="00623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attachedTemplate r:id="rId1"/>
  <w:defaultTabStop w:val="567"/>
  <w:evenAndOddHeaders/>
  <w:characterSpacingControl w:val="doNotCompress"/>
  <w:hdrShapeDefaults>
    <o:shapedefaults v:ext="edit" spidmax="24577">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19"/>
    <w:rsid w:val="00010608"/>
    <w:rsid w:val="00011493"/>
    <w:rsid w:val="00011DBB"/>
    <w:rsid w:val="0002568C"/>
    <w:rsid w:val="0003295C"/>
    <w:rsid w:val="00041D3F"/>
    <w:rsid w:val="000467AB"/>
    <w:rsid w:val="00046E92"/>
    <w:rsid w:val="00050FC4"/>
    <w:rsid w:val="00061F0C"/>
    <w:rsid w:val="0006523D"/>
    <w:rsid w:val="00076B63"/>
    <w:rsid w:val="00077884"/>
    <w:rsid w:val="00082895"/>
    <w:rsid w:val="000913FE"/>
    <w:rsid w:val="00094E35"/>
    <w:rsid w:val="000A227D"/>
    <w:rsid w:val="000A4C67"/>
    <w:rsid w:val="000C37BE"/>
    <w:rsid w:val="000E4C3B"/>
    <w:rsid w:val="000F4D36"/>
    <w:rsid w:val="000F6445"/>
    <w:rsid w:val="00103F39"/>
    <w:rsid w:val="00116D05"/>
    <w:rsid w:val="00125650"/>
    <w:rsid w:val="00131D7A"/>
    <w:rsid w:val="00145190"/>
    <w:rsid w:val="001638AF"/>
    <w:rsid w:val="00165C15"/>
    <w:rsid w:val="00166453"/>
    <w:rsid w:val="001732DF"/>
    <w:rsid w:val="00190390"/>
    <w:rsid w:val="001B6263"/>
    <w:rsid w:val="001B7E99"/>
    <w:rsid w:val="001C65AE"/>
    <w:rsid w:val="001C767C"/>
    <w:rsid w:val="001D20CB"/>
    <w:rsid w:val="001E20DA"/>
    <w:rsid w:val="00200E97"/>
    <w:rsid w:val="00202A8A"/>
    <w:rsid w:val="002128B2"/>
    <w:rsid w:val="00213056"/>
    <w:rsid w:val="00213A60"/>
    <w:rsid w:val="00247E2C"/>
    <w:rsid w:val="0026535C"/>
    <w:rsid w:val="00274C5F"/>
    <w:rsid w:val="00295C32"/>
    <w:rsid w:val="00297550"/>
    <w:rsid w:val="002A7F3D"/>
    <w:rsid w:val="002D6C53"/>
    <w:rsid w:val="002F5595"/>
    <w:rsid w:val="00303225"/>
    <w:rsid w:val="00303C33"/>
    <w:rsid w:val="00313940"/>
    <w:rsid w:val="00334278"/>
    <w:rsid w:val="00334F6A"/>
    <w:rsid w:val="00335344"/>
    <w:rsid w:val="00342AC8"/>
    <w:rsid w:val="00343F8B"/>
    <w:rsid w:val="003449D0"/>
    <w:rsid w:val="003632B4"/>
    <w:rsid w:val="0037142C"/>
    <w:rsid w:val="003B4550"/>
    <w:rsid w:val="003C2FD2"/>
    <w:rsid w:val="003C3393"/>
    <w:rsid w:val="003D479D"/>
    <w:rsid w:val="003E3E7B"/>
    <w:rsid w:val="00407339"/>
    <w:rsid w:val="00412C2B"/>
    <w:rsid w:val="004168A2"/>
    <w:rsid w:val="00461253"/>
    <w:rsid w:val="00472FED"/>
    <w:rsid w:val="004B4CA7"/>
    <w:rsid w:val="004E53F7"/>
    <w:rsid w:val="00502508"/>
    <w:rsid w:val="005042C2"/>
    <w:rsid w:val="00504543"/>
    <w:rsid w:val="00505805"/>
    <w:rsid w:val="00514953"/>
    <w:rsid w:val="00516B99"/>
    <w:rsid w:val="00530033"/>
    <w:rsid w:val="00530366"/>
    <w:rsid w:val="00542AD5"/>
    <w:rsid w:val="00551890"/>
    <w:rsid w:val="00556FAD"/>
    <w:rsid w:val="005602C8"/>
    <w:rsid w:val="00561FB7"/>
    <w:rsid w:val="00563919"/>
    <w:rsid w:val="005757D2"/>
    <w:rsid w:val="0057722D"/>
    <w:rsid w:val="00592583"/>
    <w:rsid w:val="0059763B"/>
    <w:rsid w:val="00597823"/>
    <w:rsid w:val="005A1140"/>
    <w:rsid w:val="005A3146"/>
    <w:rsid w:val="005A3C9D"/>
    <w:rsid w:val="005A6C47"/>
    <w:rsid w:val="005B181B"/>
    <w:rsid w:val="005C4319"/>
    <w:rsid w:val="005C4E3F"/>
    <w:rsid w:val="005C79EB"/>
    <w:rsid w:val="005D1208"/>
    <w:rsid w:val="005D59C0"/>
    <w:rsid w:val="00605CF8"/>
    <w:rsid w:val="0060656D"/>
    <w:rsid w:val="00610ADC"/>
    <w:rsid w:val="0061570E"/>
    <w:rsid w:val="0061691A"/>
    <w:rsid w:val="00617F67"/>
    <w:rsid w:val="006233D0"/>
    <w:rsid w:val="00627CA8"/>
    <w:rsid w:val="006324FE"/>
    <w:rsid w:val="006374A1"/>
    <w:rsid w:val="00637F5F"/>
    <w:rsid w:val="00651021"/>
    <w:rsid w:val="00671529"/>
    <w:rsid w:val="00673825"/>
    <w:rsid w:val="00682385"/>
    <w:rsid w:val="00687B35"/>
    <w:rsid w:val="00691392"/>
    <w:rsid w:val="006A38D1"/>
    <w:rsid w:val="006B524E"/>
    <w:rsid w:val="006C745A"/>
    <w:rsid w:val="006D1DB3"/>
    <w:rsid w:val="006D4E01"/>
    <w:rsid w:val="006F18A3"/>
    <w:rsid w:val="00715BC8"/>
    <w:rsid w:val="007268F9"/>
    <w:rsid w:val="00730CA5"/>
    <w:rsid w:val="007327A0"/>
    <w:rsid w:val="00735C4A"/>
    <w:rsid w:val="007366AF"/>
    <w:rsid w:val="007710C0"/>
    <w:rsid w:val="00793178"/>
    <w:rsid w:val="007C52B0"/>
    <w:rsid w:val="007D2DF9"/>
    <w:rsid w:val="007E25B2"/>
    <w:rsid w:val="007F05E1"/>
    <w:rsid w:val="008079E7"/>
    <w:rsid w:val="00812B67"/>
    <w:rsid w:val="0081712C"/>
    <w:rsid w:val="00817E57"/>
    <w:rsid w:val="008279E4"/>
    <w:rsid w:val="0083544F"/>
    <w:rsid w:val="0085068F"/>
    <w:rsid w:val="00855473"/>
    <w:rsid w:val="008563B2"/>
    <w:rsid w:val="00861D17"/>
    <w:rsid w:val="0086575D"/>
    <w:rsid w:val="00877EAA"/>
    <w:rsid w:val="00883E2B"/>
    <w:rsid w:val="00884ED4"/>
    <w:rsid w:val="00886DBD"/>
    <w:rsid w:val="00887E3E"/>
    <w:rsid w:val="0089525B"/>
    <w:rsid w:val="00897304"/>
    <w:rsid w:val="008B55EA"/>
    <w:rsid w:val="008C4477"/>
    <w:rsid w:val="008D3450"/>
    <w:rsid w:val="008E035B"/>
    <w:rsid w:val="008E6CB4"/>
    <w:rsid w:val="008E6DEB"/>
    <w:rsid w:val="008F125E"/>
    <w:rsid w:val="008F1AE2"/>
    <w:rsid w:val="008F2958"/>
    <w:rsid w:val="00920BF1"/>
    <w:rsid w:val="00922D8D"/>
    <w:rsid w:val="009411B4"/>
    <w:rsid w:val="00944B9A"/>
    <w:rsid w:val="009805A7"/>
    <w:rsid w:val="009850EE"/>
    <w:rsid w:val="009928AD"/>
    <w:rsid w:val="009A4918"/>
    <w:rsid w:val="009B2B96"/>
    <w:rsid w:val="009D0139"/>
    <w:rsid w:val="009D0A54"/>
    <w:rsid w:val="009D1B1E"/>
    <w:rsid w:val="009D6137"/>
    <w:rsid w:val="009F5CDC"/>
    <w:rsid w:val="00A0790E"/>
    <w:rsid w:val="00A17CA0"/>
    <w:rsid w:val="00A23459"/>
    <w:rsid w:val="00A26E32"/>
    <w:rsid w:val="00A44361"/>
    <w:rsid w:val="00A47C90"/>
    <w:rsid w:val="00A52BF1"/>
    <w:rsid w:val="00A61E48"/>
    <w:rsid w:val="00A640DB"/>
    <w:rsid w:val="00A67F2E"/>
    <w:rsid w:val="00A775CF"/>
    <w:rsid w:val="00A972A2"/>
    <w:rsid w:val="00AA7F71"/>
    <w:rsid w:val="00AB4CCD"/>
    <w:rsid w:val="00AC325F"/>
    <w:rsid w:val="00AF0F17"/>
    <w:rsid w:val="00AF3FED"/>
    <w:rsid w:val="00B06045"/>
    <w:rsid w:val="00B32AC5"/>
    <w:rsid w:val="00B35235"/>
    <w:rsid w:val="00B413A5"/>
    <w:rsid w:val="00B55508"/>
    <w:rsid w:val="00B80FE2"/>
    <w:rsid w:val="00B903E5"/>
    <w:rsid w:val="00B946D9"/>
    <w:rsid w:val="00BA3CA8"/>
    <w:rsid w:val="00BA6708"/>
    <w:rsid w:val="00BC3A6E"/>
    <w:rsid w:val="00BC4020"/>
    <w:rsid w:val="00BC58BB"/>
    <w:rsid w:val="00BC613D"/>
    <w:rsid w:val="00BC6685"/>
    <w:rsid w:val="00BD76AE"/>
    <w:rsid w:val="00C1297B"/>
    <w:rsid w:val="00C2702E"/>
    <w:rsid w:val="00C34F56"/>
    <w:rsid w:val="00C35A27"/>
    <w:rsid w:val="00C40681"/>
    <w:rsid w:val="00C417AF"/>
    <w:rsid w:val="00C522C6"/>
    <w:rsid w:val="00C7644E"/>
    <w:rsid w:val="00C81372"/>
    <w:rsid w:val="00C86D8F"/>
    <w:rsid w:val="00C908C9"/>
    <w:rsid w:val="00C91A37"/>
    <w:rsid w:val="00CA1AEA"/>
    <w:rsid w:val="00CA3F7E"/>
    <w:rsid w:val="00CB28D0"/>
    <w:rsid w:val="00CB5D9D"/>
    <w:rsid w:val="00CC4B64"/>
    <w:rsid w:val="00CC55C0"/>
    <w:rsid w:val="00CC6592"/>
    <w:rsid w:val="00CD2070"/>
    <w:rsid w:val="00CD439C"/>
    <w:rsid w:val="00CD6C29"/>
    <w:rsid w:val="00CE1318"/>
    <w:rsid w:val="00CF491D"/>
    <w:rsid w:val="00CF7D97"/>
    <w:rsid w:val="00D042F7"/>
    <w:rsid w:val="00D51646"/>
    <w:rsid w:val="00D60F50"/>
    <w:rsid w:val="00D71B68"/>
    <w:rsid w:val="00D77013"/>
    <w:rsid w:val="00DA5337"/>
    <w:rsid w:val="00DC383A"/>
    <w:rsid w:val="00DC7FE2"/>
    <w:rsid w:val="00DD608D"/>
    <w:rsid w:val="00DD6A0C"/>
    <w:rsid w:val="00DE56AD"/>
    <w:rsid w:val="00E02C2B"/>
    <w:rsid w:val="00E267E8"/>
    <w:rsid w:val="00E35436"/>
    <w:rsid w:val="00E41BD2"/>
    <w:rsid w:val="00E4686E"/>
    <w:rsid w:val="00E67A37"/>
    <w:rsid w:val="00E94948"/>
    <w:rsid w:val="00EA1E0C"/>
    <w:rsid w:val="00EA58C1"/>
    <w:rsid w:val="00EB1B91"/>
    <w:rsid w:val="00EC068E"/>
    <w:rsid w:val="00EC08D8"/>
    <w:rsid w:val="00ED6C48"/>
    <w:rsid w:val="00EE5152"/>
    <w:rsid w:val="00EF4318"/>
    <w:rsid w:val="00EF6E62"/>
    <w:rsid w:val="00F114D0"/>
    <w:rsid w:val="00F1157F"/>
    <w:rsid w:val="00F3553F"/>
    <w:rsid w:val="00F41319"/>
    <w:rsid w:val="00F414A9"/>
    <w:rsid w:val="00F41F0F"/>
    <w:rsid w:val="00F430F2"/>
    <w:rsid w:val="00F53D91"/>
    <w:rsid w:val="00F57956"/>
    <w:rsid w:val="00F657E5"/>
    <w:rsid w:val="00F65F5D"/>
    <w:rsid w:val="00F7315D"/>
    <w:rsid w:val="00F746DE"/>
    <w:rsid w:val="00F844DE"/>
    <w:rsid w:val="00F86A3A"/>
    <w:rsid w:val="00FA2426"/>
    <w:rsid w:val="00FB2AFD"/>
    <w:rsid w:val="00FB70C5"/>
    <w:rsid w:val="00FC1210"/>
    <w:rsid w:val="00FC1EB6"/>
    <w:rsid w:val="00FC3F62"/>
    <w:rsid w:val="00FC6986"/>
    <w:rsid w:val="00FC6BB7"/>
    <w:rsid w:val="00FD2376"/>
    <w:rsid w:val="00FD35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9B18F0"/>
  <w15:docId w15:val="{2960A697-B6B4-4912-B38C-4AAF2AA1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ootnote Text C"/>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877EAA"/>
    <w:rPr>
      <w:sz w:val="16"/>
      <w:szCs w:val="16"/>
    </w:rPr>
  </w:style>
  <w:style w:type="paragraph" w:styleId="CommentText">
    <w:name w:val="annotation text"/>
    <w:basedOn w:val="Normal"/>
    <w:link w:val="CommentTextChar"/>
    <w:uiPriority w:val="99"/>
    <w:semiHidden/>
    <w:unhideWhenUsed/>
    <w:rsid w:val="00877EAA"/>
    <w:pPr>
      <w:spacing w:line="240" w:lineRule="auto"/>
    </w:pPr>
  </w:style>
  <w:style w:type="character" w:customStyle="1" w:styleId="CommentTextChar">
    <w:name w:val="Comment Text Char"/>
    <w:basedOn w:val="DefaultParagraphFont"/>
    <w:link w:val="CommentText"/>
    <w:uiPriority w:val="99"/>
    <w:semiHidden/>
    <w:rsid w:val="00877EA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77EAA"/>
    <w:rPr>
      <w:b/>
      <w:bCs/>
    </w:rPr>
  </w:style>
  <w:style w:type="character" w:customStyle="1" w:styleId="CommentSubjectChar">
    <w:name w:val="Comment Subject Char"/>
    <w:basedOn w:val="CommentTextChar"/>
    <w:link w:val="CommentSubject"/>
    <w:uiPriority w:val="99"/>
    <w:semiHidden/>
    <w:rsid w:val="00877EAA"/>
    <w:rPr>
      <w:rFonts w:ascii="Times New Roman" w:eastAsia="Times New Roman" w:hAnsi="Times New Roman" w:cs="Times New Roman"/>
      <w:b/>
      <w:bCs/>
      <w:sz w:val="20"/>
      <w:szCs w:val="20"/>
      <w:lang w:eastAsia="en-US"/>
    </w:rPr>
  </w:style>
  <w:style w:type="character" w:customStyle="1" w:styleId="SingleTxtGChar">
    <w:name w:val="_ Single Txt_G Char"/>
    <w:link w:val="SingleTxtG"/>
    <w:locked/>
    <w:rsid w:val="00050FC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181670864">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08830810">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897403653">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13718474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519856173">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080321245">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 w:id="21332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4C5A1-746B-4CE9-A721-A758CD1C9113}">
  <ds:schemaRefs>
    <ds:schemaRef ds:uri="http://schemas.openxmlformats.org/officeDocument/2006/bibliography"/>
  </ds:schemaRefs>
</ds:datastoreItem>
</file>

<file path=customXml/itemProps2.xml><?xml version="1.0" encoding="utf-8"?>
<ds:datastoreItem xmlns:ds="http://schemas.openxmlformats.org/officeDocument/2006/customXml" ds:itemID="{2AC6FB99-B4A0-4C41-9CBD-70677A331650}"/>
</file>

<file path=customXml/itemProps3.xml><?xml version="1.0" encoding="utf-8"?>
<ds:datastoreItem xmlns:ds="http://schemas.openxmlformats.org/officeDocument/2006/customXml" ds:itemID="{0EB226AE-1125-4005-8F7D-4BC166770C21}"/>
</file>

<file path=customXml/itemProps4.xml><?xml version="1.0" encoding="utf-8"?>
<ds:datastoreItem xmlns:ds="http://schemas.openxmlformats.org/officeDocument/2006/customXml" ds:itemID="{51AE2D59-B0E5-46F4-884E-C2A7AFE34F3A}"/>
</file>

<file path=docProps/app.xml><?xml version="1.0" encoding="utf-8"?>
<Properties xmlns="http://schemas.openxmlformats.org/officeDocument/2006/extended-properties" xmlns:vt="http://schemas.openxmlformats.org/officeDocument/2006/docPropsVTypes">
  <Template>CCPR.dotm</Template>
  <TotalTime>20</TotalTime>
  <Pages>13</Pages>
  <Words>6176</Words>
  <Characters>35204</Characters>
  <Application>Microsoft Office Word</Application>
  <DocSecurity>0</DocSecurity>
  <Lines>293</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CCPR/C/126/DR/2655/2015</vt:lpstr>
      <vt:lpstr>CCPR/C/126/DR/2655/2015</vt:lpstr>
    </vt:vector>
  </TitlesOfParts>
  <Company>DCM</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CCPR/C/126/DR/2655/2015</dc:title>
  <dc:subject>1911397</dc:subject>
  <dc:creator>Generic Pdf eng</dc:creator>
  <cp:keywords/>
  <dc:description/>
  <cp:lastModifiedBy>ABDELAZIM Mohamed</cp:lastModifiedBy>
  <cp:revision>14</cp:revision>
  <cp:lastPrinted>2019-07-18T07:48:00Z</cp:lastPrinted>
  <dcterms:created xsi:type="dcterms:W3CDTF">2019-07-23T16:37:00Z</dcterms:created>
  <dcterms:modified xsi:type="dcterms:W3CDTF">2019-08-29T12:24:00Z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