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5572A416" w14:textId="559D9546"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5572A417" w14:textId="3032969C" w:rsidR="00165C15" w:rsidRPr="0036554A" w:rsidRDefault="006A31AE" w:rsidP="00F603F4">
            <w:pPr>
              <w:suppressAutoHyphens w:val="0"/>
              <w:spacing w:after="20"/>
              <w:jc w:val="right"/>
              <w:rPr>
                <w:sz w:val="40"/>
                <w:lang w:val="es-ES"/>
              </w:rPr>
            </w:pPr>
            <w:r w:rsidRPr="0036554A">
              <w:rPr>
                <w:sz w:val="40"/>
                <w:lang w:val="es-ES"/>
              </w:rPr>
              <w:t>CCPR</w:t>
            </w:r>
            <w:r w:rsidRPr="0036554A">
              <w:rPr>
                <w:lang w:val="es-ES"/>
              </w:rPr>
              <w:t>/C/</w:t>
            </w:r>
            <w:r w:rsidR="004D300F">
              <w:rPr>
                <w:lang w:val="es-ES"/>
              </w:rPr>
              <w:t>126</w:t>
            </w:r>
            <w:r w:rsidRPr="0036554A">
              <w:rPr>
                <w:lang w:val="es-ES"/>
              </w:rPr>
              <w:t>/D/</w:t>
            </w:r>
            <w:r w:rsidR="004D300F">
              <w:rPr>
                <w:lang w:val="es-ES"/>
              </w:rPr>
              <w:t>2750</w:t>
            </w:r>
            <w:r w:rsidRPr="0036554A">
              <w:rPr>
                <w:lang w:val="es-ES"/>
              </w:rPr>
              <w:t>/</w:t>
            </w:r>
            <w:r w:rsidR="004D300F">
              <w:rPr>
                <w:lang w:val="es-ES"/>
              </w:rPr>
              <w:t>2016</w:t>
            </w:r>
          </w:p>
        </w:tc>
      </w:tr>
      <w:tr w:rsidR="0036554A" w:rsidRPr="001A5DF7" w14:paraId="5572A420" w14:textId="77777777" w:rsidTr="004A72F6">
        <w:trPr>
          <w:cantSplit/>
          <w:trHeight w:hRule="exact" w:val="2835"/>
        </w:trPr>
        <w:tc>
          <w:tcPr>
            <w:tcW w:w="1276" w:type="dxa"/>
            <w:tcBorders>
              <w:top w:val="single" w:sz="4" w:space="0" w:color="auto"/>
              <w:bottom w:val="single" w:sz="12" w:space="0" w:color="auto"/>
            </w:tcBorders>
          </w:tcPr>
          <w:p w14:paraId="5572A419" w14:textId="77777777" w:rsidR="00165C15" w:rsidRPr="0036554A" w:rsidRDefault="00165C15" w:rsidP="00F603F4">
            <w:pPr>
              <w:spacing w:before="120"/>
              <w:rPr>
                <w:lang w:val="es-ES"/>
              </w:rPr>
            </w:pPr>
            <w:r w:rsidRPr="0036554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62A5C" w14:textId="77777777"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5BC389C5" w14:textId="77777777" w:rsidR="00BE3D7B" w:rsidRDefault="00BE3D7B" w:rsidP="00F603F4">
            <w:pPr>
              <w:spacing w:before="120" w:line="380" w:lineRule="exact"/>
              <w:rPr>
                <w:b/>
                <w:sz w:val="34"/>
                <w:szCs w:val="34"/>
                <w:lang w:val="es-ES"/>
              </w:rPr>
            </w:pPr>
          </w:p>
          <w:p w14:paraId="5572A41A" w14:textId="12E840E8" w:rsidR="00BE3D7B" w:rsidRPr="00C13626" w:rsidRDefault="00BE3D7B" w:rsidP="00F603F4">
            <w:pPr>
              <w:spacing w:before="120" w:line="380" w:lineRule="exact"/>
              <w:rPr>
                <w:b/>
                <w:sz w:val="34"/>
                <w:lang w:val="es-ES"/>
              </w:rPr>
            </w:pPr>
            <w:r w:rsidRPr="00C13626">
              <w:rPr>
                <w:b/>
                <w:sz w:val="34"/>
                <w:lang w:val="es-ES"/>
              </w:rPr>
              <w:t>Edición avanzada sin editar</w:t>
            </w:r>
          </w:p>
        </w:tc>
        <w:tc>
          <w:tcPr>
            <w:tcW w:w="2835" w:type="dxa"/>
            <w:tcBorders>
              <w:top w:val="single" w:sz="4" w:space="0" w:color="auto"/>
              <w:bottom w:val="single" w:sz="12" w:space="0" w:color="auto"/>
            </w:tcBorders>
          </w:tcPr>
          <w:p w14:paraId="5572A41B" w14:textId="4B90F09C"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00175184">
              <w:rPr>
                <w:lang w:val="es-ES"/>
              </w:rPr>
              <w:t>.</w:t>
            </w:r>
            <w:r w:rsidR="00175184" w:rsidRPr="00175184">
              <w:rPr>
                <w:lang w:val="es-ES"/>
              </w:rPr>
              <w:t xml:space="preserve"> </w:t>
            </w:r>
            <w:r w:rsidR="00675E50">
              <w:rPr>
                <w:lang w:val="es-ES"/>
              </w:rPr>
              <w:t>general</w:t>
            </w:r>
          </w:p>
          <w:p w14:paraId="5572A41C" w14:textId="5C278BDB" w:rsidR="006A31AE" w:rsidRPr="0036554A" w:rsidRDefault="00C13626" w:rsidP="00F603F4">
            <w:pPr>
              <w:suppressAutoHyphens w:val="0"/>
              <w:rPr>
                <w:lang w:val="es-ES"/>
              </w:rPr>
            </w:pPr>
            <w:r>
              <w:rPr>
                <w:lang w:val="es-ES"/>
              </w:rPr>
              <w:t>5</w:t>
            </w:r>
            <w:r w:rsidR="00A77706" w:rsidRPr="00856798">
              <w:rPr>
                <w:lang w:val="es-ES"/>
              </w:rPr>
              <w:t xml:space="preserve"> </w:t>
            </w:r>
            <w:r w:rsidR="00A4230D" w:rsidRPr="0036554A">
              <w:rPr>
                <w:lang w:val="es-ES"/>
              </w:rPr>
              <w:t xml:space="preserve">de </w:t>
            </w:r>
            <w:r>
              <w:rPr>
                <w:lang w:val="es-ES"/>
              </w:rPr>
              <w:t xml:space="preserve">agosto </w:t>
            </w:r>
            <w:r w:rsidR="00856798">
              <w:rPr>
                <w:lang w:val="es-ES"/>
              </w:rPr>
              <w:t>de 2019</w:t>
            </w:r>
          </w:p>
          <w:p w14:paraId="5572A41D" w14:textId="77777777" w:rsidR="006A31AE" w:rsidRPr="00280BCD" w:rsidRDefault="006A31AE" w:rsidP="00F603F4">
            <w:pPr>
              <w:suppressAutoHyphens w:val="0"/>
              <w:rPr>
                <w:lang w:val="es-ES"/>
              </w:rPr>
            </w:pPr>
          </w:p>
          <w:p w14:paraId="3AA07F55" w14:textId="77777777" w:rsidR="006A31AE" w:rsidRDefault="006A31AE" w:rsidP="003A3F12">
            <w:pPr>
              <w:suppressAutoHyphens w:val="0"/>
              <w:rPr>
                <w:lang w:val="es-ES"/>
              </w:rPr>
            </w:pPr>
            <w:r w:rsidRPr="0036554A">
              <w:rPr>
                <w:lang w:val="es-ES"/>
              </w:rPr>
              <w:t xml:space="preserve">Original: </w:t>
            </w:r>
            <w:r w:rsidR="003A3F12" w:rsidRPr="0036554A">
              <w:rPr>
                <w:lang w:val="es-ES"/>
              </w:rPr>
              <w:t>español</w:t>
            </w:r>
          </w:p>
          <w:p w14:paraId="5572A41F" w14:textId="742D437F" w:rsidR="0052543D" w:rsidRPr="0052543D" w:rsidRDefault="0052543D" w:rsidP="003A3F12">
            <w:pPr>
              <w:suppressAutoHyphens w:val="0"/>
              <w:rPr>
                <w:lang w:val="es-ES"/>
              </w:rPr>
            </w:pPr>
          </w:p>
        </w:tc>
      </w:tr>
    </w:tbl>
    <w:p w14:paraId="09E6D82B"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5572A428" w14:textId="0D1DABEC" w:rsidR="006A31AE" w:rsidRPr="0036554A" w:rsidRDefault="006A31AE" w:rsidP="006A31AE">
      <w:pPr>
        <w:pStyle w:val="HChG"/>
        <w:rPr>
          <w:lang w:val="es-ES"/>
        </w:rPr>
      </w:pPr>
      <w:r w:rsidRPr="0036554A">
        <w:rPr>
          <w:lang w:val="es-ES"/>
        </w:rPr>
        <w:tab/>
      </w:r>
      <w:r w:rsidRPr="0036554A">
        <w:rPr>
          <w:lang w:val="es-ES"/>
        </w:rPr>
        <w:tab/>
      </w:r>
      <w:r w:rsidR="00675E50" w:rsidRPr="00675E50">
        <w:rPr>
          <w:lang w:val="es-ES"/>
        </w:rPr>
        <w:t>Dictamen aprobado por el Comité al tenor del artículo 5, párrafo 4</w:t>
      </w:r>
      <w:r w:rsidR="00FD75CC">
        <w:rPr>
          <w:lang w:val="es-ES"/>
        </w:rPr>
        <w:t>,</w:t>
      </w:r>
      <w:r w:rsidR="00675E50" w:rsidRPr="00675E50">
        <w:rPr>
          <w:lang w:val="es-ES"/>
        </w:rPr>
        <w:t xml:space="preserve"> del Protocolo Facultativo, respecto de la comunicación núm</w:t>
      </w:r>
      <w:r w:rsidR="00675E50">
        <w:rPr>
          <w:lang w:val="es-ES"/>
        </w:rPr>
        <w:t>.</w:t>
      </w:r>
      <w:r w:rsidR="00675E50" w:rsidRPr="00675E50" w:rsidDel="00675E50">
        <w:rPr>
          <w:lang w:val="es-ES"/>
        </w:rPr>
        <w:t xml:space="preserve"> </w:t>
      </w:r>
      <w:r w:rsidR="000D4558">
        <w:rPr>
          <w:lang w:val="es-ES"/>
        </w:rPr>
        <w:t>2750</w:t>
      </w:r>
      <w:r w:rsidRPr="0036554A">
        <w:rPr>
          <w:lang w:val="es-ES"/>
        </w:rPr>
        <w:t>/</w:t>
      </w:r>
      <w:r w:rsidR="000D4558">
        <w:rPr>
          <w:lang w:val="es-ES"/>
        </w:rPr>
        <w:t>2016</w:t>
      </w:r>
      <w:r w:rsidR="00BE3D7B" w:rsidRPr="0036554A">
        <w:rPr>
          <w:rStyle w:val="FootnoteReference"/>
          <w:sz w:val="20"/>
          <w:vertAlign w:val="baseline"/>
          <w:lang w:val="es-ES"/>
        </w:rPr>
        <w:footnoteReference w:customMarkFollows="1" w:id="1"/>
        <w:t>*</w:t>
      </w:r>
      <w:r w:rsidR="00BE3D7B">
        <w:rPr>
          <w:lang w:val="es-ES"/>
        </w:rPr>
        <w:t>,</w:t>
      </w:r>
      <w:r w:rsidRPr="00C13626">
        <w:rPr>
          <w:rStyle w:val="FootnoteReference"/>
          <w:bCs/>
          <w:sz w:val="20"/>
          <w:vertAlign w:val="baseline"/>
          <w:lang w:val="es-ES"/>
        </w:rPr>
        <w:footnoteReference w:customMarkFollows="1" w:id="2"/>
        <w:t>**</w:t>
      </w:r>
    </w:p>
    <w:p w14:paraId="5572A429" w14:textId="06019EDB" w:rsidR="006A31AE" w:rsidRPr="0036554A" w:rsidRDefault="006A31AE" w:rsidP="006A31AE">
      <w:pPr>
        <w:pStyle w:val="H1G"/>
        <w:rPr>
          <w:rFonts w:eastAsia="MS Mincho"/>
          <w:lang w:val="es-ES"/>
        </w:rPr>
      </w:pPr>
      <w:r w:rsidRPr="0036554A">
        <w:rPr>
          <w:rFonts w:eastAsia="MS Mincho"/>
          <w:lang w:val="es-ES"/>
        </w:rPr>
        <w:tab/>
      </w:r>
      <w:r w:rsidRPr="0036554A">
        <w:rPr>
          <w:rFonts w:eastAsia="MS Mincho"/>
          <w:lang w:val="es-ES"/>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A8469B" w14:paraId="5572A42C" w14:textId="77777777" w:rsidTr="00581E59">
        <w:tc>
          <w:tcPr>
            <w:tcW w:w="3544" w:type="dxa"/>
          </w:tcPr>
          <w:p w14:paraId="5572A42A" w14:textId="5E8DA410"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14:paraId="5572A42B" w14:textId="5E5A47D5" w:rsidR="006A31AE" w:rsidRPr="0036554A" w:rsidRDefault="002A19BE" w:rsidP="001731E5">
            <w:pPr>
              <w:pStyle w:val="SingleTxtG"/>
              <w:ind w:left="0" w:right="0"/>
              <w:rPr>
                <w:lang w:val="es-ES"/>
              </w:rPr>
            </w:pPr>
            <w:r w:rsidRPr="002A19BE">
              <w:rPr>
                <w:lang w:val="es-ES"/>
              </w:rPr>
              <w:t>Maria Eugenia Padilla García, Ricardo Ulises Téllez Padilla y Maria Eugenia Zaldívar Padilla</w:t>
            </w:r>
            <w:r w:rsidR="00467A1D">
              <w:rPr>
                <w:lang w:val="es-ES"/>
              </w:rPr>
              <w:t xml:space="preserve">, en nombre propio y en nombre de </w:t>
            </w:r>
            <w:r w:rsidR="002A7B5D" w:rsidRPr="00A50E32">
              <w:rPr>
                <w:lang w:val="es-ES"/>
              </w:rPr>
              <w:t>Christian Téllez Padilla</w:t>
            </w:r>
            <w:r w:rsidR="002A7B5D">
              <w:rPr>
                <w:lang w:val="es-ES"/>
              </w:rPr>
              <w:t>, hijo y hermano</w:t>
            </w:r>
            <w:r w:rsidR="00467A1D">
              <w:rPr>
                <w:lang w:val="es-ES"/>
              </w:rPr>
              <w:t xml:space="preserve"> desaparecido</w:t>
            </w:r>
            <w:r w:rsidR="00551781">
              <w:rPr>
                <w:lang w:val="es-ES"/>
              </w:rPr>
              <w:t xml:space="preserve"> </w:t>
            </w:r>
            <w:r w:rsidR="00D14549" w:rsidRPr="0036554A">
              <w:rPr>
                <w:lang w:val="es-ES"/>
              </w:rPr>
              <w:t>(</w:t>
            </w:r>
            <w:r w:rsidR="00B1630B" w:rsidRPr="0036554A">
              <w:rPr>
                <w:spacing w:val="-2"/>
                <w:lang w:val="es-ES"/>
              </w:rPr>
              <w:t>representado</w:t>
            </w:r>
            <w:r w:rsidR="009C67B2">
              <w:rPr>
                <w:spacing w:val="-2"/>
                <w:lang w:val="es-ES"/>
              </w:rPr>
              <w:t>s</w:t>
            </w:r>
            <w:r w:rsidR="00B1630B" w:rsidRPr="0036554A">
              <w:rPr>
                <w:spacing w:val="-2"/>
                <w:lang w:val="es-ES"/>
              </w:rPr>
              <w:t xml:space="preserve"> por </w:t>
            </w:r>
            <w:r w:rsidR="009C67B2" w:rsidRPr="009C67B2">
              <w:rPr>
                <w:spacing w:val="-2"/>
                <w:lang w:val="es-ES"/>
              </w:rPr>
              <w:t>I(DH)EAS Litigio Estratégico en Derechos Humanos</w:t>
            </w:r>
            <w:r w:rsidR="009C67B2">
              <w:rPr>
                <w:spacing w:val="-2"/>
                <w:lang w:val="es-ES"/>
              </w:rPr>
              <w:t xml:space="preserve">, y </w:t>
            </w:r>
            <w:r w:rsidR="009C67B2" w:rsidRPr="009C67B2">
              <w:rPr>
                <w:spacing w:val="-2"/>
                <w:lang w:val="es-ES"/>
              </w:rPr>
              <w:t>Comisión Mexicana de Defensa y Promoción de los Derechos Humanos</w:t>
            </w:r>
            <w:r w:rsidR="00D14549" w:rsidRPr="0036554A">
              <w:rPr>
                <w:lang w:val="es-ES"/>
              </w:rPr>
              <w:t>)</w:t>
            </w:r>
          </w:p>
        </w:tc>
      </w:tr>
      <w:tr w:rsidR="0036554A" w:rsidRPr="00A8469B" w14:paraId="5572A42F" w14:textId="77777777" w:rsidTr="00581E59">
        <w:tc>
          <w:tcPr>
            <w:tcW w:w="3544" w:type="dxa"/>
          </w:tcPr>
          <w:p w14:paraId="5572A42D" w14:textId="54CF7F3F" w:rsidR="006A31AE" w:rsidRPr="0036554A" w:rsidRDefault="0013341D" w:rsidP="005553FD">
            <w:pPr>
              <w:pStyle w:val="SingleTxtG"/>
              <w:ind w:left="0" w:right="0"/>
              <w:jc w:val="left"/>
              <w:rPr>
                <w:i/>
                <w:lang w:val="es-ES"/>
              </w:rPr>
            </w:pPr>
            <w:r w:rsidRPr="0036554A">
              <w:rPr>
                <w:i/>
                <w:iCs/>
                <w:lang w:val="es-ES_tradnl"/>
              </w:rPr>
              <w:t>Presunta</w:t>
            </w:r>
            <w:r w:rsidR="0035576C">
              <w:rPr>
                <w:i/>
                <w:iCs/>
                <w:lang w:val="es-ES_tradnl"/>
              </w:rPr>
              <w:t>s</w:t>
            </w:r>
            <w:r w:rsidRPr="0036554A">
              <w:rPr>
                <w:i/>
                <w:iCs/>
                <w:lang w:val="es-ES_tradnl"/>
              </w:rPr>
              <w:t xml:space="preserve"> víctima</w:t>
            </w:r>
            <w:r w:rsidR="0035576C">
              <w:rPr>
                <w:i/>
                <w:iCs/>
                <w:lang w:val="es-ES_tradnl"/>
              </w:rPr>
              <w:t>s</w:t>
            </w:r>
            <w:r w:rsidR="006A31AE" w:rsidRPr="0036554A">
              <w:rPr>
                <w:i/>
                <w:lang w:val="es-ES"/>
              </w:rPr>
              <w:t>:</w:t>
            </w:r>
          </w:p>
        </w:tc>
        <w:tc>
          <w:tcPr>
            <w:tcW w:w="3260" w:type="dxa"/>
          </w:tcPr>
          <w:p w14:paraId="5572A42E" w14:textId="669F1B60" w:rsidR="006A31AE" w:rsidRPr="0036554A" w:rsidRDefault="00A85FE7" w:rsidP="00F7048E">
            <w:pPr>
              <w:pStyle w:val="SingleTxtG"/>
              <w:ind w:left="0" w:right="0"/>
              <w:rPr>
                <w:lang w:val="es-ES"/>
              </w:rPr>
            </w:pPr>
            <w:r>
              <w:rPr>
                <w:lang w:val="es-ES"/>
              </w:rPr>
              <w:t>Los autores y</w:t>
            </w:r>
            <w:r w:rsidRPr="00A50E32">
              <w:rPr>
                <w:lang w:val="es-ES"/>
              </w:rPr>
              <w:t xml:space="preserve"> </w:t>
            </w:r>
            <w:r w:rsidR="00A50E32" w:rsidRPr="00A50E32">
              <w:rPr>
                <w:lang w:val="es-ES"/>
              </w:rPr>
              <w:t>Christian Téllez Padilla</w:t>
            </w:r>
            <w:r>
              <w:rPr>
                <w:lang w:val="es-ES"/>
              </w:rPr>
              <w:t xml:space="preserve"> (hijo y hermano de los autores) </w:t>
            </w:r>
          </w:p>
        </w:tc>
      </w:tr>
      <w:tr w:rsidR="0036554A" w:rsidRPr="0036554A" w14:paraId="5572A432" w14:textId="77777777" w:rsidTr="00581E59">
        <w:tc>
          <w:tcPr>
            <w:tcW w:w="3544" w:type="dxa"/>
          </w:tcPr>
          <w:p w14:paraId="5572A430" w14:textId="3EB4CB56"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14:paraId="5572A431" w14:textId="0DD3FB71" w:rsidR="006A31AE" w:rsidRPr="0036554A" w:rsidRDefault="0035576C" w:rsidP="005553FD">
            <w:pPr>
              <w:pStyle w:val="SingleTxtG"/>
              <w:ind w:left="0" w:right="0"/>
              <w:jc w:val="left"/>
              <w:rPr>
                <w:lang w:val="es-ES"/>
              </w:rPr>
            </w:pPr>
            <w:r>
              <w:rPr>
                <w:lang w:val="es-ES_tradnl"/>
              </w:rPr>
              <w:t>México</w:t>
            </w:r>
          </w:p>
        </w:tc>
      </w:tr>
      <w:tr w:rsidR="0036554A" w:rsidRPr="0036554A" w14:paraId="5572A435" w14:textId="77777777" w:rsidTr="00581E59">
        <w:tc>
          <w:tcPr>
            <w:tcW w:w="3544" w:type="dxa"/>
          </w:tcPr>
          <w:p w14:paraId="5572A433" w14:textId="2955FE8B"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14:paraId="5572A434" w14:textId="5727B2AE" w:rsidR="006A31AE" w:rsidRPr="0036554A" w:rsidRDefault="00B11A5A" w:rsidP="00B11A5A">
            <w:pPr>
              <w:spacing w:after="120"/>
              <w:rPr>
                <w:lang w:val="es-ES"/>
              </w:rPr>
            </w:pPr>
            <w:r>
              <w:rPr>
                <w:lang w:val="es-ES"/>
              </w:rPr>
              <w:t>10</w:t>
            </w:r>
            <w:r w:rsidR="00442BF6" w:rsidRPr="0036554A">
              <w:rPr>
                <w:lang w:val="es-ES"/>
              </w:rPr>
              <w:t xml:space="preserve"> de </w:t>
            </w:r>
            <w:r>
              <w:rPr>
                <w:lang w:val="es-ES"/>
              </w:rPr>
              <w:t>noviembre</w:t>
            </w:r>
            <w:r w:rsidR="00442BF6" w:rsidRPr="0036554A">
              <w:rPr>
                <w:lang w:val="es-ES"/>
              </w:rPr>
              <w:t xml:space="preserve"> de 2015</w:t>
            </w:r>
          </w:p>
        </w:tc>
      </w:tr>
      <w:tr w:rsidR="0036554A" w:rsidRPr="00A8469B" w14:paraId="5572A438" w14:textId="77777777" w:rsidTr="00581E59">
        <w:tc>
          <w:tcPr>
            <w:tcW w:w="3544" w:type="dxa"/>
          </w:tcPr>
          <w:p w14:paraId="5572A436" w14:textId="68740199"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3260" w:type="dxa"/>
          </w:tcPr>
          <w:p w14:paraId="5572A437" w14:textId="1F60AD66" w:rsidR="006A31AE" w:rsidRPr="0036554A" w:rsidRDefault="00EC5141" w:rsidP="00B51A64">
            <w:pPr>
              <w:pStyle w:val="SingleTxtG"/>
              <w:ind w:left="0" w:right="0"/>
              <w:rPr>
                <w:lang w:val="es-ES"/>
              </w:rPr>
            </w:pPr>
            <w:r w:rsidRPr="0036554A">
              <w:rPr>
                <w:lang w:val="es-ES"/>
              </w:rPr>
              <w:t xml:space="preserve">Decisión </w:t>
            </w:r>
            <w:r w:rsidRPr="00695280">
              <w:rPr>
                <w:lang w:val="es-ES"/>
              </w:rPr>
              <w:t xml:space="preserve">del Relator Especial </w:t>
            </w:r>
            <w:r w:rsidR="00636E05">
              <w:rPr>
                <w:lang w:val="es-ES"/>
              </w:rPr>
              <w:t>con arreglo al artículo 92</w:t>
            </w:r>
            <w:r w:rsidRPr="0036554A">
              <w:rPr>
                <w:lang w:val="es-ES"/>
              </w:rPr>
              <w:t xml:space="preserve"> del reglamento, transmitida al Estado </w:t>
            </w:r>
            <w:r w:rsidRPr="00B51A64">
              <w:rPr>
                <w:lang w:val="es-ES"/>
              </w:rPr>
              <w:t>parte el</w:t>
            </w:r>
            <w:r w:rsidR="0036554A" w:rsidRPr="00B51A64">
              <w:rPr>
                <w:lang w:val="es-ES"/>
              </w:rPr>
              <w:t xml:space="preserve"> </w:t>
            </w:r>
            <w:r w:rsidR="00B51A64" w:rsidRPr="00B51A64">
              <w:rPr>
                <w:lang w:val="es-ES"/>
              </w:rPr>
              <w:t>15</w:t>
            </w:r>
            <w:r w:rsidR="0036554A" w:rsidRPr="00B51A64">
              <w:rPr>
                <w:lang w:val="es-ES"/>
              </w:rPr>
              <w:t xml:space="preserve"> de </w:t>
            </w:r>
            <w:r w:rsidR="00B51A64" w:rsidRPr="00B51A64">
              <w:rPr>
                <w:lang w:val="es-ES"/>
              </w:rPr>
              <w:t>marzo de 2016</w:t>
            </w:r>
            <w:r w:rsidR="00E03BB2" w:rsidRPr="00B51A64">
              <w:rPr>
                <w:lang w:val="es-ES"/>
              </w:rPr>
              <w:t xml:space="preserve"> </w:t>
            </w:r>
            <w:r w:rsidRPr="00B51A64">
              <w:rPr>
                <w:lang w:val="es-ES"/>
              </w:rPr>
              <w:t xml:space="preserve">(no se publicó </w:t>
            </w:r>
            <w:r w:rsidRPr="0036554A">
              <w:rPr>
                <w:lang w:val="es-ES"/>
              </w:rPr>
              <w:t>como documento)</w:t>
            </w:r>
          </w:p>
        </w:tc>
      </w:tr>
      <w:tr w:rsidR="0036554A" w:rsidRPr="00B47898" w14:paraId="5572A43B" w14:textId="77777777" w:rsidTr="00581E59">
        <w:tc>
          <w:tcPr>
            <w:tcW w:w="3544" w:type="dxa"/>
          </w:tcPr>
          <w:p w14:paraId="5572A439" w14:textId="6ED5FC77" w:rsidR="006A31AE" w:rsidRPr="00901DE1" w:rsidRDefault="00512402" w:rsidP="005553FD">
            <w:pPr>
              <w:pStyle w:val="SingleTxtG"/>
              <w:ind w:left="0" w:right="0"/>
              <w:jc w:val="left"/>
              <w:rPr>
                <w:i/>
                <w:lang w:val="es-ES"/>
              </w:rPr>
            </w:pPr>
            <w:r w:rsidRPr="00280BCD">
              <w:rPr>
                <w:i/>
                <w:iCs/>
                <w:lang w:val="es-ES_tradnl"/>
              </w:rPr>
              <w:t>Fecha de adopción</w:t>
            </w:r>
            <w:r w:rsidRPr="007B1BCB">
              <w:rPr>
                <w:i/>
                <w:iCs/>
                <w:lang w:val="es-ES_tradnl"/>
              </w:rPr>
              <w:t xml:space="preserve"> </w:t>
            </w:r>
            <w:r w:rsidRPr="00901DE1">
              <w:rPr>
                <w:i/>
                <w:iCs/>
                <w:lang w:val="es-ES_tradnl"/>
              </w:rPr>
              <w:t>de la decisión</w:t>
            </w:r>
            <w:r w:rsidR="006A31AE" w:rsidRPr="00901DE1">
              <w:rPr>
                <w:i/>
                <w:lang w:val="es-ES"/>
              </w:rPr>
              <w:t>:</w:t>
            </w:r>
          </w:p>
        </w:tc>
        <w:tc>
          <w:tcPr>
            <w:tcW w:w="3260" w:type="dxa"/>
            <w:vAlign w:val="bottom"/>
          </w:tcPr>
          <w:p w14:paraId="5572A43A" w14:textId="0737E605" w:rsidR="006A31AE" w:rsidRPr="00944E7A" w:rsidRDefault="0039386A" w:rsidP="00B11A5A">
            <w:pPr>
              <w:pStyle w:val="SingleTxtG"/>
              <w:ind w:left="0" w:right="0"/>
              <w:jc w:val="left"/>
              <w:rPr>
                <w:lang w:val="es-ES"/>
              </w:rPr>
            </w:pPr>
            <w:r>
              <w:rPr>
                <w:lang w:val="es-ES"/>
              </w:rPr>
              <w:t>15</w:t>
            </w:r>
            <w:r w:rsidRPr="001B0D22">
              <w:rPr>
                <w:lang w:val="es-ES"/>
              </w:rPr>
              <w:t xml:space="preserve"> </w:t>
            </w:r>
            <w:r w:rsidR="00944E7A">
              <w:rPr>
                <w:lang w:val="es-ES"/>
              </w:rPr>
              <w:t xml:space="preserve">de </w:t>
            </w:r>
            <w:r w:rsidR="00B11A5A">
              <w:rPr>
                <w:lang w:val="es-ES"/>
              </w:rPr>
              <w:t>julio</w:t>
            </w:r>
            <w:r w:rsidR="00944E7A">
              <w:rPr>
                <w:lang w:val="es-ES"/>
              </w:rPr>
              <w:t xml:space="preserve"> de 2019</w:t>
            </w:r>
          </w:p>
        </w:tc>
      </w:tr>
      <w:tr w:rsidR="0036554A" w:rsidRPr="00856798" w14:paraId="5572A43E" w14:textId="77777777" w:rsidTr="00581E59">
        <w:tc>
          <w:tcPr>
            <w:tcW w:w="3544" w:type="dxa"/>
          </w:tcPr>
          <w:p w14:paraId="5572A43C" w14:textId="56AD07E1"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14:paraId="5572A43D" w14:textId="5120938D" w:rsidR="006A31AE" w:rsidRPr="0036554A" w:rsidRDefault="00B11A5A" w:rsidP="00944E7A">
            <w:pPr>
              <w:spacing w:after="120"/>
              <w:jc w:val="both"/>
              <w:rPr>
                <w:lang w:val="es-ES"/>
              </w:rPr>
            </w:pPr>
            <w:r w:rsidRPr="00B11A5A">
              <w:rPr>
                <w:lang w:val="es-ES"/>
              </w:rPr>
              <w:t>Desaparición forzada</w:t>
            </w:r>
          </w:p>
        </w:tc>
      </w:tr>
      <w:tr w:rsidR="0036554A" w:rsidRPr="00A8469B" w14:paraId="5572A441" w14:textId="77777777" w:rsidTr="00581E59">
        <w:tc>
          <w:tcPr>
            <w:tcW w:w="3544" w:type="dxa"/>
          </w:tcPr>
          <w:p w14:paraId="5572A43F" w14:textId="464616F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14:paraId="5572A440" w14:textId="2A7D18FA" w:rsidR="006A31AE" w:rsidRPr="00944E7A" w:rsidRDefault="00017187" w:rsidP="00944E7A">
            <w:pPr>
              <w:pStyle w:val="SingleTxtG"/>
              <w:ind w:left="0" w:right="0"/>
              <w:rPr>
                <w:lang w:val="es-ES_tradnl"/>
              </w:rPr>
            </w:pPr>
            <w:r w:rsidRPr="00017187">
              <w:rPr>
                <w:lang w:val="es-ES_tradnl"/>
              </w:rPr>
              <w:t>Agotamiento de los recursos internos</w:t>
            </w:r>
          </w:p>
        </w:tc>
      </w:tr>
      <w:tr w:rsidR="0036554A" w:rsidRPr="00A8469B" w14:paraId="5572A444" w14:textId="77777777" w:rsidTr="00581E59">
        <w:tc>
          <w:tcPr>
            <w:tcW w:w="3544" w:type="dxa"/>
          </w:tcPr>
          <w:p w14:paraId="5572A442" w14:textId="027E670D" w:rsidR="006A31AE" w:rsidRPr="0036554A" w:rsidRDefault="00512402" w:rsidP="005553FD">
            <w:pPr>
              <w:pStyle w:val="SingleTxtG"/>
              <w:keepNext/>
              <w:ind w:left="0" w:right="0"/>
              <w:jc w:val="left"/>
              <w:rPr>
                <w:i/>
                <w:iCs/>
                <w:lang w:val="es-ES"/>
              </w:rPr>
            </w:pPr>
            <w:r w:rsidRPr="0036554A">
              <w:rPr>
                <w:i/>
                <w:iCs/>
                <w:lang w:val="es-ES"/>
              </w:rPr>
              <w:lastRenderedPageBreak/>
              <w:t>Cuestiones de fondo</w:t>
            </w:r>
            <w:r w:rsidR="006A31AE" w:rsidRPr="0036554A">
              <w:rPr>
                <w:i/>
                <w:iCs/>
                <w:lang w:val="es-ES"/>
              </w:rPr>
              <w:t>:</w:t>
            </w:r>
          </w:p>
        </w:tc>
        <w:tc>
          <w:tcPr>
            <w:tcW w:w="3260" w:type="dxa"/>
          </w:tcPr>
          <w:p w14:paraId="5572A443" w14:textId="12F4F75E" w:rsidR="006A31AE" w:rsidRPr="00944E7A" w:rsidRDefault="003F2E71" w:rsidP="003F2E71">
            <w:pPr>
              <w:keepNext/>
              <w:spacing w:after="120"/>
              <w:jc w:val="both"/>
              <w:rPr>
                <w:lang w:val="es-ES_tradnl"/>
              </w:rPr>
            </w:pPr>
            <w:r>
              <w:rPr>
                <w:lang w:val="es-ES"/>
              </w:rPr>
              <w:t>D</w:t>
            </w:r>
            <w:r w:rsidRPr="00B11A5A">
              <w:rPr>
                <w:lang w:val="es-ES"/>
              </w:rPr>
              <w:t>erecho a un recurso efectivo</w:t>
            </w:r>
            <w:r>
              <w:rPr>
                <w:lang w:val="es-ES"/>
              </w:rPr>
              <w:t>; d</w:t>
            </w:r>
            <w:r w:rsidR="006A1B36">
              <w:rPr>
                <w:lang w:val="es-ES"/>
              </w:rPr>
              <w:t>erecho a la vida;</w:t>
            </w:r>
            <w:r w:rsidR="00B11A5A" w:rsidRPr="00B11A5A">
              <w:rPr>
                <w:lang w:val="es-ES"/>
              </w:rPr>
              <w:t xml:space="preserve"> prohibición de la tortura y</w:t>
            </w:r>
            <w:r w:rsidR="006A1B36">
              <w:rPr>
                <w:lang w:val="es-ES"/>
              </w:rPr>
              <w:t xml:space="preserve"> los tratos crueles e inhumanos;</w:t>
            </w:r>
            <w:r w:rsidR="00B11A5A" w:rsidRPr="00B11A5A">
              <w:rPr>
                <w:lang w:val="es-ES"/>
              </w:rPr>
              <w:t xml:space="preserve"> derecho a la liber</w:t>
            </w:r>
            <w:r w:rsidR="006A1B36">
              <w:rPr>
                <w:lang w:val="es-ES"/>
              </w:rPr>
              <w:t>tad y a la seguridad personales;</w:t>
            </w:r>
            <w:r w:rsidR="00B11A5A" w:rsidRPr="00B11A5A">
              <w:rPr>
                <w:lang w:val="es-ES"/>
              </w:rPr>
              <w:t xml:space="preserve"> reconocimiento de la personalidad jurídica</w:t>
            </w:r>
            <w:r w:rsidR="002818D1">
              <w:rPr>
                <w:lang w:val="es-ES"/>
              </w:rPr>
              <w:t>.</w:t>
            </w:r>
          </w:p>
        </w:tc>
      </w:tr>
      <w:tr w:rsidR="0036554A" w:rsidRPr="0036554A" w14:paraId="5572A447" w14:textId="77777777" w:rsidTr="00581E59">
        <w:tc>
          <w:tcPr>
            <w:tcW w:w="3544" w:type="dxa"/>
          </w:tcPr>
          <w:p w14:paraId="5572A445" w14:textId="4AA7424D" w:rsidR="006A31AE" w:rsidRPr="0036554A" w:rsidRDefault="00512402" w:rsidP="005553FD">
            <w:pPr>
              <w:pStyle w:val="SingleTxtG"/>
              <w:ind w:left="0" w:right="0"/>
              <w:jc w:val="left"/>
              <w:rPr>
                <w:i/>
                <w:iCs/>
                <w:lang w:val="es-ES"/>
              </w:rPr>
            </w:pPr>
            <w:r w:rsidRPr="0036554A">
              <w:rPr>
                <w:i/>
                <w:iCs/>
                <w:lang w:val="es-ES_tradnl"/>
              </w:rPr>
              <w:t>Artículos del Pacto</w:t>
            </w:r>
            <w:r w:rsidR="006A31AE" w:rsidRPr="0036554A">
              <w:rPr>
                <w:i/>
                <w:lang w:val="es-ES"/>
              </w:rPr>
              <w:t>:</w:t>
            </w:r>
          </w:p>
        </w:tc>
        <w:tc>
          <w:tcPr>
            <w:tcW w:w="3260" w:type="dxa"/>
          </w:tcPr>
          <w:p w14:paraId="5572A446" w14:textId="6435C12E" w:rsidR="006A31AE" w:rsidRPr="0036554A" w:rsidRDefault="002C34EB" w:rsidP="006A1B36">
            <w:pPr>
              <w:pStyle w:val="SingleTxtG"/>
              <w:ind w:left="0" w:right="0"/>
              <w:jc w:val="left"/>
              <w:rPr>
                <w:lang w:val="es-ES"/>
              </w:rPr>
            </w:pPr>
            <w:r>
              <w:rPr>
                <w:lang w:val="es-ES"/>
              </w:rPr>
              <w:t xml:space="preserve">2 (3), </w:t>
            </w:r>
            <w:r w:rsidR="006A1B36">
              <w:rPr>
                <w:lang w:val="es-ES"/>
              </w:rPr>
              <w:t>6</w:t>
            </w:r>
            <w:r w:rsidR="00171878">
              <w:rPr>
                <w:lang w:val="es-ES"/>
              </w:rPr>
              <w:t xml:space="preserve"> (1)</w:t>
            </w:r>
            <w:r w:rsidR="006A1B36">
              <w:rPr>
                <w:lang w:val="es-ES"/>
              </w:rPr>
              <w:t xml:space="preserve">, </w:t>
            </w:r>
            <w:r w:rsidR="00094134" w:rsidRPr="0036554A">
              <w:rPr>
                <w:lang w:val="es-ES"/>
              </w:rPr>
              <w:t>7,</w:t>
            </w:r>
            <w:r w:rsidR="007A160A" w:rsidRPr="0036554A">
              <w:rPr>
                <w:lang w:val="es-ES"/>
              </w:rPr>
              <w:t xml:space="preserve"> </w:t>
            </w:r>
            <w:r w:rsidR="006A1B36">
              <w:rPr>
                <w:lang w:val="es-ES"/>
              </w:rPr>
              <w:t>9, 16</w:t>
            </w:r>
          </w:p>
        </w:tc>
      </w:tr>
      <w:tr w:rsidR="0036554A" w:rsidRPr="0036554A" w14:paraId="5572A44A" w14:textId="77777777" w:rsidTr="00581E59">
        <w:tc>
          <w:tcPr>
            <w:tcW w:w="3544" w:type="dxa"/>
          </w:tcPr>
          <w:p w14:paraId="5572A448" w14:textId="1F32D231" w:rsidR="006A31AE" w:rsidRPr="0036554A" w:rsidRDefault="00F907E8" w:rsidP="005553FD">
            <w:pPr>
              <w:pStyle w:val="SingleTxtG"/>
              <w:ind w:left="0" w:right="0"/>
              <w:jc w:val="left"/>
              <w:rPr>
                <w:i/>
                <w:iCs/>
                <w:lang w:val="es-ES"/>
              </w:rPr>
            </w:pPr>
            <w:r w:rsidRPr="0036554A">
              <w:rPr>
                <w:i/>
                <w:iCs/>
                <w:lang w:val="es-ES_tradnl"/>
              </w:rPr>
              <w:t>Artículos del Protocolo Facultativo</w:t>
            </w:r>
            <w:r w:rsidR="006A31AE" w:rsidRPr="0036554A">
              <w:rPr>
                <w:i/>
                <w:iCs/>
                <w:lang w:val="es-ES"/>
              </w:rPr>
              <w:t>:</w:t>
            </w:r>
          </w:p>
        </w:tc>
        <w:tc>
          <w:tcPr>
            <w:tcW w:w="3260" w:type="dxa"/>
          </w:tcPr>
          <w:p w14:paraId="5572A449" w14:textId="30B643DA" w:rsidR="006A31AE" w:rsidRPr="0036554A" w:rsidRDefault="00306847" w:rsidP="007C2E7D">
            <w:pPr>
              <w:pStyle w:val="SingleTxtG"/>
              <w:ind w:left="0" w:right="0"/>
              <w:jc w:val="left"/>
              <w:rPr>
                <w:lang w:val="es-ES"/>
              </w:rPr>
            </w:pPr>
            <w:r>
              <w:rPr>
                <w:lang w:val="es-ES"/>
              </w:rPr>
              <w:t>5 (2) (b</w:t>
            </w:r>
            <w:r w:rsidR="007C2E7D">
              <w:rPr>
                <w:lang w:val="es-ES"/>
              </w:rPr>
              <w:t>)</w:t>
            </w:r>
          </w:p>
        </w:tc>
      </w:tr>
    </w:tbl>
    <w:p w14:paraId="57A8BAFE" w14:textId="41B72F31" w:rsidR="00AB46A3" w:rsidRPr="00025907" w:rsidRDefault="000D4140" w:rsidP="00824F80">
      <w:pPr>
        <w:pStyle w:val="SingleTxtG"/>
        <w:rPr>
          <w:lang w:val="es-ES"/>
        </w:rPr>
      </w:pPr>
      <w:r w:rsidRPr="00025907">
        <w:rPr>
          <w:lang w:val="es-ES"/>
        </w:rPr>
        <w:t>1.</w:t>
      </w:r>
      <w:r w:rsidR="00AB46A3" w:rsidRPr="00025907">
        <w:rPr>
          <w:lang w:val="es-ES"/>
        </w:rPr>
        <w:t>1</w:t>
      </w:r>
      <w:r w:rsidRPr="00025907">
        <w:rPr>
          <w:lang w:val="es-ES"/>
        </w:rPr>
        <w:tab/>
      </w:r>
      <w:r w:rsidR="00AB46A3" w:rsidRPr="00025907">
        <w:rPr>
          <w:lang w:val="es-ES"/>
        </w:rPr>
        <w:t xml:space="preserve">Los autores de la comunicación, de fecha 10 de noviembre de 2015, son </w:t>
      </w:r>
      <w:r w:rsidR="00A52D8A" w:rsidRPr="00025907">
        <w:rPr>
          <w:lang w:val="es-ES"/>
        </w:rPr>
        <w:t>María</w:t>
      </w:r>
      <w:r w:rsidR="00AB46A3" w:rsidRPr="00025907">
        <w:rPr>
          <w:lang w:val="es-ES"/>
        </w:rPr>
        <w:t xml:space="preserve"> Eugenia Padilla García, Ricardo Ulises Téllez Padilla y </w:t>
      </w:r>
      <w:r w:rsidR="00A52D8A" w:rsidRPr="00025907">
        <w:rPr>
          <w:lang w:val="es-ES"/>
        </w:rPr>
        <w:t>María</w:t>
      </w:r>
      <w:r w:rsidR="00AB46A3" w:rsidRPr="00025907">
        <w:rPr>
          <w:lang w:val="es-ES"/>
        </w:rPr>
        <w:t xml:space="preserve"> Eugenia Zaldívar Padilla, ciudadanos mexicanos nacidos el 5 de noviembre de 1960, 1 de mayo de 1985 y 19 de</w:t>
      </w:r>
      <w:r w:rsidR="00E13A9F" w:rsidRPr="00025907">
        <w:rPr>
          <w:lang w:val="es-ES"/>
        </w:rPr>
        <w:t xml:space="preserve"> marzo de 1989, respectivamente. Los autores actúan</w:t>
      </w:r>
      <w:r w:rsidR="00AB46A3" w:rsidRPr="00025907">
        <w:rPr>
          <w:lang w:val="es-ES"/>
        </w:rPr>
        <w:t xml:space="preserve"> en nombre propio y en nombre de </w:t>
      </w:r>
      <w:r w:rsidR="00E13A9F" w:rsidRPr="00025907">
        <w:rPr>
          <w:lang w:val="es-ES"/>
        </w:rPr>
        <w:t>Christian Téllez Padilla, hijo y hermano de los autores</w:t>
      </w:r>
      <w:r w:rsidR="00AB46A3" w:rsidRPr="00025907">
        <w:rPr>
          <w:lang w:val="es-ES"/>
        </w:rPr>
        <w:t xml:space="preserve">, también de nacionalidad mexicana, nacido el 24 de julio de 1980 y desaparecido desde el 20 de octubre de 2010. Los autores alegan que el Estado parte ha violado los derechos del Sr. Christian Téllez Padilla bajo los artículos 6 </w:t>
      </w:r>
      <w:r w:rsidR="00025907" w:rsidRPr="00025907">
        <w:rPr>
          <w:lang w:val="es-ES"/>
        </w:rPr>
        <w:t xml:space="preserve">párrafo </w:t>
      </w:r>
      <w:r w:rsidR="00AB46A3" w:rsidRPr="00025907">
        <w:rPr>
          <w:lang w:val="es-ES"/>
        </w:rPr>
        <w:t xml:space="preserve">1, 7, 9 y 16 del Pacto, leídos </w:t>
      </w:r>
      <w:r w:rsidR="00F4370F">
        <w:rPr>
          <w:lang w:val="es-ES"/>
        </w:rPr>
        <w:t>solos</w:t>
      </w:r>
      <w:r w:rsidR="00AB46A3" w:rsidRPr="00025907">
        <w:rPr>
          <w:lang w:val="es-ES"/>
        </w:rPr>
        <w:t xml:space="preserve"> y </w:t>
      </w:r>
      <w:r w:rsidR="00952F5C">
        <w:rPr>
          <w:lang w:val="es-ES"/>
        </w:rPr>
        <w:t>conjuntamente</w:t>
      </w:r>
      <w:r w:rsidR="00AB46A3" w:rsidRPr="00025907">
        <w:rPr>
          <w:lang w:val="es-ES"/>
        </w:rPr>
        <w:t xml:space="preserve"> con el artículo 2</w:t>
      </w:r>
      <w:r w:rsidR="00952F5C">
        <w:rPr>
          <w:lang w:val="es-ES"/>
        </w:rPr>
        <w:t>,</w:t>
      </w:r>
      <w:r w:rsidR="00AB46A3" w:rsidRPr="00025907">
        <w:rPr>
          <w:lang w:val="es-ES"/>
        </w:rPr>
        <w:t xml:space="preserve"> </w:t>
      </w:r>
      <w:r w:rsidR="00025907" w:rsidRPr="00025907">
        <w:rPr>
          <w:lang w:val="es-ES"/>
        </w:rPr>
        <w:t xml:space="preserve">párrafo </w:t>
      </w:r>
      <w:r w:rsidR="00AB46A3" w:rsidRPr="00025907">
        <w:rPr>
          <w:lang w:val="es-ES"/>
        </w:rPr>
        <w:t>3</w:t>
      </w:r>
      <w:r w:rsidR="00952F5C">
        <w:rPr>
          <w:lang w:val="es-ES"/>
        </w:rPr>
        <w:t xml:space="preserve"> del Pacto</w:t>
      </w:r>
      <w:r w:rsidR="00AB46A3" w:rsidRPr="00025907">
        <w:rPr>
          <w:lang w:val="es-ES"/>
        </w:rPr>
        <w:t>. Los autores alegan también ser víctimas de una violación por el Estado parte de sus derechos contenidos en el artículo 7 del Pacto, leído solo y en conjunto con el artíc</w:t>
      </w:r>
      <w:r w:rsidR="00EC1768" w:rsidRPr="00025907">
        <w:rPr>
          <w:lang w:val="es-ES"/>
        </w:rPr>
        <w:t xml:space="preserve">ulo 2 </w:t>
      </w:r>
      <w:r w:rsidR="00025907" w:rsidRPr="00025907">
        <w:rPr>
          <w:lang w:val="es-ES"/>
        </w:rPr>
        <w:t xml:space="preserve">párrafo </w:t>
      </w:r>
      <w:r w:rsidR="00CF7CB3">
        <w:rPr>
          <w:lang w:val="es-ES"/>
        </w:rPr>
        <w:t>3. Los autores</w:t>
      </w:r>
      <w:r w:rsidR="00EC1768" w:rsidRPr="00025907">
        <w:rPr>
          <w:lang w:val="es-ES"/>
        </w:rPr>
        <w:t xml:space="preserve"> t</w:t>
      </w:r>
      <w:r w:rsidR="00AB46A3" w:rsidRPr="00025907">
        <w:rPr>
          <w:lang w:val="es-ES"/>
        </w:rPr>
        <w:t>ambién alegan una violación del artículo 2</w:t>
      </w:r>
      <w:r w:rsidR="00F4370F">
        <w:rPr>
          <w:lang w:val="es-ES"/>
        </w:rPr>
        <w:t>,</w:t>
      </w:r>
      <w:r w:rsidR="00AB46A3" w:rsidRPr="00025907">
        <w:rPr>
          <w:lang w:val="es-ES"/>
        </w:rPr>
        <w:t xml:space="preserve"> </w:t>
      </w:r>
      <w:r w:rsidR="00025907" w:rsidRPr="00025907">
        <w:rPr>
          <w:lang w:val="es-ES"/>
        </w:rPr>
        <w:t xml:space="preserve">párrafo </w:t>
      </w:r>
      <w:r w:rsidR="00AB46A3" w:rsidRPr="00025907">
        <w:rPr>
          <w:lang w:val="es-ES"/>
        </w:rPr>
        <w:t>3</w:t>
      </w:r>
      <w:r w:rsidR="00F4370F">
        <w:rPr>
          <w:lang w:val="es-ES"/>
        </w:rPr>
        <w:t xml:space="preserve"> del Pacto</w:t>
      </w:r>
      <w:r w:rsidR="00AB46A3" w:rsidRPr="00025907">
        <w:rPr>
          <w:lang w:val="es-ES"/>
        </w:rPr>
        <w:t>. El Protocolo Facultativo entró en vigor para el Estado parte el 15 de junio de 2002. L</w:t>
      </w:r>
      <w:r w:rsidR="004B14BB" w:rsidRPr="00025907">
        <w:rPr>
          <w:lang w:val="es-ES"/>
        </w:rPr>
        <w:t>os autores están representados.</w:t>
      </w:r>
    </w:p>
    <w:p w14:paraId="4A9B9B7A" w14:textId="442D6DD1" w:rsidR="000C133E" w:rsidRPr="00173CF5" w:rsidRDefault="00AB46A3" w:rsidP="00173CF5">
      <w:pPr>
        <w:pStyle w:val="SingleTxtG"/>
        <w:rPr>
          <w:rFonts w:eastAsia="Calibri"/>
          <w:lang w:val="es-ES_tradnl"/>
        </w:rPr>
      </w:pPr>
      <w:r w:rsidRPr="00173CF5">
        <w:rPr>
          <w:rFonts w:eastAsia="Calibri"/>
          <w:lang w:val="es-ES_tradnl"/>
        </w:rPr>
        <w:t>1.2</w:t>
      </w:r>
      <w:r w:rsidRPr="00173CF5">
        <w:rPr>
          <w:rFonts w:eastAsia="Calibri"/>
          <w:lang w:val="es-ES_tradnl"/>
        </w:rPr>
        <w:tab/>
        <w:t>El 17 de noviembre de 2016, el Comité, actuando a través de su Relator Especial sobre nuevas comunicaciones y medidas provisionales, decidió rechazar la solicitud del Estado parte de examinar la admisibilidad de la comunicación de forma separada del fondo.</w:t>
      </w:r>
    </w:p>
    <w:p w14:paraId="5F16F1DC" w14:textId="104F8E99" w:rsidR="00532065" w:rsidRPr="00173CF5" w:rsidRDefault="00824F80" w:rsidP="00824F80">
      <w:pPr>
        <w:pStyle w:val="H23G"/>
        <w:rPr>
          <w:rFonts w:eastAsia="Calibri"/>
          <w:lang w:val="es-ES_tradnl"/>
        </w:rPr>
      </w:pPr>
      <w:r>
        <w:rPr>
          <w:rFonts w:eastAsia="Calibri"/>
          <w:lang w:val="es-ES_tradnl"/>
        </w:rPr>
        <w:tab/>
      </w:r>
      <w:r>
        <w:rPr>
          <w:rFonts w:eastAsia="Calibri"/>
          <w:lang w:val="es-ES_tradnl"/>
        </w:rPr>
        <w:tab/>
      </w:r>
      <w:r w:rsidR="00B95840">
        <w:rPr>
          <w:rFonts w:eastAsia="Calibri"/>
          <w:lang w:val="es-ES_tradnl"/>
        </w:rPr>
        <w:t>Los hechos según los autores</w:t>
      </w:r>
    </w:p>
    <w:p w14:paraId="0D33AFCA" w14:textId="5D82D1FD" w:rsidR="00532065" w:rsidRPr="00173CF5" w:rsidRDefault="00175184" w:rsidP="00175184">
      <w:pPr>
        <w:pStyle w:val="H4G"/>
        <w:rPr>
          <w:rFonts w:eastAsia="Calibri"/>
          <w:lang w:val="es-ES_tradnl"/>
        </w:rPr>
      </w:pPr>
      <w:r>
        <w:rPr>
          <w:rFonts w:eastAsia="Calibri"/>
          <w:lang w:val="es-ES_tradnl"/>
        </w:rPr>
        <w:tab/>
      </w:r>
      <w:r>
        <w:rPr>
          <w:rFonts w:eastAsia="Calibri"/>
          <w:lang w:val="es-ES_tradnl"/>
        </w:rPr>
        <w:tab/>
      </w:r>
      <w:r w:rsidR="009300B8" w:rsidRPr="00173CF5">
        <w:rPr>
          <w:rFonts w:eastAsia="Calibri"/>
          <w:lang w:val="es-ES_tradnl"/>
        </w:rPr>
        <w:t>Desaparición del Sr. Christian Téllez Padilla</w:t>
      </w:r>
    </w:p>
    <w:p w14:paraId="29A736F8" w14:textId="3C9D49D1" w:rsidR="009300B8" w:rsidRPr="00173CF5" w:rsidRDefault="009300B8" w:rsidP="003D64AB">
      <w:pPr>
        <w:pStyle w:val="SingleTxtG"/>
        <w:rPr>
          <w:rFonts w:eastAsia="Calibri"/>
          <w:lang w:val="es-ES_tradnl"/>
        </w:rPr>
      </w:pPr>
      <w:r w:rsidRPr="00173CF5">
        <w:rPr>
          <w:rFonts w:eastAsia="Calibri"/>
          <w:lang w:val="es-ES_tradnl"/>
        </w:rPr>
        <w:t>2.1</w:t>
      </w:r>
      <w:r w:rsidRPr="00173CF5">
        <w:rPr>
          <w:rFonts w:eastAsia="Calibri"/>
          <w:lang w:val="es-ES_tradnl"/>
        </w:rPr>
        <w:tab/>
        <w:t xml:space="preserve">El 20 de octubre de 2010, el Sr. Christian Téllez Padilla (quien tenía 30 años y </w:t>
      </w:r>
      <w:r w:rsidR="00200CDD">
        <w:rPr>
          <w:rFonts w:eastAsia="Calibri"/>
          <w:lang w:val="es-ES_tradnl"/>
        </w:rPr>
        <w:t>estudiaba</w:t>
      </w:r>
      <w:r w:rsidRPr="00173CF5">
        <w:rPr>
          <w:rFonts w:eastAsia="Calibri"/>
          <w:lang w:val="es-ES_tradnl"/>
        </w:rPr>
        <w:t xml:space="preserve"> Ingeniería Industrial en la Universidad del Golfo de México, Campus Poza Rica, Veracruz</w:t>
      </w:r>
      <w:r w:rsidR="00A270D5">
        <w:rPr>
          <w:rFonts w:eastAsia="Calibri"/>
          <w:lang w:val="es-ES_tradnl"/>
        </w:rPr>
        <w:t>,</w:t>
      </w:r>
      <w:r w:rsidR="00F4370F">
        <w:rPr>
          <w:rFonts w:eastAsia="Calibri"/>
          <w:lang w:val="es-ES_tradnl"/>
        </w:rPr>
        <w:t xml:space="preserve"> en el momento de los hechos</w:t>
      </w:r>
      <w:r w:rsidRPr="00173CF5">
        <w:rPr>
          <w:rFonts w:eastAsia="Calibri"/>
          <w:lang w:val="es-ES_tradnl"/>
        </w:rPr>
        <w:t>) conducía su automóvil por la ciudad de Poza Rica</w:t>
      </w:r>
      <w:r w:rsidR="00914F7D">
        <w:rPr>
          <w:rFonts w:eastAsia="Calibri"/>
          <w:lang w:val="es-ES_tradnl"/>
        </w:rPr>
        <w:t>,</w:t>
      </w:r>
      <w:r w:rsidR="00914F7D" w:rsidRPr="00914F7D">
        <w:rPr>
          <w:rFonts w:eastAsia="Calibri"/>
          <w:lang w:val="es-ES_tradnl"/>
        </w:rPr>
        <w:t xml:space="preserve"> </w:t>
      </w:r>
      <w:r w:rsidR="00CF7CB3">
        <w:rPr>
          <w:rFonts w:eastAsia="Calibri"/>
          <w:lang w:val="es-ES_tradnl"/>
        </w:rPr>
        <w:t xml:space="preserve">con </w:t>
      </w:r>
      <w:r w:rsidR="00914F7D">
        <w:rPr>
          <w:rFonts w:eastAsia="Calibri"/>
          <w:lang w:val="es-ES_tradnl"/>
        </w:rPr>
        <w:t>destino a un taller automóvil</w:t>
      </w:r>
      <w:r w:rsidR="00A50C53">
        <w:rPr>
          <w:rFonts w:eastAsia="Calibri"/>
          <w:lang w:val="es-ES_tradnl"/>
        </w:rPr>
        <w:t>. S</w:t>
      </w:r>
      <w:r w:rsidRPr="00173CF5">
        <w:rPr>
          <w:rFonts w:eastAsia="Calibri"/>
          <w:lang w:val="es-ES_tradnl"/>
        </w:rPr>
        <w:t xml:space="preserve">u compañera, </w:t>
      </w:r>
      <w:proofErr w:type="spellStart"/>
      <w:r w:rsidR="00182F44">
        <w:rPr>
          <w:rFonts w:eastAsia="Calibri"/>
          <w:lang w:val="es-ES_tradnl"/>
        </w:rPr>
        <w:t>Aidée</w:t>
      </w:r>
      <w:proofErr w:type="spellEnd"/>
      <w:r w:rsidR="00182F44">
        <w:rPr>
          <w:rFonts w:eastAsia="Calibri"/>
          <w:lang w:val="es-ES_tradnl"/>
        </w:rPr>
        <w:t xml:space="preserve"> </w:t>
      </w:r>
      <w:proofErr w:type="spellStart"/>
      <w:r w:rsidR="00182F44">
        <w:rPr>
          <w:rFonts w:eastAsia="Calibri"/>
          <w:lang w:val="es-ES_tradnl"/>
        </w:rPr>
        <w:t>Galindres</w:t>
      </w:r>
      <w:proofErr w:type="spellEnd"/>
      <w:r w:rsidR="00182F44">
        <w:rPr>
          <w:rFonts w:eastAsia="Calibri"/>
          <w:lang w:val="es-ES_tradnl"/>
        </w:rPr>
        <w:t xml:space="preserve"> </w:t>
      </w:r>
      <w:proofErr w:type="spellStart"/>
      <w:r w:rsidR="00182F44">
        <w:rPr>
          <w:rFonts w:eastAsia="Calibri"/>
          <w:lang w:val="es-ES_tradnl"/>
        </w:rPr>
        <w:t>Basave</w:t>
      </w:r>
      <w:proofErr w:type="spellEnd"/>
      <w:r w:rsidR="00182F44">
        <w:rPr>
          <w:rFonts w:eastAsia="Calibri"/>
          <w:lang w:val="es-ES_tradnl"/>
        </w:rPr>
        <w:t>,</w:t>
      </w:r>
      <w:r w:rsidRPr="00173CF5">
        <w:rPr>
          <w:rFonts w:eastAsia="Calibri"/>
          <w:lang w:val="es-ES_tradnl"/>
        </w:rPr>
        <w:t xml:space="preserve"> le seguía en su camioneta. Aproximadamente a las 3:30 pm, a la altura del Puente </w:t>
      </w:r>
      <w:proofErr w:type="spellStart"/>
      <w:r w:rsidRPr="00173CF5">
        <w:rPr>
          <w:rFonts w:eastAsia="Calibri"/>
          <w:lang w:val="es-ES_tradnl"/>
        </w:rPr>
        <w:t>Hueleque</w:t>
      </w:r>
      <w:proofErr w:type="spellEnd"/>
      <w:r w:rsidRPr="00173CF5">
        <w:rPr>
          <w:rFonts w:eastAsia="Calibri"/>
          <w:lang w:val="es-ES_tradnl"/>
        </w:rPr>
        <w:t xml:space="preserve"> sobre el Boulevard Adolfo Ruiz Cortines, dos patrullas de la Policía Intermunicipal de Poza Rica-</w:t>
      </w:r>
      <w:proofErr w:type="spellStart"/>
      <w:r w:rsidRPr="00173CF5">
        <w:rPr>
          <w:rFonts w:eastAsia="Calibri"/>
          <w:lang w:val="es-ES_tradnl"/>
        </w:rPr>
        <w:t>Tihuatlán</w:t>
      </w:r>
      <w:proofErr w:type="spellEnd"/>
      <w:r w:rsidRPr="00173CF5">
        <w:rPr>
          <w:rFonts w:eastAsia="Calibri"/>
          <w:lang w:val="es-ES_tradnl"/>
        </w:rPr>
        <w:t>-</w:t>
      </w:r>
      <w:proofErr w:type="spellStart"/>
      <w:r w:rsidRPr="00173CF5">
        <w:rPr>
          <w:rFonts w:eastAsia="Calibri"/>
          <w:lang w:val="es-ES_tradnl"/>
        </w:rPr>
        <w:t>Coatzintla</w:t>
      </w:r>
      <w:proofErr w:type="spellEnd"/>
      <w:r w:rsidRPr="00173CF5">
        <w:rPr>
          <w:rFonts w:eastAsia="Calibri"/>
          <w:lang w:val="es-ES_tradnl"/>
        </w:rPr>
        <w:t xml:space="preserve">, compuestas por ocho policías, interceptaron al Sr. Téllez Padilla, lo apuntaron con sus armas mientras lo bajaron de su automóvil y lo subieron a una de sus </w:t>
      </w:r>
      <w:r w:rsidR="00B414CA">
        <w:rPr>
          <w:rFonts w:eastAsia="Calibri"/>
          <w:lang w:val="es-ES_tradnl"/>
        </w:rPr>
        <w:t>patrullas</w:t>
      </w:r>
      <w:r w:rsidRPr="00173CF5">
        <w:rPr>
          <w:rFonts w:eastAsia="Calibri"/>
          <w:lang w:val="es-ES_tradnl"/>
        </w:rPr>
        <w:t xml:space="preserve">. Las patrullas se fueron y uno de los policías </w:t>
      </w:r>
      <w:r w:rsidR="00B414CA">
        <w:rPr>
          <w:rFonts w:eastAsia="Calibri"/>
          <w:lang w:val="es-ES_tradnl"/>
        </w:rPr>
        <w:t>se llevó</w:t>
      </w:r>
      <w:r w:rsidRPr="00173CF5">
        <w:rPr>
          <w:rFonts w:eastAsia="Calibri"/>
          <w:lang w:val="es-ES_tradnl"/>
        </w:rPr>
        <w:t xml:space="preserve"> el </w:t>
      </w:r>
      <w:r w:rsidR="004652F7" w:rsidRPr="004652F7">
        <w:rPr>
          <w:rFonts w:eastAsia="Calibri"/>
          <w:lang w:val="es-ES_tradnl"/>
        </w:rPr>
        <w:t xml:space="preserve">automóvil </w:t>
      </w:r>
      <w:r w:rsidRPr="00173CF5">
        <w:rPr>
          <w:rFonts w:eastAsia="Calibri"/>
          <w:lang w:val="es-ES_tradnl"/>
        </w:rPr>
        <w:t xml:space="preserve">del Sr. Téllez Padilla. </w:t>
      </w:r>
      <w:r w:rsidR="00182F44">
        <w:rPr>
          <w:rFonts w:eastAsia="Calibri"/>
          <w:lang w:val="es-ES_tradnl"/>
        </w:rPr>
        <w:t>Su compañera</w:t>
      </w:r>
      <w:r w:rsidRPr="00173CF5">
        <w:rPr>
          <w:rFonts w:eastAsia="Calibri"/>
          <w:lang w:val="es-ES_tradnl"/>
        </w:rPr>
        <w:t xml:space="preserve"> intentó seguirlos</w:t>
      </w:r>
      <w:r w:rsidR="00B414CA">
        <w:rPr>
          <w:rFonts w:eastAsia="Calibri"/>
          <w:lang w:val="es-ES_tradnl"/>
        </w:rPr>
        <w:t>, pero</w:t>
      </w:r>
      <w:r w:rsidRPr="00173CF5">
        <w:rPr>
          <w:rFonts w:eastAsia="Calibri"/>
          <w:lang w:val="es-ES_tradnl"/>
        </w:rPr>
        <w:t xml:space="preserve"> </w:t>
      </w:r>
      <w:r w:rsidR="00B414CA">
        <w:rPr>
          <w:rFonts w:eastAsia="Calibri"/>
          <w:lang w:val="es-ES_tradnl"/>
        </w:rPr>
        <w:t xml:space="preserve">cuando </w:t>
      </w:r>
      <w:r w:rsidRPr="00173CF5">
        <w:rPr>
          <w:rFonts w:eastAsia="Calibri"/>
          <w:lang w:val="es-ES_tradnl"/>
        </w:rPr>
        <w:t xml:space="preserve">las patrullas se pararon para preguntarle lo que buscaba, llegaron dos policías en motocicletas que se colocaron frente a </w:t>
      </w:r>
      <w:r w:rsidR="00B414CA">
        <w:rPr>
          <w:rFonts w:eastAsia="Calibri"/>
          <w:lang w:val="es-ES_tradnl"/>
        </w:rPr>
        <w:t>ella,</w:t>
      </w:r>
      <w:r w:rsidRPr="00173CF5">
        <w:rPr>
          <w:rFonts w:eastAsia="Calibri"/>
          <w:lang w:val="es-ES_tradnl"/>
        </w:rPr>
        <w:t xml:space="preserve"> impidiéndole el paso. </w:t>
      </w:r>
    </w:p>
    <w:p w14:paraId="045B6B50" w14:textId="1FAC6913" w:rsidR="003D64AB" w:rsidRDefault="009300B8" w:rsidP="003D64AB">
      <w:pPr>
        <w:pStyle w:val="SingleTxtG"/>
        <w:rPr>
          <w:lang w:val="es-ES_tradnl"/>
        </w:rPr>
      </w:pPr>
      <w:r w:rsidRPr="003D64AB">
        <w:rPr>
          <w:lang w:val="es-ES_tradnl"/>
        </w:rPr>
        <w:t>2.2</w:t>
      </w:r>
      <w:r w:rsidRPr="003D64AB">
        <w:rPr>
          <w:lang w:val="es-ES_tradnl"/>
        </w:rPr>
        <w:tab/>
      </w:r>
      <w:r w:rsidR="000B695D">
        <w:rPr>
          <w:lang w:val="es-ES_tradnl"/>
        </w:rPr>
        <w:t xml:space="preserve">La señora </w:t>
      </w:r>
      <w:proofErr w:type="spellStart"/>
      <w:r w:rsidR="000B695D">
        <w:rPr>
          <w:rFonts w:eastAsia="Calibri"/>
          <w:lang w:val="es-ES_tradnl"/>
        </w:rPr>
        <w:t>Galindres</w:t>
      </w:r>
      <w:proofErr w:type="spellEnd"/>
      <w:r w:rsidRPr="003D64AB">
        <w:rPr>
          <w:lang w:val="es-ES_tradnl"/>
        </w:rPr>
        <w:t xml:space="preserve"> acudió </w:t>
      </w:r>
      <w:r w:rsidR="00B414CA">
        <w:rPr>
          <w:lang w:val="es-ES_tradnl"/>
        </w:rPr>
        <w:t xml:space="preserve">inmediatamente </w:t>
      </w:r>
      <w:r w:rsidRPr="003D64AB">
        <w:rPr>
          <w:lang w:val="es-ES_tradnl"/>
        </w:rPr>
        <w:t xml:space="preserve">a las instalaciones de la Policía Intermunicipal, </w:t>
      </w:r>
      <w:r w:rsidR="00B414CA" w:rsidRPr="003D64AB">
        <w:rPr>
          <w:lang w:val="es-ES_tradnl"/>
        </w:rPr>
        <w:t xml:space="preserve">donde las autoridades le informaron que el Sr. Téllez Padilla no se encontraba </w:t>
      </w:r>
      <w:proofErr w:type="spellStart"/>
      <w:r w:rsidR="00405724">
        <w:rPr>
          <w:lang w:val="es-ES_tradnl"/>
        </w:rPr>
        <w:t>all</w:t>
      </w:r>
      <w:proofErr w:type="spellEnd"/>
      <w:r w:rsidR="00405724">
        <w:rPr>
          <w:lang w:val="es-ES"/>
        </w:rPr>
        <w:t>í</w:t>
      </w:r>
      <w:r w:rsidR="00B414CA">
        <w:rPr>
          <w:lang w:val="es-ES_tradnl"/>
        </w:rPr>
        <w:t>.</w:t>
      </w:r>
      <w:r w:rsidR="00B414CA" w:rsidRPr="003D64AB">
        <w:rPr>
          <w:lang w:val="es-ES_tradnl"/>
        </w:rPr>
        <w:t xml:space="preserve"> </w:t>
      </w:r>
      <w:r w:rsidR="000B695D">
        <w:rPr>
          <w:lang w:val="es-ES_tradnl"/>
        </w:rPr>
        <w:t>A</w:t>
      </w:r>
      <w:r w:rsidR="00405724">
        <w:rPr>
          <w:lang w:val="es-ES_tradnl"/>
        </w:rPr>
        <w:t xml:space="preserve">cudió </w:t>
      </w:r>
      <w:r w:rsidR="00A561A7">
        <w:rPr>
          <w:lang w:val="es-ES_tradnl"/>
        </w:rPr>
        <w:t>entonces</w:t>
      </w:r>
      <w:r w:rsidR="00B414CA">
        <w:rPr>
          <w:lang w:val="es-ES_tradnl"/>
        </w:rPr>
        <w:t xml:space="preserve"> </w:t>
      </w:r>
      <w:r w:rsidRPr="003D64AB">
        <w:rPr>
          <w:lang w:val="es-ES_tradnl"/>
        </w:rPr>
        <w:t>a la Agencia V</w:t>
      </w:r>
      <w:r w:rsidR="00E8085F">
        <w:rPr>
          <w:lang w:val="es-ES_tradnl"/>
        </w:rPr>
        <w:t xml:space="preserve">eracruzana de Investigación </w:t>
      </w:r>
      <w:r w:rsidRPr="003D64AB">
        <w:rPr>
          <w:lang w:val="es-ES_tradnl"/>
        </w:rPr>
        <w:t>y a la Agencia Federal de Investigación,</w:t>
      </w:r>
      <w:r w:rsidR="00B414CA">
        <w:rPr>
          <w:lang w:val="es-ES_tradnl"/>
        </w:rPr>
        <w:t xml:space="preserve"> </w:t>
      </w:r>
      <w:r w:rsidR="00B414CA">
        <w:rPr>
          <w:lang w:val="es-ES_tradnl"/>
        </w:rPr>
        <w:lastRenderedPageBreak/>
        <w:t>donde obtuvo la misma respuesta</w:t>
      </w:r>
      <w:r w:rsidRPr="003D64AB">
        <w:rPr>
          <w:lang w:val="es-ES_tradnl"/>
        </w:rPr>
        <w:t xml:space="preserve">. </w:t>
      </w:r>
      <w:r w:rsidR="00C116B1">
        <w:rPr>
          <w:lang w:val="es-ES_tradnl"/>
        </w:rPr>
        <w:t xml:space="preserve">Acudió a </w:t>
      </w:r>
      <w:r w:rsidR="00C116B1" w:rsidRPr="003D64AB">
        <w:rPr>
          <w:lang w:val="es-ES_tradnl"/>
        </w:rPr>
        <w:t>la Procuraduría General de Justicia del estado de Veracruz,</w:t>
      </w:r>
      <w:r w:rsidR="00C116B1">
        <w:rPr>
          <w:rStyle w:val="FootnoteReference"/>
          <w:lang w:val="es-ES_tradnl"/>
        </w:rPr>
        <w:footnoteReference w:id="3"/>
      </w:r>
      <w:r w:rsidR="00C116B1" w:rsidRPr="003D64AB">
        <w:rPr>
          <w:lang w:val="es-ES_tradnl"/>
        </w:rPr>
        <w:t xml:space="preserve"> </w:t>
      </w:r>
      <w:r w:rsidR="00C116B1">
        <w:rPr>
          <w:lang w:val="es-ES_tradnl"/>
        </w:rPr>
        <w:t>para</w:t>
      </w:r>
      <w:r w:rsidRPr="003D64AB">
        <w:rPr>
          <w:lang w:val="es-ES_tradnl"/>
        </w:rPr>
        <w:t xml:space="preserve"> denunciar la desaparición</w:t>
      </w:r>
      <w:r w:rsidR="00C116B1">
        <w:rPr>
          <w:lang w:val="es-ES_tradnl"/>
        </w:rPr>
        <w:t>,</w:t>
      </w:r>
      <w:r w:rsidRPr="003D64AB">
        <w:rPr>
          <w:lang w:val="es-ES_tradnl"/>
        </w:rPr>
        <w:t xml:space="preserve"> pero no </w:t>
      </w:r>
      <w:r w:rsidR="00AB496C">
        <w:rPr>
          <w:lang w:val="es-ES_tradnl"/>
        </w:rPr>
        <w:t xml:space="preserve">se aceptó su denuncia </w:t>
      </w:r>
      <w:r w:rsidRPr="003D64AB">
        <w:rPr>
          <w:lang w:val="es-ES_tradnl"/>
        </w:rPr>
        <w:t>por no haber transcurrido 48 horas desde la desaparición. Llamó</w:t>
      </w:r>
      <w:r w:rsidR="00AB496C">
        <w:rPr>
          <w:lang w:val="es-ES_tradnl"/>
        </w:rPr>
        <w:t xml:space="preserve"> entonces</w:t>
      </w:r>
      <w:r w:rsidRPr="003D64AB">
        <w:rPr>
          <w:lang w:val="es-ES_tradnl"/>
        </w:rPr>
        <w:t xml:space="preserve"> al número telefónico </w:t>
      </w:r>
      <w:r w:rsidR="00C116B1">
        <w:rPr>
          <w:lang w:val="es-ES_tradnl"/>
        </w:rPr>
        <w:t xml:space="preserve">de emergencias </w:t>
      </w:r>
      <w:r w:rsidR="00E75813">
        <w:rPr>
          <w:lang w:val="es-ES_tradnl"/>
        </w:rPr>
        <w:t>para reportar la desaparición, y</w:t>
      </w:r>
      <w:r w:rsidRPr="003D64AB">
        <w:rPr>
          <w:lang w:val="es-ES_tradnl"/>
        </w:rPr>
        <w:t xml:space="preserve"> se le indicó que tenía que acudir nuevamente a las instalaciones de la Policía Intermunicipal</w:t>
      </w:r>
      <w:r w:rsidR="00AB496C">
        <w:rPr>
          <w:lang w:val="es-ES_tradnl"/>
        </w:rPr>
        <w:t>. C</w:t>
      </w:r>
      <w:r w:rsidRPr="003D64AB">
        <w:rPr>
          <w:lang w:val="es-ES_tradnl"/>
        </w:rPr>
        <w:t>uando acudió, se le informó nuevamente que la persona que buscaba no se encontraba allí.</w:t>
      </w:r>
    </w:p>
    <w:p w14:paraId="46B90F92" w14:textId="1CBA6B2C" w:rsidR="00873F3A" w:rsidRDefault="009300B8" w:rsidP="00873F3A">
      <w:pPr>
        <w:pStyle w:val="SingleTxtG"/>
        <w:rPr>
          <w:color w:val="000000"/>
          <w:lang w:val="es-ES_tradnl"/>
        </w:rPr>
      </w:pPr>
      <w:r>
        <w:rPr>
          <w:color w:val="000000"/>
          <w:lang w:val="es-ES_tradnl"/>
        </w:rPr>
        <w:t>2.3</w:t>
      </w:r>
      <w:r>
        <w:rPr>
          <w:color w:val="000000"/>
          <w:lang w:val="es-ES_tradnl"/>
        </w:rPr>
        <w:tab/>
        <w:t xml:space="preserve">La madrugada del 21 de octubre de 2010, familiares del Sr. </w:t>
      </w:r>
      <w:r w:rsidRPr="00CA1A21">
        <w:rPr>
          <w:color w:val="000000"/>
          <w:lang w:val="es-ES_tradnl"/>
        </w:rPr>
        <w:t>Téllez</w:t>
      </w:r>
      <w:r w:rsidRPr="009300B8">
        <w:rPr>
          <w:lang w:val="es-ES"/>
        </w:rPr>
        <w:t xml:space="preserve"> </w:t>
      </w:r>
      <w:r w:rsidRPr="0009123C">
        <w:rPr>
          <w:color w:val="000000"/>
          <w:lang w:val="es-ES_tradnl"/>
        </w:rPr>
        <w:t>Padilla</w:t>
      </w:r>
      <w:r w:rsidRPr="00CA1A21">
        <w:rPr>
          <w:color w:val="000000"/>
          <w:lang w:val="es-ES_tradnl"/>
        </w:rPr>
        <w:t xml:space="preserve"> </w:t>
      </w:r>
      <w:r>
        <w:rPr>
          <w:color w:val="000000"/>
          <w:lang w:val="es-ES_tradnl"/>
        </w:rPr>
        <w:t>(</w:t>
      </w:r>
      <w:r w:rsidRPr="00CA1A21">
        <w:rPr>
          <w:color w:val="000000"/>
          <w:lang w:val="es-ES_tradnl"/>
        </w:rPr>
        <w:t>su madre</w:t>
      </w:r>
      <w:r w:rsidR="003C3611">
        <w:rPr>
          <w:color w:val="000000"/>
          <w:lang w:val="es-ES_tradnl"/>
        </w:rPr>
        <w:t>, su hermano y dos tíos</w:t>
      </w:r>
      <w:r>
        <w:rPr>
          <w:color w:val="000000"/>
          <w:lang w:val="es-ES_tradnl"/>
        </w:rPr>
        <w:t xml:space="preserve">) llegaron </w:t>
      </w:r>
      <w:r w:rsidR="003C3611">
        <w:rPr>
          <w:color w:val="000000"/>
          <w:lang w:val="es-ES_tradnl"/>
        </w:rPr>
        <w:t xml:space="preserve">a Poza Rica </w:t>
      </w:r>
      <w:r>
        <w:rPr>
          <w:color w:val="000000"/>
          <w:lang w:val="es-ES_tradnl"/>
        </w:rPr>
        <w:t>desde el Distrito Federal</w:t>
      </w:r>
      <w:r w:rsidR="004531B4">
        <w:rPr>
          <w:color w:val="000000"/>
          <w:lang w:val="es-ES_tradnl"/>
        </w:rPr>
        <w:t>. A</w:t>
      </w:r>
      <w:r>
        <w:rPr>
          <w:color w:val="000000"/>
          <w:lang w:val="es-ES_tradnl"/>
        </w:rPr>
        <w:t>cudieron a la Policía Intermunicipal</w:t>
      </w:r>
      <w:r w:rsidR="00B03671">
        <w:rPr>
          <w:color w:val="000000"/>
          <w:lang w:val="es-ES_tradnl"/>
        </w:rPr>
        <w:t>,</w:t>
      </w:r>
      <w:r>
        <w:rPr>
          <w:color w:val="000000"/>
          <w:lang w:val="es-ES_tradnl"/>
        </w:rPr>
        <w:t xml:space="preserve"> donde el Subcoordinador</w:t>
      </w:r>
      <w:r w:rsidR="004531B4">
        <w:rPr>
          <w:color w:val="000000"/>
          <w:lang w:val="es-ES_tradnl"/>
        </w:rPr>
        <w:t>,</w:t>
      </w:r>
      <w:r>
        <w:rPr>
          <w:color w:val="000000"/>
          <w:lang w:val="es-ES_tradnl"/>
        </w:rPr>
        <w:t xml:space="preserve"> </w:t>
      </w:r>
      <w:r w:rsidRPr="00E036AA">
        <w:rPr>
          <w:color w:val="000000"/>
          <w:lang w:val="es-ES_tradnl"/>
        </w:rPr>
        <w:t>Javier Amador Mercado Guerrero</w:t>
      </w:r>
      <w:r w:rsidR="004531B4">
        <w:rPr>
          <w:color w:val="000000"/>
          <w:lang w:val="es-ES_tradnl"/>
        </w:rPr>
        <w:t>,</w:t>
      </w:r>
      <w:r>
        <w:rPr>
          <w:rStyle w:val="FootnoteReference"/>
          <w:color w:val="000000"/>
          <w:lang w:val="es-ES_tradnl"/>
        </w:rPr>
        <w:footnoteReference w:id="4"/>
      </w:r>
      <w:r w:rsidRPr="00E036AA">
        <w:rPr>
          <w:color w:val="000000"/>
          <w:lang w:val="es-ES_tradnl"/>
        </w:rPr>
        <w:t xml:space="preserve"> </w:t>
      </w:r>
      <w:r>
        <w:rPr>
          <w:color w:val="000000"/>
          <w:lang w:val="es-ES_tradnl"/>
        </w:rPr>
        <w:t xml:space="preserve">les </w:t>
      </w:r>
      <w:r w:rsidR="004531B4">
        <w:rPr>
          <w:color w:val="000000"/>
          <w:lang w:val="es-ES_tradnl"/>
        </w:rPr>
        <w:t>afirmó</w:t>
      </w:r>
      <w:r>
        <w:rPr>
          <w:color w:val="000000"/>
          <w:lang w:val="es-ES_tradnl"/>
        </w:rPr>
        <w:t xml:space="preserve"> que </w:t>
      </w:r>
      <w:r w:rsidR="000A00AC">
        <w:rPr>
          <w:color w:val="000000"/>
          <w:lang w:val="es-ES_tradnl"/>
        </w:rPr>
        <w:t>el Sr. Téllez Padilla</w:t>
      </w:r>
      <w:r>
        <w:rPr>
          <w:color w:val="000000"/>
          <w:lang w:val="es-ES_tradnl"/>
        </w:rPr>
        <w:t xml:space="preserve"> no se encontraba en los registros</w:t>
      </w:r>
      <w:r w:rsidR="000A00AC">
        <w:rPr>
          <w:color w:val="000000"/>
          <w:lang w:val="es-ES_tradnl"/>
        </w:rPr>
        <w:t>. Si bien el Subcoordinador permitió</w:t>
      </w:r>
      <w:r w:rsidR="004531B4">
        <w:rPr>
          <w:color w:val="000000"/>
          <w:lang w:val="es-ES_tradnl"/>
        </w:rPr>
        <w:t xml:space="preserve"> </w:t>
      </w:r>
      <w:r>
        <w:rPr>
          <w:color w:val="000000"/>
          <w:lang w:val="es-ES_tradnl"/>
        </w:rPr>
        <w:t xml:space="preserve">a un tío </w:t>
      </w:r>
      <w:r w:rsidR="00B22B3B" w:rsidRPr="00B22B3B">
        <w:rPr>
          <w:color w:val="000000"/>
          <w:lang w:val="es-ES_tradnl"/>
        </w:rPr>
        <w:t xml:space="preserve">del Sr. Téllez Padilla </w:t>
      </w:r>
      <w:r w:rsidR="00217218">
        <w:rPr>
          <w:color w:val="000000"/>
          <w:lang w:val="es-ES_tradnl"/>
        </w:rPr>
        <w:t>acceder a</w:t>
      </w:r>
      <w:r w:rsidR="0027242B">
        <w:rPr>
          <w:color w:val="000000"/>
          <w:lang w:val="es-ES_tradnl"/>
        </w:rPr>
        <w:t xml:space="preserve"> la zona </w:t>
      </w:r>
      <w:r>
        <w:rPr>
          <w:color w:val="000000"/>
          <w:lang w:val="es-ES_tradnl"/>
        </w:rPr>
        <w:t>donde se encontraban los detenidos</w:t>
      </w:r>
      <w:r w:rsidR="00B22B3B">
        <w:rPr>
          <w:color w:val="000000"/>
          <w:lang w:val="es-ES_tradnl"/>
        </w:rPr>
        <w:t>,</w:t>
      </w:r>
      <w:r>
        <w:rPr>
          <w:color w:val="000000"/>
          <w:lang w:val="es-ES_tradnl"/>
        </w:rPr>
        <w:t xml:space="preserve"> </w:t>
      </w:r>
      <w:r w:rsidR="00B22B3B">
        <w:rPr>
          <w:color w:val="000000"/>
          <w:lang w:val="es-ES_tradnl"/>
        </w:rPr>
        <w:t>se negó</w:t>
      </w:r>
      <w:r>
        <w:rPr>
          <w:color w:val="000000"/>
          <w:lang w:val="es-ES_tradnl"/>
        </w:rPr>
        <w:t xml:space="preserve"> a abrir una puerta cerrada con candado</w:t>
      </w:r>
      <w:r w:rsidR="00F629C7">
        <w:rPr>
          <w:color w:val="000000"/>
          <w:lang w:val="es-ES_tradnl"/>
        </w:rPr>
        <w:t>,</w:t>
      </w:r>
      <w:r w:rsidR="00F629C7" w:rsidRPr="00F629C7">
        <w:rPr>
          <w:color w:val="000000"/>
          <w:lang w:val="es-ES_tradnl"/>
        </w:rPr>
        <w:t xml:space="preserve"> </w:t>
      </w:r>
      <w:r w:rsidR="00F629C7">
        <w:rPr>
          <w:color w:val="000000"/>
          <w:lang w:val="es-ES_tradnl"/>
        </w:rPr>
        <w:t>a pesar de la insistencia del familiar</w:t>
      </w:r>
      <w:r>
        <w:rPr>
          <w:color w:val="000000"/>
          <w:lang w:val="es-ES_tradnl"/>
        </w:rPr>
        <w:t xml:space="preserve">. </w:t>
      </w:r>
    </w:p>
    <w:p w14:paraId="43FE5049" w14:textId="794809EA" w:rsidR="0001700A" w:rsidRDefault="00175184" w:rsidP="00175184">
      <w:pPr>
        <w:pStyle w:val="H4G"/>
        <w:rPr>
          <w:lang w:val="es-ES_tradnl"/>
        </w:rPr>
      </w:pPr>
      <w:r>
        <w:rPr>
          <w:lang w:val="es-ES_tradnl"/>
        </w:rPr>
        <w:tab/>
      </w:r>
      <w:r>
        <w:rPr>
          <w:lang w:val="es-ES_tradnl"/>
        </w:rPr>
        <w:tab/>
      </w:r>
      <w:r w:rsidR="009300B8" w:rsidRPr="00F5083F">
        <w:rPr>
          <w:lang w:val="es-ES_tradnl"/>
        </w:rPr>
        <w:t xml:space="preserve">Denuncias presentadas </w:t>
      </w:r>
      <w:r w:rsidR="009300B8">
        <w:rPr>
          <w:lang w:val="es-ES_tradnl"/>
        </w:rPr>
        <w:t xml:space="preserve">por la desaparición del </w:t>
      </w:r>
      <w:r w:rsidR="009300B8" w:rsidRPr="00EB5F72">
        <w:rPr>
          <w:lang w:val="es-ES_tradnl"/>
        </w:rPr>
        <w:t xml:space="preserve">Sr. Christian Téllez Padilla </w:t>
      </w:r>
    </w:p>
    <w:p w14:paraId="427DBEDA" w14:textId="2E8E3EF6" w:rsidR="0001700A" w:rsidRDefault="00873F3A" w:rsidP="0001700A">
      <w:pPr>
        <w:pStyle w:val="SingleTxtG"/>
        <w:rPr>
          <w:rFonts w:eastAsia="Calibri"/>
          <w:color w:val="000000"/>
          <w:lang w:val="es-ES_tradnl"/>
        </w:rPr>
      </w:pPr>
      <w:r w:rsidRPr="00873F3A">
        <w:rPr>
          <w:rFonts w:eastAsia="Calibri"/>
          <w:color w:val="000000"/>
          <w:lang w:val="es-ES_tradnl"/>
        </w:rPr>
        <w:t>2.4</w:t>
      </w:r>
      <w:r w:rsidRPr="00873F3A">
        <w:rPr>
          <w:rFonts w:eastAsia="Calibri"/>
          <w:color w:val="000000"/>
          <w:lang w:val="es-ES_tradnl"/>
        </w:rPr>
        <w:tab/>
        <w:t>El 21 de octubre de 2010, la Procuraduría General de Justicia del estado de Veracruz</w:t>
      </w:r>
      <w:r w:rsidRPr="00873F3A">
        <w:rPr>
          <w:rFonts w:eastAsia="Calibri"/>
          <w:b/>
          <w:color w:val="000000"/>
          <w:lang w:val="es-ES_tradnl"/>
        </w:rPr>
        <w:t xml:space="preserve"> </w:t>
      </w:r>
      <w:r w:rsidR="00727F78" w:rsidRPr="00873F3A">
        <w:rPr>
          <w:rFonts w:eastAsia="Calibri"/>
          <w:color w:val="000000"/>
          <w:lang w:val="es-ES_tradnl"/>
        </w:rPr>
        <w:t>a</w:t>
      </w:r>
      <w:r w:rsidR="00727F78">
        <w:rPr>
          <w:rFonts w:eastAsia="Calibri"/>
          <w:color w:val="000000"/>
          <w:lang w:val="es-ES_tradnl"/>
        </w:rPr>
        <w:t>dmitió</w:t>
      </w:r>
      <w:r w:rsidR="00727F78" w:rsidRPr="00873F3A">
        <w:rPr>
          <w:rFonts w:eastAsia="Calibri"/>
          <w:color w:val="000000"/>
          <w:lang w:val="es-ES_tradnl"/>
        </w:rPr>
        <w:t xml:space="preserve"> </w:t>
      </w:r>
      <w:r w:rsidRPr="00873F3A">
        <w:rPr>
          <w:rFonts w:eastAsia="Calibri"/>
          <w:color w:val="000000"/>
          <w:lang w:val="es-ES_tradnl"/>
        </w:rPr>
        <w:t xml:space="preserve">finalmente la denuncia, </w:t>
      </w:r>
      <w:r w:rsidR="003B540C">
        <w:rPr>
          <w:rFonts w:eastAsia="Calibri"/>
          <w:color w:val="000000"/>
          <w:lang w:val="es-ES_tradnl"/>
        </w:rPr>
        <w:t xml:space="preserve">presentada por la madre del Sr. Téllez Padilla, </w:t>
      </w:r>
      <w:r w:rsidRPr="00873F3A">
        <w:rPr>
          <w:rFonts w:eastAsia="Calibri"/>
          <w:color w:val="000000"/>
          <w:lang w:val="es-ES_tradnl"/>
        </w:rPr>
        <w:t>dándose inicio a la Averiguación Previa PZR4/495/2010</w:t>
      </w:r>
      <w:r w:rsidR="00884A03">
        <w:rPr>
          <w:rFonts w:eastAsia="Calibri"/>
          <w:color w:val="000000"/>
          <w:lang w:val="es-ES_tradnl"/>
        </w:rPr>
        <w:t>. Sin embargo,</w:t>
      </w:r>
      <w:r w:rsidRPr="00873F3A">
        <w:rPr>
          <w:rFonts w:eastAsia="Calibri"/>
          <w:color w:val="000000"/>
          <w:lang w:val="es-ES_tradnl"/>
        </w:rPr>
        <w:t xml:space="preserve"> no se tomó ninguna medida para la búsqueda urgente</w:t>
      </w:r>
      <w:r w:rsidR="004536E0" w:rsidRPr="004536E0">
        <w:rPr>
          <w:lang w:val="es-ES"/>
        </w:rPr>
        <w:t xml:space="preserve"> </w:t>
      </w:r>
      <w:r w:rsidR="004536E0" w:rsidRPr="004536E0">
        <w:rPr>
          <w:rFonts w:eastAsia="Calibri"/>
          <w:color w:val="000000"/>
          <w:lang w:val="es-ES_tradnl"/>
        </w:rPr>
        <w:t>del Sr. Téllez Padilla</w:t>
      </w:r>
      <w:r w:rsidR="004536E0">
        <w:rPr>
          <w:rFonts w:eastAsia="Calibri"/>
          <w:color w:val="000000"/>
          <w:lang w:val="es-ES_tradnl"/>
        </w:rPr>
        <w:t>.</w:t>
      </w:r>
      <w:r w:rsidRPr="00873F3A">
        <w:rPr>
          <w:rFonts w:eastAsia="Calibri"/>
          <w:color w:val="000000"/>
          <w:lang w:val="es-ES_tradnl"/>
        </w:rPr>
        <w:t xml:space="preserve"> En la tarde de ese mismo día, la familia encontró el automóvil </w:t>
      </w:r>
      <w:r w:rsidR="00E26C6E" w:rsidRPr="00E26C6E">
        <w:rPr>
          <w:rFonts w:eastAsia="Calibri"/>
          <w:color w:val="000000"/>
          <w:lang w:val="es-ES_tradnl"/>
        </w:rPr>
        <w:t xml:space="preserve">del Sr. Téllez Padilla </w:t>
      </w:r>
      <w:r w:rsidRPr="00873F3A">
        <w:rPr>
          <w:rFonts w:eastAsia="Calibri"/>
          <w:color w:val="000000"/>
          <w:lang w:val="es-ES_tradnl"/>
        </w:rPr>
        <w:t>en un lote baldío y dio aviso a la</w:t>
      </w:r>
      <w:r w:rsidRPr="008E610E">
        <w:rPr>
          <w:rFonts w:eastAsia="Calibri"/>
          <w:lang w:val="es-ES"/>
        </w:rPr>
        <w:t xml:space="preserve"> </w:t>
      </w:r>
      <w:r w:rsidRPr="00873F3A">
        <w:rPr>
          <w:rFonts w:eastAsia="Calibri"/>
          <w:color w:val="000000"/>
          <w:lang w:val="es-ES_tradnl"/>
        </w:rPr>
        <w:t xml:space="preserve">Procuraduría. El experto enviado </w:t>
      </w:r>
      <w:r w:rsidR="00E26C6E">
        <w:rPr>
          <w:rFonts w:eastAsia="Calibri"/>
          <w:color w:val="000000"/>
          <w:lang w:val="es-ES_tradnl"/>
        </w:rPr>
        <w:t xml:space="preserve">tocó el volante </w:t>
      </w:r>
      <w:r w:rsidR="00657C81">
        <w:rPr>
          <w:rFonts w:eastAsia="Calibri"/>
          <w:color w:val="000000"/>
          <w:lang w:val="es-ES_tradnl"/>
        </w:rPr>
        <w:t xml:space="preserve">del automóvil </w:t>
      </w:r>
      <w:r w:rsidR="00E26C6E">
        <w:rPr>
          <w:rFonts w:eastAsia="Calibri"/>
          <w:color w:val="000000"/>
          <w:lang w:val="es-ES_tradnl"/>
        </w:rPr>
        <w:t xml:space="preserve">sin utilizar </w:t>
      </w:r>
      <w:r w:rsidRPr="00873F3A">
        <w:rPr>
          <w:rFonts w:eastAsia="Calibri"/>
          <w:color w:val="000000"/>
          <w:lang w:val="es-ES_tradnl"/>
        </w:rPr>
        <w:t xml:space="preserve">guantes </w:t>
      </w:r>
      <w:r w:rsidR="00112CD0">
        <w:rPr>
          <w:rFonts w:eastAsia="Calibri"/>
          <w:color w:val="000000"/>
          <w:lang w:val="es-ES_tradnl"/>
        </w:rPr>
        <w:t>e indic</w:t>
      </w:r>
      <w:r w:rsidR="00E26C6E">
        <w:rPr>
          <w:rFonts w:eastAsia="Calibri"/>
          <w:color w:val="000000"/>
          <w:lang w:val="es-ES_tradnl"/>
        </w:rPr>
        <w:t xml:space="preserve">ó </w:t>
      </w:r>
      <w:r w:rsidR="00112CD0">
        <w:rPr>
          <w:rFonts w:eastAsia="Calibri"/>
          <w:color w:val="000000"/>
          <w:lang w:val="es-ES_tradnl"/>
        </w:rPr>
        <w:t>a</w:t>
      </w:r>
      <w:r w:rsidR="00E26C6E">
        <w:rPr>
          <w:rFonts w:eastAsia="Calibri"/>
          <w:color w:val="000000"/>
          <w:lang w:val="es-ES_tradnl"/>
        </w:rPr>
        <w:t xml:space="preserve"> </w:t>
      </w:r>
      <w:r w:rsidRPr="00873F3A">
        <w:rPr>
          <w:rFonts w:eastAsia="Calibri"/>
          <w:color w:val="000000"/>
          <w:lang w:val="es-ES_tradnl"/>
        </w:rPr>
        <w:t xml:space="preserve">los familiares que no podía realizar el dictamen dactiloscópico debido al polvo. </w:t>
      </w:r>
      <w:r w:rsidR="00EF0C36">
        <w:rPr>
          <w:rFonts w:eastAsia="Calibri"/>
          <w:color w:val="000000"/>
          <w:lang w:val="es-ES_tradnl"/>
        </w:rPr>
        <w:t>E</w:t>
      </w:r>
      <w:r w:rsidRPr="00873F3A">
        <w:rPr>
          <w:rFonts w:eastAsia="Calibri"/>
          <w:color w:val="000000"/>
          <w:lang w:val="es-ES_tradnl"/>
        </w:rPr>
        <w:t xml:space="preserve">n el marco de ese </w:t>
      </w:r>
      <w:r w:rsidR="00EF0C36">
        <w:rPr>
          <w:rFonts w:eastAsia="Calibri"/>
          <w:color w:val="000000"/>
          <w:lang w:val="es-ES_tradnl"/>
        </w:rPr>
        <w:t xml:space="preserve">mismo </w:t>
      </w:r>
      <w:r w:rsidRPr="00873F3A">
        <w:rPr>
          <w:rFonts w:eastAsia="Calibri"/>
          <w:color w:val="000000"/>
          <w:lang w:val="es-ES_tradnl"/>
        </w:rPr>
        <w:t xml:space="preserve">expediente, </w:t>
      </w:r>
      <w:r w:rsidR="000B695D">
        <w:rPr>
          <w:lang w:val="es-ES_tradnl"/>
        </w:rPr>
        <w:t xml:space="preserve">la señora </w:t>
      </w:r>
      <w:proofErr w:type="spellStart"/>
      <w:r w:rsidR="000B695D">
        <w:rPr>
          <w:rFonts w:eastAsia="Calibri"/>
          <w:lang w:val="es-ES_tradnl"/>
        </w:rPr>
        <w:t>Galindres</w:t>
      </w:r>
      <w:proofErr w:type="spellEnd"/>
      <w:r w:rsidR="000B695D" w:rsidRPr="003D64AB">
        <w:rPr>
          <w:lang w:val="es-ES_tradnl"/>
        </w:rPr>
        <w:t xml:space="preserve"> </w:t>
      </w:r>
      <w:r w:rsidRPr="00873F3A">
        <w:rPr>
          <w:rFonts w:eastAsia="Calibri"/>
          <w:color w:val="000000"/>
          <w:lang w:val="es-ES_tradnl"/>
        </w:rPr>
        <w:t xml:space="preserve">fue citada </w:t>
      </w:r>
      <w:r w:rsidR="001A3363">
        <w:rPr>
          <w:rFonts w:eastAsia="Calibri"/>
          <w:color w:val="000000"/>
          <w:lang w:val="es-ES_tradnl"/>
        </w:rPr>
        <w:t>e</w:t>
      </w:r>
      <w:r w:rsidR="00EF0C36" w:rsidRPr="00873F3A">
        <w:rPr>
          <w:rFonts w:eastAsia="Calibri"/>
          <w:color w:val="000000"/>
          <w:lang w:val="es-ES_tradnl"/>
        </w:rPr>
        <w:t>l 26 de octubre de 2010</w:t>
      </w:r>
      <w:r w:rsidR="001A3363">
        <w:rPr>
          <w:rFonts w:eastAsia="Calibri"/>
          <w:color w:val="000000"/>
          <w:lang w:val="es-ES_tradnl"/>
        </w:rPr>
        <w:t xml:space="preserve"> </w:t>
      </w:r>
      <w:r w:rsidRPr="00873F3A">
        <w:rPr>
          <w:rFonts w:eastAsia="Calibri"/>
          <w:color w:val="000000"/>
          <w:lang w:val="es-ES_tradnl"/>
        </w:rPr>
        <w:t xml:space="preserve">para trabajar en los retratos hablados de los policías </w:t>
      </w:r>
      <w:r w:rsidR="00031586">
        <w:rPr>
          <w:rFonts w:eastAsia="Calibri"/>
          <w:color w:val="000000"/>
          <w:lang w:val="es-ES_tradnl"/>
        </w:rPr>
        <w:t>(los autores defienden que habían solicitado el álbum fotográfico de los elementos de la policía</w:t>
      </w:r>
      <w:r w:rsidR="00175D34">
        <w:rPr>
          <w:rFonts w:eastAsia="Calibri"/>
          <w:color w:val="000000"/>
          <w:lang w:val="es-ES_tradnl"/>
        </w:rPr>
        <w:t>,</w:t>
      </w:r>
      <w:r w:rsidR="00F74DF9">
        <w:rPr>
          <w:rFonts w:eastAsia="Calibri"/>
          <w:color w:val="000000"/>
          <w:lang w:val="es-ES_tradnl"/>
        </w:rPr>
        <w:t xml:space="preserve"> para mayor efectividad en el reconocimiento</w:t>
      </w:r>
      <w:r w:rsidR="00AF3048">
        <w:rPr>
          <w:rFonts w:eastAsia="Calibri"/>
          <w:color w:val="000000"/>
          <w:lang w:val="es-ES_tradnl"/>
        </w:rPr>
        <w:t xml:space="preserve"> de los responsables</w:t>
      </w:r>
      <w:r w:rsidR="00031586">
        <w:rPr>
          <w:rFonts w:eastAsia="Calibri"/>
          <w:color w:val="000000"/>
          <w:lang w:val="es-ES_tradnl"/>
        </w:rPr>
        <w:t>)</w:t>
      </w:r>
      <w:r w:rsidRPr="00873F3A">
        <w:rPr>
          <w:rFonts w:eastAsia="Calibri"/>
          <w:color w:val="000000"/>
          <w:lang w:val="es-ES_tradnl"/>
        </w:rPr>
        <w:t xml:space="preserve">. </w:t>
      </w:r>
    </w:p>
    <w:p w14:paraId="6940B5B5" w14:textId="01A29C1F" w:rsidR="00B16BAE" w:rsidRDefault="00873F3A" w:rsidP="00384F6F">
      <w:pPr>
        <w:pStyle w:val="SingleTxtG"/>
        <w:rPr>
          <w:rFonts w:eastAsia="Calibri"/>
          <w:lang w:val="es-ES_tradnl"/>
        </w:rPr>
      </w:pPr>
      <w:r w:rsidRPr="00873F3A">
        <w:rPr>
          <w:rFonts w:eastAsia="Calibri"/>
          <w:color w:val="000000"/>
          <w:lang w:val="es-ES_tradnl"/>
        </w:rPr>
        <w:t>2.5</w:t>
      </w:r>
      <w:r w:rsidRPr="00873F3A">
        <w:rPr>
          <w:rFonts w:eastAsia="Calibri"/>
          <w:color w:val="000000"/>
          <w:lang w:val="es-ES_tradnl"/>
        </w:rPr>
        <w:tab/>
      </w:r>
      <w:r w:rsidR="00974CB4">
        <w:rPr>
          <w:rFonts w:eastAsia="Calibri"/>
          <w:color w:val="000000"/>
          <w:lang w:val="es-ES_tradnl"/>
        </w:rPr>
        <w:t xml:space="preserve">El </w:t>
      </w:r>
      <w:r w:rsidR="00974CB4">
        <w:rPr>
          <w:rFonts w:eastAsia="Calibri"/>
          <w:lang w:val="es-ES_tradnl"/>
        </w:rPr>
        <w:t xml:space="preserve">22 de octubre de 2010, </w:t>
      </w:r>
      <w:r w:rsidR="003277D6">
        <w:rPr>
          <w:lang w:val="es-ES_tradnl"/>
        </w:rPr>
        <w:t xml:space="preserve">la señora </w:t>
      </w:r>
      <w:proofErr w:type="spellStart"/>
      <w:r w:rsidR="003277D6">
        <w:rPr>
          <w:rFonts w:eastAsia="Calibri"/>
          <w:lang w:val="es-ES_tradnl"/>
        </w:rPr>
        <w:t>Galindres</w:t>
      </w:r>
      <w:proofErr w:type="spellEnd"/>
      <w:r w:rsidR="003277D6" w:rsidRPr="003D64AB">
        <w:rPr>
          <w:lang w:val="es-ES_tradnl"/>
        </w:rPr>
        <w:t xml:space="preserve"> </w:t>
      </w:r>
      <w:r w:rsidR="00974CB4">
        <w:rPr>
          <w:rFonts w:eastAsia="Calibri"/>
          <w:color w:val="000000"/>
          <w:lang w:val="es-ES_tradnl"/>
        </w:rPr>
        <w:t>present</w:t>
      </w:r>
      <w:r w:rsidR="003B540C">
        <w:rPr>
          <w:rFonts w:eastAsia="Calibri"/>
          <w:color w:val="000000"/>
          <w:lang w:val="es-ES_tradnl"/>
        </w:rPr>
        <w:t>ó</w:t>
      </w:r>
      <w:r w:rsidRPr="00873F3A">
        <w:rPr>
          <w:rFonts w:eastAsia="Calibri"/>
          <w:color w:val="000000"/>
          <w:lang w:val="es-ES_tradnl"/>
        </w:rPr>
        <w:t xml:space="preserve"> </w:t>
      </w:r>
      <w:r w:rsidR="002E13CD" w:rsidRPr="00873F3A">
        <w:rPr>
          <w:rFonts w:eastAsia="Calibri"/>
          <w:lang w:val="es-ES_tradnl"/>
        </w:rPr>
        <w:t>un recurso de amparo por privación ilegal de libertad e incomunicación</w:t>
      </w:r>
      <w:r w:rsidRPr="00873F3A">
        <w:rPr>
          <w:rFonts w:eastAsia="Calibri"/>
          <w:lang w:val="es-ES_tradnl"/>
        </w:rPr>
        <w:t>.</w:t>
      </w:r>
      <w:r w:rsidRPr="00280BC7">
        <w:rPr>
          <w:rFonts w:eastAsia="Calibri"/>
          <w:sz w:val="18"/>
          <w:szCs w:val="18"/>
          <w:vertAlign w:val="superscript"/>
          <w:lang w:val="es-ES_tradnl"/>
        </w:rPr>
        <w:footnoteReference w:id="5"/>
      </w:r>
      <w:r w:rsidRPr="00873F3A">
        <w:rPr>
          <w:rFonts w:eastAsia="Calibri"/>
          <w:lang w:val="es-ES_tradnl"/>
        </w:rPr>
        <w:t xml:space="preserve"> </w:t>
      </w:r>
      <w:r w:rsidR="00962CEB">
        <w:rPr>
          <w:rFonts w:eastAsia="Calibri"/>
          <w:lang w:val="es-ES_tradnl"/>
        </w:rPr>
        <w:t>Después de haber</w:t>
      </w:r>
      <w:r w:rsidRPr="00873F3A">
        <w:rPr>
          <w:rFonts w:eastAsia="Calibri"/>
          <w:lang w:val="es-ES_tradnl"/>
        </w:rPr>
        <w:t xml:space="preserve"> </w:t>
      </w:r>
      <w:r w:rsidR="00962CEB">
        <w:rPr>
          <w:rFonts w:eastAsia="Calibri"/>
          <w:lang w:val="es-ES_tradnl"/>
        </w:rPr>
        <w:t xml:space="preserve">solicitado </w:t>
      </w:r>
      <w:r w:rsidRPr="00873F3A">
        <w:rPr>
          <w:rFonts w:eastAsia="Calibri"/>
          <w:lang w:val="es-ES_tradnl"/>
        </w:rPr>
        <w:t xml:space="preserve">información a la Policía Intermunicipal </w:t>
      </w:r>
      <w:r w:rsidR="008C7B5F">
        <w:rPr>
          <w:rFonts w:eastAsia="Calibri"/>
          <w:lang w:val="es-ES_tradnl"/>
        </w:rPr>
        <w:t>y haber recibido como respuesta que no se realizó</w:t>
      </w:r>
      <w:r w:rsidRPr="00873F3A">
        <w:rPr>
          <w:rFonts w:eastAsia="Calibri"/>
          <w:lang w:val="es-ES_tradnl"/>
        </w:rPr>
        <w:t xml:space="preserve"> la detención </w:t>
      </w:r>
      <w:r w:rsidR="00D965AC" w:rsidRPr="00D965AC">
        <w:rPr>
          <w:rFonts w:eastAsia="Calibri"/>
          <w:lang w:val="es-ES_tradnl"/>
        </w:rPr>
        <w:t>del Sr. Téllez Padilla</w:t>
      </w:r>
      <w:r w:rsidR="008C7B5F">
        <w:rPr>
          <w:rFonts w:eastAsia="Calibri"/>
          <w:lang w:val="es-ES_tradnl"/>
        </w:rPr>
        <w:t>,</w:t>
      </w:r>
      <w:r w:rsidR="00D965AC">
        <w:rPr>
          <w:rFonts w:eastAsia="Calibri"/>
          <w:lang w:val="es-ES_tradnl"/>
        </w:rPr>
        <w:t xml:space="preserve"> </w:t>
      </w:r>
      <w:r w:rsidR="008C7B5F">
        <w:rPr>
          <w:rFonts w:eastAsia="Calibri"/>
          <w:lang w:val="es-ES_tradnl"/>
        </w:rPr>
        <w:t xml:space="preserve">el Juzgado ordenó </w:t>
      </w:r>
      <w:r w:rsidR="008C7B5F" w:rsidRPr="00873F3A">
        <w:rPr>
          <w:rFonts w:eastAsia="Calibri"/>
          <w:lang w:val="es-ES_tradnl"/>
        </w:rPr>
        <w:t>la suspensión del procedimiento</w:t>
      </w:r>
      <w:r w:rsidR="008C7B5F">
        <w:rPr>
          <w:rFonts w:eastAsia="Calibri"/>
          <w:lang w:val="es-ES_tradnl"/>
        </w:rPr>
        <w:t xml:space="preserve"> el 3 de noviembre de 2010</w:t>
      </w:r>
      <w:r w:rsidR="00E820E8">
        <w:rPr>
          <w:rFonts w:eastAsia="Calibri"/>
          <w:lang w:val="es-ES_tradnl"/>
        </w:rPr>
        <w:t>. T</w:t>
      </w:r>
      <w:r w:rsidRPr="00873F3A">
        <w:rPr>
          <w:rFonts w:eastAsia="Calibri"/>
          <w:lang w:val="es-ES_tradnl"/>
        </w:rPr>
        <w:t>ras un año de suspensión, el juez consideró tene</w:t>
      </w:r>
      <w:r w:rsidR="00332E74">
        <w:rPr>
          <w:rFonts w:eastAsia="Calibri"/>
          <w:lang w:val="es-ES_tradnl"/>
        </w:rPr>
        <w:t>r la demanda por no interpuesta</w:t>
      </w:r>
      <w:r w:rsidRPr="00873F3A">
        <w:rPr>
          <w:rFonts w:eastAsia="Calibri"/>
          <w:lang w:val="es-ES_tradnl"/>
        </w:rPr>
        <w:t xml:space="preserve"> </w:t>
      </w:r>
      <w:r w:rsidR="00BB1F81">
        <w:rPr>
          <w:rFonts w:eastAsia="Calibri"/>
          <w:lang w:val="es-ES_tradnl"/>
        </w:rPr>
        <w:t>(</w:t>
      </w:r>
      <w:r w:rsidRPr="00873F3A">
        <w:rPr>
          <w:rFonts w:eastAsia="Calibri"/>
          <w:lang w:val="es-ES_tradnl"/>
        </w:rPr>
        <w:t>de acuerdo a la legislación vigente en el momento de los hechos</w:t>
      </w:r>
      <w:r w:rsidR="00BB1F81">
        <w:rPr>
          <w:rFonts w:eastAsia="Calibri"/>
          <w:lang w:val="es-ES_tradnl"/>
        </w:rPr>
        <w:t>)</w:t>
      </w:r>
      <w:r w:rsidRPr="00873F3A">
        <w:rPr>
          <w:rFonts w:eastAsia="Calibri"/>
          <w:lang w:val="es-ES_tradnl"/>
        </w:rPr>
        <w:t>.</w:t>
      </w:r>
    </w:p>
    <w:p w14:paraId="6432FDE7" w14:textId="2873F5B4" w:rsidR="00384F6F" w:rsidRDefault="00384F6F" w:rsidP="00B16BAE">
      <w:pPr>
        <w:pStyle w:val="SingleTxtG"/>
        <w:rPr>
          <w:rFonts w:eastAsia="Calibri"/>
          <w:lang w:val="es-ES_tradnl"/>
        </w:rPr>
      </w:pPr>
      <w:r>
        <w:rPr>
          <w:rFonts w:eastAsia="Calibri"/>
          <w:color w:val="000000"/>
          <w:lang w:val="es-ES_tradnl"/>
        </w:rPr>
        <w:t>2.6</w:t>
      </w:r>
      <w:r>
        <w:rPr>
          <w:rFonts w:eastAsia="Calibri"/>
          <w:color w:val="000000"/>
          <w:lang w:val="es-ES_tradnl"/>
        </w:rPr>
        <w:tab/>
        <w:t>El</w:t>
      </w:r>
      <w:r w:rsidRPr="00873F3A">
        <w:rPr>
          <w:rFonts w:eastAsia="Calibri"/>
          <w:color w:val="000000"/>
          <w:lang w:val="es-ES_tradnl"/>
        </w:rPr>
        <w:t xml:space="preserve"> 26 de octubre de 2010</w:t>
      </w:r>
      <w:r>
        <w:rPr>
          <w:rFonts w:eastAsia="Calibri"/>
          <w:color w:val="000000"/>
          <w:lang w:val="es-ES_tradnl"/>
        </w:rPr>
        <w:t>, al sentir</w:t>
      </w:r>
      <w:r w:rsidRPr="00E832B3">
        <w:rPr>
          <w:rFonts w:eastAsia="Calibri"/>
          <w:color w:val="000000"/>
          <w:lang w:val="es-ES_tradnl"/>
        </w:rPr>
        <w:t xml:space="preserve"> </w:t>
      </w:r>
      <w:r>
        <w:rPr>
          <w:rFonts w:eastAsia="Calibri"/>
          <w:color w:val="000000"/>
          <w:lang w:val="es-ES_tradnl"/>
        </w:rPr>
        <w:t>indiferencia</w:t>
      </w:r>
      <w:r w:rsidRPr="00873F3A">
        <w:rPr>
          <w:rFonts w:eastAsia="Calibri"/>
          <w:color w:val="000000"/>
          <w:lang w:val="es-ES_tradnl"/>
        </w:rPr>
        <w:t xml:space="preserve"> de parte de las autoridades en Poza Rica, los familiares </w:t>
      </w:r>
      <w:r w:rsidRPr="00E832B3">
        <w:rPr>
          <w:rFonts w:eastAsia="Calibri"/>
          <w:color w:val="000000"/>
          <w:lang w:val="es-ES_tradnl"/>
        </w:rPr>
        <w:t xml:space="preserve">del Sr. Téllez Padilla </w:t>
      </w:r>
      <w:r>
        <w:rPr>
          <w:rFonts w:eastAsia="Calibri"/>
          <w:color w:val="000000"/>
          <w:lang w:val="es-ES_tradnl"/>
        </w:rPr>
        <w:t>también se presentaron ante</w:t>
      </w:r>
      <w:r w:rsidRPr="00873F3A">
        <w:rPr>
          <w:rFonts w:eastAsia="Calibri"/>
          <w:color w:val="000000"/>
          <w:lang w:val="es-ES_tradnl"/>
        </w:rPr>
        <w:t xml:space="preserve"> la Dirección General de Investigaciones Ministeriales </w:t>
      </w:r>
      <w:r>
        <w:rPr>
          <w:rFonts w:eastAsia="Calibri"/>
          <w:color w:val="000000"/>
          <w:lang w:val="es-ES_tradnl"/>
        </w:rPr>
        <w:t>en X</w:t>
      </w:r>
      <w:r w:rsidRPr="00873F3A">
        <w:rPr>
          <w:rFonts w:eastAsia="Calibri"/>
          <w:color w:val="000000"/>
          <w:lang w:val="es-ES_tradnl"/>
        </w:rPr>
        <w:t>alapa</w:t>
      </w:r>
      <w:r>
        <w:rPr>
          <w:rFonts w:eastAsia="Calibri"/>
          <w:color w:val="000000"/>
          <w:lang w:val="es-ES_tradnl"/>
        </w:rPr>
        <w:t>, capital del estado de Veracruz,</w:t>
      </w:r>
      <w:r w:rsidRPr="002E33DD">
        <w:rPr>
          <w:rFonts w:eastAsia="Calibri"/>
          <w:color w:val="000000"/>
          <w:lang w:val="es-ES_tradnl"/>
        </w:rPr>
        <w:t xml:space="preserve"> </w:t>
      </w:r>
      <w:r>
        <w:rPr>
          <w:rFonts w:eastAsia="Calibri"/>
          <w:color w:val="000000"/>
          <w:lang w:val="es-ES_tradnl"/>
        </w:rPr>
        <w:t>donde</w:t>
      </w:r>
      <w:r w:rsidRPr="00873F3A">
        <w:rPr>
          <w:rFonts w:eastAsia="Calibri"/>
          <w:color w:val="000000"/>
          <w:lang w:val="es-ES_tradnl"/>
        </w:rPr>
        <w:t xml:space="preserve"> se inició </w:t>
      </w:r>
      <w:r w:rsidR="00195772">
        <w:rPr>
          <w:rFonts w:eastAsia="Calibri"/>
          <w:color w:val="000000"/>
          <w:lang w:val="es-ES_tradnl"/>
        </w:rPr>
        <w:t>una</w:t>
      </w:r>
      <w:r w:rsidR="00195772" w:rsidRPr="00873F3A">
        <w:rPr>
          <w:rFonts w:eastAsia="Calibri"/>
          <w:color w:val="000000"/>
          <w:lang w:val="es-ES_tradnl"/>
        </w:rPr>
        <w:t xml:space="preserve"> </w:t>
      </w:r>
      <w:r w:rsidRPr="00873F3A">
        <w:rPr>
          <w:rFonts w:eastAsia="Calibri"/>
          <w:color w:val="000000"/>
          <w:lang w:val="es-ES_tradnl"/>
        </w:rPr>
        <w:t>Averiguación Previa.</w:t>
      </w:r>
      <w:r w:rsidR="00195772">
        <w:rPr>
          <w:rStyle w:val="FootnoteReference"/>
          <w:rFonts w:eastAsia="Calibri"/>
          <w:color w:val="000000"/>
          <w:lang w:val="es-ES_tradnl"/>
        </w:rPr>
        <w:footnoteReference w:id="6"/>
      </w:r>
      <w:r w:rsidRPr="00873F3A">
        <w:rPr>
          <w:rFonts w:eastAsia="Calibri"/>
          <w:color w:val="000000"/>
          <w:lang w:val="es-ES_tradnl"/>
        </w:rPr>
        <w:t xml:space="preserve"> En el marco de ese </w:t>
      </w:r>
      <w:r>
        <w:rPr>
          <w:rFonts w:eastAsia="Calibri"/>
          <w:color w:val="000000"/>
          <w:lang w:val="es-ES_tradnl"/>
        </w:rPr>
        <w:t>expediente,</w:t>
      </w:r>
      <w:r w:rsidRPr="00873F3A">
        <w:rPr>
          <w:rFonts w:eastAsia="Calibri"/>
          <w:color w:val="000000"/>
          <w:lang w:val="es-ES_tradnl"/>
        </w:rPr>
        <w:t xml:space="preserve"> los familiares accedieron al álbum fotográfico de los elementos de la Policía Intermunicipal y </w:t>
      </w:r>
      <w:r w:rsidR="003277D6">
        <w:rPr>
          <w:lang w:val="es-ES_tradnl"/>
        </w:rPr>
        <w:t xml:space="preserve">la señora </w:t>
      </w:r>
      <w:proofErr w:type="spellStart"/>
      <w:r w:rsidR="003277D6">
        <w:rPr>
          <w:rFonts w:eastAsia="Calibri"/>
          <w:lang w:val="es-ES_tradnl"/>
        </w:rPr>
        <w:lastRenderedPageBreak/>
        <w:t>Galindres</w:t>
      </w:r>
      <w:proofErr w:type="spellEnd"/>
      <w:r w:rsidR="003277D6" w:rsidRPr="003D64AB">
        <w:rPr>
          <w:lang w:val="es-ES_tradnl"/>
        </w:rPr>
        <w:t xml:space="preserve"> </w:t>
      </w:r>
      <w:r>
        <w:rPr>
          <w:rFonts w:eastAsia="Calibri"/>
          <w:color w:val="000000"/>
          <w:lang w:val="es-ES_tradnl"/>
        </w:rPr>
        <w:t>identificó</w:t>
      </w:r>
      <w:r w:rsidRPr="00873F3A">
        <w:rPr>
          <w:rFonts w:eastAsia="Calibri"/>
          <w:color w:val="000000"/>
          <w:lang w:val="es-ES_tradnl"/>
        </w:rPr>
        <w:t xml:space="preserve"> a Pablo García </w:t>
      </w:r>
      <w:proofErr w:type="spellStart"/>
      <w:r w:rsidRPr="00873F3A">
        <w:rPr>
          <w:rFonts w:eastAsia="Calibri"/>
          <w:color w:val="000000"/>
          <w:lang w:val="es-ES_tradnl"/>
        </w:rPr>
        <w:t>García</w:t>
      </w:r>
      <w:proofErr w:type="spellEnd"/>
      <w:r w:rsidRPr="00873F3A">
        <w:rPr>
          <w:rFonts w:eastAsia="Calibri"/>
          <w:color w:val="000000"/>
          <w:lang w:val="es-ES_tradnl"/>
        </w:rPr>
        <w:t xml:space="preserve"> (de quien se había realizado un</w:t>
      </w:r>
      <w:r w:rsidRPr="0043148A">
        <w:rPr>
          <w:rFonts w:eastAsia="Calibri"/>
          <w:lang w:val="es-ES"/>
        </w:rPr>
        <w:t xml:space="preserve"> </w:t>
      </w:r>
      <w:r>
        <w:rPr>
          <w:rFonts w:eastAsia="Calibri"/>
          <w:color w:val="000000"/>
          <w:lang w:val="es-ES_tradnl"/>
        </w:rPr>
        <w:t>retrato hablado</w:t>
      </w:r>
      <w:r w:rsidRPr="00873F3A">
        <w:rPr>
          <w:rFonts w:eastAsia="Calibri"/>
          <w:color w:val="000000"/>
          <w:lang w:val="es-ES_tradnl"/>
        </w:rPr>
        <w:t>) y a otros dos policías (Marco Alfredo</w:t>
      </w:r>
      <w:r w:rsidRPr="0043148A">
        <w:rPr>
          <w:rFonts w:eastAsia="Calibri"/>
          <w:lang w:val="es-ES"/>
        </w:rPr>
        <w:t xml:space="preserve"> </w:t>
      </w:r>
      <w:r w:rsidRPr="00873F3A">
        <w:rPr>
          <w:rFonts w:eastAsia="Calibri"/>
          <w:color w:val="000000"/>
          <w:lang w:val="es-ES_tradnl"/>
        </w:rPr>
        <w:t xml:space="preserve">Castellanos López y Carlos Vicencio Santiago) como </w:t>
      </w:r>
      <w:r w:rsidR="003B540C">
        <w:rPr>
          <w:rFonts w:eastAsia="Calibri"/>
          <w:color w:val="000000"/>
          <w:lang w:val="es-ES_tradnl"/>
        </w:rPr>
        <w:t xml:space="preserve">unos de los </w:t>
      </w:r>
      <w:r w:rsidRPr="00873F3A">
        <w:rPr>
          <w:rFonts w:eastAsia="Calibri"/>
          <w:color w:val="000000"/>
          <w:lang w:val="es-ES_tradnl"/>
        </w:rPr>
        <w:t>responsables de la desaparición</w:t>
      </w:r>
      <w:r>
        <w:rPr>
          <w:rFonts w:eastAsia="Calibri"/>
          <w:color w:val="000000"/>
          <w:lang w:val="es-ES_tradnl"/>
        </w:rPr>
        <w:t>.</w:t>
      </w:r>
      <w:r w:rsidRPr="0001700A">
        <w:rPr>
          <w:rFonts w:eastAsia="Calibri"/>
          <w:color w:val="000000"/>
          <w:sz w:val="18"/>
          <w:szCs w:val="18"/>
          <w:vertAlign w:val="superscript"/>
          <w:lang w:val="es-ES_tradnl"/>
        </w:rPr>
        <w:footnoteReference w:id="7"/>
      </w:r>
      <w:r w:rsidRPr="00873F3A">
        <w:rPr>
          <w:rFonts w:eastAsia="Calibri"/>
          <w:color w:val="000000"/>
          <w:lang w:val="es-ES_tradnl"/>
        </w:rPr>
        <w:t xml:space="preserve"> </w:t>
      </w:r>
      <w:r>
        <w:rPr>
          <w:rFonts w:eastAsia="Calibri"/>
          <w:color w:val="000000"/>
          <w:lang w:val="es-ES_tradnl"/>
        </w:rPr>
        <w:t>Además, e</w:t>
      </w:r>
      <w:r w:rsidRPr="005A4D58">
        <w:rPr>
          <w:rFonts w:eastAsia="Calibri"/>
          <w:color w:val="000000"/>
          <w:lang w:val="es-ES_tradnl"/>
        </w:rPr>
        <w:t>n el marco de ese expediente</w:t>
      </w:r>
      <w:r>
        <w:rPr>
          <w:rFonts w:eastAsia="Calibri"/>
          <w:color w:val="000000"/>
          <w:lang w:val="es-ES_tradnl"/>
        </w:rPr>
        <w:t>,</w:t>
      </w:r>
      <w:r w:rsidRPr="005A4D58">
        <w:rPr>
          <w:rFonts w:eastAsia="Calibri"/>
          <w:color w:val="000000"/>
          <w:lang w:val="es-ES_tradnl"/>
        </w:rPr>
        <w:t xml:space="preserve"> </w:t>
      </w:r>
      <w:r>
        <w:rPr>
          <w:rFonts w:eastAsia="Calibri"/>
          <w:color w:val="000000"/>
          <w:lang w:val="es-ES_tradnl"/>
        </w:rPr>
        <w:t xml:space="preserve">también </w:t>
      </w:r>
      <w:r w:rsidRPr="00873F3A">
        <w:rPr>
          <w:rFonts w:eastAsia="Calibri"/>
          <w:color w:val="000000"/>
          <w:lang w:val="es-ES_tradnl"/>
        </w:rPr>
        <w:t xml:space="preserve">se interrogaron </w:t>
      </w:r>
      <w:r>
        <w:rPr>
          <w:rFonts w:eastAsia="Calibri"/>
          <w:color w:val="000000"/>
          <w:lang w:val="es-ES_tradnl"/>
        </w:rPr>
        <w:t xml:space="preserve">a diversas personas </w:t>
      </w:r>
      <w:r w:rsidRPr="00873F3A">
        <w:rPr>
          <w:rFonts w:eastAsia="Calibri"/>
          <w:color w:val="000000"/>
          <w:lang w:val="es-ES_tradnl"/>
        </w:rPr>
        <w:t>que no señala</w:t>
      </w:r>
      <w:r>
        <w:rPr>
          <w:rFonts w:eastAsia="Calibri"/>
          <w:color w:val="000000"/>
          <w:lang w:val="es-ES_tradnl"/>
        </w:rPr>
        <w:t>ron haber visto nada particular.</w:t>
      </w:r>
      <w:r w:rsidRPr="0001700A">
        <w:rPr>
          <w:rFonts w:eastAsia="Calibri"/>
          <w:color w:val="000000"/>
          <w:sz w:val="18"/>
          <w:szCs w:val="18"/>
          <w:vertAlign w:val="superscript"/>
          <w:lang w:val="es-ES_tradnl"/>
        </w:rPr>
        <w:footnoteReference w:id="8"/>
      </w:r>
      <w:r w:rsidRPr="00873F3A">
        <w:rPr>
          <w:rFonts w:eastAsia="Calibri"/>
          <w:color w:val="000000"/>
          <w:lang w:val="es-ES_tradnl"/>
        </w:rPr>
        <w:t xml:space="preserve"> </w:t>
      </w:r>
      <w:r>
        <w:rPr>
          <w:rFonts w:eastAsia="Calibri"/>
          <w:color w:val="000000"/>
          <w:lang w:val="es-ES_tradnl"/>
        </w:rPr>
        <w:t xml:space="preserve">También </w:t>
      </w:r>
      <w:r w:rsidRPr="00873F3A">
        <w:rPr>
          <w:rFonts w:eastAsia="Calibri"/>
          <w:color w:val="000000"/>
          <w:lang w:val="es-ES_tradnl"/>
        </w:rPr>
        <w:t>se informó a los familiares que no existían c</w:t>
      </w:r>
      <w:r>
        <w:rPr>
          <w:rFonts w:eastAsia="Calibri"/>
          <w:color w:val="000000"/>
          <w:lang w:val="es-ES_tradnl"/>
        </w:rPr>
        <w:t>ámaras de vigilancia en la zona</w:t>
      </w:r>
      <w:r w:rsidRPr="00873F3A">
        <w:rPr>
          <w:rFonts w:eastAsia="Calibri"/>
          <w:color w:val="000000"/>
          <w:lang w:val="es-ES_tradnl"/>
        </w:rPr>
        <w:t xml:space="preserve"> </w:t>
      </w:r>
      <w:r>
        <w:rPr>
          <w:rFonts w:eastAsia="Calibri"/>
          <w:color w:val="000000"/>
          <w:lang w:val="es-ES_tradnl"/>
        </w:rPr>
        <w:t xml:space="preserve">(lo cual resultó ser falso, </w:t>
      </w:r>
      <w:r w:rsidRPr="00873F3A">
        <w:rPr>
          <w:rFonts w:eastAsia="Calibri"/>
          <w:color w:val="000000"/>
          <w:lang w:val="es-ES_tradnl"/>
        </w:rPr>
        <w:t>pero, por el tiempo transcurrido, los videos se</w:t>
      </w:r>
      <w:r>
        <w:rPr>
          <w:rFonts w:eastAsia="Calibri"/>
          <w:color w:val="000000"/>
          <w:lang w:val="es-ES_tradnl"/>
        </w:rPr>
        <w:t xml:space="preserve"> borraron). El</w:t>
      </w:r>
      <w:r w:rsidRPr="00873F3A">
        <w:rPr>
          <w:rFonts w:eastAsia="Calibri"/>
          <w:color w:val="000000"/>
          <w:lang w:val="es-ES_tradnl"/>
        </w:rPr>
        <w:t xml:space="preserve"> 29 de noviembre de 2010</w:t>
      </w:r>
      <w:r>
        <w:rPr>
          <w:rFonts w:eastAsia="Calibri"/>
          <w:color w:val="000000"/>
          <w:lang w:val="es-ES_tradnl"/>
        </w:rPr>
        <w:t>,</w:t>
      </w:r>
      <w:r w:rsidRPr="00873F3A">
        <w:rPr>
          <w:rFonts w:eastAsia="Calibri"/>
          <w:color w:val="000000"/>
          <w:lang w:val="es-ES_tradnl"/>
        </w:rPr>
        <w:t xml:space="preserve"> Pablo García </w:t>
      </w:r>
      <w:proofErr w:type="spellStart"/>
      <w:r w:rsidRPr="00873F3A">
        <w:rPr>
          <w:rFonts w:eastAsia="Calibri"/>
          <w:color w:val="000000"/>
          <w:lang w:val="es-ES_tradnl"/>
        </w:rPr>
        <w:t>García</w:t>
      </w:r>
      <w:proofErr w:type="spellEnd"/>
      <w:r w:rsidRPr="00873F3A">
        <w:rPr>
          <w:rFonts w:eastAsia="Calibri"/>
          <w:color w:val="000000"/>
          <w:lang w:val="es-ES_tradnl"/>
        </w:rPr>
        <w:t xml:space="preserve"> fue citado a declarar</w:t>
      </w:r>
      <w:r>
        <w:rPr>
          <w:rFonts w:eastAsia="Calibri"/>
          <w:color w:val="000000"/>
          <w:lang w:val="es-ES_tradnl"/>
        </w:rPr>
        <w:t>. En su</w:t>
      </w:r>
      <w:r w:rsidRPr="00873F3A">
        <w:rPr>
          <w:rFonts w:eastAsia="Calibri"/>
          <w:color w:val="000000"/>
          <w:lang w:val="es-ES_tradnl"/>
        </w:rPr>
        <w:t xml:space="preserve"> declaración </w:t>
      </w:r>
      <w:r>
        <w:rPr>
          <w:rFonts w:eastAsia="Calibri"/>
          <w:color w:val="000000"/>
          <w:lang w:val="es-ES_tradnl"/>
        </w:rPr>
        <w:t>de 6 de diciembre de 2010,</w:t>
      </w:r>
      <w:r w:rsidRPr="00873F3A">
        <w:rPr>
          <w:rFonts w:eastAsia="Calibri"/>
          <w:color w:val="000000"/>
          <w:lang w:val="es-ES_tradnl"/>
        </w:rPr>
        <w:t xml:space="preserve"> señal</w:t>
      </w:r>
      <w:r>
        <w:rPr>
          <w:rFonts w:eastAsia="Calibri"/>
          <w:color w:val="000000"/>
          <w:lang w:val="es-ES_tradnl"/>
        </w:rPr>
        <w:t>ó</w:t>
      </w:r>
      <w:r w:rsidRPr="00873F3A">
        <w:rPr>
          <w:rFonts w:eastAsia="Calibri"/>
          <w:color w:val="000000"/>
          <w:lang w:val="es-ES_tradnl"/>
        </w:rPr>
        <w:t xml:space="preserve"> </w:t>
      </w:r>
      <w:r w:rsidRPr="00873F3A">
        <w:rPr>
          <w:rFonts w:eastAsia="Calibri"/>
          <w:lang w:val="es-ES_tradnl"/>
        </w:rPr>
        <w:t xml:space="preserve">pertenecer a la Unidad Canina </w:t>
      </w:r>
      <w:r>
        <w:rPr>
          <w:rFonts w:eastAsia="Calibri"/>
          <w:lang w:val="es-ES_tradnl"/>
        </w:rPr>
        <w:t>y no manejar</w:t>
      </w:r>
      <w:r w:rsidRPr="00873F3A">
        <w:rPr>
          <w:rFonts w:eastAsia="Calibri"/>
          <w:lang w:val="es-ES_tradnl"/>
        </w:rPr>
        <w:t xml:space="preserve"> patrullas ni motocicletas</w:t>
      </w:r>
      <w:r>
        <w:rPr>
          <w:rFonts w:eastAsia="Calibri"/>
          <w:lang w:val="es-ES_tradnl"/>
        </w:rPr>
        <w:t>,</w:t>
      </w:r>
      <w:r w:rsidRPr="00873F3A">
        <w:rPr>
          <w:rFonts w:eastAsia="Calibri"/>
          <w:lang w:val="es-ES_tradnl"/>
        </w:rPr>
        <w:t xml:space="preserve"> y </w:t>
      </w:r>
      <w:r w:rsidRPr="00873F3A">
        <w:rPr>
          <w:rFonts w:eastAsia="Calibri"/>
          <w:color w:val="000000"/>
          <w:lang w:val="es-ES_tradnl"/>
        </w:rPr>
        <w:t>haber estado de vacaciones el día de los hechos</w:t>
      </w:r>
      <w:r>
        <w:rPr>
          <w:rFonts w:eastAsia="Calibri"/>
          <w:color w:val="000000"/>
          <w:lang w:val="es-ES_tradnl"/>
        </w:rPr>
        <w:t>. Aportó</w:t>
      </w:r>
      <w:r w:rsidRPr="00873F3A">
        <w:rPr>
          <w:rFonts w:eastAsia="Calibri"/>
          <w:color w:val="000000"/>
          <w:lang w:val="es-ES_tradnl"/>
        </w:rPr>
        <w:t xml:space="preserve"> como pruebas un oficio firmado por el Coordinador General de la Policía Intermunic</w:t>
      </w:r>
      <w:r>
        <w:rPr>
          <w:rFonts w:eastAsia="Calibri"/>
          <w:color w:val="000000"/>
          <w:lang w:val="es-ES_tradnl"/>
        </w:rPr>
        <w:t>ipal (Juan Carlos Novoa Torres</w:t>
      </w:r>
      <w:r w:rsidRPr="00873F3A">
        <w:rPr>
          <w:rFonts w:eastAsia="Calibri"/>
          <w:color w:val="000000"/>
          <w:lang w:val="es-ES_tradnl"/>
        </w:rPr>
        <w:t xml:space="preserve"> </w:t>
      </w:r>
      <w:r>
        <w:rPr>
          <w:rFonts w:eastAsia="Calibri"/>
          <w:color w:val="000000"/>
          <w:lang w:val="es-ES_tradnl"/>
        </w:rPr>
        <w:t xml:space="preserve">–quien fue </w:t>
      </w:r>
      <w:r w:rsidRPr="00873F3A">
        <w:rPr>
          <w:rFonts w:eastAsia="Calibri"/>
          <w:color w:val="000000"/>
          <w:lang w:val="es-ES_tradnl"/>
        </w:rPr>
        <w:t>en 2014 vinculado con un asesinato)</w:t>
      </w:r>
      <w:r>
        <w:rPr>
          <w:rFonts w:eastAsia="Calibri"/>
          <w:color w:val="000000"/>
          <w:lang w:val="es-ES_tradnl"/>
        </w:rPr>
        <w:t xml:space="preserve"> y la bitácora de</w:t>
      </w:r>
      <w:r w:rsidRPr="00873F3A">
        <w:rPr>
          <w:rFonts w:eastAsia="Calibri"/>
          <w:color w:val="000000"/>
          <w:lang w:val="es-ES_tradnl"/>
        </w:rPr>
        <w:t xml:space="preserve"> 20 de octubre</w:t>
      </w:r>
      <w:r>
        <w:rPr>
          <w:rFonts w:eastAsia="Calibri"/>
          <w:color w:val="000000"/>
          <w:lang w:val="es-ES_tradnl"/>
        </w:rPr>
        <w:t xml:space="preserve"> de 2010 de</w:t>
      </w:r>
      <w:r w:rsidRPr="00873F3A">
        <w:rPr>
          <w:rFonts w:eastAsia="Calibri"/>
          <w:color w:val="000000"/>
          <w:lang w:val="es-ES_tradnl"/>
        </w:rPr>
        <w:t xml:space="preserve"> </w:t>
      </w:r>
      <w:r w:rsidRPr="00C20CA0">
        <w:rPr>
          <w:rFonts w:eastAsia="Calibri"/>
          <w:color w:val="000000"/>
          <w:lang w:val="es-ES_tradnl"/>
        </w:rPr>
        <w:t>la Unidad Canina</w:t>
      </w:r>
      <w:r w:rsidRPr="00873F3A">
        <w:rPr>
          <w:rFonts w:eastAsia="Calibri"/>
          <w:color w:val="000000"/>
          <w:lang w:val="es-ES_tradnl"/>
        </w:rPr>
        <w:t>, firmada por el Subcoordinador de la Policía Intermunicipal</w:t>
      </w:r>
      <w:r>
        <w:rPr>
          <w:rFonts w:eastAsia="Calibri"/>
          <w:color w:val="000000"/>
          <w:lang w:val="es-ES_tradnl"/>
        </w:rPr>
        <w:t>,</w:t>
      </w:r>
      <w:r w:rsidRPr="00873F3A">
        <w:rPr>
          <w:rFonts w:eastAsia="Calibri"/>
          <w:color w:val="000000"/>
          <w:lang w:val="es-ES_tradnl"/>
        </w:rPr>
        <w:t xml:space="preserve"> Javier Amador Mercado</w:t>
      </w:r>
      <w:r w:rsidRPr="008E610E">
        <w:rPr>
          <w:rFonts w:eastAsia="Calibri"/>
          <w:lang w:val="es-ES"/>
        </w:rPr>
        <w:t xml:space="preserve"> </w:t>
      </w:r>
      <w:r w:rsidRPr="00873F3A">
        <w:rPr>
          <w:rFonts w:eastAsia="Calibri"/>
          <w:color w:val="000000"/>
          <w:lang w:val="es-ES_tradnl"/>
        </w:rPr>
        <w:t>Guerrero</w:t>
      </w:r>
      <w:r>
        <w:rPr>
          <w:rFonts w:eastAsia="Calibri"/>
          <w:color w:val="000000"/>
          <w:lang w:val="es-ES_tradnl"/>
        </w:rPr>
        <w:t>.</w:t>
      </w:r>
    </w:p>
    <w:p w14:paraId="213C3DE8" w14:textId="7D85E3F9" w:rsidR="00B16BAE" w:rsidRDefault="001E1924" w:rsidP="00B16BAE">
      <w:pPr>
        <w:pStyle w:val="SingleTxtG"/>
        <w:rPr>
          <w:rFonts w:eastAsia="Calibri"/>
          <w:color w:val="000000"/>
          <w:lang w:val="es-ES_tradnl"/>
        </w:rPr>
      </w:pPr>
      <w:r>
        <w:rPr>
          <w:rFonts w:eastAsia="Calibri"/>
          <w:color w:val="000000"/>
          <w:lang w:val="es-ES_tradnl"/>
        </w:rPr>
        <w:t>2.7</w:t>
      </w:r>
      <w:r w:rsidR="00873F3A" w:rsidRPr="00873F3A">
        <w:rPr>
          <w:rFonts w:eastAsia="Calibri"/>
          <w:color w:val="000000"/>
          <w:lang w:val="es-ES_tradnl"/>
        </w:rPr>
        <w:tab/>
        <w:t xml:space="preserve">Por otra parte, </w:t>
      </w:r>
      <w:r w:rsidR="002C76BA">
        <w:rPr>
          <w:rFonts w:eastAsia="Calibri"/>
          <w:color w:val="000000"/>
          <w:lang w:val="es-ES_tradnl"/>
        </w:rPr>
        <w:t>también se</w:t>
      </w:r>
      <w:r w:rsidR="00873F3A" w:rsidRPr="00873F3A">
        <w:rPr>
          <w:rFonts w:eastAsia="Calibri"/>
          <w:color w:val="000000"/>
          <w:lang w:val="es-ES_tradnl"/>
        </w:rPr>
        <w:t xml:space="preserve"> presentó el 22 de noviembre de 2010 una denuncia </w:t>
      </w:r>
      <w:r w:rsidR="00D6536A" w:rsidRPr="00873F3A">
        <w:rPr>
          <w:rFonts w:eastAsia="Calibri"/>
          <w:color w:val="000000"/>
          <w:lang w:val="es-ES_tradnl"/>
        </w:rPr>
        <w:t xml:space="preserve">en contra de </w:t>
      </w:r>
      <w:r w:rsidR="00D6536A">
        <w:rPr>
          <w:rFonts w:eastAsia="Calibri"/>
          <w:color w:val="000000"/>
          <w:lang w:val="es-ES_tradnl"/>
        </w:rPr>
        <w:t>los tres policías identificados –</w:t>
      </w:r>
      <w:r w:rsidR="00D6536A" w:rsidRPr="00873F3A">
        <w:rPr>
          <w:rFonts w:eastAsia="Calibri"/>
          <w:color w:val="000000"/>
          <w:lang w:val="es-ES_tradnl"/>
        </w:rPr>
        <w:t>Pablo</w:t>
      </w:r>
      <w:r w:rsidR="00D6536A">
        <w:rPr>
          <w:rFonts w:eastAsia="Calibri"/>
          <w:color w:val="000000"/>
          <w:lang w:val="es-ES_tradnl"/>
        </w:rPr>
        <w:t xml:space="preserve"> </w:t>
      </w:r>
      <w:r w:rsidR="00D6536A" w:rsidRPr="00873F3A">
        <w:rPr>
          <w:rFonts w:eastAsia="Calibri"/>
          <w:color w:val="000000"/>
          <w:lang w:val="es-ES_tradnl"/>
        </w:rPr>
        <w:t xml:space="preserve">García </w:t>
      </w:r>
      <w:proofErr w:type="spellStart"/>
      <w:r w:rsidR="00D6536A" w:rsidRPr="00873F3A">
        <w:rPr>
          <w:rFonts w:eastAsia="Calibri"/>
          <w:color w:val="000000"/>
          <w:lang w:val="es-ES_tradnl"/>
        </w:rPr>
        <w:t>García</w:t>
      </w:r>
      <w:proofErr w:type="spellEnd"/>
      <w:r w:rsidR="00D6536A" w:rsidRPr="00873F3A">
        <w:rPr>
          <w:rFonts w:eastAsia="Calibri"/>
          <w:color w:val="000000"/>
          <w:lang w:val="es-ES_tradnl"/>
        </w:rPr>
        <w:t>, Marco Alfredo Castellanos Ló</w:t>
      </w:r>
      <w:r w:rsidR="00D6536A">
        <w:rPr>
          <w:rFonts w:eastAsia="Calibri"/>
          <w:color w:val="000000"/>
          <w:lang w:val="es-ES_tradnl"/>
        </w:rPr>
        <w:t>pez y Carlos Vicencio Santiago</w:t>
      </w:r>
      <w:r w:rsidR="00D6536A" w:rsidRPr="001060C3">
        <w:rPr>
          <w:rFonts w:eastAsia="Calibri"/>
          <w:color w:val="000000"/>
          <w:lang w:val="es-ES_tradnl"/>
        </w:rPr>
        <w:t>–</w:t>
      </w:r>
      <w:r w:rsidR="00D6536A">
        <w:rPr>
          <w:rFonts w:eastAsia="Calibri"/>
          <w:color w:val="000000"/>
          <w:lang w:val="es-ES_tradnl"/>
        </w:rPr>
        <w:t xml:space="preserve"> </w:t>
      </w:r>
      <w:r w:rsidR="00422AE9" w:rsidRPr="00873F3A">
        <w:rPr>
          <w:rFonts w:eastAsia="Calibri"/>
          <w:color w:val="000000"/>
          <w:lang w:val="es-ES_tradnl"/>
        </w:rPr>
        <w:t>en la Unidad Especializada en Investigación de Secuestros (UEIS) de la Subprocuraduría Especializada en la Investigación de Delincuencia Organizada (SEIDO)</w:t>
      </w:r>
      <w:r w:rsidR="004E0234">
        <w:rPr>
          <w:rFonts w:eastAsia="Calibri"/>
          <w:color w:val="000000"/>
          <w:lang w:val="es-ES_tradnl"/>
        </w:rPr>
        <w:t>,</w:t>
      </w:r>
      <w:r w:rsidR="00422AE9">
        <w:rPr>
          <w:rFonts w:eastAsia="Calibri"/>
          <w:color w:val="000000"/>
          <w:lang w:val="es-ES_tradnl"/>
        </w:rPr>
        <w:t xml:space="preserve"> </w:t>
      </w:r>
      <w:r w:rsidR="00BC7E25">
        <w:rPr>
          <w:rFonts w:eastAsia="Calibri"/>
          <w:color w:val="000000"/>
          <w:lang w:val="es-ES_tradnl"/>
        </w:rPr>
        <w:t xml:space="preserve">de la Procuraduría General de la República, </w:t>
      </w:r>
      <w:r w:rsidR="00670174">
        <w:rPr>
          <w:rFonts w:eastAsia="Calibri"/>
          <w:color w:val="000000"/>
          <w:lang w:val="es-ES_tradnl"/>
        </w:rPr>
        <w:t xml:space="preserve">que </w:t>
      </w:r>
      <w:r w:rsidR="00873F3A" w:rsidRPr="00873F3A">
        <w:rPr>
          <w:rFonts w:eastAsia="Calibri"/>
          <w:color w:val="000000"/>
          <w:lang w:val="es-ES_tradnl"/>
        </w:rPr>
        <w:t xml:space="preserve">dio origen a </w:t>
      </w:r>
      <w:r w:rsidR="00B736D2">
        <w:rPr>
          <w:rFonts w:eastAsia="Calibri"/>
          <w:color w:val="000000"/>
          <w:lang w:val="es-ES_tradnl"/>
        </w:rPr>
        <w:t>una</w:t>
      </w:r>
      <w:r w:rsidR="00B736D2" w:rsidRPr="00873F3A">
        <w:rPr>
          <w:rFonts w:eastAsia="Calibri"/>
          <w:color w:val="000000"/>
          <w:lang w:val="es-ES_tradnl"/>
        </w:rPr>
        <w:t xml:space="preserve"> </w:t>
      </w:r>
      <w:r w:rsidR="00873F3A" w:rsidRPr="00873F3A">
        <w:rPr>
          <w:rFonts w:eastAsia="Calibri"/>
          <w:color w:val="000000"/>
          <w:lang w:val="es-ES_tradnl"/>
        </w:rPr>
        <w:t>Averiguación Previa por el delito de privación ilegal de la libertad en modalidad de secuestro.</w:t>
      </w:r>
      <w:r w:rsidR="00B736D2">
        <w:rPr>
          <w:rStyle w:val="FootnoteReference"/>
          <w:rFonts w:eastAsia="Calibri"/>
          <w:color w:val="000000"/>
          <w:lang w:val="es-ES_tradnl"/>
        </w:rPr>
        <w:footnoteReference w:id="9"/>
      </w:r>
      <w:r w:rsidR="00873F3A" w:rsidRPr="00873F3A">
        <w:rPr>
          <w:rFonts w:eastAsia="Calibri"/>
          <w:color w:val="000000"/>
          <w:lang w:val="es-ES_tradnl"/>
        </w:rPr>
        <w:t xml:space="preserve"> </w:t>
      </w:r>
      <w:r w:rsidR="004E0234">
        <w:rPr>
          <w:rFonts w:eastAsia="Calibri"/>
          <w:color w:val="000000"/>
          <w:lang w:val="es-ES_tradnl"/>
        </w:rPr>
        <w:t xml:space="preserve">Los autores </w:t>
      </w:r>
      <w:r w:rsidR="00392657">
        <w:rPr>
          <w:rFonts w:eastAsia="Calibri"/>
          <w:color w:val="000000"/>
          <w:lang w:val="es-ES_tradnl"/>
        </w:rPr>
        <w:t xml:space="preserve">de la comunicación </w:t>
      </w:r>
      <w:r w:rsidR="004E0234">
        <w:rPr>
          <w:rFonts w:eastAsia="Calibri"/>
          <w:color w:val="000000"/>
          <w:lang w:val="es-ES_tradnl"/>
        </w:rPr>
        <w:t>colaboraron</w:t>
      </w:r>
      <w:r w:rsidR="00873F3A" w:rsidRPr="00873F3A">
        <w:rPr>
          <w:rFonts w:eastAsia="Calibri"/>
          <w:color w:val="000000"/>
          <w:lang w:val="es-ES_tradnl"/>
        </w:rPr>
        <w:t xml:space="preserve"> activamente,</w:t>
      </w:r>
      <w:r w:rsidR="00873F3A" w:rsidRPr="00280BC7">
        <w:rPr>
          <w:rFonts w:eastAsia="Calibri"/>
          <w:color w:val="000000"/>
          <w:sz w:val="18"/>
          <w:szCs w:val="18"/>
          <w:vertAlign w:val="superscript"/>
          <w:lang w:val="es-ES_tradnl"/>
        </w:rPr>
        <w:footnoteReference w:id="10"/>
      </w:r>
      <w:r w:rsidR="00873F3A" w:rsidRPr="00873F3A">
        <w:rPr>
          <w:rFonts w:eastAsia="Calibri"/>
          <w:color w:val="000000"/>
          <w:lang w:val="es-ES_tradnl"/>
        </w:rPr>
        <w:t xml:space="preserve"> aportando diversos elementos para la investigación, </w:t>
      </w:r>
      <w:r w:rsidR="00AF0791">
        <w:rPr>
          <w:rFonts w:eastAsia="Calibri"/>
          <w:color w:val="000000"/>
          <w:lang w:val="es-ES_tradnl"/>
        </w:rPr>
        <w:t>incluido</w:t>
      </w:r>
      <w:r w:rsidR="00873F3A" w:rsidRPr="00873F3A">
        <w:rPr>
          <w:rFonts w:eastAsia="Calibri"/>
          <w:color w:val="000000"/>
          <w:lang w:val="es-ES_tradnl"/>
        </w:rPr>
        <w:t xml:space="preserve"> la noticia de la detención del Subcoordinador de la Policía Intermunicipal, Javier Amador Mercado Guerrero,</w:t>
      </w:r>
      <w:r w:rsidR="00F46523">
        <w:rPr>
          <w:rStyle w:val="FootnoteReference"/>
          <w:rFonts w:eastAsia="Calibri"/>
          <w:color w:val="000000"/>
          <w:lang w:val="es-ES_tradnl"/>
        </w:rPr>
        <w:footnoteReference w:id="11"/>
      </w:r>
      <w:r w:rsidR="00873F3A" w:rsidRPr="00873F3A">
        <w:rPr>
          <w:rFonts w:eastAsia="Calibri"/>
          <w:color w:val="000000"/>
          <w:lang w:val="es-ES_tradnl"/>
        </w:rPr>
        <w:t xml:space="preserve"> presunto líder </w:t>
      </w:r>
      <w:r w:rsidR="00392657" w:rsidRPr="00873F3A">
        <w:rPr>
          <w:rFonts w:eastAsia="Calibri"/>
          <w:color w:val="000000"/>
          <w:lang w:val="es-ES_tradnl"/>
        </w:rPr>
        <w:t xml:space="preserve">en Poza Rica </w:t>
      </w:r>
      <w:r w:rsidR="00873F3A" w:rsidRPr="00873F3A">
        <w:rPr>
          <w:rFonts w:eastAsia="Calibri"/>
          <w:color w:val="000000"/>
          <w:lang w:val="es-ES_tradnl"/>
        </w:rPr>
        <w:t xml:space="preserve">del grupo de delincuencia organizada “Los Zetas”. </w:t>
      </w:r>
      <w:r w:rsidR="00AF0791">
        <w:rPr>
          <w:rFonts w:eastAsia="Calibri"/>
          <w:color w:val="000000"/>
          <w:lang w:val="es-ES_tradnl"/>
        </w:rPr>
        <w:t xml:space="preserve">Los </w:t>
      </w:r>
      <w:r w:rsidR="00AF0791">
        <w:rPr>
          <w:rFonts w:eastAsia="Calibri"/>
          <w:color w:val="000000"/>
          <w:lang w:val="es-ES_tradnl"/>
        </w:rPr>
        <w:lastRenderedPageBreak/>
        <w:t xml:space="preserve">autores avanzan que solamente </w:t>
      </w:r>
      <w:r w:rsidR="00AF0791" w:rsidRPr="00873F3A">
        <w:rPr>
          <w:rFonts w:eastAsia="Calibri"/>
          <w:color w:val="000000"/>
          <w:lang w:val="es-ES_tradnl"/>
        </w:rPr>
        <w:t>nueve meses después</w:t>
      </w:r>
      <w:r w:rsidR="00AF0791">
        <w:rPr>
          <w:rFonts w:eastAsia="Calibri"/>
          <w:color w:val="000000"/>
          <w:lang w:val="es-ES_tradnl"/>
        </w:rPr>
        <w:t xml:space="preserve"> </w:t>
      </w:r>
      <w:r w:rsidR="00AF0791" w:rsidRPr="00873F3A">
        <w:rPr>
          <w:rFonts w:eastAsia="Calibri"/>
          <w:color w:val="000000"/>
          <w:lang w:val="es-ES_tradnl"/>
        </w:rPr>
        <w:t xml:space="preserve">(el 22 de octubre de 2012) </w:t>
      </w:r>
      <w:r w:rsidR="00AF0791">
        <w:rPr>
          <w:rFonts w:eastAsia="Calibri"/>
          <w:color w:val="000000"/>
          <w:lang w:val="es-ES_tradnl"/>
        </w:rPr>
        <w:t>s</w:t>
      </w:r>
      <w:r w:rsidR="00873F3A" w:rsidRPr="00873F3A">
        <w:rPr>
          <w:rFonts w:eastAsia="Calibri"/>
          <w:color w:val="000000"/>
          <w:lang w:val="es-ES_tradnl"/>
        </w:rPr>
        <w:t>e le tomó declaración</w:t>
      </w:r>
      <w:r w:rsidR="00AF0791">
        <w:rPr>
          <w:rFonts w:eastAsia="Calibri"/>
          <w:color w:val="000000"/>
          <w:lang w:val="es-ES_tradnl"/>
        </w:rPr>
        <w:t xml:space="preserve">, y que cuando </w:t>
      </w:r>
      <w:r w:rsidR="00AF0791" w:rsidRPr="00AF0791">
        <w:rPr>
          <w:rFonts w:eastAsia="Calibri"/>
          <w:color w:val="000000"/>
          <w:lang w:val="es-ES_tradnl"/>
        </w:rPr>
        <w:t xml:space="preserve">Javier Amador Mercado Guerrero </w:t>
      </w:r>
      <w:r w:rsidR="00AF0791">
        <w:rPr>
          <w:rFonts w:eastAsia="Calibri"/>
          <w:color w:val="000000"/>
          <w:lang w:val="es-ES_tradnl"/>
        </w:rPr>
        <w:t>negó los hechos, n</w:t>
      </w:r>
      <w:r w:rsidR="00873F3A" w:rsidRPr="00873F3A">
        <w:rPr>
          <w:rFonts w:eastAsia="Calibri"/>
          <w:color w:val="000000"/>
          <w:lang w:val="es-ES_tradnl"/>
        </w:rPr>
        <w:t xml:space="preserve">o se </w:t>
      </w:r>
      <w:r w:rsidR="00AF0791">
        <w:rPr>
          <w:rFonts w:eastAsia="Calibri"/>
          <w:color w:val="000000"/>
          <w:lang w:val="es-ES_tradnl"/>
        </w:rPr>
        <w:t>realizó</w:t>
      </w:r>
      <w:r w:rsidR="00873F3A" w:rsidRPr="00873F3A">
        <w:rPr>
          <w:rFonts w:eastAsia="Calibri"/>
          <w:color w:val="000000"/>
          <w:lang w:val="es-ES_tradnl"/>
        </w:rPr>
        <w:t xml:space="preserve"> </w:t>
      </w:r>
      <w:r w:rsidR="00D8783A">
        <w:rPr>
          <w:rFonts w:eastAsia="Calibri"/>
          <w:color w:val="000000"/>
          <w:lang w:val="es-ES_tradnl"/>
        </w:rPr>
        <w:t>ningún</w:t>
      </w:r>
      <w:r w:rsidR="00873F3A" w:rsidRPr="00873F3A">
        <w:rPr>
          <w:rFonts w:eastAsia="Calibri"/>
          <w:color w:val="000000"/>
          <w:lang w:val="es-ES_tradnl"/>
        </w:rPr>
        <w:t xml:space="preserve"> análisis de la colaboración de la Policía Intermunicipal con el grupo </w:t>
      </w:r>
      <w:r w:rsidR="00AF0791">
        <w:rPr>
          <w:rFonts w:eastAsia="Calibri"/>
          <w:color w:val="000000"/>
          <w:lang w:val="es-ES_tradnl"/>
        </w:rPr>
        <w:t>“Los Zetas”</w:t>
      </w:r>
      <w:r w:rsidR="00873F3A" w:rsidRPr="00873F3A">
        <w:rPr>
          <w:rFonts w:eastAsia="Calibri"/>
          <w:color w:val="000000"/>
          <w:lang w:val="es-ES_tradnl"/>
        </w:rPr>
        <w:t xml:space="preserve">. </w:t>
      </w:r>
    </w:p>
    <w:p w14:paraId="53B2F226" w14:textId="44D1B92E" w:rsidR="00B16BAE" w:rsidRDefault="001E1924" w:rsidP="00B16BAE">
      <w:pPr>
        <w:pStyle w:val="SingleTxtG"/>
        <w:rPr>
          <w:rFonts w:eastAsia="Calibri"/>
          <w:color w:val="000000"/>
          <w:lang w:val="es-ES_tradnl"/>
        </w:rPr>
      </w:pPr>
      <w:r>
        <w:rPr>
          <w:rFonts w:eastAsia="Calibri"/>
          <w:color w:val="000000"/>
          <w:lang w:val="es-ES_tradnl"/>
        </w:rPr>
        <w:t>2.8</w:t>
      </w:r>
      <w:r w:rsidR="00833460">
        <w:rPr>
          <w:rFonts w:eastAsia="Calibri"/>
          <w:color w:val="000000"/>
          <w:lang w:val="es-ES_tradnl"/>
        </w:rPr>
        <w:tab/>
        <w:t>E</w:t>
      </w:r>
      <w:r w:rsidR="00873F3A" w:rsidRPr="00873F3A">
        <w:rPr>
          <w:rFonts w:eastAsia="Calibri"/>
          <w:color w:val="000000"/>
          <w:lang w:val="es-ES_tradnl"/>
        </w:rPr>
        <w:t xml:space="preserve">l 24 de octubre de 2014, </w:t>
      </w:r>
      <w:r w:rsidR="00833460">
        <w:rPr>
          <w:rFonts w:eastAsia="Calibri"/>
          <w:color w:val="000000"/>
          <w:lang w:val="es-ES_tradnl"/>
        </w:rPr>
        <w:t>los familiares del Sr. Téllez Padilla presentaron una nueva denuncia</w:t>
      </w:r>
      <w:r w:rsidR="00113806">
        <w:rPr>
          <w:rFonts w:eastAsia="Calibri"/>
          <w:color w:val="000000"/>
          <w:lang w:val="es-ES_tradnl"/>
        </w:rPr>
        <w:t xml:space="preserve"> </w:t>
      </w:r>
      <w:r w:rsidR="00873F3A" w:rsidRPr="00873F3A">
        <w:rPr>
          <w:rFonts w:eastAsia="Calibri"/>
          <w:color w:val="000000"/>
          <w:lang w:val="es-ES_tradnl"/>
        </w:rPr>
        <w:t xml:space="preserve">ante la Unidad para la Búsqueda y Localización de Personas Desaparecidas (creada el 21 de junio de 2013) de la Procuraduría General de la República. Lo anterior dio lugar </w:t>
      </w:r>
      <w:r w:rsidR="0099134F">
        <w:rPr>
          <w:rFonts w:eastAsia="Calibri"/>
          <w:color w:val="000000"/>
          <w:lang w:val="es-ES_tradnl"/>
        </w:rPr>
        <w:t>a un</w:t>
      </w:r>
      <w:r w:rsidR="0099134F" w:rsidRPr="00873F3A">
        <w:rPr>
          <w:rFonts w:eastAsia="Calibri"/>
          <w:color w:val="000000"/>
          <w:lang w:val="es-ES_tradnl"/>
        </w:rPr>
        <w:t xml:space="preserve"> </w:t>
      </w:r>
      <w:r w:rsidR="00873F3A" w:rsidRPr="00873F3A">
        <w:rPr>
          <w:rFonts w:eastAsia="Calibri"/>
          <w:color w:val="000000"/>
          <w:lang w:val="es-ES_tradnl"/>
        </w:rPr>
        <w:t>acta circunstanciada,</w:t>
      </w:r>
      <w:r w:rsidR="0099134F">
        <w:rPr>
          <w:rStyle w:val="FootnoteReference"/>
          <w:rFonts w:eastAsia="Calibri"/>
          <w:color w:val="000000"/>
          <w:lang w:val="es-ES_tradnl"/>
        </w:rPr>
        <w:footnoteReference w:id="12"/>
      </w:r>
      <w:r w:rsidR="00873F3A" w:rsidRPr="00873F3A">
        <w:rPr>
          <w:rFonts w:eastAsia="Calibri"/>
          <w:color w:val="000000"/>
          <w:lang w:val="es-ES_tradnl"/>
        </w:rPr>
        <w:t xml:space="preserve"> en el marco del cual se solicitaron copias de t</w:t>
      </w:r>
      <w:r w:rsidR="00C413EB">
        <w:rPr>
          <w:rFonts w:eastAsia="Calibri"/>
          <w:color w:val="000000"/>
          <w:lang w:val="es-ES_tradnl"/>
        </w:rPr>
        <w:t>odos los expedientes existentes. A</w:t>
      </w:r>
      <w:r w:rsidR="00873F3A" w:rsidRPr="00873F3A">
        <w:rPr>
          <w:rFonts w:eastAsia="Calibri"/>
          <w:color w:val="000000"/>
          <w:lang w:val="es-ES_tradnl"/>
        </w:rPr>
        <w:t xml:space="preserve"> su recepción</w:t>
      </w:r>
      <w:r w:rsidR="00CC45E1">
        <w:rPr>
          <w:rFonts w:eastAsia="Calibri"/>
          <w:color w:val="000000"/>
          <w:lang w:val="es-ES_tradnl"/>
        </w:rPr>
        <w:t>,</w:t>
      </w:r>
      <w:r w:rsidR="00873F3A" w:rsidRPr="00873F3A">
        <w:rPr>
          <w:rFonts w:eastAsia="Calibri"/>
          <w:color w:val="000000"/>
          <w:lang w:val="es-ES_tradnl"/>
        </w:rPr>
        <w:t xml:space="preserve"> </w:t>
      </w:r>
      <w:r w:rsidR="00460F04">
        <w:rPr>
          <w:rFonts w:eastAsia="Calibri"/>
          <w:color w:val="000000"/>
          <w:lang w:val="es-ES_tradnl"/>
        </w:rPr>
        <w:t>el 16 de</w:t>
      </w:r>
      <w:r w:rsidR="00460F04" w:rsidRPr="00873F3A">
        <w:rPr>
          <w:rFonts w:eastAsia="Calibri"/>
          <w:color w:val="000000"/>
          <w:lang w:val="es-ES_tradnl"/>
        </w:rPr>
        <w:t xml:space="preserve"> </w:t>
      </w:r>
      <w:r w:rsidR="00873F3A" w:rsidRPr="00873F3A">
        <w:rPr>
          <w:rFonts w:eastAsia="Calibri"/>
          <w:color w:val="000000"/>
          <w:lang w:val="es-ES_tradnl"/>
        </w:rPr>
        <w:t xml:space="preserve">abril de 2015, se elevó el acta a averiguación previa. </w:t>
      </w:r>
      <w:r w:rsidR="00C95C54">
        <w:rPr>
          <w:rFonts w:eastAsia="Calibri"/>
          <w:lang w:val="es-ES_tradnl"/>
        </w:rPr>
        <w:t>A</w:t>
      </w:r>
      <w:r w:rsidR="00873F3A" w:rsidRPr="00873F3A">
        <w:rPr>
          <w:rFonts w:eastAsia="Calibri"/>
          <w:lang w:val="es-ES_tradnl"/>
        </w:rPr>
        <w:t xml:space="preserve"> pesar de haberse </w:t>
      </w:r>
      <w:r w:rsidR="00873F3A" w:rsidRPr="00873F3A">
        <w:rPr>
          <w:rFonts w:eastAsia="Calibri"/>
          <w:color w:val="000000"/>
          <w:lang w:val="es-ES_tradnl"/>
        </w:rPr>
        <w:t xml:space="preserve">presentado un análisis de la sábana de llamadas del teléfono </w:t>
      </w:r>
      <w:r w:rsidR="00C95C54" w:rsidRPr="00C95C54">
        <w:rPr>
          <w:rFonts w:eastAsia="Calibri"/>
          <w:color w:val="000000"/>
          <w:lang w:val="es-ES_tradnl"/>
        </w:rPr>
        <w:t xml:space="preserve">del Sr. Téllez Padilla </w:t>
      </w:r>
      <w:r w:rsidR="00873F3A" w:rsidRPr="00873F3A">
        <w:rPr>
          <w:rFonts w:eastAsia="Calibri"/>
          <w:color w:val="000000"/>
          <w:lang w:val="es-ES_tradnl"/>
        </w:rPr>
        <w:t xml:space="preserve">y de haber determinado –en septiembre de 2015– que su teléfono había emitido una llamada </w:t>
      </w:r>
      <w:r w:rsidR="00C413EB">
        <w:rPr>
          <w:rFonts w:eastAsia="Calibri"/>
          <w:color w:val="000000"/>
          <w:lang w:val="es-ES_tradnl"/>
        </w:rPr>
        <w:t>unos minutos después de</w:t>
      </w:r>
      <w:r w:rsidR="00CD762B" w:rsidRPr="00873F3A">
        <w:rPr>
          <w:rFonts w:eastAsia="Calibri"/>
          <w:color w:val="000000"/>
          <w:lang w:val="es-ES_tradnl"/>
        </w:rPr>
        <w:t xml:space="preserve"> la detención </w:t>
      </w:r>
      <w:r w:rsidR="00873F3A" w:rsidRPr="00873F3A">
        <w:rPr>
          <w:rFonts w:eastAsia="Calibri"/>
          <w:color w:val="000000"/>
          <w:lang w:val="es-ES_tradnl"/>
        </w:rPr>
        <w:t>y que el 6 de diciembre de 2010 se emitió una llamada para revisar el saldo, fue impo</w:t>
      </w:r>
      <w:r w:rsidR="00CD762B">
        <w:rPr>
          <w:rFonts w:eastAsia="Calibri"/>
          <w:color w:val="000000"/>
          <w:lang w:val="es-ES_tradnl"/>
        </w:rPr>
        <w:t>sible obtener mayor información</w:t>
      </w:r>
      <w:r w:rsidR="00873F3A" w:rsidRPr="00873F3A">
        <w:rPr>
          <w:rFonts w:eastAsia="Calibri"/>
          <w:color w:val="000000"/>
          <w:lang w:val="es-ES_tradnl"/>
        </w:rPr>
        <w:t xml:space="preserve"> dado el tiempo transcurrido. </w:t>
      </w:r>
    </w:p>
    <w:p w14:paraId="5CEBB324" w14:textId="0F3A8AF7" w:rsidR="00B16BAE" w:rsidRDefault="001E1924" w:rsidP="00B16BAE">
      <w:pPr>
        <w:pStyle w:val="SingleTxtG"/>
        <w:rPr>
          <w:rFonts w:eastAsia="Calibri"/>
          <w:lang w:val="es-ES_tradnl"/>
        </w:rPr>
      </w:pPr>
      <w:r>
        <w:rPr>
          <w:rFonts w:eastAsia="Calibri"/>
          <w:lang w:val="es-ES_tradnl"/>
        </w:rPr>
        <w:t>2.9</w:t>
      </w:r>
      <w:r w:rsidR="00873F3A" w:rsidRPr="00873F3A">
        <w:rPr>
          <w:rFonts w:eastAsia="Calibri"/>
          <w:lang w:val="es-ES_tradnl"/>
        </w:rPr>
        <w:tab/>
        <w:t xml:space="preserve">Además de los recursos judiciales, </w:t>
      </w:r>
      <w:r w:rsidR="00CD266B">
        <w:rPr>
          <w:rFonts w:eastAsia="Calibri"/>
          <w:lang w:val="es-ES_tradnl"/>
        </w:rPr>
        <w:t>los autores también presentaron</w:t>
      </w:r>
      <w:r w:rsidR="00873F3A" w:rsidRPr="00873F3A">
        <w:rPr>
          <w:rFonts w:eastAsia="Calibri"/>
          <w:lang w:val="es-ES_tradnl"/>
        </w:rPr>
        <w:t xml:space="preserve"> denuncia</w:t>
      </w:r>
      <w:r w:rsidR="002A1B08">
        <w:rPr>
          <w:rFonts w:eastAsia="Calibri"/>
          <w:lang w:val="es-ES_tradnl"/>
        </w:rPr>
        <w:t>s</w:t>
      </w:r>
      <w:r w:rsidR="00873F3A" w:rsidRPr="00873F3A">
        <w:rPr>
          <w:rFonts w:eastAsia="Calibri"/>
          <w:lang w:val="es-ES_tradnl"/>
        </w:rPr>
        <w:t xml:space="preserve"> </w:t>
      </w:r>
      <w:r w:rsidR="002A1B08" w:rsidRPr="00873F3A">
        <w:rPr>
          <w:rFonts w:eastAsia="Calibri"/>
          <w:lang w:val="es-ES_tradnl"/>
        </w:rPr>
        <w:t xml:space="preserve">en contra de la Policía Intermunicipal </w:t>
      </w:r>
      <w:r w:rsidR="00873F3A" w:rsidRPr="00873F3A">
        <w:rPr>
          <w:rFonts w:eastAsia="Calibri"/>
          <w:lang w:val="es-ES_tradnl"/>
        </w:rPr>
        <w:t xml:space="preserve">ante la Comisión Estatal de Derechos Humanos del estado de Veracruz </w:t>
      </w:r>
      <w:r w:rsidR="002A1B08">
        <w:rPr>
          <w:rFonts w:eastAsia="Calibri"/>
          <w:lang w:val="es-ES_tradnl"/>
        </w:rPr>
        <w:t>(</w:t>
      </w:r>
      <w:r w:rsidR="00873F3A" w:rsidRPr="00873F3A">
        <w:rPr>
          <w:rFonts w:eastAsia="Calibri"/>
          <w:lang w:val="es-ES_tradnl"/>
        </w:rPr>
        <w:t>el 21 de octubre de 2010</w:t>
      </w:r>
      <w:r w:rsidR="002A1B08">
        <w:rPr>
          <w:rFonts w:eastAsia="Calibri"/>
          <w:lang w:val="es-ES_tradnl"/>
        </w:rPr>
        <w:t>)</w:t>
      </w:r>
      <w:r w:rsidR="00873F3A" w:rsidRPr="00873F3A">
        <w:rPr>
          <w:rFonts w:eastAsia="Calibri"/>
          <w:lang w:val="es-ES_tradnl"/>
        </w:rPr>
        <w:t xml:space="preserve">, </w:t>
      </w:r>
      <w:r w:rsidR="002A1B08">
        <w:rPr>
          <w:rFonts w:eastAsia="Calibri"/>
          <w:lang w:val="es-ES_tradnl"/>
        </w:rPr>
        <w:t>y</w:t>
      </w:r>
      <w:r w:rsidR="00873F3A" w:rsidRPr="00873F3A">
        <w:rPr>
          <w:rFonts w:eastAsia="Calibri"/>
          <w:lang w:val="es-ES_tradnl"/>
        </w:rPr>
        <w:t xml:space="preserve"> ante la Comisi</w:t>
      </w:r>
      <w:r w:rsidR="002A1B08">
        <w:rPr>
          <w:rFonts w:eastAsia="Calibri"/>
          <w:lang w:val="es-ES_tradnl"/>
        </w:rPr>
        <w:t>ón Nacional de Derechos Humanos</w:t>
      </w:r>
      <w:r w:rsidR="00873F3A" w:rsidRPr="00873F3A">
        <w:rPr>
          <w:rFonts w:eastAsia="Calibri"/>
          <w:lang w:val="es-ES_tradnl"/>
        </w:rPr>
        <w:t xml:space="preserve"> </w:t>
      </w:r>
      <w:r w:rsidR="002A1B08">
        <w:rPr>
          <w:rFonts w:eastAsia="Calibri"/>
          <w:lang w:val="es-ES_tradnl"/>
        </w:rPr>
        <w:t>(el 19 de abril de 2011)</w:t>
      </w:r>
      <w:r w:rsidR="00873F3A" w:rsidRPr="00873F3A">
        <w:rPr>
          <w:rFonts w:eastAsia="Calibri"/>
          <w:lang w:val="es-ES_tradnl"/>
        </w:rPr>
        <w:t xml:space="preserve">. </w:t>
      </w:r>
      <w:r w:rsidR="00082195">
        <w:rPr>
          <w:rFonts w:eastAsia="Calibri"/>
          <w:lang w:val="es-ES_tradnl"/>
        </w:rPr>
        <w:t>N</w:t>
      </w:r>
      <w:r w:rsidR="00082195" w:rsidRPr="00873F3A">
        <w:rPr>
          <w:rFonts w:eastAsia="Calibri"/>
          <w:lang w:val="es-ES_tradnl"/>
        </w:rPr>
        <w:t>inguna de las acciones realizadas logró</w:t>
      </w:r>
      <w:r w:rsidR="00873F3A" w:rsidRPr="00873F3A">
        <w:rPr>
          <w:rFonts w:eastAsia="Calibri"/>
          <w:lang w:val="es-ES_tradnl"/>
        </w:rPr>
        <w:t xml:space="preserve"> establecer el paradero </w:t>
      </w:r>
      <w:r w:rsidR="00082195" w:rsidRPr="00082195">
        <w:rPr>
          <w:rFonts w:eastAsia="Calibri"/>
          <w:lang w:val="es-ES_tradnl"/>
        </w:rPr>
        <w:t>del Sr. Téllez Padilla</w:t>
      </w:r>
      <w:r w:rsidR="00873F3A" w:rsidRPr="00873F3A">
        <w:rPr>
          <w:rFonts w:eastAsia="Calibri"/>
          <w:lang w:val="es-ES_tradnl"/>
        </w:rPr>
        <w:t xml:space="preserve">. </w:t>
      </w:r>
    </w:p>
    <w:p w14:paraId="2F6BC800" w14:textId="4D91A1C4" w:rsidR="00EA2F07" w:rsidRDefault="001E1924" w:rsidP="00EA2F07">
      <w:pPr>
        <w:pStyle w:val="SingleTxtG"/>
        <w:rPr>
          <w:rFonts w:eastAsia="Calibri"/>
          <w:color w:val="000000"/>
          <w:lang w:val="es-ES_tradnl"/>
        </w:rPr>
      </w:pPr>
      <w:r>
        <w:rPr>
          <w:rFonts w:eastAsia="Calibri"/>
          <w:lang w:val="es-ES_tradnl"/>
        </w:rPr>
        <w:t>2.10</w:t>
      </w:r>
      <w:r w:rsidR="00873F3A" w:rsidRPr="00873F3A">
        <w:rPr>
          <w:rFonts w:eastAsia="Calibri"/>
          <w:lang w:val="es-ES_tradnl"/>
        </w:rPr>
        <w:tab/>
        <w:t xml:space="preserve">Los autores afirman que </w:t>
      </w:r>
      <w:r w:rsidR="00B92593">
        <w:rPr>
          <w:rFonts w:eastAsia="Calibri"/>
          <w:lang w:val="es-ES_tradnl"/>
        </w:rPr>
        <w:t>la desaparición de Christian Téllez Padilla</w:t>
      </w:r>
      <w:r w:rsidR="00873F3A" w:rsidRPr="00873F3A">
        <w:rPr>
          <w:rFonts w:eastAsia="Calibri"/>
          <w:lang w:val="es-ES_tradnl"/>
        </w:rPr>
        <w:t xml:space="preserve"> se </w:t>
      </w:r>
      <w:r w:rsidR="00B92593" w:rsidRPr="00873F3A">
        <w:rPr>
          <w:rFonts w:eastAsia="Calibri"/>
          <w:lang w:val="es-ES_tradnl"/>
        </w:rPr>
        <w:t>produj</w:t>
      </w:r>
      <w:r w:rsidR="00B92593">
        <w:rPr>
          <w:rFonts w:eastAsia="Calibri"/>
          <w:lang w:val="es-ES_tradnl"/>
        </w:rPr>
        <w:t>o</w:t>
      </w:r>
      <w:r w:rsidR="00B92593" w:rsidRPr="00873F3A">
        <w:rPr>
          <w:rFonts w:eastAsia="Calibri"/>
          <w:lang w:val="es-ES_tradnl"/>
        </w:rPr>
        <w:t xml:space="preserve"> </w:t>
      </w:r>
      <w:r w:rsidR="00873F3A" w:rsidRPr="00873F3A">
        <w:rPr>
          <w:rFonts w:eastAsia="Calibri"/>
          <w:lang w:val="es-ES_tradnl"/>
        </w:rPr>
        <w:t xml:space="preserve">en </w:t>
      </w:r>
      <w:r w:rsidR="00B92593">
        <w:rPr>
          <w:rFonts w:eastAsia="Calibri"/>
          <w:lang w:val="es-ES_tradnl"/>
        </w:rPr>
        <w:t>un</w:t>
      </w:r>
      <w:r w:rsidR="00873F3A" w:rsidRPr="00873F3A">
        <w:rPr>
          <w:rFonts w:eastAsia="Calibri"/>
          <w:lang w:val="es-ES_tradnl"/>
        </w:rPr>
        <w:t xml:space="preserve"> contexto de graves violaciones a derechos humanos con evidente vínculo entre autoridades</w:t>
      </w:r>
      <w:r w:rsidR="00F062FC">
        <w:rPr>
          <w:rFonts w:eastAsia="Calibri"/>
          <w:lang w:val="es-ES_tradnl"/>
        </w:rPr>
        <w:t xml:space="preserve"> estatales</w:t>
      </w:r>
      <w:r w:rsidR="00F307FA">
        <w:rPr>
          <w:rFonts w:eastAsia="Calibri"/>
          <w:lang w:val="es-ES_tradnl"/>
        </w:rPr>
        <w:t xml:space="preserve"> y crimen organizado</w:t>
      </w:r>
      <w:r w:rsidR="00790640">
        <w:rPr>
          <w:rFonts w:eastAsia="Calibri"/>
          <w:lang w:val="es-ES_tradnl"/>
        </w:rPr>
        <w:t>, citando informes de diversas instancias internacionales y regionales</w:t>
      </w:r>
      <w:r w:rsidR="00F307FA">
        <w:rPr>
          <w:rFonts w:eastAsia="Calibri"/>
          <w:lang w:val="es-ES_tradnl"/>
        </w:rPr>
        <w:t>.</w:t>
      </w:r>
      <w:r w:rsidR="00F307FA" w:rsidRPr="000607A6">
        <w:rPr>
          <w:rFonts w:eastAsia="Calibri"/>
          <w:color w:val="000000"/>
          <w:sz w:val="18"/>
          <w:szCs w:val="18"/>
          <w:vertAlign w:val="superscript"/>
          <w:lang w:val="es-ES_tradnl"/>
        </w:rPr>
        <w:footnoteReference w:id="13"/>
      </w:r>
      <w:r w:rsidR="00F062FC">
        <w:rPr>
          <w:rFonts w:eastAsia="Calibri"/>
          <w:color w:val="000000"/>
          <w:lang w:val="es-ES_tradnl"/>
        </w:rPr>
        <w:t xml:space="preserve"> Según los autores, este vínculo</w:t>
      </w:r>
      <w:r w:rsidR="00873F3A" w:rsidRPr="00873F3A">
        <w:rPr>
          <w:rFonts w:eastAsia="Calibri"/>
          <w:color w:val="000000"/>
          <w:lang w:val="es-ES_tradnl"/>
        </w:rPr>
        <w:t xml:space="preserve"> </w:t>
      </w:r>
      <w:r w:rsidR="00143737">
        <w:rPr>
          <w:rFonts w:eastAsia="Calibri"/>
          <w:color w:val="000000"/>
          <w:lang w:val="es-ES_tradnl"/>
        </w:rPr>
        <w:t xml:space="preserve">entre policía y crimen organizado </w:t>
      </w:r>
      <w:r w:rsidR="00873F3A" w:rsidRPr="00873F3A">
        <w:rPr>
          <w:rFonts w:eastAsia="Calibri"/>
          <w:color w:val="000000"/>
          <w:lang w:val="es-ES_tradnl"/>
        </w:rPr>
        <w:t>incrementó el número de ejecuciones extrajudiciales y desapariciones forzadas en todo el país</w:t>
      </w:r>
      <w:r w:rsidR="00B92593">
        <w:rPr>
          <w:rFonts w:eastAsia="Calibri"/>
          <w:color w:val="000000"/>
          <w:lang w:val="es-ES_tradnl"/>
        </w:rPr>
        <w:t xml:space="preserve">, </w:t>
      </w:r>
      <w:r w:rsidR="00873F3A" w:rsidRPr="00873F3A">
        <w:rPr>
          <w:rFonts w:eastAsia="Calibri"/>
          <w:color w:val="000000"/>
          <w:lang w:val="es-ES_tradnl"/>
        </w:rPr>
        <w:t>así como las denuncias por la impunidad estructural en la cual los hechos permanecen</w:t>
      </w:r>
      <w:r w:rsidR="00E11559">
        <w:rPr>
          <w:rFonts w:eastAsia="Calibri"/>
          <w:color w:val="000000"/>
          <w:lang w:val="es-ES_tradnl"/>
        </w:rPr>
        <w:t>;</w:t>
      </w:r>
      <w:r w:rsidR="00873F3A" w:rsidRPr="00873F3A">
        <w:rPr>
          <w:rFonts w:eastAsia="Calibri"/>
          <w:color w:val="000000"/>
          <w:lang w:val="es-ES_tradnl"/>
        </w:rPr>
        <w:t xml:space="preserve"> situación </w:t>
      </w:r>
      <w:r w:rsidR="00686179">
        <w:rPr>
          <w:rFonts w:eastAsia="Calibri"/>
          <w:color w:val="000000"/>
          <w:lang w:val="es-ES_tradnl"/>
        </w:rPr>
        <w:t>que</w:t>
      </w:r>
      <w:r w:rsidR="00873F3A" w:rsidRPr="00873F3A">
        <w:rPr>
          <w:rFonts w:eastAsia="Calibri"/>
          <w:color w:val="000000"/>
          <w:lang w:val="es-ES_tradnl"/>
        </w:rPr>
        <w:t xml:space="preserve"> se ve reflejada </w:t>
      </w:r>
      <w:r w:rsidR="00A032C2">
        <w:rPr>
          <w:rFonts w:eastAsia="Calibri"/>
          <w:color w:val="000000"/>
          <w:lang w:val="es-ES_tradnl"/>
        </w:rPr>
        <w:t>en Veracruz</w:t>
      </w:r>
      <w:r w:rsidR="00A032C2" w:rsidRPr="00873F3A">
        <w:rPr>
          <w:rFonts w:eastAsia="Calibri"/>
          <w:color w:val="000000"/>
          <w:lang w:val="es-ES_tradnl"/>
        </w:rPr>
        <w:t xml:space="preserve"> </w:t>
      </w:r>
      <w:r w:rsidR="00873F3A" w:rsidRPr="00873F3A">
        <w:rPr>
          <w:rFonts w:eastAsia="Calibri"/>
          <w:color w:val="000000"/>
          <w:lang w:val="es-ES_tradnl"/>
        </w:rPr>
        <w:t>e influenciada por la presencia de grupos de delincuencia organizada como “Los Zetas”, el “Cártel del Golfo” y el “Cártel de Jalisco Nueva Generación”.</w:t>
      </w:r>
    </w:p>
    <w:p w14:paraId="2D569AA6" w14:textId="6E80E5AB" w:rsidR="00873F3A" w:rsidRDefault="00824F80" w:rsidP="00824F80">
      <w:pPr>
        <w:pStyle w:val="H23G"/>
        <w:rPr>
          <w:rFonts w:eastAsia="Calibri"/>
          <w:lang w:val="es-ES_tradnl"/>
        </w:rPr>
      </w:pPr>
      <w:r>
        <w:rPr>
          <w:rFonts w:eastAsia="Calibri"/>
          <w:lang w:val="es-ES_tradnl"/>
        </w:rPr>
        <w:tab/>
      </w:r>
      <w:r>
        <w:rPr>
          <w:rFonts w:eastAsia="Calibri"/>
          <w:lang w:val="es-ES_tradnl"/>
        </w:rPr>
        <w:tab/>
      </w:r>
      <w:r w:rsidR="00873F3A" w:rsidRPr="00873F3A">
        <w:rPr>
          <w:rFonts w:eastAsia="Calibri"/>
          <w:lang w:val="es-ES_tradnl"/>
        </w:rPr>
        <w:t>La denuncia</w:t>
      </w:r>
    </w:p>
    <w:p w14:paraId="1D7CD4D9" w14:textId="59C5FD06" w:rsidR="001E1CCF" w:rsidRPr="001E1CCF" w:rsidRDefault="00175184" w:rsidP="001E1CCF">
      <w:pPr>
        <w:pStyle w:val="SingleTxtG"/>
        <w:rPr>
          <w:color w:val="000000"/>
          <w:lang w:val="es-ES_tradnl"/>
        </w:rPr>
      </w:pPr>
      <w:r>
        <w:rPr>
          <w:color w:val="000000"/>
          <w:lang w:val="es-ES_tradnl"/>
        </w:rPr>
        <w:t>3.1</w:t>
      </w:r>
      <w:r w:rsidR="001E1CCF" w:rsidRPr="001E1CCF">
        <w:rPr>
          <w:color w:val="000000"/>
          <w:lang w:val="es-ES_tradnl"/>
        </w:rPr>
        <w:tab/>
        <w:t>Los autores sostienen que la comunicación cumple con los requisitos de admisibilidad al aplicar la excepción del artículo 5</w:t>
      </w:r>
      <w:r w:rsidR="00745B65">
        <w:rPr>
          <w:color w:val="000000"/>
          <w:lang w:val="es-ES_tradnl"/>
        </w:rPr>
        <w:t>,</w:t>
      </w:r>
      <w:r w:rsidR="001E1CCF" w:rsidRPr="001E1CCF">
        <w:rPr>
          <w:color w:val="000000"/>
          <w:lang w:val="es-ES_tradnl"/>
        </w:rPr>
        <w:t xml:space="preserve"> </w:t>
      </w:r>
      <w:r w:rsidR="00745B65" w:rsidRPr="00025907">
        <w:rPr>
          <w:lang w:val="es-ES"/>
        </w:rPr>
        <w:t xml:space="preserve">párrafo </w:t>
      </w:r>
      <w:r w:rsidR="001E1CCF" w:rsidRPr="001E1CCF">
        <w:rPr>
          <w:color w:val="000000"/>
          <w:lang w:val="es-ES_tradnl"/>
        </w:rPr>
        <w:t>2</w:t>
      </w:r>
      <w:r w:rsidR="00745B65">
        <w:rPr>
          <w:color w:val="000000"/>
          <w:lang w:val="es-ES_tradnl"/>
        </w:rPr>
        <w:t>, inciso</w:t>
      </w:r>
      <w:r w:rsidR="001E1CCF" w:rsidRPr="001E1CCF">
        <w:rPr>
          <w:color w:val="000000"/>
          <w:lang w:val="es-ES_tradnl"/>
        </w:rPr>
        <w:t xml:space="preserve"> b</w:t>
      </w:r>
      <w:r w:rsidR="00745B65">
        <w:rPr>
          <w:color w:val="000000"/>
          <w:lang w:val="es-ES_tradnl"/>
        </w:rPr>
        <w:t>,</w:t>
      </w:r>
      <w:r w:rsidR="001E1CCF" w:rsidRPr="001E1CCF">
        <w:rPr>
          <w:color w:val="000000"/>
          <w:lang w:val="es-ES_tradnl"/>
        </w:rPr>
        <w:t xml:space="preserve"> del Protocolo Facultativo. En este sentido, a pesar de haber presentado </w:t>
      </w:r>
      <w:r w:rsidR="00E05245">
        <w:rPr>
          <w:color w:val="000000"/>
          <w:lang w:val="es-ES_tradnl"/>
        </w:rPr>
        <w:t>los recursos idóneos</w:t>
      </w:r>
      <w:r w:rsidR="001E1CCF" w:rsidRPr="001E1CCF">
        <w:rPr>
          <w:color w:val="000000"/>
          <w:lang w:val="es-ES_tradnl"/>
        </w:rPr>
        <w:t xml:space="preserve">, </w:t>
      </w:r>
      <w:r w:rsidR="006172AF">
        <w:rPr>
          <w:color w:val="000000"/>
          <w:lang w:val="es-ES_tradnl"/>
        </w:rPr>
        <w:t xml:space="preserve">estos </w:t>
      </w:r>
      <w:r w:rsidR="001E1CCF" w:rsidRPr="001E1CCF">
        <w:rPr>
          <w:color w:val="000000"/>
          <w:lang w:val="es-ES_tradnl"/>
        </w:rPr>
        <w:t>se han prolongado injustificadamente</w:t>
      </w:r>
      <w:r w:rsidR="00F830C6">
        <w:rPr>
          <w:color w:val="000000"/>
          <w:lang w:val="es-ES_tradnl"/>
        </w:rPr>
        <w:t xml:space="preserve"> </w:t>
      </w:r>
      <w:r w:rsidR="006745BB">
        <w:rPr>
          <w:color w:val="000000"/>
          <w:lang w:val="es-ES_tradnl"/>
        </w:rPr>
        <w:t xml:space="preserve">y </w:t>
      </w:r>
      <w:r w:rsidR="00552EC7">
        <w:rPr>
          <w:color w:val="000000"/>
          <w:lang w:val="es-ES_tradnl"/>
        </w:rPr>
        <w:t>se ha</w:t>
      </w:r>
      <w:r w:rsidR="006745BB">
        <w:rPr>
          <w:color w:val="000000"/>
          <w:lang w:val="es-ES_tradnl"/>
        </w:rPr>
        <w:t>n</w:t>
      </w:r>
      <w:r w:rsidR="00552EC7">
        <w:rPr>
          <w:color w:val="000000"/>
          <w:lang w:val="es-ES_tradnl"/>
        </w:rPr>
        <w:t xml:space="preserve"> perdido</w:t>
      </w:r>
      <w:r w:rsidR="006745BB">
        <w:rPr>
          <w:color w:val="000000"/>
          <w:lang w:val="es-ES_tradnl"/>
        </w:rPr>
        <w:t xml:space="preserve"> pruebas importantes</w:t>
      </w:r>
      <w:r w:rsidR="00552EC7">
        <w:rPr>
          <w:color w:val="000000"/>
          <w:lang w:val="es-ES_tradnl"/>
        </w:rPr>
        <w:t>.</w:t>
      </w:r>
      <w:r w:rsidR="001E1CCF" w:rsidRPr="001E1CCF">
        <w:rPr>
          <w:color w:val="000000"/>
          <w:lang w:val="es-ES_tradnl"/>
        </w:rPr>
        <w:t xml:space="preserve"> </w:t>
      </w:r>
      <w:r w:rsidR="00552EC7">
        <w:rPr>
          <w:color w:val="000000"/>
          <w:lang w:val="es-ES_tradnl"/>
        </w:rPr>
        <w:t>Así,</w:t>
      </w:r>
      <w:r w:rsidR="001E1CCF" w:rsidRPr="001E1CCF">
        <w:rPr>
          <w:color w:val="000000"/>
          <w:lang w:val="es-ES_tradnl"/>
        </w:rPr>
        <w:t xml:space="preserve"> los recursos han sido inefectivos para </w:t>
      </w:r>
      <w:r w:rsidR="001E1CCF" w:rsidRPr="001E1CCF">
        <w:rPr>
          <w:color w:val="000000"/>
          <w:lang w:val="es-ES_tradnl"/>
        </w:rPr>
        <w:lastRenderedPageBreak/>
        <w:t xml:space="preserve">conocer las circunstancias de la desaparición, la suerte y el paradero </w:t>
      </w:r>
      <w:r w:rsidR="00552EC7" w:rsidRPr="00552EC7">
        <w:rPr>
          <w:color w:val="000000"/>
          <w:lang w:val="es-ES_tradnl"/>
        </w:rPr>
        <w:t>del Sr. Téllez Padilla</w:t>
      </w:r>
      <w:r w:rsidR="001E1CCF" w:rsidRPr="00552EC7">
        <w:rPr>
          <w:color w:val="000000"/>
          <w:lang w:val="es-ES_tradnl"/>
        </w:rPr>
        <w:t>,</w:t>
      </w:r>
      <w:r w:rsidR="001E1CCF" w:rsidRPr="001E1CCF">
        <w:rPr>
          <w:color w:val="000000"/>
          <w:lang w:val="es-ES_tradnl"/>
        </w:rPr>
        <w:t xml:space="preserve"> </w:t>
      </w:r>
      <w:r w:rsidR="00330D43">
        <w:rPr>
          <w:color w:val="000000"/>
          <w:lang w:val="es-ES_tradnl"/>
        </w:rPr>
        <w:t>y no han permitido sancionar a los responsables</w:t>
      </w:r>
      <w:r w:rsidR="001E1CCF" w:rsidRPr="001E1CCF">
        <w:rPr>
          <w:color w:val="000000"/>
          <w:lang w:val="es-ES_tradnl"/>
        </w:rPr>
        <w:t xml:space="preserve">. </w:t>
      </w:r>
    </w:p>
    <w:p w14:paraId="58FE4AD8" w14:textId="52CAED10" w:rsidR="001E1CCF" w:rsidRPr="001E1CCF" w:rsidRDefault="001E1CCF" w:rsidP="001E1CCF">
      <w:pPr>
        <w:pStyle w:val="SingleTxtG"/>
        <w:rPr>
          <w:color w:val="000000"/>
          <w:lang w:val="es-ES_tradnl"/>
        </w:rPr>
      </w:pPr>
      <w:r w:rsidRPr="001E1CCF">
        <w:rPr>
          <w:color w:val="000000"/>
          <w:lang w:val="es-ES_tradnl"/>
        </w:rPr>
        <w:t>3.2</w:t>
      </w:r>
      <w:r w:rsidRPr="001E1CCF">
        <w:rPr>
          <w:color w:val="000000"/>
          <w:lang w:val="es-ES_tradnl"/>
        </w:rPr>
        <w:tab/>
        <w:t xml:space="preserve">En particular, los autores </w:t>
      </w:r>
      <w:r w:rsidR="00FD4674">
        <w:rPr>
          <w:color w:val="000000"/>
          <w:lang w:val="es-ES_tradnl"/>
        </w:rPr>
        <w:t>citan</w:t>
      </w:r>
      <w:r w:rsidR="00FD4674" w:rsidRPr="001E1CCF">
        <w:rPr>
          <w:color w:val="000000"/>
          <w:lang w:val="es-ES_tradnl"/>
        </w:rPr>
        <w:t xml:space="preserve"> </w:t>
      </w:r>
      <w:r w:rsidR="00D9505A">
        <w:rPr>
          <w:color w:val="000000"/>
          <w:lang w:val="es-ES_tradnl"/>
        </w:rPr>
        <w:t xml:space="preserve">la jurisprudencia del Comité en virtud de la cual </w:t>
      </w:r>
      <w:r w:rsidRPr="001E1CCF">
        <w:rPr>
          <w:color w:val="000000"/>
          <w:lang w:val="es-ES_tradnl"/>
        </w:rPr>
        <w:t xml:space="preserve">si los recursos se prolongan injustificadamente o si está demostrado que no son eficaces, no </w:t>
      </w:r>
      <w:r w:rsidR="00E26E09">
        <w:rPr>
          <w:color w:val="000000"/>
          <w:lang w:val="es-ES_tradnl"/>
        </w:rPr>
        <w:t>existe</w:t>
      </w:r>
      <w:r w:rsidRPr="001E1CCF">
        <w:rPr>
          <w:color w:val="000000"/>
          <w:lang w:val="es-ES_tradnl"/>
        </w:rPr>
        <w:t xml:space="preserve"> obstáculo al examen de una comunicación.</w:t>
      </w:r>
      <w:r w:rsidR="000B1C23">
        <w:rPr>
          <w:rStyle w:val="FootnoteReference"/>
          <w:color w:val="000000"/>
          <w:lang w:val="es-ES_tradnl"/>
        </w:rPr>
        <w:footnoteReference w:id="14"/>
      </w:r>
      <w:r w:rsidRPr="001E1CCF">
        <w:rPr>
          <w:color w:val="000000"/>
          <w:lang w:val="es-ES_tradnl"/>
        </w:rPr>
        <w:t xml:space="preserve"> </w:t>
      </w:r>
      <w:r w:rsidR="006E3065">
        <w:rPr>
          <w:color w:val="000000"/>
          <w:lang w:val="es-ES_tradnl"/>
        </w:rPr>
        <w:t>L</w:t>
      </w:r>
      <w:r w:rsidR="006E3065" w:rsidRPr="001E1CCF">
        <w:rPr>
          <w:color w:val="000000"/>
          <w:lang w:val="es-ES_tradnl"/>
        </w:rPr>
        <w:t xml:space="preserve">os autores sostienen </w:t>
      </w:r>
      <w:r w:rsidR="006E3065">
        <w:rPr>
          <w:color w:val="000000"/>
          <w:lang w:val="es-ES_tradnl"/>
        </w:rPr>
        <w:t xml:space="preserve">también </w:t>
      </w:r>
      <w:r w:rsidR="006E3065" w:rsidRPr="001E1CCF">
        <w:rPr>
          <w:color w:val="000000"/>
          <w:lang w:val="es-ES_tradnl"/>
        </w:rPr>
        <w:t xml:space="preserve">que </w:t>
      </w:r>
      <w:r w:rsidR="006E3065">
        <w:rPr>
          <w:color w:val="000000"/>
          <w:lang w:val="es-ES_tradnl"/>
        </w:rPr>
        <w:t xml:space="preserve">la comunicación es admisible </w:t>
      </w:r>
      <w:r w:rsidR="002046C0">
        <w:rPr>
          <w:color w:val="000000"/>
          <w:lang w:val="es-ES_tradnl"/>
        </w:rPr>
        <w:t>b</w:t>
      </w:r>
      <w:r w:rsidR="00E26E09">
        <w:rPr>
          <w:color w:val="000000"/>
          <w:lang w:val="es-ES_tradnl"/>
        </w:rPr>
        <w:t>asándose en</w:t>
      </w:r>
      <w:r w:rsidRPr="001E1CCF">
        <w:rPr>
          <w:color w:val="000000"/>
          <w:lang w:val="es-ES_tradnl"/>
        </w:rPr>
        <w:t xml:space="preserve"> los cuatro criterios desarrollados por los sistemas regionales de derechos humanos en cuanto al examen del plazo razonable a efectos de determinar</w:t>
      </w:r>
      <w:r w:rsidR="002046C0">
        <w:rPr>
          <w:color w:val="000000"/>
          <w:lang w:val="es-ES_tradnl"/>
        </w:rPr>
        <w:t xml:space="preserve"> la efectividad de los recursos.</w:t>
      </w:r>
      <w:r w:rsidRPr="007B45E2">
        <w:rPr>
          <w:color w:val="000000"/>
          <w:sz w:val="18"/>
          <w:szCs w:val="18"/>
          <w:vertAlign w:val="superscript"/>
          <w:lang w:val="es-ES_tradnl"/>
        </w:rPr>
        <w:footnoteReference w:id="15"/>
      </w:r>
      <w:r w:rsidRPr="001E1CCF">
        <w:rPr>
          <w:color w:val="000000"/>
          <w:lang w:val="es-ES_tradnl"/>
        </w:rPr>
        <w:t xml:space="preserve"> </w:t>
      </w:r>
      <w:r w:rsidR="002046C0">
        <w:rPr>
          <w:color w:val="000000"/>
          <w:lang w:val="es-ES_tradnl"/>
        </w:rPr>
        <w:t>En este sentido, en cuanto</w:t>
      </w:r>
      <w:r w:rsidRPr="001E1CCF">
        <w:rPr>
          <w:color w:val="000000"/>
          <w:lang w:val="es-ES_tradnl"/>
        </w:rPr>
        <w:t xml:space="preserve"> a la complejidad del asunto, los autores sostienen que la responsabilidad de la Policía Intermunicipal imposibilitó el avance de las investigaciones. En cuanto a la actividad procesal del interesado, los autores defienden que siempre han colaborado en la investigación y que son ellos los que han permitido dar elementos para iniciar nuevas líneas de investigación. En cuanto </w:t>
      </w:r>
      <w:r w:rsidR="002046C0">
        <w:rPr>
          <w:color w:val="000000"/>
          <w:lang w:val="es-ES_tradnl"/>
        </w:rPr>
        <w:t>a</w:t>
      </w:r>
      <w:r w:rsidRPr="001E1CCF">
        <w:rPr>
          <w:color w:val="000000"/>
          <w:lang w:val="es-ES_tradnl"/>
        </w:rPr>
        <w:t xml:space="preserve"> la conducta de las autoridades judiciales, los autores sostienen que </w:t>
      </w:r>
      <w:r w:rsidR="001F0720">
        <w:rPr>
          <w:color w:val="000000"/>
          <w:lang w:val="es-ES_tradnl"/>
        </w:rPr>
        <w:t>dich</w:t>
      </w:r>
      <w:r w:rsidRPr="001E1CCF">
        <w:rPr>
          <w:color w:val="000000"/>
          <w:lang w:val="es-ES_tradnl"/>
        </w:rPr>
        <w:t xml:space="preserve">as autoridades han obstaculizado y </w:t>
      </w:r>
      <w:r w:rsidR="001F0720">
        <w:rPr>
          <w:color w:val="000000"/>
          <w:lang w:val="es-ES_tradnl"/>
        </w:rPr>
        <w:t>“</w:t>
      </w:r>
      <w:r w:rsidRPr="001E1CCF">
        <w:rPr>
          <w:color w:val="000000"/>
          <w:lang w:val="es-ES_tradnl"/>
        </w:rPr>
        <w:t>viciado</w:t>
      </w:r>
      <w:r w:rsidR="001F0720" w:rsidRPr="007A026E">
        <w:rPr>
          <w:color w:val="000000"/>
          <w:lang w:val="es-ES"/>
        </w:rPr>
        <w:t>”</w:t>
      </w:r>
      <w:r w:rsidRPr="001E1CCF">
        <w:rPr>
          <w:color w:val="000000"/>
          <w:lang w:val="es-ES_tradnl"/>
        </w:rPr>
        <w:t xml:space="preserve"> la investigación al </w:t>
      </w:r>
      <w:r w:rsidR="009C09E1">
        <w:rPr>
          <w:color w:val="000000"/>
          <w:lang w:val="es-ES_tradnl"/>
        </w:rPr>
        <w:t xml:space="preserve">rechazar </w:t>
      </w:r>
      <w:r w:rsidRPr="001E1CCF">
        <w:rPr>
          <w:color w:val="000000"/>
          <w:lang w:val="es-ES_tradnl"/>
        </w:rPr>
        <w:t>la denuncia, al contradecirse sobre la existencia de cámaras de seguridad, al realizar peritaje negligente al automóvil imposibilitando identificar huellas dactilares, al retrasar la identificación de los policías –</w:t>
      </w:r>
      <w:r w:rsidR="005B055E">
        <w:rPr>
          <w:color w:val="000000"/>
          <w:lang w:val="es-ES_tradnl"/>
        </w:rPr>
        <w:t>promoviendo</w:t>
      </w:r>
      <w:r w:rsidRPr="001E1CCF">
        <w:rPr>
          <w:color w:val="000000"/>
          <w:lang w:val="es-ES_tradnl"/>
        </w:rPr>
        <w:t xml:space="preserve"> un retrato hablado en vez de mostrar el álbum fotográfico de los elementos de la policía y posteriormente mostrarlo pero excluyendo cuatro fotografías–, al tardar 44 días en citar a declarar </w:t>
      </w:r>
      <w:r w:rsidR="002E0209">
        <w:rPr>
          <w:color w:val="000000"/>
          <w:lang w:val="es-ES_tradnl"/>
        </w:rPr>
        <w:t>uno de los</w:t>
      </w:r>
      <w:r w:rsidRPr="001E1CCF">
        <w:rPr>
          <w:color w:val="000000"/>
          <w:lang w:val="es-ES_tradnl"/>
        </w:rPr>
        <w:t xml:space="preserve"> policía</w:t>
      </w:r>
      <w:r w:rsidR="002E0209">
        <w:rPr>
          <w:color w:val="000000"/>
          <w:lang w:val="es-ES_tradnl"/>
        </w:rPr>
        <w:t>s</w:t>
      </w:r>
      <w:r w:rsidRPr="001E1CCF">
        <w:rPr>
          <w:color w:val="000000"/>
          <w:lang w:val="es-ES_tradnl"/>
        </w:rPr>
        <w:t xml:space="preserve"> </w:t>
      </w:r>
      <w:r w:rsidR="002E0209">
        <w:rPr>
          <w:color w:val="000000"/>
          <w:lang w:val="es-ES_tradnl"/>
        </w:rPr>
        <w:t>identificado,</w:t>
      </w:r>
      <w:r w:rsidRPr="001E1CCF">
        <w:rPr>
          <w:color w:val="000000"/>
          <w:lang w:val="es-ES_tradnl"/>
        </w:rPr>
        <w:t xml:space="preserve"> y</w:t>
      </w:r>
      <w:r w:rsidR="002E0209">
        <w:rPr>
          <w:color w:val="000000"/>
          <w:lang w:val="es-ES_tradnl"/>
        </w:rPr>
        <w:t xml:space="preserve"> al</w:t>
      </w:r>
      <w:r w:rsidRPr="001E1CCF">
        <w:rPr>
          <w:color w:val="000000"/>
          <w:lang w:val="es-ES_tradnl"/>
        </w:rPr>
        <w:t xml:space="preserve"> dar pleno valor probatorio al certificado presentado por él –firmado por un agente que después fue detenido por secuestro</w:t>
      </w:r>
      <w:r w:rsidR="002E0209">
        <w:rPr>
          <w:color w:val="000000"/>
          <w:lang w:val="es-ES_tradnl"/>
        </w:rPr>
        <w:t>–</w:t>
      </w:r>
      <w:r w:rsidR="00AE1D76">
        <w:rPr>
          <w:color w:val="000000"/>
          <w:lang w:val="es-ES_tradnl"/>
        </w:rPr>
        <w:t>. Finalmente, e</w:t>
      </w:r>
      <w:r w:rsidRPr="001E1CCF">
        <w:rPr>
          <w:color w:val="000000"/>
          <w:lang w:val="es-ES_tradnl"/>
        </w:rPr>
        <w:t xml:space="preserve">n cuanto al último criterio, la afectación generada en la situación jurídica de las personas involucradas, los autores </w:t>
      </w:r>
      <w:r w:rsidR="006A66B2">
        <w:rPr>
          <w:color w:val="000000"/>
          <w:lang w:val="es-ES_tradnl"/>
        </w:rPr>
        <w:t>recuerdan</w:t>
      </w:r>
      <w:r w:rsidRPr="001E1CCF">
        <w:rPr>
          <w:color w:val="000000"/>
          <w:lang w:val="es-ES_tradnl"/>
        </w:rPr>
        <w:t xml:space="preserve"> las graves consecuencias </w:t>
      </w:r>
      <w:r w:rsidR="00A33D86">
        <w:rPr>
          <w:color w:val="000000"/>
          <w:lang w:val="es-ES_tradnl"/>
        </w:rPr>
        <w:t>en</w:t>
      </w:r>
      <w:r w:rsidRPr="001E1CCF">
        <w:rPr>
          <w:color w:val="000000"/>
          <w:lang w:val="es-ES_tradnl"/>
        </w:rPr>
        <w:t xml:space="preserve"> </w:t>
      </w:r>
      <w:r w:rsidR="006A66B2">
        <w:rPr>
          <w:color w:val="000000"/>
          <w:lang w:val="es-ES_tradnl"/>
        </w:rPr>
        <w:t>su</w:t>
      </w:r>
      <w:r w:rsidRPr="001E1CCF">
        <w:rPr>
          <w:color w:val="000000"/>
          <w:lang w:val="es-ES_tradnl"/>
        </w:rPr>
        <w:t xml:space="preserve"> integridad personal</w:t>
      </w:r>
      <w:r w:rsidR="005B055E">
        <w:rPr>
          <w:color w:val="000000"/>
          <w:lang w:val="es-ES_tradnl"/>
        </w:rPr>
        <w:t xml:space="preserve"> e</w:t>
      </w:r>
      <w:r w:rsidRPr="001E1CCF">
        <w:rPr>
          <w:color w:val="000000"/>
          <w:lang w:val="es-ES_tradnl"/>
        </w:rPr>
        <w:t xml:space="preserve">l desconocer el paradero </w:t>
      </w:r>
      <w:r w:rsidR="006A66B2" w:rsidRPr="006A66B2">
        <w:rPr>
          <w:color w:val="000000"/>
          <w:lang w:val="es-ES_tradnl"/>
        </w:rPr>
        <w:t>del Sr. Téllez Padilla</w:t>
      </w:r>
      <w:r w:rsidRPr="001E1CCF">
        <w:rPr>
          <w:color w:val="000000"/>
          <w:lang w:val="es-ES_tradnl"/>
        </w:rPr>
        <w:t>.</w:t>
      </w:r>
    </w:p>
    <w:p w14:paraId="2E8A1B49" w14:textId="7822C661" w:rsidR="001E1CCF" w:rsidRPr="001E1CCF" w:rsidRDefault="001E1CCF" w:rsidP="001E1CCF">
      <w:pPr>
        <w:pStyle w:val="SingleTxtG"/>
        <w:rPr>
          <w:color w:val="000000"/>
          <w:lang w:val="es-ES_tradnl"/>
        </w:rPr>
      </w:pPr>
      <w:r w:rsidRPr="009627AD">
        <w:rPr>
          <w:color w:val="000000"/>
          <w:lang w:val="es-ES_tradnl"/>
        </w:rPr>
        <w:t>3.3</w:t>
      </w:r>
      <w:r w:rsidRPr="009627AD">
        <w:rPr>
          <w:color w:val="000000"/>
          <w:lang w:val="es-ES_tradnl"/>
        </w:rPr>
        <w:tab/>
      </w:r>
      <w:r w:rsidR="003261AC">
        <w:rPr>
          <w:color w:val="000000"/>
          <w:lang w:val="es-ES_tradnl"/>
        </w:rPr>
        <w:t xml:space="preserve">Pasando a examinar </w:t>
      </w:r>
      <w:r w:rsidR="00C71F5E" w:rsidRPr="009627AD">
        <w:rPr>
          <w:color w:val="000000"/>
          <w:lang w:val="es-ES_tradnl"/>
        </w:rPr>
        <w:t>las violaciones del presente caso, l</w:t>
      </w:r>
      <w:r w:rsidRPr="009627AD">
        <w:rPr>
          <w:color w:val="000000"/>
          <w:lang w:val="es-ES_tradnl"/>
        </w:rPr>
        <w:t>os autores</w:t>
      </w:r>
      <w:r w:rsidR="00B568CF">
        <w:rPr>
          <w:color w:val="000000"/>
          <w:lang w:val="es-ES_tradnl"/>
        </w:rPr>
        <w:t xml:space="preserve"> afirman que </w:t>
      </w:r>
      <w:r w:rsidR="00B568CF" w:rsidRPr="00B568CF">
        <w:rPr>
          <w:color w:val="000000"/>
          <w:lang w:val="es-ES_tradnl"/>
        </w:rPr>
        <w:t xml:space="preserve">se </w:t>
      </w:r>
      <w:r w:rsidR="005C38E4">
        <w:rPr>
          <w:color w:val="000000"/>
          <w:lang w:val="es-ES_tradnl"/>
        </w:rPr>
        <w:t xml:space="preserve">trata de una </w:t>
      </w:r>
      <w:r w:rsidR="005C38E4" w:rsidRPr="00B568CF">
        <w:rPr>
          <w:color w:val="000000"/>
          <w:lang w:val="es-ES_tradnl"/>
        </w:rPr>
        <w:t xml:space="preserve">desaparición forzada </w:t>
      </w:r>
      <w:r w:rsidR="005C38E4">
        <w:rPr>
          <w:color w:val="000000"/>
          <w:lang w:val="es-ES_tradnl"/>
        </w:rPr>
        <w:t>al cumplirse todos</w:t>
      </w:r>
      <w:r w:rsidR="00B568CF" w:rsidRPr="00B568CF">
        <w:rPr>
          <w:color w:val="000000"/>
          <w:lang w:val="es-ES_tradnl"/>
        </w:rPr>
        <w:t xml:space="preserve"> los elementos de </w:t>
      </w:r>
      <w:r w:rsidR="005C38E4">
        <w:rPr>
          <w:color w:val="000000"/>
          <w:lang w:val="es-ES_tradnl"/>
        </w:rPr>
        <w:t>su definición</w:t>
      </w:r>
      <w:r w:rsidR="00B568CF" w:rsidRPr="00B568CF">
        <w:rPr>
          <w:color w:val="000000"/>
          <w:lang w:val="es-ES_tradnl"/>
        </w:rPr>
        <w:t xml:space="preserve">: i) el Sr. Téllez Padilla fue interceptado por agentes de la Policía Intermunicipal, ii) </w:t>
      </w:r>
      <w:r w:rsidR="00F3080D">
        <w:rPr>
          <w:color w:val="000000"/>
          <w:lang w:val="es-ES_tradnl"/>
        </w:rPr>
        <w:t>los</w:t>
      </w:r>
      <w:r w:rsidR="00B568CF" w:rsidRPr="00B568CF">
        <w:rPr>
          <w:color w:val="000000"/>
          <w:lang w:val="es-ES_tradnl"/>
        </w:rPr>
        <w:t xml:space="preserve"> agentes lo bajaron de su automóvil y lo subieron</w:t>
      </w:r>
      <w:r w:rsidR="00F3080D">
        <w:rPr>
          <w:color w:val="000000"/>
          <w:lang w:val="es-ES_tradnl"/>
        </w:rPr>
        <w:t xml:space="preserve"> a una patrulla de la Policía,</w:t>
      </w:r>
      <w:r w:rsidR="00B568CF" w:rsidRPr="00B568CF">
        <w:rPr>
          <w:color w:val="000000"/>
          <w:lang w:val="es-ES_tradnl"/>
        </w:rPr>
        <w:t xml:space="preserve"> iii) sus familiares lo buscaron de manera insistente y los funcionarios negaron que estuviera en sus instalaciones</w:t>
      </w:r>
      <w:r w:rsidR="005C38E4">
        <w:rPr>
          <w:color w:val="000000"/>
          <w:lang w:val="es-ES_tradnl"/>
        </w:rPr>
        <w:t>.</w:t>
      </w:r>
      <w:r w:rsidR="003261AC">
        <w:rPr>
          <w:color w:val="000000"/>
          <w:lang w:val="es-ES_tradnl"/>
        </w:rPr>
        <w:t xml:space="preserve"> </w:t>
      </w:r>
      <w:r w:rsidR="00B568CF">
        <w:rPr>
          <w:color w:val="000000"/>
          <w:lang w:val="es-ES_tradnl"/>
        </w:rPr>
        <w:t>Los autores</w:t>
      </w:r>
      <w:r w:rsidRPr="009627AD">
        <w:rPr>
          <w:color w:val="000000"/>
          <w:lang w:val="es-ES_tradnl"/>
        </w:rPr>
        <w:t xml:space="preserve"> recuerdan que la desaparición forzada de personas constituye una violación múltiple </w:t>
      </w:r>
      <w:r w:rsidR="003261AC">
        <w:rPr>
          <w:color w:val="000000"/>
          <w:lang w:val="es-ES_tradnl"/>
        </w:rPr>
        <w:t>y continuada de varios derechos,</w:t>
      </w:r>
      <w:r w:rsidRPr="009627AD">
        <w:rPr>
          <w:color w:val="000000"/>
          <w:lang w:val="es-ES_tradnl"/>
        </w:rPr>
        <w:t xml:space="preserve"> </w:t>
      </w:r>
      <w:r w:rsidR="00B568CF">
        <w:rPr>
          <w:color w:val="000000"/>
          <w:lang w:val="es-ES_tradnl"/>
        </w:rPr>
        <w:t xml:space="preserve">y </w:t>
      </w:r>
      <w:r w:rsidRPr="009627AD">
        <w:rPr>
          <w:color w:val="000000"/>
          <w:lang w:val="es-ES_tradnl"/>
        </w:rPr>
        <w:t xml:space="preserve">alegan que el Estado parte ha violado los derechos del Sr. Téllez Padilla bajo los artículos 6 </w:t>
      </w:r>
      <w:r w:rsidR="00F8512B" w:rsidRPr="00025907">
        <w:rPr>
          <w:lang w:val="es-ES"/>
        </w:rPr>
        <w:t xml:space="preserve">párrafo </w:t>
      </w:r>
      <w:r w:rsidRPr="009627AD">
        <w:rPr>
          <w:color w:val="000000"/>
          <w:lang w:val="es-ES_tradnl"/>
        </w:rPr>
        <w:t>1, 7, 9 y 16 del Pacto, leídos por separado y en c</w:t>
      </w:r>
      <w:r w:rsidR="003261AC">
        <w:rPr>
          <w:color w:val="000000"/>
          <w:lang w:val="es-ES_tradnl"/>
        </w:rPr>
        <w:t xml:space="preserve">onjunto con el </w:t>
      </w:r>
      <w:r w:rsidR="00F8512B" w:rsidRPr="00025907">
        <w:rPr>
          <w:lang w:val="es-ES"/>
        </w:rPr>
        <w:t xml:space="preserve">párrafo </w:t>
      </w:r>
      <w:r w:rsidR="00F8512B">
        <w:rPr>
          <w:color w:val="000000"/>
          <w:lang w:val="es-ES_tradnl"/>
        </w:rPr>
        <w:t xml:space="preserve">3 del </w:t>
      </w:r>
      <w:r w:rsidR="003261AC">
        <w:rPr>
          <w:color w:val="000000"/>
          <w:lang w:val="es-ES_tradnl"/>
        </w:rPr>
        <w:t>artículo 2</w:t>
      </w:r>
      <w:r w:rsidR="00407B18">
        <w:rPr>
          <w:color w:val="000000"/>
          <w:lang w:val="es-ES_tradnl"/>
        </w:rPr>
        <w:t xml:space="preserve"> del Pacto</w:t>
      </w:r>
      <w:r w:rsidR="003261AC">
        <w:rPr>
          <w:color w:val="000000"/>
          <w:lang w:val="es-ES_tradnl"/>
        </w:rPr>
        <w:t>. Además, l</w:t>
      </w:r>
      <w:r w:rsidRPr="009627AD">
        <w:rPr>
          <w:color w:val="000000"/>
          <w:lang w:val="es-ES_tradnl"/>
        </w:rPr>
        <w:t xml:space="preserve">os autores alegan también ser víctimas de una violación de sus derechos contenidos en el artículo 7 del Pacto, leído solo y en conjunto con el artículo 2 (3). También alegan una violación del </w:t>
      </w:r>
      <w:r w:rsidR="00F8512B" w:rsidRPr="00025907">
        <w:rPr>
          <w:lang w:val="es-ES"/>
        </w:rPr>
        <w:t xml:space="preserve">párrafo </w:t>
      </w:r>
      <w:r w:rsidR="00F8512B">
        <w:rPr>
          <w:color w:val="000000"/>
          <w:lang w:val="es-ES_tradnl"/>
        </w:rPr>
        <w:t>3 del artículo 2</w:t>
      </w:r>
      <w:r w:rsidR="00407B18">
        <w:rPr>
          <w:color w:val="000000"/>
          <w:lang w:val="es-ES_tradnl"/>
        </w:rPr>
        <w:t xml:space="preserve"> del Pacto</w:t>
      </w:r>
      <w:r w:rsidRPr="009627AD">
        <w:rPr>
          <w:color w:val="000000"/>
          <w:lang w:val="es-ES_tradnl"/>
        </w:rPr>
        <w:t>.</w:t>
      </w:r>
    </w:p>
    <w:p w14:paraId="034578B2" w14:textId="661B72CE" w:rsidR="001E1CCF" w:rsidRPr="004406AF" w:rsidRDefault="001E1CCF" w:rsidP="004406AF">
      <w:pPr>
        <w:pStyle w:val="SingleTxtG"/>
        <w:rPr>
          <w:color w:val="000000"/>
          <w:lang w:val="es-ES_tradnl"/>
        </w:rPr>
      </w:pPr>
      <w:r w:rsidRPr="001E1CCF">
        <w:rPr>
          <w:color w:val="000000"/>
          <w:lang w:val="es-ES_tradnl"/>
        </w:rPr>
        <w:lastRenderedPageBreak/>
        <w:t>3.4</w:t>
      </w:r>
      <w:r w:rsidRPr="001E1CCF">
        <w:rPr>
          <w:color w:val="000000"/>
          <w:lang w:val="es-ES_tradnl"/>
        </w:rPr>
        <w:tab/>
        <w:t>En cuanto a la vulneración del derecho a la vida</w:t>
      </w:r>
      <w:r w:rsidR="004406AF" w:rsidRPr="004406AF">
        <w:rPr>
          <w:color w:val="000000"/>
          <w:lang w:val="es-ES_tradnl"/>
        </w:rPr>
        <w:t xml:space="preserve"> del Sr. Téllez Padilla</w:t>
      </w:r>
      <w:r w:rsidRPr="001E1CCF">
        <w:rPr>
          <w:color w:val="000000"/>
          <w:lang w:val="es-ES_tradnl"/>
        </w:rPr>
        <w:t>, los autores alegan que</w:t>
      </w:r>
      <w:r w:rsidR="00636EEB" w:rsidRPr="00636EEB">
        <w:rPr>
          <w:color w:val="000000"/>
          <w:lang w:val="es-ES_tradnl"/>
        </w:rPr>
        <w:t xml:space="preserve"> </w:t>
      </w:r>
      <w:r w:rsidR="00636EEB" w:rsidRPr="001E1CCF">
        <w:rPr>
          <w:color w:val="000000"/>
          <w:lang w:val="es-ES_tradnl"/>
        </w:rPr>
        <w:t>lo</w:t>
      </w:r>
      <w:r w:rsidR="00636EEB">
        <w:rPr>
          <w:color w:val="000000"/>
          <w:lang w:val="es-ES_tradnl"/>
        </w:rPr>
        <w:t>s hechos</w:t>
      </w:r>
      <w:r w:rsidR="00636EEB" w:rsidRPr="001E1CCF">
        <w:rPr>
          <w:color w:val="000000"/>
          <w:lang w:val="es-ES_tradnl"/>
        </w:rPr>
        <w:t xml:space="preserve"> constituye</w:t>
      </w:r>
      <w:r w:rsidR="00636EEB">
        <w:rPr>
          <w:color w:val="000000"/>
          <w:lang w:val="es-ES_tradnl"/>
        </w:rPr>
        <w:t>n</w:t>
      </w:r>
      <w:r w:rsidR="00636EEB" w:rsidRPr="001E1CCF">
        <w:rPr>
          <w:color w:val="000000"/>
          <w:lang w:val="es-ES_tradnl"/>
        </w:rPr>
        <w:t xml:space="preserve"> una violación del artículo 6 </w:t>
      </w:r>
      <w:r w:rsidR="00DD19F9" w:rsidRPr="00025907">
        <w:rPr>
          <w:lang w:val="es-ES"/>
        </w:rPr>
        <w:t xml:space="preserve">párrafo </w:t>
      </w:r>
      <w:r w:rsidR="00636EEB" w:rsidRPr="001E1CCF">
        <w:rPr>
          <w:color w:val="000000"/>
          <w:lang w:val="es-ES_tradnl"/>
        </w:rPr>
        <w:t>1 del Pacto</w:t>
      </w:r>
      <w:r w:rsidR="00F3080D">
        <w:rPr>
          <w:color w:val="000000"/>
          <w:lang w:val="es-ES_tradnl"/>
        </w:rPr>
        <w:t>,</w:t>
      </w:r>
      <w:r w:rsidRPr="001E1CCF">
        <w:rPr>
          <w:color w:val="000000"/>
          <w:lang w:val="es-ES_tradnl"/>
        </w:rPr>
        <w:t xml:space="preserve"> </w:t>
      </w:r>
      <w:r w:rsidR="004406AF" w:rsidRPr="004406AF">
        <w:rPr>
          <w:color w:val="000000"/>
          <w:lang w:val="es-ES_tradnl"/>
        </w:rPr>
        <w:t xml:space="preserve">dadas las circunstancias de </w:t>
      </w:r>
      <w:r w:rsidR="004406AF">
        <w:rPr>
          <w:color w:val="000000"/>
          <w:lang w:val="es-ES_tradnl"/>
        </w:rPr>
        <w:t>la</w:t>
      </w:r>
      <w:r w:rsidR="004406AF" w:rsidRPr="004406AF">
        <w:rPr>
          <w:color w:val="000000"/>
          <w:lang w:val="es-ES_tradnl"/>
        </w:rPr>
        <w:t xml:space="preserve"> detención</w:t>
      </w:r>
      <w:r w:rsidR="004406AF" w:rsidRPr="004406AF">
        <w:rPr>
          <w:lang w:val="es-ES"/>
        </w:rPr>
        <w:t xml:space="preserve"> </w:t>
      </w:r>
      <w:r w:rsidR="004406AF" w:rsidRPr="004406AF">
        <w:rPr>
          <w:color w:val="000000"/>
          <w:lang w:val="es-ES_tradnl"/>
        </w:rPr>
        <w:t xml:space="preserve">del Sr. Téllez Padilla </w:t>
      </w:r>
      <w:r w:rsidR="004406AF">
        <w:rPr>
          <w:color w:val="000000"/>
          <w:lang w:val="es-ES_tradnl"/>
        </w:rPr>
        <w:t>por elementos de la policía,</w:t>
      </w:r>
      <w:r w:rsidR="004406AF" w:rsidRPr="004406AF">
        <w:rPr>
          <w:color w:val="000000"/>
          <w:lang w:val="es-ES_tradnl"/>
        </w:rPr>
        <w:t xml:space="preserve"> sin </w:t>
      </w:r>
      <w:r w:rsidR="0029207B">
        <w:rPr>
          <w:color w:val="000000"/>
          <w:lang w:val="es-ES_tradnl"/>
        </w:rPr>
        <w:t xml:space="preserve">tener </w:t>
      </w:r>
      <w:r w:rsidR="004406AF" w:rsidRPr="004406AF">
        <w:rPr>
          <w:color w:val="000000"/>
          <w:lang w:val="es-ES_tradnl"/>
        </w:rPr>
        <w:t xml:space="preserve">noticia sobre su destino o </w:t>
      </w:r>
      <w:r w:rsidR="004406AF">
        <w:rPr>
          <w:color w:val="000000"/>
          <w:lang w:val="es-ES_tradnl"/>
        </w:rPr>
        <w:t>paradero</w:t>
      </w:r>
      <w:r w:rsidR="004406AF" w:rsidRPr="004406AF">
        <w:rPr>
          <w:color w:val="000000"/>
          <w:lang w:val="es-ES_tradnl"/>
        </w:rPr>
        <w:t>.</w:t>
      </w:r>
    </w:p>
    <w:p w14:paraId="1B33E87B" w14:textId="1079BE3F" w:rsidR="001E1CCF" w:rsidRPr="001E1CCF" w:rsidRDefault="001E1CCF" w:rsidP="001E1CCF">
      <w:pPr>
        <w:pStyle w:val="SingleTxtG"/>
        <w:rPr>
          <w:color w:val="000000"/>
          <w:lang w:val="es-ES_tradnl"/>
        </w:rPr>
      </w:pPr>
      <w:r w:rsidRPr="001E1CCF">
        <w:rPr>
          <w:color w:val="000000"/>
          <w:lang w:val="es-ES_tradnl"/>
        </w:rPr>
        <w:t>3.5</w:t>
      </w:r>
      <w:r w:rsidRPr="001E1CCF">
        <w:rPr>
          <w:color w:val="000000"/>
          <w:lang w:val="es-ES_tradnl"/>
        </w:rPr>
        <w:tab/>
        <w:t xml:space="preserve">En cuanto a la vulneración del derecho a no ser sometido a torturas ni a penas o tratos crueles, inhumanos o degradantes, los autores </w:t>
      </w:r>
      <w:r w:rsidR="00BC3EDD">
        <w:rPr>
          <w:color w:val="000000"/>
          <w:lang w:val="es-ES_tradnl"/>
        </w:rPr>
        <w:t>sostienen</w:t>
      </w:r>
      <w:r w:rsidRPr="001E1CCF">
        <w:rPr>
          <w:color w:val="000000"/>
          <w:lang w:val="es-ES_tradnl"/>
        </w:rPr>
        <w:t xml:space="preserve"> </w:t>
      </w:r>
      <w:r w:rsidR="00A57F6F">
        <w:rPr>
          <w:color w:val="000000"/>
          <w:lang w:val="es-ES_tradnl"/>
        </w:rPr>
        <w:t>que</w:t>
      </w:r>
      <w:r w:rsidR="00A57F6F" w:rsidRPr="001E1CCF">
        <w:rPr>
          <w:color w:val="000000"/>
          <w:lang w:val="es-ES_tradnl"/>
        </w:rPr>
        <w:t xml:space="preserve"> se puede presumir del grave sufrimiento y de la terrible situación de incertidumbre y afectación a la integridad física y psicológica </w:t>
      </w:r>
      <w:r w:rsidR="00A57F6F" w:rsidRPr="002F5892">
        <w:rPr>
          <w:color w:val="000000"/>
          <w:lang w:val="es-ES_tradnl"/>
        </w:rPr>
        <w:t>del Sr. Téllez Padilla</w:t>
      </w:r>
      <w:r w:rsidR="00A57F6F">
        <w:rPr>
          <w:color w:val="000000"/>
          <w:lang w:val="es-ES_tradnl"/>
        </w:rPr>
        <w:t xml:space="preserve">, y </w:t>
      </w:r>
      <w:r w:rsidRPr="001E1CCF">
        <w:rPr>
          <w:color w:val="000000"/>
          <w:lang w:val="es-ES_tradnl"/>
        </w:rPr>
        <w:t>que la desaparición forzada de personas constituye e</w:t>
      </w:r>
      <w:r w:rsidR="00BC3EDD">
        <w:rPr>
          <w:color w:val="000000"/>
          <w:lang w:val="es-ES_tradnl"/>
        </w:rPr>
        <w:t xml:space="preserve">n </w:t>
      </w:r>
      <w:r w:rsidR="00A57F6F">
        <w:rPr>
          <w:color w:val="000000"/>
          <w:lang w:val="es-ES_tradnl"/>
        </w:rPr>
        <w:t>sí misma una forma de tortura</w:t>
      </w:r>
      <w:r w:rsidRPr="002F5892">
        <w:rPr>
          <w:color w:val="000000"/>
          <w:lang w:val="es-ES_tradnl"/>
        </w:rPr>
        <w:t>.</w:t>
      </w:r>
      <w:r w:rsidRPr="001E1CCF">
        <w:rPr>
          <w:color w:val="000000"/>
          <w:lang w:val="es-ES_tradnl"/>
        </w:rPr>
        <w:t xml:space="preserve"> </w:t>
      </w:r>
      <w:r w:rsidR="002F5892">
        <w:rPr>
          <w:color w:val="000000"/>
          <w:lang w:val="es-ES_tradnl"/>
        </w:rPr>
        <w:t>Por otra parte, l</w:t>
      </w:r>
      <w:r w:rsidRPr="001E1CCF">
        <w:rPr>
          <w:color w:val="000000"/>
          <w:lang w:val="es-ES_tradnl"/>
        </w:rPr>
        <w:t xml:space="preserve">os autores sostienen la violación del artículo 7 del Pacto en perjuicio de ellos mismos, en razón de la angustia y del sufrimiento ocasionados en </w:t>
      </w:r>
      <w:r w:rsidR="003074E8">
        <w:rPr>
          <w:color w:val="000000"/>
          <w:lang w:val="es-ES_tradnl"/>
        </w:rPr>
        <w:t xml:space="preserve">su búsqueda de </w:t>
      </w:r>
      <w:r w:rsidRPr="001E1CCF">
        <w:rPr>
          <w:color w:val="000000"/>
          <w:lang w:val="es-ES_tradnl"/>
        </w:rPr>
        <w:t xml:space="preserve">justicia, </w:t>
      </w:r>
      <w:r w:rsidR="00752074">
        <w:rPr>
          <w:color w:val="000000"/>
          <w:lang w:val="es-ES_tradnl"/>
        </w:rPr>
        <w:t>por</w:t>
      </w:r>
      <w:r w:rsidRPr="001E1CCF">
        <w:rPr>
          <w:color w:val="000000"/>
          <w:lang w:val="es-ES_tradnl"/>
        </w:rPr>
        <w:t xml:space="preserve"> no saber sobre el paradero de su familiar, no saber si se encuentra con vida, ni en qué condiciones ha sido cautivo. </w:t>
      </w:r>
    </w:p>
    <w:p w14:paraId="316A89C8" w14:textId="55597D51" w:rsidR="001E1CCF" w:rsidRPr="001E1CCF" w:rsidRDefault="001E1CCF" w:rsidP="001E1CCF">
      <w:pPr>
        <w:pStyle w:val="SingleTxtG"/>
        <w:rPr>
          <w:color w:val="000000"/>
          <w:lang w:val="es-ES_tradnl"/>
        </w:rPr>
      </w:pPr>
      <w:r w:rsidRPr="001E1CCF">
        <w:rPr>
          <w:color w:val="000000"/>
          <w:lang w:val="es-ES_tradnl"/>
        </w:rPr>
        <w:t>3.6</w:t>
      </w:r>
      <w:r w:rsidRPr="001E1CCF">
        <w:rPr>
          <w:color w:val="000000"/>
          <w:lang w:val="es-ES_tradnl"/>
        </w:rPr>
        <w:tab/>
        <w:t xml:space="preserve">Los autores también </w:t>
      </w:r>
      <w:r w:rsidR="00B519F0">
        <w:rPr>
          <w:color w:val="000000"/>
          <w:lang w:val="es-ES_tradnl"/>
        </w:rPr>
        <w:t>alegan</w:t>
      </w:r>
      <w:r w:rsidRPr="001E1CCF">
        <w:rPr>
          <w:color w:val="000000"/>
          <w:lang w:val="es-ES_tradnl"/>
        </w:rPr>
        <w:t xml:space="preserve"> la violación del artículo 9 del Pacto </w:t>
      </w:r>
      <w:r w:rsidR="00C63276">
        <w:rPr>
          <w:color w:val="000000"/>
          <w:lang w:val="es-ES_tradnl"/>
        </w:rPr>
        <w:t>porque</w:t>
      </w:r>
      <w:r w:rsidRPr="001E1CCF">
        <w:rPr>
          <w:color w:val="000000"/>
          <w:lang w:val="es-ES_tradnl"/>
        </w:rPr>
        <w:t xml:space="preserve"> </w:t>
      </w:r>
      <w:r w:rsidR="0071150A" w:rsidRPr="0071150A">
        <w:rPr>
          <w:color w:val="000000"/>
          <w:lang w:val="es-ES_tradnl"/>
        </w:rPr>
        <w:t xml:space="preserve">el Sr. Téllez Padilla </w:t>
      </w:r>
      <w:r w:rsidRPr="001E1CCF">
        <w:rPr>
          <w:color w:val="000000"/>
          <w:lang w:val="es-ES_tradnl"/>
        </w:rPr>
        <w:t xml:space="preserve">fue detenido sin orden judicial, no se le informó de los motivos de la detención, no se formularon cargos contra él, ni compareció ante una autoridad judicial para poder impugnar la legalidad de su privación de libertad. </w:t>
      </w:r>
      <w:r w:rsidR="00111791" w:rsidRPr="00111791">
        <w:rPr>
          <w:color w:val="000000"/>
          <w:lang w:val="es-ES_tradnl"/>
        </w:rPr>
        <w:t xml:space="preserve">Asimismo, </w:t>
      </w:r>
      <w:r w:rsidR="00111791">
        <w:rPr>
          <w:color w:val="000000"/>
          <w:lang w:val="es-ES_tradnl"/>
        </w:rPr>
        <w:t xml:space="preserve">los autores </w:t>
      </w:r>
      <w:r w:rsidR="00111791" w:rsidRPr="00111791">
        <w:rPr>
          <w:color w:val="000000"/>
          <w:lang w:val="es-ES_tradnl"/>
        </w:rPr>
        <w:t>citan la Observaci</w:t>
      </w:r>
      <w:r w:rsidR="00111791">
        <w:rPr>
          <w:color w:val="000000"/>
          <w:lang w:val="es-ES_tradnl"/>
        </w:rPr>
        <w:t>ón general número 35 del Comité</w:t>
      </w:r>
      <w:r w:rsidR="0064398A">
        <w:rPr>
          <w:color w:val="000000"/>
          <w:lang w:val="es-ES_tradnl"/>
        </w:rPr>
        <w:t>,</w:t>
      </w:r>
      <w:r w:rsidR="00111791" w:rsidRPr="00111791">
        <w:rPr>
          <w:color w:val="000000"/>
          <w:lang w:val="es-ES_tradnl"/>
        </w:rPr>
        <w:t xml:space="preserve"> </w:t>
      </w:r>
      <w:r w:rsidR="00111791">
        <w:rPr>
          <w:color w:val="000000"/>
          <w:lang w:val="es-ES_tradnl"/>
        </w:rPr>
        <w:t>que ha reconocido como forma</w:t>
      </w:r>
      <w:r w:rsidR="00111791" w:rsidRPr="00111791">
        <w:rPr>
          <w:color w:val="000000"/>
          <w:lang w:val="es-ES_tradnl"/>
        </w:rPr>
        <w:t xml:space="preserve"> de privación de la libertad “el traslado contra la propia voluntad”, y que ha señalado que “[l]as desapariciones forzadas […] constituyen una forma particularmente grave de reclusión arbitraria”. </w:t>
      </w:r>
      <w:r w:rsidRPr="001E1CCF">
        <w:rPr>
          <w:color w:val="000000"/>
          <w:lang w:val="es-ES_tradnl"/>
        </w:rPr>
        <w:t>También citan la jurisprudencia de la Corte interamericana</w:t>
      </w:r>
      <w:r w:rsidR="00907FD9">
        <w:rPr>
          <w:color w:val="000000"/>
          <w:lang w:val="es-ES_tradnl"/>
        </w:rPr>
        <w:t xml:space="preserve"> de derechos humanos</w:t>
      </w:r>
      <w:r w:rsidRPr="001E1CCF">
        <w:rPr>
          <w:color w:val="000000"/>
          <w:lang w:val="es-ES_tradnl"/>
        </w:rPr>
        <w:t xml:space="preserve"> para sostener </w:t>
      </w:r>
      <w:r w:rsidR="0064398A" w:rsidRPr="001E1CCF">
        <w:rPr>
          <w:color w:val="000000"/>
          <w:lang w:val="es-ES_tradnl"/>
        </w:rPr>
        <w:t>la vulneración del derecho</w:t>
      </w:r>
      <w:r w:rsidR="0064398A" w:rsidRPr="008E610E">
        <w:rPr>
          <w:color w:val="000000"/>
          <w:lang w:val="es-ES"/>
        </w:rPr>
        <w:t xml:space="preserve"> </w:t>
      </w:r>
      <w:r w:rsidR="0064398A" w:rsidRPr="001E1CCF">
        <w:rPr>
          <w:color w:val="000000"/>
          <w:lang w:val="es-ES_tradnl"/>
        </w:rPr>
        <w:t xml:space="preserve">a la libertad </w:t>
      </w:r>
      <w:r w:rsidR="004502ED">
        <w:rPr>
          <w:color w:val="000000"/>
          <w:lang w:val="es-ES_tradnl"/>
        </w:rPr>
        <w:t>porque</w:t>
      </w:r>
      <w:r w:rsidR="00795B8C" w:rsidRPr="00795B8C">
        <w:rPr>
          <w:lang w:val="es-ES"/>
        </w:rPr>
        <w:t xml:space="preserve"> </w:t>
      </w:r>
      <w:r w:rsidR="00795B8C" w:rsidRPr="00795B8C">
        <w:rPr>
          <w:color w:val="000000"/>
          <w:lang w:val="es-ES_tradnl"/>
        </w:rPr>
        <w:t>el Sr. Téllez Padilla</w:t>
      </w:r>
      <w:r w:rsidRPr="00795B8C">
        <w:rPr>
          <w:color w:val="000000"/>
          <w:lang w:val="es-ES_tradnl"/>
        </w:rPr>
        <w:t xml:space="preserve"> </w:t>
      </w:r>
      <w:r w:rsidR="004502ED">
        <w:rPr>
          <w:color w:val="000000"/>
          <w:lang w:val="es-ES_tradnl"/>
        </w:rPr>
        <w:t>fue</w:t>
      </w:r>
      <w:r w:rsidRPr="001E1CCF">
        <w:rPr>
          <w:color w:val="000000"/>
          <w:lang w:val="es-ES_tradnl"/>
        </w:rPr>
        <w:t xml:space="preserve"> trasladado a un lugar desconocido y su detención no </w:t>
      </w:r>
      <w:r w:rsidR="004502ED">
        <w:rPr>
          <w:color w:val="000000"/>
          <w:lang w:val="es-ES_tradnl"/>
        </w:rPr>
        <w:t>fue</w:t>
      </w:r>
      <w:r w:rsidRPr="001E1CCF">
        <w:rPr>
          <w:color w:val="000000"/>
          <w:lang w:val="es-ES_tradnl"/>
        </w:rPr>
        <w:t xml:space="preserve"> registrada.</w:t>
      </w:r>
      <w:r w:rsidRPr="007B45E2">
        <w:rPr>
          <w:color w:val="000000"/>
          <w:sz w:val="18"/>
          <w:szCs w:val="18"/>
          <w:vertAlign w:val="superscript"/>
          <w:lang w:val="es-ES_tradnl"/>
        </w:rPr>
        <w:footnoteReference w:id="16"/>
      </w:r>
      <w:r w:rsidRPr="007B45E2">
        <w:rPr>
          <w:color w:val="000000"/>
          <w:sz w:val="18"/>
          <w:szCs w:val="18"/>
          <w:lang w:val="es-ES_tradnl"/>
        </w:rPr>
        <w:t xml:space="preserve"> </w:t>
      </w:r>
    </w:p>
    <w:p w14:paraId="5F3498FE" w14:textId="626D19B3" w:rsidR="001E1CCF" w:rsidRPr="001E1CCF" w:rsidRDefault="001E1CCF" w:rsidP="001E1CCF">
      <w:pPr>
        <w:pStyle w:val="SingleTxtG"/>
        <w:rPr>
          <w:color w:val="000000"/>
          <w:lang w:val="es-ES_tradnl"/>
        </w:rPr>
      </w:pPr>
      <w:r w:rsidRPr="001E1CCF">
        <w:rPr>
          <w:color w:val="000000"/>
          <w:lang w:val="es-ES_tradnl"/>
        </w:rPr>
        <w:t>3.7</w:t>
      </w:r>
      <w:r w:rsidRPr="001E1CCF">
        <w:rPr>
          <w:color w:val="000000"/>
          <w:lang w:val="es-ES_tradnl"/>
        </w:rPr>
        <w:tab/>
        <w:t>En cuanto a la violación del derecho al reconocimiento de la personalidad jurídica, los autores se basan en dictámenes del Comité</w:t>
      </w:r>
      <w:r w:rsidRPr="007B45E2">
        <w:rPr>
          <w:color w:val="000000"/>
          <w:sz w:val="18"/>
          <w:szCs w:val="18"/>
          <w:lang w:val="es-ES_tradnl"/>
        </w:rPr>
        <w:t xml:space="preserve"> </w:t>
      </w:r>
      <w:r w:rsidRPr="001E1CCF">
        <w:rPr>
          <w:color w:val="000000"/>
          <w:lang w:val="es-ES_tradnl"/>
        </w:rPr>
        <w:t xml:space="preserve">para alegar la violación del artículo 16 en perjuicio </w:t>
      </w:r>
      <w:r w:rsidR="0058164D">
        <w:rPr>
          <w:color w:val="000000"/>
          <w:lang w:val="es-ES_tradnl"/>
        </w:rPr>
        <w:t>d</w:t>
      </w:r>
      <w:r w:rsidR="0058164D" w:rsidRPr="0058164D">
        <w:rPr>
          <w:color w:val="000000"/>
          <w:lang w:val="es-ES_tradnl"/>
        </w:rPr>
        <w:t>el Sr. Téllez Padilla</w:t>
      </w:r>
      <w:r w:rsidRPr="0058164D">
        <w:rPr>
          <w:color w:val="000000"/>
          <w:lang w:val="es-ES_tradnl"/>
        </w:rPr>
        <w:t>,</w:t>
      </w:r>
      <w:r w:rsidRPr="001E1CCF">
        <w:rPr>
          <w:color w:val="000000"/>
          <w:lang w:val="es-ES_tradnl"/>
        </w:rPr>
        <w:t xml:space="preserve"> sustraído del amparo de la ley</w:t>
      </w:r>
      <w:r w:rsidR="00381335">
        <w:rPr>
          <w:color w:val="000000"/>
          <w:lang w:val="es-ES_tradnl"/>
        </w:rPr>
        <w:t xml:space="preserve"> y</w:t>
      </w:r>
      <w:r w:rsidR="0058164D">
        <w:rPr>
          <w:color w:val="000000"/>
          <w:lang w:val="es-ES_tradnl"/>
        </w:rPr>
        <w:t xml:space="preserve"> visto</w:t>
      </w:r>
      <w:r w:rsidRPr="001E1CCF">
        <w:rPr>
          <w:color w:val="000000"/>
          <w:lang w:val="es-ES_tradnl"/>
        </w:rPr>
        <w:t xml:space="preserve"> por última vez en poder de las autoridades.</w:t>
      </w:r>
      <w:r w:rsidR="0090336C" w:rsidRPr="007B45E2">
        <w:rPr>
          <w:color w:val="000000"/>
          <w:sz w:val="18"/>
          <w:szCs w:val="18"/>
          <w:vertAlign w:val="superscript"/>
          <w:lang w:val="es-ES_tradnl"/>
        </w:rPr>
        <w:footnoteReference w:id="17"/>
      </w:r>
      <w:r w:rsidRPr="008E610E">
        <w:rPr>
          <w:color w:val="000000"/>
          <w:lang w:val="es-ES"/>
        </w:rPr>
        <w:t xml:space="preserve"> </w:t>
      </w:r>
    </w:p>
    <w:p w14:paraId="7FDE3238" w14:textId="6B5FD4E7" w:rsidR="001E1CCF" w:rsidRPr="001E1CCF" w:rsidRDefault="001E1CCF" w:rsidP="001E1CCF">
      <w:pPr>
        <w:pStyle w:val="SingleTxtG"/>
        <w:rPr>
          <w:color w:val="000000"/>
          <w:lang w:val="es-ES_tradnl"/>
        </w:rPr>
      </w:pPr>
      <w:r w:rsidRPr="001E1CCF">
        <w:rPr>
          <w:color w:val="000000"/>
          <w:lang w:val="es-ES_tradnl"/>
        </w:rPr>
        <w:t>3.8</w:t>
      </w:r>
      <w:r w:rsidRPr="001E1CCF">
        <w:rPr>
          <w:color w:val="000000"/>
          <w:lang w:val="es-ES_tradnl"/>
        </w:rPr>
        <w:tab/>
        <w:t>Finalmente, en razón de la falta de investigación efectiva</w:t>
      </w:r>
      <w:r w:rsidRPr="0058164D">
        <w:rPr>
          <w:color w:val="000000"/>
          <w:lang w:val="es-ES_tradnl"/>
        </w:rPr>
        <w:t>,</w:t>
      </w:r>
      <w:r w:rsidRPr="001E1CCF">
        <w:rPr>
          <w:color w:val="000000"/>
          <w:lang w:val="es-ES_tradnl"/>
        </w:rPr>
        <w:t xml:space="preserve"> los autores también alegan la violación del artículo 2</w:t>
      </w:r>
      <w:r w:rsidR="00ED7308">
        <w:rPr>
          <w:color w:val="000000"/>
          <w:lang w:val="es-ES_tradnl"/>
        </w:rPr>
        <w:t>,</w:t>
      </w:r>
      <w:r w:rsidRPr="001E1CCF">
        <w:rPr>
          <w:color w:val="000000"/>
          <w:lang w:val="es-ES_tradnl"/>
        </w:rPr>
        <w:t xml:space="preserve"> </w:t>
      </w:r>
      <w:r w:rsidR="00DD19F9" w:rsidRPr="00025907">
        <w:rPr>
          <w:lang w:val="es-ES"/>
        </w:rPr>
        <w:t xml:space="preserve">párrafo </w:t>
      </w:r>
      <w:r w:rsidRPr="001E1CCF">
        <w:rPr>
          <w:color w:val="000000"/>
          <w:lang w:val="es-ES_tradnl"/>
        </w:rPr>
        <w:t xml:space="preserve">3, leído solo y conjuntamente con los artículos 6 </w:t>
      </w:r>
      <w:r w:rsidR="00DD19F9" w:rsidRPr="00025907">
        <w:rPr>
          <w:lang w:val="es-ES"/>
        </w:rPr>
        <w:t xml:space="preserve">párrafo </w:t>
      </w:r>
      <w:r w:rsidRPr="001E1CCF">
        <w:rPr>
          <w:color w:val="000000"/>
          <w:lang w:val="es-ES_tradnl"/>
        </w:rPr>
        <w:t>1, 7, 9 y 16 del Pacto. Al respecto, los autores afirman que</w:t>
      </w:r>
      <w:r w:rsidR="00271598">
        <w:rPr>
          <w:color w:val="000000"/>
          <w:lang w:val="es-ES_tradnl"/>
        </w:rPr>
        <w:t>, no solamente</w:t>
      </w:r>
      <w:r w:rsidRPr="001E1CCF">
        <w:rPr>
          <w:color w:val="000000"/>
          <w:lang w:val="es-ES_tradnl"/>
        </w:rPr>
        <w:t xml:space="preserve"> el Estado no inició de oficio una inv</w:t>
      </w:r>
      <w:r w:rsidR="00AD0F95">
        <w:rPr>
          <w:color w:val="000000"/>
          <w:lang w:val="es-ES_tradnl"/>
        </w:rPr>
        <w:t>estigación independiente,</w:t>
      </w:r>
      <w:r w:rsidRPr="001E1CCF">
        <w:rPr>
          <w:color w:val="000000"/>
          <w:lang w:val="es-ES_tradnl"/>
        </w:rPr>
        <w:t xml:space="preserve"> imparcial, seria, exhaustiva y eficaz, que garantizara el derecho a la verdad y respetara el derecho de los familiares a la participación en el proceso</w:t>
      </w:r>
      <w:r w:rsidR="00AD5732">
        <w:rPr>
          <w:color w:val="000000"/>
          <w:lang w:val="es-ES_tradnl"/>
        </w:rPr>
        <w:t xml:space="preserve"> (l</w:t>
      </w:r>
      <w:r w:rsidR="007C160E">
        <w:rPr>
          <w:color w:val="000000"/>
          <w:lang w:val="es-ES_tradnl"/>
        </w:rPr>
        <w:t>os</w:t>
      </w:r>
      <w:r w:rsidR="007A2E9C">
        <w:rPr>
          <w:color w:val="000000"/>
          <w:lang w:val="es-ES_tradnl"/>
        </w:rPr>
        <w:t xml:space="preserve"> autores </w:t>
      </w:r>
      <w:r w:rsidR="007C160E">
        <w:rPr>
          <w:color w:val="000000"/>
          <w:lang w:val="es-ES_tradnl"/>
        </w:rPr>
        <w:t>señalan</w:t>
      </w:r>
      <w:r w:rsidR="007C160E" w:rsidRPr="001E1CCF">
        <w:rPr>
          <w:color w:val="000000"/>
          <w:lang w:val="es-ES_tradnl"/>
        </w:rPr>
        <w:t xml:space="preserve"> </w:t>
      </w:r>
      <w:r w:rsidRPr="001E1CCF">
        <w:rPr>
          <w:color w:val="000000"/>
          <w:lang w:val="es-ES_tradnl"/>
        </w:rPr>
        <w:t xml:space="preserve">que </w:t>
      </w:r>
      <w:r w:rsidR="005974CF" w:rsidRPr="000470B6">
        <w:rPr>
          <w:color w:val="000000"/>
          <w:lang w:val="es-ES_tradnl"/>
        </w:rPr>
        <w:lastRenderedPageBreak/>
        <w:t>tuvieron incluso que presentar un amparo</w:t>
      </w:r>
      <w:r w:rsidR="005974CF" w:rsidRPr="001E1CCF">
        <w:rPr>
          <w:color w:val="000000"/>
          <w:lang w:val="es-ES_tradnl"/>
        </w:rPr>
        <w:t xml:space="preserve"> </w:t>
      </w:r>
      <w:r w:rsidR="005974CF">
        <w:rPr>
          <w:color w:val="000000"/>
          <w:lang w:val="es-ES_tradnl"/>
        </w:rPr>
        <w:t>debido a las</w:t>
      </w:r>
      <w:r w:rsidRPr="001E1CCF">
        <w:rPr>
          <w:color w:val="000000"/>
          <w:lang w:val="es-ES_tradnl"/>
        </w:rPr>
        <w:t xml:space="preserve"> enormes dificultades para obtener copias de los </w:t>
      </w:r>
      <w:r w:rsidR="005974CF">
        <w:rPr>
          <w:color w:val="000000"/>
          <w:lang w:val="es-ES_tradnl"/>
        </w:rPr>
        <w:t>expedientes</w:t>
      </w:r>
      <w:r w:rsidR="00271598" w:rsidRPr="008E610E">
        <w:rPr>
          <w:color w:val="000000"/>
          <w:lang w:val="es-ES"/>
        </w:rPr>
        <w:t xml:space="preserve">, y </w:t>
      </w:r>
      <w:r w:rsidRPr="000470B6">
        <w:rPr>
          <w:color w:val="000000"/>
          <w:lang w:val="es-ES_tradnl"/>
        </w:rPr>
        <w:t xml:space="preserve">recuerdan que el Estado parte </w:t>
      </w:r>
      <w:r w:rsidR="000470B6" w:rsidRPr="000470B6">
        <w:rPr>
          <w:color w:val="000000"/>
          <w:lang w:val="es-ES_tradnl"/>
        </w:rPr>
        <w:t xml:space="preserve">ya </w:t>
      </w:r>
      <w:r w:rsidRPr="000470B6">
        <w:rPr>
          <w:color w:val="000000"/>
          <w:lang w:val="es-ES_tradnl"/>
        </w:rPr>
        <w:t>ha sido señalado in</w:t>
      </w:r>
      <w:r w:rsidR="000470B6">
        <w:rPr>
          <w:color w:val="000000"/>
          <w:lang w:val="es-ES_tradnl"/>
        </w:rPr>
        <w:t>ternacionalmente respecto a esta</w:t>
      </w:r>
      <w:r w:rsidRPr="000470B6">
        <w:rPr>
          <w:color w:val="000000"/>
          <w:lang w:val="es-ES_tradnl"/>
        </w:rPr>
        <w:t xml:space="preserve"> </w:t>
      </w:r>
      <w:r w:rsidR="000470B6">
        <w:rPr>
          <w:color w:val="000000"/>
          <w:lang w:val="es-ES_tradnl"/>
        </w:rPr>
        <w:t>problemática</w:t>
      </w:r>
      <w:r w:rsidR="00AD5732">
        <w:rPr>
          <w:color w:val="000000"/>
          <w:lang w:val="es-ES_tradnl"/>
        </w:rPr>
        <w:t>)</w:t>
      </w:r>
      <w:r w:rsidRPr="000470B6">
        <w:rPr>
          <w:color w:val="000000"/>
          <w:sz w:val="18"/>
          <w:szCs w:val="18"/>
          <w:vertAlign w:val="superscript"/>
          <w:lang w:val="es-ES_tradnl"/>
        </w:rPr>
        <w:footnoteReference w:id="18"/>
      </w:r>
      <w:r w:rsidR="00271598" w:rsidRPr="000470B6">
        <w:rPr>
          <w:color w:val="000000"/>
          <w:lang w:val="es-ES_tradnl"/>
        </w:rPr>
        <w:t>,</w:t>
      </w:r>
      <w:r w:rsidRPr="000470B6">
        <w:rPr>
          <w:color w:val="000000"/>
          <w:lang w:val="es-ES_tradnl"/>
        </w:rPr>
        <w:t xml:space="preserve"> </w:t>
      </w:r>
      <w:r w:rsidR="00271598" w:rsidRPr="000470B6">
        <w:rPr>
          <w:color w:val="000000"/>
          <w:lang w:val="es-ES_tradnl"/>
        </w:rPr>
        <w:t>s</w:t>
      </w:r>
      <w:r w:rsidR="00271598">
        <w:rPr>
          <w:color w:val="000000"/>
          <w:lang w:val="es-ES_tradnl"/>
        </w:rPr>
        <w:t>ino que</w:t>
      </w:r>
      <w:r w:rsidRPr="001E1CCF">
        <w:rPr>
          <w:color w:val="000000"/>
          <w:lang w:val="es-ES_tradnl"/>
        </w:rPr>
        <w:t xml:space="preserve"> las autoridades han obstaculizado y viciado la investigación</w:t>
      </w:r>
      <w:r w:rsidR="001F0FF5">
        <w:rPr>
          <w:color w:val="000000"/>
          <w:lang w:val="es-ES_tradnl"/>
        </w:rPr>
        <w:t>. Al respecto, l</w:t>
      </w:r>
      <w:r w:rsidRPr="001E1CCF">
        <w:rPr>
          <w:color w:val="000000"/>
          <w:lang w:val="es-ES_tradnl"/>
        </w:rPr>
        <w:t>os autores se basan en diversos pronunciamientos internacionales para recordar que el periodo inmediatamente posterior a la detención es crucial para reunir información y así evitar una desaparición.</w:t>
      </w:r>
      <w:r w:rsidRPr="007C37F4">
        <w:rPr>
          <w:color w:val="000000"/>
          <w:sz w:val="18"/>
          <w:szCs w:val="18"/>
          <w:vertAlign w:val="superscript"/>
          <w:lang w:val="es-ES_tradnl"/>
        </w:rPr>
        <w:footnoteReference w:id="19"/>
      </w:r>
      <w:r w:rsidRPr="001E1CCF">
        <w:rPr>
          <w:color w:val="000000"/>
          <w:lang w:val="es-ES_tradnl"/>
        </w:rPr>
        <w:t xml:space="preserve"> Finalmente, los autores citan </w:t>
      </w:r>
      <w:r w:rsidR="00177E57">
        <w:rPr>
          <w:color w:val="000000"/>
          <w:lang w:val="es-ES_tradnl"/>
        </w:rPr>
        <w:t xml:space="preserve">el párrafo 15 de </w:t>
      </w:r>
      <w:r w:rsidRPr="001E1CCF">
        <w:rPr>
          <w:color w:val="000000"/>
          <w:lang w:val="es-ES_tradnl"/>
        </w:rPr>
        <w:t xml:space="preserve">la </w:t>
      </w:r>
      <w:r w:rsidR="00C81C6C">
        <w:rPr>
          <w:color w:val="000000"/>
          <w:lang w:val="es-ES_tradnl"/>
        </w:rPr>
        <w:t>Observación general número</w:t>
      </w:r>
      <w:r w:rsidRPr="001E1CCF">
        <w:rPr>
          <w:color w:val="000000"/>
          <w:lang w:val="es-ES_tradnl"/>
        </w:rPr>
        <w:t xml:space="preserve"> 31 del Comité</w:t>
      </w:r>
      <w:r w:rsidR="00192DAF">
        <w:rPr>
          <w:color w:val="000000"/>
          <w:lang w:val="es-ES_tradnl"/>
        </w:rPr>
        <w:t>,</w:t>
      </w:r>
      <w:r w:rsidRPr="001E1CCF">
        <w:rPr>
          <w:color w:val="000000"/>
          <w:lang w:val="es-ES_tradnl"/>
        </w:rPr>
        <w:t xml:space="preserve"> según la cual el “hecho de que un Estado Parte no investigue las denuncias de violación puede ser de por sí una vulneración del Pacto”.</w:t>
      </w:r>
    </w:p>
    <w:p w14:paraId="48C3D881" w14:textId="56779DB3" w:rsidR="00760A05" w:rsidRDefault="00197C03" w:rsidP="00824F80">
      <w:pPr>
        <w:pStyle w:val="SingleTxtG"/>
        <w:rPr>
          <w:lang w:val="es-ES_tradnl"/>
        </w:rPr>
      </w:pPr>
      <w:r>
        <w:rPr>
          <w:lang w:val="es-ES_tradnl"/>
        </w:rPr>
        <w:t>3.9</w:t>
      </w:r>
      <w:r w:rsidR="003F5D5D">
        <w:rPr>
          <w:lang w:val="es-ES_tradnl"/>
        </w:rPr>
        <w:tab/>
        <w:t>Como medidas de reparación, los autores solicitan que</w:t>
      </w:r>
      <w:r w:rsidR="001E1CCF" w:rsidRPr="001E1CCF">
        <w:rPr>
          <w:lang w:val="es-ES_tradnl"/>
        </w:rPr>
        <w:t xml:space="preserve"> se ordene al Estado parte</w:t>
      </w:r>
      <w:r w:rsidR="004E6079">
        <w:rPr>
          <w:lang w:val="es-ES_tradnl"/>
        </w:rPr>
        <w:t>:</w:t>
      </w:r>
      <w:r w:rsidR="001E1CCF" w:rsidRPr="001E1CCF">
        <w:rPr>
          <w:lang w:val="es-ES_tradnl"/>
        </w:rPr>
        <w:t xml:space="preserve"> </w:t>
      </w:r>
      <w:r w:rsidR="004E6079">
        <w:rPr>
          <w:lang w:val="es-ES_tradnl"/>
        </w:rPr>
        <w:t xml:space="preserve">a) </w:t>
      </w:r>
      <w:r w:rsidR="001E1CCF" w:rsidRPr="001E1CCF">
        <w:rPr>
          <w:lang w:val="es-ES_tradnl"/>
        </w:rPr>
        <w:t>realizar una investigación rápida, impar</w:t>
      </w:r>
      <w:r w:rsidR="00B42533">
        <w:rPr>
          <w:lang w:val="es-ES_tradnl"/>
        </w:rPr>
        <w:t>cial y exhaustiva de los hechos;</w:t>
      </w:r>
      <w:r w:rsidR="001E1CCF" w:rsidRPr="001E1CCF">
        <w:rPr>
          <w:lang w:val="es-ES_tradnl"/>
        </w:rPr>
        <w:t xml:space="preserve"> </w:t>
      </w:r>
      <w:r w:rsidR="00B42533">
        <w:rPr>
          <w:lang w:val="es-ES_tradnl"/>
        </w:rPr>
        <w:t>b) continuar</w:t>
      </w:r>
      <w:r w:rsidR="00B42533" w:rsidRPr="004E6079">
        <w:rPr>
          <w:lang w:val="es-ES_tradnl"/>
        </w:rPr>
        <w:t xml:space="preserve"> </w:t>
      </w:r>
      <w:r w:rsidR="00B42533">
        <w:rPr>
          <w:lang w:val="es-ES_tradnl"/>
        </w:rPr>
        <w:t>con</w:t>
      </w:r>
      <w:r w:rsidR="00B42533" w:rsidRPr="004E6079">
        <w:rPr>
          <w:lang w:val="es-ES_tradnl"/>
        </w:rPr>
        <w:t xml:space="preserve"> la búsqueda del paradero o destino del </w:t>
      </w:r>
      <w:r w:rsidR="00B42533">
        <w:rPr>
          <w:lang w:val="es-ES_tradnl"/>
        </w:rPr>
        <w:t>Sr.</w:t>
      </w:r>
      <w:r w:rsidR="00B42533" w:rsidRPr="004E6079">
        <w:rPr>
          <w:lang w:val="es-ES_tradnl"/>
        </w:rPr>
        <w:t xml:space="preserve"> Téllez Padilla</w:t>
      </w:r>
      <w:r w:rsidR="00B42533">
        <w:rPr>
          <w:lang w:val="es-ES_tradnl"/>
        </w:rPr>
        <w:t>,</w:t>
      </w:r>
      <w:r w:rsidR="00B42533" w:rsidRPr="004E6079">
        <w:rPr>
          <w:lang w:val="es-ES_tradnl"/>
        </w:rPr>
        <w:t xml:space="preserve"> de acuerdo con estándare</w:t>
      </w:r>
      <w:r w:rsidR="00B42533">
        <w:rPr>
          <w:lang w:val="es-ES_tradnl"/>
        </w:rPr>
        <w:t>s internacionales en la materia; c)</w:t>
      </w:r>
      <w:r w:rsidR="00B42533" w:rsidRPr="004E6079">
        <w:rPr>
          <w:lang w:val="es-ES_tradnl"/>
        </w:rPr>
        <w:t xml:space="preserve"> </w:t>
      </w:r>
      <w:r w:rsidR="0015188F">
        <w:rPr>
          <w:lang w:val="es-ES_tradnl"/>
        </w:rPr>
        <w:t>facilitar</w:t>
      </w:r>
      <w:r w:rsidR="00B42533" w:rsidRPr="004E6079">
        <w:rPr>
          <w:lang w:val="es-ES_tradnl"/>
        </w:rPr>
        <w:t xml:space="preserve"> a los autores información detallada sobre los resultados de la investigación penal y de la búsqueda</w:t>
      </w:r>
      <w:r w:rsidR="00B42533">
        <w:rPr>
          <w:lang w:val="es-ES_tradnl"/>
        </w:rPr>
        <w:t>; d)</w:t>
      </w:r>
      <w:r w:rsidR="00B42533" w:rsidRPr="001E1CCF">
        <w:rPr>
          <w:lang w:val="es-ES_tradnl"/>
        </w:rPr>
        <w:t xml:space="preserve"> </w:t>
      </w:r>
      <w:r w:rsidR="0015188F">
        <w:rPr>
          <w:lang w:val="es-ES_tradnl"/>
        </w:rPr>
        <w:t>poner</w:t>
      </w:r>
      <w:r w:rsidR="00B42533" w:rsidRPr="004E6079">
        <w:rPr>
          <w:lang w:val="es-ES_tradnl"/>
        </w:rPr>
        <w:t xml:space="preserve"> </w:t>
      </w:r>
      <w:r w:rsidR="0015188F" w:rsidRPr="004E6079">
        <w:rPr>
          <w:lang w:val="es-ES_tradnl"/>
        </w:rPr>
        <w:t>inmediata</w:t>
      </w:r>
      <w:r w:rsidR="0015188F">
        <w:rPr>
          <w:lang w:val="es-ES_tradnl"/>
        </w:rPr>
        <w:t>mente en</w:t>
      </w:r>
      <w:r w:rsidR="00B42533" w:rsidRPr="004E6079">
        <w:rPr>
          <w:lang w:val="es-ES_tradnl"/>
        </w:rPr>
        <w:t xml:space="preserve"> </w:t>
      </w:r>
      <w:r w:rsidR="0015188F" w:rsidRPr="004E6079">
        <w:rPr>
          <w:lang w:val="es-ES_tradnl"/>
        </w:rPr>
        <w:t xml:space="preserve">libertad </w:t>
      </w:r>
      <w:r w:rsidR="0015188F">
        <w:rPr>
          <w:lang w:val="es-ES_tradnl"/>
        </w:rPr>
        <w:t>al</w:t>
      </w:r>
      <w:r w:rsidR="00B42533" w:rsidRPr="004E6079">
        <w:rPr>
          <w:lang w:val="es-ES_tradnl"/>
        </w:rPr>
        <w:t xml:space="preserve"> </w:t>
      </w:r>
      <w:r w:rsidR="00B42533">
        <w:rPr>
          <w:lang w:val="es-ES_tradnl"/>
        </w:rPr>
        <w:t>Sr.</w:t>
      </w:r>
      <w:r w:rsidR="00B42533" w:rsidRPr="004E6079">
        <w:rPr>
          <w:lang w:val="es-ES_tradnl"/>
        </w:rPr>
        <w:t xml:space="preserve"> Téllez Padilla, en caso de que aún se encuentre detenido</w:t>
      </w:r>
      <w:r w:rsidR="00B42533">
        <w:rPr>
          <w:lang w:val="es-ES_tradnl"/>
        </w:rPr>
        <w:t>; e)</w:t>
      </w:r>
      <w:r w:rsidR="00B42533" w:rsidRPr="001E1CCF">
        <w:rPr>
          <w:lang w:val="es-ES_tradnl"/>
        </w:rPr>
        <w:t xml:space="preserve"> </w:t>
      </w:r>
      <w:r w:rsidR="001E1CCF" w:rsidRPr="001E1CCF">
        <w:rPr>
          <w:lang w:val="es-ES_tradnl"/>
        </w:rPr>
        <w:t>enjuiciar y sancionar a los responsables</w:t>
      </w:r>
      <w:r w:rsidR="003F5D5D">
        <w:rPr>
          <w:lang w:val="es-ES_tradnl"/>
        </w:rPr>
        <w:t xml:space="preserve">; </w:t>
      </w:r>
      <w:r w:rsidR="0015188F">
        <w:rPr>
          <w:lang w:val="es-ES_tradnl"/>
        </w:rPr>
        <w:t xml:space="preserve">f) otorgar a los </w:t>
      </w:r>
      <w:r w:rsidR="0015188F" w:rsidRPr="000E79E8">
        <w:rPr>
          <w:lang w:val="es-ES"/>
        </w:rPr>
        <w:t>familiares</w:t>
      </w:r>
      <w:r w:rsidR="001E1CCF" w:rsidRPr="001E1CCF">
        <w:rPr>
          <w:lang w:val="es-ES_tradnl"/>
        </w:rPr>
        <w:t xml:space="preserve"> </w:t>
      </w:r>
      <w:r w:rsidR="0015188F">
        <w:rPr>
          <w:lang w:val="es-ES_tradnl"/>
        </w:rPr>
        <w:t>y</w:t>
      </w:r>
      <w:r w:rsidR="0015188F" w:rsidRPr="004E6079">
        <w:rPr>
          <w:lang w:val="es-ES_tradnl"/>
        </w:rPr>
        <w:t xml:space="preserve"> al </w:t>
      </w:r>
      <w:r w:rsidR="0015188F">
        <w:rPr>
          <w:lang w:val="es-ES_tradnl"/>
        </w:rPr>
        <w:t>Sr.</w:t>
      </w:r>
      <w:r w:rsidR="0015188F" w:rsidRPr="004E6079">
        <w:rPr>
          <w:lang w:val="es-ES_tradnl"/>
        </w:rPr>
        <w:t xml:space="preserve"> Téllez Padilla</w:t>
      </w:r>
      <w:r w:rsidR="00153970">
        <w:rPr>
          <w:lang w:val="es-ES_tradnl"/>
        </w:rPr>
        <w:t>,</w:t>
      </w:r>
      <w:r w:rsidR="0015188F" w:rsidRPr="004E6079">
        <w:rPr>
          <w:lang w:val="es-ES_tradnl"/>
        </w:rPr>
        <w:t xml:space="preserve"> si contin</w:t>
      </w:r>
      <w:r w:rsidR="00E65CD5">
        <w:rPr>
          <w:lang w:val="es-ES_tradnl"/>
        </w:rPr>
        <w:t>ú</w:t>
      </w:r>
      <w:r w:rsidR="0015188F" w:rsidRPr="004E6079">
        <w:rPr>
          <w:lang w:val="es-ES_tradnl"/>
        </w:rPr>
        <w:t>a vivo</w:t>
      </w:r>
      <w:r w:rsidR="0015188F">
        <w:rPr>
          <w:lang w:val="es-ES_tradnl"/>
        </w:rPr>
        <w:t>,</w:t>
      </w:r>
      <w:r w:rsidR="0015188F" w:rsidRPr="001E1CCF">
        <w:rPr>
          <w:lang w:val="es-ES_tradnl"/>
        </w:rPr>
        <w:t xml:space="preserve"> </w:t>
      </w:r>
      <w:r w:rsidR="001E1CCF" w:rsidRPr="001E1CCF">
        <w:rPr>
          <w:lang w:val="es-ES_tradnl"/>
        </w:rPr>
        <w:t>una reparación integral</w:t>
      </w:r>
      <w:r w:rsidR="003F5D5D">
        <w:rPr>
          <w:lang w:val="es-ES_tradnl"/>
        </w:rPr>
        <w:t xml:space="preserve">, </w:t>
      </w:r>
      <w:r w:rsidR="0015188F" w:rsidRPr="004E6079">
        <w:rPr>
          <w:lang w:val="es-ES_tradnl"/>
        </w:rPr>
        <w:t xml:space="preserve">que incluya </w:t>
      </w:r>
      <w:r w:rsidR="001E1CCF" w:rsidRPr="001E1CCF">
        <w:rPr>
          <w:lang w:val="es-ES_tradnl"/>
        </w:rPr>
        <w:t>una indemnización adecu</w:t>
      </w:r>
      <w:r w:rsidR="0015188F">
        <w:rPr>
          <w:lang w:val="es-ES_tradnl"/>
        </w:rPr>
        <w:t xml:space="preserve">ada y rehabilitación necesaria; y g) </w:t>
      </w:r>
      <w:r w:rsidR="004E6079" w:rsidRPr="004E6079">
        <w:rPr>
          <w:lang w:val="es-ES_tradnl"/>
        </w:rPr>
        <w:t>adoptar medidas para evitar que se cometan violaciones semejantes en el futuro.</w:t>
      </w:r>
    </w:p>
    <w:p w14:paraId="1F2BC9A2" w14:textId="33DD2ACB" w:rsidR="001E1CCF" w:rsidRPr="001E1CCF" w:rsidRDefault="00824F80" w:rsidP="00824F80">
      <w:pPr>
        <w:pStyle w:val="H23G"/>
        <w:rPr>
          <w:lang w:val="es-ES_tradnl"/>
        </w:rPr>
      </w:pPr>
      <w:r>
        <w:rPr>
          <w:lang w:val="es-ES_tradnl"/>
        </w:rPr>
        <w:tab/>
      </w:r>
      <w:r>
        <w:rPr>
          <w:lang w:val="es-ES_tradnl"/>
        </w:rPr>
        <w:tab/>
      </w:r>
      <w:r w:rsidR="001E1CCF" w:rsidRPr="001E1CCF">
        <w:rPr>
          <w:lang w:val="es-ES_tradnl"/>
        </w:rPr>
        <w:t>Observaciones del Esta</w:t>
      </w:r>
      <w:r w:rsidR="00982CA8">
        <w:rPr>
          <w:lang w:val="es-ES_tradnl"/>
        </w:rPr>
        <w:t>do parte sobre la admisibilidad</w:t>
      </w:r>
    </w:p>
    <w:p w14:paraId="67A036B5" w14:textId="618DC429" w:rsidR="004726C0" w:rsidRPr="004726C0" w:rsidRDefault="004726C0" w:rsidP="004726C0">
      <w:pPr>
        <w:pStyle w:val="SingleTxtG"/>
        <w:rPr>
          <w:color w:val="000000"/>
          <w:lang w:val="es-ES_tradnl"/>
        </w:rPr>
      </w:pPr>
      <w:r w:rsidRPr="004726C0">
        <w:rPr>
          <w:color w:val="000000"/>
          <w:lang w:val="es-ES_tradnl"/>
        </w:rPr>
        <w:t>4.1</w:t>
      </w:r>
      <w:r w:rsidRPr="004726C0">
        <w:rPr>
          <w:color w:val="000000"/>
          <w:lang w:val="es-ES_tradnl"/>
        </w:rPr>
        <w:tab/>
        <w:t>El 13 de mayo de 2016, el Estado parte</w:t>
      </w:r>
      <w:r w:rsidRPr="008E610E">
        <w:rPr>
          <w:color w:val="000000"/>
          <w:lang w:val="es-ES"/>
        </w:rPr>
        <w:t xml:space="preserve"> </w:t>
      </w:r>
      <w:r w:rsidRPr="004726C0">
        <w:rPr>
          <w:color w:val="000000"/>
          <w:lang w:val="es-ES_tradnl"/>
        </w:rPr>
        <w:t>solicit</w:t>
      </w:r>
      <w:r w:rsidR="0095135A">
        <w:rPr>
          <w:color w:val="000000"/>
          <w:lang w:val="es-ES_tradnl"/>
        </w:rPr>
        <w:t>ó</w:t>
      </w:r>
      <w:r w:rsidRPr="004726C0">
        <w:rPr>
          <w:color w:val="000000"/>
          <w:lang w:val="es-ES_tradnl"/>
        </w:rPr>
        <w:t xml:space="preserve"> al Comité que examine de manera separada la admisibilidad del fondo</w:t>
      </w:r>
      <w:r w:rsidR="0091559D">
        <w:rPr>
          <w:color w:val="000000"/>
          <w:lang w:val="es-ES_tradnl"/>
        </w:rPr>
        <w:t>,</w:t>
      </w:r>
      <w:r w:rsidRPr="004726C0">
        <w:rPr>
          <w:color w:val="000000"/>
          <w:lang w:val="es-ES_tradnl"/>
        </w:rPr>
        <w:t xml:space="preserve"> y que la comunicación sea declarada inadmisible por falta de agotamiento de los recursos </w:t>
      </w:r>
      <w:r w:rsidR="00A3250E">
        <w:rPr>
          <w:color w:val="000000"/>
          <w:lang w:val="es-ES_tradnl"/>
        </w:rPr>
        <w:t>internos</w:t>
      </w:r>
      <w:r w:rsidR="00982CA8">
        <w:rPr>
          <w:color w:val="000000"/>
          <w:lang w:val="es-ES_tradnl"/>
        </w:rPr>
        <w:t xml:space="preserve"> al encontrarse todavía en trámite</w:t>
      </w:r>
      <w:r w:rsidRPr="004726C0">
        <w:rPr>
          <w:color w:val="000000"/>
          <w:lang w:val="es-ES_tradnl"/>
        </w:rPr>
        <w:t>.</w:t>
      </w:r>
      <w:r w:rsidRPr="008E610E">
        <w:rPr>
          <w:color w:val="000000"/>
          <w:lang w:val="es-ES"/>
        </w:rPr>
        <w:t xml:space="preserve"> </w:t>
      </w:r>
    </w:p>
    <w:p w14:paraId="085F9EB7" w14:textId="32EA32C7" w:rsidR="004726C0" w:rsidRPr="004726C0" w:rsidRDefault="004726C0" w:rsidP="004726C0">
      <w:pPr>
        <w:pStyle w:val="SingleTxtG"/>
        <w:rPr>
          <w:color w:val="000000"/>
          <w:lang w:val="es-ES_tradnl"/>
        </w:rPr>
      </w:pPr>
      <w:r w:rsidRPr="004726C0">
        <w:rPr>
          <w:color w:val="000000"/>
          <w:lang w:val="es-ES_tradnl"/>
        </w:rPr>
        <w:t>4.2</w:t>
      </w:r>
      <w:r w:rsidRPr="004726C0">
        <w:rPr>
          <w:color w:val="000000"/>
          <w:lang w:val="es-ES_tradnl"/>
        </w:rPr>
        <w:tab/>
      </w:r>
      <w:r w:rsidR="00E60560">
        <w:rPr>
          <w:color w:val="000000"/>
          <w:lang w:val="es-ES_tradnl"/>
        </w:rPr>
        <w:t>En primer lugar</w:t>
      </w:r>
      <w:r w:rsidRPr="004726C0">
        <w:rPr>
          <w:color w:val="000000"/>
          <w:lang w:val="es-ES_tradnl"/>
        </w:rPr>
        <w:t xml:space="preserve">, el Estado parte sostiene que se </w:t>
      </w:r>
      <w:r w:rsidR="003D3A70">
        <w:rPr>
          <w:color w:val="000000"/>
          <w:lang w:val="es-ES_tradnl"/>
        </w:rPr>
        <w:t>realizaron</w:t>
      </w:r>
      <w:r w:rsidR="009502D1">
        <w:rPr>
          <w:color w:val="000000"/>
          <w:lang w:val="es-ES_tradnl"/>
        </w:rPr>
        <w:t xml:space="preserve"> </w:t>
      </w:r>
      <w:r w:rsidR="00CD2CFA">
        <w:rPr>
          <w:color w:val="000000"/>
          <w:lang w:val="es-ES_tradnl"/>
        </w:rPr>
        <w:t>las investigaciones necesarias</w:t>
      </w:r>
      <w:r w:rsidR="00E60560" w:rsidRPr="00E60560">
        <w:rPr>
          <w:color w:val="000000"/>
          <w:lang w:val="es-ES_tradnl"/>
        </w:rPr>
        <w:t xml:space="preserve"> </w:t>
      </w:r>
      <w:r w:rsidR="00745157">
        <w:rPr>
          <w:color w:val="000000"/>
          <w:lang w:val="es-ES_tradnl"/>
        </w:rPr>
        <w:t>en el marco de lo</w:t>
      </w:r>
      <w:r w:rsidR="00E60560" w:rsidRPr="004726C0">
        <w:rPr>
          <w:color w:val="000000"/>
          <w:lang w:val="es-ES_tradnl"/>
        </w:rPr>
        <w:t xml:space="preserve">s </w:t>
      </w:r>
      <w:r w:rsidR="00745157">
        <w:rPr>
          <w:color w:val="000000"/>
          <w:lang w:val="es-ES_tradnl"/>
        </w:rPr>
        <w:t>expedientes ante las autoridades</w:t>
      </w:r>
      <w:r w:rsidR="00E60560" w:rsidRPr="004726C0">
        <w:rPr>
          <w:color w:val="000000"/>
          <w:lang w:val="es-ES_tradnl"/>
        </w:rPr>
        <w:t xml:space="preserve"> </w:t>
      </w:r>
      <w:r w:rsidR="00745157">
        <w:rPr>
          <w:color w:val="000000"/>
          <w:lang w:val="es-ES_tradnl"/>
        </w:rPr>
        <w:t>d</w:t>
      </w:r>
      <w:r w:rsidR="00E60560" w:rsidRPr="004726C0">
        <w:rPr>
          <w:color w:val="000000"/>
          <w:lang w:val="es-ES_tradnl"/>
        </w:rPr>
        <w:t>el estado de Veracruz</w:t>
      </w:r>
      <w:r w:rsidR="00CD2CFA">
        <w:rPr>
          <w:color w:val="000000"/>
          <w:lang w:val="es-ES_tradnl"/>
        </w:rPr>
        <w:t>. Entre ellas,</w:t>
      </w:r>
      <w:r w:rsidR="00344E2B">
        <w:rPr>
          <w:color w:val="000000"/>
          <w:lang w:val="es-ES_tradnl"/>
        </w:rPr>
        <w:t xml:space="preserve"> </w:t>
      </w:r>
      <w:r w:rsidR="00A03FF7">
        <w:rPr>
          <w:color w:val="000000"/>
          <w:lang w:val="es-ES_tradnl"/>
        </w:rPr>
        <w:t xml:space="preserve">el Estado parte menciona que </w:t>
      </w:r>
      <w:r w:rsidR="00CD2CFA">
        <w:rPr>
          <w:color w:val="000000"/>
          <w:lang w:val="es-ES_tradnl"/>
        </w:rPr>
        <w:t>se realizó</w:t>
      </w:r>
      <w:r w:rsidRPr="004726C0">
        <w:rPr>
          <w:color w:val="000000"/>
          <w:lang w:val="es-ES_tradnl"/>
        </w:rPr>
        <w:t xml:space="preserve"> un</w:t>
      </w:r>
      <w:r w:rsidR="00F04DD1">
        <w:rPr>
          <w:color w:val="000000"/>
          <w:lang w:val="es-ES_tradnl"/>
        </w:rPr>
        <w:t xml:space="preserve"> retrato hablado de dos sujetos;</w:t>
      </w:r>
      <w:r w:rsidR="00A03FF7">
        <w:rPr>
          <w:color w:val="000000"/>
          <w:lang w:val="es-ES_tradnl"/>
        </w:rPr>
        <w:t xml:space="preserve"> que</w:t>
      </w:r>
      <w:r w:rsidRPr="004726C0">
        <w:rPr>
          <w:color w:val="000000"/>
          <w:lang w:val="es-ES_tradnl"/>
        </w:rPr>
        <w:t xml:space="preserve"> </w:t>
      </w:r>
      <w:r w:rsidR="00E660AE">
        <w:rPr>
          <w:color w:val="000000"/>
          <w:lang w:val="es-ES_tradnl"/>
        </w:rPr>
        <w:t>se</w:t>
      </w:r>
      <w:r w:rsidRPr="004726C0">
        <w:rPr>
          <w:color w:val="000000"/>
          <w:lang w:val="es-ES_tradnl"/>
        </w:rPr>
        <w:t xml:space="preserve"> identificó a Pablo García </w:t>
      </w:r>
      <w:proofErr w:type="spellStart"/>
      <w:r w:rsidRPr="004726C0">
        <w:rPr>
          <w:color w:val="000000"/>
          <w:lang w:val="es-ES_tradnl"/>
        </w:rPr>
        <w:t>García</w:t>
      </w:r>
      <w:proofErr w:type="spellEnd"/>
      <w:r w:rsidRPr="004726C0">
        <w:rPr>
          <w:color w:val="000000"/>
          <w:lang w:val="es-ES_tradnl"/>
        </w:rPr>
        <w:t xml:space="preserve"> </w:t>
      </w:r>
      <w:r w:rsidRPr="00245F7B">
        <w:rPr>
          <w:lang w:val="es-ES_tradnl"/>
        </w:rPr>
        <w:t xml:space="preserve">como uno de los </w:t>
      </w:r>
      <w:r w:rsidR="002E1A97" w:rsidRPr="002E1A97">
        <w:rPr>
          <w:lang w:val="es-ES_tradnl"/>
        </w:rPr>
        <w:t>responsables</w:t>
      </w:r>
      <w:r w:rsidR="0091559D">
        <w:rPr>
          <w:color w:val="000000"/>
          <w:lang w:val="es-ES_tradnl"/>
        </w:rPr>
        <w:t xml:space="preserve"> y</w:t>
      </w:r>
      <w:r w:rsidR="00A03FF7">
        <w:rPr>
          <w:color w:val="000000"/>
          <w:lang w:val="es-ES_tradnl"/>
        </w:rPr>
        <w:t xml:space="preserve"> </w:t>
      </w:r>
      <w:r w:rsidR="00F04DD1" w:rsidRPr="004726C0">
        <w:rPr>
          <w:color w:val="000000"/>
          <w:lang w:val="es-ES_tradnl"/>
        </w:rPr>
        <w:t xml:space="preserve">que se solicitó </w:t>
      </w:r>
      <w:r w:rsidR="0091559D">
        <w:rPr>
          <w:color w:val="000000"/>
          <w:lang w:val="es-ES_tradnl"/>
        </w:rPr>
        <w:t xml:space="preserve">su </w:t>
      </w:r>
      <w:r w:rsidR="00F04DD1" w:rsidRPr="004726C0">
        <w:rPr>
          <w:color w:val="000000"/>
          <w:lang w:val="es-ES_tradnl"/>
        </w:rPr>
        <w:t>comparecencia para el desahogo de una diligencia en</w:t>
      </w:r>
      <w:r w:rsidR="00F04DD1">
        <w:rPr>
          <w:color w:val="000000"/>
          <w:lang w:val="es-ES_tradnl"/>
        </w:rPr>
        <w:t xml:space="preserve"> su calidad de imputado;</w:t>
      </w:r>
      <w:r w:rsidR="00F04DD1" w:rsidRPr="004726C0">
        <w:rPr>
          <w:color w:val="000000"/>
          <w:lang w:val="es-ES_tradnl"/>
        </w:rPr>
        <w:t xml:space="preserve"> </w:t>
      </w:r>
      <w:r w:rsidR="00A03FF7">
        <w:rPr>
          <w:color w:val="000000"/>
          <w:lang w:val="es-ES_tradnl"/>
        </w:rPr>
        <w:t>que</w:t>
      </w:r>
      <w:r w:rsidRPr="004726C0">
        <w:rPr>
          <w:color w:val="000000"/>
          <w:lang w:val="es-ES_tradnl"/>
        </w:rPr>
        <w:t xml:space="preserve"> se </w:t>
      </w:r>
      <w:r w:rsidR="008D4599">
        <w:rPr>
          <w:color w:val="000000"/>
          <w:lang w:val="es-ES_tradnl"/>
        </w:rPr>
        <w:t>solicitó</w:t>
      </w:r>
      <w:r w:rsidRPr="004726C0">
        <w:rPr>
          <w:color w:val="000000"/>
          <w:lang w:val="es-ES_tradnl"/>
        </w:rPr>
        <w:t xml:space="preserve"> a los Procuradores Generales de Justicia de 30 estados de la Republica y del Distrito Federal que emitieran instrucciones a quien correspondiera para que implementaran operativos de búsqueda</w:t>
      </w:r>
      <w:r w:rsidR="00F04DD1">
        <w:rPr>
          <w:color w:val="000000"/>
          <w:lang w:val="es-ES_tradnl"/>
        </w:rPr>
        <w:t>;</w:t>
      </w:r>
      <w:r w:rsidRPr="004726C0">
        <w:rPr>
          <w:color w:val="000000"/>
          <w:lang w:val="es-ES_tradnl"/>
        </w:rPr>
        <w:t xml:space="preserve"> </w:t>
      </w:r>
      <w:r w:rsidR="00A03FF7">
        <w:rPr>
          <w:color w:val="000000"/>
          <w:lang w:val="es-ES_tradnl"/>
        </w:rPr>
        <w:t xml:space="preserve">que </w:t>
      </w:r>
      <w:r w:rsidR="00B30DEB">
        <w:rPr>
          <w:color w:val="000000"/>
          <w:lang w:val="es-ES_tradnl"/>
        </w:rPr>
        <w:t xml:space="preserve">se les solicitó también que informaran </w:t>
      </w:r>
      <w:r w:rsidRPr="004726C0">
        <w:rPr>
          <w:color w:val="000000"/>
          <w:lang w:val="es-ES_tradnl"/>
        </w:rPr>
        <w:t xml:space="preserve">si existía investigación </w:t>
      </w:r>
      <w:r w:rsidR="00B30DEB">
        <w:rPr>
          <w:color w:val="000000"/>
          <w:lang w:val="es-ES_tradnl"/>
        </w:rPr>
        <w:t>en la cual</w:t>
      </w:r>
      <w:r w:rsidRPr="004726C0">
        <w:rPr>
          <w:color w:val="000000"/>
          <w:lang w:val="es-ES_tradnl"/>
        </w:rPr>
        <w:t xml:space="preserve"> el Sr. Téllez Padilla </w:t>
      </w:r>
      <w:r w:rsidR="00B30DEB">
        <w:rPr>
          <w:color w:val="000000"/>
          <w:lang w:val="es-ES_tradnl"/>
        </w:rPr>
        <w:t>estuviera implicado</w:t>
      </w:r>
      <w:r w:rsidR="0091559D">
        <w:rPr>
          <w:color w:val="000000"/>
          <w:lang w:val="es-ES_tradnl"/>
        </w:rPr>
        <w:t xml:space="preserve"> y</w:t>
      </w:r>
      <w:r w:rsidRPr="004726C0">
        <w:rPr>
          <w:color w:val="000000"/>
          <w:lang w:val="es-ES_tradnl"/>
        </w:rPr>
        <w:t xml:space="preserve"> </w:t>
      </w:r>
      <w:r w:rsidR="00A03FF7">
        <w:rPr>
          <w:color w:val="000000"/>
          <w:lang w:val="es-ES_tradnl"/>
        </w:rPr>
        <w:t xml:space="preserve">si </w:t>
      </w:r>
      <w:r w:rsidR="00A03FF7" w:rsidRPr="004726C0">
        <w:rPr>
          <w:color w:val="000000"/>
          <w:lang w:val="es-ES_tradnl"/>
        </w:rPr>
        <w:t xml:space="preserve">se </w:t>
      </w:r>
      <w:r w:rsidR="00A03FF7">
        <w:rPr>
          <w:color w:val="000000"/>
          <w:lang w:val="es-ES_tradnl"/>
        </w:rPr>
        <w:t>encontraba</w:t>
      </w:r>
      <w:r w:rsidR="00A03FF7" w:rsidRPr="004726C0">
        <w:rPr>
          <w:color w:val="000000"/>
          <w:lang w:val="es-ES_tradnl"/>
        </w:rPr>
        <w:t xml:space="preserve"> internado en algunos de los Centros de Readaptación Social</w:t>
      </w:r>
      <w:r w:rsidR="00A03FF7" w:rsidRPr="00A03FF7">
        <w:rPr>
          <w:color w:val="000000"/>
          <w:lang w:val="es-ES_tradnl"/>
        </w:rPr>
        <w:t xml:space="preserve"> </w:t>
      </w:r>
      <w:r w:rsidR="00A03FF7">
        <w:rPr>
          <w:color w:val="000000"/>
          <w:lang w:val="es-ES_tradnl"/>
        </w:rPr>
        <w:t xml:space="preserve">o </w:t>
      </w:r>
      <w:r w:rsidR="00A03FF7" w:rsidRPr="004726C0">
        <w:rPr>
          <w:color w:val="000000"/>
          <w:lang w:val="es-ES_tradnl"/>
        </w:rPr>
        <w:t>en hospitales</w:t>
      </w:r>
      <w:r w:rsidR="00F04DD1">
        <w:rPr>
          <w:color w:val="000000"/>
          <w:lang w:val="es-ES_tradnl"/>
        </w:rPr>
        <w:t>;</w:t>
      </w:r>
      <w:r w:rsidR="00A03FF7" w:rsidRPr="004726C0">
        <w:rPr>
          <w:color w:val="000000"/>
          <w:lang w:val="es-ES_tradnl"/>
        </w:rPr>
        <w:t xml:space="preserve"> </w:t>
      </w:r>
      <w:r w:rsidRPr="004726C0">
        <w:rPr>
          <w:color w:val="000000"/>
          <w:lang w:val="es-ES_tradnl"/>
        </w:rPr>
        <w:t xml:space="preserve">que </w:t>
      </w:r>
      <w:r w:rsidR="00F04DD1" w:rsidRPr="00F04DD1">
        <w:rPr>
          <w:color w:val="000000"/>
          <w:lang w:val="es-ES_tradnl"/>
        </w:rPr>
        <w:t xml:space="preserve">se les solicitó también </w:t>
      </w:r>
      <w:r w:rsidR="00F04DD1">
        <w:rPr>
          <w:color w:val="000000"/>
          <w:lang w:val="es-ES_tradnl"/>
        </w:rPr>
        <w:t xml:space="preserve">que </w:t>
      </w:r>
      <w:r w:rsidRPr="004726C0">
        <w:rPr>
          <w:color w:val="000000"/>
          <w:lang w:val="es-ES_tradnl"/>
        </w:rPr>
        <w:t>difund</w:t>
      </w:r>
      <w:r w:rsidR="009A4DCB">
        <w:rPr>
          <w:color w:val="000000"/>
          <w:lang w:val="es-ES_tradnl"/>
        </w:rPr>
        <w:t>ier</w:t>
      </w:r>
      <w:r w:rsidRPr="004726C0">
        <w:rPr>
          <w:color w:val="000000"/>
          <w:lang w:val="es-ES_tradnl"/>
        </w:rPr>
        <w:t>a</w:t>
      </w:r>
      <w:r w:rsidR="00A03FF7">
        <w:rPr>
          <w:color w:val="000000"/>
          <w:lang w:val="es-ES_tradnl"/>
        </w:rPr>
        <w:t>n</w:t>
      </w:r>
      <w:r w:rsidRPr="004726C0">
        <w:rPr>
          <w:color w:val="000000"/>
          <w:lang w:val="es-ES_tradnl"/>
        </w:rPr>
        <w:t xml:space="preserve"> </w:t>
      </w:r>
      <w:r w:rsidR="00A03FF7">
        <w:rPr>
          <w:color w:val="000000"/>
          <w:lang w:val="es-ES_tradnl"/>
        </w:rPr>
        <w:t>la</w:t>
      </w:r>
      <w:r w:rsidRPr="004726C0">
        <w:rPr>
          <w:color w:val="000000"/>
          <w:lang w:val="es-ES_tradnl"/>
        </w:rPr>
        <w:t xml:space="preserve"> fotografía </w:t>
      </w:r>
      <w:r w:rsidR="00A03FF7">
        <w:rPr>
          <w:color w:val="000000"/>
          <w:lang w:val="es-ES_tradnl"/>
        </w:rPr>
        <w:t>d</w:t>
      </w:r>
      <w:r w:rsidR="00A03FF7" w:rsidRPr="00A03FF7">
        <w:rPr>
          <w:color w:val="000000"/>
          <w:lang w:val="es-ES_tradnl"/>
        </w:rPr>
        <w:t xml:space="preserve">el Sr. Téllez Padilla </w:t>
      </w:r>
      <w:r w:rsidRPr="004726C0">
        <w:rPr>
          <w:color w:val="000000"/>
          <w:lang w:val="es-ES_tradnl"/>
        </w:rPr>
        <w:t>en el porta</w:t>
      </w:r>
      <w:r w:rsidR="00F04DD1">
        <w:rPr>
          <w:color w:val="000000"/>
          <w:lang w:val="es-ES_tradnl"/>
        </w:rPr>
        <w:t>l Web y medios de comunicación;</w:t>
      </w:r>
      <w:r w:rsidRPr="004726C0">
        <w:rPr>
          <w:color w:val="000000"/>
          <w:lang w:val="es-ES_tradnl"/>
        </w:rPr>
        <w:t xml:space="preserve"> que se solicitó atención psicológica para la compañera y la madre </w:t>
      </w:r>
      <w:r w:rsidR="00CD5B09" w:rsidRPr="00CD5B09">
        <w:rPr>
          <w:color w:val="000000"/>
          <w:lang w:val="es-ES_tradnl"/>
        </w:rPr>
        <w:t>del Sr. Téllez Padilla</w:t>
      </w:r>
      <w:r w:rsidR="00F04DD1">
        <w:rPr>
          <w:color w:val="000000"/>
          <w:lang w:val="es-ES_tradnl"/>
        </w:rPr>
        <w:t>;</w:t>
      </w:r>
      <w:r w:rsidRPr="004726C0">
        <w:rPr>
          <w:color w:val="000000"/>
          <w:lang w:val="es-ES_tradnl"/>
        </w:rPr>
        <w:t xml:space="preserve"> que </w:t>
      </w:r>
      <w:r w:rsidR="00CA408B">
        <w:rPr>
          <w:color w:val="000000"/>
          <w:lang w:val="es-ES_tradnl"/>
        </w:rPr>
        <w:t>fueron informado</w:t>
      </w:r>
      <w:r w:rsidR="00F04DD1">
        <w:rPr>
          <w:color w:val="000000"/>
          <w:lang w:val="es-ES_tradnl"/>
        </w:rPr>
        <w:t>s</w:t>
      </w:r>
      <w:r w:rsidRPr="004726C0">
        <w:rPr>
          <w:color w:val="000000"/>
          <w:lang w:val="es-ES_tradnl"/>
        </w:rPr>
        <w:t xml:space="preserve"> que</w:t>
      </w:r>
      <w:r w:rsidRPr="008E610E">
        <w:rPr>
          <w:color w:val="000000"/>
          <w:lang w:val="es-ES"/>
        </w:rPr>
        <w:t xml:space="preserve"> </w:t>
      </w:r>
      <w:r w:rsidRPr="004726C0">
        <w:rPr>
          <w:color w:val="000000"/>
          <w:lang w:val="es-ES_tradnl"/>
        </w:rPr>
        <w:t xml:space="preserve">los videos captados por las cámaras </w:t>
      </w:r>
      <w:r w:rsidR="009A4DCB">
        <w:rPr>
          <w:color w:val="000000"/>
          <w:lang w:val="es-ES_tradnl"/>
        </w:rPr>
        <w:t>eran</w:t>
      </w:r>
      <w:r w:rsidRPr="004726C0">
        <w:rPr>
          <w:color w:val="000000"/>
          <w:lang w:val="es-ES_tradnl"/>
        </w:rPr>
        <w:t xml:space="preserve"> </w:t>
      </w:r>
      <w:r w:rsidRPr="004726C0">
        <w:rPr>
          <w:color w:val="000000"/>
          <w:lang w:val="es-ES_tradnl"/>
        </w:rPr>
        <w:lastRenderedPageBreak/>
        <w:t>depurados por el propio siste</w:t>
      </w:r>
      <w:r w:rsidR="00333FF3">
        <w:rPr>
          <w:color w:val="000000"/>
          <w:lang w:val="es-ES_tradnl"/>
        </w:rPr>
        <w:t>ma en un término de quince días;</w:t>
      </w:r>
      <w:r w:rsidRPr="004726C0">
        <w:rPr>
          <w:color w:val="000000"/>
          <w:lang w:val="es-ES_tradnl"/>
        </w:rPr>
        <w:t xml:space="preserve"> que </w:t>
      </w:r>
      <w:r w:rsidR="006C39F6">
        <w:rPr>
          <w:lang w:val="es-ES_tradnl"/>
        </w:rPr>
        <w:t xml:space="preserve">la señora </w:t>
      </w:r>
      <w:proofErr w:type="spellStart"/>
      <w:r w:rsidR="006C39F6">
        <w:rPr>
          <w:rFonts w:eastAsia="Calibri"/>
          <w:lang w:val="es-ES_tradnl"/>
        </w:rPr>
        <w:t>Galindres</w:t>
      </w:r>
      <w:proofErr w:type="spellEnd"/>
      <w:r w:rsidR="006C39F6" w:rsidRPr="003D64AB">
        <w:rPr>
          <w:lang w:val="es-ES_tradnl"/>
        </w:rPr>
        <w:t xml:space="preserve"> </w:t>
      </w:r>
      <w:r w:rsidRPr="004726C0">
        <w:rPr>
          <w:color w:val="000000"/>
          <w:lang w:val="es-ES_tradnl"/>
        </w:rPr>
        <w:t xml:space="preserve">no </w:t>
      </w:r>
      <w:r w:rsidR="00333FF3">
        <w:rPr>
          <w:color w:val="000000"/>
          <w:lang w:val="es-ES_tradnl"/>
        </w:rPr>
        <w:t>se presentó</w:t>
      </w:r>
      <w:r w:rsidRPr="004726C0">
        <w:rPr>
          <w:color w:val="000000"/>
          <w:lang w:val="es-ES_tradnl"/>
        </w:rPr>
        <w:t xml:space="preserve"> a unas citas en 2012 y 2013</w:t>
      </w:r>
      <w:r w:rsidRPr="008E610E">
        <w:rPr>
          <w:color w:val="000000"/>
          <w:lang w:val="es-ES"/>
        </w:rPr>
        <w:t xml:space="preserve"> </w:t>
      </w:r>
      <w:r w:rsidRPr="004726C0">
        <w:rPr>
          <w:color w:val="000000"/>
          <w:lang w:val="es-ES_tradnl"/>
        </w:rPr>
        <w:t>para diligencia</w:t>
      </w:r>
      <w:r w:rsidR="00303BC2">
        <w:rPr>
          <w:color w:val="000000"/>
          <w:lang w:val="es-ES_tradnl"/>
        </w:rPr>
        <w:t>s</w:t>
      </w:r>
      <w:r w:rsidRPr="004726C0">
        <w:rPr>
          <w:color w:val="000000"/>
          <w:lang w:val="es-ES_tradnl"/>
        </w:rPr>
        <w:t xml:space="preserve"> de reconocim</w:t>
      </w:r>
      <w:r w:rsidR="00333FF3">
        <w:rPr>
          <w:color w:val="000000"/>
          <w:lang w:val="es-ES_tradnl"/>
        </w:rPr>
        <w:t>iento de los agentes policiales;</w:t>
      </w:r>
      <w:r w:rsidRPr="004726C0">
        <w:rPr>
          <w:color w:val="000000"/>
          <w:lang w:val="es-ES_tradnl"/>
        </w:rPr>
        <w:t xml:space="preserve"> </w:t>
      </w:r>
      <w:r w:rsidR="00333FF3">
        <w:rPr>
          <w:color w:val="000000"/>
          <w:lang w:val="es-ES_tradnl"/>
        </w:rPr>
        <w:t xml:space="preserve">y también </w:t>
      </w:r>
      <w:r w:rsidRPr="004726C0">
        <w:rPr>
          <w:color w:val="000000"/>
          <w:lang w:val="es-ES_tradnl"/>
        </w:rPr>
        <w:t xml:space="preserve">que en 2015 se solicitó que su búsqueda </w:t>
      </w:r>
      <w:r w:rsidR="002F6B37">
        <w:rPr>
          <w:color w:val="000000"/>
          <w:lang w:val="es-ES_tradnl"/>
        </w:rPr>
        <w:t xml:space="preserve">pasara </w:t>
      </w:r>
      <w:r w:rsidRPr="004726C0">
        <w:rPr>
          <w:color w:val="000000"/>
          <w:lang w:val="es-ES_tradnl"/>
        </w:rPr>
        <w:t xml:space="preserve">al programa de pago de recompensa. </w:t>
      </w:r>
    </w:p>
    <w:p w14:paraId="7A5716D4" w14:textId="06137267" w:rsidR="004726C0" w:rsidRPr="004726C0" w:rsidRDefault="00B107E2" w:rsidP="004726C0">
      <w:pPr>
        <w:pStyle w:val="SingleTxtG"/>
        <w:rPr>
          <w:color w:val="000000"/>
          <w:lang w:val="es-ES_tradnl"/>
        </w:rPr>
      </w:pPr>
      <w:r>
        <w:rPr>
          <w:color w:val="000000"/>
          <w:lang w:val="es-ES_tradnl"/>
        </w:rPr>
        <w:t>4.3</w:t>
      </w:r>
      <w:r w:rsidR="004726C0" w:rsidRPr="004726C0">
        <w:rPr>
          <w:color w:val="000000"/>
          <w:lang w:val="es-ES_tradnl"/>
        </w:rPr>
        <w:tab/>
        <w:t>En</w:t>
      </w:r>
      <w:r w:rsidR="003D3A70">
        <w:rPr>
          <w:color w:val="000000"/>
          <w:lang w:val="es-ES_tradnl"/>
        </w:rPr>
        <w:t xml:space="preserve"> segundo lugar, </w:t>
      </w:r>
      <w:r w:rsidR="00793FE0" w:rsidRPr="004726C0">
        <w:rPr>
          <w:color w:val="000000"/>
          <w:lang w:val="es-ES_tradnl"/>
        </w:rPr>
        <w:t>el Estado parte sostiene que</w:t>
      </w:r>
      <w:r w:rsidR="00793FE0">
        <w:rPr>
          <w:color w:val="000000"/>
          <w:lang w:val="es-ES_tradnl"/>
        </w:rPr>
        <w:t xml:space="preserve"> </w:t>
      </w:r>
      <w:r w:rsidR="00D873C3" w:rsidRPr="004726C0">
        <w:rPr>
          <w:color w:val="000000"/>
          <w:lang w:val="es-ES_tradnl"/>
        </w:rPr>
        <w:t>la Procur</w:t>
      </w:r>
      <w:r w:rsidR="00D873C3">
        <w:rPr>
          <w:color w:val="000000"/>
          <w:lang w:val="es-ES_tradnl"/>
        </w:rPr>
        <w:t xml:space="preserve">aduría General de la República </w:t>
      </w:r>
      <w:r w:rsidR="00793FE0">
        <w:rPr>
          <w:color w:val="000000"/>
          <w:lang w:val="es-ES_tradnl"/>
        </w:rPr>
        <w:t xml:space="preserve">también </w:t>
      </w:r>
      <w:r w:rsidR="00D873C3">
        <w:rPr>
          <w:color w:val="000000"/>
          <w:lang w:val="es-ES_tradnl"/>
        </w:rPr>
        <w:t>realizó</w:t>
      </w:r>
      <w:r w:rsidR="00793FE0" w:rsidRPr="00793FE0">
        <w:rPr>
          <w:color w:val="000000"/>
          <w:lang w:val="es-ES_tradnl"/>
        </w:rPr>
        <w:t xml:space="preserve"> las investigaciones necesarias</w:t>
      </w:r>
      <w:r w:rsidR="003B7E5D">
        <w:rPr>
          <w:color w:val="000000"/>
          <w:lang w:val="es-ES_tradnl"/>
        </w:rPr>
        <w:t>. Así,</w:t>
      </w:r>
      <w:r w:rsidR="004726C0" w:rsidRPr="004726C0">
        <w:rPr>
          <w:color w:val="000000"/>
          <w:lang w:val="es-ES_tradnl"/>
        </w:rPr>
        <w:t xml:space="preserve"> entre otras diligencias, </w:t>
      </w:r>
      <w:r w:rsidR="003D4D1A" w:rsidRPr="004726C0">
        <w:rPr>
          <w:color w:val="000000"/>
          <w:lang w:val="es-ES_tradnl"/>
        </w:rPr>
        <w:t xml:space="preserve">se tomó la declaración de diversas personas y conocidos del Sr. </w:t>
      </w:r>
      <w:r w:rsidR="003D4D1A">
        <w:rPr>
          <w:color w:val="000000"/>
          <w:lang w:val="es-ES_tradnl"/>
        </w:rPr>
        <w:t>Padilla Téllez;</w:t>
      </w:r>
      <w:r w:rsidR="003D4D1A" w:rsidRPr="004726C0">
        <w:rPr>
          <w:color w:val="000000"/>
          <w:lang w:val="es-ES_tradnl"/>
        </w:rPr>
        <w:t xml:space="preserve"> se realizaron inspecc</w:t>
      </w:r>
      <w:r w:rsidR="003D4D1A">
        <w:rPr>
          <w:color w:val="000000"/>
          <w:lang w:val="es-ES_tradnl"/>
        </w:rPr>
        <w:t>iones en el lugar de los hechos;</w:t>
      </w:r>
      <w:r w:rsidR="003D4D1A" w:rsidRPr="004726C0">
        <w:rPr>
          <w:color w:val="000000"/>
          <w:lang w:val="es-ES_tradnl"/>
        </w:rPr>
        <w:t xml:space="preserve"> se han realizado </w:t>
      </w:r>
      <w:r w:rsidR="003C79E0">
        <w:rPr>
          <w:color w:val="000000"/>
          <w:lang w:val="es-ES_tradnl"/>
        </w:rPr>
        <w:t>búsqueda</w:t>
      </w:r>
      <w:r w:rsidR="003D4D1A">
        <w:rPr>
          <w:color w:val="000000"/>
          <w:lang w:val="es-ES_tradnl"/>
        </w:rPr>
        <w:t xml:space="preserve"> </w:t>
      </w:r>
      <w:r w:rsidR="003C79E0">
        <w:rPr>
          <w:color w:val="000000"/>
          <w:lang w:val="es-ES_tradnl"/>
        </w:rPr>
        <w:t>en</w:t>
      </w:r>
      <w:r w:rsidR="003D4D1A">
        <w:rPr>
          <w:color w:val="000000"/>
          <w:lang w:val="es-ES_tradnl"/>
        </w:rPr>
        <w:t xml:space="preserve"> fosas clandestinas;</w:t>
      </w:r>
      <w:r w:rsidR="003D4D1A" w:rsidRPr="004726C0">
        <w:rPr>
          <w:color w:val="000000"/>
          <w:lang w:val="es-ES_tradnl"/>
        </w:rPr>
        <w:t xml:space="preserve"> </w:t>
      </w:r>
      <w:r w:rsidR="004726C0" w:rsidRPr="004726C0">
        <w:rPr>
          <w:color w:val="000000"/>
          <w:lang w:val="es-ES_tradnl"/>
        </w:rPr>
        <w:t>se ordenó la búsqueda y localización del Sr. Téllez Padilla en las 32 procuradurías y en</w:t>
      </w:r>
      <w:r w:rsidR="003B7E5D">
        <w:rPr>
          <w:color w:val="000000"/>
          <w:lang w:val="es-ES_tradnl"/>
        </w:rPr>
        <w:t xml:space="preserve"> los hospitales y psiquiátricos;</w:t>
      </w:r>
      <w:r w:rsidR="004726C0" w:rsidRPr="004726C0">
        <w:rPr>
          <w:color w:val="000000"/>
          <w:lang w:val="es-ES_tradnl"/>
        </w:rPr>
        <w:t xml:space="preserve"> se solicitó</w:t>
      </w:r>
      <w:r w:rsidR="002D30E4">
        <w:rPr>
          <w:color w:val="000000"/>
          <w:lang w:val="es-ES_tradnl"/>
        </w:rPr>
        <w:t xml:space="preserve"> a INTERPOL una alerta amarilla;</w:t>
      </w:r>
      <w:r w:rsidR="004726C0" w:rsidRPr="004726C0">
        <w:rPr>
          <w:color w:val="000000"/>
          <w:lang w:val="es-ES_tradnl"/>
        </w:rPr>
        <w:t xml:space="preserve"> se </w:t>
      </w:r>
      <w:r w:rsidR="008F7E08">
        <w:rPr>
          <w:color w:val="000000"/>
          <w:lang w:val="es-ES_tradnl"/>
        </w:rPr>
        <w:t xml:space="preserve">investigó </w:t>
      </w:r>
      <w:r w:rsidR="004726C0" w:rsidRPr="004726C0">
        <w:rPr>
          <w:color w:val="000000"/>
          <w:lang w:val="es-ES_tradnl"/>
        </w:rPr>
        <w:t>el contexto</w:t>
      </w:r>
      <w:r w:rsidR="00C067CE">
        <w:rPr>
          <w:color w:val="000000"/>
          <w:lang w:val="es-ES_tradnl"/>
        </w:rPr>
        <w:t>; y</w:t>
      </w:r>
      <w:r w:rsidR="00C067CE" w:rsidRPr="00C067CE">
        <w:rPr>
          <w:color w:val="000000"/>
          <w:lang w:val="es-ES_tradnl"/>
        </w:rPr>
        <w:t xml:space="preserve"> </w:t>
      </w:r>
      <w:r w:rsidR="00C067CE">
        <w:rPr>
          <w:color w:val="000000"/>
          <w:lang w:val="es-ES_tradnl"/>
        </w:rPr>
        <w:t>se</w:t>
      </w:r>
      <w:r w:rsidR="00C067CE" w:rsidRPr="004726C0">
        <w:rPr>
          <w:color w:val="000000"/>
          <w:lang w:val="es-ES_tradnl"/>
        </w:rPr>
        <w:t xml:space="preserve"> </w:t>
      </w:r>
      <w:r w:rsidR="008F7E08">
        <w:rPr>
          <w:color w:val="000000"/>
          <w:lang w:val="es-ES_tradnl"/>
        </w:rPr>
        <w:t>tomó</w:t>
      </w:r>
      <w:r w:rsidR="00C067CE" w:rsidRPr="004726C0">
        <w:rPr>
          <w:color w:val="000000"/>
          <w:lang w:val="es-ES_tradnl"/>
        </w:rPr>
        <w:t xml:space="preserve"> declaración </w:t>
      </w:r>
      <w:r w:rsidR="008F7E08">
        <w:rPr>
          <w:color w:val="000000"/>
          <w:lang w:val="es-ES_tradnl"/>
        </w:rPr>
        <w:t>a</w:t>
      </w:r>
      <w:r w:rsidR="008F7E08" w:rsidRPr="004726C0">
        <w:rPr>
          <w:color w:val="000000"/>
          <w:lang w:val="es-ES_tradnl"/>
        </w:rPr>
        <w:t xml:space="preserve"> </w:t>
      </w:r>
      <w:r w:rsidR="00C067CE" w:rsidRPr="004726C0">
        <w:rPr>
          <w:color w:val="000000"/>
          <w:lang w:val="es-ES_tradnl"/>
        </w:rPr>
        <w:t>Javier Amado</w:t>
      </w:r>
      <w:r w:rsidR="00C067CE">
        <w:rPr>
          <w:color w:val="000000"/>
          <w:lang w:val="es-ES_tradnl"/>
        </w:rPr>
        <w:t>r</w:t>
      </w:r>
      <w:r w:rsidR="00C067CE" w:rsidRPr="004726C0">
        <w:rPr>
          <w:color w:val="000000"/>
          <w:lang w:val="es-ES_tradnl"/>
        </w:rPr>
        <w:t xml:space="preserve"> Mercado Guerrero, </w:t>
      </w:r>
      <w:r w:rsidR="00C067CE" w:rsidRPr="004B4CCF">
        <w:rPr>
          <w:color w:val="000000"/>
          <w:lang w:val="es-ES_tradnl"/>
        </w:rPr>
        <w:t xml:space="preserve">Subcoordinador </w:t>
      </w:r>
      <w:r w:rsidR="00C067CE" w:rsidRPr="004726C0">
        <w:rPr>
          <w:color w:val="000000"/>
          <w:lang w:val="es-ES_tradnl"/>
        </w:rPr>
        <w:t>de la Policía Intermunicipal.</w:t>
      </w:r>
      <w:r w:rsidR="00C067CE">
        <w:rPr>
          <w:rStyle w:val="FootnoteReference"/>
          <w:color w:val="000000"/>
          <w:lang w:val="es-ES_tradnl"/>
        </w:rPr>
        <w:footnoteReference w:id="20"/>
      </w:r>
    </w:p>
    <w:p w14:paraId="624A769E" w14:textId="638AABA9" w:rsidR="002547EE" w:rsidRDefault="00B107E2" w:rsidP="004726C0">
      <w:pPr>
        <w:pStyle w:val="SingleTxtG"/>
        <w:rPr>
          <w:color w:val="000000"/>
          <w:lang w:val="es-ES_tradnl"/>
        </w:rPr>
      </w:pPr>
      <w:r>
        <w:rPr>
          <w:color w:val="000000"/>
          <w:lang w:val="es-ES_tradnl"/>
        </w:rPr>
        <w:t>4.4</w:t>
      </w:r>
      <w:r w:rsidR="00385F04">
        <w:rPr>
          <w:color w:val="000000"/>
          <w:lang w:val="es-ES_tradnl"/>
        </w:rPr>
        <w:tab/>
      </w:r>
      <w:r w:rsidR="008F7E08">
        <w:rPr>
          <w:color w:val="000000"/>
          <w:lang w:val="es-ES_tradnl"/>
        </w:rPr>
        <w:t>El</w:t>
      </w:r>
      <w:r w:rsidR="00385F04">
        <w:rPr>
          <w:color w:val="000000"/>
          <w:lang w:val="es-ES_tradnl"/>
        </w:rPr>
        <w:t xml:space="preserve"> Estado parte </w:t>
      </w:r>
      <w:r w:rsidR="008F7E08">
        <w:rPr>
          <w:color w:val="000000"/>
          <w:lang w:val="es-ES_tradnl"/>
        </w:rPr>
        <w:t xml:space="preserve">sostiene </w:t>
      </w:r>
      <w:r w:rsidR="00385F04">
        <w:rPr>
          <w:color w:val="000000"/>
          <w:lang w:val="es-ES_tradnl"/>
        </w:rPr>
        <w:t>que</w:t>
      </w:r>
      <w:r w:rsidR="008F7E08">
        <w:rPr>
          <w:color w:val="000000"/>
          <w:lang w:val="es-ES_tradnl"/>
        </w:rPr>
        <w:t>, como resultado de dichas acciones,</w:t>
      </w:r>
      <w:r w:rsidR="004726C0" w:rsidRPr="004726C0">
        <w:rPr>
          <w:color w:val="000000"/>
          <w:lang w:val="es-ES_tradnl"/>
        </w:rPr>
        <w:t xml:space="preserve"> se ha logrado establecer que</w:t>
      </w:r>
      <w:r w:rsidR="0026278A" w:rsidRPr="0026278A">
        <w:rPr>
          <w:color w:val="000000"/>
          <w:lang w:val="es-ES_tradnl"/>
        </w:rPr>
        <w:t xml:space="preserve"> </w:t>
      </w:r>
      <w:r w:rsidR="0026278A" w:rsidRPr="004726C0">
        <w:rPr>
          <w:color w:val="000000"/>
          <w:lang w:val="es-ES_tradnl"/>
        </w:rPr>
        <w:t>se suscitaron varios hechos violentos entre grupos delictivos</w:t>
      </w:r>
      <w:r w:rsidR="0026278A">
        <w:rPr>
          <w:color w:val="000000"/>
          <w:lang w:val="es-ES_tradnl"/>
        </w:rPr>
        <w:t xml:space="preserve"> en el mes de octubre de 2010 en Poza Rica</w:t>
      </w:r>
      <w:r w:rsidR="005540EF">
        <w:rPr>
          <w:color w:val="000000"/>
          <w:lang w:val="es-ES_tradnl"/>
        </w:rPr>
        <w:t xml:space="preserve"> y</w:t>
      </w:r>
      <w:r w:rsidR="004726C0" w:rsidRPr="004726C0">
        <w:rPr>
          <w:color w:val="000000"/>
          <w:lang w:val="es-ES_tradnl"/>
        </w:rPr>
        <w:t xml:space="preserve"> que existen diversos señalamientos en notas periodísticas </w:t>
      </w:r>
      <w:r w:rsidR="0026278A">
        <w:rPr>
          <w:color w:val="000000"/>
          <w:lang w:val="es-ES_tradnl"/>
        </w:rPr>
        <w:t xml:space="preserve">en </w:t>
      </w:r>
      <w:r w:rsidR="004726C0" w:rsidRPr="004726C0">
        <w:rPr>
          <w:color w:val="000000"/>
          <w:lang w:val="es-ES_tradnl"/>
        </w:rPr>
        <w:t xml:space="preserve">contra del actuar de la Policía Intermunicipal. </w:t>
      </w:r>
      <w:r w:rsidR="0026278A">
        <w:rPr>
          <w:color w:val="000000"/>
          <w:lang w:val="es-ES_tradnl"/>
        </w:rPr>
        <w:t>Sin embargo</w:t>
      </w:r>
      <w:r w:rsidR="004726C0" w:rsidRPr="004726C0">
        <w:rPr>
          <w:color w:val="000000"/>
          <w:lang w:val="es-ES_tradnl"/>
        </w:rPr>
        <w:t>, el Estado parte so</w:t>
      </w:r>
      <w:r w:rsidR="005540EF">
        <w:rPr>
          <w:color w:val="000000"/>
          <w:lang w:val="es-ES_tradnl"/>
        </w:rPr>
        <w:t xml:space="preserve">stiene que Pablo García </w:t>
      </w:r>
      <w:proofErr w:type="spellStart"/>
      <w:r w:rsidR="005540EF">
        <w:rPr>
          <w:color w:val="000000"/>
          <w:lang w:val="es-ES_tradnl"/>
        </w:rPr>
        <w:t>García</w:t>
      </w:r>
      <w:proofErr w:type="spellEnd"/>
      <w:r w:rsidR="005540EF">
        <w:rPr>
          <w:color w:val="000000"/>
          <w:lang w:val="es-ES_tradnl"/>
        </w:rPr>
        <w:t xml:space="preserve"> “</w:t>
      </w:r>
      <w:r w:rsidR="004726C0" w:rsidRPr="004726C0">
        <w:rPr>
          <w:color w:val="000000"/>
          <w:lang w:val="es-ES_tradnl"/>
        </w:rPr>
        <w:t>demostró con documento oficial</w:t>
      </w:r>
      <w:r w:rsidR="005540EF">
        <w:rPr>
          <w:color w:val="000000"/>
          <w:lang w:val="es-ES_tradnl"/>
        </w:rPr>
        <w:t>”</w:t>
      </w:r>
      <w:r w:rsidR="004726C0" w:rsidRPr="004726C0">
        <w:rPr>
          <w:color w:val="000000"/>
          <w:lang w:val="es-ES_tradnl"/>
        </w:rPr>
        <w:t xml:space="preserve"> que </w:t>
      </w:r>
      <w:r w:rsidR="005540EF">
        <w:rPr>
          <w:color w:val="000000"/>
          <w:lang w:val="es-ES_tradnl"/>
        </w:rPr>
        <w:t>en el momento de los hechos “</w:t>
      </w:r>
      <w:r w:rsidR="004726C0" w:rsidRPr="004726C0">
        <w:rPr>
          <w:color w:val="000000"/>
          <w:lang w:val="es-ES_tradnl"/>
        </w:rPr>
        <w:t>se encontraba gozando de su periodo de vacaciones</w:t>
      </w:r>
      <w:r w:rsidR="005540EF">
        <w:rPr>
          <w:color w:val="000000"/>
          <w:lang w:val="es-ES_tradnl"/>
        </w:rPr>
        <w:t>”</w:t>
      </w:r>
      <w:r w:rsidR="005E67B4">
        <w:rPr>
          <w:color w:val="000000"/>
          <w:lang w:val="es-ES_tradnl"/>
        </w:rPr>
        <w:t>, que</w:t>
      </w:r>
      <w:r w:rsidR="004726C0" w:rsidRPr="004726C0">
        <w:rPr>
          <w:color w:val="000000"/>
          <w:lang w:val="es-ES_tradnl"/>
        </w:rPr>
        <w:t xml:space="preserve"> </w:t>
      </w:r>
      <w:r w:rsidR="005540EF">
        <w:rPr>
          <w:color w:val="000000"/>
          <w:lang w:val="es-ES_tradnl"/>
        </w:rPr>
        <w:t>“</w:t>
      </w:r>
      <w:r w:rsidR="004726C0" w:rsidRPr="004726C0">
        <w:rPr>
          <w:color w:val="000000"/>
          <w:lang w:val="es-ES_tradnl"/>
        </w:rPr>
        <w:t>desconocía el uso y manejo de una motoc</w:t>
      </w:r>
      <w:r w:rsidR="005E67B4">
        <w:rPr>
          <w:color w:val="000000"/>
          <w:lang w:val="es-ES_tradnl"/>
        </w:rPr>
        <w:t xml:space="preserve">icleta”, </w:t>
      </w:r>
      <w:r w:rsidR="005E67B4" w:rsidRPr="00667A94">
        <w:rPr>
          <w:color w:val="000000"/>
          <w:lang w:val="es-ES_tradnl"/>
        </w:rPr>
        <w:t>y que “</w:t>
      </w:r>
      <w:r w:rsidR="004726C0" w:rsidRPr="00667A94">
        <w:rPr>
          <w:color w:val="000000"/>
          <w:lang w:val="es-ES_tradnl"/>
        </w:rPr>
        <w:t>no cuenta con cicatriz alguna parecida o similar a la que la denunciante refiere tenía el sujeto que conducía la motocicleta y le impidió el paso”</w:t>
      </w:r>
      <w:r w:rsidR="00C067CE" w:rsidRPr="00667A94">
        <w:rPr>
          <w:color w:val="000000"/>
          <w:lang w:val="es-ES_tradnl"/>
        </w:rPr>
        <w:t>.</w:t>
      </w:r>
    </w:p>
    <w:p w14:paraId="082FEEF6" w14:textId="1EA82C93" w:rsidR="0031029C" w:rsidRPr="001849F0" w:rsidRDefault="00AD6170" w:rsidP="001849F0">
      <w:pPr>
        <w:pStyle w:val="SingleTxtG"/>
        <w:rPr>
          <w:color w:val="000000"/>
          <w:lang w:val="es-ES_tradnl"/>
        </w:rPr>
      </w:pPr>
      <w:r>
        <w:rPr>
          <w:lang w:val="es-ES_tradnl"/>
        </w:rPr>
        <w:t>4.5</w:t>
      </w:r>
      <w:r w:rsidR="0031029C" w:rsidRPr="00D80E80">
        <w:rPr>
          <w:lang w:val="es-ES_tradnl"/>
        </w:rPr>
        <w:tab/>
      </w:r>
      <w:r w:rsidR="0031029C" w:rsidRPr="00D80E80">
        <w:rPr>
          <w:lang w:val="es-ES"/>
        </w:rPr>
        <w:t xml:space="preserve">En definitiva, el Estado parte </w:t>
      </w:r>
      <w:r w:rsidR="00AF5DE4">
        <w:rPr>
          <w:lang w:val="es-ES"/>
        </w:rPr>
        <w:t xml:space="preserve">defiende </w:t>
      </w:r>
      <w:r w:rsidR="00AF5DE4" w:rsidRPr="00D80E80">
        <w:rPr>
          <w:lang w:val="es-ES"/>
        </w:rPr>
        <w:t xml:space="preserve">que </w:t>
      </w:r>
      <w:r w:rsidR="00AF5DE4" w:rsidRPr="00D80E80">
        <w:rPr>
          <w:lang w:val="es-ES_tradnl"/>
        </w:rPr>
        <w:t>las averiguaciones previas se encuentran en trámite, a la espera de que varias Procuradurías rindan información respecto a la petición de colaboración.</w:t>
      </w:r>
      <w:r w:rsidR="00AF5DE4">
        <w:rPr>
          <w:lang w:val="es-ES_tradnl"/>
        </w:rPr>
        <w:t xml:space="preserve"> </w:t>
      </w:r>
      <w:r w:rsidR="00AF5DE4">
        <w:rPr>
          <w:lang w:val="es-ES"/>
        </w:rPr>
        <w:t>A</w:t>
      </w:r>
      <w:r w:rsidR="0031029C" w:rsidRPr="00D80E80">
        <w:rPr>
          <w:lang w:val="es-ES"/>
        </w:rPr>
        <w:t xml:space="preserve">lega que </w:t>
      </w:r>
      <w:r w:rsidR="0031029C" w:rsidRPr="00D80E80">
        <w:rPr>
          <w:lang w:val="es-ES_tradnl"/>
        </w:rPr>
        <w:t>se ha apegado a los protocolos de búsque</w:t>
      </w:r>
      <w:r w:rsidR="00B974A0" w:rsidRPr="00D80E80">
        <w:rPr>
          <w:lang w:val="es-ES_tradnl"/>
        </w:rPr>
        <w:t xml:space="preserve">da, pero </w:t>
      </w:r>
      <w:r w:rsidR="0031029C" w:rsidRPr="00D80E80">
        <w:rPr>
          <w:lang w:val="es-ES_tradnl"/>
        </w:rPr>
        <w:t xml:space="preserve">que no existen pruebas contundentes que permitan tener a alguna persona como </w:t>
      </w:r>
      <w:r w:rsidR="00B974A0" w:rsidRPr="00D80E80">
        <w:rPr>
          <w:lang w:val="es-ES_tradnl"/>
        </w:rPr>
        <w:t>responsable de los hechos.</w:t>
      </w:r>
      <w:r>
        <w:rPr>
          <w:lang w:val="es-ES_tradnl"/>
        </w:rPr>
        <w:t xml:space="preserve"> En este sentido,</w:t>
      </w:r>
      <w:r w:rsidR="00B974A0" w:rsidRPr="00D80E80">
        <w:rPr>
          <w:lang w:val="es-ES_tradnl"/>
        </w:rPr>
        <w:t xml:space="preserve"> </w:t>
      </w:r>
      <w:r w:rsidRPr="004726C0">
        <w:rPr>
          <w:color w:val="000000"/>
          <w:lang w:val="es-ES_tradnl"/>
        </w:rPr>
        <w:t>“se puede presumir que los autores del injusto penal pudieran tratarse de elementos encargados de hacer cumplir la ley, sin embargo, no se ha concluido fehacientemente la participación de algún miembr</w:t>
      </w:r>
      <w:r>
        <w:rPr>
          <w:color w:val="000000"/>
          <w:lang w:val="es-ES_tradnl"/>
        </w:rPr>
        <w:t>o de la Policía Intermunicipal”.</w:t>
      </w:r>
      <w:r w:rsidRPr="004726C0">
        <w:rPr>
          <w:color w:val="000000"/>
          <w:lang w:val="es-ES_tradnl"/>
        </w:rPr>
        <w:t xml:space="preserve"> </w:t>
      </w:r>
      <w:r w:rsidR="00531D7F" w:rsidRPr="00D80E80">
        <w:rPr>
          <w:lang w:val="es-ES"/>
        </w:rPr>
        <w:t xml:space="preserve">Concluye </w:t>
      </w:r>
      <w:r w:rsidR="00AF5DE4">
        <w:rPr>
          <w:lang w:val="es-ES"/>
        </w:rPr>
        <w:t xml:space="preserve">que </w:t>
      </w:r>
      <w:r w:rsidR="00AF5DE4" w:rsidRPr="004726C0">
        <w:rPr>
          <w:color w:val="000000"/>
          <w:lang w:val="es-ES_tradnl"/>
        </w:rPr>
        <w:t>“el Estado mexicano ha implementado sus máximos esfuerzos a fin de dar con el esc</w:t>
      </w:r>
      <w:r w:rsidR="00AF5DE4">
        <w:rPr>
          <w:color w:val="000000"/>
          <w:lang w:val="es-ES_tradnl"/>
        </w:rPr>
        <w:t>larecimiento de los hechos” y</w:t>
      </w:r>
      <w:r w:rsidR="00AF5DE4" w:rsidRPr="004726C0">
        <w:rPr>
          <w:color w:val="000000"/>
          <w:lang w:val="es-ES_tradnl"/>
        </w:rPr>
        <w:t xml:space="preserve"> que las investigaciones y los esfuerzos implementados han sido los adecuados</w:t>
      </w:r>
      <w:r w:rsidR="001849F0">
        <w:rPr>
          <w:color w:val="000000"/>
          <w:lang w:val="es-ES_tradnl"/>
        </w:rPr>
        <w:t>, por lo que</w:t>
      </w:r>
      <w:r w:rsidR="001849F0" w:rsidRPr="001849F0">
        <w:rPr>
          <w:color w:val="000000"/>
          <w:lang w:val="es-ES_tradnl"/>
        </w:rPr>
        <w:t xml:space="preserve"> </w:t>
      </w:r>
      <w:r w:rsidR="001849F0" w:rsidRPr="004726C0">
        <w:rPr>
          <w:color w:val="000000"/>
          <w:lang w:val="es-ES_tradnl"/>
        </w:rPr>
        <w:t xml:space="preserve">la obligación jurídica de investigar ha sido cumplida por el Estado </w:t>
      </w:r>
      <w:r w:rsidR="001849F0">
        <w:rPr>
          <w:color w:val="000000"/>
          <w:lang w:val="es-ES_tradnl"/>
        </w:rPr>
        <w:t>con la debida diligencia</w:t>
      </w:r>
      <w:r w:rsidR="001849F0" w:rsidRPr="004726C0">
        <w:rPr>
          <w:color w:val="000000"/>
          <w:lang w:val="es-ES_tradnl"/>
        </w:rPr>
        <w:t>.</w:t>
      </w:r>
    </w:p>
    <w:p w14:paraId="610D25EB" w14:textId="606B52C9" w:rsidR="004726C0" w:rsidRPr="004726C0" w:rsidRDefault="00175184" w:rsidP="00175184">
      <w:pPr>
        <w:pStyle w:val="H23G"/>
        <w:rPr>
          <w:lang w:val="es-ES_tradnl"/>
        </w:rPr>
      </w:pPr>
      <w:r>
        <w:rPr>
          <w:lang w:val="es-ES_tradnl"/>
        </w:rPr>
        <w:tab/>
      </w:r>
      <w:r>
        <w:rPr>
          <w:lang w:val="es-ES_tradnl"/>
        </w:rPr>
        <w:tab/>
      </w:r>
      <w:r w:rsidR="004726C0" w:rsidRPr="004726C0">
        <w:rPr>
          <w:lang w:val="es-ES_tradnl"/>
        </w:rPr>
        <w:t>Comentarios del autor sobre las observaciones del Estado parte sobre la admisibilidad</w:t>
      </w:r>
    </w:p>
    <w:p w14:paraId="5074A0C8" w14:textId="26BDE018" w:rsidR="004726C0" w:rsidRPr="004726C0" w:rsidRDefault="004726C0" w:rsidP="004726C0">
      <w:pPr>
        <w:pStyle w:val="SingleTxtG"/>
        <w:rPr>
          <w:color w:val="000000"/>
          <w:lang w:val="es-ES_tradnl"/>
        </w:rPr>
      </w:pPr>
      <w:r w:rsidRPr="004726C0">
        <w:rPr>
          <w:color w:val="000000"/>
          <w:lang w:val="es-ES_tradnl"/>
        </w:rPr>
        <w:t>5.1</w:t>
      </w:r>
      <w:r w:rsidRPr="004726C0">
        <w:rPr>
          <w:color w:val="000000"/>
          <w:lang w:val="es-ES_tradnl"/>
        </w:rPr>
        <w:tab/>
        <w:t xml:space="preserve">El 18 de julio de 2016, los autores presentaron sus comentarios a las observaciones del Estado parte sobre la admisibilidad, en los que resaltaron que, a pesar de </w:t>
      </w:r>
      <w:r w:rsidR="00825668">
        <w:rPr>
          <w:color w:val="000000"/>
          <w:lang w:val="es-ES_tradnl"/>
        </w:rPr>
        <w:t xml:space="preserve">haber </w:t>
      </w:r>
      <w:r w:rsidR="00AD7D96">
        <w:rPr>
          <w:color w:val="000000"/>
          <w:lang w:val="es-ES_tradnl"/>
        </w:rPr>
        <w:t>realizado</w:t>
      </w:r>
      <w:r w:rsidR="00AD7D96" w:rsidRPr="004726C0">
        <w:rPr>
          <w:color w:val="000000"/>
          <w:lang w:val="es-ES_tradnl"/>
        </w:rPr>
        <w:t xml:space="preserve"> </w:t>
      </w:r>
      <w:r w:rsidRPr="004726C0">
        <w:rPr>
          <w:color w:val="000000"/>
          <w:lang w:val="es-ES_tradnl"/>
        </w:rPr>
        <w:t>las actuaciones necesarias tendientes a agotar los recursos idóneos, estos no han sido efectivos</w:t>
      </w:r>
      <w:r w:rsidR="0073190D">
        <w:rPr>
          <w:color w:val="000000"/>
          <w:lang w:val="es-ES_tradnl"/>
        </w:rPr>
        <w:t>. Sostienen</w:t>
      </w:r>
      <w:r w:rsidR="00566CB8">
        <w:rPr>
          <w:color w:val="000000"/>
          <w:lang w:val="es-ES_tradnl"/>
        </w:rPr>
        <w:t xml:space="preserve"> que la </w:t>
      </w:r>
      <w:r w:rsidR="00566CB8" w:rsidRPr="00566CB8">
        <w:rPr>
          <w:color w:val="000000"/>
          <w:lang w:val="es-ES_tradnl"/>
        </w:rPr>
        <w:t>tramitación</w:t>
      </w:r>
      <w:r w:rsidR="00566CB8">
        <w:rPr>
          <w:color w:val="000000"/>
          <w:lang w:val="es-ES_tradnl"/>
        </w:rPr>
        <w:t xml:space="preserve"> de los recursos se ha prolongado injustificadamente</w:t>
      </w:r>
      <w:r w:rsidR="00BC1F3E">
        <w:rPr>
          <w:color w:val="000000"/>
          <w:lang w:val="es-ES_tradnl"/>
        </w:rPr>
        <w:t>,</w:t>
      </w:r>
      <w:r w:rsidR="004B362B">
        <w:rPr>
          <w:color w:val="000000"/>
          <w:lang w:val="es-ES_tradnl"/>
        </w:rPr>
        <w:t xml:space="preserve"> y</w:t>
      </w:r>
      <w:r w:rsidR="00BC1F3E">
        <w:rPr>
          <w:color w:val="000000"/>
          <w:lang w:val="es-ES_tradnl"/>
        </w:rPr>
        <w:t xml:space="preserve"> que se sigue sin conocimiento de la suerte y </w:t>
      </w:r>
      <w:r w:rsidR="004B362B">
        <w:rPr>
          <w:color w:val="000000"/>
          <w:lang w:val="es-ES_tradnl"/>
        </w:rPr>
        <w:t xml:space="preserve">el </w:t>
      </w:r>
      <w:r w:rsidR="00BC1F3E">
        <w:rPr>
          <w:color w:val="000000"/>
          <w:lang w:val="es-ES_tradnl"/>
        </w:rPr>
        <w:t xml:space="preserve">paradero del Sr. </w:t>
      </w:r>
      <w:r w:rsidR="00BC1F3E" w:rsidRPr="00072C84">
        <w:rPr>
          <w:color w:val="000000"/>
          <w:lang w:val="es-ES_tradnl"/>
        </w:rPr>
        <w:t>Téllez Padilla</w:t>
      </w:r>
      <w:r w:rsidR="003D3AF5" w:rsidRPr="003D3AF5">
        <w:rPr>
          <w:color w:val="000000"/>
          <w:lang w:val="es-ES_tradnl"/>
        </w:rPr>
        <w:t xml:space="preserve"> </w:t>
      </w:r>
      <w:r w:rsidR="003D3AF5">
        <w:rPr>
          <w:color w:val="000000"/>
          <w:lang w:val="es-ES_tradnl"/>
        </w:rPr>
        <w:t>a casi seis años de su desaparición</w:t>
      </w:r>
      <w:r w:rsidR="00BC1F3E">
        <w:rPr>
          <w:color w:val="000000"/>
          <w:lang w:val="es-ES_tradnl"/>
        </w:rPr>
        <w:t>.</w:t>
      </w:r>
      <w:r w:rsidRPr="004726C0">
        <w:rPr>
          <w:color w:val="000000"/>
          <w:lang w:val="es-ES_tradnl"/>
        </w:rPr>
        <w:t xml:space="preserve"> </w:t>
      </w:r>
    </w:p>
    <w:p w14:paraId="79F36AA9" w14:textId="1D251193" w:rsidR="004726C0" w:rsidRPr="004726C0" w:rsidRDefault="00841ABF" w:rsidP="004726C0">
      <w:pPr>
        <w:pStyle w:val="SingleTxtG"/>
        <w:rPr>
          <w:color w:val="000000"/>
          <w:lang w:val="es-ES_tradnl"/>
        </w:rPr>
      </w:pPr>
      <w:r>
        <w:rPr>
          <w:color w:val="000000"/>
          <w:lang w:val="es-ES_tradnl"/>
        </w:rPr>
        <w:lastRenderedPageBreak/>
        <w:t>5.2</w:t>
      </w:r>
      <w:r w:rsidR="004726C0" w:rsidRPr="004726C0">
        <w:rPr>
          <w:color w:val="000000"/>
          <w:lang w:val="es-ES_tradnl"/>
        </w:rPr>
        <w:tab/>
      </w:r>
      <w:r w:rsidR="008037C8">
        <w:rPr>
          <w:color w:val="000000"/>
          <w:lang w:val="es-ES_tradnl"/>
        </w:rPr>
        <w:t>Basándose e</w:t>
      </w:r>
      <w:r w:rsidR="008037C8" w:rsidRPr="008D4619">
        <w:rPr>
          <w:color w:val="000000"/>
          <w:lang w:val="es-ES_tradnl"/>
        </w:rPr>
        <w:t>n</w:t>
      </w:r>
      <w:r w:rsidR="00482BC5" w:rsidRPr="00482BC5">
        <w:rPr>
          <w:lang w:val="es-ES"/>
        </w:rPr>
        <w:t xml:space="preserve"> el </w:t>
      </w:r>
      <w:r w:rsidR="00482BC5" w:rsidRPr="00482BC5">
        <w:rPr>
          <w:color w:val="000000"/>
          <w:lang w:val="es-ES_tradnl"/>
        </w:rPr>
        <w:t>artículo 12, párrafo 2</w:t>
      </w:r>
      <w:r w:rsidR="00482BC5">
        <w:rPr>
          <w:color w:val="000000"/>
          <w:lang w:val="es-ES_tradnl"/>
        </w:rPr>
        <w:t>,</w:t>
      </w:r>
      <w:r w:rsidR="008037C8" w:rsidRPr="008D4619">
        <w:rPr>
          <w:color w:val="000000"/>
          <w:lang w:val="es-ES_tradnl"/>
        </w:rPr>
        <w:t xml:space="preserve"> </w:t>
      </w:r>
      <w:r w:rsidR="003D3AF5">
        <w:rPr>
          <w:color w:val="000000"/>
          <w:lang w:val="es-ES_tradnl"/>
        </w:rPr>
        <w:t xml:space="preserve">de </w:t>
      </w:r>
      <w:r w:rsidR="008037C8" w:rsidRPr="008D4619">
        <w:rPr>
          <w:color w:val="000000"/>
          <w:lang w:val="es-ES_tradnl"/>
        </w:rPr>
        <w:t>la Convención para la protección de todas las personas contra las desapa</w:t>
      </w:r>
      <w:r w:rsidR="008037C8">
        <w:rPr>
          <w:color w:val="000000"/>
          <w:lang w:val="es-ES_tradnl"/>
        </w:rPr>
        <w:t>riciones forzadas,</w:t>
      </w:r>
      <w:r w:rsidR="008037C8">
        <w:rPr>
          <w:rStyle w:val="FootnoteReference"/>
          <w:color w:val="000000"/>
          <w:lang w:val="es-ES_tradnl"/>
        </w:rPr>
        <w:footnoteReference w:id="21"/>
      </w:r>
      <w:r w:rsidR="008037C8">
        <w:rPr>
          <w:color w:val="000000"/>
          <w:lang w:val="es-ES_tradnl"/>
        </w:rPr>
        <w:t xml:space="preserve"> l</w:t>
      </w:r>
      <w:r w:rsidR="00B809AC">
        <w:rPr>
          <w:color w:val="000000"/>
          <w:lang w:val="es-ES_tradnl"/>
        </w:rPr>
        <w:t xml:space="preserve">os autores </w:t>
      </w:r>
      <w:r w:rsidR="003D3AF5">
        <w:rPr>
          <w:color w:val="000000"/>
          <w:lang w:val="es-ES_tradnl"/>
        </w:rPr>
        <w:t>defienden</w:t>
      </w:r>
      <w:r w:rsidR="008037C8">
        <w:rPr>
          <w:color w:val="000000"/>
          <w:lang w:val="es-ES_tradnl"/>
        </w:rPr>
        <w:t xml:space="preserve"> </w:t>
      </w:r>
      <w:r w:rsidR="00B809AC">
        <w:rPr>
          <w:color w:val="000000"/>
          <w:lang w:val="es-ES_tradnl"/>
        </w:rPr>
        <w:t>que</w:t>
      </w:r>
      <w:r w:rsidR="00B809AC" w:rsidRPr="004726C0">
        <w:rPr>
          <w:color w:val="000000"/>
          <w:lang w:val="es-ES_tradnl"/>
        </w:rPr>
        <w:t xml:space="preserve"> la negativa </w:t>
      </w:r>
      <w:r w:rsidR="00B809AC">
        <w:rPr>
          <w:color w:val="000000"/>
          <w:lang w:val="es-ES_tradnl"/>
        </w:rPr>
        <w:t>inicial</w:t>
      </w:r>
      <w:r w:rsidR="00B809AC" w:rsidRPr="004726C0">
        <w:rPr>
          <w:color w:val="000000"/>
          <w:lang w:val="es-ES_tradnl"/>
        </w:rPr>
        <w:t xml:space="preserve"> de recibir la denuncia </w:t>
      </w:r>
      <w:r w:rsidR="00B809AC">
        <w:rPr>
          <w:color w:val="000000"/>
          <w:lang w:val="es-ES_tradnl"/>
        </w:rPr>
        <w:t>fue</w:t>
      </w:r>
      <w:r w:rsidR="00B809AC" w:rsidRPr="004726C0">
        <w:rPr>
          <w:color w:val="000000"/>
          <w:lang w:val="es-ES_tradnl"/>
        </w:rPr>
        <w:t xml:space="preserve"> contraria a la obligación de iniciar inmediatamente las investigaciones.</w:t>
      </w:r>
      <w:r w:rsidR="00B809AC">
        <w:rPr>
          <w:color w:val="000000"/>
          <w:lang w:val="es-ES_tradnl"/>
        </w:rPr>
        <w:t xml:space="preserve"> Además, l</w:t>
      </w:r>
      <w:r w:rsidR="004726C0" w:rsidRPr="004726C0">
        <w:rPr>
          <w:color w:val="000000"/>
          <w:lang w:val="es-ES_tradnl"/>
        </w:rPr>
        <w:t xml:space="preserve">os autores sostienen que las autoridades no han llevado a cabo una investigación exhaustiva, </w:t>
      </w:r>
      <w:r w:rsidR="00C81EB6">
        <w:rPr>
          <w:color w:val="000000"/>
          <w:lang w:val="es-ES_tradnl"/>
        </w:rPr>
        <w:t>por lo que se sigue sin</w:t>
      </w:r>
      <w:r w:rsidR="004726C0" w:rsidRPr="004726C0">
        <w:rPr>
          <w:color w:val="000000"/>
          <w:lang w:val="es-ES_tradnl"/>
        </w:rPr>
        <w:t xml:space="preserve"> información sobre el paradero </w:t>
      </w:r>
      <w:r w:rsidR="00072C84">
        <w:rPr>
          <w:color w:val="000000"/>
          <w:lang w:val="es-ES_tradnl"/>
        </w:rPr>
        <w:t xml:space="preserve">y la </w:t>
      </w:r>
      <w:r w:rsidR="004726C0" w:rsidRPr="004726C0">
        <w:rPr>
          <w:color w:val="000000"/>
          <w:lang w:val="es-ES_tradnl"/>
        </w:rPr>
        <w:t>suerte del</w:t>
      </w:r>
      <w:r w:rsidR="00072C84" w:rsidRPr="00072C84">
        <w:rPr>
          <w:lang w:val="es-ES"/>
        </w:rPr>
        <w:t xml:space="preserve"> </w:t>
      </w:r>
      <w:r w:rsidR="00072C84" w:rsidRPr="00072C84">
        <w:rPr>
          <w:color w:val="000000"/>
          <w:lang w:val="es-ES_tradnl"/>
        </w:rPr>
        <w:t>Sr. Téllez Padilla</w:t>
      </w:r>
      <w:r w:rsidR="00E8472D">
        <w:rPr>
          <w:color w:val="000000"/>
          <w:lang w:val="es-ES_tradnl"/>
        </w:rPr>
        <w:t>,</w:t>
      </w:r>
      <w:r w:rsidR="004726C0" w:rsidRPr="004726C0">
        <w:rPr>
          <w:color w:val="000000"/>
          <w:lang w:val="es-ES_tradnl"/>
        </w:rPr>
        <w:t xml:space="preserve"> </w:t>
      </w:r>
      <w:r w:rsidR="00E8472D">
        <w:rPr>
          <w:color w:val="000000"/>
          <w:lang w:val="es-ES_tradnl"/>
        </w:rPr>
        <w:t>sin castigo de los responsables y sin</w:t>
      </w:r>
      <w:r w:rsidR="004726C0" w:rsidRPr="004726C0">
        <w:rPr>
          <w:color w:val="000000"/>
          <w:lang w:val="es-ES_tradnl"/>
        </w:rPr>
        <w:t xml:space="preserve"> </w:t>
      </w:r>
      <w:r w:rsidR="00E8472D">
        <w:rPr>
          <w:color w:val="000000"/>
          <w:lang w:val="es-ES_tradnl"/>
        </w:rPr>
        <w:t>reparación</w:t>
      </w:r>
      <w:r w:rsidR="004726C0" w:rsidRPr="004726C0">
        <w:rPr>
          <w:color w:val="000000"/>
          <w:lang w:val="es-ES_tradnl"/>
        </w:rPr>
        <w:t xml:space="preserve">. En </w:t>
      </w:r>
      <w:r w:rsidR="00CE611F">
        <w:rPr>
          <w:color w:val="000000"/>
          <w:lang w:val="es-ES_tradnl"/>
        </w:rPr>
        <w:t>conclusión</w:t>
      </w:r>
      <w:r w:rsidR="004726C0" w:rsidRPr="004726C0">
        <w:rPr>
          <w:color w:val="000000"/>
          <w:lang w:val="es-ES_tradnl"/>
        </w:rPr>
        <w:t>, sostienen que las investigaciones se han llevado a cabo</w:t>
      </w:r>
      <w:r w:rsidR="00150DEF">
        <w:rPr>
          <w:color w:val="000000"/>
          <w:lang w:val="es-ES_tradnl"/>
        </w:rPr>
        <w:t>:</w:t>
      </w:r>
      <w:r w:rsidR="004726C0" w:rsidRPr="004726C0">
        <w:rPr>
          <w:color w:val="000000"/>
          <w:lang w:val="es-ES_tradnl"/>
        </w:rPr>
        <w:t xml:space="preserve"> i) sin la debida diligencia, ii) mu</w:t>
      </w:r>
      <w:r w:rsidR="00B809AC">
        <w:rPr>
          <w:color w:val="000000"/>
          <w:lang w:val="es-ES_tradnl"/>
        </w:rPr>
        <w:t>y tardíamente</w:t>
      </w:r>
      <w:r w:rsidR="00150DEF">
        <w:rPr>
          <w:color w:val="000000"/>
          <w:lang w:val="es-ES_tradnl"/>
        </w:rPr>
        <w:t>,</w:t>
      </w:r>
      <w:r w:rsidR="004726C0" w:rsidRPr="004726C0">
        <w:rPr>
          <w:color w:val="000000"/>
          <w:lang w:val="es-ES_tradnl"/>
        </w:rPr>
        <w:t xml:space="preserve"> lleva</w:t>
      </w:r>
      <w:r w:rsidR="00B809AC">
        <w:rPr>
          <w:color w:val="000000"/>
          <w:lang w:val="es-ES_tradnl"/>
        </w:rPr>
        <w:t>n</w:t>
      </w:r>
      <w:r w:rsidR="004726C0" w:rsidRPr="004726C0">
        <w:rPr>
          <w:color w:val="000000"/>
          <w:lang w:val="es-ES_tradnl"/>
        </w:rPr>
        <w:t>do a la pérdida de pruebas fundamentales, y iii) con largos períodos de discontinuidad, afecta</w:t>
      </w:r>
      <w:r w:rsidR="00B809AC">
        <w:rPr>
          <w:color w:val="000000"/>
          <w:lang w:val="es-ES_tradnl"/>
        </w:rPr>
        <w:t>n</w:t>
      </w:r>
      <w:r w:rsidR="004726C0" w:rsidRPr="004726C0">
        <w:rPr>
          <w:color w:val="000000"/>
          <w:lang w:val="es-ES_tradnl"/>
        </w:rPr>
        <w:t xml:space="preserve">do la eficacia de varias diligencias </w:t>
      </w:r>
      <w:r w:rsidR="00B809AC">
        <w:rPr>
          <w:color w:val="000000"/>
          <w:lang w:val="es-ES_tradnl"/>
        </w:rPr>
        <w:t xml:space="preserve">e implicando un </w:t>
      </w:r>
      <w:r w:rsidR="004726C0" w:rsidRPr="004726C0">
        <w:rPr>
          <w:color w:val="000000"/>
          <w:lang w:val="es-ES_tradnl"/>
        </w:rPr>
        <w:t xml:space="preserve">retardo injustificado </w:t>
      </w:r>
      <w:r w:rsidR="00B809AC">
        <w:rPr>
          <w:color w:val="000000"/>
          <w:lang w:val="es-ES_tradnl"/>
        </w:rPr>
        <w:t>en</w:t>
      </w:r>
      <w:r w:rsidR="004726C0" w:rsidRPr="004726C0">
        <w:rPr>
          <w:color w:val="000000"/>
          <w:lang w:val="es-ES_tradnl"/>
        </w:rPr>
        <w:t xml:space="preserve"> las investigaciones.</w:t>
      </w:r>
    </w:p>
    <w:p w14:paraId="0A4FC963" w14:textId="76C1CC22" w:rsidR="004726C0" w:rsidRPr="004726C0" w:rsidRDefault="00FA1B60" w:rsidP="004726C0">
      <w:pPr>
        <w:pStyle w:val="SingleTxtG"/>
        <w:rPr>
          <w:color w:val="000000"/>
          <w:lang w:val="es-ES_tradnl"/>
        </w:rPr>
      </w:pPr>
      <w:r>
        <w:rPr>
          <w:color w:val="000000"/>
          <w:lang w:val="es-ES_tradnl"/>
        </w:rPr>
        <w:t>5.3</w:t>
      </w:r>
      <w:r w:rsidR="004726C0" w:rsidRPr="004726C0">
        <w:rPr>
          <w:color w:val="000000"/>
          <w:lang w:val="es-ES_tradnl"/>
        </w:rPr>
        <w:tab/>
        <w:t xml:space="preserve">Frente a la lista de diligencias presentada por el Estado parte, los autores reiteran que no se hicieron diligencias que eran fundamentales para lograr los objetivos de la investigación. Una de </w:t>
      </w:r>
      <w:r w:rsidR="00891CC2">
        <w:rPr>
          <w:color w:val="000000"/>
          <w:lang w:val="es-ES_tradnl"/>
        </w:rPr>
        <w:t>ellas</w:t>
      </w:r>
      <w:r w:rsidR="004726C0" w:rsidRPr="004726C0">
        <w:rPr>
          <w:color w:val="000000"/>
          <w:lang w:val="es-ES_tradnl"/>
        </w:rPr>
        <w:t xml:space="preserve"> </w:t>
      </w:r>
      <w:r w:rsidR="00AA69AD">
        <w:rPr>
          <w:color w:val="000000"/>
          <w:lang w:val="es-ES_tradnl"/>
        </w:rPr>
        <w:t>consistiría en</w:t>
      </w:r>
      <w:r w:rsidR="004726C0" w:rsidRPr="004726C0">
        <w:rPr>
          <w:color w:val="000000"/>
          <w:lang w:val="es-ES_tradnl"/>
        </w:rPr>
        <w:t xml:space="preserve"> la correcta inspección ocular del vehículo </w:t>
      </w:r>
      <w:r w:rsidR="00F663F7">
        <w:rPr>
          <w:color w:val="000000"/>
          <w:lang w:val="es-ES_tradnl"/>
        </w:rPr>
        <w:t xml:space="preserve">del Sr. Téllez Padilla </w:t>
      </w:r>
      <w:r w:rsidR="004B282A">
        <w:rPr>
          <w:color w:val="000000"/>
          <w:lang w:val="es-ES_tradnl"/>
        </w:rPr>
        <w:t xml:space="preserve">para </w:t>
      </w:r>
      <w:r w:rsidR="00595F04">
        <w:rPr>
          <w:color w:val="000000"/>
          <w:lang w:val="es-ES_tradnl"/>
        </w:rPr>
        <w:t>recabar</w:t>
      </w:r>
      <w:r w:rsidR="004726C0" w:rsidRPr="004726C0">
        <w:rPr>
          <w:color w:val="000000"/>
          <w:lang w:val="es-ES_tradnl"/>
        </w:rPr>
        <w:t xml:space="preserve"> las huellas y </w:t>
      </w:r>
      <w:r w:rsidR="00A14592">
        <w:rPr>
          <w:color w:val="000000"/>
          <w:lang w:val="es-ES_tradnl"/>
        </w:rPr>
        <w:t>el</w:t>
      </w:r>
      <w:r w:rsidR="004726C0" w:rsidRPr="004726C0">
        <w:rPr>
          <w:color w:val="000000"/>
          <w:lang w:val="es-ES_tradnl"/>
        </w:rPr>
        <w:t xml:space="preserve"> ADN </w:t>
      </w:r>
      <w:r w:rsidR="005D1C4A">
        <w:rPr>
          <w:color w:val="000000"/>
          <w:lang w:val="es-ES_tradnl"/>
        </w:rPr>
        <w:t>de uno de los responsables</w:t>
      </w:r>
      <w:r w:rsidR="004726C0" w:rsidRPr="004726C0">
        <w:rPr>
          <w:color w:val="000000"/>
          <w:lang w:val="es-ES_tradnl"/>
        </w:rPr>
        <w:t xml:space="preserve">. </w:t>
      </w:r>
      <w:r w:rsidR="00595F04">
        <w:rPr>
          <w:color w:val="000000"/>
          <w:lang w:val="es-ES_tradnl"/>
        </w:rPr>
        <w:t xml:space="preserve">Otra </w:t>
      </w:r>
      <w:r w:rsidR="00F663F7">
        <w:rPr>
          <w:color w:val="000000"/>
          <w:lang w:val="es-ES_tradnl"/>
        </w:rPr>
        <w:t xml:space="preserve">diligencia </w:t>
      </w:r>
      <w:r w:rsidR="00595F04">
        <w:rPr>
          <w:color w:val="000000"/>
          <w:lang w:val="es-ES_tradnl"/>
        </w:rPr>
        <w:t>hubiera sido</w:t>
      </w:r>
      <w:r w:rsidR="004726C0" w:rsidRPr="004726C0">
        <w:rPr>
          <w:color w:val="000000"/>
          <w:lang w:val="es-ES_tradnl"/>
        </w:rPr>
        <w:t xml:space="preserve"> </w:t>
      </w:r>
      <w:r w:rsidR="00F663F7">
        <w:rPr>
          <w:color w:val="000000"/>
          <w:lang w:val="es-ES_tradnl"/>
        </w:rPr>
        <w:t xml:space="preserve">dictar </w:t>
      </w:r>
      <w:r w:rsidR="004726C0" w:rsidRPr="004726C0">
        <w:rPr>
          <w:color w:val="000000"/>
          <w:lang w:val="es-ES_tradnl"/>
        </w:rPr>
        <w:t xml:space="preserve">una orden judicial inmediata de acceso a las cámaras de seguridad del </w:t>
      </w:r>
      <w:r w:rsidR="004726C0" w:rsidRPr="00464277">
        <w:rPr>
          <w:lang w:val="es-ES_tradnl"/>
        </w:rPr>
        <w:t>lugar</w:t>
      </w:r>
      <w:r w:rsidR="00F663F7">
        <w:rPr>
          <w:lang w:val="es-ES_tradnl"/>
        </w:rPr>
        <w:t xml:space="preserve"> de la desaparición</w:t>
      </w:r>
      <w:r w:rsidR="004726C0" w:rsidRPr="00464277">
        <w:rPr>
          <w:lang w:val="es-ES_tradnl"/>
        </w:rPr>
        <w:t>. Además</w:t>
      </w:r>
      <w:r w:rsidR="004726C0" w:rsidRPr="004726C0">
        <w:rPr>
          <w:color w:val="000000"/>
          <w:lang w:val="es-ES_tradnl"/>
        </w:rPr>
        <w:t xml:space="preserve">, el </w:t>
      </w:r>
      <w:r w:rsidR="00872114">
        <w:rPr>
          <w:color w:val="000000"/>
          <w:lang w:val="es-ES_tradnl"/>
        </w:rPr>
        <w:t xml:space="preserve">acceso a la sábana de llamadas </w:t>
      </w:r>
      <w:r w:rsidR="004726C0" w:rsidRPr="004726C0">
        <w:rPr>
          <w:color w:val="000000"/>
          <w:lang w:val="es-ES_tradnl"/>
        </w:rPr>
        <w:t>de</w:t>
      </w:r>
      <w:r w:rsidR="004456EC">
        <w:rPr>
          <w:color w:val="000000"/>
          <w:lang w:val="es-ES_tradnl"/>
        </w:rPr>
        <w:t>l</w:t>
      </w:r>
      <w:r w:rsidR="004726C0" w:rsidRPr="004726C0">
        <w:rPr>
          <w:color w:val="000000"/>
          <w:lang w:val="es-ES_tradnl"/>
        </w:rPr>
        <w:t xml:space="preserve"> teléfono celular del </w:t>
      </w:r>
      <w:r w:rsidR="004456EC">
        <w:rPr>
          <w:color w:val="000000"/>
          <w:lang w:val="es-ES_tradnl"/>
        </w:rPr>
        <w:t>Sr.</w:t>
      </w:r>
      <w:r w:rsidR="004726C0" w:rsidRPr="004726C0">
        <w:rPr>
          <w:color w:val="000000"/>
          <w:lang w:val="es-ES_tradnl"/>
        </w:rPr>
        <w:t xml:space="preserve"> </w:t>
      </w:r>
      <w:r w:rsidR="004456EC" w:rsidRPr="004456EC">
        <w:rPr>
          <w:color w:val="000000"/>
          <w:lang w:val="es-ES_tradnl"/>
        </w:rPr>
        <w:t xml:space="preserve">Téllez Padilla </w:t>
      </w:r>
      <w:r w:rsidR="00A75B3A">
        <w:rPr>
          <w:color w:val="000000"/>
          <w:lang w:val="es-ES_tradnl"/>
        </w:rPr>
        <w:t xml:space="preserve">y su </w:t>
      </w:r>
      <w:r w:rsidR="00A75B3A" w:rsidRPr="004726C0">
        <w:rPr>
          <w:color w:val="000000"/>
          <w:lang w:val="es-ES_tradnl"/>
        </w:rPr>
        <w:t xml:space="preserve">análisis </w:t>
      </w:r>
      <w:r w:rsidR="004456EC">
        <w:rPr>
          <w:color w:val="000000"/>
          <w:lang w:val="es-ES_tradnl"/>
        </w:rPr>
        <w:t>se hizo tard</w:t>
      </w:r>
      <w:r w:rsidR="007425D3">
        <w:rPr>
          <w:color w:val="000000"/>
          <w:lang w:val="es-ES_tradnl"/>
        </w:rPr>
        <w:t>íamente</w:t>
      </w:r>
      <w:r w:rsidR="004726C0" w:rsidRPr="004726C0">
        <w:rPr>
          <w:color w:val="000000"/>
          <w:lang w:val="es-ES_tradnl"/>
        </w:rPr>
        <w:t>. Finalmente,</w:t>
      </w:r>
      <w:r w:rsidR="00F50222">
        <w:rPr>
          <w:color w:val="000000"/>
          <w:lang w:val="es-ES_tradnl"/>
        </w:rPr>
        <w:t xml:space="preserve"> </w:t>
      </w:r>
      <w:r w:rsidR="005F04DD">
        <w:rPr>
          <w:color w:val="000000"/>
          <w:lang w:val="es-ES_tradnl"/>
        </w:rPr>
        <w:t>los autores informan</w:t>
      </w:r>
      <w:r w:rsidR="00F50222">
        <w:rPr>
          <w:color w:val="000000"/>
          <w:lang w:val="es-ES_tradnl"/>
        </w:rPr>
        <w:t xml:space="preserve"> que</w:t>
      </w:r>
      <w:r w:rsidR="004726C0" w:rsidRPr="004726C0">
        <w:rPr>
          <w:color w:val="000000"/>
          <w:lang w:val="es-ES_tradnl"/>
        </w:rPr>
        <w:t xml:space="preserve"> </w:t>
      </w:r>
      <w:r w:rsidR="004456EC" w:rsidRPr="004726C0">
        <w:rPr>
          <w:color w:val="000000"/>
          <w:lang w:val="es-ES_tradnl"/>
        </w:rPr>
        <w:t>las declaraciones de</w:t>
      </w:r>
      <w:r w:rsidR="004456EC">
        <w:rPr>
          <w:color w:val="000000"/>
          <w:lang w:val="es-ES_tradnl"/>
        </w:rPr>
        <w:t xml:space="preserve"> los</w:t>
      </w:r>
      <w:r w:rsidR="004456EC" w:rsidRPr="004726C0">
        <w:rPr>
          <w:color w:val="000000"/>
          <w:lang w:val="es-ES_tradnl"/>
        </w:rPr>
        <w:t xml:space="preserve"> </w:t>
      </w:r>
      <w:r w:rsidR="00F50222">
        <w:rPr>
          <w:color w:val="000000"/>
          <w:lang w:val="es-ES_tradnl"/>
        </w:rPr>
        <w:t xml:space="preserve">otros dos </w:t>
      </w:r>
      <w:r w:rsidR="004456EC" w:rsidRPr="004726C0">
        <w:rPr>
          <w:color w:val="000000"/>
          <w:lang w:val="es-ES_tradnl"/>
        </w:rPr>
        <w:t xml:space="preserve">policías </w:t>
      </w:r>
      <w:r w:rsidR="004726C0" w:rsidRPr="004726C0">
        <w:rPr>
          <w:color w:val="000000"/>
          <w:lang w:val="es-ES_tradnl"/>
        </w:rPr>
        <w:t xml:space="preserve">señalados por </w:t>
      </w:r>
      <w:r w:rsidR="00F93E5B">
        <w:rPr>
          <w:color w:val="000000"/>
          <w:lang w:val="es-ES_tradnl"/>
        </w:rPr>
        <w:t>la</w:t>
      </w:r>
      <w:r w:rsidR="004726C0" w:rsidRPr="004726C0">
        <w:rPr>
          <w:color w:val="000000"/>
          <w:lang w:val="es-ES_tradnl"/>
        </w:rPr>
        <w:t xml:space="preserve"> t</w:t>
      </w:r>
      <w:r w:rsidR="004456EC">
        <w:rPr>
          <w:color w:val="000000"/>
          <w:lang w:val="es-ES_tradnl"/>
        </w:rPr>
        <w:t>estigo presencial de los hechos</w:t>
      </w:r>
      <w:r w:rsidR="004726C0" w:rsidRPr="004726C0">
        <w:rPr>
          <w:color w:val="000000"/>
          <w:lang w:val="es-ES_tradnl"/>
        </w:rPr>
        <w:t xml:space="preserve"> </w:t>
      </w:r>
      <w:r w:rsidR="004456EC">
        <w:rPr>
          <w:color w:val="000000"/>
          <w:lang w:val="es-ES_tradnl"/>
        </w:rPr>
        <w:t xml:space="preserve">se </w:t>
      </w:r>
      <w:r w:rsidR="005F04DD">
        <w:rPr>
          <w:color w:val="000000"/>
          <w:lang w:val="es-ES_tradnl"/>
        </w:rPr>
        <w:t>recabaron</w:t>
      </w:r>
      <w:r w:rsidR="00F50222">
        <w:rPr>
          <w:color w:val="000000"/>
          <w:lang w:val="es-ES_tradnl"/>
        </w:rPr>
        <w:t>, pero</w:t>
      </w:r>
      <w:r w:rsidR="004456EC">
        <w:rPr>
          <w:color w:val="000000"/>
          <w:lang w:val="es-ES_tradnl"/>
        </w:rPr>
        <w:t xml:space="preserve"> </w:t>
      </w:r>
      <w:r w:rsidR="004726C0" w:rsidRPr="004726C0">
        <w:rPr>
          <w:color w:val="000000"/>
          <w:lang w:val="es-ES_tradnl"/>
        </w:rPr>
        <w:t>más de cuatro años después de la desaparición.</w:t>
      </w:r>
    </w:p>
    <w:p w14:paraId="31ED9556" w14:textId="11D3C759" w:rsidR="004726C0" w:rsidRPr="004726C0" w:rsidRDefault="00824F80" w:rsidP="00824F80">
      <w:pPr>
        <w:pStyle w:val="H23G"/>
        <w:rPr>
          <w:lang w:val="es-ES_tradnl"/>
        </w:rPr>
      </w:pPr>
      <w:r>
        <w:rPr>
          <w:lang w:val="es-ES_tradnl"/>
        </w:rPr>
        <w:tab/>
      </w:r>
      <w:r>
        <w:rPr>
          <w:lang w:val="es-ES_tradnl"/>
        </w:rPr>
        <w:tab/>
      </w:r>
      <w:r w:rsidR="004726C0" w:rsidRPr="004726C0">
        <w:rPr>
          <w:lang w:val="es-ES_tradnl"/>
        </w:rPr>
        <w:t>Observaciones del Estado parte sobre el fondo</w:t>
      </w:r>
    </w:p>
    <w:p w14:paraId="0286CAD4" w14:textId="41942657" w:rsidR="004726C0" w:rsidRPr="004726C0" w:rsidRDefault="004726C0" w:rsidP="004726C0">
      <w:pPr>
        <w:pStyle w:val="SingleTxtG"/>
        <w:rPr>
          <w:color w:val="000000"/>
          <w:lang w:val="es-ES_tradnl"/>
        </w:rPr>
      </w:pPr>
      <w:r w:rsidRPr="004726C0">
        <w:rPr>
          <w:color w:val="000000"/>
          <w:lang w:val="es-ES_tradnl"/>
        </w:rPr>
        <w:t>6.1</w:t>
      </w:r>
      <w:r w:rsidRPr="004726C0">
        <w:rPr>
          <w:color w:val="000000"/>
          <w:lang w:val="es-ES_tradnl"/>
        </w:rPr>
        <w:tab/>
        <w:t xml:space="preserve">En sus observaciones </w:t>
      </w:r>
      <w:r w:rsidR="008C776C" w:rsidRPr="004726C0">
        <w:rPr>
          <w:color w:val="000000"/>
          <w:lang w:val="es-ES_tradnl"/>
        </w:rPr>
        <w:t>de 13 de septiembre de 2016</w:t>
      </w:r>
      <w:r w:rsidRPr="004726C0">
        <w:rPr>
          <w:color w:val="000000"/>
          <w:lang w:val="es-ES_tradnl"/>
        </w:rPr>
        <w:t xml:space="preserve">, el Estado parte solicitó al Comité que determine que no violó ninguno de los artículos </w:t>
      </w:r>
      <w:r w:rsidR="00CC1AFA">
        <w:rPr>
          <w:color w:val="000000"/>
          <w:lang w:val="es-ES_tradnl"/>
        </w:rPr>
        <w:t>d</w:t>
      </w:r>
      <w:r w:rsidRPr="004726C0">
        <w:rPr>
          <w:color w:val="000000"/>
          <w:lang w:val="es-ES_tradnl"/>
        </w:rPr>
        <w:t>el Pacto.</w:t>
      </w:r>
    </w:p>
    <w:p w14:paraId="081FDE8B" w14:textId="73319DFC" w:rsidR="004726C0" w:rsidRPr="004726C0" w:rsidRDefault="004726C0" w:rsidP="004726C0">
      <w:pPr>
        <w:pStyle w:val="SingleTxtG"/>
        <w:rPr>
          <w:color w:val="000000"/>
          <w:lang w:val="es-ES_tradnl"/>
        </w:rPr>
      </w:pPr>
      <w:r w:rsidRPr="004726C0">
        <w:rPr>
          <w:color w:val="000000"/>
          <w:lang w:val="es-ES_tradnl"/>
        </w:rPr>
        <w:t>6.2</w:t>
      </w:r>
      <w:r w:rsidRPr="004726C0">
        <w:rPr>
          <w:color w:val="000000"/>
          <w:lang w:val="es-ES_tradnl"/>
        </w:rPr>
        <w:tab/>
      </w:r>
      <w:r w:rsidR="00F50241">
        <w:rPr>
          <w:color w:val="000000"/>
          <w:lang w:val="es-ES_tradnl"/>
        </w:rPr>
        <w:t>E</w:t>
      </w:r>
      <w:r w:rsidRPr="004726C0">
        <w:rPr>
          <w:color w:val="000000"/>
          <w:lang w:val="es-ES_tradnl"/>
        </w:rPr>
        <w:t>l Estado parte</w:t>
      </w:r>
      <w:r w:rsidRPr="008E610E">
        <w:rPr>
          <w:color w:val="000000"/>
          <w:lang w:val="es-ES"/>
        </w:rPr>
        <w:t xml:space="preserve"> </w:t>
      </w:r>
      <w:r w:rsidRPr="004726C0">
        <w:rPr>
          <w:color w:val="000000"/>
          <w:lang w:val="es-ES_tradnl"/>
        </w:rPr>
        <w:t>reiteró que las investigaci</w:t>
      </w:r>
      <w:r w:rsidR="00F50241">
        <w:rPr>
          <w:color w:val="000000"/>
          <w:lang w:val="es-ES_tradnl"/>
        </w:rPr>
        <w:t>ones se realizaron sin dilación</w:t>
      </w:r>
      <w:r w:rsidRPr="004726C0">
        <w:rPr>
          <w:color w:val="000000"/>
          <w:lang w:val="es-ES_tradnl"/>
        </w:rPr>
        <w:t xml:space="preserve"> des</w:t>
      </w:r>
      <w:r w:rsidR="00F50241">
        <w:rPr>
          <w:color w:val="000000"/>
          <w:lang w:val="es-ES_tradnl"/>
        </w:rPr>
        <w:t>de que las autoridades conociero</w:t>
      </w:r>
      <w:r w:rsidRPr="004726C0">
        <w:rPr>
          <w:color w:val="000000"/>
          <w:lang w:val="es-ES_tradnl"/>
        </w:rPr>
        <w:t>n de la desaparición</w:t>
      </w:r>
      <w:r w:rsidR="00827633">
        <w:rPr>
          <w:color w:val="000000"/>
          <w:lang w:val="es-ES_tradnl"/>
        </w:rPr>
        <w:t>,</w:t>
      </w:r>
      <w:r w:rsidRPr="004726C0">
        <w:rPr>
          <w:color w:val="000000"/>
          <w:lang w:val="es-ES_tradnl"/>
        </w:rPr>
        <w:t xml:space="preserve"> el 21 de octubre de 2010. </w:t>
      </w:r>
      <w:r w:rsidR="00F50241">
        <w:rPr>
          <w:color w:val="000000"/>
          <w:lang w:val="es-ES_tradnl"/>
        </w:rPr>
        <w:t>Al respecto, el E</w:t>
      </w:r>
      <w:r w:rsidRPr="004726C0">
        <w:rPr>
          <w:color w:val="000000"/>
          <w:lang w:val="es-ES_tradnl"/>
        </w:rPr>
        <w:t xml:space="preserve">stado </w:t>
      </w:r>
      <w:r w:rsidR="00F50241">
        <w:rPr>
          <w:color w:val="000000"/>
          <w:lang w:val="es-ES_tradnl"/>
        </w:rPr>
        <w:t xml:space="preserve">parte alega </w:t>
      </w:r>
      <w:r w:rsidRPr="004726C0">
        <w:rPr>
          <w:color w:val="000000"/>
          <w:lang w:val="es-ES_tradnl"/>
        </w:rPr>
        <w:t>desconoce</w:t>
      </w:r>
      <w:r w:rsidR="00F50241">
        <w:rPr>
          <w:color w:val="000000"/>
          <w:lang w:val="es-ES_tradnl"/>
        </w:rPr>
        <w:t>r</w:t>
      </w:r>
      <w:r w:rsidRPr="004726C0">
        <w:rPr>
          <w:color w:val="000000"/>
          <w:lang w:val="es-ES_tradnl"/>
        </w:rPr>
        <w:t xml:space="preserve"> </w:t>
      </w:r>
      <w:r w:rsidR="00F50241">
        <w:rPr>
          <w:color w:val="000000"/>
          <w:lang w:val="es-ES_tradnl"/>
        </w:rPr>
        <w:t>“</w:t>
      </w:r>
      <w:r w:rsidRPr="004726C0">
        <w:rPr>
          <w:color w:val="000000"/>
          <w:lang w:val="es-ES_tradnl"/>
        </w:rPr>
        <w:t xml:space="preserve">el sustento de los hechos en el que la señora </w:t>
      </w:r>
      <w:proofErr w:type="spellStart"/>
      <w:r w:rsidR="006C39F6">
        <w:rPr>
          <w:rFonts w:eastAsia="Calibri"/>
          <w:lang w:val="es-ES_tradnl"/>
        </w:rPr>
        <w:t>Galindres</w:t>
      </w:r>
      <w:proofErr w:type="spellEnd"/>
      <w:r w:rsidR="006C39F6" w:rsidRPr="003D64AB">
        <w:rPr>
          <w:lang w:val="es-ES_tradnl"/>
        </w:rPr>
        <w:t xml:space="preserve"> </w:t>
      </w:r>
      <w:r w:rsidRPr="004726C0">
        <w:rPr>
          <w:color w:val="000000"/>
          <w:lang w:val="es-ES_tradnl"/>
        </w:rPr>
        <w:t>manifiesta que no se le habría permitido presentar una denunci</w:t>
      </w:r>
      <w:r w:rsidR="0088286D">
        <w:rPr>
          <w:color w:val="000000"/>
          <w:lang w:val="es-ES_tradnl"/>
        </w:rPr>
        <w:t>a el día 20 de octubre de 2010”</w:t>
      </w:r>
      <w:r w:rsidRPr="004726C0">
        <w:rPr>
          <w:color w:val="000000"/>
          <w:lang w:val="es-ES_tradnl"/>
        </w:rPr>
        <w:t xml:space="preserve">. </w:t>
      </w:r>
      <w:r w:rsidR="00697416">
        <w:rPr>
          <w:color w:val="000000"/>
          <w:lang w:val="es-ES_tradnl"/>
        </w:rPr>
        <w:t>E</w:t>
      </w:r>
      <w:r w:rsidRPr="004726C0">
        <w:rPr>
          <w:color w:val="000000"/>
          <w:lang w:val="es-ES_tradnl"/>
        </w:rPr>
        <w:t xml:space="preserve">l Estado parte reiteró </w:t>
      </w:r>
      <w:r w:rsidR="00697416">
        <w:rPr>
          <w:color w:val="000000"/>
          <w:lang w:val="es-ES_tradnl"/>
        </w:rPr>
        <w:t xml:space="preserve">también </w:t>
      </w:r>
      <w:r w:rsidRPr="004726C0">
        <w:rPr>
          <w:color w:val="000000"/>
          <w:lang w:val="es-ES_tradnl"/>
        </w:rPr>
        <w:t xml:space="preserve">que las investigaciones se llevaron </w:t>
      </w:r>
      <w:r w:rsidR="00827633">
        <w:rPr>
          <w:color w:val="000000"/>
          <w:lang w:val="es-ES_tradnl"/>
        </w:rPr>
        <w:t>a cabo con la debida diligencia y</w:t>
      </w:r>
      <w:r w:rsidRPr="004726C0">
        <w:rPr>
          <w:color w:val="000000"/>
          <w:lang w:val="es-ES_tradnl"/>
        </w:rPr>
        <w:t xml:space="preserve"> </w:t>
      </w:r>
      <w:r w:rsidR="00827633">
        <w:rPr>
          <w:color w:val="000000"/>
          <w:lang w:val="es-ES_tradnl"/>
        </w:rPr>
        <w:t>defendió</w:t>
      </w:r>
      <w:r w:rsidRPr="004726C0">
        <w:rPr>
          <w:color w:val="000000"/>
          <w:lang w:val="es-ES_tradnl"/>
        </w:rPr>
        <w:t xml:space="preserve"> que la obligación de investigar no es una obligaci</w:t>
      </w:r>
      <w:r w:rsidR="00697416">
        <w:rPr>
          <w:color w:val="000000"/>
          <w:lang w:val="es-ES_tradnl"/>
        </w:rPr>
        <w:t>ón de resultado, sino de medios</w:t>
      </w:r>
      <w:r w:rsidR="00876D50">
        <w:rPr>
          <w:color w:val="000000"/>
          <w:lang w:val="es-ES_tradnl"/>
        </w:rPr>
        <w:t>,</w:t>
      </w:r>
      <w:r w:rsidRPr="004726C0">
        <w:rPr>
          <w:color w:val="000000"/>
          <w:lang w:val="es-ES_tradnl"/>
        </w:rPr>
        <w:t xml:space="preserve"> que debe interpretarse de modo que no imponga una carga desproporcionada a las autoridades. </w:t>
      </w:r>
      <w:r w:rsidR="00DA7460" w:rsidRPr="004726C0">
        <w:rPr>
          <w:color w:val="000000"/>
          <w:lang w:val="es-ES_tradnl"/>
        </w:rPr>
        <w:t xml:space="preserve">El Estado parte </w:t>
      </w:r>
      <w:r w:rsidR="00DA7460">
        <w:rPr>
          <w:color w:val="000000"/>
          <w:lang w:val="es-ES_tradnl"/>
        </w:rPr>
        <w:t>añadió</w:t>
      </w:r>
      <w:r w:rsidR="00DA7460" w:rsidRPr="004726C0">
        <w:rPr>
          <w:color w:val="000000"/>
          <w:lang w:val="es-ES_tradnl"/>
        </w:rPr>
        <w:t xml:space="preserve"> qu</w:t>
      </w:r>
      <w:r w:rsidR="00DA7460">
        <w:rPr>
          <w:color w:val="000000"/>
          <w:lang w:val="es-ES_tradnl"/>
        </w:rPr>
        <w:t>e la investigación es imparcial,</w:t>
      </w:r>
      <w:r w:rsidR="00DA7460" w:rsidRPr="004726C0">
        <w:rPr>
          <w:color w:val="000000"/>
          <w:lang w:val="es-ES_tradnl"/>
        </w:rPr>
        <w:t xml:space="preserve"> ya que la Fiscalía es independiente jurídicamen</w:t>
      </w:r>
      <w:r w:rsidR="00DA7460">
        <w:rPr>
          <w:color w:val="000000"/>
          <w:lang w:val="es-ES_tradnl"/>
        </w:rPr>
        <w:t>te de la policía intermunicipal,</w:t>
      </w:r>
      <w:r w:rsidR="00DA7460" w:rsidRPr="004726C0">
        <w:rPr>
          <w:color w:val="000000"/>
          <w:lang w:val="es-ES_tradnl"/>
        </w:rPr>
        <w:t xml:space="preserve"> </w:t>
      </w:r>
      <w:r w:rsidR="00DA7460">
        <w:rPr>
          <w:color w:val="000000"/>
          <w:lang w:val="es-ES_tradnl"/>
        </w:rPr>
        <w:t xml:space="preserve">y </w:t>
      </w:r>
      <w:r w:rsidR="00DA7460" w:rsidRPr="004726C0">
        <w:rPr>
          <w:color w:val="000000"/>
          <w:lang w:val="es-ES_tradnl"/>
        </w:rPr>
        <w:t>que es exhaustiva</w:t>
      </w:r>
      <w:r w:rsidR="00DA7460">
        <w:rPr>
          <w:color w:val="000000"/>
          <w:lang w:val="es-ES_tradnl"/>
        </w:rPr>
        <w:t>,</w:t>
      </w:r>
      <w:r w:rsidR="00DA7460" w:rsidRPr="004726C0">
        <w:rPr>
          <w:color w:val="000000"/>
          <w:lang w:val="es-ES_tradnl"/>
        </w:rPr>
        <w:t xml:space="preserve"> ya que tanto autoridades estatales como federales implementaron todas las investigaciones y dili</w:t>
      </w:r>
      <w:r w:rsidR="00DA7460">
        <w:rPr>
          <w:color w:val="000000"/>
          <w:lang w:val="es-ES_tradnl"/>
        </w:rPr>
        <w:t>gencias</w:t>
      </w:r>
      <w:r w:rsidR="00C303EA">
        <w:rPr>
          <w:color w:val="000000"/>
          <w:lang w:val="es-ES_tradnl"/>
        </w:rPr>
        <w:t xml:space="preserve"> necesarias</w:t>
      </w:r>
      <w:r w:rsidR="00DA7460">
        <w:rPr>
          <w:color w:val="000000"/>
          <w:lang w:val="es-ES_tradnl"/>
        </w:rPr>
        <w:t>.</w:t>
      </w:r>
    </w:p>
    <w:p w14:paraId="49A91E77" w14:textId="1D740CC3" w:rsidR="004726C0" w:rsidRPr="004726C0" w:rsidRDefault="004726C0" w:rsidP="004726C0">
      <w:pPr>
        <w:pStyle w:val="SingleTxtG"/>
        <w:rPr>
          <w:color w:val="000000"/>
          <w:lang w:val="es-ES_tradnl"/>
        </w:rPr>
      </w:pPr>
      <w:r w:rsidRPr="004726C0">
        <w:rPr>
          <w:color w:val="000000"/>
          <w:lang w:val="es-ES_tradnl"/>
        </w:rPr>
        <w:t>6.3</w:t>
      </w:r>
      <w:r w:rsidRPr="004726C0">
        <w:rPr>
          <w:color w:val="000000"/>
          <w:lang w:val="es-ES_tradnl"/>
        </w:rPr>
        <w:tab/>
      </w:r>
      <w:r w:rsidR="00F64397">
        <w:rPr>
          <w:color w:val="000000"/>
          <w:lang w:val="es-ES_tradnl"/>
        </w:rPr>
        <w:t>El Estado parte detall</w:t>
      </w:r>
      <w:r w:rsidR="007D780D">
        <w:rPr>
          <w:color w:val="000000"/>
          <w:lang w:val="es-ES_tradnl"/>
        </w:rPr>
        <w:t>a</w:t>
      </w:r>
      <w:r w:rsidRPr="004726C0">
        <w:rPr>
          <w:color w:val="000000"/>
          <w:lang w:val="es-ES_tradnl"/>
        </w:rPr>
        <w:t xml:space="preserve"> nuevamente </w:t>
      </w:r>
      <w:r w:rsidR="00F5208F">
        <w:rPr>
          <w:color w:val="000000"/>
          <w:lang w:val="es-ES_tradnl"/>
        </w:rPr>
        <w:t xml:space="preserve">todas </w:t>
      </w:r>
      <w:r w:rsidRPr="004726C0">
        <w:rPr>
          <w:color w:val="000000"/>
          <w:lang w:val="es-ES_tradnl"/>
        </w:rPr>
        <w:t xml:space="preserve">las diligencias llevadas a cabo, </w:t>
      </w:r>
      <w:r w:rsidR="00A46C6A">
        <w:rPr>
          <w:color w:val="000000"/>
          <w:lang w:val="es-ES_tradnl"/>
        </w:rPr>
        <w:t>y precis</w:t>
      </w:r>
      <w:r w:rsidR="007D780D">
        <w:rPr>
          <w:color w:val="000000"/>
          <w:lang w:val="es-ES_tradnl"/>
        </w:rPr>
        <w:t>a</w:t>
      </w:r>
      <w:r w:rsidR="00A46C6A">
        <w:rPr>
          <w:color w:val="000000"/>
          <w:lang w:val="es-ES_tradnl"/>
        </w:rPr>
        <w:t xml:space="preserve"> que</w:t>
      </w:r>
      <w:r w:rsidR="00DE1B67">
        <w:rPr>
          <w:color w:val="000000"/>
          <w:lang w:val="es-ES_tradnl"/>
        </w:rPr>
        <w:t>,</w:t>
      </w:r>
      <w:r w:rsidRPr="004726C0">
        <w:rPr>
          <w:color w:val="000000"/>
          <w:lang w:val="es-ES_tradnl"/>
        </w:rPr>
        <w:t xml:space="preserve"> en el marco de las investigaciones sobre el automóvil, “no se encontró rastro alguno de que </w:t>
      </w:r>
      <w:r w:rsidR="00876D50" w:rsidRPr="00876D50">
        <w:rPr>
          <w:color w:val="000000"/>
          <w:lang w:val="es-ES_tradnl"/>
        </w:rPr>
        <w:t>[</w:t>
      </w:r>
      <w:r w:rsidR="00876D50">
        <w:rPr>
          <w:color w:val="000000"/>
          <w:lang w:val="es-ES_tradnl"/>
        </w:rPr>
        <w:t>…</w:t>
      </w:r>
      <w:r w:rsidR="00876D50" w:rsidRPr="00876D50">
        <w:rPr>
          <w:color w:val="000000"/>
          <w:lang w:val="es-ES_tradnl"/>
        </w:rPr>
        <w:t xml:space="preserve">] </w:t>
      </w:r>
      <w:r w:rsidRPr="004726C0">
        <w:rPr>
          <w:color w:val="000000"/>
          <w:lang w:val="es-ES_tradnl"/>
        </w:rPr>
        <w:t xml:space="preserve">hubiera alguna huella distinta que indicara que el auto fue utilizado por alguien ajeno al presunto desaparecido”. El Estado </w:t>
      </w:r>
      <w:r w:rsidR="00E50401">
        <w:rPr>
          <w:color w:val="000000"/>
          <w:lang w:val="es-ES_tradnl"/>
        </w:rPr>
        <w:t>añadió</w:t>
      </w:r>
      <w:r w:rsidR="00E50401" w:rsidRPr="004726C0">
        <w:rPr>
          <w:color w:val="000000"/>
          <w:lang w:val="es-ES_tradnl"/>
        </w:rPr>
        <w:t xml:space="preserve"> </w:t>
      </w:r>
      <w:r w:rsidR="00E50401">
        <w:rPr>
          <w:color w:val="000000"/>
          <w:lang w:val="es-ES_tradnl"/>
        </w:rPr>
        <w:t>t</w:t>
      </w:r>
      <w:r w:rsidR="001E2D15">
        <w:rPr>
          <w:color w:val="000000"/>
          <w:lang w:val="es-ES_tradnl"/>
        </w:rPr>
        <w:t>ambién</w:t>
      </w:r>
      <w:r w:rsidRPr="004726C0">
        <w:rPr>
          <w:color w:val="000000"/>
          <w:lang w:val="es-ES_tradnl"/>
        </w:rPr>
        <w:t xml:space="preserve"> que se presentaron a declarar </w:t>
      </w:r>
      <w:r w:rsidR="00CC6565">
        <w:rPr>
          <w:color w:val="000000"/>
          <w:lang w:val="es-ES_tradnl"/>
        </w:rPr>
        <w:lastRenderedPageBreak/>
        <w:t>otros</w:t>
      </w:r>
      <w:r w:rsidRPr="004726C0">
        <w:rPr>
          <w:color w:val="000000"/>
          <w:lang w:val="es-ES_tradnl"/>
        </w:rPr>
        <w:t xml:space="preserve"> </w:t>
      </w:r>
      <w:r w:rsidR="00451532">
        <w:rPr>
          <w:color w:val="000000"/>
          <w:lang w:val="es-ES_tradnl"/>
        </w:rPr>
        <w:t>agentes</w:t>
      </w:r>
      <w:r w:rsidRPr="004726C0">
        <w:rPr>
          <w:color w:val="000000"/>
          <w:lang w:val="es-ES_tradnl"/>
        </w:rPr>
        <w:t>,</w:t>
      </w:r>
      <w:r w:rsidR="00CC6565">
        <w:rPr>
          <w:rStyle w:val="FootnoteReference"/>
          <w:color w:val="000000"/>
          <w:lang w:val="es-ES_tradnl"/>
        </w:rPr>
        <w:footnoteReference w:id="22"/>
      </w:r>
      <w:r w:rsidR="00261D42">
        <w:rPr>
          <w:color w:val="000000"/>
          <w:lang w:val="es-ES_tradnl"/>
        </w:rPr>
        <w:t xml:space="preserve"> además de los tres policías identificados</w:t>
      </w:r>
      <w:r w:rsidR="00433D1E" w:rsidRPr="00433D1E">
        <w:rPr>
          <w:lang w:val="es-ES"/>
        </w:rPr>
        <w:t xml:space="preserve"> </w:t>
      </w:r>
      <w:r w:rsidR="00433D1E">
        <w:rPr>
          <w:lang w:val="es-ES"/>
        </w:rPr>
        <w:t xml:space="preserve">y de </w:t>
      </w:r>
      <w:r w:rsidR="00433D1E" w:rsidRPr="00433D1E">
        <w:rPr>
          <w:color w:val="000000"/>
          <w:lang w:val="es-ES_tradnl"/>
        </w:rPr>
        <w:t>Javier Amador Mercado Guerrero, Subcoordinador de la Policía Intermunicipal</w:t>
      </w:r>
      <w:r w:rsidR="00261D42">
        <w:rPr>
          <w:color w:val="000000"/>
          <w:lang w:val="es-ES_tradnl"/>
        </w:rPr>
        <w:t>,</w:t>
      </w:r>
      <w:r w:rsidRPr="004726C0">
        <w:rPr>
          <w:color w:val="000000"/>
          <w:lang w:val="es-ES_tradnl"/>
        </w:rPr>
        <w:t xml:space="preserve"> sin que sus declaraciones fueran “favorables para poder establecer su probable vínculo en los presuntos hechos”. </w:t>
      </w:r>
    </w:p>
    <w:p w14:paraId="78028CE4" w14:textId="081A58A7" w:rsidR="004726C0" w:rsidRPr="002A54E0" w:rsidRDefault="004726C0" w:rsidP="004726C0">
      <w:pPr>
        <w:pStyle w:val="SingleTxtG"/>
        <w:rPr>
          <w:lang w:val="es-ES_tradnl"/>
        </w:rPr>
      </w:pPr>
      <w:r w:rsidRPr="002A54E0">
        <w:rPr>
          <w:lang w:val="es-ES_tradnl"/>
        </w:rPr>
        <w:t>6.4</w:t>
      </w:r>
      <w:r w:rsidRPr="002A54E0">
        <w:rPr>
          <w:lang w:val="es-ES_tradnl"/>
        </w:rPr>
        <w:tab/>
        <w:t>Así, el Estado sostiene que</w:t>
      </w:r>
      <w:r w:rsidR="001D413F" w:rsidRPr="002A54E0">
        <w:rPr>
          <w:lang w:val="es-ES_tradnl"/>
        </w:rPr>
        <w:t>,</w:t>
      </w:r>
      <w:r w:rsidRPr="002A54E0">
        <w:rPr>
          <w:lang w:val="es-ES_tradnl"/>
        </w:rPr>
        <w:t xml:space="preserve"> </w:t>
      </w:r>
      <w:r w:rsidR="00294442" w:rsidRPr="002A54E0">
        <w:rPr>
          <w:lang w:val="es-ES_tradnl"/>
        </w:rPr>
        <w:t xml:space="preserve">no solamente </w:t>
      </w:r>
      <w:r w:rsidRPr="002A54E0">
        <w:rPr>
          <w:lang w:val="es-ES_tradnl"/>
        </w:rPr>
        <w:t xml:space="preserve">la desaparición </w:t>
      </w:r>
      <w:r w:rsidR="008D5D66" w:rsidRPr="002A54E0">
        <w:rPr>
          <w:lang w:val="es-ES_tradnl"/>
        </w:rPr>
        <w:t xml:space="preserve">del Sr. Téllez Padilla </w:t>
      </w:r>
      <w:r w:rsidRPr="002A54E0">
        <w:rPr>
          <w:lang w:val="es-ES_tradnl"/>
        </w:rPr>
        <w:t>no es atribuible a agentes del Estado “ya que ninguna prueba ha arrojado un resultado positivo que sustente tal afirmación”, sino que, al contrario, existen elementos de prueba que apuntan a conclusiones distintas, como el hecho de que ninguno de los policí</w:t>
      </w:r>
      <w:r w:rsidR="00294442" w:rsidRPr="002A54E0">
        <w:rPr>
          <w:lang w:val="es-ES_tradnl"/>
        </w:rPr>
        <w:t>as ha</w:t>
      </w:r>
      <w:r w:rsidR="009E38B7">
        <w:rPr>
          <w:lang w:val="es-ES_tradnl"/>
        </w:rPr>
        <w:t>ya</w:t>
      </w:r>
      <w:r w:rsidR="00294442" w:rsidRPr="002A54E0">
        <w:rPr>
          <w:lang w:val="es-ES_tradnl"/>
        </w:rPr>
        <w:t xml:space="preserve"> aceptado su participación</w:t>
      </w:r>
      <w:r w:rsidR="001A25AA" w:rsidRPr="002A54E0">
        <w:rPr>
          <w:lang w:val="es-ES_tradnl"/>
        </w:rPr>
        <w:t xml:space="preserve"> y que ninguna de las personas entrevistadas confirm</w:t>
      </w:r>
      <w:r w:rsidR="009E38B7">
        <w:rPr>
          <w:lang w:val="es-ES_tradnl"/>
        </w:rPr>
        <w:t>ara</w:t>
      </w:r>
      <w:r w:rsidR="001A25AA" w:rsidRPr="002A54E0">
        <w:rPr>
          <w:lang w:val="es-ES_tradnl"/>
        </w:rPr>
        <w:t xml:space="preserve"> los hechos</w:t>
      </w:r>
      <w:r w:rsidRPr="002A54E0">
        <w:rPr>
          <w:lang w:val="es-ES_tradnl"/>
        </w:rPr>
        <w:t xml:space="preserve">. Así, el Estado parte sostiene que no se le puede otorgar responsabilidad internacional </w:t>
      </w:r>
      <w:r w:rsidR="001D413F" w:rsidRPr="002A54E0">
        <w:rPr>
          <w:lang w:val="es-ES_tradnl"/>
        </w:rPr>
        <w:t>al</w:t>
      </w:r>
      <w:r w:rsidRPr="002A54E0">
        <w:rPr>
          <w:lang w:val="es-ES_tradnl"/>
        </w:rPr>
        <w:t xml:space="preserve"> aporta</w:t>
      </w:r>
      <w:r w:rsidR="001D413F" w:rsidRPr="002A54E0">
        <w:rPr>
          <w:lang w:val="es-ES_tradnl"/>
        </w:rPr>
        <w:t>r</w:t>
      </w:r>
      <w:r w:rsidRPr="002A54E0">
        <w:rPr>
          <w:lang w:val="es-ES_tradnl"/>
        </w:rPr>
        <w:t xml:space="preserve"> elementos que desacredita</w:t>
      </w:r>
      <w:r w:rsidR="009B593B" w:rsidRPr="002A54E0">
        <w:rPr>
          <w:lang w:val="es-ES_tradnl"/>
        </w:rPr>
        <w:t>n la</w:t>
      </w:r>
      <w:r w:rsidR="00E778BB" w:rsidRPr="002A54E0">
        <w:rPr>
          <w:lang w:val="es-ES_tradnl"/>
        </w:rPr>
        <w:t xml:space="preserve"> vers</w:t>
      </w:r>
      <w:r w:rsidR="009B593B" w:rsidRPr="002A54E0">
        <w:rPr>
          <w:lang w:val="es-ES_tradnl"/>
        </w:rPr>
        <w:t>ión de los autores.</w:t>
      </w:r>
      <w:r w:rsidRPr="002A54E0">
        <w:rPr>
          <w:lang w:val="es-ES_tradnl"/>
        </w:rPr>
        <w:t xml:space="preserve"> </w:t>
      </w:r>
    </w:p>
    <w:p w14:paraId="0892EAD1" w14:textId="3CEF3976" w:rsidR="004726C0" w:rsidRPr="006328B7" w:rsidRDefault="00BC3C86" w:rsidP="004726C0">
      <w:pPr>
        <w:pStyle w:val="SingleTxtG"/>
        <w:rPr>
          <w:lang w:val="es-ES_tradnl"/>
        </w:rPr>
      </w:pPr>
      <w:r w:rsidRPr="006328B7">
        <w:rPr>
          <w:lang w:val="es-ES_tradnl"/>
        </w:rPr>
        <w:t>6.5</w:t>
      </w:r>
      <w:r w:rsidR="004726C0" w:rsidRPr="006328B7">
        <w:rPr>
          <w:lang w:val="es-ES_tradnl"/>
        </w:rPr>
        <w:tab/>
      </w:r>
      <w:r w:rsidR="00EC10EC" w:rsidRPr="006328B7">
        <w:rPr>
          <w:lang w:val="es-ES_tradnl"/>
        </w:rPr>
        <w:t>Por último, e</w:t>
      </w:r>
      <w:r w:rsidR="004726C0" w:rsidRPr="006328B7">
        <w:rPr>
          <w:lang w:val="es-ES_tradnl"/>
        </w:rPr>
        <w:t xml:space="preserve">l Estado también </w:t>
      </w:r>
      <w:r w:rsidR="00EC10EC" w:rsidRPr="006328B7">
        <w:rPr>
          <w:lang w:val="es-ES_tradnl"/>
        </w:rPr>
        <w:t>sostuvo</w:t>
      </w:r>
      <w:r w:rsidR="004726C0" w:rsidRPr="006328B7">
        <w:rPr>
          <w:lang w:val="es-ES_tradnl"/>
        </w:rPr>
        <w:t xml:space="preserve"> que </w:t>
      </w:r>
      <w:r w:rsidR="006A5D9B" w:rsidRPr="006328B7">
        <w:rPr>
          <w:lang w:val="es-ES_tradnl"/>
        </w:rPr>
        <w:t>no</w:t>
      </w:r>
      <w:r w:rsidR="004726C0" w:rsidRPr="006328B7">
        <w:rPr>
          <w:lang w:val="es-ES_tradnl"/>
        </w:rPr>
        <w:t xml:space="preserve"> </w:t>
      </w:r>
      <w:r w:rsidR="00717940" w:rsidRPr="006328B7">
        <w:rPr>
          <w:lang w:val="es-ES_tradnl"/>
        </w:rPr>
        <w:t>era</w:t>
      </w:r>
      <w:r w:rsidR="004726C0" w:rsidRPr="006328B7">
        <w:rPr>
          <w:lang w:val="es-ES_tradnl"/>
        </w:rPr>
        <w:t xml:space="preserve"> posible señalar que la desaparición se </w:t>
      </w:r>
      <w:r w:rsidR="00C51936">
        <w:rPr>
          <w:lang w:val="es-ES_tradnl"/>
        </w:rPr>
        <w:t>hubiera producido</w:t>
      </w:r>
      <w:r w:rsidR="00C51936" w:rsidRPr="006328B7">
        <w:rPr>
          <w:lang w:val="es-ES_tradnl"/>
        </w:rPr>
        <w:t xml:space="preserve"> </w:t>
      </w:r>
      <w:r w:rsidR="004726C0" w:rsidRPr="006328B7">
        <w:rPr>
          <w:lang w:val="es-ES_tradnl"/>
        </w:rPr>
        <w:t>por una omisión del Estado</w:t>
      </w:r>
      <w:r w:rsidR="00C80931" w:rsidRPr="006328B7">
        <w:rPr>
          <w:lang w:val="es-ES_tradnl"/>
        </w:rPr>
        <w:t>. En este sentido,</w:t>
      </w:r>
      <w:r w:rsidR="004726C0" w:rsidRPr="006328B7">
        <w:rPr>
          <w:lang w:val="es-ES_tradnl"/>
        </w:rPr>
        <w:t xml:space="preserve"> </w:t>
      </w:r>
      <w:r w:rsidR="00C80931" w:rsidRPr="006328B7">
        <w:rPr>
          <w:lang w:val="es-ES_tradnl"/>
        </w:rPr>
        <w:t>mencion</w:t>
      </w:r>
      <w:r w:rsidR="00C51936">
        <w:rPr>
          <w:lang w:val="es-ES_tradnl"/>
        </w:rPr>
        <w:t>a</w:t>
      </w:r>
      <w:r w:rsidR="004726C0" w:rsidRPr="006328B7">
        <w:rPr>
          <w:lang w:val="es-ES_tradnl"/>
        </w:rPr>
        <w:t xml:space="preserve"> que un Estado no puede ser responsable por cualquier situación</w:t>
      </w:r>
      <w:r w:rsidR="00C80931" w:rsidRPr="006328B7">
        <w:rPr>
          <w:lang w:val="es-ES_tradnl"/>
        </w:rPr>
        <w:t xml:space="preserve"> de riesgo al derecho a la vida, si, </w:t>
      </w:r>
      <w:r w:rsidR="004726C0" w:rsidRPr="006328B7">
        <w:rPr>
          <w:lang w:val="es-ES_tradnl"/>
        </w:rPr>
        <w:t>al momento de los hechos</w:t>
      </w:r>
      <w:r w:rsidR="00553D84" w:rsidRPr="006328B7">
        <w:rPr>
          <w:lang w:val="es-ES_tradnl"/>
        </w:rPr>
        <w:t>,</w:t>
      </w:r>
      <w:r w:rsidR="004726C0" w:rsidRPr="006328B7">
        <w:rPr>
          <w:lang w:val="es-ES_tradnl"/>
        </w:rPr>
        <w:t xml:space="preserve"> las autoridades </w:t>
      </w:r>
      <w:r w:rsidR="00553D84" w:rsidRPr="006328B7">
        <w:rPr>
          <w:lang w:val="es-ES_tradnl"/>
        </w:rPr>
        <w:t xml:space="preserve">no </w:t>
      </w:r>
      <w:r w:rsidR="00C51936">
        <w:rPr>
          <w:lang w:val="es-ES_tradnl"/>
        </w:rPr>
        <w:t>conocían</w:t>
      </w:r>
      <w:r w:rsidR="004726C0" w:rsidRPr="006328B7">
        <w:rPr>
          <w:lang w:val="es-ES_tradnl"/>
        </w:rPr>
        <w:t xml:space="preserve"> la existencia de una situación de riesgo real e inmediato para la vida de un individuo </w:t>
      </w:r>
      <w:r w:rsidR="00553D84" w:rsidRPr="006328B7">
        <w:rPr>
          <w:lang w:val="es-ES_tradnl"/>
        </w:rPr>
        <w:t>determinado</w:t>
      </w:r>
      <w:r w:rsidR="004726C0" w:rsidRPr="006328B7">
        <w:rPr>
          <w:lang w:val="es-ES_tradnl"/>
        </w:rPr>
        <w:t xml:space="preserve">. </w:t>
      </w:r>
      <w:r w:rsidR="00553D84" w:rsidRPr="006328B7">
        <w:rPr>
          <w:lang w:val="es-ES_tradnl"/>
        </w:rPr>
        <w:t>E</w:t>
      </w:r>
      <w:r w:rsidR="004726C0" w:rsidRPr="006328B7">
        <w:rPr>
          <w:lang w:val="es-ES_tradnl"/>
        </w:rPr>
        <w:t>l Estado</w:t>
      </w:r>
      <w:r w:rsidR="00553D84" w:rsidRPr="006328B7">
        <w:rPr>
          <w:lang w:val="es-ES_tradnl"/>
        </w:rPr>
        <w:t xml:space="preserve"> precisó</w:t>
      </w:r>
      <w:r w:rsidR="004726C0" w:rsidRPr="006328B7">
        <w:rPr>
          <w:lang w:val="es-ES_tradnl"/>
        </w:rPr>
        <w:t xml:space="preserve"> </w:t>
      </w:r>
      <w:r w:rsidR="00553D84" w:rsidRPr="006328B7">
        <w:rPr>
          <w:lang w:val="es-ES_tradnl"/>
        </w:rPr>
        <w:t xml:space="preserve">que no recibió ninguna denuncia previa de </w:t>
      </w:r>
      <w:r w:rsidR="004726C0" w:rsidRPr="006328B7">
        <w:rPr>
          <w:lang w:val="es-ES_tradnl"/>
        </w:rPr>
        <w:t xml:space="preserve">que </w:t>
      </w:r>
      <w:r w:rsidR="00553D84" w:rsidRPr="006328B7">
        <w:rPr>
          <w:lang w:val="es-ES_tradnl"/>
        </w:rPr>
        <w:t>el Sr.</w:t>
      </w:r>
      <w:r w:rsidR="004726C0" w:rsidRPr="006328B7">
        <w:rPr>
          <w:lang w:val="es-ES_tradnl"/>
        </w:rPr>
        <w:t xml:space="preserve"> Téllez Padilla</w:t>
      </w:r>
      <w:r w:rsidR="00553D84" w:rsidRPr="006328B7">
        <w:rPr>
          <w:lang w:val="es-ES_tradnl"/>
        </w:rPr>
        <w:t xml:space="preserve"> se encontraba</w:t>
      </w:r>
      <w:r w:rsidR="004726C0" w:rsidRPr="006328B7">
        <w:rPr>
          <w:lang w:val="es-ES_tradnl"/>
        </w:rPr>
        <w:t xml:space="preserve"> en una situación de riesgo</w:t>
      </w:r>
      <w:r w:rsidR="006328B7" w:rsidRPr="006328B7">
        <w:rPr>
          <w:lang w:val="es-ES_tradnl"/>
        </w:rPr>
        <w:t xml:space="preserve">, por lo que no pudo </w:t>
      </w:r>
      <w:r w:rsidR="004726C0" w:rsidRPr="006328B7">
        <w:rPr>
          <w:lang w:val="es-ES_tradnl"/>
        </w:rPr>
        <w:t>prevenir su desaparición.</w:t>
      </w:r>
    </w:p>
    <w:p w14:paraId="0746FCFE" w14:textId="0A38B4DD" w:rsidR="004726C0" w:rsidRPr="004726C0" w:rsidRDefault="00824F80" w:rsidP="00824F80">
      <w:pPr>
        <w:pStyle w:val="H23G"/>
        <w:rPr>
          <w:lang w:val="es-ES_tradnl"/>
        </w:rPr>
      </w:pPr>
      <w:r>
        <w:rPr>
          <w:lang w:val="es-ES_tradnl"/>
        </w:rPr>
        <w:tab/>
      </w:r>
      <w:r>
        <w:rPr>
          <w:lang w:val="es-ES_tradnl"/>
        </w:rPr>
        <w:tab/>
      </w:r>
      <w:r w:rsidR="004726C0" w:rsidRPr="004726C0">
        <w:rPr>
          <w:lang w:val="es-ES_tradnl"/>
        </w:rPr>
        <w:t>Comentarios del autor a las observaciones del Estado parte sobre el fondo</w:t>
      </w:r>
    </w:p>
    <w:p w14:paraId="49643E11" w14:textId="10812B7C" w:rsidR="004726C0" w:rsidRDefault="00D06DFF" w:rsidP="001F4739">
      <w:pPr>
        <w:pStyle w:val="SingleTxtG"/>
        <w:rPr>
          <w:lang w:val="es-ES_tradnl"/>
        </w:rPr>
      </w:pPr>
      <w:r w:rsidRPr="006B14FF">
        <w:rPr>
          <w:lang w:val="es-ES_tradnl"/>
        </w:rPr>
        <w:t>7.1</w:t>
      </w:r>
      <w:r w:rsidRPr="006B14FF">
        <w:rPr>
          <w:lang w:val="es-ES_tradnl"/>
        </w:rPr>
        <w:tab/>
        <w:t>En sus comentarios de 20 de enero de 2017, los autores</w:t>
      </w:r>
      <w:r w:rsidR="00BC04CA" w:rsidRPr="006B14FF">
        <w:rPr>
          <w:lang w:val="es-ES_tradnl"/>
        </w:rPr>
        <w:t xml:space="preserve"> afirman que las autoridades sí conocían de la desaparición desde el mismo día</w:t>
      </w:r>
      <w:r w:rsidR="001F3929" w:rsidRPr="006B14FF">
        <w:rPr>
          <w:lang w:val="es-ES_tradnl"/>
        </w:rPr>
        <w:t xml:space="preserve"> en que ocurrió</w:t>
      </w:r>
      <w:r w:rsidR="00BC04CA" w:rsidRPr="006B14FF">
        <w:rPr>
          <w:lang w:val="es-ES_tradnl"/>
        </w:rPr>
        <w:t xml:space="preserve">, debido a que </w:t>
      </w:r>
      <w:r w:rsidR="006C39F6">
        <w:rPr>
          <w:lang w:val="es-ES_tradnl"/>
        </w:rPr>
        <w:t xml:space="preserve">la señora </w:t>
      </w:r>
      <w:proofErr w:type="spellStart"/>
      <w:r w:rsidR="006C39F6">
        <w:rPr>
          <w:rFonts w:eastAsia="Calibri"/>
          <w:lang w:val="es-ES_tradnl"/>
        </w:rPr>
        <w:t>Galindres</w:t>
      </w:r>
      <w:proofErr w:type="spellEnd"/>
      <w:r w:rsidR="006C39F6" w:rsidRPr="003D64AB">
        <w:rPr>
          <w:lang w:val="es-ES_tradnl"/>
        </w:rPr>
        <w:t xml:space="preserve"> </w:t>
      </w:r>
      <w:r w:rsidR="002B7AF5" w:rsidRPr="001C32FD">
        <w:rPr>
          <w:lang w:val="es-ES_tradnl"/>
        </w:rPr>
        <w:t xml:space="preserve">llamó </w:t>
      </w:r>
      <w:r w:rsidR="002B7AF5">
        <w:rPr>
          <w:lang w:val="es-ES_tradnl"/>
        </w:rPr>
        <w:t>ese mismo día</w:t>
      </w:r>
      <w:r w:rsidR="002B7AF5" w:rsidRPr="001C32FD">
        <w:rPr>
          <w:lang w:val="es-ES_tradnl"/>
        </w:rPr>
        <w:t xml:space="preserve"> </w:t>
      </w:r>
      <w:r w:rsidR="00057B67" w:rsidRPr="001C32FD">
        <w:rPr>
          <w:lang w:val="es-ES_tradnl"/>
        </w:rPr>
        <w:t>a la Policía</w:t>
      </w:r>
      <w:r w:rsidR="002B7AF5">
        <w:rPr>
          <w:lang w:val="es-ES_tradnl"/>
        </w:rPr>
        <w:t>,</w:t>
      </w:r>
      <w:r w:rsidR="00057B67" w:rsidRPr="001C32FD">
        <w:rPr>
          <w:lang w:val="es-ES_tradnl"/>
        </w:rPr>
        <w:t xml:space="preserve"> </w:t>
      </w:r>
      <w:r w:rsidR="002B7AF5">
        <w:rPr>
          <w:lang w:val="es-ES_tradnl"/>
        </w:rPr>
        <w:t>a través del</w:t>
      </w:r>
      <w:r w:rsidR="002B7AF5" w:rsidRPr="001C32FD">
        <w:rPr>
          <w:lang w:val="es-ES_tradnl"/>
        </w:rPr>
        <w:t xml:space="preserve"> número telefónico de emergencia</w:t>
      </w:r>
      <w:r w:rsidR="002B7AF5" w:rsidRPr="006B14FF">
        <w:rPr>
          <w:lang w:val="es-ES_tradnl"/>
        </w:rPr>
        <w:t xml:space="preserve"> </w:t>
      </w:r>
      <w:r w:rsidR="00E6619D" w:rsidRPr="001C32FD">
        <w:rPr>
          <w:lang w:val="es-ES_tradnl"/>
        </w:rPr>
        <w:t>para denunciar la desaparición de su pareja</w:t>
      </w:r>
      <w:r w:rsidR="001F4739" w:rsidRPr="001F4739">
        <w:rPr>
          <w:lang w:val="es-ES_tradnl"/>
        </w:rPr>
        <w:t xml:space="preserve"> </w:t>
      </w:r>
      <w:r w:rsidR="001F4739" w:rsidRPr="001C32FD">
        <w:rPr>
          <w:lang w:val="es-ES_tradnl"/>
        </w:rPr>
        <w:t xml:space="preserve">después de haber preguntado por </w:t>
      </w:r>
      <w:r w:rsidR="001F4739">
        <w:rPr>
          <w:lang w:val="es-ES_tradnl"/>
        </w:rPr>
        <w:t>él</w:t>
      </w:r>
      <w:r w:rsidR="001F4739" w:rsidRPr="001C32FD">
        <w:rPr>
          <w:lang w:val="es-ES_tradnl"/>
        </w:rPr>
        <w:t xml:space="preserve"> </w:t>
      </w:r>
      <w:r w:rsidR="001F4739">
        <w:rPr>
          <w:lang w:val="es-ES_tradnl"/>
        </w:rPr>
        <w:t>en tres entidades del Estado</w:t>
      </w:r>
      <w:r w:rsidR="001F4739" w:rsidRPr="001C32FD">
        <w:rPr>
          <w:lang w:val="es-ES_tradnl"/>
        </w:rPr>
        <w:t xml:space="preserve"> </w:t>
      </w:r>
      <w:r w:rsidR="001F4739">
        <w:rPr>
          <w:lang w:val="es-ES_tradnl"/>
        </w:rPr>
        <w:t xml:space="preserve">(en las dependencias de </w:t>
      </w:r>
      <w:r w:rsidR="001F4739" w:rsidRPr="001C32FD">
        <w:rPr>
          <w:lang w:val="es-ES_tradnl"/>
        </w:rPr>
        <w:t xml:space="preserve">la Policía </w:t>
      </w:r>
      <w:r w:rsidR="001F4739">
        <w:rPr>
          <w:lang w:val="es-ES_tradnl"/>
        </w:rPr>
        <w:t xml:space="preserve">Intermunicipal, de </w:t>
      </w:r>
      <w:r w:rsidR="001F4739" w:rsidRPr="001C32FD">
        <w:rPr>
          <w:lang w:val="es-ES_tradnl"/>
        </w:rPr>
        <w:t xml:space="preserve">la </w:t>
      </w:r>
      <w:r w:rsidR="001F4739" w:rsidRPr="001F4739">
        <w:rPr>
          <w:lang w:val="es-ES_tradnl"/>
        </w:rPr>
        <w:t>Agencia Veracruzana de Investigación</w:t>
      </w:r>
      <w:r w:rsidR="001F4739" w:rsidRPr="001C32FD">
        <w:rPr>
          <w:lang w:val="es-ES_tradnl"/>
        </w:rPr>
        <w:t xml:space="preserve"> y </w:t>
      </w:r>
      <w:r w:rsidR="001F4739">
        <w:rPr>
          <w:lang w:val="es-ES_tradnl"/>
        </w:rPr>
        <w:t>de</w:t>
      </w:r>
      <w:r w:rsidR="001F4739" w:rsidRPr="001C32FD">
        <w:rPr>
          <w:lang w:val="es-ES_tradnl"/>
        </w:rPr>
        <w:t xml:space="preserve"> la Agencia Federal de Investigación</w:t>
      </w:r>
      <w:r w:rsidR="001F4739">
        <w:rPr>
          <w:lang w:val="es-ES_tradnl"/>
        </w:rPr>
        <w:t>)</w:t>
      </w:r>
      <w:r w:rsidR="002B7AF5">
        <w:rPr>
          <w:lang w:val="es-ES_tradnl"/>
        </w:rPr>
        <w:t xml:space="preserve">. Los autores </w:t>
      </w:r>
      <w:r w:rsidR="001761EC">
        <w:rPr>
          <w:lang w:val="es-ES_tradnl"/>
        </w:rPr>
        <w:t>indican</w:t>
      </w:r>
      <w:r w:rsidR="002B7AF5">
        <w:rPr>
          <w:lang w:val="es-ES_tradnl"/>
        </w:rPr>
        <w:t xml:space="preserve"> que</w:t>
      </w:r>
      <w:r w:rsidR="00832605" w:rsidRPr="00832605">
        <w:rPr>
          <w:lang w:val="es-ES_tradnl"/>
        </w:rPr>
        <w:t xml:space="preserve"> </w:t>
      </w:r>
      <w:r w:rsidR="00832605" w:rsidRPr="001C32FD">
        <w:rPr>
          <w:lang w:val="es-ES_tradnl"/>
        </w:rPr>
        <w:t>la llamada quedó consignada en el expediente penal</w:t>
      </w:r>
      <w:r w:rsidR="002B7AF5">
        <w:rPr>
          <w:lang w:val="es-ES_tradnl"/>
        </w:rPr>
        <w:t xml:space="preserve">. Además, los autores </w:t>
      </w:r>
      <w:r w:rsidR="00367DC0">
        <w:rPr>
          <w:lang w:val="es-ES_tradnl"/>
        </w:rPr>
        <w:t>precisan también que</w:t>
      </w:r>
      <w:r w:rsidR="002B7AF5">
        <w:rPr>
          <w:lang w:val="es-ES_tradnl"/>
        </w:rPr>
        <w:t xml:space="preserve"> </w:t>
      </w:r>
      <w:r w:rsidR="00367DC0" w:rsidRPr="00367DC0">
        <w:rPr>
          <w:lang w:val="es-ES_tradnl"/>
        </w:rPr>
        <w:t>quedó constancia en el expediente de la negativa de la Procuraduría General de Justicia del estado de Veracruz de tomar la denuncia</w:t>
      </w:r>
      <w:r w:rsidR="00F936F5">
        <w:rPr>
          <w:lang w:val="es-ES_tradnl"/>
        </w:rPr>
        <w:t xml:space="preserve"> el día 20 de</w:t>
      </w:r>
      <w:r w:rsidR="00F936F5" w:rsidRPr="00F936F5">
        <w:rPr>
          <w:lang w:val="es-ES"/>
        </w:rPr>
        <w:t xml:space="preserve"> </w:t>
      </w:r>
      <w:r w:rsidR="00F936F5" w:rsidRPr="00F936F5">
        <w:rPr>
          <w:lang w:val="es-ES_tradnl"/>
        </w:rPr>
        <w:t>octubre de 2010</w:t>
      </w:r>
      <w:r w:rsidR="00367DC0">
        <w:rPr>
          <w:lang w:val="es-ES_tradnl"/>
        </w:rPr>
        <w:t>.</w:t>
      </w:r>
      <w:r w:rsidR="00367DC0">
        <w:rPr>
          <w:rStyle w:val="FootnoteReference"/>
          <w:lang w:val="es-ES_tradnl"/>
        </w:rPr>
        <w:footnoteReference w:id="23"/>
      </w:r>
      <w:r w:rsidR="00767B84">
        <w:rPr>
          <w:lang w:val="es-ES_tradnl"/>
        </w:rPr>
        <w:t xml:space="preserve"> </w:t>
      </w:r>
    </w:p>
    <w:p w14:paraId="584ED7E0" w14:textId="64BDD2C0" w:rsidR="007F4AED" w:rsidRPr="004333B4" w:rsidRDefault="002912C7" w:rsidP="004333B4">
      <w:pPr>
        <w:pStyle w:val="SingleTxtG"/>
        <w:rPr>
          <w:lang w:val="es-ES_tradnl" w:eastAsia="es-ES"/>
        </w:rPr>
      </w:pPr>
      <w:r>
        <w:rPr>
          <w:lang w:val="es-ES_tradnl"/>
        </w:rPr>
        <w:t>7.2</w:t>
      </w:r>
      <w:r>
        <w:rPr>
          <w:lang w:val="es-ES_tradnl"/>
        </w:rPr>
        <w:tab/>
        <w:t>Los autores insisten también en que</w:t>
      </w:r>
      <w:r w:rsidR="005E6756">
        <w:rPr>
          <w:lang w:val="es-ES_tradnl"/>
        </w:rPr>
        <w:t>,</w:t>
      </w:r>
      <w:r w:rsidR="00E34CE8">
        <w:rPr>
          <w:lang w:val="es-ES_tradnl"/>
        </w:rPr>
        <w:t xml:space="preserve"> </w:t>
      </w:r>
      <w:r w:rsidR="005E6756">
        <w:rPr>
          <w:lang w:val="es-ES_tradnl"/>
        </w:rPr>
        <w:t xml:space="preserve">a pesar del relato </w:t>
      </w:r>
      <w:r w:rsidR="005E6756" w:rsidRPr="001C32FD">
        <w:rPr>
          <w:lang w:val="es-ES_tradnl" w:eastAsia="es-ES"/>
        </w:rPr>
        <w:t>siempre consistente</w:t>
      </w:r>
      <w:r w:rsidR="005E6756">
        <w:rPr>
          <w:lang w:val="es-ES_tradnl"/>
        </w:rPr>
        <w:t xml:space="preserve"> de</w:t>
      </w:r>
      <w:r w:rsidR="00F93E5B">
        <w:rPr>
          <w:lang w:val="es-ES_tradnl"/>
        </w:rPr>
        <w:t xml:space="preserve"> </w:t>
      </w:r>
      <w:r w:rsidR="005E6756">
        <w:rPr>
          <w:lang w:val="es-ES_tradnl"/>
        </w:rPr>
        <w:t>l</w:t>
      </w:r>
      <w:r w:rsidR="00F93E5B">
        <w:rPr>
          <w:lang w:val="es-ES_tradnl"/>
        </w:rPr>
        <w:t>a</w:t>
      </w:r>
      <w:r w:rsidR="005E6756">
        <w:rPr>
          <w:lang w:val="es-ES_tradnl"/>
        </w:rPr>
        <w:t xml:space="preserve"> testigo presencial</w:t>
      </w:r>
      <w:r w:rsidR="005E6756">
        <w:rPr>
          <w:lang w:val="es-ES_tradnl" w:eastAsia="es-ES"/>
        </w:rPr>
        <w:t>,</w:t>
      </w:r>
      <w:r w:rsidR="005E6756" w:rsidRPr="00E34CE8">
        <w:rPr>
          <w:lang w:val="es-ES_tradnl"/>
        </w:rPr>
        <w:t xml:space="preserve"> </w:t>
      </w:r>
      <w:r w:rsidR="00E34CE8" w:rsidRPr="00E34CE8">
        <w:rPr>
          <w:lang w:val="es-ES_tradnl"/>
        </w:rPr>
        <w:t xml:space="preserve">las investigaciones no han sido rápidas ni exhaustivas, no se han adelantado con debida diligencia, y han implicado la pérdida y alteración de pruebas sustanciales e insustituibles </w:t>
      </w:r>
      <w:r w:rsidR="00CC23B8">
        <w:rPr>
          <w:lang w:val="es-ES_tradnl"/>
        </w:rPr>
        <w:t xml:space="preserve">para establecer lo que </w:t>
      </w:r>
      <w:r w:rsidR="009605A3">
        <w:rPr>
          <w:lang w:val="es-ES_tradnl"/>
        </w:rPr>
        <w:t xml:space="preserve">sucedió y </w:t>
      </w:r>
      <w:r w:rsidR="00E34CE8" w:rsidRPr="00E34CE8">
        <w:rPr>
          <w:lang w:val="es-ES_tradnl"/>
        </w:rPr>
        <w:t xml:space="preserve">la identidad de los </w:t>
      </w:r>
      <w:r w:rsidR="009605A3">
        <w:rPr>
          <w:lang w:val="es-ES_tradnl"/>
        </w:rPr>
        <w:t>responsables</w:t>
      </w:r>
      <w:r w:rsidR="005E6756">
        <w:rPr>
          <w:lang w:val="es-ES_tradnl" w:eastAsia="es-ES"/>
        </w:rPr>
        <w:t>.</w:t>
      </w:r>
      <w:r w:rsidR="00465B78">
        <w:rPr>
          <w:lang w:val="es-ES_tradnl" w:eastAsia="es-ES"/>
        </w:rPr>
        <w:t xml:space="preserve"> </w:t>
      </w:r>
      <w:r w:rsidR="009850D1" w:rsidRPr="009850D1">
        <w:rPr>
          <w:lang w:val="es-ES_tradnl" w:eastAsia="es-ES"/>
        </w:rPr>
        <w:t xml:space="preserve">Al respecto, los autores recuerdan que el Grupo de Trabajo sobre desapariciones forzadas o involuntarias ha recordado que “las primeras horas y días después de la privación de libertad son cuando suelen </w:t>
      </w:r>
      <w:r w:rsidR="009850D1" w:rsidRPr="009850D1">
        <w:rPr>
          <w:lang w:val="es-ES_tradnl" w:eastAsia="es-ES"/>
        </w:rPr>
        <w:lastRenderedPageBreak/>
        <w:t>producirse abusos, incluidas las desapariciones forzadas o involuntarias”</w:t>
      </w:r>
      <w:r w:rsidR="009850D1">
        <w:rPr>
          <w:rStyle w:val="FootnoteReference"/>
          <w:lang w:val="es-ES_tradnl" w:eastAsia="es-ES"/>
        </w:rPr>
        <w:footnoteReference w:id="24"/>
      </w:r>
      <w:r w:rsidR="009850D1">
        <w:rPr>
          <w:lang w:val="es-ES_tradnl" w:eastAsia="es-ES"/>
        </w:rPr>
        <w:t>.</w:t>
      </w:r>
      <w:r w:rsidR="00D70F56" w:rsidRPr="00D70F56">
        <w:rPr>
          <w:lang w:val="es-ES_tradnl" w:eastAsia="es-ES"/>
        </w:rPr>
        <w:t xml:space="preserve"> </w:t>
      </w:r>
      <w:r w:rsidR="00796131">
        <w:rPr>
          <w:lang w:val="es-ES_tradnl" w:eastAsia="es-ES"/>
        </w:rPr>
        <w:t>Sin embargo, p</w:t>
      </w:r>
      <w:r w:rsidR="00D70F56">
        <w:rPr>
          <w:lang w:val="es-ES_tradnl" w:eastAsia="es-ES"/>
        </w:rPr>
        <w:t xml:space="preserve">recisan que </w:t>
      </w:r>
      <w:r w:rsidR="00346DE2">
        <w:rPr>
          <w:lang w:val="es-ES_tradnl" w:eastAsia="es-ES"/>
        </w:rPr>
        <w:t xml:space="preserve">no hubo </w:t>
      </w:r>
      <w:r w:rsidR="00590379" w:rsidRPr="001C32FD">
        <w:rPr>
          <w:lang w:val="es-ES_tradnl" w:eastAsia="es-ES"/>
        </w:rPr>
        <w:t>orden de inspección o</w:t>
      </w:r>
      <w:r w:rsidR="00590379">
        <w:rPr>
          <w:lang w:val="es-ES_tradnl" w:eastAsia="es-ES"/>
        </w:rPr>
        <w:t xml:space="preserve">cular </w:t>
      </w:r>
      <w:r w:rsidR="00590379" w:rsidRPr="001C32FD">
        <w:rPr>
          <w:lang w:val="es-ES_tradnl" w:eastAsia="es-ES"/>
        </w:rPr>
        <w:t>en las instalacion</w:t>
      </w:r>
      <w:r w:rsidR="00590379">
        <w:rPr>
          <w:lang w:val="es-ES_tradnl" w:eastAsia="es-ES"/>
        </w:rPr>
        <w:t>es de la Policía Intermunicipal</w:t>
      </w:r>
      <w:r w:rsidR="0009568E">
        <w:rPr>
          <w:lang w:val="es-MX" w:eastAsia="es-ES"/>
        </w:rPr>
        <w:t>,</w:t>
      </w:r>
      <w:r w:rsidR="005E69EB">
        <w:rPr>
          <w:lang w:val="es-MX" w:eastAsia="es-ES"/>
        </w:rPr>
        <w:t xml:space="preserve"> que</w:t>
      </w:r>
      <w:r w:rsidR="00590379">
        <w:rPr>
          <w:lang w:val="es-MX" w:eastAsia="es-ES"/>
        </w:rPr>
        <w:t xml:space="preserve"> </w:t>
      </w:r>
      <w:r w:rsidR="005E69EB" w:rsidRPr="005E69EB">
        <w:rPr>
          <w:lang w:val="es-MX" w:eastAsia="es-ES"/>
        </w:rPr>
        <w:t xml:space="preserve">no </w:t>
      </w:r>
      <w:r w:rsidR="005E69EB">
        <w:rPr>
          <w:lang w:val="es-MX" w:eastAsia="es-ES"/>
        </w:rPr>
        <w:t xml:space="preserve">se </w:t>
      </w:r>
      <w:r w:rsidR="005E69EB" w:rsidRPr="005E69EB">
        <w:rPr>
          <w:lang w:val="es-MX" w:eastAsia="es-ES"/>
        </w:rPr>
        <w:t>ordenó diligencia para obtener información de las cámaras ubicadas en el lugar</w:t>
      </w:r>
      <w:r w:rsidR="005E69EB">
        <w:rPr>
          <w:lang w:val="es-MX" w:eastAsia="es-ES"/>
        </w:rPr>
        <w:t xml:space="preserve"> donde fue hallado el vehículo</w:t>
      </w:r>
      <w:r w:rsidR="0009568E">
        <w:rPr>
          <w:lang w:val="es-MX" w:eastAsia="es-ES"/>
        </w:rPr>
        <w:t>,</w:t>
      </w:r>
      <w:r w:rsidR="005E69EB">
        <w:rPr>
          <w:lang w:val="es-MX" w:eastAsia="es-ES"/>
        </w:rPr>
        <w:t xml:space="preserve"> </w:t>
      </w:r>
      <w:r w:rsidR="00590379">
        <w:rPr>
          <w:lang w:val="es-MX" w:eastAsia="es-ES"/>
        </w:rPr>
        <w:t>que la</w:t>
      </w:r>
      <w:r w:rsidR="00590379" w:rsidRPr="001C32FD">
        <w:rPr>
          <w:lang w:val="es-MX" w:eastAsia="es-ES"/>
        </w:rPr>
        <w:t xml:space="preserve"> </w:t>
      </w:r>
      <w:r w:rsidR="00590379" w:rsidRPr="001C32FD">
        <w:rPr>
          <w:lang w:val="es-ES_tradnl" w:eastAsia="es-ES"/>
        </w:rPr>
        <w:t>primera visita al lugar</w:t>
      </w:r>
      <w:r w:rsidR="005E69EB">
        <w:rPr>
          <w:lang w:val="es-ES_tradnl" w:eastAsia="es-ES"/>
        </w:rPr>
        <w:t xml:space="preserve"> de la detención </w:t>
      </w:r>
      <w:r w:rsidR="00590379" w:rsidRPr="001C32FD">
        <w:rPr>
          <w:lang w:val="es-ES_tradnl" w:eastAsia="es-ES"/>
        </w:rPr>
        <w:t xml:space="preserve">se realizó el 27 de octubre de 2010, </w:t>
      </w:r>
      <w:r w:rsidR="00590379">
        <w:rPr>
          <w:lang w:val="es-ES_tradnl" w:eastAsia="es-ES"/>
        </w:rPr>
        <w:t xml:space="preserve">es decir, </w:t>
      </w:r>
      <w:r w:rsidR="00590379" w:rsidRPr="001C32FD">
        <w:rPr>
          <w:lang w:val="es-ES_tradnl" w:eastAsia="es-ES"/>
        </w:rPr>
        <w:t>siete días después</w:t>
      </w:r>
      <w:r w:rsidR="0009568E">
        <w:rPr>
          <w:lang w:val="es-ES_tradnl" w:eastAsia="es-ES"/>
        </w:rPr>
        <w:t xml:space="preserve"> de los hechos,</w:t>
      </w:r>
      <w:r w:rsidR="00590379">
        <w:rPr>
          <w:lang w:val="es-ES_tradnl" w:eastAsia="es-ES"/>
        </w:rPr>
        <w:t xml:space="preserve"> que </w:t>
      </w:r>
      <w:r w:rsidR="00D70F56" w:rsidRPr="001C32FD">
        <w:rPr>
          <w:lang w:val="es-ES_tradnl" w:eastAsia="es-ES"/>
        </w:rPr>
        <w:t xml:space="preserve">el agente del Ministerio Público recibió de la Policía </w:t>
      </w:r>
      <w:r w:rsidR="00D70F56">
        <w:rPr>
          <w:lang w:val="es-ES_tradnl" w:eastAsia="es-ES"/>
        </w:rPr>
        <w:t>las</w:t>
      </w:r>
      <w:r w:rsidR="00D70F56" w:rsidRPr="001C32FD">
        <w:rPr>
          <w:lang w:val="es-ES_tradnl" w:eastAsia="es-ES"/>
        </w:rPr>
        <w:t xml:space="preserve"> fotografías de </w:t>
      </w:r>
      <w:r w:rsidR="00D70F56">
        <w:rPr>
          <w:lang w:val="es-ES_tradnl" w:eastAsia="es-ES"/>
        </w:rPr>
        <w:t>los agentes</w:t>
      </w:r>
      <w:r w:rsidR="00D70F56" w:rsidRPr="001C32FD">
        <w:rPr>
          <w:lang w:val="es-ES_tradnl" w:eastAsia="es-ES"/>
        </w:rPr>
        <w:t xml:space="preserve"> </w:t>
      </w:r>
      <w:r w:rsidR="00590379">
        <w:rPr>
          <w:lang w:val="es-ES_tradnl" w:eastAsia="es-ES"/>
        </w:rPr>
        <w:t xml:space="preserve">también </w:t>
      </w:r>
      <w:r w:rsidR="00D70F56" w:rsidRPr="001C32FD">
        <w:rPr>
          <w:lang w:val="es-ES_tradnl" w:eastAsia="es-ES"/>
        </w:rPr>
        <w:t>el 27 de octubre</w:t>
      </w:r>
      <w:r w:rsidR="00D70F56">
        <w:rPr>
          <w:lang w:val="es-ES_tradnl" w:eastAsia="es-ES"/>
        </w:rPr>
        <w:t xml:space="preserve"> de 2010</w:t>
      </w:r>
      <w:r w:rsidR="00D70F56" w:rsidRPr="001337BE">
        <w:rPr>
          <w:lang w:val="es-ES_tradnl" w:eastAsia="es-ES"/>
        </w:rPr>
        <w:t>,</w:t>
      </w:r>
      <w:r w:rsidR="00D70F56" w:rsidRPr="001337BE">
        <w:rPr>
          <w:vertAlign w:val="superscript"/>
          <w:lang w:val="es-ES_tradnl" w:eastAsia="es-ES"/>
        </w:rPr>
        <w:footnoteReference w:id="25"/>
      </w:r>
      <w:r w:rsidR="00D70F56" w:rsidRPr="001337BE">
        <w:rPr>
          <w:lang w:val="es-ES_tradnl" w:eastAsia="es-ES"/>
        </w:rPr>
        <w:t xml:space="preserve"> y </w:t>
      </w:r>
      <w:r w:rsidR="00D70F56">
        <w:rPr>
          <w:lang w:val="es-ES_tradnl" w:eastAsia="es-ES"/>
        </w:rPr>
        <w:t xml:space="preserve">que </w:t>
      </w:r>
      <w:r w:rsidR="00D70F56" w:rsidRPr="001337BE">
        <w:rPr>
          <w:lang w:val="es-ES_tradnl" w:eastAsia="es-ES"/>
        </w:rPr>
        <w:t xml:space="preserve">la primera </w:t>
      </w:r>
      <w:r w:rsidR="00D70F56" w:rsidRPr="001C32FD">
        <w:rPr>
          <w:lang w:val="es-ES_tradnl" w:eastAsia="es-ES"/>
        </w:rPr>
        <w:t>diligencia para recibir</w:t>
      </w:r>
      <w:r w:rsidR="00D70F56">
        <w:rPr>
          <w:lang w:val="es-ES_tradnl" w:eastAsia="es-ES"/>
        </w:rPr>
        <w:t xml:space="preserve"> la</w:t>
      </w:r>
      <w:r w:rsidR="00D70F56" w:rsidRPr="001C32FD">
        <w:rPr>
          <w:lang w:val="es-ES_tradnl" w:eastAsia="es-ES"/>
        </w:rPr>
        <w:t xml:space="preserve"> declaración de </w:t>
      </w:r>
      <w:r w:rsidR="00D70F56">
        <w:rPr>
          <w:lang w:val="es-ES_tradnl" w:eastAsia="es-ES"/>
        </w:rPr>
        <w:t xml:space="preserve">Pablo García </w:t>
      </w:r>
      <w:proofErr w:type="spellStart"/>
      <w:r w:rsidR="00D70F56">
        <w:rPr>
          <w:lang w:val="es-ES_tradnl" w:eastAsia="es-ES"/>
        </w:rPr>
        <w:t>García</w:t>
      </w:r>
      <w:proofErr w:type="spellEnd"/>
      <w:r w:rsidR="00D70F56" w:rsidRPr="001C32FD">
        <w:rPr>
          <w:lang w:val="es-ES_tradnl" w:eastAsia="es-ES"/>
        </w:rPr>
        <w:t xml:space="preserve"> fue orde</w:t>
      </w:r>
      <w:r w:rsidR="0009568E">
        <w:rPr>
          <w:lang w:val="es-ES_tradnl" w:eastAsia="es-ES"/>
        </w:rPr>
        <w:t>nada el 24 de noviembre de 2010</w:t>
      </w:r>
      <w:r w:rsidR="00D70F56" w:rsidRPr="001C32FD">
        <w:rPr>
          <w:lang w:val="es-ES_tradnl" w:eastAsia="es-ES"/>
        </w:rPr>
        <w:t xml:space="preserve"> </w:t>
      </w:r>
      <w:r w:rsidR="0009568E">
        <w:rPr>
          <w:lang w:val="es-ES_tradnl" w:eastAsia="es-ES"/>
        </w:rPr>
        <w:t>(</w:t>
      </w:r>
      <w:r w:rsidR="00D70F56" w:rsidRPr="00D70F56">
        <w:rPr>
          <w:lang w:val="es-ES_tradnl" w:eastAsia="es-ES"/>
        </w:rPr>
        <w:t>más de dos meses después de la desaparición</w:t>
      </w:r>
      <w:r w:rsidR="0009568E">
        <w:rPr>
          <w:lang w:val="es-ES_tradnl" w:eastAsia="es-ES"/>
        </w:rPr>
        <w:t>)</w:t>
      </w:r>
      <w:r w:rsidR="00D70F56">
        <w:rPr>
          <w:lang w:val="es-ES_tradnl" w:eastAsia="es-ES"/>
        </w:rPr>
        <w:t>.</w:t>
      </w:r>
      <w:r w:rsidR="00700264" w:rsidRPr="00700264">
        <w:rPr>
          <w:lang w:val="es-ES_tradnl" w:eastAsia="es-ES"/>
        </w:rPr>
        <w:t xml:space="preserve"> </w:t>
      </w:r>
      <w:r w:rsidR="004333B4">
        <w:rPr>
          <w:lang w:val="es-ES_tradnl" w:eastAsia="es-ES"/>
        </w:rPr>
        <w:t xml:space="preserve">Asimismo, los autores </w:t>
      </w:r>
      <w:r w:rsidR="0009568E">
        <w:rPr>
          <w:lang w:val="es-ES_tradnl" w:eastAsia="es-ES"/>
        </w:rPr>
        <w:t>indicaron</w:t>
      </w:r>
      <w:r w:rsidR="004333B4">
        <w:rPr>
          <w:lang w:val="es-ES_tradnl" w:eastAsia="es-ES"/>
        </w:rPr>
        <w:t xml:space="preserve"> que</w:t>
      </w:r>
      <w:r w:rsidR="004333B4" w:rsidRPr="004333B4">
        <w:rPr>
          <w:lang w:val="es-ES"/>
        </w:rPr>
        <w:t xml:space="preserve"> </w:t>
      </w:r>
      <w:r w:rsidR="004333B4" w:rsidRPr="004333B4">
        <w:rPr>
          <w:lang w:val="es-ES_tradnl" w:eastAsia="es-ES"/>
        </w:rPr>
        <w:t>se había solicitado el 26 de octubre de 2010 que se investigara en los archivos de las oficinas del C4 (Centro de Control, Comando, Comunicaciones y Cómputo) si e</w:t>
      </w:r>
      <w:r w:rsidR="00796131">
        <w:rPr>
          <w:lang w:val="es-ES_tradnl" w:eastAsia="es-ES"/>
        </w:rPr>
        <w:t>xistía grabación de videocámara, y</w:t>
      </w:r>
      <w:r w:rsidR="004333B4" w:rsidRPr="004333B4">
        <w:rPr>
          <w:lang w:val="es-ES_tradnl" w:eastAsia="es-ES"/>
        </w:rPr>
        <w:t xml:space="preserve"> que, al no haberse recibido la información dos meses y 18 días después, se solicitó nuev</w:t>
      </w:r>
      <w:r w:rsidR="00796131">
        <w:rPr>
          <w:lang w:val="es-ES_tradnl" w:eastAsia="es-ES"/>
        </w:rPr>
        <w:t>amente,</w:t>
      </w:r>
      <w:r w:rsidR="004333B4" w:rsidRPr="004333B4">
        <w:rPr>
          <w:lang w:val="es-ES_tradnl" w:eastAsia="es-ES"/>
        </w:rPr>
        <w:t xml:space="preserve"> a lo que se respondió </w:t>
      </w:r>
      <w:r w:rsidR="00ED7459">
        <w:rPr>
          <w:lang w:val="es-ES_tradnl" w:eastAsia="es-ES"/>
        </w:rPr>
        <w:t>en</w:t>
      </w:r>
      <w:r w:rsidR="004333B4" w:rsidRPr="004333B4">
        <w:rPr>
          <w:lang w:val="es-ES_tradnl" w:eastAsia="es-ES"/>
        </w:rPr>
        <w:t xml:space="preserve"> enero de 2011 que “los videos captados por las cámaras son depurados por el propio sistema en un término de quince días”</w:t>
      </w:r>
      <w:r w:rsidR="004333B4">
        <w:rPr>
          <w:lang w:val="es-ES_tradnl" w:eastAsia="es-ES"/>
        </w:rPr>
        <w:t>.</w:t>
      </w:r>
      <w:r w:rsidR="004333B4">
        <w:rPr>
          <w:rStyle w:val="FootnoteReference"/>
          <w:lang w:val="es-ES_tradnl" w:eastAsia="es-ES"/>
        </w:rPr>
        <w:footnoteReference w:id="26"/>
      </w:r>
    </w:p>
    <w:p w14:paraId="7FAD00F8" w14:textId="614AEAF0" w:rsidR="00667A94" w:rsidRPr="00667A94" w:rsidRDefault="00667A94" w:rsidP="00667A94">
      <w:pPr>
        <w:pStyle w:val="SingleTxtG"/>
        <w:rPr>
          <w:lang w:val="es-ES_tradnl" w:eastAsia="es-ES"/>
        </w:rPr>
      </w:pPr>
      <w:r>
        <w:rPr>
          <w:lang w:val="es-ES_tradnl" w:eastAsia="es-ES"/>
        </w:rPr>
        <w:t>7.3</w:t>
      </w:r>
      <w:r>
        <w:rPr>
          <w:lang w:val="es-ES_tradnl" w:eastAsia="es-ES"/>
        </w:rPr>
        <w:tab/>
        <w:t>En cuanto a la descripción de</w:t>
      </w:r>
      <w:r w:rsidRPr="00667A94">
        <w:rPr>
          <w:lang w:val="es-ES"/>
        </w:rPr>
        <w:t xml:space="preserve"> </w:t>
      </w:r>
      <w:r w:rsidRPr="00667A94">
        <w:rPr>
          <w:lang w:val="es-ES_tradnl" w:eastAsia="es-ES"/>
        </w:rPr>
        <w:t xml:space="preserve">Pablo García </w:t>
      </w:r>
      <w:proofErr w:type="spellStart"/>
      <w:r w:rsidRPr="00667A94">
        <w:rPr>
          <w:lang w:val="es-ES_tradnl" w:eastAsia="es-ES"/>
        </w:rPr>
        <w:t>García</w:t>
      </w:r>
      <w:proofErr w:type="spellEnd"/>
      <w:r>
        <w:rPr>
          <w:lang w:val="es-ES_tradnl" w:eastAsia="es-ES"/>
        </w:rPr>
        <w:t xml:space="preserve"> como uno de los policías que conducía la moto, y al alegato del Estado según el cual no </w:t>
      </w:r>
      <w:r w:rsidR="00A043FD">
        <w:rPr>
          <w:lang w:val="es-ES_tradnl" w:eastAsia="es-ES"/>
        </w:rPr>
        <w:t>se corresponde con la descripción</w:t>
      </w:r>
      <w:r>
        <w:rPr>
          <w:lang w:val="es-ES_tradnl" w:eastAsia="es-ES"/>
        </w:rPr>
        <w:t xml:space="preserve">, los autores sostienen que, si bien </w:t>
      </w:r>
      <w:r w:rsidRPr="00667A94">
        <w:rPr>
          <w:lang w:val="es-ES_tradnl" w:eastAsia="es-ES"/>
        </w:rPr>
        <w:t xml:space="preserve">el abogado del agente dejó constancia que la descripción física no correspondía exactamente con la que dio </w:t>
      </w:r>
      <w:r w:rsidR="00F93E5B">
        <w:rPr>
          <w:lang w:val="es-ES_tradnl" w:eastAsia="es-ES"/>
        </w:rPr>
        <w:t>la</w:t>
      </w:r>
      <w:r w:rsidRPr="00667A94">
        <w:rPr>
          <w:lang w:val="es-ES_tradnl" w:eastAsia="es-ES"/>
        </w:rPr>
        <w:t xml:space="preserve"> testigo</w:t>
      </w:r>
      <w:r w:rsidR="00F93E5B">
        <w:rPr>
          <w:lang w:val="es-ES_tradnl" w:eastAsia="es-ES"/>
        </w:rPr>
        <w:t xml:space="preserve"> presencial</w:t>
      </w:r>
      <w:r w:rsidRPr="00667A94">
        <w:rPr>
          <w:lang w:val="es-ES_tradnl" w:eastAsia="es-ES"/>
        </w:rPr>
        <w:t>, no se ordenó ninguna diligencia</w:t>
      </w:r>
      <w:r w:rsidR="00761317">
        <w:rPr>
          <w:lang w:val="es-ES_tradnl" w:eastAsia="es-ES"/>
        </w:rPr>
        <w:t xml:space="preserve"> para aclarar estas diferencias y no se llamó a la testigo para</w:t>
      </w:r>
      <w:r w:rsidRPr="00667A94">
        <w:rPr>
          <w:lang w:val="es-ES_tradnl" w:eastAsia="es-ES"/>
        </w:rPr>
        <w:t xml:space="preserve"> hacer un reconocimiento en fila de personas</w:t>
      </w:r>
      <w:r w:rsidR="00733204">
        <w:rPr>
          <w:lang w:val="es-ES_tradnl" w:eastAsia="es-ES"/>
        </w:rPr>
        <w:t>, como lo preveía el</w:t>
      </w:r>
      <w:r w:rsidR="00733204" w:rsidRPr="00733204">
        <w:rPr>
          <w:lang w:val="es-MX" w:eastAsia="es-ES"/>
        </w:rPr>
        <w:t xml:space="preserve"> </w:t>
      </w:r>
      <w:r w:rsidR="00733204" w:rsidRPr="001C32FD">
        <w:rPr>
          <w:lang w:val="es-MX" w:eastAsia="es-ES"/>
        </w:rPr>
        <w:t>Código de procedimientos penales</w:t>
      </w:r>
      <w:r>
        <w:rPr>
          <w:lang w:val="es-ES_tradnl" w:eastAsia="es-ES"/>
        </w:rPr>
        <w:t>.</w:t>
      </w:r>
      <w:r w:rsidR="00733204">
        <w:rPr>
          <w:lang w:val="es-ES_tradnl" w:eastAsia="es-ES"/>
        </w:rPr>
        <w:t xml:space="preserve"> Tal diligencia hubiera sido</w:t>
      </w:r>
      <w:r w:rsidR="00625005" w:rsidRPr="00625005">
        <w:rPr>
          <w:lang w:val="es-ES_tradnl" w:eastAsia="es-ES"/>
        </w:rPr>
        <w:t xml:space="preserve"> </w:t>
      </w:r>
      <w:r w:rsidR="00625005">
        <w:rPr>
          <w:lang w:val="es-ES_tradnl" w:eastAsia="es-ES"/>
        </w:rPr>
        <w:t xml:space="preserve">muy </w:t>
      </w:r>
      <w:r w:rsidR="00625005" w:rsidRPr="001C32FD">
        <w:rPr>
          <w:lang w:val="es-ES_tradnl" w:eastAsia="es-ES"/>
        </w:rPr>
        <w:t xml:space="preserve">pertinente, porque </w:t>
      </w:r>
      <w:r w:rsidR="00625005">
        <w:rPr>
          <w:lang w:val="es-ES_tradnl" w:eastAsia="es-ES"/>
        </w:rPr>
        <w:t xml:space="preserve">la testigo </w:t>
      </w:r>
      <w:r w:rsidR="00645997">
        <w:rPr>
          <w:lang w:val="es-ES_tradnl" w:eastAsia="es-ES"/>
        </w:rPr>
        <w:t>fue muy enfática en volver</w:t>
      </w:r>
      <w:r w:rsidR="00625005">
        <w:rPr>
          <w:lang w:val="es-ES_tradnl" w:eastAsia="es-ES"/>
        </w:rPr>
        <w:t xml:space="preserve"> a identificar en las fotografías, en una diligencia de</w:t>
      </w:r>
      <w:r w:rsidR="00625005" w:rsidRPr="001C32FD">
        <w:rPr>
          <w:lang w:val="es-ES_tradnl" w:eastAsia="es-ES"/>
        </w:rPr>
        <w:t xml:space="preserve"> 21 de abril de 2014, al Señor Pablo García </w:t>
      </w:r>
      <w:proofErr w:type="spellStart"/>
      <w:r w:rsidR="00625005" w:rsidRPr="001C32FD">
        <w:rPr>
          <w:lang w:val="es-ES_tradnl" w:eastAsia="es-ES"/>
        </w:rPr>
        <w:t>García</w:t>
      </w:r>
      <w:proofErr w:type="spellEnd"/>
      <w:r w:rsidR="00625005" w:rsidRPr="001C32FD">
        <w:rPr>
          <w:lang w:val="es-ES_tradnl" w:eastAsia="es-ES"/>
        </w:rPr>
        <w:t xml:space="preserve"> como uno</w:t>
      </w:r>
      <w:r w:rsidR="00625005">
        <w:rPr>
          <w:lang w:val="es-ES_tradnl" w:eastAsia="es-ES"/>
        </w:rPr>
        <w:t xml:space="preserve"> de los policías en motocicleta</w:t>
      </w:r>
      <w:r w:rsidR="00645997">
        <w:rPr>
          <w:lang w:val="es-ES_tradnl" w:eastAsia="es-ES"/>
        </w:rPr>
        <w:t xml:space="preserve"> que le cerró el paso</w:t>
      </w:r>
      <w:r w:rsidR="009D7371">
        <w:rPr>
          <w:lang w:val="es-ES_tradnl" w:eastAsia="es-ES"/>
        </w:rPr>
        <w:t>.</w:t>
      </w:r>
      <w:r w:rsidR="009D7371">
        <w:rPr>
          <w:rStyle w:val="FootnoteReference"/>
          <w:lang w:val="es-ES_tradnl" w:eastAsia="es-ES"/>
        </w:rPr>
        <w:footnoteReference w:id="27"/>
      </w:r>
    </w:p>
    <w:p w14:paraId="484A90F7" w14:textId="09061616" w:rsidR="002912C7" w:rsidRPr="009F3CF5" w:rsidRDefault="00667A94" w:rsidP="009F3CF5">
      <w:pPr>
        <w:pStyle w:val="SingleTxtG"/>
        <w:rPr>
          <w:lang w:val="es-ES_tradnl" w:eastAsia="es-ES"/>
        </w:rPr>
      </w:pPr>
      <w:r>
        <w:rPr>
          <w:lang w:val="es-ES_tradnl" w:eastAsia="es-ES"/>
        </w:rPr>
        <w:t>7.4</w:t>
      </w:r>
      <w:r w:rsidR="007F4AED">
        <w:rPr>
          <w:lang w:val="es-ES_tradnl" w:eastAsia="es-ES"/>
        </w:rPr>
        <w:tab/>
        <w:t>Los autores insistieron</w:t>
      </w:r>
      <w:r w:rsidR="00700264">
        <w:rPr>
          <w:lang w:val="es-ES_tradnl" w:eastAsia="es-ES"/>
        </w:rPr>
        <w:t xml:space="preserve"> también con que </w:t>
      </w:r>
      <w:r w:rsidR="00700264" w:rsidRPr="001C32FD">
        <w:rPr>
          <w:lang w:val="es-ES_tradnl" w:eastAsia="es-ES"/>
        </w:rPr>
        <w:t xml:space="preserve">la demora es particularmente grave si se tiene en cuenta el </w:t>
      </w:r>
      <w:r w:rsidR="00700264" w:rsidRPr="001A3F69">
        <w:rPr>
          <w:lang w:val="es-ES_tradnl" w:eastAsia="es-ES"/>
        </w:rPr>
        <w:t xml:space="preserve">contexto </w:t>
      </w:r>
      <w:r w:rsidR="00700264" w:rsidRPr="001C32FD">
        <w:rPr>
          <w:lang w:val="es-ES_tradnl" w:eastAsia="es-ES"/>
        </w:rPr>
        <w:t xml:space="preserve">en </w:t>
      </w:r>
      <w:r w:rsidR="00700264">
        <w:rPr>
          <w:lang w:val="es-ES_tradnl" w:eastAsia="es-ES"/>
        </w:rPr>
        <w:t xml:space="preserve">el </w:t>
      </w:r>
      <w:r w:rsidR="00700264" w:rsidRPr="001C32FD">
        <w:rPr>
          <w:lang w:val="es-ES_tradnl" w:eastAsia="es-ES"/>
        </w:rPr>
        <w:t xml:space="preserve">que se produjo </w:t>
      </w:r>
      <w:r w:rsidR="00734560">
        <w:rPr>
          <w:lang w:val="es-ES_tradnl" w:eastAsia="es-ES"/>
        </w:rPr>
        <w:t xml:space="preserve">la desaparición, </w:t>
      </w:r>
      <w:r w:rsidR="00700264">
        <w:rPr>
          <w:lang w:val="es-ES_tradnl" w:eastAsia="es-ES"/>
        </w:rPr>
        <w:t xml:space="preserve">indicando que se desprende de declaraciones </w:t>
      </w:r>
      <w:r w:rsidR="00734560">
        <w:rPr>
          <w:lang w:val="es-ES_tradnl" w:eastAsia="es-ES"/>
        </w:rPr>
        <w:t xml:space="preserve">del expediente </w:t>
      </w:r>
      <w:r w:rsidR="00700264">
        <w:rPr>
          <w:lang w:val="es-ES_tradnl" w:eastAsia="es-ES"/>
        </w:rPr>
        <w:t>que,</w:t>
      </w:r>
      <w:r w:rsidR="00700264" w:rsidRPr="001C32FD">
        <w:rPr>
          <w:lang w:val="es-ES_tradnl" w:eastAsia="es-ES"/>
        </w:rPr>
        <w:t xml:space="preserve"> e</w:t>
      </w:r>
      <w:r w:rsidR="00700264">
        <w:rPr>
          <w:lang w:val="es-ES_tradnl" w:eastAsia="es-ES"/>
        </w:rPr>
        <w:t xml:space="preserve">n las fechas de la desaparición, </w:t>
      </w:r>
      <w:r w:rsidR="00700264" w:rsidRPr="001C32FD">
        <w:rPr>
          <w:lang w:val="es-ES_tradnl" w:eastAsia="es-ES"/>
        </w:rPr>
        <w:t xml:space="preserve">había enfrentamientos entre </w:t>
      </w:r>
      <w:r w:rsidR="00700264">
        <w:rPr>
          <w:lang w:val="es-ES_tradnl" w:eastAsia="es-ES"/>
        </w:rPr>
        <w:t>las autoridades</w:t>
      </w:r>
      <w:r w:rsidR="00700264" w:rsidRPr="001C32FD">
        <w:rPr>
          <w:lang w:val="es-ES_tradnl" w:eastAsia="es-ES"/>
        </w:rPr>
        <w:t xml:space="preserve"> y el grupo </w:t>
      </w:r>
      <w:r w:rsidR="00700264">
        <w:rPr>
          <w:lang w:val="es-ES_tradnl" w:eastAsia="es-ES"/>
        </w:rPr>
        <w:t>“</w:t>
      </w:r>
      <w:r w:rsidR="00700264" w:rsidRPr="001C32FD">
        <w:rPr>
          <w:lang w:val="es-ES_tradnl" w:eastAsia="es-ES"/>
        </w:rPr>
        <w:t>Los Zetas</w:t>
      </w:r>
      <w:r w:rsidR="00700264">
        <w:rPr>
          <w:lang w:val="es-ES_tradnl" w:eastAsia="es-ES"/>
        </w:rPr>
        <w:t>”,</w:t>
      </w:r>
      <w:r w:rsidR="00700264" w:rsidRPr="001C32FD">
        <w:rPr>
          <w:lang w:val="es-ES_tradnl" w:eastAsia="es-ES"/>
        </w:rPr>
        <w:t xml:space="preserve"> y </w:t>
      </w:r>
      <w:r w:rsidR="00700264">
        <w:rPr>
          <w:lang w:val="es-ES_tradnl" w:eastAsia="es-ES"/>
        </w:rPr>
        <w:t>se andaba</w:t>
      </w:r>
      <w:r w:rsidR="00700264" w:rsidRPr="001C32FD">
        <w:rPr>
          <w:lang w:val="es-ES_tradnl" w:eastAsia="es-ES"/>
        </w:rPr>
        <w:t xml:space="preserve"> </w:t>
      </w:r>
      <w:r w:rsidR="00700264">
        <w:rPr>
          <w:lang w:val="es-ES_tradnl" w:eastAsia="es-ES"/>
        </w:rPr>
        <w:t>“levantando gente”</w:t>
      </w:r>
      <w:r w:rsidR="00700264">
        <w:rPr>
          <w:rStyle w:val="FootnoteReference"/>
          <w:lang w:val="es-ES_tradnl" w:eastAsia="es-ES"/>
        </w:rPr>
        <w:footnoteReference w:id="28"/>
      </w:r>
      <w:r w:rsidR="00700264">
        <w:rPr>
          <w:lang w:val="es-ES_tradnl" w:eastAsia="es-ES"/>
        </w:rPr>
        <w:t>.</w:t>
      </w:r>
      <w:r w:rsidR="00EF4B11">
        <w:rPr>
          <w:lang w:val="es-ES_tradnl" w:eastAsia="es-ES"/>
        </w:rPr>
        <w:t xml:space="preserve"> Al respecto, los autores lamentan que no se ordenaran</w:t>
      </w:r>
      <w:r w:rsidR="00EF4B11" w:rsidRPr="00EF4B11">
        <w:rPr>
          <w:lang w:val="es-ES_tradnl" w:eastAsia="es-ES"/>
        </w:rPr>
        <w:t xml:space="preserve"> </w:t>
      </w:r>
      <w:r w:rsidR="00EF4B11" w:rsidRPr="001C32FD">
        <w:rPr>
          <w:lang w:val="es-ES_tradnl" w:eastAsia="es-ES"/>
        </w:rPr>
        <w:t xml:space="preserve">diligencias para establecer la </w:t>
      </w:r>
      <w:r w:rsidR="00EF4B11" w:rsidRPr="001C32FD">
        <w:rPr>
          <w:lang w:val="es-ES_tradnl" w:eastAsia="es-ES"/>
        </w:rPr>
        <w:lastRenderedPageBreak/>
        <w:t xml:space="preserve">veracidad de la prueba aportada por el Señor Pablo García </w:t>
      </w:r>
      <w:proofErr w:type="spellStart"/>
      <w:r w:rsidR="00EF4B11" w:rsidRPr="001C32FD">
        <w:rPr>
          <w:lang w:val="es-ES_tradnl" w:eastAsia="es-ES"/>
        </w:rPr>
        <w:t>García</w:t>
      </w:r>
      <w:proofErr w:type="spellEnd"/>
      <w:r w:rsidR="00EF4B11" w:rsidRPr="001C32FD">
        <w:rPr>
          <w:lang w:val="es-ES_tradnl" w:eastAsia="es-ES"/>
        </w:rPr>
        <w:t xml:space="preserve"> para negar su posible participación, a pesar de que una de las constancias </w:t>
      </w:r>
      <w:r w:rsidR="00EF4B11">
        <w:rPr>
          <w:lang w:val="es-ES_tradnl" w:eastAsia="es-ES"/>
        </w:rPr>
        <w:t>haya sido firmada</w:t>
      </w:r>
      <w:r w:rsidR="00EF4B11" w:rsidRPr="001C32FD">
        <w:rPr>
          <w:lang w:val="es-ES_tradnl" w:eastAsia="es-ES"/>
        </w:rPr>
        <w:t xml:space="preserve"> por </w:t>
      </w:r>
      <w:r w:rsidR="00EF4B11">
        <w:rPr>
          <w:lang w:val="es-ES_tradnl" w:eastAsia="es-ES"/>
        </w:rPr>
        <w:t>una persona posteriormente detenida</w:t>
      </w:r>
      <w:r w:rsidR="00EF4B11" w:rsidRPr="001C32FD">
        <w:rPr>
          <w:lang w:val="es-ES_tradnl" w:eastAsia="es-ES"/>
        </w:rPr>
        <w:t xml:space="preserve"> por secuestro</w:t>
      </w:r>
      <w:r w:rsidR="00EF4B11">
        <w:rPr>
          <w:lang w:val="es-ES_tradnl" w:eastAsia="es-ES"/>
        </w:rPr>
        <w:t>s</w:t>
      </w:r>
      <w:r w:rsidR="00EF4B11" w:rsidRPr="001C32FD">
        <w:rPr>
          <w:lang w:val="es-ES_tradnl" w:eastAsia="es-ES"/>
        </w:rPr>
        <w:t xml:space="preserve"> y por vínculo con</w:t>
      </w:r>
      <w:r w:rsidR="00EF4B11">
        <w:rPr>
          <w:lang w:val="es-ES_tradnl" w:eastAsia="es-ES"/>
        </w:rPr>
        <w:t xml:space="preserve"> el grupo</w:t>
      </w:r>
      <w:r w:rsidR="00EF4B11" w:rsidRPr="001C32FD">
        <w:rPr>
          <w:lang w:val="es-ES_tradnl" w:eastAsia="es-ES"/>
        </w:rPr>
        <w:t xml:space="preserve"> </w:t>
      </w:r>
      <w:r w:rsidR="00EF4B11">
        <w:rPr>
          <w:lang w:val="es-ES_tradnl" w:eastAsia="es-ES"/>
        </w:rPr>
        <w:t>“Los Zetas”.</w:t>
      </w:r>
      <w:r w:rsidR="009F3CF5">
        <w:rPr>
          <w:lang w:val="es-ES_tradnl" w:eastAsia="es-ES"/>
        </w:rPr>
        <w:t xml:space="preserve"> Asimismo, los autores lamentan que, a pesar de haber aportado </w:t>
      </w:r>
      <w:r w:rsidR="009F3CF5" w:rsidRPr="009F3CF5">
        <w:rPr>
          <w:lang w:val="es-ES_tradnl" w:eastAsia="es-ES"/>
        </w:rPr>
        <w:t xml:space="preserve">copia de la noticia </w:t>
      </w:r>
      <w:r w:rsidR="009F3CF5">
        <w:rPr>
          <w:lang w:val="es-ES_tradnl" w:eastAsia="es-ES"/>
        </w:rPr>
        <w:t xml:space="preserve">de prensa </w:t>
      </w:r>
      <w:r w:rsidR="009F3CF5" w:rsidRPr="009F3CF5">
        <w:rPr>
          <w:lang w:val="es-ES_tradnl" w:eastAsia="es-ES"/>
        </w:rPr>
        <w:t xml:space="preserve">en la que se informaba </w:t>
      </w:r>
      <w:r w:rsidR="009F3CF5">
        <w:rPr>
          <w:lang w:val="es-ES_tradnl" w:eastAsia="es-ES"/>
        </w:rPr>
        <w:t>de un</w:t>
      </w:r>
      <w:r w:rsidR="009F3CF5" w:rsidRPr="009F3CF5">
        <w:rPr>
          <w:lang w:val="es-ES_tradnl" w:eastAsia="es-ES"/>
        </w:rPr>
        <w:t xml:space="preserve"> operativo de la Policía Intermunicipal </w:t>
      </w:r>
      <w:r w:rsidR="009F3CF5">
        <w:rPr>
          <w:lang w:val="es-ES_tradnl" w:eastAsia="es-ES"/>
        </w:rPr>
        <w:t>e</w:t>
      </w:r>
      <w:r w:rsidR="009F3CF5" w:rsidRPr="009F3CF5">
        <w:rPr>
          <w:lang w:val="es-ES_tradnl" w:eastAsia="es-ES"/>
        </w:rPr>
        <w:t xml:space="preserve">n </w:t>
      </w:r>
      <w:r w:rsidR="009F3CF5">
        <w:rPr>
          <w:lang w:val="es-ES_tradnl" w:eastAsia="es-ES"/>
        </w:rPr>
        <w:t>el lu</w:t>
      </w:r>
      <w:r w:rsidR="0081610B">
        <w:rPr>
          <w:lang w:val="es-ES_tradnl" w:eastAsia="es-ES"/>
        </w:rPr>
        <w:t>gar de los hechos ese mismo día,</w:t>
      </w:r>
      <w:r w:rsidR="009F3CF5">
        <w:rPr>
          <w:lang w:val="es-ES_tradnl" w:eastAsia="es-ES"/>
        </w:rPr>
        <w:t xml:space="preserve"> f</w:t>
      </w:r>
      <w:r w:rsidR="009F3CF5" w:rsidRPr="009F3CF5">
        <w:rPr>
          <w:lang w:val="es-ES_tradnl" w:eastAsia="es-ES"/>
        </w:rPr>
        <w:t xml:space="preserve">ue solo más de seis años después </w:t>
      </w:r>
      <w:r w:rsidR="009F3CF5">
        <w:rPr>
          <w:lang w:val="es-ES_tradnl" w:eastAsia="es-ES"/>
        </w:rPr>
        <w:t>(</w:t>
      </w:r>
      <w:r w:rsidR="009F3CF5" w:rsidRPr="009F3CF5">
        <w:rPr>
          <w:lang w:val="es-ES_tradnl" w:eastAsia="es-ES"/>
        </w:rPr>
        <w:t>el 9 de diciembre de 2016</w:t>
      </w:r>
      <w:r w:rsidR="009F3CF5">
        <w:rPr>
          <w:lang w:val="es-ES_tradnl" w:eastAsia="es-ES"/>
        </w:rPr>
        <w:t>)</w:t>
      </w:r>
      <w:r w:rsidR="009F3CF5" w:rsidRPr="009F3CF5">
        <w:rPr>
          <w:lang w:val="es-ES_tradnl" w:eastAsia="es-ES"/>
        </w:rPr>
        <w:t xml:space="preserve"> que </w:t>
      </w:r>
      <w:r w:rsidR="0081610B">
        <w:rPr>
          <w:lang w:val="es-ES_tradnl" w:eastAsia="es-ES"/>
        </w:rPr>
        <w:t xml:space="preserve">la </w:t>
      </w:r>
      <w:r w:rsidR="009F3CF5" w:rsidRPr="009F3CF5">
        <w:rPr>
          <w:lang w:val="es-ES_tradnl" w:eastAsia="es-ES"/>
        </w:rPr>
        <w:t>Procuraduría General de la República, en una visita de inspección a las instalaciones de la Policía Intermunicipal, tomó declaraciones de policías que reconocieron que efectivamente el operativo se había llevado a cabo.</w:t>
      </w:r>
    </w:p>
    <w:p w14:paraId="74A2294D" w14:textId="19F46734" w:rsidR="001C32FD" w:rsidRDefault="00667A94" w:rsidP="00762F04">
      <w:pPr>
        <w:pStyle w:val="SingleTxtG"/>
        <w:rPr>
          <w:lang w:val="es-ES_tradnl" w:eastAsia="es-ES"/>
        </w:rPr>
      </w:pPr>
      <w:r>
        <w:rPr>
          <w:lang w:val="es-ES_tradnl" w:eastAsia="es-ES"/>
        </w:rPr>
        <w:t>7.5</w:t>
      </w:r>
      <w:r w:rsidR="00465B78">
        <w:rPr>
          <w:lang w:val="es-ES_tradnl" w:eastAsia="es-ES"/>
        </w:rPr>
        <w:tab/>
        <w:t xml:space="preserve">Los autores </w:t>
      </w:r>
      <w:r w:rsidR="00230C6B">
        <w:rPr>
          <w:lang w:val="es-ES_tradnl" w:eastAsia="es-ES"/>
        </w:rPr>
        <w:t xml:space="preserve">sostienen </w:t>
      </w:r>
      <w:r w:rsidR="00465B78">
        <w:rPr>
          <w:lang w:val="es-ES_tradnl" w:eastAsia="es-ES"/>
        </w:rPr>
        <w:t>también que e</w:t>
      </w:r>
      <w:r w:rsidR="001C32FD" w:rsidRPr="001C32FD">
        <w:rPr>
          <w:lang w:val="es-ES_tradnl" w:eastAsia="es-ES"/>
        </w:rPr>
        <w:t xml:space="preserve">l </w:t>
      </w:r>
      <w:r w:rsidR="001C32FD" w:rsidRPr="00465B78">
        <w:rPr>
          <w:lang w:val="es-ES_tradnl" w:eastAsia="es-ES"/>
        </w:rPr>
        <w:t xml:space="preserve">Estado no ha negado que el </w:t>
      </w:r>
      <w:r w:rsidR="00465B78" w:rsidRPr="00465B78">
        <w:rPr>
          <w:lang w:val="es-ES_tradnl" w:eastAsia="es-ES"/>
        </w:rPr>
        <w:t>Sr.</w:t>
      </w:r>
      <w:r w:rsidR="001C32FD" w:rsidRPr="00465B78">
        <w:rPr>
          <w:lang w:val="es-ES_tradnl" w:eastAsia="es-ES"/>
        </w:rPr>
        <w:t xml:space="preserve"> </w:t>
      </w:r>
      <w:r w:rsidR="00465B78" w:rsidRPr="00465B78">
        <w:rPr>
          <w:lang w:val="es-ES_tradnl" w:eastAsia="es-ES"/>
        </w:rPr>
        <w:t>Téllez Padilla esté</w:t>
      </w:r>
      <w:r w:rsidR="0060411D">
        <w:rPr>
          <w:lang w:val="es-ES_tradnl" w:eastAsia="es-ES"/>
        </w:rPr>
        <w:t xml:space="preserve"> desaparecido;</w:t>
      </w:r>
      <w:r w:rsidR="001C32FD" w:rsidRPr="00465B78">
        <w:rPr>
          <w:lang w:val="es-ES_tradnl" w:eastAsia="es-ES"/>
        </w:rPr>
        <w:t xml:space="preserve"> </w:t>
      </w:r>
      <w:r w:rsidR="0094296C">
        <w:rPr>
          <w:lang w:val="es-ES_tradnl" w:eastAsia="es-ES"/>
        </w:rPr>
        <w:t xml:space="preserve">que –siguiendo </w:t>
      </w:r>
      <w:r w:rsidR="00F15A45">
        <w:rPr>
          <w:lang w:val="es-ES_tradnl" w:eastAsia="es-ES"/>
        </w:rPr>
        <w:t xml:space="preserve">tanto </w:t>
      </w:r>
      <w:r w:rsidR="0094296C">
        <w:rPr>
          <w:lang w:val="es-ES_tradnl" w:eastAsia="es-ES"/>
        </w:rPr>
        <w:t>la</w:t>
      </w:r>
      <w:r w:rsidR="00F15A45">
        <w:rPr>
          <w:lang w:val="es-ES_tradnl" w:eastAsia="es-ES"/>
        </w:rPr>
        <w:t>s</w:t>
      </w:r>
      <w:r w:rsidR="0094296C">
        <w:rPr>
          <w:lang w:val="es-ES_tradnl" w:eastAsia="es-ES"/>
        </w:rPr>
        <w:t xml:space="preserve"> jurisprudencia</w:t>
      </w:r>
      <w:r w:rsidR="00F15A45">
        <w:rPr>
          <w:lang w:val="es-ES_tradnl" w:eastAsia="es-ES"/>
        </w:rPr>
        <w:t>s</w:t>
      </w:r>
      <w:r w:rsidR="0094296C">
        <w:rPr>
          <w:lang w:val="es-ES_tradnl" w:eastAsia="es-ES"/>
        </w:rPr>
        <w:t xml:space="preserve"> europea</w:t>
      </w:r>
      <w:r w:rsidR="00F15A45">
        <w:rPr>
          <w:rStyle w:val="FootnoteReference"/>
          <w:lang w:val="es-ES_tradnl" w:eastAsia="es-ES"/>
        </w:rPr>
        <w:footnoteReference w:id="29"/>
      </w:r>
      <w:r w:rsidR="00F15A45">
        <w:rPr>
          <w:lang w:val="es-ES_tradnl" w:eastAsia="es-ES"/>
        </w:rPr>
        <w:t xml:space="preserve"> </w:t>
      </w:r>
      <w:r w:rsidR="00C052E4">
        <w:rPr>
          <w:lang w:val="es-ES_tradnl" w:eastAsia="es-ES"/>
        </w:rPr>
        <w:t>como</w:t>
      </w:r>
      <w:r w:rsidR="00F15A45">
        <w:rPr>
          <w:lang w:val="es-ES_tradnl" w:eastAsia="es-ES"/>
        </w:rPr>
        <w:t xml:space="preserve"> del Comité</w:t>
      </w:r>
      <w:r w:rsidR="00F15A45">
        <w:rPr>
          <w:rStyle w:val="FootnoteReference"/>
          <w:lang w:val="es-ES_tradnl" w:eastAsia="es-ES"/>
        </w:rPr>
        <w:footnoteReference w:id="30"/>
      </w:r>
      <w:r w:rsidR="0094296C" w:rsidRPr="0094296C">
        <w:rPr>
          <w:lang w:val="es-ES_tradnl" w:eastAsia="es-ES"/>
        </w:rPr>
        <w:t>–</w:t>
      </w:r>
      <w:r w:rsidR="00762F04">
        <w:rPr>
          <w:lang w:val="es-ES_tradnl" w:eastAsia="es-ES"/>
        </w:rPr>
        <w:t xml:space="preserve"> </w:t>
      </w:r>
      <w:r w:rsidR="001C32FD" w:rsidRPr="00465B78">
        <w:rPr>
          <w:lang w:val="es-ES_tradnl" w:eastAsia="es-ES"/>
        </w:rPr>
        <w:t>no</w:t>
      </w:r>
      <w:r w:rsidR="001C32FD" w:rsidRPr="001C32FD">
        <w:rPr>
          <w:lang w:val="es-ES_tradnl" w:eastAsia="es-ES"/>
        </w:rPr>
        <w:t xml:space="preserve"> ha dado otra versión que explique de manera satisfactoria y convincente lo </w:t>
      </w:r>
      <w:r w:rsidR="00C052E4">
        <w:rPr>
          <w:lang w:val="es-ES_tradnl" w:eastAsia="es-ES"/>
        </w:rPr>
        <w:t>sucedido</w:t>
      </w:r>
      <w:r w:rsidR="0060411D">
        <w:rPr>
          <w:lang w:val="es-ES_tradnl" w:eastAsia="es-ES"/>
        </w:rPr>
        <w:t xml:space="preserve">; y que </w:t>
      </w:r>
      <w:r w:rsidR="0060411D" w:rsidRPr="0060411D">
        <w:rPr>
          <w:lang w:val="es-ES_tradnl" w:eastAsia="es-ES"/>
        </w:rPr>
        <w:t>la negativa de los miembros de la Policía Intermunicipal de reconocer la detención del Sr. Téllez Padilla no prueba que no haya sido privado de su libertad por agentes del Estado ya que, precisamente, uno de los elementos característicos de la desaparición forzada es la negativa a reconocer la privación de libertad</w:t>
      </w:r>
      <w:r w:rsidR="00E73788">
        <w:rPr>
          <w:lang w:val="es-ES_tradnl" w:eastAsia="es-ES"/>
        </w:rPr>
        <w:t>.</w:t>
      </w:r>
    </w:p>
    <w:p w14:paraId="284D65C8" w14:textId="53DA7ADD" w:rsidR="0059040B" w:rsidRPr="0059040B" w:rsidRDefault="00824F80" w:rsidP="00824F80">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14:paraId="624D635F" w14:textId="3B49484E" w:rsidR="0059040B" w:rsidRPr="00CF443F" w:rsidRDefault="00175184" w:rsidP="00175184">
      <w:pPr>
        <w:pStyle w:val="H4G"/>
        <w:rPr>
          <w:lang w:val="es-ES_tradnl" w:eastAsia="es-ES"/>
        </w:rPr>
      </w:pPr>
      <w:r>
        <w:rPr>
          <w:lang w:val="es-ES_tradnl" w:eastAsia="es-ES"/>
        </w:rPr>
        <w:tab/>
      </w:r>
      <w:r>
        <w:rPr>
          <w:lang w:val="es-ES_tradnl" w:eastAsia="es-ES"/>
        </w:rPr>
        <w:tab/>
      </w:r>
      <w:r w:rsidR="00CF443F" w:rsidRPr="00CF443F">
        <w:rPr>
          <w:lang w:val="es-ES_tradnl" w:eastAsia="es-ES"/>
        </w:rPr>
        <w:t xml:space="preserve">Examen de la admisibilidad </w:t>
      </w:r>
    </w:p>
    <w:p w14:paraId="43A6C56A" w14:textId="5ABA67B8" w:rsidR="00CF443F" w:rsidRDefault="00266DA4" w:rsidP="00AA4464">
      <w:pPr>
        <w:pStyle w:val="SingleTxtG"/>
        <w:rPr>
          <w:lang w:val="es-ES_tradnl" w:eastAsia="es-ES"/>
        </w:rPr>
      </w:pPr>
      <w:r>
        <w:rPr>
          <w:lang w:val="es-ES_tradnl" w:eastAsia="es-ES"/>
        </w:rPr>
        <w:t>8.1</w:t>
      </w:r>
      <w:r>
        <w:rPr>
          <w:lang w:val="es-ES_tradnl" w:eastAsia="es-ES"/>
        </w:rPr>
        <w:tab/>
      </w:r>
      <w:r w:rsidRPr="00266DA4">
        <w:rPr>
          <w:lang w:val="es-ES_tradnl" w:eastAsia="es-ES"/>
        </w:rPr>
        <w:t>Antes de examinar toda reclamación formulada en una comunicación, el Comité de Derechos Humanos debe decidir, d</w:t>
      </w:r>
      <w:r w:rsidR="00101A08">
        <w:rPr>
          <w:lang w:val="es-ES_tradnl" w:eastAsia="es-ES"/>
        </w:rPr>
        <w:t>e conformidad con el artículo 97</w:t>
      </w:r>
      <w:r w:rsidRPr="00266DA4">
        <w:rPr>
          <w:lang w:val="es-ES_tradnl" w:eastAsia="es-ES"/>
        </w:rPr>
        <w:t xml:space="preserve"> de su reglamento, si dicha comunicación es o no admisible en virtud del Protocolo Facultativo del Pacto</w:t>
      </w:r>
      <w:r>
        <w:rPr>
          <w:lang w:val="es-ES_tradnl" w:eastAsia="es-ES"/>
        </w:rPr>
        <w:t>.</w:t>
      </w:r>
    </w:p>
    <w:p w14:paraId="3C29F043" w14:textId="5E7813FC" w:rsidR="00674787" w:rsidRPr="00A942FD" w:rsidRDefault="00674787" w:rsidP="00AA4464">
      <w:pPr>
        <w:pStyle w:val="SingleTxtG"/>
        <w:rPr>
          <w:lang w:val="es-ES_tradnl" w:eastAsia="es-ES"/>
        </w:rPr>
      </w:pPr>
      <w:r>
        <w:rPr>
          <w:lang w:val="es-ES_tradnl" w:eastAsia="es-ES"/>
        </w:rPr>
        <w:t>8.2</w:t>
      </w:r>
      <w:r>
        <w:rPr>
          <w:lang w:val="es-ES_tradnl" w:eastAsia="es-ES"/>
        </w:rPr>
        <w:tab/>
      </w:r>
      <w:r w:rsidR="000F4FDA" w:rsidRPr="00AD349E">
        <w:rPr>
          <w:lang w:val="es-ES_tradnl"/>
        </w:rPr>
        <w:t>En cumplimiento de lo exigido en el artículo 5, párrafo 2 a) del Protocolo Facultativo, el Comité se ha cerciorado de que el mismo asunto no est</w:t>
      </w:r>
      <w:r w:rsidR="004F6BAC">
        <w:rPr>
          <w:lang w:val="es-ES_tradnl"/>
        </w:rPr>
        <w:t>é</w:t>
      </w:r>
      <w:r w:rsidR="000F4FDA" w:rsidRPr="00AD349E">
        <w:rPr>
          <w:lang w:val="es-ES_tradnl"/>
        </w:rPr>
        <w:t xml:space="preserve"> siendo examinado en el marco de otro procedimiento de examen o arreglo internacional.</w:t>
      </w:r>
    </w:p>
    <w:p w14:paraId="32884D59" w14:textId="51857DE4" w:rsidR="00227A81" w:rsidRDefault="005A5697" w:rsidP="00124BC8">
      <w:pPr>
        <w:pStyle w:val="SingleTxtG"/>
        <w:rPr>
          <w:lang w:val="es-ES_tradnl" w:eastAsia="es-ES"/>
        </w:rPr>
      </w:pPr>
      <w:r w:rsidRPr="00A942FD">
        <w:rPr>
          <w:lang w:val="es-ES_tradnl" w:eastAsia="es-ES"/>
        </w:rPr>
        <w:t>8.3</w:t>
      </w:r>
      <w:r w:rsidRPr="00A942FD">
        <w:rPr>
          <w:lang w:val="es-ES_tradnl" w:eastAsia="es-ES"/>
        </w:rPr>
        <w:tab/>
      </w:r>
      <w:r w:rsidR="000F76B9" w:rsidRPr="000F76B9">
        <w:rPr>
          <w:lang w:val="es-ES_tradnl" w:eastAsia="es-ES"/>
        </w:rPr>
        <w:t xml:space="preserve">El </w:t>
      </w:r>
      <w:r w:rsidR="000F4FDA">
        <w:rPr>
          <w:lang w:val="es-ES_tradnl" w:eastAsia="es-ES"/>
        </w:rPr>
        <w:t xml:space="preserve">Comité toma nota del argumento del </w:t>
      </w:r>
      <w:r w:rsidR="000F76B9" w:rsidRPr="000F76B9">
        <w:rPr>
          <w:lang w:val="es-ES_tradnl" w:eastAsia="es-ES"/>
        </w:rPr>
        <w:t xml:space="preserve">Estado </w:t>
      </w:r>
      <w:r w:rsidR="000F76B9">
        <w:rPr>
          <w:lang w:val="es-ES_tradnl" w:eastAsia="es-ES"/>
        </w:rPr>
        <w:t xml:space="preserve">parte </w:t>
      </w:r>
      <w:r w:rsidR="000F4FDA">
        <w:rPr>
          <w:lang w:val="es-ES_tradnl" w:eastAsia="es-ES"/>
        </w:rPr>
        <w:t>relativo a la falta de agotamiento de</w:t>
      </w:r>
      <w:r w:rsidR="000F76B9" w:rsidRPr="000F76B9">
        <w:rPr>
          <w:lang w:val="es-ES_tradnl" w:eastAsia="es-ES"/>
        </w:rPr>
        <w:t xml:space="preserve"> los recursos </w:t>
      </w:r>
      <w:r w:rsidR="000F76B9" w:rsidRPr="00717AE5">
        <w:rPr>
          <w:lang w:val="es-ES_tradnl" w:eastAsia="es-ES"/>
        </w:rPr>
        <w:t>internos, al encontrarse todavía en trámite</w:t>
      </w:r>
      <w:r w:rsidR="000A0AE9" w:rsidRPr="00717AE5">
        <w:rPr>
          <w:lang w:val="es-ES_tradnl" w:eastAsia="es-ES"/>
        </w:rPr>
        <w:t xml:space="preserve"> las averiguaciones previas ante la Procuraduría Genera</w:t>
      </w:r>
      <w:r w:rsidR="000A0AE9" w:rsidRPr="000A0AE9">
        <w:rPr>
          <w:lang w:val="es-ES_tradnl" w:eastAsia="es-ES"/>
        </w:rPr>
        <w:t>l de Justicia del estado de Veracruz</w:t>
      </w:r>
      <w:r w:rsidR="000A0AE9">
        <w:rPr>
          <w:lang w:val="es-ES_tradnl" w:eastAsia="es-ES"/>
        </w:rPr>
        <w:t xml:space="preserve"> y ante la </w:t>
      </w:r>
      <w:r w:rsidR="000A0AE9" w:rsidRPr="000A0AE9">
        <w:rPr>
          <w:lang w:val="es-ES_tradnl" w:eastAsia="es-ES"/>
        </w:rPr>
        <w:t>Procuraduría General</w:t>
      </w:r>
      <w:r w:rsidR="000A0AE9">
        <w:rPr>
          <w:lang w:val="es-ES_tradnl" w:eastAsia="es-ES"/>
        </w:rPr>
        <w:t xml:space="preserve"> de la República</w:t>
      </w:r>
      <w:r w:rsidR="00D77E14">
        <w:rPr>
          <w:lang w:val="es-ES_tradnl" w:eastAsia="es-ES"/>
        </w:rPr>
        <w:t xml:space="preserve">. En particular, el Estado parte sostiene que </w:t>
      </w:r>
      <w:r w:rsidR="00FD2122">
        <w:rPr>
          <w:lang w:val="es-ES_tradnl" w:eastAsia="es-ES"/>
        </w:rPr>
        <w:t xml:space="preserve">los autores presentaron los recursos idóneos pero que </w:t>
      </w:r>
      <w:r w:rsidR="00D77E14">
        <w:rPr>
          <w:lang w:val="es-ES_tradnl" w:eastAsia="es-ES"/>
        </w:rPr>
        <w:t>se está</w:t>
      </w:r>
      <w:r w:rsidR="00BD044F">
        <w:rPr>
          <w:lang w:val="es-ES_tradnl" w:eastAsia="es-ES"/>
        </w:rPr>
        <w:t xml:space="preserve"> </w:t>
      </w:r>
      <w:r w:rsidR="00FD2122">
        <w:rPr>
          <w:lang w:val="es-ES_tradnl" w:eastAsia="es-ES"/>
        </w:rPr>
        <w:t xml:space="preserve">todavía </w:t>
      </w:r>
      <w:r w:rsidR="00BD044F" w:rsidRPr="00D80E80">
        <w:rPr>
          <w:lang w:val="es-ES_tradnl"/>
        </w:rPr>
        <w:t>a la espera de que varias Procuradurías rindan información respecto a petici</w:t>
      </w:r>
      <w:r w:rsidR="00BD044F">
        <w:rPr>
          <w:lang w:val="es-ES_tradnl"/>
        </w:rPr>
        <w:t>ones</w:t>
      </w:r>
      <w:r w:rsidR="00BD044F" w:rsidRPr="00D80E80">
        <w:rPr>
          <w:lang w:val="es-ES_tradnl"/>
        </w:rPr>
        <w:t xml:space="preserve"> de colaboración</w:t>
      </w:r>
      <w:r w:rsidR="00BD044F">
        <w:rPr>
          <w:lang w:val="es-ES_tradnl"/>
        </w:rPr>
        <w:t>.</w:t>
      </w:r>
      <w:r w:rsidR="000F76B9" w:rsidRPr="000F76B9">
        <w:rPr>
          <w:lang w:val="es-ES_tradnl" w:eastAsia="es-ES"/>
        </w:rPr>
        <w:t xml:space="preserve"> </w:t>
      </w:r>
      <w:r w:rsidR="00167251">
        <w:rPr>
          <w:lang w:val="es-ES_tradnl" w:eastAsia="es-ES"/>
        </w:rPr>
        <w:t>El Comité toma nota asimismo de las alegaciones de los</w:t>
      </w:r>
      <w:r w:rsidR="00227A81" w:rsidRPr="00227A81">
        <w:rPr>
          <w:lang w:val="es-ES_tradnl" w:eastAsia="es-ES"/>
        </w:rPr>
        <w:t xml:space="preserve"> autores </w:t>
      </w:r>
      <w:r w:rsidR="00167251">
        <w:rPr>
          <w:lang w:val="es-ES_tradnl" w:eastAsia="es-ES"/>
        </w:rPr>
        <w:t>en el sentido</w:t>
      </w:r>
      <w:r w:rsidR="00167251" w:rsidRPr="00227A81">
        <w:rPr>
          <w:lang w:val="es-ES_tradnl" w:eastAsia="es-ES"/>
        </w:rPr>
        <w:t xml:space="preserve"> </w:t>
      </w:r>
      <w:r w:rsidR="00227A81" w:rsidRPr="00227A81">
        <w:rPr>
          <w:lang w:val="es-ES_tradnl" w:eastAsia="es-ES"/>
        </w:rPr>
        <w:t xml:space="preserve">que </w:t>
      </w:r>
      <w:r w:rsidR="00227A81">
        <w:rPr>
          <w:lang w:val="es-ES_tradnl" w:eastAsia="es-ES"/>
        </w:rPr>
        <w:t xml:space="preserve">los </w:t>
      </w:r>
      <w:r w:rsidR="00227A81" w:rsidRPr="00FD2122">
        <w:rPr>
          <w:lang w:val="es-ES_tradnl" w:eastAsia="es-ES"/>
        </w:rPr>
        <w:t>recursos</w:t>
      </w:r>
      <w:r w:rsidR="00FD2122" w:rsidRPr="00FD2122">
        <w:rPr>
          <w:lang w:val="es-ES_tradnl" w:eastAsia="es-ES"/>
        </w:rPr>
        <w:t xml:space="preserve"> internos </w:t>
      </w:r>
      <w:r w:rsidR="00FD2122" w:rsidRPr="00FD2122">
        <w:rPr>
          <w:color w:val="000000"/>
          <w:lang w:val="es-ES_tradnl"/>
        </w:rPr>
        <w:t>no han sido efectivos</w:t>
      </w:r>
      <w:r w:rsidR="00FD2122">
        <w:rPr>
          <w:color w:val="000000"/>
          <w:lang w:val="es-ES_tradnl"/>
        </w:rPr>
        <w:t xml:space="preserve"> y</w:t>
      </w:r>
      <w:r w:rsidR="004E6060">
        <w:rPr>
          <w:color w:val="000000"/>
          <w:lang w:val="es-ES_tradnl"/>
        </w:rPr>
        <w:t>a que</w:t>
      </w:r>
      <w:r w:rsidR="00FD2122">
        <w:rPr>
          <w:color w:val="000000"/>
          <w:lang w:val="es-ES_tradnl"/>
        </w:rPr>
        <w:t xml:space="preserve"> </w:t>
      </w:r>
      <w:r w:rsidR="004E6060">
        <w:rPr>
          <w:color w:val="000000"/>
          <w:lang w:val="es-ES_tradnl"/>
        </w:rPr>
        <w:t xml:space="preserve">su </w:t>
      </w:r>
      <w:r w:rsidR="004E6060" w:rsidRPr="00566CB8">
        <w:rPr>
          <w:color w:val="000000"/>
          <w:lang w:val="es-ES_tradnl"/>
        </w:rPr>
        <w:t>tramitación</w:t>
      </w:r>
      <w:r w:rsidR="004E6060">
        <w:rPr>
          <w:color w:val="000000"/>
          <w:lang w:val="es-ES_tradnl"/>
        </w:rPr>
        <w:t xml:space="preserve"> se ha prolongado injustificadamente, por lo que se sigue sin tener conocimiento de la suerte y paradero del Sr. </w:t>
      </w:r>
      <w:r w:rsidR="004E6060" w:rsidRPr="00072C84">
        <w:rPr>
          <w:color w:val="000000"/>
          <w:lang w:val="es-ES_tradnl"/>
        </w:rPr>
        <w:t>Téllez Padilla</w:t>
      </w:r>
      <w:r w:rsidR="00227A81">
        <w:rPr>
          <w:lang w:val="es-ES_tradnl" w:eastAsia="es-ES"/>
        </w:rPr>
        <w:t>.</w:t>
      </w:r>
      <w:r w:rsidR="00227A81" w:rsidRPr="00227A81">
        <w:rPr>
          <w:lang w:val="es-ES_tradnl" w:eastAsia="es-ES"/>
        </w:rPr>
        <w:t xml:space="preserve"> </w:t>
      </w:r>
    </w:p>
    <w:p w14:paraId="526523B5" w14:textId="5FDFD36F" w:rsidR="00124BC8" w:rsidRDefault="00227A81" w:rsidP="009F42B4">
      <w:pPr>
        <w:pStyle w:val="SingleTxtG"/>
        <w:rPr>
          <w:lang w:val="es-ES_tradnl" w:eastAsia="es-ES"/>
        </w:rPr>
      </w:pPr>
      <w:r w:rsidRPr="0066090A">
        <w:rPr>
          <w:lang w:val="es-ES_tradnl" w:eastAsia="es-ES"/>
        </w:rPr>
        <w:lastRenderedPageBreak/>
        <w:t>8.4</w:t>
      </w:r>
      <w:r w:rsidRPr="0066090A">
        <w:rPr>
          <w:lang w:val="es-ES_tradnl" w:eastAsia="es-ES"/>
        </w:rPr>
        <w:tab/>
      </w:r>
      <w:r w:rsidR="00787045" w:rsidRPr="00787045">
        <w:rPr>
          <w:lang w:val="es-ES_tradnl" w:eastAsia="es-ES"/>
        </w:rPr>
        <w:t xml:space="preserve">El Comité recuerda que el propósito del requisito de agotamiento es que el propio Estado </w:t>
      </w:r>
      <w:r w:rsidR="00787045">
        <w:rPr>
          <w:lang w:val="es-ES_tradnl" w:eastAsia="es-ES"/>
        </w:rPr>
        <w:t>p</w:t>
      </w:r>
      <w:r w:rsidR="00787045" w:rsidRPr="00787045">
        <w:rPr>
          <w:lang w:val="es-ES_tradnl" w:eastAsia="es-ES"/>
        </w:rPr>
        <w:t xml:space="preserve">arte tenga la oportunidad de </w:t>
      </w:r>
      <w:r w:rsidR="00D05D04">
        <w:rPr>
          <w:lang w:val="es-ES_tradnl" w:eastAsia="es-ES"/>
        </w:rPr>
        <w:t>hacer</w:t>
      </w:r>
      <w:r w:rsidR="00D05D04" w:rsidRPr="00D05D04">
        <w:rPr>
          <w:lang w:val="es-ES_tradnl" w:eastAsia="es-ES"/>
        </w:rPr>
        <w:t xml:space="preserve"> efectivo su deber de proteger y garantizar los derechos consagrados </w:t>
      </w:r>
      <w:r w:rsidR="00D05D04">
        <w:rPr>
          <w:lang w:val="es-ES_tradnl" w:eastAsia="es-ES"/>
        </w:rPr>
        <w:t>en el Pacto</w:t>
      </w:r>
      <w:r w:rsidR="007422FA">
        <w:rPr>
          <w:rStyle w:val="FootnoteReference"/>
          <w:lang w:val="es-ES_tradnl" w:eastAsia="es-ES"/>
        </w:rPr>
        <w:footnoteReference w:id="31"/>
      </w:r>
      <w:r w:rsidR="00787045">
        <w:rPr>
          <w:lang w:val="es-ES_tradnl" w:eastAsia="es-ES"/>
        </w:rPr>
        <w:t xml:space="preserve">. </w:t>
      </w:r>
      <w:r w:rsidR="00CA7067" w:rsidRPr="0066090A">
        <w:rPr>
          <w:lang w:val="es-ES_tradnl" w:eastAsia="es-ES"/>
        </w:rPr>
        <w:t xml:space="preserve">Sin embargo, a efectos de lo dispuesto en </w:t>
      </w:r>
      <w:r w:rsidR="00A05CF1" w:rsidRPr="0066090A">
        <w:rPr>
          <w:lang w:val="es-ES_tradnl" w:eastAsia="es-ES"/>
        </w:rPr>
        <w:t>el artículo 5</w:t>
      </w:r>
      <w:r w:rsidR="00D05D04">
        <w:rPr>
          <w:lang w:val="es-ES_tradnl" w:eastAsia="es-ES"/>
        </w:rPr>
        <w:t xml:space="preserve">, párrafo </w:t>
      </w:r>
      <w:r w:rsidR="00CA7067" w:rsidRPr="0066090A">
        <w:rPr>
          <w:lang w:val="es-ES_tradnl" w:eastAsia="es-ES"/>
        </w:rPr>
        <w:t>2</w:t>
      </w:r>
      <w:r w:rsidR="00D05D04">
        <w:rPr>
          <w:lang w:val="es-ES_tradnl" w:eastAsia="es-ES"/>
        </w:rPr>
        <w:t>, inciso</w:t>
      </w:r>
      <w:r w:rsidR="00CA7067" w:rsidRPr="0066090A">
        <w:rPr>
          <w:lang w:val="es-ES_tradnl" w:eastAsia="es-ES"/>
        </w:rPr>
        <w:t xml:space="preserve"> </w:t>
      </w:r>
      <w:r w:rsidR="00D05D04">
        <w:rPr>
          <w:lang w:val="es-ES_tradnl" w:eastAsia="es-ES"/>
        </w:rPr>
        <w:t>b,</w:t>
      </w:r>
      <w:r w:rsidR="00CA7067" w:rsidRPr="0066090A">
        <w:rPr>
          <w:lang w:val="es-ES_tradnl" w:eastAsia="es-ES"/>
        </w:rPr>
        <w:t xml:space="preserve"> del Protocolo Facultativo, los recursos internos no deben prolongarse injustificadamente. </w:t>
      </w:r>
      <w:r w:rsidR="0066090A" w:rsidRPr="0066090A">
        <w:rPr>
          <w:lang w:val="es-ES_tradnl" w:eastAsia="es-ES"/>
        </w:rPr>
        <w:t>En vista de que han transcurrido casi 9 años desde la desaparición</w:t>
      </w:r>
      <w:r w:rsidR="00AA48CB">
        <w:rPr>
          <w:lang w:val="es-ES_tradnl" w:eastAsia="es-ES"/>
        </w:rPr>
        <w:t xml:space="preserve"> </w:t>
      </w:r>
      <w:r w:rsidR="002B5914" w:rsidRPr="0066090A">
        <w:rPr>
          <w:lang w:val="es-ES_tradnl" w:eastAsia="es-ES"/>
        </w:rPr>
        <w:t xml:space="preserve">del Sr. Téllez Padilla </w:t>
      </w:r>
      <w:r w:rsidR="00AA48CB">
        <w:rPr>
          <w:lang w:val="es-ES_tradnl" w:eastAsia="es-ES"/>
        </w:rPr>
        <w:t>y</w:t>
      </w:r>
      <w:r w:rsidR="0066090A" w:rsidRPr="0066090A">
        <w:rPr>
          <w:lang w:val="es-ES_tradnl" w:eastAsia="es-ES"/>
        </w:rPr>
        <w:t xml:space="preserve"> </w:t>
      </w:r>
      <w:r w:rsidR="00AA48CB" w:rsidRPr="0066090A">
        <w:rPr>
          <w:lang w:val="es-ES_tradnl" w:eastAsia="es-ES"/>
        </w:rPr>
        <w:t xml:space="preserve">desde las </w:t>
      </w:r>
      <w:r w:rsidR="00600B1A">
        <w:rPr>
          <w:lang w:val="es-ES_tradnl" w:eastAsia="es-ES"/>
        </w:rPr>
        <w:t>denuncias</w:t>
      </w:r>
      <w:r w:rsidR="00AA48CB" w:rsidRPr="0066090A">
        <w:rPr>
          <w:lang w:val="es-ES_tradnl" w:eastAsia="es-ES"/>
        </w:rPr>
        <w:t xml:space="preserve"> </w:t>
      </w:r>
      <w:r w:rsidR="007B368B">
        <w:rPr>
          <w:lang w:val="es-ES_tradnl" w:eastAsia="es-ES"/>
        </w:rPr>
        <w:t xml:space="preserve">presentadas </w:t>
      </w:r>
      <w:r w:rsidR="00AA48CB" w:rsidRPr="0066090A">
        <w:rPr>
          <w:lang w:val="es-ES_tradnl" w:eastAsia="es-ES"/>
        </w:rPr>
        <w:t>tanto por los autores de la presente comunicación como por la compañera del Sr. Téllez Padilla</w:t>
      </w:r>
      <w:r w:rsidR="00AA48CB">
        <w:rPr>
          <w:lang w:val="es-ES_tradnl" w:eastAsia="es-ES"/>
        </w:rPr>
        <w:t>,</w:t>
      </w:r>
      <w:r w:rsidR="00AA48CB" w:rsidRPr="0066090A">
        <w:rPr>
          <w:lang w:val="es-ES_tradnl" w:eastAsia="es-ES"/>
        </w:rPr>
        <w:t xml:space="preserve"> </w:t>
      </w:r>
      <w:r w:rsidR="000B5BAF">
        <w:rPr>
          <w:lang w:val="es-ES_tradnl" w:eastAsia="es-ES"/>
        </w:rPr>
        <w:t xml:space="preserve">sin que </w:t>
      </w:r>
      <w:r w:rsidR="00600B1A">
        <w:rPr>
          <w:lang w:val="es-ES_tradnl" w:eastAsia="es-ES"/>
        </w:rPr>
        <w:t xml:space="preserve">dichas investigaciones hayan avanzado significativamente y sin que </w:t>
      </w:r>
      <w:r w:rsidR="000B5BAF">
        <w:rPr>
          <w:lang w:val="es-ES_tradnl" w:eastAsia="es-ES"/>
        </w:rPr>
        <w:t>el Estado parte haya justificado dicho retraso,</w:t>
      </w:r>
      <w:r w:rsidR="003D1641">
        <w:rPr>
          <w:rStyle w:val="FootnoteReference"/>
          <w:lang w:val="es-ES_tradnl" w:eastAsia="es-ES"/>
        </w:rPr>
        <w:footnoteReference w:id="32"/>
      </w:r>
      <w:r w:rsidR="000B5BAF">
        <w:rPr>
          <w:lang w:val="es-ES_tradnl" w:eastAsia="es-ES"/>
        </w:rPr>
        <w:t xml:space="preserve"> </w:t>
      </w:r>
      <w:r w:rsidR="0066090A" w:rsidRPr="0066090A">
        <w:rPr>
          <w:lang w:val="es-ES_tradnl" w:eastAsia="es-ES"/>
        </w:rPr>
        <w:t xml:space="preserve">el Comité considera </w:t>
      </w:r>
      <w:r w:rsidR="00AC3A78" w:rsidRPr="0066090A">
        <w:rPr>
          <w:lang w:val="es-ES_tradnl" w:eastAsia="es-ES"/>
        </w:rPr>
        <w:t>que</w:t>
      </w:r>
      <w:r w:rsidR="002E02F9" w:rsidRPr="0066090A">
        <w:rPr>
          <w:lang w:val="es-ES"/>
        </w:rPr>
        <w:t xml:space="preserve"> </w:t>
      </w:r>
      <w:r w:rsidR="000B5BAF">
        <w:rPr>
          <w:lang w:val="es-ES"/>
        </w:rPr>
        <w:t xml:space="preserve">dichas investigaciones se han dilatado excesivamente y que, en consecuencia, </w:t>
      </w:r>
      <w:r w:rsidR="000D471F" w:rsidRPr="0066090A">
        <w:rPr>
          <w:lang w:val="es-ES_tradnl" w:eastAsia="es-ES"/>
        </w:rPr>
        <w:t>el artículo 5</w:t>
      </w:r>
      <w:r w:rsidR="00A55EDE">
        <w:rPr>
          <w:lang w:val="es-ES_tradnl" w:eastAsia="es-ES"/>
        </w:rPr>
        <w:t xml:space="preserve">, </w:t>
      </w:r>
      <w:r w:rsidR="00A55EDE" w:rsidRPr="00025907">
        <w:rPr>
          <w:lang w:val="es-ES"/>
        </w:rPr>
        <w:t xml:space="preserve">párrafo </w:t>
      </w:r>
      <w:r w:rsidR="000D471F" w:rsidRPr="0066090A">
        <w:rPr>
          <w:lang w:val="es-ES_tradnl" w:eastAsia="es-ES"/>
        </w:rPr>
        <w:t>2</w:t>
      </w:r>
      <w:r w:rsidR="00A55EDE">
        <w:rPr>
          <w:lang w:val="es-ES_tradnl" w:eastAsia="es-ES"/>
        </w:rPr>
        <w:t>,</w:t>
      </w:r>
      <w:r w:rsidR="000D471F" w:rsidRPr="0066090A">
        <w:rPr>
          <w:lang w:val="es-ES_tradnl" w:eastAsia="es-ES"/>
        </w:rPr>
        <w:t xml:space="preserve"> </w:t>
      </w:r>
      <w:r w:rsidR="00A55EDE">
        <w:rPr>
          <w:lang w:val="es-ES_tradnl" w:eastAsia="es-ES"/>
        </w:rPr>
        <w:t xml:space="preserve">inciso </w:t>
      </w:r>
      <w:r w:rsidR="000D471F" w:rsidRPr="0066090A">
        <w:rPr>
          <w:lang w:val="es-ES_tradnl" w:eastAsia="es-ES"/>
        </w:rPr>
        <w:t>b</w:t>
      </w:r>
      <w:r w:rsidR="00A55EDE">
        <w:rPr>
          <w:lang w:val="es-ES_tradnl" w:eastAsia="es-ES"/>
        </w:rPr>
        <w:t>,</w:t>
      </w:r>
      <w:r w:rsidR="000D471F" w:rsidRPr="0066090A">
        <w:rPr>
          <w:lang w:val="es-ES_tradnl" w:eastAsia="es-ES"/>
        </w:rPr>
        <w:t xml:space="preserve"> del Protocolo Facultativo no le impide examinar la </w:t>
      </w:r>
      <w:r w:rsidR="007B368B">
        <w:rPr>
          <w:lang w:val="es-ES_tradnl" w:eastAsia="es-ES"/>
        </w:rPr>
        <w:t>presente queja</w:t>
      </w:r>
      <w:r w:rsidR="00A27D3D">
        <w:rPr>
          <w:lang w:val="es-ES_tradnl" w:eastAsia="es-ES"/>
        </w:rPr>
        <w:t>.</w:t>
      </w:r>
      <w:r w:rsidR="003F7215" w:rsidRPr="0066090A">
        <w:rPr>
          <w:rStyle w:val="FootnoteReference"/>
          <w:lang w:val="es-ES_tradnl" w:eastAsia="es-ES"/>
        </w:rPr>
        <w:footnoteReference w:id="33"/>
      </w:r>
    </w:p>
    <w:p w14:paraId="114F4DEA" w14:textId="74436FEE" w:rsidR="00124BC8" w:rsidRPr="00AC3A78" w:rsidRDefault="00227A81" w:rsidP="00124BC8">
      <w:pPr>
        <w:pStyle w:val="SingleTxtG"/>
        <w:rPr>
          <w:lang w:val="es-ES_tradnl" w:eastAsia="es-ES"/>
        </w:rPr>
      </w:pPr>
      <w:r>
        <w:rPr>
          <w:lang w:val="es-ES_tradnl" w:eastAsia="es-ES"/>
        </w:rPr>
        <w:t>8.</w:t>
      </w:r>
      <w:r w:rsidR="007B368B">
        <w:rPr>
          <w:lang w:val="es-ES_tradnl" w:eastAsia="es-ES"/>
        </w:rPr>
        <w:t>5</w:t>
      </w:r>
      <w:r w:rsidR="00124BC8" w:rsidRPr="00AC3A78">
        <w:rPr>
          <w:lang w:val="es-ES_tradnl" w:eastAsia="es-ES"/>
        </w:rPr>
        <w:tab/>
        <w:t xml:space="preserve">Habiéndose cumplido todos los requisitos de admisibilidad, </w:t>
      </w:r>
      <w:r w:rsidR="00366363">
        <w:rPr>
          <w:lang w:val="es-ES_tradnl" w:eastAsia="es-ES"/>
        </w:rPr>
        <w:t>y observando que las quejas de</w:t>
      </w:r>
      <w:r w:rsidR="002837F0">
        <w:rPr>
          <w:lang w:val="es-ES_tradnl" w:eastAsia="es-ES"/>
        </w:rPr>
        <w:t xml:space="preserve"> </w:t>
      </w:r>
      <w:r w:rsidR="00366363">
        <w:rPr>
          <w:lang w:val="es-ES_tradnl" w:eastAsia="es-ES"/>
        </w:rPr>
        <w:t>l</w:t>
      </w:r>
      <w:r w:rsidR="002837F0">
        <w:rPr>
          <w:lang w:val="es-ES_tradnl" w:eastAsia="es-ES"/>
        </w:rPr>
        <w:t>os</w:t>
      </w:r>
      <w:r w:rsidR="00366363">
        <w:rPr>
          <w:lang w:val="es-ES_tradnl" w:eastAsia="es-ES"/>
        </w:rPr>
        <w:t xml:space="preserve"> autor</w:t>
      </w:r>
      <w:r w:rsidR="002837F0">
        <w:rPr>
          <w:lang w:val="es-ES_tradnl" w:eastAsia="es-ES"/>
        </w:rPr>
        <w:t>es</w:t>
      </w:r>
      <w:r w:rsidR="00366363">
        <w:rPr>
          <w:lang w:val="es-ES_tradnl" w:eastAsia="es-ES"/>
        </w:rPr>
        <w:t xml:space="preserve"> </w:t>
      </w:r>
      <w:r w:rsidR="00366363" w:rsidRPr="001A0BB0">
        <w:rPr>
          <w:lang w:val="es-ES_tradnl" w:eastAsia="es-ES"/>
        </w:rPr>
        <w:t xml:space="preserve">basadas en los artículos </w:t>
      </w:r>
      <w:r w:rsidR="002837F0" w:rsidRPr="00AB46A3">
        <w:rPr>
          <w:lang w:val="es-ES_tradnl"/>
        </w:rPr>
        <w:t xml:space="preserve">2 </w:t>
      </w:r>
      <w:r w:rsidR="00A55EDE" w:rsidRPr="00025907">
        <w:rPr>
          <w:lang w:val="es-ES"/>
        </w:rPr>
        <w:t xml:space="preserve">párrafo </w:t>
      </w:r>
      <w:r w:rsidR="002837F0" w:rsidRPr="00AB46A3">
        <w:rPr>
          <w:lang w:val="es-ES_tradnl"/>
        </w:rPr>
        <w:t>3</w:t>
      </w:r>
      <w:r w:rsidR="002837F0">
        <w:rPr>
          <w:lang w:val="es-ES_tradnl"/>
        </w:rPr>
        <w:t xml:space="preserve">, </w:t>
      </w:r>
      <w:r w:rsidR="002837F0" w:rsidRPr="00AB46A3">
        <w:rPr>
          <w:lang w:val="es-ES_tradnl"/>
        </w:rPr>
        <w:t xml:space="preserve">6 </w:t>
      </w:r>
      <w:r w:rsidR="00A55EDE" w:rsidRPr="00025907">
        <w:rPr>
          <w:lang w:val="es-ES"/>
        </w:rPr>
        <w:t xml:space="preserve">párrafo </w:t>
      </w:r>
      <w:r w:rsidR="002837F0" w:rsidRPr="00AB46A3">
        <w:rPr>
          <w:lang w:val="es-ES_tradnl"/>
        </w:rPr>
        <w:t xml:space="preserve">1, 7, 9 y 16 del Pacto </w:t>
      </w:r>
      <w:r w:rsidR="00366363" w:rsidRPr="001A0BB0">
        <w:rPr>
          <w:lang w:val="es-ES_tradnl" w:eastAsia="es-ES"/>
        </w:rPr>
        <w:t xml:space="preserve">han sido suficientemente fundamentadas a los efectos de la admisibilidad, </w:t>
      </w:r>
      <w:r w:rsidR="00124BC8" w:rsidRPr="00AC3A78">
        <w:rPr>
          <w:lang w:val="es-ES_tradnl" w:eastAsia="es-ES"/>
        </w:rPr>
        <w:t>el Comité declara la comunicación admisible y procede a examinarla en cuanto al fondo.</w:t>
      </w:r>
    </w:p>
    <w:p w14:paraId="674FE0F1" w14:textId="6D831182" w:rsidR="00124BC8" w:rsidRPr="00217382" w:rsidRDefault="00175184" w:rsidP="00175184">
      <w:pPr>
        <w:pStyle w:val="H4G"/>
        <w:rPr>
          <w:lang w:val="es-ES_tradnl" w:eastAsia="es-ES"/>
        </w:rPr>
      </w:pPr>
      <w:r>
        <w:rPr>
          <w:lang w:val="es-ES_tradnl" w:eastAsia="es-ES"/>
        </w:rPr>
        <w:tab/>
      </w:r>
      <w:r>
        <w:rPr>
          <w:lang w:val="es-ES_tradnl" w:eastAsia="es-ES"/>
        </w:rPr>
        <w:tab/>
      </w:r>
      <w:r w:rsidR="00217382" w:rsidRPr="00217382">
        <w:rPr>
          <w:lang w:val="es-ES_tradnl" w:eastAsia="es-ES"/>
        </w:rPr>
        <w:t>Examen de la cuestión en cuanto al fondo</w:t>
      </w:r>
    </w:p>
    <w:p w14:paraId="1E26774D" w14:textId="41BB57F2" w:rsidR="00217382" w:rsidRDefault="00F51215" w:rsidP="00AA4464">
      <w:pPr>
        <w:pStyle w:val="SingleTxtG"/>
        <w:rPr>
          <w:lang w:val="es-ES_tradnl" w:eastAsia="es-ES"/>
        </w:rPr>
      </w:pPr>
      <w:r>
        <w:rPr>
          <w:lang w:val="es-ES_tradnl" w:eastAsia="es-ES"/>
        </w:rPr>
        <w:t>9.1</w:t>
      </w:r>
      <w:r>
        <w:rPr>
          <w:lang w:val="es-ES_tradnl" w:eastAsia="es-ES"/>
        </w:rPr>
        <w:tab/>
      </w:r>
      <w:r w:rsidRPr="00F51215">
        <w:rPr>
          <w:lang w:val="es-ES_tradnl" w:eastAsia="es-ES"/>
        </w:rPr>
        <w:t>El Comité ha examinado la presente comunicación teniendo en cuenta toda la información que le han facilitado las partes, de conformidad con lo dispuesto en el artículo 5</w:t>
      </w:r>
      <w:r w:rsidR="000A1A07">
        <w:rPr>
          <w:lang w:val="es-ES_tradnl" w:eastAsia="es-ES"/>
        </w:rPr>
        <w:t xml:space="preserve">, párrafo </w:t>
      </w:r>
      <w:r w:rsidRPr="00F51215">
        <w:rPr>
          <w:lang w:val="es-ES_tradnl" w:eastAsia="es-ES"/>
        </w:rPr>
        <w:t>1</w:t>
      </w:r>
      <w:r w:rsidR="000A1A07">
        <w:rPr>
          <w:lang w:val="es-ES_tradnl" w:eastAsia="es-ES"/>
        </w:rPr>
        <w:t>,</w:t>
      </w:r>
      <w:r w:rsidRPr="00F51215">
        <w:rPr>
          <w:lang w:val="es-ES_tradnl" w:eastAsia="es-ES"/>
        </w:rPr>
        <w:t xml:space="preserve"> del Protocolo Facultativo</w:t>
      </w:r>
      <w:r w:rsidR="00D94CA2">
        <w:rPr>
          <w:lang w:val="es-ES_tradnl" w:eastAsia="es-ES"/>
        </w:rPr>
        <w:t>.</w:t>
      </w:r>
    </w:p>
    <w:p w14:paraId="7DAB6114" w14:textId="5A2A0408" w:rsidR="008E0E93" w:rsidRDefault="00D94CA2" w:rsidP="00AA4464">
      <w:pPr>
        <w:pStyle w:val="SingleTxtG"/>
        <w:rPr>
          <w:lang w:val="es-ES_tradnl" w:eastAsia="es-ES"/>
        </w:rPr>
      </w:pPr>
      <w:r>
        <w:rPr>
          <w:lang w:val="es-ES_tradnl" w:eastAsia="es-ES"/>
        </w:rPr>
        <w:t>9.2</w:t>
      </w:r>
      <w:r>
        <w:rPr>
          <w:lang w:val="es-ES_tradnl" w:eastAsia="es-ES"/>
        </w:rPr>
        <w:tab/>
        <w:t xml:space="preserve">El Comité toma nota de </w:t>
      </w:r>
      <w:r w:rsidR="00226925">
        <w:rPr>
          <w:lang w:val="es-ES_tradnl" w:eastAsia="es-ES"/>
        </w:rPr>
        <w:t xml:space="preserve">que los autores afirman </w:t>
      </w:r>
      <w:r w:rsidR="00960616">
        <w:rPr>
          <w:lang w:val="es-ES_tradnl" w:eastAsia="es-ES"/>
        </w:rPr>
        <w:t>que los hechos del presente caso constituyen una desaparición forzada</w:t>
      </w:r>
      <w:r w:rsidR="00B2797A">
        <w:rPr>
          <w:lang w:val="es-ES_tradnl" w:eastAsia="es-ES"/>
        </w:rPr>
        <w:t xml:space="preserve"> </w:t>
      </w:r>
      <w:r w:rsidR="00B2797A">
        <w:rPr>
          <w:color w:val="000000"/>
          <w:lang w:val="es-ES_tradnl"/>
        </w:rPr>
        <w:t>al cumplirse todos</w:t>
      </w:r>
      <w:r w:rsidR="00B2797A" w:rsidRPr="00B568CF">
        <w:rPr>
          <w:color w:val="000000"/>
          <w:lang w:val="es-ES_tradnl"/>
        </w:rPr>
        <w:t xml:space="preserve"> los elementos de </w:t>
      </w:r>
      <w:r w:rsidR="00B2797A">
        <w:rPr>
          <w:color w:val="000000"/>
          <w:lang w:val="es-ES_tradnl"/>
        </w:rPr>
        <w:t>su definición</w:t>
      </w:r>
      <w:r w:rsidR="00B2797A" w:rsidRPr="00B568CF">
        <w:rPr>
          <w:color w:val="000000"/>
          <w:lang w:val="es-ES_tradnl"/>
        </w:rPr>
        <w:t xml:space="preserve">: i) el Sr. Téllez Padilla fue interceptado por agentes de la Policía Intermunicipal, ii) </w:t>
      </w:r>
      <w:r w:rsidR="00D23C95">
        <w:rPr>
          <w:color w:val="000000"/>
          <w:lang w:val="es-ES_tradnl"/>
        </w:rPr>
        <w:t>los</w:t>
      </w:r>
      <w:r w:rsidR="00B2797A" w:rsidRPr="00B568CF">
        <w:rPr>
          <w:color w:val="000000"/>
          <w:lang w:val="es-ES_tradnl"/>
        </w:rPr>
        <w:t xml:space="preserve"> agentes lo bajaron de su automóvil y lo subieron a una patrulla de la Policía, y iii) sus familiares lo </w:t>
      </w:r>
      <w:r w:rsidR="00B2797A" w:rsidRPr="008F091D">
        <w:rPr>
          <w:color w:val="000000"/>
          <w:lang w:val="es-ES_tradnl"/>
        </w:rPr>
        <w:t>buscaron de manera insistente y los funcionarios negaron que estuviera en sus instalaciones</w:t>
      </w:r>
      <w:r w:rsidR="00226925" w:rsidRPr="008F091D">
        <w:rPr>
          <w:lang w:val="es-ES_tradnl" w:eastAsia="es-ES"/>
        </w:rPr>
        <w:t>. El Comité observa</w:t>
      </w:r>
      <w:r w:rsidR="00960616" w:rsidRPr="008F091D">
        <w:rPr>
          <w:lang w:val="es-ES_tradnl" w:eastAsia="es-ES"/>
        </w:rPr>
        <w:t xml:space="preserve"> que el Estado parte no </w:t>
      </w:r>
      <w:r w:rsidR="00226925" w:rsidRPr="008F091D">
        <w:rPr>
          <w:lang w:val="es-ES_tradnl" w:eastAsia="es-ES"/>
        </w:rPr>
        <w:t xml:space="preserve">ha refutado </w:t>
      </w:r>
      <w:r w:rsidR="008F091D" w:rsidRPr="008F091D">
        <w:rPr>
          <w:lang w:val="es-ES_tradnl" w:eastAsia="es-ES"/>
        </w:rPr>
        <w:t xml:space="preserve">que </w:t>
      </w:r>
      <w:r w:rsidR="0075400C">
        <w:rPr>
          <w:lang w:val="es-ES_tradnl" w:eastAsia="es-ES"/>
        </w:rPr>
        <w:t xml:space="preserve">el </w:t>
      </w:r>
      <w:r w:rsidR="0075400C" w:rsidRPr="008F091D">
        <w:rPr>
          <w:color w:val="000000"/>
          <w:lang w:val="es-ES_tradnl"/>
        </w:rPr>
        <w:t xml:space="preserve">Sr. Téllez Padilla </w:t>
      </w:r>
      <w:r w:rsidR="0075400C">
        <w:rPr>
          <w:color w:val="000000"/>
          <w:lang w:val="es-ES_tradnl"/>
        </w:rPr>
        <w:t xml:space="preserve">se encuentre desaparecido, </w:t>
      </w:r>
      <w:r w:rsidR="008F091D" w:rsidRPr="008F091D">
        <w:rPr>
          <w:lang w:val="es-ES_tradnl" w:eastAsia="es-ES"/>
        </w:rPr>
        <w:t xml:space="preserve">que ha manifestado que </w:t>
      </w:r>
      <w:r w:rsidR="008F091D" w:rsidRPr="008F091D">
        <w:rPr>
          <w:color w:val="000000"/>
          <w:lang w:val="es-ES_tradnl"/>
        </w:rPr>
        <w:t>“se puede presumir que los autores del injusto penal pudieran tratarse de elementos encargados de hacer cumplir la ley”,</w:t>
      </w:r>
      <w:r w:rsidR="00D23C95">
        <w:rPr>
          <w:color w:val="000000"/>
          <w:lang w:val="es-ES_tradnl"/>
        </w:rPr>
        <w:t xml:space="preserve"> </w:t>
      </w:r>
      <w:r w:rsidR="005E7EBD">
        <w:rPr>
          <w:color w:val="000000"/>
          <w:lang w:val="es-ES_tradnl"/>
        </w:rPr>
        <w:t>pero</w:t>
      </w:r>
      <w:r w:rsidR="00D23C95">
        <w:rPr>
          <w:color w:val="000000"/>
          <w:lang w:val="es-ES_tradnl"/>
        </w:rPr>
        <w:t xml:space="preserve"> que</w:t>
      </w:r>
      <w:r w:rsidR="008F091D" w:rsidRPr="008F091D">
        <w:rPr>
          <w:color w:val="000000"/>
          <w:lang w:val="es-ES_tradnl"/>
        </w:rPr>
        <w:t xml:space="preserve"> concluye que la desaparición no es atribuible</w:t>
      </w:r>
      <w:r w:rsidR="008F091D" w:rsidRPr="004726C0">
        <w:rPr>
          <w:color w:val="000000"/>
          <w:lang w:val="es-ES_tradnl"/>
        </w:rPr>
        <w:t xml:space="preserve"> a agentes del Estado </w:t>
      </w:r>
      <w:r w:rsidR="008F091D">
        <w:rPr>
          <w:color w:val="000000"/>
          <w:lang w:val="es-ES_tradnl"/>
        </w:rPr>
        <w:t xml:space="preserve">debido a que </w:t>
      </w:r>
      <w:r w:rsidR="008F091D" w:rsidRPr="004726C0">
        <w:rPr>
          <w:color w:val="000000"/>
          <w:lang w:val="es-ES_tradnl"/>
        </w:rPr>
        <w:t>ninguno de los policí</w:t>
      </w:r>
      <w:r w:rsidR="008F091D">
        <w:rPr>
          <w:color w:val="000000"/>
          <w:lang w:val="es-ES_tradnl"/>
        </w:rPr>
        <w:t>as ha aceptado su participación</w:t>
      </w:r>
      <w:r w:rsidR="001309DA">
        <w:rPr>
          <w:color w:val="000000"/>
          <w:lang w:val="es-ES_tradnl"/>
        </w:rPr>
        <w:t xml:space="preserve"> y</w:t>
      </w:r>
      <w:r w:rsidR="00315DF0">
        <w:rPr>
          <w:color w:val="000000"/>
          <w:lang w:val="es-ES_tradnl"/>
        </w:rPr>
        <w:t xml:space="preserve"> que</w:t>
      </w:r>
      <w:r w:rsidR="001309DA">
        <w:rPr>
          <w:color w:val="000000"/>
          <w:lang w:val="es-ES_tradnl"/>
        </w:rPr>
        <w:t xml:space="preserve"> no se cuenta con testimonios que apoyen el de la testigo presencial</w:t>
      </w:r>
      <w:r w:rsidR="008F091D" w:rsidRPr="004726C0">
        <w:rPr>
          <w:color w:val="000000"/>
          <w:lang w:val="es-ES_tradnl"/>
        </w:rPr>
        <w:t>.</w:t>
      </w:r>
    </w:p>
    <w:p w14:paraId="3B78EC15" w14:textId="32A9C666" w:rsidR="00192605" w:rsidRPr="00402AD9" w:rsidRDefault="002C0EA9" w:rsidP="00402AD9">
      <w:pPr>
        <w:pStyle w:val="SingleTxtG"/>
        <w:rPr>
          <w:color w:val="000000"/>
          <w:lang w:val="es-ES"/>
        </w:rPr>
      </w:pPr>
      <w:r>
        <w:rPr>
          <w:lang w:val="es-ES_tradnl" w:eastAsia="es-ES"/>
        </w:rPr>
        <w:t>9.3</w:t>
      </w:r>
      <w:r>
        <w:rPr>
          <w:lang w:val="es-ES_tradnl" w:eastAsia="es-ES"/>
        </w:rPr>
        <w:tab/>
      </w:r>
      <w:r w:rsidR="00CE4CD8">
        <w:rPr>
          <w:lang w:val="es-ES_tradnl" w:eastAsia="es-ES"/>
        </w:rPr>
        <w:t xml:space="preserve">El Comité </w:t>
      </w:r>
      <w:r w:rsidR="00774989">
        <w:rPr>
          <w:color w:val="000000"/>
          <w:lang w:val="es-ES_tradnl"/>
        </w:rPr>
        <w:t xml:space="preserve">observa que </w:t>
      </w:r>
      <w:r w:rsidR="00774989" w:rsidRPr="00DD0316">
        <w:rPr>
          <w:color w:val="000000"/>
          <w:lang w:val="es-ES_tradnl"/>
        </w:rPr>
        <w:t xml:space="preserve">uno de los elementos característicos de </w:t>
      </w:r>
      <w:r w:rsidR="00774989">
        <w:rPr>
          <w:color w:val="000000"/>
          <w:lang w:val="es-ES_tradnl"/>
        </w:rPr>
        <w:t>la</w:t>
      </w:r>
      <w:r w:rsidR="00774989" w:rsidRPr="00DD0316">
        <w:rPr>
          <w:color w:val="000000"/>
          <w:lang w:val="es-ES_tradnl"/>
        </w:rPr>
        <w:t xml:space="preserve"> desaparición forzada</w:t>
      </w:r>
      <w:r w:rsidR="00774989">
        <w:rPr>
          <w:color w:val="000000"/>
          <w:lang w:val="es-ES_tradnl"/>
        </w:rPr>
        <w:t xml:space="preserve"> de personas</w:t>
      </w:r>
      <w:r w:rsidR="00774989" w:rsidRPr="00DD0316">
        <w:rPr>
          <w:color w:val="000000"/>
          <w:lang w:val="es-ES_tradnl"/>
        </w:rPr>
        <w:t xml:space="preserve"> es precisamente la</w:t>
      </w:r>
      <w:r w:rsidR="00774989">
        <w:rPr>
          <w:color w:val="000000"/>
          <w:lang w:val="es-ES_tradnl"/>
        </w:rPr>
        <w:t xml:space="preserve"> </w:t>
      </w:r>
      <w:r w:rsidR="00774989" w:rsidRPr="00DD0316">
        <w:rPr>
          <w:color w:val="000000"/>
          <w:lang w:val="es-ES_tradnl"/>
        </w:rPr>
        <w:t xml:space="preserve">negativa de reconocer la detención y de revelar la suerte </w:t>
      </w:r>
      <w:r w:rsidR="00774989">
        <w:rPr>
          <w:color w:val="000000"/>
          <w:lang w:val="es-ES_tradnl"/>
        </w:rPr>
        <w:t>y</w:t>
      </w:r>
      <w:r w:rsidR="00774989" w:rsidRPr="00DD0316">
        <w:rPr>
          <w:color w:val="000000"/>
          <w:lang w:val="es-ES_tradnl"/>
        </w:rPr>
        <w:t xml:space="preserve"> el paradero de la persona,</w:t>
      </w:r>
      <w:r w:rsidR="00157AF6">
        <w:rPr>
          <w:rStyle w:val="FootnoteReference"/>
          <w:color w:val="000000"/>
          <w:lang w:val="es-ES_tradnl"/>
        </w:rPr>
        <w:footnoteReference w:id="34"/>
      </w:r>
      <w:r w:rsidR="00774989" w:rsidRPr="00DD0316">
        <w:rPr>
          <w:color w:val="000000"/>
          <w:lang w:val="es-ES_tradnl"/>
        </w:rPr>
        <w:t xml:space="preserve"> </w:t>
      </w:r>
      <w:r w:rsidR="00774989">
        <w:rPr>
          <w:color w:val="000000"/>
          <w:lang w:val="es-ES_tradnl"/>
        </w:rPr>
        <w:t xml:space="preserve">y </w:t>
      </w:r>
      <w:r w:rsidR="00AD1024">
        <w:rPr>
          <w:lang w:val="es-ES_tradnl" w:eastAsia="es-ES"/>
        </w:rPr>
        <w:t xml:space="preserve">recuerda su jurisprudencia en el sentido </w:t>
      </w:r>
      <w:r w:rsidR="00CE4CD8">
        <w:rPr>
          <w:lang w:val="es-ES_tradnl" w:eastAsia="es-ES"/>
        </w:rPr>
        <w:t>que</w:t>
      </w:r>
      <w:r w:rsidR="00AD1024">
        <w:rPr>
          <w:lang w:val="es-ES_tradnl" w:eastAsia="es-ES"/>
        </w:rPr>
        <w:t xml:space="preserve"> </w:t>
      </w:r>
      <w:r w:rsidR="00192605">
        <w:rPr>
          <w:lang w:val="es-ES_tradnl" w:eastAsia="es-ES"/>
        </w:rPr>
        <w:t>la carga de la prueba no puede recaer exclusivamente en los autores de la comunicación</w:t>
      </w:r>
      <w:r w:rsidR="006A20D5">
        <w:rPr>
          <w:lang w:val="es-ES_tradnl" w:eastAsia="es-ES"/>
        </w:rPr>
        <w:t xml:space="preserve"> ya que e</w:t>
      </w:r>
      <w:r w:rsidR="006A20D5" w:rsidRPr="006A20D5">
        <w:rPr>
          <w:lang w:val="es-ES_tradnl" w:eastAsia="es-ES"/>
        </w:rPr>
        <w:t>l autor y el Estado parte no siempre tienen el mismo acceso a los elementos probatorios y</w:t>
      </w:r>
      <w:r w:rsidR="006A20D5">
        <w:rPr>
          <w:lang w:val="es-ES_tradnl" w:eastAsia="es-ES"/>
        </w:rPr>
        <w:t xml:space="preserve"> que</w:t>
      </w:r>
      <w:r w:rsidR="006A20D5" w:rsidRPr="006A20D5">
        <w:rPr>
          <w:lang w:val="es-ES_tradnl" w:eastAsia="es-ES"/>
        </w:rPr>
        <w:t xml:space="preserve"> con frecuencia el Estado parte es el único que tiene </w:t>
      </w:r>
      <w:r w:rsidR="006A20D5" w:rsidRPr="006A20D5">
        <w:rPr>
          <w:lang w:val="es-ES_tradnl" w:eastAsia="es-ES"/>
        </w:rPr>
        <w:lastRenderedPageBreak/>
        <w:t>acceso a la información pertinente</w:t>
      </w:r>
      <w:r w:rsidR="004F6BAC">
        <w:rPr>
          <w:lang w:val="es-ES_tradnl" w:eastAsia="es-ES"/>
        </w:rPr>
        <w:t>.</w:t>
      </w:r>
      <w:r w:rsidR="00AD1024">
        <w:rPr>
          <w:rStyle w:val="FootnoteReference"/>
          <w:lang w:val="es-ES_tradnl" w:eastAsia="es-ES"/>
        </w:rPr>
        <w:footnoteReference w:id="35"/>
      </w:r>
      <w:r w:rsidR="00192605">
        <w:rPr>
          <w:lang w:val="es-ES_tradnl" w:eastAsia="es-ES"/>
        </w:rPr>
        <w:t xml:space="preserve"> </w:t>
      </w:r>
      <w:r w:rsidR="006A20D5">
        <w:rPr>
          <w:lang w:val="es-ES_tradnl" w:eastAsia="es-ES"/>
        </w:rPr>
        <w:t>Así, c</w:t>
      </w:r>
      <w:r w:rsidR="00192605">
        <w:rPr>
          <w:lang w:val="es-ES_tradnl" w:eastAsia="es-ES"/>
        </w:rPr>
        <w:t>uando los autores hayan presentado al Estado parte denuncias dignas de crédito y que cuando para seguir aclarando el asunto se precise información que obre exclusivamente en poder del Estado parte, el Comité podrá considerarlas fundamentadas si el Estado parte no las refuta aportando pruebas o explicaciones satisfactorias.</w:t>
      </w:r>
      <w:r w:rsidR="00192605">
        <w:rPr>
          <w:rStyle w:val="FootnoteReference"/>
          <w:lang w:val="es-ES_tradnl" w:eastAsia="es-ES"/>
        </w:rPr>
        <w:footnoteReference w:id="36"/>
      </w:r>
      <w:r w:rsidR="00954784">
        <w:rPr>
          <w:lang w:val="es-ES_tradnl" w:eastAsia="es-ES"/>
        </w:rPr>
        <w:t xml:space="preserve"> </w:t>
      </w:r>
      <w:r w:rsidR="00954784">
        <w:rPr>
          <w:color w:val="000000"/>
          <w:lang w:val="es-ES_tradnl"/>
        </w:rPr>
        <w:t>Asimismo, el Comité</w:t>
      </w:r>
      <w:r w:rsidR="00797A1B">
        <w:rPr>
          <w:color w:val="000000"/>
          <w:lang w:val="es-ES_tradnl"/>
        </w:rPr>
        <w:t xml:space="preserve"> observa que</w:t>
      </w:r>
      <w:r w:rsidR="00DF0306">
        <w:rPr>
          <w:color w:val="000000"/>
          <w:lang w:val="es-ES_tradnl"/>
        </w:rPr>
        <w:t xml:space="preserve"> </w:t>
      </w:r>
      <w:r w:rsidR="00FA30C3">
        <w:rPr>
          <w:color w:val="000000"/>
          <w:lang w:val="es-ES_tradnl"/>
        </w:rPr>
        <w:t>“</w:t>
      </w:r>
      <w:r w:rsidR="00954784" w:rsidRPr="00DD0316">
        <w:rPr>
          <w:color w:val="000000"/>
          <w:lang w:val="es-ES_tradnl"/>
        </w:rPr>
        <w:t>resulta</w:t>
      </w:r>
      <w:r w:rsidR="00954784">
        <w:rPr>
          <w:color w:val="000000"/>
          <w:lang w:val="es-ES_tradnl"/>
        </w:rPr>
        <w:t xml:space="preserve"> </w:t>
      </w:r>
      <w:r w:rsidR="00954784" w:rsidRPr="00DD0316">
        <w:rPr>
          <w:color w:val="000000"/>
          <w:lang w:val="es-ES_tradnl"/>
        </w:rPr>
        <w:t>altamente cuestionable descartar la declaración de testigos con base en la negativa de los oficiales superiores</w:t>
      </w:r>
      <w:r w:rsidR="00954784">
        <w:rPr>
          <w:color w:val="000000"/>
          <w:lang w:val="es-ES_tradnl"/>
        </w:rPr>
        <w:t xml:space="preserve"> </w:t>
      </w:r>
      <w:r w:rsidR="00954784" w:rsidRPr="00DD0316">
        <w:rPr>
          <w:color w:val="000000"/>
          <w:lang w:val="es-ES_tradnl"/>
        </w:rPr>
        <w:t>de la dependencia estatal donde se dice que estuvo detenido el desaparecido</w:t>
      </w:r>
      <w:r w:rsidR="009A19EC">
        <w:rPr>
          <w:color w:val="000000"/>
          <w:lang w:val="es-ES_tradnl"/>
        </w:rPr>
        <w:t>”</w:t>
      </w:r>
      <w:r w:rsidR="00D77E21">
        <w:rPr>
          <w:color w:val="000000"/>
          <w:lang w:val="es-ES_tradnl"/>
        </w:rPr>
        <w:t>,</w:t>
      </w:r>
      <w:r w:rsidR="009A19EC">
        <w:rPr>
          <w:color w:val="000000"/>
          <w:lang w:val="es-ES_tradnl"/>
        </w:rPr>
        <w:t xml:space="preserve"> </w:t>
      </w:r>
      <w:r w:rsidR="00D77E21">
        <w:rPr>
          <w:color w:val="000000"/>
          <w:lang w:val="es-ES_tradnl"/>
        </w:rPr>
        <w:t>que</w:t>
      </w:r>
      <w:r w:rsidR="00954784">
        <w:rPr>
          <w:color w:val="000000"/>
          <w:lang w:val="es-ES_tradnl"/>
        </w:rPr>
        <w:t xml:space="preserve"> </w:t>
      </w:r>
      <w:r w:rsidR="009A19EC">
        <w:rPr>
          <w:color w:val="000000"/>
          <w:lang w:val="es-ES_tradnl"/>
        </w:rPr>
        <w:t>“[n</w:t>
      </w:r>
      <w:r w:rsidR="00954784">
        <w:rPr>
          <w:color w:val="000000"/>
          <w:lang w:val="es-ES_tradnl"/>
        </w:rPr>
        <w:t>]</w:t>
      </w:r>
      <w:r w:rsidR="00954784" w:rsidRPr="00DD0316">
        <w:rPr>
          <w:color w:val="000000"/>
          <w:lang w:val="es-ES_tradnl"/>
        </w:rPr>
        <w:t>o es lógico ni razonable investigar una desaparición forzada y supeditar su esclarecimiento a la aceptación</w:t>
      </w:r>
      <w:r w:rsidR="00954784">
        <w:rPr>
          <w:color w:val="000000"/>
          <w:lang w:val="es-ES_tradnl"/>
        </w:rPr>
        <w:t xml:space="preserve"> </w:t>
      </w:r>
      <w:r w:rsidR="00954784" w:rsidRPr="00DD0316">
        <w:rPr>
          <w:color w:val="000000"/>
          <w:lang w:val="es-ES_tradnl"/>
        </w:rPr>
        <w:t>o confesión de los posibles responsa</w:t>
      </w:r>
      <w:r w:rsidR="009A19EC">
        <w:rPr>
          <w:color w:val="000000"/>
          <w:lang w:val="es-ES_tradnl"/>
        </w:rPr>
        <w:t>bles o autoridades involucradas</w:t>
      </w:r>
      <w:r w:rsidR="00954784">
        <w:rPr>
          <w:color w:val="000000"/>
          <w:lang w:val="es-ES_tradnl"/>
        </w:rPr>
        <w:t>”</w:t>
      </w:r>
      <w:r w:rsidR="004D6EA8">
        <w:rPr>
          <w:color w:val="000000"/>
          <w:lang w:val="es-ES_tradnl"/>
        </w:rPr>
        <w:t>,</w:t>
      </w:r>
      <w:r w:rsidR="00954784">
        <w:rPr>
          <w:rStyle w:val="FootnoteReference"/>
          <w:color w:val="000000"/>
          <w:lang w:val="es-ES_tradnl"/>
        </w:rPr>
        <w:footnoteReference w:id="37"/>
      </w:r>
      <w:r w:rsidR="004D6EA8" w:rsidRPr="00402AD9">
        <w:rPr>
          <w:color w:val="000000"/>
          <w:lang w:val="es-ES"/>
        </w:rPr>
        <w:t xml:space="preserve"> </w:t>
      </w:r>
      <w:r w:rsidR="00D77E21">
        <w:rPr>
          <w:color w:val="000000"/>
          <w:lang w:val="es-ES"/>
        </w:rPr>
        <w:t>sino que</w:t>
      </w:r>
      <w:r w:rsidR="00A143EF">
        <w:rPr>
          <w:color w:val="000000"/>
          <w:lang w:val="es-ES"/>
        </w:rPr>
        <w:t xml:space="preserve"> los Estados deben</w:t>
      </w:r>
      <w:r w:rsidR="00884AF0" w:rsidRPr="00884AF0">
        <w:rPr>
          <w:color w:val="000000"/>
          <w:lang w:val="es-ES"/>
        </w:rPr>
        <w:t xml:space="preserve"> establecer procedimientos e</w:t>
      </w:r>
      <w:r w:rsidR="00C636F6">
        <w:rPr>
          <w:color w:val="000000"/>
          <w:lang w:val="es-ES"/>
        </w:rPr>
        <w:t>ficaces para investigar a fondo</w:t>
      </w:r>
      <w:r w:rsidR="00884AF0" w:rsidRPr="00884AF0">
        <w:rPr>
          <w:color w:val="000000"/>
          <w:lang w:val="es-ES"/>
        </w:rPr>
        <w:t xml:space="preserve"> los casos de </w:t>
      </w:r>
      <w:r w:rsidR="00402AD9">
        <w:rPr>
          <w:color w:val="000000"/>
          <w:lang w:val="es-ES"/>
        </w:rPr>
        <w:t>desapariciones forzadas,</w:t>
      </w:r>
      <w:r w:rsidR="00C636F6">
        <w:rPr>
          <w:rStyle w:val="FootnoteReference"/>
          <w:color w:val="000000"/>
          <w:lang w:val="es-ES"/>
        </w:rPr>
        <w:footnoteReference w:id="38"/>
      </w:r>
      <w:r w:rsidR="00402AD9" w:rsidRPr="00402AD9">
        <w:rPr>
          <w:lang w:val="es-ES"/>
        </w:rPr>
        <w:t xml:space="preserve"> </w:t>
      </w:r>
      <w:r w:rsidR="00402AD9" w:rsidRPr="00402AD9">
        <w:rPr>
          <w:color w:val="000000"/>
          <w:lang w:val="es-ES"/>
        </w:rPr>
        <w:t>tomando en cuenta los elementos característicos de este tipo de delito, como la negativa de las autoridades de reconocer la detención</w:t>
      </w:r>
      <w:r w:rsidR="00402AD9">
        <w:rPr>
          <w:color w:val="000000"/>
          <w:lang w:val="es-ES"/>
        </w:rPr>
        <w:t>.</w:t>
      </w:r>
    </w:p>
    <w:p w14:paraId="1918D6E5" w14:textId="098C4C1F" w:rsidR="00192605" w:rsidRDefault="002C0EA9" w:rsidP="00AA4464">
      <w:pPr>
        <w:pStyle w:val="SingleTxtG"/>
        <w:rPr>
          <w:lang w:val="es-ES_tradnl" w:eastAsia="es-ES"/>
        </w:rPr>
      </w:pPr>
      <w:r>
        <w:rPr>
          <w:lang w:val="es-ES_tradnl" w:eastAsia="es-ES"/>
        </w:rPr>
        <w:t>9.4</w:t>
      </w:r>
      <w:r>
        <w:rPr>
          <w:lang w:val="es-ES_tradnl" w:eastAsia="es-ES"/>
        </w:rPr>
        <w:tab/>
      </w:r>
      <w:r w:rsidR="00A7272E">
        <w:rPr>
          <w:lang w:val="es-ES_tradnl" w:eastAsia="es-ES"/>
        </w:rPr>
        <w:t xml:space="preserve">A la luz </w:t>
      </w:r>
      <w:r w:rsidR="002B18E7" w:rsidRPr="002B18E7">
        <w:rPr>
          <w:lang w:val="es-ES_tradnl" w:eastAsia="es-ES"/>
        </w:rPr>
        <w:t>del contexto general de viol</w:t>
      </w:r>
      <w:r w:rsidR="002B18E7">
        <w:rPr>
          <w:lang w:val="es-ES_tradnl" w:eastAsia="es-ES"/>
        </w:rPr>
        <w:t>aciones a los derechos humanos -</w:t>
      </w:r>
      <w:r w:rsidR="002B18E7" w:rsidRPr="002B18E7">
        <w:rPr>
          <w:lang w:val="es-ES_tradnl" w:eastAsia="es-ES"/>
        </w:rPr>
        <w:t>en particular, la prác</w:t>
      </w:r>
      <w:r w:rsidR="002B18E7">
        <w:rPr>
          <w:lang w:val="es-ES_tradnl" w:eastAsia="es-ES"/>
        </w:rPr>
        <w:t>tica de desapariciones forzadas-</w:t>
      </w:r>
      <w:r w:rsidR="002B18E7" w:rsidRPr="002B18E7">
        <w:rPr>
          <w:lang w:val="es-ES_tradnl" w:eastAsia="es-ES"/>
        </w:rPr>
        <w:t xml:space="preserve"> imperante en el lugar y momento en que ocurrieron los hechos</w:t>
      </w:r>
      <w:r w:rsidR="00F22D56">
        <w:rPr>
          <w:lang w:val="es-ES_tradnl" w:eastAsia="es-ES"/>
        </w:rPr>
        <w:t xml:space="preserve"> (</w:t>
      </w:r>
      <w:r w:rsidR="00F22D56" w:rsidRPr="00F22D56">
        <w:rPr>
          <w:lang w:val="es-ES_tradnl" w:eastAsia="es-ES"/>
        </w:rPr>
        <w:t xml:space="preserve">ver </w:t>
      </w:r>
      <w:r w:rsidR="00F22D56" w:rsidRPr="00C13626">
        <w:rPr>
          <w:i/>
          <w:lang w:val="es-ES_tradnl" w:eastAsia="es-ES"/>
        </w:rPr>
        <w:t>supra</w:t>
      </w:r>
      <w:r w:rsidR="00CE70A1">
        <w:rPr>
          <w:lang w:val="es-ES_tradnl" w:eastAsia="es-ES"/>
        </w:rPr>
        <w:t xml:space="preserve"> 2.10</w:t>
      </w:r>
      <w:r w:rsidR="00672506">
        <w:rPr>
          <w:lang w:val="es-ES_tradnl" w:eastAsia="es-ES"/>
        </w:rPr>
        <w:t xml:space="preserve"> y nota de pie 11</w:t>
      </w:r>
      <w:r w:rsidR="00F22D56" w:rsidRPr="00F22D56">
        <w:rPr>
          <w:lang w:val="es-ES_tradnl" w:eastAsia="es-ES"/>
        </w:rPr>
        <w:t>)</w:t>
      </w:r>
      <w:r w:rsidR="002B18E7">
        <w:rPr>
          <w:lang w:val="es-ES_tradnl" w:eastAsia="es-ES"/>
        </w:rPr>
        <w:t>,</w:t>
      </w:r>
      <w:r w:rsidR="002B18E7" w:rsidRPr="002B18E7">
        <w:rPr>
          <w:lang w:val="es-ES_tradnl" w:eastAsia="es-ES"/>
        </w:rPr>
        <w:t xml:space="preserve"> </w:t>
      </w:r>
      <w:r w:rsidR="00F22D56">
        <w:rPr>
          <w:lang w:val="es-ES_tradnl" w:eastAsia="es-ES"/>
        </w:rPr>
        <w:t xml:space="preserve">y </w:t>
      </w:r>
      <w:r w:rsidR="00B92B83">
        <w:rPr>
          <w:lang w:val="es-ES_tradnl" w:eastAsia="es-ES"/>
        </w:rPr>
        <w:t xml:space="preserve">en vista </w:t>
      </w:r>
      <w:r w:rsidR="00A7272E">
        <w:rPr>
          <w:lang w:val="es-ES_tradnl" w:eastAsia="es-ES"/>
        </w:rPr>
        <w:t>de</w:t>
      </w:r>
      <w:r w:rsidR="00AA2D01">
        <w:rPr>
          <w:lang w:val="es-ES_tradnl" w:eastAsia="es-ES"/>
        </w:rPr>
        <w:t>l relato coherente de los hechos y de</w:t>
      </w:r>
      <w:r w:rsidR="00A7272E">
        <w:rPr>
          <w:lang w:val="es-ES_tradnl" w:eastAsia="es-ES"/>
        </w:rPr>
        <w:t xml:space="preserve"> la documentación presentada por los autores, el Comité considera que el Estado parte no ha proporcionado una explicación suficiente y concreta para rebatir las afirmaciones de los autores sobre la </w:t>
      </w:r>
      <w:r w:rsidR="00AA2D01">
        <w:rPr>
          <w:lang w:val="es-ES_tradnl" w:eastAsia="es-ES"/>
        </w:rPr>
        <w:t xml:space="preserve">supuesta </w:t>
      </w:r>
      <w:r w:rsidR="00A7272E" w:rsidRPr="005E0752">
        <w:rPr>
          <w:lang w:val="es-ES_tradnl" w:eastAsia="es-ES"/>
        </w:rPr>
        <w:t>desaparición</w:t>
      </w:r>
      <w:r w:rsidR="00A7272E">
        <w:rPr>
          <w:lang w:val="es-ES_tradnl" w:eastAsia="es-ES"/>
        </w:rPr>
        <w:t xml:space="preserve"> forzada del Sr. </w:t>
      </w:r>
      <w:r w:rsidR="00A7272E" w:rsidRPr="0066090A">
        <w:rPr>
          <w:lang w:val="es-ES_tradnl" w:eastAsia="es-ES"/>
        </w:rPr>
        <w:t>Téllez Padilla</w:t>
      </w:r>
      <w:r w:rsidR="00A7272E">
        <w:rPr>
          <w:lang w:val="es-ES_tradnl" w:eastAsia="es-ES"/>
        </w:rPr>
        <w:t>.</w:t>
      </w:r>
      <w:r w:rsidR="005E0752">
        <w:rPr>
          <w:lang w:val="es-ES_tradnl" w:eastAsia="es-ES"/>
        </w:rPr>
        <w:t xml:space="preserve"> Por consiguiente, el Comité considera que los hechos del presente constituyen una desaparición </w:t>
      </w:r>
      <w:r w:rsidR="005E0752" w:rsidRPr="00FB37AD">
        <w:rPr>
          <w:lang w:val="es-ES_tradnl" w:eastAsia="es-ES"/>
        </w:rPr>
        <w:t>forzada.</w:t>
      </w:r>
      <w:r w:rsidR="00FB37AD" w:rsidRPr="00FB37AD">
        <w:rPr>
          <w:rStyle w:val="FootnoteReference"/>
          <w:lang w:val="es-ES_tradnl" w:eastAsia="es-ES"/>
        </w:rPr>
        <w:footnoteReference w:id="39"/>
      </w:r>
    </w:p>
    <w:p w14:paraId="61864545" w14:textId="111C96EA" w:rsidR="00602FBD" w:rsidRPr="00FB37AD" w:rsidRDefault="00922FA5" w:rsidP="00AA4464">
      <w:pPr>
        <w:pStyle w:val="SingleTxtG"/>
        <w:rPr>
          <w:lang w:val="es-ES_tradnl" w:eastAsia="es-ES"/>
        </w:rPr>
      </w:pPr>
      <w:r w:rsidRPr="00FB37AD">
        <w:rPr>
          <w:lang w:val="es-ES_tradnl" w:eastAsia="es-ES"/>
        </w:rPr>
        <w:t>9.5</w:t>
      </w:r>
      <w:r w:rsidRPr="00FB37AD">
        <w:rPr>
          <w:lang w:val="es-ES_tradnl" w:eastAsia="es-ES"/>
        </w:rPr>
        <w:tab/>
        <w:t>El Comité recuerda que, aunque en el Pacto no se emplee explícitamente el término “desaparición forzada”, esta desaparición constituye una serie única e integrada de actos que representan una vulneración continuada de diversos derechos recon</w:t>
      </w:r>
      <w:r w:rsidR="00754239">
        <w:rPr>
          <w:lang w:val="es-ES_tradnl" w:eastAsia="es-ES"/>
        </w:rPr>
        <w:t>ocidos en ese tratado,</w:t>
      </w:r>
      <w:r w:rsidRPr="00FB37AD">
        <w:rPr>
          <w:rStyle w:val="FootnoteReference"/>
          <w:lang w:val="es-ES_tradnl" w:eastAsia="es-ES"/>
        </w:rPr>
        <w:footnoteReference w:id="40"/>
      </w:r>
      <w:r w:rsidR="005F02AC" w:rsidRPr="00FB37AD">
        <w:rPr>
          <w:lang w:val="es-ES_tradnl" w:eastAsia="es-ES"/>
        </w:rPr>
        <w:t xml:space="preserve"> como el derecho</w:t>
      </w:r>
      <w:r w:rsidR="00B0178F" w:rsidRPr="00FB37AD">
        <w:rPr>
          <w:lang w:val="es-ES_tradnl" w:eastAsia="es-ES"/>
        </w:rPr>
        <w:t xml:space="preserve"> a la vida, el derecho</w:t>
      </w:r>
      <w:r w:rsidR="005F02AC" w:rsidRPr="00FB37AD">
        <w:rPr>
          <w:lang w:val="es-ES_tradnl" w:eastAsia="es-ES"/>
        </w:rPr>
        <w:t xml:space="preserve"> </w:t>
      </w:r>
      <w:r w:rsidR="001501A5" w:rsidRPr="00FB37AD">
        <w:rPr>
          <w:lang w:val="es-ES_tradnl" w:eastAsia="es-ES"/>
        </w:rPr>
        <w:t xml:space="preserve">a no ser sometido a torturas ni a penas o tratos crueles, inhumanos o degradantes, </w:t>
      </w:r>
      <w:r w:rsidR="00B0178F" w:rsidRPr="00FB37AD">
        <w:rPr>
          <w:lang w:val="es-ES_tradnl" w:eastAsia="es-ES"/>
        </w:rPr>
        <w:t xml:space="preserve">el derecho </w:t>
      </w:r>
      <w:r w:rsidR="001501A5" w:rsidRPr="00FB37AD">
        <w:rPr>
          <w:lang w:val="es-ES_tradnl" w:eastAsia="es-ES"/>
        </w:rPr>
        <w:t xml:space="preserve">a la libertad </w:t>
      </w:r>
      <w:r w:rsidR="001501A5" w:rsidRPr="00FB37AD">
        <w:rPr>
          <w:lang w:val="es-ES_tradnl" w:eastAsia="es-ES"/>
        </w:rPr>
        <w:lastRenderedPageBreak/>
        <w:t xml:space="preserve">y a la seguridad personales, </w:t>
      </w:r>
      <w:r w:rsidR="00B0178F" w:rsidRPr="00FB37AD">
        <w:rPr>
          <w:lang w:val="es-ES_tradnl" w:eastAsia="es-ES"/>
        </w:rPr>
        <w:t xml:space="preserve">y el derecho </w:t>
      </w:r>
      <w:r w:rsidR="005F02AC" w:rsidRPr="00FB37AD">
        <w:rPr>
          <w:lang w:val="es-ES_tradnl" w:eastAsia="es-ES"/>
        </w:rPr>
        <w:t>al reconocimiento de su personalidad jurídica.</w:t>
      </w:r>
      <w:r w:rsidR="001501A5" w:rsidRPr="00FB37AD">
        <w:rPr>
          <w:rStyle w:val="FootnoteReference"/>
          <w:lang w:val="es-ES_tradnl" w:eastAsia="es-ES"/>
        </w:rPr>
        <w:footnoteReference w:id="41"/>
      </w:r>
    </w:p>
    <w:p w14:paraId="4E4DFD0F" w14:textId="359D06A5" w:rsidR="009310CF" w:rsidRPr="00B7194F" w:rsidRDefault="009310CF" w:rsidP="00156202">
      <w:pPr>
        <w:pStyle w:val="SingleTxtG"/>
        <w:rPr>
          <w:lang w:val="es-ES_tradnl" w:eastAsia="es-ES"/>
        </w:rPr>
      </w:pPr>
      <w:r w:rsidRPr="00CC5FEB">
        <w:rPr>
          <w:lang w:val="es-ES_tradnl" w:eastAsia="es-ES"/>
        </w:rPr>
        <w:t>9.6</w:t>
      </w:r>
      <w:r w:rsidRPr="00CC5FEB">
        <w:rPr>
          <w:lang w:val="es-ES_tradnl" w:eastAsia="es-ES"/>
        </w:rPr>
        <w:tab/>
        <w:t>En el presente caso, el Comité toma nota de que los autores alegan que los hechos constituye</w:t>
      </w:r>
      <w:r w:rsidR="0025758D">
        <w:rPr>
          <w:lang w:val="es-ES_tradnl" w:eastAsia="es-ES"/>
        </w:rPr>
        <w:t>n una violación del artículo 6, párrafo 1,</w:t>
      </w:r>
      <w:r w:rsidRPr="00CC5FEB">
        <w:rPr>
          <w:lang w:val="es-ES_tradnl" w:eastAsia="es-ES"/>
        </w:rPr>
        <w:t xml:space="preserve"> del Pacto</w:t>
      </w:r>
      <w:r w:rsidR="0025758D">
        <w:rPr>
          <w:lang w:val="es-ES_tradnl" w:eastAsia="es-ES"/>
        </w:rPr>
        <w:t>,</w:t>
      </w:r>
      <w:r w:rsidR="00CC5FEB" w:rsidRPr="00CC5FEB">
        <w:rPr>
          <w:lang w:val="es-ES_tradnl" w:eastAsia="es-ES"/>
        </w:rPr>
        <w:t xml:space="preserve"> </w:t>
      </w:r>
      <w:r w:rsidR="00CC5FEB" w:rsidRPr="00CC5FEB">
        <w:rPr>
          <w:lang w:val="es-ES_tradnl"/>
        </w:rPr>
        <w:t>dadas las circunstancias de la detención</w:t>
      </w:r>
      <w:r w:rsidR="00CC5FEB" w:rsidRPr="00CC5FEB">
        <w:rPr>
          <w:lang w:val="es-ES"/>
        </w:rPr>
        <w:t xml:space="preserve"> </w:t>
      </w:r>
      <w:r w:rsidR="00CC5FEB" w:rsidRPr="00CC5FEB">
        <w:rPr>
          <w:lang w:val="es-ES_tradnl"/>
        </w:rPr>
        <w:t xml:space="preserve">del Sr. Téllez Padilla por elementos de la </w:t>
      </w:r>
      <w:r w:rsidR="000C1C5D">
        <w:rPr>
          <w:lang w:val="es-ES_tradnl"/>
        </w:rPr>
        <w:t>P</w:t>
      </w:r>
      <w:r w:rsidR="00CC5FEB" w:rsidRPr="00CC5FEB">
        <w:rPr>
          <w:lang w:val="es-ES_tradnl"/>
        </w:rPr>
        <w:t>olicía</w:t>
      </w:r>
      <w:r w:rsidR="000C1C5D">
        <w:rPr>
          <w:lang w:val="es-ES_tradnl"/>
        </w:rPr>
        <w:t xml:space="preserve"> Intermunicipal</w:t>
      </w:r>
      <w:r w:rsidR="00CC5FEB" w:rsidRPr="00CC5FEB">
        <w:rPr>
          <w:lang w:val="es-ES_tradnl"/>
        </w:rPr>
        <w:t>, sin noticia sobre su destino o paradero</w:t>
      </w:r>
      <w:r w:rsidR="00B746DC" w:rsidRPr="00CC5FEB">
        <w:rPr>
          <w:lang w:val="es-ES_tradnl" w:eastAsia="es-ES"/>
        </w:rPr>
        <w:t xml:space="preserve">. </w:t>
      </w:r>
      <w:r w:rsidR="00B7194F">
        <w:rPr>
          <w:lang w:val="es-ES_tradnl" w:eastAsia="es-ES"/>
        </w:rPr>
        <w:t>El</w:t>
      </w:r>
      <w:r w:rsidR="002054B6" w:rsidRPr="00CC5FEB">
        <w:rPr>
          <w:lang w:val="es-ES_tradnl" w:eastAsia="es-ES"/>
        </w:rPr>
        <w:t xml:space="preserve"> Comité recuerda que, en los casos de desaparición forzada, la privación de libertad, cuando no se reconoce o se oculta la suerte corrida por la persona desaparecida, sustrae a esta del amparo de la ley y la expone constantemente a un peligro grave para su vida, del que el Estado debe rendir cuentas.</w:t>
      </w:r>
      <w:r w:rsidR="002054B6" w:rsidRPr="00CC5FEB">
        <w:rPr>
          <w:rStyle w:val="FootnoteReference"/>
          <w:lang w:val="es-ES_tradnl" w:eastAsia="es-ES"/>
        </w:rPr>
        <w:footnoteReference w:id="42"/>
      </w:r>
      <w:r w:rsidR="002054B6" w:rsidRPr="00CC5FEB">
        <w:rPr>
          <w:lang w:val="es-ES_tradnl" w:eastAsia="es-ES"/>
        </w:rPr>
        <w:t xml:space="preserve"> En el presente caso, </w:t>
      </w:r>
      <w:r w:rsidR="00CC5FEB" w:rsidRPr="00CC5FEB">
        <w:rPr>
          <w:lang w:val="es-ES"/>
        </w:rPr>
        <w:t xml:space="preserve">el Estado parte </w:t>
      </w:r>
      <w:r w:rsidR="002054B6" w:rsidRPr="00CC5FEB">
        <w:rPr>
          <w:lang w:val="es-ES_tradnl" w:eastAsia="es-ES"/>
        </w:rPr>
        <w:t xml:space="preserve">no ha presentado </w:t>
      </w:r>
      <w:r w:rsidR="003A4388" w:rsidRPr="00CC5FEB">
        <w:rPr>
          <w:lang w:val="es-ES_tradnl" w:eastAsia="es-ES"/>
        </w:rPr>
        <w:t>información alguna</w:t>
      </w:r>
      <w:r w:rsidR="002054B6" w:rsidRPr="00CC5FEB">
        <w:rPr>
          <w:lang w:val="es-ES_tradnl" w:eastAsia="es-ES"/>
        </w:rPr>
        <w:t xml:space="preserve"> que indique que </w:t>
      </w:r>
      <w:r w:rsidR="00FF1CB0">
        <w:rPr>
          <w:lang w:val="es-ES_tradnl" w:eastAsia="es-ES"/>
        </w:rPr>
        <w:t xml:space="preserve">haya tomado alguna medida para </w:t>
      </w:r>
      <w:r w:rsidR="00952E40">
        <w:rPr>
          <w:lang w:val="es-ES_tradnl" w:eastAsia="es-ES"/>
        </w:rPr>
        <w:t>preservar</w:t>
      </w:r>
      <w:r w:rsidR="00952E40" w:rsidRPr="00CC5FEB">
        <w:rPr>
          <w:lang w:val="es-ES_tradnl" w:eastAsia="es-ES"/>
        </w:rPr>
        <w:t xml:space="preserve"> </w:t>
      </w:r>
      <w:r w:rsidR="002054B6" w:rsidRPr="00CC5FEB">
        <w:rPr>
          <w:lang w:val="es-ES_tradnl" w:eastAsia="es-ES"/>
        </w:rPr>
        <w:t xml:space="preserve">la vida del Sr. </w:t>
      </w:r>
      <w:r w:rsidR="00B05BB4" w:rsidRPr="00CC5FEB">
        <w:rPr>
          <w:lang w:val="es-ES_tradnl" w:eastAsia="es-ES"/>
        </w:rPr>
        <w:t xml:space="preserve">Téllez Padilla </w:t>
      </w:r>
      <w:r w:rsidR="002054B6" w:rsidRPr="00CC5FEB">
        <w:rPr>
          <w:lang w:val="es-ES_tradnl" w:eastAsia="es-ES"/>
        </w:rPr>
        <w:t>cuando se encontraba detenido por las autoridades</w:t>
      </w:r>
      <w:r w:rsidR="003A4388" w:rsidRPr="00CC5FEB">
        <w:rPr>
          <w:lang w:val="es-ES_tradnl" w:eastAsia="es-ES"/>
        </w:rPr>
        <w:t>, en violación de lo dispuesto en el artículo 6, párrafo 1, del Pacto</w:t>
      </w:r>
      <w:r w:rsidR="00B05BB4" w:rsidRPr="00CC5FEB">
        <w:rPr>
          <w:lang w:val="es-ES_tradnl" w:eastAsia="es-ES"/>
        </w:rPr>
        <w:t>.</w:t>
      </w:r>
    </w:p>
    <w:p w14:paraId="76D321DF" w14:textId="6254B592" w:rsidR="004E08C3" w:rsidRPr="00BC3476" w:rsidRDefault="0061596A" w:rsidP="00EA27B3">
      <w:pPr>
        <w:pStyle w:val="SingleTxtG"/>
        <w:rPr>
          <w:lang w:val="es-ES" w:eastAsia="es-ES"/>
        </w:rPr>
      </w:pPr>
      <w:r w:rsidRPr="00504C0C">
        <w:rPr>
          <w:lang w:val="es-ES" w:eastAsia="es-ES"/>
        </w:rPr>
        <w:t>9.7</w:t>
      </w:r>
      <w:r w:rsidRPr="00504C0C">
        <w:rPr>
          <w:lang w:val="es-ES" w:eastAsia="es-ES"/>
        </w:rPr>
        <w:tab/>
      </w:r>
      <w:r w:rsidR="00504C0C" w:rsidRPr="00504C0C">
        <w:rPr>
          <w:lang w:val="es-ES" w:eastAsia="es-ES"/>
        </w:rPr>
        <w:t>E</w:t>
      </w:r>
      <w:r w:rsidRPr="00504C0C">
        <w:rPr>
          <w:lang w:val="es-ES" w:eastAsia="es-ES"/>
        </w:rPr>
        <w:t xml:space="preserve">l Comité toma nota </w:t>
      </w:r>
      <w:r w:rsidR="00504C0C" w:rsidRPr="00504C0C">
        <w:rPr>
          <w:lang w:val="es-ES" w:eastAsia="es-ES"/>
        </w:rPr>
        <w:t xml:space="preserve">también </w:t>
      </w:r>
      <w:r w:rsidRPr="00504C0C">
        <w:rPr>
          <w:lang w:val="es-ES" w:eastAsia="es-ES"/>
        </w:rPr>
        <w:t xml:space="preserve">de que los autores alegan que los hechos constituyen </w:t>
      </w:r>
      <w:r w:rsidR="008B039D" w:rsidRPr="00504C0C">
        <w:rPr>
          <w:lang w:val="es-ES" w:eastAsia="es-ES"/>
        </w:rPr>
        <w:t>un trato contrario</w:t>
      </w:r>
      <w:r w:rsidRPr="00504C0C">
        <w:rPr>
          <w:lang w:val="es-ES" w:eastAsia="es-ES"/>
        </w:rPr>
        <w:t xml:space="preserve"> </w:t>
      </w:r>
      <w:r w:rsidR="008B039D" w:rsidRPr="00504C0C">
        <w:rPr>
          <w:lang w:val="es-ES" w:eastAsia="es-ES"/>
        </w:rPr>
        <w:t>al</w:t>
      </w:r>
      <w:r w:rsidRPr="00504C0C">
        <w:rPr>
          <w:lang w:val="es-ES" w:eastAsia="es-ES"/>
        </w:rPr>
        <w:t xml:space="preserve"> artículo 7 del Pacto</w:t>
      </w:r>
      <w:r w:rsidR="004E08C3" w:rsidRPr="00504C0C">
        <w:rPr>
          <w:lang w:val="es-ES" w:eastAsia="es-ES"/>
        </w:rPr>
        <w:t xml:space="preserve"> en perjuicio del Sr. Téllez Padilla</w:t>
      </w:r>
      <w:r w:rsidR="00504C0C" w:rsidRPr="00504C0C">
        <w:rPr>
          <w:lang w:val="es-ES" w:eastAsia="es-ES"/>
        </w:rPr>
        <w:t>,</w:t>
      </w:r>
      <w:r w:rsidR="00504C0C" w:rsidRPr="00504C0C">
        <w:rPr>
          <w:lang w:val="es-ES"/>
        </w:rPr>
        <w:t xml:space="preserve"> por</w:t>
      </w:r>
      <w:r w:rsidR="00504C0C" w:rsidRPr="00504C0C">
        <w:rPr>
          <w:lang w:val="es-ES" w:eastAsia="es-ES"/>
        </w:rPr>
        <w:t xml:space="preserve"> el grave sufrimiento y la situación de incertidumbre y afectación a la integridad física y psicológica </w:t>
      </w:r>
      <w:r w:rsidR="008164CC">
        <w:rPr>
          <w:lang w:val="es-ES" w:eastAsia="es-ES"/>
        </w:rPr>
        <w:t>sufrida</w:t>
      </w:r>
      <w:r w:rsidR="00F20E33">
        <w:rPr>
          <w:lang w:val="es-ES" w:eastAsia="es-ES"/>
        </w:rPr>
        <w:t xml:space="preserve"> a raíz de la desaparición forzada</w:t>
      </w:r>
      <w:r w:rsidRPr="00504C0C">
        <w:rPr>
          <w:lang w:val="es-ES" w:eastAsia="es-ES"/>
        </w:rPr>
        <w:t xml:space="preserve">. </w:t>
      </w:r>
      <w:r w:rsidR="003A4388" w:rsidRPr="00504C0C">
        <w:rPr>
          <w:lang w:val="es-ES" w:eastAsia="es-ES"/>
        </w:rPr>
        <w:t>A falta de</w:t>
      </w:r>
      <w:r w:rsidR="008164CC">
        <w:rPr>
          <w:lang w:val="es-ES" w:eastAsia="es-ES"/>
        </w:rPr>
        <w:t xml:space="preserve"> información</w:t>
      </w:r>
      <w:r w:rsidR="003A4388" w:rsidRPr="00504C0C">
        <w:rPr>
          <w:lang w:val="es-ES" w:eastAsia="es-ES"/>
        </w:rPr>
        <w:t xml:space="preserve"> del Estado parte</w:t>
      </w:r>
      <w:r w:rsidR="008164CC">
        <w:rPr>
          <w:lang w:val="es-ES" w:eastAsia="es-ES"/>
        </w:rPr>
        <w:t xml:space="preserve"> sobre este punto</w:t>
      </w:r>
      <w:r w:rsidR="003A4388" w:rsidRPr="00504C0C">
        <w:rPr>
          <w:lang w:val="es-ES" w:eastAsia="es-ES"/>
        </w:rPr>
        <w:t xml:space="preserve">, el Comité considera que </w:t>
      </w:r>
      <w:r w:rsidR="008164CC">
        <w:rPr>
          <w:lang w:val="es-ES" w:eastAsia="es-ES"/>
        </w:rPr>
        <w:t>los hechos descritos</w:t>
      </w:r>
      <w:r w:rsidR="003A4388" w:rsidRPr="00504C0C">
        <w:rPr>
          <w:lang w:val="es-ES" w:eastAsia="es-ES"/>
        </w:rPr>
        <w:t xml:space="preserve"> constituye</w:t>
      </w:r>
      <w:r w:rsidR="008164CC">
        <w:rPr>
          <w:lang w:val="es-ES" w:eastAsia="es-ES"/>
        </w:rPr>
        <w:t>n</w:t>
      </w:r>
      <w:r w:rsidR="003A4388" w:rsidRPr="00504C0C">
        <w:rPr>
          <w:lang w:val="es-ES" w:eastAsia="es-ES"/>
        </w:rPr>
        <w:t xml:space="preserve"> una vulneración del artículo 7 del Pacto respecto del Sr. Téllez Padilla.</w:t>
      </w:r>
      <w:r w:rsidR="00EA27B3">
        <w:rPr>
          <w:lang w:val="es-ES" w:eastAsia="es-ES"/>
        </w:rPr>
        <w:t xml:space="preserve"> </w:t>
      </w:r>
      <w:r w:rsidR="004E08C3" w:rsidRPr="00BC3476">
        <w:rPr>
          <w:lang w:val="es-ES" w:eastAsia="es-ES"/>
        </w:rPr>
        <w:t xml:space="preserve">El Comité </w:t>
      </w:r>
      <w:r w:rsidR="002512E7">
        <w:rPr>
          <w:lang w:val="es-ES" w:eastAsia="es-ES"/>
        </w:rPr>
        <w:t>toma nota</w:t>
      </w:r>
      <w:r w:rsidR="002512E7" w:rsidRPr="00BC3476">
        <w:rPr>
          <w:lang w:val="es-ES" w:eastAsia="es-ES"/>
        </w:rPr>
        <w:t xml:space="preserve"> </w:t>
      </w:r>
      <w:r w:rsidR="009963CF" w:rsidRPr="00BC3476">
        <w:rPr>
          <w:lang w:val="es-ES" w:eastAsia="es-ES"/>
        </w:rPr>
        <w:t>igualmente</w:t>
      </w:r>
      <w:r w:rsidR="004E08C3" w:rsidRPr="00BC3476">
        <w:rPr>
          <w:lang w:val="es-ES" w:eastAsia="es-ES"/>
        </w:rPr>
        <w:t xml:space="preserve"> </w:t>
      </w:r>
      <w:r w:rsidR="002512E7">
        <w:rPr>
          <w:lang w:val="es-ES" w:eastAsia="es-ES"/>
        </w:rPr>
        <w:t xml:space="preserve">de la afirmación de los autores relativa a </w:t>
      </w:r>
      <w:r w:rsidR="004E08C3" w:rsidRPr="00BC3476">
        <w:rPr>
          <w:lang w:val="es-ES" w:eastAsia="es-ES"/>
        </w:rPr>
        <w:t xml:space="preserve">la angustia y el sufrimiento que la desaparición del Sr. Téllez Padilla </w:t>
      </w:r>
      <w:r w:rsidR="00504C0C" w:rsidRPr="00BC3476">
        <w:rPr>
          <w:lang w:val="es-ES" w:eastAsia="es-ES"/>
        </w:rPr>
        <w:t xml:space="preserve">y la </w:t>
      </w:r>
      <w:r w:rsidR="00504C0C" w:rsidRPr="00BC3476">
        <w:rPr>
          <w:lang w:val="es-ES_tradnl" w:eastAsia="es-ES"/>
        </w:rPr>
        <w:t>búsqueda de justicia</w:t>
      </w:r>
      <w:r w:rsidR="00504C0C" w:rsidRPr="00BC3476">
        <w:rPr>
          <w:lang w:val="es-ES" w:eastAsia="es-ES"/>
        </w:rPr>
        <w:t xml:space="preserve"> </w:t>
      </w:r>
      <w:r w:rsidR="002512E7">
        <w:rPr>
          <w:lang w:val="es-ES" w:eastAsia="es-ES"/>
        </w:rPr>
        <w:t xml:space="preserve">les </w:t>
      </w:r>
      <w:r w:rsidR="004E08C3" w:rsidRPr="00BC3476">
        <w:rPr>
          <w:lang w:val="es-ES" w:eastAsia="es-ES"/>
        </w:rPr>
        <w:t xml:space="preserve">han causado. </w:t>
      </w:r>
      <w:r w:rsidR="002512E7">
        <w:rPr>
          <w:lang w:val="es-ES" w:eastAsia="es-ES"/>
        </w:rPr>
        <w:t>E</w:t>
      </w:r>
      <w:r w:rsidR="004E08C3" w:rsidRPr="00BC3476">
        <w:rPr>
          <w:lang w:val="es-ES" w:eastAsia="es-ES"/>
        </w:rPr>
        <w:t xml:space="preserve">l Comité considera que estos hechos ponen de manifiesto una </w:t>
      </w:r>
      <w:r w:rsidR="009963CF" w:rsidRPr="00BC3476">
        <w:rPr>
          <w:lang w:val="es-ES"/>
        </w:rPr>
        <w:t xml:space="preserve">vulneración </w:t>
      </w:r>
      <w:r w:rsidR="004E08C3" w:rsidRPr="00BC3476">
        <w:rPr>
          <w:lang w:val="es-ES" w:eastAsia="es-ES"/>
        </w:rPr>
        <w:t>del artículo 7 del Pacto respecto de los autores de la comunicación.</w:t>
      </w:r>
      <w:r w:rsidR="000C0C3E" w:rsidRPr="00BC3476">
        <w:rPr>
          <w:rStyle w:val="FootnoteReference"/>
          <w:lang w:val="es-ES" w:eastAsia="es-ES"/>
        </w:rPr>
        <w:footnoteReference w:id="43"/>
      </w:r>
    </w:p>
    <w:p w14:paraId="652CA5D2" w14:textId="0C31B8DF" w:rsidR="001F11D7" w:rsidRPr="0017629E" w:rsidRDefault="0061596A" w:rsidP="0017629E">
      <w:pPr>
        <w:pStyle w:val="SingleTxtG"/>
        <w:rPr>
          <w:lang w:val="es-ES_tradnl"/>
        </w:rPr>
      </w:pPr>
      <w:r w:rsidRPr="002A3B24">
        <w:rPr>
          <w:lang w:val="es-ES" w:eastAsia="es-ES"/>
        </w:rPr>
        <w:t>9.</w:t>
      </w:r>
      <w:r w:rsidR="00EA27B3">
        <w:rPr>
          <w:lang w:val="es-ES" w:eastAsia="es-ES"/>
        </w:rPr>
        <w:t>8</w:t>
      </w:r>
      <w:r w:rsidRPr="002A3B24">
        <w:rPr>
          <w:lang w:val="es-ES" w:eastAsia="es-ES"/>
        </w:rPr>
        <w:tab/>
      </w:r>
      <w:r w:rsidR="000526D3" w:rsidRPr="000526D3">
        <w:rPr>
          <w:lang w:val="es-ES" w:eastAsia="es-ES"/>
        </w:rPr>
        <w:t xml:space="preserve">En cuanto a la presunta vulneración del artículo 9 del Pacto, el Comité toma nota de las alegaciones </w:t>
      </w:r>
      <w:r w:rsidR="000526D3">
        <w:rPr>
          <w:lang w:val="es-ES" w:eastAsia="es-ES"/>
        </w:rPr>
        <w:t xml:space="preserve">de los autores </w:t>
      </w:r>
      <w:r w:rsidR="000526D3" w:rsidRPr="00B62A64">
        <w:rPr>
          <w:lang w:val="es-ES" w:eastAsia="es-ES"/>
        </w:rPr>
        <w:t>según las cuales el Sr. Téllez Padilla fue</w:t>
      </w:r>
      <w:r w:rsidR="002A3B24" w:rsidRPr="00B62A64">
        <w:rPr>
          <w:lang w:val="es-ES"/>
        </w:rPr>
        <w:t xml:space="preserve"> </w:t>
      </w:r>
      <w:r w:rsidR="00C40E88" w:rsidRPr="00B62A64">
        <w:rPr>
          <w:lang w:val="es-ES"/>
        </w:rPr>
        <w:t>detenido</w:t>
      </w:r>
      <w:r w:rsidR="002A3B24" w:rsidRPr="00B62A64">
        <w:rPr>
          <w:lang w:val="es-ES"/>
        </w:rPr>
        <w:t xml:space="preserve"> </w:t>
      </w:r>
      <w:r w:rsidR="003714BF">
        <w:rPr>
          <w:lang w:val="es-ES_tradnl"/>
        </w:rPr>
        <w:t>sin orden judicial</w:t>
      </w:r>
      <w:r w:rsidR="00C40E88" w:rsidRPr="00B62A64">
        <w:rPr>
          <w:lang w:val="es-ES_tradnl"/>
        </w:rPr>
        <w:t xml:space="preserve"> </w:t>
      </w:r>
      <w:r w:rsidR="00B62A64" w:rsidRPr="00B62A64">
        <w:rPr>
          <w:lang w:val="es-ES_tradnl"/>
        </w:rPr>
        <w:t>y sin que compareciera</w:t>
      </w:r>
      <w:r w:rsidR="00B62A64" w:rsidRPr="00B62A64">
        <w:rPr>
          <w:lang w:val="es-ES"/>
        </w:rPr>
        <w:t xml:space="preserve"> </w:t>
      </w:r>
      <w:r w:rsidR="00B62A64" w:rsidRPr="00B62A64">
        <w:rPr>
          <w:lang w:val="es-ES_tradnl"/>
        </w:rPr>
        <w:t>ante una autoridad judicial para poder impugnar la legalidad de su privación de libertad</w:t>
      </w:r>
      <w:r w:rsidRPr="00E46122">
        <w:rPr>
          <w:lang w:val="es-ES" w:eastAsia="es-ES"/>
        </w:rPr>
        <w:t xml:space="preserve">. </w:t>
      </w:r>
      <w:r w:rsidR="00E46122" w:rsidRPr="00E46122">
        <w:rPr>
          <w:lang w:val="es-ES"/>
        </w:rPr>
        <w:t xml:space="preserve">El Comité recuerda </w:t>
      </w:r>
      <w:r w:rsidR="00C956A5">
        <w:rPr>
          <w:lang w:val="es-ES"/>
        </w:rPr>
        <w:t xml:space="preserve">su </w:t>
      </w:r>
      <w:r w:rsidR="00C956A5" w:rsidRPr="00C956A5">
        <w:rPr>
          <w:lang w:val="es-ES"/>
        </w:rPr>
        <w:t>Observación general número 35</w:t>
      </w:r>
      <w:r w:rsidR="00C956A5">
        <w:rPr>
          <w:lang w:val="es-ES"/>
        </w:rPr>
        <w:t xml:space="preserve"> en la que </w:t>
      </w:r>
      <w:r w:rsidR="00C956A5">
        <w:rPr>
          <w:lang w:val="es-ES"/>
        </w:rPr>
        <w:lastRenderedPageBreak/>
        <w:t xml:space="preserve">observó </w:t>
      </w:r>
      <w:r w:rsidR="00E46122" w:rsidRPr="00E46122">
        <w:rPr>
          <w:lang w:val="es-ES"/>
        </w:rPr>
        <w:t>que la desaparición</w:t>
      </w:r>
      <w:r w:rsidR="005F3A90" w:rsidRPr="00E46122">
        <w:rPr>
          <w:lang w:val="es-ES"/>
        </w:rPr>
        <w:t xml:space="preserve"> constit</w:t>
      </w:r>
      <w:r w:rsidR="00E46122" w:rsidRPr="00E46122">
        <w:rPr>
          <w:lang w:val="es-ES"/>
        </w:rPr>
        <w:t>uye</w:t>
      </w:r>
      <w:r w:rsidR="005F3A90" w:rsidRPr="00E46122">
        <w:rPr>
          <w:lang w:val="es-ES_tradnl"/>
        </w:rPr>
        <w:t xml:space="preserve"> una forma particularmente grave de reclusión arbitraria</w:t>
      </w:r>
      <w:r w:rsidR="00E46122" w:rsidRPr="00E46122">
        <w:rPr>
          <w:lang w:val="es-ES_tradnl"/>
        </w:rPr>
        <w:t>,</w:t>
      </w:r>
      <w:r w:rsidR="00DE06F8" w:rsidRPr="00E46122">
        <w:rPr>
          <w:rStyle w:val="FootnoteReference"/>
          <w:lang w:val="es-ES"/>
        </w:rPr>
        <w:footnoteReference w:id="44"/>
      </w:r>
      <w:r w:rsidR="00E46122" w:rsidRPr="00E46122">
        <w:rPr>
          <w:lang w:val="es-ES_tradnl"/>
        </w:rPr>
        <w:t xml:space="preserve"> </w:t>
      </w:r>
      <w:r w:rsidR="005668F1">
        <w:rPr>
          <w:lang w:val="es-ES_tradnl"/>
        </w:rPr>
        <w:t xml:space="preserve">recuerda que el artículo 17 de la </w:t>
      </w:r>
      <w:r w:rsidR="005668F1" w:rsidRPr="005668F1">
        <w:rPr>
          <w:lang w:val="es-ES_tradnl"/>
        </w:rPr>
        <w:t>Convención Internacional para la protección de todas las personas con</w:t>
      </w:r>
      <w:r w:rsidR="005668F1">
        <w:rPr>
          <w:lang w:val="es-ES_tradnl"/>
        </w:rPr>
        <w:t>tra las desapariciones forzadas</w:t>
      </w:r>
      <w:r w:rsidR="00E46122" w:rsidRPr="00E46122">
        <w:rPr>
          <w:lang w:val="es-ES_tradnl"/>
        </w:rPr>
        <w:t xml:space="preserve"> </w:t>
      </w:r>
      <w:r w:rsidR="005668F1">
        <w:rPr>
          <w:lang w:val="es-ES_tradnl"/>
        </w:rPr>
        <w:t>dispone que n</w:t>
      </w:r>
      <w:r w:rsidR="005668F1" w:rsidRPr="005668F1">
        <w:rPr>
          <w:lang w:val="es-ES_tradnl"/>
        </w:rPr>
        <w:t>adie será detenido en secreto</w:t>
      </w:r>
      <w:r w:rsidR="005668F1">
        <w:rPr>
          <w:lang w:val="es-ES_tradnl"/>
        </w:rPr>
        <w:t xml:space="preserve"> e invita al establecimiento de registros de personas privadas de libertad como </w:t>
      </w:r>
      <w:r w:rsidR="003C346F" w:rsidRPr="003C346F">
        <w:rPr>
          <w:lang w:val="es-ES_tradnl"/>
        </w:rPr>
        <w:t>salva</w:t>
      </w:r>
      <w:r w:rsidR="005668F1">
        <w:rPr>
          <w:lang w:val="es-ES_tradnl"/>
        </w:rPr>
        <w:t>guarda fundamental</w:t>
      </w:r>
      <w:r w:rsidR="003C346F" w:rsidRPr="003C346F">
        <w:rPr>
          <w:lang w:val="es-ES_tradnl"/>
        </w:rPr>
        <w:t xml:space="preserve"> contra la desaparición forzada</w:t>
      </w:r>
      <w:r w:rsidR="00516BD2">
        <w:rPr>
          <w:lang w:val="es-ES_tradnl"/>
        </w:rPr>
        <w:t xml:space="preserve">, y </w:t>
      </w:r>
      <w:r w:rsidR="005668F1">
        <w:rPr>
          <w:lang w:val="es-ES_tradnl"/>
        </w:rPr>
        <w:t>señala que</w:t>
      </w:r>
      <w:r w:rsidR="00516BD2">
        <w:rPr>
          <w:lang w:val="es-ES_tradnl"/>
        </w:rPr>
        <w:t xml:space="preserve"> </w:t>
      </w:r>
      <w:r w:rsidR="005668F1">
        <w:rPr>
          <w:lang w:val="es-ES_tradnl"/>
        </w:rPr>
        <w:t>la Corte Interamericana observó que</w:t>
      </w:r>
      <w:r w:rsidR="005668F1" w:rsidRPr="00E46122">
        <w:rPr>
          <w:lang w:val="es-ES"/>
        </w:rPr>
        <w:t xml:space="preserve"> </w:t>
      </w:r>
      <w:r w:rsidR="0017629E">
        <w:rPr>
          <w:lang w:val="es-ES_tradnl"/>
        </w:rPr>
        <w:t>los</w:t>
      </w:r>
      <w:r w:rsidR="0017629E" w:rsidRPr="0017629E">
        <w:rPr>
          <w:lang w:val="es-ES_tradnl"/>
        </w:rPr>
        <w:t xml:space="preserve"> centros clandestinos de</w:t>
      </w:r>
      <w:r w:rsidR="0017629E">
        <w:rPr>
          <w:lang w:val="es-ES_tradnl"/>
        </w:rPr>
        <w:t xml:space="preserve"> </w:t>
      </w:r>
      <w:r w:rsidR="0017629E" w:rsidRPr="0017629E">
        <w:rPr>
          <w:lang w:val="es-ES_tradnl"/>
        </w:rPr>
        <w:t xml:space="preserve">detención </w:t>
      </w:r>
      <w:r w:rsidR="0017629E">
        <w:rPr>
          <w:lang w:val="es-ES_tradnl"/>
        </w:rPr>
        <w:t>son</w:t>
      </w:r>
      <w:r w:rsidR="0017629E" w:rsidRPr="0017629E">
        <w:rPr>
          <w:lang w:val="es-ES_tradnl"/>
        </w:rPr>
        <w:t xml:space="preserve"> </w:t>
      </w:r>
      <w:r w:rsidR="0017629E" w:rsidRPr="0017629E">
        <w:rPr>
          <w:i/>
          <w:lang w:val="es-ES_tradnl"/>
        </w:rPr>
        <w:t>per se</w:t>
      </w:r>
      <w:r w:rsidR="0017629E" w:rsidRPr="0017629E">
        <w:rPr>
          <w:lang w:val="es-ES_tradnl"/>
        </w:rPr>
        <w:t xml:space="preserve"> </w:t>
      </w:r>
      <w:r w:rsidR="0017629E">
        <w:rPr>
          <w:lang w:val="es-ES_tradnl"/>
        </w:rPr>
        <w:t xml:space="preserve">una violación de </w:t>
      </w:r>
      <w:r w:rsidR="0017629E" w:rsidRPr="0017629E">
        <w:rPr>
          <w:lang w:val="es-ES_tradnl"/>
        </w:rPr>
        <w:t>los derechos a la libertad personal</w:t>
      </w:r>
      <w:r w:rsidR="0017629E">
        <w:rPr>
          <w:lang w:val="es-ES_tradnl"/>
        </w:rPr>
        <w:t>.</w:t>
      </w:r>
      <w:r w:rsidR="001F11D7" w:rsidRPr="00E46122">
        <w:rPr>
          <w:sz w:val="18"/>
          <w:szCs w:val="18"/>
          <w:vertAlign w:val="superscript"/>
          <w:lang w:val="es-ES_tradnl"/>
        </w:rPr>
        <w:footnoteReference w:id="45"/>
      </w:r>
      <w:r w:rsidR="003717C4" w:rsidRPr="003717C4">
        <w:rPr>
          <w:lang w:val="es-ES"/>
        </w:rPr>
        <w:t xml:space="preserve"> </w:t>
      </w:r>
      <w:r w:rsidR="003717C4" w:rsidRPr="00E46122">
        <w:rPr>
          <w:lang w:val="es-ES"/>
        </w:rPr>
        <w:t xml:space="preserve">Dado que el Estado parte no ha aportado ninguna información al respecto, el Comité considera que debe darse el crédito debido a las alegaciones de los autores, y </w:t>
      </w:r>
      <w:r w:rsidR="003717C4">
        <w:rPr>
          <w:lang w:val="es-ES"/>
        </w:rPr>
        <w:t xml:space="preserve">declarar </w:t>
      </w:r>
      <w:r w:rsidR="003717C4" w:rsidRPr="00E46122">
        <w:rPr>
          <w:lang w:val="es-ES"/>
        </w:rPr>
        <w:t>que la privación de libertad del Sr. Téllez Padilla vulner</w:t>
      </w:r>
      <w:r w:rsidR="003717C4">
        <w:rPr>
          <w:lang w:val="es-ES"/>
        </w:rPr>
        <w:t>ó</w:t>
      </w:r>
      <w:r w:rsidR="003717C4" w:rsidRPr="00E46122">
        <w:rPr>
          <w:lang w:val="es-ES"/>
        </w:rPr>
        <w:t xml:space="preserve"> los derechos que le asisten en virtud del artículo 9 del Pacto.</w:t>
      </w:r>
    </w:p>
    <w:p w14:paraId="5B66DB4B" w14:textId="4A594879" w:rsidR="0061596A" w:rsidRPr="00732151" w:rsidRDefault="00EA27B3" w:rsidP="00732151">
      <w:pPr>
        <w:pStyle w:val="SingleTxtG"/>
        <w:rPr>
          <w:lang w:val="es-ES"/>
        </w:rPr>
      </w:pPr>
      <w:r>
        <w:rPr>
          <w:lang w:val="es-ES" w:eastAsia="es-ES"/>
        </w:rPr>
        <w:t>9.9</w:t>
      </w:r>
      <w:r w:rsidR="000A1593" w:rsidRPr="007C0BB6">
        <w:rPr>
          <w:lang w:val="es-ES" w:eastAsia="es-ES"/>
        </w:rPr>
        <w:tab/>
      </w:r>
      <w:r w:rsidR="007C0BB6" w:rsidRPr="007C0BB6">
        <w:rPr>
          <w:lang w:val="es-ES" w:eastAsia="es-ES"/>
        </w:rPr>
        <w:t>En cuanto a l</w:t>
      </w:r>
      <w:r w:rsidR="00D32A53">
        <w:rPr>
          <w:lang w:val="es-ES" w:eastAsia="es-ES"/>
        </w:rPr>
        <w:t>a</w:t>
      </w:r>
      <w:r w:rsidR="007C0BB6" w:rsidRPr="007C0BB6">
        <w:rPr>
          <w:lang w:val="es-ES" w:eastAsia="es-ES"/>
        </w:rPr>
        <w:t>s alega</w:t>
      </w:r>
      <w:r w:rsidR="00D32A53">
        <w:rPr>
          <w:lang w:val="es-ES" w:eastAsia="es-ES"/>
        </w:rPr>
        <w:t>ciones</w:t>
      </w:r>
      <w:r w:rsidR="007C0BB6" w:rsidRPr="007C0BB6">
        <w:rPr>
          <w:lang w:val="es-ES" w:eastAsia="es-ES"/>
        </w:rPr>
        <w:t xml:space="preserve"> de los autores según los cuales </w:t>
      </w:r>
      <w:r w:rsidR="007C0BB6" w:rsidRPr="007C0BB6">
        <w:rPr>
          <w:lang w:val="es-ES_tradnl"/>
        </w:rPr>
        <w:t>el Sr. Téllez Padilla fue sustraído del amparo de la ley y visto por última vez en poder de las autoridades,</w:t>
      </w:r>
      <w:r w:rsidR="007C0BB6" w:rsidRPr="007C0BB6">
        <w:rPr>
          <w:lang w:val="es-ES" w:eastAsia="es-ES"/>
        </w:rPr>
        <w:t xml:space="preserve"> en </w:t>
      </w:r>
      <w:r w:rsidR="000A1593" w:rsidRPr="007C0BB6">
        <w:rPr>
          <w:lang w:val="es-ES" w:eastAsia="es-ES"/>
        </w:rPr>
        <w:t>violación del artículo 16 del Pacto</w:t>
      </w:r>
      <w:r w:rsidR="007C0BB6" w:rsidRPr="007C0BB6">
        <w:rPr>
          <w:lang w:val="es-ES" w:eastAsia="es-ES"/>
        </w:rPr>
        <w:t>,</w:t>
      </w:r>
      <w:r w:rsidR="000A1593" w:rsidRPr="007C0BB6">
        <w:rPr>
          <w:lang w:val="es-ES" w:eastAsia="es-ES"/>
        </w:rPr>
        <w:t xml:space="preserve"> </w:t>
      </w:r>
      <w:r w:rsidR="007C0BB6" w:rsidRPr="007C0BB6">
        <w:rPr>
          <w:lang w:val="es-ES" w:eastAsia="es-ES"/>
        </w:rPr>
        <w:t>e</w:t>
      </w:r>
      <w:r w:rsidR="0071035F" w:rsidRPr="007C0BB6">
        <w:rPr>
          <w:lang w:val="es-ES"/>
        </w:rPr>
        <w:t xml:space="preserve">l Comité </w:t>
      </w:r>
      <w:r w:rsidR="007C0BB6" w:rsidRPr="007C0BB6">
        <w:rPr>
          <w:lang w:val="es-ES"/>
        </w:rPr>
        <w:t>recuerda</w:t>
      </w:r>
      <w:r w:rsidR="0071035F" w:rsidRPr="007C0BB6">
        <w:rPr>
          <w:lang w:val="es-ES"/>
        </w:rPr>
        <w:t xml:space="preserve"> que la sustracción deliberada de una persona del amparo de la ley constituye una denegación del derecho </w:t>
      </w:r>
      <w:r w:rsidR="00EB45C0" w:rsidRPr="007C0BB6">
        <w:rPr>
          <w:lang w:val="es-ES"/>
        </w:rPr>
        <w:t xml:space="preserve">de esa persona </w:t>
      </w:r>
      <w:r w:rsidR="0071035F" w:rsidRPr="007C0BB6">
        <w:rPr>
          <w:lang w:val="es-ES"/>
        </w:rPr>
        <w:t>al reconocimiento de su personalidad jurídica, en particular si se han obstaculizado de manera sistemática los intentos de sus familiares de obtener recursos efectivos.</w:t>
      </w:r>
      <w:r w:rsidR="0071035F" w:rsidRPr="007C0BB6">
        <w:rPr>
          <w:rStyle w:val="FootnoteReference"/>
          <w:lang w:val="es-ES"/>
        </w:rPr>
        <w:footnoteReference w:id="46"/>
      </w:r>
      <w:r w:rsidR="0071035F" w:rsidRPr="007C0BB6">
        <w:rPr>
          <w:lang w:val="es-ES"/>
        </w:rPr>
        <w:t xml:space="preserve"> </w:t>
      </w:r>
      <w:r w:rsidR="00732151">
        <w:rPr>
          <w:lang w:val="es-ES"/>
        </w:rPr>
        <w:t>En</w:t>
      </w:r>
      <w:r w:rsidR="00EB45C0" w:rsidRPr="007C0BB6">
        <w:rPr>
          <w:lang w:val="es-ES"/>
        </w:rPr>
        <w:t xml:space="preserve"> el presente caso, el Comité observa que el Estado parte no ha proporcionado ninguna explicación convincente sobre la suerte que ha corrido el Sr. Téllez Padilla ni sobre su paradero, y de que estaba en manos de las autoridades del Estado la última vez que fue visto. </w:t>
      </w:r>
      <w:r w:rsidR="0071035F" w:rsidRPr="007C0BB6">
        <w:rPr>
          <w:lang w:val="es-ES"/>
        </w:rPr>
        <w:t xml:space="preserve">Por consiguiente, el Comité llega a la conclusión de que la desaparición forzada del Sr. </w:t>
      </w:r>
      <w:r w:rsidR="001239AE" w:rsidRPr="007C0BB6">
        <w:rPr>
          <w:lang w:val="es-ES"/>
        </w:rPr>
        <w:t xml:space="preserve">Téllez Padilla </w:t>
      </w:r>
      <w:r w:rsidR="0071035F" w:rsidRPr="007C0BB6">
        <w:rPr>
          <w:lang w:val="es-ES"/>
        </w:rPr>
        <w:t xml:space="preserve">lo sustrajo del amparo de la ley y lo privó de su derecho al reconocimiento de su personalidad jurídica, en </w:t>
      </w:r>
      <w:r w:rsidR="001239AE" w:rsidRPr="007C0BB6">
        <w:rPr>
          <w:lang w:val="es-ES"/>
        </w:rPr>
        <w:t>violación</w:t>
      </w:r>
      <w:r w:rsidR="0071035F" w:rsidRPr="007C0BB6">
        <w:rPr>
          <w:lang w:val="es-ES"/>
        </w:rPr>
        <w:t xml:space="preserve"> del artículo 16 del Pacto</w:t>
      </w:r>
      <w:r w:rsidR="001239AE" w:rsidRPr="007C0BB6">
        <w:rPr>
          <w:lang w:val="es-ES"/>
        </w:rPr>
        <w:t>.</w:t>
      </w:r>
    </w:p>
    <w:p w14:paraId="2B9F3E00" w14:textId="0886D523" w:rsidR="003C407C" w:rsidRPr="000F4C79" w:rsidRDefault="00EA27B3" w:rsidP="00AB3B56">
      <w:pPr>
        <w:pStyle w:val="SingleTxtG"/>
        <w:rPr>
          <w:lang w:val="es-ES"/>
        </w:rPr>
      </w:pPr>
      <w:r>
        <w:rPr>
          <w:lang w:val="es-ES" w:eastAsia="es-ES"/>
        </w:rPr>
        <w:t>9.10</w:t>
      </w:r>
      <w:r w:rsidR="00D10818" w:rsidRPr="000F4C79">
        <w:rPr>
          <w:lang w:val="es-ES" w:eastAsia="es-ES"/>
        </w:rPr>
        <w:tab/>
        <w:t>Finalmente, el Comité toma nota de que los autores alegan que los hechos constituyen</w:t>
      </w:r>
      <w:r w:rsidR="00F0693D">
        <w:rPr>
          <w:lang w:val="es-ES" w:eastAsia="es-ES"/>
        </w:rPr>
        <w:t xml:space="preserve"> también</w:t>
      </w:r>
      <w:r w:rsidR="00D10818" w:rsidRPr="000F4C79">
        <w:rPr>
          <w:lang w:val="es-ES" w:eastAsia="es-ES"/>
        </w:rPr>
        <w:t xml:space="preserve"> una violación del artículo 2 </w:t>
      </w:r>
      <w:r w:rsidR="00AC1F3E" w:rsidRPr="000F4C79">
        <w:rPr>
          <w:lang w:val="es-ES" w:eastAsia="es-ES"/>
        </w:rPr>
        <w:t xml:space="preserve">párrafo </w:t>
      </w:r>
      <w:r w:rsidR="00D10818" w:rsidRPr="000F4C79">
        <w:rPr>
          <w:lang w:val="es-ES" w:eastAsia="es-ES"/>
        </w:rPr>
        <w:t>3 del Pacto</w:t>
      </w:r>
      <w:r w:rsidR="00053289" w:rsidRPr="000F4C79">
        <w:rPr>
          <w:lang w:val="es-ES" w:eastAsia="es-ES"/>
        </w:rPr>
        <w:t xml:space="preserve">, </w:t>
      </w:r>
      <w:r w:rsidR="00430F3A" w:rsidRPr="000F4C79">
        <w:rPr>
          <w:lang w:val="es-ES" w:eastAsia="es-ES"/>
        </w:rPr>
        <w:t>que impone a los Estados partes la obligación de garantizar a toda persona recursos accesibles, efectivos y jurídicamente exigibles para hacer valer los derechos garantizados en el Pacto</w:t>
      </w:r>
      <w:r w:rsidR="00D10818" w:rsidRPr="000F4C79">
        <w:rPr>
          <w:lang w:val="es-ES" w:eastAsia="es-ES"/>
        </w:rPr>
        <w:t xml:space="preserve">. </w:t>
      </w:r>
      <w:r w:rsidR="00430F3A" w:rsidRPr="000F4C79">
        <w:rPr>
          <w:lang w:val="es-ES"/>
        </w:rPr>
        <w:t>Los autores s</w:t>
      </w:r>
      <w:r w:rsidR="00F603EF" w:rsidRPr="000F4C79">
        <w:rPr>
          <w:lang w:val="es-ES"/>
        </w:rPr>
        <w:t>e remite</w:t>
      </w:r>
      <w:r w:rsidR="00430F3A" w:rsidRPr="000F4C79">
        <w:rPr>
          <w:lang w:val="es-ES"/>
        </w:rPr>
        <w:t>n</w:t>
      </w:r>
      <w:r w:rsidR="00303EB7">
        <w:rPr>
          <w:lang w:val="es-ES"/>
        </w:rPr>
        <w:t xml:space="preserve"> a la Observación general número</w:t>
      </w:r>
      <w:r w:rsidR="00F603EF" w:rsidRPr="000F4C79">
        <w:rPr>
          <w:lang w:val="es-ES"/>
        </w:rPr>
        <w:t xml:space="preserve"> 31, en la que el Comité señala que la circunstancia de que un Estado parte no investigue denuncias de </w:t>
      </w:r>
      <w:r w:rsidR="00430F3A" w:rsidRPr="000F4C79">
        <w:rPr>
          <w:lang w:val="es-ES"/>
        </w:rPr>
        <w:t>vulneraciones</w:t>
      </w:r>
      <w:r w:rsidR="00F603EF" w:rsidRPr="000F4C79">
        <w:rPr>
          <w:lang w:val="es-ES"/>
        </w:rPr>
        <w:t xml:space="preserve"> podría en sí constituir una contravención separada del Pacto. </w:t>
      </w:r>
      <w:r w:rsidR="00D10818" w:rsidRPr="000F4C79">
        <w:rPr>
          <w:lang w:val="es-ES" w:eastAsia="es-ES"/>
        </w:rPr>
        <w:t xml:space="preserve">El Comité también toma nota de la afirmación del Estado parte de </w:t>
      </w:r>
      <w:r w:rsidR="00D10818" w:rsidRPr="000F4C79">
        <w:rPr>
          <w:lang w:val="es-ES" w:eastAsia="es-ES"/>
        </w:rPr>
        <w:lastRenderedPageBreak/>
        <w:t>que</w:t>
      </w:r>
      <w:r w:rsidR="00F773F8" w:rsidRPr="000F4C79">
        <w:rPr>
          <w:lang w:val="es-ES" w:eastAsia="es-ES"/>
        </w:rPr>
        <w:t xml:space="preserve"> </w:t>
      </w:r>
      <w:r w:rsidR="006302A7">
        <w:rPr>
          <w:lang w:val="es-ES_tradnl"/>
        </w:rPr>
        <w:t>su</w:t>
      </w:r>
      <w:r w:rsidR="006302A7" w:rsidRPr="000F4C79">
        <w:rPr>
          <w:lang w:val="es-ES_tradnl"/>
        </w:rPr>
        <w:t xml:space="preserve"> obligación jurídica de investigar ha sido cumplida</w:t>
      </w:r>
      <w:r w:rsidR="006302A7">
        <w:rPr>
          <w:lang w:val="es-ES_tradnl"/>
        </w:rPr>
        <w:t xml:space="preserve"> porque</w:t>
      </w:r>
      <w:r w:rsidR="006302A7" w:rsidRPr="000F4C79">
        <w:rPr>
          <w:lang w:val="es-ES_tradnl"/>
        </w:rPr>
        <w:t xml:space="preserve"> </w:t>
      </w:r>
      <w:r w:rsidR="003E61DD" w:rsidRPr="000F4C79">
        <w:rPr>
          <w:lang w:val="es-ES_tradnl"/>
        </w:rPr>
        <w:t>las investigaciones han sido l</w:t>
      </w:r>
      <w:r w:rsidR="000A0052" w:rsidRPr="000F4C79">
        <w:rPr>
          <w:lang w:val="es-ES_tradnl"/>
        </w:rPr>
        <w:t>a</w:t>
      </w:r>
      <w:r w:rsidR="003E61DD" w:rsidRPr="000F4C79">
        <w:rPr>
          <w:lang w:val="es-ES_tradnl"/>
        </w:rPr>
        <w:t>s adecuad</w:t>
      </w:r>
      <w:r w:rsidR="000A0052" w:rsidRPr="000F4C79">
        <w:rPr>
          <w:lang w:val="es-ES_tradnl"/>
        </w:rPr>
        <w:t>a</w:t>
      </w:r>
      <w:r w:rsidR="003E61DD" w:rsidRPr="000F4C79">
        <w:rPr>
          <w:lang w:val="es-ES_tradnl"/>
        </w:rPr>
        <w:t xml:space="preserve">s, </w:t>
      </w:r>
      <w:r w:rsidR="00303EB7">
        <w:rPr>
          <w:lang w:val="es-ES_tradnl"/>
        </w:rPr>
        <w:t xml:space="preserve">se han </w:t>
      </w:r>
      <w:r w:rsidR="003E61DD" w:rsidRPr="000F4C79">
        <w:rPr>
          <w:lang w:val="es-ES_tradnl"/>
        </w:rPr>
        <w:t>realizad</w:t>
      </w:r>
      <w:r w:rsidR="00303EB7">
        <w:rPr>
          <w:lang w:val="es-ES_tradnl"/>
        </w:rPr>
        <w:t>o</w:t>
      </w:r>
      <w:r w:rsidR="003E61DD" w:rsidRPr="000F4C79">
        <w:rPr>
          <w:lang w:val="es-ES_tradnl"/>
        </w:rPr>
        <w:t xml:space="preserve"> </w:t>
      </w:r>
      <w:r w:rsidR="000A0052" w:rsidRPr="000F4C79">
        <w:rPr>
          <w:lang w:val="es-ES_tradnl"/>
        </w:rPr>
        <w:t xml:space="preserve">sin dilación, </w:t>
      </w:r>
      <w:r w:rsidR="003E61DD" w:rsidRPr="000F4C79">
        <w:rPr>
          <w:lang w:val="es-ES_tradnl"/>
        </w:rPr>
        <w:t>con la debida diligencia,</w:t>
      </w:r>
      <w:r w:rsidR="00761E1F" w:rsidRPr="000F4C79">
        <w:rPr>
          <w:lang w:val="es-ES_tradnl"/>
        </w:rPr>
        <w:t xml:space="preserve"> d</w:t>
      </w:r>
      <w:r w:rsidR="006302A7">
        <w:rPr>
          <w:lang w:val="es-ES_tradnl"/>
        </w:rPr>
        <w:t>e manera imparcial y exhaustiva</w:t>
      </w:r>
      <w:r w:rsidR="00D10818" w:rsidRPr="000F4C79">
        <w:rPr>
          <w:lang w:val="es-ES"/>
        </w:rPr>
        <w:t>.</w:t>
      </w:r>
      <w:r w:rsidR="00F603EF" w:rsidRPr="000F4C79">
        <w:rPr>
          <w:lang w:val="es-ES"/>
        </w:rPr>
        <w:t xml:space="preserve"> </w:t>
      </w:r>
      <w:r w:rsidR="00761E1F" w:rsidRPr="000F4C79">
        <w:rPr>
          <w:lang w:val="es-ES"/>
        </w:rPr>
        <w:t>Sin embargo, e</w:t>
      </w:r>
      <w:r w:rsidR="00F603EF" w:rsidRPr="000F4C79">
        <w:rPr>
          <w:lang w:val="es-ES"/>
        </w:rPr>
        <w:t xml:space="preserve">n el presente caso, el Comité observa que, </w:t>
      </w:r>
      <w:r w:rsidR="00157438" w:rsidRPr="00157438">
        <w:rPr>
          <w:lang w:val="es-ES"/>
        </w:rPr>
        <w:t>a pesar del relato siempre consistente de</w:t>
      </w:r>
      <w:r w:rsidR="00F45FA9">
        <w:rPr>
          <w:lang w:val="es-ES"/>
        </w:rPr>
        <w:t xml:space="preserve"> </w:t>
      </w:r>
      <w:r w:rsidR="00157438" w:rsidRPr="00157438">
        <w:rPr>
          <w:lang w:val="es-ES"/>
        </w:rPr>
        <w:t>l</w:t>
      </w:r>
      <w:r w:rsidR="00F45FA9">
        <w:rPr>
          <w:lang w:val="es-ES"/>
        </w:rPr>
        <w:t>a</w:t>
      </w:r>
      <w:r w:rsidR="00157438" w:rsidRPr="00157438">
        <w:rPr>
          <w:lang w:val="es-ES"/>
        </w:rPr>
        <w:t xml:space="preserve"> testigo presencial,</w:t>
      </w:r>
      <w:r w:rsidR="00F45FA9" w:rsidRPr="001731E5">
        <w:rPr>
          <w:lang w:val="es-ES"/>
        </w:rPr>
        <w:t xml:space="preserve"> </w:t>
      </w:r>
      <w:r w:rsidR="00F45FA9">
        <w:rPr>
          <w:lang w:val="es-ES"/>
        </w:rPr>
        <w:t xml:space="preserve">y </w:t>
      </w:r>
      <w:r w:rsidR="00F45FA9" w:rsidRPr="00F45FA9">
        <w:rPr>
          <w:lang w:val="es-ES"/>
        </w:rPr>
        <w:t>a pesar de las numerosas acciones iniciadas por los fam</w:t>
      </w:r>
      <w:r w:rsidR="00F45FA9">
        <w:rPr>
          <w:lang w:val="es-ES"/>
        </w:rPr>
        <w:t>iliares del Sr. Téllez Padilla</w:t>
      </w:r>
      <w:r w:rsidR="00F441D0">
        <w:rPr>
          <w:lang w:val="es-ES"/>
        </w:rPr>
        <w:t xml:space="preserve"> (ver </w:t>
      </w:r>
      <w:r w:rsidR="00F441D0" w:rsidRPr="001731E5">
        <w:rPr>
          <w:i/>
          <w:lang w:val="es-ES"/>
        </w:rPr>
        <w:t>supra</w:t>
      </w:r>
      <w:r w:rsidR="00F441D0">
        <w:rPr>
          <w:lang w:val="es-ES"/>
        </w:rPr>
        <w:t xml:space="preserve"> 2.4 a 2.9)</w:t>
      </w:r>
      <w:r w:rsidR="00F45FA9">
        <w:rPr>
          <w:lang w:val="es-ES"/>
        </w:rPr>
        <w:t>,</w:t>
      </w:r>
      <w:r w:rsidR="00157438" w:rsidRPr="00F45FA9">
        <w:rPr>
          <w:lang w:val="es-ES"/>
        </w:rPr>
        <w:t xml:space="preserve"> </w:t>
      </w:r>
      <w:r w:rsidR="00157438" w:rsidRPr="00157438">
        <w:rPr>
          <w:lang w:val="es-ES"/>
        </w:rPr>
        <w:t xml:space="preserve">las </w:t>
      </w:r>
      <w:r w:rsidR="009A5039">
        <w:rPr>
          <w:lang w:val="es-ES"/>
        </w:rPr>
        <w:t>investigaciones no han avanzado</w:t>
      </w:r>
      <w:r w:rsidR="0039781E">
        <w:rPr>
          <w:lang w:val="es-ES"/>
        </w:rPr>
        <w:t xml:space="preserve"> de manera significativa</w:t>
      </w:r>
      <w:r w:rsidR="00FE2AAC">
        <w:rPr>
          <w:lang w:val="es-ES"/>
        </w:rPr>
        <w:t xml:space="preserve"> y</w:t>
      </w:r>
      <w:r w:rsidR="0039781E">
        <w:rPr>
          <w:lang w:val="es-ES"/>
        </w:rPr>
        <w:t>, en particular,</w:t>
      </w:r>
      <w:r w:rsidR="00FE2AAC">
        <w:rPr>
          <w:lang w:val="es-ES"/>
        </w:rPr>
        <w:t xml:space="preserve"> no se </w:t>
      </w:r>
      <w:r w:rsidR="008B4249">
        <w:rPr>
          <w:lang w:val="es-ES"/>
        </w:rPr>
        <w:t xml:space="preserve">han </w:t>
      </w:r>
      <w:r w:rsidR="00FE2AAC">
        <w:rPr>
          <w:lang w:val="es-ES"/>
        </w:rPr>
        <w:t>practicado a tiempo diligencias oportunas</w:t>
      </w:r>
      <w:r w:rsidR="00157438" w:rsidRPr="00157438">
        <w:rPr>
          <w:lang w:val="es-ES"/>
        </w:rPr>
        <w:t xml:space="preserve">, </w:t>
      </w:r>
      <w:r w:rsidR="00CC77CC">
        <w:rPr>
          <w:lang w:val="es-ES"/>
        </w:rPr>
        <w:t>lo cual conllev</w:t>
      </w:r>
      <w:r w:rsidR="008B4249">
        <w:rPr>
          <w:lang w:val="es-ES"/>
        </w:rPr>
        <w:t>ó</w:t>
      </w:r>
      <w:r w:rsidR="00FE2AAC">
        <w:rPr>
          <w:lang w:val="es-ES"/>
        </w:rPr>
        <w:t xml:space="preserve"> </w:t>
      </w:r>
      <w:r w:rsidR="00CC77CC">
        <w:rPr>
          <w:lang w:val="es-ES"/>
        </w:rPr>
        <w:t>la pérdida de</w:t>
      </w:r>
      <w:r w:rsidR="00157438" w:rsidRPr="00157438">
        <w:rPr>
          <w:lang w:val="es-ES"/>
        </w:rPr>
        <w:t xml:space="preserve"> pruebas importantes (al no solicitar a tiempo los videos de las cámaras de seguridad del lugar de los hechos, al no solicitar los videos de las cámaras de seguridad del lugar donde se encontró el auto, al no ordenar la inspección ocular en las instalaciones de la Policía Intermunicipal, al no analizar a tiempo la sábana de llamadas</w:t>
      </w:r>
      <w:r w:rsidR="008110D4">
        <w:rPr>
          <w:lang w:val="es-ES"/>
        </w:rPr>
        <w:t xml:space="preserve"> del teléfono del desaparecido</w:t>
      </w:r>
      <w:r w:rsidR="00157438" w:rsidRPr="00157438">
        <w:rPr>
          <w:lang w:val="es-ES"/>
        </w:rPr>
        <w:t>, al no recabar las huellas dactilares en el auto</w:t>
      </w:r>
      <w:r w:rsidR="00CC77CC">
        <w:rPr>
          <w:lang w:val="es-ES"/>
        </w:rPr>
        <w:t>móvil del Sr. Téllez Padilla</w:t>
      </w:r>
      <w:r w:rsidR="00157438" w:rsidRPr="00157438">
        <w:rPr>
          <w:lang w:val="es-ES"/>
        </w:rPr>
        <w:t xml:space="preserve">, al tardar en citar a declarar los policías identificados, al no ordenar un reconocimiento en fila de personas, al no investigar el contexto). Asimismo, los recursos internos se </w:t>
      </w:r>
      <w:r w:rsidR="008B4249">
        <w:rPr>
          <w:lang w:val="es-ES"/>
        </w:rPr>
        <w:t>han</w:t>
      </w:r>
      <w:r w:rsidR="008B4249" w:rsidRPr="00157438">
        <w:rPr>
          <w:lang w:val="es-ES"/>
        </w:rPr>
        <w:t xml:space="preserve"> </w:t>
      </w:r>
      <w:r w:rsidR="00157438" w:rsidRPr="00157438">
        <w:rPr>
          <w:lang w:val="es-ES"/>
        </w:rPr>
        <w:t xml:space="preserve">prolongado injustificadamente. </w:t>
      </w:r>
      <w:r w:rsidR="00CF7D98">
        <w:rPr>
          <w:lang w:val="es-ES"/>
        </w:rPr>
        <w:t>A pesar de</w:t>
      </w:r>
      <w:r w:rsidR="00157438" w:rsidRPr="00157438">
        <w:rPr>
          <w:lang w:val="es-ES"/>
        </w:rPr>
        <w:t>l reconocimiento por la Policía Intermunicipal, ante una visita de inspección de la Procuraduría General de la República seis años después de la desaparición, de que efectivamente el operativo se había llevado a cabo en día de la desaparición</w:t>
      </w:r>
      <w:r w:rsidR="00CF7D98">
        <w:rPr>
          <w:lang w:val="es-ES"/>
        </w:rPr>
        <w:t>,</w:t>
      </w:r>
      <w:r w:rsidR="00157438" w:rsidRPr="00157438">
        <w:rPr>
          <w:lang w:val="es-ES"/>
        </w:rPr>
        <w:t xml:space="preserve"> </w:t>
      </w:r>
      <w:r w:rsidR="00CF7D98">
        <w:rPr>
          <w:lang w:val="es-ES"/>
        </w:rPr>
        <w:t xml:space="preserve">no </w:t>
      </w:r>
      <w:r w:rsidR="00157438" w:rsidRPr="00157438">
        <w:rPr>
          <w:lang w:val="es-ES"/>
        </w:rPr>
        <w:t xml:space="preserve">se ha avanzado en las investigaciones. </w:t>
      </w:r>
      <w:r w:rsidR="00B167FB">
        <w:rPr>
          <w:lang w:val="es-ES"/>
        </w:rPr>
        <w:t>A la luz de l</w:t>
      </w:r>
      <w:r w:rsidR="00C80657">
        <w:rPr>
          <w:lang w:val="es-ES"/>
        </w:rPr>
        <w:t>o</w:t>
      </w:r>
      <w:r w:rsidR="00B167FB">
        <w:rPr>
          <w:lang w:val="es-ES"/>
        </w:rPr>
        <w:t xml:space="preserve"> a</w:t>
      </w:r>
      <w:r w:rsidR="00C80657">
        <w:rPr>
          <w:lang w:val="es-ES"/>
        </w:rPr>
        <w:t>nterior</w:t>
      </w:r>
      <w:r w:rsidR="00157438" w:rsidRPr="00157438">
        <w:rPr>
          <w:lang w:val="es-ES"/>
        </w:rPr>
        <w:t xml:space="preserve">, </w:t>
      </w:r>
      <w:r w:rsidR="00157438">
        <w:rPr>
          <w:lang w:val="es-ES"/>
        </w:rPr>
        <w:t>e</w:t>
      </w:r>
      <w:r w:rsidR="00157438" w:rsidRPr="000F4C79">
        <w:rPr>
          <w:lang w:val="es-ES"/>
        </w:rPr>
        <w:t xml:space="preserve">l </w:t>
      </w:r>
      <w:r w:rsidR="00157438" w:rsidRPr="00FE5DEB">
        <w:rPr>
          <w:lang w:val="es-ES"/>
        </w:rPr>
        <w:t xml:space="preserve">Comité considera </w:t>
      </w:r>
      <w:r w:rsidR="00157438">
        <w:rPr>
          <w:lang w:val="es-ES"/>
        </w:rPr>
        <w:t xml:space="preserve">que </w:t>
      </w:r>
      <w:r w:rsidR="00157438" w:rsidRPr="00157438">
        <w:rPr>
          <w:lang w:val="es-ES"/>
        </w:rPr>
        <w:t xml:space="preserve">las investigaciones </w:t>
      </w:r>
      <w:r w:rsidR="00F34AB7">
        <w:rPr>
          <w:lang w:val="es-ES"/>
        </w:rPr>
        <w:t xml:space="preserve">realizadas </w:t>
      </w:r>
      <w:r w:rsidR="00157438" w:rsidRPr="00157438">
        <w:rPr>
          <w:lang w:val="es-ES"/>
        </w:rPr>
        <w:t xml:space="preserve">no </w:t>
      </w:r>
      <w:r w:rsidR="003025D2">
        <w:rPr>
          <w:lang w:val="es-ES"/>
        </w:rPr>
        <w:t xml:space="preserve">parecen haber </w:t>
      </w:r>
      <w:r w:rsidR="00157438" w:rsidRPr="00157438">
        <w:rPr>
          <w:lang w:val="es-ES"/>
        </w:rPr>
        <w:t xml:space="preserve">sido rápidas ni exhaustivas, no se han adelantado con la debida diligencia, </w:t>
      </w:r>
      <w:r w:rsidR="00157438">
        <w:rPr>
          <w:lang w:val="es-ES"/>
        </w:rPr>
        <w:t>no han sido independientes</w:t>
      </w:r>
      <w:r w:rsidR="00E63812">
        <w:rPr>
          <w:lang w:val="es-ES"/>
        </w:rPr>
        <w:t xml:space="preserve"> e imparciales</w:t>
      </w:r>
      <w:r w:rsidR="00157438">
        <w:rPr>
          <w:lang w:val="es-ES"/>
        </w:rPr>
        <w:t xml:space="preserve">, </w:t>
      </w:r>
      <w:r w:rsidR="00157438" w:rsidRPr="00157438">
        <w:rPr>
          <w:lang w:val="es-ES"/>
        </w:rPr>
        <w:t xml:space="preserve">y han sido inefectivas para </w:t>
      </w:r>
      <w:r w:rsidR="003025D2">
        <w:rPr>
          <w:lang w:val="es-ES"/>
        </w:rPr>
        <w:t>esclarecer</w:t>
      </w:r>
      <w:r w:rsidR="003025D2" w:rsidRPr="00157438">
        <w:rPr>
          <w:lang w:val="es-ES"/>
        </w:rPr>
        <w:t xml:space="preserve"> </w:t>
      </w:r>
      <w:r w:rsidR="00157438" w:rsidRPr="00157438">
        <w:rPr>
          <w:lang w:val="es-ES"/>
        </w:rPr>
        <w:t xml:space="preserve">las circunstancias de la desaparición, la suerte y el paradero del Sr. Téllez Padilla, y para </w:t>
      </w:r>
      <w:r w:rsidR="00F34AB7">
        <w:rPr>
          <w:lang w:val="es-ES"/>
        </w:rPr>
        <w:t xml:space="preserve">identificar </w:t>
      </w:r>
      <w:r w:rsidR="00157438" w:rsidRPr="00157438">
        <w:rPr>
          <w:lang w:val="es-ES"/>
        </w:rPr>
        <w:t>a los responsables</w:t>
      </w:r>
      <w:r w:rsidR="00157438">
        <w:rPr>
          <w:lang w:val="es-ES"/>
        </w:rPr>
        <w:t xml:space="preserve">. </w:t>
      </w:r>
      <w:r w:rsidR="00B167FB">
        <w:rPr>
          <w:lang w:val="es-ES"/>
        </w:rPr>
        <w:t>El Comité recuerda que el artículo 2 párrafo 3 del Pacto no proporciona un derecho autónomo</w:t>
      </w:r>
      <w:r w:rsidR="00C80657">
        <w:rPr>
          <w:lang w:val="es-ES"/>
        </w:rPr>
        <w:t>.</w:t>
      </w:r>
      <w:r w:rsidR="00B167FB">
        <w:rPr>
          <w:rStyle w:val="FootnoteReference"/>
          <w:lang w:val="es-ES"/>
        </w:rPr>
        <w:footnoteReference w:id="47"/>
      </w:r>
      <w:r w:rsidR="00C80657">
        <w:rPr>
          <w:lang w:val="es-ES"/>
        </w:rPr>
        <w:t xml:space="preserve"> S</w:t>
      </w:r>
      <w:r w:rsidR="00B167FB">
        <w:rPr>
          <w:lang w:val="es-ES"/>
        </w:rPr>
        <w:t>in embar</w:t>
      </w:r>
      <w:r w:rsidR="00C80657">
        <w:rPr>
          <w:lang w:val="es-ES"/>
        </w:rPr>
        <w:t>go,</w:t>
      </w:r>
      <w:r w:rsidR="00B167FB">
        <w:rPr>
          <w:lang w:val="es-ES"/>
        </w:rPr>
        <w:t xml:space="preserve"> a la luz de todo lo an</w:t>
      </w:r>
      <w:r w:rsidR="00C80657">
        <w:rPr>
          <w:lang w:val="es-ES"/>
        </w:rPr>
        <w:t>terior</w:t>
      </w:r>
      <w:r w:rsidR="00B167FB">
        <w:rPr>
          <w:lang w:val="es-ES"/>
        </w:rPr>
        <w:t xml:space="preserve">, </w:t>
      </w:r>
      <w:r w:rsidR="00F603EF" w:rsidRPr="000F4C79">
        <w:rPr>
          <w:lang w:val="es-ES"/>
        </w:rPr>
        <w:t xml:space="preserve">el Comité llega a la conclusión de que los hechos que tiene ante sí ponen de manifiesto una </w:t>
      </w:r>
      <w:r w:rsidR="00814852" w:rsidRPr="000F4C79">
        <w:rPr>
          <w:lang w:val="es-ES"/>
        </w:rPr>
        <w:t>violación</w:t>
      </w:r>
      <w:r w:rsidR="00F603EF" w:rsidRPr="000F4C79">
        <w:rPr>
          <w:lang w:val="es-ES"/>
        </w:rPr>
        <w:t xml:space="preserve"> del artículo 2</w:t>
      </w:r>
      <w:r w:rsidR="00814852" w:rsidRPr="000F4C79">
        <w:rPr>
          <w:lang w:val="es-ES"/>
        </w:rPr>
        <w:t xml:space="preserve"> </w:t>
      </w:r>
      <w:r w:rsidR="00430F3A" w:rsidRPr="000F4C79">
        <w:rPr>
          <w:lang w:val="es-ES"/>
        </w:rPr>
        <w:t xml:space="preserve">párrafo </w:t>
      </w:r>
      <w:r w:rsidR="00F603EF" w:rsidRPr="000F4C79">
        <w:rPr>
          <w:lang w:val="es-ES"/>
        </w:rPr>
        <w:t>3</w:t>
      </w:r>
      <w:r w:rsidR="00814852" w:rsidRPr="000F4C79">
        <w:rPr>
          <w:lang w:val="es-ES"/>
        </w:rPr>
        <w:t xml:space="preserve"> del Pacto</w:t>
      </w:r>
      <w:r w:rsidR="00F603EF" w:rsidRPr="000F4C79">
        <w:rPr>
          <w:lang w:val="es-ES"/>
        </w:rPr>
        <w:t xml:space="preserve">, leído </w:t>
      </w:r>
      <w:r w:rsidR="00F34AB7">
        <w:rPr>
          <w:lang w:val="es-ES"/>
        </w:rPr>
        <w:t>conjuntamente</w:t>
      </w:r>
      <w:r w:rsidR="00F603EF" w:rsidRPr="000F4C79">
        <w:rPr>
          <w:lang w:val="es-ES"/>
        </w:rPr>
        <w:t xml:space="preserve"> con los artículos 6, 7, 9</w:t>
      </w:r>
      <w:r w:rsidR="00814852" w:rsidRPr="000F4C79">
        <w:rPr>
          <w:lang w:val="es-ES"/>
        </w:rPr>
        <w:t xml:space="preserve"> y</w:t>
      </w:r>
      <w:r w:rsidR="00F603EF" w:rsidRPr="000F4C79">
        <w:rPr>
          <w:lang w:val="es-ES"/>
        </w:rPr>
        <w:t xml:space="preserve"> 16 del Pacto respecto del Sr. </w:t>
      </w:r>
      <w:r w:rsidR="00814852" w:rsidRPr="000F4C79">
        <w:rPr>
          <w:lang w:val="es-ES_tradnl" w:eastAsia="es-ES"/>
        </w:rPr>
        <w:t xml:space="preserve">Téllez Padilla, </w:t>
      </w:r>
      <w:r w:rsidR="00F603EF" w:rsidRPr="000F4C79">
        <w:rPr>
          <w:lang w:val="es-ES"/>
        </w:rPr>
        <w:t>y del artículo 2</w:t>
      </w:r>
      <w:r w:rsidR="00814852" w:rsidRPr="000F4C79">
        <w:rPr>
          <w:lang w:val="es-ES"/>
        </w:rPr>
        <w:t xml:space="preserve"> </w:t>
      </w:r>
      <w:r w:rsidR="00430F3A" w:rsidRPr="000F4C79">
        <w:rPr>
          <w:lang w:val="es-ES"/>
        </w:rPr>
        <w:t xml:space="preserve">párrafo </w:t>
      </w:r>
      <w:r w:rsidR="00F603EF" w:rsidRPr="000F4C79">
        <w:rPr>
          <w:lang w:val="es-ES"/>
        </w:rPr>
        <w:t>3</w:t>
      </w:r>
      <w:r w:rsidR="000F4C79" w:rsidRPr="000F4C79">
        <w:rPr>
          <w:lang w:val="es-ES"/>
        </w:rPr>
        <w:t xml:space="preserve"> del Pacto</w:t>
      </w:r>
      <w:r w:rsidR="00F603EF" w:rsidRPr="000F4C79">
        <w:rPr>
          <w:lang w:val="es-ES"/>
        </w:rPr>
        <w:t xml:space="preserve">, leído en relación con el artículo 7 del Pacto respecto de </w:t>
      </w:r>
      <w:r w:rsidR="00814852" w:rsidRPr="000F4C79">
        <w:rPr>
          <w:lang w:val="es-ES"/>
        </w:rPr>
        <w:t>los autores de la comunicación</w:t>
      </w:r>
      <w:r w:rsidR="00F603EF" w:rsidRPr="000F4C79">
        <w:rPr>
          <w:lang w:val="es-ES"/>
        </w:rPr>
        <w:t>.</w:t>
      </w:r>
      <w:r w:rsidR="00B52A9C">
        <w:rPr>
          <w:lang w:val="es-ES"/>
        </w:rPr>
        <w:t xml:space="preserve"> </w:t>
      </w:r>
    </w:p>
    <w:p w14:paraId="5BF5D19F" w14:textId="63F9CA55" w:rsidR="000378BF" w:rsidRPr="000378BF" w:rsidRDefault="000378BF" w:rsidP="000378BF">
      <w:pPr>
        <w:pStyle w:val="SingleTxtG"/>
        <w:rPr>
          <w:lang w:val="es-ES"/>
        </w:rPr>
      </w:pPr>
      <w:r w:rsidRPr="000378BF">
        <w:rPr>
          <w:lang w:val="es-ES"/>
        </w:rPr>
        <w:t>10.</w:t>
      </w:r>
      <w:r w:rsidRPr="000378BF">
        <w:rPr>
          <w:lang w:val="es-ES"/>
        </w:rPr>
        <w:tab/>
        <w:t>El Comité, ac</w:t>
      </w:r>
      <w:r w:rsidR="001202B4">
        <w:rPr>
          <w:lang w:val="es-ES"/>
        </w:rPr>
        <w:t xml:space="preserve">tuando en virtud del artículo 5, párrafo </w:t>
      </w:r>
      <w:r w:rsidRPr="000378BF">
        <w:rPr>
          <w:lang w:val="es-ES"/>
        </w:rPr>
        <w:t>4</w:t>
      </w:r>
      <w:r w:rsidR="001202B4">
        <w:rPr>
          <w:lang w:val="es-ES"/>
        </w:rPr>
        <w:t>,</w:t>
      </w:r>
      <w:r w:rsidRPr="000378BF">
        <w:rPr>
          <w:lang w:val="es-ES"/>
        </w:rPr>
        <w:t xml:space="preserve"> del Protocolo Facultativo, dictamina que la información que tiene ante sí pone de manifiesto que el Estado parte ha infringido los artículos 6</w:t>
      </w:r>
      <w:r w:rsidR="001202B4">
        <w:rPr>
          <w:lang w:val="es-ES"/>
        </w:rPr>
        <w:t xml:space="preserve"> párrafo 1</w:t>
      </w:r>
      <w:r w:rsidRPr="000378BF">
        <w:rPr>
          <w:lang w:val="es-ES"/>
        </w:rPr>
        <w:t>, 7, 9</w:t>
      </w:r>
      <w:r w:rsidR="00035803">
        <w:rPr>
          <w:lang w:val="es-ES"/>
        </w:rPr>
        <w:t>,</w:t>
      </w:r>
      <w:r w:rsidRPr="000378BF">
        <w:rPr>
          <w:lang w:val="es-ES"/>
        </w:rPr>
        <w:t xml:space="preserve"> 16</w:t>
      </w:r>
      <w:r w:rsidR="00035803">
        <w:rPr>
          <w:lang w:val="es-ES"/>
        </w:rPr>
        <w:t xml:space="preserve"> y 2 párrafo 3</w:t>
      </w:r>
      <w:r w:rsidRPr="000378BF">
        <w:rPr>
          <w:lang w:val="es-ES"/>
        </w:rPr>
        <w:t xml:space="preserve"> </w:t>
      </w:r>
      <w:r w:rsidR="00367C1A">
        <w:rPr>
          <w:lang w:val="es-ES"/>
        </w:rPr>
        <w:t>del Pacto</w:t>
      </w:r>
      <w:r w:rsidR="00367C18">
        <w:rPr>
          <w:lang w:val="es-ES"/>
        </w:rPr>
        <w:t xml:space="preserve"> leído conjuntamente con</w:t>
      </w:r>
      <w:r w:rsidR="00367C18" w:rsidRPr="001731E5">
        <w:rPr>
          <w:lang w:val="es-ES"/>
        </w:rPr>
        <w:t xml:space="preserve"> </w:t>
      </w:r>
      <w:r w:rsidR="00367C18" w:rsidRPr="00367C18">
        <w:rPr>
          <w:lang w:val="es-ES"/>
        </w:rPr>
        <w:t>los artículos 6, 7, 9 y 16 del Pacto</w:t>
      </w:r>
      <w:r w:rsidRPr="00367C18">
        <w:rPr>
          <w:lang w:val="es-ES"/>
        </w:rPr>
        <w:t>,</w:t>
      </w:r>
      <w:r w:rsidRPr="000378BF">
        <w:rPr>
          <w:lang w:val="es-ES"/>
        </w:rPr>
        <w:t xml:space="preserve"> respecto del Sr. </w:t>
      </w:r>
      <w:r w:rsidR="00367C1A" w:rsidRPr="0066090A">
        <w:rPr>
          <w:lang w:val="es-ES_tradnl" w:eastAsia="es-ES"/>
        </w:rPr>
        <w:t>Téllez Padilla</w:t>
      </w:r>
      <w:r w:rsidRPr="000378BF">
        <w:rPr>
          <w:lang w:val="es-ES"/>
        </w:rPr>
        <w:t xml:space="preserve">, y </w:t>
      </w:r>
      <w:r w:rsidR="006B6C5E">
        <w:rPr>
          <w:lang w:val="es-ES"/>
        </w:rPr>
        <w:t>los</w:t>
      </w:r>
      <w:r w:rsidRPr="000378BF">
        <w:rPr>
          <w:lang w:val="es-ES"/>
        </w:rPr>
        <w:t xml:space="preserve"> artículo</w:t>
      </w:r>
      <w:r w:rsidR="006B6C5E">
        <w:rPr>
          <w:lang w:val="es-ES"/>
        </w:rPr>
        <w:t xml:space="preserve">s </w:t>
      </w:r>
      <w:r w:rsidRPr="000378BF">
        <w:rPr>
          <w:lang w:val="es-ES"/>
        </w:rPr>
        <w:t>7</w:t>
      </w:r>
      <w:r w:rsidR="00367C18">
        <w:rPr>
          <w:lang w:val="es-ES"/>
        </w:rPr>
        <w:t xml:space="preserve"> y 2 párrafo 3 del Pacto leído conjuntamente con el artículo 7</w:t>
      </w:r>
      <w:r w:rsidRPr="000378BF">
        <w:rPr>
          <w:lang w:val="es-ES"/>
        </w:rPr>
        <w:t xml:space="preserve">, respecto de </w:t>
      </w:r>
      <w:r w:rsidR="00367C1A">
        <w:rPr>
          <w:lang w:val="es-ES"/>
        </w:rPr>
        <w:t>los autores de la comunicación</w:t>
      </w:r>
      <w:r w:rsidRPr="000378BF">
        <w:rPr>
          <w:lang w:val="es-ES"/>
        </w:rPr>
        <w:t>.</w:t>
      </w:r>
    </w:p>
    <w:p w14:paraId="0077ADB6" w14:textId="4F19E385" w:rsidR="000378BF" w:rsidRPr="0037714C" w:rsidRDefault="000378BF" w:rsidP="000378BF">
      <w:pPr>
        <w:pStyle w:val="SingleTxtG"/>
        <w:rPr>
          <w:lang w:val="es-ES"/>
        </w:rPr>
      </w:pPr>
      <w:r>
        <w:rPr>
          <w:lang w:val="es-ES"/>
        </w:rPr>
        <w:t>11</w:t>
      </w:r>
      <w:r w:rsidRPr="000378BF">
        <w:rPr>
          <w:lang w:val="es-ES"/>
        </w:rPr>
        <w:t>.</w:t>
      </w:r>
      <w:r w:rsidRPr="000378BF">
        <w:rPr>
          <w:lang w:val="es-ES"/>
        </w:rPr>
        <w:tab/>
        <w:t>De conformidad con el artículo 2</w:t>
      </w:r>
      <w:r w:rsidR="001202B4">
        <w:rPr>
          <w:lang w:val="es-ES"/>
        </w:rPr>
        <w:t>,</w:t>
      </w:r>
      <w:r w:rsidR="00947F99">
        <w:rPr>
          <w:lang w:val="es-ES"/>
        </w:rPr>
        <w:t xml:space="preserve"> </w:t>
      </w:r>
      <w:r w:rsidR="001202B4" w:rsidRPr="001202B4">
        <w:rPr>
          <w:lang w:val="es-ES"/>
        </w:rPr>
        <w:t>párrafo 3</w:t>
      </w:r>
      <w:r w:rsidR="001202B4">
        <w:rPr>
          <w:lang w:val="es-ES"/>
        </w:rPr>
        <w:t>,</w:t>
      </w:r>
      <w:r w:rsidR="001202B4" w:rsidRPr="001202B4">
        <w:rPr>
          <w:lang w:val="es-ES"/>
        </w:rPr>
        <w:t xml:space="preserve"> </w:t>
      </w:r>
      <w:r w:rsidR="001202B4">
        <w:rPr>
          <w:lang w:val="es-ES"/>
        </w:rPr>
        <w:t>inciso a,</w:t>
      </w:r>
      <w:r w:rsidRPr="000378BF">
        <w:rPr>
          <w:lang w:val="es-ES"/>
        </w:rPr>
        <w:t xml:space="preserve"> del Pacto, el Estado parte tiene la obligación de proporcionar a </w:t>
      </w:r>
      <w:r w:rsidR="00947F99">
        <w:rPr>
          <w:lang w:val="es-ES"/>
        </w:rPr>
        <w:t>los autores</w:t>
      </w:r>
      <w:r w:rsidRPr="000378BF">
        <w:rPr>
          <w:lang w:val="es-ES"/>
        </w:rPr>
        <w:t xml:space="preserve"> un recurso efectivo. E</w:t>
      </w:r>
      <w:r w:rsidR="00A85B60">
        <w:rPr>
          <w:lang w:val="es-ES"/>
        </w:rPr>
        <w:t xml:space="preserve">llo requiere una </w:t>
      </w:r>
      <w:r w:rsidRPr="000378BF">
        <w:rPr>
          <w:lang w:val="es-ES"/>
        </w:rPr>
        <w:t xml:space="preserve">reparación </w:t>
      </w:r>
      <w:r w:rsidR="00A85B60">
        <w:rPr>
          <w:lang w:val="es-ES"/>
        </w:rPr>
        <w:t>i</w:t>
      </w:r>
      <w:r w:rsidRPr="000378BF">
        <w:rPr>
          <w:lang w:val="es-ES"/>
        </w:rPr>
        <w:t>ntegra</w:t>
      </w:r>
      <w:r w:rsidR="00A85B60">
        <w:rPr>
          <w:lang w:val="es-ES"/>
        </w:rPr>
        <w:t>l</w:t>
      </w:r>
      <w:r w:rsidRPr="000378BF">
        <w:rPr>
          <w:lang w:val="es-ES"/>
        </w:rPr>
        <w:t xml:space="preserve"> a las personas cuyos derechos hayan sido vulnerados. En </w:t>
      </w:r>
      <w:r w:rsidR="00C942A1">
        <w:rPr>
          <w:lang w:val="es-ES"/>
        </w:rPr>
        <w:t>este sentido</w:t>
      </w:r>
      <w:r w:rsidRPr="000378BF">
        <w:rPr>
          <w:lang w:val="es-ES"/>
        </w:rPr>
        <w:t xml:space="preserve">, el Estado parte debe: </w:t>
      </w:r>
      <w:r w:rsidRPr="008B756A">
        <w:rPr>
          <w:lang w:val="es-ES"/>
        </w:rPr>
        <w:t>a) llevar a cabo una investigación exhaustiva</w:t>
      </w:r>
      <w:r w:rsidR="00430F3A" w:rsidRPr="008B756A">
        <w:rPr>
          <w:lang w:val="es-ES"/>
        </w:rPr>
        <w:t>, rigurosa, imparcial</w:t>
      </w:r>
      <w:r w:rsidR="00C4286B">
        <w:rPr>
          <w:lang w:val="es-ES"/>
        </w:rPr>
        <w:t>, independiente</w:t>
      </w:r>
      <w:r w:rsidRPr="008B756A">
        <w:rPr>
          <w:lang w:val="es-ES"/>
        </w:rPr>
        <w:t xml:space="preserve"> y eficaz sobre las circunstancias de la </w:t>
      </w:r>
      <w:r w:rsidR="00430F3A" w:rsidRPr="008B756A">
        <w:rPr>
          <w:lang w:val="es-ES"/>
        </w:rPr>
        <w:t>desaparición</w:t>
      </w:r>
      <w:r w:rsidRPr="008B756A">
        <w:rPr>
          <w:lang w:val="es-ES"/>
        </w:rPr>
        <w:t xml:space="preserve"> del Sr. </w:t>
      </w:r>
      <w:r w:rsidR="00430F3A" w:rsidRPr="008B756A">
        <w:rPr>
          <w:lang w:val="es-ES_tradnl" w:eastAsia="es-ES"/>
        </w:rPr>
        <w:t>Téllez Padilla</w:t>
      </w:r>
      <w:r w:rsidR="00A6324B">
        <w:rPr>
          <w:lang w:val="es-ES_tradnl" w:eastAsia="es-ES"/>
        </w:rPr>
        <w:t xml:space="preserve"> –</w:t>
      </w:r>
      <w:r w:rsidR="00A6324B">
        <w:rPr>
          <w:lang w:val="es-ES"/>
        </w:rPr>
        <w:t xml:space="preserve">asegurando, para ello, que los oficiales a cargo de la búsqueda </w:t>
      </w:r>
      <w:r w:rsidR="00A6324B" w:rsidRPr="008B756A">
        <w:rPr>
          <w:lang w:val="es-ES"/>
        </w:rPr>
        <w:t xml:space="preserve">del Sr. </w:t>
      </w:r>
      <w:r w:rsidR="00A6324B" w:rsidRPr="008B756A">
        <w:rPr>
          <w:lang w:val="es-ES_tradnl" w:eastAsia="es-ES"/>
        </w:rPr>
        <w:t>Téllez Padilla</w:t>
      </w:r>
      <w:r w:rsidR="00A6324B" w:rsidRPr="008B756A">
        <w:rPr>
          <w:lang w:val="es-ES"/>
        </w:rPr>
        <w:t xml:space="preserve"> </w:t>
      </w:r>
      <w:r w:rsidR="00A6324B">
        <w:rPr>
          <w:lang w:val="es-ES"/>
        </w:rPr>
        <w:t>y de la investigación de su desaparición cuenten con el profesionalismo y autonomía necesarios al desarrollo de sus funciones</w:t>
      </w:r>
      <w:r w:rsidR="00A6324B" w:rsidRPr="00A6324B">
        <w:rPr>
          <w:lang w:val="es-ES"/>
        </w:rPr>
        <w:t>–</w:t>
      </w:r>
      <w:r w:rsidR="00311A6F">
        <w:rPr>
          <w:lang w:val="es-ES_tradnl" w:eastAsia="es-ES"/>
        </w:rPr>
        <w:t xml:space="preserve">, </w:t>
      </w:r>
      <w:r w:rsidR="00984C89">
        <w:rPr>
          <w:lang w:val="es-ES_tradnl" w:eastAsia="es-ES"/>
        </w:rPr>
        <w:t xml:space="preserve">sin descartar la participación de la Policía Intermunicipal </w:t>
      </w:r>
      <w:r w:rsidR="00024A1B">
        <w:rPr>
          <w:lang w:val="es-ES_tradnl" w:eastAsia="es-ES"/>
        </w:rPr>
        <w:lastRenderedPageBreak/>
        <w:t xml:space="preserve">siguiendo la declaración de la testigo presencial </w:t>
      </w:r>
      <w:r w:rsidR="00984C89">
        <w:rPr>
          <w:lang w:val="es-ES_tradnl" w:eastAsia="es-ES"/>
        </w:rPr>
        <w:t xml:space="preserve">y </w:t>
      </w:r>
      <w:r w:rsidR="00311A6F">
        <w:rPr>
          <w:lang w:val="es-ES_tradnl" w:eastAsia="es-ES"/>
        </w:rPr>
        <w:t>tomando en cuenta el contexto identificado en el</w:t>
      </w:r>
      <w:r w:rsidR="00024A1B">
        <w:rPr>
          <w:lang w:val="es-ES_tradnl" w:eastAsia="es-ES"/>
        </w:rPr>
        <w:t xml:space="preserve"> presente</w:t>
      </w:r>
      <w:r w:rsidR="00311A6F">
        <w:rPr>
          <w:lang w:val="es-ES_tradnl" w:eastAsia="es-ES"/>
        </w:rPr>
        <w:t xml:space="preserve"> caso de vínculo entre autoridades </w:t>
      </w:r>
      <w:r w:rsidR="00E21651">
        <w:rPr>
          <w:lang w:val="es-ES_tradnl" w:eastAsia="es-ES"/>
        </w:rPr>
        <w:t xml:space="preserve">estatales </w:t>
      </w:r>
      <w:r w:rsidR="00311A6F">
        <w:rPr>
          <w:lang w:val="es-ES_tradnl" w:eastAsia="es-ES"/>
        </w:rPr>
        <w:t xml:space="preserve">y grupos </w:t>
      </w:r>
      <w:r w:rsidR="00311A6F" w:rsidRPr="00311A6F">
        <w:rPr>
          <w:lang w:val="es-ES_tradnl" w:eastAsia="es-ES"/>
        </w:rPr>
        <w:t>de delincuencia organizada</w:t>
      </w:r>
      <w:r w:rsidR="00C3557E">
        <w:rPr>
          <w:lang w:val="es-ES"/>
        </w:rPr>
        <w:t xml:space="preserve"> </w:t>
      </w:r>
      <w:r w:rsidR="00C4286B">
        <w:rPr>
          <w:lang w:val="es-ES"/>
        </w:rPr>
        <w:t>;</w:t>
      </w:r>
      <w:r w:rsidR="00C4286B" w:rsidRPr="008B756A">
        <w:rPr>
          <w:lang w:val="es-ES"/>
        </w:rPr>
        <w:t xml:space="preserve"> </w:t>
      </w:r>
      <w:r w:rsidR="00C41EFB">
        <w:rPr>
          <w:lang w:val="es-ES"/>
        </w:rPr>
        <w:t>b</w:t>
      </w:r>
      <w:r w:rsidR="00C4286B" w:rsidRPr="008B756A">
        <w:rPr>
          <w:lang w:val="es-ES"/>
        </w:rPr>
        <w:t xml:space="preserve">) poner en libertad de manera inmediata al Sr. </w:t>
      </w:r>
      <w:r w:rsidR="00C4286B" w:rsidRPr="008B756A">
        <w:rPr>
          <w:lang w:val="es-ES_tradnl" w:eastAsia="es-ES"/>
        </w:rPr>
        <w:t>Téllez Padilla</w:t>
      </w:r>
      <w:r w:rsidR="00C4286B" w:rsidRPr="008B756A">
        <w:rPr>
          <w:lang w:val="es-ES"/>
        </w:rPr>
        <w:t xml:space="preserve">, en caso de que siga recluido en régimen de </w:t>
      </w:r>
      <w:r w:rsidR="00C4286B" w:rsidRPr="001E6E7D">
        <w:rPr>
          <w:lang w:val="es-ES"/>
        </w:rPr>
        <w:t>incomunicación</w:t>
      </w:r>
      <w:r w:rsidR="00C4286B" w:rsidRPr="008B756A">
        <w:rPr>
          <w:lang w:val="es-ES"/>
        </w:rPr>
        <w:t xml:space="preserve">; </w:t>
      </w:r>
      <w:r w:rsidR="00C41EFB">
        <w:rPr>
          <w:lang w:val="es-ES"/>
        </w:rPr>
        <w:t>c</w:t>
      </w:r>
      <w:r w:rsidR="00D011B2" w:rsidRPr="008B756A">
        <w:rPr>
          <w:lang w:val="es-ES"/>
        </w:rPr>
        <w:t xml:space="preserve">) en el supuesto de que el Sr. </w:t>
      </w:r>
      <w:r w:rsidR="00D011B2" w:rsidRPr="008B756A">
        <w:rPr>
          <w:lang w:val="es-ES_tradnl" w:eastAsia="es-ES"/>
        </w:rPr>
        <w:t>Téllez Padilla</w:t>
      </w:r>
      <w:r w:rsidR="00D011B2" w:rsidRPr="008B756A">
        <w:rPr>
          <w:lang w:val="es-ES"/>
        </w:rPr>
        <w:t xml:space="preserve"> haya fallecido, </w:t>
      </w:r>
      <w:r w:rsidR="00C80657">
        <w:rPr>
          <w:lang w:val="es-ES"/>
        </w:rPr>
        <w:t>entregar</w:t>
      </w:r>
      <w:r w:rsidR="007B3B47" w:rsidRPr="008B756A">
        <w:rPr>
          <w:lang w:val="es-ES"/>
        </w:rPr>
        <w:t xml:space="preserve"> </w:t>
      </w:r>
      <w:r w:rsidR="00D011B2" w:rsidRPr="008B756A">
        <w:rPr>
          <w:lang w:val="es-ES"/>
        </w:rPr>
        <w:t>sus restos mortales a su</w:t>
      </w:r>
      <w:r w:rsidR="001E1CCD">
        <w:rPr>
          <w:lang w:val="es-ES"/>
        </w:rPr>
        <w:t>s</w:t>
      </w:r>
      <w:r w:rsidR="00D011B2" w:rsidRPr="008B756A">
        <w:rPr>
          <w:lang w:val="es-ES"/>
        </w:rPr>
        <w:t xml:space="preserve"> familia</w:t>
      </w:r>
      <w:r w:rsidR="001E1CCD">
        <w:rPr>
          <w:lang w:val="es-ES"/>
        </w:rPr>
        <w:t>res</w:t>
      </w:r>
      <w:r w:rsidR="00D011B2" w:rsidRPr="008B756A">
        <w:rPr>
          <w:lang w:val="es-ES"/>
        </w:rPr>
        <w:t xml:space="preserve">; </w:t>
      </w:r>
      <w:r w:rsidR="00C41EFB">
        <w:rPr>
          <w:lang w:val="es-ES"/>
        </w:rPr>
        <w:t>d</w:t>
      </w:r>
      <w:r w:rsidRPr="008B756A">
        <w:rPr>
          <w:lang w:val="es-ES"/>
        </w:rPr>
        <w:t xml:space="preserve">) </w:t>
      </w:r>
      <w:r w:rsidR="00014522">
        <w:rPr>
          <w:lang w:val="es-ES"/>
        </w:rPr>
        <w:t>investigar y sancionar cualquier tipo de intervenciones que hayan podido entorpecer la efectividad de los proces</w:t>
      </w:r>
      <w:r w:rsidR="00D011B2">
        <w:rPr>
          <w:lang w:val="es-ES"/>
        </w:rPr>
        <w:t xml:space="preserve">os de búsqueda y localización; </w:t>
      </w:r>
      <w:r w:rsidR="00C41EFB">
        <w:rPr>
          <w:lang w:val="es-ES"/>
        </w:rPr>
        <w:t>e</w:t>
      </w:r>
      <w:r w:rsidR="00014522">
        <w:rPr>
          <w:lang w:val="es-ES"/>
        </w:rPr>
        <w:t xml:space="preserve">) </w:t>
      </w:r>
      <w:r w:rsidRPr="008B756A">
        <w:rPr>
          <w:lang w:val="es-ES"/>
        </w:rPr>
        <w:t>proporcionar a l</w:t>
      </w:r>
      <w:r w:rsidR="00430F3A" w:rsidRPr="008B756A">
        <w:rPr>
          <w:lang w:val="es-ES"/>
        </w:rPr>
        <w:t>os</w:t>
      </w:r>
      <w:r w:rsidRPr="008B756A">
        <w:rPr>
          <w:lang w:val="es-ES"/>
        </w:rPr>
        <w:t xml:space="preserve"> autor</w:t>
      </w:r>
      <w:r w:rsidR="00430F3A" w:rsidRPr="008B756A">
        <w:rPr>
          <w:lang w:val="es-ES"/>
        </w:rPr>
        <w:t>es</w:t>
      </w:r>
      <w:r w:rsidRPr="008B756A">
        <w:rPr>
          <w:lang w:val="es-ES"/>
        </w:rPr>
        <w:t xml:space="preserve"> información detallada sobre los resultados de la investigación</w:t>
      </w:r>
      <w:r w:rsidR="00C4286B">
        <w:rPr>
          <w:lang w:val="es-ES"/>
        </w:rPr>
        <w:t xml:space="preserve">; </w:t>
      </w:r>
      <w:r w:rsidR="00C41EFB">
        <w:rPr>
          <w:lang w:val="es-ES"/>
        </w:rPr>
        <w:t>f</w:t>
      </w:r>
      <w:r w:rsidR="00A516B8" w:rsidRPr="008B756A">
        <w:rPr>
          <w:lang w:val="es-ES"/>
        </w:rPr>
        <w:t xml:space="preserve">) </w:t>
      </w:r>
      <w:r w:rsidRPr="008B756A">
        <w:rPr>
          <w:lang w:val="es-ES"/>
        </w:rPr>
        <w:t>procesar</w:t>
      </w:r>
      <w:r w:rsidR="00CF7D98">
        <w:rPr>
          <w:lang w:val="es-ES"/>
        </w:rPr>
        <w:t xml:space="preserve"> </w:t>
      </w:r>
      <w:r w:rsidRPr="008B756A">
        <w:rPr>
          <w:lang w:val="es-ES"/>
        </w:rPr>
        <w:t xml:space="preserve">y castigar a </w:t>
      </w:r>
      <w:r w:rsidR="00636540">
        <w:rPr>
          <w:lang w:val="es-ES"/>
        </w:rPr>
        <w:t>las personas halladas</w:t>
      </w:r>
      <w:r w:rsidR="00636540" w:rsidRPr="008B756A">
        <w:rPr>
          <w:lang w:val="es-ES"/>
        </w:rPr>
        <w:t xml:space="preserve"> </w:t>
      </w:r>
      <w:r w:rsidRPr="008B756A">
        <w:rPr>
          <w:lang w:val="es-ES"/>
        </w:rPr>
        <w:t xml:space="preserve">responsables de las vulneraciones cometidas y divulgar los resultados de esas actuaciones; </w:t>
      </w:r>
      <w:r w:rsidR="00C41EFB">
        <w:rPr>
          <w:lang w:val="es-ES"/>
        </w:rPr>
        <w:t>g</w:t>
      </w:r>
      <w:r w:rsidRPr="008B756A">
        <w:rPr>
          <w:lang w:val="es-ES"/>
        </w:rPr>
        <w:t>) velar por que se presten a l</w:t>
      </w:r>
      <w:r w:rsidR="00A516B8" w:rsidRPr="008B756A">
        <w:rPr>
          <w:lang w:val="es-ES"/>
        </w:rPr>
        <w:t>os</w:t>
      </w:r>
      <w:r w:rsidRPr="008B756A">
        <w:rPr>
          <w:lang w:val="es-ES"/>
        </w:rPr>
        <w:t xml:space="preserve"> autor</w:t>
      </w:r>
      <w:r w:rsidR="00A516B8" w:rsidRPr="008B756A">
        <w:rPr>
          <w:lang w:val="es-ES"/>
        </w:rPr>
        <w:t>es</w:t>
      </w:r>
      <w:r w:rsidRPr="008B756A">
        <w:rPr>
          <w:lang w:val="es-ES"/>
        </w:rPr>
        <w:t xml:space="preserve"> servicios adecuados de rehabilitación psicológica y tratamiento médico en función de sus necesidades</w:t>
      </w:r>
      <w:r w:rsidR="00A516B8" w:rsidRPr="008B756A">
        <w:rPr>
          <w:lang w:val="es-ES"/>
        </w:rPr>
        <w:t>;</w:t>
      </w:r>
      <w:r w:rsidRPr="008B756A">
        <w:rPr>
          <w:lang w:val="es-ES"/>
        </w:rPr>
        <w:t xml:space="preserve"> y </w:t>
      </w:r>
      <w:r w:rsidR="00C41EFB">
        <w:rPr>
          <w:lang w:val="es-ES"/>
        </w:rPr>
        <w:t>h</w:t>
      </w:r>
      <w:r w:rsidRPr="008B756A">
        <w:rPr>
          <w:lang w:val="es-ES"/>
        </w:rPr>
        <w:t>) conceder a l</w:t>
      </w:r>
      <w:r w:rsidR="00A516B8" w:rsidRPr="008B756A">
        <w:rPr>
          <w:lang w:val="es-ES"/>
        </w:rPr>
        <w:t>os</w:t>
      </w:r>
      <w:r w:rsidRPr="008B756A">
        <w:rPr>
          <w:lang w:val="es-ES"/>
        </w:rPr>
        <w:t xml:space="preserve"> autor</w:t>
      </w:r>
      <w:r w:rsidR="00A516B8" w:rsidRPr="008B756A">
        <w:rPr>
          <w:lang w:val="es-ES"/>
        </w:rPr>
        <w:t>es</w:t>
      </w:r>
      <w:r w:rsidR="00345A4E" w:rsidRPr="008B756A">
        <w:rPr>
          <w:lang w:val="es-ES"/>
        </w:rPr>
        <w:t>,</w:t>
      </w:r>
      <w:r w:rsidRPr="008B756A">
        <w:rPr>
          <w:lang w:val="es-ES"/>
        </w:rPr>
        <w:t xml:space="preserve"> </w:t>
      </w:r>
      <w:r w:rsidR="00345A4E" w:rsidRPr="008B756A">
        <w:rPr>
          <w:lang w:val="es-ES"/>
        </w:rPr>
        <w:t xml:space="preserve">así como al Sr. </w:t>
      </w:r>
      <w:r w:rsidR="00345A4E" w:rsidRPr="008B756A">
        <w:rPr>
          <w:lang w:val="es-ES_tradnl" w:eastAsia="es-ES"/>
        </w:rPr>
        <w:t xml:space="preserve">Téllez Padilla </w:t>
      </w:r>
      <w:r w:rsidR="00FE6A0D">
        <w:rPr>
          <w:lang w:val="es-ES_tradnl" w:eastAsia="es-ES"/>
        </w:rPr>
        <w:t>en caso de seguir</w:t>
      </w:r>
      <w:r w:rsidR="00345A4E" w:rsidRPr="008B756A">
        <w:rPr>
          <w:lang w:val="es-ES_tradnl" w:eastAsia="es-ES"/>
        </w:rPr>
        <w:t xml:space="preserve"> con vida,</w:t>
      </w:r>
      <w:r w:rsidR="00345A4E" w:rsidRPr="008B756A">
        <w:rPr>
          <w:lang w:val="es-ES"/>
        </w:rPr>
        <w:t xml:space="preserve"> </w:t>
      </w:r>
      <w:r w:rsidRPr="0037714C">
        <w:rPr>
          <w:lang w:val="es-ES"/>
        </w:rPr>
        <w:t xml:space="preserve">una reparación </w:t>
      </w:r>
      <w:r w:rsidR="00A516B8" w:rsidRPr="0037714C">
        <w:rPr>
          <w:lang w:val="es-ES"/>
        </w:rPr>
        <w:t>integral</w:t>
      </w:r>
      <w:r w:rsidR="00345A4E" w:rsidRPr="0037714C">
        <w:rPr>
          <w:lang w:val="es-ES"/>
        </w:rPr>
        <w:t>,</w:t>
      </w:r>
      <w:r w:rsidRPr="0037714C">
        <w:rPr>
          <w:lang w:val="es-ES"/>
        </w:rPr>
        <w:t xml:space="preserve"> que incluya una indemnización </w:t>
      </w:r>
      <w:r w:rsidR="00A516B8" w:rsidRPr="0037714C">
        <w:rPr>
          <w:lang w:val="es-ES"/>
        </w:rPr>
        <w:t>adecuada</w:t>
      </w:r>
      <w:r w:rsidRPr="0037714C">
        <w:rPr>
          <w:lang w:val="es-ES"/>
        </w:rPr>
        <w:t xml:space="preserve"> por las vulneraciones sufridas. El Estado parte tiene también la obligación de adoptar medidas para evitar que se cometan transgresiones semejantes en el futuro. </w:t>
      </w:r>
    </w:p>
    <w:p w14:paraId="0A4FD6A5" w14:textId="7605B142" w:rsidR="000378BF" w:rsidRPr="000378BF" w:rsidRDefault="000378BF" w:rsidP="000378BF">
      <w:pPr>
        <w:pStyle w:val="SingleTxtG"/>
        <w:rPr>
          <w:lang w:val="es-ES"/>
        </w:rPr>
      </w:pPr>
      <w:r w:rsidRPr="000378BF">
        <w:rPr>
          <w:lang w:val="es-ES"/>
        </w:rPr>
        <w:t>1</w:t>
      </w:r>
      <w:r>
        <w:rPr>
          <w:lang w:val="es-ES"/>
        </w:rPr>
        <w:t>2</w:t>
      </w:r>
      <w:r w:rsidRPr="000378BF">
        <w:rPr>
          <w:lang w:val="es-ES"/>
        </w:rPr>
        <w:t>.</w:t>
      </w:r>
      <w:r w:rsidRPr="000378BF">
        <w:rPr>
          <w:lang w:val="es-ES"/>
        </w:rPr>
        <w:tab/>
        <w:t xml:space="preserve">Teniendo presente que, por </w:t>
      </w:r>
      <w:r w:rsidR="00303560">
        <w:rPr>
          <w:lang w:val="es-ES"/>
        </w:rPr>
        <w:t>ser</w:t>
      </w:r>
      <w:r w:rsidRPr="000378BF">
        <w:rPr>
          <w:lang w:val="es-ES"/>
        </w:rPr>
        <w:t xml:space="preserve"> parte en el Protocolo Facultativo, el Estado parte reconoc</w:t>
      </w:r>
      <w:r w:rsidR="00303560">
        <w:rPr>
          <w:lang w:val="es-ES"/>
        </w:rPr>
        <w:t>e</w:t>
      </w:r>
      <w:r w:rsidRPr="000378BF">
        <w:rPr>
          <w:lang w:val="es-ES"/>
        </w:rPr>
        <w:t xml:space="preserve"> la competencia del Comité para determinar si ha habido </w:t>
      </w:r>
      <w:r w:rsidR="00303560">
        <w:rPr>
          <w:lang w:val="es-ES"/>
        </w:rPr>
        <w:t xml:space="preserve">o no </w:t>
      </w:r>
      <w:r w:rsidRPr="000378BF">
        <w:rPr>
          <w:lang w:val="es-ES"/>
        </w:rPr>
        <w:t>violación del Pacto y que, con arreglo al artículo 2</w:t>
      </w:r>
      <w:r w:rsidR="00303560">
        <w:rPr>
          <w:lang w:val="es-ES"/>
        </w:rPr>
        <w:t xml:space="preserve"> del Pacto</w:t>
      </w:r>
      <w:r w:rsidRPr="000378BF">
        <w:rPr>
          <w:lang w:val="es-ES"/>
        </w:rPr>
        <w:t xml:space="preserve">, el Estado parte se ha comprometido a garantizar a todos los individuos que se encuentren en su territorio </w:t>
      </w:r>
      <w:r w:rsidR="00303560">
        <w:rPr>
          <w:lang w:val="es-ES"/>
        </w:rPr>
        <w:t>y</w:t>
      </w:r>
      <w:r w:rsidRPr="000378BF">
        <w:rPr>
          <w:lang w:val="es-ES"/>
        </w:rPr>
        <w:t xml:space="preserve"> estén sujetos a su jurisdicción los derechos reconocidos en el Pacto y a </w:t>
      </w:r>
      <w:r w:rsidR="00303560">
        <w:rPr>
          <w:lang w:val="es-ES"/>
        </w:rPr>
        <w:t xml:space="preserve">garantizar una reparación efectiva y jurídicamente exigible </w:t>
      </w:r>
      <w:r w:rsidRPr="000378BF">
        <w:rPr>
          <w:lang w:val="es-ES"/>
        </w:rPr>
        <w:t xml:space="preserve">cuando se compruebe una violación, el Comité desea recibir del Estado parte, en un plazo de 180 días, información sobre las medidas que haya adoptado para aplicar el </w:t>
      </w:r>
      <w:r w:rsidR="002C26A4">
        <w:rPr>
          <w:lang w:val="es-ES"/>
        </w:rPr>
        <w:t xml:space="preserve">presente </w:t>
      </w:r>
      <w:r w:rsidRPr="000378BF">
        <w:rPr>
          <w:lang w:val="es-ES"/>
        </w:rPr>
        <w:t>dictamen. Se pide asimismo al Estado parte que publique el presente dictamen y que le dé amplia difusión.</w:t>
      </w:r>
    </w:p>
    <w:p w14:paraId="7451D20D" w14:textId="6AB2D96D" w:rsidR="006333EF" w:rsidRPr="00175184" w:rsidRDefault="000378BF" w:rsidP="00175184">
      <w:pPr>
        <w:pStyle w:val="SingleTxtG"/>
        <w:spacing w:before="240" w:after="0"/>
        <w:jc w:val="center"/>
        <w:rPr>
          <w:u w:val="single"/>
          <w:lang w:val="es-ES"/>
        </w:rPr>
      </w:pPr>
      <w:r w:rsidRPr="000378BF">
        <w:rPr>
          <w:u w:val="single"/>
          <w:lang w:val="es-ES"/>
        </w:rPr>
        <w:tab/>
      </w:r>
      <w:r w:rsidRPr="000378BF">
        <w:rPr>
          <w:u w:val="single"/>
          <w:lang w:val="es-ES"/>
        </w:rPr>
        <w:tab/>
      </w:r>
      <w:r w:rsidR="00175184">
        <w:rPr>
          <w:u w:val="single"/>
          <w:lang w:val="es-ES"/>
        </w:rPr>
        <w:tab/>
      </w:r>
    </w:p>
    <w:sectPr w:rsidR="006333EF" w:rsidRPr="00175184" w:rsidSect="00F603F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464A" w14:textId="77777777" w:rsidR="00F827D7" w:rsidRPr="00B903E5" w:rsidRDefault="00F827D7" w:rsidP="00B903E5">
      <w:pPr>
        <w:pStyle w:val="Footer"/>
      </w:pPr>
    </w:p>
  </w:endnote>
  <w:endnote w:type="continuationSeparator" w:id="0">
    <w:p w14:paraId="7512FBAB" w14:textId="77777777" w:rsidR="00F827D7" w:rsidRPr="00B903E5" w:rsidRDefault="00F827D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6" w14:textId="653F37A9" w:rsidR="008164CC" w:rsidRPr="006A31AE" w:rsidRDefault="008164CC"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3543F7">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7" w14:textId="579A038D" w:rsidR="008164CC" w:rsidRPr="006A31AE" w:rsidRDefault="008164CC"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3543F7">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3813" w14:textId="2FAA742D" w:rsidR="00F35BCE" w:rsidRPr="003543F7" w:rsidRDefault="00F35BCE" w:rsidP="003543F7">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F076B" w14:textId="77777777" w:rsidR="00F827D7" w:rsidRPr="00B903E5" w:rsidRDefault="00F827D7" w:rsidP="00B903E5">
      <w:pPr>
        <w:tabs>
          <w:tab w:val="right" w:pos="2155"/>
        </w:tabs>
        <w:spacing w:after="80" w:line="240" w:lineRule="auto"/>
        <w:ind w:left="680"/>
      </w:pPr>
      <w:r>
        <w:rPr>
          <w:u w:val="single"/>
        </w:rPr>
        <w:tab/>
      </w:r>
    </w:p>
  </w:footnote>
  <w:footnote w:type="continuationSeparator" w:id="0">
    <w:p w14:paraId="4D1A1E83" w14:textId="77777777" w:rsidR="00F827D7" w:rsidRPr="00B903E5" w:rsidRDefault="00F827D7" w:rsidP="00B903E5">
      <w:pPr>
        <w:tabs>
          <w:tab w:val="right" w:pos="2155"/>
        </w:tabs>
        <w:spacing w:after="80" w:line="240" w:lineRule="auto"/>
        <w:ind w:left="680"/>
      </w:pPr>
      <w:r>
        <w:rPr>
          <w:u w:val="single"/>
        </w:rPr>
        <w:tab/>
      </w:r>
    </w:p>
  </w:footnote>
  <w:footnote w:id="1">
    <w:p w14:paraId="47795ACF" w14:textId="53970925" w:rsidR="00BE3D7B" w:rsidRPr="00175184" w:rsidRDefault="00BE3D7B" w:rsidP="00BE3D7B">
      <w:pPr>
        <w:pStyle w:val="FootnoteText"/>
        <w:rPr>
          <w:sz w:val="16"/>
          <w:szCs w:val="16"/>
          <w:lang w:val="es-ES"/>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Pr>
          <w:lang w:val="es-ES"/>
        </w:rPr>
        <w:t>Adoptado por el Comité en su 126° período de sesiones (1 a 26</w:t>
      </w:r>
      <w:r w:rsidRPr="00BE3D7B">
        <w:rPr>
          <w:lang w:val="es-ES"/>
        </w:rPr>
        <w:t xml:space="preserve"> de </w:t>
      </w:r>
      <w:r>
        <w:rPr>
          <w:lang w:val="es-ES"/>
        </w:rPr>
        <w:t>julio</w:t>
      </w:r>
      <w:r w:rsidRPr="00BE3D7B">
        <w:rPr>
          <w:lang w:val="es-ES"/>
        </w:rPr>
        <w:t xml:space="preserve"> de 2019)</w:t>
      </w:r>
      <w:r w:rsidRPr="00175184">
        <w:rPr>
          <w:lang w:val="es-ES"/>
        </w:rPr>
        <w:t>.</w:t>
      </w:r>
    </w:p>
  </w:footnote>
  <w:footnote w:id="2">
    <w:p w14:paraId="5572A45B" w14:textId="78EE2C06" w:rsidR="008164CC" w:rsidRDefault="008164CC" w:rsidP="00C13626">
      <w:pPr>
        <w:pStyle w:val="FootnoteText"/>
        <w:jc w:val="both"/>
        <w:rPr>
          <w:lang w:val="es-ES_tradnl"/>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sidR="00DA2C96" w:rsidRPr="00DA2C96">
        <w:rPr>
          <w:lang w:val="es-ES_tradnl"/>
        </w:rPr>
        <w:t xml:space="preserve">Los siguientes miembros del Comité participaron en el examen de la presente comunicación: Tania María </w:t>
      </w:r>
      <w:proofErr w:type="spellStart"/>
      <w:r w:rsidR="00DA2C96" w:rsidRPr="00DA2C96">
        <w:rPr>
          <w:lang w:val="es-ES_tradnl"/>
        </w:rPr>
        <w:t>Abdo</w:t>
      </w:r>
      <w:proofErr w:type="spellEnd"/>
      <w:r w:rsidR="00DA2C96" w:rsidRPr="00DA2C96">
        <w:rPr>
          <w:lang w:val="es-ES_tradnl"/>
        </w:rPr>
        <w:t xml:space="preserve"> </w:t>
      </w:r>
      <w:proofErr w:type="spellStart"/>
      <w:r w:rsidR="00DA2C96" w:rsidRPr="00DA2C96">
        <w:rPr>
          <w:lang w:val="es-ES_tradnl"/>
        </w:rPr>
        <w:t>Rocholl</w:t>
      </w:r>
      <w:proofErr w:type="spellEnd"/>
      <w:r w:rsidR="00DA2C96" w:rsidRPr="00DA2C96">
        <w:rPr>
          <w:lang w:val="es-ES_tradnl"/>
        </w:rPr>
        <w:t xml:space="preserve">, </w:t>
      </w:r>
      <w:proofErr w:type="spellStart"/>
      <w:r w:rsidR="00DA2C96" w:rsidRPr="00DA2C96">
        <w:rPr>
          <w:lang w:val="es-ES_tradnl"/>
        </w:rPr>
        <w:t>Yadh</w:t>
      </w:r>
      <w:proofErr w:type="spellEnd"/>
      <w:r w:rsidR="00DA2C96" w:rsidRPr="00DA2C96">
        <w:rPr>
          <w:lang w:val="es-ES_tradnl"/>
        </w:rPr>
        <w:t xml:space="preserve"> Ben </w:t>
      </w:r>
      <w:proofErr w:type="spellStart"/>
      <w:r w:rsidR="00DA2C96" w:rsidRPr="00DA2C96">
        <w:rPr>
          <w:lang w:val="es-ES_tradnl"/>
        </w:rPr>
        <w:t>Achour</w:t>
      </w:r>
      <w:proofErr w:type="spellEnd"/>
      <w:r w:rsidR="00DA2C96" w:rsidRPr="00DA2C96">
        <w:rPr>
          <w:lang w:val="es-ES_tradnl"/>
        </w:rPr>
        <w:t xml:space="preserve">, </w:t>
      </w:r>
      <w:proofErr w:type="spellStart"/>
      <w:r w:rsidR="00DA2C96" w:rsidRPr="00DA2C96">
        <w:rPr>
          <w:lang w:val="es-ES_tradnl"/>
        </w:rPr>
        <w:t>Ilze</w:t>
      </w:r>
      <w:proofErr w:type="spellEnd"/>
      <w:r w:rsidR="00DA2C96" w:rsidRPr="00DA2C96">
        <w:rPr>
          <w:lang w:val="es-ES_tradnl"/>
        </w:rPr>
        <w:t xml:space="preserve"> </w:t>
      </w:r>
      <w:proofErr w:type="spellStart"/>
      <w:r w:rsidR="00DA2C96" w:rsidRPr="00DA2C96">
        <w:rPr>
          <w:lang w:val="es-ES_tradnl"/>
        </w:rPr>
        <w:t>Brands</w:t>
      </w:r>
      <w:proofErr w:type="spellEnd"/>
      <w:r w:rsidR="00DA2C96" w:rsidRPr="00DA2C96">
        <w:rPr>
          <w:lang w:val="es-ES_tradnl"/>
        </w:rPr>
        <w:t xml:space="preserve"> </w:t>
      </w:r>
      <w:proofErr w:type="spellStart"/>
      <w:r w:rsidR="00DA2C96" w:rsidRPr="00DA2C96">
        <w:rPr>
          <w:lang w:val="es-ES_tradnl"/>
        </w:rPr>
        <w:t>Kehris</w:t>
      </w:r>
      <w:proofErr w:type="spellEnd"/>
      <w:r w:rsidR="00DA2C96" w:rsidRPr="00DA2C96">
        <w:rPr>
          <w:lang w:val="es-ES_tradnl"/>
        </w:rPr>
        <w:t xml:space="preserve">, </w:t>
      </w:r>
      <w:proofErr w:type="spellStart"/>
      <w:r w:rsidR="00DA2C96" w:rsidRPr="00DA2C96">
        <w:rPr>
          <w:lang w:val="es-ES_tradnl"/>
        </w:rPr>
        <w:t>Arif</w:t>
      </w:r>
      <w:proofErr w:type="spellEnd"/>
      <w:r w:rsidR="00DA2C96" w:rsidRPr="00DA2C96">
        <w:rPr>
          <w:lang w:val="es-ES_tradnl"/>
        </w:rPr>
        <w:t xml:space="preserve"> </w:t>
      </w:r>
      <w:proofErr w:type="spellStart"/>
      <w:r w:rsidR="00DA2C96" w:rsidRPr="00DA2C96">
        <w:rPr>
          <w:lang w:val="es-ES_tradnl"/>
        </w:rPr>
        <w:t>Bulkan</w:t>
      </w:r>
      <w:proofErr w:type="spellEnd"/>
      <w:r w:rsidR="00DA2C96" w:rsidRPr="00DA2C96">
        <w:rPr>
          <w:lang w:val="es-ES_tradnl"/>
        </w:rPr>
        <w:t xml:space="preserve">, Ahmed </w:t>
      </w:r>
      <w:proofErr w:type="spellStart"/>
      <w:r w:rsidR="00DA2C96" w:rsidRPr="00DA2C96">
        <w:rPr>
          <w:lang w:val="es-ES_tradnl"/>
        </w:rPr>
        <w:t>Amin</w:t>
      </w:r>
      <w:proofErr w:type="spellEnd"/>
      <w:r w:rsidR="00DA2C96" w:rsidRPr="00DA2C96">
        <w:rPr>
          <w:lang w:val="es-ES_tradnl"/>
        </w:rPr>
        <w:t xml:space="preserve"> </w:t>
      </w:r>
      <w:proofErr w:type="spellStart"/>
      <w:r w:rsidR="00DA2C96" w:rsidRPr="00DA2C96">
        <w:rPr>
          <w:lang w:val="es-ES_tradnl"/>
        </w:rPr>
        <w:t>Fathalla</w:t>
      </w:r>
      <w:proofErr w:type="spellEnd"/>
      <w:r w:rsidR="00DA2C96" w:rsidRPr="00DA2C96">
        <w:rPr>
          <w:lang w:val="es-ES_tradnl"/>
        </w:rPr>
        <w:t xml:space="preserve">, </w:t>
      </w:r>
      <w:proofErr w:type="spellStart"/>
      <w:r w:rsidR="00DA2C96" w:rsidRPr="00DA2C96">
        <w:rPr>
          <w:lang w:val="es-ES_tradnl"/>
        </w:rPr>
        <w:t>Shuichi</w:t>
      </w:r>
      <w:proofErr w:type="spellEnd"/>
      <w:r w:rsidR="00DA2C96" w:rsidRPr="00DA2C96">
        <w:rPr>
          <w:lang w:val="es-ES_tradnl"/>
        </w:rPr>
        <w:t xml:space="preserve"> </w:t>
      </w:r>
      <w:proofErr w:type="spellStart"/>
      <w:r w:rsidR="00DA2C96" w:rsidRPr="00DA2C96">
        <w:rPr>
          <w:lang w:val="es-ES_tradnl"/>
        </w:rPr>
        <w:t>Furuya</w:t>
      </w:r>
      <w:proofErr w:type="spellEnd"/>
      <w:r w:rsidR="00DA2C96" w:rsidRPr="00DA2C96">
        <w:rPr>
          <w:lang w:val="es-ES_tradnl"/>
        </w:rPr>
        <w:t xml:space="preserve">, </w:t>
      </w:r>
      <w:proofErr w:type="spellStart"/>
      <w:r w:rsidR="00DA2C96" w:rsidRPr="00DA2C96">
        <w:rPr>
          <w:lang w:val="es-ES_tradnl"/>
        </w:rPr>
        <w:t>Christof</w:t>
      </w:r>
      <w:proofErr w:type="spellEnd"/>
      <w:r w:rsidR="00DA2C96" w:rsidRPr="00DA2C96">
        <w:rPr>
          <w:lang w:val="es-ES_tradnl"/>
        </w:rPr>
        <w:t xml:space="preserve"> </w:t>
      </w:r>
      <w:proofErr w:type="spellStart"/>
      <w:r w:rsidR="00DA2C96" w:rsidRPr="00DA2C96">
        <w:rPr>
          <w:lang w:val="es-ES_tradnl"/>
        </w:rPr>
        <w:t>Heyns</w:t>
      </w:r>
      <w:proofErr w:type="spellEnd"/>
      <w:r w:rsidR="00DA2C96" w:rsidRPr="00DA2C96">
        <w:rPr>
          <w:lang w:val="es-ES_tradnl"/>
        </w:rPr>
        <w:t xml:space="preserve">, </w:t>
      </w:r>
      <w:proofErr w:type="spellStart"/>
      <w:r w:rsidR="00DA2C96" w:rsidRPr="00DA2C96">
        <w:rPr>
          <w:lang w:val="es-ES_tradnl"/>
        </w:rPr>
        <w:t>Bamariam</w:t>
      </w:r>
      <w:proofErr w:type="spellEnd"/>
      <w:r w:rsidR="00DA2C96" w:rsidRPr="00DA2C96">
        <w:rPr>
          <w:lang w:val="es-ES_tradnl"/>
        </w:rPr>
        <w:t xml:space="preserve"> </w:t>
      </w:r>
      <w:proofErr w:type="spellStart"/>
      <w:r w:rsidR="00DA2C96" w:rsidRPr="00DA2C96">
        <w:rPr>
          <w:lang w:val="es-ES_tradnl"/>
        </w:rPr>
        <w:t>Koita</w:t>
      </w:r>
      <w:proofErr w:type="spellEnd"/>
      <w:r w:rsidR="00DA2C96" w:rsidRPr="00DA2C96">
        <w:rPr>
          <w:lang w:val="es-ES_tradnl"/>
        </w:rPr>
        <w:t xml:space="preserve">, Duncan </w:t>
      </w:r>
      <w:proofErr w:type="spellStart"/>
      <w:r w:rsidR="00DA2C96" w:rsidRPr="00DA2C96">
        <w:rPr>
          <w:lang w:val="es-ES_tradnl"/>
        </w:rPr>
        <w:t>Laki</w:t>
      </w:r>
      <w:proofErr w:type="spellEnd"/>
      <w:r w:rsidR="00DA2C96" w:rsidRPr="00DA2C96">
        <w:rPr>
          <w:lang w:val="es-ES_tradnl"/>
        </w:rPr>
        <w:t xml:space="preserve"> </w:t>
      </w:r>
      <w:proofErr w:type="spellStart"/>
      <w:r w:rsidR="00DA2C96" w:rsidRPr="00DA2C96">
        <w:rPr>
          <w:lang w:val="es-ES_tradnl"/>
        </w:rPr>
        <w:t>Muhumuza</w:t>
      </w:r>
      <w:proofErr w:type="spellEnd"/>
      <w:r w:rsidR="00DA2C96" w:rsidRPr="00DA2C96">
        <w:rPr>
          <w:lang w:val="es-ES_tradnl"/>
        </w:rPr>
        <w:t xml:space="preserve">, </w:t>
      </w:r>
      <w:proofErr w:type="spellStart"/>
      <w:r w:rsidR="00DA2C96" w:rsidRPr="00DA2C96">
        <w:rPr>
          <w:lang w:val="es-ES_tradnl"/>
        </w:rPr>
        <w:t>Photini</w:t>
      </w:r>
      <w:proofErr w:type="spellEnd"/>
      <w:r w:rsidR="00DA2C96" w:rsidRPr="00DA2C96">
        <w:rPr>
          <w:lang w:val="es-ES_tradnl"/>
        </w:rPr>
        <w:t xml:space="preserve"> </w:t>
      </w:r>
      <w:proofErr w:type="spellStart"/>
      <w:r w:rsidR="00DA2C96" w:rsidRPr="00DA2C96">
        <w:rPr>
          <w:lang w:val="es-ES_tradnl"/>
        </w:rPr>
        <w:t>Pazartzis</w:t>
      </w:r>
      <w:proofErr w:type="spellEnd"/>
      <w:r w:rsidR="00DA2C96" w:rsidRPr="00DA2C96">
        <w:rPr>
          <w:lang w:val="es-ES_tradnl"/>
        </w:rPr>
        <w:t xml:space="preserve">, Hernán Quezada, </w:t>
      </w:r>
      <w:proofErr w:type="spellStart"/>
      <w:r w:rsidR="00DA2C96" w:rsidRPr="00DA2C96">
        <w:rPr>
          <w:lang w:val="es-ES_tradnl"/>
        </w:rPr>
        <w:t>Vasilka</w:t>
      </w:r>
      <w:proofErr w:type="spellEnd"/>
      <w:r w:rsidR="00DA2C96" w:rsidRPr="00DA2C96">
        <w:rPr>
          <w:lang w:val="es-ES_tradnl"/>
        </w:rPr>
        <w:t xml:space="preserve"> </w:t>
      </w:r>
      <w:proofErr w:type="spellStart"/>
      <w:r w:rsidR="00DA2C96" w:rsidRPr="00DA2C96">
        <w:rPr>
          <w:lang w:val="es-ES_tradnl"/>
        </w:rPr>
        <w:t>Sancin</w:t>
      </w:r>
      <w:proofErr w:type="spellEnd"/>
      <w:r w:rsidR="00DA2C96" w:rsidRPr="00DA2C96">
        <w:rPr>
          <w:lang w:val="es-ES_tradnl"/>
        </w:rPr>
        <w:t xml:space="preserve">, José Manuel Santos </w:t>
      </w:r>
      <w:proofErr w:type="spellStart"/>
      <w:r w:rsidR="00DA2C96" w:rsidRPr="00DA2C96">
        <w:rPr>
          <w:lang w:val="es-ES_tradnl"/>
        </w:rPr>
        <w:t>Pais</w:t>
      </w:r>
      <w:proofErr w:type="spellEnd"/>
      <w:r w:rsidR="00DA2C96" w:rsidRPr="00DA2C96">
        <w:rPr>
          <w:lang w:val="es-ES_tradnl"/>
        </w:rPr>
        <w:t xml:space="preserve">, </w:t>
      </w:r>
      <w:proofErr w:type="spellStart"/>
      <w:r w:rsidR="00DA2C96" w:rsidRPr="00DA2C96">
        <w:rPr>
          <w:lang w:val="es-ES_tradnl"/>
        </w:rPr>
        <w:t>Yuval</w:t>
      </w:r>
      <w:proofErr w:type="spellEnd"/>
      <w:r w:rsidR="00DA2C96" w:rsidRPr="00DA2C96">
        <w:rPr>
          <w:lang w:val="es-ES_tradnl"/>
        </w:rPr>
        <w:t xml:space="preserve"> </w:t>
      </w:r>
      <w:proofErr w:type="spellStart"/>
      <w:r w:rsidR="00DA2C96" w:rsidRPr="00DA2C96">
        <w:rPr>
          <w:lang w:val="es-ES_tradnl"/>
        </w:rPr>
        <w:t>Shany</w:t>
      </w:r>
      <w:proofErr w:type="spellEnd"/>
      <w:r w:rsidR="00DA2C96" w:rsidRPr="00DA2C96">
        <w:rPr>
          <w:lang w:val="es-ES_tradnl"/>
        </w:rPr>
        <w:t xml:space="preserve">, Hélène </w:t>
      </w:r>
      <w:proofErr w:type="spellStart"/>
      <w:r w:rsidR="00DA2C96" w:rsidRPr="00DA2C96">
        <w:rPr>
          <w:lang w:val="es-ES_tradnl"/>
        </w:rPr>
        <w:t>Tigroudja</w:t>
      </w:r>
      <w:proofErr w:type="spellEnd"/>
      <w:r w:rsidR="00DA2C96" w:rsidRPr="00DA2C96">
        <w:rPr>
          <w:lang w:val="es-ES_tradnl"/>
        </w:rPr>
        <w:t xml:space="preserve">, Andreas </w:t>
      </w:r>
      <w:proofErr w:type="spellStart"/>
      <w:r w:rsidR="00DA2C96" w:rsidRPr="00DA2C96">
        <w:rPr>
          <w:lang w:val="es-ES_tradnl"/>
        </w:rPr>
        <w:t>Zimmermann</w:t>
      </w:r>
      <w:proofErr w:type="spellEnd"/>
      <w:r w:rsidR="00DA2C96" w:rsidRPr="00DA2C96">
        <w:rPr>
          <w:lang w:val="es-ES_tradnl"/>
        </w:rPr>
        <w:t xml:space="preserve"> y </w:t>
      </w:r>
      <w:proofErr w:type="spellStart"/>
      <w:r w:rsidR="00DA2C96" w:rsidRPr="00DA2C96">
        <w:rPr>
          <w:lang w:val="es-ES_tradnl"/>
        </w:rPr>
        <w:t>Gentian</w:t>
      </w:r>
      <w:proofErr w:type="spellEnd"/>
      <w:r w:rsidR="00DA2C96" w:rsidRPr="00DA2C96">
        <w:rPr>
          <w:lang w:val="es-ES_tradnl"/>
        </w:rPr>
        <w:t xml:space="preserve"> </w:t>
      </w:r>
      <w:proofErr w:type="spellStart"/>
      <w:r w:rsidR="00DA2C96" w:rsidRPr="00DA2C96">
        <w:rPr>
          <w:lang w:val="es-ES_tradnl"/>
        </w:rPr>
        <w:t>Zyberi</w:t>
      </w:r>
      <w:proofErr w:type="spellEnd"/>
      <w:r w:rsidR="00175184" w:rsidRPr="009D1011">
        <w:rPr>
          <w:lang w:val="es-ES_tradnl"/>
        </w:rPr>
        <w:t>.</w:t>
      </w:r>
    </w:p>
    <w:p w14:paraId="01052F28" w14:textId="061062AC" w:rsidR="00731BC8" w:rsidRPr="00C82052" w:rsidRDefault="00731BC8" w:rsidP="00C13626">
      <w:pPr>
        <w:pStyle w:val="FootnoteText"/>
        <w:ind w:left="0" w:firstLine="0"/>
        <w:jc w:val="both"/>
        <w:rPr>
          <w:sz w:val="16"/>
          <w:szCs w:val="16"/>
          <w:lang w:val="es-ES"/>
        </w:rPr>
      </w:pPr>
    </w:p>
  </w:footnote>
  <w:footnote w:id="3">
    <w:p w14:paraId="1722C3C7" w14:textId="77777777" w:rsidR="008164CC" w:rsidRPr="00B414CA" w:rsidRDefault="008164CC" w:rsidP="00C116B1">
      <w:pPr>
        <w:pStyle w:val="FootnoteText"/>
        <w:rPr>
          <w:lang w:val="es-ES"/>
        </w:rPr>
      </w:pPr>
      <w:r>
        <w:rPr>
          <w:lang w:val="es-ES"/>
        </w:rPr>
        <w:tab/>
      </w:r>
      <w:r>
        <w:rPr>
          <w:rStyle w:val="FootnoteReference"/>
        </w:rPr>
        <w:footnoteRef/>
      </w:r>
      <w:r>
        <w:rPr>
          <w:lang w:val="es-ES"/>
        </w:rPr>
        <w:tab/>
        <w:t>A</w:t>
      </w:r>
      <w:r w:rsidRPr="00B414CA">
        <w:rPr>
          <w:lang w:val="es-ES"/>
        </w:rPr>
        <w:t>hora Fiscalía General del estado de Veracruz</w:t>
      </w:r>
      <w:r>
        <w:rPr>
          <w:lang w:val="es-ES"/>
        </w:rPr>
        <w:t>.</w:t>
      </w:r>
    </w:p>
  </w:footnote>
  <w:footnote w:id="4">
    <w:p w14:paraId="03770040" w14:textId="69DD66F3" w:rsidR="008164CC" w:rsidRPr="00AD7267" w:rsidRDefault="008164CC" w:rsidP="00CB132B">
      <w:pPr>
        <w:pStyle w:val="FootnoteText"/>
        <w:jc w:val="both"/>
        <w:rPr>
          <w:szCs w:val="18"/>
          <w:lang w:val="es-ES"/>
        </w:rPr>
      </w:pPr>
      <w:r>
        <w:rPr>
          <w:szCs w:val="18"/>
          <w:lang w:val="es-ES"/>
        </w:rPr>
        <w:tab/>
      </w:r>
      <w:r w:rsidRPr="00AD7267">
        <w:rPr>
          <w:rStyle w:val="FootnoteReference"/>
          <w:szCs w:val="18"/>
        </w:rPr>
        <w:footnoteRef/>
      </w:r>
      <w:r>
        <w:rPr>
          <w:szCs w:val="18"/>
          <w:lang w:val="es-ES"/>
        </w:rPr>
        <w:tab/>
        <w:t>Se desprende del expediente que, posteriormente, esta persona fue detenida</w:t>
      </w:r>
      <w:r w:rsidRPr="009300B8">
        <w:rPr>
          <w:szCs w:val="18"/>
          <w:lang w:val="es-ES"/>
        </w:rPr>
        <w:t xml:space="preserve"> por secuestro y vínculos con </w:t>
      </w:r>
      <w:r>
        <w:rPr>
          <w:szCs w:val="18"/>
          <w:lang w:val="es-ES"/>
        </w:rPr>
        <w:t xml:space="preserve">el </w:t>
      </w:r>
      <w:r w:rsidRPr="009300B8">
        <w:rPr>
          <w:szCs w:val="18"/>
          <w:lang w:val="es-ES"/>
        </w:rPr>
        <w:t xml:space="preserve">grupo de delincuencia organizada </w:t>
      </w:r>
      <w:r>
        <w:rPr>
          <w:szCs w:val="18"/>
          <w:lang w:val="es-ES"/>
        </w:rPr>
        <w:t>“Los Zetas”</w:t>
      </w:r>
      <w:r w:rsidRPr="00AD7267">
        <w:rPr>
          <w:szCs w:val="18"/>
          <w:lang w:val="es-ES"/>
        </w:rPr>
        <w:t>.</w:t>
      </w:r>
    </w:p>
  </w:footnote>
  <w:footnote w:id="5">
    <w:p w14:paraId="0DDF83C1" w14:textId="23DB45D5" w:rsidR="008164CC" w:rsidRPr="00145919" w:rsidRDefault="008164CC" w:rsidP="00873F3A">
      <w:pPr>
        <w:pStyle w:val="FootnoteText"/>
        <w:jc w:val="both"/>
        <w:rPr>
          <w:szCs w:val="18"/>
          <w:lang w:val="es-ES"/>
        </w:rPr>
      </w:pPr>
      <w:r>
        <w:rPr>
          <w:szCs w:val="18"/>
          <w:lang w:val="es-ES"/>
        </w:rPr>
        <w:tab/>
      </w:r>
      <w:r w:rsidRPr="00145919">
        <w:rPr>
          <w:rStyle w:val="FootnoteReference"/>
          <w:szCs w:val="18"/>
        </w:rPr>
        <w:footnoteRef/>
      </w:r>
      <w:r>
        <w:rPr>
          <w:szCs w:val="18"/>
          <w:lang w:val="es-ES"/>
        </w:rPr>
        <w:tab/>
      </w:r>
      <w:r w:rsidRPr="00145919">
        <w:rPr>
          <w:szCs w:val="18"/>
          <w:lang w:val="es-ES"/>
        </w:rPr>
        <w:t xml:space="preserve">Expediente 0809/2010 ante el Juzgado Décimo Primero de Distrito </w:t>
      </w:r>
      <w:r>
        <w:rPr>
          <w:szCs w:val="18"/>
          <w:lang w:val="es-ES"/>
        </w:rPr>
        <w:t>de</w:t>
      </w:r>
      <w:r w:rsidRPr="00145919">
        <w:rPr>
          <w:szCs w:val="18"/>
          <w:lang w:val="es-ES"/>
        </w:rPr>
        <w:t xml:space="preserve"> Poz</w:t>
      </w:r>
      <w:r>
        <w:rPr>
          <w:szCs w:val="18"/>
          <w:lang w:val="es-ES"/>
        </w:rPr>
        <w:t>a Rica, por vulneración de los artículos 14, 16 y 21 de la Constitución.</w:t>
      </w:r>
    </w:p>
  </w:footnote>
  <w:footnote w:id="6">
    <w:p w14:paraId="3FFB3F3D" w14:textId="0FE60991" w:rsidR="00195772" w:rsidRPr="001F5884" w:rsidRDefault="00195772">
      <w:pPr>
        <w:pStyle w:val="FootnoteText"/>
        <w:rPr>
          <w:lang w:val="es-ES"/>
        </w:rPr>
      </w:pPr>
      <w:r w:rsidRPr="001F5884">
        <w:rPr>
          <w:lang w:val="es-ES"/>
        </w:rPr>
        <w:tab/>
      </w:r>
      <w:r>
        <w:rPr>
          <w:rStyle w:val="FootnoteReference"/>
        </w:rPr>
        <w:footnoteRef/>
      </w:r>
      <w:r w:rsidRPr="001F5884">
        <w:rPr>
          <w:lang w:val="es-ES"/>
        </w:rPr>
        <w:tab/>
      </w:r>
      <w:r w:rsidR="002E67D5" w:rsidRPr="002E67D5">
        <w:rPr>
          <w:lang w:val="es-ES"/>
        </w:rPr>
        <w:t xml:space="preserve">Averiguación Previa </w:t>
      </w:r>
      <w:r w:rsidRPr="001F5884">
        <w:rPr>
          <w:lang w:val="es-ES"/>
        </w:rPr>
        <w:t>174E/2010.</w:t>
      </w:r>
    </w:p>
  </w:footnote>
  <w:footnote w:id="7">
    <w:p w14:paraId="45BB6FF6" w14:textId="77777777" w:rsidR="008164CC" w:rsidRPr="00873F3A" w:rsidRDefault="008164CC" w:rsidP="00384F6F">
      <w:pPr>
        <w:pStyle w:val="FootnoteText"/>
        <w:jc w:val="both"/>
        <w:rPr>
          <w:szCs w:val="18"/>
          <w:lang w:val="es-ES"/>
        </w:rPr>
      </w:pPr>
      <w:r>
        <w:rPr>
          <w:szCs w:val="18"/>
          <w:lang w:val="es-ES"/>
        </w:rPr>
        <w:tab/>
      </w:r>
      <w:r w:rsidRPr="009B1FA9">
        <w:rPr>
          <w:rStyle w:val="FootnoteReference"/>
          <w:szCs w:val="18"/>
        </w:rPr>
        <w:footnoteRef/>
      </w:r>
      <w:r>
        <w:rPr>
          <w:szCs w:val="18"/>
          <w:lang w:val="es-ES"/>
        </w:rPr>
        <w:tab/>
      </w:r>
      <w:r w:rsidRPr="00873F3A">
        <w:rPr>
          <w:szCs w:val="18"/>
          <w:lang w:val="es-ES"/>
        </w:rPr>
        <w:t>Faltaban las fotografías de cuatro policías (</w:t>
      </w:r>
      <w:proofErr w:type="spellStart"/>
      <w:r w:rsidRPr="00873F3A">
        <w:rPr>
          <w:szCs w:val="18"/>
          <w:lang w:val="es-ES"/>
        </w:rPr>
        <w:t>Leodagario</w:t>
      </w:r>
      <w:proofErr w:type="spellEnd"/>
      <w:r w:rsidRPr="00873F3A">
        <w:rPr>
          <w:szCs w:val="18"/>
          <w:lang w:val="es-ES"/>
        </w:rPr>
        <w:t xml:space="preserve"> Amador González, Marcelo López Hernández, Gregorio Maldonado Ramí</w:t>
      </w:r>
      <w:r>
        <w:rPr>
          <w:szCs w:val="18"/>
          <w:lang w:val="es-ES"/>
        </w:rPr>
        <w:t>rez y Guillermo Gómez Castillo) que,</w:t>
      </w:r>
      <w:r w:rsidRPr="00873F3A">
        <w:rPr>
          <w:lang w:val="es-ES"/>
        </w:rPr>
        <w:t xml:space="preserve"> </w:t>
      </w:r>
      <w:r>
        <w:rPr>
          <w:szCs w:val="18"/>
          <w:lang w:val="es-ES"/>
        </w:rPr>
        <w:t>e</w:t>
      </w:r>
      <w:r w:rsidRPr="00873F3A">
        <w:rPr>
          <w:szCs w:val="18"/>
          <w:lang w:val="es-ES"/>
        </w:rPr>
        <w:t>n enero de 2015</w:t>
      </w:r>
      <w:r w:rsidRPr="00CD2B08">
        <w:rPr>
          <w:szCs w:val="18"/>
          <w:lang w:val="es-ES"/>
        </w:rPr>
        <w:t>, fueron citados</w:t>
      </w:r>
      <w:r w:rsidRPr="00873F3A">
        <w:rPr>
          <w:szCs w:val="18"/>
          <w:lang w:val="es-ES"/>
        </w:rPr>
        <w:t xml:space="preserve"> a declarar </w:t>
      </w:r>
      <w:r w:rsidRPr="00CD2B08">
        <w:rPr>
          <w:szCs w:val="18"/>
          <w:lang w:val="es-ES"/>
        </w:rPr>
        <w:t xml:space="preserve">y </w:t>
      </w:r>
      <w:r w:rsidRPr="00873F3A">
        <w:rPr>
          <w:szCs w:val="18"/>
          <w:lang w:val="es-ES"/>
        </w:rPr>
        <w:t xml:space="preserve">declararon no conocer </w:t>
      </w:r>
      <w:r>
        <w:rPr>
          <w:szCs w:val="18"/>
          <w:lang w:val="es-ES"/>
        </w:rPr>
        <w:t xml:space="preserve">al </w:t>
      </w:r>
      <w:r w:rsidRPr="00BE174E">
        <w:rPr>
          <w:szCs w:val="18"/>
          <w:lang w:val="es-ES"/>
        </w:rPr>
        <w:t>Sr. Téllez Padilla</w:t>
      </w:r>
      <w:r w:rsidRPr="00873F3A">
        <w:rPr>
          <w:szCs w:val="18"/>
          <w:lang w:val="es-ES"/>
        </w:rPr>
        <w:t>.</w:t>
      </w:r>
    </w:p>
  </w:footnote>
  <w:footnote w:id="8">
    <w:p w14:paraId="42C306FC" w14:textId="25AEC960" w:rsidR="008164CC" w:rsidRPr="008D176F" w:rsidRDefault="008164CC" w:rsidP="00384F6F">
      <w:pPr>
        <w:pStyle w:val="FootnoteText"/>
        <w:jc w:val="both"/>
        <w:rPr>
          <w:szCs w:val="18"/>
          <w:lang w:val="es-ES"/>
        </w:rPr>
      </w:pPr>
      <w:r>
        <w:rPr>
          <w:szCs w:val="18"/>
          <w:lang w:val="es-ES"/>
        </w:rPr>
        <w:tab/>
      </w:r>
      <w:r w:rsidRPr="009B1FA9">
        <w:rPr>
          <w:rStyle w:val="FootnoteReference"/>
          <w:szCs w:val="18"/>
          <w:lang w:val="es-ES"/>
        </w:rPr>
        <w:footnoteRef/>
      </w:r>
      <w:r>
        <w:rPr>
          <w:szCs w:val="18"/>
          <w:lang w:val="es-ES"/>
        </w:rPr>
        <w:tab/>
        <w:t xml:space="preserve">Los autores afirman que ello fue </w:t>
      </w:r>
      <w:r w:rsidRPr="000E6BF2">
        <w:rPr>
          <w:szCs w:val="18"/>
          <w:lang w:val="es-ES"/>
        </w:rPr>
        <w:t>probablemente por temor</w:t>
      </w:r>
      <w:r>
        <w:rPr>
          <w:szCs w:val="18"/>
          <w:lang w:val="es-ES"/>
        </w:rPr>
        <w:t>; a</w:t>
      </w:r>
      <w:r w:rsidRPr="009B1FA9">
        <w:rPr>
          <w:szCs w:val="18"/>
          <w:lang w:val="es-ES"/>
        </w:rPr>
        <w:t xml:space="preserve">l respecto, una señora del puesto de periódico cercano al lugar donde la policía le preguntó a </w:t>
      </w:r>
      <w:r w:rsidR="006C39F6">
        <w:rPr>
          <w:szCs w:val="18"/>
          <w:lang w:val="es-ES"/>
        </w:rPr>
        <w:t>l</w:t>
      </w:r>
      <w:r w:rsidR="006C39F6" w:rsidRPr="006C39F6">
        <w:rPr>
          <w:szCs w:val="18"/>
          <w:lang w:val="es-ES"/>
        </w:rPr>
        <w:t xml:space="preserve">a señora </w:t>
      </w:r>
      <w:proofErr w:type="spellStart"/>
      <w:r w:rsidR="006C39F6" w:rsidRPr="006C39F6">
        <w:rPr>
          <w:szCs w:val="18"/>
          <w:lang w:val="es-ES"/>
        </w:rPr>
        <w:t>Galindres</w:t>
      </w:r>
      <w:proofErr w:type="spellEnd"/>
      <w:r w:rsidR="006C39F6" w:rsidRPr="006C39F6">
        <w:rPr>
          <w:szCs w:val="18"/>
          <w:lang w:val="es-ES"/>
        </w:rPr>
        <w:t xml:space="preserve"> </w:t>
      </w:r>
      <w:r w:rsidRPr="009B1FA9">
        <w:rPr>
          <w:szCs w:val="18"/>
          <w:lang w:val="es-ES"/>
        </w:rPr>
        <w:t>que qué estaba buscando</w:t>
      </w:r>
      <w:r>
        <w:rPr>
          <w:szCs w:val="18"/>
          <w:lang w:val="es-ES"/>
        </w:rPr>
        <w:t>, declaró no haber visto nada, y dos personas –que se negaron a proporcionar sus datos</w:t>
      </w:r>
      <w:r w:rsidRPr="00F24120">
        <w:rPr>
          <w:szCs w:val="18"/>
          <w:lang w:val="es-ES"/>
        </w:rPr>
        <w:t>–</w:t>
      </w:r>
      <w:r>
        <w:rPr>
          <w:szCs w:val="18"/>
          <w:lang w:val="es-ES"/>
        </w:rPr>
        <w:t xml:space="preserve"> pidieron a los familiares no ser involucrados. Por otra parte, del expediente también se desprende que </w:t>
      </w:r>
      <w:r w:rsidRPr="00E93E63">
        <w:rPr>
          <w:szCs w:val="18"/>
          <w:lang w:val="es-ES"/>
        </w:rPr>
        <w:t>personas entrevistadas por l</w:t>
      </w:r>
      <w:r>
        <w:rPr>
          <w:szCs w:val="18"/>
          <w:lang w:val="es-ES"/>
        </w:rPr>
        <w:t xml:space="preserve">as autoridades mencionaron que </w:t>
      </w:r>
      <w:r w:rsidRPr="00E93E63">
        <w:rPr>
          <w:szCs w:val="18"/>
          <w:lang w:val="es-ES"/>
        </w:rPr>
        <w:t>se encontraba</w:t>
      </w:r>
      <w:r>
        <w:rPr>
          <w:szCs w:val="18"/>
          <w:lang w:val="es-ES"/>
        </w:rPr>
        <w:t>n</w:t>
      </w:r>
      <w:r w:rsidRPr="00E93E63">
        <w:rPr>
          <w:szCs w:val="18"/>
          <w:lang w:val="es-ES"/>
        </w:rPr>
        <w:t xml:space="preserve"> </w:t>
      </w:r>
      <w:r>
        <w:rPr>
          <w:szCs w:val="18"/>
          <w:lang w:val="es-ES"/>
        </w:rPr>
        <w:t>“</w:t>
      </w:r>
      <w:r w:rsidRPr="00E93E63">
        <w:rPr>
          <w:szCs w:val="18"/>
          <w:lang w:val="es-ES"/>
        </w:rPr>
        <w:t>haciendo unos trabajos de reparación en su domicilio</w:t>
      </w:r>
      <w:r>
        <w:rPr>
          <w:szCs w:val="18"/>
          <w:lang w:val="es-ES"/>
        </w:rPr>
        <w:t>” por lo que no se percataron</w:t>
      </w:r>
      <w:r w:rsidRPr="00E93E63">
        <w:rPr>
          <w:szCs w:val="18"/>
          <w:lang w:val="es-ES"/>
        </w:rPr>
        <w:t xml:space="preserve"> de ninguna situación donde intervinieran algunos p</w:t>
      </w:r>
      <w:r>
        <w:rPr>
          <w:szCs w:val="18"/>
          <w:lang w:val="es-ES"/>
        </w:rPr>
        <w:t>atrulleros</w:t>
      </w:r>
      <w:r w:rsidRPr="00E93E63">
        <w:rPr>
          <w:szCs w:val="18"/>
          <w:lang w:val="es-ES"/>
        </w:rPr>
        <w:t>, o que no podía</w:t>
      </w:r>
      <w:r>
        <w:rPr>
          <w:szCs w:val="18"/>
          <w:lang w:val="es-ES"/>
        </w:rPr>
        <w:t>n</w:t>
      </w:r>
      <w:r w:rsidRPr="00E93E63">
        <w:rPr>
          <w:szCs w:val="18"/>
          <w:lang w:val="es-ES"/>
        </w:rPr>
        <w:t xml:space="preserve"> aportar ningún dato “ya que a la hora </w:t>
      </w:r>
      <w:r>
        <w:rPr>
          <w:szCs w:val="18"/>
          <w:lang w:val="es-ES"/>
        </w:rPr>
        <w:t>mencionada</w:t>
      </w:r>
      <w:r w:rsidRPr="00E93E63">
        <w:rPr>
          <w:szCs w:val="18"/>
          <w:lang w:val="es-ES"/>
        </w:rPr>
        <w:t xml:space="preserve"> ésta sucursal se encuentra cerrada”, o que </w:t>
      </w:r>
      <w:r>
        <w:rPr>
          <w:szCs w:val="18"/>
          <w:lang w:val="es-ES"/>
        </w:rPr>
        <w:t>no se percataron</w:t>
      </w:r>
      <w:r w:rsidRPr="00E93E63">
        <w:rPr>
          <w:szCs w:val="18"/>
          <w:lang w:val="es-ES"/>
        </w:rPr>
        <w:t xml:space="preserve"> de la presenci</w:t>
      </w:r>
      <w:r>
        <w:rPr>
          <w:szCs w:val="18"/>
          <w:lang w:val="es-ES"/>
        </w:rPr>
        <w:t xml:space="preserve">a de la Policía Intermunicipal </w:t>
      </w:r>
      <w:r w:rsidRPr="00E93E63">
        <w:rPr>
          <w:szCs w:val="18"/>
          <w:lang w:val="es-ES"/>
        </w:rPr>
        <w:t>dentro del negocio está</w:t>
      </w:r>
      <w:r>
        <w:rPr>
          <w:szCs w:val="18"/>
          <w:lang w:val="es-ES"/>
        </w:rPr>
        <w:t>n</w:t>
      </w:r>
      <w:r w:rsidRPr="00E93E63">
        <w:rPr>
          <w:szCs w:val="18"/>
          <w:lang w:val="es-ES"/>
        </w:rPr>
        <w:t xml:space="preserve"> a espaldas y no tiene</w:t>
      </w:r>
      <w:r>
        <w:rPr>
          <w:szCs w:val="18"/>
          <w:lang w:val="es-ES"/>
        </w:rPr>
        <w:t>n visibilidad</w:t>
      </w:r>
      <w:r w:rsidRPr="00E93E63">
        <w:rPr>
          <w:szCs w:val="18"/>
          <w:lang w:val="es-ES"/>
        </w:rPr>
        <w:t>, o que no</w:t>
      </w:r>
      <w:r>
        <w:rPr>
          <w:szCs w:val="18"/>
          <w:lang w:val="es-ES"/>
        </w:rPr>
        <w:t xml:space="preserve"> se pudieron</w:t>
      </w:r>
      <w:r w:rsidRPr="00E93E63">
        <w:rPr>
          <w:szCs w:val="18"/>
          <w:lang w:val="es-ES"/>
        </w:rPr>
        <w:t xml:space="preserve"> </w:t>
      </w:r>
      <w:r>
        <w:rPr>
          <w:szCs w:val="18"/>
          <w:lang w:val="es-ES"/>
        </w:rPr>
        <w:t>“</w:t>
      </w:r>
      <w:r w:rsidRPr="00E93E63">
        <w:rPr>
          <w:szCs w:val="18"/>
          <w:lang w:val="es-ES"/>
        </w:rPr>
        <w:t>percatar de nada ya que el lugar es un área climatizada y la puerta permanece cerrada, además de que está hecha de vidrio polarizado”</w:t>
      </w:r>
      <w:r>
        <w:rPr>
          <w:szCs w:val="18"/>
          <w:lang w:val="es-ES"/>
        </w:rPr>
        <w:t>.</w:t>
      </w:r>
    </w:p>
  </w:footnote>
  <w:footnote w:id="9">
    <w:p w14:paraId="5862415F" w14:textId="33A7293F" w:rsidR="00B736D2" w:rsidRPr="00443BFC" w:rsidRDefault="00B736D2">
      <w:pPr>
        <w:pStyle w:val="FootnoteText"/>
        <w:rPr>
          <w:lang w:val="es-ES"/>
        </w:rPr>
      </w:pPr>
      <w:r w:rsidRPr="00443BFC">
        <w:rPr>
          <w:lang w:val="es-ES"/>
        </w:rPr>
        <w:tab/>
      </w:r>
      <w:r>
        <w:rPr>
          <w:rStyle w:val="FootnoteReference"/>
        </w:rPr>
        <w:footnoteRef/>
      </w:r>
      <w:r w:rsidRPr="00443BFC">
        <w:rPr>
          <w:lang w:val="es-ES"/>
        </w:rPr>
        <w:tab/>
      </w:r>
      <w:r w:rsidR="00822E6D" w:rsidRPr="00822E6D">
        <w:rPr>
          <w:lang w:val="es-ES"/>
        </w:rPr>
        <w:t xml:space="preserve">Averiguación Previa </w:t>
      </w:r>
      <w:r w:rsidRPr="00443BFC">
        <w:rPr>
          <w:lang w:val="es-ES"/>
        </w:rPr>
        <w:t>PGR/SIEDO/UEIS/561/2010.</w:t>
      </w:r>
    </w:p>
  </w:footnote>
  <w:footnote w:id="10">
    <w:p w14:paraId="4A8FE1DB" w14:textId="56626D10" w:rsidR="008164CC" w:rsidRPr="005D3C54" w:rsidRDefault="008164CC" w:rsidP="00873F3A">
      <w:pPr>
        <w:pStyle w:val="FootnoteText"/>
        <w:jc w:val="both"/>
        <w:rPr>
          <w:szCs w:val="18"/>
          <w:lang w:val="es-ES"/>
        </w:rPr>
      </w:pPr>
      <w:r>
        <w:rPr>
          <w:szCs w:val="18"/>
          <w:lang w:val="es-ES"/>
        </w:rPr>
        <w:tab/>
      </w:r>
      <w:r w:rsidRPr="00641E4C">
        <w:rPr>
          <w:rStyle w:val="FootnoteReference"/>
          <w:szCs w:val="18"/>
        </w:rPr>
        <w:footnoteRef/>
      </w:r>
      <w:r>
        <w:rPr>
          <w:szCs w:val="18"/>
          <w:lang w:val="es-ES"/>
        </w:rPr>
        <w:tab/>
      </w:r>
      <w:r w:rsidRPr="003F5031">
        <w:rPr>
          <w:szCs w:val="18"/>
          <w:lang w:val="es-ES"/>
        </w:rPr>
        <w:t xml:space="preserve">La madre </w:t>
      </w:r>
      <w:r w:rsidRPr="004E0234">
        <w:rPr>
          <w:szCs w:val="18"/>
          <w:lang w:val="es-ES"/>
        </w:rPr>
        <w:t xml:space="preserve">del Sr. Téllez Padilla </w:t>
      </w:r>
      <w:r w:rsidRPr="003F5031">
        <w:rPr>
          <w:szCs w:val="18"/>
          <w:lang w:val="es-ES"/>
        </w:rPr>
        <w:t>presentó declaraciones</w:t>
      </w:r>
      <w:r>
        <w:rPr>
          <w:szCs w:val="18"/>
          <w:lang w:val="es-ES"/>
        </w:rPr>
        <w:t xml:space="preserve"> los</w:t>
      </w:r>
      <w:r w:rsidRPr="003F5031">
        <w:rPr>
          <w:szCs w:val="18"/>
          <w:lang w:val="es-ES"/>
        </w:rPr>
        <w:t xml:space="preserve"> </w:t>
      </w:r>
      <w:r w:rsidRPr="00641E4C">
        <w:rPr>
          <w:szCs w:val="18"/>
          <w:lang w:val="es-ES"/>
        </w:rPr>
        <w:t xml:space="preserve">días 3 de diciembre de 2010, 28 de diciembre de 2010, 17 de </w:t>
      </w:r>
      <w:r w:rsidRPr="005D3C54">
        <w:rPr>
          <w:szCs w:val="18"/>
          <w:lang w:val="es-ES"/>
        </w:rPr>
        <w:t>noviembre de 2011, 17 de enero de 2012, 27 de junio de 2012, 9 de noviembre de 2012, 10 de diciembre de 2012, 5 de febrero de 2013, 2 de abril de 2013, 22 de mayo de 2013 y 1 de julio de 2013, ofreciendo por ejemplo fotografías a color de su hijo, o muestra de sangre para que se elabore el perfil genético.</w:t>
      </w:r>
    </w:p>
  </w:footnote>
  <w:footnote w:id="11">
    <w:p w14:paraId="3A85D536" w14:textId="7CD494E7" w:rsidR="008164CC" w:rsidRPr="00F46523" w:rsidRDefault="008164CC" w:rsidP="00F46523">
      <w:pPr>
        <w:pStyle w:val="FootnoteText"/>
        <w:jc w:val="both"/>
        <w:rPr>
          <w:lang w:val="es-ES"/>
        </w:rPr>
      </w:pPr>
      <w:r>
        <w:rPr>
          <w:lang w:val="es-ES"/>
        </w:rPr>
        <w:tab/>
      </w:r>
      <w:r>
        <w:rPr>
          <w:rStyle w:val="FootnoteReference"/>
        </w:rPr>
        <w:footnoteRef/>
      </w:r>
      <w:r>
        <w:rPr>
          <w:lang w:val="es-ES"/>
        </w:rPr>
        <w:tab/>
        <w:t>La persona</w:t>
      </w:r>
      <w:r w:rsidRPr="00F46523">
        <w:rPr>
          <w:lang w:val="es-ES"/>
        </w:rPr>
        <w:t xml:space="preserve"> que había negado a los familiares acceder a un cuarto de las instalaciones</w:t>
      </w:r>
      <w:r>
        <w:rPr>
          <w:lang w:val="es-ES"/>
        </w:rPr>
        <w:t xml:space="preserve"> policiales cerrado con candado.</w:t>
      </w:r>
    </w:p>
  </w:footnote>
  <w:footnote w:id="12">
    <w:p w14:paraId="7B4C94BA" w14:textId="44E6797D" w:rsidR="0099134F" w:rsidRPr="00443BFC" w:rsidRDefault="0099134F">
      <w:pPr>
        <w:pStyle w:val="FootnoteText"/>
        <w:rPr>
          <w:lang w:val="es-ES"/>
        </w:rPr>
      </w:pPr>
      <w:r w:rsidRPr="00443BFC">
        <w:rPr>
          <w:lang w:val="es-ES"/>
        </w:rPr>
        <w:tab/>
      </w:r>
      <w:r>
        <w:rPr>
          <w:rStyle w:val="FootnoteReference"/>
        </w:rPr>
        <w:footnoteRef/>
      </w:r>
      <w:r w:rsidRPr="00CD4786">
        <w:rPr>
          <w:lang w:val="es-ES"/>
        </w:rPr>
        <w:tab/>
      </w:r>
      <w:r w:rsidR="00822E6D">
        <w:rPr>
          <w:lang w:val="es-ES"/>
        </w:rPr>
        <w:t xml:space="preserve">Acta circunstanciada </w:t>
      </w:r>
      <w:r w:rsidRPr="00443BFC">
        <w:rPr>
          <w:lang w:val="es-ES"/>
        </w:rPr>
        <w:t>AC/PGR/SDHPDSC/UEBPD/M12/109/2014.</w:t>
      </w:r>
    </w:p>
  </w:footnote>
  <w:footnote w:id="13">
    <w:p w14:paraId="24B5E4B5" w14:textId="0ED5E087" w:rsidR="008164CC" w:rsidRPr="00FD289D" w:rsidRDefault="008164CC" w:rsidP="00F307FA">
      <w:pPr>
        <w:pStyle w:val="FootnoteText"/>
        <w:jc w:val="both"/>
        <w:rPr>
          <w:szCs w:val="18"/>
          <w:lang w:val="es-ES"/>
        </w:rPr>
      </w:pPr>
      <w:r>
        <w:rPr>
          <w:szCs w:val="18"/>
          <w:lang w:val="es-ES"/>
        </w:rPr>
        <w:tab/>
      </w:r>
      <w:r w:rsidRPr="001476D7">
        <w:rPr>
          <w:rStyle w:val="FootnoteReference"/>
          <w:szCs w:val="18"/>
        </w:rPr>
        <w:footnoteRef/>
      </w:r>
      <w:r>
        <w:rPr>
          <w:szCs w:val="18"/>
          <w:lang w:val="es-ES"/>
        </w:rPr>
        <w:tab/>
      </w:r>
      <w:r w:rsidRPr="00873F3A">
        <w:rPr>
          <w:szCs w:val="18"/>
          <w:lang w:val="es-ES"/>
        </w:rPr>
        <w:t xml:space="preserve">Los autores citan el </w:t>
      </w:r>
      <w:r>
        <w:rPr>
          <w:szCs w:val="18"/>
          <w:lang w:val="es-ES"/>
        </w:rPr>
        <w:t xml:space="preserve">informe de 7 de octubre de 2015 del </w:t>
      </w:r>
      <w:r w:rsidRPr="00873F3A">
        <w:rPr>
          <w:szCs w:val="18"/>
          <w:lang w:val="es-ES"/>
        </w:rPr>
        <w:t>Alto Comisionado de la ONU para los Derechos Humanos</w:t>
      </w:r>
      <w:r w:rsidRPr="00DF04DE">
        <w:rPr>
          <w:szCs w:val="18"/>
          <w:lang w:val="es-ES"/>
        </w:rPr>
        <w:t>, luego de</w:t>
      </w:r>
      <w:r w:rsidRPr="00873F3A">
        <w:rPr>
          <w:szCs w:val="18"/>
          <w:lang w:val="es-ES"/>
        </w:rPr>
        <w:t xml:space="preserve"> su visita a México en 2015: </w:t>
      </w:r>
      <w:r w:rsidRPr="001476D7">
        <w:rPr>
          <w:szCs w:val="18"/>
          <w:lang w:val="es-ES"/>
        </w:rPr>
        <w:t>“</w:t>
      </w:r>
      <w:r>
        <w:rPr>
          <w:szCs w:val="18"/>
          <w:lang w:val="es-ES"/>
        </w:rPr>
        <w:t>para un paí</w:t>
      </w:r>
      <w:r w:rsidRPr="001476D7">
        <w:rPr>
          <w:szCs w:val="18"/>
          <w:lang w:val="es-ES"/>
        </w:rPr>
        <w:t>s</w:t>
      </w:r>
      <w:r>
        <w:rPr>
          <w:szCs w:val="18"/>
          <w:lang w:val="es-ES"/>
        </w:rPr>
        <w:t xml:space="preserve"> que no se encuentra en medio de un conflicto, las cifras calculadas son, simplemente, impactantes”; </w:t>
      </w:r>
      <w:r w:rsidRPr="00FD289D">
        <w:rPr>
          <w:szCs w:val="18"/>
          <w:lang w:val="es-ES"/>
        </w:rPr>
        <w:t xml:space="preserve">“98% de los </w:t>
      </w:r>
      <w:r w:rsidRPr="00012469">
        <w:rPr>
          <w:szCs w:val="18"/>
          <w:lang w:val="es-ES"/>
        </w:rPr>
        <w:t>crímenes cometidos en M</w:t>
      </w:r>
      <w:r>
        <w:rPr>
          <w:szCs w:val="18"/>
          <w:lang w:val="es-ES"/>
        </w:rPr>
        <w:t xml:space="preserve">éxico quedan sin resolver”; </w:t>
      </w:r>
      <w:r w:rsidRPr="00012469">
        <w:rPr>
          <w:szCs w:val="18"/>
          <w:lang w:val="es-ES"/>
        </w:rPr>
        <w:t>“la mayoría de ellos no son nunca propiamente investigados”</w:t>
      </w:r>
      <w:r>
        <w:rPr>
          <w:szCs w:val="18"/>
          <w:lang w:val="es-ES"/>
        </w:rPr>
        <w:t xml:space="preserve">. También mencionan las preocupaciones expresadas por el Comité de la ONU contra la Desaparición Forzada, por el </w:t>
      </w:r>
      <w:r w:rsidRPr="00FD289D">
        <w:rPr>
          <w:szCs w:val="18"/>
          <w:lang w:val="es-ES"/>
        </w:rPr>
        <w:t>Relator Especial de la ONU sobre tortura, o</w:t>
      </w:r>
      <w:r>
        <w:rPr>
          <w:szCs w:val="18"/>
          <w:lang w:val="es-ES"/>
        </w:rPr>
        <w:t xml:space="preserve"> por</w:t>
      </w:r>
      <w:r w:rsidRPr="00FD289D">
        <w:rPr>
          <w:szCs w:val="18"/>
          <w:lang w:val="es-ES"/>
        </w:rPr>
        <w:t xml:space="preserve"> la Comisión Interamericana de Derechos Humanos después de su visita en octubre de 2015</w:t>
      </w:r>
      <w:r>
        <w:rPr>
          <w:szCs w:val="18"/>
          <w:lang w:val="es-ES"/>
        </w:rPr>
        <w:t xml:space="preserve"> (según la cual es “</w:t>
      </w:r>
      <w:r w:rsidRPr="00FD289D">
        <w:rPr>
          <w:szCs w:val="18"/>
          <w:lang w:val="es-ES"/>
        </w:rPr>
        <w:t>alarmante la magnitud de la desaparición forzada en el país</w:t>
      </w:r>
      <w:r>
        <w:rPr>
          <w:szCs w:val="18"/>
          <w:lang w:val="es-ES"/>
        </w:rPr>
        <w:t>”).</w:t>
      </w:r>
    </w:p>
  </w:footnote>
  <w:footnote w:id="14">
    <w:p w14:paraId="097CCAF9" w14:textId="3DA6202D" w:rsidR="000B1C23" w:rsidRPr="00AA055F" w:rsidRDefault="003E60E6" w:rsidP="00AA055F">
      <w:pPr>
        <w:pStyle w:val="FootnoteText"/>
        <w:jc w:val="both"/>
        <w:rPr>
          <w:lang w:val="es-ES"/>
        </w:rPr>
      </w:pPr>
      <w:r w:rsidRPr="00AA055F">
        <w:rPr>
          <w:lang w:val="es-ES"/>
        </w:rPr>
        <w:tab/>
      </w:r>
      <w:r w:rsidR="000B1C23" w:rsidRPr="00AA055F">
        <w:rPr>
          <w:rStyle w:val="FootnoteReference"/>
          <w:lang w:val="es-ES"/>
        </w:rPr>
        <w:footnoteRef/>
      </w:r>
      <w:r w:rsidRPr="00AA055F">
        <w:rPr>
          <w:lang w:val="es-ES"/>
        </w:rPr>
        <w:tab/>
        <w:t xml:space="preserve">Los autores citan por ejemplo el caso </w:t>
      </w:r>
      <w:r w:rsidRPr="00747224">
        <w:rPr>
          <w:i/>
          <w:lang w:val="es-ES"/>
        </w:rPr>
        <w:t xml:space="preserve">Pestaño </w:t>
      </w:r>
      <w:r w:rsidR="00515449">
        <w:rPr>
          <w:i/>
          <w:lang w:val="es-ES"/>
        </w:rPr>
        <w:t>c</w:t>
      </w:r>
      <w:r w:rsidRPr="00747224">
        <w:rPr>
          <w:i/>
          <w:lang w:val="es-ES"/>
        </w:rPr>
        <w:t>. Filipinas</w:t>
      </w:r>
      <w:r w:rsidRPr="00AA055F">
        <w:rPr>
          <w:lang w:val="es-ES"/>
        </w:rPr>
        <w:t xml:space="preserve"> (CCPR/C/98/D/1619/2007) de 11 de mayo de 2010.</w:t>
      </w:r>
    </w:p>
  </w:footnote>
  <w:footnote w:id="15">
    <w:p w14:paraId="3CF356F1" w14:textId="5F5CE074" w:rsidR="008164CC" w:rsidRPr="00012469" w:rsidRDefault="008164CC" w:rsidP="001E1CCF">
      <w:pPr>
        <w:pStyle w:val="FootnoteText"/>
        <w:jc w:val="both"/>
        <w:rPr>
          <w:szCs w:val="18"/>
          <w:lang w:val="es-ES"/>
        </w:rPr>
      </w:pPr>
      <w:r>
        <w:rPr>
          <w:szCs w:val="18"/>
          <w:lang w:val="es-ES"/>
        </w:rPr>
        <w:tab/>
      </w:r>
      <w:r w:rsidRPr="00012469">
        <w:rPr>
          <w:rStyle w:val="FootnoteReference"/>
          <w:szCs w:val="18"/>
        </w:rPr>
        <w:footnoteRef/>
      </w:r>
      <w:r>
        <w:rPr>
          <w:szCs w:val="18"/>
          <w:lang w:val="es-ES"/>
        </w:rPr>
        <w:tab/>
      </w:r>
      <w:r w:rsidRPr="00D10043">
        <w:rPr>
          <w:szCs w:val="18"/>
          <w:lang w:val="es-ES"/>
        </w:rPr>
        <w:t xml:space="preserve">Los autores </w:t>
      </w:r>
      <w:r>
        <w:rPr>
          <w:szCs w:val="18"/>
          <w:lang w:val="es-ES"/>
        </w:rPr>
        <w:t>retoman</w:t>
      </w:r>
      <w:r w:rsidRPr="00012469">
        <w:rPr>
          <w:szCs w:val="18"/>
          <w:lang w:val="es-ES"/>
        </w:rPr>
        <w:t xml:space="preserve"> </w:t>
      </w:r>
      <w:r>
        <w:rPr>
          <w:szCs w:val="18"/>
          <w:lang w:val="es-ES"/>
        </w:rPr>
        <w:t>la jurisprudencia de la Corte europea de derechos humanos</w:t>
      </w:r>
      <w:r w:rsidRPr="00D10043">
        <w:rPr>
          <w:szCs w:val="18"/>
          <w:lang w:val="es-ES"/>
        </w:rPr>
        <w:t xml:space="preserve"> </w:t>
      </w:r>
      <w:r>
        <w:rPr>
          <w:szCs w:val="18"/>
          <w:lang w:val="es-ES"/>
        </w:rPr>
        <w:t>(</w:t>
      </w:r>
      <w:r w:rsidRPr="00DE7B8B">
        <w:rPr>
          <w:i/>
          <w:szCs w:val="18"/>
          <w:lang w:val="es-ES"/>
        </w:rPr>
        <w:t>Ruíz Mateos c</w:t>
      </w:r>
      <w:r w:rsidR="00515449">
        <w:rPr>
          <w:i/>
          <w:szCs w:val="18"/>
          <w:lang w:val="es-ES"/>
        </w:rPr>
        <w:t>.</w:t>
      </w:r>
      <w:r w:rsidRPr="00DE7B8B">
        <w:rPr>
          <w:i/>
          <w:szCs w:val="18"/>
          <w:lang w:val="es-ES"/>
        </w:rPr>
        <w:t xml:space="preserve"> España</w:t>
      </w:r>
      <w:r>
        <w:rPr>
          <w:szCs w:val="18"/>
          <w:lang w:val="es-ES"/>
        </w:rPr>
        <w:t xml:space="preserve">, </w:t>
      </w:r>
      <w:r w:rsidRPr="00DE7B8B">
        <w:rPr>
          <w:szCs w:val="18"/>
          <w:lang w:val="es-ES"/>
        </w:rPr>
        <w:t xml:space="preserve">Sentencia de </w:t>
      </w:r>
      <w:r>
        <w:rPr>
          <w:szCs w:val="18"/>
          <w:lang w:val="es-ES"/>
        </w:rPr>
        <w:t>23 de junio de 1993,</w:t>
      </w:r>
      <w:r w:rsidRPr="00DE7B8B">
        <w:rPr>
          <w:lang w:val="es-ES"/>
        </w:rPr>
        <w:t xml:space="preserve"> </w:t>
      </w:r>
      <w:r>
        <w:rPr>
          <w:szCs w:val="18"/>
          <w:lang w:val="es-ES"/>
        </w:rPr>
        <w:t>párr. 38 y siguientes) y de la Corte interamericana de derechos humanos (</w:t>
      </w:r>
      <w:proofErr w:type="spellStart"/>
      <w:r w:rsidRPr="00F64FF7">
        <w:rPr>
          <w:i/>
          <w:szCs w:val="18"/>
          <w:lang w:val="es-ES"/>
        </w:rPr>
        <w:t>Genie</w:t>
      </w:r>
      <w:proofErr w:type="spellEnd"/>
      <w:r w:rsidRPr="00F64FF7">
        <w:rPr>
          <w:i/>
          <w:szCs w:val="18"/>
          <w:lang w:val="es-ES"/>
        </w:rPr>
        <w:t xml:space="preserve"> Lacayo </w:t>
      </w:r>
      <w:r w:rsidR="00515449">
        <w:rPr>
          <w:i/>
          <w:szCs w:val="18"/>
          <w:lang w:val="es-ES"/>
        </w:rPr>
        <w:t>c</w:t>
      </w:r>
      <w:r w:rsidRPr="00F64FF7">
        <w:rPr>
          <w:i/>
          <w:szCs w:val="18"/>
          <w:lang w:val="es-ES"/>
        </w:rPr>
        <w:t>. Nicaragua</w:t>
      </w:r>
      <w:r w:rsidRPr="00F64FF7">
        <w:rPr>
          <w:szCs w:val="18"/>
          <w:lang w:val="es-ES"/>
        </w:rPr>
        <w:t>. Fondo, Reparaciones y Costas. Sentencia de 29 d</w:t>
      </w:r>
      <w:r>
        <w:rPr>
          <w:szCs w:val="18"/>
          <w:lang w:val="es-ES"/>
        </w:rPr>
        <w:t>e enero de 1997. Serie C No. 30, párr. 77 y siguientes;</w:t>
      </w:r>
      <w:r w:rsidRPr="00012469">
        <w:rPr>
          <w:szCs w:val="18"/>
          <w:lang w:val="es-ES"/>
        </w:rPr>
        <w:t xml:space="preserve"> </w:t>
      </w:r>
      <w:r w:rsidRPr="00F64FF7">
        <w:rPr>
          <w:i/>
          <w:szCs w:val="18"/>
          <w:lang w:val="es-ES"/>
        </w:rPr>
        <w:t xml:space="preserve">Argüelles y otros </w:t>
      </w:r>
      <w:r w:rsidR="00515449">
        <w:rPr>
          <w:i/>
          <w:szCs w:val="18"/>
          <w:lang w:val="es-ES"/>
        </w:rPr>
        <w:t>c</w:t>
      </w:r>
      <w:r w:rsidRPr="00F64FF7">
        <w:rPr>
          <w:i/>
          <w:szCs w:val="18"/>
          <w:lang w:val="es-ES"/>
        </w:rPr>
        <w:t>. Argentina</w:t>
      </w:r>
      <w:r w:rsidRPr="00F64FF7">
        <w:rPr>
          <w:szCs w:val="18"/>
          <w:lang w:val="es-ES"/>
        </w:rPr>
        <w:t>. Excepciones Preliminares, Fondo, Reparaciones y Costas. Sentencia de 20 de noviembre de 2014. Serie C No. 288</w:t>
      </w:r>
      <w:r>
        <w:rPr>
          <w:szCs w:val="18"/>
          <w:lang w:val="es-ES"/>
        </w:rPr>
        <w:t>, párr. 189)</w:t>
      </w:r>
      <w:r w:rsidRPr="00012469">
        <w:rPr>
          <w:szCs w:val="18"/>
          <w:lang w:val="es-ES"/>
        </w:rPr>
        <w:t>.</w:t>
      </w:r>
    </w:p>
  </w:footnote>
  <w:footnote w:id="16">
    <w:p w14:paraId="37172497" w14:textId="091BB5AF" w:rsidR="008164CC" w:rsidRPr="00410393" w:rsidRDefault="008164CC" w:rsidP="001E1CCF">
      <w:pPr>
        <w:pStyle w:val="FootnoteText"/>
        <w:jc w:val="both"/>
        <w:rPr>
          <w:szCs w:val="18"/>
          <w:lang w:val="es-ES"/>
        </w:rPr>
      </w:pPr>
      <w:r>
        <w:rPr>
          <w:szCs w:val="18"/>
          <w:lang w:val="es-ES"/>
        </w:rPr>
        <w:tab/>
      </w:r>
      <w:r w:rsidRPr="00B229DC">
        <w:rPr>
          <w:rStyle w:val="FootnoteReference"/>
          <w:szCs w:val="18"/>
        </w:rPr>
        <w:footnoteRef/>
      </w:r>
      <w:r>
        <w:rPr>
          <w:szCs w:val="18"/>
          <w:lang w:val="es-ES"/>
        </w:rPr>
        <w:tab/>
      </w:r>
      <w:r w:rsidRPr="00B229DC">
        <w:rPr>
          <w:szCs w:val="18"/>
          <w:lang w:val="es-ES"/>
        </w:rPr>
        <w:t xml:space="preserve">El autor cita la jurisprudencia de la Corte interamericana en el caso </w:t>
      </w:r>
      <w:proofErr w:type="spellStart"/>
      <w:r w:rsidRPr="00346AD9">
        <w:rPr>
          <w:i/>
          <w:szCs w:val="18"/>
          <w:lang w:val="es-ES"/>
        </w:rPr>
        <w:t>Gudiel</w:t>
      </w:r>
      <w:proofErr w:type="spellEnd"/>
      <w:r w:rsidRPr="00346AD9">
        <w:rPr>
          <w:i/>
          <w:szCs w:val="18"/>
          <w:lang w:val="es-ES"/>
        </w:rPr>
        <w:t xml:space="preserve"> Álvarez y otros ("Diario Militar") </w:t>
      </w:r>
      <w:r w:rsidR="00515449">
        <w:rPr>
          <w:i/>
          <w:szCs w:val="18"/>
          <w:lang w:val="es-ES"/>
        </w:rPr>
        <w:t>c</w:t>
      </w:r>
      <w:r w:rsidRPr="00346AD9">
        <w:rPr>
          <w:i/>
          <w:szCs w:val="18"/>
          <w:lang w:val="es-ES"/>
        </w:rPr>
        <w:t>. Guatemala</w:t>
      </w:r>
      <w:r w:rsidRPr="00346AD9">
        <w:rPr>
          <w:szCs w:val="18"/>
          <w:lang w:val="es-ES"/>
        </w:rPr>
        <w:t>. Fondo, Reparaciones y Costas. Sentencia de 20 noviembre de 2012. Serie C No. 253</w:t>
      </w:r>
      <w:r>
        <w:rPr>
          <w:szCs w:val="18"/>
          <w:lang w:val="es-ES"/>
        </w:rPr>
        <w:t>, párr.</w:t>
      </w:r>
      <w:r w:rsidRPr="00346AD9">
        <w:rPr>
          <w:szCs w:val="18"/>
          <w:lang w:val="es-ES"/>
        </w:rPr>
        <w:t xml:space="preserve"> </w:t>
      </w:r>
      <w:r>
        <w:rPr>
          <w:szCs w:val="18"/>
          <w:lang w:val="es-ES"/>
        </w:rPr>
        <w:t>200, según la cual “</w:t>
      </w:r>
      <w:r w:rsidRPr="00B229DC">
        <w:rPr>
          <w:szCs w:val="18"/>
          <w:lang w:val="es-ES"/>
        </w:rPr>
        <w:t xml:space="preserve">la privación de libertad en centros legalmente </w:t>
      </w:r>
      <w:r w:rsidRPr="00410393">
        <w:rPr>
          <w:szCs w:val="18"/>
          <w:lang w:val="es-ES"/>
        </w:rPr>
        <w:t xml:space="preserve">reconocidos y la existencia de registros de detenidos, constituyen salvaguardas fundamentales, </w:t>
      </w:r>
      <w:r w:rsidRPr="00410393">
        <w:rPr>
          <w:i/>
          <w:szCs w:val="18"/>
          <w:lang w:val="es-ES"/>
        </w:rPr>
        <w:t xml:space="preserve">inter </w:t>
      </w:r>
      <w:proofErr w:type="spellStart"/>
      <w:r w:rsidRPr="00410393">
        <w:rPr>
          <w:i/>
          <w:szCs w:val="18"/>
          <w:lang w:val="es-ES"/>
        </w:rPr>
        <w:t>alia</w:t>
      </w:r>
      <w:proofErr w:type="spellEnd"/>
      <w:r w:rsidRPr="00410393">
        <w:rPr>
          <w:szCs w:val="18"/>
          <w:lang w:val="es-ES"/>
        </w:rPr>
        <w:t>, contra la desaparición forzada”.</w:t>
      </w:r>
    </w:p>
  </w:footnote>
  <w:footnote w:id="17">
    <w:p w14:paraId="113E4AB2" w14:textId="1201332F" w:rsidR="008164CC" w:rsidRPr="00E75E5F" w:rsidRDefault="008164CC" w:rsidP="008E610E">
      <w:pPr>
        <w:pStyle w:val="FootnoteText"/>
        <w:jc w:val="both"/>
        <w:rPr>
          <w:i/>
          <w:szCs w:val="18"/>
          <w:lang w:val="es-ES_tradnl"/>
        </w:rPr>
      </w:pPr>
      <w:r>
        <w:rPr>
          <w:szCs w:val="18"/>
          <w:lang w:val="es-ES_tradnl"/>
        </w:rPr>
        <w:tab/>
      </w:r>
      <w:r w:rsidRPr="00410393">
        <w:rPr>
          <w:rStyle w:val="FootnoteReference"/>
          <w:szCs w:val="18"/>
        </w:rPr>
        <w:footnoteRef/>
      </w:r>
      <w:r>
        <w:rPr>
          <w:szCs w:val="18"/>
          <w:lang w:val="es-ES_tradnl"/>
        </w:rPr>
        <w:tab/>
      </w:r>
      <w:r w:rsidRPr="00175184">
        <w:rPr>
          <w:spacing w:val="-3"/>
          <w:szCs w:val="18"/>
          <w:lang w:val="es-ES_tradnl"/>
        </w:rPr>
        <w:t xml:space="preserve">Los autores citan los casos </w:t>
      </w:r>
      <w:proofErr w:type="spellStart"/>
      <w:r w:rsidRPr="00175184">
        <w:rPr>
          <w:i/>
          <w:spacing w:val="-3"/>
          <w:szCs w:val="18"/>
          <w:lang w:val="es-ES_tradnl"/>
        </w:rPr>
        <w:t>Abdelhakim</w:t>
      </w:r>
      <w:proofErr w:type="spellEnd"/>
      <w:r w:rsidRPr="00175184">
        <w:rPr>
          <w:i/>
          <w:spacing w:val="-3"/>
          <w:szCs w:val="18"/>
          <w:lang w:val="es-ES_tradnl"/>
        </w:rPr>
        <w:t xml:space="preserve"> </w:t>
      </w:r>
      <w:proofErr w:type="spellStart"/>
      <w:r w:rsidRPr="00175184">
        <w:rPr>
          <w:i/>
          <w:spacing w:val="-3"/>
          <w:szCs w:val="18"/>
          <w:lang w:val="es-ES_tradnl"/>
        </w:rPr>
        <w:t>Wanis</w:t>
      </w:r>
      <w:proofErr w:type="spellEnd"/>
      <w:r w:rsidRPr="00175184">
        <w:rPr>
          <w:i/>
          <w:spacing w:val="-3"/>
          <w:szCs w:val="18"/>
          <w:lang w:val="es-ES_tradnl"/>
        </w:rPr>
        <w:t xml:space="preserve"> El </w:t>
      </w:r>
      <w:proofErr w:type="spellStart"/>
      <w:r w:rsidRPr="00175184">
        <w:rPr>
          <w:i/>
          <w:spacing w:val="-3"/>
          <w:szCs w:val="18"/>
          <w:lang w:val="es-ES_tradnl"/>
        </w:rPr>
        <w:t>Aabani</w:t>
      </w:r>
      <w:proofErr w:type="spellEnd"/>
      <w:r w:rsidRPr="00175184">
        <w:rPr>
          <w:i/>
          <w:spacing w:val="-3"/>
          <w:szCs w:val="18"/>
          <w:lang w:val="es-ES_tradnl"/>
        </w:rPr>
        <w:t xml:space="preserve"> (El </w:t>
      </w:r>
      <w:proofErr w:type="spellStart"/>
      <w:r w:rsidRPr="00175184">
        <w:rPr>
          <w:i/>
          <w:spacing w:val="-3"/>
          <w:szCs w:val="18"/>
          <w:lang w:val="es-ES_tradnl"/>
        </w:rPr>
        <w:t>Ouerfeli</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xml:space="preserve">. </w:t>
      </w:r>
      <w:proofErr w:type="spellStart"/>
      <w:r w:rsidRPr="00175184">
        <w:rPr>
          <w:i/>
          <w:spacing w:val="-3"/>
          <w:szCs w:val="18"/>
          <w:lang w:val="es-ES_tradnl"/>
        </w:rPr>
        <w:t>Jamahiriya</w:t>
      </w:r>
      <w:proofErr w:type="spellEnd"/>
      <w:r w:rsidRPr="00175184">
        <w:rPr>
          <w:i/>
          <w:spacing w:val="-3"/>
          <w:szCs w:val="18"/>
          <w:lang w:val="es-ES_tradnl"/>
        </w:rPr>
        <w:t xml:space="preserve"> Árabe Libia</w:t>
      </w:r>
      <w:r w:rsidRPr="00175184">
        <w:rPr>
          <w:spacing w:val="-3"/>
          <w:szCs w:val="18"/>
          <w:lang w:val="es-ES_tradnl"/>
        </w:rPr>
        <w:t xml:space="preserve">, (CCPR/C/99/D/1640/2007) de 26 de julio de 2010; </w:t>
      </w:r>
      <w:proofErr w:type="spellStart"/>
      <w:r w:rsidRPr="00175184">
        <w:rPr>
          <w:i/>
          <w:spacing w:val="-3"/>
          <w:szCs w:val="18"/>
          <w:lang w:val="es-ES_tradnl"/>
        </w:rPr>
        <w:t>Fatma</w:t>
      </w:r>
      <w:proofErr w:type="spellEnd"/>
      <w:r w:rsidRPr="00175184">
        <w:rPr>
          <w:i/>
          <w:spacing w:val="-3"/>
          <w:szCs w:val="18"/>
          <w:lang w:val="es-ES_tradnl"/>
        </w:rPr>
        <w:t xml:space="preserve"> </w:t>
      </w:r>
      <w:proofErr w:type="spellStart"/>
      <w:r w:rsidRPr="00175184">
        <w:rPr>
          <w:i/>
          <w:spacing w:val="-3"/>
          <w:szCs w:val="18"/>
          <w:lang w:val="es-ES_tradnl"/>
        </w:rPr>
        <w:t>Zohra</w:t>
      </w:r>
      <w:proofErr w:type="spellEnd"/>
      <w:r w:rsidRPr="00175184">
        <w:rPr>
          <w:i/>
          <w:spacing w:val="-3"/>
          <w:szCs w:val="18"/>
          <w:lang w:val="es-ES_tradnl"/>
        </w:rPr>
        <w:t xml:space="preserve"> </w:t>
      </w:r>
      <w:proofErr w:type="spellStart"/>
      <w:r w:rsidRPr="00175184">
        <w:rPr>
          <w:i/>
          <w:spacing w:val="-3"/>
          <w:szCs w:val="18"/>
          <w:lang w:val="es-ES_tradnl"/>
        </w:rPr>
        <w:t>Berzig</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Argelia</w:t>
      </w:r>
      <w:r w:rsidRPr="00175184">
        <w:rPr>
          <w:spacing w:val="-3"/>
          <w:szCs w:val="18"/>
          <w:lang w:val="es-ES_tradnl"/>
        </w:rPr>
        <w:t xml:space="preserve">, (CCPR/C/103/D/1781/2008) 31 de octubre de 2011; </w:t>
      </w:r>
      <w:proofErr w:type="spellStart"/>
      <w:r w:rsidR="002D3E1A">
        <w:rPr>
          <w:i/>
          <w:spacing w:val="-3"/>
          <w:szCs w:val="18"/>
          <w:lang w:val="es-ES_tradnl"/>
        </w:rPr>
        <w:t>Aîssa</w:t>
      </w:r>
      <w:proofErr w:type="spellEnd"/>
      <w:r w:rsidR="002D3E1A">
        <w:rPr>
          <w:i/>
          <w:spacing w:val="-3"/>
          <w:szCs w:val="18"/>
          <w:lang w:val="es-ES_tradnl"/>
        </w:rPr>
        <w:t xml:space="preserve"> </w:t>
      </w:r>
      <w:proofErr w:type="spellStart"/>
      <w:r w:rsidRPr="00175184">
        <w:rPr>
          <w:i/>
          <w:spacing w:val="-3"/>
          <w:szCs w:val="18"/>
          <w:lang w:val="es-ES_tradnl"/>
        </w:rPr>
        <w:t>Mezine</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A</w:t>
      </w:r>
      <w:r w:rsidR="008E610E">
        <w:rPr>
          <w:i/>
          <w:spacing w:val="-3"/>
          <w:szCs w:val="18"/>
          <w:lang w:val="es-ES_tradnl"/>
        </w:rPr>
        <w:t>r</w:t>
      </w:r>
      <w:r w:rsidRPr="00175184">
        <w:rPr>
          <w:i/>
          <w:spacing w:val="-3"/>
          <w:szCs w:val="18"/>
          <w:lang w:val="es-ES_tradnl"/>
        </w:rPr>
        <w:t>ge</w:t>
      </w:r>
      <w:r w:rsidR="008E610E">
        <w:rPr>
          <w:i/>
          <w:spacing w:val="-3"/>
          <w:szCs w:val="18"/>
          <w:lang w:val="es-ES_tradnl"/>
        </w:rPr>
        <w:t>l</w:t>
      </w:r>
      <w:r w:rsidRPr="00175184">
        <w:rPr>
          <w:i/>
          <w:spacing w:val="-3"/>
          <w:szCs w:val="18"/>
          <w:lang w:val="es-ES_tradnl"/>
        </w:rPr>
        <w:t>ia</w:t>
      </w:r>
      <w:r w:rsidRPr="00175184">
        <w:rPr>
          <w:spacing w:val="-3"/>
          <w:szCs w:val="18"/>
          <w:lang w:val="es-ES_tradnl"/>
        </w:rPr>
        <w:t xml:space="preserve"> (CCPR/C/106/D/1779/2008) de 2</w:t>
      </w:r>
      <w:r w:rsidR="002D3E1A">
        <w:rPr>
          <w:spacing w:val="-3"/>
          <w:szCs w:val="18"/>
          <w:lang w:val="es-ES_tradnl"/>
        </w:rPr>
        <w:t>5</w:t>
      </w:r>
      <w:r w:rsidRPr="00175184">
        <w:rPr>
          <w:spacing w:val="-3"/>
          <w:szCs w:val="18"/>
          <w:lang w:val="es-ES_tradnl"/>
        </w:rPr>
        <w:t xml:space="preserve"> de </w:t>
      </w:r>
      <w:r w:rsidR="002D3E1A">
        <w:rPr>
          <w:spacing w:val="-3"/>
          <w:szCs w:val="18"/>
          <w:lang w:val="es-ES_tradnl"/>
        </w:rPr>
        <w:t>octubre</w:t>
      </w:r>
      <w:r w:rsidR="002D3E1A" w:rsidRPr="00175184">
        <w:rPr>
          <w:spacing w:val="-3"/>
          <w:szCs w:val="18"/>
          <w:lang w:val="es-ES_tradnl"/>
        </w:rPr>
        <w:t xml:space="preserve"> </w:t>
      </w:r>
      <w:r w:rsidRPr="00175184">
        <w:rPr>
          <w:spacing w:val="-3"/>
          <w:szCs w:val="18"/>
          <w:lang w:val="es-ES_tradnl"/>
        </w:rPr>
        <w:t xml:space="preserve">de 2012 y </w:t>
      </w:r>
      <w:proofErr w:type="spellStart"/>
      <w:r w:rsidR="002D3E1A">
        <w:rPr>
          <w:i/>
          <w:spacing w:val="-3"/>
          <w:szCs w:val="18"/>
          <w:lang w:val="es-ES_tradnl"/>
        </w:rPr>
        <w:t>Ram</w:t>
      </w:r>
      <w:proofErr w:type="spellEnd"/>
      <w:r w:rsidR="002D3E1A">
        <w:rPr>
          <w:i/>
          <w:spacing w:val="-3"/>
          <w:szCs w:val="18"/>
          <w:lang w:val="es-ES_tradnl"/>
        </w:rPr>
        <w:t xml:space="preserve"> </w:t>
      </w:r>
      <w:proofErr w:type="spellStart"/>
      <w:r w:rsidR="002D3E1A">
        <w:rPr>
          <w:i/>
          <w:spacing w:val="-3"/>
          <w:szCs w:val="18"/>
          <w:lang w:val="es-ES_tradnl"/>
        </w:rPr>
        <w:t>Kumar</w:t>
      </w:r>
      <w:proofErr w:type="spellEnd"/>
      <w:r w:rsidR="002D3E1A">
        <w:rPr>
          <w:i/>
          <w:spacing w:val="-3"/>
          <w:szCs w:val="18"/>
          <w:lang w:val="es-ES_tradnl"/>
        </w:rPr>
        <w:t xml:space="preserve"> </w:t>
      </w:r>
      <w:proofErr w:type="spellStart"/>
      <w:r w:rsidRPr="00175184">
        <w:rPr>
          <w:i/>
          <w:spacing w:val="-3"/>
          <w:szCs w:val="18"/>
          <w:lang w:val="es-ES_tradnl"/>
        </w:rPr>
        <w:t>Bhandari</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Nepal</w:t>
      </w:r>
      <w:r w:rsidRPr="00175184">
        <w:rPr>
          <w:spacing w:val="-3"/>
          <w:lang w:val="es-ES"/>
        </w:rPr>
        <w:t xml:space="preserve"> </w:t>
      </w:r>
      <w:r w:rsidRPr="00175184">
        <w:rPr>
          <w:spacing w:val="-3"/>
          <w:szCs w:val="18"/>
          <w:lang w:val="es-ES_tradnl"/>
        </w:rPr>
        <w:t xml:space="preserve">(CCPR/C/112/D/2031/2011) de </w:t>
      </w:r>
      <w:r w:rsidR="002D3E1A">
        <w:rPr>
          <w:spacing w:val="-3"/>
          <w:szCs w:val="18"/>
          <w:lang w:val="es-ES_tradnl"/>
        </w:rPr>
        <w:t>29</w:t>
      </w:r>
      <w:r w:rsidR="002D3E1A" w:rsidRPr="00175184">
        <w:rPr>
          <w:spacing w:val="-3"/>
          <w:szCs w:val="18"/>
          <w:lang w:val="es-ES_tradnl"/>
        </w:rPr>
        <w:t xml:space="preserve"> </w:t>
      </w:r>
      <w:r w:rsidRPr="00175184">
        <w:rPr>
          <w:spacing w:val="-3"/>
          <w:szCs w:val="18"/>
          <w:lang w:val="es-ES_tradnl"/>
        </w:rPr>
        <w:t xml:space="preserve">de </w:t>
      </w:r>
      <w:r w:rsidR="002D3E1A">
        <w:rPr>
          <w:spacing w:val="-3"/>
          <w:szCs w:val="18"/>
          <w:lang w:val="es-ES_tradnl"/>
        </w:rPr>
        <w:t>octubre</w:t>
      </w:r>
      <w:r w:rsidR="002D3E1A" w:rsidRPr="00175184">
        <w:rPr>
          <w:spacing w:val="-3"/>
          <w:szCs w:val="18"/>
          <w:lang w:val="es-ES_tradnl"/>
        </w:rPr>
        <w:t xml:space="preserve"> </w:t>
      </w:r>
      <w:r w:rsidRPr="00175184">
        <w:rPr>
          <w:spacing w:val="-3"/>
          <w:szCs w:val="18"/>
          <w:lang w:val="es-ES_tradnl"/>
        </w:rPr>
        <w:t xml:space="preserve">de 2014. </w:t>
      </w:r>
    </w:p>
  </w:footnote>
  <w:footnote w:id="18">
    <w:p w14:paraId="6A373EC1" w14:textId="53155549" w:rsidR="008164CC" w:rsidRPr="00410393" w:rsidRDefault="008164CC" w:rsidP="001E1CCF">
      <w:pPr>
        <w:pStyle w:val="FootnoteText"/>
        <w:jc w:val="both"/>
        <w:rPr>
          <w:szCs w:val="18"/>
          <w:lang w:val="es-ES"/>
        </w:rPr>
      </w:pPr>
      <w:r>
        <w:rPr>
          <w:szCs w:val="18"/>
          <w:lang w:val="es-ES"/>
        </w:rPr>
        <w:tab/>
      </w:r>
      <w:r w:rsidRPr="00410393">
        <w:rPr>
          <w:rStyle w:val="FootnoteReference"/>
          <w:szCs w:val="18"/>
        </w:rPr>
        <w:footnoteRef/>
      </w:r>
      <w:r>
        <w:rPr>
          <w:szCs w:val="18"/>
          <w:lang w:val="es-ES"/>
        </w:rPr>
        <w:tab/>
      </w:r>
      <w:r w:rsidRPr="00410393">
        <w:rPr>
          <w:szCs w:val="18"/>
          <w:lang w:val="es-ES"/>
        </w:rPr>
        <w:t xml:space="preserve">Los autores </w:t>
      </w:r>
      <w:r>
        <w:rPr>
          <w:szCs w:val="18"/>
          <w:lang w:val="es-ES"/>
        </w:rPr>
        <w:t>mencionan el caso ante la Corte interamericana</w:t>
      </w:r>
      <w:r w:rsidRPr="000470B6">
        <w:rPr>
          <w:lang w:val="es-ES"/>
        </w:rPr>
        <w:t xml:space="preserve"> </w:t>
      </w:r>
      <w:r w:rsidRPr="000470B6">
        <w:rPr>
          <w:i/>
          <w:szCs w:val="18"/>
          <w:lang w:val="es-ES"/>
        </w:rPr>
        <w:t xml:space="preserve">Radilla Pacheco </w:t>
      </w:r>
      <w:r w:rsidR="00515449">
        <w:rPr>
          <w:i/>
          <w:szCs w:val="18"/>
          <w:lang w:val="es-ES"/>
        </w:rPr>
        <w:t>c</w:t>
      </w:r>
      <w:r w:rsidRPr="000470B6">
        <w:rPr>
          <w:i/>
          <w:szCs w:val="18"/>
          <w:lang w:val="es-ES"/>
        </w:rPr>
        <w:t>. México</w:t>
      </w:r>
      <w:r w:rsidRPr="000470B6">
        <w:rPr>
          <w:szCs w:val="18"/>
          <w:lang w:val="es-ES"/>
        </w:rPr>
        <w:t>. Excepciones Preliminares, Fondo, Reparaciones y Costas. Sentencia de 23 de noviembr</w:t>
      </w:r>
      <w:r>
        <w:rPr>
          <w:szCs w:val="18"/>
          <w:lang w:val="es-ES"/>
        </w:rPr>
        <w:t>e de 2009. Serie C No. 209, párr. 258.</w:t>
      </w:r>
      <w:r w:rsidRPr="00410393">
        <w:rPr>
          <w:szCs w:val="18"/>
          <w:lang w:val="es-ES"/>
        </w:rPr>
        <w:t xml:space="preserve"> </w:t>
      </w:r>
    </w:p>
  </w:footnote>
  <w:footnote w:id="19">
    <w:p w14:paraId="1E095292" w14:textId="7475A8BC" w:rsidR="008164CC" w:rsidRPr="009B7D71" w:rsidRDefault="008164CC" w:rsidP="001E1CCF">
      <w:pPr>
        <w:pStyle w:val="FootnoteText"/>
        <w:jc w:val="both"/>
        <w:rPr>
          <w:szCs w:val="18"/>
          <w:lang w:val="es-ES"/>
        </w:rPr>
      </w:pPr>
      <w:r>
        <w:rPr>
          <w:szCs w:val="18"/>
          <w:lang w:val="es-ES"/>
        </w:rPr>
        <w:tab/>
      </w:r>
      <w:r w:rsidRPr="002656B7">
        <w:rPr>
          <w:rStyle w:val="FootnoteReference"/>
          <w:szCs w:val="18"/>
        </w:rPr>
        <w:footnoteRef/>
      </w:r>
      <w:r>
        <w:rPr>
          <w:szCs w:val="18"/>
          <w:lang w:val="es-ES"/>
        </w:rPr>
        <w:tab/>
      </w:r>
      <w:r w:rsidRPr="00BB1270">
        <w:rPr>
          <w:szCs w:val="18"/>
          <w:lang w:val="es-ES"/>
        </w:rPr>
        <w:t xml:space="preserve">Los autores mencionan </w:t>
      </w:r>
      <w:r w:rsidRPr="002656B7">
        <w:rPr>
          <w:szCs w:val="18"/>
          <w:lang w:val="es-ES"/>
        </w:rPr>
        <w:t xml:space="preserve">la medida cautelar n.° 453-13 otorgada </w:t>
      </w:r>
      <w:r w:rsidRPr="009B7D71">
        <w:rPr>
          <w:szCs w:val="18"/>
          <w:lang w:val="es-ES"/>
        </w:rPr>
        <w:t xml:space="preserve">por la Comisión Interamericana en el caso </w:t>
      </w:r>
      <w:r w:rsidRPr="00012F9E">
        <w:rPr>
          <w:i/>
          <w:szCs w:val="18"/>
          <w:lang w:val="es-ES"/>
        </w:rPr>
        <w:t>Daniel Ramos Alfaro c</w:t>
      </w:r>
      <w:r w:rsidR="00515449">
        <w:rPr>
          <w:i/>
          <w:szCs w:val="18"/>
          <w:lang w:val="es-ES"/>
        </w:rPr>
        <w:t>.</w:t>
      </w:r>
      <w:r w:rsidRPr="00012F9E">
        <w:rPr>
          <w:i/>
          <w:szCs w:val="18"/>
          <w:lang w:val="es-ES"/>
        </w:rPr>
        <w:t xml:space="preserve"> México</w:t>
      </w:r>
      <w:r w:rsidRPr="009B7D71">
        <w:rPr>
          <w:szCs w:val="18"/>
          <w:lang w:val="es-ES"/>
        </w:rPr>
        <w:t>, de 20 de febrero de 2014, § 11. También cita</w:t>
      </w:r>
      <w:r>
        <w:rPr>
          <w:szCs w:val="18"/>
          <w:lang w:val="es-ES"/>
        </w:rPr>
        <w:t>n</w:t>
      </w:r>
      <w:r w:rsidRPr="009B7D71">
        <w:rPr>
          <w:szCs w:val="18"/>
          <w:lang w:val="es-ES"/>
        </w:rPr>
        <w:t xml:space="preserve"> un informe de Human </w:t>
      </w:r>
      <w:proofErr w:type="spellStart"/>
      <w:r w:rsidRPr="009B7D71">
        <w:rPr>
          <w:szCs w:val="18"/>
          <w:lang w:val="es-ES"/>
        </w:rPr>
        <w:t>Rights</w:t>
      </w:r>
      <w:proofErr w:type="spellEnd"/>
      <w:r w:rsidRPr="009B7D71">
        <w:rPr>
          <w:szCs w:val="18"/>
          <w:lang w:val="es-ES"/>
        </w:rPr>
        <w:t xml:space="preserve"> </w:t>
      </w:r>
      <w:proofErr w:type="spellStart"/>
      <w:r w:rsidRPr="009B7D71">
        <w:rPr>
          <w:szCs w:val="18"/>
          <w:lang w:val="es-ES"/>
        </w:rPr>
        <w:t>Watch</w:t>
      </w:r>
      <w:proofErr w:type="spellEnd"/>
      <w:r w:rsidRPr="009B7D71">
        <w:rPr>
          <w:szCs w:val="18"/>
          <w:lang w:val="es-ES"/>
        </w:rPr>
        <w:t xml:space="preserve"> “Ni seguridad</w:t>
      </w:r>
      <w:r w:rsidR="007C09E7">
        <w:rPr>
          <w:szCs w:val="18"/>
          <w:lang w:val="es-ES"/>
        </w:rPr>
        <w:t>,</w:t>
      </w:r>
      <w:r w:rsidRPr="009B7D71">
        <w:rPr>
          <w:szCs w:val="18"/>
          <w:lang w:val="es-ES"/>
        </w:rPr>
        <w:t xml:space="preserve"> ni derechos”, México, noviembre de 2011, p. 10.</w:t>
      </w:r>
    </w:p>
  </w:footnote>
  <w:footnote w:id="20">
    <w:p w14:paraId="444025E0" w14:textId="77777777" w:rsidR="008164CC" w:rsidRPr="002547EE" w:rsidRDefault="008164CC" w:rsidP="00C067CE">
      <w:pPr>
        <w:pStyle w:val="FootnoteText"/>
        <w:rPr>
          <w:lang w:val="es-ES"/>
        </w:rPr>
      </w:pPr>
      <w:r>
        <w:rPr>
          <w:lang w:val="es-ES"/>
        </w:rPr>
        <w:tab/>
      </w:r>
      <w:r>
        <w:rPr>
          <w:rStyle w:val="FootnoteReference"/>
        </w:rPr>
        <w:footnoteRef/>
      </w:r>
      <w:r>
        <w:rPr>
          <w:lang w:val="es-ES"/>
        </w:rPr>
        <w:tab/>
      </w:r>
      <w:r w:rsidRPr="002547EE">
        <w:rPr>
          <w:lang w:val="es-ES"/>
        </w:rPr>
        <w:t>Sin emba</w:t>
      </w:r>
      <w:r>
        <w:rPr>
          <w:lang w:val="es-ES"/>
        </w:rPr>
        <w:t>rgo, el Estado parte no indica cual fue el resultado de esta diligencia.</w:t>
      </w:r>
    </w:p>
  </w:footnote>
  <w:footnote w:id="21">
    <w:p w14:paraId="6370C3EA" w14:textId="0F65E7BD" w:rsidR="008164CC" w:rsidRPr="00767B84" w:rsidRDefault="008164CC" w:rsidP="008037C8">
      <w:pPr>
        <w:pStyle w:val="FootnoteText"/>
        <w:jc w:val="both"/>
        <w:rPr>
          <w:lang w:val="es-ES"/>
        </w:rPr>
      </w:pPr>
      <w:r>
        <w:rPr>
          <w:lang w:val="es-ES"/>
        </w:rPr>
        <w:tab/>
      </w:r>
      <w:r>
        <w:rPr>
          <w:rStyle w:val="FootnoteReference"/>
        </w:rPr>
        <w:footnoteRef/>
      </w:r>
      <w:r>
        <w:rPr>
          <w:lang w:val="es-ES"/>
        </w:rPr>
        <w:tab/>
        <w:t xml:space="preserve">Este artículo de la </w:t>
      </w:r>
      <w:r w:rsidRPr="00767B84">
        <w:rPr>
          <w:lang w:val="es-ES"/>
        </w:rPr>
        <w:t xml:space="preserve">Convención, </w:t>
      </w:r>
      <w:r>
        <w:rPr>
          <w:lang w:val="es-ES"/>
        </w:rPr>
        <w:t>ratificada por el Estado parte el 18 de marzo de 2008, dispone que</w:t>
      </w:r>
      <w:r w:rsidRPr="00767B84">
        <w:rPr>
          <w:lang w:val="es-ES"/>
        </w:rPr>
        <w:t xml:space="preserve"> “</w:t>
      </w:r>
      <w:r w:rsidRPr="00482BC5">
        <w:rPr>
          <w:lang w:val="es-ES"/>
        </w:rPr>
        <w:t>[</w:t>
      </w:r>
      <w:r>
        <w:rPr>
          <w:lang w:val="es-ES"/>
        </w:rPr>
        <w:t>s</w:t>
      </w:r>
      <w:r w:rsidRPr="00482BC5">
        <w:rPr>
          <w:lang w:val="es-ES"/>
        </w:rPr>
        <w:t>]</w:t>
      </w:r>
      <w:proofErr w:type="spellStart"/>
      <w:r w:rsidRPr="00767B84">
        <w:rPr>
          <w:lang w:val="es-ES"/>
        </w:rPr>
        <w:t>iempre</w:t>
      </w:r>
      <w:proofErr w:type="spellEnd"/>
      <w:r w:rsidRPr="00767B84">
        <w:rPr>
          <w:lang w:val="es-ES"/>
        </w:rPr>
        <w:t xml:space="preserve"> que haya motivos razonables para creer que una persona ha sido sometida a desaparición forzada, las autoridades </w:t>
      </w:r>
      <w:r>
        <w:rPr>
          <w:lang w:val="es-ES"/>
        </w:rPr>
        <w:t>[…</w:t>
      </w:r>
      <w:r w:rsidRPr="00EA0CE0">
        <w:rPr>
          <w:lang w:val="es-ES"/>
        </w:rPr>
        <w:t>]</w:t>
      </w:r>
      <w:r>
        <w:rPr>
          <w:lang w:val="es-ES"/>
        </w:rPr>
        <w:t xml:space="preserve"> </w:t>
      </w:r>
      <w:r w:rsidRPr="00767B84">
        <w:rPr>
          <w:lang w:val="es-ES"/>
        </w:rPr>
        <w:t>iniciarán una investigación, aun cuando no se haya presentado nin</w:t>
      </w:r>
      <w:r>
        <w:rPr>
          <w:lang w:val="es-ES"/>
        </w:rPr>
        <w:t>guna denuncia formal</w:t>
      </w:r>
      <w:r w:rsidRPr="00767B84">
        <w:rPr>
          <w:lang w:val="es-ES"/>
        </w:rPr>
        <w:t>”</w:t>
      </w:r>
      <w:r>
        <w:rPr>
          <w:lang w:val="es-ES"/>
        </w:rPr>
        <w:t>.</w:t>
      </w:r>
    </w:p>
  </w:footnote>
  <w:footnote w:id="22">
    <w:p w14:paraId="58A11B3D" w14:textId="18CE704C" w:rsidR="008164CC" w:rsidRPr="00CC6565" w:rsidRDefault="008164CC" w:rsidP="00CC6565">
      <w:pPr>
        <w:pStyle w:val="FootnoteText"/>
        <w:jc w:val="both"/>
        <w:rPr>
          <w:szCs w:val="18"/>
          <w:lang w:val="es-ES"/>
        </w:rPr>
      </w:pPr>
      <w:r w:rsidRPr="00CC6565">
        <w:rPr>
          <w:szCs w:val="18"/>
          <w:lang w:val="es-ES"/>
        </w:rPr>
        <w:tab/>
      </w:r>
      <w:r w:rsidRPr="00CC6565">
        <w:rPr>
          <w:rStyle w:val="FootnoteReference"/>
          <w:szCs w:val="18"/>
        </w:rPr>
        <w:footnoteRef/>
      </w:r>
      <w:r w:rsidRPr="00CC6565">
        <w:rPr>
          <w:szCs w:val="18"/>
          <w:lang w:val="es-ES"/>
        </w:rPr>
        <w:tab/>
        <w:t>Gregorio Maldonado Ramírez, Marcelo López Hernández, Leodegario Amador Gonzales, Juan Carlos Novoa Torres y Reyna Vite Chávez.</w:t>
      </w:r>
    </w:p>
  </w:footnote>
  <w:footnote w:id="23">
    <w:p w14:paraId="75872CAD" w14:textId="62173648" w:rsidR="008164CC" w:rsidRPr="00367DC0" w:rsidRDefault="008164CC" w:rsidP="00367DC0">
      <w:pPr>
        <w:pStyle w:val="FootnoteText"/>
        <w:jc w:val="both"/>
        <w:rPr>
          <w:lang w:val="es-ES"/>
        </w:rPr>
      </w:pPr>
      <w:r>
        <w:rPr>
          <w:lang w:val="es-ES"/>
        </w:rPr>
        <w:tab/>
      </w:r>
      <w:r>
        <w:rPr>
          <w:rStyle w:val="FootnoteReference"/>
        </w:rPr>
        <w:footnoteRef/>
      </w:r>
      <w:r>
        <w:rPr>
          <w:lang w:val="es-ES"/>
        </w:rPr>
        <w:tab/>
      </w:r>
      <w:r w:rsidRPr="00367DC0">
        <w:rPr>
          <w:lang w:val="es-ES"/>
        </w:rPr>
        <w:t xml:space="preserve">En particular, en la declaración rendida ante el Ministerio Público el 3 de noviembre de 2010 por la madre del Sr. Téllez Padilla (Anexo 6. Declaración </w:t>
      </w:r>
      <w:r>
        <w:rPr>
          <w:lang w:val="es-ES"/>
        </w:rPr>
        <w:t>de María Eugenia Padilla García ante el</w:t>
      </w:r>
      <w:r w:rsidRPr="00367DC0">
        <w:rPr>
          <w:lang w:val="es-ES"/>
        </w:rPr>
        <w:t xml:space="preserve"> Agente 8º del Ministerio Público Investigador, p.2).</w:t>
      </w:r>
    </w:p>
  </w:footnote>
  <w:footnote w:id="24">
    <w:p w14:paraId="3F470B40" w14:textId="052558F7" w:rsidR="008164CC" w:rsidRPr="009850D1" w:rsidRDefault="008164CC" w:rsidP="009850D1">
      <w:pPr>
        <w:pStyle w:val="FootnoteText"/>
        <w:jc w:val="both"/>
        <w:rPr>
          <w:lang w:val="es-ES"/>
        </w:rPr>
      </w:pPr>
      <w:r w:rsidRPr="00CF443F">
        <w:rPr>
          <w:lang w:val="es-ES"/>
        </w:rPr>
        <w:tab/>
      </w:r>
      <w:r>
        <w:rPr>
          <w:rStyle w:val="FootnoteReference"/>
        </w:rPr>
        <w:footnoteRef/>
      </w:r>
      <w:r w:rsidRPr="009850D1">
        <w:rPr>
          <w:lang w:val="es-ES"/>
        </w:rPr>
        <w:tab/>
        <w:t>Informe del Grupo de Trabajo sobre las Desapariciones Forzadas o Involuntarias sobre su misión a Turquía. A/HRC/33/51/Add.1, 27 de julio de 2016, párr. 54.</w:t>
      </w:r>
    </w:p>
  </w:footnote>
  <w:footnote w:id="25">
    <w:p w14:paraId="24CC7740" w14:textId="77777777" w:rsidR="008164CC" w:rsidRPr="00AF4D6B" w:rsidRDefault="008164CC" w:rsidP="00D70F56">
      <w:pPr>
        <w:pStyle w:val="FootnoteText"/>
        <w:jc w:val="both"/>
        <w:rPr>
          <w:szCs w:val="18"/>
          <w:lang w:val="es-MX"/>
        </w:rPr>
      </w:pPr>
      <w:r>
        <w:rPr>
          <w:szCs w:val="18"/>
          <w:lang w:val="es-ES"/>
        </w:rPr>
        <w:tab/>
      </w:r>
      <w:r w:rsidRPr="00AF4D6B">
        <w:rPr>
          <w:rStyle w:val="FootnoteReference"/>
          <w:szCs w:val="18"/>
        </w:rPr>
        <w:footnoteRef/>
      </w:r>
      <w:r>
        <w:rPr>
          <w:szCs w:val="18"/>
          <w:lang w:val="es-ES"/>
        </w:rPr>
        <w:tab/>
      </w:r>
      <w:r>
        <w:rPr>
          <w:szCs w:val="18"/>
          <w:lang w:val="es-MX"/>
        </w:rPr>
        <w:t>Anexo 7:</w:t>
      </w:r>
      <w:r w:rsidRPr="00AF4D6B">
        <w:rPr>
          <w:szCs w:val="18"/>
          <w:lang w:val="es-MX"/>
        </w:rPr>
        <w:t xml:space="preserve"> Procuraduría General de Justicia del Estado de Veracruz. Dirección General de Investigaciones Ministeriales. Agencia 8ª. del Ministerio Público Investigadora. Oficio No. DGIM/MP8o/2276/2010. Asunto: Respuesta a oficio PGJ/VDH/3945/2010/-NVN, Xalapa-Enríquez, noviembre 25 de 2010, p.3.  </w:t>
      </w:r>
    </w:p>
  </w:footnote>
  <w:footnote w:id="26">
    <w:p w14:paraId="61F9FE23" w14:textId="60D71E9E" w:rsidR="008164CC" w:rsidRPr="004333B4" w:rsidRDefault="008164CC" w:rsidP="00ED7459">
      <w:pPr>
        <w:pStyle w:val="FootnoteText"/>
        <w:jc w:val="both"/>
        <w:rPr>
          <w:lang w:val="es-ES"/>
        </w:rPr>
      </w:pPr>
      <w:r w:rsidRPr="00CF443F">
        <w:rPr>
          <w:lang w:val="es-ES"/>
        </w:rPr>
        <w:tab/>
      </w:r>
      <w:r>
        <w:rPr>
          <w:rStyle w:val="FootnoteReference"/>
        </w:rPr>
        <w:footnoteRef/>
      </w:r>
      <w:r w:rsidRPr="004333B4">
        <w:rPr>
          <w:lang w:val="es-ES"/>
        </w:rPr>
        <w:tab/>
      </w:r>
      <w:r>
        <w:rPr>
          <w:lang w:val="es-ES"/>
        </w:rPr>
        <w:t xml:space="preserve">Anexo 23: </w:t>
      </w:r>
      <w:r w:rsidRPr="00ED7459">
        <w:rPr>
          <w:lang w:val="es-ES"/>
        </w:rPr>
        <w:t>Agente 15º del Ministerio Público adscrito a la dirección General de Investigaciones encargada del despacho la Agencia 8a. Xalapa-Enríquez, Veracruz, 14 de enero de 2011</w:t>
      </w:r>
      <w:r>
        <w:rPr>
          <w:lang w:val="es-ES"/>
        </w:rPr>
        <w:t>.</w:t>
      </w:r>
    </w:p>
  </w:footnote>
  <w:footnote w:id="27">
    <w:p w14:paraId="4668F384" w14:textId="5E9A4B60" w:rsidR="008164CC" w:rsidRPr="009D7371" w:rsidRDefault="008164CC" w:rsidP="009D7371">
      <w:pPr>
        <w:pStyle w:val="FootnoteText"/>
        <w:jc w:val="both"/>
        <w:rPr>
          <w:lang w:val="es-ES"/>
        </w:rPr>
      </w:pPr>
      <w:r>
        <w:rPr>
          <w:lang w:val="es-ES"/>
        </w:rPr>
        <w:tab/>
      </w:r>
      <w:r>
        <w:rPr>
          <w:rStyle w:val="FootnoteReference"/>
        </w:rPr>
        <w:footnoteRef/>
      </w:r>
      <w:r>
        <w:rPr>
          <w:lang w:val="es-ES"/>
        </w:rPr>
        <w:tab/>
      </w:r>
      <w:r w:rsidRPr="009D7371">
        <w:rPr>
          <w:lang w:val="es-ES"/>
        </w:rPr>
        <w:t>Del anexo 5</w:t>
      </w:r>
      <w:r>
        <w:rPr>
          <w:lang w:val="es-ES"/>
        </w:rPr>
        <w:t xml:space="preserve"> a los comentarios a las observaciones de fondo,</w:t>
      </w:r>
      <w:r w:rsidRPr="009D7371">
        <w:rPr>
          <w:lang w:val="es-ES"/>
        </w:rPr>
        <w:t xml:space="preserve"> se despende que la testigo precisó que la cicatriz que había mencionado que tuviera </w:t>
      </w:r>
      <w:r>
        <w:rPr>
          <w:lang w:val="es-ES"/>
        </w:rPr>
        <w:t xml:space="preserve">el agente </w:t>
      </w:r>
      <w:r w:rsidRPr="009D7371">
        <w:rPr>
          <w:lang w:val="es-ES"/>
        </w:rPr>
        <w:t>en la frente es “muy pequeña y es más bien como de acné mal cuidado y/o una pequeña lesión”</w:t>
      </w:r>
      <w:r>
        <w:rPr>
          <w:lang w:val="es-ES"/>
        </w:rPr>
        <w:t>.</w:t>
      </w:r>
    </w:p>
  </w:footnote>
  <w:footnote w:id="28">
    <w:p w14:paraId="4CD6A403" w14:textId="77777777" w:rsidR="008164CC" w:rsidRPr="001A3F69" w:rsidRDefault="008164CC" w:rsidP="00700264">
      <w:pPr>
        <w:pStyle w:val="FootnoteText"/>
        <w:jc w:val="both"/>
        <w:rPr>
          <w:lang w:val="es-ES"/>
        </w:rPr>
      </w:pPr>
      <w:r>
        <w:rPr>
          <w:lang w:val="es-ES"/>
        </w:rPr>
        <w:tab/>
      </w:r>
      <w:r>
        <w:rPr>
          <w:rStyle w:val="FootnoteReference"/>
        </w:rPr>
        <w:footnoteRef/>
      </w:r>
      <w:r>
        <w:rPr>
          <w:lang w:val="es-ES"/>
        </w:rPr>
        <w:tab/>
        <w:t>Anexo 9:</w:t>
      </w:r>
      <w:r w:rsidRPr="001A3F69">
        <w:rPr>
          <w:lang w:val="es-ES"/>
        </w:rPr>
        <w:t xml:space="preserve"> Procuraduría General de la República. Subprocuraduría Especializada en Investigación de Delincuencia Organizada. Unidad Especializada en Materia de Secuestros. AP PGR/SIEDO/UEIS/561/2010. Declaración Ministerial de un compañero de la universidad. Ciudad de México Distrito Federal, 13 de junio de 2014, p.2</w:t>
      </w:r>
      <w:r>
        <w:rPr>
          <w:lang w:val="es-ES"/>
        </w:rPr>
        <w:t>.</w:t>
      </w:r>
    </w:p>
  </w:footnote>
  <w:footnote w:id="29">
    <w:p w14:paraId="3E4611F2" w14:textId="23C15D2C" w:rsidR="008164CC" w:rsidRPr="00762F04" w:rsidRDefault="008164CC" w:rsidP="00762F04">
      <w:pPr>
        <w:pStyle w:val="FootnoteText"/>
        <w:jc w:val="both"/>
        <w:rPr>
          <w:lang w:val="es-ES"/>
        </w:rPr>
      </w:pPr>
      <w:r>
        <w:rPr>
          <w:lang w:val="es-ES"/>
        </w:rPr>
        <w:tab/>
      </w:r>
      <w:r>
        <w:rPr>
          <w:rStyle w:val="FootnoteReference"/>
        </w:rPr>
        <w:footnoteRef/>
      </w:r>
      <w:r>
        <w:rPr>
          <w:lang w:val="es-ES"/>
        </w:rPr>
        <w:tab/>
      </w:r>
      <w:r w:rsidRPr="00762F04">
        <w:rPr>
          <w:lang w:val="es-ES"/>
        </w:rPr>
        <w:t xml:space="preserve">Los autores se refieren al caso </w:t>
      </w:r>
      <w:proofErr w:type="spellStart"/>
      <w:r w:rsidRPr="00762F04">
        <w:rPr>
          <w:i/>
          <w:lang w:val="es-ES"/>
        </w:rPr>
        <w:t>Aslakhanova</w:t>
      </w:r>
      <w:proofErr w:type="spellEnd"/>
      <w:r w:rsidRPr="00762F04">
        <w:rPr>
          <w:i/>
          <w:lang w:val="es-ES"/>
        </w:rPr>
        <w:t xml:space="preserve"> </w:t>
      </w:r>
      <w:r w:rsidR="00515449">
        <w:rPr>
          <w:i/>
          <w:lang w:val="es-ES"/>
        </w:rPr>
        <w:t>y otros</w:t>
      </w:r>
      <w:r w:rsidRPr="00762F04">
        <w:rPr>
          <w:i/>
          <w:lang w:val="es-ES"/>
        </w:rPr>
        <w:t xml:space="preserve"> </w:t>
      </w:r>
      <w:r w:rsidR="00515449">
        <w:rPr>
          <w:i/>
          <w:lang w:val="es-ES"/>
        </w:rPr>
        <w:t>c</w:t>
      </w:r>
      <w:r w:rsidRPr="00762F04">
        <w:rPr>
          <w:i/>
          <w:lang w:val="es-ES"/>
        </w:rPr>
        <w:t xml:space="preserve">. </w:t>
      </w:r>
      <w:proofErr w:type="spellStart"/>
      <w:r w:rsidRPr="00762F04">
        <w:rPr>
          <w:i/>
          <w:lang w:val="es-ES"/>
        </w:rPr>
        <w:t>Russia</w:t>
      </w:r>
      <w:proofErr w:type="spellEnd"/>
      <w:r w:rsidRPr="00762F04">
        <w:rPr>
          <w:lang w:val="es-ES"/>
        </w:rPr>
        <w:t xml:space="preserve">, sentencia de </w:t>
      </w:r>
      <w:r>
        <w:rPr>
          <w:lang w:val="es-ES"/>
        </w:rPr>
        <w:t>18</w:t>
      </w:r>
      <w:r w:rsidRPr="00762F04">
        <w:rPr>
          <w:lang w:val="es-ES"/>
        </w:rPr>
        <w:t xml:space="preserve"> de </w:t>
      </w:r>
      <w:r>
        <w:rPr>
          <w:lang w:val="es-ES"/>
        </w:rPr>
        <w:t>diciembre de 2012</w:t>
      </w:r>
      <w:r w:rsidRPr="00762F04">
        <w:rPr>
          <w:lang w:val="es-ES"/>
        </w:rPr>
        <w:t>, párr. 104, en el cual el Tribunal Europeo de Derechos Humanos consideró que, frente a los testimonios que daban cuenta de la desaparición forzada y al argumento del Estado de que en la investigación no había evidencia de la desaparición por agentes del Estado, el Estado no había cumplido con su carga de la prueba</w:t>
      </w:r>
      <w:r>
        <w:rPr>
          <w:lang w:val="es-ES"/>
        </w:rPr>
        <w:t>.</w:t>
      </w:r>
    </w:p>
  </w:footnote>
  <w:footnote w:id="30">
    <w:p w14:paraId="4EAA8F3B" w14:textId="4C2030C8" w:rsidR="008164CC" w:rsidRPr="00762F04" w:rsidRDefault="008164CC" w:rsidP="00762F04">
      <w:pPr>
        <w:pStyle w:val="FootnoteText"/>
        <w:jc w:val="both"/>
        <w:rPr>
          <w:lang w:val="es-ES"/>
        </w:rPr>
      </w:pPr>
      <w:r>
        <w:rPr>
          <w:lang w:val="es-ES"/>
        </w:rPr>
        <w:tab/>
      </w:r>
      <w:r>
        <w:rPr>
          <w:rStyle w:val="FootnoteReference"/>
        </w:rPr>
        <w:footnoteRef/>
      </w:r>
      <w:r>
        <w:rPr>
          <w:lang w:val="es-ES"/>
        </w:rPr>
        <w:tab/>
      </w:r>
      <w:r w:rsidRPr="00762F04">
        <w:rPr>
          <w:lang w:val="es-ES"/>
        </w:rPr>
        <w:t xml:space="preserve">Comité de Derechos Humanos, </w:t>
      </w:r>
      <w:r w:rsidRPr="006710E4">
        <w:rPr>
          <w:i/>
          <w:lang w:val="es-ES"/>
        </w:rPr>
        <w:t xml:space="preserve">Salem </w:t>
      </w:r>
      <w:proofErr w:type="spellStart"/>
      <w:r w:rsidRPr="006710E4">
        <w:rPr>
          <w:i/>
          <w:lang w:val="es-ES"/>
        </w:rPr>
        <w:t>Saad</w:t>
      </w:r>
      <w:proofErr w:type="spellEnd"/>
      <w:r w:rsidRPr="006710E4">
        <w:rPr>
          <w:i/>
          <w:lang w:val="es-ES"/>
        </w:rPr>
        <w:t xml:space="preserve"> Ali </w:t>
      </w:r>
      <w:proofErr w:type="spellStart"/>
      <w:r w:rsidRPr="006710E4">
        <w:rPr>
          <w:i/>
          <w:lang w:val="es-ES"/>
        </w:rPr>
        <w:t>Bashasha</w:t>
      </w:r>
      <w:proofErr w:type="spellEnd"/>
      <w:r w:rsidRPr="006710E4">
        <w:rPr>
          <w:i/>
          <w:lang w:val="es-ES"/>
        </w:rPr>
        <w:t xml:space="preserve"> </w:t>
      </w:r>
      <w:r w:rsidR="00515449">
        <w:rPr>
          <w:i/>
          <w:lang w:val="es-ES"/>
        </w:rPr>
        <w:t>c</w:t>
      </w:r>
      <w:r w:rsidRPr="006710E4">
        <w:rPr>
          <w:i/>
          <w:lang w:val="es-ES"/>
        </w:rPr>
        <w:t xml:space="preserve">. </w:t>
      </w:r>
      <w:proofErr w:type="spellStart"/>
      <w:r w:rsidRPr="006710E4">
        <w:rPr>
          <w:i/>
          <w:lang w:val="es-ES"/>
        </w:rPr>
        <w:t>Jamahiriya</w:t>
      </w:r>
      <w:proofErr w:type="spellEnd"/>
      <w:r w:rsidRPr="006710E4">
        <w:rPr>
          <w:i/>
          <w:lang w:val="es-ES"/>
        </w:rPr>
        <w:t xml:space="preserve"> Árabe </w:t>
      </w:r>
      <w:r w:rsidRPr="0087202D">
        <w:rPr>
          <w:i/>
          <w:lang w:val="es-ES"/>
        </w:rPr>
        <w:t>Libia</w:t>
      </w:r>
      <w:r w:rsidRPr="00762F04">
        <w:rPr>
          <w:lang w:val="es-ES"/>
        </w:rPr>
        <w:t xml:space="preserve"> (</w:t>
      </w:r>
      <w:r w:rsidRPr="00EF6475">
        <w:rPr>
          <w:lang w:val="es-ES"/>
        </w:rPr>
        <w:t>CCPR/C/100/D/1776/2008</w:t>
      </w:r>
      <w:r>
        <w:rPr>
          <w:lang w:val="es-ES"/>
        </w:rPr>
        <w:t xml:space="preserve">) de </w:t>
      </w:r>
      <w:r w:rsidRPr="00762F04">
        <w:rPr>
          <w:lang w:val="es-ES"/>
        </w:rPr>
        <w:t>20 de octubre de 2010, párr. 7.2</w:t>
      </w:r>
    </w:p>
  </w:footnote>
  <w:footnote w:id="31">
    <w:p w14:paraId="5B6B12ED" w14:textId="09FC53A8" w:rsidR="007422FA" w:rsidRPr="00684E74" w:rsidRDefault="000C7CF1" w:rsidP="00684E74">
      <w:pPr>
        <w:pStyle w:val="FootnoteText"/>
        <w:jc w:val="both"/>
        <w:rPr>
          <w:lang w:val="es-ES"/>
        </w:rPr>
      </w:pPr>
      <w:r w:rsidRPr="002959D9">
        <w:rPr>
          <w:lang w:val="es-ES"/>
        </w:rPr>
        <w:tab/>
      </w:r>
      <w:r w:rsidR="007422FA" w:rsidRPr="00684E74">
        <w:rPr>
          <w:rStyle w:val="FootnoteReference"/>
          <w:lang w:val="es-ES"/>
        </w:rPr>
        <w:footnoteRef/>
      </w:r>
      <w:r w:rsidRPr="002959D9">
        <w:rPr>
          <w:lang w:val="es-ES"/>
        </w:rPr>
        <w:tab/>
      </w:r>
      <w:r w:rsidR="00D5785F" w:rsidRPr="00D5785F">
        <w:rPr>
          <w:lang w:val="es-ES"/>
        </w:rPr>
        <w:t xml:space="preserve">Jurisprudencia constante desde el dictamen </w:t>
      </w:r>
      <w:r w:rsidR="00D5785F" w:rsidRPr="002959D9">
        <w:rPr>
          <w:i/>
          <w:lang w:val="es-ES"/>
        </w:rPr>
        <w:t xml:space="preserve">T.K. </w:t>
      </w:r>
      <w:r w:rsidR="00B5675D">
        <w:rPr>
          <w:i/>
          <w:lang w:val="es-ES"/>
        </w:rPr>
        <w:t>c</w:t>
      </w:r>
      <w:r w:rsidR="00D5785F" w:rsidRPr="002959D9">
        <w:rPr>
          <w:i/>
          <w:lang w:val="es-ES"/>
        </w:rPr>
        <w:t>. Francia</w:t>
      </w:r>
      <w:r w:rsidR="00D5785F" w:rsidRPr="00D5785F">
        <w:rPr>
          <w:lang w:val="es-ES"/>
        </w:rPr>
        <w:t xml:space="preserve"> (CCPR/C/37/D/220/1987) de 8 de noviembre de 1989, párr. 8.3</w:t>
      </w:r>
      <w:r>
        <w:rPr>
          <w:lang w:val="es-ES"/>
        </w:rPr>
        <w:t>.</w:t>
      </w:r>
    </w:p>
  </w:footnote>
  <w:footnote w:id="32">
    <w:p w14:paraId="28BF3F86" w14:textId="30221632" w:rsidR="003D1641" w:rsidRPr="002B1E50" w:rsidRDefault="003D1641" w:rsidP="002B1E50">
      <w:pPr>
        <w:pStyle w:val="FootnoteText"/>
        <w:jc w:val="both"/>
        <w:rPr>
          <w:lang w:val="es-ES"/>
        </w:rPr>
      </w:pPr>
      <w:r>
        <w:rPr>
          <w:lang w:val="es-ES"/>
        </w:rPr>
        <w:tab/>
      </w:r>
      <w:r>
        <w:rPr>
          <w:rStyle w:val="FootnoteReference"/>
        </w:rPr>
        <w:footnoteRef/>
      </w:r>
      <w:r>
        <w:rPr>
          <w:lang w:val="es-ES"/>
        </w:rPr>
        <w:tab/>
      </w:r>
      <w:r w:rsidRPr="003D1641">
        <w:rPr>
          <w:lang w:val="es-ES"/>
        </w:rPr>
        <w:t xml:space="preserve">Ver </w:t>
      </w:r>
      <w:r>
        <w:rPr>
          <w:lang w:val="es-ES"/>
        </w:rPr>
        <w:t>el último dictamen</w:t>
      </w:r>
      <w:r w:rsidRPr="003D1641">
        <w:rPr>
          <w:lang w:val="es-ES"/>
        </w:rPr>
        <w:t xml:space="preserve"> del Comité al respecto: </w:t>
      </w:r>
      <w:proofErr w:type="spellStart"/>
      <w:r w:rsidRPr="00C86C4E">
        <w:rPr>
          <w:i/>
          <w:lang w:val="es-ES"/>
        </w:rPr>
        <w:t>Ekaterina</w:t>
      </w:r>
      <w:proofErr w:type="spellEnd"/>
      <w:r w:rsidRPr="00C86C4E">
        <w:rPr>
          <w:i/>
          <w:lang w:val="es-ES"/>
        </w:rPr>
        <w:t xml:space="preserve"> </w:t>
      </w:r>
      <w:proofErr w:type="spellStart"/>
      <w:r w:rsidRPr="00C86C4E">
        <w:rPr>
          <w:i/>
          <w:lang w:val="es-ES"/>
        </w:rPr>
        <w:t>Abdoellaevna</w:t>
      </w:r>
      <w:proofErr w:type="spellEnd"/>
      <w:r w:rsidRPr="00C86C4E">
        <w:rPr>
          <w:i/>
          <w:lang w:val="es-ES"/>
        </w:rPr>
        <w:t xml:space="preserve"> </w:t>
      </w:r>
      <w:r w:rsidR="00B5675D">
        <w:rPr>
          <w:i/>
          <w:lang w:val="es-ES"/>
        </w:rPr>
        <w:t>c</w:t>
      </w:r>
      <w:r w:rsidRPr="00C86C4E">
        <w:rPr>
          <w:i/>
          <w:lang w:val="es-ES"/>
        </w:rPr>
        <w:t>. Países Bajos</w:t>
      </w:r>
      <w:r w:rsidRPr="003D1641">
        <w:rPr>
          <w:lang w:val="es-ES"/>
        </w:rPr>
        <w:t xml:space="preserve"> (CCPR/C/125/D/2498/2014) de 26 de marzo de 2019, párr. 6.3</w:t>
      </w:r>
      <w:r>
        <w:rPr>
          <w:lang w:val="es-ES"/>
        </w:rPr>
        <w:t>.</w:t>
      </w:r>
    </w:p>
  </w:footnote>
  <w:footnote w:id="33">
    <w:p w14:paraId="25614C26" w14:textId="26BA3E8D" w:rsidR="008164CC" w:rsidRPr="002B095F" w:rsidRDefault="008164CC" w:rsidP="003F7215">
      <w:pPr>
        <w:pStyle w:val="FootnoteText"/>
        <w:jc w:val="both"/>
        <w:rPr>
          <w:lang w:val="es-ES"/>
        </w:rPr>
      </w:pPr>
      <w:r w:rsidRPr="002B095F">
        <w:rPr>
          <w:lang w:val="es-ES"/>
        </w:rPr>
        <w:tab/>
      </w:r>
      <w:r w:rsidRPr="002B095F">
        <w:rPr>
          <w:rStyle w:val="FootnoteReference"/>
          <w:lang w:val="es-ES"/>
        </w:rPr>
        <w:footnoteRef/>
      </w:r>
      <w:r w:rsidRPr="002B095F">
        <w:rPr>
          <w:lang w:val="es-ES"/>
        </w:rPr>
        <w:tab/>
        <w:t xml:space="preserve">Ver </w:t>
      </w:r>
      <w:r w:rsidR="003D1641">
        <w:rPr>
          <w:lang w:val="es-ES"/>
        </w:rPr>
        <w:t>el</w:t>
      </w:r>
      <w:r w:rsidR="003D1641" w:rsidRPr="002B095F">
        <w:rPr>
          <w:lang w:val="es-ES"/>
        </w:rPr>
        <w:t xml:space="preserve"> </w:t>
      </w:r>
      <w:r>
        <w:rPr>
          <w:lang w:val="es-ES"/>
        </w:rPr>
        <w:t>ú</w:t>
      </w:r>
      <w:r w:rsidRPr="002B095F">
        <w:rPr>
          <w:lang w:val="es-ES"/>
        </w:rPr>
        <w:t>ltimo dict</w:t>
      </w:r>
      <w:r w:rsidR="003D1641">
        <w:rPr>
          <w:lang w:val="es-ES"/>
        </w:rPr>
        <w:t>a</w:t>
      </w:r>
      <w:r w:rsidRPr="002B095F">
        <w:rPr>
          <w:lang w:val="es-ES"/>
        </w:rPr>
        <w:t xml:space="preserve">men </w:t>
      </w:r>
      <w:r>
        <w:rPr>
          <w:lang w:val="es-ES"/>
        </w:rPr>
        <w:t xml:space="preserve">del Comité </w:t>
      </w:r>
      <w:r w:rsidRPr="002B095F">
        <w:rPr>
          <w:lang w:val="es-ES"/>
        </w:rPr>
        <w:t>al respect</w:t>
      </w:r>
      <w:r>
        <w:rPr>
          <w:lang w:val="es-ES"/>
        </w:rPr>
        <w:t xml:space="preserve">o: </w:t>
      </w:r>
      <w:r w:rsidRPr="0087202D">
        <w:rPr>
          <w:i/>
          <w:lang w:val="es-ES"/>
        </w:rPr>
        <w:t xml:space="preserve">Vladimir </w:t>
      </w:r>
      <w:proofErr w:type="spellStart"/>
      <w:r w:rsidRPr="0087202D">
        <w:rPr>
          <w:i/>
          <w:lang w:val="es-ES"/>
        </w:rPr>
        <w:t>Chernev</w:t>
      </w:r>
      <w:proofErr w:type="spellEnd"/>
      <w:r w:rsidRPr="0087202D">
        <w:rPr>
          <w:i/>
          <w:lang w:val="es-ES"/>
        </w:rPr>
        <w:t xml:space="preserve"> </w:t>
      </w:r>
      <w:r w:rsidR="00B5675D">
        <w:rPr>
          <w:i/>
          <w:lang w:val="es-ES"/>
        </w:rPr>
        <w:t>c</w:t>
      </w:r>
      <w:r w:rsidRPr="0087202D">
        <w:rPr>
          <w:i/>
          <w:lang w:val="es-ES"/>
        </w:rPr>
        <w:t>. Rusia</w:t>
      </w:r>
      <w:r>
        <w:rPr>
          <w:lang w:val="es-ES"/>
        </w:rPr>
        <w:t xml:space="preserve"> (</w:t>
      </w:r>
      <w:r w:rsidRPr="002B095F">
        <w:rPr>
          <w:lang w:val="es-ES"/>
        </w:rPr>
        <w:t>CCPR/C/125/D/2322/2013</w:t>
      </w:r>
      <w:r>
        <w:rPr>
          <w:lang w:val="es-ES"/>
        </w:rPr>
        <w:t>) de 15 de marzo de 2019, párr. 11.3.</w:t>
      </w:r>
    </w:p>
  </w:footnote>
  <w:footnote w:id="34">
    <w:p w14:paraId="33179360" w14:textId="77641DAA" w:rsidR="00157AF6" w:rsidRPr="004E205D" w:rsidRDefault="00157AF6" w:rsidP="00C13626">
      <w:pPr>
        <w:pStyle w:val="FootnoteText"/>
        <w:jc w:val="both"/>
        <w:rPr>
          <w:lang w:val="es-ES"/>
        </w:rPr>
      </w:pPr>
      <w:r w:rsidRPr="00402AD9">
        <w:rPr>
          <w:lang w:val="es-ES"/>
        </w:rPr>
        <w:tab/>
      </w:r>
      <w:r>
        <w:rPr>
          <w:rStyle w:val="FootnoteReference"/>
        </w:rPr>
        <w:footnoteRef/>
      </w:r>
      <w:r w:rsidRPr="004E205D">
        <w:rPr>
          <w:lang w:val="es-ES"/>
        </w:rPr>
        <w:tab/>
      </w:r>
      <w:r w:rsidR="009779CA" w:rsidRPr="009779CA">
        <w:rPr>
          <w:lang w:val="es-ES"/>
        </w:rPr>
        <w:t>Ver al respecto la Observa</w:t>
      </w:r>
      <w:r w:rsidR="009779CA">
        <w:rPr>
          <w:lang w:val="es-ES"/>
        </w:rPr>
        <w:t>ción general número 36</w:t>
      </w:r>
      <w:r w:rsidR="00AD430B" w:rsidRPr="00C13626">
        <w:rPr>
          <w:lang w:val="es-ES"/>
        </w:rPr>
        <w:t xml:space="preserve"> (</w:t>
      </w:r>
      <w:r w:rsidR="00AD430B" w:rsidRPr="00AD430B">
        <w:rPr>
          <w:lang w:val="es-ES"/>
        </w:rPr>
        <w:t>CCPR/C/GC/36</w:t>
      </w:r>
      <w:r w:rsidR="00AD430B">
        <w:rPr>
          <w:lang w:val="es-ES"/>
        </w:rPr>
        <w:t>) de</w:t>
      </w:r>
      <w:r w:rsidR="00AD430B" w:rsidRPr="00AD430B">
        <w:rPr>
          <w:lang w:val="es-ES"/>
        </w:rPr>
        <w:t xml:space="preserve"> 30 de octubre de 2018</w:t>
      </w:r>
      <w:r w:rsidR="009779CA">
        <w:rPr>
          <w:lang w:val="es-ES"/>
        </w:rPr>
        <w:t>, párr. 58</w:t>
      </w:r>
      <w:r w:rsidR="008D3966">
        <w:rPr>
          <w:lang w:val="es-ES"/>
        </w:rPr>
        <w:t>.</w:t>
      </w:r>
    </w:p>
  </w:footnote>
  <w:footnote w:id="35">
    <w:p w14:paraId="46E7C6E5" w14:textId="75079A04" w:rsidR="008164CC" w:rsidRPr="00F23C7A" w:rsidRDefault="008164CC" w:rsidP="00AD1024">
      <w:pPr>
        <w:pStyle w:val="FootnoteText"/>
        <w:jc w:val="both"/>
        <w:rPr>
          <w:lang w:val="es-ES"/>
        </w:rPr>
      </w:pPr>
      <w:r>
        <w:rPr>
          <w:lang w:val="es-ES"/>
        </w:rPr>
        <w:tab/>
      </w:r>
      <w:r>
        <w:rPr>
          <w:rStyle w:val="FootnoteReference"/>
        </w:rPr>
        <w:footnoteRef/>
      </w:r>
      <w:r>
        <w:rPr>
          <w:lang w:val="es-ES"/>
        </w:rPr>
        <w:tab/>
        <w:t xml:space="preserve">Ver por ejemplo las últimas cuatro comunicaciones al respecto: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w:t>
      </w:r>
      <w:r w:rsidR="00B5675D">
        <w:rPr>
          <w:i/>
          <w:lang w:val="es-ES"/>
        </w:rPr>
        <w:t>c</w:t>
      </w:r>
      <w:r w:rsidRPr="0087202D">
        <w:rPr>
          <w:i/>
          <w:lang w:val="es-ES"/>
        </w:rPr>
        <w:t>. Nepal</w:t>
      </w:r>
      <w:r w:rsidRPr="00F23C7A">
        <w:rPr>
          <w:lang w:val="es-ES"/>
        </w:rPr>
        <w:t xml:space="preserve"> (CCPR/C/123/D/2658/2015) de 19 de julio de 2018</w:t>
      </w:r>
      <w:r>
        <w:rPr>
          <w:lang w:val="es-ES"/>
        </w:rPr>
        <w:t xml:space="preserve">; </w:t>
      </w:r>
      <w:proofErr w:type="spellStart"/>
      <w:r w:rsidRPr="0087202D">
        <w:rPr>
          <w:i/>
          <w:lang w:val="es-ES"/>
        </w:rPr>
        <w:t>Arab</w:t>
      </w:r>
      <w:proofErr w:type="spellEnd"/>
      <w:r w:rsidRPr="0087202D">
        <w:rPr>
          <w:i/>
          <w:lang w:val="es-ES"/>
        </w:rPr>
        <w:t xml:space="preserve"> </w:t>
      </w:r>
      <w:proofErr w:type="spellStart"/>
      <w:r w:rsidRPr="0087202D">
        <w:rPr>
          <w:i/>
          <w:lang w:val="es-ES"/>
        </w:rPr>
        <w:t>Millis</w:t>
      </w:r>
      <w:proofErr w:type="spellEnd"/>
      <w:r w:rsidRPr="0087202D">
        <w:rPr>
          <w:i/>
          <w:lang w:val="es-ES"/>
        </w:rPr>
        <w:t xml:space="preserve"> </w:t>
      </w:r>
      <w:r w:rsidR="00B5675D">
        <w:rPr>
          <w:i/>
          <w:lang w:val="es-ES"/>
        </w:rPr>
        <w:t>c</w:t>
      </w:r>
      <w:r w:rsidRPr="0087202D">
        <w:rPr>
          <w:i/>
          <w:lang w:val="es-ES"/>
        </w:rPr>
        <w:t>. Argelia</w:t>
      </w:r>
      <w:r w:rsidRPr="00F23C7A">
        <w:rPr>
          <w:lang w:val="es-ES"/>
        </w:rPr>
        <w:t xml:space="preserve"> (CCPR/C/122/D/23</w:t>
      </w:r>
      <w:r>
        <w:rPr>
          <w:lang w:val="es-ES"/>
        </w:rPr>
        <w:t xml:space="preserve">98/2014) de 6 de abril de 2018; </w:t>
      </w:r>
      <w:r w:rsidRPr="0087202D">
        <w:rPr>
          <w:i/>
          <w:lang w:val="es-ES"/>
        </w:rPr>
        <w:t xml:space="preserve">Sarita </w:t>
      </w:r>
      <w:proofErr w:type="spellStart"/>
      <w:r w:rsidRPr="0087202D">
        <w:rPr>
          <w:i/>
          <w:lang w:val="es-ES"/>
        </w:rPr>
        <w:t>Devi</w:t>
      </w:r>
      <w:proofErr w:type="spellEnd"/>
      <w:r w:rsidRPr="0087202D">
        <w:rPr>
          <w:i/>
          <w:lang w:val="es-ES"/>
        </w:rPr>
        <w:t xml:space="preserve"> </w:t>
      </w:r>
      <w:proofErr w:type="spellStart"/>
      <w:r w:rsidRPr="0087202D">
        <w:rPr>
          <w:i/>
          <w:lang w:val="es-ES"/>
        </w:rPr>
        <w:t>Sharma</w:t>
      </w:r>
      <w:proofErr w:type="spellEnd"/>
      <w:r w:rsidRPr="0087202D">
        <w:rPr>
          <w:i/>
          <w:lang w:val="es-ES"/>
        </w:rPr>
        <w:t xml:space="preserve">, </w:t>
      </w:r>
      <w:proofErr w:type="spellStart"/>
      <w:r w:rsidRPr="0087202D">
        <w:rPr>
          <w:i/>
          <w:lang w:val="es-ES"/>
        </w:rPr>
        <w:t>Bijaya</w:t>
      </w:r>
      <w:proofErr w:type="spellEnd"/>
      <w:r w:rsidRPr="0087202D">
        <w:rPr>
          <w:i/>
          <w:lang w:val="es-ES"/>
        </w:rPr>
        <w:t xml:space="preserve"> </w:t>
      </w:r>
      <w:proofErr w:type="spellStart"/>
      <w:r w:rsidRPr="0087202D">
        <w:rPr>
          <w:i/>
          <w:lang w:val="es-ES"/>
        </w:rPr>
        <w:t>Sharma</w:t>
      </w:r>
      <w:proofErr w:type="spellEnd"/>
      <w:r w:rsidRPr="0087202D">
        <w:rPr>
          <w:i/>
          <w:lang w:val="es-ES"/>
        </w:rPr>
        <w:t xml:space="preserve"> </w:t>
      </w:r>
      <w:proofErr w:type="spellStart"/>
      <w:r w:rsidRPr="0087202D">
        <w:rPr>
          <w:i/>
          <w:lang w:val="es-ES"/>
        </w:rPr>
        <w:t>Paudel</w:t>
      </w:r>
      <w:proofErr w:type="spellEnd"/>
      <w:r w:rsidRPr="0087202D">
        <w:rPr>
          <w:i/>
          <w:lang w:val="es-ES"/>
        </w:rPr>
        <w:t xml:space="preserve"> y Basanta </w:t>
      </w:r>
      <w:proofErr w:type="spellStart"/>
      <w:r w:rsidRPr="0087202D">
        <w:rPr>
          <w:i/>
          <w:lang w:val="es-ES"/>
        </w:rPr>
        <w:t>Sharma</w:t>
      </w:r>
      <w:proofErr w:type="spellEnd"/>
      <w:r w:rsidRPr="0087202D">
        <w:rPr>
          <w:i/>
          <w:lang w:val="es-ES"/>
        </w:rPr>
        <w:t xml:space="preserve"> </w:t>
      </w:r>
      <w:proofErr w:type="spellStart"/>
      <w:r w:rsidRPr="0087202D">
        <w:rPr>
          <w:i/>
          <w:lang w:val="es-ES"/>
        </w:rPr>
        <w:t>Paudel</w:t>
      </w:r>
      <w:proofErr w:type="spellEnd"/>
      <w:r w:rsidRPr="0087202D">
        <w:rPr>
          <w:i/>
          <w:lang w:val="es-ES"/>
        </w:rPr>
        <w:t xml:space="preserve"> </w:t>
      </w:r>
      <w:r w:rsidR="00B5675D">
        <w:rPr>
          <w:i/>
          <w:lang w:val="es-ES"/>
        </w:rPr>
        <w:t>c</w:t>
      </w:r>
      <w:r w:rsidRPr="0087202D">
        <w:rPr>
          <w:i/>
          <w:lang w:val="es-ES"/>
        </w:rPr>
        <w:t>. Nepal</w:t>
      </w:r>
      <w:r w:rsidRPr="00F23C7A">
        <w:rPr>
          <w:lang w:val="es-ES"/>
        </w:rPr>
        <w:t xml:space="preserve"> (CCPR/C/122/D/2364/2014) de 6 de abril de 2018</w:t>
      </w:r>
      <w:r>
        <w:rPr>
          <w:lang w:val="es-ES"/>
        </w:rPr>
        <w:t xml:space="preserve">; y </w:t>
      </w:r>
      <w:proofErr w:type="spellStart"/>
      <w:r w:rsidRPr="0087202D">
        <w:rPr>
          <w:i/>
          <w:lang w:val="es-ES"/>
        </w:rPr>
        <w:t>Himal</w:t>
      </w:r>
      <w:proofErr w:type="spellEnd"/>
      <w:r w:rsidRPr="0087202D">
        <w:rPr>
          <w:i/>
          <w:lang w:val="es-ES"/>
        </w:rPr>
        <w:t xml:space="preserve"> y </w:t>
      </w:r>
      <w:proofErr w:type="spellStart"/>
      <w:r w:rsidRPr="0087202D">
        <w:rPr>
          <w:i/>
          <w:lang w:val="es-ES"/>
        </w:rPr>
        <w:t>Devi</w:t>
      </w:r>
      <w:proofErr w:type="spellEnd"/>
      <w:r w:rsidRPr="0087202D">
        <w:rPr>
          <w:i/>
          <w:lang w:val="es-ES"/>
        </w:rPr>
        <w:t xml:space="preserve"> </w:t>
      </w:r>
      <w:proofErr w:type="spellStart"/>
      <w:r w:rsidRPr="0087202D">
        <w:rPr>
          <w:i/>
          <w:lang w:val="es-ES"/>
        </w:rPr>
        <w:t>Sharma</w:t>
      </w:r>
      <w:proofErr w:type="spellEnd"/>
      <w:r w:rsidRPr="0087202D">
        <w:rPr>
          <w:i/>
          <w:lang w:val="es-ES"/>
        </w:rPr>
        <w:t xml:space="preserve"> </w:t>
      </w:r>
      <w:r w:rsidR="00B5675D">
        <w:rPr>
          <w:i/>
          <w:lang w:val="es-ES"/>
        </w:rPr>
        <w:t>c</w:t>
      </w:r>
      <w:r w:rsidRPr="0087202D">
        <w:rPr>
          <w:i/>
          <w:lang w:val="es-ES"/>
        </w:rPr>
        <w:t>. Nepal</w:t>
      </w:r>
      <w:r w:rsidRPr="00F23C7A">
        <w:rPr>
          <w:lang w:val="es-ES"/>
        </w:rPr>
        <w:t xml:space="preserve"> (CCPR/C/122/D/22</w:t>
      </w:r>
      <w:r>
        <w:rPr>
          <w:lang w:val="es-ES"/>
        </w:rPr>
        <w:t>65/2013) de 6 de abril de 2018</w:t>
      </w:r>
      <w:r w:rsidRPr="00F23C7A">
        <w:rPr>
          <w:lang w:val="es-ES"/>
        </w:rPr>
        <w:t>.</w:t>
      </w:r>
    </w:p>
  </w:footnote>
  <w:footnote w:id="36">
    <w:p w14:paraId="2E97CF4C" w14:textId="3FAC8237" w:rsidR="008164CC" w:rsidRPr="00192605" w:rsidRDefault="008164CC" w:rsidP="00192605">
      <w:pPr>
        <w:pStyle w:val="FootnoteText"/>
        <w:jc w:val="both"/>
        <w:rPr>
          <w:lang w:val="es-ES"/>
        </w:rPr>
      </w:pPr>
      <w:r w:rsidRPr="00192605">
        <w:rPr>
          <w:lang w:val="es-ES"/>
        </w:rPr>
        <w:tab/>
      </w:r>
      <w:r w:rsidRPr="00192605">
        <w:rPr>
          <w:rStyle w:val="FootnoteReference"/>
          <w:lang w:val="es-ES"/>
        </w:rPr>
        <w:footnoteRef/>
      </w:r>
      <w:r w:rsidRPr="00192605">
        <w:rPr>
          <w:lang w:val="es-ES"/>
        </w:rPr>
        <w:tab/>
        <w:t>Ver en este sentido el último dictamen del Comité al respecto:</w:t>
      </w:r>
      <w:r>
        <w:rPr>
          <w:lang w:val="es-ES"/>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et al </w:t>
      </w:r>
      <w:r w:rsidR="00B5675D">
        <w:rPr>
          <w:i/>
          <w:lang w:val="es-ES"/>
        </w:rPr>
        <w:t>c</w:t>
      </w:r>
      <w:r w:rsidRPr="0087202D">
        <w:rPr>
          <w:i/>
          <w:lang w:val="es-ES"/>
        </w:rPr>
        <w:t>. Nepal</w:t>
      </w:r>
      <w:r>
        <w:rPr>
          <w:lang w:val="es-ES"/>
        </w:rPr>
        <w:t xml:space="preserve"> (</w:t>
      </w:r>
      <w:r w:rsidRPr="00192605">
        <w:rPr>
          <w:lang w:val="es-ES"/>
        </w:rPr>
        <w:t>CCPR/C/123/D/2658/2015</w:t>
      </w:r>
      <w:r>
        <w:rPr>
          <w:lang w:val="es-ES"/>
        </w:rPr>
        <w:t>) de 19 de julio de 2018, párr. 7.4.</w:t>
      </w:r>
    </w:p>
  </w:footnote>
  <w:footnote w:id="37">
    <w:p w14:paraId="48A72F32" w14:textId="580C4E12" w:rsidR="008164CC" w:rsidRPr="00B4787D" w:rsidRDefault="008164CC" w:rsidP="00954784">
      <w:pPr>
        <w:pStyle w:val="FootnoteText"/>
        <w:jc w:val="both"/>
        <w:rPr>
          <w:lang w:val="es-ES"/>
        </w:rPr>
      </w:pPr>
      <w:r>
        <w:rPr>
          <w:lang w:val="es-ES"/>
        </w:rPr>
        <w:tab/>
      </w:r>
      <w:r w:rsidRPr="00B4787D">
        <w:rPr>
          <w:rStyle w:val="FootnoteReference"/>
          <w:lang w:val="es-ES"/>
        </w:rPr>
        <w:footnoteRef/>
      </w:r>
      <w:r>
        <w:rPr>
          <w:lang w:val="es-ES"/>
        </w:rPr>
        <w:tab/>
        <w:t xml:space="preserve">Corte Interamericana de Derechos Humanos, </w:t>
      </w:r>
      <w:r w:rsidRPr="00B4787D">
        <w:rPr>
          <w:lang w:val="es-ES"/>
        </w:rPr>
        <w:t xml:space="preserve">Caso </w:t>
      </w:r>
      <w:r w:rsidRPr="00B4787D">
        <w:rPr>
          <w:i/>
          <w:lang w:val="es-ES"/>
        </w:rPr>
        <w:t xml:space="preserve">González Medina y familiares </w:t>
      </w:r>
      <w:r w:rsidR="00B5675D">
        <w:rPr>
          <w:i/>
          <w:lang w:val="es-ES"/>
        </w:rPr>
        <w:t>c</w:t>
      </w:r>
      <w:r w:rsidRPr="00B4787D">
        <w:rPr>
          <w:i/>
          <w:lang w:val="es-ES"/>
        </w:rPr>
        <w:t>. República Dominicana</w:t>
      </w:r>
      <w:r w:rsidRPr="00B4787D">
        <w:rPr>
          <w:lang w:val="es-ES"/>
        </w:rPr>
        <w:t>. Excepciones Preliminares, Fondo, Reparaciones y Costas. Sentencia de 27 de febrero de 2012. Serie C No. 240, párr. 1</w:t>
      </w:r>
      <w:r>
        <w:rPr>
          <w:lang w:val="es-ES"/>
        </w:rPr>
        <w:t>61</w:t>
      </w:r>
      <w:r w:rsidRPr="00B4787D">
        <w:rPr>
          <w:lang w:val="es-ES"/>
        </w:rPr>
        <w:t>.</w:t>
      </w:r>
      <w:r w:rsidR="002F464E">
        <w:rPr>
          <w:lang w:val="es-ES"/>
        </w:rPr>
        <w:t xml:space="preserve"> Asimismo, </w:t>
      </w:r>
      <w:r w:rsidR="002F464E" w:rsidRPr="002F464E">
        <w:rPr>
          <w:lang w:val="es-ES"/>
        </w:rPr>
        <w:t>Observación general número 36</w:t>
      </w:r>
      <w:r w:rsidR="00B5675D">
        <w:rPr>
          <w:lang w:val="es-ES"/>
        </w:rPr>
        <w:t xml:space="preserve"> </w:t>
      </w:r>
      <w:r w:rsidR="00B5675D" w:rsidRPr="00B5675D">
        <w:rPr>
          <w:lang w:val="es-ES"/>
        </w:rPr>
        <w:t>(CCPR/C/GC/36) de 30 de octubre de 2018</w:t>
      </w:r>
      <w:r w:rsidR="002F464E" w:rsidRPr="002F464E">
        <w:rPr>
          <w:lang w:val="es-ES"/>
        </w:rPr>
        <w:t>, párr. 58</w:t>
      </w:r>
      <w:r w:rsidR="002F464E">
        <w:rPr>
          <w:lang w:val="es-ES"/>
        </w:rPr>
        <w:t>.</w:t>
      </w:r>
    </w:p>
  </w:footnote>
  <w:footnote w:id="38">
    <w:p w14:paraId="6BA4587C" w14:textId="6B1BFD6D" w:rsidR="00C636F6" w:rsidRPr="00BA5821" w:rsidRDefault="00C636F6">
      <w:pPr>
        <w:pStyle w:val="FootnoteText"/>
        <w:rPr>
          <w:lang w:val="es-ES"/>
        </w:rPr>
      </w:pPr>
      <w:r>
        <w:rPr>
          <w:lang w:val="es-ES"/>
        </w:rPr>
        <w:tab/>
      </w:r>
      <w:r>
        <w:rPr>
          <w:rStyle w:val="FootnoteReference"/>
        </w:rPr>
        <w:footnoteRef/>
      </w:r>
      <w:r>
        <w:rPr>
          <w:lang w:val="es-ES"/>
        </w:rPr>
        <w:tab/>
      </w:r>
      <w:r w:rsidRPr="00BA5821">
        <w:rPr>
          <w:i/>
          <w:lang w:val="es-ES"/>
        </w:rPr>
        <w:t xml:space="preserve">Herrera Rubio et al. </w:t>
      </w:r>
      <w:r w:rsidR="001A082F">
        <w:rPr>
          <w:i/>
          <w:lang w:val="es-ES"/>
        </w:rPr>
        <w:t>c</w:t>
      </w:r>
      <w:r w:rsidRPr="00BA5821">
        <w:rPr>
          <w:i/>
          <w:lang w:val="es-ES"/>
        </w:rPr>
        <w:t>. Colombia</w:t>
      </w:r>
      <w:r>
        <w:rPr>
          <w:lang w:val="es-ES"/>
        </w:rPr>
        <w:t xml:space="preserve"> (</w:t>
      </w:r>
      <w:r w:rsidRPr="00BA5821">
        <w:rPr>
          <w:lang w:val="es-ES"/>
        </w:rPr>
        <w:t>CCPR/C/31/D/161/1983</w:t>
      </w:r>
      <w:r>
        <w:rPr>
          <w:lang w:val="es-ES"/>
        </w:rPr>
        <w:t>) de 2 de noviembre de 1987, párr. 10.3.</w:t>
      </w:r>
    </w:p>
  </w:footnote>
  <w:footnote w:id="39">
    <w:p w14:paraId="04295A0D" w14:textId="59A7387A" w:rsidR="008164CC" w:rsidRPr="00FB37AD" w:rsidRDefault="008164CC" w:rsidP="00FB37AD">
      <w:pPr>
        <w:pStyle w:val="FootnoteText"/>
        <w:jc w:val="both"/>
        <w:rPr>
          <w:lang w:val="es-ES"/>
        </w:rPr>
      </w:pPr>
      <w:r w:rsidRPr="00FB37AD">
        <w:rPr>
          <w:lang w:val="es-ES"/>
        </w:rPr>
        <w:tab/>
      </w:r>
      <w:r w:rsidRPr="00FB37AD">
        <w:rPr>
          <w:rStyle w:val="FootnoteReference"/>
          <w:lang w:val="es-ES"/>
        </w:rPr>
        <w:footnoteRef/>
      </w:r>
      <w:r w:rsidRPr="00FB37AD">
        <w:rPr>
          <w:lang w:val="es-ES"/>
        </w:rPr>
        <w:tab/>
      </w:r>
      <w:r>
        <w:rPr>
          <w:lang w:val="es-ES"/>
        </w:rPr>
        <w:t xml:space="preserve">Ver el artículo 2 de la </w:t>
      </w:r>
      <w:r w:rsidRPr="00FB37AD">
        <w:rPr>
          <w:lang w:val="es-ES"/>
        </w:rPr>
        <w:t>Convención Internacional para la protección de todas las personas contra las desapariciones forzadas</w:t>
      </w:r>
      <w:r>
        <w:rPr>
          <w:lang w:val="es-ES"/>
        </w:rPr>
        <w:t>, ratificada por el Estado parte el 18 de marzo de 2008.</w:t>
      </w:r>
    </w:p>
  </w:footnote>
  <w:footnote w:id="40">
    <w:p w14:paraId="7D6177A8" w14:textId="2BD6263A" w:rsidR="008164CC" w:rsidRPr="00110F30" w:rsidRDefault="008164CC" w:rsidP="00110F30">
      <w:pPr>
        <w:pStyle w:val="FootnoteText"/>
        <w:jc w:val="both"/>
        <w:rPr>
          <w:lang w:val="es-ES"/>
        </w:rPr>
      </w:pPr>
      <w:r w:rsidRPr="00171878">
        <w:rPr>
          <w:lang w:val="es-ES"/>
        </w:rPr>
        <w:tab/>
      </w:r>
      <w:r>
        <w:rPr>
          <w:rStyle w:val="FootnoteReference"/>
        </w:rPr>
        <w:footnoteRef/>
      </w:r>
      <w:r w:rsidRPr="00171878">
        <w:rPr>
          <w:lang w:val="es-ES"/>
        </w:rPr>
        <w:tab/>
      </w:r>
      <w:r w:rsidRPr="00192605">
        <w:rPr>
          <w:lang w:val="es-ES"/>
        </w:rPr>
        <w:t>Ver en este sentido el último dictamen del Comité al respecto:</w:t>
      </w:r>
      <w:r>
        <w:rPr>
          <w:lang w:val="es-ES"/>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et al </w:t>
      </w:r>
      <w:r w:rsidR="001A082F">
        <w:rPr>
          <w:i/>
          <w:lang w:val="es-ES"/>
        </w:rPr>
        <w:t>c</w:t>
      </w:r>
      <w:r w:rsidRPr="0087202D">
        <w:rPr>
          <w:i/>
          <w:lang w:val="es-ES"/>
        </w:rPr>
        <w:t>. Nepal</w:t>
      </w:r>
      <w:r>
        <w:rPr>
          <w:lang w:val="es-ES"/>
        </w:rPr>
        <w:t xml:space="preserve"> (</w:t>
      </w:r>
      <w:r w:rsidRPr="00192605">
        <w:rPr>
          <w:lang w:val="es-ES"/>
        </w:rPr>
        <w:t>CCPR/C/123/D/2658/2015</w:t>
      </w:r>
      <w:r>
        <w:rPr>
          <w:lang w:val="es-ES"/>
        </w:rPr>
        <w:t>) de 19 de julio de 2018, párr. 7.7.</w:t>
      </w:r>
    </w:p>
  </w:footnote>
  <w:footnote w:id="41">
    <w:p w14:paraId="5B8B6982" w14:textId="51853AA3" w:rsidR="008164CC" w:rsidRPr="00277147" w:rsidRDefault="008164CC" w:rsidP="001501A5">
      <w:pPr>
        <w:pStyle w:val="FootnoteText"/>
        <w:jc w:val="both"/>
        <w:rPr>
          <w:lang w:val="es-ES"/>
        </w:rPr>
      </w:pPr>
      <w:r w:rsidRPr="00277147">
        <w:rPr>
          <w:lang w:val="es-ES"/>
        </w:rPr>
        <w:tab/>
      </w:r>
      <w:r w:rsidRPr="00277147">
        <w:rPr>
          <w:rStyle w:val="FootnoteReference"/>
          <w:lang w:val="es-ES"/>
        </w:rPr>
        <w:footnoteRef/>
      </w:r>
      <w:r w:rsidRPr="00277147">
        <w:rPr>
          <w:lang w:val="es-ES"/>
        </w:rPr>
        <w:tab/>
        <w:t>Ver al respecto la jurisprudencia constant</w:t>
      </w:r>
      <w:r>
        <w:rPr>
          <w:lang w:val="es-ES"/>
        </w:rPr>
        <w:t>e</w:t>
      </w:r>
      <w:r w:rsidRPr="00277147">
        <w:rPr>
          <w:lang w:val="es-ES"/>
        </w:rPr>
        <w:t xml:space="preserve"> desde el caso </w:t>
      </w:r>
      <w:proofErr w:type="spellStart"/>
      <w:r w:rsidRPr="0051463A">
        <w:rPr>
          <w:i/>
          <w:lang w:val="es-ES"/>
        </w:rPr>
        <w:t>Sarma</w:t>
      </w:r>
      <w:proofErr w:type="spellEnd"/>
      <w:r w:rsidRPr="0051463A">
        <w:rPr>
          <w:i/>
          <w:lang w:val="es-ES"/>
        </w:rPr>
        <w:t xml:space="preserve"> </w:t>
      </w:r>
      <w:r w:rsidR="001A082F">
        <w:rPr>
          <w:i/>
          <w:lang w:val="es-ES"/>
        </w:rPr>
        <w:t>c</w:t>
      </w:r>
      <w:r w:rsidRPr="0051463A">
        <w:rPr>
          <w:i/>
          <w:lang w:val="es-ES"/>
        </w:rPr>
        <w:t>. Sri Lanka</w:t>
      </w:r>
      <w:r w:rsidRPr="00277147">
        <w:rPr>
          <w:lang w:val="es-ES"/>
        </w:rPr>
        <w:t xml:space="preserve"> (CCPR/C/78/D/950/2000) de 16 de julio de 2003, párr. 9.3</w:t>
      </w:r>
      <w:r w:rsidR="002F6702">
        <w:rPr>
          <w:lang w:val="es-ES"/>
        </w:rPr>
        <w:t xml:space="preserve">, así como </w:t>
      </w:r>
      <w:r w:rsidR="002F6702" w:rsidRPr="002F6702">
        <w:rPr>
          <w:lang w:val="es-ES"/>
        </w:rPr>
        <w:t>la Observación general número 36</w:t>
      </w:r>
      <w:r w:rsidR="001A082F">
        <w:rPr>
          <w:lang w:val="es-ES"/>
        </w:rPr>
        <w:t xml:space="preserve"> </w:t>
      </w:r>
      <w:r w:rsidR="001A082F" w:rsidRPr="001A082F">
        <w:rPr>
          <w:lang w:val="es-ES"/>
        </w:rPr>
        <w:t>(CCPR/C/GC/36) de 30 de octubre de 2018</w:t>
      </w:r>
      <w:r w:rsidR="002F6702" w:rsidRPr="002F6702">
        <w:rPr>
          <w:lang w:val="es-ES"/>
        </w:rPr>
        <w:t>, párr. 58</w:t>
      </w:r>
      <w:r w:rsidRPr="00277147">
        <w:rPr>
          <w:lang w:val="es-ES"/>
        </w:rPr>
        <w:t>.</w:t>
      </w:r>
    </w:p>
  </w:footnote>
  <w:footnote w:id="42">
    <w:p w14:paraId="7F9B8ABF" w14:textId="25E344FD" w:rsidR="008164CC" w:rsidRPr="008B4249" w:rsidRDefault="008164CC" w:rsidP="004E3C71">
      <w:pPr>
        <w:pStyle w:val="FootnoteText"/>
        <w:jc w:val="both"/>
        <w:rPr>
          <w:lang w:val="es-ES"/>
        </w:rPr>
      </w:pPr>
      <w:r w:rsidRPr="005668F1">
        <w:rPr>
          <w:lang w:val="es-ES"/>
        </w:rPr>
        <w:tab/>
      </w:r>
      <w:r>
        <w:rPr>
          <w:rStyle w:val="FootnoteReference"/>
        </w:rPr>
        <w:footnoteRef/>
      </w:r>
      <w:r w:rsidRPr="00171878">
        <w:rPr>
          <w:lang w:val="es-ES"/>
        </w:rPr>
        <w:tab/>
      </w:r>
      <w:r w:rsidRPr="00192605">
        <w:rPr>
          <w:lang w:val="es-ES"/>
        </w:rPr>
        <w:t>Ver en este sentido el último dictamen del Comité al respecto:</w:t>
      </w:r>
      <w:r>
        <w:rPr>
          <w:lang w:val="es-ES"/>
        </w:rPr>
        <w:t xml:space="preserve"> </w:t>
      </w:r>
      <w:proofErr w:type="spellStart"/>
      <w:r w:rsidRPr="0051463A">
        <w:rPr>
          <w:i/>
          <w:lang w:val="es-ES"/>
        </w:rPr>
        <w:t>Gyan</w:t>
      </w:r>
      <w:proofErr w:type="spellEnd"/>
      <w:r w:rsidRPr="0051463A">
        <w:rPr>
          <w:i/>
          <w:lang w:val="es-ES"/>
        </w:rPr>
        <w:t xml:space="preserve"> </w:t>
      </w:r>
      <w:proofErr w:type="spellStart"/>
      <w:r w:rsidRPr="0051463A">
        <w:rPr>
          <w:i/>
          <w:lang w:val="es-ES"/>
        </w:rPr>
        <w:t>Devi</w:t>
      </w:r>
      <w:proofErr w:type="spellEnd"/>
      <w:r w:rsidRPr="0051463A">
        <w:rPr>
          <w:i/>
          <w:lang w:val="es-ES"/>
        </w:rPr>
        <w:t xml:space="preserve"> </w:t>
      </w:r>
      <w:proofErr w:type="spellStart"/>
      <w:r w:rsidRPr="0051463A">
        <w:rPr>
          <w:i/>
          <w:lang w:val="es-ES"/>
        </w:rPr>
        <w:t>Bolakhe</w:t>
      </w:r>
      <w:proofErr w:type="spellEnd"/>
      <w:r w:rsidRPr="0051463A">
        <w:rPr>
          <w:i/>
          <w:lang w:val="es-ES"/>
        </w:rPr>
        <w:t xml:space="preserve"> et al </w:t>
      </w:r>
      <w:r w:rsidR="001A082F">
        <w:rPr>
          <w:i/>
          <w:lang w:val="es-ES"/>
        </w:rPr>
        <w:t>c</w:t>
      </w:r>
      <w:r w:rsidRPr="0051463A">
        <w:rPr>
          <w:i/>
          <w:lang w:val="es-ES"/>
        </w:rPr>
        <w:t>. Nepal</w:t>
      </w:r>
      <w:r>
        <w:rPr>
          <w:lang w:val="es-ES"/>
        </w:rPr>
        <w:t xml:space="preserve"> (</w:t>
      </w:r>
      <w:r w:rsidRPr="00192605">
        <w:rPr>
          <w:lang w:val="es-ES"/>
        </w:rPr>
        <w:t>CCPR/C/123/D/2658/2015</w:t>
      </w:r>
      <w:r>
        <w:rPr>
          <w:lang w:val="es-ES"/>
        </w:rPr>
        <w:t>) de 19 de julio de 2018, párr. 7.8</w:t>
      </w:r>
      <w:r w:rsidR="006F105B">
        <w:rPr>
          <w:lang w:val="es-ES"/>
        </w:rPr>
        <w:t xml:space="preserve">, </w:t>
      </w:r>
      <w:r w:rsidR="006F105B" w:rsidRPr="006F105B">
        <w:rPr>
          <w:lang w:val="es-ES"/>
        </w:rPr>
        <w:t>así como la Observación general número 36</w:t>
      </w:r>
      <w:r w:rsidR="001A082F">
        <w:rPr>
          <w:lang w:val="es-ES"/>
        </w:rPr>
        <w:t xml:space="preserve"> </w:t>
      </w:r>
      <w:r w:rsidR="001A082F" w:rsidRPr="001A082F">
        <w:rPr>
          <w:lang w:val="es-ES"/>
        </w:rPr>
        <w:t>(CCPR/C/GC/36) de 30 de octubre de 2018</w:t>
      </w:r>
      <w:r w:rsidR="006F105B" w:rsidRPr="006F105B">
        <w:rPr>
          <w:lang w:val="es-ES"/>
        </w:rPr>
        <w:t>, párr. 58</w:t>
      </w:r>
      <w:r>
        <w:rPr>
          <w:lang w:val="es-ES"/>
        </w:rPr>
        <w:t>.</w:t>
      </w:r>
      <w:r w:rsidR="00A70623">
        <w:rPr>
          <w:lang w:val="es-ES"/>
        </w:rPr>
        <w:t xml:space="preserve"> Al respecto, ver también </w:t>
      </w:r>
      <w:r w:rsidR="00A70623" w:rsidRPr="00A70623">
        <w:rPr>
          <w:lang w:val="es-ES"/>
        </w:rPr>
        <w:t xml:space="preserve">Corte Interamericana de Derechos Humanos, </w:t>
      </w:r>
      <w:r w:rsidR="00A70623" w:rsidRPr="00AF2129">
        <w:rPr>
          <w:i/>
          <w:lang w:val="es-ES"/>
        </w:rPr>
        <w:t xml:space="preserve">Caso Velásquez Rodríguez </w:t>
      </w:r>
      <w:r w:rsidR="001A082F">
        <w:rPr>
          <w:i/>
          <w:lang w:val="es-ES"/>
        </w:rPr>
        <w:t>c</w:t>
      </w:r>
      <w:r w:rsidR="00A70623" w:rsidRPr="00AF2129">
        <w:rPr>
          <w:i/>
          <w:lang w:val="es-ES"/>
        </w:rPr>
        <w:t>. Honduras</w:t>
      </w:r>
      <w:r w:rsidR="00A70623" w:rsidRPr="00A70623">
        <w:rPr>
          <w:lang w:val="es-ES"/>
        </w:rPr>
        <w:t>. Fondo. Sentencia de 29 de julio de 1988. Serie C No. 4, párr. 157 y 188</w:t>
      </w:r>
      <w:r w:rsidR="00A70623">
        <w:rPr>
          <w:lang w:val="es-ES"/>
        </w:rPr>
        <w:t xml:space="preserve">: </w:t>
      </w:r>
      <w:r w:rsidR="00A70623" w:rsidRPr="00A70623">
        <w:rPr>
          <w:lang w:val="es-ES"/>
        </w:rPr>
        <w:t>“[l]a práctica de desapariciones […] ha implicado con frecuencia la ejecución de los detenidos, en secreto y sin fórmula de juicio, seguida del ocultamiento del cadáver con el objeto de borrar toda huella material del crimen y de procurar la impunidad de quienes lo cometieron, lo que significa una brutal violación del derecho a la vida”, y que “el contexto en que se produjo la desaparición y la circunstancia de que siete años después continúe ignorándose qué ha sido de él, son de por sí suficientes para concluir razonablemente que […] fue privado de su vida”</w:t>
      </w:r>
      <w:r w:rsidR="00A70623">
        <w:rPr>
          <w:lang w:val="es-ES"/>
        </w:rPr>
        <w:t>.</w:t>
      </w:r>
    </w:p>
  </w:footnote>
  <w:footnote w:id="43">
    <w:p w14:paraId="31F9DC6B" w14:textId="1ADA6E50" w:rsidR="008164CC" w:rsidRPr="008B4249" w:rsidRDefault="008164CC" w:rsidP="00D20DD6">
      <w:pPr>
        <w:pStyle w:val="FootnoteText"/>
        <w:jc w:val="both"/>
        <w:rPr>
          <w:lang w:val="es-ES"/>
        </w:rPr>
      </w:pPr>
      <w:r w:rsidRPr="008B4249">
        <w:rPr>
          <w:lang w:val="es-ES"/>
        </w:rPr>
        <w:tab/>
      </w:r>
      <w:r>
        <w:rPr>
          <w:rStyle w:val="FootnoteReference"/>
        </w:rPr>
        <w:footnoteRef/>
      </w:r>
      <w:r w:rsidRPr="00171878">
        <w:rPr>
          <w:lang w:val="es-ES"/>
        </w:rPr>
        <w:tab/>
      </w:r>
      <w:r w:rsidRPr="00192605">
        <w:rPr>
          <w:lang w:val="es-ES"/>
        </w:rPr>
        <w:t>Ver en este sentido el último dictamen del Comité al respecto:</w:t>
      </w:r>
      <w:r>
        <w:rPr>
          <w:lang w:val="es-ES"/>
        </w:rPr>
        <w:t xml:space="preserve"> </w:t>
      </w:r>
      <w:proofErr w:type="spellStart"/>
      <w:r w:rsidRPr="0051463A">
        <w:rPr>
          <w:i/>
          <w:lang w:val="es-ES"/>
        </w:rPr>
        <w:t>Gyan</w:t>
      </w:r>
      <w:proofErr w:type="spellEnd"/>
      <w:r w:rsidRPr="0051463A">
        <w:rPr>
          <w:i/>
          <w:lang w:val="es-ES"/>
        </w:rPr>
        <w:t xml:space="preserve"> </w:t>
      </w:r>
      <w:proofErr w:type="spellStart"/>
      <w:r w:rsidRPr="0051463A">
        <w:rPr>
          <w:i/>
          <w:lang w:val="es-ES"/>
        </w:rPr>
        <w:t>Devi</w:t>
      </w:r>
      <w:proofErr w:type="spellEnd"/>
      <w:r w:rsidRPr="0051463A">
        <w:rPr>
          <w:i/>
          <w:lang w:val="es-ES"/>
        </w:rPr>
        <w:t xml:space="preserve"> </w:t>
      </w:r>
      <w:proofErr w:type="spellStart"/>
      <w:r w:rsidRPr="0051463A">
        <w:rPr>
          <w:i/>
          <w:lang w:val="es-ES"/>
        </w:rPr>
        <w:t>Bolakhe</w:t>
      </w:r>
      <w:proofErr w:type="spellEnd"/>
      <w:r w:rsidRPr="0051463A">
        <w:rPr>
          <w:i/>
          <w:lang w:val="es-ES"/>
        </w:rPr>
        <w:t xml:space="preserve"> et al </w:t>
      </w:r>
      <w:r w:rsidR="001A082F">
        <w:rPr>
          <w:i/>
          <w:lang w:val="es-ES"/>
        </w:rPr>
        <w:t>c</w:t>
      </w:r>
      <w:r w:rsidRPr="0051463A">
        <w:rPr>
          <w:i/>
          <w:lang w:val="es-ES"/>
        </w:rPr>
        <w:t>. Nepal</w:t>
      </w:r>
      <w:r>
        <w:rPr>
          <w:lang w:val="es-ES"/>
        </w:rPr>
        <w:t xml:space="preserve"> (</w:t>
      </w:r>
      <w:r w:rsidRPr="00192605">
        <w:rPr>
          <w:lang w:val="es-ES"/>
        </w:rPr>
        <w:t>CCPR/C/123/D/2658/2015</w:t>
      </w:r>
      <w:r>
        <w:rPr>
          <w:lang w:val="es-ES"/>
        </w:rPr>
        <w:t>) de 19 de julio de 2018, párr. 7.16</w:t>
      </w:r>
      <w:r w:rsidR="00D352E4">
        <w:rPr>
          <w:lang w:val="es-ES"/>
        </w:rPr>
        <w:t>, así como la</w:t>
      </w:r>
      <w:r w:rsidR="00D352E4" w:rsidRPr="001731E5">
        <w:rPr>
          <w:lang w:val="es-ES"/>
        </w:rPr>
        <w:t xml:space="preserve"> </w:t>
      </w:r>
      <w:r w:rsidR="00D352E4" w:rsidRPr="00D352E4">
        <w:rPr>
          <w:lang w:val="es-ES"/>
        </w:rPr>
        <w:t>Observación general número 36</w:t>
      </w:r>
      <w:r w:rsidR="001A082F">
        <w:rPr>
          <w:lang w:val="es-ES"/>
        </w:rPr>
        <w:t xml:space="preserve"> </w:t>
      </w:r>
      <w:r w:rsidR="001A082F" w:rsidRPr="001A082F">
        <w:rPr>
          <w:lang w:val="es-ES"/>
        </w:rPr>
        <w:t>(CCPR/C/GC/36) de 30 de octubre de 2018</w:t>
      </w:r>
      <w:r w:rsidR="00D352E4" w:rsidRPr="00D352E4">
        <w:rPr>
          <w:lang w:val="es-ES"/>
        </w:rPr>
        <w:t>, párr. 58</w:t>
      </w:r>
      <w:r w:rsidRPr="008B4249">
        <w:rPr>
          <w:lang w:val="es-ES"/>
        </w:rPr>
        <w:t xml:space="preserve">. </w:t>
      </w:r>
    </w:p>
  </w:footnote>
  <w:footnote w:id="44">
    <w:p w14:paraId="6CEDB4C3" w14:textId="17D5E010" w:rsidR="008164CC" w:rsidRPr="008B4249" w:rsidRDefault="008164CC" w:rsidP="00DE06F8">
      <w:pPr>
        <w:pStyle w:val="FootnoteText"/>
        <w:jc w:val="both"/>
        <w:rPr>
          <w:lang w:val="es-ES"/>
        </w:rPr>
      </w:pPr>
      <w:r w:rsidRPr="008B4249">
        <w:rPr>
          <w:lang w:val="es-ES"/>
        </w:rPr>
        <w:tab/>
      </w:r>
      <w:r>
        <w:rPr>
          <w:rStyle w:val="FootnoteReference"/>
        </w:rPr>
        <w:footnoteRef/>
      </w:r>
      <w:r w:rsidRPr="00171878">
        <w:rPr>
          <w:lang w:val="es-ES"/>
        </w:rPr>
        <w:tab/>
      </w:r>
      <w:r w:rsidRPr="005F3A90">
        <w:rPr>
          <w:lang w:val="es-ES"/>
        </w:rPr>
        <w:t>Ver al respect</w:t>
      </w:r>
      <w:r>
        <w:rPr>
          <w:lang w:val="es-ES"/>
        </w:rPr>
        <w:t>o</w:t>
      </w:r>
      <w:r w:rsidRPr="005F3A90">
        <w:rPr>
          <w:lang w:val="es-ES"/>
        </w:rPr>
        <w:t xml:space="preserve"> la Observación general número 35</w:t>
      </w:r>
      <w:r>
        <w:rPr>
          <w:lang w:val="es-ES"/>
        </w:rPr>
        <w:t xml:space="preserve">, </w:t>
      </w:r>
      <w:r w:rsidRPr="009A0625">
        <w:rPr>
          <w:lang w:val="es-ES"/>
        </w:rPr>
        <w:t>párr</w:t>
      </w:r>
      <w:r>
        <w:rPr>
          <w:lang w:val="es-ES"/>
        </w:rPr>
        <w:t>. 17</w:t>
      </w:r>
      <w:r w:rsidR="00287289">
        <w:rPr>
          <w:lang w:val="es-ES"/>
        </w:rPr>
        <w:t>,</w:t>
      </w:r>
      <w:r w:rsidR="00287289" w:rsidRPr="00287289">
        <w:rPr>
          <w:lang w:val="es-ES"/>
        </w:rPr>
        <w:t xml:space="preserve"> así como la Observación general número 36</w:t>
      </w:r>
      <w:r w:rsidR="001A082F">
        <w:rPr>
          <w:lang w:val="es-ES"/>
        </w:rPr>
        <w:t xml:space="preserve"> </w:t>
      </w:r>
      <w:r w:rsidR="001A082F" w:rsidRPr="001A082F">
        <w:rPr>
          <w:lang w:val="es-ES"/>
        </w:rPr>
        <w:t>(CCPR/C/GC/36) de 30 de octubre de 2018</w:t>
      </w:r>
      <w:r w:rsidR="00287289" w:rsidRPr="00287289">
        <w:rPr>
          <w:lang w:val="es-ES"/>
        </w:rPr>
        <w:t>, párr. 58</w:t>
      </w:r>
      <w:r w:rsidRPr="005F3A90">
        <w:rPr>
          <w:lang w:val="es-ES"/>
        </w:rPr>
        <w:t>.</w:t>
      </w:r>
    </w:p>
  </w:footnote>
  <w:footnote w:id="45">
    <w:p w14:paraId="13242D66" w14:textId="48C6A2B7" w:rsidR="008164CC" w:rsidRPr="00410393" w:rsidRDefault="008164CC" w:rsidP="001F11D7">
      <w:pPr>
        <w:pStyle w:val="FootnoteText"/>
        <w:jc w:val="both"/>
        <w:rPr>
          <w:szCs w:val="18"/>
          <w:lang w:val="es-ES"/>
        </w:rPr>
      </w:pPr>
      <w:r>
        <w:rPr>
          <w:szCs w:val="18"/>
          <w:lang w:val="es-ES"/>
        </w:rPr>
        <w:tab/>
      </w:r>
      <w:r w:rsidRPr="00B229DC">
        <w:rPr>
          <w:rStyle w:val="FootnoteReference"/>
          <w:szCs w:val="18"/>
        </w:rPr>
        <w:footnoteRef/>
      </w:r>
      <w:r>
        <w:rPr>
          <w:szCs w:val="18"/>
          <w:lang w:val="es-ES"/>
        </w:rPr>
        <w:tab/>
        <w:t xml:space="preserve">Ver en este sentido la jurisprudencia constante de la </w:t>
      </w:r>
      <w:r w:rsidRPr="00B229DC">
        <w:rPr>
          <w:szCs w:val="18"/>
          <w:lang w:val="es-ES"/>
        </w:rPr>
        <w:t xml:space="preserve">Corte interamericana </w:t>
      </w:r>
      <w:r>
        <w:rPr>
          <w:szCs w:val="18"/>
          <w:lang w:val="es-ES"/>
        </w:rPr>
        <w:t>de derechos humanos desde el caso</w:t>
      </w:r>
      <w:r w:rsidRPr="00171878">
        <w:rPr>
          <w:lang w:val="es-ES"/>
        </w:rPr>
        <w:t xml:space="preserve"> </w:t>
      </w:r>
      <w:proofErr w:type="spellStart"/>
      <w:r w:rsidRPr="0017629E">
        <w:rPr>
          <w:i/>
          <w:szCs w:val="18"/>
          <w:lang w:val="es-ES"/>
        </w:rPr>
        <w:t>Anzualdo</w:t>
      </w:r>
      <w:proofErr w:type="spellEnd"/>
      <w:r w:rsidRPr="0017629E">
        <w:rPr>
          <w:i/>
          <w:szCs w:val="18"/>
          <w:lang w:val="es-ES"/>
        </w:rPr>
        <w:t xml:space="preserve"> Castro </w:t>
      </w:r>
      <w:r w:rsidR="001A082F">
        <w:rPr>
          <w:i/>
          <w:szCs w:val="18"/>
          <w:lang w:val="es-ES"/>
        </w:rPr>
        <w:t>c</w:t>
      </w:r>
      <w:r w:rsidRPr="0017629E">
        <w:rPr>
          <w:i/>
          <w:szCs w:val="18"/>
          <w:lang w:val="es-ES"/>
        </w:rPr>
        <w:t>. Perú</w:t>
      </w:r>
      <w:r w:rsidRPr="0017629E">
        <w:rPr>
          <w:szCs w:val="18"/>
          <w:lang w:val="es-ES"/>
        </w:rPr>
        <w:t>. Excepción Preliminar, Fondo, Reparaciones y Costas. Sentencia de 22 de septiembre de 2009. Serie C No. 202</w:t>
      </w:r>
      <w:r>
        <w:rPr>
          <w:szCs w:val="18"/>
          <w:lang w:val="es-ES"/>
        </w:rPr>
        <w:t>, párr. 63</w:t>
      </w:r>
      <w:r w:rsidRPr="00410393">
        <w:rPr>
          <w:szCs w:val="18"/>
          <w:lang w:val="es-ES"/>
        </w:rPr>
        <w:t>.</w:t>
      </w:r>
    </w:p>
  </w:footnote>
  <w:footnote w:id="46">
    <w:p w14:paraId="38B8756C" w14:textId="1DB018CE" w:rsidR="008164CC" w:rsidRPr="00496F03" w:rsidRDefault="008164CC" w:rsidP="00496F03">
      <w:pPr>
        <w:pStyle w:val="FootnoteText"/>
        <w:jc w:val="both"/>
        <w:rPr>
          <w:lang w:val="es-ES"/>
        </w:rPr>
      </w:pPr>
      <w:r w:rsidRPr="005668F1">
        <w:rPr>
          <w:lang w:val="es-ES"/>
        </w:rPr>
        <w:tab/>
      </w:r>
      <w:r>
        <w:rPr>
          <w:rStyle w:val="FootnoteReference"/>
        </w:rPr>
        <w:footnoteRef/>
      </w:r>
      <w:r w:rsidRPr="00171878">
        <w:rPr>
          <w:lang w:val="es-ES"/>
        </w:rPr>
        <w:tab/>
      </w:r>
      <w:r w:rsidRPr="00192605">
        <w:rPr>
          <w:lang w:val="es-ES"/>
        </w:rPr>
        <w:t>Ver en este sentido el último dictamen del Comité al respecto:</w:t>
      </w:r>
      <w:r>
        <w:rPr>
          <w:lang w:val="es-ES"/>
        </w:rPr>
        <w:t xml:space="preserve"> </w:t>
      </w:r>
      <w:proofErr w:type="spellStart"/>
      <w:r w:rsidRPr="007F62DB">
        <w:rPr>
          <w:i/>
          <w:lang w:val="es-ES"/>
        </w:rPr>
        <w:t>Gyan</w:t>
      </w:r>
      <w:proofErr w:type="spellEnd"/>
      <w:r w:rsidRPr="007F62DB">
        <w:rPr>
          <w:i/>
          <w:lang w:val="es-ES"/>
        </w:rPr>
        <w:t xml:space="preserve"> </w:t>
      </w:r>
      <w:proofErr w:type="spellStart"/>
      <w:r w:rsidRPr="007F62DB">
        <w:rPr>
          <w:i/>
          <w:lang w:val="es-ES"/>
        </w:rPr>
        <w:t>Devi</w:t>
      </w:r>
      <w:proofErr w:type="spellEnd"/>
      <w:r w:rsidRPr="007F62DB">
        <w:rPr>
          <w:i/>
          <w:lang w:val="es-ES"/>
        </w:rPr>
        <w:t xml:space="preserve"> </w:t>
      </w:r>
      <w:proofErr w:type="spellStart"/>
      <w:r w:rsidRPr="007F62DB">
        <w:rPr>
          <w:i/>
          <w:lang w:val="es-ES"/>
        </w:rPr>
        <w:t>Bolakhe</w:t>
      </w:r>
      <w:proofErr w:type="spellEnd"/>
      <w:r w:rsidRPr="007F62DB">
        <w:rPr>
          <w:i/>
          <w:lang w:val="es-ES"/>
        </w:rPr>
        <w:t xml:space="preserve"> et al </w:t>
      </w:r>
      <w:r w:rsidR="001A082F">
        <w:rPr>
          <w:i/>
          <w:lang w:val="es-ES"/>
        </w:rPr>
        <w:t>c</w:t>
      </w:r>
      <w:r w:rsidRPr="007F62DB">
        <w:rPr>
          <w:i/>
          <w:lang w:val="es-ES"/>
        </w:rPr>
        <w:t>. Nepal</w:t>
      </w:r>
      <w:r>
        <w:rPr>
          <w:lang w:val="es-ES"/>
        </w:rPr>
        <w:t xml:space="preserve"> (</w:t>
      </w:r>
      <w:r w:rsidRPr="00192605">
        <w:rPr>
          <w:lang w:val="es-ES"/>
        </w:rPr>
        <w:t>CCPR/C/123/D/2658/2015</w:t>
      </w:r>
      <w:r>
        <w:rPr>
          <w:lang w:val="es-ES"/>
        </w:rPr>
        <w:t>) de 19 de julio de 2018, párr. 7.18</w:t>
      </w:r>
      <w:r w:rsidR="00C0510E">
        <w:rPr>
          <w:lang w:val="es-ES"/>
        </w:rPr>
        <w:t>,</w:t>
      </w:r>
      <w:r w:rsidR="00C0510E" w:rsidRPr="00C53E3A">
        <w:rPr>
          <w:lang w:val="es-ES"/>
        </w:rPr>
        <w:t xml:space="preserve"> </w:t>
      </w:r>
      <w:r w:rsidR="00C0510E" w:rsidRPr="00C0510E">
        <w:rPr>
          <w:lang w:val="es-ES"/>
        </w:rPr>
        <w:t>así como la Observación general número 36, párr. 58</w:t>
      </w:r>
      <w:r>
        <w:rPr>
          <w:lang w:val="es-ES"/>
        </w:rPr>
        <w:t>.</w:t>
      </w:r>
      <w:r w:rsidR="00496F03" w:rsidRPr="00C53E3A">
        <w:rPr>
          <w:lang w:val="es-ES"/>
        </w:rPr>
        <w:t xml:space="preserve"> </w:t>
      </w:r>
      <w:r w:rsidR="00496F03" w:rsidRPr="00496F03">
        <w:rPr>
          <w:lang w:val="es-ES"/>
        </w:rPr>
        <w:t>Asimismo, como lo expresó la Corte Interamericana, la “desaparición busca no sólo una de las más graves formas de sustracción de una persona de todo ámbito del ordenamiento jurídico, sino también negar su existencia misma y dejarla en una suerte de limbo o situación de indeterminación jurídica ante la sociedad, el Estado e inclusive la comunidad internacional”</w:t>
      </w:r>
      <w:r w:rsidR="00496F03">
        <w:rPr>
          <w:lang w:val="es-ES"/>
        </w:rPr>
        <w:t>:</w:t>
      </w:r>
      <w:r w:rsidR="00496F03" w:rsidRPr="00C53E3A">
        <w:rPr>
          <w:lang w:val="es-ES"/>
        </w:rPr>
        <w:t xml:space="preserve"> </w:t>
      </w:r>
      <w:r w:rsidR="00496F03" w:rsidRPr="00C86C4E">
        <w:rPr>
          <w:i/>
          <w:lang w:val="es-ES"/>
        </w:rPr>
        <w:t xml:space="preserve">Caso </w:t>
      </w:r>
      <w:proofErr w:type="spellStart"/>
      <w:r w:rsidR="00496F03" w:rsidRPr="00C86C4E">
        <w:rPr>
          <w:i/>
          <w:lang w:val="es-ES"/>
        </w:rPr>
        <w:t>Anzualdo</w:t>
      </w:r>
      <w:proofErr w:type="spellEnd"/>
      <w:r w:rsidR="00496F03" w:rsidRPr="00C86C4E">
        <w:rPr>
          <w:i/>
          <w:lang w:val="es-ES"/>
        </w:rPr>
        <w:t xml:space="preserve"> Castro </w:t>
      </w:r>
      <w:r w:rsidR="001A082F">
        <w:rPr>
          <w:i/>
          <w:lang w:val="es-ES"/>
        </w:rPr>
        <w:t>c</w:t>
      </w:r>
      <w:r w:rsidR="00496F03" w:rsidRPr="00C86C4E">
        <w:rPr>
          <w:i/>
          <w:lang w:val="es-ES"/>
        </w:rPr>
        <w:t>. Perú</w:t>
      </w:r>
      <w:r w:rsidR="00496F03" w:rsidRPr="00496F03">
        <w:rPr>
          <w:lang w:val="es-ES"/>
        </w:rPr>
        <w:t>. Excepción Preliminar, Fondo, Reparaciones y Costas. Sentencia de 22 de septiembre de 2009. Serie C No. 202, párr. 90</w:t>
      </w:r>
      <w:r w:rsidR="00496F03">
        <w:rPr>
          <w:lang w:val="es-ES"/>
        </w:rPr>
        <w:t xml:space="preserve">. </w:t>
      </w:r>
    </w:p>
  </w:footnote>
  <w:footnote w:id="47">
    <w:p w14:paraId="32CA6054" w14:textId="07B451F5" w:rsidR="00B167FB" w:rsidRPr="00C54F09" w:rsidRDefault="00B167FB" w:rsidP="00B167FB">
      <w:pPr>
        <w:pStyle w:val="FootnoteText"/>
        <w:jc w:val="both"/>
        <w:rPr>
          <w:lang w:val="es-ES"/>
        </w:rPr>
      </w:pPr>
      <w:r w:rsidRPr="00C54F09">
        <w:rPr>
          <w:lang w:val="es-ES"/>
        </w:rPr>
        <w:tab/>
      </w:r>
      <w:r>
        <w:rPr>
          <w:rStyle w:val="FootnoteReference"/>
        </w:rPr>
        <w:footnoteRef/>
      </w:r>
      <w:r w:rsidRPr="00C54F09">
        <w:rPr>
          <w:lang w:val="es-ES"/>
        </w:rPr>
        <w:tab/>
      </w:r>
      <w:r w:rsidRPr="00B52A9C">
        <w:rPr>
          <w:lang w:val="es-ES"/>
        </w:rPr>
        <w:t>Ver</w:t>
      </w:r>
      <w:r w:rsidRPr="00C54F09">
        <w:rPr>
          <w:lang w:val="es-ES"/>
        </w:rPr>
        <w:t xml:space="preserve"> </w:t>
      </w:r>
      <w:r>
        <w:rPr>
          <w:lang w:val="es-ES"/>
        </w:rPr>
        <w:t>e</w:t>
      </w:r>
      <w:r w:rsidRPr="00C54F09">
        <w:rPr>
          <w:lang w:val="es-ES"/>
        </w:rPr>
        <w:t>n este sentido la jurisprudencia constant</w:t>
      </w:r>
      <w:r>
        <w:rPr>
          <w:lang w:val="es-ES"/>
        </w:rPr>
        <w:t>e</w:t>
      </w:r>
      <w:r w:rsidRPr="00C54F09">
        <w:rPr>
          <w:lang w:val="es-ES"/>
        </w:rPr>
        <w:t xml:space="preserve"> desde el caso SE </w:t>
      </w:r>
      <w:r w:rsidR="001A082F">
        <w:rPr>
          <w:lang w:val="es-ES"/>
        </w:rPr>
        <w:t>c</w:t>
      </w:r>
      <w:r>
        <w:rPr>
          <w:lang w:val="es-ES"/>
        </w:rPr>
        <w:t>. Argentina (</w:t>
      </w:r>
      <w:r w:rsidRPr="00C54F09">
        <w:rPr>
          <w:lang w:val="es-ES"/>
        </w:rPr>
        <w:t>CCPR/C/38/D/275/1988</w:t>
      </w:r>
      <w:r>
        <w:rPr>
          <w:lang w:val="es-ES"/>
        </w:rPr>
        <w:t>) de 26 de marzo de 1990, párr.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4" w14:textId="50F6B916" w:rsidR="008164CC" w:rsidRPr="00C61FA0" w:rsidRDefault="00C13626" w:rsidP="006A31AE">
    <w:pPr>
      <w:pStyle w:val="Header"/>
    </w:pPr>
    <w:proofErr w:type="spellStart"/>
    <w:r w:rsidRPr="00C13626">
      <w:t>Edición</w:t>
    </w:r>
    <w:proofErr w:type="spellEnd"/>
    <w:r w:rsidRPr="00C13626">
      <w:t xml:space="preserve"> </w:t>
    </w:r>
    <w:proofErr w:type="spellStart"/>
    <w:r w:rsidRPr="00C13626">
      <w:t>avanzada</w:t>
    </w:r>
    <w:proofErr w:type="spellEnd"/>
    <w:r w:rsidRPr="00C13626">
      <w:t xml:space="preserve"> sin </w:t>
    </w:r>
    <w:proofErr w:type="spellStart"/>
    <w:r w:rsidRPr="00C13626">
      <w:t>editar</w:t>
    </w:r>
    <w:proofErr w:type="spellEnd"/>
    <w:r w:rsidRPr="00C13626">
      <w:t xml:space="preserve"> </w:t>
    </w:r>
    <w:r w:rsidR="008164CC">
      <w:t>CCPR/C/126/D/2750/2016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5" w14:textId="7F7A96AA" w:rsidR="008164CC" w:rsidRPr="006A31AE" w:rsidRDefault="00C13626" w:rsidP="006A31AE">
    <w:pPr>
      <w:pStyle w:val="Header"/>
      <w:jc w:val="right"/>
    </w:pPr>
    <w:proofErr w:type="spellStart"/>
    <w:r w:rsidRPr="00C13626">
      <w:t>Edición</w:t>
    </w:r>
    <w:proofErr w:type="spellEnd"/>
    <w:r w:rsidRPr="00C13626">
      <w:t xml:space="preserve"> </w:t>
    </w:r>
    <w:proofErr w:type="spellStart"/>
    <w:r w:rsidRPr="00C13626">
      <w:t>avanzada</w:t>
    </w:r>
    <w:proofErr w:type="spellEnd"/>
    <w:r w:rsidRPr="00C13626">
      <w:t xml:space="preserve"> sin </w:t>
    </w:r>
    <w:proofErr w:type="spellStart"/>
    <w:r w:rsidRPr="00C13626">
      <w:t>editar</w:t>
    </w:r>
    <w:proofErr w:type="spellEnd"/>
    <w:r w:rsidRPr="00C13626">
      <w:t xml:space="preserve"> </w:t>
    </w:r>
    <w:r w:rsidR="008164CC" w:rsidRPr="006A31AE">
      <w:t>CCPR</w:t>
    </w:r>
    <w:r w:rsidR="008164CC">
      <w:t>/C/126/D/</w:t>
    </w:r>
    <w:r w:rsidR="008164CC">
      <w:rPr>
        <w:lang w:val="es-ES"/>
      </w:rPr>
      <w:t>2</w:t>
    </w:r>
    <w:r w:rsidR="008164CC" w:rsidRPr="0036554A">
      <w:rPr>
        <w:lang w:val="es-ES"/>
      </w:rPr>
      <w:t>7</w:t>
    </w:r>
    <w:r w:rsidR="008164CC">
      <w:rPr>
        <w:lang w:val="es-ES"/>
      </w:rPr>
      <w:t>50/2016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3E9D" w14:textId="77777777" w:rsidR="003543F7" w:rsidRDefault="00354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1843"/>
    <w:rsid w:val="00002271"/>
    <w:rsid w:val="0000254F"/>
    <w:rsid w:val="000036BF"/>
    <w:rsid w:val="00004D5C"/>
    <w:rsid w:val="00004ECE"/>
    <w:rsid w:val="00005FCE"/>
    <w:rsid w:val="00006C3A"/>
    <w:rsid w:val="0000794F"/>
    <w:rsid w:val="00011F3C"/>
    <w:rsid w:val="00012F9E"/>
    <w:rsid w:val="000135E6"/>
    <w:rsid w:val="00014522"/>
    <w:rsid w:val="00015773"/>
    <w:rsid w:val="000158F1"/>
    <w:rsid w:val="00015D00"/>
    <w:rsid w:val="0001700A"/>
    <w:rsid w:val="000170F4"/>
    <w:rsid w:val="00017187"/>
    <w:rsid w:val="00017D80"/>
    <w:rsid w:val="000203E2"/>
    <w:rsid w:val="00022206"/>
    <w:rsid w:val="00022411"/>
    <w:rsid w:val="000238CC"/>
    <w:rsid w:val="00023A6D"/>
    <w:rsid w:val="00024A1B"/>
    <w:rsid w:val="00024E11"/>
    <w:rsid w:val="00024F11"/>
    <w:rsid w:val="00025907"/>
    <w:rsid w:val="0002643B"/>
    <w:rsid w:val="00026686"/>
    <w:rsid w:val="00027074"/>
    <w:rsid w:val="0002788D"/>
    <w:rsid w:val="00030035"/>
    <w:rsid w:val="00030866"/>
    <w:rsid w:val="00031010"/>
    <w:rsid w:val="000310F6"/>
    <w:rsid w:val="00031369"/>
    <w:rsid w:val="00031586"/>
    <w:rsid w:val="000340A1"/>
    <w:rsid w:val="000343BA"/>
    <w:rsid w:val="00034661"/>
    <w:rsid w:val="00035803"/>
    <w:rsid w:val="00035ABE"/>
    <w:rsid w:val="0003618D"/>
    <w:rsid w:val="00036BBD"/>
    <w:rsid w:val="00037728"/>
    <w:rsid w:val="000378BF"/>
    <w:rsid w:val="00037C77"/>
    <w:rsid w:val="0004036D"/>
    <w:rsid w:val="0004068E"/>
    <w:rsid w:val="0004254F"/>
    <w:rsid w:val="00043A06"/>
    <w:rsid w:val="00045ECB"/>
    <w:rsid w:val="000463A4"/>
    <w:rsid w:val="000463C5"/>
    <w:rsid w:val="0004688B"/>
    <w:rsid w:val="00046E92"/>
    <w:rsid w:val="00046FA7"/>
    <w:rsid w:val="000470B6"/>
    <w:rsid w:val="000479ED"/>
    <w:rsid w:val="00047F56"/>
    <w:rsid w:val="000507DE"/>
    <w:rsid w:val="0005097B"/>
    <w:rsid w:val="00050EE3"/>
    <w:rsid w:val="00052467"/>
    <w:rsid w:val="000526D3"/>
    <w:rsid w:val="00052A2D"/>
    <w:rsid w:val="00053289"/>
    <w:rsid w:val="00054434"/>
    <w:rsid w:val="00054A02"/>
    <w:rsid w:val="000551FF"/>
    <w:rsid w:val="00056763"/>
    <w:rsid w:val="00056920"/>
    <w:rsid w:val="0005794A"/>
    <w:rsid w:val="00057B67"/>
    <w:rsid w:val="00060735"/>
    <w:rsid w:val="000607A6"/>
    <w:rsid w:val="00061604"/>
    <w:rsid w:val="000618DC"/>
    <w:rsid w:val="00061F37"/>
    <w:rsid w:val="00062C81"/>
    <w:rsid w:val="00062ED9"/>
    <w:rsid w:val="000635F3"/>
    <w:rsid w:val="000637C9"/>
    <w:rsid w:val="00063907"/>
    <w:rsid w:val="0006523D"/>
    <w:rsid w:val="000654C0"/>
    <w:rsid w:val="00065903"/>
    <w:rsid w:val="00065C3A"/>
    <w:rsid w:val="0006670D"/>
    <w:rsid w:val="00066C53"/>
    <w:rsid w:val="00067583"/>
    <w:rsid w:val="000677A3"/>
    <w:rsid w:val="00070922"/>
    <w:rsid w:val="00071360"/>
    <w:rsid w:val="00072C84"/>
    <w:rsid w:val="00072D08"/>
    <w:rsid w:val="00073A1F"/>
    <w:rsid w:val="0007503A"/>
    <w:rsid w:val="00075A87"/>
    <w:rsid w:val="00076109"/>
    <w:rsid w:val="00076B5B"/>
    <w:rsid w:val="00076F2E"/>
    <w:rsid w:val="00077180"/>
    <w:rsid w:val="00082195"/>
    <w:rsid w:val="00082434"/>
    <w:rsid w:val="00082ED8"/>
    <w:rsid w:val="00083082"/>
    <w:rsid w:val="00083121"/>
    <w:rsid w:val="00083177"/>
    <w:rsid w:val="000833F3"/>
    <w:rsid w:val="00083E34"/>
    <w:rsid w:val="000843D2"/>
    <w:rsid w:val="00084411"/>
    <w:rsid w:val="00085402"/>
    <w:rsid w:val="00086501"/>
    <w:rsid w:val="00086F42"/>
    <w:rsid w:val="0008731B"/>
    <w:rsid w:val="000874E4"/>
    <w:rsid w:val="00087B75"/>
    <w:rsid w:val="00090AC2"/>
    <w:rsid w:val="00091BA6"/>
    <w:rsid w:val="00091BD9"/>
    <w:rsid w:val="000936D7"/>
    <w:rsid w:val="00094067"/>
    <w:rsid w:val="00094134"/>
    <w:rsid w:val="00095492"/>
    <w:rsid w:val="000955C1"/>
    <w:rsid w:val="00095626"/>
    <w:rsid w:val="0009568E"/>
    <w:rsid w:val="0009611E"/>
    <w:rsid w:val="00096CD8"/>
    <w:rsid w:val="00097F79"/>
    <w:rsid w:val="000A0052"/>
    <w:rsid w:val="000A00AC"/>
    <w:rsid w:val="000A01D2"/>
    <w:rsid w:val="000A0AE9"/>
    <w:rsid w:val="000A0B54"/>
    <w:rsid w:val="000A0E37"/>
    <w:rsid w:val="000A14EE"/>
    <w:rsid w:val="000A1593"/>
    <w:rsid w:val="000A1A07"/>
    <w:rsid w:val="000A1FF3"/>
    <w:rsid w:val="000A2070"/>
    <w:rsid w:val="000A27BD"/>
    <w:rsid w:val="000A30EE"/>
    <w:rsid w:val="000A3B6E"/>
    <w:rsid w:val="000A3BC9"/>
    <w:rsid w:val="000A4862"/>
    <w:rsid w:val="000A50B4"/>
    <w:rsid w:val="000A5194"/>
    <w:rsid w:val="000A52BE"/>
    <w:rsid w:val="000A682B"/>
    <w:rsid w:val="000A71C0"/>
    <w:rsid w:val="000B1614"/>
    <w:rsid w:val="000B16D2"/>
    <w:rsid w:val="000B1C23"/>
    <w:rsid w:val="000B2038"/>
    <w:rsid w:val="000B2C1F"/>
    <w:rsid w:val="000B323F"/>
    <w:rsid w:val="000B33CD"/>
    <w:rsid w:val="000B38F4"/>
    <w:rsid w:val="000B3B7C"/>
    <w:rsid w:val="000B474D"/>
    <w:rsid w:val="000B4BF6"/>
    <w:rsid w:val="000B5BAF"/>
    <w:rsid w:val="000B5F9D"/>
    <w:rsid w:val="000B647D"/>
    <w:rsid w:val="000B68B7"/>
    <w:rsid w:val="000B695D"/>
    <w:rsid w:val="000B778C"/>
    <w:rsid w:val="000B7964"/>
    <w:rsid w:val="000C0C3E"/>
    <w:rsid w:val="000C133E"/>
    <w:rsid w:val="000C13C1"/>
    <w:rsid w:val="000C1866"/>
    <w:rsid w:val="000C1C5D"/>
    <w:rsid w:val="000C1D18"/>
    <w:rsid w:val="000C3719"/>
    <w:rsid w:val="000C394E"/>
    <w:rsid w:val="000C3BA7"/>
    <w:rsid w:val="000C5133"/>
    <w:rsid w:val="000C5B18"/>
    <w:rsid w:val="000C5E0C"/>
    <w:rsid w:val="000C7201"/>
    <w:rsid w:val="000C7386"/>
    <w:rsid w:val="000C7AB8"/>
    <w:rsid w:val="000C7CF1"/>
    <w:rsid w:val="000C7E18"/>
    <w:rsid w:val="000D000F"/>
    <w:rsid w:val="000D0579"/>
    <w:rsid w:val="000D083B"/>
    <w:rsid w:val="000D0B21"/>
    <w:rsid w:val="000D1D2D"/>
    <w:rsid w:val="000D2821"/>
    <w:rsid w:val="000D4140"/>
    <w:rsid w:val="000D4558"/>
    <w:rsid w:val="000D471F"/>
    <w:rsid w:val="000D49F2"/>
    <w:rsid w:val="000D4B14"/>
    <w:rsid w:val="000D61F9"/>
    <w:rsid w:val="000D6317"/>
    <w:rsid w:val="000D762C"/>
    <w:rsid w:val="000D7D92"/>
    <w:rsid w:val="000E02A6"/>
    <w:rsid w:val="000E0B78"/>
    <w:rsid w:val="000E2206"/>
    <w:rsid w:val="000E299F"/>
    <w:rsid w:val="000E3191"/>
    <w:rsid w:val="000E31DD"/>
    <w:rsid w:val="000E4359"/>
    <w:rsid w:val="000E48C0"/>
    <w:rsid w:val="000E6BF2"/>
    <w:rsid w:val="000E6FF4"/>
    <w:rsid w:val="000E79E8"/>
    <w:rsid w:val="000F00DE"/>
    <w:rsid w:val="000F0805"/>
    <w:rsid w:val="000F197F"/>
    <w:rsid w:val="000F228F"/>
    <w:rsid w:val="000F2EE3"/>
    <w:rsid w:val="000F494A"/>
    <w:rsid w:val="000F4C79"/>
    <w:rsid w:val="000F4FDA"/>
    <w:rsid w:val="000F6642"/>
    <w:rsid w:val="000F76B9"/>
    <w:rsid w:val="00101A08"/>
    <w:rsid w:val="0010350F"/>
    <w:rsid w:val="00103EE4"/>
    <w:rsid w:val="00103F7B"/>
    <w:rsid w:val="001045ED"/>
    <w:rsid w:val="00104ECA"/>
    <w:rsid w:val="00105030"/>
    <w:rsid w:val="00105604"/>
    <w:rsid w:val="00105D56"/>
    <w:rsid w:val="001060C3"/>
    <w:rsid w:val="00106B51"/>
    <w:rsid w:val="0010702C"/>
    <w:rsid w:val="00107C0A"/>
    <w:rsid w:val="00110F30"/>
    <w:rsid w:val="00111791"/>
    <w:rsid w:val="00111C57"/>
    <w:rsid w:val="00111E9E"/>
    <w:rsid w:val="001121E1"/>
    <w:rsid w:val="00112A5A"/>
    <w:rsid w:val="00112CD0"/>
    <w:rsid w:val="00112EB1"/>
    <w:rsid w:val="00113806"/>
    <w:rsid w:val="00113D11"/>
    <w:rsid w:val="00114271"/>
    <w:rsid w:val="00114E1C"/>
    <w:rsid w:val="00114ED4"/>
    <w:rsid w:val="00115217"/>
    <w:rsid w:val="001156B8"/>
    <w:rsid w:val="00115A87"/>
    <w:rsid w:val="00117928"/>
    <w:rsid w:val="001202B4"/>
    <w:rsid w:val="00120366"/>
    <w:rsid w:val="00120D47"/>
    <w:rsid w:val="00121264"/>
    <w:rsid w:val="00122732"/>
    <w:rsid w:val="00122A15"/>
    <w:rsid w:val="0012361D"/>
    <w:rsid w:val="001239AE"/>
    <w:rsid w:val="00124129"/>
    <w:rsid w:val="001242F4"/>
    <w:rsid w:val="00124BC8"/>
    <w:rsid w:val="00125BBA"/>
    <w:rsid w:val="001309DA"/>
    <w:rsid w:val="00131161"/>
    <w:rsid w:val="0013150C"/>
    <w:rsid w:val="00131D7A"/>
    <w:rsid w:val="0013321E"/>
    <w:rsid w:val="0013341D"/>
    <w:rsid w:val="001337BE"/>
    <w:rsid w:val="0013481A"/>
    <w:rsid w:val="00134E28"/>
    <w:rsid w:val="00134E3D"/>
    <w:rsid w:val="0013514C"/>
    <w:rsid w:val="0013691F"/>
    <w:rsid w:val="00136C70"/>
    <w:rsid w:val="00141151"/>
    <w:rsid w:val="00143089"/>
    <w:rsid w:val="0014371C"/>
    <w:rsid w:val="00143737"/>
    <w:rsid w:val="00143F50"/>
    <w:rsid w:val="00145C89"/>
    <w:rsid w:val="00146AA2"/>
    <w:rsid w:val="00147029"/>
    <w:rsid w:val="0014723D"/>
    <w:rsid w:val="001479EC"/>
    <w:rsid w:val="00147F7F"/>
    <w:rsid w:val="001501A5"/>
    <w:rsid w:val="00150DEF"/>
    <w:rsid w:val="00150F93"/>
    <w:rsid w:val="00151328"/>
    <w:rsid w:val="00151691"/>
    <w:rsid w:val="0015188F"/>
    <w:rsid w:val="00152860"/>
    <w:rsid w:val="00152CDA"/>
    <w:rsid w:val="0015340D"/>
    <w:rsid w:val="001537F7"/>
    <w:rsid w:val="00153970"/>
    <w:rsid w:val="00154DFB"/>
    <w:rsid w:val="001552BB"/>
    <w:rsid w:val="00155625"/>
    <w:rsid w:val="00155A2C"/>
    <w:rsid w:val="00156202"/>
    <w:rsid w:val="001564D9"/>
    <w:rsid w:val="001571C0"/>
    <w:rsid w:val="00157438"/>
    <w:rsid w:val="00157981"/>
    <w:rsid w:val="00157AF6"/>
    <w:rsid w:val="001600EF"/>
    <w:rsid w:val="00160545"/>
    <w:rsid w:val="00160BF2"/>
    <w:rsid w:val="00161E2F"/>
    <w:rsid w:val="001635DE"/>
    <w:rsid w:val="00164A89"/>
    <w:rsid w:val="00164A8E"/>
    <w:rsid w:val="00165158"/>
    <w:rsid w:val="00165C15"/>
    <w:rsid w:val="00166F81"/>
    <w:rsid w:val="00167251"/>
    <w:rsid w:val="00167744"/>
    <w:rsid w:val="00170594"/>
    <w:rsid w:val="00171878"/>
    <w:rsid w:val="001731E5"/>
    <w:rsid w:val="00173893"/>
    <w:rsid w:val="001738EB"/>
    <w:rsid w:val="00173CF5"/>
    <w:rsid w:val="001744DF"/>
    <w:rsid w:val="00175184"/>
    <w:rsid w:val="00175193"/>
    <w:rsid w:val="001756EE"/>
    <w:rsid w:val="00175D34"/>
    <w:rsid w:val="001761EC"/>
    <w:rsid w:val="0017629E"/>
    <w:rsid w:val="00177E57"/>
    <w:rsid w:val="00180641"/>
    <w:rsid w:val="00180E8B"/>
    <w:rsid w:val="0018121C"/>
    <w:rsid w:val="00181307"/>
    <w:rsid w:val="00181540"/>
    <w:rsid w:val="00182028"/>
    <w:rsid w:val="001821CE"/>
    <w:rsid w:val="001824AB"/>
    <w:rsid w:val="00182F44"/>
    <w:rsid w:val="0018340C"/>
    <w:rsid w:val="00183525"/>
    <w:rsid w:val="00183B06"/>
    <w:rsid w:val="001849F0"/>
    <w:rsid w:val="00184B3C"/>
    <w:rsid w:val="00185881"/>
    <w:rsid w:val="001863C0"/>
    <w:rsid w:val="001864B7"/>
    <w:rsid w:val="00186750"/>
    <w:rsid w:val="00187B35"/>
    <w:rsid w:val="0019095C"/>
    <w:rsid w:val="00191B6F"/>
    <w:rsid w:val="00192605"/>
    <w:rsid w:val="00192DAF"/>
    <w:rsid w:val="00192E28"/>
    <w:rsid w:val="001934E4"/>
    <w:rsid w:val="001947B3"/>
    <w:rsid w:val="0019505F"/>
    <w:rsid w:val="00195772"/>
    <w:rsid w:val="00195BDB"/>
    <w:rsid w:val="001966FD"/>
    <w:rsid w:val="001975AA"/>
    <w:rsid w:val="001979B2"/>
    <w:rsid w:val="00197C03"/>
    <w:rsid w:val="00197E27"/>
    <w:rsid w:val="001A0819"/>
    <w:rsid w:val="001A082F"/>
    <w:rsid w:val="001A08B5"/>
    <w:rsid w:val="001A0BB0"/>
    <w:rsid w:val="001A243A"/>
    <w:rsid w:val="001A25AA"/>
    <w:rsid w:val="001A3363"/>
    <w:rsid w:val="001A3F69"/>
    <w:rsid w:val="001A4048"/>
    <w:rsid w:val="001A418A"/>
    <w:rsid w:val="001A43DF"/>
    <w:rsid w:val="001A5DF7"/>
    <w:rsid w:val="001A7E92"/>
    <w:rsid w:val="001B0D22"/>
    <w:rsid w:val="001B0E8A"/>
    <w:rsid w:val="001B311D"/>
    <w:rsid w:val="001B32C0"/>
    <w:rsid w:val="001B33C0"/>
    <w:rsid w:val="001B3923"/>
    <w:rsid w:val="001B4E60"/>
    <w:rsid w:val="001B534F"/>
    <w:rsid w:val="001C0193"/>
    <w:rsid w:val="001C1BA6"/>
    <w:rsid w:val="001C233C"/>
    <w:rsid w:val="001C27E6"/>
    <w:rsid w:val="001C30BE"/>
    <w:rsid w:val="001C32FD"/>
    <w:rsid w:val="001C41EA"/>
    <w:rsid w:val="001C51D0"/>
    <w:rsid w:val="001C57DA"/>
    <w:rsid w:val="001C6E04"/>
    <w:rsid w:val="001C7517"/>
    <w:rsid w:val="001C79C0"/>
    <w:rsid w:val="001C7C93"/>
    <w:rsid w:val="001D0AF4"/>
    <w:rsid w:val="001D0E27"/>
    <w:rsid w:val="001D1A1C"/>
    <w:rsid w:val="001D2E12"/>
    <w:rsid w:val="001D3697"/>
    <w:rsid w:val="001D413F"/>
    <w:rsid w:val="001D51AB"/>
    <w:rsid w:val="001D6481"/>
    <w:rsid w:val="001D78F7"/>
    <w:rsid w:val="001D7EB5"/>
    <w:rsid w:val="001E08F3"/>
    <w:rsid w:val="001E11A3"/>
    <w:rsid w:val="001E1548"/>
    <w:rsid w:val="001E1924"/>
    <w:rsid w:val="001E1CCD"/>
    <w:rsid w:val="001E1CCF"/>
    <w:rsid w:val="001E247B"/>
    <w:rsid w:val="001E2D15"/>
    <w:rsid w:val="001E2F6D"/>
    <w:rsid w:val="001E33A0"/>
    <w:rsid w:val="001E3C98"/>
    <w:rsid w:val="001E3DB9"/>
    <w:rsid w:val="001E431E"/>
    <w:rsid w:val="001E64AE"/>
    <w:rsid w:val="001E6E7D"/>
    <w:rsid w:val="001E6F79"/>
    <w:rsid w:val="001E791F"/>
    <w:rsid w:val="001F02D8"/>
    <w:rsid w:val="001F0654"/>
    <w:rsid w:val="001F0720"/>
    <w:rsid w:val="001F0FF5"/>
    <w:rsid w:val="001F11D7"/>
    <w:rsid w:val="001F2ACE"/>
    <w:rsid w:val="001F3929"/>
    <w:rsid w:val="001F4739"/>
    <w:rsid w:val="001F47FD"/>
    <w:rsid w:val="001F4916"/>
    <w:rsid w:val="001F545C"/>
    <w:rsid w:val="001F559B"/>
    <w:rsid w:val="001F56F5"/>
    <w:rsid w:val="001F5884"/>
    <w:rsid w:val="001F5AEF"/>
    <w:rsid w:val="001F67D3"/>
    <w:rsid w:val="001F7374"/>
    <w:rsid w:val="001F7711"/>
    <w:rsid w:val="002002FA"/>
    <w:rsid w:val="00200CDD"/>
    <w:rsid w:val="002012B4"/>
    <w:rsid w:val="00201EEA"/>
    <w:rsid w:val="0020211A"/>
    <w:rsid w:val="00203262"/>
    <w:rsid w:val="0020403E"/>
    <w:rsid w:val="002046C0"/>
    <w:rsid w:val="00204AC2"/>
    <w:rsid w:val="00204AD3"/>
    <w:rsid w:val="002054B6"/>
    <w:rsid w:val="00205759"/>
    <w:rsid w:val="00205818"/>
    <w:rsid w:val="00207CDF"/>
    <w:rsid w:val="00212046"/>
    <w:rsid w:val="00212BBF"/>
    <w:rsid w:val="00213E4C"/>
    <w:rsid w:val="00214749"/>
    <w:rsid w:val="00215B68"/>
    <w:rsid w:val="00217218"/>
    <w:rsid w:val="00217382"/>
    <w:rsid w:val="002175CD"/>
    <w:rsid w:val="00217F27"/>
    <w:rsid w:val="00220097"/>
    <w:rsid w:val="00220A9F"/>
    <w:rsid w:val="002218BD"/>
    <w:rsid w:val="00221E6D"/>
    <w:rsid w:val="0022201C"/>
    <w:rsid w:val="00222022"/>
    <w:rsid w:val="00222666"/>
    <w:rsid w:val="00222940"/>
    <w:rsid w:val="00223101"/>
    <w:rsid w:val="00223288"/>
    <w:rsid w:val="002240AF"/>
    <w:rsid w:val="00224302"/>
    <w:rsid w:val="002254B7"/>
    <w:rsid w:val="0022582E"/>
    <w:rsid w:val="00226925"/>
    <w:rsid w:val="0022728F"/>
    <w:rsid w:val="00227400"/>
    <w:rsid w:val="00227A81"/>
    <w:rsid w:val="00230C6B"/>
    <w:rsid w:val="00230FAB"/>
    <w:rsid w:val="00231FD1"/>
    <w:rsid w:val="002328E7"/>
    <w:rsid w:val="00232D7A"/>
    <w:rsid w:val="00232F71"/>
    <w:rsid w:val="0023402C"/>
    <w:rsid w:val="0023440A"/>
    <w:rsid w:val="002351A7"/>
    <w:rsid w:val="00235D72"/>
    <w:rsid w:val="00237227"/>
    <w:rsid w:val="0023759C"/>
    <w:rsid w:val="00237698"/>
    <w:rsid w:val="002400D7"/>
    <w:rsid w:val="002406FF"/>
    <w:rsid w:val="002407AA"/>
    <w:rsid w:val="002409E3"/>
    <w:rsid w:val="0024240D"/>
    <w:rsid w:val="002427FB"/>
    <w:rsid w:val="00243863"/>
    <w:rsid w:val="00243CCD"/>
    <w:rsid w:val="00244617"/>
    <w:rsid w:val="00245F7B"/>
    <w:rsid w:val="00246B78"/>
    <w:rsid w:val="00247D3F"/>
    <w:rsid w:val="00247E2C"/>
    <w:rsid w:val="002512E7"/>
    <w:rsid w:val="002522E7"/>
    <w:rsid w:val="00253219"/>
    <w:rsid w:val="002532C1"/>
    <w:rsid w:val="002547EE"/>
    <w:rsid w:val="00255DB6"/>
    <w:rsid w:val="00255F5F"/>
    <w:rsid w:val="00255FE8"/>
    <w:rsid w:val="00256514"/>
    <w:rsid w:val="0025715B"/>
    <w:rsid w:val="0025758D"/>
    <w:rsid w:val="00257839"/>
    <w:rsid w:val="00261A71"/>
    <w:rsid w:val="00261D42"/>
    <w:rsid w:val="00261E8A"/>
    <w:rsid w:val="0026270D"/>
    <w:rsid w:val="0026278A"/>
    <w:rsid w:val="002639C4"/>
    <w:rsid w:val="002647B6"/>
    <w:rsid w:val="00264B4E"/>
    <w:rsid w:val="00266D4F"/>
    <w:rsid w:val="00266DA4"/>
    <w:rsid w:val="00266DF2"/>
    <w:rsid w:val="00267CEC"/>
    <w:rsid w:val="002706D2"/>
    <w:rsid w:val="00271386"/>
    <w:rsid w:val="00271598"/>
    <w:rsid w:val="0027242B"/>
    <w:rsid w:val="002727F2"/>
    <w:rsid w:val="002738B9"/>
    <w:rsid w:val="00274B98"/>
    <w:rsid w:val="00274CEB"/>
    <w:rsid w:val="00275CDD"/>
    <w:rsid w:val="0027669E"/>
    <w:rsid w:val="002767E3"/>
    <w:rsid w:val="00276F08"/>
    <w:rsid w:val="0027707C"/>
    <w:rsid w:val="00277147"/>
    <w:rsid w:val="00277892"/>
    <w:rsid w:val="00280BC7"/>
    <w:rsid w:val="00280BCD"/>
    <w:rsid w:val="002818D1"/>
    <w:rsid w:val="00281935"/>
    <w:rsid w:val="00281DAD"/>
    <w:rsid w:val="00282A84"/>
    <w:rsid w:val="00282B08"/>
    <w:rsid w:val="002837F0"/>
    <w:rsid w:val="00283A73"/>
    <w:rsid w:val="00284A30"/>
    <w:rsid w:val="00284B9E"/>
    <w:rsid w:val="0028528B"/>
    <w:rsid w:val="00285A16"/>
    <w:rsid w:val="00286CF7"/>
    <w:rsid w:val="0028701A"/>
    <w:rsid w:val="00287032"/>
    <w:rsid w:val="00287289"/>
    <w:rsid w:val="0028753E"/>
    <w:rsid w:val="00287C64"/>
    <w:rsid w:val="00287D7E"/>
    <w:rsid w:val="002911B7"/>
    <w:rsid w:val="002912C7"/>
    <w:rsid w:val="00291F41"/>
    <w:rsid w:val="0029207B"/>
    <w:rsid w:val="0029300F"/>
    <w:rsid w:val="00293142"/>
    <w:rsid w:val="00293ABB"/>
    <w:rsid w:val="00294442"/>
    <w:rsid w:val="002946BE"/>
    <w:rsid w:val="002946FF"/>
    <w:rsid w:val="00294CBE"/>
    <w:rsid w:val="002959D9"/>
    <w:rsid w:val="00296E9B"/>
    <w:rsid w:val="002A0722"/>
    <w:rsid w:val="002A1545"/>
    <w:rsid w:val="002A1771"/>
    <w:rsid w:val="002A18E3"/>
    <w:rsid w:val="002A19BE"/>
    <w:rsid w:val="002A1B08"/>
    <w:rsid w:val="002A202E"/>
    <w:rsid w:val="002A24C4"/>
    <w:rsid w:val="002A29E6"/>
    <w:rsid w:val="002A33EE"/>
    <w:rsid w:val="002A3B24"/>
    <w:rsid w:val="002A3BC3"/>
    <w:rsid w:val="002A3BF8"/>
    <w:rsid w:val="002A3F7D"/>
    <w:rsid w:val="002A54E0"/>
    <w:rsid w:val="002A5D70"/>
    <w:rsid w:val="002A6BE5"/>
    <w:rsid w:val="002A7515"/>
    <w:rsid w:val="002A7B5D"/>
    <w:rsid w:val="002A7DB2"/>
    <w:rsid w:val="002B095F"/>
    <w:rsid w:val="002B1488"/>
    <w:rsid w:val="002B18E7"/>
    <w:rsid w:val="002B1E50"/>
    <w:rsid w:val="002B1FCE"/>
    <w:rsid w:val="002B221F"/>
    <w:rsid w:val="002B22F5"/>
    <w:rsid w:val="002B29EB"/>
    <w:rsid w:val="002B2AE4"/>
    <w:rsid w:val="002B2B69"/>
    <w:rsid w:val="002B351B"/>
    <w:rsid w:val="002B4A18"/>
    <w:rsid w:val="002B4C49"/>
    <w:rsid w:val="002B5512"/>
    <w:rsid w:val="002B5914"/>
    <w:rsid w:val="002B5B42"/>
    <w:rsid w:val="002B5D91"/>
    <w:rsid w:val="002B62AB"/>
    <w:rsid w:val="002B64B8"/>
    <w:rsid w:val="002B6DAC"/>
    <w:rsid w:val="002B7404"/>
    <w:rsid w:val="002B7AF5"/>
    <w:rsid w:val="002C07EA"/>
    <w:rsid w:val="002C0C02"/>
    <w:rsid w:val="002C0CF1"/>
    <w:rsid w:val="002C0EA9"/>
    <w:rsid w:val="002C10A4"/>
    <w:rsid w:val="002C1268"/>
    <w:rsid w:val="002C26A4"/>
    <w:rsid w:val="002C2878"/>
    <w:rsid w:val="002C2B0F"/>
    <w:rsid w:val="002C34EB"/>
    <w:rsid w:val="002C3E7D"/>
    <w:rsid w:val="002C4E16"/>
    <w:rsid w:val="002C658E"/>
    <w:rsid w:val="002C7660"/>
    <w:rsid w:val="002C76BA"/>
    <w:rsid w:val="002C7ADB"/>
    <w:rsid w:val="002D008E"/>
    <w:rsid w:val="002D0981"/>
    <w:rsid w:val="002D1C16"/>
    <w:rsid w:val="002D2963"/>
    <w:rsid w:val="002D30E4"/>
    <w:rsid w:val="002D39FB"/>
    <w:rsid w:val="002D3E1A"/>
    <w:rsid w:val="002D4212"/>
    <w:rsid w:val="002D448A"/>
    <w:rsid w:val="002D491F"/>
    <w:rsid w:val="002D67BA"/>
    <w:rsid w:val="002D6C53"/>
    <w:rsid w:val="002D6C5C"/>
    <w:rsid w:val="002D6D54"/>
    <w:rsid w:val="002D7383"/>
    <w:rsid w:val="002D7B0B"/>
    <w:rsid w:val="002E0209"/>
    <w:rsid w:val="002E02F9"/>
    <w:rsid w:val="002E0563"/>
    <w:rsid w:val="002E13CD"/>
    <w:rsid w:val="002E1A97"/>
    <w:rsid w:val="002E1C3F"/>
    <w:rsid w:val="002E2239"/>
    <w:rsid w:val="002E33DD"/>
    <w:rsid w:val="002E3693"/>
    <w:rsid w:val="002E3B5C"/>
    <w:rsid w:val="002E4871"/>
    <w:rsid w:val="002E49F5"/>
    <w:rsid w:val="002E52FD"/>
    <w:rsid w:val="002E5F86"/>
    <w:rsid w:val="002E6222"/>
    <w:rsid w:val="002E67D5"/>
    <w:rsid w:val="002E7B24"/>
    <w:rsid w:val="002F018E"/>
    <w:rsid w:val="002F1822"/>
    <w:rsid w:val="002F2DBD"/>
    <w:rsid w:val="002F36F8"/>
    <w:rsid w:val="002F3CE4"/>
    <w:rsid w:val="002F443E"/>
    <w:rsid w:val="002F464E"/>
    <w:rsid w:val="002F5595"/>
    <w:rsid w:val="002F5789"/>
    <w:rsid w:val="002F5892"/>
    <w:rsid w:val="002F5F57"/>
    <w:rsid w:val="002F6258"/>
    <w:rsid w:val="002F6702"/>
    <w:rsid w:val="002F6B37"/>
    <w:rsid w:val="002F70B1"/>
    <w:rsid w:val="002F7177"/>
    <w:rsid w:val="002F7A5C"/>
    <w:rsid w:val="00301D01"/>
    <w:rsid w:val="003025C3"/>
    <w:rsid w:val="003025D2"/>
    <w:rsid w:val="00303560"/>
    <w:rsid w:val="00303BC2"/>
    <w:rsid w:val="00303EB7"/>
    <w:rsid w:val="00305318"/>
    <w:rsid w:val="00305CD5"/>
    <w:rsid w:val="00306847"/>
    <w:rsid w:val="003074E8"/>
    <w:rsid w:val="0031029C"/>
    <w:rsid w:val="00310F1F"/>
    <w:rsid w:val="00311334"/>
    <w:rsid w:val="00311A6F"/>
    <w:rsid w:val="00311B38"/>
    <w:rsid w:val="003130ED"/>
    <w:rsid w:val="00314064"/>
    <w:rsid w:val="00314281"/>
    <w:rsid w:val="0031532E"/>
    <w:rsid w:val="00315DF0"/>
    <w:rsid w:val="00317D27"/>
    <w:rsid w:val="00320736"/>
    <w:rsid w:val="003208A0"/>
    <w:rsid w:val="00320E04"/>
    <w:rsid w:val="003215D9"/>
    <w:rsid w:val="003223E4"/>
    <w:rsid w:val="00322776"/>
    <w:rsid w:val="003234BD"/>
    <w:rsid w:val="00323538"/>
    <w:rsid w:val="00323997"/>
    <w:rsid w:val="0032423D"/>
    <w:rsid w:val="003244EE"/>
    <w:rsid w:val="00326010"/>
    <w:rsid w:val="003261AC"/>
    <w:rsid w:val="00326345"/>
    <w:rsid w:val="0032663F"/>
    <w:rsid w:val="003277D6"/>
    <w:rsid w:val="00330889"/>
    <w:rsid w:val="00330D43"/>
    <w:rsid w:val="00332E74"/>
    <w:rsid w:val="0033342E"/>
    <w:rsid w:val="00333621"/>
    <w:rsid w:val="00333887"/>
    <w:rsid w:val="00333FF3"/>
    <w:rsid w:val="00334F6A"/>
    <w:rsid w:val="0033536E"/>
    <w:rsid w:val="00335754"/>
    <w:rsid w:val="0033647F"/>
    <w:rsid w:val="003365A2"/>
    <w:rsid w:val="0034044A"/>
    <w:rsid w:val="003411C7"/>
    <w:rsid w:val="00341A3B"/>
    <w:rsid w:val="00342AC8"/>
    <w:rsid w:val="003437ED"/>
    <w:rsid w:val="00343B01"/>
    <w:rsid w:val="00344703"/>
    <w:rsid w:val="00344E2B"/>
    <w:rsid w:val="00345613"/>
    <w:rsid w:val="00345A4E"/>
    <w:rsid w:val="00345EAF"/>
    <w:rsid w:val="00345EB1"/>
    <w:rsid w:val="00346AD9"/>
    <w:rsid w:val="00346DE2"/>
    <w:rsid w:val="0034706D"/>
    <w:rsid w:val="00351412"/>
    <w:rsid w:val="00351B2C"/>
    <w:rsid w:val="00351C84"/>
    <w:rsid w:val="00352470"/>
    <w:rsid w:val="0035264A"/>
    <w:rsid w:val="003531AA"/>
    <w:rsid w:val="0035382F"/>
    <w:rsid w:val="003543F7"/>
    <w:rsid w:val="00354D3E"/>
    <w:rsid w:val="003550E1"/>
    <w:rsid w:val="0035576C"/>
    <w:rsid w:val="00355CD3"/>
    <w:rsid w:val="00355FFC"/>
    <w:rsid w:val="003563E6"/>
    <w:rsid w:val="00356640"/>
    <w:rsid w:val="0035697E"/>
    <w:rsid w:val="00357F2E"/>
    <w:rsid w:val="003600FB"/>
    <w:rsid w:val="003611FD"/>
    <w:rsid w:val="00361C28"/>
    <w:rsid w:val="00365101"/>
    <w:rsid w:val="0036554A"/>
    <w:rsid w:val="00366363"/>
    <w:rsid w:val="00367C18"/>
    <w:rsid w:val="00367C1A"/>
    <w:rsid w:val="00367DC0"/>
    <w:rsid w:val="00370E47"/>
    <w:rsid w:val="003714BF"/>
    <w:rsid w:val="003717C4"/>
    <w:rsid w:val="0037244C"/>
    <w:rsid w:val="003724BB"/>
    <w:rsid w:val="0037262F"/>
    <w:rsid w:val="00372E4C"/>
    <w:rsid w:val="00373142"/>
    <w:rsid w:val="0037316D"/>
    <w:rsid w:val="00373440"/>
    <w:rsid w:val="0037588E"/>
    <w:rsid w:val="00375BE8"/>
    <w:rsid w:val="0037714C"/>
    <w:rsid w:val="00380A48"/>
    <w:rsid w:val="00380D7D"/>
    <w:rsid w:val="00381335"/>
    <w:rsid w:val="00381E58"/>
    <w:rsid w:val="0038266B"/>
    <w:rsid w:val="00382C55"/>
    <w:rsid w:val="00384102"/>
    <w:rsid w:val="003844CA"/>
    <w:rsid w:val="00384F6F"/>
    <w:rsid w:val="0038537E"/>
    <w:rsid w:val="00385F04"/>
    <w:rsid w:val="00385FB2"/>
    <w:rsid w:val="003866C6"/>
    <w:rsid w:val="00387E40"/>
    <w:rsid w:val="00390411"/>
    <w:rsid w:val="00390A76"/>
    <w:rsid w:val="00392657"/>
    <w:rsid w:val="00392835"/>
    <w:rsid w:val="003929B8"/>
    <w:rsid w:val="0039386A"/>
    <w:rsid w:val="00396195"/>
    <w:rsid w:val="0039651E"/>
    <w:rsid w:val="00396794"/>
    <w:rsid w:val="003973FB"/>
    <w:rsid w:val="0039781E"/>
    <w:rsid w:val="003978FB"/>
    <w:rsid w:val="00397939"/>
    <w:rsid w:val="00397DA6"/>
    <w:rsid w:val="003A0766"/>
    <w:rsid w:val="003A2765"/>
    <w:rsid w:val="003A2954"/>
    <w:rsid w:val="003A2CFF"/>
    <w:rsid w:val="003A3F12"/>
    <w:rsid w:val="003A4384"/>
    <w:rsid w:val="003A4388"/>
    <w:rsid w:val="003A46B9"/>
    <w:rsid w:val="003A5A1A"/>
    <w:rsid w:val="003A61E2"/>
    <w:rsid w:val="003A64D0"/>
    <w:rsid w:val="003A6789"/>
    <w:rsid w:val="003B2341"/>
    <w:rsid w:val="003B277A"/>
    <w:rsid w:val="003B2B13"/>
    <w:rsid w:val="003B3233"/>
    <w:rsid w:val="003B3F04"/>
    <w:rsid w:val="003B4550"/>
    <w:rsid w:val="003B53D9"/>
    <w:rsid w:val="003B540C"/>
    <w:rsid w:val="003B5482"/>
    <w:rsid w:val="003B5FB1"/>
    <w:rsid w:val="003B6110"/>
    <w:rsid w:val="003B67E2"/>
    <w:rsid w:val="003B6DFD"/>
    <w:rsid w:val="003B7E5D"/>
    <w:rsid w:val="003C0347"/>
    <w:rsid w:val="003C28F3"/>
    <w:rsid w:val="003C2E78"/>
    <w:rsid w:val="003C33AF"/>
    <w:rsid w:val="003C346F"/>
    <w:rsid w:val="003C3565"/>
    <w:rsid w:val="003C3611"/>
    <w:rsid w:val="003C36AB"/>
    <w:rsid w:val="003C407C"/>
    <w:rsid w:val="003C44DF"/>
    <w:rsid w:val="003C5A4C"/>
    <w:rsid w:val="003C5D8B"/>
    <w:rsid w:val="003C79E0"/>
    <w:rsid w:val="003D1641"/>
    <w:rsid w:val="003D2E5D"/>
    <w:rsid w:val="003D3045"/>
    <w:rsid w:val="003D3A70"/>
    <w:rsid w:val="003D3AF5"/>
    <w:rsid w:val="003D3CA4"/>
    <w:rsid w:val="003D4D1A"/>
    <w:rsid w:val="003D53A1"/>
    <w:rsid w:val="003D56D0"/>
    <w:rsid w:val="003D5F55"/>
    <w:rsid w:val="003D63E7"/>
    <w:rsid w:val="003D64AB"/>
    <w:rsid w:val="003D6F7F"/>
    <w:rsid w:val="003D7435"/>
    <w:rsid w:val="003D7B23"/>
    <w:rsid w:val="003D7B34"/>
    <w:rsid w:val="003E106D"/>
    <w:rsid w:val="003E1E5A"/>
    <w:rsid w:val="003E23E5"/>
    <w:rsid w:val="003E2627"/>
    <w:rsid w:val="003E2846"/>
    <w:rsid w:val="003E3403"/>
    <w:rsid w:val="003E3F3E"/>
    <w:rsid w:val="003E515C"/>
    <w:rsid w:val="003E558C"/>
    <w:rsid w:val="003E606A"/>
    <w:rsid w:val="003E60E6"/>
    <w:rsid w:val="003E61DD"/>
    <w:rsid w:val="003E7B12"/>
    <w:rsid w:val="003F0970"/>
    <w:rsid w:val="003F0D72"/>
    <w:rsid w:val="003F15FE"/>
    <w:rsid w:val="003F2E71"/>
    <w:rsid w:val="003F329F"/>
    <w:rsid w:val="003F3A4F"/>
    <w:rsid w:val="003F454E"/>
    <w:rsid w:val="003F51AB"/>
    <w:rsid w:val="003F5B99"/>
    <w:rsid w:val="003F5D5D"/>
    <w:rsid w:val="003F642D"/>
    <w:rsid w:val="003F667E"/>
    <w:rsid w:val="003F7215"/>
    <w:rsid w:val="003F7DFA"/>
    <w:rsid w:val="004006BF"/>
    <w:rsid w:val="00400AED"/>
    <w:rsid w:val="00401119"/>
    <w:rsid w:val="00401F19"/>
    <w:rsid w:val="00402AD9"/>
    <w:rsid w:val="00405724"/>
    <w:rsid w:val="00406838"/>
    <w:rsid w:val="00406C7E"/>
    <w:rsid w:val="00407B18"/>
    <w:rsid w:val="004112D0"/>
    <w:rsid w:val="0041183E"/>
    <w:rsid w:val="00411F78"/>
    <w:rsid w:val="0041315A"/>
    <w:rsid w:val="004144DD"/>
    <w:rsid w:val="00416346"/>
    <w:rsid w:val="00416642"/>
    <w:rsid w:val="0041694B"/>
    <w:rsid w:val="00417532"/>
    <w:rsid w:val="00417D6E"/>
    <w:rsid w:val="00417FDD"/>
    <w:rsid w:val="00420F17"/>
    <w:rsid w:val="00422114"/>
    <w:rsid w:val="00422AE9"/>
    <w:rsid w:val="00423EFD"/>
    <w:rsid w:val="00424875"/>
    <w:rsid w:val="00424E06"/>
    <w:rsid w:val="004266B3"/>
    <w:rsid w:val="004268ED"/>
    <w:rsid w:val="00427462"/>
    <w:rsid w:val="004301BC"/>
    <w:rsid w:val="00430F3A"/>
    <w:rsid w:val="0043148A"/>
    <w:rsid w:val="00431785"/>
    <w:rsid w:val="00431D20"/>
    <w:rsid w:val="004333B4"/>
    <w:rsid w:val="00433591"/>
    <w:rsid w:val="00433D1E"/>
    <w:rsid w:val="004341D9"/>
    <w:rsid w:val="0043420A"/>
    <w:rsid w:val="00434ECA"/>
    <w:rsid w:val="00435288"/>
    <w:rsid w:val="004354F0"/>
    <w:rsid w:val="00435B83"/>
    <w:rsid w:val="00436BD4"/>
    <w:rsid w:val="00437D7F"/>
    <w:rsid w:val="004406AF"/>
    <w:rsid w:val="00440731"/>
    <w:rsid w:val="00441D07"/>
    <w:rsid w:val="00442BF6"/>
    <w:rsid w:val="00442F95"/>
    <w:rsid w:val="00443227"/>
    <w:rsid w:val="00443BFC"/>
    <w:rsid w:val="004446B8"/>
    <w:rsid w:val="004454A7"/>
    <w:rsid w:val="004456EC"/>
    <w:rsid w:val="0044657A"/>
    <w:rsid w:val="00446A3C"/>
    <w:rsid w:val="00447255"/>
    <w:rsid w:val="00447272"/>
    <w:rsid w:val="00447964"/>
    <w:rsid w:val="004502ED"/>
    <w:rsid w:val="00450AE6"/>
    <w:rsid w:val="004511DA"/>
    <w:rsid w:val="00451272"/>
    <w:rsid w:val="00451532"/>
    <w:rsid w:val="004519C2"/>
    <w:rsid w:val="00451D2E"/>
    <w:rsid w:val="00452A35"/>
    <w:rsid w:val="004531B4"/>
    <w:rsid w:val="004536E0"/>
    <w:rsid w:val="0045374A"/>
    <w:rsid w:val="00453D9E"/>
    <w:rsid w:val="00453F06"/>
    <w:rsid w:val="00454BC8"/>
    <w:rsid w:val="0045548E"/>
    <w:rsid w:val="00456116"/>
    <w:rsid w:val="00456B7F"/>
    <w:rsid w:val="00456EE4"/>
    <w:rsid w:val="0045753C"/>
    <w:rsid w:val="0045767C"/>
    <w:rsid w:val="00457748"/>
    <w:rsid w:val="00460F04"/>
    <w:rsid w:val="00461253"/>
    <w:rsid w:val="0046154A"/>
    <w:rsid w:val="00461D42"/>
    <w:rsid w:val="004626A4"/>
    <w:rsid w:val="004633C0"/>
    <w:rsid w:val="0046353A"/>
    <w:rsid w:val="00464277"/>
    <w:rsid w:val="00464A7F"/>
    <w:rsid w:val="00464EEE"/>
    <w:rsid w:val="004652F7"/>
    <w:rsid w:val="00465B54"/>
    <w:rsid w:val="00465B78"/>
    <w:rsid w:val="00466699"/>
    <w:rsid w:val="00466F5A"/>
    <w:rsid w:val="00466F8D"/>
    <w:rsid w:val="00467A1D"/>
    <w:rsid w:val="00471DF1"/>
    <w:rsid w:val="004726C0"/>
    <w:rsid w:val="00472FDA"/>
    <w:rsid w:val="00473458"/>
    <w:rsid w:val="00473857"/>
    <w:rsid w:val="00473D1B"/>
    <w:rsid w:val="004749B7"/>
    <w:rsid w:val="00474E77"/>
    <w:rsid w:val="004751FA"/>
    <w:rsid w:val="00475554"/>
    <w:rsid w:val="00476694"/>
    <w:rsid w:val="00477079"/>
    <w:rsid w:val="0047779E"/>
    <w:rsid w:val="00477B73"/>
    <w:rsid w:val="004804BD"/>
    <w:rsid w:val="00480930"/>
    <w:rsid w:val="00481246"/>
    <w:rsid w:val="004818BD"/>
    <w:rsid w:val="00482BC5"/>
    <w:rsid w:val="00482F86"/>
    <w:rsid w:val="0048364F"/>
    <w:rsid w:val="00483765"/>
    <w:rsid w:val="00485165"/>
    <w:rsid w:val="00485A8B"/>
    <w:rsid w:val="004905FA"/>
    <w:rsid w:val="004909FF"/>
    <w:rsid w:val="0049135B"/>
    <w:rsid w:val="00491FA9"/>
    <w:rsid w:val="004928D0"/>
    <w:rsid w:val="00494A57"/>
    <w:rsid w:val="00494BD6"/>
    <w:rsid w:val="00495777"/>
    <w:rsid w:val="00495AF0"/>
    <w:rsid w:val="00495C41"/>
    <w:rsid w:val="00496F03"/>
    <w:rsid w:val="004A008B"/>
    <w:rsid w:val="004A1130"/>
    <w:rsid w:val="004A1430"/>
    <w:rsid w:val="004A203E"/>
    <w:rsid w:val="004A2F6C"/>
    <w:rsid w:val="004A3B6B"/>
    <w:rsid w:val="004A464C"/>
    <w:rsid w:val="004A4694"/>
    <w:rsid w:val="004A5F1A"/>
    <w:rsid w:val="004A72F6"/>
    <w:rsid w:val="004B0670"/>
    <w:rsid w:val="004B068F"/>
    <w:rsid w:val="004B14BB"/>
    <w:rsid w:val="004B2394"/>
    <w:rsid w:val="004B2419"/>
    <w:rsid w:val="004B282A"/>
    <w:rsid w:val="004B2DB6"/>
    <w:rsid w:val="004B3163"/>
    <w:rsid w:val="004B362B"/>
    <w:rsid w:val="004B48F9"/>
    <w:rsid w:val="004B4CCF"/>
    <w:rsid w:val="004B5348"/>
    <w:rsid w:val="004B7544"/>
    <w:rsid w:val="004B762B"/>
    <w:rsid w:val="004B7F9B"/>
    <w:rsid w:val="004C0FEE"/>
    <w:rsid w:val="004C10D9"/>
    <w:rsid w:val="004C19E4"/>
    <w:rsid w:val="004C1CEE"/>
    <w:rsid w:val="004C245F"/>
    <w:rsid w:val="004C44A8"/>
    <w:rsid w:val="004C6011"/>
    <w:rsid w:val="004C683C"/>
    <w:rsid w:val="004D07EC"/>
    <w:rsid w:val="004D2527"/>
    <w:rsid w:val="004D2AAA"/>
    <w:rsid w:val="004D300F"/>
    <w:rsid w:val="004D4459"/>
    <w:rsid w:val="004D4491"/>
    <w:rsid w:val="004D530B"/>
    <w:rsid w:val="004D5616"/>
    <w:rsid w:val="004D574F"/>
    <w:rsid w:val="004D5F50"/>
    <w:rsid w:val="004D6638"/>
    <w:rsid w:val="004D6973"/>
    <w:rsid w:val="004D6EA8"/>
    <w:rsid w:val="004E0234"/>
    <w:rsid w:val="004E08C3"/>
    <w:rsid w:val="004E0EF7"/>
    <w:rsid w:val="004E1073"/>
    <w:rsid w:val="004E205D"/>
    <w:rsid w:val="004E3997"/>
    <w:rsid w:val="004E3C71"/>
    <w:rsid w:val="004E4E74"/>
    <w:rsid w:val="004E5D2C"/>
    <w:rsid w:val="004E6060"/>
    <w:rsid w:val="004E6079"/>
    <w:rsid w:val="004E6260"/>
    <w:rsid w:val="004E7E8E"/>
    <w:rsid w:val="004E7EC0"/>
    <w:rsid w:val="004F358F"/>
    <w:rsid w:val="004F3BB1"/>
    <w:rsid w:val="004F5C48"/>
    <w:rsid w:val="004F6222"/>
    <w:rsid w:val="004F6BAC"/>
    <w:rsid w:val="004F6D9C"/>
    <w:rsid w:val="004F7553"/>
    <w:rsid w:val="0050064D"/>
    <w:rsid w:val="005024B7"/>
    <w:rsid w:val="005042C2"/>
    <w:rsid w:val="00504C0C"/>
    <w:rsid w:val="00505878"/>
    <w:rsid w:val="00506A79"/>
    <w:rsid w:val="00512184"/>
    <w:rsid w:val="00512402"/>
    <w:rsid w:val="0051364F"/>
    <w:rsid w:val="00513967"/>
    <w:rsid w:val="00513FF9"/>
    <w:rsid w:val="0051463A"/>
    <w:rsid w:val="005149BA"/>
    <w:rsid w:val="00515449"/>
    <w:rsid w:val="0051548F"/>
    <w:rsid w:val="005167BD"/>
    <w:rsid w:val="00516888"/>
    <w:rsid w:val="00516BD2"/>
    <w:rsid w:val="00516E3F"/>
    <w:rsid w:val="00516ECB"/>
    <w:rsid w:val="00524109"/>
    <w:rsid w:val="00524EB0"/>
    <w:rsid w:val="00524F44"/>
    <w:rsid w:val="0052533A"/>
    <w:rsid w:val="00525346"/>
    <w:rsid w:val="0052543D"/>
    <w:rsid w:val="0053047A"/>
    <w:rsid w:val="00531D7F"/>
    <w:rsid w:val="00531E3C"/>
    <w:rsid w:val="00532065"/>
    <w:rsid w:val="00532490"/>
    <w:rsid w:val="0053263C"/>
    <w:rsid w:val="00534453"/>
    <w:rsid w:val="00534DBE"/>
    <w:rsid w:val="00534DDB"/>
    <w:rsid w:val="005352B0"/>
    <w:rsid w:val="0053583A"/>
    <w:rsid w:val="005362B0"/>
    <w:rsid w:val="00537935"/>
    <w:rsid w:val="00537F5E"/>
    <w:rsid w:val="00540EC9"/>
    <w:rsid w:val="00545921"/>
    <w:rsid w:val="00545986"/>
    <w:rsid w:val="0054642B"/>
    <w:rsid w:val="00546706"/>
    <w:rsid w:val="00550041"/>
    <w:rsid w:val="00551781"/>
    <w:rsid w:val="00551B74"/>
    <w:rsid w:val="00551BF2"/>
    <w:rsid w:val="00551DDC"/>
    <w:rsid w:val="00552046"/>
    <w:rsid w:val="00552EC7"/>
    <w:rsid w:val="005533E4"/>
    <w:rsid w:val="00553D84"/>
    <w:rsid w:val="005540EF"/>
    <w:rsid w:val="005553FD"/>
    <w:rsid w:val="005558D8"/>
    <w:rsid w:val="005560AF"/>
    <w:rsid w:val="00557D3A"/>
    <w:rsid w:val="00557E55"/>
    <w:rsid w:val="00560389"/>
    <w:rsid w:val="005610D0"/>
    <w:rsid w:val="00562A1E"/>
    <w:rsid w:val="00562DDD"/>
    <w:rsid w:val="00563B95"/>
    <w:rsid w:val="005641AE"/>
    <w:rsid w:val="005645E1"/>
    <w:rsid w:val="0056578B"/>
    <w:rsid w:val="005668F1"/>
    <w:rsid w:val="00566AAF"/>
    <w:rsid w:val="00566CB8"/>
    <w:rsid w:val="005705C4"/>
    <w:rsid w:val="00570CC0"/>
    <w:rsid w:val="00570D81"/>
    <w:rsid w:val="00571006"/>
    <w:rsid w:val="005711DA"/>
    <w:rsid w:val="00571FB5"/>
    <w:rsid w:val="00576B0C"/>
    <w:rsid w:val="00576F95"/>
    <w:rsid w:val="0057723A"/>
    <w:rsid w:val="00577F86"/>
    <w:rsid w:val="00577FA2"/>
    <w:rsid w:val="00580609"/>
    <w:rsid w:val="0058164D"/>
    <w:rsid w:val="00581DA9"/>
    <w:rsid w:val="00581E55"/>
    <w:rsid w:val="00581E59"/>
    <w:rsid w:val="00581F47"/>
    <w:rsid w:val="00583644"/>
    <w:rsid w:val="00584E3F"/>
    <w:rsid w:val="0058536E"/>
    <w:rsid w:val="0058640A"/>
    <w:rsid w:val="0058685D"/>
    <w:rsid w:val="005872A1"/>
    <w:rsid w:val="00590379"/>
    <w:rsid w:val="0059040B"/>
    <w:rsid w:val="00590CE4"/>
    <w:rsid w:val="005913B7"/>
    <w:rsid w:val="00591466"/>
    <w:rsid w:val="00592DB5"/>
    <w:rsid w:val="00592E04"/>
    <w:rsid w:val="00593543"/>
    <w:rsid w:val="00594065"/>
    <w:rsid w:val="00595EDA"/>
    <w:rsid w:val="00595F04"/>
    <w:rsid w:val="005974CF"/>
    <w:rsid w:val="00597A50"/>
    <w:rsid w:val="005A0BD7"/>
    <w:rsid w:val="005A1190"/>
    <w:rsid w:val="005A152D"/>
    <w:rsid w:val="005A1E5F"/>
    <w:rsid w:val="005A26DE"/>
    <w:rsid w:val="005A41A9"/>
    <w:rsid w:val="005A4C36"/>
    <w:rsid w:val="005A4D58"/>
    <w:rsid w:val="005A5697"/>
    <w:rsid w:val="005A5FFA"/>
    <w:rsid w:val="005A7D8A"/>
    <w:rsid w:val="005B005D"/>
    <w:rsid w:val="005B02AC"/>
    <w:rsid w:val="005B055E"/>
    <w:rsid w:val="005B09EF"/>
    <w:rsid w:val="005B1D59"/>
    <w:rsid w:val="005B2BC0"/>
    <w:rsid w:val="005B3527"/>
    <w:rsid w:val="005B3D69"/>
    <w:rsid w:val="005B3D70"/>
    <w:rsid w:val="005B4228"/>
    <w:rsid w:val="005B43C1"/>
    <w:rsid w:val="005B499B"/>
    <w:rsid w:val="005B55EA"/>
    <w:rsid w:val="005B5AD0"/>
    <w:rsid w:val="005B5FFF"/>
    <w:rsid w:val="005B6330"/>
    <w:rsid w:val="005B68B6"/>
    <w:rsid w:val="005C0D1E"/>
    <w:rsid w:val="005C1C90"/>
    <w:rsid w:val="005C2529"/>
    <w:rsid w:val="005C2EE5"/>
    <w:rsid w:val="005C38E4"/>
    <w:rsid w:val="005C3BD3"/>
    <w:rsid w:val="005C41B2"/>
    <w:rsid w:val="005C427B"/>
    <w:rsid w:val="005C60CE"/>
    <w:rsid w:val="005C67EE"/>
    <w:rsid w:val="005C69A2"/>
    <w:rsid w:val="005C6C4F"/>
    <w:rsid w:val="005C7536"/>
    <w:rsid w:val="005C7965"/>
    <w:rsid w:val="005C7AD0"/>
    <w:rsid w:val="005D1A47"/>
    <w:rsid w:val="005D1BED"/>
    <w:rsid w:val="005D1C4A"/>
    <w:rsid w:val="005D1CAD"/>
    <w:rsid w:val="005D3574"/>
    <w:rsid w:val="005D4853"/>
    <w:rsid w:val="005D5DBA"/>
    <w:rsid w:val="005D7538"/>
    <w:rsid w:val="005E00E7"/>
    <w:rsid w:val="005E0752"/>
    <w:rsid w:val="005E07C0"/>
    <w:rsid w:val="005E07F1"/>
    <w:rsid w:val="005E0DB7"/>
    <w:rsid w:val="005E15C0"/>
    <w:rsid w:val="005E2556"/>
    <w:rsid w:val="005E4EEE"/>
    <w:rsid w:val="005E6756"/>
    <w:rsid w:val="005E67B4"/>
    <w:rsid w:val="005E69EB"/>
    <w:rsid w:val="005E7EBD"/>
    <w:rsid w:val="005F02AC"/>
    <w:rsid w:val="005F0476"/>
    <w:rsid w:val="005F04DD"/>
    <w:rsid w:val="005F057B"/>
    <w:rsid w:val="005F1607"/>
    <w:rsid w:val="005F3850"/>
    <w:rsid w:val="005F3A90"/>
    <w:rsid w:val="005F4AAD"/>
    <w:rsid w:val="005F4D28"/>
    <w:rsid w:val="005F645E"/>
    <w:rsid w:val="005F68F5"/>
    <w:rsid w:val="005F697D"/>
    <w:rsid w:val="00600A22"/>
    <w:rsid w:val="00600B1A"/>
    <w:rsid w:val="006011B7"/>
    <w:rsid w:val="00601A2C"/>
    <w:rsid w:val="00601BB4"/>
    <w:rsid w:val="00602E2E"/>
    <w:rsid w:val="00602FBD"/>
    <w:rsid w:val="0060411D"/>
    <w:rsid w:val="00604C1C"/>
    <w:rsid w:val="00604E90"/>
    <w:rsid w:val="006052AE"/>
    <w:rsid w:val="006066C0"/>
    <w:rsid w:val="00607020"/>
    <w:rsid w:val="0060703C"/>
    <w:rsid w:val="006073D5"/>
    <w:rsid w:val="00607F71"/>
    <w:rsid w:val="00613374"/>
    <w:rsid w:val="006136B1"/>
    <w:rsid w:val="006148B0"/>
    <w:rsid w:val="00614C8E"/>
    <w:rsid w:val="00614EE4"/>
    <w:rsid w:val="0061596A"/>
    <w:rsid w:val="00615D99"/>
    <w:rsid w:val="00616237"/>
    <w:rsid w:val="00616FC9"/>
    <w:rsid w:val="006172AF"/>
    <w:rsid w:val="00617AAB"/>
    <w:rsid w:val="00620C33"/>
    <w:rsid w:val="00621D6B"/>
    <w:rsid w:val="00622CBA"/>
    <w:rsid w:val="00625005"/>
    <w:rsid w:val="00625340"/>
    <w:rsid w:val="00625753"/>
    <w:rsid w:val="00626713"/>
    <w:rsid w:val="00627043"/>
    <w:rsid w:val="00630000"/>
    <w:rsid w:val="006302A7"/>
    <w:rsid w:val="006303D4"/>
    <w:rsid w:val="00631BA0"/>
    <w:rsid w:val="0063204E"/>
    <w:rsid w:val="006328B7"/>
    <w:rsid w:val="006333EF"/>
    <w:rsid w:val="006338F6"/>
    <w:rsid w:val="00634110"/>
    <w:rsid w:val="00634741"/>
    <w:rsid w:val="00634EF8"/>
    <w:rsid w:val="0063606A"/>
    <w:rsid w:val="00636540"/>
    <w:rsid w:val="00636E05"/>
    <w:rsid w:val="00636EEB"/>
    <w:rsid w:val="00637959"/>
    <w:rsid w:val="00640022"/>
    <w:rsid w:val="006415ED"/>
    <w:rsid w:val="00641B0C"/>
    <w:rsid w:val="00642928"/>
    <w:rsid w:val="0064398A"/>
    <w:rsid w:val="00643D30"/>
    <w:rsid w:val="00643F44"/>
    <w:rsid w:val="00645997"/>
    <w:rsid w:val="00646662"/>
    <w:rsid w:val="00650B22"/>
    <w:rsid w:val="0065153C"/>
    <w:rsid w:val="006529E0"/>
    <w:rsid w:val="006536C7"/>
    <w:rsid w:val="00654F5E"/>
    <w:rsid w:val="00655501"/>
    <w:rsid w:val="0065566B"/>
    <w:rsid w:val="00656220"/>
    <w:rsid w:val="00656DFB"/>
    <w:rsid w:val="00657C81"/>
    <w:rsid w:val="0066068F"/>
    <w:rsid w:val="0066090A"/>
    <w:rsid w:val="0066100F"/>
    <w:rsid w:val="0066235A"/>
    <w:rsid w:val="00662B45"/>
    <w:rsid w:val="00662DD9"/>
    <w:rsid w:val="0066396D"/>
    <w:rsid w:val="00665E03"/>
    <w:rsid w:val="006667BC"/>
    <w:rsid w:val="00666965"/>
    <w:rsid w:val="00667A94"/>
    <w:rsid w:val="00667EDE"/>
    <w:rsid w:val="00670174"/>
    <w:rsid w:val="006710E4"/>
    <w:rsid w:val="006711CA"/>
    <w:rsid w:val="00671529"/>
    <w:rsid w:val="00672506"/>
    <w:rsid w:val="00673A47"/>
    <w:rsid w:val="006745BB"/>
    <w:rsid w:val="00674787"/>
    <w:rsid w:val="006747FD"/>
    <w:rsid w:val="006749B7"/>
    <w:rsid w:val="0067516A"/>
    <w:rsid w:val="00675DCB"/>
    <w:rsid w:val="00675E50"/>
    <w:rsid w:val="00675F31"/>
    <w:rsid w:val="0067654C"/>
    <w:rsid w:val="00676836"/>
    <w:rsid w:val="00676E07"/>
    <w:rsid w:val="00677EFE"/>
    <w:rsid w:val="00680CAD"/>
    <w:rsid w:val="00681CF1"/>
    <w:rsid w:val="00682496"/>
    <w:rsid w:val="006828F6"/>
    <w:rsid w:val="00682DE9"/>
    <w:rsid w:val="00683700"/>
    <w:rsid w:val="00684121"/>
    <w:rsid w:val="00684CA3"/>
    <w:rsid w:val="00684D41"/>
    <w:rsid w:val="00684E74"/>
    <w:rsid w:val="00685096"/>
    <w:rsid w:val="00686179"/>
    <w:rsid w:val="006865BD"/>
    <w:rsid w:val="0068682C"/>
    <w:rsid w:val="00686887"/>
    <w:rsid w:val="00686998"/>
    <w:rsid w:val="00686E53"/>
    <w:rsid w:val="0068702A"/>
    <w:rsid w:val="00687400"/>
    <w:rsid w:val="0069111E"/>
    <w:rsid w:val="006923F6"/>
    <w:rsid w:val="00693C00"/>
    <w:rsid w:val="00695280"/>
    <w:rsid w:val="00695EE5"/>
    <w:rsid w:val="00697416"/>
    <w:rsid w:val="00697DFD"/>
    <w:rsid w:val="006A1723"/>
    <w:rsid w:val="006A1B36"/>
    <w:rsid w:val="006A20D5"/>
    <w:rsid w:val="006A2338"/>
    <w:rsid w:val="006A2473"/>
    <w:rsid w:val="006A2B9C"/>
    <w:rsid w:val="006A2BCF"/>
    <w:rsid w:val="006A2BE9"/>
    <w:rsid w:val="006A31AE"/>
    <w:rsid w:val="006A4E58"/>
    <w:rsid w:val="006A5323"/>
    <w:rsid w:val="006A5D9B"/>
    <w:rsid w:val="006A5EED"/>
    <w:rsid w:val="006A66B2"/>
    <w:rsid w:val="006A6ACD"/>
    <w:rsid w:val="006A6D97"/>
    <w:rsid w:val="006A7522"/>
    <w:rsid w:val="006A788D"/>
    <w:rsid w:val="006A79F9"/>
    <w:rsid w:val="006B0862"/>
    <w:rsid w:val="006B0972"/>
    <w:rsid w:val="006B118D"/>
    <w:rsid w:val="006B14FF"/>
    <w:rsid w:val="006B163A"/>
    <w:rsid w:val="006B512E"/>
    <w:rsid w:val="006B6C5E"/>
    <w:rsid w:val="006C09A3"/>
    <w:rsid w:val="006C0DAC"/>
    <w:rsid w:val="006C1080"/>
    <w:rsid w:val="006C1F59"/>
    <w:rsid w:val="006C205B"/>
    <w:rsid w:val="006C39F6"/>
    <w:rsid w:val="006C3C0C"/>
    <w:rsid w:val="006C4C08"/>
    <w:rsid w:val="006C58AE"/>
    <w:rsid w:val="006C5A3A"/>
    <w:rsid w:val="006C5BC4"/>
    <w:rsid w:val="006C6152"/>
    <w:rsid w:val="006C647F"/>
    <w:rsid w:val="006C68C1"/>
    <w:rsid w:val="006C7828"/>
    <w:rsid w:val="006C7C00"/>
    <w:rsid w:val="006D2397"/>
    <w:rsid w:val="006D2A43"/>
    <w:rsid w:val="006D30BE"/>
    <w:rsid w:val="006D3BAD"/>
    <w:rsid w:val="006D4D1E"/>
    <w:rsid w:val="006D640B"/>
    <w:rsid w:val="006D6C0B"/>
    <w:rsid w:val="006D6E95"/>
    <w:rsid w:val="006D7314"/>
    <w:rsid w:val="006D7551"/>
    <w:rsid w:val="006E12E7"/>
    <w:rsid w:val="006E214A"/>
    <w:rsid w:val="006E3065"/>
    <w:rsid w:val="006E335B"/>
    <w:rsid w:val="006E647A"/>
    <w:rsid w:val="006E75EE"/>
    <w:rsid w:val="006E7D09"/>
    <w:rsid w:val="006E7F0F"/>
    <w:rsid w:val="006F0B47"/>
    <w:rsid w:val="006F1051"/>
    <w:rsid w:val="006F105B"/>
    <w:rsid w:val="006F1DE8"/>
    <w:rsid w:val="006F1F5A"/>
    <w:rsid w:val="006F3689"/>
    <w:rsid w:val="006F4413"/>
    <w:rsid w:val="006F4488"/>
    <w:rsid w:val="006F455A"/>
    <w:rsid w:val="006F4A24"/>
    <w:rsid w:val="006F4B76"/>
    <w:rsid w:val="006F5BD0"/>
    <w:rsid w:val="006F76A2"/>
    <w:rsid w:val="00700184"/>
    <w:rsid w:val="00700264"/>
    <w:rsid w:val="007006FC"/>
    <w:rsid w:val="007019F1"/>
    <w:rsid w:val="00701C9D"/>
    <w:rsid w:val="0070398C"/>
    <w:rsid w:val="00706609"/>
    <w:rsid w:val="00707778"/>
    <w:rsid w:val="00707A90"/>
    <w:rsid w:val="0071020C"/>
    <w:rsid w:val="0071035F"/>
    <w:rsid w:val="007106E3"/>
    <w:rsid w:val="007114B8"/>
    <w:rsid w:val="0071150A"/>
    <w:rsid w:val="007125CE"/>
    <w:rsid w:val="00712EFE"/>
    <w:rsid w:val="00713306"/>
    <w:rsid w:val="00715295"/>
    <w:rsid w:val="007155F9"/>
    <w:rsid w:val="00716314"/>
    <w:rsid w:val="00717940"/>
    <w:rsid w:val="00717AE5"/>
    <w:rsid w:val="00720E07"/>
    <w:rsid w:val="00720FEA"/>
    <w:rsid w:val="00721EDA"/>
    <w:rsid w:val="0072218E"/>
    <w:rsid w:val="00722C91"/>
    <w:rsid w:val="0072399C"/>
    <w:rsid w:val="0072440B"/>
    <w:rsid w:val="007265F5"/>
    <w:rsid w:val="007268F9"/>
    <w:rsid w:val="00727F78"/>
    <w:rsid w:val="007300B3"/>
    <w:rsid w:val="007301AF"/>
    <w:rsid w:val="007305DC"/>
    <w:rsid w:val="0073190D"/>
    <w:rsid w:val="00731BC8"/>
    <w:rsid w:val="00732151"/>
    <w:rsid w:val="00732524"/>
    <w:rsid w:val="007326B7"/>
    <w:rsid w:val="00732D1E"/>
    <w:rsid w:val="00733204"/>
    <w:rsid w:val="00734560"/>
    <w:rsid w:val="00736306"/>
    <w:rsid w:val="00736371"/>
    <w:rsid w:val="007364A6"/>
    <w:rsid w:val="007370A8"/>
    <w:rsid w:val="00737C73"/>
    <w:rsid w:val="00737DDB"/>
    <w:rsid w:val="007403A0"/>
    <w:rsid w:val="007404A3"/>
    <w:rsid w:val="00740EDB"/>
    <w:rsid w:val="00740FC4"/>
    <w:rsid w:val="00741D73"/>
    <w:rsid w:val="007422FA"/>
    <w:rsid w:val="007425D3"/>
    <w:rsid w:val="00743E09"/>
    <w:rsid w:val="00743F2B"/>
    <w:rsid w:val="00745157"/>
    <w:rsid w:val="0074557B"/>
    <w:rsid w:val="00745B65"/>
    <w:rsid w:val="00746A82"/>
    <w:rsid w:val="00747224"/>
    <w:rsid w:val="00750672"/>
    <w:rsid w:val="007507C4"/>
    <w:rsid w:val="0075087E"/>
    <w:rsid w:val="00751432"/>
    <w:rsid w:val="00751749"/>
    <w:rsid w:val="007519BF"/>
    <w:rsid w:val="00752074"/>
    <w:rsid w:val="00752648"/>
    <w:rsid w:val="00752D59"/>
    <w:rsid w:val="00752F6A"/>
    <w:rsid w:val="0075400C"/>
    <w:rsid w:val="00754239"/>
    <w:rsid w:val="007544B5"/>
    <w:rsid w:val="00754A4E"/>
    <w:rsid w:val="007550A2"/>
    <w:rsid w:val="00755BCD"/>
    <w:rsid w:val="00756097"/>
    <w:rsid w:val="00757508"/>
    <w:rsid w:val="0075790B"/>
    <w:rsid w:val="007605A4"/>
    <w:rsid w:val="00760A05"/>
    <w:rsid w:val="00760C54"/>
    <w:rsid w:val="00761317"/>
    <w:rsid w:val="00761E0D"/>
    <w:rsid w:val="00761E1F"/>
    <w:rsid w:val="0076213A"/>
    <w:rsid w:val="00762289"/>
    <w:rsid w:val="00762F04"/>
    <w:rsid w:val="00763398"/>
    <w:rsid w:val="007642E9"/>
    <w:rsid w:val="007644F8"/>
    <w:rsid w:val="00764FB3"/>
    <w:rsid w:val="00765BDD"/>
    <w:rsid w:val="007666A2"/>
    <w:rsid w:val="007678D0"/>
    <w:rsid w:val="00767B84"/>
    <w:rsid w:val="00770077"/>
    <w:rsid w:val="00771351"/>
    <w:rsid w:val="00773423"/>
    <w:rsid w:val="00773707"/>
    <w:rsid w:val="00774688"/>
    <w:rsid w:val="00774989"/>
    <w:rsid w:val="0077536D"/>
    <w:rsid w:val="00776D62"/>
    <w:rsid w:val="00777F40"/>
    <w:rsid w:val="00782CAD"/>
    <w:rsid w:val="00782FBD"/>
    <w:rsid w:val="0078333A"/>
    <w:rsid w:val="00784A3E"/>
    <w:rsid w:val="00785A64"/>
    <w:rsid w:val="0078613E"/>
    <w:rsid w:val="007864D1"/>
    <w:rsid w:val="0078683F"/>
    <w:rsid w:val="00786ED6"/>
    <w:rsid w:val="00787045"/>
    <w:rsid w:val="007870B0"/>
    <w:rsid w:val="007873D9"/>
    <w:rsid w:val="00790640"/>
    <w:rsid w:val="00793FE0"/>
    <w:rsid w:val="00794580"/>
    <w:rsid w:val="00794EFC"/>
    <w:rsid w:val="0079511C"/>
    <w:rsid w:val="007956CA"/>
    <w:rsid w:val="00795B8C"/>
    <w:rsid w:val="00796131"/>
    <w:rsid w:val="00796591"/>
    <w:rsid w:val="007965AE"/>
    <w:rsid w:val="007976F6"/>
    <w:rsid w:val="00797A1B"/>
    <w:rsid w:val="007A026E"/>
    <w:rsid w:val="007A07ED"/>
    <w:rsid w:val="007A10A9"/>
    <w:rsid w:val="007A1337"/>
    <w:rsid w:val="007A160A"/>
    <w:rsid w:val="007A2E9C"/>
    <w:rsid w:val="007A2F9F"/>
    <w:rsid w:val="007A33D3"/>
    <w:rsid w:val="007A4D05"/>
    <w:rsid w:val="007A5230"/>
    <w:rsid w:val="007A6016"/>
    <w:rsid w:val="007A65B4"/>
    <w:rsid w:val="007A709E"/>
    <w:rsid w:val="007A7CF8"/>
    <w:rsid w:val="007B0416"/>
    <w:rsid w:val="007B0887"/>
    <w:rsid w:val="007B0C9D"/>
    <w:rsid w:val="007B1BCB"/>
    <w:rsid w:val="007B242F"/>
    <w:rsid w:val="007B2434"/>
    <w:rsid w:val="007B2CA9"/>
    <w:rsid w:val="007B368B"/>
    <w:rsid w:val="007B3912"/>
    <w:rsid w:val="007B3B47"/>
    <w:rsid w:val="007B4449"/>
    <w:rsid w:val="007B45E2"/>
    <w:rsid w:val="007B46A0"/>
    <w:rsid w:val="007B514D"/>
    <w:rsid w:val="007B585C"/>
    <w:rsid w:val="007B5D7C"/>
    <w:rsid w:val="007B639D"/>
    <w:rsid w:val="007B6F9E"/>
    <w:rsid w:val="007B7311"/>
    <w:rsid w:val="007C09E7"/>
    <w:rsid w:val="007C0BB6"/>
    <w:rsid w:val="007C160E"/>
    <w:rsid w:val="007C1A4B"/>
    <w:rsid w:val="007C2E7D"/>
    <w:rsid w:val="007C34F0"/>
    <w:rsid w:val="007C37F4"/>
    <w:rsid w:val="007C4E49"/>
    <w:rsid w:val="007C52B0"/>
    <w:rsid w:val="007C61CA"/>
    <w:rsid w:val="007C70E4"/>
    <w:rsid w:val="007C7981"/>
    <w:rsid w:val="007D0704"/>
    <w:rsid w:val="007D0DDF"/>
    <w:rsid w:val="007D1D40"/>
    <w:rsid w:val="007D2B5B"/>
    <w:rsid w:val="007D3F43"/>
    <w:rsid w:val="007D4556"/>
    <w:rsid w:val="007D50C0"/>
    <w:rsid w:val="007D63EE"/>
    <w:rsid w:val="007D68F9"/>
    <w:rsid w:val="007D6D04"/>
    <w:rsid w:val="007D742A"/>
    <w:rsid w:val="007D780D"/>
    <w:rsid w:val="007D7C07"/>
    <w:rsid w:val="007E082A"/>
    <w:rsid w:val="007E1229"/>
    <w:rsid w:val="007E125F"/>
    <w:rsid w:val="007E1441"/>
    <w:rsid w:val="007E1BF5"/>
    <w:rsid w:val="007E26D6"/>
    <w:rsid w:val="007E298F"/>
    <w:rsid w:val="007E2E53"/>
    <w:rsid w:val="007E306F"/>
    <w:rsid w:val="007E3976"/>
    <w:rsid w:val="007E3AEE"/>
    <w:rsid w:val="007E4C8F"/>
    <w:rsid w:val="007E4C95"/>
    <w:rsid w:val="007E53DF"/>
    <w:rsid w:val="007E5758"/>
    <w:rsid w:val="007E6950"/>
    <w:rsid w:val="007F16A9"/>
    <w:rsid w:val="007F4462"/>
    <w:rsid w:val="007F4AED"/>
    <w:rsid w:val="007F62DB"/>
    <w:rsid w:val="008014CB"/>
    <w:rsid w:val="00801BFA"/>
    <w:rsid w:val="0080250D"/>
    <w:rsid w:val="00802857"/>
    <w:rsid w:val="00802945"/>
    <w:rsid w:val="00802C15"/>
    <w:rsid w:val="008037C8"/>
    <w:rsid w:val="0080396E"/>
    <w:rsid w:val="0080484A"/>
    <w:rsid w:val="00804B90"/>
    <w:rsid w:val="008056FD"/>
    <w:rsid w:val="008059C2"/>
    <w:rsid w:val="00805A5E"/>
    <w:rsid w:val="00805FE3"/>
    <w:rsid w:val="00806BA5"/>
    <w:rsid w:val="00806BD6"/>
    <w:rsid w:val="00807E93"/>
    <w:rsid w:val="008110D4"/>
    <w:rsid w:val="00811111"/>
    <w:rsid w:val="00812280"/>
    <w:rsid w:val="00812B51"/>
    <w:rsid w:val="00812E4E"/>
    <w:rsid w:val="0081362B"/>
    <w:rsid w:val="0081370E"/>
    <w:rsid w:val="00814852"/>
    <w:rsid w:val="00814ED8"/>
    <w:rsid w:val="00815510"/>
    <w:rsid w:val="008157AF"/>
    <w:rsid w:val="008158F3"/>
    <w:rsid w:val="00815C76"/>
    <w:rsid w:val="0081610B"/>
    <w:rsid w:val="008164B4"/>
    <w:rsid w:val="008164CC"/>
    <w:rsid w:val="00816E1D"/>
    <w:rsid w:val="00817177"/>
    <w:rsid w:val="00817E57"/>
    <w:rsid w:val="00820E31"/>
    <w:rsid w:val="008217EA"/>
    <w:rsid w:val="00822E6D"/>
    <w:rsid w:val="008230F0"/>
    <w:rsid w:val="00823109"/>
    <w:rsid w:val="00823237"/>
    <w:rsid w:val="00824A2E"/>
    <w:rsid w:val="00824F80"/>
    <w:rsid w:val="00825668"/>
    <w:rsid w:val="008258E6"/>
    <w:rsid w:val="008269F8"/>
    <w:rsid w:val="00826C36"/>
    <w:rsid w:val="00826C81"/>
    <w:rsid w:val="00827633"/>
    <w:rsid w:val="00827B06"/>
    <w:rsid w:val="00831334"/>
    <w:rsid w:val="00831CB5"/>
    <w:rsid w:val="00832605"/>
    <w:rsid w:val="00833460"/>
    <w:rsid w:val="00833CCB"/>
    <w:rsid w:val="00835E44"/>
    <w:rsid w:val="0084029C"/>
    <w:rsid w:val="00841ABF"/>
    <w:rsid w:val="008434CF"/>
    <w:rsid w:val="00843946"/>
    <w:rsid w:val="00844990"/>
    <w:rsid w:val="00844CB2"/>
    <w:rsid w:val="00844FAF"/>
    <w:rsid w:val="008461F1"/>
    <w:rsid w:val="00846421"/>
    <w:rsid w:val="0084669A"/>
    <w:rsid w:val="008472E7"/>
    <w:rsid w:val="00847CCA"/>
    <w:rsid w:val="00847E81"/>
    <w:rsid w:val="00847FFA"/>
    <w:rsid w:val="008502ED"/>
    <w:rsid w:val="00850690"/>
    <w:rsid w:val="00851100"/>
    <w:rsid w:val="0085123A"/>
    <w:rsid w:val="008522F1"/>
    <w:rsid w:val="0085384B"/>
    <w:rsid w:val="008543BD"/>
    <w:rsid w:val="0085472F"/>
    <w:rsid w:val="00854761"/>
    <w:rsid w:val="00854C66"/>
    <w:rsid w:val="008551EF"/>
    <w:rsid w:val="0085571C"/>
    <w:rsid w:val="00855F7E"/>
    <w:rsid w:val="00856798"/>
    <w:rsid w:val="0085753E"/>
    <w:rsid w:val="008579F8"/>
    <w:rsid w:val="00857D89"/>
    <w:rsid w:val="00860E17"/>
    <w:rsid w:val="00861600"/>
    <w:rsid w:val="00861914"/>
    <w:rsid w:val="008625A8"/>
    <w:rsid w:val="008633ED"/>
    <w:rsid w:val="00864AFB"/>
    <w:rsid w:val="00864FAC"/>
    <w:rsid w:val="0086744D"/>
    <w:rsid w:val="00867C6E"/>
    <w:rsid w:val="00870279"/>
    <w:rsid w:val="00870E37"/>
    <w:rsid w:val="00871D7F"/>
    <w:rsid w:val="0087202D"/>
    <w:rsid w:val="00872114"/>
    <w:rsid w:val="0087256B"/>
    <w:rsid w:val="00872B16"/>
    <w:rsid w:val="00872E9D"/>
    <w:rsid w:val="00873F3A"/>
    <w:rsid w:val="008741F5"/>
    <w:rsid w:val="0087423A"/>
    <w:rsid w:val="00875A83"/>
    <w:rsid w:val="008761BC"/>
    <w:rsid w:val="008764C6"/>
    <w:rsid w:val="00876D50"/>
    <w:rsid w:val="00877018"/>
    <w:rsid w:val="008771B6"/>
    <w:rsid w:val="00881980"/>
    <w:rsid w:val="0088286D"/>
    <w:rsid w:val="0088380B"/>
    <w:rsid w:val="0088381A"/>
    <w:rsid w:val="00884231"/>
    <w:rsid w:val="00884A03"/>
    <w:rsid w:val="00884AF0"/>
    <w:rsid w:val="00890C7C"/>
    <w:rsid w:val="008914B0"/>
    <w:rsid w:val="008916B6"/>
    <w:rsid w:val="00891CC2"/>
    <w:rsid w:val="00891F91"/>
    <w:rsid w:val="00892D66"/>
    <w:rsid w:val="00892D83"/>
    <w:rsid w:val="00893773"/>
    <w:rsid w:val="00893872"/>
    <w:rsid w:val="0089388F"/>
    <w:rsid w:val="00893DDC"/>
    <w:rsid w:val="00894E76"/>
    <w:rsid w:val="008960E0"/>
    <w:rsid w:val="00896922"/>
    <w:rsid w:val="00896C9E"/>
    <w:rsid w:val="00896CDE"/>
    <w:rsid w:val="008A1FD0"/>
    <w:rsid w:val="008A3D78"/>
    <w:rsid w:val="008A532C"/>
    <w:rsid w:val="008A7087"/>
    <w:rsid w:val="008A70AA"/>
    <w:rsid w:val="008A79A7"/>
    <w:rsid w:val="008B039D"/>
    <w:rsid w:val="008B0649"/>
    <w:rsid w:val="008B1AC1"/>
    <w:rsid w:val="008B1AD0"/>
    <w:rsid w:val="008B2141"/>
    <w:rsid w:val="008B256A"/>
    <w:rsid w:val="008B2EFC"/>
    <w:rsid w:val="008B395D"/>
    <w:rsid w:val="008B3D1E"/>
    <w:rsid w:val="008B3F48"/>
    <w:rsid w:val="008B4249"/>
    <w:rsid w:val="008B5B54"/>
    <w:rsid w:val="008B6364"/>
    <w:rsid w:val="008B6AC3"/>
    <w:rsid w:val="008B6CC8"/>
    <w:rsid w:val="008B6E16"/>
    <w:rsid w:val="008B720E"/>
    <w:rsid w:val="008B7386"/>
    <w:rsid w:val="008B74B6"/>
    <w:rsid w:val="008B753C"/>
    <w:rsid w:val="008B756A"/>
    <w:rsid w:val="008B7D7D"/>
    <w:rsid w:val="008C0126"/>
    <w:rsid w:val="008C0ACC"/>
    <w:rsid w:val="008C131C"/>
    <w:rsid w:val="008C3A4F"/>
    <w:rsid w:val="008C4B9D"/>
    <w:rsid w:val="008C594B"/>
    <w:rsid w:val="008C68CC"/>
    <w:rsid w:val="008C776C"/>
    <w:rsid w:val="008C7B5F"/>
    <w:rsid w:val="008D131D"/>
    <w:rsid w:val="008D1713"/>
    <w:rsid w:val="008D1793"/>
    <w:rsid w:val="008D2163"/>
    <w:rsid w:val="008D3450"/>
    <w:rsid w:val="008D3730"/>
    <w:rsid w:val="008D3966"/>
    <w:rsid w:val="008D3F24"/>
    <w:rsid w:val="008D4599"/>
    <w:rsid w:val="008D4619"/>
    <w:rsid w:val="008D4BD7"/>
    <w:rsid w:val="008D4C69"/>
    <w:rsid w:val="008D4EAF"/>
    <w:rsid w:val="008D5108"/>
    <w:rsid w:val="008D5D66"/>
    <w:rsid w:val="008D7EE9"/>
    <w:rsid w:val="008E040E"/>
    <w:rsid w:val="008E09C0"/>
    <w:rsid w:val="008E0E93"/>
    <w:rsid w:val="008E13E2"/>
    <w:rsid w:val="008E3CB6"/>
    <w:rsid w:val="008E4325"/>
    <w:rsid w:val="008E610E"/>
    <w:rsid w:val="008E6907"/>
    <w:rsid w:val="008E6971"/>
    <w:rsid w:val="008E6B8C"/>
    <w:rsid w:val="008E6C68"/>
    <w:rsid w:val="008E76B1"/>
    <w:rsid w:val="008E7801"/>
    <w:rsid w:val="008F091D"/>
    <w:rsid w:val="008F108B"/>
    <w:rsid w:val="008F114A"/>
    <w:rsid w:val="008F134D"/>
    <w:rsid w:val="008F3149"/>
    <w:rsid w:val="008F47FE"/>
    <w:rsid w:val="008F4EA3"/>
    <w:rsid w:val="008F51D3"/>
    <w:rsid w:val="008F5712"/>
    <w:rsid w:val="008F7E08"/>
    <w:rsid w:val="009004E6"/>
    <w:rsid w:val="00900CD4"/>
    <w:rsid w:val="00900EAE"/>
    <w:rsid w:val="00901C72"/>
    <w:rsid w:val="00901DE1"/>
    <w:rsid w:val="0090276E"/>
    <w:rsid w:val="00902E9D"/>
    <w:rsid w:val="00903080"/>
    <w:rsid w:val="0090336C"/>
    <w:rsid w:val="00903DFE"/>
    <w:rsid w:val="00905990"/>
    <w:rsid w:val="00906066"/>
    <w:rsid w:val="009063B2"/>
    <w:rsid w:val="0090684C"/>
    <w:rsid w:val="009070DE"/>
    <w:rsid w:val="00907A72"/>
    <w:rsid w:val="00907FD9"/>
    <w:rsid w:val="00911C8F"/>
    <w:rsid w:val="0091205E"/>
    <w:rsid w:val="009122A4"/>
    <w:rsid w:val="00912828"/>
    <w:rsid w:val="009134B7"/>
    <w:rsid w:val="00913A72"/>
    <w:rsid w:val="00914006"/>
    <w:rsid w:val="009142EA"/>
    <w:rsid w:val="00914F7D"/>
    <w:rsid w:val="0091559D"/>
    <w:rsid w:val="0091779E"/>
    <w:rsid w:val="00917986"/>
    <w:rsid w:val="00920245"/>
    <w:rsid w:val="009203BE"/>
    <w:rsid w:val="00921AA4"/>
    <w:rsid w:val="00922E70"/>
    <w:rsid w:val="00922FA5"/>
    <w:rsid w:val="00923A12"/>
    <w:rsid w:val="009246D0"/>
    <w:rsid w:val="00924D01"/>
    <w:rsid w:val="009250AB"/>
    <w:rsid w:val="00925130"/>
    <w:rsid w:val="0092600C"/>
    <w:rsid w:val="00926B6D"/>
    <w:rsid w:val="00926DD8"/>
    <w:rsid w:val="0092771A"/>
    <w:rsid w:val="00927EC2"/>
    <w:rsid w:val="009300B8"/>
    <w:rsid w:val="00930CA8"/>
    <w:rsid w:val="00930E80"/>
    <w:rsid w:val="009310CF"/>
    <w:rsid w:val="00931710"/>
    <w:rsid w:val="0093217D"/>
    <w:rsid w:val="00932259"/>
    <w:rsid w:val="00935804"/>
    <w:rsid w:val="00936615"/>
    <w:rsid w:val="00937FA9"/>
    <w:rsid w:val="00940373"/>
    <w:rsid w:val="00940A32"/>
    <w:rsid w:val="00940CDF"/>
    <w:rsid w:val="00940F46"/>
    <w:rsid w:val="009411B4"/>
    <w:rsid w:val="009415E8"/>
    <w:rsid w:val="009425C0"/>
    <w:rsid w:val="0094296C"/>
    <w:rsid w:val="00942A81"/>
    <w:rsid w:val="00942E63"/>
    <w:rsid w:val="00942F7F"/>
    <w:rsid w:val="00944E7A"/>
    <w:rsid w:val="00945460"/>
    <w:rsid w:val="00945F8D"/>
    <w:rsid w:val="0094657F"/>
    <w:rsid w:val="00946CCF"/>
    <w:rsid w:val="00946F1D"/>
    <w:rsid w:val="00947456"/>
    <w:rsid w:val="00947AFA"/>
    <w:rsid w:val="00947F99"/>
    <w:rsid w:val="0095011D"/>
    <w:rsid w:val="009502D1"/>
    <w:rsid w:val="0095095E"/>
    <w:rsid w:val="00950A25"/>
    <w:rsid w:val="00950A8F"/>
    <w:rsid w:val="0095135A"/>
    <w:rsid w:val="009513DE"/>
    <w:rsid w:val="00951440"/>
    <w:rsid w:val="00952364"/>
    <w:rsid w:val="009527B6"/>
    <w:rsid w:val="00952E40"/>
    <w:rsid w:val="00952F5C"/>
    <w:rsid w:val="0095303D"/>
    <w:rsid w:val="00953270"/>
    <w:rsid w:val="009537B5"/>
    <w:rsid w:val="0095383E"/>
    <w:rsid w:val="00953E70"/>
    <w:rsid w:val="00953E77"/>
    <w:rsid w:val="00954784"/>
    <w:rsid w:val="00955972"/>
    <w:rsid w:val="00956D4D"/>
    <w:rsid w:val="0095729E"/>
    <w:rsid w:val="009572FB"/>
    <w:rsid w:val="00960372"/>
    <w:rsid w:val="009605A3"/>
    <w:rsid w:val="00960616"/>
    <w:rsid w:val="00960B95"/>
    <w:rsid w:val="0096119F"/>
    <w:rsid w:val="009619E2"/>
    <w:rsid w:val="009627AD"/>
    <w:rsid w:val="00962CEB"/>
    <w:rsid w:val="00963907"/>
    <w:rsid w:val="0096395C"/>
    <w:rsid w:val="00964D24"/>
    <w:rsid w:val="009651C4"/>
    <w:rsid w:val="009659F2"/>
    <w:rsid w:val="00966520"/>
    <w:rsid w:val="00966BA7"/>
    <w:rsid w:val="0096764D"/>
    <w:rsid w:val="00967A83"/>
    <w:rsid w:val="0097220F"/>
    <w:rsid w:val="00972482"/>
    <w:rsid w:val="00972502"/>
    <w:rsid w:val="00973899"/>
    <w:rsid w:val="009741E2"/>
    <w:rsid w:val="009742DD"/>
    <w:rsid w:val="00974CB4"/>
    <w:rsid w:val="0097551E"/>
    <w:rsid w:val="009758CC"/>
    <w:rsid w:val="009763F1"/>
    <w:rsid w:val="00976ECF"/>
    <w:rsid w:val="009779CA"/>
    <w:rsid w:val="00980345"/>
    <w:rsid w:val="0098076F"/>
    <w:rsid w:val="00981408"/>
    <w:rsid w:val="00981689"/>
    <w:rsid w:val="009828FA"/>
    <w:rsid w:val="009829B1"/>
    <w:rsid w:val="00982CA8"/>
    <w:rsid w:val="009845D5"/>
    <w:rsid w:val="00984C89"/>
    <w:rsid w:val="009850D1"/>
    <w:rsid w:val="0098649A"/>
    <w:rsid w:val="0098782C"/>
    <w:rsid w:val="00987D2E"/>
    <w:rsid w:val="00990196"/>
    <w:rsid w:val="00990746"/>
    <w:rsid w:val="009908C3"/>
    <w:rsid w:val="00990EC2"/>
    <w:rsid w:val="0099134F"/>
    <w:rsid w:val="00991485"/>
    <w:rsid w:val="009916E1"/>
    <w:rsid w:val="009923AA"/>
    <w:rsid w:val="00993335"/>
    <w:rsid w:val="00993394"/>
    <w:rsid w:val="009939A5"/>
    <w:rsid w:val="009939F8"/>
    <w:rsid w:val="0099495E"/>
    <w:rsid w:val="009963CF"/>
    <w:rsid w:val="00997D8D"/>
    <w:rsid w:val="009A060C"/>
    <w:rsid w:val="009A0625"/>
    <w:rsid w:val="009A0900"/>
    <w:rsid w:val="009A19EC"/>
    <w:rsid w:val="009A372B"/>
    <w:rsid w:val="009A38E3"/>
    <w:rsid w:val="009A4420"/>
    <w:rsid w:val="009A4879"/>
    <w:rsid w:val="009A4DCB"/>
    <w:rsid w:val="009A4EFA"/>
    <w:rsid w:val="009A5039"/>
    <w:rsid w:val="009A5261"/>
    <w:rsid w:val="009A5319"/>
    <w:rsid w:val="009A617F"/>
    <w:rsid w:val="009A627E"/>
    <w:rsid w:val="009A7227"/>
    <w:rsid w:val="009A78FB"/>
    <w:rsid w:val="009A795F"/>
    <w:rsid w:val="009B015D"/>
    <w:rsid w:val="009B08E5"/>
    <w:rsid w:val="009B0CA9"/>
    <w:rsid w:val="009B1370"/>
    <w:rsid w:val="009B1860"/>
    <w:rsid w:val="009B2B62"/>
    <w:rsid w:val="009B39F0"/>
    <w:rsid w:val="009B4BB3"/>
    <w:rsid w:val="009B4D62"/>
    <w:rsid w:val="009B5230"/>
    <w:rsid w:val="009B566D"/>
    <w:rsid w:val="009B57DE"/>
    <w:rsid w:val="009B593B"/>
    <w:rsid w:val="009B5A63"/>
    <w:rsid w:val="009B7864"/>
    <w:rsid w:val="009C09E1"/>
    <w:rsid w:val="009C0B12"/>
    <w:rsid w:val="009C1B70"/>
    <w:rsid w:val="009C29CF"/>
    <w:rsid w:val="009C3C57"/>
    <w:rsid w:val="009C3E56"/>
    <w:rsid w:val="009C418A"/>
    <w:rsid w:val="009C4456"/>
    <w:rsid w:val="009C5C4C"/>
    <w:rsid w:val="009C62C9"/>
    <w:rsid w:val="009C67B2"/>
    <w:rsid w:val="009D0139"/>
    <w:rsid w:val="009D1B43"/>
    <w:rsid w:val="009D1C34"/>
    <w:rsid w:val="009D29EA"/>
    <w:rsid w:val="009D2DEE"/>
    <w:rsid w:val="009D3265"/>
    <w:rsid w:val="009D3648"/>
    <w:rsid w:val="009D4E82"/>
    <w:rsid w:val="009D599F"/>
    <w:rsid w:val="009D67FB"/>
    <w:rsid w:val="009D68F7"/>
    <w:rsid w:val="009D6CDB"/>
    <w:rsid w:val="009D7371"/>
    <w:rsid w:val="009D7FAA"/>
    <w:rsid w:val="009E0565"/>
    <w:rsid w:val="009E0AF2"/>
    <w:rsid w:val="009E2055"/>
    <w:rsid w:val="009E3628"/>
    <w:rsid w:val="009E38B7"/>
    <w:rsid w:val="009E42CD"/>
    <w:rsid w:val="009E442A"/>
    <w:rsid w:val="009E4C65"/>
    <w:rsid w:val="009E4F66"/>
    <w:rsid w:val="009E50DC"/>
    <w:rsid w:val="009E7200"/>
    <w:rsid w:val="009F129E"/>
    <w:rsid w:val="009F1FF2"/>
    <w:rsid w:val="009F2377"/>
    <w:rsid w:val="009F3CF5"/>
    <w:rsid w:val="009F42B4"/>
    <w:rsid w:val="009F4554"/>
    <w:rsid w:val="009F4652"/>
    <w:rsid w:val="009F4D6F"/>
    <w:rsid w:val="009F4E93"/>
    <w:rsid w:val="009F54AE"/>
    <w:rsid w:val="009F5CDC"/>
    <w:rsid w:val="009F639A"/>
    <w:rsid w:val="009F678B"/>
    <w:rsid w:val="009F74D6"/>
    <w:rsid w:val="009F750D"/>
    <w:rsid w:val="00A016CF"/>
    <w:rsid w:val="00A028CF"/>
    <w:rsid w:val="00A02ACB"/>
    <w:rsid w:val="00A032C2"/>
    <w:rsid w:val="00A03F2E"/>
    <w:rsid w:val="00A03FF7"/>
    <w:rsid w:val="00A043FD"/>
    <w:rsid w:val="00A04431"/>
    <w:rsid w:val="00A04933"/>
    <w:rsid w:val="00A04E75"/>
    <w:rsid w:val="00A05B13"/>
    <w:rsid w:val="00A05CF1"/>
    <w:rsid w:val="00A071AB"/>
    <w:rsid w:val="00A07D3D"/>
    <w:rsid w:val="00A11A9E"/>
    <w:rsid w:val="00A11E52"/>
    <w:rsid w:val="00A130D1"/>
    <w:rsid w:val="00A132D1"/>
    <w:rsid w:val="00A13E84"/>
    <w:rsid w:val="00A143EF"/>
    <w:rsid w:val="00A14592"/>
    <w:rsid w:val="00A14ABA"/>
    <w:rsid w:val="00A16991"/>
    <w:rsid w:val="00A17292"/>
    <w:rsid w:val="00A20479"/>
    <w:rsid w:val="00A212B5"/>
    <w:rsid w:val="00A23203"/>
    <w:rsid w:val="00A23459"/>
    <w:rsid w:val="00A250DE"/>
    <w:rsid w:val="00A252F6"/>
    <w:rsid w:val="00A25601"/>
    <w:rsid w:val="00A2635D"/>
    <w:rsid w:val="00A2670E"/>
    <w:rsid w:val="00A270D5"/>
    <w:rsid w:val="00A27D3D"/>
    <w:rsid w:val="00A316B0"/>
    <w:rsid w:val="00A317EB"/>
    <w:rsid w:val="00A3250E"/>
    <w:rsid w:val="00A33A3C"/>
    <w:rsid w:val="00A33D86"/>
    <w:rsid w:val="00A34618"/>
    <w:rsid w:val="00A34C93"/>
    <w:rsid w:val="00A34FDC"/>
    <w:rsid w:val="00A3526A"/>
    <w:rsid w:val="00A40131"/>
    <w:rsid w:val="00A4034F"/>
    <w:rsid w:val="00A4230D"/>
    <w:rsid w:val="00A42364"/>
    <w:rsid w:val="00A445BA"/>
    <w:rsid w:val="00A454B2"/>
    <w:rsid w:val="00A46BF6"/>
    <w:rsid w:val="00A46C6A"/>
    <w:rsid w:val="00A46FB2"/>
    <w:rsid w:val="00A50C53"/>
    <w:rsid w:val="00A50D41"/>
    <w:rsid w:val="00A50E32"/>
    <w:rsid w:val="00A515B2"/>
    <w:rsid w:val="00A516B8"/>
    <w:rsid w:val="00A519A7"/>
    <w:rsid w:val="00A525E0"/>
    <w:rsid w:val="00A5265A"/>
    <w:rsid w:val="00A52D8A"/>
    <w:rsid w:val="00A531AB"/>
    <w:rsid w:val="00A537EB"/>
    <w:rsid w:val="00A53CEE"/>
    <w:rsid w:val="00A547A6"/>
    <w:rsid w:val="00A54A9C"/>
    <w:rsid w:val="00A54C2E"/>
    <w:rsid w:val="00A55A6E"/>
    <w:rsid w:val="00A55EDE"/>
    <w:rsid w:val="00A561A7"/>
    <w:rsid w:val="00A56275"/>
    <w:rsid w:val="00A563D5"/>
    <w:rsid w:val="00A57393"/>
    <w:rsid w:val="00A57E91"/>
    <w:rsid w:val="00A57EEC"/>
    <w:rsid w:val="00A57F6F"/>
    <w:rsid w:val="00A60597"/>
    <w:rsid w:val="00A605C8"/>
    <w:rsid w:val="00A6122C"/>
    <w:rsid w:val="00A61640"/>
    <w:rsid w:val="00A61B23"/>
    <w:rsid w:val="00A61C6C"/>
    <w:rsid w:val="00A620F6"/>
    <w:rsid w:val="00A62592"/>
    <w:rsid w:val="00A6324B"/>
    <w:rsid w:val="00A634CE"/>
    <w:rsid w:val="00A64389"/>
    <w:rsid w:val="00A64A8F"/>
    <w:rsid w:val="00A657D9"/>
    <w:rsid w:val="00A67097"/>
    <w:rsid w:val="00A701E4"/>
    <w:rsid w:val="00A70623"/>
    <w:rsid w:val="00A7159F"/>
    <w:rsid w:val="00A71848"/>
    <w:rsid w:val="00A71CBD"/>
    <w:rsid w:val="00A72333"/>
    <w:rsid w:val="00A7272E"/>
    <w:rsid w:val="00A72A1B"/>
    <w:rsid w:val="00A73098"/>
    <w:rsid w:val="00A73DEA"/>
    <w:rsid w:val="00A750E2"/>
    <w:rsid w:val="00A75B3A"/>
    <w:rsid w:val="00A76199"/>
    <w:rsid w:val="00A775CF"/>
    <w:rsid w:val="00A77706"/>
    <w:rsid w:val="00A804F3"/>
    <w:rsid w:val="00A80756"/>
    <w:rsid w:val="00A80B65"/>
    <w:rsid w:val="00A80DE8"/>
    <w:rsid w:val="00A81518"/>
    <w:rsid w:val="00A8185B"/>
    <w:rsid w:val="00A82C7F"/>
    <w:rsid w:val="00A82D8F"/>
    <w:rsid w:val="00A84386"/>
    <w:rsid w:val="00A8469B"/>
    <w:rsid w:val="00A85B60"/>
    <w:rsid w:val="00A85FE7"/>
    <w:rsid w:val="00A86446"/>
    <w:rsid w:val="00A87FE7"/>
    <w:rsid w:val="00A90F82"/>
    <w:rsid w:val="00A914F2"/>
    <w:rsid w:val="00A92B2C"/>
    <w:rsid w:val="00A942FD"/>
    <w:rsid w:val="00A944D6"/>
    <w:rsid w:val="00A95195"/>
    <w:rsid w:val="00A95483"/>
    <w:rsid w:val="00A9563E"/>
    <w:rsid w:val="00AA055F"/>
    <w:rsid w:val="00AA05C7"/>
    <w:rsid w:val="00AA08BA"/>
    <w:rsid w:val="00AA183E"/>
    <w:rsid w:val="00AA1B38"/>
    <w:rsid w:val="00AA2060"/>
    <w:rsid w:val="00AA26AC"/>
    <w:rsid w:val="00AA2929"/>
    <w:rsid w:val="00AA2D01"/>
    <w:rsid w:val="00AA4464"/>
    <w:rsid w:val="00AA446F"/>
    <w:rsid w:val="00AA48CB"/>
    <w:rsid w:val="00AA506C"/>
    <w:rsid w:val="00AA5CA5"/>
    <w:rsid w:val="00AA5FAF"/>
    <w:rsid w:val="00AA625E"/>
    <w:rsid w:val="00AA63BD"/>
    <w:rsid w:val="00AA69AD"/>
    <w:rsid w:val="00AB2B18"/>
    <w:rsid w:val="00AB2CB7"/>
    <w:rsid w:val="00AB3B56"/>
    <w:rsid w:val="00AB405A"/>
    <w:rsid w:val="00AB4130"/>
    <w:rsid w:val="00AB46A3"/>
    <w:rsid w:val="00AB46F8"/>
    <w:rsid w:val="00AB48B7"/>
    <w:rsid w:val="00AB496C"/>
    <w:rsid w:val="00AB4FF5"/>
    <w:rsid w:val="00AB5463"/>
    <w:rsid w:val="00AB6388"/>
    <w:rsid w:val="00AB67D6"/>
    <w:rsid w:val="00AC0424"/>
    <w:rsid w:val="00AC1F3E"/>
    <w:rsid w:val="00AC26AB"/>
    <w:rsid w:val="00AC2E54"/>
    <w:rsid w:val="00AC30B5"/>
    <w:rsid w:val="00AC379D"/>
    <w:rsid w:val="00AC3A78"/>
    <w:rsid w:val="00AC60B5"/>
    <w:rsid w:val="00AC68E3"/>
    <w:rsid w:val="00AC69C1"/>
    <w:rsid w:val="00AC75DB"/>
    <w:rsid w:val="00AD0F95"/>
    <w:rsid w:val="00AD1024"/>
    <w:rsid w:val="00AD16C5"/>
    <w:rsid w:val="00AD2FD3"/>
    <w:rsid w:val="00AD430B"/>
    <w:rsid w:val="00AD48F3"/>
    <w:rsid w:val="00AD4AC1"/>
    <w:rsid w:val="00AD5073"/>
    <w:rsid w:val="00AD54BD"/>
    <w:rsid w:val="00AD5732"/>
    <w:rsid w:val="00AD5C4F"/>
    <w:rsid w:val="00AD5D43"/>
    <w:rsid w:val="00AD6170"/>
    <w:rsid w:val="00AD7D96"/>
    <w:rsid w:val="00AE06F8"/>
    <w:rsid w:val="00AE1080"/>
    <w:rsid w:val="00AE14C3"/>
    <w:rsid w:val="00AE14F8"/>
    <w:rsid w:val="00AE1C92"/>
    <w:rsid w:val="00AE1D76"/>
    <w:rsid w:val="00AE2A34"/>
    <w:rsid w:val="00AE3A01"/>
    <w:rsid w:val="00AE3F6A"/>
    <w:rsid w:val="00AE4CE0"/>
    <w:rsid w:val="00AE593D"/>
    <w:rsid w:val="00AE65AF"/>
    <w:rsid w:val="00AF0791"/>
    <w:rsid w:val="00AF09FE"/>
    <w:rsid w:val="00AF2129"/>
    <w:rsid w:val="00AF3048"/>
    <w:rsid w:val="00AF35BD"/>
    <w:rsid w:val="00AF5CED"/>
    <w:rsid w:val="00AF5DE4"/>
    <w:rsid w:val="00AF6A23"/>
    <w:rsid w:val="00AF7AC4"/>
    <w:rsid w:val="00B0178F"/>
    <w:rsid w:val="00B02D1C"/>
    <w:rsid w:val="00B03671"/>
    <w:rsid w:val="00B036B4"/>
    <w:rsid w:val="00B039E0"/>
    <w:rsid w:val="00B04706"/>
    <w:rsid w:val="00B0473F"/>
    <w:rsid w:val="00B0505E"/>
    <w:rsid w:val="00B05BB4"/>
    <w:rsid w:val="00B05FBE"/>
    <w:rsid w:val="00B06045"/>
    <w:rsid w:val="00B06DCC"/>
    <w:rsid w:val="00B07117"/>
    <w:rsid w:val="00B107E2"/>
    <w:rsid w:val="00B11A5A"/>
    <w:rsid w:val="00B12138"/>
    <w:rsid w:val="00B1225F"/>
    <w:rsid w:val="00B126D0"/>
    <w:rsid w:val="00B12AF7"/>
    <w:rsid w:val="00B14D6D"/>
    <w:rsid w:val="00B15804"/>
    <w:rsid w:val="00B162E6"/>
    <w:rsid w:val="00B16305"/>
    <w:rsid w:val="00B1630B"/>
    <w:rsid w:val="00B167FB"/>
    <w:rsid w:val="00B1696C"/>
    <w:rsid w:val="00B16BAE"/>
    <w:rsid w:val="00B20AA9"/>
    <w:rsid w:val="00B215AC"/>
    <w:rsid w:val="00B216ED"/>
    <w:rsid w:val="00B218DD"/>
    <w:rsid w:val="00B21916"/>
    <w:rsid w:val="00B22020"/>
    <w:rsid w:val="00B22B3B"/>
    <w:rsid w:val="00B236DA"/>
    <w:rsid w:val="00B23BB2"/>
    <w:rsid w:val="00B24750"/>
    <w:rsid w:val="00B25993"/>
    <w:rsid w:val="00B25DB5"/>
    <w:rsid w:val="00B26C65"/>
    <w:rsid w:val="00B27038"/>
    <w:rsid w:val="00B275F5"/>
    <w:rsid w:val="00B2797A"/>
    <w:rsid w:val="00B30511"/>
    <w:rsid w:val="00B30DEB"/>
    <w:rsid w:val="00B31299"/>
    <w:rsid w:val="00B31514"/>
    <w:rsid w:val="00B31763"/>
    <w:rsid w:val="00B31E50"/>
    <w:rsid w:val="00B33503"/>
    <w:rsid w:val="00B346AD"/>
    <w:rsid w:val="00B346D9"/>
    <w:rsid w:val="00B35DB8"/>
    <w:rsid w:val="00B3604A"/>
    <w:rsid w:val="00B36336"/>
    <w:rsid w:val="00B3709D"/>
    <w:rsid w:val="00B37712"/>
    <w:rsid w:val="00B4041B"/>
    <w:rsid w:val="00B414CA"/>
    <w:rsid w:val="00B416A9"/>
    <w:rsid w:val="00B421EB"/>
    <w:rsid w:val="00B42533"/>
    <w:rsid w:val="00B42880"/>
    <w:rsid w:val="00B429EA"/>
    <w:rsid w:val="00B43212"/>
    <w:rsid w:val="00B433F9"/>
    <w:rsid w:val="00B43512"/>
    <w:rsid w:val="00B43678"/>
    <w:rsid w:val="00B439BA"/>
    <w:rsid w:val="00B443D5"/>
    <w:rsid w:val="00B45250"/>
    <w:rsid w:val="00B45A1D"/>
    <w:rsid w:val="00B45EDC"/>
    <w:rsid w:val="00B4737E"/>
    <w:rsid w:val="00B4787D"/>
    <w:rsid w:val="00B47898"/>
    <w:rsid w:val="00B51248"/>
    <w:rsid w:val="00B519F0"/>
    <w:rsid w:val="00B51A64"/>
    <w:rsid w:val="00B52A9C"/>
    <w:rsid w:val="00B53D1D"/>
    <w:rsid w:val="00B555A2"/>
    <w:rsid w:val="00B55691"/>
    <w:rsid w:val="00B55EC0"/>
    <w:rsid w:val="00B5675D"/>
    <w:rsid w:val="00B56856"/>
    <w:rsid w:val="00B568CF"/>
    <w:rsid w:val="00B573BB"/>
    <w:rsid w:val="00B57C36"/>
    <w:rsid w:val="00B60595"/>
    <w:rsid w:val="00B607B9"/>
    <w:rsid w:val="00B60E4B"/>
    <w:rsid w:val="00B628F5"/>
    <w:rsid w:val="00B62A64"/>
    <w:rsid w:val="00B64028"/>
    <w:rsid w:val="00B641EF"/>
    <w:rsid w:val="00B64943"/>
    <w:rsid w:val="00B65D9A"/>
    <w:rsid w:val="00B662DF"/>
    <w:rsid w:val="00B668F9"/>
    <w:rsid w:val="00B670D3"/>
    <w:rsid w:val="00B6716D"/>
    <w:rsid w:val="00B70066"/>
    <w:rsid w:val="00B700B1"/>
    <w:rsid w:val="00B7059D"/>
    <w:rsid w:val="00B70C35"/>
    <w:rsid w:val="00B70D36"/>
    <w:rsid w:val="00B70EFC"/>
    <w:rsid w:val="00B718ED"/>
    <w:rsid w:val="00B7194F"/>
    <w:rsid w:val="00B72298"/>
    <w:rsid w:val="00B7242C"/>
    <w:rsid w:val="00B72679"/>
    <w:rsid w:val="00B72A1B"/>
    <w:rsid w:val="00B72ADA"/>
    <w:rsid w:val="00B72FD5"/>
    <w:rsid w:val="00B736D2"/>
    <w:rsid w:val="00B73AFA"/>
    <w:rsid w:val="00B73DF0"/>
    <w:rsid w:val="00B746DC"/>
    <w:rsid w:val="00B74E70"/>
    <w:rsid w:val="00B75069"/>
    <w:rsid w:val="00B754A1"/>
    <w:rsid w:val="00B75DCD"/>
    <w:rsid w:val="00B76040"/>
    <w:rsid w:val="00B76845"/>
    <w:rsid w:val="00B76B39"/>
    <w:rsid w:val="00B76CD1"/>
    <w:rsid w:val="00B7743A"/>
    <w:rsid w:val="00B7787D"/>
    <w:rsid w:val="00B805D2"/>
    <w:rsid w:val="00B809AC"/>
    <w:rsid w:val="00B80DE1"/>
    <w:rsid w:val="00B81C78"/>
    <w:rsid w:val="00B81D05"/>
    <w:rsid w:val="00B82FB4"/>
    <w:rsid w:val="00B83398"/>
    <w:rsid w:val="00B83CC4"/>
    <w:rsid w:val="00B849FE"/>
    <w:rsid w:val="00B85F97"/>
    <w:rsid w:val="00B8642F"/>
    <w:rsid w:val="00B90120"/>
    <w:rsid w:val="00B903E5"/>
    <w:rsid w:val="00B91D85"/>
    <w:rsid w:val="00B91ED5"/>
    <w:rsid w:val="00B92593"/>
    <w:rsid w:val="00B92B83"/>
    <w:rsid w:val="00B93082"/>
    <w:rsid w:val="00B93558"/>
    <w:rsid w:val="00B9519F"/>
    <w:rsid w:val="00B95840"/>
    <w:rsid w:val="00B972AE"/>
    <w:rsid w:val="00B974A0"/>
    <w:rsid w:val="00BA0911"/>
    <w:rsid w:val="00BA1843"/>
    <w:rsid w:val="00BA2916"/>
    <w:rsid w:val="00BA2934"/>
    <w:rsid w:val="00BA2BEE"/>
    <w:rsid w:val="00BA35EB"/>
    <w:rsid w:val="00BA4634"/>
    <w:rsid w:val="00BA5821"/>
    <w:rsid w:val="00BA6E42"/>
    <w:rsid w:val="00BA740C"/>
    <w:rsid w:val="00BA78BC"/>
    <w:rsid w:val="00BA7D4B"/>
    <w:rsid w:val="00BB08F9"/>
    <w:rsid w:val="00BB0AFD"/>
    <w:rsid w:val="00BB0D37"/>
    <w:rsid w:val="00BB1270"/>
    <w:rsid w:val="00BB1F81"/>
    <w:rsid w:val="00BB2BB7"/>
    <w:rsid w:val="00BB39B7"/>
    <w:rsid w:val="00BB3AF1"/>
    <w:rsid w:val="00BB438D"/>
    <w:rsid w:val="00BB4DDF"/>
    <w:rsid w:val="00BB4ECE"/>
    <w:rsid w:val="00BB55A9"/>
    <w:rsid w:val="00BB57E0"/>
    <w:rsid w:val="00BB5E65"/>
    <w:rsid w:val="00BB6241"/>
    <w:rsid w:val="00BB6DB3"/>
    <w:rsid w:val="00BC04CA"/>
    <w:rsid w:val="00BC08B5"/>
    <w:rsid w:val="00BC1F3E"/>
    <w:rsid w:val="00BC21AB"/>
    <w:rsid w:val="00BC23F2"/>
    <w:rsid w:val="00BC3476"/>
    <w:rsid w:val="00BC3C86"/>
    <w:rsid w:val="00BC3EDD"/>
    <w:rsid w:val="00BC4827"/>
    <w:rsid w:val="00BC4F3B"/>
    <w:rsid w:val="00BC580E"/>
    <w:rsid w:val="00BC6144"/>
    <w:rsid w:val="00BC7371"/>
    <w:rsid w:val="00BC73AF"/>
    <w:rsid w:val="00BC7E11"/>
    <w:rsid w:val="00BC7E25"/>
    <w:rsid w:val="00BD044F"/>
    <w:rsid w:val="00BD0653"/>
    <w:rsid w:val="00BD29D2"/>
    <w:rsid w:val="00BD2A29"/>
    <w:rsid w:val="00BD2DAB"/>
    <w:rsid w:val="00BD3641"/>
    <w:rsid w:val="00BD4F4E"/>
    <w:rsid w:val="00BD5131"/>
    <w:rsid w:val="00BD5357"/>
    <w:rsid w:val="00BD636E"/>
    <w:rsid w:val="00BD7398"/>
    <w:rsid w:val="00BD7CD2"/>
    <w:rsid w:val="00BE03BE"/>
    <w:rsid w:val="00BE03F2"/>
    <w:rsid w:val="00BE1506"/>
    <w:rsid w:val="00BE174E"/>
    <w:rsid w:val="00BE1E49"/>
    <w:rsid w:val="00BE2091"/>
    <w:rsid w:val="00BE26B6"/>
    <w:rsid w:val="00BE2E31"/>
    <w:rsid w:val="00BE2E4C"/>
    <w:rsid w:val="00BE3D7B"/>
    <w:rsid w:val="00BE4B15"/>
    <w:rsid w:val="00BE588D"/>
    <w:rsid w:val="00BE5DF7"/>
    <w:rsid w:val="00BE5F46"/>
    <w:rsid w:val="00BE66E3"/>
    <w:rsid w:val="00BE71A6"/>
    <w:rsid w:val="00BE7454"/>
    <w:rsid w:val="00BE7694"/>
    <w:rsid w:val="00BE7C6C"/>
    <w:rsid w:val="00BF03BC"/>
    <w:rsid w:val="00BF0475"/>
    <w:rsid w:val="00BF0A82"/>
    <w:rsid w:val="00BF376C"/>
    <w:rsid w:val="00BF431A"/>
    <w:rsid w:val="00BF4A8E"/>
    <w:rsid w:val="00BF5244"/>
    <w:rsid w:val="00BF68DA"/>
    <w:rsid w:val="00C00841"/>
    <w:rsid w:val="00C01192"/>
    <w:rsid w:val="00C02D33"/>
    <w:rsid w:val="00C0310F"/>
    <w:rsid w:val="00C03214"/>
    <w:rsid w:val="00C033B1"/>
    <w:rsid w:val="00C035DB"/>
    <w:rsid w:val="00C0444D"/>
    <w:rsid w:val="00C0510E"/>
    <w:rsid w:val="00C052E4"/>
    <w:rsid w:val="00C05423"/>
    <w:rsid w:val="00C05893"/>
    <w:rsid w:val="00C067CE"/>
    <w:rsid w:val="00C1004C"/>
    <w:rsid w:val="00C10743"/>
    <w:rsid w:val="00C109B5"/>
    <w:rsid w:val="00C10C3F"/>
    <w:rsid w:val="00C10EA8"/>
    <w:rsid w:val="00C116B1"/>
    <w:rsid w:val="00C12CDA"/>
    <w:rsid w:val="00C130B1"/>
    <w:rsid w:val="00C13626"/>
    <w:rsid w:val="00C152D1"/>
    <w:rsid w:val="00C16CD0"/>
    <w:rsid w:val="00C1704B"/>
    <w:rsid w:val="00C17666"/>
    <w:rsid w:val="00C17C0F"/>
    <w:rsid w:val="00C20416"/>
    <w:rsid w:val="00C206D6"/>
    <w:rsid w:val="00C20CA0"/>
    <w:rsid w:val="00C229F0"/>
    <w:rsid w:val="00C22A21"/>
    <w:rsid w:val="00C23798"/>
    <w:rsid w:val="00C24CD3"/>
    <w:rsid w:val="00C25A60"/>
    <w:rsid w:val="00C27119"/>
    <w:rsid w:val="00C2762D"/>
    <w:rsid w:val="00C27673"/>
    <w:rsid w:val="00C30277"/>
    <w:rsid w:val="00C303EA"/>
    <w:rsid w:val="00C304EA"/>
    <w:rsid w:val="00C30B4E"/>
    <w:rsid w:val="00C319CE"/>
    <w:rsid w:val="00C32042"/>
    <w:rsid w:val="00C32E97"/>
    <w:rsid w:val="00C33DF5"/>
    <w:rsid w:val="00C35383"/>
    <w:rsid w:val="00C3557E"/>
    <w:rsid w:val="00C35A27"/>
    <w:rsid w:val="00C35DDA"/>
    <w:rsid w:val="00C36AA9"/>
    <w:rsid w:val="00C376D4"/>
    <w:rsid w:val="00C40B75"/>
    <w:rsid w:val="00C40E88"/>
    <w:rsid w:val="00C413EB"/>
    <w:rsid w:val="00C41EFB"/>
    <w:rsid w:val="00C42457"/>
    <w:rsid w:val="00C4286B"/>
    <w:rsid w:val="00C443E1"/>
    <w:rsid w:val="00C444B1"/>
    <w:rsid w:val="00C4553E"/>
    <w:rsid w:val="00C45F63"/>
    <w:rsid w:val="00C46417"/>
    <w:rsid w:val="00C472C1"/>
    <w:rsid w:val="00C4749B"/>
    <w:rsid w:val="00C50139"/>
    <w:rsid w:val="00C50BD5"/>
    <w:rsid w:val="00C50E82"/>
    <w:rsid w:val="00C51497"/>
    <w:rsid w:val="00C51936"/>
    <w:rsid w:val="00C51D18"/>
    <w:rsid w:val="00C52D25"/>
    <w:rsid w:val="00C532F3"/>
    <w:rsid w:val="00C53461"/>
    <w:rsid w:val="00C538E4"/>
    <w:rsid w:val="00C53919"/>
    <w:rsid w:val="00C53B41"/>
    <w:rsid w:val="00C53E3A"/>
    <w:rsid w:val="00C54D1C"/>
    <w:rsid w:val="00C55ED1"/>
    <w:rsid w:val="00C55F37"/>
    <w:rsid w:val="00C5609E"/>
    <w:rsid w:val="00C56319"/>
    <w:rsid w:val="00C563A8"/>
    <w:rsid w:val="00C57869"/>
    <w:rsid w:val="00C610B6"/>
    <w:rsid w:val="00C611B3"/>
    <w:rsid w:val="00C61FA0"/>
    <w:rsid w:val="00C624C0"/>
    <w:rsid w:val="00C631A4"/>
    <w:rsid w:val="00C63276"/>
    <w:rsid w:val="00C636F6"/>
    <w:rsid w:val="00C65C4E"/>
    <w:rsid w:val="00C7035A"/>
    <w:rsid w:val="00C7063D"/>
    <w:rsid w:val="00C70887"/>
    <w:rsid w:val="00C71B43"/>
    <w:rsid w:val="00C71F5E"/>
    <w:rsid w:val="00C743A4"/>
    <w:rsid w:val="00C7695C"/>
    <w:rsid w:val="00C77109"/>
    <w:rsid w:val="00C771DF"/>
    <w:rsid w:val="00C77216"/>
    <w:rsid w:val="00C80657"/>
    <w:rsid w:val="00C80931"/>
    <w:rsid w:val="00C81443"/>
    <w:rsid w:val="00C815DD"/>
    <w:rsid w:val="00C81C6C"/>
    <w:rsid w:val="00C81CDB"/>
    <w:rsid w:val="00C81EB6"/>
    <w:rsid w:val="00C82052"/>
    <w:rsid w:val="00C8331A"/>
    <w:rsid w:val="00C84EFA"/>
    <w:rsid w:val="00C856FA"/>
    <w:rsid w:val="00C85B8D"/>
    <w:rsid w:val="00C86C4E"/>
    <w:rsid w:val="00C878BC"/>
    <w:rsid w:val="00C87F09"/>
    <w:rsid w:val="00C908D8"/>
    <w:rsid w:val="00C91ABF"/>
    <w:rsid w:val="00C93305"/>
    <w:rsid w:val="00C93CB7"/>
    <w:rsid w:val="00C942A1"/>
    <w:rsid w:val="00C94F22"/>
    <w:rsid w:val="00C95165"/>
    <w:rsid w:val="00C95367"/>
    <w:rsid w:val="00C956A5"/>
    <w:rsid w:val="00C95C54"/>
    <w:rsid w:val="00C97A00"/>
    <w:rsid w:val="00C97B24"/>
    <w:rsid w:val="00CA048B"/>
    <w:rsid w:val="00CA048C"/>
    <w:rsid w:val="00CA13DB"/>
    <w:rsid w:val="00CA408B"/>
    <w:rsid w:val="00CA4365"/>
    <w:rsid w:val="00CA575A"/>
    <w:rsid w:val="00CA5830"/>
    <w:rsid w:val="00CA67E3"/>
    <w:rsid w:val="00CA6E30"/>
    <w:rsid w:val="00CA7067"/>
    <w:rsid w:val="00CA7357"/>
    <w:rsid w:val="00CA74BD"/>
    <w:rsid w:val="00CA7FED"/>
    <w:rsid w:val="00CB132B"/>
    <w:rsid w:val="00CB18E6"/>
    <w:rsid w:val="00CB22F3"/>
    <w:rsid w:val="00CB2E47"/>
    <w:rsid w:val="00CB39E7"/>
    <w:rsid w:val="00CB45F3"/>
    <w:rsid w:val="00CB5E63"/>
    <w:rsid w:val="00CB6FBB"/>
    <w:rsid w:val="00CB753A"/>
    <w:rsid w:val="00CC15D4"/>
    <w:rsid w:val="00CC1AFA"/>
    <w:rsid w:val="00CC1D54"/>
    <w:rsid w:val="00CC2125"/>
    <w:rsid w:val="00CC23B8"/>
    <w:rsid w:val="00CC2875"/>
    <w:rsid w:val="00CC3363"/>
    <w:rsid w:val="00CC45E1"/>
    <w:rsid w:val="00CC5FEB"/>
    <w:rsid w:val="00CC62FF"/>
    <w:rsid w:val="00CC63AE"/>
    <w:rsid w:val="00CC6565"/>
    <w:rsid w:val="00CC77CC"/>
    <w:rsid w:val="00CC7D59"/>
    <w:rsid w:val="00CD042D"/>
    <w:rsid w:val="00CD0F70"/>
    <w:rsid w:val="00CD18EC"/>
    <w:rsid w:val="00CD1F2A"/>
    <w:rsid w:val="00CD2269"/>
    <w:rsid w:val="00CD226F"/>
    <w:rsid w:val="00CD22D9"/>
    <w:rsid w:val="00CD266B"/>
    <w:rsid w:val="00CD2A8E"/>
    <w:rsid w:val="00CD2CFA"/>
    <w:rsid w:val="00CD362E"/>
    <w:rsid w:val="00CD4786"/>
    <w:rsid w:val="00CD484B"/>
    <w:rsid w:val="00CD5B09"/>
    <w:rsid w:val="00CD6283"/>
    <w:rsid w:val="00CD631C"/>
    <w:rsid w:val="00CD762B"/>
    <w:rsid w:val="00CD7F9F"/>
    <w:rsid w:val="00CE050C"/>
    <w:rsid w:val="00CE06A9"/>
    <w:rsid w:val="00CE119E"/>
    <w:rsid w:val="00CE12C0"/>
    <w:rsid w:val="00CE1353"/>
    <w:rsid w:val="00CE23BF"/>
    <w:rsid w:val="00CE4A2C"/>
    <w:rsid w:val="00CE4AB9"/>
    <w:rsid w:val="00CE4CD8"/>
    <w:rsid w:val="00CE4E84"/>
    <w:rsid w:val="00CE611F"/>
    <w:rsid w:val="00CE650F"/>
    <w:rsid w:val="00CE65A6"/>
    <w:rsid w:val="00CE6C3E"/>
    <w:rsid w:val="00CE70A1"/>
    <w:rsid w:val="00CE7DC7"/>
    <w:rsid w:val="00CF0E9C"/>
    <w:rsid w:val="00CF160C"/>
    <w:rsid w:val="00CF190E"/>
    <w:rsid w:val="00CF23BA"/>
    <w:rsid w:val="00CF330A"/>
    <w:rsid w:val="00CF36CC"/>
    <w:rsid w:val="00CF3A3E"/>
    <w:rsid w:val="00CF443F"/>
    <w:rsid w:val="00CF4661"/>
    <w:rsid w:val="00CF46F3"/>
    <w:rsid w:val="00CF53F1"/>
    <w:rsid w:val="00CF5C24"/>
    <w:rsid w:val="00CF653C"/>
    <w:rsid w:val="00CF67A4"/>
    <w:rsid w:val="00CF76A1"/>
    <w:rsid w:val="00CF7C88"/>
    <w:rsid w:val="00CF7CB3"/>
    <w:rsid w:val="00CF7D98"/>
    <w:rsid w:val="00D00C6D"/>
    <w:rsid w:val="00D011B2"/>
    <w:rsid w:val="00D016DE"/>
    <w:rsid w:val="00D02002"/>
    <w:rsid w:val="00D0221D"/>
    <w:rsid w:val="00D02389"/>
    <w:rsid w:val="00D02E7B"/>
    <w:rsid w:val="00D032D0"/>
    <w:rsid w:val="00D05D04"/>
    <w:rsid w:val="00D05FB9"/>
    <w:rsid w:val="00D06DFF"/>
    <w:rsid w:val="00D06FFE"/>
    <w:rsid w:val="00D10818"/>
    <w:rsid w:val="00D109B3"/>
    <w:rsid w:val="00D11CA8"/>
    <w:rsid w:val="00D12565"/>
    <w:rsid w:val="00D1289D"/>
    <w:rsid w:val="00D12926"/>
    <w:rsid w:val="00D13E09"/>
    <w:rsid w:val="00D1427E"/>
    <w:rsid w:val="00D14549"/>
    <w:rsid w:val="00D14FF3"/>
    <w:rsid w:val="00D155E4"/>
    <w:rsid w:val="00D156C9"/>
    <w:rsid w:val="00D1724E"/>
    <w:rsid w:val="00D1751A"/>
    <w:rsid w:val="00D17556"/>
    <w:rsid w:val="00D178B4"/>
    <w:rsid w:val="00D17BCC"/>
    <w:rsid w:val="00D20DD6"/>
    <w:rsid w:val="00D211E2"/>
    <w:rsid w:val="00D213DD"/>
    <w:rsid w:val="00D21662"/>
    <w:rsid w:val="00D222CE"/>
    <w:rsid w:val="00D222FC"/>
    <w:rsid w:val="00D22438"/>
    <w:rsid w:val="00D23C95"/>
    <w:rsid w:val="00D23CEF"/>
    <w:rsid w:val="00D247BF"/>
    <w:rsid w:val="00D2519F"/>
    <w:rsid w:val="00D25B6D"/>
    <w:rsid w:val="00D26B76"/>
    <w:rsid w:val="00D3117F"/>
    <w:rsid w:val="00D31C9A"/>
    <w:rsid w:val="00D3225B"/>
    <w:rsid w:val="00D32933"/>
    <w:rsid w:val="00D32A53"/>
    <w:rsid w:val="00D331B3"/>
    <w:rsid w:val="00D33FDB"/>
    <w:rsid w:val="00D34C0F"/>
    <w:rsid w:val="00D352E4"/>
    <w:rsid w:val="00D35B54"/>
    <w:rsid w:val="00D361D3"/>
    <w:rsid w:val="00D37833"/>
    <w:rsid w:val="00D4053A"/>
    <w:rsid w:val="00D414D7"/>
    <w:rsid w:val="00D41996"/>
    <w:rsid w:val="00D4340C"/>
    <w:rsid w:val="00D437A4"/>
    <w:rsid w:val="00D44EA2"/>
    <w:rsid w:val="00D45036"/>
    <w:rsid w:val="00D45C66"/>
    <w:rsid w:val="00D4600D"/>
    <w:rsid w:val="00D469AA"/>
    <w:rsid w:val="00D47911"/>
    <w:rsid w:val="00D50BBC"/>
    <w:rsid w:val="00D50CAB"/>
    <w:rsid w:val="00D5148C"/>
    <w:rsid w:val="00D5159F"/>
    <w:rsid w:val="00D516A3"/>
    <w:rsid w:val="00D51B02"/>
    <w:rsid w:val="00D52068"/>
    <w:rsid w:val="00D52237"/>
    <w:rsid w:val="00D53EAA"/>
    <w:rsid w:val="00D53F5F"/>
    <w:rsid w:val="00D54159"/>
    <w:rsid w:val="00D54B6B"/>
    <w:rsid w:val="00D559B7"/>
    <w:rsid w:val="00D5785F"/>
    <w:rsid w:val="00D57AF1"/>
    <w:rsid w:val="00D57B66"/>
    <w:rsid w:val="00D610D0"/>
    <w:rsid w:val="00D6167D"/>
    <w:rsid w:val="00D61AAD"/>
    <w:rsid w:val="00D62B28"/>
    <w:rsid w:val="00D64FA1"/>
    <w:rsid w:val="00D6536A"/>
    <w:rsid w:val="00D65A85"/>
    <w:rsid w:val="00D6656C"/>
    <w:rsid w:val="00D705F5"/>
    <w:rsid w:val="00D7097A"/>
    <w:rsid w:val="00D70F56"/>
    <w:rsid w:val="00D71B49"/>
    <w:rsid w:val="00D72DA3"/>
    <w:rsid w:val="00D731CE"/>
    <w:rsid w:val="00D73805"/>
    <w:rsid w:val="00D73A30"/>
    <w:rsid w:val="00D74229"/>
    <w:rsid w:val="00D74BF4"/>
    <w:rsid w:val="00D74E0C"/>
    <w:rsid w:val="00D75784"/>
    <w:rsid w:val="00D761EB"/>
    <w:rsid w:val="00D76C54"/>
    <w:rsid w:val="00D77A37"/>
    <w:rsid w:val="00D77E14"/>
    <w:rsid w:val="00D77E21"/>
    <w:rsid w:val="00D800A9"/>
    <w:rsid w:val="00D804AD"/>
    <w:rsid w:val="00D80E80"/>
    <w:rsid w:val="00D81196"/>
    <w:rsid w:val="00D81B64"/>
    <w:rsid w:val="00D833BB"/>
    <w:rsid w:val="00D83C9D"/>
    <w:rsid w:val="00D83FB2"/>
    <w:rsid w:val="00D84098"/>
    <w:rsid w:val="00D84354"/>
    <w:rsid w:val="00D847DD"/>
    <w:rsid w:val="00D849D4"/>
    <w:rsid w:val="00D84B7B"/>
    <w:rsid w:val="00D854B8"/>
    <w:rsid w:val="00D857A8"/>
    <w:rsid w:val="00D85B42"/>
    <w:rsid w:val="00D85BF7"/>
    <w:rsid w:val="00D86449"/>
    <w:rsid w:val="00D866C8"/>
    <w:rsid w:val="00D86D8E"/>
    <w:rsid w:val="00D870F2"/>
    <w:rsid w:val="00D873C3"/>
    <w:rsid w:val="00D8783A"/>
    <w:rsid w:val="00D906EA"/>
    <w:rsid w:val="00D90C54"/>
    <w:rsid w:val="00D91037"/>
    <w:rsid w:val="00D910DC"/>
    <w:rsid w:val="00D91E75"/>
    <w:rsid w:val="00D92A11"/>
    <w:rsid w:val="00D93F8E"/>
    <w:rsid w:val="00D9426D"/>
    <w:rsid w:val="00D94CA2"/>
    <w:rsid w:val="00D9505A"/>
    <w:rsid w:val="00D9542D"/>
    <w:rsid w:val="00D965AC"/>
    <w:rsid w:val="00DA0957"/>
    <w:rsid w:val="00DA17F3"/>
    <w:rsid w:val="00DA26B9"/>
    <w:rsid w:val="00DA2C96"/>
    <w:rsid w:val="00DA324D"/>
    <w:rsid w:val="00DA411C"/>
    <w:rsid w:val="00DA4735"/>
    <w:rsid w:val="00DA501C"/>
    <w:rsid w:val="00DA54E9"/>
    <w:rsid w:val="00DA67B7"/>
    <w:rsid w:val="00DA6E42"/>
    <w:rsid w:val="00DA7460"/>
    <w:rsid w:val="00DB149A"/>
    <w:rsid w:val="00DB1F55"/>
    <w:rsid w:val="00DB1FA4"/>
    <w:rsid w:val="00DB2542"/>
    <w:rsid w:val="00DB4287"/>
    <w:rsid w:val="00DB4C95"/>
    <w:rsid w:val="00DB5ED4"/>
    <w:rsid w:val="00DC07E5"/>
    <w:rsid w:val="00DC1712"/>
    <w:rsid w:val="00DC19D5"/>
    <w:rsid w:val="00DC2390"/>
    <w:rsid w:val="00DC2A67"/>
    <w:rsid w:val="00DC3042"/>
    <w:rsid w:val="00DC36B0"/>
    <w:rsid w:val="00DC3753"/>
    <w:rsid w:val="00DC49C5"/>
    <w:rsid w:val="00DC4E73"/>
    <w:rsid w:val="00DC598D"/>
    <w:rsid w:val="00DC5EC2"/>
    <w:rsid w:val="00DC7D16"/>
    <w:rsid w:val="00DC7D93"/>
    <w:rsid w:val="00DC7DF3"/>
    <w:rsid w:val="00DC7E9D"/>
    <w:rsid w:val="00DD0316"/>
    <w:rsid w:val="00DD0AC3"/>
    <w:rsid w:val="00DD12C4"/>
    <w:rsid w:val="00DD14AC"/>
    <w:rsid w:val="00DD19F9"/>
    <w:rsid w:val="00DD2004"/>
    <w:rsid w:val="00DD21FE"/>
    <w:rsid w:val="00DD3B4A"/>
    <w:rsid w:val="00DD498C"/>
    <w:rsid w:val="00DD51E3"/>
    <w:rsid w:val="00DD5FD0"/>
    <w:rsid w:val="00DD62EB"/>
    <w:rsid w:val="00DD70DA"/>
    <w:rsid w:val="00DD77D8"/>
    <w:rsid w:val="00DD792D"/>
    <w:rsid w:val="00DD7D1F"/>
    <w:rsid w:val="00DE06F8"/>
    <w:rsid w:val="00DE1B67"/>
    <w:rsid w:val="00DE242F"/>
    <w:rsid w:val="00DE31AE"/>
    <w:rsid w:val="00DE3C4D"/>
    <w:rsid w:val="00DE521E"/>
    <w:rsid w:val="00DE704C"/>
    <w:rsid w:val="00DE730B"/>
    <w:rsid w:val="00DE7395"/>
    <w:rsid w:val="00DE78FE"/>
    <w:rsid w:val="00DE7AD0"/>
    <w:rsid w:val="00DE7B8B"/>
    <w:rsid w:val="00DE7CA6"/>
    <w:rsid w:val="00DF0306"/>
    <w:rsid w:val="00DF0AC9"/>
    <w:rsid w:val="00DF1D77"/>
    <w:rsid w:val="00DF2FE6"/>
    <w:rsid w:val="00DF365A"/>
    <w:rsid w:val="00DF48E5"/>
    <w:rsid w:val="00DF4CD2"/>
    <w:rsid w:val="00DF5C41"/>
    <w:rsid w:val="00DF6AFD"/>
    <w:rsid w:val="00DF70E1"/>
    <w:rsid w:val="00DF7944"/>
    <w:rsid w:val="00E00D6C"/>
    <w:rsid w:val="00E0254F"/>
    <w:rsid w:val="00E02635"/>
    <w:rsid w:val="00E02C2B"/>
    <w:rsid w:val="00E03285"/>
    <w:rsid w:val="00E03AE8"/>
    <w:rsid w:val="00E03BB2"/>
    <w:rsid w:val="00E042D2"/>
    <w:rsid w:val="00E04E84"/>
    <w:rsid w:val="00E05245"/>
    <w:rsid w:val="00E0550B"/>
    <w:rsid w:val="00E0556E"/>
    <w:rsid w:val="00E0608F"/>
    <w:rsid w:val="00E064CB"/>
    <w:rsid w:val="00E0685B"/>
    <w:rsid w:val="00E06C8B"/>
    <w:rsid w:val="00E06FAB"/>
    <w:rsid w:val="00E07803"/>
    <w:rsid w:val="00E11559"/>
    <w:rsid w:val="00E118C4"/>
    <w:rsid w:val="00E11E9B"/>
    <w:rsid w:val="00E12012"/>
    <w:rsid w:val="00E120DE"/>
    <w:rsid w:val="00E128BA"/>
    <w:rsid w:val="00E137D6"/>
    <w:rsid w:val="00E13A9F"/>
    <w:rsid w:val="00E13CE4"/>
    <w:rsid w:val="00E14BDE"/>
    <w:rsid w:val="00E14EA9"/>
    <w:rsid w:val="00E15651"/>
    <w:rsid w:val="00E1600E"/>
    <w:rsid w:val="00E164CC"/>
    <w:rsid w:val="00E20EC5"/>
    <w:rsid w:val="00E21231"/>
    <w:rsid w:val="00E21651"/>
    <w:rsid w:val="00E22670"/>
    <w:rsid w:val="00E2415B"/>
    <w:rsid w:val="00E25201"/>
    <w:rsid w:val="00E25944"/>
    <w:rsid w:val="00E25BF1"/>
    <w:rsid w:val="00E26C6E"/>
    <w:rsid w:val="00E26E09"/>
    <w:rsid w:val="00E32D21"/>
    <w:rsid w:val="00E331AF"/>
    <w:rsid w:val="00E34087"/>
    <w:rsid w:val="00E34550"/>
    <w:rsid w:val="00E34CE8"/>
    <w:rsid w:val="00E35A5D"/>
    <w:rsid w:val="00E360EC"/>
    <w:rsid w:val="00E36197"/>
    <w:rsid w:val="00E36784"/>
    <w:rsid w:val="00E37B40"/>
    <w:rsid w:val="00E40341"/>
    <w:rsid w:val="00E406AC"/>
    <w:rsid w:val="00E4295D"/>
    <w:rsid w:val="00E43A06"/>
    <w:rsid w:val="00E43A54"/>
    <w:rsid w:val="00E4534C"/>
    <w:rsid w:val="00E4580F"/>
    <w:rsid w:val="00E45C68"/>
    <w:rsid w:val="00E45CA2"/>
    <w:rsid w:val="00E46122"/>
    <w:rsid w:val="00E46AE6"/>
    <w:rsid w:val="00E47936"/>
    <w:rsid w:val="00E47BF8"/>
    <w:rsid w:val="00E50401"/>
    <w:rsid w:val="00E518EA"/>
    <w:rsid w:val="00E51C00"/>
    <w:rsid w:val="00E5606F"/>
    <w:rsid w:val="00E573A6"/>
    <w:rsid w:val="00E579FB"/>
    <w:rsid w:val="00E600FB"/>
    <w:rsid w:val="00E60560"/>
    <w:rsid w:val="00E60DCC"/>
    <w:rsid w:val="00E617E4"/>
    <w:rsid w:val="00E61810"/>
    <w:rsid w:val="00E6213A"/>
    <w:rsid w:val="00E62BB6"/>
    <w:rsid w:val="00E62FAA"/>
    <w:rsid w:val="00E63812"/>
    <w:rsid w:val="00E63F5C"/>
    <w:rsid w:val="00E640D1"/>
    <w:rsid w:val="00E64BCF"/>
    <w:rsid w:val="00E64F23"/>
    <w:rsid w:val="00E65636"/>
    <w:rsid w:val="00E65CD5"/>
    <w:rsid w:val="00E65DD6"/>
    <w:rsid w:val="00E660AE"/>
    <w:rsid w:val="00E6619D"/>
    <w:rsid w:val="00E66428"/>
    <w:rsid w:val="00E66B05"/>
    <w:rsid w:val="00E67627"/>
    <w:rsid w:val="00E71C24"/>
    <w:rsid w:val="00E71F42"/>
    <w:rsid w:val="00E72291"/>
    <w:rsid w:val="00E724FC"/>
    <w:rsid w:val="00E73788"/>
    <w:rsid w:val="00E74131"/>
    <w:rsid w:val="00E74801"/>
    <w:rsid w:val="00E74E0C"/>
    <w:rsid w:val="00E75813"/>
    <w:rsid w:val="00E75E5F"/>
    <w:rsid w:val="00E771F5"/>
    <w:rsid w:val="00E7773D"/>
    <w:rsid w:val="00E778BB"/>
    <w:rsid w:val="00E8085F"/>
    <w:rsid w:val="00E80D93"/>
    <w:rsid w:val="00E810BF"/>
    <w:rsid w:val="00E81B79"/>
    <w:rsid w:val="00E820E8"/>
    <w:rsid w:val="00E826CF"/>
    <w:rsid w:val="00E8307A"/>
    <w:rsid w:val="00E832B3"/>
    <w:rsid w:val="00E83C58"/>
    <w:rsid w:val="00E83D2C"/>
    <w:rsid w:val="00E8472D"/>
    <w:rsid w:val="00E85396"/>
    <w:rsid w:val="00E857F1"/>
    <w:rsid w:val="00E865F9"/>
    <w:rsid w:val="00E86E1C"/>
    <w:rsid w:val="00E86FB5"/>
    <w:rsid w:val="00E873C9"/>
    <w:rsid w:val="00E87690"/>
    <w:rsid w:val="00E919E1"/>
    <w:rsid w:val="00E92592"/>
    <w:rsid w:val="00E92DFF"/>
    <w:rsid w:val="00E92E8D"/>
    <w:rsid w:val="00E936F6"/>
    <w:rsid w:val="00E93E63"/>
    <w:rsid w:val="00E96157"/>
    <w:rsid w:val="00E962FD"/>
    <w:rsid w:val="00E97789"/>
    <w:rsid w:val="00E977DE"/>
    <w:rsid w:val="00E97E53"/>
    <w:rsid w:val="00E97E98"/>
    <w:rsid w:val="00EA06E8"/>
    <w:rsid w:val="00EA0CDD"/>
    <w:rsid w:val="00EA0CE0"/>
    <w:rsid w:val="00EA0CE4"/>
    <w:rsid w:val="00EA27B3"/>
    <w:rsid w:val="00EA2F07"/>
    <w:rsid w:val="00EA3CB1"/>
    <w:rsid w:val="00EA3D6E"/>
    <w:rsid w:val="00EA49E8"/>
    <w:rsid w:val="00EA4DB2"/>
    <w:rsid w:val="00EA5004"/>
    <w:rsid w:val="00EA553D"/>
    <w:rsid w:val="00EA5808"/>
    <w:rsid w:val="00EA69DB"/>
    <w:rsid w:val="00EA6D4B"/>
    <w:rsid w:val="00EA7319"/>
    <w:rsid w:val="00EA796F"/>
    <w:rsid w:val="00EB1CB7"/>
    <w:rsid w:val="00EB1F2D"/>
    <w:rsid w:val="00EB2756"/>
    <w:rsid w:val="00EB45C0"/>
    <w:rsid w:val="00EB5CDF"/>
    <w:rsid w:val="00EB6315"/>
    <w:rsid w:val="00EB65F5"/>
    <w:rsid w:val="00EB6D46"/>
    <w:rsid w:val="00EB7B5F"/>
    <w:rsid w:val="00EC008A"/>
    <w:rsid w:val="00EC10EC"/>
    <w:rsid w:val="00EC11BD"/>
    <w:rsid w:val="00EC1768"/>
    <w:rsid w:val="00EC3CFE"/>
    <w:rsid w:val="00EC5141"/>
    <w:rsid w:val="00EC5537"/>
    <w:rsid w:val="00EC615A"/>
    <w:rsid w:val="00EC6286"/>
    <w:rsid w:val="00EC794F"/>
    <w:rsid w:val="00EC7F03"/>
    <w:rsid w:val="00ED0124"/>
    <w:rsid w:val="00ED34AD"/>
    <w:rsid w:val="00ED4328"/>
    <w:rsid w:val="00ED44B7"/>
    <w:rsid w:val="00ED4D46"/>
    <w:rsid w:val="00ED4D7A"/>
    <w:rsid w:val="00ED579F"/>
    <w:rsid w:val="00ED58B7"/>
    <w:rsid w:val="00ED591E"/>
    <w:rsid w:val="00ED6BE8"/>
    <w:rsid w:val="00ED6C48"/>
    <w:rsid w:val="00ED7308"/>
    <w:rsid w:val="00ED7459"/>
    <w:rsid w:val="00ED781B"/>
    <w:rsid w:val="00ED7B5C"/>
    <w:rsid w:val="00ED7B73"/>
    <w:rsid w:val="00EE1906"/>
    <w:rsid w:val="00EE24D8"/>
    <w:rsid w:val="00EE3094"/>
    <w:rsid w:val="00EE331A"/>
    <w:rsid w:val="00EE39D7"/>
    <w:rsid w:val="00EE4E3A"/>
    <w:rsid w:val="00EE4E6F"/>
    <w:rsid w:val="00EE5288"/>
    <w:rsid w:val="00EE52DB"/>
    <w:rsid w:val="00EE5ADC"/>
    <w:rsid w:val="00EE5B55"/>
    <w:rsid w:val="00EE7AF0"/>
    <w:rsid w:val="00EF07A3"/>
    <w:rsid w:val="00EF0C07"/>
    <w:rsid w:val="00EF0C36"/>
    <w:rsid w:val="00EF0F9F"/>
    <w:rsid w:val="00EF11F7"/>
    <w:rsid w:val="00EF1410"/>
    <w:rsid w:val="00EF2434"/>
    <w:rsid w:val="00EF2662"/>
    <w:rsid w:val="00EF33E5"/>
    <w:rsid w:val="00EF4282"/>
    <w:rsid w:val="00EF4B11"/>
    <w:rsid w:val="00EF4D49"/>
    <w:rsid w:val="00EF5344"/>
    <w:rsid w:val="00EF6475"/>
    <w:rsid w:val="00EF74F5"/>
    <w:rsid w:val="00EF75C0"/>
    <w:rsid w:val="00EF7AAA"/>
    <w:rsid w:val="00EF7ACA"/>
    <w:rsid w:val="00F01581"/>
    <w:rsid w:val="00F01B1F"/>
    <w:rsid w:val="00F04A59"/>
    <w:rsid w:val="00F04DD1"/>
    <w:rsid w:val="00F062FC"/>
    <w:rsid w:val="00F0693D"/>
    <w:rsid w:val="00F0761C"/>
    <w:rsid w:val="00F07978"/>
    <w:rsid w:val="00F10DFB"/>
    <w:rsid w:val="00F10FEC"/>
    <w:rsid w:val="00F111E3"/>
    <w:rsid w:val="00F113A7"/>
    <w:rsid w:val="00F11492"/>
    <w:rsid w:val="00F121FE"/>
    <w:rsid w:val="00F12609"/>
    <w:rsid w:val="00F1266A"/>
    <w:rsid w:val="00F1272D"/>
    <w:rsid w:val="00F1285D"/>
    <w:rsid w:val="00F12883"/>
    <w:rsid w:val="00F13819"/>
    <w:rsid w:val="00F13A35"/>
    <w:rsid w:val="00F156B1"/>
    <w:rsid w:val="00F15A45"/>
    <w:rsid w:val="00F165FD"/>
    <w:rsid w:val="00F20000"/>
    <w:rsid w:val="00F2026F"/>
    <w:rsid w:val="00F20AC1"/>
    <w:rsid w:val="00F20E33"/>
    <w:rsid w:val="00F22BBD"/>
    <w:rsid w:val="00F22D56"/>
    <w:rsid w:val="00F22D99"/>
    <w:rsid w:val="00F237F5"/>
    <w:rsid w:val="00F23C7A"/>
    <w:rsid w:val="00F23F24"/>
    <w:rsid w:val="00F24040"/>
    <w:rsid w:val="00F24120"/>
    <w:rsid w:val="00F246E3"/>
    <w:rsid w:val="00F24EBD"/>
    <w:rsid w:val="00F25D44"/>
    <w:rsid w:val="00F25DF6"/>
    <w:rsid w:val="00F26577"/>
    <w:rsid w:val="00F2691D"/>
    <w:rsid w:val="00F26C42"/>
    <w:rsid w:val="00F26E30"/>
    <w:rsid w:val="00F302A3"/>
    <w:rsid w:val="00F307FA"/>
    <w:rsid w:val="00F3080D"/>
    <w:rsid w:val="00F30CDE"/>
    <w:rsid w:val="00F31B0E"/>
    <w:rsid w:val="00F3257B"/>
    <w:rsid w:val="00F327A5"/>
    <w:rsid w:val="00F344D1"/>
    <w:rsid w:val="00F34AB7"/>
    <w:rsid w:val="00F354A6"/>
    <w:rsid w:val="00F35737"/>
    <w:rsid w:val="00F35BCE"/>
    <w:rsid w:val="00F36561"/>
    <w:rsid w:val="00F37311"/>
    <w:rsid w:val="00F3740C"/>
    <w:rsid w:val="00F40497"/>
    <w:rsid w:val="00F40CA5"/>
    <w:rsid w:val="00F40EC7"/>
    <w:rsid w:val="00F41100"/>
    <w:rsid w:val="00F4126F"/>
    <w:rsid w:val="00F4180A"/>
    <w:rsid w:val="00F41F0F"/>
    <w:rsid w:val="00F42335"/>
    <w:rsid w:val="00F42B66"/>
    <w:rsid w:val="00F4370F"/>
    <w:rsid w:val="00F441D0"/>
    <w:rsid w:val="00F44BC7"/>
    <w:rsid w:val="00F4520D"/>
    <w:rsid w:val="00F454B9"/>
    <w:rsid w:val="00F45532"/>
    <w:rsid w:val="00F45571"/>
    <w:rsid w:val="00F45F3F"/>
    <w:rsid w:val="00F45FA9"/>
    <w:rsid w:val="00F46523"/>
    <w:rsid w:val="00F47E17"/>
    <w:rsid w:val="00F50222"/>
    <w:rsid w:val="00F50241"/>
    <w:rsid w:val="00F50914"/>
    <w:rsid w:val="00F50C59"/>
    <w:rsid w:val="00F51215"/>
    <w:rsid w:val="00F51D53"/>
    <w:rsid w:val="00F5208F"/>
    <w:rsid w:val="00F532FD"/>
    <w:rsid w:val="00F54062"/>
    <w:rsid w:val="00F549A5"/>
    <w:rsid w:val="00F54CE9"/>
    <w:rsid w:val="00F5632A"/>
    <w:rsid w:val="00F56A03"/>
    <w:rsid w:val="00F576AF"/>
    <w:rsid w:val="00F603EF"/>
    <w:rsid w:val="00F603F4"/>
    <w:rsid w:val="00F623EC"/>
    <w:rsid w:val="00F629C7"/>
    <w:rsid w:val="00F63C31"/>
    <w:rsid w:val="00F63E00"/>
    <w:rsid w:val="00F64397"/>
    <w:rsid w:val="00F649A7"/>
    <w:rsid w:val="00F64FF7"/>
    <w:rsid w:val="00F65F5D"/>
    <w:rsid w:val="00F663F7"/>
    <w:rsid w:val="00F6753D"/>
    <w:rsid w:val="00F679FB"/>
    <w:rsid w:val="00F7048E"/>
    <w:rsid w:val="00F71F16"/>
    <w:rsid w:val="00F7218D"/>
    <w:rsid w:val="00F74DF9"/>
    <w:rsid w:val="00F74E0B"/>
    <w:rsid w:val="00F754A2"/>
    <w:rsid w:val="00F7581F"/>
    <w:rsid w:val="00F7636F"/>
    <w:rsid w:val="00F76C6A"/>
    <w:rsid w:val="00F773F8"/>
    <w:rsid w:val="00F806A4"/>
    <w:rsid w:val="00F81493"/>
    <w:rsid w:val="00F82020"/>
    <w:rsid w:val="00F82349"/>
    <w:rsid w:val="00F827D7"/>
    <w:rsid w:val="00F82A6A"/>
    <w:rsid w:val="00F82C95"/>
    <w:rsid w:val="00F830C6"/>
    <w:rsid w:val="00F83BEB"/>
    <w:rsid w:val="00F83C7C"/>
    <w:rsid w:val="00F847BC"/>
    <w:rsid w:val="00F84AF1"/>
    <w:rsid w:val="00F8512B"/>
    <w:rsid w:val="00F8550E"/>
    <w:rsid w:val="00F86A3A"/>
    <w:rsid w:val="00F86A4A"/>
    <w:rsid w:val="00F877F0"/>
    <w:rsid w:val="00F87ECC"/>
    <w:rsid w:val="00F900B1"/>
    <w:rsid w:val="00F907E8"/>
    <w:rsid w:val="00F90E01"/>
    <w:rsid w:val="00F91C5E"/>
    <w:rsid w:val="00F91DF4"/>
    <w:rsid w:val="00F9231B"/>
    <w:rsid w:val="00F936F5"/>
    <w:rsid w:val="00F938EC"/>
    <w:rsid w:val="00F939B5"/>
    <w:rsid w:val="00F93E5B"/>
    <w:rsid w:val="00F94370"/>
    <w:rsid w:val="00F94511"/>
    <w:rsid w:val="00F94C48"/>
    <w:rsid w:val="00F969AA"/>
    <w:rsid w:val="00F96EE5"/>
    <w:rsid w:val="00F970CB"/>
    <w:rsid w:val="00F970EA"/>
    <w:rsid w:val="00F9796B"/>
    <w:rsid w:val="00FA0E3E"/>
    <w:rsid w:val="00FA14D2"/>
    <w:rsid w:val="00FA1842"/>
    <w:rsid w:val="00FA1B60"/>
    <w:rsid w:val="00FA30C3"/>
    <w:rsid w:val="00FA44F7"/>
    <w:rsid w:val="00FA4D53"/>
    <w:rsid w:val="00FA5DFC"/>
    <w:rsid w:val="00FA6869"/>
    <w:rsid w:val="00FA7140"/>
    <w:rsid w:val="00FA7AF9"/>
    <w:rsid w:val="00FB0406"/>
    <w:rsid w:val="00FB148F"/>
    <w:rsid w:val="00FB2613"/>
    <w:rsid w:val="00FB3751"/>
    <w:rsid w:val="00FB37AD"/>
    <w:rsid w:val="00FB4C8C"/>
    <w:rsid w:val="00FB4EEC"/>
    <w:rsid w:val="00FB513F"/>
    <w:rsid w:val="00FB5E9E"/>
    <w:rsid w:val="00FB5FE5"/>
    <w:rsid w:val="00FB64AB"/>
    <w:rsid w:val="00FB74E2"/>
    <w:rsid w:val="00FB7C0A"/>
    <w:rsid w:val="00FC0341"/>
    <w:rsid w:val="00FC14C0"/>
    <w:rsid w:val="00FC2064"/>
    <w:rsid w:val="00FC3123"/>
    <w:rsid w:val="00FC638A"/>
    <w:rsid w:val="00FC67B0"/>
    <w:rsid w:val="00FC7525"/>
    <w:rsid w:val="00FC7C52"/>
    <w:rsid w:val="00FC7F14"/>
    <w:rsid w:val="00FD14F2"/>
    <w:rsid w:val="00FD19B4"/>
    <w:rsid w:val="00FD1E9D"/>
    <w:rsid w:val="00FD2122"/>
    <w:rsid w:val="00FD25EC"/>
    <w:rsid w:val="00FD353D"/>
    <w:rsid w:val="00FD3E2C"/>
    <w:rsid w:val="00FD4674"/>
    <w:rsid w:val="00FD5047"/>
    <w:rsid w:val="00FD5449"/>
    <w:rsid w:val="00FD75CC"/>
    <w:rsid w:val="00FD78DC"/>
    <w:rsid w:val="00FE01B3"/>
    <w:rsid w:val="00FE064B"/>
    <w:rsid w:val="00FE0AE9"/>
    <w:rsid w:val="00FE18D0"/>
    <w:rsid w:val="00FE2AAC"/>
    <w:rsid w:val="00FE3260"/>
    <w:rsid w:val="00FE38D4"/>
    <w:rsid w:val="00FE4514"/>
    <w:rsid w:val="00FE55F7"/>
    <w:rsid w:val="00FE5DEB"/>
    <w:rsid w:val="00FE6A0D"/>
    <w:rsid w:val="00FE71AC"/>
    <w:rsid w:val="00FE75BF"/>
    <w:rsid w:val="00FE7C94"/>
    <w:rsid w:val="00FF03ED"/>
    <w:rsid w:val="00FF0AAC"/>
    <w:rsid w:val="00FF1CB0"/>
    <w:rsid w:val="00FF2A6B"/>
    <w:rsid w:val="00FF357E"/>
    <w:rsid w:val="00FF3A75"/>
    <w:rsid w:val="00FF3E3F"/>
    <w:rsid w:val="00FF49D8"/>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72A415"/>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7A2C-D8D4-4B06-8A3C-4DAEAA2819BC}"/>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8FF1E6-A695-4E55-852F-800C892A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7457</Words>
  <Characters>42509</Characters>
  <Application>Microsoft Office Word</Application>
  <DocSecurity>0</DocSecurity>
  <Lines>354</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CCPR/C/126/DR/2750/2016</vt:lpstr>
      <vt:lpstr>CCPR/C/WG/126/DR/2750/2016</vt:lpstr>
      <vt:lpstr>1606987</vt:lpstr>
    </vt:vector>
  </TitlesOfParts>
  <Company>DCM</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CCPR/C/126/DR/2750/2016</dc:title>
  <dc:subject/>
  <dc:creator>Maria Luisa Zeballos Moreno</dc:creator>
  <cp:keywords/>
  <dc:description/>
  <cp:lastModifiedBy>ABDELAZIM Mohamed</cp:lastModifiedBy>
  <cp:revision>10</cp:revision>
  <cp:lastPrinted>2019-05-31T14:16:00Z</cp:lastPrinted>
  <dcterms:created xsi:type="dcterms:W3CDTF">2019-07-23T07:09:00Z</dcterms:created>
  <dcterms:modified xsi:type="dcterms:W3CDTF">2019-08-06T10:04:00Z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