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84490" w:rsidRPr="00907E7B" w:rsidTr="0049701A">
        <w:trPr>
          <w:cantSplit/>
          <w:trHeight w:hRule="exact" w:val="851"/>
        </w:trPr>
        <w:tc>
          <w:tcPr>
            <w:tcW w:w="1276" w:type="dxa"/>
            <w:tcBorders>
              <w:bottom w:val="single" w:sz="4" w:space="0" w:color="auto"/>
            </w:tcBorders>
            <w:vAlign w:val="bottom"/>
          </w:tcPr>
          <w:p w:rsidR="00584490" w:rsidRPr="00584490" w:rsidRDefault="00584490" w:rsidP="00584490">
            <w:pPr>
              <w:spacing w:after="80" w:line="240" w:lineRule="auto"/>
              <w:rPr>
                <w:lang w:val="es-ES_tradnl"/>
              </w:rPr>
            </w:pPr>
          </w:p>
        </w:tc>
        <w:tc>
          <w:tcPr>
            <w:tcW w:w="2268" w:type="dxa"/>
            <w:tcBorders>
              <w:bottom w:val="single" w:sz="4" w:space="0" w:color="auto"/>
            </w:tcBorders>
            <w:vAlign w:val="bottom"/>
          </w:tcPr>
          <w:p w:rsidR="00584490" w:rsidRPr="0004514B" w:rsidRDefault="00584490" w:rsidP="00584490">
            <w:pPr>
              <w:spacing w:after="80" w:line="240" w:lineRule="auto"/>
              <w:rPr>
                <w:b/>
                <w:sz w:val="24"/>
                <w:szCs w:val="24"/>
                <w:lang w:val="en-US"/>
              </w:rPr>
            </w:pPr>
            <w:r w:rsidRPr="0004514B">
              <w:rPr>
                <w:sz w:val="28"/>
                <w:szCs w:val="28"/>
                <w:lang w:val="en-US"/>
              </w:rPr>
              <w:t>United Nations</w:t>
            </w:r>
          </w:p>
        </w:tc>
        <w:tc>
          <w:tcPr>
            <w:tcW w:w="6095" w:type="dxa"/>
            <w:gridSpan w:val="2"/>
            <w:tcBorders>
              <w:bottom w:val="single" w:sz="4" w:space="0" w:color="auto"/>
            </w:tcBorders>
            <w:vAlign w:val="bottom"/>
          </w:tcPr>
          <w:p w:rsidR="00654615" w:rsidRPr="00907E7B" w:rsidRDefault="00654615" w:rsidP="00927249">
            <w:pPr>
              <w:spacing w:line="240" w:lineRule="auto"/>
              <w:jc w:val="right"/>
              <w:rPr>
                <w:sz w:val="40"/>
                <w:lang w:val="fr-CH"/>
              </w:rPr>
            </w:pPr>
          </w:p>
          <w:p w:rsidR="00584490" w:rsidRPr="00907E7B" w:rsidRDefault="002504BB" w:rsidP="005E0F4E">
            <w:pPr>
              <w:spacing w:line="240" w:lineRule="auto"/>
              <w:jc w:val="right"/>
              <w:rPr>
                <w:lang w:val="fr-CH"/>
              </w:rPr>
            </w:pPr>
            <w:r w:rsidRPr="00907E7B">
              <w:rPr>
                <w:lang w:val="fr-CH"/>
              </w:rPr>
              <w:t>CCPR/C/123/D/2375/2014</w:t>
            </w:r>
            <w:r w:rsidR="00CC78BF">
              <w:rPr>
                <w:lang w:val="fr-CH"/>
              </w:rPr>
              <w:t xml:space="preserve"> </w:t>
            </w:r>
            <w:r w:rsidR="005E0F4E" w:rsidRPr="00907E7B">
              <w:rPr>
                <w:lang w:val="fr-CH"/>
              </w:rPr>
              <w:t>-</w:t>
            </w:r>
            <w:r w:rsidR="00CC78BF">
              <w:rPr>
                <w:lang w:val="fr-CH"/>
              </w:rPr>
              <w:t xml:space="preserve"> </w:t>
            </w:r>
            <w:r w:rsidR="007D5318" w:rsidRPr="00907E7B">
              <w:rPr>
                <w:lang w:val="fr-CH"/>
              </w:rPr>
              <w:t>CCPR</w:t>
            </w:r>
            <w:r w:rsidR="00CB6F78" w:rsidRPr="00907E7B">
              <w:rPr>
                <w:lang w:val="fr-CH"/>
              </w:rPr>
              <w:t>/C</w:t>
            </w:r>
            <w:r w:rsidR="007D5318" w:rsidRPr="00907E7B">
              <w:rPr>
                <w:lang w:val="fr-CH"/>
              </w:rPr>
              <w:t>/12</w:t>
            </w:r>
            <w:r w:rsidR="00602671" w:rsidRPr="00907E7B">
              <w:rPr>
                <w:lang w:val="fr-CH"/>
              </w:rPr>
              <w:t>3</w:t>
            </w:r>
            <w:r w:rsidR="007D5318" w:rsidRPr="00907E7B">
              <w:rPr>
                <w:lang w:val="fr-CH"/>
              </w:rPr>
              <w:t>/D/</w:t>
            </w:r>
            <w:r w:rsidR="00602671" w:rsidRPr="00907E7B">
              <w:rPr>
                <w:lang w:val="fr-CH"/>
              </w:rPr>
              <w:t>2690/2015</w:t>
            </w:r>
          </w:p>
        </w:tc>
      </w:tr>
      <w:tr w:rsidR="00584490" w:rsidRPr="0004514B" w:rsidTr="0049701A">
        <w:trPr>
          <w:cantSplit/>
          <w:trHeight w:hRule="exact" w:val="2835"/>
        </w:trPr>
        <w:tc>
          <w:tcPr>
            <w:tcW w:w="1276" w:type="dxa"/>
            <w:tcBorders>
              <w:top w:val="single" w:sz="4" w:space="0" w:color="auto"/>
              <w:bottom w:val="single" w:sz="12" w:space="0" w:color="auto"/>
            </w:tcBorders>
          </w:tcPr>
          <w:p w:rsidR="00584490" w:rsidRPr="0004514B" w:rsidRDefault="0059627E" w:rsidP="00584490">
            <w:pPr>
              <w:spacing w:before="120" w:line="240" w:lineRule="auto"/>
              <w:rPr>
                <w:lang w:val="en-US"/>
              </w:rPr>
            </w:pPr>
            <w:r>
              <w:rPr>
                <w:noProof/>
                <w:lang w:eastAsia="en-GB"/>
              </w:rPr>
              <w:drawing>
                <wp:inline distT="0" distB="0" distL="0" distR="0">
                  <wp:extent cx="72326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84490" w:rsidRDefault="00584490" w:rsidP="00584490">
            <w:pPr>
              <w:spacing w:before="120" w:line="240" w:lineRule="auto"/>
              <w:rPr>
                <w:b/>
                <w:sz w:val="34"/>
                <w:szCs w:val="40"/>
                <w:lang w:val="en-US"/>
              </w:rPr>
            </w:pPr>
            <w:r w:rsidRPr="0004514B">
              <w:rPr>
                <w:b/>
                <w:sz w:val="34"/>
                <w:szCs w:val="40"/>
                <w:lang w:val="en-US"/>
              </w:rPr>
              <w:t>International Covenant on</w:t>
            </w:r>
            <w:r w:rsidRPr="0004514B">
              <w:rPr>
                <w:b/>
                <w:sz w:val="34"/>
                <w:szCs w:val="40"/>
                <w:lang w:val="en-US"/>
              </w:rPr>
              <w:br/>
              <w:t>Civil and Political Rights</w:t>
            </w:r>
          </w:p>
          <w:p w:rsidR="00907E7B" w:rsidRDefault="00907E7B" w:rsidP="00907E7B">
            <w:pPr>
              <w:spacing w:before="120" w:line="380" w:lineRule="exact"/>
              <w:rPr>
                <w:b/>
                <w:sz w:val="34"/>
                <w:szCs w:val="40"/>
              </w:rPr>
            </w:pPr>
            <w:r w:rsidRPr="000921E9">
              <w:rPr>
                <w:sz w:val="34"/>
                <w:szCs w:val="40"/>
              </w:rPr>
              <w:t>Advance unedited version</w:t>
            </w:r>
          </w:p>
          <w:p w:rsidR="00907E7B" w:rsidRPr="0004514B" w:rsidRDefault="00907E7B" w:rsidP="00584490">
            <w:pPr>
              <w:spacing w:before="120" w:line="240" w:lineRule="auto"/>
              <w:rPr>
                <w:sz w:val="34"/>
                <w:lang w:val="en-US"/>
              </w:rPr>
            </w:pPr>
          </w:p>
        </w:tc>
        <w:tc>
          <w:tcPr>
            <w:tcW w:w="2835" w:type="dxa"/>
            <w:tcBorders>
              <w:top w:val="single" w:sz="4" w:space="0" w:color="auto"/>
              <w:bottom w:val="single" w:sz="12" w:space="0" w:color="auto"/>
            </w:tcBorders>
          </w:tcPr>
          <w:p w:rsidR="00584490" w:rsidRPr="0004514B" w:rsidRDefault="00584490" w:rsidP="00584490">
            <w:pPr>
              <w:spacing w:before="240" w:line="240" w:lineRule="auto"/>
              <w:rPr>
                <w:lang w:val="en-US"/>
              </w:rPr>
            </w:pPr>
            <w:r w:rsidRPr="0004514B">
              <w:rPr>
                <w:lang w:val="en-US"/>
              </w:rPr>
              <w:t>Distr.:</w:t>
            </w:r>
            <w:r w:rsidR="005E0F4E" w:rsidRPr="0004514B" w:rsidDel="005E0F4E">
              <w:rPr>
                <w:lang w:val="en-US"/>
              </w:rPr>
              <w:t xml:space="preserve"> </w:t>
            </w:r>
            <w:r w:rsidR="005E0F4E">
              <w:rPr>
                <w:lang w:val="en-US"/>
              </w:rPr>
              <w:t>General</w:t>
            </w:r>
          </w:p>
          <w:p w:rsidR="00584490" w:rsidRPr="0004514B" w:rsidRDefault="005E0F4E" w:rsidP="002D66A6">
            <w:pPr>
              <w:spacing w:line="240" w:lineRule="auto"/>
              <w:rPr>
                <w:lang w:val="en-US"/>
              </w:rPr>
            </w:pPr>
            <w:r>
              <w:rPr>
                <w:lang w:val="en-US"/>
              </w:rPr>
              <w:t>2</w:t>
            </w:r>
            <w:r w:rsidR="00AA249B">
              <w:rPr>
                <w:lang w:val="en-US"/>
              </w:rPr>
              <w:t>3</w:t>
            </w:r>
            <w:r>
              <w:rPr>
                <w:lang w:val="en-US"/>
              </w:rPr>
              <w:t xml:space="preserve"> August</w:t>
            </w:r>
            <w:r w:rsidR="00927249">
              <w:rPr>
                <w:lang w:val="en-US"/>
              </w:rPr>
              <w:t xml:space="preserve"> </w:t>
            </w:r>
            <w:r w:rsidR="00584490" w:rsidRPr="0004514B">
              <w:rPr>
                <w:lang w:val="en-US"/>
              </w:rPr>
              <w:t>201</w:t>
            </w:r>
            <w:r w:rsidR="00666BDB" w:rsidRPr="0004514B">
              <w:rPr>
                <w:lang w:val="en-US"/>
              </w:rPr>
              <w:t>8</w:t>
            </w:r>
          </w:p>
          <w:p w:rsidR="00584490" w:rsidRPr="0004514B" w:rsidRDefault="00584490" w:rsidP="00584490">
            <w:pPr>
              <w:spacing w:line="240" w:lineRule="auto"/>
              <w:rPr>
                <w:lang w:val="en-US"/>
              </w:rPr>
            </w:pPr>
          </w:p>
          <w:p w:rsidR="00584490" w:rsidRPr="0004514B" w:rsidRDefault="00584490" w:rsidP="00584490">
            <w:pPr>
              <w:spacing w:line="240" w:lineRule="auto"/>
              <w:rPr>
                <w:lang w:val="en-US"/>
              </w:rPr>
            </w:pPr>
            <w:r w:rsidRPr="0004514B">
              <w:rPr>
                <w:lang w:val="en-US"/>
              </w:rPr>
              <w:t>Original: English</w:t>
            </w:r>
          </w:p>
          <w:p w:rsidR="00584490" w:rsidRPr="0004514B" w:rsidRDefault="00584490" w:rsidP="00584490">
            <w:pPr>
              <w:spacing w:line="240" w:lineRule="auto"/>
              <w:rPr>
                <w:lang w:val="en-US"/>
              </w:rPr>
            </w:pPr>
          </w:p>
        </w:tc>
      </w:tr>
    </w:tbl>
    <w:p w:rsidR="005E58C8" w:rsidRPr="00907E7B" w:rsidRDefault="005E58C8" w:rsidP="00907E7B">
      <w:pPr>
        <w:pStyle w:val="HChG"/>
        <w:spacing w:before="60"/>
      </w:pPr>
      <w:r w:rsidRPr="00907E7B">
        <w:t>Human Rights Committee</w:t>
      </w:r>
    </w:p>
    <w:p w:rsidR="00584490" w:rsidRPr="0004514B" w:rsidRDefault="00AA63F1" w:rsidP="00907E7B">
      <w:pPr>
        <w:pStyle w:val="HChG"/>
        <w:rPr>
          <w:lang w:val="en-US"/>
        </w:rPr>
      </w:pPr>
      <w:r>
        <w:rPr>
          <w:color w:val="FF0000"/>
          <w:lang w:val="en-US"/>
        </w:rPr>
        <w:tab/>
      </w:r>
      <w:r w:rsidR="00584490" w:rsidRPr="0004514B">
        <w:rPr>
          <w:color w:val="FF0000"/>
          <w:lang w:val="en-US"/>
        </w:rPr>
        <w:tab/>
      </w:r>
      <w:r w:rsidRPr="00730415">
        <w:t xml:space="preserve">Views adopted by the Committee under article 5(4) of the Optional Protocol, concerning </w:t>
      </w:r>
      <w:r>
        <w:rPr>
          <w:lang w:val="en-US"/>
        </w:rPr>
        <w:t>c</w:t>
      </w:r>
      <w:r w:rsidR="00584490" w:rsidRPr="0004514B">
        <w:rPr>
          <w:lang w:val="en-US"/>
        </w:rPr>
        <w:t>ommunication</w:t>
      </w:r>
      <w:r w:rsidR="00A26106" w:rsidRPr="0004514B">
        <w:rPr>
          <w:lang w:val="en-US"/>
        </w:rPr>
        <w:t>s</w:t>
      </w:r>
      <w:r w:rsidR="00584490" w:rsidRPr="0004514B">
        <w:rPr>
          <w:lang w:val="en-US"/>
        </w:rPr>
        <w:t xml:space="preserve"> No. 2</w:t>
      </w:r>
      <w:r w:rsidR="00FD282D">
        <w:rPr>
          <w:lang w:val="en-US"/>
        </w:rPr>
        <w:t>375</w:t>
      </w:r>
      <w:r w:rsidR="00A26106" w:rsidRPr="0004514B">
        <w:rPr>
          <w:lang w:val="en-US"/>
        </w:rPr>
        <w:t>/201</w:t>
      </w:r>
      <w:r w:rsidR="00FD282D">
        <w:rPr>
          <w:lang w:val="en-US"/>
        </w:rPr>
        <w:t>4</w:t>
      </w:r>
      <w:r w:rsidR="00A26106" w:rsidRPr="0004514B">
        <w:rPr>
          <w:lang w:val="en-US"/>
        </w:rPr>
        <w:t xml:space="preserve"> and No. 2</w:t>
      </w:r>
      <w:r w:rsidR="00FD282D">
        <w:rPr>
          <w:lang w:val="en-US"/>
        </w:rPr>
        <w:t>690</w:t>
      </w:r>
      <w:r w:rsidR="00A26106" w:rsidRPr="0004514B">
        <w:rPr>
          <w:lang w:val="en-US"/>
        </w:rPr>
        <w:t>/201</w:t>
      </w:r>
      <w:r w:rsidR="00FD282D">
        <w:rPr>
          <w:lang w:val="en-US"/>
        </w:rPr>
        <w:t>5</w:t>
      </w:r>
      <w:r w:rsidRPr="00907E7B">
        <w:rPr>
          <w:rStyle w:val="FootnoteReference"/>
          <w:sz w:val="20"/>
          <w:vertAlign w:val="baseline"/>
          <w:lang w:val="en-US"/>
        </w:rPr>
        <w:footnoteReference w:customMarkFollows="1" w:id="2"/>
        <w:t>*</w:t>
      </w:r>
      <w:r>
        <w:rPr>
          <w:sz w:val="20"/>
          <w:lang w:val="en-US"/>
        </w:rPr>
        <w:t>,</w:t>
      </w:r>
      <w:r w:rsidRPr="00907E7B">
        <w:rPr>
          <w:rStyle w:val="FootnoteReference"/>
          <w:sz w:val="20"/>
          <w:vertAlign w:val="baseline"/>
          <w:lang w:val="en-US"/>
        </w:rPr>
        <w:footnoteReference w:customMarkFollows="1" w:id="3"/>
        <w:t>**</w:t>
      </w:r>
    </w:p>
    <w:p w:rsidR="00990482" w:rsidRPr="0004514B" w:rsidRDefault="00D57E94" w:rsidP="00907E7B">
      <w:pPr>
        <w:pStyle w:val="SingleTxtG"/>
        <w:spacing w:line="220" w:lineRule="atLeast"/>
        <w:ind w:left="3969" w:hanging="2835"/>
        <w:rPr>
          <w:lang w:val="en-GB"/>
        </w:rPr>
      </w:pPr>
      <w:r w:rsidRPr="0004514B">
        <w:rPr>
          <w:i/>
          <w:lang w:val="en-GB"/>
        </w:rPr>
        <w:t>Communication</w:t>
      </w:r>
      <w:r w:rsidR="00FD282D">
        <w:rPr>
          <w:i/>
          <w:lang w:val="en-GB"/>
        </w:rPr>
        <w:t>s</w:t>
      </w:r>
      <w:r w:rsidRPr="0004514B">
        <w:rPr>
          <w:i/>
          <w:lang w:val="en-GB"/>
        </w:rPr>
        <w:t xml:space="preserve"> s</w:t>
      </w:r>
      <w:r w:rsidR="00990482" w:rsidRPr="0004514B">
        <w:rPr>
          <w:i/>
          <w:lang w:val="en-GB"/>
        </w:rPr>
        <w:t>ubmitted by</w:t>
      </w:r>
      <w:r w:rsidR="00990482" w:rsidRPr="00D30DE3">
        <w:rPr>
          <w:lang w:val="en-GB"/>
        </w:rPr>
        <w:t>:</w:t>
      </w:r>
      <w:r w:rsidR="00990482" w:rsidRPr="0004514B">
        <w:rPr>
          <w:lang w:val="en-GB"/>
        </w:rPr>
        <w:tab/>
      </w:r>
      <w:proofErr w:type="spellStart"/>
      <w:r w:rsidR="00FD282D">
        <w:rPr>
          <w:lang w:val="en-GB"/>
        </w:rPr>
        <w:t>Aleksandr</w:t>
      </w:r>
      <w:proofErr w:type="spellEnd"/>
      <w:r w:rsidR="00FD282D">
        <w:rPr>
          <w:lang w:val="en-GB"/>
        </w:rPr>
        <w:t xml:space="preserve"> </w:t>
      </w:r>
      <w:proofErr w:type="spellStart"/>
      <w:r w:rsidR="00FD282D">
        <w:rPr>
          <w:lang w:val="en-GB"/>
        </w:rPr>
        <w:t>Grunov</w:t>
      </w:r>
      <w:proofErr w:type="spellEnd"/>
      <w:r w:rsidR="00FD282D">
        <w:rPr>
          <w:lang w:val="en-GB"/>
        </w:rPr>
        <w:t xml:space="preserve"> (deceased) and his mother, Olga </w:t>
      </w:r>
      <w:proofErr w:type="spellStart"/>
      <w:r w:rsidR="00FD282D">
        <w:rPr>
          <w:lang w:val="en-GB"/>
        </w:rPr>
        <w:t>Grunova</w:t>
      </w:r>
      <w:proofErr w:type="spellEnd"/>
      <w:r w:rsidR="00FD282D">
        <w:rPr>
          <w:lang w:val="en-GB"/>
        </w:rPr>
        <w:t xml:space="preserve"> </w:t>
      </w:r>
      <w:r w:rsidR="00990482" w:rsidRPr="0004514B">
        <w:rPr>
          <w:lang w:val="en-GB"/>
        </w:rPr>
        <w:t xml:space="preserve">(represented by </w:t>
      </w:r>
      <w:r w:rsidR="00850B7F" w:rsidRPr="0004514B">
        <w:rPr>
          <w:lang w:val="en-GB"/>
        </w:rPr>
        <w:t>counsel</w:t>
      </w:r>
      <w:r w:rsidR="00682F3B" w:rsidRPr="0004514B">
        <w:rPr>
          <w:lang w:val="en-GB"/>
        </w:rPr>
        <w:t xml:space="preserve">, </w:t>
      </w:r>
      <w:r w:rsidR="00FD282D">
        <w:rPr>
          <w:lang w:val="en-GB"/>
        </w:rPr>
        <w:t xml:space="preserve">Leonid </w:t>
      </w:r>
      <w:proofErr w:type="spellStart"/>
      <w:r w:rsidR="00FD282D">
        <w:rPr>
          <w:lang w:val="en-GB"/>
        </w:rPr>
        <w:t>Sudalenko</w:t>
      </w:r>
      <w:proofErr w:type="spellEnd"/>
      <w:r w:rsidR="008B707C" w:rsidRPr="0004514B">
        <w:t>)</w:t>
      </w:r>
    </w:p>
    <w:p w:rsidR="00990482" w:rsidRPr="0004514B" w:rsidRDefault="00990482" w:rsidP="00907E7B">
      <w:pPr>
        <w:pStyle w:val="SingleTxtG"/>
        <w:spacing w:line="220" w:lineRule="atLeast"/>
        <w:ind w:left="3969" w:hanging="2835"/>
        <w:rPr>
          <w:lang w:val="en-GB"/>
        </w:rPr>
      </w:pPr>
      <w:r w:rsidRPr="0004514B">
        <w:rPr>
          <w:i/>
          <w:lang w:val="en-GB"/>
        </w:rPr>
        <w:t>Alleged victim</w:t>
      </w:r>
      <w:r w:rsidR="00145510">
        <w:rPr>
          <w:i/>
          <w:lang w:val="en-GB"/>
        </w:rPr>
        <w:t>s</w:t>
      </w:r>
      <w:r w:rsidRPr="00D30DE3">
        <w:rPr>
          <w:lang w:val="en-GB"/>
        </w:rPr>
        <w:t>:</w:t>
      </w:r>
      <w:r w:rsidRPr="0004514B">
        <w:rPr>
          <w:lang w:val="en-GB"/>
        </w:rPr>
        <w:tab/>
      </w:r>
      <w:proofErr w:type="spellStart"/>
      <w:r w:rsidR="00FD282D">
        <w:rPr>
          <w:lang w:val="en-GB"/>
        </w:rPr>
        <w:t>Alexandr</w:t>
      </w:r>
      <w:proofErr w:type="spellEnd"/>
      <w:r w:rsidR="00FD282D">
        <w:rPr>
          <w:lang w:val="en-GB"/>
        </w:rPr>
        <w:t xml:space="preserve"> </w:t>
      </w:r>
      <w:proofErr w:type="spellStart"/>
      <w:r w:rsidR="00FD282D">
        <w:rPr>
          <w:lang w:val="en-GB"/>
        </w:rPr>
        <w:t>Grunov</w:t>
      </w:r>
      <w:proofErr w:type="spellEnd"/>
      <w:r w:rsidR="00FD282D">
        <w:rPr>
          <w:lang w:val="en-GB"/>
        </w:rPr>
        <w:t xml:space="preserve"> (deceased) and Olga </w:t>
      </w:r>
      <w:proofErr w:type="spellStart"/>
      <w:r w:rsidR="00FD282D">
        <w:rPr>
          <w:lang w:val="en-GB"/>
        </w:rPr>
        <w:t>Grunova</w:t>
      </w:r>
      <w:proofErr w:type="spellEnd"/>
    </w:p>
    <w:p w:rsidR="00990482" w:rsidRPr="0004514B" w:rsidRDefault="00990482" w:rsidP="00907E7B">
      <w:pPr>
        <w:pStyle w:val="SingleTxtG"/>
        <w:spacing w:line="220" w:lineRule="atLeast"/>
        <w:ind w:left="3969" w:hanging="2835"/>
        <w:jc w:val="left"/>
        <w:rPr>
          <w:lang w:val="en-GB"/>
        </w:rPr>
      </w:pPr>
      <w:r w:rsidRPr="0004514B">
        <w:rPr>
          <w:i/>
          <w:lang w:val="en-GB"/>
        </w:rPr>
        <w:t>State party</w:t>
      </w:r>
      <w:r w:rsidRPr="00D30DE3">
        <w:rPr>
          <w:lang w:val="en-GB"/>
        </w:rPr>
        <w:t>:</w:t>
      </w:r>
      <w:r w:rsidRPr="0004514B">
        <w:rPr>
          <w:lang w:val="en-GB"/>
        </w:rPr>
        <w:tab/>
      </w:r>
      <w:r w:rsidR="00AA63F1">
        <w:rPr>
          <w:lang w:val="en-GB"/>
        </w:rPr>
        <w:t xml:space="preserve">The Republic of </w:t>
      </w:r>
      <w:r w:rsidR="00281931">
        <w:rPr>
          <w:lang w:val="en-GB"/>
        </w:rPr>
        <w:t>Belarus</w:t>
      </w:r>
    </w:p>
    <w:p w:rsidR="00990482" w:rsidRPr="0004514B" w:rsidRDefault="00990482" w:rsidP="00907E7B">
      <w:pPr>
        <w:pStyle w:val="SingleTxtG"/>
        <w:spacing w:line="220" w:lineRule="atLeast"/>
        <w:ind w:left="3969" w:hanging="2835"/>
        <w:rPr>
          <w:lang w:val="en-GB"/>
        </w:rPr>
      </w:pPr>
      <w:r w:rsidRPr="0004514B">
        <w:rPr>
          <w:i/>
          <w:lang w:val="en-GB"/>
        </w:rPr>
        <w:t>Date of communication</w:t>
      </w:r>
      <w:r w:rsidR="00145510">
        <w:rPr>
          <w:i/>
          <w:lang w:val="en-GB"/>
        </w:rPr>
        <w:t>s</w:t>
      </w:r>
      <w:r w:rsidRPr="00D30DE3">
        <w:rPr>
          <w:lang w:val="en-GB"/>
        </w:rPr>
        <w:t>:</w:t>
      </w:r>
      <w:r w:rsidRPr="0004514B">
        <w:rPr>
          <w:lang w:val="en-GB"/>
        </w:rPr>
        <w:tab/>
      </w:r>
      <w:r w:rsidR="00FD282D">
        <w:rPr>
          <w:lang w:val="en-GB"/>
        </w:rPr>
        <w:t>8 April 2014</w:t>
      </w:r>
      <w:r w:rsidR="00A26106" w:rsidRPr="0004514B">
        <w:rPr>
          <w:lang w:val="en-GB"/>
        </w:rPr>
        <w:t xml:space="preserve"> (</w:t>
      </w:r>
      <w:r w:rsidR="00FD282D">
        <w:rPr>
          <w:lang w:val="en-GB"/>
        </w:rPr>
        <w:t>2375/2014</w:t>
      </w:r>
      <w:r w:rsidR="00A26106" w:rsidRPr="0004514B">
        <w:rPr>
          <w:lang w:val="en-GB"/>
        </w:rPr>
        <w:t xml:space="preserve">) and </w:t>
      </w:r>
      <w:r w:rsidR="00FD282D">
        <w:rPr>
          <w:lang w:val="en-GB"/>
        </w:rPr>
        <w:t>27 February 2015</w:t>
      </w:r>
      <w:r w:rsidR="00A26106" w:rsidRPr="0004514B">
        <w:rPr>
          <w:lang w:val="en-GB"/>
        </w:rPr>
        <w:t xml:space="preserve"> (</w:t>
      </w:r>
      <w:r w:rsidR="00FD282D">
        <w:rPr>
          <w:lang w:val="en-GB"/>
        </w:rPr>
        <w:t>2690/</w:t>
      </w:r>
      <w:r w:rsidR="00A26106" w:rsidRPr="0004514B">
        <w:rPr>
          <w:lang w:val="en-GB"/>
        </w:rPr>
        <w:t>201</w:t>
      </w:r>
      <w:r w:rsidR="00FD282D">
        <w:rPr>
          <w:lang w:val="en-GB"/>
        </w:rPr>
        <w:t>5</w:t>
      </w:r>
      <w:r w:rsidR="00A26106" w:rsidRPr="0004514B">
        <w:rPr>
          <w:lang w:val="en-GB"/>
        </w:rPr>
        <w:t>)</w:t>
      </w:r>
      <w:r w:rsidR="00366F59" w:rsidRPr="0004514B">
        <w:rPr>
          <w:lang w:val="en-GB"/>
        </w:rPr>
        <w:t xml:space="preserve"> </w:t>
      </w:r>
      <w:r w:rsidRPr="0004514B">
        <w:rPr>
          <w:lang w:val="en-GB"/>
        </w:rPr>
        <w:t>(initial submission</w:t>
      </w:r>
      <w:r w:rsidR="00145510">
        <w:rPr>
          <w:lang w:val="en-GB"/>
        </w:rPr>
        <w:t>s</w:t>
      </w:r>
      <w:r w:rsidRPr="0004514B">
        <w:rPr>
          <w:lang w:val="en-GB"/>
        </w:rPr>
        <w:t>)</w:t>
      </w:r>
    </w:p>
    <w:p w:rsidR="00990482" w:rsidRPr="0004514B" w:rsidRDefault="00990482" w:rsidP="00907E7B">
      <w:pPr>
        <w:pStyle w:val="SingleTxtG"/>
        <w:spacing w:line="220" w:lineRule="atLeast"/>
        <w:ind w:left="3969" w:hanging="2835"/>
        <w:rPr>
          <w:lang w:val="en-GB"/>
        </w:rPr>
      </w:pPr>
      <w:r w:rsidRPr="0004514B">
        <w:rPr>
          <w:i/>
          <w:lang w:val="en-GB"/>
        </w:rPr>
        <w:t>Document references</w:t>
      </w:r>
      <w:r w:rsidRPr="00D30DE3">
        <w:rPr>
          <w:lang w:val="en-GB"/>
        </w:rPr>
        <w:t>:</w:t>
      </w:r>
      <w:r w:rsidRPr="0004514B">
        <w:rPr>
          <w:lang w:val="en-GB"/>
        </w:rPr>
        <w:tab/>
      </w:r>
      <w:r w:rsidR="00D57E94" w:rsidRPr="0004514B">
        <w:rPr>
          <w:lang w:val="en-GB"/>
        </w:rPr>
        <w:t>Decision taken pursuant to rule</w:t>
      </w:r>
      <w:r w:rsidR="002A4EA6">
        <w:rPr>
          <w:lang w:val="en-GB"/>
        </w:rPr>
        <w:t xml:space="preserve"> 92 and</w:t>
      </w:r>
      <w:r w:rsidR="00D57E94" w:rsidRPr="0004514B">
        <w:rPr>
          <w:lang w:val="en-GB"/>
        </w:rPr>
        <w:t xml:space="preserve"> 97 of the Committee’s rules of procedure, transmitted to the State party on </w:t>
      </w:r>
      <w:r w:rsidR="002A4EA6">
        <w:rPr>
          <w:lang w:val="en-GB"/>
        </w:rPr>
        <w:t>9 April</w:t>
      </w:r>
      <w:r w:rsidR="00A26106" w:rsidRPr="0004514B">
        <w:rPr>
          <w:lang w:val="en-GB"/>
        </w:rPr>
        <w:t xml:space="preserve"> 201</w:t>
      </w:r>
      <w:r w:rsidR="002A4EA6">
        <w:rPr>
          <w:lang w:val="en-GB"/>
        </w:rPr>
        <w:t>4</w:t>
      </w:r>
      <w:r w:rsidR="00A26106" w:rsidRPr="0004514B">
        <w:rPr>
          <w:lang w:val="en-GB"/>
        </w:rPr>
        <w:t xml:space="preserve"> (</w:t>
      </w:r>
      <w:r w:rsidR="00FD282D">
        <w:rPr>
          <w:lang w:val="en-GB"/>
        </w:rPr>
        <w:t>2375</w:t>
      </w:r>
      <w:r w:rsidR="00A26106" w:rsidRPr="0004514B">
        <w:rPr>
          <w:lang w:val="en-GB"/>
        </w:rPr>
        <w:t>/201</w:t>
      </w:r>
      <w:r w:rsidR="00FD282D">
        <w:rPr>
          <w:lang w:val="en-GB"/>
        </w:rPr>
        <w:t>4</w:t>
      </w:r>
      <w:r w:rsidR="00A26106" w:rsidRPr="0004514B">
        <w:rPr>
          <w:lang w:val="en-GB"/>
        </w:rPr>
        <w:t xml:space="preserve">) and </w:t>
      </w:r>
      <w:r w:rsidR="002A4EA6">
        <w:rPr>
          <w:lang w:val="en-GB"/>
        </w:rPr>
        <w:t>pursuant to rule 97 of the rules of procedure on 27</w:t>
      </w:r>
      <w:r w:rsidR="00A26106" w:rsidRPr="0004514B">
        <w:rPr>
          <w:lang w:val="en-GB"/>
        </w:rPr>
        <w:t xml:space="preserve"> November 201</w:t>
      </w:r>
      <w:r w:rsidR="002A4EA6">
        <w:rPr>
          <w:lang w:val="en-GB"/>
        </w:rPr>
        <w:t>5</w:t>
      </w:r>
      <w:r w:rsidR="00A26106" w:rsidRPr="0004514B">
        <w:rPr>
          <w:lang w:val="en-GB"/>
        </w:rPr>
        <w:t xml:space="preserve"> (2</w:t>
      </w:r>
      <w:r w:rsidR="00FD282D">
        <w:rPr>
          <w:lang w:val="en-GB"/>
        </w:rPr>
        <w:t>690/2015</w:t>
      </w:r>
      <w:r w:rsidR="00A26106" w:rsidRPr="0004514B">
        <w:rPr>
          <w:lang w:val="en-GB"/>
        </w:rPr>
        <w:t>)</w:t>
      </w:r>
      <w:r w:rsidR="00D20C52" w:rsidRPr="0004514B">
        <w:rPr>
          <w:lang w:val="en-GB"/>
        </w:rPr>
        <w:t xml:space="preserve"> </w:t>
      </w:r>
      <w:r w:rsidR="00D57E94" w:rsidRPr="0004514B">
        <w:rPr>
          <w:lang w:val="en-GB"/>
        </w:rPr>
        <w:t>(not issued in document form)</w:t>
      </w:r>
    </w:p>
    <w:p w:rsidR="006F3851" w:rsidRPr="0004514B" w:rsidRDefault="00990482" w:rsidP="00907E7B">
      <w:pPr>
        <w:pStyle w:val="SingleTxtG"/>
        <w:spacing w:line="220" w:lineRule="atLeast"/>
        <w:ind w:left="3969" w:hanging="2835"/>
        <w:jc w:val="left"/>
      </w:pPr>
      <w:r w:rsidRPr="0004514B">
        <w:rPr>
          <w:i/>
          <w:lang w:val="en-GB"/>
        </w:rPr>
        <w:lastRenderedPageBreak/>
        <w:t xml:space="preserve">Date of adoption of </w:t>
      </w:r>
      <w:r w:rsidR="006F3851" w:rsidRPr="0004514B">
        <w:rPr>
          <w:i/>
          <w:lang w:val="en-GB"/>
        </w:rPr>
        <w:t>V</w:t>
      </w:r>
      <w:r w:rsidRPr="0004514B">
        <w:rPr>
          <w:i/>
          <w:lang w:val="en-GB"/>
        </w:rPr>
        <w:t>iews</w:t>
      </w:r>
      <w:r w:rsidRPr="00D30DE3">
        <w:rPr>
          <w:lang w:val="en-GB"/>
        </w:rPr>
        <w:t>:</w:t>
      </w:r>
      <w:r w:rsidRPr="0004514B">
        <w:rPr>
          <w:lang w:val="en-GB"/>
        </w:rPr>
        <w:tab/>
      </w:r>
      <w:r w:rsidR="00BF648D">
        <w:rPr>
          <w:lang w:val="en-GB"/>
        </w:rPr>
        <w:t>12</w:t>
      </w:r>
      <w:r w:rsidR="00A40B93" w:rsidRPr="0004514B">
        <w:rPr>
          <w:lang w:val="en-GB"/>
        </w:rPr>
        <w:t xml:space="preserve"> </w:t>
      </w:r>
      <w:r w:rsidR="002A4EA6">
        <w:rPr>
          <w:lang w:val="en-GB"/>
        </w:rPr>
        <w:t>July</w:t>
      </w:r>
      <w:r w:rsidR="00666BDB" w:rsidRPr="0004514B">
        <w:rPr>
          <w:lang w:val="en-GB"/>
        </w:rPr>
        <w:t xml:space="preserve"> 2018</w:t>
      </w:r>
    </w:p>
    <w:p w:rsidR="002A4EA6" w:rsidRPr="00B12E1C" w:rsidRDefault="002A4EA6" w:rsidP="00907E7B">
      <w:pPr>
        <w:pStyle w:val="SingleTxtG"/>
        <w:spacing w:line="220" w:lineRule="atLeast"/>
        <w:ind w:left="3969" w:hanging="2835"/>
      </w:pPr>
      <w:r w:rsidRPr="00B12E1C">
        <w:rPr>
          <w:i/>
          <w:iCs/>
        </w:rPr>
        <w:t>Subject matter</w:t>
      </w:r>
      <w:r w:rsidRPr="00D30DE3">
        <w:rPr>
          <w:iCs/>
        </w:rPr>
        <w:t>:</w:t>
      </w:r>
      <w:r w:rsidRPr="00B12E1C">
        <w:tab/>
      </w:r>
      <w:r>
        <w:t>I</w:t>
      </w:r>
      <w:r w:rsidRPr="00B12E1C">
        <w:t>mposition of a death sentence after unfair trial</w:t>
      </w:r>
      <w:r>
        <w:t>, based on c</w:t>
      </w:r>
      <w:r w:rsidR="00100142">
        <w:t xml:space="preserve">onfessions obtained without presence of a lawyer </w:t>
      </w:r>
      <w:r>
        <w:t xml:space="preserve"> </w:t>
      </w:r>
    </w:p>
    <w:p w:rsidR="002A4EA6" w:rsidRPr="00145510" w:rsidRDefault="002A4EA6" w:rsidP="00907E7B">
      <w:pPr>
        <w:pStyle w:val="SingleTxtG"/>
        <w:spacing w:line="220" w:lineRule="atLeast"/>
        <w:ind w:left="3969" w:hanging="2835"/>
        <w:rPr>
          <w:iCs/>
          <w:lang w:val="en-US"/>
        </w:rPr>
      </w:pPr>
      <w:r w:rsidRPr="00B12E1C">
        <w:rPr>
          <w:i/>
          <w:iCs/>
        </w:rPr>
        <w:t>Procedural issues</w:t>
      </w:r>
      <w:r w:rsidRPr="00D30DE3">
        <w:rPr>
          <w:iCs/>
        </w:rPr>
        <w:t xml:space="preserve">: </w:t>
      </w:r>
      <w:r w:rsidRPr="00B12E1C">
        <w:rPr>
          <w:i/>
          <w:iCs/>
        </w:rPr>
        <w:tab/>
      </w:r>
      <w:r w:rsidRPr="00B12E1C">
        <w:rPr>
          <w:iCs/>
        </w:rPr>
        <w:t xml:space="preserve">Failure of the State party to cooperate, non-respect of the Committee’s request for interim measures, </w:t>
      </w:r>
      <w:r w:rsidR="00145510">
        <w:rPr>
          <w:iCs/>
          <w:lang w:val="en-US"/>
        </w:rPr>
        <w:t>non-exhaustion of domestic remedies</w:t>
      </w:r>
    </w:p>
    <w:p w:rsidR="002A4EA6" w:rsidRDefault="002A4EA6" w:rsidP="00907E7B">
      <w:pPr>
        <w:pStyle w:val="SingleTxtG"/>
        <w:spacing w:line="220" w:lineRule="atLeast"/>
        <w:ind w:left="3969" w:hanging="2835"/>
        <w:rPr>
          <w:iCs/>
        </w:rPr>
      </w:pPr>
      <w:r w:rsidRPr="00B12E1C">
        <w:rPr>
          <w:i/>
          <w:iCs/>
        </w:rPr>
        <w:t>Substantive issues</w:t>
      </w:r>
      <w:r w:rsidRPr="00D30DE3">
        <w:rPr>
          <w:iCs/>
        </w:rPr>
        <w:t>:</w:t>
      </w:r>
      <w:r w:rsidRPr="00B12E1C">
        <w:rPr>
          <w:i/>
          <w:iCs/>
        </w:rPr>
        <w:t xml:space="preserve"> </w:t>
      </w:r>
      <w:r w:rsidRPr="00B12E1C">
        <w:rPr>
          <w:i/>
          <w:iCs/>
        </w:rPr>
        <w:tab/>
      </w:r>
      <w:r w:rsidRPr="00EE621C">
        <w:rPr>
          <w:iCs/>
        </w:rPr>
        <w:t>A</w:t>
      </w:r>
      <w:r w:rsidRPr="00E43F6E">
        <w:rPr>
          <w:iCs/>
        </w:rPr>
        <w:t>r</w:t>
      </w:r>
      <w:r w:rsidRPr="00B12E1C">
        <w:rPr>
          <w:iCs/>
        </w:rPr>
        <w:t>bitrary deprivation of life</w:t>
      </w:r>
      <w:r>
        <w:rPr>
          <w:iCs/>
        </w:rPr>
        <w:t>; habeas corpus</w:t>
      </w:r>
      <w:r w:rsidRPr="00B12E1C">
        <w:rPr>
          <w:iCs/>
        </w:rPr>
        <w:t>; right to a fair hearing by an independent and impartial tribunal;</w:t>
      </w:r>
      <w:r w:rsidR="00123EFE">
        <w:rPr>
          <w:iCs/>
        </w:rPr>
        <w:t xml:space="preserve"> right to be presumed innocent</w:t>
      </w:r>
    </w:p>
    <w:p w:rsidR="002A4EA6" w:rsidRPr="00123EFE" w:rsidRDefault="002A4EA6" w:rsidP="00907E7B">
      <w:pPr>
        <w:pStyle w:val="SingleTxtG"/>
        <w:spacing w:line="220" w:lineRule="atLeast"/>
        <w:ind w:left="3969" w:hanging="2835"/>
        <w:rPr>
          <w:lang w:val="en-US"/>
        </w:rPr>
      </w:pPr>
      <w:r w:rsidRPr="00B12E1C">
        <w:rPr>
          <w:i/>
          <w:iCs/>
        </w:rPr>
        <w:t>Articles of the Covenant</w:t>
      </w:r>
      <w:r w:rsidRPr="00D30DE3">
        <w:rPr>
          <w:iCs/>
        </w:rPr>
        <w:t>:</w:t>
      </w:r>
      <w:r w:rsidRPr="00B12E1C">
        <w:t xml:space="preserve"> </w:t>
      </w:r>
      <w:r w:rsidRPr="00B12E1C">
        <w:tab/>
      </w:r>
      <w:r w:rsidR="00145510">
        <w:rPr>
          <w:lang w:val="en-US"/>
        </w:rPr>
        <w:t xml:space="preserve">2(2), </w:t>
      </w:r>
      <w:r w:rsidRPr="00B12E1C">
        <w:t>6</w:t>
      </w:r>
      <w:r>
        <w:t>(</w:t>
      </w:r>
      <w:r w:rsidRPr="00B12E1C">
        <w:t>1</w:t>
      </w:r>
      <w:r w:rsidR="00123EFE">
        <w:rPr>
          <w:lang w:val="en-US"/>
        </w:rPr>
        <w:t>) and (</w:t>
      </w:r>
      <w:r w:rsidRPr="00B12E1C">
        <w:t>2</w:t>
      </w:r>
      <w:r>
        <w:t>)</w:t>
      </w:r>
      <w:r w:rsidR="00123EFE">
        <w:t>; 7; 9</w:t>
      </w:r>
      <w:r>
        <w:t>(</w:t>
      </w:r>
      <w:r w:rsidRPr="00B12E1C">
        <w:t>1</w:t>
      </w:r>
      <w:r w:rsidR="00123EFE">
        <w:rPr>
          <w:lang w:val="en-US"/>
        </w:rPr>
        <w:t>) and (3</w:t>
      </w:r>
      <w:r>
        <w:t>)</w:t>
      </w:r>
      <w:r w:rsidRPr="00B12E1C">
        <w:t>; 14</w:t>
      </w:r>
      <w:r>
        <w:t>(</w:t>
      </w:r>
      <w:r w:rsidRPr="00B12E1C">
        <w:t>1</w:t>
      </w:r>
      <w:r w:rsidR="00123EFE">
        <w:rPr>
          <w:lang w:val="en-US"/>
        </w:rPr>
        <w:t>)</w:t>
      </w:r>
      <w:r>
        <w:t xml:space="preserve">, </w:t>
      </w:r>
      <w:r w:rsidR="00123EFE">
        <w:rPr>
          <w:lang w:val="en-US"/>
        </w:rPr>
        <w:t>(</w:t>
      </w:r>
      <w:r w:rsidRPr="00B12E1C">
        <w:t>2</w:t>
      </w:r>
      <w:r w:rsidR="00123EFE">
        <w:rPr>
          <w:lang w:val="en-US"/>
        </w:rPr>
        <w:t>)</w:t>
      </w:r>
      <w:r w:rsidR="00123EFE">
        <w:t>,</w:t>
      </w:r>
      <w:r w:rsidRPr="00B12E1C">
        <w:t xml:space="preserve"> </w:t>
      </w:r>
      <w:r w:rsidR="00123EFE">
        <w:rPr>
          <w:lang w:val="en-US"/>
        </w:rPr>
        <w:t>(</w:t>
      </w:r>
      <w:r w:rsidRPr="00B12E1C">
        <w:t>3</w:t>
      </w:r>
      <w:r w:rsidR="00123EFE">
        <w:rPr>
          <w:lang w:val="en-US"/>
        </w:rPr>
        <w:t>)</w:t>
      </w:r>
      <w:r w:rsidR="00123EFE">
        <w:t>(b)</w:t>
      </w:r>
    </w:p>
    <w:p w:rsidR="002A4EA6" w:rsidRDefault="002A4EA6" w:rsidP="00907E7B">
      <w:pPr>
        <w:pStyle w:val="SingleTxtG"/>
        <w:spacing w:after="240" w:line="220" w:lineRule="atLeast"/>
        <w:ind w:left="3969" w:hanging="2835"/>
        <w:jc w:val="left"/>
        <w:rPr>
          <w:iCs/>
        </w:rPr>
      </w:pPr>
      <w:r w:rsidRPr="00B12E1C">
        <w:rPr>
          <w:i/>
          <w:iCs/>
        </w:rPr>
        <w:t>Articles of the Optional Protocol</w:t>
      </w:r>
      <w:r w:rsidRPr="00D30DE3">
        <w:rPr>
          <w:iCs/>
        </w:rPr>
        <w:t>:</w:t>
      </w:r>
      <w:r w:rsidRPr="00B12E1C">
        <w:rPr>
          <w:i/>
          <w:iCs/>
        </w:rPr>
        <w:tab/>
      </w:r>
      <w:r w:rsidRPr="00FE3889">
        <w:rPr>
          <w:iCs/>
        </w:rPr>
        <w:t>1</w:t>
      </w:r>
      <w:r w:rsidR="00145510">
        <w:rPr>
          <w:iCs/>
        </w:rPr>
        <w:t>, 2, 5(2)</w:t>
      </w:r>
      <w:r w:rsidR="00867FA8" w:rsidRPr="006E1196">
        <w:rPr>
          <w:iCs/>
          <w:lang w:val="en-GB"/>
        </w:rPr>
        <w:t xml:space="preserve"> </w:t>
      </w:r>
      <w:r w:rsidR="00145510">
        <w:rPr>
          <w:iCs/>
        </w:rPr>
        <w:t>(b)</w:t>
      </w:r>
    </w:p>
    <w:p w:rsidR="00507237" w:rsidRPr="0004514B" w:rsidRDefault="002A4EA6" w:rsidP="002A4EA6">
      <w:pPr>
        <w:pStyle w:val="SingleTxtG"/>
        <w:spacing w:line="240" w:lineRule="auto"/>
      </w:pPr>
      <w:r>
        <w:rPr>
          <w:lang w:val="en-US"/>
        </w:rPr>
        <w:t>1.1</w:t>
      </w:r>
      <w:r>
        <w:rPr>
          <w:lang w:val="en-US"/>
        </w:rPr>
        <w:tab/>
      </w:r>
      <w:r w:rsidR="00507237" w:rsidRPr="0004514B">
        <w:t>The author</w:t>
      </w:r>
      <w:r>
        <w:rPr>
          <w:lang w:val="en-US"/>
        </w:rPr>
        <w:t>s</w:t>
      </w:r>
      <w:r w:rsidR="00507237" w:rsidRPr="0004514B">
        <w:t xml:space="preserve"> of the communications </w:t>
      </w:r>
      <w:r>
        <w:rPr>
          <w:lang w:val="en-US"/>
        </w:rPr>
        <w:t xml:space="preserve">are </w:t>
      </w:r>
      <w:proofErr w:type="spellStart"/>
      <w:r>
        <w:rPr>
          <w:lang w:val="en-US"/>
        </w:rPr>
        <w:t>Aleksandr</w:t>
      </w:r>
      <w:proofErr w:type="spellEnd"/>
      <w:r>
        <w:rPr>
          <w:lang w:val="en-US"/>
        </w:rPr>
        <w:t xml:space="preserve"> </w:t>
      </w:r>
      <w:proofErr w:type="spellStart"/>
      <w:r>
        <w:rPr>
          <w:lang w:val="en-US"/>
        </w:rPr>
        <w:t>Grunov</w:t>
      </w:r>
      <w:proofErr w:type="spellEnd"/>
      <w:r w:rsidR="006A0475" w:rsidRPr="0004514B">
        <w:rPr>
          <w:lang w:val="en-GB"/>
        </w:rPr>
        <w:t xml:space="preserve">, </w:t>
      </w:r>
      <w:r w:rsidR="00507237" w:rsidRPr="0004514B">
        <w:t xml:space="preserve">born </w:t>
      </w:r>
      <w:r w:rsidR="00B519CA">
        <w:rPr>
          <w:lang w:val="en-US"/>
        </w:rPr>
        <w:t>in</w:t>
      </w:r>
      <w:r w:rsidR="00507237" w:rsidRPr="0004514B">
        <w:t xml:space="preserve"> 1967</w:t>
      </w:r>
      <w:r>
        <w:rPr>
          <w:lang w:val="en-US"/>
        </w:rPr>
        <w:t xml:space="preserve"> </w:t>
      </w:r>
      <w:r w:rsidR="00B519CA">
        <w:rPr>
          <w:lang w:val="en-US"/>
        </w:rPr>
        <w:t>(</w:t>
      </w:r>
      <w:r>
        <w:rPr>
          <w:lang w:val="en-US"/>
        </w:rPr>
        <w:t xml:space="preserve">deceased) and his mother, Olga </w:t>
      </w:r>
      <w:proofErr w:type="spellStart"/>
      <w:r>
        <w:rPr>
          <w:lang w:val="en-US"/>
        </w:rPr>
        <w:t>Grunova</w:t>
      </w:r>
      <w:proofErr w:type="spellEnd"/>
      <w:r w:rsidR="00602671">
        <w:rPr>
          <w:lang w:val="en-US"/>
        </w:rPr>
        <w:t>,</w:t>
      </w:r>
      <w:r>
        <w:rPr>
          <w:lang w:val="en-US"/>
        </w:rPr>
        <w:t xml:space="preserve"> born in 1947</w:t>
      </w:r>
      <w:r w:rsidR="00507237" w:rsidRPr="0004514B">
        <w:t xml:space="preserve">. </w:t>
      </w:r>
      <w:r w:rsidR="007F3581">
        <w:rPr>
          <w:lang w:val="en-US"/>
        </w:rPr>
        <w:t>The author</w:t>
      </w:r>
      <w:r w:rsidR="00350088">
        <w:rPr>
          <w:lang w:val="en-US"/>
        </w:rPr>
        <w:t>s</w:t>
      </w:r>
      <w:r w:rsidR="007F3581">
        <w:rPr>
          <w:lang w:val="en-US"/>
        </w:rPr>
        <w:t xml:space="preserve"> contend that the State party violated their rights under articles 6(1) and (2), 7, 9(1) and (3), 14(1), (2), and (3)(b) (for </w:t>
      </w:r>
      <w:proofErr w:type="spellStart"/>
      <w:r w:rsidR="007F3581">
        <w:rPr>
          <w:lang w:val="en-US"/>
        </w:rPr>
        <w:t>Aleksandr</w:t>
      </w:r>
      <w:proofErr w:type="spellEnd"/>
      <w:r w:rsidR="007F3581">
        <w:rPr>
          <w:lang w:val="en-US"/>
        </w:rPr>
        <w:t xml:space="preserve"> </w:t>
      </w:r>
      <w:proofErr w:type="spellStart"/>
      <w:r w:rsidR="007F3581">
        <w:rPr>
          <w:lang w:val="en-US"/>
        </w:rPr>
        <w:t>Grunov</w:t>
      </w:r>
      <w:proofErr w:type="spellEnd"/>
      <w:r w:rsidR="007F3581">
        <w:rPr>
          <w:lang w:val="en-US"/>
        </w:rPr>
        <w:t xml:space="preserve">), and articles 7 and 14(1), read in conjunction with article 2(2) (for Olga </w:t>
      </w:r>
      <w:proofErr w:type="spellStart"/>
      <w:r w:rsidR="007F3581">
        <w:rPr>
          <w:lang w:val="en-US"/>
        </w:rPr>
        <w:t>Grunova</w:t>
      </w:r>
      <w:proofErr w:type="spellEnd"/>
      <w:r w:rsidR="007F3581">
        <w:rPr>
          <w:lang w:val="en-US"/>
        </w:rPr>
        <w:t xml:space="preserve">) </w:t>
      </w:r>
      <w:r w:rsidR="00350088">
        <w:rPr>
          <w:lang w:val="en-US"/>
        </w:rPr>
        <w:t xml:space="preserve">of </w:t>
      </w:r>
      <w:r w:rsidR="00507237" w:rsidRPr="0004514B">
        <w:t>the International Covenant on Civil and Political Rights</w:t>
      </w:r>
      <w:r w:rsidR="00350088">
        <w:rPr>
          <w:lang w:val="en-US"/>
        </w:rPr>
        <w:t>.</w:t>
      </w:r>
      <w:r w:rsidRPr="002A4EA6">
        <w:t xml:space="preserve"> </w:t>
      </w:r>
      <w:r>
        <w:t>The Optional Protocol entered into force for the State party on 30 December 1992.</w:t>
      </w:r>
      <w:r w:rsidR="00036EDE" w:rsidRPr="0004514B">
        <w:t xml:space="preserve">  The author</w:t>
      </w:r>
      <w:r w:rsidR="00B519CA">
        <w:rPr>
          <w:lang w:val="en-US"/>
        </w:rPr>
        <w:t>s</w:t>
      </w:r>
      <w:r w:rsidR="00036EDE" w:rsidRPr="0004514B">
        <w:t xml:space="preserve"> </w:t>
      </w:r>
      <w:r w:rsidR="00B519CA">
        <w:rPr>
          <w:lang w:val="en-US"/>
        </w:rPr>
        <w:t>are</w:t>
      </w:r>
      <w:r w:rsidR="00036EDE" w:rsidRPr="0004514B">
        <w:t xml:space="preserve"> represented by counsel.</w:t>
      </w:r>
    </w:p>
    <w:p w:rsidR="007F3581" w:rsidRDefault="00D30DE3" w:rsidP="007F3581">
      <w:pPr>
        <w:pStyle w:val="SingleTxtG"/>
      </w:pPr>
      <w:r>
        <w:t>1.2</w:t>
      </w:r>
      <w:r w:rsidR="00507237" w:rsidRPr="0004514B">
        <w:tab/>
        <w:t xml:space="preserve">On </w:t>
      </w:r>
      <w:r w:rsidR="002A4EA6">
        <w:rPr>
          <w:lang w:val="en-US"/>
        </w:rPr>
        <w:t>9 April 2014</w:t>
      </w:r>
      <w:r w:rsidR="00507237" w:rsidRPr="0004514B">
        <w:t>, the Committee, acting through its Special Rapporteur on New Communications and Interim Measures, decided to grant interim me</w:t>
      </w:r>
      <w:r w:rsidR="002A4EA6">
        <w:t xml:space="preserve">asures under </w:t>
      </w:r>
      <w:r w:rsidR="001E74E9">
        <w:rPr>
          <w:lang w:val="en-US"/>
        </w:rPr>
        <w:t>rule</w:t>
      </w:r>
      <w:r w:rsidR="002A4EA6">
        <w:t xml:space="preserve"> 92 of its r</w:t>
      </w:r>
      <w:r w:rsidR="00507237" w:rsidRPr="0004514B">
        <w:t>ule</w:t>
      </w:r>
      <w:r w:rsidR="001E74E9">
        <w:rPr>
          <w:lang w:val="en-US"/>
        </w:rPr>
        <w:t>s</w:t>
      </w:r>
      <w:r w:rsidR="00507237" w:rsidRPr="0004514B">
        <w:t xml:space="preserve"> of </w:t>
      </w:r>
      <w:r w:rsidR="007F3581" w:rsidRPr="0004514B">
        <w:t>procedure</w:t>
      </w:r>
      <w:r w:rsidR="00507237" w:rsidRPr="0004514B">
        <w:t xml:space="preserve"> within communication No. </w:t>
      </w:r>
      <w:proofErr w:type="gramStart"/>
      <w:r w:rsidR="002A4EA6">
        <w:rPr>
          <w:lang w:val="en-US"/>
        </w:rPr>
        <w:t>2375</w:t>
      </w:r>
      <w:r w:rsidR="00507237" w:rsidRPr="0004514B">
        <w:t>/201</w:t>
      </w:r>
      <w:r w:rsidR="002A4EA6">
        <w:rPr>
          <w:lang w:val="en-US"/>
        </w:rPr>
        <w:t>4</w:t>
      </w:r>
      <w:proofErr w:type="gramEnd"/>
      <w:r w:rsidR="002A4EA6">
        <w:t xml:space="preserve"> and requested the State party not to carry out the death sentence of </w:t>
      </w:r>
      <w:proofErr w:type="spellStart"/>
      <w:r w:rsidR="007F3581">
        <w:rPr>
          <w:lang w:val="en-US"/>
        </w:rPr>
        <w:t>Aleksandr</w:t>
      </w:r>
      <w:proofErr w:type="spellEnd"/>
      <w:r w:rsidR="007F3581">
        <w:rPr>
          <w:lang w:val="en-US"/>
        </w:rPr>
        <w:t xml:space="preserve"> </w:t>
      </w:r>
      <w:proofErr w:type="spellStart"/>
      <w:r w:rsidR="007F3581">
        <w:rPr>
          <w:lang w:val="en-US"/>
        </w:rPr>
        <w:t>Grunov</w:t>
      </w:r>
      <w:proofErr w:type="spellEnd"/>
      <w:r w:rsidR="002A4EA6">
        <w:t xml:space="preserve"> while his case was under examination by the Committee.</w:t>
      </w:r>
      <w:r w:rsidR="007F3581">
        <w:rPr>
          <w:lang w:val="en-US"/>
        </w:rPr>
        <w:t xml:space="preserve"> On 13 November 2014, </w:t>
      </w:r>
      <w:r w:rsidR="007F3581">
        <w:t xml:space="preserve">the Committee received information from counsel to the effect that </w:t>
      </w:r>
      <w:r w:rsidR="009730A5">
        <w:rPr>
          <w:lang w:val="en-US"/>
        </w:rPr>
        <w:t xml:space="preserve">Mr. </w:t>
      </w:r>
      <w:proofErr w:type="spellStart"/>
      <w:r w:rsidR="009730A5">
        <w:rPr>
          <w:lang w:val="en-US"/>
        </w:rPr>
        <w:t>Grunov’s</w:t>
      </w:r>
      <w:proofErr w:type="spellEnd"/>
      <w:r w:rsidR="007F3581">
        <w:t xml:space="preserve"> death sentence had been carried out on </w:t>
      </w:r>
      <w:r w:rsidR="007F3581">
        <w:rPr>
          <w:lang w:val="en-US"/>
        </w:rPr>
        <w:t>22 October 2014</w:t>
      </w:r>
      <w:r w:rsidR="007F3581">
        <w:t>.</w:t>
      </w:r>
      <w:r w:rsidR="007F3581">
        <w:rPr>
          <w:rStyle w:val="FootnoteReference"/>
        </w:rPr>
        <w:footnoteReference w:id="4"/>
      </w:r>
    </w:p>
    <w:p w:rsidR="00507237" w:rsidRPr="0004514B" w:rsidRDefault="00D30DE3" w:rsidP="002A4EA6">
      <w:pPr>
        <w:pStyle w:val="SingleTxtG"/>
        <w:spacing w:line="240" w:lineRule="auto"/>
      </w:pPr>
      <w:r>
        <w:t>1.3</w:t>
      </w:r>
      <w:r w:rsidR="00507237" w:rsidRPr="0004514B">
        <w:tab/>
        <w:t xml:space="preserve">On </w:t>
      </w:r>
      <w:r w:rsidR="003D3D58">
        <w:rPr>
          <w:lang w:val="en-US"/>
        </w:rPr>
        <w:t>12</w:t>
      </w:r>
      <w:r w:rsidR="00507237" w:rsidRPr="0004514B">
        <w:t xml:space="preserve"> </w:t>
      </w:r>
      <w:r w:rsidR="002A4EA6">
        <w:rPr>
          <w:lang w:val="en-US"/>
        </w:rPr>
        <w:t>July</w:t>
      </w:r>
      <w:r w:rsidR="00507237" w:rsidRPr="0004514B">
        <w:t xml:space="preserve"> 2018, pursuant to rule 94, paragraph 2, of the Committee’s rules of procedure, the Committee decided to join communications No. </w:t>
      </w:r>
      <w:proofErr w:type="gramStart"/>
      <w:r w:rsidR="002A4EA6">
        <w:rPr>
          <w:lang w:val="en-US"/>
        </w:rPr>
        <w:t>2375</w:t>
      </w:r>
      <w:r w:rsidR="00507237" w:rsidRPr="0004514B">
        <w:t>/201</w:t>
      </w:r>
      <w:r w:rsidR="002A4EA6">
        <w:rPr>
          <w:lang w:val="en-US"/>
        </w:rPr>
        <w:t>4</w:t>
      </w:r>
      <w:proofErr w:type="gramEnd"/>
      <w:r w:rsidR="00507237" w:rsidRPr="0004514B">
        <w:t xml:space="preserve"> and </w:t>
      </w:r>
      <w:r w:rsidR="002A4EA6">
        <w:rPr>
          <w:lang w:val="en-US"/>
        </w:rPr>
        <w:t>2690</w:t>
      </w:r>
      <w:r w:rsidR="00507237" w:rsidRPr="0004514B">
        <w:t>/201</w:t>
      </w:r>
      <w:r w:rsidR="002A4EA6">
        <w:rPr>
          <w:lang w:val="en-US"/>
        </w:rPr>
        <w:t>5</w:t>
      </w:r>
      <w:r w:rsidR="00507237" w:rsidRPr="0004514B">
        <w:t>, submitted by the author</w:t>
      </w:r>
      <w:r w:rsidR="009730A5">
        <w:rPr>
          <w:lang w:val="en-US"/>
        </w:rPr>
        <w:t>s</w:t>
      </w:r>
      <w:r w:rsidR="00507237" w:rsidRPr="0004514B">
        <w:t>, for decision</w:t>
      </w:r>
      <w:r w:rsidR="006A0475" w:rsidRPr="0004514B">
        <w:rPr>
          <w:lang w:val="en-GB"/>
        </w:rPr>
        <w:t>,</w:t>
      </w:r>
      <w:r w:rsidR="00507237" w:rsidRPr="0004514B">
        <w:t xml:space="preserve"> in view of substantial factual and legal similarity.</w:t>
      </w:r>
    </w:p>
    <w:p w:rsidR="00453EAA" w:rsidRPr="0004514B" w:rsidRDefault="002B49B5" w:rsidP="002B49B5">
      <w:pPr>
        <w:pStyle w:val="H23G"/>
        <w:rPr>
          <w:lang w:val="en-AU"/>
        </w:rPr>
      </w:pPr>
      <w:r>
        <w:rPr>
          <w:lang w:val="en-AU"/>
        </w:rPr>
        <w:tab/>
      </w:r>
      <w:r>
        <w:rPr>
          <w:lang w:val="en-AU"/>
        </w:rPr>
        <w:tab/>
      </w:r>
      <w:r w:rsidR="00507237" w:rsidRPr="0004514B">
        <w:rPr>
          <w:lang w:val="en-AU"/>
        </w:rPr>
        <w:t>The facts as submitted by the author</w:t>
      </w:r>
      <w:r w:rsidR="00DA536F">
        <w:rPr>
          <w:lang w:val="en-AU"/>
        </w:rPr>
        <w:t>s</w:t>
      </w:r>
      <w:r w:rsidR="00453EAA" w:rsidRPr="0004514B">
        <w:rPr>
          <w:lang w:val="en-AU"/>
        </w:rPr>
        <w:t xml:space="preserve"> </w:t>
      </w:r>
    </w:p>
    <w:p w:rsidR="00DA536F" w:rsidRDefault="002B49B5" w:rsidP="00DA536F">
      <w:pPr>
        <w:pStyle w:val="SingleTxtG"/>
        <w:spacing w:line="240" w:lineRule="auto"/>
      </w:pPr>
      <w:r>
        <w:t>2.1</w:t>
      </w:r>
      <w:r>
        <w:tab/>
      </w:r>
      <w:r w:rsidR="00DA536F">
        <w:t>On 20 September 2012, the police found a body of a young woman in the</w:t>
      </w:r>
      <w:r w:rsidR="00B519CA">
        <w:rPr>
          <w:lang w:val="en-US"/>
        </w:rPr>
        <w:t xml:space="preserve"> city of</w:t>
      </w:r>
      <w:r w:rsidR="00DA536F">
        <w:t xml:space="preserve"> Gomel. On the same day, </w:t>
      </w:r>
      <w:proofErr w:type="spellStart"/>
      <w:r w:rsidR="00DA536F">
        <w:rPr>
          <w:lang w:val="en-US"/>
        </w:rPr>
        <w:t>Aleksandr</w:t>
      </w:r>
      <w:proofErr w:type="spellEnd"/>
      <w:r w:rsidR="00DA536F">
        <w:rPr>
          <w:lang w:val="en-US"/>
        </w:rPr>
        <w:t xml:space="preserve"> </w:t>
      </w:r>
      <w:proofErr w:type="spellStart"/>
      <w:r w:rsidR="00DA536F">
        <w:rPr>
          <w:lang w:val="en-US"/>
        </w:rPr>
        <w:t>Grunov</w:t>
      </w:r>
      <w:proofErr w:type="spellEnd"/>
      <w:r w:rsidR="00DA536F">
        <w:t xml:space="preserve"> was arrested, brought to a police station</w:t>
      </w:r>
      <w:r w:rsidR="00145510">
        <w:rPr>
          <w:lang w:val="en-US"/>
        </w:rPr>
        <w:t xml:space="preserve"> in Gomel</w:t>
      </w:r>
      <w:r w:rsidR="00DA536F">
        <w:t xml:space="preserve"> and interrogated </w:t>
      </w:r>
      <w:r w:rsidR="00B519CA">
        <w:rPr>
          <w:lang w:val="en-US"/>
        </w:rPr>
        <w:t>regarding this incident which was classified as murder</w:t>
      </w:r>
      <w:r w:rsidR="00DA536F">
        <w:t xml:space="preserve">. </w:t>
      </w:r>
      <w:r w:rsidR="00145510">
        <w:rPr>
          <w:lang w:val="en-US"/>
        </w:rPr>
        <w:t>Initially, t</w:t>
      </w:r>
      <w:r w:rsidR="00DA536F">
        <w:t xml:space="preserve">he police did not explain the reason for </w:t>
      </w:r>
      <w:r w:rsidR="00145510">
        <w:rPr>
          <w:lang w:val="en-US"/>
        </w:rPr>
        <w:t xml:space="preserve">Mr. </w:t>
      </w:r>
      <w:proofErr w:type="spellStart"/>
      <w:r w:rsidR="00145510">
        <w:rPr>
          <w:lang w:val="en-US"/>
        </w:rPr>
        <w:t>Grunov’s</w:t>
      </w:r>
      <w:proofErr w:type="spellEnd"/>
      <w:r w:rsidR="00B519CA">
        <w:t xml:space="preserve"> arrest. </w:t>
      </w:r>
      <w:r w:rsidR="00145510">
        <w:rPr>
          <w:lang w:val="en-US"/>
        </w:rPr>
        <w:t>He</w:t>
      </w:r>
      <w:r w:rsidR="00B519CA">
        <w:t xml:space="preserve"> </w:t>
      </w:r>
      <w:proofErr w:type="gramStart"/>
      <w:r w:rsidR="00B519CA">
        <w:t>was interrogated</w:t>
      </w:r>
      <w:proofErr w:type="gramEnd"/>
      <w:r w:rsidR="00B519CA">
        <w:t xml:space="preserve"> without a lawyer being present, and </w:t>
      </w:r>
      <w:r w:rsidR="00DA536F">
        <w:t>was not informed about his procedural rights. A l</w:t>
      </w:r>
      <w:r w:rsidR="00B519CA">
        <w:t xml:space="preserve">awyer was provided to him only three or four hours </w:t>
      </w:r>
      <w:r w:rsidR="00DA536F">
        <w:t xml:space="preserve">following the beginning of his interrogation and only after </w:t>
      </w:r>
      <w:r w:rsidR="009730A5">
        <w:rPr>
          <w:lang w:val="en-US"/>
        </w:rPr>
        <w:t xml:space="preserve">Mr. </w:t>
      </w:r>
      <w:proofErr w:type="spellStart"/>
      <w:r w:rsidR="009730A5">
        <w:rPr>
          <w:lang w:val="en-US"/>
        </w:rPr>
        <w:t>Grunov</w:t>
      </w:r>
      <w:proofErr w:type="spellEnd"/>
      <w:r w:rsidR="009730A5">
        <w:rPr>
          <w:lang w:val="en-US"/>
        </w:rPr>
        <w:t xml:space="preserve"> </w:t>
      </w:r>
      <w:r w:rsidR="00DA536F">
        <w:t xml:space="preserve">had confessed </w:t>
      </w:r>
      <w:r w:rsidR="00B519CA">
        <w:rPr>
          <w:lang w:val="en-US"/>
        </w:rPr>
        <w:t xml:space="preserve">his </w:t>
      </w:r>
      <w:r w:rsidR="00DA536F">
        <w:t xml:space="preserve">guilt in the murder. On the same day, </w:t>
      </w:r>
      <w:r w:rsidR="00B519CA">
        <w:rPr>
          <w:lang w:val="en-US"/>
        </w:rPr>
        <w:t xml:space="preserve">Mr. </w:t>
      </w:r>
      <w:proofErr w:type="spellStart"/>
      <w:r w:rsidR="00B519CA">
        <w:rPr>
          <w:lang w:val="en-US"/>
        </w:rPr>
        <w:t>Grunov</w:t>
      </w:r>
      <w:proofErr w:type="spellEnd"/>
      <w:r w:rsidR="00DA536F">
        <w:t xml:space="preserve"> </w:t>
      </w:r>
      <w:proofErr w:type="gramStart"/>
      <w:r w:rsidR="00DA536F">
        <w:t>was detained</w:t>
      </w:r>
      <w:proofErr w:type="gramEnd"/>
      <w:r w:rsidR="00DA536F">
        <w:t xml:space="preserve"> in the temporary detention facility</w:t>
      </w:r>
      <w:r w:rsidR="00B519CA">
        <w:rPr>
          <w:lang w:val="en-US"/>
        </w:rPr>
        <w:t xml:space="preserve"> in Gomel</w:t>
      </w:r>
      <w:r w:rsidR="00DA536F">
        <w:t xml:space="preserve">. </w:t>
      </w:r>
    </w:p>
    <w:p w:rsidR="00DA536F" w:rsidRPr="008D79C2" w:rsidRDefault="00DA536F" w:rsidP="00DA536F">
      <w:pPr>
        <w:pStyle w:val="SingleTxtG"/>
        <w:spacing w:line="240" w:lineRule="auto"/>
        <w:rPr>
          <w:lang w:val="en-US"/>
        </w:rPr>
      </w:pPr>
      <w:r>
        <w:t>2.2</w:t>
      </w:r>
      <w:r>
        <w:tab/>
        <w:t xml:space="preserve">On 27 September 2012, the Prosecutor of the Gomel District informed </w:t>
      </w:r>
      <w:r w:rsidR="00B519CA">
        <w:rPr>
          <w:lang w:val="en-US"/>
        </w:rPr>
        <w:t xml:space="preserve">Mr. </w:t>
      </w:r>
      <w:proofErr w:type="spellStart"/>
      <w:r w:rsidR="00B519CA">
        <w:rPr>
          <w:lang w:val="en-US"/>
        </w:rPr>
        <w:t>Grunov</w:t>
      </w:r>
      <w:proofErr w:type="spellEnd"/>
      <w:r>
        <w:t xml:space="preserve"> about the charges</w:t>
      </w:r>
      <w:r w:rsidR="00B519CA">
        <w:rPr>
          <w:lang w:val="en-US"/>
        </w:rPr>
        <w:t xml:space="preserve"> against him</w:t>
      </w:r>
      <w:r>
        <w:t xml:space="preserve"> and </w:t>
      </w:r>
      <w:r w:rsidR="008D79C2">
        <w:rPr>
          <w:lang w:val="en-US"/>
        </w:rPr>
        <w:t xml:space="preserve">issued a decision to hold him in detention </w:t>
      </w:r>
      <w:r w:rsidR="00B519CA">
        <w:rPr>
          <w:lang w:val="en-US"/>
        </w:rPr>
        <w:t>pending trial</w:t>
      </w:r>
      <w:r>
        <w:t>.</w:t>
      </w:r>
      <w:r w:rsidR="008D79C2">
        <w:rPr>
          <w:lang w:val="en-US"/>
        </w:rPr>
        <w:t xml:space="preserve"> Mr. </w:t>
      </w:r>
      <w:proofErr w:type="spellStart"/>
      <w:r w:rsidR="008D79C2">
        <w:rPr>
          <w:lang w:val="en-US"/>
        </w:rPr>
        <w:t>Grunov</w:t>
      </w:r>
      <w:proofErr w:type="spellEnd"/>
      <w:r w:rsidR="008D79C2">
        <w:rPr>
          <w:lang w:val="en-US"/>
        </w:rPr>
        <w:t xml:space="preserve"> appeared before a judge only on 28 January 2013, more than four months after his initial arrest. </w:t>
      </w:r>
      <w:r>
        <w:t xml:space="preserve">On 14 June 2013, the Gomel Regional Court found </w:t>
      </w:r>
      <w:r w:rsidR="009730A5">
        <w:rPr>
          <w:lang w:val="en-US"/>
        </w:rPr>
        <w:t xml:space="preserve">Mr. </w:t>
      </w:r>
      <w:proofErr w:type="spellStart"/>
      <w:r w:rsidR="009730A5">
        <w:rPr>
          <w:lang w:val="en-US"/>
        </w:rPr>
        <w:t>Grunov</w:t>
      </w:r>
      <w:proofErr w:type="spellEnd"/>
      <w:r>
        <w:t xml:space="preserve"> guilty </w:t>
      </w:r>
      <w:r w:rsidR="00294D05">
        <w:t>of “aggravated</w:t>
      </w:r>
      <w:r>
        <w:t xml:space="preserve"> murder”</w:t>
      </w:r>
      <w:r w:rsidR="008D79C2">
        <w:rPr>
          <w:lang w:val="en-US"/>
        </w:rPr>
        <w:t xml:space="preserve"> (under article 139(2)</w:t>
      </w:r>
      <w:r w:rsidR="00294D05">
        <w:rPr>
          <w:lang w:val="en-US"/>
        </w:rPr>
        <w:t xml:space="preserve"> </w:t>
      </w:r>
      <w:r w:rsidR="008D79C2">
        <w:rPr>
          <w:lang w:val="en-US"/>
        </w:rPr>
        <w:t>(6) of the Criminal Code of Belarus)</w:t>
      </w:r>
      <w:r>
        <w:t xml:space="preserve"> and </w:t>
      </w:r>
      <w:r>
        <w:lastRenderedPageBreak/>
        <w:t>sentenced him to a death.</w:t>
      </w:r>
      <w:r w:rsidR="008D79C2">
        <w:rPr>
          <w:lang w:val="en-US"/>
        </w:rPr>
        <w:t xml:space="preserve"> </w:t>
      </w:r>
      <w:r w:rsidR="00145510">
        <w:rPr>
          <w:lang w:val="en-US"/>
        </w:rPr>
        <w:t>The authors submit</w:t>
      </w:r>
      <w:r w:rsidR="008D79C2">
        <w:rPr>
          <w:lang w:val="en-US"/>
        </w:rPr>
        <w:t xml:space="preserve"> that article 1</w:t>
      </w:r>
      <w:r w:rsidR="00DD55A3">
        <w:rPr>
          <w:lang w:val="en-US"/>
        </w:rPr>
        <w:t>3</w:t>
      </w:r>
      <w:r w:rsidR="008D79C2">
        <w:rPr>
          <w:lang w:val="en-US"/>
        </w:rPr>
        <w:t>9(2)</w:t>
      </w:r>
      <w:r w:rsidR="00294D05">
        <w:rPr>
          <w:lang w:val="en-US"/>
        </w:rPr>
        <w:t xml:space="preserve"> </w:t>
      </w:r>
      <w:r w:rsidR="008D79C2">
        <w:rPr>
          <w:lang w:val="en-US"/>
        </w:rPr>
        <w:t xml:space="preserve">(6) envisages other types of punishment for the alleged crimes. </w:t>
      </w:r>
    </w:p>
    <w:p w:rsidR="00DA536F" w:rsidRDefault="00DA536F" w:rsidP="00DA536F">
      <w:pPr>
        <w:pStyle w:val="SingleTxtG"/>
        <w:spacing w:line="240" w:lineRule="auto"/>
      </w:pPr>
      <w:r>
        <w:t>2.3</w:t>
      </w:r>
      <w:r>
        <w:tab/>
        <w:t>On 22 October 2013, the Supreme Court</w:t>
      </w:r>
      <w:r w:rsidR="00145510">
        <w:rPr>
          <w:lang w:val="en-US"/>
        </w:rPr>
        <w:t xml:space="preserve"> of Belarus</w:t>
      </w:r>
      <w:r>
        <w:t xml:space="preserve"> dismissed the judgement of the Gomel Regional Court and requested the case to be reviewed by another judge. The Supreme Court maintained that the first instance court should have taken into account </w:t>
      </w:r>
      <w:r w:rsidR="00B519CA">
        <w:rPr>
          <w:lang w:val="en-US"/>
        </w:rPr>
        <w:t>the defendant</w:t>
      </w:r>
      <w:r>
        <w:t xml:space="preserve">’s </w:t>
      </w:r>
      <w:r w:rsidR="00B519CA">
        <w:rPr>
          <w:lang w:val="en-US"/>
        </w:rPr>
        <w:t>“</w:t>
      </w:r>
      <w:r>
        <w:t>sincere confession</w:t>
      </w:r>
      <w:r w:rsidR="00B519CA">
        <w:rPr>
          <w:lang w:val="en-US"/>
        </w:rPr>
        <w:t>”</w:t>
      </w:r>
      <w:r>
        <w:t xml:space="preserve"> to</w:t>
      </w:r>
      <w:r w:rsidR="00B519CA">
        <w:rPr>
          <w:lang w:val="en-US"/>
        </w:rPr>
        <w:t xml:space="preserve"> have committed the</w:t>
      </w:r>
      <w:r w:rsidR="00B519CA">
        <w:t xml:space="preserve"> murder </w:t>
      </w:r>
      <w:r>
        <w:t>and his cooperation throughout the investigation as mitigating circumstances.</w:t>
      </w:r>
    </w:p>
    <w:p w:rsidR="00DA536F" w:rsidRDefault="00DA536F" w:rsidP="00DA536F">
      <w:pPr>
        <w:pStyle w:val="SingleTxtG"/>
        <w:spacing w:line="240" w:lineRule="auto"/>
      </w:pPr>
      <w:r>
        <w:t>2.4</w:t>
      </w:r>
      <w:r>
        <w:tab/>
        <w:t>On 24 December 2013, Gomel Region Court</w:t>
      </w:r>
      <w:r w:rsidR="00B519CA">
        <w:rPr>
          <w:lang w:val="en-US"/>
        </w:rPr>
        <w:t xml:space="preserve"> again</w:t>
      </w:r>
      <w:r>
        <w:t xml:space="preserve"> found </w:t>
      </w:r>
      <w:r w:rsidR="00B519CA">
        <w:rPr>
          <w:lang w:val="en-US"/>
        </w:rPr>
        <w:t xml:space="preserve">Mr. </w:t>
      </w:r>
      <w:proofErr w:type="spellStart"/>
      <w:r w:rsidR="00B519CA">
        <w:rPr>
          <w:lang w:val="en-US"/>
        </w:rPr>
        <w:t>Grunov</w:t>
      </w:r>
      <w:proofErr w:type="spellEnd"/>
      <w:r>
        <w:t xml:space="preserve"> guilty of</w:t>
      </w:r>
      <w:r w:rsidR="00B4174D" w:rsidRPr="005B1F58">
        <w:rPr>
          <w:lang w:val="en-GB"/>
        </w:rPr>
        <w:t xml:space="preserve"> </w:t>
      </w:r>
      <w:r>
        <w:t xml:space="preserve">“aggravated murder” and sentenced him to a death. On 24 January 2014, </w:t>
      </w:r>
      <w:r w:rsidR="009730A5">
        <w:rPr>
          <w:lang w:val="en-US"/>
        </w:rPr>
        <w:t xml:space="preserve">Mr. </w:t>
      </w:r>
      <w:proofErr w:type="spellStart"/>
      <w:r w:rsidR="009730A5">
        <w:rPr>
          <w:lang w:val="en-US"/>
        </w:rPr>
        <w:t>Grunov</w:t>
      </w:r>
      <w:proofErr w:type="spellEnd"/>
      <w:r w:rsidR="009730A5">
        <w:rPr>
          <w:lang w:val="en-US"/>
        </w:rPr>
        <w:t>, through his lawyer,</w:t>
      </w:r>
      <w:r>
        <w:t xml:space="preserve"> submitted a cassation appeal to the Supreme Court</w:t>
      </w:r>
      <w:r w:rsidR="00145510">
        <w:rPr>
          <w:lang w:val="en-US"/>
        </w:rPr>
        <w:t xml:space="preserve"> of Belarus</w:t>
      </w:r>
      <w:r>
        <w:t>. On 8 April 2014, the Supreme Court dismissed his appeal thus confirming the death sentence.</w:t>
      </w:r>
      <w:r w:rsidR="00145510">
        <w:rPr>
          <w:lang w:val="en-US"/>
        </w:rPr>
        <w:t xml:space="preserve"> Mr. </w:t>
      </w:r>
      <w:proofErr w:type="spellStart"/>
      <w:r w:rsidR="00145510">
        <w:rPr>
          <w:lang w:val="en-US"/>
        </w:rPr>
        <w:t>Grunov’s</w:t>
      </w:r>
      <w:proofErr w:type="spellEnd"/>
      <w:r w:rsidR="00145510">
        <w:rPr>
          <w:lang w:val="en-US"/>
        </w:rPr>
        <w:t xml:space="preserve"> sentence entered into force</w:t>
      </w:r>
      <w:r w:rsidR="00257262">
        <w:rPr>
          <w:lang w:val="en-US"/>
        </w:rPr>
        <w:t xml:space="preserve"> on 8 April 2014</w:t>
      </w:r>
      <w:r w:rsidR="00145510">
        <w:rPr>
          <w:lang w:val="en-US"/>
        </w:rPr>
        <w:t xml:space="preserve">, and therefore, the authors contended at the time of submission that he </w:t>
      </w:r>
      <w:proofErr w:type="gramStart"/>
      <w:r w:rsidR="00145510">
        <w:rPr>
          <w:lang w:val="en-US"/>
        </w:rPr>
        <w:t>could be executed</w:t>
      </w:r>
      <w:proofErr w:type="gramEnd"/>
      <w:r w:rsidR="00145510">
        <w:rPr>
          <w:lang w:val="en-US"/>
        </w:rPr>
        <w:t xml:space="preserve"> at any moment. </w:t>
      </w:r>
      <w:r w:rsidR="00B519CA">
        <w:rPr>
          <w:lang w:val="en-US"/>
        </w:rPr>
        <w:t xml:space="preserve">Mr. </w:t>
      </w:r>
      <w:proofErr w:type="spellStart"/>
      <w:r w:rsidR="00B519CA">
        <w:rPr>
          <w:lang w:val="en-US"/>
        </w:rPr>
        <w:t>Grunov</w:t>
      </w:r>
      <w:proofErr w:type="spellEnd"/>
      <w:r w:rsidR="00145510">
        <w:rPr>
          <w:lang w:val="en-US"/>
        </w:rPr>
        <w:t xml:space="preserve"> therefore</w:t>
      </w:r>
      <w:r w:rsidR="00145510">
        <w:t xml:space="preserve"> requested</w:t>
      </w:r>
      <w:r>
        <w:t xml:space="preserve"> granting of the interim measures, namely suspension of the execution of the death penalty pending the consideration of the communication. </w:t>
      </w:r>
    </w:p>
    <w:p w:rsidR="00DA536F" w:rsidRPr="00DA536F" w:rsidRDefault="00AB0DDF" w:rsidP="00DA536F">
      <w:pPr>
        <w:pStyle w:val="SingleTxtG"/>
        <w:spacing w:line="240" w:lineRule="auto"/>
        <w:rPr>
          <w:lang w:val="en-US"/>
        </w:rPr>
      </w:pPr>
      <w:r>
        <w:rPr>
          <w:lang w:val="en-US"/>
        </w:rPr>
        <w:t>2.5</w:t>
      </w:r>
      <w:r w:rsidR="00DA536F" w:rsidRPr="00DA536F">
        <w:rPr>
          <w:lang w:val="en-US"/>
        </w:rPr>
        <w:tab/>
        <w:t xml:space="preserve">On 11 November 2014, </w:t>
      </w:r>
      <w:r w:rsidR="00B519CA">
        <w:rPr>
          <w:lang w:val="en-US"/>
        </w:rPr>
        <w:t xml:space="preserve">Ms. Olga </w:t>
      </w:r>
      <w:proofErr w:type="spellStart"/>
      <w:r w:rsidR="00B519CA">
        <w:rPr>
          <w:lang w:val="en-US"/>
        </w:rPr>
        <w:t>Grunova</w:t>
      </w:r>
      <w:proofErr w:type="spellEnd"/>
      <w:r w:rsidR="00DA536F" w:rsidRPr="00DA536F">
        <w:rPr>
          <w:lang w:val="en-US"/>
        </w:rPr>
        <w:t xml:space="preserve"> received</w:t>
      </w:r>
      <w:r w:rsidR="00B519CA">
        <w:rPr>
          <w:lang w:val="en-US"/>
        </w:rPr>
        <w:t xml:space="preserve"> information</w:t>
      </w:r>
      <w:r w:rsidR="00DA536F" w:rsidRPr="00DA536F">
        <w:rPr>
          <w:lang w:val="en-US"/>
        </w:rPr>
        <w:t xml:space="preserve"> from the Gomel Regional Court </w:t>
      </w:r>
      <w:r w:rsidR="00B519CA">
        <w:rPr>
          <w:lang w:val="en-US"/>
        </w:rPr>
        <w:t xml:space="preserve">that </w:t>
      </w:r>
      <w:r w:rsidR="00DA536F" w:rsidRPr="00DA536F">
        <w:rPr>
          <w:lang w:val="en-US"/>
        </w:rPr>
        <w:t>the execution</w:t>
      </w:r>
      <w:r w:rsidR="00B519CA">
        <w:rPr>
          <w:lang w:val="en-US"/>
        </w:rPr>
        <w:t xml:space="preserve"> of her son</w:t>
      </w:r>
      <w:r w:rsidR="00DA536F" w:rsidRPr="00DA536F">
        <w:rPr>
          <w:lang w:val="en-US"/>
        </w:rPr>
        <w:t xml:space="preserve"> </w:t>
      </w:r>
      <w:proofErr w:type="gramStart"/>
      <w:r w:rsidR="00DA536F" w:rsidRPr="00DA536F">
        <w:rPr>
          <w:lang w:val="en-US"/>
        </w:rPr>
        <w:t>ha</w:t>
      </w:r>
      <w:r w:rsidR="00B02F7F">
        <w:rPr>
          <w:lang w:val="en-US"/>
        </w:rPr>
        <w:t>d</w:t>
      </w:r>
      <w:r w:rsidR="00DA536F" w:rsidRPr="00DA536F">
        <w:rPr>
          <w:lang w:val="en-US"/>
        </w:rPr>
        <w:t xml:space="preserve"> been carried out</w:t>
      </w:r>
      <w:proofErr w:type="gramEnd"/>
      <w:r w:rsidR="00DA536F" w:rsidRPr="00DA536F">
        <w:rPr>
          <w:lang w:val="en-US"/>
        </w:rPr>
        <w:t xml:space="preserve">. On the same day, the </w:t>
      </w:r>
      <w:r w:rsidR="00B519CA">
        <w:rPr>
          <w:lang w:val="en-US"/>
        </w:rPr>
        <w:t xml:space="preserve">Ms. </w:t>
      </w:r>
      <w:proofErr w:type="spellStart"/>
      <w:r w:rsidR="00B519CA">
        <w:rPr>
          <w:lang w:val="en-US"/>
        </w:rPr>
        <w:t>Grunova</w:t>
      </w:r>
      <w:proofErr w:type="spellEnd"/>
      <w:r w:rsidR="00DA536F" w:rsidRPr="00DA536F">
        <w:rPr>
          <w:lang w:val="en-US"/>
        </w:rPr>
        <w:t xml:space="preserve"> received the death certificate of her son </w:t>
      </w:r>
      <w:r w:rsidR="00B519CA" w:rsidRPr="00DA536F">
        <w:rPr>
          <w:lang w:val="en-US"/>
        </w:rPr>
        <w:t xml:space="preserve">indicating </w:t>
      </w:r>
      <w:proofErr w:type="gramStart"/>
      <w:r w:rsidR="00B519CA">
        <w:rPr>
          <w:lang w:val="en-US"/>
        </w:rPr>
        <w:t>date  of</w:t>
      </w:r>
      <w:proofErr w:type="gramEnd"/>
      <w:r w:rsidR="00B519CA">
        <w:rPr>
          <w:lang w:val="en-US"/>
        </w:rPr>
        <w:t xml:space="preserve"> carrying out the death sentence as </w:t>
      </w:r>
      <w:r w:rsidR="00DA536F" w:rsidRPr="00DA536F">
        <w:rPr>
          <w:lang w:val="en-US"/>
        </w:rPr>
        <w:t>22 October 2014,</w:t>
      </w:r>
      <w:r>
        <w:rPr>
          <w:lang w:val="en-US"/>
        </w:rPr>
        <w:t xml:space="preserve"> in the</w:t>
      </w:r>
      <w:r w:rsidR="00DA536F" w:rsidRPr="00DA536F">
        <w:rPr>
          <w:lang w:val="en-US"/>
        </w:rPr>
        <w:t xml:space="preserve"> </w:t>
      </w:r>
      <w:r w:rsidR="00B519CA">
        <w:rPr>
          <w:lang w:val="en-US"/>
        </w:rPr>
        <w:t xml:space="preserve">city of </w:t>
      </w:r>
      <w:r w:rsidR="00916F1C">
        <w:rPr>
          <w:lang w:val="en-US"/>
        </w:rPr>
        <w:t>Minsk.</w:t>
      </w:r>
    </w:p>
    <w:p w:rsidR="00DA536F" w:rsidRPr="00DA536F" w:rsidRDefault="00AB0DDF" w:rsidP="00DA536F">
      <w:pPr>
        <w:pStyle w:val="SingleTxtG"/>
        <w:spacing w:line="240" w:lineRule="auto"/>
        <w:rPr>
          <w:lang w:val="en-US"/>
        </w:rPr>
      </w:pPr>
      <w:r>
        <w:rPr>
          <w:lang w:val="en-US"/>
        </w:rPr>
        <w:t>2.6</w:t>
      </w:r>
      <w:r w:rsidR="00DA536F" w:rsidRPr="00DA536F">
        <w:rPr>
          <w:lang w:val="en-US"/>
        </w:rPr>
        <w:tab/>
        <w:t xml:space="preserve">On 13 November 2014, </w:t>
      </w:r>
      <w:r w:rsidR="00B519CA">
        <w:rPr>
          <w:lang w:val="en-US"/>
        </w:rPr>
        <w:t xml:space="preserve">Ms. </w:t>
      </w:r>
      <w:proofErr w:type="spellStart"/>
      <w:r w:rsidR="00B519CA">
        <w:rPr>
          <w:lang w:val="en-US"/>
        </w:rPr>
        <w:t>Grunova</w:t>
      </w:r>
      <w:proofErr w:type="spellEnd"/>
      <w:r w:rsidR="00DA536F" w:rsidRPr="00DA536F">
        <w:rPr>
          <w:lang w:val="en-US"/>
        </w:rPr>
        <w:t xml:space="preserve"> inquired with the Gomel Regional Court about the exact time of her son’s execution an</w:t>
      </w:r>
      <w:r w:rsidR="00B519CA">
        <w:rPr>
          <w:lang w:val="en-US"/>
        </w:rPr>
        <w:t>d the location of the burial sit</w:t>
      </w:r>
      <w:r w:rsidR="00DA536F" w:rsidRPr="00DA536F">
        <w:rPr>
          <w:lang w:val="en-US"/>
        </w:rPr>
        <w:t>e. On 24 November 2014, the Gomel Regional Court rejected</w:t>
      </w:r>
      <w:r w:rsidR="00B519CA">
        <w:rPr>
          <w:lang w:val="en-US"/>
        </w:rPr>
        <w:t xml:space="preserve"> her request</w:t>
      </w:r>
      <w:r w:rsidR="00DA536F" w:rsidRPr="00DA536F">
        <w:rPr>
          <w:lang w:val="en-US"/>
        </w:rPr>
        <w:t xml:space="preserve"> to provide </w:t>
      </w:r>
      <w:r w:rsidR="00B519CA">
        <w:rPr>
          <w:lang w:val="en-US"/>
        </w:rPr>
        <w:t>additional</w:t>
      </w:r>
      <w:r w:rsidR="00DA536F" w:rsidRPr="00DA536F">
        <w:rPr>
          <w:lang w:val="en-US"/>
        </w:rPr>
        <w:t xml:space="preserve"> information based on article 175 of the Criminal Execution Code of Belarus</w:t>
      </w:r>
      <w:r w:rsidR="00B519CA">
        <w:rPr>
          <w:lang w:val="en-US"/>
        </w:rPr>
        <w:t>. A</w:t>
      </w:r>
      <w:r w:rsidR="00DA536F" w:rsidRPr="00DA536F">
        <w:rPr>
          <w:lang w:val="en-US"/>
        </w:rPr>
        <w:t xml:space="preserve">ccording to </w:t>
      </w:r>
      <w:r w:rsidR="00B519CA">
        <w:rPr>
          <w:lang w:val="en-US"/>
        </w:rPr>
        <w:t>this provision of the law, the</w:t>
      </w:r>
      <w:r w:rsidR="00DA536F" w:rsidRPr="00DA536F">
        <w:rPr>
          <w:lang w:val="en-US"/>
        </w:rPr>
        <w:t xml:space="preserve"> relatives </w:t>
      </w:r>
      <w:proofErr w:type="gramStart"/>
      <w:r w:rsidR="00DA536F" w:rsidRPr="00DA536F">
        <w:rPr>
          <w:lang w:val="en-US"/>
        </w:rPr>
        <w:t>are not informed</w:t>
      </w:r>
      <w:proofErr w:type="gramEnd"/>
      <w:r w:rsidR="00DA536F" w:rsidRPr="00DA536F">
        <w:rPr>
          <w:lang w:val="en-US"/>
        </w:rPr>
        <w:t xml:space="preserve"> in advance of the date of e</w:t>
      </w:r>
      <w:bookmarkStart w:id="2" w:name="_GoBack"/>
      <w:bookmarkEnd w:id="2"/>
      <w:r w:rsidR="00DA536F" w:rsidRPr="00DA536F">
        <w:rPr>
          <w:lang w:val="en-US"/>
        </w:rPr>
        <w:t xml:space="preserve">xecution, the body is not handed over and the place of burial is not disclosed. </w:t>
      </w:r>
    </w:p>
    <w:p w:rsidR="003633A1" w:rsidRPr="00DA536F" w:rsidRDefault="00302EC3" w:rsidP="003633A1">
      <w:pPr>
        <w:pStyle w:val="SingleTxtG"/>
        <w:spacing w:line="240" w:lineRule="auto"/>
        <w:rPr>
          <w:lang w:val="en-US"/>
        </w:rPr>
      </w:pPr>
      <w:r>
        <w:rPr>
          <w:lang w:val="en-US"/>
        </w:rPr>
        <w:t>2.</w:t>
      </w:r>
      <w:r w:rsidR="00AB0DDF">
        <w:rPr>
          <w:lang w:val="en-US"/>
        </w:rPr>
        <w:t>7</w:t>
      </w:r>
      <w:r w:rsidR="00DA536F" w:rsidRPr="00DA536F">
        <w:rPr>
          <w:lang w:val="en-US"/>
        </w:rPr>
        <w:tab/>
        <w:t>On 3 Decemb</w:t>
      </w:r>
      <w:r>
        <w:rPr>
          <w:lang w:val="en-US"/>
        </w:rPr>
        <w:t xml:space="preserve">er 2014, </w:t>
      </w:r>
      <w:r w:rsidR="009730A5">
        <w:rPr>
          <w:lang w:val="en-US"/>
        </w:rPr>
        <w:t xml:space="preserve">Ms. </w:t>
      </w:r>
      <w:proofErr w:type="spellStart"/>
      <w:r w:rsidR="009730A5">
        <w:rPr>
          <w:lang w:val="en-US"/>
        </w:rPr>
        <w:t>Grunova</w:t>
      </w:r>
      <w:proofErr w:type="spellEnd"/>
      <w:r>
        <w:rPr>
          <w:lang w:val="en-US"/>
        </w:rPr>
        <w:t xml:space="preserve"> appealed this</w:t>
      </w:r>
      <w:r w:rsidR="00DA536F" w:rsidRPr="00DA536F">
        <w:rPr>
          <w:lang w:val="en-US"/>
        </w:rPr>
        <w:t xml:space="preserve"> refusal with the </w:t>
      </w:r>
      <w:r w:rsidR="00AB0DDF">
        <w:rPr>
          <w:lang w:val="en-US"/>
        </w:rPr>
        <w:t xml:space="preserve">Central District </w:t>
      </w:r>
      <w:r w:rsidR="00DA536F" w:rsidRPr="00DA536F">
        <w:rPr>
          <w:lang w:val="en-US"/>
        </w:rPr>
        <w:t>Court in Gomel</w:t>
      </w:r>
      <w:r>
        <w:rPr>
          <w:lang w:val="en-US"/>
        </w:rPr>
        <w:t>,</w:t>
      </w:r>
      <w:r w:rsidR="00DA536F" w:rsidRPr="00DA536F">
        <w:rPr>
          <w:lang w:val="en-US"/>
        </w:rPr>
        <w:t xml:space="preserve"> which refused to initiate a civil case </w:t>
      </w:r>
      <w:r w:rsidRPr="00DA536F">
        <w:rPr>
          <w:lang w:val="en-US"/>
        </w:rPr>
        <w:t>based on</w:t>
      </w:r>
      <w:r w:rsidR="00DA536F" w:rsidRPr="00DA536F">
        <w:rPr>
          <w:lang w:val="en-US"/>
        </w:rPr>
        <w:t xml:space="preserve"> lack of jurisdiction. On 14 December 2014, </w:t>
      </w:r>
      <w:r w:rsidR="009730A5">
        <w:rPr>
          <w:lang w:val="en-US"/>
        </w:rPr>
        <w:t>she</w:t>
      </w:r>
      <w:r w:rsidR="00DA536F" w:rsidRPr="00DA536F">
        <w:rPr>
          <w:lang w:val="en-US"/>
        </w:rPr>
        <w:t xml:space="preserve"> submitted a private complaint before the Gomel Regional </w:t>
      </w:r>
      <w:r w:rsidRPr="00DA536F">
        <w:rPr>
          <w:lang w:val="en-US"/>
        </w:rPr>
        <w:t>Court, which</w:t>
      </w:r>
      <w:r w:rsidR="00DA536F" w:rsidRPr="00DA536F">
        <w:rPr>
          <w:lang w:val="en-US"/>
        </w:rPr>
        <w:t xml:space="preserve"> upheld the </w:t>
      </w:r>
      <w:r w:rsidR="00AB0DDF">
        <w:rPr>
          <w:lang w:val="en-US"/>
        </w:rPr>
        <w:t>decision by the district court</w:t>
      </w:r>
      <w:r w:rsidR="00DA536F" w:rsidRPr="00DA536F">
        <w:rPr>
          <w:lang w:val="en-US"/>
        </w:rPr>
        <w:t xml:space="preserve">. </w:t>
      </w:r>
      <w:r>
        <w:rPr>
          <w:lang w:val="en-US"/>
        </w:rPr>
        <w:t xml:space="preserve">Ms. </w:t>
      </w:r>
      <w:proofErr w:type="spellStart"/>
      <w:r>
        <w:rPr>
          <w:lang w:val="en-US"/>
        </w:rPr>
        <w:t>Grunova</w:t>
      </w:r>
      <w:proofErr w:type="spellEnd"/>
      <w:r>
        <w:rPr>
          <w:lang w:val="en-US"/>
        </w:rPr>
        <w:t xml:space="preserve"> also</w:t>
      </w:r>
      <w:r w:rsidR="00DA536F" w:rsidRPr="00DA536F">
        <w:rPr>
          <w:lang w:val="en-US"/>
        </w:rPr>
        <w:t xml:space="preserve"> attempted to initiate a review of</w:t>
      </w:r>
      <w:r>
        <w:rPr>
          <w:lang w:val="en-US"/>
        </w:rPr>
        <w:t xml:space="preserve"> the</w:t>
      </w:r>
      <w:r w:rsidR="00DA536F" w:rsidRPr="00DA536F">
        <w:rPr>
          <w:lang w:val="en-US"/>
        </w:rPr>
        <w:t xml:space="preserve"> constitutionality of article 175 of the Criminal Execution Code of Belarus </w:t>
      </w:r>
      <w:r w:rsidR="00AB0DDF">
        <w:rPr>
          <w:lang w:val="en-US"/>
        </w:rPr>
        <w:t>but this</w:t>
      </w:r>
      <w:r>
        <w:rPr>
          <w:lang w:val="en-US"/>
        </w:rPr>
        <w:t xml:space="preserve"> complaint </w:t>
      </w:r>
      <w:proofErr w:type="gramStart"/>
      <w:r>
        <w:rPr>
          <w:lang w:val="en-US"/>
        </w:rPr>
        <w:t>w</w:t>
      </w:r>
      <w:r w:rsidR="00AB0DDF">
        <w:rPr>
          <w:lang w:val="en-US"/>
        </w:rPr>
        <w:t>as</w:t>
      </w:r>
      <w:r>
        <w:rPr>
          <w:lang w:val="en-US"/>
        </w:rPr>
        <w:t xml:space="preserve"> rejected</w:t>
      </w:r>
      <w:proofErr w:type="gramEnd"/>
      <w:r>
        <w:rPr>
          <w:lang w:val="en-US"/>
        </w:rPr>
        <w:t xml:space="preserve"> as well</w:t>
      </w:r>
      <w:r w:rsidR="00DA536F" w:rsidRPr="00DA536F">
        <w:rPr>
          <w:lang w:val="en-US"/>
        </w:rPr>
        <w:t>.</w:t>
      </w:r>
    </w:p>
    <w:p w:rsidR="001B0994" w:rsidRPr="0004514B" w:rsidRDefault="001B0994" w:rsidP="00741045">
      <w:pPr>
        <w:pStyle w:val="H23G"/>
        <w:spacing w:line="240" w:lineRule="auto"/>
      </w:pPr>
      <w:r w:rsidRPr="0004514B">
        <w:tab/>
      </w:r>
      <w:r w:rsidRPr="0004514B">
        <w:tab/>
        <w:t>The complaint</w:t>
      </w:r>
    </w:p>
    <w:p w:rsidR="00DA536F" w:rsidRPr="008D79C2" w:rsidRDefault="002B49B5" w:rsidP="00DA536F">
      <w:pPr>
        <w:pStyle w:val="SingleTxtG"/>
        <w:spacing w:line="240" w:lineRule="auto"/>
        <w:rPr>
          <w:lang w:val="en-US"/>
        </w:rPr>
      </w:pPr>
      <w:r>
        <w:t>3.1</w:t>
      </w:r>
      <w:r w:rsidR="00D5446D" w:rsidRPr="0004514B">
        <w:tab/>
      </w:r>
      <w:r w:rsidR="00FA561D">
        <w:rPr>
          <w:lang w:val="en-US"/>
        </w:rPr>
        <w:t>The authors claim</w:t>
      </w:r>
      <w:r w:rsidR="00DA536F">
        <w:t xml:space="preserve"> that the method of </w:t>
      </w:r>
      <w:r w:rsidR="00FA561D">
        <w:rPr>
          <w:lang w:val="en-US"/>
        </w:rPr>
        <w:t>carrying out</w:t>
      </w:r>
      <w:r w:rsidR="00DA536F">
        <w:t xml:space="preserve"> of </w:t>
      </w:r>
      <w:r w:rsidR="00FA561D">
        <w:rPr>
          <w:lang w:val="en-US"/>
        </w:rPr>
        <w:t>the</w:t>
      </w:r>
      <w:r w:rsidR="00DA536F">
        <w:t xml:space="preserve"> death penalty in Belarus, including the fact that (1) no information about the date of the execution is provided to the </w:t>
      </w:r>
      <w:r w:rsidR="00FA561D">
        <w:rPr>
          <w:lang w:val="en-US"/>
        </w:rPr>
        <w:t>convicted person</w:t>
      </w:r>
      <w:r w:rsidR="00DA536F">
        <w:t xml:space="preserve"> or to his family; (2) </w:t>
      </w:r>
      <w:r w:rsidR="00FA561D">
        <w:rPr>
          <w:lang w:val="en-US"/>
        </w:rPr>
        <w:t>the convicted person awaits the execution on so-called</w:t>
      </w:r>
      <w:r w:rsidR="00DA536F">
        <w:t xml:space="preserve"> “death row”</w:t>
      </w:r>
      <w:r w:rsidR="008D79C2">
        <w:rPr>
          <w:lang w:val="en-US"/>
        </w:rPr>
        <w:t xml:space="preserve"> where they are issued special type of clothing</w:t>
      </w:r>
      <w:r w:rsidR="00DA536F">
        <w:t xml:space="preserve">; (3) the execution is performed by shooting; amount to a violation of </w:t>
      </w:r>
      <w:r w:rsidR="00FA561D">
        <w:rPr>
          <w:lang w:val="en-US"/>
        </w:rPr>
        <w:t xml:space="preserve">Mr. </w:t>
      </w:r>
      <w:proofErr w:type="spellStart"/>
      <w:r w:rsidR="00FA561D">
        <w:rPr>
          <w:lang w:val="en-US"/>
        </w:rPr>
        <w:t>Grunov’s</w:t>
      </w:r>
      <w:proofErr w:type="spellEnd"/>
      <w:r w:rsidR="00DA536F">
        <w:t xml:space="preserve"> rights under article 7 of the Covenant. </w:t>
      </w:r>
      <w:r w:rsidR="008D79C2">
        <w:rPr>
          <w:lang w:val="en-US"/>
        </w:rPr>
        <w:t>The waiting itself, without knowing the exact date, amounts to torture</w:t>
      </w:r>
      <w:r w:rsidR="00AB0DDF">
        <w:rPr>
          <w:lang w:val="en-US"/>
        </w:rPr>
        <w:t>, the authors claim</w:t>
      </w:r>
      <w:r w:rsidR="008D79C2">
        <w:rPr>
          <w:lang w:val="en-US"/>
        </w:rPr>
        <w:t xml:space="preserve">. According to some reports, the person, who </w:t>
      </w:r>
      <w:proofErr w:type="gramStart"/>
      <w:r w:rsidR="008D79C2">
        <w:rPr>
          <w:lang w:val="en-US"/>
        </w:rPr>
        <w:t>is shot</w:t>
      </w:r>
      <w:proofErr w:type="gramEnd"/>
      <w:r w:rsidR="008D79C2">
        <w:rPr>
          <w:lang w:val="en-US"/>
        </w:rPr>
        <w:t xml:space="preserve"> in the head, sometimes does not die right away, but instead, suffers a terrible slow death</w:t>
      </w:r>
      <w:r w:rsidR="00602671">
        <w:rPr>
          <w:lang w:val="en-US"/>
        </w:rPr>
        <w:t>.</w:t>
      </w:r>
      <w:r w:rsidR="008D79C2">
        <w:rPr>
          <w:rStyle w:val="FootnoteReference"/>
          <w:lang w:val="en-US"/>
        </w:rPr>
        <w:footnoteReference w:id="5"/>
      </w:r>
      <w:r w:rsidR="008D79C2">
        <w:rPr>
          <w:lang w:val="en-US"/>
        </w:rPr>
        <w:t xml:space="preserve"> </w:t>
      </w:r>
    </w:p>
    <w:p w:rsidR="00DA536F" w:rsidRPr="00BB6A41" w:rsidRDefault="00DA536F" w:rsidP="00DA536F">
      <w:pPr>
        <w:pStyle w:val="SingleTxtG"/>
        <w:spacing w:line="240" w:lineRule="auto"/>
        <w:rPr>
          <w:lang w:val="en-US"/>
        </w:rPr>
      </w:pPr>
      <w:r>
        <w:t>3.2</w:t>
      </w:r>
      <w:r>
        <w:tab/>
        <w:t>The author</w:t>
      </w:r>
      <w:r w:rsidR="00FA561D">
        <w:rPr>
          <w:lang w:val="en-US"/>
        </w:rPr>
        <w:t>s</w:t>
      </w:r>
      <w:r w:rsidR="00FA561D">
        <w:t xml:space="preserve"> further claim that the fact that Mr.</w:t>
      </w:r>
      <w:r w:rsidR="00FA561D">
        <w:rPr>
          <w:lang w:val="en-US"/>
        </w:rPr>
        <w:t xml:space="preserve"> </w:t>
      </w:r>
      <w:proofErr w:type="spellStart"/>
      <w:r w:rsidR="00FA561D">
        <w:rPr>
          <w:lang w:val="en-US"/>
        </w:rPr>
        <w:t>Grunov</w:t>
      </w:r>
      <w:proofErr w:type="spellEnd"/>
      <w:r>
        <w:t xml:space="preserve"> was brought before a judge</w:t>
      </w:r>
      <w:r w:rsidR="00257262">
        <w:rPr>
          <w:lang w:val="en-US"/>
        </w:rPr>
        <w:t xml:space="preserve"> more than</w:t>
      </w:r>
      <w:r>
        <w:t xml:space="preserve"> four months days after his actual arrest violates his rights under article 9 (1) and (3) of the Covenant.</w:t>
      </w:r>
      <w:r w:rsidR="00BB6A41">
        <w:rPr>
          <w:lang w:val="en-US"/>
        </w:rPr>
        <w:t xml:space="preserve"> The Covenant requires the detainee to </w:t>
      </w:r>
      <w:proofErr w:type="gramStart"/>
      <w:r w:rsidR="00BB6A41">
        <w:rPr>
          <w:lang w:val="en-US"/>
        </w:rPr>
        <w:t>be brought</w:t>
      </w:r>
      <w:proofErr w:type="gramEnd"/>
      <w:r w:rsidR="00BB6A41">
        <w:rPr>
          <w:lang w:val="en-US"/>
        </w:rPr>
        <w:t xml:space="preserve"> promptly before a judge, and Mr. </w:t>
      </w:r>
      <w:proofErr w:type="spellStart"/>
      <w:r w:rsidR="00BB6A41">
        <w:rPr>
          <w:lang w:val="en-US"/>
        </w:rPr>
        <w:t>Grunov</w:t>
      </w:r>
      <w:proofErr w:type="spellEnd"/>
      <w:r w:rsidR="00BB6A41">
        <w:rPr>
          <w:lang w:val="en-US"/>
        </w:rPr>
        <w:t xml:space="preserve"> first saw a judge only</w:t>
      </w:r>
      <w:r w:rsidR="00AB0DDF">
        <w:rPr>
          <w:lang w:val="en-US"/>
        </w:rPr>
        <w:t xml:space="preserve"> more than</w:t>
      </w:r>
      <w:r w:rsidR="00BB6A41">
        <w:rPr>
          <w:lang w:val="en-US"/>
        </w:rPr>
        <w:t xml:space="preserve"> four months after his initial arrest. </w:t>
      </w:r>
    </w:p>
    <w:p w:rsidR="00DA536F" w:rsidRDefault="00DA536F" w:rsidP="00DA536F">
      <w:pPr>
        <w:pStyle w:val="SingleTxtG"/>
        <w:spacing w:line="240" w:lineRule="auto"/>
      </w:pPr>
      <w:r>
        <w:t>3.3</w:t>
      </w:r>
      <w:r>
        <w:tab/>
      </w:r>
      <w:r w:rsidR="00FA561D">
        <w:rPr>
          <w:lang w:val="en-US"/>
        </w:rPr>
        <w:t xml:space="preserve">The authors </w:t>
      </w:r>
      <w:r w:rsidR="00BB6A41">
        <w:rPr>
          <w:lang w:val="en-US"/>
        </w:rPr>
        <w:t>also</w:t>
      </w:r>
      <w:r w:rsidR="00FA561D">
        <w:rPr>
          <w:lang w:val="en-US"/>
        </w:rPr>
        <w:t xml:space="preserve"> claim that</w:t>
      </w:r>
      <w:r>
        <w:t xml:space="preserve"> that the </w:t>
      </w:r>
      <w:r w:rsidR="00FA561D">
        <w:rPr>
          <w:lang w:val="en-US"/>
        </w:rPr>
        <w:t>use</w:t>
      </w:r>
      <w:r>
        <w:t xml:space="preserve"> </w:t>
      </w:r>
      <w:r w:rsidR="00FA561D">
        <w:rPr>
          <w:lang w:val="en-US"/>
        </w:rPr>
        <w:t>of</w:t>
      </w:r>
      <w:r w:rsidR="00FA561D">
        <w:t xml:space="preserve"> </w:t>
      </w:r>
      <w:r>
        <w:t xml:space="preserve">his confession made in an absence of a lawyer in the determination of his guilt by the court violates </w:t>
      </w:r>
      <w:r w:rsidR="00FA561D">
        <w:rPr>
          <w:lang w:val="en-US"/>
        </w:rPr>
        <w:t xml:space="preserve">Mr. </w:t>
      </w:r>
      <w:proofErr w:type="spellStart"/>
      <w:r w:rsidR="00FA561D">
        <w:rPr>
          <w:lang w:val="en-US"/>
        </w:rPr>
        <w:t>Grunov’s</w:t>
      </w:r>
      <w:proofErr w:type="spellEnd"/>
      <w:r>
        <w:t xml:space="preserve"> rights under </w:t>
      </w:r>
      <w:r>
        <w:lastRenderedPageBreak/>
        <w:t>article</w:t>
      </w:r>
      <w:r w:rsidR="00FA561D">
        <w:rPr>
          <w:lang w:val="en-US"/>
        </w:rPr>
        <w:t>s</w:t>
      </w:r>
      <w:r>
        <w:t xml:space="preserve"> </w:t>
      </w:r>
      <w:r w:rsidR="00FA561D">
        <w:t>6(1)</w:t>
      </w:r>
      <w:r w:rsidR="00FA561D">
        <w:rPr>
          <w:lang w:val="en-US"/>
        </w:rPr>
        <w:t xml:space="preserve"> and</w:t>
      </w:r>
      <w:r w:rsidR="00FA561D">
        <w:t xml:space="preserve"> (2)</w:t>
      </w:r>
      <w:r w:rsidR="00FA561D">
        <w:rPr>
          <w:lang w:val="en-US"/>
        </w:rPr>
        <w:t xml:space="preserve">, and </w:t>
      </w:r>
      <w:r>
        <w:t>1</w:t>
      </w:r>
      <w:r w:rsidR="00FA561D">
        <w:rPr>
          <w:lang w:val="en-US"/>
        </w:rPr>
        <w:t>4</w:t>
      </w:r>
      <w:r w:rsidR="00FA561D">
        <w:t xml:space="preserve">(1), </w:t>
      </w:r>
      <w:r>
        <w:t>of the Covenant.</w:t>
      </w:r>
      <w:r w:rsidR="00BB6A41">
        <w:rPr>
          <w:lang w:val="en-US"/>
        </w:rPr>
        <w:t xml:space="preserve"> According to article 105(4)</w:t>
      </w:r>
      <w:r w:rsidR="00841161">
        <w:rPr>
          <w:lang w:val="en-US"/>
        </w:rPr>
        <w:t xml:space="preserve"> of the Criminal Procedure Code of Belarus</w:t>
      </w:r>
      <w:r w:rsidR="00BB6A41">
        <w:rPr>
          <w:lang w:val="en-US"/>
        </w:rPr>
        <w:t xml:space="preserve">, evidence, which </w:t>
      </w:r>
      <w:proofErr w:type="gramStart"/>
      <w:r w:rsidR="00BB6A41">
        <w:rPr>
          <w:lang w:val="en-US"/>
        </w:rPr>
        <w:t>was obtained</w:t>
      </w:r>
      <w:proofErr w:type="gramEnd"/>
      <w:r w:rsidR="00BB6A41">
        <w:rPr>
          <w:lang w:val="en-US"/>
        </w:rPr>
        <w:t xml:space="preserve"> in violation of procedural rights, must be considered inadmissible </w:t>
      </w:r>
      <w:r w:rsidR="009A405F">
        <w:rPr>
          <w:lang w:val="en-US"/>
        </w:rPr>
        <w:t>in the</w:t>
      </w:r>
      <w:r w:rsidR="00A95EFD">
        <w:rPr>
          <w:lang w:val="en-US"/>
        </w:rPr>
        <w:t xml:space="preserve"> court of law.</w:t>
      </w:r>
    </w:p>
    <w:p w:rsidR="00DA536F" w:rsidRDefault="00DA536F" w:rsidP="00DA536F">
      <w:pPr>
        <w:pStyle w:val="SingleTxtG"/>
        <w:spacing w:line="240" w:lineRule="auto"/>
      </w:pPr>
      <w:r>
        <w:t>3.4</w:t>
      </w:r>
      <w:r>
        <w:tab/>
        <w:t>The author</w:t>
      </w:r>
      <w:r w:rsidR="00FA561D">
        <w:rPr>
          <w:lang w:val="en-US"/>
        </w:rPr>
        <w:t>s</w:t>
      </w:r>
      <w:r w:rsidR="00FA561D">
        <w:t xml:space="preserve"> further claim</w:t>
      </w:r>
      <w:r>
        <w:t xml:space="preserve"> that </w:t>
      </w:r>
      <w:r w:rsidR="00FA561D">
        <w:rPr>
          <w:lang w:val="en-US"/>
        </w:rPr>
        <w:t xml:space="preserve">that Mr. </w:t>
      </w:r>
      <w:proofErr w:type="spellStart"/>
      <w:r w:rsidR="00FA561D">
        <w:rPr>
          <w:lang w:val="en-US"/>
        </w:rPr>
        <w:t>Grunov</w:t>
      </w:r>
      <w:proofErr w:type="spellEnd"/>
      <w:r w:rsidR="00FA561D">
        <w:rPr>
          <w:lang w:val="en-US"/>
        </w:rPr>
        <w:t xml:space="preserve"> </w:t>
      </w:r>
      <w:proofErr w:type="gramStart"/>
      <w:r w:rsidR="00FA561D">
        <w:rPr>
          <w:lang w:val="en-US"/>
        </w:rPr>
        <w:t>was placed</w:t>
      </w:r>
      <w:proofErr w:type="gramEnd"/>
      <w:r>
        <w:t xml:space="preserve"> on “death row” even before the court sentence acqu</w:t>
      </w:r>
      <w:r w:rsidR="00FA561D">
        <w:t>ired the force of res judicata.</w:t>
      </w:r>
      <w:r w:rsidR="009742F9">
        <w:rPr>
          <w:lang w:val="en-US"/>
        </w:rPr>
        <w:t xml:space="preserve"> At that time, Mr. </w:t>
      </w:r>
      <w:proofErr w:type="spellStart"/>
      <w:r w:rsidR="009742F9">
        <w:rPr>
          <w:lang w:val="en-US"/>
        </w:rPr>
        <w:t>Grunov</w:t>
      </w:r>
      <w:proofErr w:type="spellEnd"/>
      <w:r w:rsidR="009742F9">
        <w:rPr>
          <w:lang w:val="en-US"/>
        </w:rPr>
        <w:t xml:space="preserve"> </w:t>
      </w:r>
      <w:proofErr w:type="gramStart"/>
      <w:r w:rsidR="009742F9">
        <w:rPr>
          <w:lang w:val="en-US"/>
        </w:rPr>
        <w:t>was held in solitary confinement cell and had to wear special clothing for persons sentenced to death, with letters “</w:t>
      </w:r>
      <w:r w:rsidR="009742F9">
        <w:rPr>
          <w:lang w:val="ru-RU"/>
        </w:rPr>
        <w:t>ИМН</w:t>
      </w:r>
      <w:r w:rsidR="009742F9">
        <w:rPr>
          <w:lang w:val="en-US"/>
        </w:rPr>
        <w:t>”</w:t>
      </w:r>
      <w:proofErr w:type="gramEnd"/>
      <w:r w:rsidR="009742F9">
        <w:rPr>
          <w:lang w:val="en-US"/>
        </w:rPr>
        <w:t>.</w:t>
      </w:r>
      <w:r w:rsidR="009742F9">
        <w:rPr>
          <w:rStyle w:val="FootnoteReference"/>
          <w:lang w:val="ru-RU"/>
        </w:rPr>
        <w:footnoteReference w:id="6"/>
      </w:r>
      <w:r w:rsidR="00FA561D">
        <w:t xml:space="preserve"> </w:t>
      </w:r>
      <w:r w:rsidR="00DB056F">
        <w:rPr>
          <w:lang w:val="en-US"/>
        </w:rPr>
        <w:t xml:space="preserve">During the court hearings, Mr. </w:t>
      </w:r>
      <w:proofErr w:type="spellStart"/>
      <w:r w:rsidR="00DB056F">
        <w:rPr>
          <w:lang w:val="en-US"/>
        </w:rPr>
        <w:t>Grunov</w:t>
      </w:r>
      <w:proofErr w:type="spellEnd"/>
      <w:r w:rsidR="00DB056F">
        <w:rPr>
          <w:lang w:val="en-US"/>
        </w:rPr>
        <w:t xml:space="preserve"> was held handcuffed and in a glass cage. </w:t>
      </w:r>
      <w:r w:rsidR="00FA561D">
        <w:rPr>
          <w:lang w:val="en-US"/>
        </w:rPr>
        <w:t xml:space="preserve">The state </w:t>
      </w:r>
      <w:r>
        <w:t xml:space="preserve">media </w:t>
      </w:r>
      <w:r w:rsidR="00FA561D">
        <w:rPr>
          <w:lang w:val="en-US"/>
        </w:rPr>
        <w:t xml:space="preserve">called Mr. </w:t>
      </w:r>
      <w:proofErr w:type="spellStart"/>
      <w:r w:rsidR="00FA561D">
        <w:rPr>
          <w:lang w:val="en-US"/>
        </w:rPr>
        <w:t>Grunov</w:t>
      </w:r>
      <w:proofErr w:type="spellEnd"/>
      <w:r w:rsidR="00FA561D">
        <w:rPr>
          <w:lang w:val="en-US"/>
        </w:rPr>
        <w:t xml:space="preserve"> a murderer before the court issued its verdict and sentence. The authors claim that this violated Mr. </w:t>
      </w:r>
      <w:proofErr w:type="spellStart"/>
      <w:r w:rsidR="00FA561D">
        <w:rPr>
          <w:lang w:val="en-US"/>
        </w:rPr>
        <w:t>Grunov’s</w:t>
      </w:r>
      <w:proofErr w:type="spellEnd"/>
      <w:r w:rsidR="00FA561D">
        <w:rPr>
          <w:lang w:val="en-US"/>
        </w:rPr>
        <w:t xml:space="preserve"> rights under article 14</w:t>
      </w:r>
      <w:r>
        <w:t>(2) of the Covenant.</w:t>
      </w:r>
    </w:p>
    <w:p w:rsidR="00EF4487" w:rsidRPr="00DB056F" w:rsidRDefault="00DA536F" w:rsidP="00DA536F">
      <w:pPr>
        <w:pStyle w:val="SingleTxtG"/>
        <w:spacing w:line="240" w:lineRule="auto"/>
        <w:rPr>
          <w:lang w:val="en-US"/>
        </w:rPr>
      </w:pPr>
      <w:r>
        <w:t>3.5</w:t>
      </w:r>
      <w:r>
        <w:tab/>
        <w:t>The author</w:t>
      </w:r>
      <w:r w:rsidR="00FA561D">
        <w:rPr>
          <w:lang w:val="en-US"/>
        </w:rPr>
        <w:t>s</w:t>
      </w:r>
      <w:r w:rsidR="00FA561D">
        <w:t xml:space="preserve"> also claim that a failure to provide Mr.</w:t>
      </w:r>
      <w:r w:rsidR="00FA561D">
        <w:rPr>
          <w:lang w:val="en-US"/>
        </w:rPr>
        <w:t xml:space="preserve"> </w:t>
      </w:r>
      <w:proofErr w:type="spellStart"/>
      <w:r w:rsidR="00FA561D">
        <w:rPr>
          <w:lang w:val="en-US"/>
        </w:rPr>
        <w:t>Grunov</w:t>
      </w:r>
      <w:proofErr w:type="spellEnd"/>
      <w:r>
        <w:t xml:space="preserve"> with a lawyer immediately after arrest viola</w:t>
      </w:r>
      <w:r w:rsidR="00AB0DDF">
        <w:t>ted</w:t>
      </w:r>
      <w:r w:rsidR="00FA561D">
        <w:t xml:space="preserve"> his rights under article 14</w:t>
      </w:r>
      <w:r>
        <w:t>(3)</w:t>
      </w:r>
      <w:r w:rsidR="00294D05" w:rsidRPr="00294D05">
        <w:rPr>
          <w:lang w:val="en-GB"/>
        </w:rPr>
        <w:t xml:space="preserve"> </w:t>
      </w:r>
      <w:r>
        <w:t>(b) of the Covenant.</w:t>
      </w:r>
      <w:r w:rsidR="00DB056F">
        <w:rPr>
          <w:lang w:val="en-US"/>
        </w:rPr>
        <w:t xml:space="preserve"> Furthermore, according to the records of the detention facility, the lawyer, which </w:t>
      </w:r>
      <w:proofErr w:type="gramStart"/>
      <w:r w:rsidR="00DB056F">
        <w:rPr>
          <w:lang w:val="en-US"/>
        </w:rPr>
        <w:t>was provided</w:t>
      </w:r>
      <w:proofErr w:type="gramEnd"/>
      <w:r w:rsidR="00DB056F">
        <w:rPr>
          <w:lang w:val="en-US"/>
        </w:rPr>
        <w:t xml:space="preserve"> by the government authorities, never met with the defendant, therefore, </w:t>
      </w:r>
      <w:r w:rsidR="009730A5">
        <w:rPr>
          <w:lang w:val="en-US"/>
        </w:rPr>
        <w:t xml:space="preserve">Mr. </w:t>
      </w:r>
      <w:proofErr w:type="spellStart"/>
      <w:r w:rsidR="009730A5">
        <w:rPr>
          <w:lang w:val="en-US"/>
        </w:rPr>
        <w:t>Grunov</w:t>
      </w:r>
      <w:proofErr w:type="spellEnd"/>
      <w:r w:rsidR="00DB056F">
        <w:rPr>
          <w:lang w:val="en-US"/>
        </w:rPr>
        <w:t xml:space="preserve"> could not</w:t>
      </w:r>
      <w:r w:rsidR="009730A5">
        <w:rPr>
          <w:lang w:val="en-US"/>
        </w:rPr>
        <w:t xml:space="preserve"> properly</w:t>
      </w:r>
      <w:r w:rsidR="00DB056F">
        <w:rPr>
          <w:lang w:val="en-US"/>
        </w:rPr>
        <w:t xml:space="preserve"> prepare for his trial. Mr. </w:t>
      </w:r>
      <w:proofErr w:type="spellStart"/>
      <w:r w:rsidR="00DB056F">
        <w:rPr>
          <w:lang w:val="en-US"/>
        </w:rPr>
        <w:t>Grunov</w:t>
      </w:r>
      <w:proofErr w:type="spellEnd"/>
      <w:r w:rsidR="00DB056F">
        <w:rPr>
          <w:lang w:val="en-US"/>
        </w:rPr>
        <w:t xml:space="preserve"> was able to hire a private lawyer only after</w:t>
      </w:r>
      <w:r w:rsidR="00AB0DDF">
        <w:rPr>
          <w:lang w:val="en-US"/>
        </w:rPr>
        <w:t xml:space="preserve"> the trial</w:t>
      </w:r>
      <w:r w:rsidR="00DB056F">
        <w:rPr>
          <w:lang w:val="en-US"/>
        </w:rPr>
        <w:t xml:space="preserve"> to help him with filing a cassation appeal. </w:t>
      </w:r>
    </w:p>
    <w:p w:rsidR="00DA536F" w:rsidRPr="00DA536F" w:rsidRDefault="00BB6A41" w:rsidP="00DA536F">
      <w:pPr>
        <w:pStyle w:val="SingleTxtG"/>
        <w:spacing w:line="240" w:lineRule="auto"/>
        <w:rPr>
          <w:lang w:val="en-US"/>
        </w:rPr>
      </w:pPr>
      <w:r>
        <w:rPr>
          <w:lang w:val="en-US"/>
        </w:rPr>
        <w:t>3.6</w:t>
      </w:r>
      <w:r w:rsidR="00DA536F" w:rsidRPr="00DA536F">
        <w:rPr>
          <w:lang w:val="en-US"/>
        </w:rPr>
        <w:tab/>
      </w:r>
      <w:r w:rsidR="00FA561D">
        <w:rPr>
          <w:lang w:val="en-US"/>
        </w:rPr>
        <w:t xml:space="preserve">Ms. </w:t>
      </w:r>
      <w:proofErr w:type="spellStart"/>
      <w:r w:rsidR="00FA561D">
        <w:rPr>
          <w:lang w:val="en-US"/>
        </w:rPr>
        <w:t>Grunova</w:t>
      </w:r>
      <w:proofErr w:type="spellEnd"/>
      <w:r w:rsidR="00FA561D">
        <w:rPr>
          <w:lang w:val="en-US"/>
        </w:rPr>
        <w:t xml:space="preserve"> also claims</w:t>
      </w:r>
      <w:r w:rsidR="00DA536F" w:rsidRPr="00DA536F">
        <w:rPr>
          <w:lang w:val="en-US"/>
        </w:rPr>
        <w:t xml:space="preserve"> a violation of her rights under article</w:t>
      </w:r>
      <w:r w:rsidR="00B02F7F">
        <w:rPr>
          <w:lang w:val="en-US"/>
        </w:rPr>
        <w:t>s</w:t>
      </w:r>
      <w:r w:rsidR="00DA536F" w:rsidRPr="00DA536F">
        <w:rPr>
          <w:lang w:val="en-US"/>
        </w:rPr>
        <w:t xml:space="preserve"> 7 and 14</w:t>
      </w:r>
      <w:r w:rsidR="00FA561D">
        <w:rPr>
          <w:lang w:val="en-US"/>
        </w:rPr>
        <w:t xml:space="preserve">(1), read </w:t>
      </w:r>
      <w:r w:rsidR="00DA536F" w:rsidRPr="00DA536F">
        <w:rPr>
          <w:lang w:val="en-US"/>
        </w:rPr>
        <w:t>in conjunction with article 2</w:t>
      </w:r>
      <w:r w:rsidR="00BA7AAD">
        <w:rPr>
          <w:lang w:val="en-US"/>
        </w:rPr>
        <w:t>(</w:t>
      </w:r>
      <w:r w:rsidR="00DA536F" w:rsidRPr="00DA536F">
        <w:rPr>
          <w:lang w:val="en-US"/>
        </w:rPr>
        <w:t>2</w:t>
      </w:r>
      <w:r w:rsidR="00BA7AAD">
        <w:rPr>
          <w:lang w:val="en-US"/>
        </w:rPr>
        <w:t>)</w:t>
      </w:r>
      <w:r w:rsidR="00DA536F" w:rsidRPr="00DA536F">
        <w:rPr>
          <w:lang w:val="en-US"/>
        </w:rPr>
        <w:t xml:space="preserve"> of the Covenant</w:t>
      </w:r>
      <w:r w:rsidR="00BA7AAD">
        <w:rPr>
          <w:lang w:val="en-US"/>
        </w:rPr>
        <w:t>. She submits that carrying out the</w:t>
      </w:r>
      <w:r w:rsidR="00DA536F" w:rsidRPr="00DA536F">
        <w:rPr>
          <w:lang w:val="en-US"/>
        </w:rPr>
        <w:t xml:space="preserve"> death sentence in Belarus, notably</w:t>
      </w:r>
      <w:r w:rsidR="00AB0DDF">
        <w:rPr>
          <w:lang w:val="en-US"/>
        </w:rPr>
        <w:t>,</w:t>
      </w:r>
      <w:r w:rsidR="00DA536F" w:rsidRPr="00DA536F">
        <w:rPr>
          <w:lang w:val="en-US"/>
        </w:rPr>
        <w:t xml:space="preserve"> the</w:t>
      </w:r>
      <w:r w:rsidR="00AB0DDF">
        <w:rPr>
          <w:lang w:val="en-US"/>
        </w:rPr>
        <w:t xml:space="preserve"> refusal by the</w:t>
      </w:r>
      <w:r w:rsidR="00DA536F" w:rsidRPr="00DA536F">
        <w:rPr>
          <w:lang w:val="en-US"/>
        </w:rPr>
        <w:t xml:space="preserve"> authorities to reveal the exact date, time and place of the execution and to disclose the location of </w:t>
      </w:r>
      <w:r w:rsidR="00FA561D">
        <w:rPr>
          <w:lang w:val="en-US"/>
        </w:rPr>
        <w:t>her son’s</w:t>
      </w:r>
      <w:r w:rsidR="00DA536F" w:rsidRPr="00DA536F">
        <w:rPr>
          <w:lang w:val="en-US"/>
        </w:rPr>
        <w:t xml:space="preserve"> burial site, caused her severe mental suffering and stress. The complete secrecy surrounding the execution and the burial place of her son, as well as the refusal to hand over the body for burial have the effect of intimidating and punishing her family by intentionally leaving it in a state of uncertainty and mental distress. </w:t>
      </w:r>
      <w:r w:rsidR="00FA561D">
        <w:rPr>
          <w:lang w:val="en-US"/>
        </w:rPr>
        <w:t xml:space="preserve">Ms. </w:t>
      </w:r>
      <w:proofErr w:type="spellStart"/>
      <w:r w:rsidR="00FA561D">
        <w:rPr>
          <w:lang w:val="en-US"/>
        </w:rPr>
        <w:t>Grunova</w:t>
      </w:r>
      <w:proofErr w:type="spellEnd"/>
      <w:r w:rsidR="00FA561D">
        <w:rPr>
          <w:lang w:val="en-US"/>
        </w:rPr>
        <w:t xml:space="preserve"> also</w:t>
      </w:r>
      <w:r w:rsidR="00DA536F" w:rsidRPr="00DA536F">
        <w:rPr>
          <w:lang w:val="en-US"/>
        </w:rPr>
        <w:t xml:space="preserve"> claims that such practice is in violation of article 25, paragraph 3 of the Constitution of the Republic of Belarus. </w:t>
      </w:r>
    </w:p>
    <w:p w:rsidR="00DA536F" w:rsidRPr="00DA536F" w:rsidRDefault="00BB6A41" w:rsidP="006E1196">
      <w:pPr>
        <w:pStyle w:val="SingleTxtG"/>
        <w:spacing w:line="240" w:lineRule="auto"/>
        <w:rPr>
          <w:lang w:val="en-US"/>
        </w:rPr>
      </w:pPr>
      <w:r>
        <w:rPr>
          <w:lang w:val="en-US"/>
        </w:rPr>
        <w:t>3.7</w:t>
      </w:r>
      <w:r w:rsidR="00BA7AAD">
        <w:rPr>
          <w:lang w:val="en-US"/>
        </w:rPr>
        <w:tab/>
        <w:t xml:space="preserve">Ms. </w:t>
      </w:r>
      <w:proofErr w:type="spellStart"/>
      <w:r w:rsidR="00BA7AAD">
        <w:rPr>
          <w:lang w:val="en-US"/>
        </w:rPr>
        <w:t>Grunova</w:t>
      </w:r>
      <w:proofErr w:type="spellEnd"/>
      <w:r w:rsidR="00BA7AAD">
        <w:rPr>
          <w:lang w:val="en-US"/>
        </w:rPr>
        <w:t xml:space="preserve"> also</w:t>
      </w:r>
      <w:r w:rsidR="00DA536F" w:rsidRPr="00DA536F">
        <w:rPr>
          <w:lang w:val="en-US"/>
        </w:rPr>
        <w:t xml:space="preserve"> claims a violation of her right under article 14</w:t>
      </w:r>
      <w:r w:rsidR="00AB0DDF">
        <w:rPr>
          <w:lang w:val="en-US"/>
        </w:rPr>
        <w:t>(1)</w:t>
      </w:r>
      <w:r w:rsidR="00DA536F" w:rsidRPr="00DA536F">
        <w:rPr>
          <w:lang w:val="en-US"/>
        </w:rPr>
        <w:t xml:space="preserve"> in conjunct</w:t>
      </w:r>
      <w:r w:rsidR="00BA7AAD">
        <w:rPr>
          <w:lang w:val="en-US"/>
        </w:rPr>
        <w:t>ion with article 2</w:t>
      </w:r>
      <w:r w:rsidR="00AB0DDF">
        <w:rPr>
          <w:lang w:val="en-US"/>
        </w:rPr>
        <w:t>(</w:t>
      </w:r>
      <w:r w:rsidR="00BA7AAD">
        <w:rPr>
          <w:lang w:val="en-US"/>
        </w:rPr>
        <w:t>2</w:t>
      </w:r>
      <w:r w:rsidR="00AB0DDF">
        <w:rPr>
          <w:lang w:val="en-US"/>
        </w:rPr>
        <w:t>)</w:t>
      </w:r>
      <w:r w:rsidR="00BA7AAD">
        <w:rPr>
          <w:lang w:val="en-US"/>
        </w:rPr>
        <w:t xml:space="preserve">. She claims that despite her numerous complaints to the authorities, she </w:t>
      </w:r>
      <w:r w:rsidR="00DA536F" w:rsidRPr="00DA536F">
        <w:rPr>
          <w:lang w:val="en-US"/>
        </w:rPr>
        <w:t>was not able to ensure the protection of her right</w:t>
      </w:r>
      <w:r w:rsidR="00AB0DDF">
        <w:rPr>
          <w:lang w:val="en-US"/>
        </w:rPr>
        <w:t>s</w:t>
      </w:r>
      <w:r w:rsidR="00DA536F" w:rsidRPr="00DA536F">
        <w:rPr>
          <w:lang w:val="en-US"/>
        </w:rPr>
        <w:t xml:space="preserve"> under article 7 of the Covenant</w:t>
      </w:r>
      <w:r w:rsidR="00BA7AAD">
        <w:rPr>
          <w:lang w:val="en-US"/>
        </w:rPr>
        <w:t>, since a “competent, independent and impartial tribunal” did not hear her complaint. Furthermore, she was not able to obtain an</w:t>
      </w:r>
      <w:r w:rsidR="00DA536F" w:rsidRPr="00DA536F">
        <w:rPr>
          <w:lang w:val="en-US"/>
        </w:rPr>
        <w:t xml:space="preserve"> effective remedy</w:t>
      </w:r>
      <w:r w:rsidR="00BA7AAD">
        <w:rPr>
          <w:lang w:val="en-US"/>
        </w:rPr>
        <w:t xml:space="preserve"> or a fair hearing when she requested </w:t>
      </w:r>
      <w:r w:rsidR="00DA536F" w:rsidRPr="00DA536F">
        <w:rPr>
          <w:lang w:val="en-US"/>
        </w:rPr>
        <w:t xml:space="preserve">information about the exact time of her son’s execution and the location of his burial </w:t>
      </w:r>
      <w:r w:rsidR="00BA7AAD">
        <w:rPr>
          <w:lang w:val="en-US"/>
        </w:rPr>
        <w:t xml:space="preserve">site. </w:t>
      </w:r>
    </w:p>
    <w:p w:rsidR="001B0994" w:rsidRPr="0004514B" w:rsidRDefault="001B0994" w:rsidP="003C1781">
      <w:pPr>
        <w:pStyle w:val="H23G"/>
        <w:spacing w:line="240" w:lineRule="auto"/>
      </w:pPr>
      <w:r w:rsidRPr="0004514B">
        <w:rPr>
          <w:b w:val="0"/>
        </w:rPr>
        <w:tab/>
      </w:r>
      <w:r w:rsidRPr="0004514B">
        <w:rPr>
          <w:b w:val="0"/>
        </w:rPr>
        <w:tab/>
      </w:r>
      <w:r w:rsidRPr="0004514B">
        <w:t>St</w:t>
      </w:r>
      <w:r w:rsidR="008D258E" w:rsidRPr="0004514B">
        <w:t xml:space="preserve">ate party’s observations on </w:t>
      </w:r>
      <w:r w:rsidRPr="0004514B">
        <w:t xml:space="preserve">admissibility </w:t>
      </w:r>
      <w:r w:rsidR="00B92F27" w:rsidRPr="0004514B">
        <w:t>and the merits</w:t>
      </w:r>
    </w:p>
    <w:p w:rsidR="009024CD" w:rsidRDefault="00584794" w:rsidP="00350088">
      <w:pPr>
        <w:pStyle w:val="SingleTxtG"/>
        <w:spacing w:line="240" w:lineRule="auto"/>
        <w:rPr>
          <w:lang w:val="en-US"/>
        </w:rPr>
      </w:pPr>
      <w:r w:rsidRPr="0004514B">
        <w:rPr>
          <w:lang w:val="en-AU"/>
        </w:rPr>
        <w:t>4.1</w:t>
      </w:r>
      <w:r w:rsidRPr="0004514B">
        <w:rPr>
          <w:lang w:val="en-AU"/>
        </w:rPr>
        <w:tab/>
      </w:r>
      <w:r w:rsidR="00F0462A">
        <w:rPr>
          <w:lang w:val="en-AU"/>
        </w:rPr>
        <w:t xml:space="preserve">The State party in its Note </w:t>
      </w:r>
      <w:proofErr w:type="spellStart"/>
      <w:r w:rsidR="00F0462A">
        <w:rPr>
          <w:lang w:val="en-AU"/>
        </w:rPr>
        <w:t>Verbale</w:t>
      </w:r>
      <w:proofErr w:type="spellEnd"/>
      <w:r w:rsidR="00F0462A">
        <w:rPr>
          <w:lang w:val="en-AU"/>
        </w:rPr>
        <w:t xml:space="preserve"> dated 25 January 2016</w:t>
      </w:r>
      <w:r w:rsidR="00602671">
        <w:rPr>
          <w:lang w:val="en-AU"/>
        </w:rPr>
        <w:t>,</w:t>
      </w:r>
      <w:r w:rsidR="00F0462A">
        <w:rPr>
          <w:rStyle w:val="FootnoteReference"/>
          <w:lang w:val="en-AU"/>
        </w:rPr>
        <w:footnoteReference w:id="7"/>
      </w:r>
      <w:r w:rsidR="00F0462A">
        <w:rPr>
          <w:lang w:val="en-AU"/>
        </w:rPr>
        <w:t xml:space="preserve"> confirmed that Mr. </w:t>
      </w:r>
      <w:proofErr w:type="spellStart"/>
      <w:r w:rsidR="00F0462A">
        <w:rPr>
          <w:lang w:val="en-AU"/>
        </w:rPr>
        <w:t>Grunov</w:t>
      </w:r>
      <w:proofErr w:type="spellEnd"/>
      <w:r w:rsidR="00F0462A">
        <w:rPr>
          <w:lang w:val="en-AU"/>
        </w:rPr>
        <w:t xml:space="preserve"> was sentenced to death on 24 December 2013. On 8 </w:t>
      </w:r>
      <w:r w:rsidR="00257262">
        <w:rPr>
          <w:lang w:val="en-AU"/>
        </w:rPr>
        <w:t>April</w:t>
      </w:r>
      <w:r w:rsidR="00F0462A">
        <w:rPr>
          <w:lang w:val="en-AU"/>
        </w:rPr>
        <w:t xml:space="preserve"> 2014, this court verdict and sentence came into force, and was carried out on 22 October 2014. On 8 December 2014, the Central District Court in the city of Gomel rejected Ms. </w:t>
      </w:r>
      <w:proofErr w:type="spellStart"/>
      <w:r w:rsidR="00F0462A">
        <w:rPr>
          <w:lang w:val="en-AU"/>
        </w:rPr>
        <w:t>Grunova’s</w:t>
      </w:r>
      <w:proofErr w:type="spellEnd"/>
      <w:r w:rsidR="00F0462A">
        <w:rPr>
          <w:lang w:val="en-AU"/>
        </w:rPr>
        <w:t xml:space="preserve"> complaint which she filed against the Gomel Regional Court and the Department o</w:t>
      </w:r>
      <w:r w:rsidR="00F0462A">
        <w:rPr>
          <w:lang w:val="en-US"/>
        </w:rPr>
        <w:t xml:space="preserve">f execution of punishments under the Ministry of Interior. The Central District Court indicated that this complaint </w:t>
      </w:r>
      <w:proofErr w:type="gramStart"/>
      <w:r w:rsidR="00F0462A">
        <w:rPr>
          <w:lang w:val="en-US"/>
        </w:rPr>
        <w:t>was rejected</w:t>
      </w:r>
      <w:proofErr w:type="gramEnd"/>
      <w:r w:rsidR="00F0462A">
        <w:rPr>
          <w:lang w:val="en-US"/>
        </w:rPr>
        <w:t xml:space="preserve"> for lack of jurisdiction. </w:t>
      </w:r>
    </w:p>
    <w:p w:rsidR="00F0462A" w:rsidRDefault="00F0462A" w:rsidP="00350088">
      <w:pPr>
        <w:pStyle w:val="SingleTxtG"/>
        <w:spacing w:line="240" w:lineRule="auto"/>
        <w:rPr>
          <w:lang w:val="en-US"/>
        </w:rPr>
      </w:pPr>
      <w:r>
        <w:rPr>
          <w:lang w:val="en-US"/>
        </w:rPr>
        <w:t>4.2</w:t>
      </w:r>
      <w:r>
        <w:rPr>
          <w:lang w:val="en-US"/>
        </w:rPr>
        <w:tab/>
        <w:t xml:space="preserve">In the complaint, Ms. </w:t>
      </w:r>
      <w:proofErr w:type="spellStart"/>
      <w:r>
        <w:rPr>
          <w:lang w:val="en-US"/>
        </w:rPr>
        <w:t>Gru</w:t>
      </w:r>
      <w:r w:rsidR="00AB0DDF">
        <w:rPr>
          <w:lang w:val="en-US"/>
        </w:rPr>
        <w:t>nova</w:t>
      </w:r>
      <w:proofErr w:type="spellEnd"/>
      <w:r w:rsidR="00AB0DDF">
        <w:rPr>
          <w:lang w:val="en-US"/>
        </w:rPr>
        <w:t xml:space="preserve"> challenged actions by the S</w:t>
      </w:r>
      <w:r>
        <w:rPr>
          <w:lang w:val="en-US"/>
        </w:rPr>
        <w:t xml:space="preserve">tate party authorities in carrying out the death sentence against her son, and specifically, that she </w:t>
      </w:r>
      <w:proofErr w:type="gramStart"/>
      <w:r>
        <w:rPr>
          <w:lang w:val="en-US"/>
        </w:rPr>
        <w:t>was not informed</w:t>
      </w:r>
      <w:proofErr w:type="gramEnd"/>
      <w:r>
        <w:rPr>
          <w:lang w:val="en-US"/>
        </w:rPr>
        <w:t xml:space="preserve"> about time, date and place of the execution, and the place where her son was buried. </w:t>
      </w:r>
      <w:r w:rsidR="00612B94">
        <w:rPr>
          <w:lang w:val="en-US"/>
        </w:rPr>
        <w:t xml:space="preserve">The procedure to carry out a death penalty </w:t>
      </w:r>
      <w:proofErr w:type="gramStart"/>
      <w:r w:rsidR="00612B94">
        <w:rPr>
          <w:lang w:val="en-US"/>
        </w:rPr>
        <w:t>is described</w:t>
      </w:r>
      <w:proofErr w:type="gramEnd"/>
      <w:r w:rsidR="00612B94">
        <w:rPr>
          <w:lang w:val="en-US"/>
        </w:rPr>
        <w:t xml:space="preserve"> in article 175 of the Criminal Execution Code of Belarus. According to paragraph 5 of this article, the entity that carries out the death penalty, informs the court where the defendant </w:t>
      </w:r>
      <w:proofErr w:type="gramStart"/>
      <w:r w:rsidR="00612B94">
        <w:rPr>
          <w:lang w:val="en-US"/>
        </w:rPr>
        <w:t>was sentenced</w:t>
      </w:r>
      <w:proofErr w:type="gramEnd"/>
      <w:r w:rsidR="00612B94">
        <w:rPr>
          <w:lang w:val="en-US"/>
        </w:rPr>
        <w:t xml:space="preserve">, and that court in turn informs </w:t>
      </w:r>
      <w:r w:rsidR="00612B94">
        <w:rPr>
          <w:lang w:val="en-US"/>
        </w:rPr>
        <w:lastRenderedPageBreak/>
        <w:t xml:space="preserve">the relatives that the punishment has been carried out. The location of the burial site </w:t>
      </w:r>
      <w:proofErr w:type="gramStart"/>
      <w:r w:rsidR="00612B94">
        <w:rPr>
          <w:lang w:val="en-US"/>
        </w:rPr>
        <w:t>is not disclosed</w:t>
      </w:r>
      <w:proofErr w:type="gramEnd"/>
      <w:r w:rsidR="00612B94">
        <w:rPr>
          <w:lang w:val="en-US"/>
        </w:rPr>
        <w:t xml:space="preserve">, the body is not released to the relatives. </w:t>
      </w:r>
    </w:p>
    <w:p w:rsidR="00612B94" w:rsidRDefault="00612B94" w:rsidP="00350088">
      <w:pPr>
        <w:pStyle w:val="SingleTxtG"/>
        <w:spacing w:line="240" w:lineRule="auto"/>
        <w:rPr>
          <w:lang w:val="en-US"/>
        </w:rPr>
      </w:pPr>
      <w:r>
        <w:rPr>
          <w:lang w:val="en-US"/>
        </w:rPr>
        <w:t>4.3</w:t>
      </w:r>
      <w:r>
        <w:rPr>
          <w:lang w:val="en-US"/>
        </w:rPr>
        <w:tab/>
        <w:t>On 6 November 2014</w:t>
      </w:r>
      <w:r w:rsidR="00602671">
        <w:rPr>
          <w:lang w:val="en-US"/>
        </w:rPr>
        <w:t>,</w:t>
      </w:r>
      <w:r>
        <w:rPr>
          <w:lang w:val="en-US"/>
        </w:rPr>
        <w:t xml:space="preserve"> Ms. </w:t>
      </w:r>
      <w:proofErr w:type="spellStart"/>
      <w:r>
        <w:rPr>
          <w:lang w:val="en-US"/>
        </w:rPr>
        <w:t>Grunova</w:t>
      </w:r>
      <w:proofErr w:type="spellEnd"/>
      <w:r>
        <w:rPr>
          <w:lang w:val="en-US"/>
        </w:rPr>
        <w:t xml:space="preserve"> </w:t>
      </w:r>
      <w:proofErr w:type="gramStart"/>
      <w:r>
        <w:rPr>
          <w:lang w:val="en-US"/>
        </w:rPr>
        <w:t>was informed</w:t>
      </w:r>
      <w:proofErr w:type="gramEnd"/>
      <w:r>
        <w:rPr>
          <w:lang w:val="en-US"/>
        </w:rPr>
        <w:t xml:space="preserve"> that the death penalty against her son has been carried out. As for the location of the burial site, and releasing the body to the relatives, the State party informs the Committee that such issues “fall outside of the jurisdiction” of the civil courts. Ms. </w:t>
      </w:r>
      <w:proofErr w:type="spellStart"/>
      <w:r>
        <w:rPr>
          <w:lang w:val="en-US"/>
        </w:rPr>
        <w:t>Grunova</w:t>
      </w:r>
      <w:proofErr w:type="spellEnd"/>
      <w:r w:rsidR="00AB0DDF">
        <w:rPr>
          <w:lang w:val="en-US"/>
        </w:rPr>
        <w:t xml:space="preserve"> therefore</w:t>
      </w:r>
      <w:r>
        <w:rPr>
          <w:lang w:val="en-US"/>
        </w:rPr>
        <w:t xml:space="preserve"> cannot “directly challenge” provisions of the Criminal Execution Code of Belarus. </w:t>
      </w:r>
    </w:p>
    <w:p w:rsidR="00612B94" w:rsidRDefault="00612B94" w:rsidP="00350088">
      <w:pPr>
        <w:pStyle w:val="SingleTxtG"/>
        <w:spacing w:line="240" w:lineRule="auto"/>
        <w:rPr>
          <w:lang w:val="en-US"/>
        </w:rPr>
      </w:pPr>
      <w:r>
        <w:rPr>
          <w:lang w:val="en-US"/>
        </w:rPr>
        <w:t>4.4</w:t>
      </w:r>
      <w:r>
        <w:rPr>
          <w:lang w:val="en-US"/>
        </w:rPr>
        <w:tab/>
        <w:t xml:space="preserve">The State party further refers to resolution No. </w:t>
      </w:r>
      <w:r w:rsidR="00FC5B9C">
        <w:rPr>
          <w:lang w:val="en-US"/>
        </w:rPr>
        <w:t>1984/50 issued by ECOSOС</w:t>
      </w:r>
      <w:r w:rsidR="00294D05">
        <w:rPr>
          <w:lang w:val="en-US"/>
        </w:rPr>
        <w:t>,</w:t>
      </w:r>
      <w:r w:rsidR="00FC5B9C">
        <w:rPr>
          <w:rStyle w:val="FootnoteReference"/>
          <w:lang w:val="en-US"/>
        </w:rPr>
        <w:footnoteReference w:id="8"/>
      </w:r>
      <w:r w:rsidR="002F4395">
        <w:rPr>
          <w:lang w:val="en-US"/>
        </w:rPr>
        <w:t xml:space="preserve">  and according to this document,</w:t>
      </w:r>
      <w:r w:rsidR="00FC5B9C">
        <w:rPr>
          <w:lang w:val="en-US"/>
        </w:rPr>
        <w:t xml:space="preserve"> </w:t>
      </w:r>
      <w:r w:rsidR="00496084">
        <w:rPr>
          <w:lang w:val="en-US"/>
        </w:rPr>
        <w:t xml:space="preserve">the death penalty </w:t>
      </w:r>
      <w:proofErr w:type="gramStart"/>
      <w:r w:rsidR="00496084">
        <w:rPr>
          <w:lang w:val="en-US"/>
        </w:rPr>
        <w:t>must be carried out</w:t>
      </w:r>
      <w:proofErr w:type="gramEnd"/>
      <w:r w:rsidR="00496084">
        <w:rPr>
          <w:lang w:val="en-US"/>
        </w:rPr>
        <w:t xml:space="preserve"> in a way to cause as little suffering as possible. The Prosecutor General’s Office considers that here, the UN agency meant </w:t>
      </w:r>
      <w:r w:rsidR="002F4395">
        <w:rPr>
          <w:lang w:val="en-US"/>
        </w:rPr>
        <w:t xml:space="preserve">reducing suffering </w:t>
      </w:r>
      <w:r w:rsidR="00496084">
        <w:rPr>
          <w:lang w:val="en-US"/>
        </w:rPr>
        <w:t xml:space="preserve">not only the convicted person, but also the relatives of that person, therefore, it was decided that the executions will not be public. </w:t>
      </w:r>
      <w:r w:rsidR="008D441E">
        <w:rPr>
          <w:lang w:val="en-US"/>
        </w:rPr>
        <w:t>This</w:t>
      </w:r>
      <w:r w:rsidR="002F4395">
        <w:rPr>
          <w:lang w:val="en-US"/>
        </w:rPr>
        <w:t xml:space="preserve"> rule</w:t>
      </w:r>
      <w:r w:rsidR="008D441E">
        <w:rPr>
          <w:lang w:val="en-US"/>
        </w:rPr>
        <w:t xml:space="preserve"> concerns the execution itself, but also the details regarding the burial site. </w:t>
      </w:r>
    </w:p>
    <w:p w:rsidR="008D441E" w:rsidRPr="00FC5B9C" w:rsidRDefault="008D441E" w:rsidP="00350088">
      <w:pPr>
        <w:pStyle w:val="SingleTxtG"/>
        <w:spacing w:line="240" w:lineRule="auto"/>
        <w:rPr>
          <w:lang w:val="en-GB"/>
        </w:rPr>
      </w:pPr>
      <w:r>
        <w:rPr>
          <w:lang w:val="en-US"/>
        </w:rPr>
        <w:t>4.5</w:t>
      </w:r>
      <w:r>
        <w:rPr>
          <w:lang w:val="en-US"/>
        </w:rPr>
        <w:tab/>
        <w:t xml:space="preserve">Ms. </w:t>
      </w:r>
      <w:proofErr w:type="spellStart"/>
      <w:r>
        <w:rPr>
          <w:lang w:val="en-US"/>
        </w:rPr>
        <w:t>Grunova</w:t>
      </w:r>
      <w:proofErr w:type="spellEnd"/>
      <w:r>
        <w:rPr>
          <w:lang w:val="en-US"/>
        </w:rPr>
        <w:t xml:space="preserve"> appealed the Central District Court’s decision to the Gomel Regional Court, which also rejected the author’s complaint on 3 February 2015. Ms. </w:t>
      </w:r>
      <w:proofErr w:type="spellStart"/>
      <w:r>
        <w:rPr>
          <w:lang w:val="en-US"/>
        </w:rPr>
        <w:t>Grunova</w:t>
      </w:r>
      <w:proofErr w:type="spellEnd"/>
      <w:r>
        <w:rPr>
          <w:lang w:val="en-US"/>
        </w:rPr>
        <w:t xml:space="preserve"> appealed this decision to the Supreme Court of Belarus under the supervisory review procedure, which the court rejected. </w:t>
      </w:r>
      <w:r w:rsidR="009730A5">
        <w:rPr>
          <w:lang w:val="en-US"/>
        </w:rPr>
        <w:t xml:space="preserve">Ms. </w:t>
      </w:r>
      <w:proofErr w:type="spellStart"/>
      <w:r w:rsidR="009730A5">
        <w:rPr>
          <w:lang w:val="en-US"/>
        </w:rPr>
        <w:t>Grunova</w:t>
      </w:r>
      <w:proofErr w:type="spellEnd"/>
      <w:r>
        <w:rPr>
          <w:lang w:val="en-US"/>
        </w:rPr>
        <w:t xml:space="preserve">, however, did not appeal to the Office of the Prosecutor General or to </w:t>
      </w:r>
      <w:r w:rsidR="009730A5">
        <w:rPr>
          <w:lang w:val="en-US"/>
        </w:rPr>
        <w:t>its deputies</w:t>
      </w:r>
      <w:r>
        <w:rPr>
          <w:lang w:val="en-US"/>
        </w:rPr>
        <w:t xml:space="preserve"> for them to bring a supervisory review request</w:t>
      </w:r>
      <w:r w:rsidR="002F4395">
        <w:rPr>
          <w:lang w:val="en-US"/>
        </w:rPr>
        <w:t xml:space="preserve"> to the Supreme Court</w:t>
      </w:r>
      <w:r>
        <w:rPr>
          <w:lang w:val="en-US"/>
        </w:rPr>
        <w:t xml:space="preserve">. Therefore, the State party considers that Ms. </w:t>
      </w:r>
      <w:proofErr w:type="spellStart"/>
      <w:r>
        <w:rPr>
          <w:lang w:val="en-US"/>
        </w:rPr>
        <w:t>Grunova</w:t>
      </w:r>
      <w:proofErr w:type="spellEnd"/>
      <w:r>
        <w:rPr>
          <w:lang w:val="en-US"/>
        </w:rPr>
        <w:t xml:space="preserve"> did not exhaust all available domestic remedies. </w:t>
      </w:r>
    </w:p>
    <w:p w:rsidR="00B92F27" w:rsidRPr="0004514B" w:rsidRDefault="002D66A6" w:rsidP="005B1F58">
      <w:pPr>
        <w:pStyle w:val="H23G"/>
      </w:pPr>
      <w:r>
        <w:rPr>
          <w:lang w:val="en-US"/>
        </w:rPr>
        <w:tab/>
      </w:r>
      <w:r>
        <w:rPr>
          <w:lang w:val="en-US"/>
        </w:rPr>
        <w:tab/>
      </w:r>
      <w:r w:rsidR="00B92F27" w:rsidRPr="0004514B">
        <w:t>Author</w:t>
      </w:r>
      <w:r w:rsidR="009730A5">
        <w:rPr>
          <w:lang w:val="en-US"/>
        </w:rPr>
        <w:t>’</w:t>
      </w:r>
      <w:r w:rsidR="00CA27C9">
        <w:rPr>
          <w:lang w:val="en-US"/>
        </w:rPr>
        <w:t>s</w:t>
      </w:r>
      <w:r w:rsidR="00B92F27" w:rsidRPr="0004514B">
        <w:t xml:space="preserve"> comments on the State party’s observations</w:t>
      </w:r>
    </w:p>
    <w:p w:rsidR="00FC1042" w:rsidRPr="00100142" w:rsidRDefault="00100142" w:rsidP="0018545A">
      <w:pPr>
        <w:pStyle w:val="SingleTxtG"/>
        <w:spacing w:line="240" w:lineRule="auto"/>
        <w:rPr>
          <w:lang w:val="en-US"/>
        </w:rPr>
      </w:pPr>
      <w:r>
        <w:t>5.</w:t>
      </w:r>
      <w:r w:rsidR="00AF5B83" w:rsidRPr="0004514B">
        <w:tab/>
      </w:r>
      <w:r w:rsidR="00FC1042">
        <w:rPr>
          <w:lang w:val="en-US"/>
        </w:rPr>
        <w:t xml:space="preserve">Ms. </w:t>
      </w:r>
      <w:proofErr w:type="spellStart"/>
      <w:r w:rsidR="00FC1042">
        <w:rPr>
          <w:lang w:val="en-US"/>
        </w:rPr>
        <w:t>Grunova</w:t>
      </w:r>
      <w:proofErr w:type="spellEnd"/>
      <w:r w:rsidR="00FC1042">
        <w:rPr>
          <w:lang w:val="en-US"/>
        </w:rPr>
        <w:t>, responding to the State party’s comments, submits that the author in a complaint before the Committee does not need to exhaust all available domestic remedies, but only those that</w:t>
      </w:r>
      <w:r w:rsidR="002F4395">
        <w:rPr>
          <w:lang w:val="en-US"/>
        </w:rPr>
        <w:t xml:space="preserve"> </w:t>
      </w:r>
      <w:proofErr w:type="gramStart"/>
      <w:r w:rsidR="002F4395">
        <w:rPr>
          <w:lang w:val="en-US"/>
        </w:rPr>
        <w:t>can</w:t>
      </w:r>
      <w:r w:rsidR="00FC1042">
        <w:rPr>
          <w:lang w:val="en-US"/>
        </w:rPr>
        <w:t xml:space="preserve"> be considered</w:t>
      </w:r>
      <w:proofErr w:type="gramEnd"/>
      <w:r w:rsidR="00FC1042">
        <w:rPr>
          <w:lang w:val="en-US"/>
        </w:rPr>
        <w:t xml:space="preserve"> effective. The Committee has a long-standing jurisprudence, according to which, the supervisory review procedure, which still exists in post-Soviet countries, </w:t>
      </w:r>
      <w:proofErr w:type="gramStart"/>
      <w:r w:rsidR="00FC1042">
        <w:rPr>
          <w:lang w:val="en-US"/>
        </w:rPr>
        <w:t>is deemed</w:t>
      </w:r>
      <w:proofErr w:type="gramEnd"/>
      <w:r w:rsidR="00FC1042">
        <w:rPr>
          <w:lang w:val="en-US"/>
        </w:rPr>
        <w:t xml:space="preserve"> ineffective</w:t>
      </w:r>
      <w:r w:rsidR="00602671">
        <w:rPr>
          <w:lang w:val="en-US"/>
        </w:rPr>
        <w:t>.</w:t>
      </w:r>
      <w:r w:rsidR="00162ED4">
        <w:rPr>
          <w:rStyle w:val="FootnoteReference"/>
          <w:lang w:val="en-US"/>
        </w:rPr>
        <w:footnoteReference w:id="9"/>
      </w:r>
      <w:r w:rsidR="00FC1042">
        <w:rPr>
          <w:lang w:val="en-US"/>
        </w:rPr>
        <w:t xml:space="preserve"> The European Court of Human Right’s position is similar in that the supervisory procedure’s discretionary nature makes it an ineffective remedy, which does not need to be exhausted</w:t>
      </w:r>
      <w:r w:rsidR="00602671">
        <w:rPr>
          <w:lang w:val="en-US"/>
        </w:rPr>
        <w:t>.</w:t>
      </w:r>
      <w:r w:rsidR="00FC1042">
        <w:rPr>
          <w:rStyle w:val="FootnoteReference"/>
          <w:lang w:val="en-US"/>
        </w:rPr>
        <w:footnoteReference w:id="10"/>
      </w:r>
      <w:r w:rsidR="00294D05">
        <w:rPr>
          <w:lang w:val="en-US"/>
        </w:rPr>
        <w:t xml:space="preserve"> </w:t>
      </w:r>
      <w:r>
        <w:rPr>
          <w:lang w:val="en-US"/>
        </w:rPr>
        <w:t xml:space="preserve">Ms. </w:t>
      </w:r>
      <w:proofErr w:type="spellStart"/>
      <w:r>
        <w:rPr>
          <w:lang w:val="en-US"/>
        </w:rPr>
        <w:t>Grunova</w:t>
      </w:r>
      <w:proofErr w:type="spellEnd"/>
      <w:r>
        <w:rPr>
          <w:lang w:val="en-US"/>
        </w:rPr>
        <w:t xml:space="preserve"> submits that she did in fact submit a supervisory review request to the Chairperson of the Supreme Court, but she received a rejection letter signed by a deputy chairperson. This shows, again, the ineffectiveness of the procedure. </w:t>
      </w:r>
    </w:p>
    <w:p w:rsidR="002778AD" w:rsidRPr="002778AD" w:rsidRDefault="002D66A6" w:rsidP="005B1F58">
      <w:pPr>
        <w:pStyle w:val="H23G"/>
        <w:rPr>
          <w:lang w:val="en-US"/>
        </w:rPr>
      </w:pPr>
      <w:r>
        <w:rPr>
          <w:lang w:val="en-US"/>
        </w:rPr>
        <w:tab/>
      </w:r>
      <w:r>
        <w:rPr>
          <w:lang w:val="en-US"/>
        </w:rPr>
        <w:tab/>
      </w:r>
      <w:r w:rsidR="002778AD" w:rsidRPr="002778AD">
        <w:rPr>
          <w:lang w:val="en-US"/>
        </w:rPr>
        <w:t>Lack of cooperation from the State party</w:t>
      </w:r>
    </w:p>
    <w:p w:rsidR="002778AD" w:rsidRDefault="009730A5" w:rsidP="002778AD">
      <w:pPr>
        <w:pStyle w:val="SingleTxtG"/>
      </w:pPr>
      <w:r>
        <w:rPr>
          <w:lang w:val="en-US"/>
        </w:rPr>
        <w:t>6</w:t>
      </w:r>
      <w:r w:rsidR="002778AD">
        <w:t>.1</w:t>
      </w:r>
      <w:r w:rsidR="002778AD">
        <w:tab/>
        <w:t xml:space="preserve">The Committee notes that the State party failed to respect the Committee’s request for interim measures by executing </w:t>
      </w:r>
      <w:r w:rsidR="002778AD">
        <w:rPr>
          <w:lang w:val="en-US"/>
        </w:rPr>
        <w:t xml:space="preserve">Mr. </w:t>
      </w:r>
      <w:proofErr w:type="spellStart"/>
      <w:r w:rsidR="002778AD">
        <w:rPr>
          <w:lang w:val="en-US"/>
        </w:rPr>
        <w:t>Grunov</w:t>
      </w:r>
      <w:proofErr w:type="spellEnd"/>
      <w:r w:rsidR="002778AD">
        <w:t xml:space="preserve"> before the Committee had concluded its consideration of the communication. </w:t>
      </w:r>
    </w:p>
    <w:p w:rsidR="002778AD" w:rsidRDefault="009730A5" w:rsidP="002778AD">
      <w:pPr>
        <w:pStyle w:val="SingleTxtG"/>
      </w:pPr>
      <w:r>
        <w:rPr>
          <w:lang w:val="en-US"/>
        </w:rPr>
        <w:t>6</w:t>
      </w:r>
      <w:r w:rsidR="00B4174D">
        <w:rPr>
          <w:lang w:val="en-US"/>
        </w:rPr>
        <w:t>.</w:t>
      </w:r>
      <w:r w:rsidR="002778AD">
        <w:t>2</w:t>
      </w:r>
      <w:r w:rsidR="002778AD">
        <w:tab/>
        <w:t>The Committee recalls that article 39 (2) of the Covenant authorizes it to establish its own rules of procedure, which States parties have agreed to recognize. The Committee further observes that, by adhering to the Optional Protocol, a State party to the Covenant recognizes the competence of the Committee to receive and consider communications from individuals subject to its jurisdiction who claim to be victims of a violation of any of the rights set forth in the Covenant.</w:t>
      </w:r>
      <w:r w:rsidR="002778AD">
        <w:rPr>
          <w:rStyle w:val="FootnoteReference"/>
        </w:rPr>
        <w:footnoteReference w:id="11"/>
      </w:r>
      <w:r w:rsidR="002778AD">
        <w:t xml:space="preserve"> Implicit in the adherence of a State to the Optional Protocol </w:t>
      </w:r>
      <w:r w:rsidR="002778AD">
        <w:lastRenderedPageBreak/>
        <w:t>is an undertaking to cooperate with the Committee in good faith, so as to permit and enable it to consider such communications and, after examination, to forward its Views to the State party and to the individual concerned.</w:t>
      </w:r>
      <w:r w:rsidR="002778AD">
        <w:rPr>
          <w:rStyle w:val="FootnoteReference"/>
        </w:rPr>
        <w:footnoteReference w:id="12"/>
      </w:r>
      <w:r w:rsidR="002778AD">
        <w:t xml:space="preserve"> It is incompatible with its obligations under article 1 of the Optional Protocol for a State party to take any action that would prevent or frustrate the Committee in its consideration and examination of communications and in the expression of its Views.</w:t>
      </w:r>
      <w:r w:rsidR="002778AD">
        <w:rPr>
          <w:rStyle w:val="FootnoteReference"/>
        </w:rPr>
        <w:footnoteReference w:id="13"/>
      </w:r>
      <w:r w:rsidR="002778AD">
        <w:t xml:space="preserve"> </w:t>
      </w:r>
    </w:p>
    <w:p w:rsidR="002778AD" w:rsidRDefault="009730A5" w:rsidP="002778AD">
      <w:pPr>
        <w:pStyle w:val="SingleTxtG"/>
      </w:pPr>
      <w:r>
        <w:rPr>
          <w:lang w:val="en-US"/>
        </w:rPr>
        <w:t>6</w:t>
      </w:r>
      <w:r w:rsidR="002778AD">
        <w:t>.3</w:t>
      </w:r>
      <w:r w:rsidR="002778AD">
        <w:tab/>
        <w:t xml:space="preserve">In the present case, the Committee observes that, when </w:t>
      </w:r>
      <w:r w:rsidR="002778AD">
        <w:rPr>
          <w:lang w:val="en-US"/>
        </w:rPr>
        <w:t xml:space="preserve">Mr. </w:t>
      </w:r>
      <w:proofErr w:type="spellStart"/>
      <w:r w:rsidR="002778AD">
        <w:rPr>
          <w:lang w:val="en-US"/>
        </w:rPr>
        <w:t>Grunov</w:t>
      </w:r>
      <w:proofErr w:type="spellEnd"/>
      <w:r w:rsidR="002778AD">
        <w:t xml:space="preserve"> submitted the communication on </w:t>
      </w:r>
      <w:r w:rsidR="002778AD">
        <w:rPr>
          <w:lang w:val="en-US"/>
        </w:rPr>
        <w:t>8 April 2014</w:t>
      </w:r>
      <w:r w:rsidR="002778AD">
        <w:t xml:space="preserve">, the author informed the Committee that he </w:t>
      </w:r>
      <w:proofErr w:type="gramStart"/>
      <w:r w:rsidR="002778AD">
        <w:t>had been sentenced</w:t>
      </w:r>
      <w:proofErr w:type="gramEnd"/>
      <w:r w:rsidR="002778AD">
        <w:t xml:space="preserve"> to death and that the sentence could be carried out at any time. On </w:t>
      </w:r>
      <w:r w:rsidR="002778AD">
        <w:rPr>
          <w:lang w:val="en-US"/>
        </w:rPr>
        <w:t>9 April 2014</w:t>
      </w:r>
      <w:r w:rsidR="002778AD">
        <w:t xml:space="preserve">, the Committee transmitted to </w:t>
      </w:r>
      <w:r w:rsidR="002778AD" w:rsidRPr="004A789E">
        <w:t>the State party a request not to carry out the death sentence while the case was under examination by the Committee.</w:t>
      </w:r>
      <w:r w:rsidR="002778AD">
        <w:rPr>
          <w:lang w:val="en-US"/>
        </w:rPr>
        <w:t xml:space="preserve"> On 13 November 2014,</w:t>
      </w:r>
      <w:r w:rsidR="002778AD" w:rsidRPr="004A789E">
        <w:t xml:space="preserve"> the Committee received information </w:t>
      </w:r>
      <w:r w:rsidR="002778AD">
        <w:rPr>
          <w:lang w:val="en-US"/>
        </w:rPr>
        <w:t>t</w:t>
      </w:r>
      <w:r w:rsidR="002778AD" w:rsidRPr="004A789E">
        <w:t xml:space="preserve">hat </w:t>
      </w:r>
      <w:r>
        <w:rPr>
          <w:lang w:val="en-US"/>
        </w:rPr>
        <w:t xml:space="preserve">Mr. </w:t>
      </w:r>
      <w:proofErr w:type="spellStart"/>
      <w:r>
        <w:rPr>
          <w:lang w:val="en-US"/>
        </w:rPr>
        <w:t>Grunov</w:t>
      </w:r>
      <w:proofErr w:type="spellEnd"/>
      <w:r w:rsidR="002778AD" w:rsidRPr="004A789E">
        <w:t xml:space="preserve"> </w:t>
      </w:r>
      <w:proofErr w:type="gramStart"/>
      <w:r w:rsidR="002778AD" w:rsidRPr="004A789E">
        <w:t>had been executed</w:t>
      </w:r>
      <w:proofErr w:type="gramEnd"/>
      <w:r w:rsidR="002778AD" w:rsidRPr="004A789E">
        <w:t>, despite its request for interim measures of protection. The Committee observes that it is uncontested that the execution</w:t>
      </w:r>
      <w:r w:rsidR="002778AD">
        <w:t xml:space="preserve"> in question took place, despite the fact that a request for interim measures of protection had been duly addressed to the State party</w:t>
      </w:r>
      <w:r w:rsidR="002778AD">
        <w:rPr>
          <w:lang w:val="en-US"/>
        </w:rPr>
        <w:t>.</w:t>
      </w:r>
      <w:r w:rsidR="002778AD">
        <w:t xml:space="preserve"> </w:t>
      </w:r>
    </w:p>
    <w:p w:rsidR="002778AD" w:rsidRDefault="009730A5" w:rsidP="002778AD">
      <w:pPr>
        <w:pStyle w:val="SingleTxtG"/>
      </w:pPr>
      <w:proofErr w:type="gramStart"/>
      <w:r>
        <w:rPr>
          <w:lang w:val="en-US"/>
        </w:rPr>
        <w:t>6</w:t>
      </w:r>
      <w:r w:rsidR="002778AD" w:rsidRPr="004A789E">
        <w:t>.4</w:t>
      </w:r>
      <w:r w:rsidR="002778AD" w:rsidRPr="004A789E">
        <w:tab/>
        <w:t>The Committee reiterates that, apart from any violation of the Covenant found against a State party in a communication, a State party commits serious</w:t>
      </w:r>
      <w:r w:rsidR="00791C2F" w:rsidRPr="000C1931">
        <w:rPr>
          <w:lang w:val="en-GB"/>
        </w:rPr>
        <w:t xml:space="preserve"> v</w:t>
      </w:r>
      <w:r w:rsidR="00791C2F">
        <w:rPr>
          <w:lang w:val="en-GB"/>
        </w:rPr>
        <w:t>iolations</w:t>
      </w:r>
      <w:r w:rsidR="002778AD" w:rsidRPr="004A789E">
        <w:t xml:space="preserve"> of its obligations under the Optional Protocol if it acts to prevent or frustrate consideration by the Committee of a communication alleging a violation of the Covenant, or to render examination by the Committee moot and the expression of its Views concerning the implementation of the obligations of the State party under the Covenant nugatory and futile.</w:t>
      </w:r>
      <w:r w:rsidR="002778AD" w:rsidRPr="004A789E">
        <w:rPr>
          <w:rStyle w:val="FootnoteReference"/>
        </w:rPr>
        <w:footnoteReference w:id="14"/>
      </w:r>
      <w:proofErr w:type="gramEnd"/>
      <w:r w:rsidR="002778AD" w:rsidRPr="004A789E">
        <w:t xml:space="preserve"> In the present case, </w:t>
      </w:r>
      <w:r w:rsidR="002778AD">
        <w:rPr>
          <w:lang w:val="en-US"/>
        </w:rPr>
        <w:t xml:space="preserve">Mr. </w:t>
      </w:r>
      <w:proofErr w:type="spellStart"/>
      <w:r w:rsidR="002778AD">
        <w:rPr>
          <w:lang w:val="en-US"/>
        </w:rPr>
        <w:t>Grunov</w:t>
      </w:r>
      <w:proofErr w:type="spellEnd"/>
      <w:r w:rsidR="002778AD" w:rsidRPr="004A789E">
        <w:t xml:space="preserve"> allege</w:t>
      </w:r>
      <w:r w:rsidR="002778AD">
        <w:t>d</w:t>
      </w:r>
      <w:r w:rsidR="002778AD" w:rsidRPr="004A789E">
        <w:t xml:space="preserve"> that his rights under various provisions of the Covenant </w:t>
      </w:r>
      <w:proofErr w:type="gramStart"/>
      <w:r w:rsidR="002778AD" w:rsidRPr="004A789E">
        <w:t>ha</w:t>
      </w:r>
      <w:r w:rsidR="002778AD">
        <w:t>d</w:t>
      </w:r>
      <w:r w:rsidR="002778AD" w:rsidRPr="004A789E">
        <w:t xml:space="preserve"> been violated</w:t>
      </w:r>
      <w:proofErr w:type="gramEnd"/>
      <w:r w:rsidR="002778AD" w:rsidRPr="004A789E">
        <w:t xml:space="preserve"> in a manner that directly reflect</w:t>
      </w:r>
      <w:r w:rsidR="002778AD">
        <w:t>ed</w:t>
      </w:r>
      <w:r w:rsidR="002778AD" w:rsidRPr="004A789E">
        <w:t xml:space="preserve"> on the legality of his death sentence. Having been notified of the communication and the request by the Committee for interim measures of protection, the State party committed a serious</w:t>
      </w:r>
      <w:r w:rsidR="00791C2F" w:rsidRPr="000C1931">
        <w:rPr>
          <w:lang w:val="en-GB"/>
        </w:rPr>
        <w:t xml:space="preserve"> violation</w:t>
      </w:r>
      <w:r w:rsidR="002778AD" w:rsidRPr="004A789E">
        <w:t xml:space="preserve"> of its obligations under the Optional Protocol by executing the alleged victim before the Committee had concluded its consideration of the communication.</w:t>
      </w:r>
      <w:r w:rsidR="002778AD">
        <w:t xml:space="preserve"> </w:t>
      </w:r>
    </w:p>
    <w:p w:rsidR="002778AD" w:rsidRDefault="009730A5" w:rsidP="002778AD">
      <w:pPr>
        <w:pStyle w:val="SingleTxtG"/>
      </w:pPr>
      <w:r>
        <w:rPr>
          <w:lang w:val="en-US"/>
        </w:rPr>
        <w:t>6</w:t>
      </w:r>
      <w:r w:rsidR="002778AD">
        <w:t>.5</w:t>
      </w:r>
      <w:r w:rsidR="002778AD">
        <w:tab/>
        <w:t xml:space="preserve">The Committee recalls that interim measures under </w:t>
      </w:r>
      <w:r w:rsidR="002778AD" w:rsidRPr="00C104F4">
        <w:t xml:space="preserve">rule 92 of its rules of procedure, adopted in accordance with article 39 of the Covenant, are essential to its role under the Optional Protocol, in order to </w:t>
      </w:r>
      <w:r w:rsidR="002778AD" w:rsidRPr="00C104F4">
        <w:rPr>
          <w:bCs/>
          <w:color w:val="000000"/>
          <w:lang w:eastAsia="en-GB"/>
        </w:rPr>
        <w:t>avoid irreparable damage to the victim</w:t>
      </w:r>
      <w:r w:rsidR="002778AD">
        <w:rPr>
          <w:bCs/>
          <w:color w:val="000000"/>
          <w:lang w:eastAsia="en-GB"/>
        </w:rPr>
        <w:t xml:space="preserve"> of an alleged violation</w:t>
      </w:r>
      <w:r w:rsidR="002778AD">
        <w:t xml:space="preserve">. Flouting of that rule, especially by irreversible measures, such as, in the present case, the execution of Mr. </w:t>
      </w:r>
      <w:proofErr w:type="spellStart"/>
      <w:proofErr w:type="gramStart"/>
      <w:r w:rsidR="002778AD">
        <w:rPr>
          <w:lang w:val="en-US"/>
        </w:rPr>
        <w:t>Grunov</w:t>
      </w:r>
      <w:proofErr w:type="spellEnd"/>
      <w:r w:rsidR="002778AD">
        <w:t>,</w:t>
      </w:r>
      <w:proofErr w:type="gramEnd"/>
      <w:r w:rsidR="002778AD">
        <w:t xml:space="preserve"> undermines the protection of Covenant rights through the Optional Protocol.</w:t>
      </w:r>
      <w:r w:rsidR="002778AD">
        <w:rPr>
          <w:rStyle w:val="FootnoteReference"/>
        </w:rPr>
        <w:footnoteReference w:id="15"/>
      </w:r>
    </w:p>
    <w:p w:rsidR="006E1196" w:rsidRDefault="00FC120E" w:rsidP="00902208">
      <w:pPr>
        <w:pStyle w:val="H23G"/>
        <w:rPr>
          <w:i/>
        </w:rPr>
      </w:pPr>
      <w:r>
        <w:lastRenderedPageBreak/>
        <w:tab/>
      </w:r>
      <w:r>
        <w:tab/>
      </w:r>
      <w:r w:rsidR="00060378" w:rsidRPr="0004514B">
        <w:t>Issues and proceedings before the Committee</w:t>
      </w:r>
    </w:p>
    <w:p w:rsidR="001B0994" w:rsidRPr="00FC1042" w:rsidRDefault="00FC120E" w:rsidP="00902208">
      <w:pPr>
        <w:pStyle w:val="H4G"/>
      </w:pPr>
      <w:r>
        <w:tab/>
      </w:r>
      <w:r>
        <w:tab/>
      </w:r>
      <w:r w:rsidR="001B0994" w:rsidRPr="00FC1042">
        <w:t>Consideration of admissibility</w:t>
      </w:r>
    </w:p>
    <w:p w:rsidR="00316EF0" w:rsidRPr="0004514B" w:rsidRDefault="004218B3" w:rsidP="00316EF0">
      <w:pPr>
        <w:pStyle w:val="SingleTxtG"/>
        <w:spacing w:line="240" w:lineRule="auto"/>
        <w:rPr>
          <w:lang w:val="en-GB"/>
        </w:rPr>
      </w:pPr>
      <w:r w:rsidRPr="0004514B">
        <w:rPr>
          <w:lang w:val="en-GB"/>
        </w:rPr>
        <w:t>7</w:t>
      </w:r>
      <w:r w:rsidR="001B0994" w:rsidRPr="0004514B">
        <w:rPr>
          <w:lang w:val="en-GB"/>
        </w:rPr>
        <w:t>.1</w:t>
      </w:r>
      <w:r w:rsidR="001B0994" w:rsidRPr="0004514B">
        <w:rPr>
          <w:lang w:val="en-GB"/>
        </w:rPr>
        <w:tab/>
        <w:t>Before considering any claim contained in a communication, the Committee must decide, in accordance with article 93 of its rules of procedure, whether the communication is admissible under the Optional Protoc</w:t>
      </w:r>
      <w:r w:rsidR="006A48B4" w:rsidRPr="0004514B">
        <w:rPr>
          <w:lang w:val="en-GB"/>
        </w:rPr>
        <w:t>ol</w:t>
      </w:r>
      <w:r w:rsidR="001B0994" w:rsidRPr="0004514B">
        <w:rPr>
          <w:lang w:val="en-GB"/>
        </w:rPr>
        <w:t>.</w:t>
      </w:r>
    </w:p>
    <w:p w:rsidR="00316EF0" w:rsidRPr="0004514B" w:rsidRDefault="004218B3" w:rsidP="00316EF0">
      <w:pPr>
        <w:pStyle w:val="SingleTxtG"/>
        <w:spacing w:line="240" w:lineRule="auto"/>
      </w:pPr>
      <w:r w:rsidRPr="0004514B">
        <w:rPr>
          <w:lang w:val="en-GB"/>
        </w:rPr>
        <w:t>7</w:t>
      </w:r>
      <w:r w:rsidR="00316EF0" w:rsidRPr="0004514B">
        <w:t>.</w:t>
      </w:r>
      <w:r w:rsidR="002B49B5">
        <w:t>2</w:t>
      </w:r>
      <w:r w:rsidR="0062532C" w:rsidRPr="0004514B">
        <w:tab/>
      </w:r>
      <w:r w:rsidR="00660FF3" w:rsidRPr="0004514B">
        <w:t>As required, under article 5(2)</w:t>
      </w:r>
      <w:r w:rsidR="00294D05" w:rsidRPr="00C7509A">
        <w:rPr>
          <w:lang w:val="en-GB"/>
        </w:rPr>
        <w:t xml:space="preserve"> </w:t>
      </w:r>
      <w:r w:rsidR="00660FF3" w:rsidRPr="0004514B">
        <w:t>(a) of the Optional Protocol, the Committee</w:t>
      </w:r>
      <w:r w:rsidR="00660FF3" w:rsidRPr="0004514B">
        <w:rPr>
          <w:lang w:val="en-GB"/>
        </w:rPr>
        <w:t xml:space="preserve"> has ascertained </w:t>
      </w:r>
      <w:r w:rsidR="00660FF3" w:rsidRPr="0004514B">
        <w:t xml:space="preserve">that the same matter is not being examined under another procedure of international investigation or settlement. </w:t>
      </w:r>
    </w:p>
    <w:p w:rsidR="002778AD" w:rsidRDefault="00290F61" w:rsidP="002778AD">
      <w:pPr>
        <w:pStyle w:val="SingleTxtG"/>
      </w:pPr>
      <w:r w:rsidRPr="0004514B">
        <w:rPr>
          <w:lang w:val="en-GB"/>
        </w:rPr>
        <w:t>7</w:t>
      </w:r>
      <w:r w:rsidR="006F588C" w:rsidRPr="0004514B">
        <w:rPr>
          <w:lang w:val="en-GB"/>
        </w:rPr>
        <w:t>.3</w:t>
      </w:r>
      <w:r w:rsidR="006F588C" w:rsidRPr="0004514B">
        <w:rPr>
          <w:lang w:val="en-GB"/>
        </w:rPr>
        <w:tab/>
      </w:r>
      <w:r w:rsidR="006F588C" w:rsidRPr="0004514B">
        <w:t xml:space="preserve">The Committee notes </w:t>
      </w:r>
      <w:r w:rsidR="002778AD">
        <w:rPr>
          <w:lang w:val="en-US"/>
        </w:rPr>
        <w:t xml:space="preserve">the State party’s contention that </w:t>
      </w:r>
      <w:r w:rsidR="00602671">
        <w:rPr>
          <w:lang w:val="en-US"/>
        </w:rPr>
        <w:t xml:space="preserve">Ms. </w:t>
      </w:r>
      <w:proofErr w:type="spellStart"/>
      <w:r w:rsidR="00602671">
        <w:rPr>
          <w:lang w:val="en-US"/>
        </w:rPr>
        <w:t>Grunova</w:t>
      </w:r>
      <w:proofErr w:type="spellEnd"/>
      <w:r w:rsidR="002778AD">
        <w:rPr>
          <w:lang w:val="en-US"/>
        </w:rPr>
        <w:t xml:space="preserve"> failed to exhaust</w:t>
      </w:r>
      <w:r w:rsidR="006F588C" w:rsidRPr="0004514B">
        <w:t xml:space="preserve"> </w:t>
      </w:r>
      <w:r w:rsidR="002778AD">
        <w:t xml:space="preserve">all </w:t>
      </w:r>
      <w:r w:rsidR="006F588C" w:rsidRPr="0004514B">
        <w:t xml:space="preserve">domestic remedies available to </w:t>
      </w:r>
      <w:r w:rsidR="00E01128">
        <w:rPr>
          <w:lang w:val="en-US"/>
        </w:rPr>
        <w:t>her, concerning her claims on the time of carrying out the death sentence, and disclosure of the burial place,</w:t>
      </w:r>
      <w:r w:rsidR="006F588C" w:rsidRPr="0004514B">
        <w:t xml:space="preserve"> </w:t>
      </w:r>
      <w:r w:rsidR="002778AD">
        <w:rPr>
          <w:color w:val="000000"/>
          <w:lang w:val="en-GB"/>
        </w:rPr>
        <w:t>by not filing a supervisory review appeal</w:t>
      </w:r>
      <w:r w:rsidR="002F4395">
        <w:rPr>
          <w:color w:val="000000"/>
          <w:lang w:val="en-GB"/>
        </w:rPr>
        <w:t xml:space="preserve"> request to the Prosecutor General’s Office</w:t>
      </w:r>
      <w:r w:rsidR="002778AD" w:rsidRPr="006C74B1">
        <w:rPr>
          <w:lang w:val="en-GB"/>
        </w:rPr>
        <w:t>.</w:t>
      </w:r>
      <w:r w:rsidR="002778AD">
        <w:rPr>
          <w:lang w:val="en-GB"/>
        </w:rPr>
        <w:t xml:space="preserve"> </w:t>
      </w:r>
      <w:r w:rsidR="002778AD" w:rsidRPr="00A20705">
        <w:t>The Committee recalls its jurisprudence, according to which the filing of requests to a court</w:t>
      </w:r>
      <w:r w:rsidR="002778AD">
        <w:rPr>
          <w:lang w:val="en-GB"/>
        </w:rPr>
        <w:t>, or to a prosecutor’s office,</w:t>
      </w:r>
      <w:r w:rsidR="002778AD" w:rsidRPr="00A20705">
        <w:t xml:space="preserve"> for a supervisory review directed against court decisions that have entered into force and depend on the discretionary power of a judge</w:t>
      </w:r>
      <w:r w:rsidR="002778AD">
        <w:rPr>
          <w:lang w:val="en-GB"/>
        </w:rPr>
        <w:t xml:space="preserve"> or a prosecutor</w:t>
      </w:r>
      <w:r w:rsidR="002778AD" w:rsidRPr="00A20705">
        <w:t xml:space="preserve"> constitutes an extraordinary remedy and that the State party must show that there is a reasonable prospect that such requests would provide an effective remedy in the circumstances of the case.</w:t>
      </w:r>
      <w:r w:rsidR="002778AD" w:rsidRPr="00223F9A">
        <w:rPr>
          <w:rStyle w:val="FootnoteReference"/>
        </w:rPr>
        <w:footnoteReference w:id="16"/>
      </w:r>
      <w:r w:rsidR="002778AD" w:rsidRPr="00A20705">
        <w:t xml:space="preserve"> The State party has not shown, however, whether and in how many cases petitions </w:t>
      </w:r>
      <w:r w:rsidR="002778AD">
        <w:rPr>
          <w:lang w:val="en-GB"/>
        </w:rPr>
        <w:t xml:space="preserve">under </w:t>
      </w:r>
      <w:r w:rsidR="002778AD" w:rsidRPr="00A20705">
        <w:t xml:space="preserve">supervisory review procedures were applied successfully in cases concerning </w:t>
      </w:r>
      <w:r w:rsidR="00BF648D">
        <w:rPr>
          <w:lang w:val="en-US"/>
        </w:rPr>
        <w:t xml:space="preserve"> the procedure of carrying out</w:t>
      </w:r>
      <w:r w:rsidR="00E01128">
        <w:rPr>
          <w:lang w:val="en-US"/>
        </w:rPr>
        <w:t xml:space="preserve"> </w:t>
      </w:r>
      <w:r w:rsidR="002778AD">
        <w:rPr>
          <w:lang w:val="en-GB"/>
        </w:rPr>
        <w:t>death penalty sentences</w:t>
      </w:r>
      <w:r w:rsidR="002778AD" w:rsidRPr="00A20705">
        <w:t>. In those circumstances, the Committee considers that it is not precluded by article 5 (2) (b) of the Optional Protocol from examining the present communication.</w:t>
      </w:r>
      <w:r w:rsidR="002778AD" w:rsidRPr="00223F9A">
        <w:rPr>
          <w:rStyle w:val="FootnoteReference"/>
        </w:rPr>
        <w:footnoteReference w:id="17"/>
      </w:r>
      <w:r w:rsidR="002778AD" w:rsidRPr="00A20705">
        <w:t xml:space="preserve"> </w:t>
      </w:r>
    </w:p>
    <w:p w:rsidR="009742F9" w:rsidRDefault="009742F9" w:rsidP="009742F9">
      <w:pPr>
        <w:pStyle w:val="SingleTxtG"/>
        <w:rPr>
          <w:bCs/>
        </w:rPr>
      </w:pPr>
      <w:r>
        <w:rPr>
          <w:bCs/>
          <w:lang w:val="en-US"/>
        </w:rPr>
        <w:t>7.4</w:t>
      </w:r>
      <w:r>
        <w:rPr>
          <w:bCs/>
          <w:lang w:val="en-US"/>
        </w:rPr>
        <w:tab/>
      </w:r>
      <w:r w:rsidRPr="00C104F4">
        <w:rPr>
          <w:bCs/>
        </w:rPr>
        <w:t xml:space="preserve">The Committee takes note of the allegations that </w:t>
      </w:r>
      <w:r>
        <w:rPr>
          <w:bCs/>
          <w:lang w:val="en-US"/>
        </w:rPr>
        <w:t xml:space="preserve">Mr. </w:t>
      </w:r>
      <w:proofErr w:type="spellStart"/>
      <w:r>
        <w:rPr>
          <w:bCs/>
          <w:lang w:val="en-US"/>
        </w:rPr>
        <w:t>Grunov’s</w:t>
      </w:r>
      <w:proofErr w:type="spellEnd"/>
      <w:r w:rsidRPr="00C104F4">
        <w:rPr>
          <w:bCs/>
        </w:rPr>
        <w:t xml:space="preserve"> rights under article 9 (1) </w:t>
      </w:r>
      <w:r>
        <w:rPr>
          <w:bCs/>
        </w:rPr>
        <w:t>article</w:t>
      </w:r>
      <w:r w:rsidRPr="00C104F4">
        <w:rPr>
          <w:bCs/>
        </w:rPr>
        <w:t xml:space="preserve"> 14 (1) of the Covenant were violated. It notes that the State party has not refuted those allegations. </w:t>
      </w:r>
      <w:r w:rsidRPr="00C104F4">
        <w:t>However, in the absence of further detailed information, explanations or evidence in support of those claims on file, the Committee finds these allegations insufficiently substantiated for the purposes of admissibility, and declares this part of the communication inadmissible under article 2 of the Optional Protocol.</w:t>
      </w:r>
      <w:r>
        <w:t xml:space="preserve"> </w:t>
      </w:r>
    </w:p>
    <w:p w:rsidR="00EB1134" w:rsidRPr="000A603E" w:rsidRDefault="009742F9" w:rsidP="00EB1134">
      <w:pPr>
        <w:pStyle w:val="SingleTxtG"/>
      </w:pPr>
      <w:proofErr w:type="gramStart"/>
      <w:r>
        <w:rPr>
          <w:lang w:val="en-US"/>
        </w:rPr>
        <w:t>7.5</w:t>
      </w:r>
      <w:r w:rsidR="00EB1134">
        <w:rPr>
          <w:lang w:val="en-US"/>
        </w:rPr>
        <w:tab/>
      </w:r>
      <w:r w:rsidR="00EB1134" w:rsidRPr="000A603E">
        <w:t>In the Committee</w:t>
      </w:r>
      <w:r w:rsidR="00EB1134">
        <w:t>’</w:t>
      </w:r>
      <w:r w:rsidR="00EB1134" w:rsidRPr="000A603E">
        <w:t>s view, the author</w:t>
      </w:r>
      <w:r w:rsidR="00EB1134">
        <w:rPr>
          <w:lang w:val="en-US"/>
        </w:rPr>
        <w:t>s</w:t>
      </w:r>
      <w:r w:rsidR="00EB1134">
        <w:t xml:space="preserve"> have</w:t>
      </w:r>
      <w:r w:rsidR="00EB1134" w:rsidRPr="000A603E">
        <w:t xml:space="preserve"> sufficiently substantiated, for </w:t>
      </w:r>
      <w:r w:rsidR="00EB1134">
        <w:t xml:space="preserve">the </w:t>
      </w:r>
      <w:r w:rsidR="00EB1134" w:rsidRPr="000A603E">
        <w:t>purposes of admissibility</w:t>
      </w:r>
      <w:r w:rsidR="00EB1134">
        <w:t xml:space="preserve">, </w:t>
      </w:r>
      <w:r w:rsidR="00EB1134">
        <w:rPr>
          <w:lang w:val="en-US"/>
        </w:rPr>
        <w:t>their</w:t>
      </w:r>
      <w:r>
        <w:rPr>
          <w:lang w:val="en-US"/>
        </w:rPr>
        <w:t xml:space="preserve"> remaining</w:t>
      </w:r>
      <w:r w:rsidR="00EB1134">
        <w:rPr>
          <w:lang w:val="en-US"/>
        </w:rPr>
        <w:t xml:space="preserve"> claims under</w:t>
      </w:r>
      <w:r w:rsidR="00BF648D">
        <w:rPr>
          <w:lang w:val="en-US"/>
        </w:rPr>
        <w:t xml:space="preserve"> 6(1) and (2), 7,</w:t>
      </w:r>
      <w:r w:rsidR="00667E0D">
        <w:rPr>
          <w:lang w:val="en-US"/>
        </w:rPr>
        <w:t xml:space="preserve"> 9(3),</w:t>
      </w:r>
      <w:r w:rsidR="00BF648D">
        <w:rPr>
          <w:lang w:val="en-US"/>
        </w:rPr>
        <w:t xml:space="preserve"> 14(2), and (3)(b) (for </w:t>
      </w:r>
      <w:proofErr w:type="spellStart"/>
      <w:r w:rsidR="00BF648D">
        <w:rPr>
          <w:lang w:val="en-US"/>
        </w:rPr>
        <w:t>Aleksandr</w:t>
      </w:r>
      <w:proofErr w:type="spellEnd"/>
      <w:r w:rsidR="00BF648D">
        <w:rPr>
          <w:lang w:val="en-US"/>
        </w:rPr>
        <w:t xml:space="preserve"> </w:t>
      </w:r>
      <w:proofErr w:type="spellStart"/>
      <w:r w:rsidR="00BF648D">
        <w:rPr>
          <w:lang w:val="en-US"/>
        </w:rPr>
        <w:t>Grunov</w:t>
      </w:r>
      <w:proofErr w:type="spellEnd"/>
      <w:r w:rsidR="00BF648D">
        <w:rPr>
          <w:lang w:val="en-US"/>
        </w:rPr>
        <w:t xml:space="preserve">), and articles 7 and 14(1), read in conjunction with article 2(2) (for Olga </w:t>
      </w:r>
      <w:proofErr w:type="spellStart"/>
      <w:r w:rsidR="00BF648D">
        <w:rPr>
          <w:lang w:val="en-US"/>
        </w:rPr>
        <w:t>Grunova</w:t>
      </w:r>
      <w:proofErr w:type="spellEnd"/>
      <w:r w:rsidR="00BF648D">
        <w:rPr>
          <w:lang w:val="en-US"/>
        </w:rPr>
        <w:t>), of</w:t>
      </w:r>
      <w:r w:rsidR="00EB1134">
        <w:rPr>
          <w:lang w:val="en-US"/>
        </w:rPr>
        <w:t xml:space="preserve"> the Covenant</w:t>
      </w:r>
      <w:r w:rsidR="00EB1134" w:rsidRPr="00EC0062">
        <w:rPr>
          <w:lang w:val="en-GB"/>
        </w:rPr>
        <w:t>, declares th</w:t>
      </w:r>
      <w:r w:rsidR="00EB1134">
        <w:rPr>
          <w:lang w:val="en-GB"/>
        </w:rPr>
        <w:t>e</w:t>
      </w:r>
      <w:r w:rsidR="00EB1134" w:rsidRPr="00EC0062">
        <w:rPr>
          <w:lang w:val="en-GB"/>
        </w:rPr>
        <w:t xml:space="preserve">m admissible and </w:t>
      </w:r>
      <w:r w:rsidR="00EB1134" w:rsidRPr="000A603E">
        <w:t xml:space="preserve">proceeds </w:t>
      </w:r>
      <w:r w:rsidR="00EB1134">
        <w:t xml:space="preserve">with </w:t>
      </w:r>
      <w:r w:rsidR="00EB1134" w:rsidRPr="00EC0062">
        <w:rPr>
          <w:lang w:val="en-GB"/>
        </w:rPr>
        <w:t>their</w:t>
      </w:r>
      <w:r w:rsidR="00EB1134">
        <w:t xml:space="preserve"> consideration</w:t>
      </w:r>
      <w:r w:rsidR="00EB1134" w:rsidRPr="000A603E">
        <w:t xml:space="preserve"> o</w:t>
      </w:r>
      <w:r w:rsidR="00CA27C9" w:rsidRPr="000C1931">
        <w:rPr>
          <w:lang w:val="en-GB"/>
        </w:rPr>
        <w:t>n</w:t>
      </w:r>
      <w:r w:rsidR="00EB1134" w:rsidRPr="000A603E">
        <w:t xml:space="preserve"> the merits.</w:t>
      </w:r>
      <w:proofErr w:type="gramEnd"/>
      <w:r w:rsidR="00EB1134">
        <w:t xml:space="preserve"> </w:t>
      </w:r>
    </w:p>
    <w:p w:rsidR="00290F61" w:rsidRPr="0004514B" w:rsidRDefault="00290F61" w:rsidP="00290F61">
      <w:pPr>
        <w:pStyle w:val="H4G"/>
      </w:pPr>
      <w:r w:rsidRPr="0004514B">
        <w:tab/>
      </w:r>
      <w:r w:rsidRPr="0004514B">
        <w:tab/>
        <w:t>Consideration of the merits</w:t>
      </w:r>
    </w:p>
    <w:p w:rsidR="00290F61" w:rsidRPr="0004514B" w:rsidRDefault="00290F61" w:rsidP="00290F61">
      <w:pPr>
        <w:pStyle w:val="SingleTxtG"/>
        <w:rPr>
          <w:lang w:val="en-GB"/>
        </w:rPr>
      </w:pPr>
      <w:r w:rsidRPr="0004514B">
        <w:rPr>
          <w:lang w:val="en-GB"/>
        </w:rPr>
        <w:t>8.1</w:t>
      </w:r>
      <w:r w:rsidRPr="0004514B">
        <w:rPr>
          <w:lang w:val="en-GB"/>
        </w:rPr>
        <w:tab/>
        <w:t>The Committee has considered the case in the light of all the information made available to it by the parties, as provided under article 5(1) of the Optional Protocol.</w:t>
      </w:r>
    </w:p>
    <w:p w:rsidR="000032FB" w:rsidRDefault="00E513FC" w:rsidP="000032FB">
      <w:pPr>
        <w:pStyle w:val="SingleTxtG"/>
      </w:pPr>
      <w:r w:rsidRPr="0004514B">
        <w:rPr>
          <w:lang w:val="en-GB"/>
        </w:rPr>
        <w:lastRenderedPageBreak/>
        <w:t>8.2</w:t>
      </w:r>
      <w:r w:rsidRPr="0004514B">
        <w:rPr>
          <w:lang w:val="en-GB"/>
        </w:rPr>
        <w:tab/>
      </w:r>
      <w:r w:rsidR="00D00950">
        <w:rPr>
          <w:lang w:val="en-GB"/>
        </w:rPr>
        <w:t>The Committee</w:t>
      </w:r>
      <w:r w:rsidR="009742F9">
        <w:rPr>
          <w:lang w:val="en-GB"/>
        </w:rPr>
        <w:t xml:space="preserve"> first</w:t>
      </w:r>
      <w:r w:rsidR="00D00950">
        <w:rPr>
          <w:lang w:val="en-GB"/>
        </w:rPr>
        <w:t xml:space="preserve"> takes note of the authors’</w:t>
      </w:r>
      <w:r w:rsidRPr="0004514B">
        <w:rPr>
          <w:lang w:val="en-GB"/>
        </w:rPr>
        <w:t xml:space="preserve"> allegations </w:t>
      </w:r>
      <w:r w:rsidR="00D00950">
        <w:rPr>
          <w:lang w:val="en-GB"/>
        </w:rPr>
        <w:t xml:space="preserve">that the manner in which the death penalty </w:t>
      </w:r>
      <w:proofErr w:type="gramStart"/>
      <w:r w:rsidR="00D00950">
        <w:rPr>
          <w:lang w:val="en-GB"/>
        </w:rPr>
        <w:t>is carried out</w:t>
      </w:r>
      <w:proofErr w:type="gramEnd"/>
      <w:r w:rsidR="00D00950">
        <w:rPr>
          <w:lang w:val="en-GB"/>
        </w:rPr>
        <w:t xml:space="preserve"> constitutes violation of Mr. </w:t>
      </w:r>
      <w:proofErr w:type="spellStart"/>
      <w:r w:rsidR="00D00950">
        <w:rPr>
          <w:lang w:val="en-GB"/>
        </w:rPr>
        <w:t>Grunov’s</w:t>
      </w:r>
      <w:proofErr w:type="spellEnd"/>
      <w:r w:rsidR="00D00950">
        <w:rPr>
          <w:lang w:val="en-GB"/>
        </w:rPr>
        <w:t xml:space="preserve"> rights under article 7 of the Covenant. The Committee has already considered several methods of carrying out the death penalty sentence</w:t>
      </w:r>
      <w:r w:rsidR="00D00950">
        <w:rPr>
          <w:rStyle w:val="FootnoteReference"/>
          <w:lang w:val="en-GB"/>
        </w:rPr>
        <w:footnoteReference w:id="18"/>
      </w:r>
      <w:r w:rsidR="00D00950">
        <w:rPr>
          <w:lang w:val="en-GB"/>
        </w:rPr>
        <w:t xml:space="preserve"> as contrary to article 7 of the Covenant. </w:t>
      </w:r>
      <w:r w:rsidR="000032FB">
        <w:rPr>
          <w:lang w:val="en-GB"/>
        </w:rPr>
        <w:t>Failure to provide individuals on death row with timely notification about the date of their execution constitutes, as a rule, a form of ill-treatment.</w:t>
      </w:r>
      <w:r w:rsidR="000032FB">
        <w:rPr>
          <w:rStyle w:val="FootnoteReference"/>
          <w:lang w:val="en-GB"/>
        </w:rPr>
        <w:footnoteReference w:id="19"/>
      </w:r>
      <w:r w:rsidR="000032FB">
        <w:rPr>
          <w:lang w:val="en-GB"/>
        </w:rPr>
        <w:t xml:space="preserve"> In the present case,</w:t>
      </w:r>
      <w:r w:rsidR="00CA27C9">
        <w:rPr>
          <w:lang w:val="en-GB"/>
        </w:rPr>
        <w:t xml:space="preserve"> Mr. </w:t>
      </w:r>
      <w:proofErr w:type="spellStart"/>
      <w:r w:rsidR="00CA27C9">
        <w:rPr>
          <w:lang w:val="en-GB"/>
        </w:rPr>
        <w:t>Grunov</w:t>
      </w:r>
      <w:proofErr w:type="spellEnd"/>
      <w:r w:rsidR="000032FB">
        <w:rPr>
          <w:lang w:val="en-GB"/>
        </w:rPr>
        <w:t xml:space="preserve"> </w:t>
      </w:r>
      <w:proofErr w:type="gramStart"/>
      <w:r w:rsidR="000032FB">
        <w:rPr>
          <w:lang w:val="en-GB"/>
        </w:rPr>
        <w:t>was not informed</w:t>
      </w:r>
      <w:proofErr w:type="gramEnd"/>
      <w:r w:rsidR="000032FB">
        <w:rPr>
          <w:lang w:val="en-GB"/>
        </w:rPr>
        <w:t xml:space="preserve"> about the date of execution, which could have been carried out at any moment. Ms. </w:t>
      </w:r>
      <w:proofErr w:type="spellStart"/>
      <w:r w:rsidR="000032FB">
        <w:rPr>
          <w:lang w:val="en-GB"/>
        </w:rPr>
        <w:t>Grunova</w:t>
      </w:r>
      <w:proofErr w:type="spellEnd"/>
      <w:r w:rsidR="000032FB">
        <w:rPr>
          <w:lang w:val="en-GB"/>
        </w:rPr>
        <w:t xml:space="preserve"> </w:t>
      </w:r>
      <w:proofErr w:type="gramStart"/>
      <w:r w:rsidR="000032FB">
        <w:rPr>
          <w:lang w:val="en-GB"/>
        </w:rPr>
        <w:t>was informed</w:t>
      </w:r>
      <w:proofErr w:type="gramEnd"/>
      <w:r w:rsidR="000032FB">
        <w:rPr>
          <w:lang w:val="en-GB"/>
        </w:rPr>
        <w:t xml:space="preserve"> about the date of the execution only after the death penalty was carried out. </w:t>
      </w:r>
      <w:r w:rsidR="000032FB">
        <w:t>The Committee notes that the State party has not presented any</w:t>
      </w:r>
      <w:r w:rsidR="00834780">
        <w:rPr>
          <w:lang w:val="en-US"/>
        </w:rPr>
        <w:t xml:space="preserve"> plausible</w:t>
      </w:r>
      <w:r w:rsidR="000032FB">
        <w:t xml:space="preserve"> </w:t>
      </w:r>
      <w:r w:rsidR="000032FB">
        <w:rPr>
          <w:lang w:val="en-US"/>
        </w:rPr>
        <w:t>explanations</w:t>
      </w:r>
      <w:r w:rsidR="00834780">
        <w:rPr>
          <w:lang w:val="en-US"/>
        </w:rPr>
        <w:t xml:space="preserve"> (paras 4.2 and 4.4)</w:t>
      </w:r>
      <w:r w:rsidR="000032FB">
        <w:rPr>
          <w:lang w:val="en-US"/>
        </w:rPr>
        <w:t xml:space="preserve"> as to why this information was withheld from Mr. </w:t>
      </w:r>
      <w:proofErr w:type="spellStart"/>
      <w:r w:rsidR="000032FB">
        <w:rPr>
          <w:lang w:val="en-US"/>
        </w:rPr>
        <w:t>Grunov</w:t>
      </w:r>
      <w:proofErr w:type="spellEnd"/>
      <w:r w:rsidR="000032FB">
        <w:rPr>
          <w:lang w:val="en-US"/>
        </w:rPr>
        <w:t xml:space="preserve"> and his relatives, arguing only that the death penalty </w:t>
      </w:r>
      <w:proofErr w:type="gramStart"/>
      <w:r w:rsidR="000032FB">
        <w:rPr>
          <w:lang w:val="en-US"/>
        </w:rPr>
        <w:t>was carried out</w:t>
      </w:r>
      <w:proofErr w:type="gramEnd"/>
      <w:r w:rsidR="000032FB">
        <w:rPr>
          <w:lang w:val="en-US"/>
        </w:rPr>
        <w:t xml:space="preserve"> in compliance with the Criminal Execution Code of Belarus</w:t>
      </w:r>
      <w:r w:rsidR="000032FB">
        <w:t xml:space="preserve">. </w:t>
      </w:r>
      <w:r w:rsidR="002F4395">
        <w:rPr>
          <w:lang w:val="en-US"/>
        </w:rPr>
        <w:t>T</w:t>
      </w:r>
      <w:r w:rsidR="000032FB">
        <w:t>he Committee</w:t>
      </w:r>
      <w:r w:rsidR="002F4395">
        <w:rPr>
          <w:lang w:val="en-US"/>
        </w:rPr>
        <w:t xml:space="preserve"> therefore</w:t>
      </w:r>
      <w:r w:rsidR="000032FB">
        <w:t xml:space="preserve"> concludes that the </w:t>
      </w:r>
      <w:r w:rsidR="002F4395">
        <w:rPr>
          <w:lang w:val="en-US"/>
        </w:rPr>
        <w:t xml:space="preserve">manner in which the death penalty sentence </w:t>
      </w:r>
      <w:proofErr w:type="gramStart"/>
      <w:r w:rsidR="002F4395">
        <w:rPr>
          <w:lang w:val="en-US"/>
        </w:rPr>
        <w:t>was carried out</w:t>
      </w:r>
      <w:proofErr w:type="gramEnd"/>
      <w:r w:rsidR="002F4395">
        <w:rPr>
          <w:lang w:val="en-US"/>
        </w:rPr>
        <w:t xml:space="preserve"> against Mr. </w:t>
      </w:r>
      <w:proofErr w:type="spellStart"/>
      <w:r w:rsidR="002F4395">
        <w:rPr>
          <w:lang w:val="en-US"/>
        </w:rPr>
        <w:t>Grunov</w:t>
      </w:r>
      <w:proofErr w:type="spellEnd"/>
      <w:r w:rsidR="002F4395">
        <w:rPr>
          <w:lang w:val="en-US"/>
        </w:rPr>
        <w:t>, including</w:t>
      </w:r>
      <w:r w:rsidR="00295615">
        <w:rPr>
          <w:lang w:val="en-US"/>
        </w:rPr>
        <w:t xml:space="preserve"> the method of carrying out the death penalty imposed and</w:t>
      </w:r>
      <w:r w:rsidR="002F4395">
        <w:rPr>
          <w:lang w:val="en-US"/>
        </w:rPr>
        <w:t xml:space="preserve"> a lack of notification to him, </w:t>
      </w:r>
      <w:r w:rsidR="002F4395">
        <w:t>disclos</w:t>
      </w:r>
      <w:r w:rsidR="002F4395">
        <w:rPr>
          <w:lang w:val="en-US"/>
        </w:rPr>
        <w:t>es</w:t>
      </w:r>
      <w:r w:rsidR="000032FB">
        <w:t xml:space="preserve"> a violation of Mr. </w:t>
      </w:r>
      <w:proofErr w:type="spellStart"/>
      <w:r w:rsidR="000032FB">
        <w:rPr>
          <w:lang w:val="en-US"/>
        </w:rPr>
        <w:t>Grunov’s</w:t>
      </w:r>
      <w:proofErr w:type="spellEnd"/>
      <w:r w:rsidR="000032FB">
        <w:rPr>
          <w:lang w:val="en-US"/>
        </w:rPr>
        <w:t xml:space="preserve"> rights </w:t>
      </w:r>
      <w:r w:rsidR="000032FB">
        <w:t>under article 7 of the Covenant.</w:t>
      </w:r>
    </w:p>
    <w:p w:rsidR="000032FB" w:rsidRDefault="009A405F" w:rsidP="000032FB">
      <w:pPr>
        <w:pStyle w:val="SingleTxtG"/>
        <w:rPr>
          <w:iCs/>
          <w:lang w:val="en-US"/>
        </w:rPr>
      </w:pPr>
      <w:r>
        <w:t>8.3</w:t>
      </w:r>
      <w:r w:rsidR="000032FB" w:rsidRPr="008D75D2">
        <w:tab/>
      </w:r>
      <w:r w:rsidR="002779BF">
        <w:rPr>
          <w:lang w:val="en-US"/>
        </w:rPr>
        <w:t xml:space="preserve">Regarding the claims that Mr. </w:t>
      </w:r>
      <w:proofErr w:type="spellStart"/>
      <w:r w:rsidR="002779BF">
        <w:rPr>
          <w:lang w:val="en-US"/>
        </w:rPr>
        <w:t>Grunov</w:t>
      </w:r>
      <w:proofErr w:type="spellEnd"/>
      <w:r w:rsidR="002779BF">
        <w:rPr>
          <w:lang w:val="en-US"/>
        </w:rPr>
        <w:t xml:space="preserve"> was not afforded his rights under article </w:t>
      </w:r>
      <w:r w:rsidR="002F4395">
        <w:rPr>
          <w:lang w:val="en-US"/>
        </w:rPr>
        <w:t>9</w:t>
      </w:r>
      <w:r w:rsidR="002779BF">
        <w:rPr>
          <w:lang w:val="en-US"/>
        </w:rPr>
        <w:t>(3) of the Covenant, t</w:t>
      </w:r>
      <w:r w:rsidR="000032FB" w:rsidRPr="008D75D2">
        <w:rPr>
          <w:iCs/>
          <w:lang w:val="en-US"/>
        </w:rPr>
        <w:t>he Committee recalls that, in accordance with</w:t>
      </w:r>
      <w:r w:rsidR="002F4395">
        <w:rPr>
          <w:iCs/>
          <w:lang w:val="en-US"/>
        </w:rPr>
        <w:t xml:space="preserve"> this article</w:t>
      </w:r>
      <w:r w:rsidR="000032FB" w:rsidRPr="008D75D2">
        <w:rPr>
          <w:iCs/>
          <w:lang w:val="en-US"/>
        </w:rPr>
        <w:t xml:space="preserve">, any person arrested or detained on a criminal charge shall be brought promptly before a judge or other officer authorized by law to </w:t>
      </w:r>
      <w:r w:rsidR="000032FB" w:rsidRPr="00557C22">
        <w:rPr>
          <w:iCs/>
          <w:lang w:val="en-US"/>
        </w:rPr>
        <w:t xml:space="preserve">exercise judicial power. The Committee also recalls that, while the exact meaning of “promptly” may vary depending on objective circumstances, delays should not exceed a few days from the time of arrest. In the view of the Committee, 48 hours is ordinarily sufficient to transport the individual and to prepare for the judicial hearing; any delay longer than 48 hours must remain </w:t>
      </w:r>
      <w:proofErr w:type="gramStart"/>
      <w:r w:rsidR="000032FB" w:rsidRPr="00557C22">
        <w:rPr>
          <w:iCs/>
          <w:lang w:val="en-US"/>
        </w:rPr>
        <w:t>absolutely exceptional</w:t>
      </w:r>
      <w:proofErr w:type="gramEnd"/>
      <w:r w:rsidR="000032FB" w:rsidRPr="00557C22">
        <w:rPr>
          <w:iCs/>
          <w:lang w:val="en-US"/>
        </w:rPr>
        <w:t xml:space="preserve"> and be justified under the circumstances</w:t>
      </w:r>
      <w:r w:rsidR="000032FB" w:rsidRPr="008D75D2">
        <w:rPr>
          <w:iCs/>
          <w:lang w:val="en-US"/>
        </w:rPr>
        <w:t>.</w:t>
      </w:r>
      <w:r w:rsidR="000032FB" w:rsidRPr="008D75D2">
        <w:rPr>
          <w:rStyle w:val="FootnoteReference"/>
          <w:iCs/>
          <w:lang w:val="en-US"/>
        </w:rPr>
        <w:footnoteReference w:id="20"/>
      </w:r>
      <w:r w:rsidR="000032FB" w:rsidRPr="008D75D2">
        <w:rPr>
          <w:iCs/>
          <w:lang w:val="en-US"/>
        </w:rPr>
        <w:t xml:space="preserve"> The Committee takes note of </w:t>
      </w:r>
      <w:r w:rsidR="009742F9">
        <w:rPr>
          <w:iCs/>
          <w:lang w:val="en-US"/>
        </w:rPr>
        <w:t xml:space="preserve">Mr. </w:t>
      </w:r>
      <w:proofErr w:type="spellStart"/>
      <w:r w:rsidR="009742F9">
        <w:rPr>
          <w:iCs/>
          <w:lang w:val="en-US"/>
        </w:rPr>
        <w:t>Grunov’s</w:t>
      </w:r>
      <w:proofErr w:type="spellEnd"/>
      <w:r w:rsidR="000032FB" w:rsidRPr="008D75D2">
        <w:rPr>
          <w:iCs/>
          <w:lang w:val="en-US"/>
        </w:rPr>
        <w:t xml:space="preserve"> unchallenged allegations that he was apprehended on </w:t>
      </w:r>
      <w:r w:rsidR="002779BF">
        <w:rPr>
          <w:iCs/>
          <w:lang w:val="en-US"/>
        </w:rPr>
        <w:t>20 September 2012</w:t>
      </w:r>
      <w:r w:rsidR="000032FB" w:rsidRPr="008D75D2">
        <w:rPr>
          <w:iCs/>
          <w:lang w:val="en-US"/>
        </w:rPr>
        <w:t xml:space="preserve">, </w:t>
      </w:r>
      <w:proofErr w:type="gramStart"/>
      <w:r w:rsidR="000032FB" w:rsidRPr="008D75D2">
        <w:rPr>
          <w:iCs/>
          <w:lang w:val="en-US"/>
        </w:rPr>
        <w:t>and was</w:t>
      </w:r>
      <w:proofErr w:type="gramEnd"/>
      <w:r w:rsidR="000032FB" w:rsidRPr="008D75D2">
        <w:rPr>
          <w:iCs/>
          <w:lang w:val="en-US"/>
        </w:rPr>
        <w:t xml:space="preserve"> officially placed in pretrial detention by the order of a prosecutor on </w:t>
      </w:r>
      <w:r w:rsidR="002779BF">
        <w:rPr>
          <w:iCs/>
          <w:lang w:val="en-US"/>
        </w:rPr>
        <w:t>27 September 2012</w:t>
      </w:r>
      <w:r w:rsidR="000032FB" w:rsidRPr="008D75D2">
        <w:rPr>
          <w:iCs/>
          <w:lang w:val="en-US"/>
        </w:rPr>
        <w:t xml:space="preserve">, and was not brought before a judge until </w:t>
      </w:r>
      <w:r w:rsidR="00793891">
        <w:rPr>
          <w:iCs/>
          <w:lang w:val="en-US"/>
        </w:rPr>
        <w:t>28</w:t>
      </w:r>
      <w:r w:rsidR="002779BF">
        <w:rPr>
          <w:iCs/>
          <w:lang w:val="en-US"/>
        </w:rPr>
        <w:t xml:space="preserve"> January 2013</w:t>
      </w:r>
      <w:r w:rsidR="000032FB" w:rsidRPr="008D75D2">
        <w:rPr>
          <w:iCs/>
          <w:lang w:val="en-US"/>
        </w:rPr>
        <w:t xml:space="preserve">. </w:t>
      </w:r>
      <w:proofErr w:type="gramStart"/>
      <w:r w:rsidR="000032FB" w:rsidRPr="008D75D2">
        <w:rPr>
          <w:iCs/>
          <w:lang w:val="en-US"/>
        </w:rPr>
        <w:t xml:space="preserve">The Committee recalls that, in its general comment No. 35, it stated that it was inherent to the proper exercise of judicial power that such power should be exercised by an authority which was independent, </w:t>
      </w:r>
      <w:r w:rsidR="000032FB" w:rsidRPr="004A789E">
        <w:rPr>
          <w:iCs/>
          <w:lang w:val="en-US"/>
        </w:rPr>
        <w:t>objective and impartial in relation to the issues dealt with, and that a public prosecutor could not be considered as an officer authorized to exercise judicial power within the meaning of article 9 (3).</w:t>
      </w:r>
      <w:proofErr w:type="gramEnd"/>
      <w:r w:rsidR="000032FB" w:rsidRPr="004A789E">
        <w:rPr>
          <w:iCs/>
          <w:lang w:val="en-US"/>
        </w:rPr>
        <w:t xml:space="preserve"> In these circumstances, the Committee considers that </w:t>
      </w:r>
      <w:r w:rsidR="00082EB2">
        <w:rPr>
          <w:iCs/>
          <w:lang w:val="en-US"/>
        </w:rPr>
        <w:t xml:space="preserve">the facts before it show that </w:t>
      </w:r>
      <w:r w:rsidR="002779BF">
        <w:rPr>
          <w:iCs/>
          <w:lang w:val="en-US"/>
        </w:rPr>
        <w:t xml:space="preserve">Mr. </w:t>
      </w:r>
      <w:proofErr w:type="spellStart"/>
      <w:r w:rsidR="002779BF">
        <w:rPr>
          <w:iCs/>
          <w:lang w:val="en-US"/>
        </w:rPr>
        <w:t>Grunov</w:t>
      </w:r>
      <w:proofErr w:type="spellEnd"/>
      <w:r w:rsidR="000032FB" w:rsidRPr="004A789E">
        <w:rPr>
          <w:iCs/>
          <w:lang w:val="en-US"/>
        </w:rPr>
        <w:t xml:space="preserve"> was not brought promptly before a judge or other officer authorized by law to exercise judicial power as required by article 9 (3) of the Covenant. Accordingly, the Committee concludes that the above-mentioned facts reveal a violation of the </w:t>
      </w:r>
      <w:r w:rsidR="002779BF">
        <w:rPr>
          <w:iCs/>
          <w:lang w:val="en-US"/>
        </w:rPr>
        <w:t xml:space="preserve">Mr. </w:t>
      </w:r>
      <w:proofErr w:type="spellStart"/>
      <w:r w:rsidR="002779BF">
        <w:rPr>
          <w:iCs/>
          <w:lang w:val="en-US"/>
        </w:rPr>
        <w:t>Grunov’s</w:t>
      </w:r>
      <w:proofErr w:type="spellEnd"/>
      <w:r w:rsidR="000032FB" w:rsidRPr="004A789E">
        <w:rPr>
          <w:iCs/>
          <w:lang w:val="en-US"/>
        </w:rPr>
        <w:t xml:space="preserve"> rights under article 9 (3) of the Covenant. </w:t>
      </w:r>
    </w:p>
    <w:p w:rsidR="00793891" w:rsidRDefault="00793891" w:rsidP="00793891">
      <w:pPr>
        <w:pStyle w:val="SingleTxtG"/>
      </w:pPr>
      <w:r>
        <w:rPr>
          <w:lang w:val="en-US"/>
        </w:rPr>
        <w:t>8</w:t>
      </w:r>
      <w:r w:rsidRPr="008D75D2">
        <w:t>.</w:t>
      </w:r>
      <w:r>
        <w:rPr>
          <w:lang w:val="en-US"/>
        </w:rPr>
        <w:t>4</w:t>
      </w:r>
      <w:r w:rsidRPr="008D75D2">
        <w:tab/>
        <w:t xml:space="preserve">The Committee further notes allegations that the principle of presumption of innocence was not respected in </w:t>
      </w:r>
      <w:r>
        <w:rPr>
          <w:lang w:val="en-US"/>
        </w:rPr>
        <w:t xml:space="preserve">Mr. </w:t>
      </w:r>
      <w:proofErr w:type="spellStart"/>
      <w:r>
        <w:rPr>
          <w:lang w:val="en-US"/>
        </w:rPr>
        <w:t>Grunov’s</w:t>
      </w:r>
      <w:proofErr w:type="spellEnd"/>
      <w:r w:rsidRPr="008D75D2">
        <w:t xml:space="preserve"> case, because he </w:t>
      </w:r>
      <w:proofErr w:type="gramStart"/>
      <w:r w:rsidRPr="008D75D2">
        <w:t xml:space="preserve">was </w:t>
      </w:r>
      <w:r>
        <w:rPr>
          <w:lang w:val="en-US"/>
        </w:rPr>
        <w:t xml:space="preserve">handcuffed </w:t>
      </w:r>
      <w:r w:rsidRPr="008D75D2">
        <w:t xml:space="preserve">and kept in a </w:t>
      </w:r>
      <w:r>
        <w:rPr>
          <w:lang w:val="en-US"/>
        </w:rPr>
        <w:t>glass</w:t>
      </w:r>
      <w:r w:rsidRPr="008D75D2">
        <w:t xml:space="preserve"> cage during the court hearings</w:t>
      </w:r>
      <w:proofErr w:type="gramEnd"/>
      <w:r w:rsidR="00667E0D">
        <w:rPr>
          <w:lang w:val="en-US"/>
        </w:rPr>
        <w:t>.</w:t>
      </w:r>
      <w:r w:rsidRPr="008D75D2">
        <w:t xml:space="preserve"> In this respect, the Committee recalls its jurisprudence, as also reflected in its general comment No. 32,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Pr="008D75D2">
        <w:rPr>
          <w:rStyle w:val="FootnoteReference"/>
        </w:rPr>
        <w:footnoteReference w:id="21"/>
      </w:r>
      <w:r w:rsidRPr="008D75D2">
        <w:t xml:space="preserve"> </w:t>
      </w:r>
      <w:r>
        <w:t>In t</w:t>
      </w:r>
      <w:r w:rsidRPr="008D75D2">
        <w:t>he same general comment</w:t>
      </w:r>
      <w:r>
        <w:t>, the Committee</w:t>
      </w:r>
      <w:r w:rsidRPr="008D75D2">
        <w:t xml:space="preserve"> further states that defendants should normally not be </w:t>
      </w:r>
      <w:r w:rsidRPr="008D75D2">
        <w:lastRenderedPageBreak/>
        <w:t xml:space="preserve">shackled or kept in cages during trial, or otherwise presented to the court in a manner indicating that they may be dangerous criminals, and that the media should avoid news coverage </w:t>
      </w:r>
      <w:r>
        <w:t>that undermines</w:t>
      </w:r>
      <w:r w:rsidRPr="008D75D2">
        <w:t xml:space="preserve"> the presumption of innocence.</w:t>
      </w:r>
      <w:r w:rsidRPr="008D75D2">
        <w:rPr>
          <w:rStyle w:val="FootnoteReference"/>
        </w:rPr>
        <w:footnoteReference w:id="22"/>
      </w:r>
      <w:r w:rsidRPr="008D75D2">
        <w:t xml:space="preserve"> On the basis of the information before it and in the absence of any other pertinent information or argumentation from the State party as to the need to keep the author in a cage throughout the court trial, the Committee considers that the facts as presented demonstrate that the right of Mr</w:t>
      </w:r>
      <w:r>
        <w:rPr>
          <w:lang w:val="en-US"/>
        </w:rPr>
        <w:t>.</w:t>
      </w:r>
      <w:r w:rsidRPr="008D75D2">
        <w:t xml:space="preserve"> </w:t>
      </w:r>
      <w:proofErr w:type="spellStart"/>
      <w:r>
        <w:rPr>
          <w:lang w:val="en-US"/>
        </w:rPr>
        <w:t>Grunov</w:t>
      </w:r>
      <w:proofErr w:type="spellEnd"/>
      <w:r w:rsidRPr="008D75D2">
        <w:t xml:space="preserve"> to be presumed innocent, as guaranteed under article 14 (2) of the Covenant, has been violated.</w:t>
      </w:r>
    </w:p>
    <w:p w:rsidR="00DB056F" w:rsidRDefault="009A405F" w:rsidP="00DB056F">
      <w:pPr>
        <w:pStyle w:val="SingleTxtG"/>
      </w:pPr>
      <w:r>
        <w:rPr>
          <w:lang w:val="en-US"/>
        </w:rPr>
        <w:t>8</w:t>
      </w:r>
      <w:r w:rsidR="00DB056F" w:rsidRPr="008D75D2">
        <w:t>.</w:t>
      </w:r>
      <w:r w:rsidR="00793891">
        <w:rPr>
          <w:lang w:val="en-US"/>
        </w:rPr>
        <w:t>5</w:t>
      </w:r>
      <w:r w:rsidR="00DB056F" w:rsidRPr="008D75D2">
        <w:tab/>
        <w:t>The Committee further notes the authors</w:t>
      </w:r>
      <w:r w:rsidR="00793891">
        <w:rPr>
          <w:lang w:val="en-US"/>
        </w:rPr>
        <w:t>’</w:t>
      </w:r>
      <w:r w:rsidR="00DB056F" w:rsidRPr="008D75D2">
        <w:t xml:space="preserve"> allegation that, during the </w:t>
      </w:r>
      <w:r w:rsidR="00793891" w:rsidRPr="008D75D2">
        <w:t>pre-trial</w:t>
      </w:r>
      <w:r w:rsidR="00DB056F" w:rsidRPr="008D75D2">
        <w:t xml:space="preserve"> investigation stage, </w:t>
      </w:r>
      <w:r w:rsidR="00793891">
        <w:rPr>
          <w:lang w:val="en-US"/>
        </w:rPr>
        <w:t xml:space="preserve">Mr. </w:t>
      </w:r>
      <w:proofErr w:type="spellStart"/>
      <w:r w:rsidR="00793891">
        <w:rPr>
          <w:lang w:val="en-US"/>
        </w:rPr>
        <w:t>Grunov</w:t>
      </w:r>
      <w:proofErr w:type="spellEnd"/>
      <w:r w:rsidR="00DB056F" w:rsidRPr="008D75D2">
        <w:t xml:space="preserve"> was not afforded the effective and </w:t>
      </w:r>
      <w:r w:rsidR="00DB056F" w:rsidRPr="004A789E">
        <w:t>continu</w:t>
      </w:r>
      <w:r w:rsidR="00DB056F">
        <w:t>ed</w:t>
      </w:r>
      <w:r w:rsidR="00DB056F" w:rsidRPr="008D75D2">
        <w:t xml:space="preserve"> assistance of a lawyer, and that he was able to hire a privately retained lawyer only in the framework of the preparation of his cassation appeal. In this context, the Committee notes, for example, that</w:t>
      </w:r>
      <w:r w:rsidR="00DB056F">
        <w:t>,</w:t>
      </w:r>
      <w:r w:rsidR="00DB056F" w:rsidRPr="008D75D2">
        <w:t xml:space="preserve"> </w:t>
      </w:r>
      <w:r w:rsidR="00DB056F">
        <w:rPr>
          <w:lang w:val="en-US"/>
        </w:rPr>
        <w:t xml:space="preserve">the initial interrogation during which Mr. </w:t>
      </w:r>
      <w:proofErr w:type="spellStart"/>
      <w:r w:rsidR="00DB056F">
        <w:rPr>
          <w:lang w:val="en-US"/>
        </w:rPr>
        <w:t>Grunov</w:t>
      </w:r>
      <w:proofErr w:type="spellEnd"/>
      <w:r w:rsidR="00DB056F">
        <w:rPr>
          <w:lang w:val="en-US"/>
        </w:rPr>
        <w:t xml:space="preserve"> confessed to committing the alleged crime</w:t>
      </w:r>
      <w:r w:rsidR="00DB056F" w:rsidRPr="008D75D2">
        <w:t xml:space="preserve"> took place in the absence of a lawyer.</w:t>
      </w:r>
      <w:r w:rsidR="00DB056F">
        <w:rPr>
          <w:lang w:val="en-US"/>
        </w:rPr>
        <w:t xml:space="preserve"> The Committee further notes the allegations that the lawyer provided by the State party never visited the defendant in </w:t>
      </w:r>
      <w:r w:rsidR="00793891">
        <w:rPr>
          <w:lang w:val="en-US"/>
        </w:rPr>
        <w:t>the</w:t>
      </w:r>
      <w:r w:rsidR="00DB056F">
        <w:rPr>
          <w:lang w:val="en-US"/>
        </w:rPr>
        <w:t xml:space="preserve"> pre</w:t>
      </w:r>
      <w:r w:rsidR="00793891">
        <w:rPr>
          <w:lang w:val="en-US"/>
        </w:rPr>
        <w:t>-</w:t>
      </w:r>
      <w:r w:rsidR="00DB056F">
        <w:rPr>
          <w:lang w:val="en-US"/>
        </w:rPr>
        <w:t>trial detention.</w:t>
      </w:r>
      <w:r w:rsidR="00DB056F" w:rsidRPr="008D75D2">
        <w:t xml:space="preserve"> The Committee also notes that these allegations have not been refuted by the State party. Accordingly, it considers that due weight must be given to the authors</w:t>
      </w:r>
      <w:r w:rsidR="00793891">
        <w:rPr>
          <w:lang w:val="en-US"/>
        </w:rPr>
        <w:t>’</w:t>
      </w:r>
      <w:r w:rsidR="00DB056F" w:rsidRPr="008D75D2">
        <w:t xml:space="preserve"> allegations. Referring to its general comment No. 32, the Committee </w:t>
      </w:r>
      <w:r w:rsidR="00793891">
        <w:rPr>
          <w:lang w:val="en-US"/>
        </w:rPr>
        <w:t xml:space="preserve">also </w:t>
      </w:r>
      <w:r w:rsidR="00DB056F" w:rsidRPr="008D75D2">
        <w:t>recalls that in</w:t>
      </w:r>
      <w:r w:rsidR="00DB056F" w:rsidRPr="008D75D2">
        <w:rPr>
          <w:color w:val="000000"/>
          <w:shd w:val="clear" w:color="auto" w:fill="FFFFFF"/>
        </w:rPr>
        <w:t xml:space="preserve"> cases involving capital punishment, it is axiomatic that the accused must be effectively assisted by a lawyer at all stages of the proceedings.</w:t>
      </w:r>
      <w:r w:rsidR="00DB056F" w:rsidRPr="008D75D2">
        <w:rPr>
          <w:rStyle w:val="FootnoteReference"/>
          <w:color w:val="000000"/>
          <w:shd w:val="clear" w:color="auto" w:fill="FFFFFF"/>
        </w:rPr>
        <w:footnoteReference w:id="23"/>
      </w:r>
      <w:r w:rsidR="00DB056F" w:rsidRPr="008D75D2">
        <w:rPr>
          <w:color w:val="000000"/>
          <w:shd w:val="clear" w:color="auto" w:fill="FFFFFF"/>
        </w:rPr>
        <w:t xml:space="preserve"> </w:t>
      </w:r>
      <w:r w:rsidR="00DB056F" w:rsidRPr="008D75D2">
        <w:t>In these circumstances, the Committee concludes that the facts as submitted by the author</w:t>
      </w:r>
      <w:r w:rsidR="00793891">
        <w:rPr>
          <w:lang w:val="en-US"/>
        </w:rPr>
        <w:t>s</w:t>
      </w:r>
      <w:r w:rsidR="00DB056F" w:rsidRPr="008D75D2">
        <w:t xml:space="preserve"> reveal a violation of </w:t>
      </w:r>
      <w:r w:rsidR="00793891">
        <w:rPr>
          <w:lang w:val="en-US"/>
        </w:rPr>
        <w:t xml:space="preserve">Mr. </w:t>
      </w:r>
      <w:proofErr w:type="spellStart"/>
      <w:r w:rsidR="00793891">
        <w:rPr>
          <w:lang w:val="en-US"/>
        </w:rPr>
        <w:t>Grunov’s</w:t>
      </w:r>
      <w:proofErr w:type="spellEnd"/>
      <w:r w:rsidR="00DB056F" w:rsidRPr="008D75D2">
        <w:t xml:space="preserve"> rights under article 14(3</w:t>
      </w:r>
      <w:proofErr w:type="gramStart"/>
      <w:r w:rsidR="00DB056F" w:rsidRPr="008D75D2">
        <w:t>)(</w:t>
      </w:r>
      <w:proofErr w:type="gramEnd"/>
      <w:r w:rsidR="00DB056F" w:rsidRPr="008D75D2">
        <w:t>b) of the Covenant.</w:t>
      </w:r>
    </w:p>
    <w:p w:rsidR="009A405F" w:rsidRDefault="00793891" w:rsidP="009A405F">
      <w:pPr>
        <w:pStyle w:val="SingleTxtG"/>
      </w:pPr>
      <w:r>
        <w:rPr>
          <w:lang w:val="en-US"/>
        </w:rPr>
        <w:t>8.6</w:t>
      </w:r>
      <w:r w:rsidR="009A405F">
        <w:rPr>
          <w:lang w:val="en-US"/>
        </w:rPr>
        <w:tab/>
      </w:r>
      <w:r w:rsidR="00082EB2">
        <w:rPr>
          <w:lang w:val="en-US"/>
        </w:rPr>
        <w:t xml:space="preserve">The </w:t>
      </w:r>
      <w:proofErr w:type="gramStart"/>
      <w:r w:rsidR="00082EB2">
        <w:rPr>
          <w:lang w:val="en-US"/>
        </w:rPr>
        <w:t>authors</w:t>
      </w:r>
      <w:proofErr w:type="gramEnd"/>
      <w:r w:rsidR="00082EB2">
        <w:rPr>
          <w:lang w:val="en-US"/>
        </w:rPr>
        <w:t xml:space="preserve"> </w:t>
      </w:r>
      <w:r w:rsidR="009A405F">
        <w:t xml:space="preserve">further claim that </w:t>
      </w:r>
      <w:r>
        <w:rPr>
          <w:lang w:val="en-US"/>
        </w:rPr>
        <w:t xml:space="preserve">Mr. </w:t>
      </w:r>
      <w:proofErr w:type="spellStart"/>
      <w:r>
        <w:rPr>
          <w:lang w:val="en-US"/>
        </w:rPr>
        <w:t>Grunov’s</w:t>
      </w:r>
      <w:proofErr w:type="spellEnd"/>
      <w:r w:rsidR="009A405F">
        <w:t xml:space="preserve"> right </w:t>
      </w:r>
      <w:r>
        <w:t>to life under article 6 of the C</w:t>
      </w:r>
      <w:r w:rsidR="009A405F">
        <w:t>ovenant was violated</w:t>
      </w:r>
      <w:r w:rsidR="009A405F" w:rsidRPr="008D75D2">
        <w:t xml:space="preserve">, since </w:t>
      </w:r>
      <w:r>
        <w:rPr>
          <w:lang w:val="en-US"/>
        </w:rPr>
        <w:t>he</w:t>
      </w:r>
      <w:r w:rsidR="009A405F" w:rsidRPr="008D75D2">
        <w:t xml:space="preserve"> was sentenced to death after an unfair trial. The Committee observes that these allegations have not been </w:t>
      </w:r>
      <w:r w:rsidR="00834780">
        <w:rPr>
          <w:lang w:val="en-US"/>
        </w:rPr>
        <w:t>addressed</w:t>
      </w:r>
      <w:r w:rsidR="009A405F" w:rsidRPr="008D75D2">
        <w:t xml:space="preserve"> by the State party. In that respect, the Committee recalls its general comment No. 6 (1982) on the right to life, in which it noted that the provision that a sentence of death may be imposed only in accordance with the law and not contrary to the provisions of the Covenant implies </w:t>
      </w:r>
      <w:r w:rsidR="009A405F" w:rsidRPr="00183C59">
        <w:t>that the procedural guarantees therein prescribed must be observed, including the right to a fair hearing by an ind</w:t>
      </w:r>
      <w:r w:rsidR="009A405F" w:rsidRPr="008D75D2">
        <w:t xml:space="preserve">ependent tribunal, the </w:t>
      </w:r>
      <w:r w:rsidR="009A405F" w:rsidRPr="00183C59">
        <w:t>presumption of innocence, the minimum guarantees for the defence, and the right to review by a higher tribunal.</w:t>
      </w:r>
      <w:r w:rsidR="009A405F" w:rsidRPr="00183C59">
        <w:rPr>
          <w:rStyle w:val="FootnoteReference"/>
        </w:rPr>
        <w:footnoteReference w:id="24"/>
      </w:r>
      <w:r w:rsidR="009A405F" w:rsidRPr="00183C59">
        <w:t xml:space="preserve"> In the same context, the Committee reiterates its jurisprudence that the imposition of a sentence of death upon </w:t>
      </w:r>
      <w:r w:rsidR="009A405F">
        <w:t xml:space="preserve">the </w:t>
      </w:r>
      <w:r w:rsidR="009A405F" w:rsidRPr="00183C59">
        <w:t>conclusion of a trial in which the provisions of article 14 of the Covenant have not been respected constitutes a violation of article 6 of the Covenant.</w:t>
      </w:r>
      <w:r w:rsidR="009A405F" w:rsidRPr="00183C59">
        <w:rPr>
          <w:rStyle w:val="FootnoteReference"/>
        </w:rPr>
        <w:footnoteReference w:id="25"/>
      </w:r>
      <w:r w:rsidR="009A405F" w:rsidRPr="00183C59">
        <w:t xml:space="preserve"> In the light of the Committee’s findings of a violation of </w:t>
      </w:r>
      <w:r w:rsidR="009A405F">
        <w:t xml:space="preserve">article </w:t>
      </w:r>
      <w:r w:rsidR="009A405F" w:rsidRPr="00183C59">
        <w:t>14(2) and</w:t>
      </w:r>
      <w:r w:rsidR="009A405F" w:rsidRPr="008D75D2">
        <w:t xml:space="preserve"> (3)(</w:t>
      </w:r>
      <w:r w:rsidR="009A405F">
        <w:rPr>
          <w:lang w:val="en-US"/>
        </w:rPr>
        <w:t>b</w:t>
      </w:r>
      <w:r w:rsidR="009A405F" w:rsidRPr="008D75D2">
        <w:t xml:space="preserve">) of the Covenant, it concludes that the final sentence of death and the subsequent execution of Mr. </w:t>
      </w:r>
      <w:proofErr w:type="spellStart"/>
      <w:r w:rsidR="009A405F">
        <w:rPr>
          <w:lang w:val="en-US"/>
        </w:rPr>
        <w:t>Grunov</w:t>
      </w:r>
      <w:proofErr w:type="spellEnd"/>
      <w:r w:rsidR="009A405F" w:rsidRPr="008D75D2">
        <w:t xml:space="preserve"> did not meet the requirements of article 14 and that, as a result, his right to life under article 6 of the Covenant </w:t>
      </w:r>
      <w:proofErr w:type="gramStart"/>
      <w:r w:rsidR="009A405F" w:rsidRPr="008D75D2">
        <w:t>has also been violated</w:t>
      </w:r>
      <w:proofErr w:type="gramEnd"/>
      <w:r w:rsidR="009A405F" w:rsidRPr="008D75D2">
        <w:t>.</w:t>
      </w:r>
    </w:p>
    <w:p w:rsidR="009A405F" w:rsidRDefault="0084428B" w:rsidP="009A405F">
      <w:pPr>
        <w:pStyle w:val="SingleTxtG"/>
      </w:pPr>
      <w:r>
        <w:rPr>
          <w:lang w:val="en-US"/>
        </w:rPr>
        <w:t>8.7</w:t>
      </w:r>
      <w:r>
        <w:rPr>
          <w:lang w:val="en-US"/>
        </w:rPr>
        <w:tab/>
      </w:r>
      <w:r w:rsidR="009A405F" w:rsidRPr="005A18C4">
        <w:t xml:space="preserve">The Committee </w:t>
      </w:r>
      <w:r>
        <w:rPr>
          <w:lang w:val="en-US"/>
        </w:rPr>
        <w:t xml:space="preserve">also </w:t>
      </w:r>
      <w:r>
        <w:t xml:space="preserve">observes that the State party authorities refused to inform Ms. </w:t>
      </w:r>
      <w:proofErr w:type="spellStart"/>
      <w:r>
        <w:rPr>
          <w:lang w:val="en-US"/>
        </w:rPr>
        <w:t>Grunova</w:t>
      </w:r>
      <w:proofErr w:type="spellEnd"/>
      <w:r>
        <w:rPr>
          <w:lang w:val="en-US"/>
        </w:rPr>
        <w:t xml:space="preserve"> of her son’s execution date, that they did not release </w:t>
      </w:r>
      <w:r w:rsidR="00082EB2">
        <w:rPr>
          <w:lang w:val="en-US"/>
        </w:rPr>
        <w:t xml:space="preserve">the </w:t>
      </w:r>
      <w:r>
        <w:rPr>
          <w:lang w:val="en-US"/>
        </w:rPr>
        <w:t>body, and that they did not inform her of his burial site.</w:t>
      </w:r>
      <w:r w:rsidR="001610E4">
        <w:rPr>
          <w:lang w:val="en-US"/>
        </w:rPr>
        <w:t xml:space="preserve"> The Committee cannot agree </w:t>
      </w:r>
      <w:r w:rsidR="005A45B0">
        <w:rPr>
          <w:lang w:val="en-US"/>
        </w:rPr>
        <w:t xml:space="preserve">with the State party’s explanations </w:t>
      </w:r>
      <w:r w:rsidR="001610E4">
        <w:rPr>
          <w:lang w:val="en-US"/>
        </w:rPr>
        <w:t>that these regulations intend to reduce suffering</w:t>
      </w:r>
      <w:r w:rsidR="005A45B0">
        <w:rPr>
          <w:lang w:val="en-US"/>
        </w:rPr>
        <w:t xml:space="preserve"> On </w:t>
      </w:r>
      <w:r w:rsidR="005A45B0">
        <w:rPr>
          <w:lang w:val="en-US"/>
        </w:rPr>
        <w:lastRenderedPageBreak/>
        <w:t>the contrary,</w:t>
      </w:r>
      <w:r w:rsidR="001610E4">
        <w:rPr>
          <w:lang w:val="en-US"/>
        </w:rPr>
        <w:t xml:space="preserve"> in most </w:t>
      </w:r>
      <w:proofErr w:type="gramStart"/>
      <w:r w:rsidR="001610E4">
        <w:rPr>
          <w:lang w:val="en-US"/>
        </w:rPr>
        <w:t>circumstances,</w:t>
      </w:r>
      <w:proofErr w:type="gramEnd"/>
      <w:r w:rsidR="001610E4">
        <w:rPr>
          <w:lang w:val="en-US"/>
        </w:rPr>
        <w:t xml:space="preserve"> </w:t>
      </w:r>
      <w:r w:rsidR="005A45B0">
        <w:rPr>
          <w:lang w:val="en-US"/>
        </w:rPr>
        <w:t xml:space="preserve">they </w:t>
      </w:r>
      <w:r w:rsidR="001610E4">
        <w:rPr>
          <w:lang w:val="en-US"/>
        </w:rPr>
        <w:t>would have an opposite effect, as shown in the present communication</w:t>
      </w:r>
      <w:r w:rsidR="005A45B0">
        <w:rPr>
          <w:lang w:val="en-US"/>
        </w:rPr>
        <w:t>.</w:t>
      </w:r>
      <w:r w:rsidR="00786529">
        <w:rPr>
          <w:rStyle w:val="FootnoteReference"/>
          <w:lang w:val="en-US"/>
        </w:rPr>
        <w:footnoteReference w:id="26"/>
      </w:r>
      <w:r>
        <w:rPr>
          <w:lang w:val="en-US"/>
        </w:rPr>
        <w:t xml:space="preserve"> </w:t>
      </w:r>
      <w:r w:rsidR="009A405F" w:rsidRPr="005A18C4">
        <w:t xml:space="preserve">The Committee </w:t>
      </w:r>
      <w:r w:rsidR="001610E4">
        <w:rPr>
          <w:lang w:val="en-US"/>
        </w:rPr>
        <w:t xml:space="preserve">therefore </w:t>
      </w:r>
      <w:r w:rsidR="009A405F" w:rsidRPr="005A18C4">
        <w:t xml:space="preserve">understands the continued anguish and mental stress caused to </w:t>
      </w:r>
      <w:r>
        <w:rPr>
          <w:lang w:val="en-US"/>
        </w:rPr>
        <w:t xml:space="preserve">Ms. </w:t>
      </w:r>
      <w:proofErr w:type="spellStart"/>
      <w:r>
        <w:rPr>
          <w:lang w:val="en-US"/>
        </w:rPr>
        <w:t>Grunova</w:t>
      </w:r>
      <w:proofErr w:type="spellEnd"/>
      <w:r w:rsidR="009A405F" w:rsidRPr="005A18C4">
        <w:t xml:space="preserve"> by this </w:t>
      </w:r>
      <w:r>
        <w:rPr>
          <w:lang w:val="en-US"/>
        </w:rPr>
        <w:t>absence of information</w:t>
      </w:r>
      <w:r w:rsidR="009A405F" w:rsidRPr="005A18C4">
        <w:t xml:space="preserve">, which </w:t>
      </w:r>
      <w:proofErr w:type="gramStart"/>
      <w:r w:rsidR="009A405F" w:rsidRPr="005A18C4">
        <w:t>is amplified</w:t>
      </w:r>
      <w:proofErr w:type="gramEnd"/>
      <w:r w:rsidR="009A405F" w:rsidRPr="005A18C4">
        <w:t xml:space="preserve"> by </w:t>
      </w:r>
      <w:r>
        <w:rPr>
          <w:lang w:val="en-US"/>
        </w:rPr>
        <w:t>the violations committed by the State party regarding her son</w:t>
      </w:r>
      <w:r w:rsidR="009A405F" w:rsidRPr="005A18C4">
        <w:t xml:space="preserve">. In its view, </w:t>
      </w:r>
      <w:r w:rsidR="00082EB2" w:rsidRPr="000C1931">
        <w:rPr>
          <w:lang w:val="en-GB"/>
        </w:rPr>
        <w:t xml:space="preserve">this </w:t>
      </w:r>
      <w:r w:rsidR="009A405F" w:rsidRPr="005A18C4">
        <w:t xml:space="preserve">amounts to inhuman treatment of </w:t>
      </w:r>
      <w:r>
        <w:rPr>
          <w:lang w:val="en-US"/>
        </w:rPr>
        <w:t xml:space="preserve">Ms. </w:t>
      </w:r>
      <w:proofErr w:type="spellStart"/>
      <w:r>
        <w:rPr>
          <w:lang w:val="en-US"/>
        </w:rPr>
        <w:t>Grunova</w:t>
      </w:r>
      <w:proofErr w:type="spellEnd"/>
      <w:r w:rsidR="009A405F" w:rsidRPr="005A18C4">
        <w:t>, in violation of article 7 of the Covenant.</w:t>
      </w:r>
    </w:p>
    <w:p w:rsidR="0084428B" w:rsidRPr="00A10891" w:rsidRDefault="0084428B" w:rsidP="0084428B">
      <w:pPr>
        <w:pStyle w:val="SingleTxtG"/>
      </w:pPr>
      <w:r>
        <w:rPr>
          <w:lang w:val="en-US"/>
        </w:rPr>
        <w:t>8.8</w:t>
      </w:r>
      <w:r>
        <w:rPr>
          <w:lang w:val="en-US"/>
        </w:rPr>
        <w:tab/>
      </w:r>
      <w:r>
        <w:t xml:space="preserve">In light of this conclusion, the Committee decides not to examine </w:t>
      </w:r>
      <w:r>
        <w:rPr>
          <w:lang w:val="en-US"/>
        </w:rPr>
        <w:t xml:space="preserve">Ms. </w:t>
      </w:r>
      <w:proofErr w:type="spellStart"/>
      <w:r>
        <w:rPr>
          <w:lang w:val="en-US"/>
        </w:rPr>
        <w:t>Grunova</w:t>
      </w:r>
      <w:proofErr w:type="spellEnd"/>
      <w:r>
        <w:t>’</w:t>
      </w:r>
      <w:r w:rsidR="00082EB2" w:rsidRPr="000C1931">
        <w:rPr>
          <w:lang w:val="en-GB"/>
        </w:rPr>
        <w:t>s</w:t>
      </w:r>
      <w:r>
        <w:t xml:space="preserve"> claims under article</w:t>
      </w:r>
      <w:r w:rsidR="00BB1FD2">
        <w:rPr>
          <w:lang w:val="en-US"/>
        </w:rPr>
        <w:t>s</w:t>
      </w:r>
      <w:r>
        <w:t xml:space="preserve"> </w:t>
      </w:r>
      <w:r w:rsidR="00BB1FD2">
        <w:rPr>
          <w:lang w:val="en-US"/>
        </w:rPr>
        <w:t>7 and 14(1)</w:t>
      </w:r>
      <w:r>
        <w:t xml:space="preserve">, read in conjunction with article 2 (2) of the Covenant. </w:t>
      </w:r>
    </w:p>
    <w:p w:rsidR="00BB1FD2" w:rsidRPr="001610E4" w:rsidRDefault="002B49B5" w:rsidP="00BB1FD2">
      <w:pPr>
        <w:pStyle w:val="SingleTxtG"/>
        <w:rPr>
          <w:lang w:val="en-US"/>
        </w:rPr>
      </w:pPr>
      <w:r>
        <w:t>9.</w:t>
      </w:r>
      <w:r w:rsidR="00726ECE" w:rsidRPr="0004514B">
        <w:tab/>
      </w:r>
      <w:r w:rsidR="00BB1FD2" w:rsidRPr="005A18C4">
        <w:t xml:space="preserve">The Committee, acting under article 5 (4) of the Optional Protocol, is of the view that the facts before it discloses a violation by the State party of </w:t>
      </w:r>
      <w:r w:rsidR="00BB1FD2">
        <w:rPr>
          <w:lang w:val="en-US"/>
        </w:rPr>
        <w:t xml:space="preserve">Mr. </w:t>
      </w:r>
      <w:proofErr w:type="spellStart"/>
      <w:r w:rsidR="00BB1FD2">
        <w:rPr>
          <w:lang w:val="en-US"/>
        </w:rPr>
        <w:t>Grunov</w:t>
      </w:r>
      <w:proofErr w:type="spellEnd"/>
      <w:r w:rsidR="00BB1FD2">
        <w:t>’</w:t>
      </w:r>
      <w:r w:rsidR="00BB1FD2" w:rsidRPr="005A18C4">
        <w:t xml:space="preserve">s rights </w:t>
      </w:r>
      <w:r w:rsidR="00BB1FD2">
        <w:t xml:space="preserve">under articles 6 (1), </w:t>
      </w:r>
      <w:proofErr w:type="gramStart"/>
      <w:r w:rsidR="00BB1FD2">
        <w:t>7</w:t>
      </w:r>
      <w:proofErr w:type="gramEnd"/>
      <w:r w:rsidR="00BB1FD2">
        <w:t>, 9(3), 14(2) and (3)</w:t>
      </w:r>
      <w:r w:rsidR="00C7509A" w:rsidRPr="00C7509A">
        <w:rPr>
          <w:lang w:val="en-GB"/>
        </w:rPr>
        <w:t xml:space="preserve"> </w:t>
      </w:r>
      <w:r w:rsidR="00BB1FD2">
        <w:t xml:space="preserve">(b), </w:t>
      </w:r>
      <w:r w:rsidR="00BB1FD2" w:rsidRPr="005A18C4">
        <w:t xml:space="preserve">and of </w:t>
      </w:r>
      <w:r w:rsidR="00BB1FD2">
        <w:rPr>
          <w:lang w:val="en-US"/>
        </w:rPr>
        <w:t xml:space="preserve">Ms. </w:t>
      </w:r>
      <w:proofErr w:type="spellStart"/>
      <w:r w:rsidR="00BB1FD2">
        <w:rPr>
          <w:lang w:val="en-US"/>
        </w:rPr>
        <w:t>Grunova’s</w:t>
      </w:r>
      <w:proofErr w:type="spellEnd"/>
      <w:r w:rsidR="00BB1FD2" w:rsidRPr="005A18C4">
        <w:t xml:space="preserve"> rights under article 7 of the Covenant. </w:t>
      </w:r>
      <w:r w:rsidR="001610E4">
        <w:rPr>
          <w:lang w:val="en-US"/>
        </w:rPr>
        <w:t xml:space="preserve">The Committee also concludes that by not respecting its request for interim measures, the State party violated its obligations under article 1 of the Optional Protocol. </w:t>
      </w:r>
    </w:p>
    <w:p w:rsidR="00BB1FD2" w:rsidRPr="00834780" w:rsidRDefault="002B49B5" w:rsidP="00BB1FD2">
      <w:pPr>
        <w:pStyle w:val="SingleTxtG"/>
        <w:rPr>
          <w:lang w:val="en-US"/>
        </w:rPr>
      </w:pPr>
      <w:r>
        <w:t>10.</w:t>
      </w:r>
      <w:r w:rsidR="00726ECE" w:rsidRPr="0004514B">
        <w:tab/>
      </w:r>
      <w:r w:rsidR="00BB1FD2" w:rsidRPr="005A18C4">
        <w:t>Pursuant to article 2(3)</w:t>
      </w:r>
      <w:r w:rsidR="00C7509A" w:rsidRPr="00C7509A">
        <w:rPr>
          <w:lang w:val="en-GB"/>
        </w:rPr>
        <w:t xml:space="preserve"> </w:t>
      </w:r>
      <w:r w:rsidR="00BB1FD2" w:rsidRPr="005A18C4">
        <w:t>(a) of the Covenant, the State party is under an obligation to provide individuals whose Covenant rights have been violated with an effective remedy, in the form of full reparation. Accordingly, the State party is obligated to, inter alia, take appropriate steps to: (a)</w:t>
      </w:r>
      <w:r w:rsidR="00BB1FD2">
        <w:rPr>
          <w:lang w:val="en-US"/>
        </w:rPr>
        <w:t xml:space="preserve"> inform Ms. </w:t>
      </w:r>
      <w:proofErr w:type="spellStart"/>
      <w:r w:rsidR="00BB1FD2">
        <w:rPr>
          <w:lang w:val="en-US"/>
        </w:rPr>
        <w:t>Grunova</w:t>
      </w:r>
      <w:proofErr w:type="spellEnd"/>
      <w:r w:rsidR="00BB1FD2">
        <w:rPr>
          <w:lang w:val="en-US"/>
        </w:rPr>
        <w:t xml:space="preserve"> of</w:t>
      </w:r>
      <w:r w:rsidR="00834780">
        <w:rPr>
          <w:lang w:val="en-US"/>
        </w:rPr>
        <w:t xml:space="preserve"> the exact time of the execution, and of</w:t>
      </w:r>
      <w:r w:rsidR="00BB1FD2">
        <w:rPr>
          <w:lang w:val="en-US"/>
        </w:rPr>
        <w:t xml:space="preserve"> the place of the burial of her son</w:t>
      </w:r>
      <w:r w:rsidR="00BB1FD2" w:rsidRPr="005A18C4">
        <w:t>;</w:t>
      </w:r>
      <w:r w:rsidR="00BB1FD2" w:rsidRPr="005A18C4" w:rsidDel="00562B42">
        <w:t xml:space="preserve"> </w:t>
      </w:r>
      <w:r w:rsidR="00BB1FD2" w:rsidRPr="005A18C4">
        <w:t>(</w:t>
      </w:r>
      <w:r w:rsidR="00BB1FD2">
        <w:rPr>
          <w:lang w:val="en-US"/>
        </w:rPr>
        <w:t>b</w:t>
      </w:r>
      <w:r w:rsidR="00BB1FD2" w:rsidRPr="005A18C4">
        <w:t xml:space="preserve">) provide </w:t>
      </w:r>
      <w:r w:rsidR="00BB1FD2">
        <w:rPr>
          <w:lang w:val="en-US"/>
        </w:rPr>
        <w:t xml:space="preserve">Ms. </w:t>
      </w:r>
      <w:proofErr w:type="spellStart"/>
      <w:r w:rsidR="00BB1FD2">
        <w:rPr>
          <w:lang w:val="en-US"/>
        </w:rPr>
        <w:t>Grunova</w:t>
      </w:r>
      <w:proofErr w:type="spellEnd"/>
      <w:r w:rsidR="00BB1FD2" w:rsidRPr="005A18C4">
        <w:t xml:space="preserve"> with compensation for the </w:t>
      </w:r>
      <w:r w:rsidR="00BB1FD2">
        <w:rPr>
          <w:lang w:val="en-US"/>
        </w:rPr>
        <w:t>violations that her</w:t>
      </w:r>
      <w:r w:rsidR="00BB1FD2" w:rsidRPr="005A18C4">
        <w:t xml:space="preserve"> son suffered, and for the pain and anguish that </w:t>
      </w:r>
      <w:r w:rsidR="00BB1FD2">
        <w:rPr>
          <w:lang w:val="en-US"/>
        </w:rPr>
        <w:t>s</w:t>
      </w:r>
      <w:r w:rsidR="00BB1FD2" w:rsidRPr="005A18C4">
        <w:t xml:space="preserve">he, </w:t>
      </w:r>
      <w:proofErr w:type="spellStart"/>
      <w:r w:rsidR="00BB1FD2" w:rsidRPr="005A18C4">
        <w:t>h</w:t>
      </w:r>
      <w:r w:rsidR="00BB1FD2">
        <w:rPr>
          <w:lang w:val="en-US"/>
        </w:rPr>
        <w:t>er</w:t>
      </w:r>
      <w:r w:rsidR="00BB1FD2" w:rsidRPr="005A18C4">
        <w:t>s</w:t>
      </w:r>
      <w:r w:rsidR="00BB1FD2">
        <w:t>elf</w:t>
      </w:r>
      <w:proofErr w:type="spellEnd"/>
      <w:r w:rsidR="00BB1FD2">
        <w:t xml:space="preserve">, suffered </w:t>
      </w:r>
      <w:proofErr w:type="gramStart"/>
      <w:r w:rsidR="00BB1FD2">
        <w:t>as a result</w:t>
      </w:r>
      <w:proofErr w:type="gramEnd"/>
      <w:r w:rsidR="00BB1FD2">
        <w:t xml:space="preserve"> of her</w:t>
      </w:r>
      <w:r w:rsidR="00BB1FD2" w:rsidRPr="005A18C4">
        <w:t xml:space="preserve"> son</w:t>
      </w:r>
      <w:r w:rsidR="00BB1FD2">
        <w:t>’</w:t>
      </w:r>
      <w:r w:rsidR="00BB1FD2" w:rsidRPr="005A18C4">
        <w:t xml:space="preserve">s </w:t>
      </w:r>
      <w:r w:rsidR="00BB1FD2">
        <w:rPr>
          <w:lang w:val="en-US"/>
        </w:rPr>
        <w:t>unfair trial and execution</w:t>
      </w:r>
      <w:r w:rsidR="00BB1FD2" w:rsidRPr="005A18C4">
        <w:t>. The State party is also under an obligation to take all steps necessary to prevent similar violations from occurring in the future.</w:t>
      </w:r>
      <w:r w:rsidR="00834780">
        <w:rPr>
          <w:lang w:val="en-US"/>
        </w:rPr>
        <w:t xml:space="preserve"> </w:t>
      </w:r>
      <w:r w:rsidR="00834780" w:rsidRPr="009845EF">
        <w:rPr>
          <w:lang w:val="en-GB"/>
        </w:rPr>
        <w:t>I</w:t>
      </w:r>
      <w:r w:rsidR="00834780">
        <w:rPr>
          <w:lang w:val="en-GB"/>
        </w:rPr>
        <w:t xml:space="preserve">n this connection, </w:t>
      </w:r>
      <w:r w:rsidR="00834780" w:rsidRPr="009845EF">
        <w:rPr>
          <w:lang w:val="en-GB"/>
        </w:rPr>
        <w:t>the State party should review its legislation</w:t>
      </w:r>
      <w:r w:rsidR="00834780">
        <w:rPr>
          <w:lang w:val="en-GB"/>
        </w:rPr>
        <w:t xml:space="preserve"> concerning death penalty </w:t>
      </w:r>
      <w:r w:rsidR="00834780" w:rsidRPr="009845EF">
        <w:rPr>
          <w:lang w:val="en-GB"/>
        </w:rPr>
        <w:t xml:space="preserve">as it </w:t>
      </w:r>
      <w:proofErr w:type="gramStart"/>
      <w:r w:rsidR="00834780" w:rsidRPr="009845EF">
        <w:rPr>
          <w:lang w:val="en-GB"/>
        </w:rPr>
        <w:t>was applied</w:t>
      </w:r>
      <w:proofErr w:type="gramEnd"/>
      <w:r w:rsidR="00834780" w:rsidRPr="009845EF">
        <w:rPr>
          <w:lang w:val="en-GB"/>
        </w:rPr>
        <w:t xml:space="preserve"> in the present case</w:t>
      </w:r>
      <w:r w:rsidR="00834780">
        <w:rPr>
          <w:lang w:val="en-GB"/>
        </w:rPr>
        <w:t xml:space="preserve">. </w:t>
      </w:r>
    </w:p>
    <w:p w:rsidR="00726ECE" w:rsidRDefault="008B24F6" w:rsidP="00726ECE">
      <w:pPr>
        <w:pStyle w:val="SingleTxtG"/>
        <w:spacing w:line="240" w:lineRule="auto"/>
        <w:rPr>
          <w:lang w:val="en-GB"/>
        </w:rPr>
      </w:pPr>
      <w:r>
        <w:t>11.</w:t>
      </w:r>
      <w:r w:rsidR="00B4174D">
        <w:tab/>
      </w:r>
      <w:r w:rsidR="00726ECE" w:rsidRPr="0004514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broadly in the official languages of the State party.</w:t>
      </w:r>
    </w:p>
    <w:p w:rsidR="00380C23" w:rsidRPr="002B49B5" w:rsidRDefault="00726ECE" w:rsidP="002B49B5">
      <w:pPr>
        <w:pStyle w:val="SingleTxtG"/>
        <w:spacing w:before="240" w:after="0"/>
        <w:jc w:val="center"/>
        <w:rPr>
          <w:u w:val="single"/>
        </w:rPr>
      </w:pPr>
      <w:r>
        <w:rPr>
          <w:u w:val="single"/>
        </w:rPr>
        <w:tab/>
      </w:r>
      <w:r>
        <w:rPr>
          <w:u w:val="single"/>
        </w:rPr>
        <w:tab/>
      </w:r>
      <w:r>
        <w:rPr>
          <w:u w:val="single"/>
        </w:rPr>
        <w:tab/>
      </w:r>
      <w:r w:rsidR="002B49B5" w:rsidRPr="002B49B5">
        <w:rPr>
          <w:u w:val="single"/>
        </w:rPr>
        <w:tab/>
      </w:r>
    </w:p>
    <w:sectPr w:rsidR="00380C23" w:rsidRPr="002B49B5" w:rsidSect="00A5720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56" w:rsidRDefault="00902256"/>
  </w:endnote>
  <w:endnote w:type="continuationSeparator" w:id="0">
    <w:p w:rsidR="00902256" w:rsidRDefault="00902256"/>
  </w:endnote>
  <w:endnote w:type="continuationNotice" w:id="1">
    <w:p w:rsidR="00902256" w:rsidRDefault="00902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gs">
    <w:altName w:val="Yu Gothic UI"/>
    <w:panose1 w:val="00000000000000000000"/>
    <w:charset w:val="80"/>
    <w:family w:val="auto"/>
    <w:notTrueType/>
    <w:pitch w:val="variable"/>
    <w:sig w:usb0="00000001" w:usb1="08070000" w:usb2="00000010" w:usb3="00000000" w:csb0="00020000" w:csb1="00000000"/>
  </w:font>
  <w:font w:name="C39T30Lfz">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6F" w:rsidRPr="00781C83" w:rsidRDefault="00DB056F" w:rsidP="00990482">
    <w:pPr>
      <w:pStyle w:val="Footer"/>
      <w:tabs>
        <w:tab w:val="right" w:pos="9638"/>
      </w:tabs>
    </w:pPr>
    <w:r w:rsidRPr="00781C83">
      <w:rPr>
        <w:b/>
        <w:sz w:val="18"/>
      </w:rPr>
      <w:fldChar w:fldCharType="begin"/>
    </w:r>
    <w:r>
      <w:rPr>
        <w:b/>
        <w:sz w:val="18"/>
      </w:rPr>
      <w:instrText>PAGE</w:instrText>
    </w:r>
    <w:r w:rsidRPr="00781C83">
      <w:rPr>
        <w:b/>
        <w:sz w:val="18"/>
      </w:rPr>
      <w:instrText xml:space="preserve">  \* MERGEFORMAT </w:instrText>
    </w:r>
    <w:r w:rsidRPr="00781C83">
      <w:rPr>
        <w:b/>
        <w:sz w:val="18"/>
      </w:rPr>
      <w:fldChar w:fldCharType="separate"/>
    </w:r>
    <w:r w:rsidR="00907E7B">
      <w:rPr>
        <w:b/>
        <w:noProof/>
        <w:sz w:val="18"/>
      </w:rPr>
      <w:t>10</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6F" w:rsidRPr="00B34770" w:rsidRDefault="00DB056F" w:rsidP="00990482">
    <w:pPr>
      <w:pStyle w:val="Footer"/>
      <w:tabs>
        <w:tab w:val="right" w:pos="9638"/>
      </w:tabs>
      <w:rPr>
        <w:b/>
        <w:bCs/>
        <w:sz w:val="18"/>
      </w:rPr>
    </w:pPr>
    <w:r>
      <w:rPr>
        <w:b/>
        <w:sz w:val="18"/>
      </w:rPr>
      <w:tab/>
    </w:r>
    <w:r w:rsidRPr="00B34770">
      <w:rPr>
        <w:b/>
        <w:bCs/>
        <w:sz w:val="18"/>
      </w:rPr>
      <w:fldChar w:fldCharType="begin"/>
    </w:r>
    <w:r>
      <w:rPr>
        <w:b/>
        <w:bCs/>
        <w:sz w:val="18"/>
      </w:rPr>
      <w:instrText>PAGE</w:instrText>
    </w:r>
    <w:r w:rsidRPr="00B34770">
      <w:rPr>
        <w:b/>
        <w:bCs/>
        <w:sz w:val="18"/>
      </w:rPr>
      <w:instrText xml:space="preserve">  \* MERGEFORMAT </w:instrText>
    </w:r>
    <w:r w:rsidRPr="00B34770">
      <w:rPr>
        <w:b/>
        <w:bCs/>
        <w:sz w:val="18"/>
      </w:rPr>
      <w:fldChar w:fldCharType="separate"/>
    </w:r>
    <w:r w:rsidR="00907E7B">
      <w:rPr>
        <w:b/>
        <w:bCs/>
        <w:noProof/>
        <w:sz w:val="18"/>
      </w:rPr>
      <w:t>9</w:t>
    </w:r>
    <w:r w:rsidRPr="00B347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A9" w:rsidRDefault="00E636A9" w:rsidP="00E636A9">
    <w:pPr>
      <w:pStyle w:val="Footer"/>
    </w:pPr>
    <w:r>
      <w:rPr>
        <w:noProof/>
        <w:lang w:val="en-GB"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8572500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E636A9" w:rsidRDefault="00452D37" w:rsidP="00E636A9">
    <w:pPr>
      <w:pStyle w:val="Footer"/>
      <w:ind w:right="1134"/>
      <w:rPr>
        <w:sz w:val="20"/>
      </w:rPr>
    </w:pPr>
    <w:r>
      <w:rPr>
        <w:rFonts w:ascii="C39T30Lfz" w:hAnsi="C39T30Lfz"/>
        <w:noProof/>
        <w:sz w:val="56"/>
        <w:lang w:val="en-GB"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8235619</wp:posOffset>
          </wp:positionV>
          <wp:extent cx="638175" cy="638175"/>
          <wp:effectExtent l="0" t="0" r="9525" b="9525"/>
          <wp:wrapNone/>
          <wp:docPr id="2" name="Picture 1" descr="https://undocs.org/m2/QRCode.ashx?DS=CCPR/C/123/DR/2375/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R/2375/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56" w:rsidRPr="000B175B" w:rsidRDefault="00902256" w:rsidP="00990482">
      <w:pPr>
        <w:tabs>
          <w:tab w:val="right" w:pos="2155"/>
        </w:tabs>
        <w:spacing w:after="80"/>
        <w:ind w:left="680"/>
        <w:rPr>
          <w:u w:val="single"/>
        </w:rPr>
      </w:pPr>
      <w:r>
        <w:rPr>
          <w:u w:val="single"/>
        </w:rPr>
        <w:tab/>
      </w:r>
    </w:p>
  </w:footnote>
  <w:footnote w:type="continuationSeparator" w:id="0">
    <w:p w:rsidR="00902256" w:rsidRPr="00FC68B7" w:rsidRDefault="00902256" w:rsidP="00990482">
      <w:pPr>
        <w:tabs>
          <w:tab w:val="left" w:pos="2155"/>
        </w:tabs>
        <w:spacing w:after="80"/>
        <w:ind w:left="680"/>
        <w:rPr>
          <w:u w:val="single"/>
        </w:rPr>
      </w:pPr>
      <w:r>
        <w:rPr>
          <w:u w:val="single"/>
        </w:rPr>
        <w:tab/>
      </w:r>
    </w:p>
  </w:footnote>
  <w:footnote w:type="continuationNotice" w:id="1">
    <w:p w:rsidR="00902256" w:rsidRDefault="00902256"/>
  </w:footnote>
  <w:footnote w:id="2">
    <w:p w:rsidR="00AA63F1" w:rsidRPr="00907E7B" w:rsidRDefault="00AA63F1">
      <w:pPr>
        <w:pStyle w:val="FootnoteText"/>
        <w:rPr>
          <w:lang w:val="en-GB"/>
        </w:rPr>
      </w:pPr>
      <w:r>
        <w:rPr>
          <w:rStyle w:val="FootnoteReference"/>
        </w:rPr>
        <w:tab/>
      </w:r>
      <w:r w:rsidRPr="00907E7B">
        <w:rPr>
          <w:rStyle w:val="FootnoteReference"/>
          <w:sz w:val="20"/>
          <w:vertAlign w:val="baseline"/>
        </w:rPr>
        <w:t>*</w:t>
      </w:r>
      <w:r>
        <w:rPr>
          <w:rStyle w:val="FootnoteReference"/>
          <w:sz w:val="20"/>
          <w:vertAlign w:val="baseline"/>
        </w:rPr>
        <w:tab/>
      </w:r>
      <w:r>
        <w:t xml:space="preserve">Adopted by the Committee </w:t>
      </w:r>
      <w:r w:rsidRPr="009E4187">
        <w:t xml:space="preserve">at its </w:t>
      </w:r>
      <w:r>
        <w:t xml:space="preserve">123rd </w:t>
      </w:r>
      <w:r w:rsidRPr="009E4187">
        <w:t>session (</w:t>
      </w:r>
      <w:r>
        <w:t>2</w:t>
      </w:r>
      <w:r w:rsidRPr="001E52C7">
        <w:rPr>
          <w:lang w:val="en-GB"/>
        </w:rPr>
        <w:t>-</w:t>
      </w:r>
      <w:r>
        <w:rPr>
          <w:lang w:val="en-GB"/>
        </w:rPr>
        <w:t>27 July 2018</w:t>
      </w:r>
      <w:r w:rsidRPr="009E4187">
        <w:t>).</w:t>
      </w:r>
    </w:p>
  </w:footnote>
  <w:footnote w:id="3">
    <w:p w:rsidR="00AA63F1" w:rsidRPr="00907E7B" w:rsidRDefault="00AA63F1">
      <w:pPr>
        <w:pStyle w:val="FootnoteText"/>
        <w:rPr>
          <w:lang w:val="en-GB"/>
        </w:rPr>
      </w:pPr>
      <w:r>
        <w:rPr>
          <w:rStyle w:val="FootnoteReference"/>
        </w:rPr>
        <w:tab/>
      </w:r>
      <w:r w:rsidRPr="00907E7B">
        <w:rPr>
          <w:rStyle w:val="FootnoteReference"/>
          <w:sz w:val="20"/>
          <w:vertAlign w:val="baseline"/>
        </w:rPr>
        <w:t>**</w:t>
      </w:r>
      <w:r>
        <w:rPr>
          <w:rStyle w:val="FootnoteReference"/>
          <w:sz w:val="20"/>
          <w:vertAlign w:val="baseline"/>
        </w:rPr>
        <w:tab/>
      </w:r>
      <w:bookmarkStart w:id="0" w:name="OLE_LINK1"/>
      <w:bookmarkStart w:id="1" w:name="OLE_LINK2"/>
      <w:r w:rsidRPr="00812B41">
        <w:rPr>
          <w:spacing w:val="-1"/>
          <w:szCs w:val="18"/>
        </w:rPr>
        <w:t xml:space="preserve">The following members of the Committee participated in the examination of the present communication: </w:t>
      </w:r>
      <w:bookmarkEnd w:id="0"/>
      <w:bookmarkEnd w:id="1"/>
      <w:r>
        <w:rPr>
          <w:rFonts w:cs="Arial"/>
          <w:lang w:val="es-ES"/>
        </w:rPr>
        <w:t xml:space="preserve">Tania María </w:t>
      </w:r>
      <w:proofErr w:type="spellStart"/>
      <w:r>
        <w:rPr>
          <w:rFonts w:cs="Arial"/>
          <w:lang w:val="es-ES"/>
        </w:rPr>
        <w:t>Abdo</w:t>
      </w:r>
      <w:proofErr w:type="spellEnd"/>
      <w:r>
        <w:rPr>
          <w:rFonts w:cs="Arial"/>
          <w:lang w:val="es-ES"/>
        </w:rPr>
        <w:t xml:space="preserve"> </w:t>
      </w:r>
      <w:proofErr w:type="spellStart"/>
      <w:r>
        <w:rPr>
          <w:rFonts w:cs="Arial"/>
          <w:lang w:val="es-ES"/>
        </w:rPr>
        <w:t>Rocholl</w:t>
      </w:r>
      <w:proofErr w:type="spellEnd"/>
      <w:r>
        <w:rPr>
          <w:rFonts w:cs="Arial"/>
          <w:lang w:val="es-ES"/>
        </w:rPr>
        <w:t xml:space="preserve">, </w:t>
      </w:r>
      <w:proofErr w:type="spellStart"/>
      <w:r w:rsidRPr="00812B41">
        <w:rPr>
          <w:spacing w:val="-1"/>
          <w:szCs w:val="18"/>
        </w:rPr>
        <w:t>Yadh</w:t>
      </w:r>
      <w:proofErr w:type="spellEnd"/>
      <w:r w:rsidRPr="00812B41">
        <w:rPr>
          <w:spacing w:val="-1"/>
          <w:szCs w:val="18"/>
        </w:rPr>
        <w:t xml:space="preserve"> Ben </w:t>
      </w:r>
      <w:proofErr w:type="spellStart"/>
      <w:r w:rsidRPr="00812B41">
        <w:rPr>
          <w:spacing w:val="-1"/>
          <w:szCs w:val="18"/>
        </w:rPr>
        <w:t>Achour</w:t>
      </w:r>
      <w:proofErr w:type="spellEnd"/>
      <w:r w:rsidRPr="00812B41">
        <w:rPr>
          <w:spacing w:val="-1"/>
          <w:szCs w:val="18"/>
        </w:rPr>
        <w:t xml:space="preserve">, </w:t>
      </w:r>
      <w:proofErr w:type="spellStart"/>
      <w:r w:rsidRPr="00812B41">
        <w:rPr>
          <w:spacing w:val="-1"/>
        </w:rPr>
        <w:t>Ilze</w:t>
      </w:r>
      <w:proofErr w:type="spellEnd"/>
      <w:r w:rsidRPr="00812B41">
        <w:rPr>
          <w:spacing w:val="-1"/>
        </w:rPr>
        <w:t xml:space="preserve"> Brands </w:t>
      </w:r>
      <w:proofErr w:type="spellStart"/>
      <w:r w:rsidRPr="00812B41">
        <w:rPr>
          <w:spacing w:val="-1"/>
        </w:rPr>
        <w:t>Kehris</w:t>
      </w:r>
      <w:proofErr w:type="spellEnd"/>
      <w:r w:rsidRPr="00812B41">
        <w:rPr>
          <w:spacing w:val="-1"/>
          <w:szCs w:val="18"/>
        </w:rPr>
        <w:t xml:space="preserve">, Sarah Cleveland, </w:t>
      </w:r>
      <w:r>
        <w:rPr>
          <w:spacing w:val="-1"/>
          <w:szCs w:val="18"/>
        </w:rPr>
        <w:t xml:space="preserve">Ahmed Amin </w:t>
      </w:r>
      <w:proofErr w:type="spellStart"/>
      <w:r>
        <w:rPr>
          <w:spacing w:val="-1"/>
          <w:szCs w:val="18"/>
        </w:rPr>
        <w:t>Fathalla</w:t>
      </w:r>
      <w:proofErr w:type="spellEnd"/>
      <w:r>
        <w:rPr>
          <w:spacing w:val="-1"/>
          <w:szCs w:val="18"/>
        </w:rPr>
        <w:t xml:space="preserve">, </w:t>
      </w:r>
      <w:r w:rsidRPr="00812B41">
        <w:rPr>
          <w:spacing w:val="-1"/>
          <w:szCs w:val="18"/>
        </w:rPr>
        <w:t xml:space="preserve">Olivier de </w:t>
      </w:r>
      <w:proofErr w:type="spellStart"/>
      <w:r w:rsidRPr="00812B41">
        <w:rPr>
          <w:spacing w:val="-1"/>
          <w:szCs w:val="18"/>
        </w:rPr>
        <w:t>Frouville</w:t>
      </w:r>
      <w:proofErr w:type="spellEnd"/>
      <w:r w:rsidRPr="00812B41">
        <w:rPr>
          <w:spacing w:val="-1"/>
          <w:szCs w:val="18"/>
        </w:rPr>
        <w:t xml:space="preserve">, </w:t>
      </w:r>
      <w:proofErr w:type="spellStart"/>
      <w:r w:rsidRPr="00812B41">
        <w:rPr>
          <w:spacing w:val="-1"/>
          <w:szCs w:val="18"/>
        </w:rPr>
        <w:t>Christof</w:t>
      </w:r>
      <w:proofErr w:type="spellEnd"/>
      <w:r w:rsidRPr="00812B41">
        <w:rPr>
          <w:spacing w:val="-1"/>
          <w:szCs w:val="18"/>
        </w:rPr>
        <w:t xml:space="preserve"> </w:t>
      </w:r>
      <w:proofErr w:type="spellStart"/>
      <w:r w:rsidRPr="00812B41">
        <w:rPr>
          <w:spacing w:val="-1"/>
          <w:szCs w:val="18"/>
        </w:rPr>
        <w:t>Heyns</w:t>
      </w:r>
      <w:proofErr w:type="spellEnd"/>
      <w:r w:rsidRPr="00812B41">
        <w:rPr>
          <w:spacing w:val="-1"/>
          <w:szCs w:val="18"/>
        </w:rPr>
        <w:t xml:space="preserve">, </w:t>
      </w:r>
      <w:proofErr w:type="spellStart"/>
      <w:r w:rsidRPr="00812B41">
        <w:rPr>
          <w:spacing w:val="-1"/>
          <w:szCs w:val="18"/>
        </w:rPr>
        <w:t>Bamariam</w:t>
      </w:r>
      <w:proofErr w:type="spellEnd"/>
      <w:r w:rsidRPr="00812B41">
        <w:rPr>
          <w:spacing w:val="-1"/>
          <w:szCs w:val="18"/>
        </w:rPr>
        <w:t xml:space="preserve"> </w:t>
      </w:r>
      <w:proofErr w:type="spellStart"/>
      <w:r w:rsidRPr="00812B41">
        <w:rPr>
          <w:spacing w:val="-1"/>
          <w:szCs w:val="18"/>
        </w:rPr>
        <w:t>Koita</w:t>
      </w:r>
      <w:proofErr w:type="spellEnd"/>
      <w:r w:rsidRPr="00812B41">
        <w:rPr>
          <w:spacing w:val="-1"/>
          <w:szCs w:val="18"/>
        </w:rPr>
        <w:t xml:space="preserve">, </w:t>
      </w:r>
      <w:r w:rsidRPr="00457BC5">
        <w:rPr>
          <w:spacing w:val="-1"/>
          <w:szCs w:val="18"/>
        </w:rPr>
        <w:t xml:space="preserve">Marcia V. J. </w:t>
      </w:r>
      <w:proofErr w:type="spellStart"/>
      <w:r w:rsidRPr="00457BC5">
        <w:rPr>
          <w:spacing w:val="-1"/>
          <w:szCs w:val="18"/>
        </w:rPr>
        <w:t>Kran</w:t>
      </w:r>
      <w:proofErr w:type="spellEnd"/>
      <w:r>
        <w:rPr>
          <w:spacing w:val="-1"/>
          <w:szCs w:val="18"/>
        </w:rPr>
        <w:t xml:space="preserve">, </w:t>
      </w:r>
      <w:r w:rsidRPr="00812B41">
        <w:rPr>
          <w:spacing w:val="-1"/>
          <w:szCs w:val="18"/>
        </w:rPr>
        <w:t xml:space="preserve">Mauro </w:t>
      </w:r>
      <w:proofErr w:type="spellStart"/>
      <w:r w:rsidRPr="00812B41">
        <w:rPr>
          <w:spacing w:val="-1"/>
          <w:szCs w:val="18"/>
        </w:rPr>
        <w:t>Politi</w:t>
      </w:r>
      <w:proofErr w:type="spellEnd"/>
      <w:r w:rsidRPr="00812B41">
        <w:rPr>
          <w:spacing w:val="-1"/>
          <w:szCs w:val="18"/>
        </w:rPr>
        <w:t xml:space="preserve">, </w:t>
      </w:r>
      <w:r w:rsidRPr="00812B41">
        <w:rPr>
          <w:spacing w:val="-1"/>
        </w:rPr>
        <w:t xml:space="preserve">José Manuel Santos </w:t>
      </w:r>
      <w:proofErr w:type="spellStart"/>
      <w:r w:rsidRPr="00812B41">
        <w:rPr>
          <w:spacing w:val="-1"/>
        </w:rPr>
        <w:t>Pais</w:t>
      </w:r>
      <w:proofErr w:type="spellEnd"/>
      <w:r w:rsidRPr="00812B41">
        <w:rPr>
          <w:spacing w:val="-1"/>
        </w:rPr>
        <w:t xml:space="preserve">, </w:t>
      </w:r>
      <w:r w:rsidRPr="00812B41">
        <w:rPr>
          <w:spacing w:val="-1"/>
          <w:szCs w:val="18"/>
        </w:rPr>
        <w:t xml:space="preserve">Yuval </w:t>
      </w:r>
      <w:proofErr w:type="spellStart"/>
      <w:r w:rsidRPr="00812B41">
        <w:rPr>
          <w:spacing w:val="-1"/>
          <w:szCs w:val="18"/>
        </w:rPr>
        <w:t>Shany</w:t>
      </w:r>
      <w:proofErr w:type="spellEnd"/>
      <w:r w:rsidRPr="00812B41">
        <w:rPr>
          <w:spacing w:val="-1"/>
          <w:szCs w:val="18"/>
        </w:rPr>
        <w:t xml:space="preserve"> and Margo </w:t>
      </w:r>
      <w:proofErr w:type="spellStart"/>
      <w:r w:rsidRPr="00812B41">
        <w:rPr>
          <w:spacing w:val="-1"/>
          <w:szCs w:val="18"/>
        </w:rPr>
        <w:t>Waterval</w:t>
      </w:r>
      <w:proofErr w:type="spellEnd"/>
      <w:r w:rsidRPr="00812B41">
        <w:rPr>
          <w:spacing w:val="-1"/>
        </w:rPr>
        <w:t>.</w:t>
      </w:r>
    </w:p>
  </w:footnote>
  <w:footnote w:id="4">
    <w:p w:rsidR="00DB056F" w:rsidRPr="00B4174D" w:rsidRDefault="00DB056F" w:rsidP="00B4174D">
      <w:pPr>
        <w:pStyle w:val="FootnoteText"/>
      </w:pPr>
      <w:r w:rsidRPr="00B4174D">
        <w:tab/>
      </w:r>
      <w:r w:rsidRPr="00B4174D">
        <w:rPr>
          <w:rStyle w:val="FootnoteReference"/>
        </w:rPr>
        <w:footnoteRef/>
      </w:r>
      <w:r w:rsidRPr="00B4174D">
        <w:tab/>
        <w:t xml:space="preserve">Counsel submits a copy of the author’s death certificate. </w:t>
      </w:r>
    </w:p>
  </w:footnote>
  <w:footnote w:id="5">
    <w:p w:rsidR="00DB056F" w:rsidRPr="00B4174D" w:rsidRDefault="002D66A6" w:rsidP="005B1F58">
      <w:pPr>
        <w:pStyle w:val="FootnoteText"/>
      </w:pPr>
      <w:r>
        <w:tab/>
      </w:r>
      <w:r w:rsidR="00DB056F" w:rsidRPr="00B4174D">
        <w:rPr>
          <w:rStyle w:val="FootnoteReference"/>
        </w:rPr>
        <w:footnoteRef/>
      </w:r>
      <w:r>
        <w:tab/>
      </w:r>
      <w:r w:rsidR="00DB056F" w:rsidRPr="00B4174D">
        <w:t xml:space="preserve">The authors refer to a book by Mr. Oleg </w:t>
      </w:r>
      <w:proofErr w:type="spellStart"/>
      <w:r w:rsidR="00DB056F" w:rsidRPr="00B4174D">
        <w:t>Alkaev</w:t>
      </w:r>
      <w:proofErr w:type="spellEnd"/>
      <w:r w:rsidR="00DB056F" w:rsidRPr="00B4174D">
        <w:t xml:space="preserve">, former chief of death row detention center, but provide no further information. </w:t>
      </w:r>
    </w:p>
  </w:footnote>
  <w:footnote w:id="6">
    <w:p w:rsidR="00DB056F" w:rsidRDefault="002D66A6" w:rsidP="005B1F58">
      <w:pPr>
        <w:pStyle w:val="FootnoteText"/>
      </w:pPr>
      <w:r>
        <w:tab/>
      </w:r>
      <w:r w:rsidR="00DB056F">
        <w:rPr>
          <w:rStyle w:val="FootnoteReference"/>
        </w:rPr>
        <w:footnoteRef/>
      </w:r>
      <w:r>
        <w:tab/>
      </w:r>
      <w:r w:rsidR="00DB056F">
        <w:t xml:space="preserve">Russian abbreviation for sentence of death penalty. </w:t>
      </w:r>
    </w:p>
  </w:footnote>
  <w:footnote w:id="7">
    <w:p w:rsidR="00DB056F" w:rsidRDefault="002D66A6" w:rsidP="005B1F58">
      <w:pPr>
        <w:pStyle w:val="FootnoteText"/>
      </w:pPr>
      <w:r>
        <w:tab/>
      </w:r>
      <w:r w:rsidR="00DB056F">
        <w:rPr>
          <w:rStyle w:val="FootnoteReference"/>
        </w:rPr>
        <w:footnoteRef/>
      </w:r>
      <w:r>
        <w:tab/>
      </w:r>
      <w:r w:rsidR="00DB056F">
        <w:t xml:space="preserve">In this letter, the State party provides comments regarding communication 2690/2015. The State party’s observations on admissibility and merits of communication 2375/2014 </w:t>
      </w:r>
      <w:proofErr w:type="gramStart"/>
      <w:r w:rsidR="00DB056F">
        <w:t>were not submitted</w:t>
      </w:r>
      <w:proofErr w:type="gramEnd"/>
      <w:r w:rsidR="00DB056F">
        <w:t xml:space="preserve">. </w:t>
      </w:r>
    </w:p>
  </w:footnote>
  <w:footnote w:id="8">
    <w:p w:rsidR="00DB056F" w:rsidRPr="00162ED4" w:rsidRDefault="002D66A6" w:rsidP="005B1F58">
      <w:pPr>
        <w:pStyle w:val="FootnoteText"/>
        <w:rPr>
          <w:szCs w:val="18"/>
        </w:rPr>
      </w:pPr>
      <w:r>
        <w:rPr>
          <w:szCs w:val="18"/>
        </w:rPr>
        <w:tab/>
      </w:r>
      <w:r w:rsidR="00DB056F" w:rsidRPr="00162ED4">
        <w:rPr>
          <w:rStyle w:val="FootnoteReference"/>
          <w:szCs w:val="18"/>
        </w:rPr>
        <w:footnoteRef/>
      </w:r>
      <w:r w:rsidR="00DB056F" w:rsidRPr="00162ED4">
        <w:rPr>
          <w:szCs w:val="18"/>
        </w:rPr>
        <w:t xml:space="preserve"> </w:t>
      </w:r>
      <w:r>
        <w:rPr>
          <w:szCs w:val="18"/>
        </w:rPr>
        <w:tab/>
      </w:r>
      <w:r w:rsidR="00DB056F" w:rsidRPr="00162ED4">
        <w:rPr>
          <w:szCs w:val="18"/>
        </w:rPr>
        <w:t xml:space="preserve">The State party seems to be referring to “Safeguards guaranteeing protection of the rights of those facing the death penalty”. No further reference </w:t>
      </w:r>
      <w:proofErr w:type="gramStart"/>
      <w:r w:rsidR="00DB056F" w:rsidRPr="00162ED4">
        <w:rPr>
          <w:szCs w:val="18"/>
        </w:rPr>
        <w:t>is provided</w:t>
      </w:r>
      <w:proofErr w:type="gramEnd"/>
      <w:r w:rsidR="00DB056F" w:rsidRPr="00162ED4">
        <w:rPr>
          <w:szCs w:val="18"/>
        </w:rPr>
        <w:t xml:space="preserve">. </w:t>
      </w:r>
    </w:p>
  </w:footnote>
  <w:footnote w:id="9">
    <w:p w:rsidR="00DB056F" w:rsidRPr="00162ED4" w:rsidRDefault="002D66A6" w:rsidP="005B1F58">
      <w:pPr>
        <w:pStyle w:val="FootnoteText"/>
      </w:pPr>
      <w:r>
        <w:tab/>
      </w:r>
      <w:r w:rsidR="00DB056F" w:rsidRPr="00162ED4">
        <w:rPr>
          <w:rStyle w:val="FootnoteReference"/>
          <w:szCs w:val="18"/>
        </w:rPr>
        <w:footnoteRef/>
      </w:r>
      <w:r>
        <w:tab/>
      </w:r>
      <w:r w:rsidR="00DB056F" w:rsidRPr="00162ED4">
        <w:t xml:space="preserve">The author refers to </w:t>
      </w:r>
      <w:proofErr w:type="spellStart"/>
      <w:r w:rsidR="00DB056F" w:rsidRPr="00162ED4">
        <w:rPr>
          <w:i/>
        </w:rPr>
        <w:t>Iskiyaev</w:t>
      </w:r>
      <w:proofErr w:type="spellEnd"/>
      <w:r w:rsidR="00DB056F" w:rsidRPr="00162ED4">
        <w:rPr>
          <w:i/>
          <w:iCs/>
          <w:lang w:val="es-ES"/>
        </w:rPr>
        <w:t xml:space="preserve"> </w:t>
      </w:r>
      <w:proofErr w:type="spellStart"/>
      <w:r w:rsidR="00DB056F" w:rsidRPr="00162ED4">
        <w:rPr>
          <w:i/>
          <w:iCs/>
          <w:lang w:val="es-ES"/>
        </w:rPr>
        <w:t>v.Uzbekistan</w:t>
      </w:r>
      <w:proofErr w:type="spellEnd"/>
      <w:r w:rsidR="00DB056F" w:rsidRPr="00162ED4">
        <w:rPr>
          <w:i/>
          <w:iCs/>
          <w:lang w:val="es-ES"/>
        </w:rPr>
        <w:t xml:space="preserve"> </w:t>
      </w:r>
      <w:r w:rsidR="00DB056F" w:rsidRPr="00162ED4">
        <w:rPr>
          <w:lang w:val="es-ES"/>
        </w:rPr>
        <w:t>(</w:t>
      </w:r>
      <w:r w:rsidR="00DB056F" w:rsidRPr="00162ED4">
        <w:t>CCPR/C/95/D/1418/2005</w:t>
      </w:r>
      <w:r w:rsidR="00DB056F" w:rsidRPr="00162ED4">
        <w:rPr>
          <w:iCs/>
          <w:lang w:val="es-ES"/>
        </w:rPr>
        <w:t>)</w:t>
      </w:r>
      <w:r w:rsidR="00DB056F" w:rsidRPr="00162ED4">
        <w:rPr>
          <w:lang w:val="es-ES"/>
        </w:rPr>
        <w:t>.</w:t>
      </w:r>
    </w:p>
  </w:footnote>
  <w:footnote w:id="10">
    <w:p w:rsidR="00DB056F" w:rsidRPr="00162ED4" w:rsidRDefault="002D66A6" w:rsidP="005B1F58">
      <w:pPr>
        <w:pStyle w:val="FootnoteText"/>
      </w:pPr>
      <w:r>
        <w:rPr>
          <w:vertAlign w:val="superscript"/>
        </w:rPr>
        <w:tab/>
      </w:r>
      <w:r w:rsidR="00DB056F" w:rsidRPr="00162ED4">
        <w:rPr>
          <w:vertAlign w:val="superscript"/>
        </w:rPr>
        <w:footnoteRef/>
      </w:r>
      <w:r>
        <w:rPr>
          <w:vertAlign w:val="superscript"/>
        </w:rPr>
        <w:tab/>
      </w:r>
      <w:r w:rsidR="00DB056F" w:rsidRPr="00162ED4">
        <w:t xml:space="preserve">The author refers to European Court of Human Rights, </w:t>
      </w:r>
      <w:proofErr w:type="spellStart"/>
      <w:r w:rsidR="00DB056F" w:rsidRPr="00162ED4">
        <w:t>Tumilovich</w:t>
      </w:r>
      <w:proofErr w:type="spellEnd"/>
      <w:r w:rsidR="00DB056F" w:rsidRPr="00162ED4">
        <w:t xml:space="preserve"> v. Russia (application No. 47033/99, judgment of 22 June 1999. </w:t>
      </w:r>
    </w:p>
  </w:footnote>
  <w:footnote w:id="11">
    <w:p w:rsidR="00DB056F" w:rsidRDefault="00DB056F" w:rsidP="002778AD">
      <w:pPr>
        <w:pStyle w:val="FootnoteText"/>
      </w:pPr>
      <w:r>
        <w:tab/>
      </w:r>
      <w:r>
        <w:rPr>
          <w:rStyle w:val="FootnoteReference"/>
        </w:rPr>
        <w:footnoteRef/>
      </w:r>
      <w:r>
        <w:tab/>
        <w:t>Preamble and art. </w:t>
      </w:r>
      <w:proofErr w:type="gramStart"/>
      <w:r>
        <w:t>1</w:t>
      </w:r>
      <w:proofErr w:type="gramEnd"/>
      <w:r>
        <w:t xml:space="preserve"> of the Optional Protocol.</w:t>
      </w:r>
    </w:p>
  </w:footnote>
  <w:footnote w:id="12">
    <w:p w:rsidR="00DB056F" w:rsidRPr="00C104F4" w:rsidRDefault="00DB056F" w:rsidP="002778AD">
      <w:pPr>
        <w:pStyle w:val="FootnoteText"/>
      </w:pPr>
      <w:r>
        <w:tab/>
      </w:r>
      <w:r>
        <w:rPr>
          <w:rStyle w:val="FootnoteReference"/>
        </w:rPr>
        <w:footnoteRef/>
      </w:r>
      <w:r>
        <w:tab/>
        <w:t>Art. </w:t>
      </w:r>
      <w:proofErr w:type="gramStart"/>
      <w:r>
        <w:t>5</w:t>
      </w:r>
      <w:proofErr w:type="gramEnd"/>
      <w:r>
        <w:t xml:space="preserve"> (1) </w:t>
      </w:r>
      <w:r w:rsidRPr="00C104F4">
        <w:t>and (4) of the Optional Protocol.</w:t>
      </w:r>
    </w:p>
  </w:footnote>
  <w:footnote w:id="13">
    <w:p w:rsidR="00DB056F" w:rsidRPr="00C104F4" w:rsidRDefault="00DB056F" w:rsidP="002778AD">
      <w:pPr>
        <w:pStyle w:val="FootnoteText"/>
      </w:pPr>
      <w:r w:rsidRPr="00C104F4">
        <w:tab/>
      </w:r>
      <w:r w:rsidRPr="00C104F4">
        <w:rPr>
          <w:rStyle w:val="FootnoteReference"/>
        </w:rPr>
        <w:footnoteRef/>
      </w:r>
      <w:r w:rsidRPr="00C104F4">
        <w:tab/>
      </w:r>
      <w:proofErr w:type="gramStart"/>
      <w:r w:rsidRPr="00C104F4">
        <w:t>See,</w:t>
      </w:r>
      <w:proofErr w:type="gramEnd"/>
      <w:r w:rsidRPr="00C104F4">
        <w:t xml:space="preserve"> inter alia, communications No. 869/1999, </w:t>
      </w:r>
      <w:proofErr w:type="spellStart"/>
      <w:r w:rsidRPr="00C104F4">
        <w:rPr>
          <w:i/>
          <w:iCs/>
        </w:rPr>
        <w:t>Piandiong</w:t>
      </w:r>
      <w:proofErr w:type="spellEnd"/>
      <w:r w:rsidRPr="00C104F4">
        <w:rPr>
          <w:i/>
          <w:iCs/>
        </w:rPr>
        <w:t xml:space="preserve"> et al </w:t>
      </w:r>
      <w:r w:rsidRPr="007B7502">
        <w:rPr>
          <w:i/>
        </w:rPr>
        <w:t>v.</w:t>
      </w:r>
      <w:r w:rsidRPr="00C104F4">
        <w:rPr>
          <w:i/>
          <w:iCs/>
        </w:rPr>
        <w:t xml:space="preserve"> the Philippines</w:t>
      </w:r>
      <w:r w:rsidRPr="00C104F4">
        <w:t>, Views adopted on 19 October 2000, para. </w:t>
      </w:r>
      <w:proofErr w:type="gramStart"/>
      <w:r w:rsidRPr="00C104F4">
        <w:t>5.1</w:t>
      </w:r>
      <w:proofErr w:type="gramEnd"/>
      <w:r w:rsidRPr="00C104F4">
        <w:t xml:space="preserve">; Nos. 1461/2006, 1462/2006, 1476/2006 and 1477/2006, </w:t>
      </w:r>
      <w:proofErr w:type="spellStart"/>
      <w:r w:rsidRPr="00C104F4">
        <w:rPr>
          <w:i/>
          <w:iCs/>
        </w:rPr>
        <w:t>Maksudov</w:t>
      </w:r>
      <w:proofErr w:type="spellEnd"/>
      <w:r w:rsidRPr="00C104F4">
        <w:rPr>
          <w:i/>
          <w:iCs/>
        </w:rPr>
        <w:t xml:space="preserve"> et al. </w:t>
      </w:r>
      <w:r w:rsidRPr="007B7502">
        <w:rPr>
          <w:i/>
        </w:rPr>
        <w:t>v.</w:t>
      </w:r>
      <w:r w:rsidRPr="00C104F4">
        <w:rPr>
          <w:i/>
          <w:iCs/>
        </w:rPr>
        <w:t xml:space="preserve"> Kyrgyzstan</w:t>
      </w:r>
      <w:r w:rsidRPr="00C104F4">
        <w:t>, Views adopted on 16 July 2008, paras. </w:t>
      </w:r>
      <w:proofErr w:type="gramStart"/>
      <w:r w:rsidRPr="00C104F4">
        <w:t>10.1-10.3</w:t>
      </w:r>
      <w:proofErr w:type="gramEnd"/>
      <w:r w:rsidRPr="00C104F4">
        <w:t xml:space="preserve">; and </w:t>
      </w:r>
      <w:r>
        <w:t xml:space="preserve">No. </w:t>
      </w:r>
      <w:r w:rsidRPr="00C104F4">
        <w:t xml:space="preserve">1906/2009, </w:t>
      </w:r>
      <w:proofErr w:type="spellStart"/>
      <w:r w:rsidRPr="00C104F4">
        <w:rPr>
          <w:i/>
        </w:rPr>
        <w:t>Yuzepchuk</w:t>
      </w:r>
      <w:proofErr w:type="spellEnd"/>
      <w:r w:rsidRPr="00C104F4">
        <w:rPr>
          <w:i/>
        </w:rPr>
        <w:t xml:space="preserve"> v. Belarus, </w:t>
      </w:r>
      <w:r w:rsidRPr="00C104F4">
        <w:t>Views adopted on 24 October 2014, para. 6.2.</w:t>
      </w:r>
    </w:p>
  </w:footnote>
  <w:footnote w:id="14">
    <w:p w:rsidR="00DB056F" w:rsidRPr="00C104F4" w:rsidRDefault="00DB056F" w:rsidP="002778AD">
      <w:pPr>
        <w:pStyle w:val="FootnoteText"/>
      </w:pPr>
      <w:r w:rsidRPr="00C104F4">
        <w:tab/>
      </w:r>
      <w:r w:rsidRPr="00C104F4">
        <w:rPr>
          <w:rStyle w:val="FootnoteReference"/>
        </w:rPr>
        <w:footnoteRef/>
      </w:r>
      <w:r w:rsidRPr="00C104F4">
        <w:tab/>
      </w:r>
      <w:proofErr w:type="gramStart"/>
      <w:r w:rsidRPr="00C104F4">
        <w:t>See,</w:t>
      </w:r>
      <w:proofErr w:type="gramEnd"/>
      <w:r w:rsidRPr="00C104F4">
        <w:t xml:space="preserve"> inter alia, communications No. 1276/2004, </w:t>
      </w:r>
      <w:proofErr w:type="spellStart"/>
      <w:r w:rsidRPr="00C104F4">
        <w:rPr>
          <w:i/>
          <w:iCs/>
        </w:rPr>
        <w:t>Idieva</w:t>
      </w:r>
      <w:proofErr w:type="spellEnd"/>
      <w:r w:rsidRPr="00C104F4">
        <w:rPr>
          <w:i/>
          <w:iCs/>
        </w:rPr>
        <w:t xml:space="preserve"> </w:t>
      </w:r>
      <w:r w:rsidRPr="007B7502">
        <w:rPr>
          <w:i/>
        </w:rPr>
        <w:t>v.</w:t>
      </w:r>
      <w:r w:rsidRPr="00C104F4">
        <w:rPr>
          <w:i/>
          <w:iCs/>
        </w:rPr>
        <w:t xml:space="preserve"> Tajikistan</w:t>
      </w:r>
      <w:r w:rsidRPr="00C104F4">
        <w:t>, Views adopted on 31 March 2009, para. </w:t>
      </w:r>
      <w:proofErr w:type="gramStart"/>
      <w:r w:rsidRPr="00C104F4">
        <w:t>7.3</w:t>
      </w:r>
      <w:proofErr w:type="gramEnd"/>
      <w:r w:rsidRPr="00C104F4">
        <w:t xml:space="preserve">; and No. 2120/2011, </w:t>
      </w:r>
      <w:proofErr w:type="spellStart"/>
      <w:r w:rsidRPr="00C104F4">
        <w:rPr>
          <w:i/>
          <w:iCs/>
        </w:rPr>
        <w:t>Kovaleva</w:t>
      </w:r>
      <w:proofErr w:type="spellEnd"/>
      <w:r w:rsidRPr="00C104F4">
        <w:rPr>
          <w:i/>
          <w:iCs/>
        </w:rPr>
        <w:t xml:space="preserve"> and </w:t>
      </w:r>
      <w:proofErr w:type="spellStart"/>
      <w:r w:rsidRPr="00C104F4">
        <w:rPr>
          <w:i/>
          <w:iCs/>
        </w:rPr>
        <w:t>Kozyar</w:t>
      </w:r>
      <w:proofErr w:type="spellEnd"/>
      <w:r w:rsidRPr="00C104F4">
        <w:rPr>
          <w:i/>
          <w:iCs/>
        </w:rPr>
        <w:t xml:space="preserve"> </w:t>
      </w:r>
      <w:r w:rsidRPr="007B7502">
        <w:rPr>
          <w:i/>
        </w:rPr>
        <w:t>v.</w:t>
      </w:r>
      <w:r w:rsidRPr="00C104F4">
        <w:rPr>
          <w:i/>
          <w:iCs/>
        </w:rPr>
        <w:t xml:space="preserve"> Belarus</w:t>
      </w:r>
      <w:r w:rsidRPr="00C104F4">
        <w:t>, Views adopted on 29 October 2012, para. 9.4.</w:t>
      </w:r>
    </w:p>
  </w:footnote>
  <w:footnote w:id="15">
    <w:p w:rsidR="00DB056F" w:rsidRPr="00C104F4" w:rsidRDefault="00DB056F" w:rsidP="002778AD">
      <w:pPr>
        <w:pStyle w:val="FootnoteText"/>
      </w:pPr>
      <w:r w:rsidRPr="00C104F4">
        <w:tab/>
      </w:r>
      <w:r w:rsidRPr="00C104F4">
        <w:rPr>
          <w:rStyle w:val="FootnoteReference"/>
        </w:rPr>
        <w:footnoteRef/>
      </w:r>
      <w:r w:rsidRPr="00C104F4">
        <w:tab/>
      </w:r>
      <w:proofErr w:type="gramStart"/>
      <w:r w:rsidRPr="00C104F4">
        <w:t>See,</w:t>
      </w:r>
      <w:proofErr w:type="gramEnd"/>
      <w:r w:rsidRPr="00C104F4">
        <w:t xml:space="preserve"> inter alia, communications No. 964/2001, </w:t>
      </w:r>
      <w:proofErr w:type="spellStart"/>
      <w:r w:rsidRPr="00C104F4">
        <w:rPr>
          <w:i/>
          <w:iCs/>
        </w:rPr>
        <w:t>Saidova</w:t>
      </w:r>
      <w:proofErr w:type="spellEnd"/>
      <w:r w:rsidRPr="00C104F4">
        <w:rPr>
          <w:i/>
          <w:iCs/>
        </w:rPr>
        <w:t xml:space="preserve"> </w:t>
      </w:r>
      <w:r w:rsidRPr="007B7502">
        <w:rPr>
          <w:i/>
        </w:rPr>
        <w:t>v.</w:t>
      </w:r>
      <w:r w:rsidRPr="00C104F4">
        <w:rPr>
          <w:i/>
          <w:iCs/>
        </w:rPr>
        <w:t xml:space="preserve"> Tajikistan</w:t>
      </w:r>
      <w:r w:rsidRPr="00C104F4">
        <w:t>, Views adopted on 8 July 2004, para. </w:t>
      </w:r>
      <w:proofErr w:type="gramStart"/>
      <w:r w:rsidRPr="00C104F4">
        <w:t>4.4</w:t>
      </w:r>
      <w:proofErr w:type="gramEnd"/>
      <w:r w:rsidRPr="00C104F4">
        <w:t>; No. 1280/2004</w:t>
      </w:r>
      <w:r w:rsidRPr="007B7502">
        <w:t>;</w:t>
      </w:r>
      <w:r w:rsidRPr="00C104F4">
        <w:t xml:space="preserve"> </w:t>
      </w:r>
      <w:proofErr w:type="spellStart"/>
      <w:r w:rsidRPr="00C104F4">
        <w:rPr>
          <w:i/>
          <w:iCs/>
        </w:rPr>
        <w:t>Tolipkhuzhaev</w:t>
      </w:r>
      <w:proofErr w:type="spellEnd"/>
      <w:r w:rsidRPr="00C104F4">
        <w:rPr>
          <w:i/>
          <w:iCs/>
        </w:rPr>
        <w:t xml:space="preserve"> </w:t>
      </w:r>
      <w:r w:rsidRPr="007B7502">
        <w:rPr>
          <w:i/>
        </w:rPr>
        <w:t>v.</w:t>
      </w:r>
      <w:r w:rsidRPr="00C104F4">
        <w:rPr>
          <w:i/>
          <w:iCs/>
        </w:rPr>
        <w:t xml:space="preserve"> Uzbekistan</w:t>
      </w:r>
      <w:r w:rsidRPr="00C104F4">
        <w:t>, Views adopted on 22 July 2009, para. </w:t>
      </w:r>
      <w:proofErr w:type="gramStart"/>
      <w:r w:rsidRPr="00C104F4">
        <w:t>6.4</w:t>
      </w:r>
      <w:proofErr w:type="gramEnd"/>
      <w:r w:rsidRPr="00C104F4">
        <w:t xml:space="preserve">; and </w:t>
      </w:r>
      <w:proofErr w:type="spellStart"/>
      <w:r w:rsidRPr="00C104F4">
        <w:rPr>
          <w:i/>
          <w:iCs/>
        </w:rPr>
        <w:t>Kovaleva</w:t>
      </w:r>
      <w:proofErr w:type="spellEnd"/>
      <w:r w:rsidRPr="00C104F4">
        <w:rPr>
          <w:i/>
          <w:iCs/>
        </w:rPr>
        <w:t xml:space="preserve"> and </w:t>
      </w:r>
      <w:proofErr w:type="spellStart"/>
      <w:r w:rsidRPr="00C104F4">
        <w:rPr>
          <w:i/>
          <w:iCs/>
        </w:rPr>
        <w:t>Kozyar</w:t>
      </w:r>
      <w:proofErr w:type="spellEnd"/>
      <w:r w:rsidRPr="00C104F4">
        <w:rPr>
          <w:i/>
          <w:iCs/>
        </w:rPr>
        <w:t xml:space="preserve"> v. Belarus</w:t>
      </w:r>
      <w:r w:rsidRPr="00C104F4">
        <w:t>, para. 9.5.</w:t>
      </w:r>
    </w:p>
  </w:footnote>
  <w:footnote w:id="16">
    <w:p w:rsidR="00DB056F" w:rsidRPr="00DD4C00" w:rsidRDefault="00DB056F" w:rsidP="002778AD">
      <w:pPr>
        <w:pStyle w:val="FootnoteText"/>
      </w:pPr>
      <w:r>
        <w:tab/>
      </w:r>
      <w:r>
        <w:rPr>
          <w:rStyle w:val="FootnoteReference"/>
        </w:rPr>
        <w:footnoteRef/>
      </w:r>
      <w:r>
        <w:tab/>
        <w:t>See c</w:t>
      </w:r>
      <w:r w:rsidRPr="0000397C">
        <w:t>ommunication</w:t>
      </w:r>
      <w:r>
        <w:t>s</w:t>
      </w:r>
      <w:r w:rsidRPr="00380E01">
        <w:t xml:space="preserve"> No. 836/1998, </w:t>
      </w:r>
      <w:proofErr w:type="spellStart"/>
      <w:r w:rsidRPr="0086457A">
        <w:rPr>
          <w:i/>
        </w:rPr>
        <w:t>Gelazauskas</w:t>
      </w:r>
      <w:proofErr w:type="spellEnd"/>
      <w:r w:rsidRPr="0086457A">
        <w:rPr>
          <w:i/>
        </w:rPr>
        <w:t xml:space="preserve"> v. Lithuania</w:t>
      </w:r>
      <w:r w:rsidRPr="00380E01">
        <w:t xml:space="preserve">, Views adopted on </w:t>
      </w:r>
      <w:r>
        <w:t xml:space="preserve">17 March 2003, </w:t>
      </w:r>
      <w:r w:rsidRPr="00380E01">
        <w:t>para</w:t>
      </w:r>
      <w:r>
        <w:t>graph</w:t>
      </w:r>
      <w:r w:rsidRPr="00380E01">
        <w:t xml:space="preserve"> 7.4; No</w:t>
      </w:r>
      <w:r w:rsidRPr="00530425">
        <w:t>.</w:t>
      </w:r>
      <w:r w:rsidRPr="00380E01">
        <w:t xml:space="preserve"> 1851/2008, </w:t>
      </w:r>
      <w:proofErr w:type="spellStart"/>
      <w:r w:rsidRPr="006F5B58">
        <w:rPr>
          <w:i/>
          <w:iCs/>
        </w:rPr>
        <w:t>Sekerko</w:t>
      </w:r>
      <w:proofErr w:type="spellEnd"/>
      <w:r w:rsidRPr="006F5B58">
        <w:rPr>
          <w:i/>
          <w:iCs/>
        </w:rPr>
        <w:t xml:space="preserve"> v. Belarus</w:t>
      </w:r>
      <w:r>
        <w:t xml:space="preserve">, Views adopted on 28 October 2013, </w:t>
      </w:r>
      <w:r w:rsidRPr="00380E01">
        <w:t>para</w:t>
      </w:r>
      <w:r>
        <w:t>graph</w:t>
      </w:r>
      <w:r w:rsidRPr="00380E01">
        <w:t xml:space="preserve"> 8.3; </w:t>
      </w:r>
      <w:r>
        <w:t xml:space="preserve">Nos. 1919-1920/2009, </w:t>
      </w:r>
      <w:proofErr w:type="spellStart"/>
      <w:r w:rsidRPr="0086457A">
        <w:rPr>
          <w:i/>
        </w:rPr>
        <w:t>Protsko</w:t>
      </w:r>
      <w:proofErr w:type="spellEnd"/>
      <w:r w:rsidRPr="0086457A">
        <w:rPr>
          <w:i/>
        </w:rPr>
        <w:t xml:space="preserve"> and </w:t>
      </w:r>
      <w:proofErr w:type="spellStart"/>
      <w:r w:rsidRPr="0086457A">
        <w:rPr>
          <w:i/>
        </w:rPr>
        <w:t>Tolchin</w:t>
      </w:r>
      <w:proofErr w:type="spellEnd"/>
      <w:r w:rsidRPr="0086457A">
        <w:rPr>
          <w:i/>
        </w:rPr>
        <w:t xml:space="preserve"> v. Belarus</w:t>
      </w:r>
      <w:r w:rsidRPr="00380E01">
        <w:t xml:space="preserve">, </w:t>
      </w:r>
      <w:r>
        <w:t xml:space="preserve">Views adopted on 1 November 2013, </w:t>
      </w:r>
      <w:r w:rsidRPr="00380E01">
        <w:t xml:space="preserve">para. </w:t>
      </w:r>
      <w:proofErr w:type="gramStart"/>
      <w:r w:rsidRPr="00380E01">
        <w:t>6.5</w:t>
      </w:r>
      <w:proofErr w:type="gramEnd"/>
      <w:r w:rsidRPr="00380E01">
        <w:t xml:space="preserve">; No. 1784/2008, </w:t>
      </w:r>
      <w:proofErr w:type="spellStart"/>
      <w:r w:rsidRPr="0086457A">
        <w:rPr>
          <w:i/>
        </w:rPr>
        <w:t>Schumilin</w:t>
      </w:r>
      <w:proofErr w:type="spellEnd"/>
      <w:r w:rsidRPr="0086457A">
        <w:rPr>
          <w:i/>
        </w:rPr>
        <w:t xml:space="preserve"> v. Belarus</w:t>
      </w:r>
      <w:r w:rsidRPr="00380E01">
        <w:t xml:space="preserve">, Views adopted on 23 July 2012, para. </w:t>
      </w:r>
      <w:proofErr w:type="gramStart"/>
      <w:r w:rsidRPr="00380E01">
        <w:t>8.3</w:t>
      </w:r>
      <w:proofErr w:type="gramEnd"/>
      <w:r w:rsidRPr="00380E01">
        <w:t xml:space="preserve">; No. 1814/2008, </w:t>
      </w:r>
      <w:r w:rsidRPr="0086457A">
        <w:rPr>
          <w:i/>
        </w:rPr>
        <w:t>P.L. v. Belarus</w:t>
      </w:r>
      <w:r w:rsidRPr="00380E01">
        <w:t>, decision of inadmissibility</w:t>
      </w:r>
      <w:r>
        <w:t xml:space="preserve"> </w:t>
      </w:r>
      <w:r w:rsidRPr="00380E01">
        <w:t xml:space="preserve">adopted on 26 July </w:t>
      </w:r>
      <w:r>
        <w:t xml:space="preserve">2011, para. </w:t>
      </w:r>
      <w:proofErr w:type="gramStart"/>
      <w:r>
        <w:t>6.2</w:t>
      </w:r>
      <w:proofErr w:type="gramEnd"/>
      <w:r>
        <w:t>;</w:t>
      </w:r>
      <w:r w:rsidRPr="0086457A">
        <w:t xml:space="preserve"> No. 2021/2010, </w:t>
      </w:r>
      <w:r w:rsidRPr="0086457A">
        <w:rPr>
          <w:i/>
        </w:rPr>
        <w:t>E.Z. v. Kazakhstan</w:t>
      </w:r>
      <w:r w:rsidRPr="0086457A">
        <w:t>, decision</w:t>
      </w:r>
      <w:r>
        <w:t xml:space="preserve"> of </w:t>
      </w:r>
      <w:r w:rsidRPr="0086457A">
        <w:t xml:space="preserve">inadmissibility </w:t>
      </w:r>
      <w:r w:rsidRPr="00380E01">
        <w:t>adopted on</w:t>
      </w:r>
      <w:r w:rsidRPr="0086457A">
        <w:t xml:space="preserve"> 1 April 2015, para</w:t>
      </w:r>
      <w:r>
        <w:t>.</w:t>
      </w:r>
      <w:r w:rsidRPr="0086457A">
        <w:t xml:space="preserve"> </w:t>
      </w:r>
      <w:proofErr w:type="gramStart"/>
      <w:r w:rsidRPr="0086457A">
        <w:t>7.3</w:t>
      </w:r>
      <w:proofErr w:type="gramEnd"/>
      <w:r>
        <w:t>;</w:t>
      </w:r>
      <w:r w:rsidRPr="00C570B5">
        <w:rPr>
          <w:szCs w:val="18"/>
        </w:rPr>
        <w:t xml:space="preserve"> </w:t>
      </w:r>
      <w:r>
        <w:rPr>
          <w:szCs w:val="18"/>
        </w:rPr>
        <w:t xml:space="preserve">No. 1873/2009, </w:t>
      </w:r>
      <w:r>
        <w:rPr>
          <w:i/>
          <w:szCs w:val="18"/>
        </w:rPr>
        <w:t>Alekseev v. Russian Federation</w:t>
      </w:r>
      <w:r>
        <w:rPr>
          <w:szCs w:val="18"/>
        </w:rPr>
        <w:t>, Views adopted on 25 October 2013, para</w:t>
      </w:r>
      <w:r w:rsidRPr="00C51530">
        <w:rPr>
          <w:szCs w:val="18"/>
        </w:rPr>
        <w:t>.</w:t>
      </w:r>
      <w:r>
        <w:rPr>
          <w:szCs w:val="18"/>
        </w:rPr>
        <w:t xml:space="preserve"> </w:t>
      </w:r>
      <w:proofErr w:type="gramStart"/>
      <w:r>
        <w:rPr>
          <w:szCs w:val="18"/>
        </w:rPr>
        <w:t>8.4</w:t>
      </w:r>
      <w:proofErr w:type="gramEnd"/>
      <w:r w:rsidRPr="004E1E4E">
        <w:rPr>
          <w:szCs w:val="18"/>
        </w:rPr>
        <w:t xml:space="preserve">; </w:t>
      </w:r>
      <w:r w:rsidRPr="00C15B6B">
        <w:t xml:space="preserve">No. </w:t>
      </w:r>
      <w:r w:rsidRPr="00C15B6B">
        <w:rPr>
          <w:szCs w:val="18"/>
        </w:rPr>
        <w:t xml:space="preserve">2041/2011, </w:t>
      </w:r>
      <w:proofErr w:type="spellStart"/>
      <w:r w:rsidRPr="00C15B6B">
        <w:rPr>
          <w:i/>
          <w:szCs w:val="18"/>
        </w:rPr>
        <w:t>Dorofeev</w:t>
      </w:r>
      <w:proofErr w:type="spellEnd"/>
      <w:r w:rsidRPr="00C15B6B">
        <w:rPr>
          <w:i/>
          <w:szCs w:val="18"/>
        </w:rPr>
        <w:t xml:space="preserve"> v. Russian Federation</w:t>
      </w:r>
      <w:r w:rsidRPr="00C15B6B">
        <w:rPr>
          <w:szCs w:val="18"/>
        </w:rPr>
        <w:t xml:space="preserve">, Views adopted on </w:t>
      </w:r>
      <w:r w:rsidRPr="00C15B6B">
        <w:t>11 July 2014, para</w:t>
      </w:r>
      <w:r>
        <w:t>.</w:t>
      </w:r>
      <w:r w:rsidRPr="00C15B6B">
        <w:t xml:space="preserve"> 9.6.</w:t>
      </w:r>
      <w:r>
        <w:t xml:space="preserve"> </w:t>
      </w:r>
    </w:p>
  </w:footnote>
  <w:footnote w:id="17">
    <w:p w:rsidR="00DB056F" w:rsidRPr="003230F7" w:rsidRDefault="00DB056F" w:rsidP="002778AD">
      <w:pPr>
        <w:pStyle w:val="FootnoteText"/>
      </w:pPr>
      <w:r>
        <w:tab/>
      </w:r>
      <w:r>
        <w:rPr>
          <w:rStyle w:val="FootnoteReference"/>
        </w:rPr>
        <w:footnoteRef/>
      </w:r>
      <w:r>
        <w:tab/>
      </w:r>
      <w:r w:rsidRPr="00444A52">
        <w:t>See also communication No</w:t>
      </w:r>
      <w:r>
        <w:t>.</w:t>
      </w:r>
      <w:r w:rsidRPr="00444A52">
        <w:t xml:space="preserve"> 2141/</w:t>
      </w:r>
      <w:r>
        <w:t>2012,</w:t>
      </w:r>
      <w:r w:rsidRPr="00444A52">
        <w:t xml:space="preserve"> </w:t>
      </w:r>
      <w:proofErr w:type="spellStart"/>
      <w:r w:rsidRPr="00444A52">
        <w:rPr>
          <w:i/>
        </w:rPr>
        <w:t>Kostenko</w:t>
      </w:r>
      <w:proofErr w:type="spellEnd"/>
      <w:r w:rsidRPr="00444A52">
        <w:rPr>
          <w:i/>
        </w:rPr>
        <w:t xml:space="preserve"> v. Russian Federation</w:t>
      </w:r>
      <w:r>
        <w:t xml:space="preserve">, Views adopted on </w:t>
      </w:r>
      <w:r w:rsidRPr="00444A52">
        <w:rPr>
          <w:lang w:val="en"/>
        </w:rPr>
        <w:t>23 Oct</w:t>
      </w:r>
      <w:r>
        <w:rPr>
          <w:lang w:val="en"/>
        </w:rPr>
        <w:t>ober</w:t>
      </w:r>
      <w:r w:rsidRPr="00444A52">
        <w:rPr>
          <w:lang w:val="en"/>
        </w:rPr>
        <w:t xml:space="preserve"> 2015</w:t>
      </w:r>
      <w:r>
        <w:t xml:space="preserve">, para 6.3. </w:t>
      </w:r>
    </w:p>
  </w:footnote>
  <w:footnote w:id="18">
    <w:p w:rsidR="00DB056F" w:rsidRDefault="002D66A6" w:rsidP="005B1F58">
      <w:pPr>
        <w:pStyle w:val="FootnoteText"/>
      </w:pPr>
      <w:r>
        <w:tab/>
      </w:r>
      <w:r w:rsidR="00DB056F">
        <w:rPr>
          <w:rStyle w:val="FootnoteReference"/>
        </w:rPr>
        <w:footnoteRef/>
      </w:r>
      <w:r>
        <w:tab/>
      </w:r>
      <w:r w:rsidR="00DB056F">
        <w:t xml:space="preserve">See, for example, the </w:t>
      </w:r>
      <w:proofErr w:type="gramStart"/>
      <w:r w:rsidR="00DB056F">
        <w:t>Committee’s</w:t>
      </w:r>
      <w:proofErr w:type="gramEnd"/>
      <w:r w:rsidR="00DB056F">
        <w:t xml:space="preserve"> Concluding observations: Iran (2011) para 12, and US (2014), para 8. </w:t>
      </w:r>
    </w:p>
  </w:footnote>
  <w:footnote w:id="19">
    <w:p w:rsidR="00DB056F" w:rsidRDefault="002D66A6" w:rsidP="005B1F58">
      <w:pPr>
        <w:pStyle w:val="FootnoteText"/>
      </w:pPr>
      <w:r>
        <w:tab/>
      </w:r>
      <w:r w:rsidR="00DB056F">
        <w:rPr>
          <w:rStyle w:val="FootnoteReference"/>
        </w:rPr>
        <w:footnoteRef/>
      </w:r>
      <w:r>
        <w:tab/>
      </w:r>
      <w:r w:rsidR="00DB056F">
        <w:t xml:space="preserve">See the </w:t>
      </w:r>
      <w:proofErr w:type="gramStart"/>
      <w:r w:rsidR="00DB056F">
        <w:t>Committee’s</w:t>
      </w:r>
      <w:proofErr w:type="gramEnd"/>
      <w:r w:rsidR="00DB056F">
        <w:t xml:space="preserve"> Concluding observations: Japan (2014), para 13. </w:t>
      </w:r>
    </w:p>
  </w:footnote>
  <w:footnote w:id="20">
    <w:p w:rsidR="00DB056F" w:rsidRPr="00C104F4" w:rsidRDefault="00DB056F" w:rsidP="000032FB">
      <w:pPr>
        <w:pStyle w:val="FootnoteText"/>
      </w:pPr>
      <w:r w:rsidRPr="00C104F4">
        <w:tab/>
      </w:r>
      <w:r w:rsidRPr="00C104F4">
        <w:rPr>
          <w:rStyle w:val="FootnoteReference"/>
        </w:rPr>
        <w:footnoteRef/>
      </w:r>
      <w:r w:rsidRPr="00C104F4">
        <w:tab/>
        <w:t>See general comment No. 35 (2014)</w:t>
      </w:r>
      <w:r>
        <w:t xml:space="preserve"> on liberty and security of person</w:t>
      </w:r>
      <w:r w:rsidRPr="00C104F4">
        <w:t xml:space="preserve">, para. 33. </w:t>
      </w:r>
    </w:p>
  </w:footnote>
  <w:footnote w:id="21">
    <w:p w:rsidR="00793891" w:rsidRPr="007B7502" w:rsidRDefault="00793891" w:rsidP="00793891">
      <w:pPr>
        <w:pStyle w:val="FootnoteText"/>
      </w:pPr>
      <w:r w:rsidRPr="00C104F4">
        <w:tab/>
      </w:r>
      <w:r w:rsidRPr="00C104F4">
        <w:rPr>
          <w:rStyle w:val="FootnoteReference"/>
        </w:rPr>
        <w:footnoteRef/>
      </w:r>
      <w:r w:rsidRPr="00C104F4">
        <w:tab/>
        <w:t>See general comment No. 32, para. 30.</w:t>
      </w:r>
    </w:p>
  </w:footnote>
  <w:footnote w:id="22">
    <w:p w:rsidR="00793891" w:rsidRPr="00C104F4" w:rsidRDefault="00793891" w:rsidP="00793891">
      <w:pPr>
        <w:pStyle w:val="FootnoteText"/>
      </w:pPr>
      <w:r w:rsidRPr="00C104F4">
        <w:tab/>
      </w:r>
      <w:r w:rsidRPr="00C104F4">
        <w:rPr>
          <w:rStyle w:val="FootnoteReference"/>
        </w:rPr>
        <w:footnoteRef/>
      </w:r>
      <w:r w:rsidRPr="00C104F4">
        <w:tab/>
      </w:r>
      <w:r>
        <w:t xml:space="preserve">Ibid. </w:t>
      </w:r>
      <w:r w:rsidRPr="00C104F4">
        <w:t xml:space="preserve">See </w:t>
      </w:r>
      <w:r>
        <w:t xml:space="preserve">also </w:t>
      </w:r>
      <w:r w:rsidRPr="00C104F4">
        <w:t xml:space="preserve">communication No. 1405/2005, </w:t>
      </w:r>
      <w:proofErr w:type="spellStart"/>
      <w:r w:rsidRPr="00C104F4">
        <w:rPr>
          <w:i/>
        </w:rPr>
        <w:t>Pustovoit</w:t>
      </w:r>
      <w:proofErr w:type="spellEnd"/>
      <w:r w:rsidRPr="00C104F4">
        <w:rPr>
          <w:i/>
        </w:rPr>
        <w:t xml:space="preserve"> v. Ukraine</w:t>
      </w:r>
      <w:r w:rsidRPr="00C104F4">
        <w:t>, Views adopted on 20 March 2014, para. 9.2.</w:t>
      </w:r>
    </w:p>
  </w:footnote>
  <w:footnote w:id="23">
    <w:p w:rsidR="00DB056F" w:rsidRPr="00C104F4" w:rsidRDefault="00DB056F" w:rsidP="00DB056F">
      <w:pPr>
        <w:pStyle w:val="FootnoteText"/>
      </w:pPr>
      <w:r w:rsidRPr="00C104F4">
        <w:tab/>
      </w:r>
      <w:r w:rsidRPr="00C104F4">
        <w:rPr>
          <w:rStyle w:val="FootnoteReference"/>
        </w:rPr>
        <w:footnoteRef/>
      </w:r>
      <w:r w:rsidRPr="00C104F4">
        <w:tab/>
      </w:r>
      <w:r>
        <w:t>See g</w:t>
      </w:r>
      <w:r w:rsidRPr="00C104F4">
        <w:t xml:space="preserve">eneral comment No. 32, para. 38. </w:t>
      </w:r>
    </w:p>
  </w:footnote>
  <w:footnote w:id="24">
    <w:p w:rsidR="009A405F" w:rsidRPr="00C104F4" w:rsidRDefault="009A405F" w:rsidP="009A405F">
      <w:pPr>
        <w:pStyle w:val="FootnoteText"/>
      </w:pPr>
      <w:r w:rsidRPr="00C104F4">
        <w:tab/>
      </w:r>
      <w:r w:rsidRPr="00C104F4">
        <w:rPr>
          <w:rStyle w:val="FootnoteReference"/>
        </w:rPr>
        <w:footnoteRef/>
      </w:r>
      <w:r w:rsidRPr="00C104F4">
        <w:tab/>
        <w:t xml:space="preserve">See also communication No. 253/1987, </w:t>
      </w:r>
      <w:r w:rsidRPr="00C104F4">
        <w:rPr>
          <w:i/>
        </w:rPr>
        <w:t xml:space="preserve">Kelly </w:t>
      </w:r>
      <w:r w:rsidRPr="007B7502">
        <w:rPr>
          <w:i/>
          <w:iCs/>
        </w:rPr>
        <w:t>v.</w:t>
      </w:r>
      <w:r w:rsidRPr="00C104F4">
        <w:rPr>
          <w:i/>
        </w:rPr>
        <w:t xml:space="preserve"> Jamaica</w:t>
      </w:r>
      <w:r w:rsidRPr="00C104F4">
        <w:t xml:space="preserve">, Views adopted on 8 April 1991, </w:t>
      </w:r>
      <w:proofErr w:type="gramStart"/>
      <w:r w:rsidRPr="00C104F4">
        <w:t>para</w:t>
      </w:r>
      <w:proofErr w:type="gramEnd"/>
      <w:r w:rsidRPr="00C104F4">
        <w:t>. 5.14.</w:t>
      </w:r>
    </w:p>
  </w:footnote>
  <w:footnote w:id="25">
    <w:p w:rsidR="009A405F" w:rsidRDefault="009A405F" w:rsidP="009A405F">
      <w:pPr>
        <w:pStyle w:val="FootnoteText"/>
      </w:pPr>
      <w:r w:rsidRPr="00C104F4">
        <w:tab/>
      </w:r>
      <w:r w:rsidRPr="00C104F4">
        <w:rPr>
          <w:rStyle w:val="FootnoteReference"/>
        </w:rPr>
        <w:footnoteRef/>
      </w:r>
      <w:r w:rsidRPr="00C104F4">
        <w:tab/>
        <w:t xml:space="preserve">See general comment No. 32, para. 59; and communications No. 719/1996, </w:t>
      </w:r>
      <w:r w:rsidRPr="00C104F4">
        <w:rPr>
          <w:i/>
          <w:iCs/>
        </w:rPr>
        <w:t xml:space="preserve">Levy </w:t>
      </w:r>
      <w:r w:rsidRPr="007B7502">
        <w:rPr>
          <w:i/>
        </w:rPr>
        <w:t>v.</w:t>
      </w:r>
      <w:r w:rsidRPr="00C104F4">
        <w:rPr>
          <w:i/>
          <w:iCs/>
        </w:rPr>
        <w:t xml:space="preserve"> Jamaica</w:t>
      </w:r>
      <w:r w:rsidRPr="00C104F4">
        <w:t xml:space="preserve">, Views adopted on 3 November 1998, </w:t>
      </w:r>
      <w:proofErr w:type="gramStart"/>
      <w:r w:rsidRPr="00C104F4">
        <w:t>para</w:t>
      </w:r>
      <w:proofErr w:type="gramEnd"/>
      <w:r w:rsidRPr="00C104F4">
        <w:t>. </w:t>
      </w:r>
      <w:proofErr w:type="gramStart"/>
      <w:r w:rsidRPr="00C104F4">
        <w:t>7.3</w:t>
      </w:r>
      <w:proofErr w:type="gramEnd"/>
      <w:r w:rsidRPr="00C104F4">
        <w:t xml:space="preserve">; No. 1096/2002, </w:t>
      </w:r>
      <w:proofErr w:type="spellStart"/>
      <w:r w:rsidRPr="00C104F4">
        <w:rPr>
          <w:i/>
          <w:iCs/>
        </w:rPr>
        <w:t>Kurbanov</w:t>
      </w:r>
      <w:proofErr w:type="spellEnd"/>
      <w:r w:rsidRPr="00C104F4">
        <w:rPr>
          <w:i/>
          <w:iCs/>
        </w:rPr>
        <w:t xml:space="preserve"> </w:t>
      </w:r>
      <w:r w:rsidRPr="007B7502">
        <w:rPr>
          <w:i/>
        </w:rPr>
        <w:t>v.</w:t>
      </w:r>
      <w:r w:rsidRPr="00C104F4">
        <w:rPr>
          <w:i/>
          <w:iCs/>
        </w:rPr>
        <w:t xml:space="preserve"> Tajikistan</w:t>
      </w:r>
      <w:r w:rsidRPr="00C104F4">
        <w:t>, Views adopted on 6 November 2003, para. </w:t>
      </w:r>
      <w:proofErr w:type="gramStart"/>
      <w:r w:rsidRPr="00C104F4">
        <w:t>7.7</w:t>
      </w:r>
      <w:proofErr w:type="gramEnd"/>
      <w:r w:rsidRPr="00C104F4">
        <w:t xml:space="preserve">; No. 1044/2002, </w:t>
      </w:r>
      <w:proofErr w:type="spellStart"/>
      <w:r w:rsidRPr="00C104F4">
        <w:rPr>
          <w:i/>
          <w:iCs/>
        </w:rPr>
        <w:t>Shukurova</w:t>
      </w:r>
      <w:proofErr w:type="spellEnd"/>
      <w:r w:rsidRPr="00C104F4">
        <w:rPr>
          <w:i/>
          <w:iCs/>
        </w:rPr>
        <w:t xml:space="preserve"> </w:t>
      </w:r>
      <w:r w:rsidRPr="007B7502">
        <w:rPr>
          <w:i/>
        </w:rPr>
        <w:t>v.</w:t>
      </w:r>
      <w:r w:rsidRPr="00C104F4">
        <w:rPr>
          <w:i/>
          <w:iCs/>
        </w:rPr>
        <w:t xml:space="preserve"> Tajikistan</w:t>
      </w:r>
      <w:r w:rsidRPr="00C104F4">
        <w:t>, Views adopted on 17 March 2006, para. </w:t>
      </w:r>
      <w:proofErr w:type="gramStart"/>
      <w:r w:rsidRPr="00C104F4">
        <w:t>8.6</w:t>
      </w:r>
      <w:proofErr w:type="gramEnd"/>
      <w:r w:rsidRPr="00C104F4">
        <w:t xml:space="preserve">; </w:t>
      </w:r>
      <w:proofErr w:type="spellStart"/>
      <w:r w:rsidRPr="00C104F4">
        <w:rPr>
          <w:i/>
          <w:iCs/>
        </w:rPr>
        <w:t>Idieva</w:t>
      </w:r>
      <w:proofErr w:type="spellEnd"/>
      <w:r w:rsidRPr="00C104F4">
        <w:rPr>
          <w:i/>
          <w:iCs/>
        </w:rPr>
        <w:t xml:space="preserve"> </w:t>
      </w:r>
      <w:r w:rsidRPr="007B7502">
        <w:rPr>
          <w:i/>
        </w:rPr>
        <w:t>v.</w:t>
      </w:r>
      <w:r w:rsidRPr="00C104F4">
        <w:rPr>
          <w:i/>
          <w:iCs/>
        </w:rPr>
        <w:t xml:space="preserve"> Tajikistan</w:t>
      </w:r>
      <w:r w:rsidRPr="00C104F4">
        <w:t>, para. </w:t>
      </w:r>
      <w:proofErr w:type="gramStart"/>
      <w:r w:rsidRPr="00C104F4">
        <w:t>9.7</w:t>
      </w:r>
      <w:proofErr w:type="gramEnd"/>
      <w:r w:rsidRPr="00C104F4">
        <w:t xml:space="preserve">; No. 1304/2004, </w:t>
      </w:r>
      <w:proofErr w:type="spellStart"/>
      <w:r w:rsidRPr="00C104F4">
        <w:rPr>
          <w:i/>
          <w:iCs/>
        </w:rPr>
        <w:t>Khoroshenko</w:t>
      </w:r>
      <w:proofErr w:type="spellEnd"/>
      <w:r w:rsidRPr="00C104F4">
        <w:rPr>
          <w:i/>
          <w:iCs/>
        </w:rPr>
        <w:t xml:space="preserve"> </w:t>
      </w:r>
      <w:r w:rsidRPr="007B7502">
        <w:rPr>
          <w:i/>
        </w:rPr>
        <w:t>v.</w:t>
      </w:r>
      <w:r w:rsidRPr="00C104F4">
        <w:rPr>
          <w:i/>
          <w:iCs/>
        </w:rPr>
        <w:t xml:space="preserve"> Russian Federation</w:t>
      </w:r>
      <w:r w:rsidRPr="00C104F4">
        <w:t>, Views adopted on 29 March 2011, para. </w:t>
      </w:r>
      <w:proofErr w:type="gramStart"/>
      <w:r w:rsidRPr="00C104F4">
        <w:t>9.11</w:t>
      </w:r>
      <w:proofErr w:type="gramEnd"/>
      <w:r w:rsidRPr="00C104F4">
        <w:t xml:space="preserve">; and No. 1545/2007, </w:t>
      </w:r>
      <w:proofErr w:type="spellStart"/>
      <w:r w:rsidRPr="00C104F4">
        <w:rPr>
          <w:i/>
          <w:iCs/>
        </w:rPr>
        <w:t>Gunan</w:t>
      </w:r>
      <w:proofErr w:type="spellEnd"/>
      <w:r w:rsidRPr="00C104F4">
        <w:rPr>
          <w:i/>
          <w:iCs/>
        </w:rPr>
        <w:t xml:space="preserve"> </w:t>
      </w:r>
      <w:r w:rsidRPr="007B7502">
        <w:rPr>
          <w:i/>
        </w:rPr>
        <w:t>v.</w:t>
      </w:r>
      <w:r w:rsidRPr="00C104F4">
        <w:rPr>
          <w:i/>
          <w:iCs/>
        </w:rPr>
        <w:t xml:space="preserve"> Kyrgyzstan</w:t>
      </w:r>
      <w:r w:rsidRPr="00C104F4">
        <w:t>, Views adopted on 25 July 2011, para. 6.5.</w:t>
      </w:r>
      <w:r>
        <w:t xml:space="preserve"> </w:t>
      </w:r>
    </w:p>
  </w:footnote>
  <w:footnote w:id="26">
    <w:p w:rsidR="00786529" w:rsidRDefault="00E05C0A" w:rsidP="00907E7B">
      <w:pPr>
        <w:pStyle w:val="FootnoteText"/>
        <w:ind w:hanging="567"/>
      </w:pPr>
      <w:r>
        <w:tab/>
      </w:r>
      <w:r w:rsidR="00786529">
        <w:rPr>
          <w:rStyle w:val="FootnoteReference"/>
        </w:rPr>
        <w:footnoteRef/>
      </w:r>
      <w:r>
        <w:tab/>
      </w:r>
      <w:r w:rsidR="00786529">
        <w:t>See Committee’s Concluding Observations on the sixth periodic report of Japan, paragraph 13(b) (</w:t>
      </w:r>
      <w:r w:rsidR="00786529" w:rsidRPr="00786529">
        <w:rPr>
          <w:szCs w:val="18"/>
        </w:rPr>
        <w:t>CCPR/C/JPN/CO/6</w:t>
      </w:r>
      <w:r w:rsidR="0078652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6F" w:rsidRPr="00907E7B" w:rsidRDefault="00DB056F" w:rsidP="00907E7B">
    <w:pPr>
      <w:pStyle w:val="Header"/>
      <w:rPr>
        <w:lang w:val="en-GB"/>
      </w:rPr>
    </w:pPr>
    <w:r>
      <w:t>CCPR/C</w:t>
    </w:r>
    <w:r w:rsidRPr="00907E7B">
      <w:rPr>
        <w:lang w:val="en-GB"/>
      </w:rPr>
      <w:t>/123/</w:t>
    </w:r>
    <w:r>
      <w:t>D/</w:t>
    </w:r>
    <w:r w:rsidRPr="00907E7B">
      <w:rPr>
        <w:lang w:val="en-GB"/>
      </w:rPr>
      <w:t>2375/2014</w:t>
    </w:r>
    <w:r w:rsidR="00907E7B">
      <w:rPr>
        <w:lang w:val="en-GB"/>
      </w:rPr>
      <w:t xml:space="preserve"> </w:t>
    </w:r>
    <w:r w:rsidR="00907E7B" w:rsidRPr="00EC5121">
      <w:t>Advance unedited version</w:t>
    </w:r>
  </w:p>
  <w:p w:rsidR="00DB056F" w:rsidRPr="00907E7B" w:rsidRDefault="00DB056F" w:rsidP="00907E7B">
    <w:pPr>
      <w:pStyle w:val="Header"/>
      <w:rPr>
        <w:lang w:val="en-GB"/>
      </w:rPr>
    </w:pPr>
    <w:r>
      <w:t>CCPR/C</w:t>
    </w:r>
    <w:r w:rsidRPr="00907E7B">
      <w:rPr>
        <w:lang w:val="en-GB"/>
      </w:rPr>
      <w:t>/123/</w:t>
    </w:r>
    <w:r>
      <w:t>D/</w:t>
    </w:r>
    <w:r w:rsidRPr="00907E7B">
      <w:rPr>
        <w:lang w:val="en-GB"/>
      </w:rPr>
      <w:t>2690/2015</w:t>
    </w:r>
    <w:r w:rsidR="00907E7B" w:rsidRPr="00907E7B">
      <w:t xml:space="preserve"> </w:t>
    </w:r>
    <w:r w:rsidR="00907E7B" w:rsidRPr="00EC5121">
      <w:t>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6F" w:rsidRPr="00907E7B" w:rsidRDefault="00907E7B" w:rsidP="00927249">
    <w:pPr>
      <w:pStyle w:val="Header"/>
      <w:jc w:val="right"/>
      <w:rPr>
        <w:lang w:val="en-GB"/>
      </w:rPr>
    </w:pPr>
    <w:r w:rsidRPr="00EC5121">
      <w:t xml:space="preserve">Advance unedited version </w:t>
    </w:r>
    <w:r w:rsidR="00DB056F">
      <w:t>CCPR/C</w:t>
    </w:r>
    <w:r w:rsidR="00DB056F" w:rsidRPr="00907E7B">
      <w:rPr>
        <w:lang w:val="en-GB"/>
      </w:rPr>
      <w:t>/123/</w:t>
    </w:r>
    <w:r w:rsidR="00DB056F">
      <w:t>D/</w:t>
    </w:r>
    <w:r w:rsidR="00DB056F" w:rsidRPr="00907E7B">
      <w:rPr>
        <w:lang w:val="en-GB"/>
      </w:rPr>
      <w:t>2375/2014</w:t>
    </w:r>
  </w:p>
  <w:p w:rsidR="00DB056F" w:rsidRPr="00907E7B" w:rsidRDefault="00907E7B">
    <w:pPr>
      <w:pStyle w:val="Header"/>
      <w:jc w:val="right"/>
      <w:rPr>
        <w:lang w:val="en-GB"/>
      </w:rPr>
    </w:pPr>
    <w:r w:rsidRPr="00EC5121">
      <w:t xml:space="preserve">Advance unedited version </w:t>
    </w:r>
    <w:r w:rsidR="00DB056F">
      <w:t>CCPR/C</w:t>
    </w:r>
    <w:r w:rsidR="002D66A6" w:rsidRPr="00907E7B">
      <w:rPr>
        <w:lang w:val="en-GB"/>
      </w:rPr>
      <w:t>/</w:t>
    </w:r>
    <w:r w:rsidR="00DB056F" w:rsidRPr="00907E7B">
      <w:rPr>
        <w:lang w:val="en-GB"/>
      </w:rPr>
      <w:t>123/</w:t>
    </w:r>
    <w:r w:rsidR="00DB056F">
      <w:t>D/</w:t>
    </w:r>
    <w:r w:rsidR="00DB056F" w:rsidRPr="00907E7B">
      <w:rPr>
        <w:lang w:val="en-GB"/>
      </w:rPr>
      <w:t>2690/2015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08D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4D4B24"/>
    <w:multiLevelType w:val="multilevel"/>
    <w:tmpl w:val="BA664D3A"/>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22C8A"/>
    <w:multiLevelType w:val="hybridMultilevel"/>
    <w:tmpl w:val="DED6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10"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A8003FD"/>
    <w:multiLevelType w:val="hybridMultilevel"/>
    <w:tmpl w:val="3FAC3CE6"/>
    <w:lvl w:ilvl="0" w:tplc="8C1ED3A6">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6" w15:restartNumberingAfterBreak="0">
    <w:nsid w:val="3EC5443C"/>
    <w:multiLevelType w:val="multilevel"/>
    <w:tmpl w:val="E0F6CAC8"/>
    <w:lvl w:ilvl="0">
      <w:start w:val="4"/>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9" w15:restartNumberingAfterBreak="0">
    <w:nsid w:val="480C28AA"/>
    <w:multiLevelType w:val="hybridMultilevel"/>
    <w:tmpl w:val="8E70E9EA"/>
    <w:lvl w:ilvl="0" w:tplc="DBD297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E723BF"/>
    <w:multiLevelType w:val="multilevel"/>
    <w:tmpl w:val="DF428AC8"/>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2.%4"/>
      <w:lvlJc w:val="left"/>
      <w:pPr>
        <w:ind w:left="357" w:hanging="357"/>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8" w15:restartNumberingAfterBreak="0">
    <w:nsid w:val="77C4647B"/>
    <w:multiLevelType w:val="hybridMultilevel"/>
    <w:tmpl w:val="CAB41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6"/>
  </w:num>
  <w:num w:numId="2">
    <w:abstractNumId w:val="26"/>
  </w:num>
  <w:num w:numId="3">
    <w:abstractNumId w:val="24"/>
  </w:num>
  <w:num w:numId="4">
    <w:abstractNumId w:val="12"/>
  </w:num>
  <w:num w:numId="5">
    <w:abstractNumId w:val="8"/>
  </w:num>
  <w:num w:numId="6">
    <w:abstractNumId w:val="13"/>
  </w:num>
  <w:num w:numId="7">
    <w:abstractNumId w:val="10"/>
  </w:num>
  <w:num w:numId="8">
    <w:abstractNumId w:val="18"/>
  </w:num>
  <w:num w:numId="9">
    <w:abstractNumId w:val="25"/>
  </w:num>
  <w:num w:numId="10">
    <w:abstractNumId w:val="30"/>
  </w:num>
  <w:num w:numId="11">
    <w:abstractNumId w:val="27"/>
  </w:num>
  <w:num w:numId="12">
    <w:abstractNumId w:val="9"/>
  </w:num>
  <w:num w:numId="13">
    <w:abstractNumId w:val="11"/>
  </w:num>
  <w:num w:numId="14">
    <w:abstractNumId w:val="17"/>
  </w:num>
  <w:num w:numId="15">
    <w:abstractNumId w:val="20"/>
  </w:num>
  <w:num w:numId="16">
    <w:abstractNumId w:val="14"/>
  </w:num>
  <w:num w:numId="17">
    <w:abstractNumId w:val="22"/>
  </w:num>
  <w:num w:numId="18">
    <w:abstractNumId w:val="29"/>
  </w:num>
  <w:num w:numId="19">
    <w:abstractNumId w:val="21"/>
  </w:num>
  <w:num w:numId="20">
    <w:abstractNumId w:val="0"/>
  </w:num>
  <w:num w:numId="21">
    <w:abstractNumId w:val="19"/>
  </w:num>
  <w:num w:numId="22">
    <w:abstractNumId w:val="28"/>
  </w:num>
  <w:num w:numId="23">
    <w:abstractNumId w:val="15"/>
  </w:num>
  <w:num w:numId="24">
    <w:abstractNumId w:val="1"/>
  </w:num>
  <w:num w:numId="25">
    <w:abstractNumId w:val="2"/>
  </w:num>
  <w:num w:numId="26">
    <w:abstractNumId w:val="4"/>
  </w:num>
  <w:num w:numId="27">
    <w:abstractNumId w:val="3"/>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pt-PT" w:vendorID="64" w:dllVersion="131078"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s-E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019"/>
    <w:rsid w:val="00000510"/>
    <w:rsid w:val="00000DD2"/>
    <w:rsid w:val="000028E0"/>
    <w:rsid w:val="000032FB"/>
    <w:rsid w:val="00003F67"/>
    <w:rsid w:val="00013C23"/>
    <w:rsid w:val="00015D87"/>
    <w:rsid w:val="0001697C"/>
    <w:rsid w:val="00017C61"/>
    <w:rsid w:val="00020129"/>
    <w:rsid w:val="00022D94"/>
    <w:rsid w:val="000233D2"/>
    <w:rsid w:val="00023B0F"/>
    <w:rsid w:val="0002521B"/>
    <w:rsid w:val="00030223"/>
    <w:rsid w:val="000312F5"/>
    <w:rsid w:val="00031308"/>
    <w:rsid w:val="0003657E"/>
    <w:rsid w:val="00036EDE"/>
    <w:rsid w:val="000435AE"/>
    <w:rsid w:val="0004514B"/>
    <w:rsid w:val="00046923"/>
    <w:rsid w:val="00046BD9"/>
    <w:rsid w:val="000478EB"/>
    <w:rsid w:val="00054F0B"/>
    <w:rsid w:val="00055767"/>
    <w:rsid w:val="000576AD"/>
    <w:rsid w:val="00060378"/>
    <w:rsid w:val="00060C03"/>
    <w:rsid w:val="00066809"/>
    <w:rsid w:val="00067795"/>
    <w:rsid w:val="00070027"/>
    <w:rsid w:val="00075162"/>
    <w:rsid w:val="00076918"/>
    <w:rsid w:val="00077641"/>
    <w:rsid w:val="00077B6F"/>
    <w:rsid w:val="00082EB2"/>
    <w:rsid w:val="000858FB"/>
    <w:rsid w:val="00085F49"/>
    <w:rsid w:val="00087B44"/>
    <w:rsid w:val="000917FC"/>
    <w:rsid w:val="00093CEC"/>
    <w:rsid w:val="0009413D"/>
    <w:rsid w:val="00096C1C"/>
    <w:rsid w:val="000A0BCF"/>
    <w:rsid w:val="000A1E60"/>
    <w:rsid w:val="000A3048"/>
    <w:rsid w:val="000A53CD"/>
    <w:rsid w:val="000B3581"/>
    <w:rsid w:val="000B4683"/>
    <w:rsid w:val="000B50A6"/>
    <w:rsid w:val="000B6BCF"/>
    <w:rsid w:val="000C0A66"/>
    <w:rsid w:val="000C0ED0"/>
    <w:rsid w:val="000C1931"/>
    <w:rsid w:val="000C291C"/>
    <w:rsid w:val="000C3918"/>
    <w:rsid w:val="000C4895"/>
    <w:rsid w:val="000C568B"/>
    <w:rsid w:val="000C5906"/>
    <w:rsid w:val="000C5C2D"/>
    <w:rsid w:val="000C74C5"/>
    <w:rsid w:val="000C7DB0"/>
    <w:rsid w:val="000D481C"/>
    <w:rsid w:val="000D4CB8"/>
    <w:rsid w:val="000D56BE"/>
    <w:rsid w:val="000D5D20"/>
    <w:rsid w:val="000D6107"/>
    <w:rsid w:val="000D6C30"/>
    <w:rsid w:val="000E194D"/>
    <w:rsid w:val="000E2F50"/>
    <w:rsid w:val="000E3567"/>
    <w:rsid w:val="000E3BCA"/>
    <w:rsid w:val="000E4F6D"/>
    <w:rsid w:val="000E5370"/>
    <w:rsid w:val="000E6BED"/>
    <w:rsid w:val="000F21E5"/>
    <w:rsid w:val="000F3494"/>
    <w:rsid w:val="000F3B23"/>
    <w:rsid w:val="000F3C7F"/>
    <w:rsid w:val="000F52EB"/>
    <w:rsid w:val="000F5F5B"/>
    <w:rsid w:val="000F6065"/>
    <w:rsid w:val="000F767B"/>
    <w:rsid w:val="000F768E"/>
    <w:rsid w:val="00100142"/>
    <w:rsid w:val="0010083B"/>
    <w:rsid w:val="0010205A"/>
    <w:rsid w:val="00102FBD"/>
    <w:rsid w:val="00104C35"/>
    <w:rsid w:val="00105527"/>
    <w:rsid w:val="00105C69"/>
    <w:rsid w:val="0010758A"/>
    <w:rsid w:val="001105A5"/>
    <w:rsid w:val="00110E7A"/>
    <w:rsid w:val="00111363"/>
    <w:rsid w:val="00111EF0"/>
    <w:rsid w:val="00112A99"/>
    <w:rsid w:val="001135B4"/>
    <w:rsid w:val="00114142"/>
    <w:rsid w:val="001142F5"/>
    <w:rsid w:val="001176B0"/>
    <w:rsid w:val="0012019D"/>
    <w:rsid w:val="00122C31"/>
    <w:rsid w:val="00123EFE"/>
    <w:rsid w:val="00124EA5"/>
    <w:rsid w:val="00125006"/>
    <w:rsid w:val="0012505C"/>
    <w:rsid w:val="001253AB"/>
    <w:rsid w:val="00131114"/>
    <w:rsid w:val="00133661"/>
    <w:rsid w:val="00137696"/>
    <w:rsid w:val="00141125"/>
    <w:rsid w:val="001429D2"/>
    <w:rsid w:val="00142F09"/>
    <w:rsid w:val="00143A66"/>
    <w:rsid w:val="001448B2"/>
    <w:rsid w:val="00144995"/>
    <w:rsid w:val="00145510"/>
    <w:rsid w:val="001511AE"/>
    <w:rsid w:val="0015207D"/>
    <w:rsid w:val="00152E78"/>
    <w:rsid w:val="00153F4B"/>
    <w:rsid w:val="00154CD4"/>
    <w:rsid w:val="00155235"/>
    <w:rsid w:val="001557F1"/>
    <w:rsid w:val="00156D17"/>
    <w:rsid w:val="001610E4"/>
    <w:rsid w:val="00162ED4"/>
    <w:rsid w:val="00163EFA"/>
    <w:rsid w:val="001663EC"/>
    <w:rsid w:val="00170261"/>
    <w:rsid w:val="00170970"/>
    <w:rsid w:val="00173531"/>
    <w:rsid w:val="00173614"/>
    <w:rsid w:val="00175C12"/>
    <w:rsid w:val="00176DF3"/>
    <w:rsid w:val="0018008A"/>
    <w:rsid w:val="00180D37"/>
    <w:rsid w:val="00182CB8"/>
    <w:rsid w:val="001838A0"/>
    <w:rsid w:val="00184BC5"/>
    <w:rsid w:val="0018545A"/>
    <w:rsid w:val="00186151"/>
    <w:rsid w:val="00187130"/>
    <w:rsid w:val="00191398"/>
    <w:rsid w:val="00192280"/>
    <w:rsid w:val="001923BA"/>
    <w:rsid w:val="001925AC"/>
    <w:rsid w:val="00194AD6"/>
    <w:rsid w:val="00195F9C"/>
    <w:rsid w:val="00196795"/>
    <w:rsid w:val="00197EBF"/>
    <w:rsid w:val="001A0A39"/>
    <w:rsid w:val="001A1869"/>
    <w:rsid w:val="001A1BC1"/>
    <w:rsid w:val="001A271A"/>
    <w:rsid w:val="001A38E1"/>
    <w:rsid w:val="001A50C4"/>
    <w:rsid w:val="001A7F23"/>
    <w:rsid w:val="001B0994"/>
    <w:rsid w:val="001B284E"/>
    <w:rsid w:val="001B3B67"/>
    <w:rsid w:val="001B4307"/>
    <w:rsid w:val="001B4EAF"/>
    <w:rsid w:val="001B5A17"/>
    <w:rsid w:val="001C7514"/>
    <w:rsid w:val="001D06A3"/>
    <w:rsid w:val="001D35AB"/>
    <w:rsid w:val="001D4510"/>
    <w:rsid w:val="001D5CFD"/>
    <w:rsid w:val="001D7060"/>
    <w:rsid w:val="001E121D"/>
    <w:rsid w:val="001E123A"/>
    <w:rsid w:val="001E3FD5"/>
    <w:rsid w:val="001E4D64"/>
    <w:rsid w:val="001E6092"/>
    <w:rsid w:val="001E696B"/>
    <w:rsid w:val="001E74E9"/>
    <w:rsid w:val="001E7905"/>
    <w:rsid w:val="001F06D5"/>
    <w:rsid w:val="001F3CBB"/>
    <w:rsid w:val="001F3F1C"/>
    <w:rsid w:val="0020075A"/>
    <w:rsid w:val="00200EA1"/>
    <w:rsid w:val="00201770"/>
    <w:rsid w:val="00203DC5"/>
    <w:rsid w:val="00207907"/>
    <w:rsid w:val="00207D2E"/>
    <w:rsid w:val="00207F1D"/>
    <w:rsid w:val="002102CF"/>
    <w:rsid w:val="002104CC"/>
    <w:rsid w:val="00211D0D"/>
    <w:rsid w:val="00213E0F"/>
    <w:rsid w:val="00215DFC"/>
    <w:rsid w:val="00217907"/>
    <w:rsid w:val="00220C01"/>
    <w:rsid w:val="00221ECB"/>
    <w:rsid w:val="00222BB7"/>
    <w:rsid w:val="0022331A"/>
    <w:rsid w:val="00224861"/>
    <w:rsid w:val="0022629E"/>
    <w:rsid w:val="00231863"/>
    <w:rsid w:val="0023212C"/>
    <w:rsid w:val="002322A1"/>
    <w:rsid w:val="002334A9"/>
    <w:rsid w:val="00233C69"/>
    <w:rsid w:val="00237566"/>
    <w:rsid w:val="002379FC"/>
    <w:rsid w:val="00240536"/>
    <w:rsid w:val="00240954"/>
    <w:rsid w:val="00244168"/>
    <w:rsid w:val="00244FD2"/>
    <w:rsid w:val="002471E5"/>
    <w:rsid w:val="002474DA"/>
    <w:rsid w:val="002504BB"/>
    <w:rsid w:val="00251C10"/>
    <w:rsid w:val="00251E7C"/>
    <w:rsid w:val="0025653B"/>
    <w:rsid w:val="00257262"/>
    <w:rsid w:val="002572D4"/>
    <w:rsid w:val="00257576"/>
    <w:rsid w:val="00261BA8"/>
    <w:rsid w:val="002624DB"/>
    <w:rsid w:val="00262C39"/>
    <w:rsid w:val="00262C67"/>
    <w:rsid w:val="00263C81"/>
    <w:rsid w:val="00265CAE"/>
    <w:rsid w:val="00266476"/>
    <w:rsid w:val="0026715F"/>
    <w:rsid w:val="002716A2"/>
    <w:rsid w:val="002758F0"/>
    <w:rsid w:val="0027610F"/>
    <w:rsid w:val="002765F1"/>
    <w:rsid w:val="002778AD"/>
    <w:rsid w:val="002779BF"/>
    <w:rsid w:val="00281678"/>
    <w:rsid w:val="00281931"/>
    <w:rsid w:val="00285BF3"/>
    <w:rsid w:val="00290414"/>
    <w:rsid w:val="00290F61"/>
    <w:rsid w:val="002917F1"/>
    <w:rsid w:val="00292109"/>
    <w:rsid w:val="002921D4"/>
    <w:rsid w:val="002929A3"/>
    <w:rsid w:val="00294D05"/>
    <w:rsid w:val="00294D06"/>
    <w:rsid w:val="00295615"/>
    <w:rsid w:val="0029664C"/>
    <w:rsid w:val="0029721D"/>
    <w:rsid w:val="002A09F1"/>
    <w:rsid w:val="002A1807"/>
    <w:rsid w:val="002A1E31"/>
    <w:rsid w:val="002A2356"/>
    <w:rsid w:val="002A30FB"/>
    <w:rsid w:val="002A446D"/>
    <w:rsid w:val="002A4EA6"/>
    <w:rsid w:val="002A5527"/>
    <w:rsid w:val="002A6C93"/>
    <w:rsid w:val="002B08F8"/>
    <w:rsid w:val="002B1645"/>
    <w:rsid w:val="002B28E3"/>
    <w:rsid w:val="002B2F40"/>
    <w:rsid w:val="002B49B5"/>
    <w:rsid w:val="002B651B"/>
    <w:rsid w:val="002B7309"/>
    <w:rsid w:val="002C1E51"/>
    <w:rsid w:val="002C3C0C"/>
    <w:rsid w:val="002C451D"/>
    <w:rsid w:val="002C6871"/>
    <w:rsid w:val="002C7872"/>
    <w:rsid w:val="002D2581"/>
    <w:rsid w:val="002D2BC3"/>
    <w:rsid w:val="002D30A7"/>
    <w:rsid w:val="002D574A"/>
    <w:rsid w:val="002D66A6"/>
    <w:rsid w:val="002D7EA8"/>
    <w:rsid w:val="002E0B88"/>
    <w:rsid w:val="002E3900"/>
    <w:rsid w:val="002E3B22"/>
    <w:rsid w:val="002E52C4"/>
    <w:rsid w:val="002E56D2"/>
    <w:rsid w:val="002E5B4E"/>
    <w:rsid w:val="002E6054"/>
    <w:rsid w:val="002E65D2"/>
    <w:rsid w:val="002E6917"/>
    <w:rsid w:val="002F1D17"/>
    <w:rsid w:val="002F2BDE"/>
    <w:rsid w:val="002F4395"/>
    <w:rsid w:val="002F641D"/>
    <w:rsid w:val="002F6A22"/>
    <w:rsid w:val="00300B51"/>
    <w:rsid w:val="003010EE"/>
    <w:rsid w:val="00301EC2"/>
    <w:rsid w:val="00302EC3"/>
    <w:rsid w:val="00303957"/>
    <w:rsid w:val="0030683D"/>
    <w:rsid w:val="00310C67"/>
    <w:rsid w:val="0031100D"/>
    <w:rsid w:val="003117FD"/>
    <w:rsid w:val="0031229A"/>
    <w:rsid w:val="003126E3"/>
    <w:rsid w:val="00313423"/>
    <w:rsid w:val="00314741"/>
    <w:rsid w:val="00314902"/>
    <w:rsid w:val="003151AE"/>
    <w:rsid w:val="00315BDA"/>
    <w:rsid w:val="00315F1C"/>
    <w:rsid w:val="00316EF0"/>
    <w:rsid w:val="003254F1"/>
    <w:rsid w:val="003277C4"/>
    <w:rsid w:val="00330B41"/>
    <w:rsid w:val="00330C91"/>
    <w:rsid w:val="00331566"/>
    <w:rsid w:val="0033454F"/>
    <w:rsid w:val="00334581"/>
    <w:rsid w:val="003357D8"/>
    <w:rsid w:val="0034062D"/>
    <w:rsid w:val="003408A8"/>
    <w:rsid w:val="003408D4"/>
    <w:rsid w:val="00345073"/>
    <w:rsid w:val="00350088"/>
    <w:rsid w:val="00351A93"/>
    <w:rsid w:val="00353744"/>
    <w:rsid w:val="00355F02"/>
    <w:rsid w:val="00356F4C"/>
    <w:rsid w:val="003579FC"/>
    <w:rsid w:val="00357E26"/>
    <w:rsid w:val="00357F5E"/>
    <w:rsid w:val="0036219F"/>
    <w:rsid w:val="003633A1"/>
    <w:rsid w:val="00366CDC"/>
    <w:rsid w:val="00366F59"/>
    <w:rsid w:val="00367F3E"/>
    <w:rsid w:val="00370986"/>
    <w:rsid w:val="003717A1"/>
    <w:rsid w:val="00372A20"/>
    <w:rsid w:val="003744BB"/>
    <w:rsid w:val="00374686"/>
    <w:rsid w:val="00375ABF"/>
    <w:rsid w:val="00376C07"/>
    <w:rsid w:val="00380C23"/>
    <w:rsid w:val="003817E5"/>
    <w:rsid w:val="00384303"/>
    <w:rsid w:val="00384326"/>
    <w:rsid w:val="003845F7"/>
    <w:rsid w:val="00386DE4"/>
    <w:rsid w:val="00387385"/>
    <w:rsid w:val="00393186"/>
    <w:rsid w:val="00393F0B"/>
    <w:rsid w:val="003966F6"/>
    <w:rsid w:val="003A42E5"/>
    <w:rsid w:val="003A4EB1"/>
    <w:rsid w:val="003A5EFE"/>
    <w:rsid w:val="003A7AB6"/>
    <w:rsid w:val="003B1A3A"/>
    <w:rsid w:val="003B3FFB"/>
    <w:rsid w:val="003C041B"/>
    <w:rsid w:val="003C13C8"/>
    <w:rsid w:val="003C1781"/>
    <w:rsid w:val="003C4055"/>
    <w:rsid w:val="003C75D0"/>
    <w:rsid w:val="003D187E"/>
    <w:rsid w:val="003D1D58"/>
    <w:rsid w:val="003D3056"/>
    <w:rsid w:val="003D3D58"/>
    <w:rsid w:val="003D6403"/>
    <w:rsid w:val="003D7560"/>
    <w:rsid w:val="003E2218"/>
    <w:rsid w:val="003E31DC"/>
    <w:rsid w:val="003E580F"/>
    <w:rsid w:val="003E6098"/>
    <w:rsid w:val="003E7207"/>
    <w:rsid w:val="003E73A6"/>
    <w:rsid w:val="003F0A49"/>
    <w:rsid w:val="003F13DE"/>
    <w:rsid w:val="003F3647"/>
    <w:rsid w:val="0040081E"/>
    <w:rsid w:val="004015FB"/>
    <w:rsid w:val="004019FE"/>
    <w:rsid w:val="004032B1"/>
    <w:rsid w:val="004049AC"/>
    <w:rsid w:val="00412FB7"/>
    <w:rsid w:val="00414C93"/>
    <w:rsid w:val="00414EA8"/>
    <w:rsid w:val="004167B0"/>
    <w:rsid w:val="004213D4"/>
    <w:rsid w:val="004218B3"/>
    <w:rsid w:val="004225F6"/>
    <w:rsid w:val="00423A63"/>
    <w:rsid w:val="00424BEF"/>
    <w:rsid w:val="00424E67"/>
    <w:rsid w:val="00425FFB"/>
    <w:rsid w:val="00427D37"/>
    <w:rsid w:val="00430A8C"/>
    <w:rsid w:val="00431311"/>
    <w:rsid w:val="00431DEB"/>
    <w:rsid w:val="0043291F"/>
    <w:rsid w:val="00434211"/>
    <w:rsid w:val="004345C1"/>
    <w:rsid w:val="0043642F"/>
    <w:rsid w:val="00436495"/>
    <w:rsid w:val="0043725F"/>
    <w:rsid w:val="004372E6"/>
    <w:rsid w:val="00440DD3"/>
    <w:rsid w:val="00441525"/>
    <w:rsid w:val="00441ECF"/>
    <w:rsid w:val="00444CE6"/>
    <w:rsid w:val="00445276"/>
    <w:rsid w:val="004456D3"/>
    <w:rsid w:val="00452BD7"/>
    <w:rsid w:val="00452D37"/>
    <w:rsid w:val="00453D02"/>
    <w:rsid w:val="00453EAA"/>
    <w:rsid w:val="004559EC"/>
    <w:rsid w:val="00456346"/>
    <w:rsid w:val="0045650F"/>
    <w:rsid w:val="00470A4E"/>
    <w:rsid w:val="004735FD"/>
    <w:rsid w:val="00480B56"/>
    <w:rsid w:val="0048396A"/>
    <w:rsid w:val="00484A9A"/>
    <w:rsid w:val="00484D29"/>
    <w:rsid w:val="00484E58"/>
    <w:rsid w:val="00486494"/>
    <w:rsid w:val="00491A62"/>
    <w:rsid w:val="00491F10"/>
    <w:rsid w:val="00494DF4"/>
    <w:rsid w:val="00496084"/>
    <w:rsid w:val="0049674B"/>
    <w:rsid w:val="00496874"/>
    <w:rsid w:val="00496CFF"/>
    <w:rsid w:val="0049701A"/>
    <w:rsid w:val="004A0112"/>
    <w:rsid w:val="004A0394"/>
    <w:rsid w:val="004A2B83"/>
    <w:rsid w:val="004A3602"/>
    <w:rsid w:val="004A3CD6"/>
    <w:rsid w:val="004B00DB"/>
    <w:rsid w:val="004B1ABE"/>
    <w:rsid w:val="004B34B4"/>
    <w:rsid w:val="004B4182"/>
    <w:rsid w:val="004B4215"/>
    <w:rsid w:val="004B448C"/>
    <w:rsid w:val="004B46FF"/>
    <w:rsid w:val="004B71B6"/>
    <w:rsid w:val="004B7FF1"/>
    <w:rsid w:val="004C02AA"/>
    <w:rsid w:val="004C09B4"/>
    <w:rsid w:val="004C2C4D"/>
    <w:rsid w:val="004C2EA8"/>
    <w:rsid w:val="004C3348"/>
    <w:rsid w:val="004C3AFE"/>
    <w:rsid w:val="004C4490"/>
    <w:rsid w:val="004C46E0"/>
    <w:rsid w:val="004C606E"/>
    <w:rsid w:val="004C6428"/>
    <w:rsid w:val="004C6DCF"/>
    <w:rsid w:val="004D0A83"/>
    <w:rsid w:val="004D0B44"/>
    <w:rsid w:val="004D2CCE"/>
    <w:rsid w:val="004D2F46"/>
    <w:rsid w:val="004D328D"/>
    <w:rsid w:val="004D718F"/>
    <w:rsid w:val="004D71E1"/>
    <w:rsid w:val="004D7531"/>
    <w:rsid w:val="004E0AE4"/>
    <w:rsid w:val="004E1939"/>
    <w:rsid w:val="004E3748"/>
    <w:rsid w:val="004E3B21"/>
    <w:rsid w:val="004E74E4"/>
    <w:rsid w:val="004F1530"/>
    <w:rsid w:val="004F1C5C"/>
    <w:rsid w:val="004F42BC"/>
    <w:rsid w:val="004F59A8"/>
    <w:rsid w:val="004F5EA8"/>
    <w:rsid w:val="005007AA"/>
    <w:rsid w:val="00501BEC"/>
    <w:rsid w:val="00505037"/>
    <w:rsid w:val="00505727"/>
    <w:rsid w:val="00505DF0"/>
    <w:rsid w:val="0050634E"/>
    <w:rsid w:val="00507237"/>
    <w:rsid w:val="00507F0F"/>
    <w:rsid w:val="005117BE"/>
    <w:rsid w:val="005141D8"/>
    <w:rsid w:val="0051476F"/>
    <w:rsid w:val="00515326"/>
    <w:rsid w:val="0051580C"/>
    <w:rsid w:val="00515B13"/>
    <w:rsid w:val="0051787C"/>
    <w:rsid w:val="00520978"/>
    <w:rsid w:val="0052390A"/>
    <w:rsid w:val="005303E9"/>
    <w:rsid w:val="005329D4"/>
    <w:rsid w:val="00534EEF"/>
    <w:rsid w:val="005350DF"/>
    <w:rsid w:val="00536A5B"/>
    <w:rsid w:val="00537F39"/>
    <w:rsid w:val="00540856"/>
    <w:rsid w:val="0054321D"/>
    <w:rsid w:val="00544956"/>
    <w:rsid w:val="00545E84"/>
    <w:rsid w:val="00552231"/>
    <w:rsid w:val="00552533"/>
    <w:rsid w:val="00552916"/>
    <w:rsid w:val="005552D4"/>
    <w:rsid w:val="00562295"/>
    <w:rsid w:val="005623EB"/>
    <w:rsid w:val="00563374"/>
    <w:rsid w:val="00564F7F"/>
    <w:rsid w:val="00566BE3"/>
    <w:rsid w:val="005706F7"/>
    <w:rsid w:val="00571B8F"/>
    <w:rsid w:val="00574ED4"/>
    <w:rsid w:val="00574F5B"/>
    <w:rsid w:val="005758F8"/>
    <w:rsid w:val="00577C88"/>
    <w:rsid w:val="00584490"/>
    <w:rsid w:val="00584794"/>
    <w:rsid w:val="00585790"/>
    <w:rsid w:val="0058610D"/>
    <w:rsid w:val="00587C27"/>
    <w:rsid w:val="005902A6"/>
    <w:rsid w:val="00592676"/>
    <w:rsid w:val="00592AE2"/>
    <w:rsid w:val="005936CA"/>
    <w:rsid w:val="00595EFB"/>
    <w:rsid w:val="0059627E"/>
    <w:rsid w:val="00596EC7"/>
    <w:rsid w:val="00597EFA"/>
    <w:rsid w:val="005A45B0"/>
    <w:rsid w:val="005A51C1"/>
    <w:rsid w:val="005A5777"/>
    <w:rsid w:val="005B1F58"/>
    <w:rsid w:val="005B2F50"/>
    <w:rsid w:val="005B353F"/>
    <w:rsid w:val="005B6D34"/>
    <w:rsid w:val="005C0BBB"/>
    <w:rsid w:val="005C0BF8"/>
    <w:rsid w:val="005C1D2A"/>
    <w:rsid w:val="005C28F0"/>
    <w:rsid w:val="005C2EDC"/>
    <w:rsid w:val="005C32A3"/>
    <w:rsid w:val="005C7A62"/>
    <w:rsid w:val="005D55EE"/>
    <w:rsid w:val="005E0770"/>
    <w:rsid w:val="005E0A18"/>
    <w:rsid w:val="005E0F4E"/>
    <w:rsid w:val="005E2225"/>
    <w:rsid w:val="005E34AE"/>
    <w:rsid w:val="005E44F5"/>
    <w:rsid w:val="005E51E5"/>
    <w:rsid w:val="005E5761"/>
    <w:rsid w:val="005E58C8"/>
    <w:rsid w:val="005E7F34"/>
    <w:rsid w:val="005F019E"/>
    <w:rsid w:val="005F1292"/>
    <w:rsid w:val="005F5053"/>
    <w:rsid w:val="005F6EC4"/>
    <w:rsid w:val="00600DB1"/>
    <w:rsid w:val="0060224B"/>
    <w:rsid w:val="00602671"/>
    <w:rsid w:val="0060382D"/>
    <w:rsid w:val="00605671"/>
    <w:rsid w:val="00607D75"/>
    <w:rsid w:val="0061025C"/>
    <w:rsid w:val="006109EB"/>
    <w:rsid w:val="00610E08"/>
    <w:rsid w:val="00612738"/>
    <w:rsid w:val="00612B94"/>
    <w:rsid w:val="00614CAC"/>
    <w:rsid w:val="006212E1"/>
    <w:rsid w:val="006235B0"/>
    <w:rsid w:val="00624188"/>
    <w:rsid w:val="00624719"/>
    <w:rsid w:val="0062532C"/>
    <w:rsid w:val="00626A96"/>
    <w:rsid w:val="00626C5C"/>
    <w:rsid w:val="00632295"/>
    <w:rsid w:val="006338FF"/>
    <w:rsid w:val="00634557"/>
    <w:rsid w:val="00635A1E"/>
    <w:rsid w:val="00635AFF"/>
    <w:rsid w:val="00636FAC"/>
    <w:rsid w:val="006379F1"/>
    <w:rsid w:val="00637F3C"/>
    <w:rsid w:val="006408C2"/>
    <w:rsid w:val="00641361"/>
    <w:rsid w:val="00641684"/>
    <w:rsid w:val="00641E73"/>
    <w:rsid w:val="00642F72"/>
    <w:rsid w:val="00643F09"/>
    <w:rsid w:val="00647966"/>
    <w:rsid w:val="00651262"/>
    <w:rsid w:val="006525B7"/>
    <w:rsid w:val="00652C9F"/>
    <w:rsid w:val="006532AE"/>
    <w:rsid w:val="0065400A"/>
    <w:rsid w:val="00654615"/>
    <w:rsid w:val="00654C72"/>
    <w:rsid w:val="006552E7"/>
    <w:rsid w:val="00655331"/>
    <w:rsid w:val="006560D9"/>
    <w:rsid w:val="00660FF3"/>
    <w:rsid w:val="0066223F"/>
    <w:rsid w:val="00662548"/>
    <w:rsid w:val="00662B95"/>
    <w:rsid w:val="0066323F"/>
    <w:rsid w:val="00663BF2"/>
    <w:rsid w:val="00664657"/>
    <w:rsid w:val="00666BDB"/>
    <w:rsid w:val="00667E0D"/>
    <w:rsid w:val="00671CD6"/>
    <w:rsid w:val="006758D4"/>
    <w:rsid w:val="00676D70"/>
    <w:rsid w:val="00681498"/>
    <w:rsid w:val="00682F3B"/>
    <w:rsid w:val="006830DC"/>
    <w:rsid w:val="006832F6"/>
    <w:rsid w:val="00684D64"/>
    <w:rsid w:val="00686D95"/>
    <w:rsid w:val="00686E09"/>
    <w:rsid w:val="00686FB2"/>
    <w:rsid w:val="00690827"/>
    <w:rsid w:val="006912FA"/>
    <w:rsid w:val="00691C50"/>
    <w:rsid w:val="00691F9B"/>
    <w:rsid w:val="00695087"/>
    <w:rsid w:val="0069625F"/>
    <w:rsid w:val="006A0475"/>
    <w:rsid w:val="006A0589"/>
    <w:rsid w:val="006A0684"/>
    <w:rsid w:val="006A08C2"/>
    <w:rsid w:val="006A1040"/>
    <w:rsid w:val="006A17CD"/>
    <w:rsid w:val="006A48B4"/>
    <w:rsid w:val="006A49F7"/>
    <w:rsid w:val="006A6D9D"/>
    <w:rsid w:val="006A7284"/>
    <w:rsid w:val="006A72E1"/>
    <w:rsid w:val="006A7776"/>
    <w:rsid w:val="006B1FE8"/>
    <w:rsid w:val="006B4141"/>
    <w:rsid w:val="006B58DD"/>
    <w:rsid w:val="006C19C8"/>
    <w:rsid w:val="006C37D6"/>
    <w:rsid w:val="006C6EF4"/>
    <w:rsid w:val="006D0E9E"/>
    <w:rsid w:val="006D2BE8"/>
    <w:rsid w:val="006D5414"/>
    <w:rsid w:val="006D5BE8"/>
    <w:rsid w:val="006D6577"/>
    <w:rsid w:val="006E02CA"/>
    <w:rsid w:val="006E1196"/>
    <w:rsid w:val="006E18A3"/>
    <w:rsid w:val="006E212B"/>
    <w:rsid w:val="006E5582"/>
    <w:rsid w:val="006E6038"/>
    <w:rsid w:val="006F0033"/>
    <w:rsid w:val="006F3851"/>
    <w:rsid w:val="006F588C"/>
    <w:rsid w:val="006F72E2"/>
    <w:rsid w:val="007004CA"/>
    <w:rsid w:val="00701252"/>
    <w:rsid w:val="00704E6A"/>
    <w:rsid w:val="00706409"/>
    <w:rsid w:val="00706AC5"/>
    <w:rsid w:val="00706FCA"/>
    <w:rsid w:val="0071001E"/>
    <w:rsid w:val="007102E9"/>
    <w:rsid w:val="00710F04"/>
    <w:rsid w:val="00712A46"/>
    <w:rsid w:val="007217B8"/>
    <w:rsid w:val="00721FEB"/>
    <w:rsid w:val="00726156"/>
    <w:rsid w:val="00726D5F"/>
    <w:rsid w:val="00726ECE"/>
    <w:rsid w:val="00727AC2"/>
    <w:rsid w:val="00730529"/>
    <w:rsid w:val="00730851"/>
    <w:rsid w:val="00733EBB"/>
    <w:rsid w:val="00736205"/>
    <w:rsid w:val="0073732F"/>
    <w:rsid w:val="00737F3C"/>
    <w:rsid w:val="00741045"/>
    <w:rsid w:val="00741A5B"/>
    <w:rsid w:val="00743B5A"/>
    <w:rsid w:val="0074519A"/>
    <w:rsid w:val="0074698C"/>
    <w:rsid w:val="00747648"/>
    <w:rsid w:val="007505FB"/>
    <w:rsid w:val="007522D0"/>
    <w:rsid w:val="00752307"/>
    <w:rsid w:val="00755039"/>
    <w:rsid w:val="007565DC"/>
    <w:rsid w:val="00757C43"/>
    <w:rsid w:val="00757EEF"/>
    <w:rsid w:val="007606B2"/>
    <w:rsid w:val="007618E0"/>
    <w:rsid w:val="00762271"/>
    <w:rsid w:val="00762447"/>
    <w:rsid w:val="00762A0C"/>
    <w:rsid w:val="007630C8"/>
    <w:rsid w:val="0076320F"/>
    <w:rsid w:val="00763342"/>
    <w:rsid w:val="00766408"/>
    <w:rsid w:val="007676A8"/>
    <w:rsid w:val="007679E7"/>
    <w:rsid w:val="007679EF"/>
    <w:rsid w:val="00771214"/>
    <w:rsid w:val="00771905"/>
    <w:rsid w:val="00771B49"/>
    <w:rsid w:val="0077383E"/>
    <w:rsid w:val="00773C15"/>
    <w:rsid w:val="007743AE"/>
    <w:rsid w:val="00774957"/>
    <w:rsid w:val="00776042"/>
    <w:rsid w:val="007770CB"/>
    <w:rsid w:val="007805D1"/>
    <w:rsid w:val="00781715"/>
    <w:rsid w:val="007843F0"/>
    <w:rsid w:val="00785A10"/>
    <w:rsid w:val="00786529"/>
    <w:rsid w:val="00791C2F"/>
    <w:rsid w:val="00792060"/>
    <w:rsid w:val="007920E0"/>
    <w:rsid w:val="00793891"/>
    <w:rsid w:val="00797CD5"/>
    <w:rsid w:val="007A34BE"/>
    <w:rsid w:val="007A431A"/>
    <w:rsid w:val="007A5A85"/>
    <w:rsid w:val="007A5BFB"/>
    <w:rsid w:val="007A7B43"/>
    <w:rsid w:val="007A7C45"/>
    <w:rsid w:val="007B2CAA"/>
    <w:rsid w:val="007B33F7"/>
    <w:rsid w:val="007C1EEF"/>
    <w:rsid w:val="007C2227"/>
    <w:rsid w:val="007C2571"/>
    <w:rsid w:val="007C44C4"/>
    <w:rsid w:val="007C47E5"/>
    <w:rsid w:val="007C6548"/>
    <w:rsid w:val="007D08E5"/>
    <w:rsid w:val="007D1932"/>
    <w:rsid w:val="007D5318"/>
    <w:rsid w:val="007E00D1"/>
    <w:rsid w:val="007E035D"/>
    <w:rsid w:val="007E0DFC"/>
    <w:rsid w:val="007E18A3"/>
    <w:rsid w:val="007E1B23"/>
    <w:rsid w:val="007E1F8A"/>
    <w:rsid w:val="007E3807"/>
    <w:rsid w:val="007E600E"/>
    <w:rsid w:val="007E6C8F"/>
    <w:rsid w:val="007E7048"/>
    <w:rsid w:val="007E7D00"/>
    <w:rsid w:val="007E7D26"/>
    <w:rsid w:val="007F0452"/>
    <w:rsid w:val="007F0685"/>
    <w:rsid w:val="007F18F8"/>
    <w:rsid w:val="007F1F7A"/>
    <w:rsid w:val="007F227A"/>
    <w:rsid w:val="007F2865"/>
    <w:rsid w:val="007F3581"/>
    <w:rsid w:val="007F40A4"/>
    <w:rsid w:val="007F4684"/>
    <w:rsid w:val="007F6AAD"/>
    <w:rsid w:val="00802D50"/>
    <w:rsid w:val="008039E7"/>
    <w:rsid w:val="0080512E"/>
    <w:rsid w:val="00805C86"/>
    <w:rsid w:val="00806C1E"/>
    <w:rsid w:val="0080735E"/>
    <w:rsid w:val="008076C3"/>
    <w:rsid w:val="00807D74"/>
    <w:rsid w:val="00810A1F"/>
    <w:rsid w:val="00810FAF"/>
    <w:rsid w:val="008150E1"/>
    <w:rsid w:val="008163C0"/>
    <w:rsid w:val="00817857"/>
    <w:rsid w:val="008216A5"/>
    <w:rsid w:val="00822924"/>
    <w:rsid w:val="0082396B"/>
    <w:rsid w:val="008243FB"/>
    <w:rsid w:val="0083184F"/>
    <w:rsid w:val="00834780"/>
    <w:rsid w:val="00835094"/>
    <w:rsid w:val="00835EBA"/>
    <w:rsid w:val="008366F3"/>
    <w:rsid w:val="00836FDA"/>
    <w:rsid w:val="00837029"/>
    <w:rsid w:val="0084033F"/>
    <w:rsid w:val="00840464"/>
    <w:rsid w:val="00841161"/>
    <w:rsid w:val="00841D4E"/>
    <w:rsid w:val="008438AD"/>
    <w:rsid w:val="008439E5"/>
    <w:rsid w:val="0084428B"/>
    <w:rsid w:val="00844CE0"/>
    <w:rsid w:val="00845FEF"/>
    <w:rsid w:val="008465C5"/>
    <w:rsid w:val="00846B9D"/>
    <w:rsid w:val="00850436"/>
    <w:rsid w:val="00850B7F"/>
    <w:rsid w:val="008510FD"/>
    <w:rsid w:val="00851B1A"/>
    <w:rsid w:val="00854092"/>
    <w:rsid w:val="0085666F"/>
    <w:rsid w:val="008571DE"/>
    <w:rsid w:val="008611D9"/>
    <w:rsid w:val="00864558"/>
    <w:rsid w:val="00867FA8"/>
    <w:rsid w:val="008701B0"/>
    <w:rsid w:val="008701F6"/>
    <w:rsid w:val="00881AAC"/>
    <w:rsid w:val="00882025"/>
    <w:rsid w:val="00884FB1"/>
    <w:rsid w:val="00885A24"/>
    <w:rsid w:val="00886E26"/>
    <w:rsid w:val="00896741"/>
    <w:rsid w:val="008A5659"/>
    <w:rsid w:val="008A7EC4"/>
    <w:rsid w:val="008A7ECF"/>
    <w:rsid w:val="008B17EC"/>
    <w:rsid w:val="008B238D"/>
    <w:rsid w:val="008B24F6"/>
    <w:rsid w:val="008B3017"/>
    <w:rsid w:val="008B707C"/>
    <w:rsid w:val="008B7695"/>
    <w:rsid w:val="008B7EAE"/>
    <w:rsid w:val="008C0434"/>
    <w:rsid w:val="008C11C5"/>
    <w:rsid w:val="008C1E24"/>
    <w:rsid w:val="008C3749"/>
    <w:rsid w:val="008C3AFC"/>
    <w:rsid w:val="008C3B4F"/>
    <w:rsid w:val="008C5992"/>
    <w:rsid w:val="008C64C7"/>
    <w:rsid w:val="008C6F2C"/>
    <w:rsid w:val="008C7513"/>
    <w:rsid w:val="008D258E"/>
    <w:rsid w:val="008D38A6"/>
    <w:rsid w:val="008D441E"/>
    <w:rsid w:val="008D48F2"/>
    <w:rsid w:val="008D4FCC"/>
    <w:rsid w:val="008D4FD1"/>
    <w:rsid w:val="008D79C2"/>
    <w:rsid w:val="008E0CB4"/>
    <w:rsid w:val="008E0E75"/>
    <w:rsid w:val="008E1B7D"/>
    <w:rsid w:val="008E1F7F"/>
    <w:rsid w:val="008E6E94"/>
    <w:rsid w:val="008E7198"/>
    <w:rsid w:val="008E78F2"/>
    <w:rsid w:val="008F060E"/>
    <w:rsid w:val="008F1908"/>
    <w:rsid w:val="008F238B"/>
    <w:rsid w:val="008F4725"/>
    <w:rsid w:val="008F4C2B"/>
    <w:rsid w:val="008F613B"/>
    <w:rsid w:val="008F6292"/>
    <w:rsid w:val="008F6A45"/>
    <w:rsid w:val="00900FCA"/>
    <w:rsid w:val="00901516"/>
    <w:rsid w:val="00902208"/>
    <w:rsid w:val="00902256"/>
    <w:rsid w:val="009024CD"/>
    <w:rsid w:val="00904E9E"/>
    <w:rsid w:val="009050F6"/>
    <w:rsid w:val="00907651"/>
    <w:rsid w:val="00907E7B"/>
    <w:rsid w:val="0091022F"/>
    <w:rsid w:val="00910CE0"/>
    <w:rsid w:val="0091169E"/>
    <w:rsid w:val="00911B12"/>
    <w:rsid w:val="00912A3A"/>
    <w:rsid w:val="00915531"/>
    <w:rsid w:val="00915C22"/>
    <w:rsid w:val="00916F1C"/>
    <w:rsid w:val="00921C56"/>
    <w:rsid w:val="00924018"/>
    <w:rsid w:val="00924DA8"/>
    <w:rsid w:val="009263D1"/>
    <w:rsid w:val="009264BA"/>
    <w:rsid w:val="00926C2C"/>
    <w:rsid w:val="00927221"/>
    <w:rsid w:val="00927249"/>
    <w:rsid w:val="00930237"/>
    <w:rsid w:val="00931493"/>
    <w:rsid w:val="00931FEC"/>
    <w:rsid w:val="00934EC9"/>
    <w:rsid w:val="00936187"/>
    <w:rsid w:val="00936E30"/>
    <w:rsid w:val="009417CC"/>
    <w:rsid w:val="00942A85"/>
    <w:rsid w:val="00942D9C"/>
    <w:rsid w:val="00944F19"/>
    <w:rsid w:val="00946477"/>
    <w:rsid w:val="00950BB0"/>
    <w:rsid w:val="00953B4B"/>
    <w:rsid w:val="00954909"/>
    <w:rsid w:val="00961AE1"/>
    <w:rsid w:val="00962E73"/>
    <w:rsid w:val="00962F65"/>
    <w:rsid w:val="00965321"/>
    <w:rsid w:val="00967114"/>
    <w:rsid w:val="0096716F"/>
    <w:rsid w:val="00967622"/>
    <w:rsid w:val="009711DF"/>
    <w:rsid w:val="009730A5"/>
    <w:rsid w:val="009731B1"/>
    <w:rsid w:val="009742F9"/>
    <w:rsid w:val="00974D20"/>
    <w:rsid w:val="00975258"/>
    <w:rsid w:val="00975BFD"/>
    <w:rsid w:val="009764DF"/>
    <w:rsid w:val="0097657E"/>
    <w:rsid w:val="00981D82"/>
    <w:rsid w:val="00984EA8"/>
    <w:rsid w:val="00986458"/>
    <w:rsid w:val="00990482"/>
    <w:rsid w:val="00990876"/>
    <w:rsid w:val="009926A9"/>
    <w:rsid w:val="009927A7"/>
    <w:rsid w:val="009970B5"/>
    <w:rsid w:val="009A13DE"/>
    <w:rsid w:val="009A1D49"/>
    <w:rsid w:val="009A1EA4"/>
    <w:rsid w:val="009A405F"/>
    <w:rsid w:val="009A4B0D"/>
    <w:rsid w:val="009A5958"/>
    <w:rsid w:val="009A5E24"/>
    <w:rsid w:val="009A6D93"/>
    <w:rsid w:val="009A74D0"/>
    <w:rsid w:val="009A7CD2"/>
    <w:rsid w:val="009B2228"/>
    <w:rsid w:val="009B294F"/>
    <w:rsid w:val="009B3558"/>
    <w:rsid w:val="009B3F47"/>
    <w:rsid w:val="009B47B2"/>
    <w:rsid w:val="009B7379"/>
    <w:rsid w:val="009B7FD0"/>
    <w:rsid w:val="009C3453"/>
    <w:rsid w:val="009C53A9"/>
    <w:rsid w:val="009C5987"/>
    <w:rsid w:val="009C6C2A"/>
    <w:rsid w:val="009D0399"/>
    <w:rsid w:val="009D0445"/>
    <w:rsid w:val="009D269C"/>
    <w:rsid w:val="009D2F88"/>
    <w:rsid w:val="009D3A23"/>
    <w:rsid w:val="009D5A64"/>
    <w:rsid w:val="009E0F05"/>
    <w:rsid w:val="009E2F4A"/>
    <w:rsid w:val="009F2F0F"/>
    <w:rsid w:val="009F365F"/>
    <w:rsid w:val="009F36AD"/>
    <w:rsid w:val="009F3717"/>
    <w:rsid w:val="009F4992"/>
    <w:rsid w:val="009F5B40"/>
    <w:rsid w:val="00A007A8"/>
    <w:rsid w:val="00A014E2"/>
    <w:rsid w:val="00A0171B"/>
    <w:rsid w:val="00A05D8E"/>
    <w:rsid w:val="00A10856"/>
    <w:rsid w:val="00A159F6"/>
    <w:rsid w:val="00A164F8"/>
    <w:rsid w:val="00A21D6D"/>
    <w:rsid w:val="00A22A89"/>
    <w:rsid w:val="00A240A4"/>
    <w:rsid w:val="00A24649"/>
    <w:rsid w:val="00A26106"/>
    <w:rsid w:val="00A263AB"/>
    <w:rsid w:val="00A26A1D"/>
    <w:rsid w:val="00A31AED"/>
    <w:rsid w:val="00A31F41"/>
    <w:rsid w:val="00A33F2A"/>
    <w:rsid w:val="00A35860"/>
    <w:rsid w:val="00A37238"/>
    <w:rsid w:val="00A40B93"/>
    <w:rsid w:val="00A413EC"/>
    <w:rsid w:val="00A415B3"/>
    <w:rsid w:val="00A44099"/>
    <w:rsid w:val="00A4465D"/>
    <w:rsid w:val="00A52A5D"/>
    <w:rsid w:val="00A52CDA"/>
    <w:rsid w:val="00A53A20"/>
    <w:rsid w:val="00A53FFC"/>
    <w:rsid w:val="00A54563"/>
    <w:rsid w:val="00A556D0"/>
    <w:rsid w:val="00A56EC0"/>
    <w:rsid w:val="00A571DE"/>
    <w:rsid w:val="00A57208"/>
    <w:rsid w:val="00A60BBF"/>
    <w:rsid w:val="00A625B6"/>
    <w:rsid w:val="00A62B4C"/>
    <w:rsid w:val="00A63D48"/>
    <w:rsid w:val="00A6698B"/>
    <w:rsid w:val="00A66BC4"/>
    <w:rsid w:val="00A67141"/>
    <w:rsid w:val="00A70A9E"/>
    <w:rsid w:val="00A70DB0"/>
    <w:rsid w:val="00A710AD"/>
    <w:rsid w:val="00A71988"/>
    <w:rsid w:val="00A71A53"/>
    <w:rsid w:val="00A72DED"/>
    <w:rsid w:val="00A81EB4"/>
    <w:rsid w:val="00A9286D"/>
    <w:rsid w:val="00A946A1"/>
    <w:rsid w:val="00A94796"/>
    <w:rsid w:val="00A95237"/>
    <w:rsid w:val="00A95EFD"/>
    <w:rsid w:val="00AA029E"/>
    <w:rsid w:val="00AA1A4F"/>
    <w:rsid w:val="00AA1F57"/>
    <w:rsid w:val="00AA1FC3"/>
    <w:rsid w:val="00AA249B"/>
    <w:rsid w:val="00AA260A"/>
    <w:rsid w:val="00AA4102"/>
    <w:rsid w:val="00AA47C6"/>
    <w:rsid w:val="00AA4CEE"/>
    <w:rsid w:val="00AA516F"/>
    <w:rsid w:val="00AA5340"/>
    <w:rsid w:val="00AA5E33"/>
    <w:rsid w:val="00AA622F"/>
    <w:rsid w:val="00AA63F1"/>
    <w:rsid w:val="00AB00C4"/>
    <w:rsid w:val="00AB0CB5"/>
    <w:rsid w:val="00AB0DDF"/>
    <w:rsid w:val="00AB1B6C"/>
    <w:rsid w:val="00AB23F1"/>
    <w:rsid w:val="00AB2611"/>
    <w:rsid w:val="00AB41B2"/>
    <w:rsid w:val="00AB5DEE"/>
    <w:rsid w:val="00AB5F1F"/>
    <w:rsid w:val="00AB71AF"/>
    <w:rsid w:val="00AB7E27"/>
    <w:rsid w:val="00AC0136"/>
    <w:rsid w:val="00AC19CC"/>
    <w:rsid w:val="00AC1ADC"/>
    <w:rsid w:val="00AC1BDF"/>
    <w:rsid w:val="00AC46A2"/>
    <w:rsid w:val="00AC4B87"/>
    <w:rsid w:val="00AC64B4"/>
    <w:rsid w:val="00AC73EA"/>
    <w:rsid w:val="00AC7F75"/>
    <w:rsid w:val="00AD1F16"/>
    <w:rsid w:val="00AD2076"/>
    <w:rsid w:val="00AD3EA7"/>
    <w:rsid w:val="00AD45BF"/>
    <w:rsid w:val="00AD638F"/>
    <w:rsid w:val="00AD6802"/>
    <w:rsid w:val="00AD6BE4"/>
    <w:rsid w:val="00AE343C"/>
    <w:rsid w:val="00AE56B5"/>
    <w:rsid w:val="00AE618D"/>
    <w:rsid w:val="00AF2449"/>
    <w:rsid w:val="00AF37B8"/>
    <w:rsid w:val="00AF55F6"/>
    <w:rsid w:val="00AF5B83"/>
    <w:rsid w:val="00B0056E"/>
    <w:rsid w:val="00B02F7F"/>
    <w:rsid w:val="00B041B0"/>
    <w:rsid w:val="00B05AC4"/>
    <w:rsid w:val="00B0625A"/>
    <w:rsid w:val="00B07B42"/>
    <w:rsid w:val="00B1095A"/>
    <w:rsid w:val="00B14768"/>
    <w:rsid w:val="00B14EAB"/>
    <w:rsid w:val="00B170DC"/>
    <w:rsid w:val="00B22108"/>
    <w:rsid w:val="00B263A0"/>
    <w:rsid w:val="00B26E8C"/>
    <w:rsid w:val="00B30955"/>
    <w:rsid w:val="00B3290E"/>
    <w:rsid w:val="00B32DD5"/>
    <w:rsid w:val="00B33FCF"/>
    <w:rsid w:val="00B374A7"/>
    <w:rsid w:val="00B37B49"/>
    <w:rsid w:val="00B37EEE"/>
    <w:rsid w:val="00B4174D"/>
    <w:rsid w:val="00B44168"/>
    <w:rsid w:val="00B46AD4"/>
    <w:rsid w:val="00B5049B"/>
    <w:rsid w:val="00B519CA"/>
    <w:rsid w:val="00B55345"/>
    <w:rsid w:val="00B55544"/>
    <w:rsid w:val="00B56086"/>
    <w:rsid w:val="00B56AED"/>
    <w:rsid w:val="00B573B3"/>
    <w:rsid w:val="00B60959"/>
    <w:rsid w:val="00B6147B"/>
    <w:rsid w:val="00B627FC"/>
    <w:rsid w:val="00B63F65"/>
    <w:rsid w:val="00B64941"/>
    <w:rsid w:val="00B65EDE"/>
    <w:rsid w:val="00B67981"/>
    <w:rsid w:val="00B702E8"/>
    <w:rsid w:val="00B72097"/>
    <w:rsid w:val="00B7548D"/>
    <w:rsid w:val="00B76F1E"/>
    <w:rsid w:val="00B820DE"/>
    <w:rsid w:val="00B86B99"/>
    <w:rsid w:val="00B879D3"/>
    <w:rsid w:val="00B87FDD"/>
    <w:rsid w:val="00B9137D"/>
    <w:rsid w:val="00B91481"/>
    <w:rsid w:val="00B92D2E"/>
    <w:rsid w:val="00B92DF5"/>
    <w:rsid w:val="00B92F27"/>
    <w:rsid w:val="00B93194"/>
    <w:rsid w:val="00B94A2C"/>
    <w:rsid w:val="00B961CC"/>
    <w:rsid w:val="00B96B81"/>
    <w:rsid w:val="00BA0263"/>
    <w:rsid w:val="00BA0E3E"/>
    <w:rsid w:val="00BA4BBB"/>
    <w:rsid w:val="00BA7AAD"/>
    <w:rsid w:val="00BA7AD9"/>
    <w:rsid w:val="00BB016A"/>
    <w:rsid w:val="00BB018B"/>
    <w:rsid w:val="00BB0C52"/>
    <w:rsid w:val="00BB1FD2"/>
    <w:rsid w:val="00BB24DE"/>
    <w:rsid w:val="00BB3050"/>
    <w:rsid w:val="00BB3755"/>
    <w:rsid w:val="00BB6A41"/>
    <w:rsid w:val="00BC7670"/>
    <w:rsid w:val="00BD0F52"/>
    <w:rsid w:val="00BD1A11"/>
    <w:rsid w:val="00BD3B63"/>
    <w:rsid w:val="00BD44A7"/>
    <w:rsid w:val="00BD4B4C"/>
    <w:rsid w:val="00BD5DE1"/>
    <w:rsid w:val="00BD72CB"/>
    <w:rsid w:val="00BE0C4C"/>
    <w:rsid w:val="00BE0EC5"/>
    <w:rsid w:val="00BE332D"/>
    <w:rsid w:val="00BE45FF"/>
    <w:rsid w:val="00BE5B29"/>
    <w:rsid w:val="00BF0883"/>
    <w:rsid w:val="00BF102D"/>
    <w:rsid w:val="00BF17A5"/>
    <w:rsid w:val="00BF392C"/>
    <w:rsid w:val="00BF3B11"/>
    <w:rsid w:val="00BF648D"/>
    <w:rsid w:val="00BF7461"/>
    <w:rsid w:val="00C0072E"/>
    <w:rsid w:val="00C00EF6"/>
    <w:rsid w:val="00C02093"/>
    <w:rsid w:val="00C03A83"/>
    <w:rsid w:val="00C05D49"/>
    <w:rsid w:val="00C11DB2"/>
    <w:rsid w:val="00C121A1"/>
    <w:rsid w:val="00C166DF"/>
    <w:rsid w:val="00C169D0"/>
    <w:rsid w:val="00C17242"/>
    <w:rsid w:val="00C23508"/>
    <w:rsid w:val="00C23B37"/>
    <w:rsid w:val="00C23BAC"/>
    <w:rsid w:val="00C26891"/>
    <w:rsid w:val="00C30DC1"/>
    <w:rsid w:val="00C32723"/>
    <w:rsid w:val="00C34341"/>
    <w:rsid w:val="00C34B28"/>
    <w:rsid w:val="00C35C21"/>
    <w:rsid w:val="00C3798D"/>
    <w:rsid w:val="00C41556"/>
    <w:rsid w:val="00C416BD"/>
    <w:rsid w:val="00C44EAA"/>
    <w:rsid w:val="00C46108"/>
    <w:rsid w:val="00C476D2"/>
    <w:rsid w:val="00C510C1"/>
    <w:rsid w:val="00C52E82"/>
    <w:rsid w:val="00C534EA"/>
    <w:rsid w:val="00C54052"/>
    <w:rsid w:val="00C558E6"/>
    <w:rsid w:val="00C6404E"/>
    <w:rsid w:val="00C65E17"/>
    <w:rsid w:val="00C663B5"/>
    <w:rsid w:val="00C671B1"/>
    <w:rsid w:val="00C67487"/>
    <w:rsid w:val="00C70B25"/>
    <w:rsid w:val="00C72566"/>
    <w:rsid w:val="00C734B4"/>
    <w:rsid w:val="00C7509A"/>
    <w:rsid w:val="00C7607C"/>
    <w:rsid w:val="00C76A65"/>
    <w:rsid w:val="00C77D43"/>
    <w:rsid w:val="00C82734"/>
    <w:rsid w:val="00C83B50"/>
    <w:rsid w:val="00C83CEA"/>
    <w:rsid w:val="00C8498A"/>
    <w:rsid w:val="00C84E47"/>
    <w:rsid w:val="00C90200"/>
    <w:rsid w:val="00C9444B"/>
    <w:rsid w:val="00C945BB"/>
    <w:rsid w:val="00C949A1"/>
    <w:rsid w:val="00C95D59"/>
    <w:rsid w:val="00C96508"/>
    <w:rsid w:val="00CA27C9"/>
    <w:rsid w:val="00CA3982"/>
    <w:rsid w:val="00CA4735"/>
    <w:rsid w:val="00CA658B"/>
    <w:rsid w:val="00CA7562"/>
    <w:rsid w:val="00CB014E"/>
    <w:rsid w:val="00CB0541"/>
    <w:rsid w:val="00CB082C"/>
    <w:rsid w:val="00CB33E9"/>
    <w:rsid w:val="00CB60C7"/>
    <w:rsid w:val="00CB66D3"/>
    <w:rsid w:val="00CB68DE"/>
    <w:rsid w:val="00CB6F78"/>
    <w:rsid w:val="00CC123B"/>
    <w:rsid w:val="00CC185D"/>
    <w:rsid w:val="00CC2EFC"/>
    <w:rsid w:val="00CC30A2"/>
    <w:rsid w:val="00CC5063"/>
    <w:rsid w:val="00CC78BF"/>
    <w:rsid w:val="00CC7976"/>
    <w:rsid w:val="00CD2DCE"/>
    <w:rsid w:val="00CD48F2"/>
    <w:rsid w:val="00CD5B8E"/>
    <w:rsid w:val="00CD7741"/>
    <w:rsid w:val="00CE270B"/>
    <w:rsid w:val="00CE44AB"/>
    <w:rsid w:val="00CE5658"/>
    <w:rsid w:val="00CE6C0F"/>
    <w:rsid w:val="00CE6C21"/>
    <w:rsid w:val="00CE7317"/>
    <w:rsid w:val="00CF091C"/>
    <w:rsid w:val="00CF1BA1"/>
    <w:rsid w:val="00CF282F"/>
    <w:rsid w:val="00CF2B49"/>
    <w:rsid w:val="00CF42C9"/>
    <w:rsid w:val="00CF51BA"/>
    <w:rsid w:val="00CF71B1"/>
    <w:rsid w:val="00CF7731"/>
    <w:rsid w:val="00CF7D3C"/>
    <w:rsid w:val="00D004A5"/>
    <w:rsid w:val="00D0088C"/>
    <w:rsid w:val="00D00950"/>
    <w:rsid w:val="00D00B03"/>
    <w:rsid w:val="00D02097"/>
    <w:rsid w:val="00D04616"/>
    <w:rsid w:val="00D05060"/>
    <w:rsid w:val="00D1222E"/>
    <w:rsid w:val="00D154D3"/>
    <w:rsid w:val="00D17044"/>
    <w:rsid w:val="00D171DA"/>
    <w:rsid w:val="00D20C52"/>
    <w:rsid w:val="00D22291"/>
    <w:rsid w:val="00D22852"/>
    <w:rsid w:val="00D24BB8"/>
    <w:rsid w:val="00D273DE"/>
    <w:rsid w:val="00D30271"/>
    <w:rsid w:val="00D30DE3"/>
    <w:rsid w:val="00D31A32"/>
    <w:rsid w:val="00D33EAB"/>
    <w:rsid w:val="00D3407E"/>
    <w:rsid w:val="00D3442C"/>
    <w:rsid w:val="00D34D18"/>
    <w:rsid w:val="00D352BF"/>
    <w:rsid w:val="00D35C3C"/>
    <w:rsid w:val="00D36C6C"/>
    <w:rsid w:val="00D3747B"/>
    <w:rsid w:val="00D42C3A"/>
    <w:rsid w:val="00D472E2"/>
    <w:rsid w:val="00D51B50"/>
    <w:rsid w:val="00D52FC1"/>
    <w:rsid w:val="00D536ED"/>
    <w:rsid w:val="00D53D2A"/>
    <w:rsid w:val="00D53DC2"/>
    <w:rsid w:val="00D5446D"/>
    <w:rsid w:val="00D5753F"/>
    <w:rsid w:val="00D576DE"/>
    <w:rsid w:val="00D57E94"/>
    <w:rsid w:val="00D60BBE"/>
    <w:rsid w:val="00D610F3"/>
    <w:rsid w:val="00D6264D"/>
    <w:rsid w:val="00D62B2A"/>
    <w:rsid w:val="00D62B76"/>
    <w:rsid w:val="00D64E53"/>
    <w:rsid w:val="00D664F4"/>
    <w:rsid w:val="00D67CF0"/>
    <w:rsid w:val="00D718BA"/>
    <w:rsid w:val="00D72075"/>
    <w:rsid w:val="00D7247C"/>
    <w:rsid w:val="00D72A9B"/>
    <w:rsid w:val="00D73010"/>
    <w:rsid w:val="00D736D7"/>
    <w:rsid w:val="00D7439F"/>
    <w:rsid w:val="00D8128B"/>
    <w:rsid w:val="00D8301A"/>
    <w:rsid w:val="00D83161"/>
    <w:rsid w:val="00D8457A"/>
    <w:rsid w:val="00D85BCB"/>
    <w:rsid w:val="00D86DE6"/>
    <w:rsid w:val="00D87860"/>
    <w:rsid w:val="00D906A4"/>
    <w:rsid w:val="00D909C6"/>
    <w:rsid w:val="00D90AA1"/>
    <w:rsid w:val="00D917D1"/>
    <w:rsid w:val="00D92FE9"/>
    <w:rsid w:val="00D971CA"/>
    <w:rsid w:val="00DA0B5A"/>
    <w:rsid w:val="00DA0BD0"/>
    <w:rsid w:val="00DA4A72"/>
    <w:rsid w:val="00DA536F"/>
    <w:rsid w:val="00DA5386"/>
    <w:rsid w:val="00DA5C5F"/>
    <w:rsid w:val="00DB04F7"/>
    <w:rsid w:val="00DB056F"/>
    <w:rsid w:val="00DB31A7"/>
    <w:rsid w:val="00DB47E6"/>
    <w:rsid w:val="00DB4B15"/>
    <w:rsid w:val="00DB5C28"/>
    <w:rsid w:val="00DB7C48"/>
    <w:rsid w:val="00DC148F"/>
    <w:rsid w:val="00DC163A"/>
    <w:rsid w:val="00DC2AB9"/>
    <w:rsid w:val="00DC3352"/>
    <w:rsid w:val="00DC3877"/>
    <w:rsid w:val="00DC39A9"/>
    <w:rsid w:val="00DC56B3"/>
    <w:rsid w:val="00DC6755"/>
    <w:rsid w:val="00DC6E0B"/>
    <w:rsid w:val="00DD041A"/>
    <w:rsid w:val="00DD0867"/>
    <w:rsid w:val="00DD3AF8"/>
    <w:rsid w:val="00DD503F"/>
    <w:rsid w:val="00DD54C2"/>
    <w:rsid w:val="00DD55A3"/>
    <w:rsid w:val="00DD5E02"/>
    <w:rsid w:val="00DD63BD"/>
    <w:rsid w:val="00DD789A"/>
    <w:rsid w:val="00DE0D78"/>
    <w:rsid w:val="00DE44B5"/>
    <w:rsid w:val="00DE53A9"/>
    <w:rsid w:val="00DE5FAB"/>
    <w:rsid w:val="00DF0873"/>
    <w:rsid w:val="00DF1373"/>
    <w:rsid w:val="00DF1F05"/>
    <w:rsid w:val="00DF3A81"/>
    <w:rsid w:val="00DF7299"/>
    <w:rsid w:val="00E01128"/>
    <w:rsid w:val="00E05C0A"/>
    <w:rsid w:val="00E070E0"/>
    <w:rsid w:val="00E106DB"/>
    <w:rsid w:val="00E12341"/>
    <w:rsid w:val="00E12ADE"/>
    <w:rsid w:val="00E13B3B"/>
    <w:rsid w:val="00E143D0"/>
    <w:rsid w:val="00E1795E"/>
    <w:rsid w:val="00E20420"/>
    <w:rsid w:val="00E21457"/>
    <w:rsid w:val="00E25ED3"/>
    <w:rsid w:val="00E2685E"/>
    <w:rsid w:val="00E27D3E"/>
    <w:rsid w:val="00E30747"/>
    <w:rsid w:val="00E329CA"/>
    <w:rsid w:val="00E36CD0"/>
    <w:rsid w:val="00E37C23"/>
    <w:rsid w:val="00E4007D"/>
    <w:rsid w:val="00E44D45"/>
    <w:rsid w:val="00E44D48"/>
    <w:rsid w:val="00E4608B"/>
    <w:rsid w:val="00E468EB"/>
    <w:rsid w:val="00E47C23"/>
    <w:rsid w:val="00E513FC"/>
    <w:rsid w:val="00E51F2C"/>
    <w:rsid w:val="00E5217F"/>
    <w:rsid w:val="00E531D7"/>
    <w:rsid w:val="00E5689A"/>
    <w:rsid w:val="00E61AEF"/>
    <w:rsid w:val="00E61FDD"/>
    <w:rsid w:val="00E620D9"/>
    <w:rsid w:val="00E62767"/>
    <w:rsid w:val="00E636A9"/>
    <w:rsid w:val="00E641A8"/>
    <w:rsid w:val="00E64EB3"/>
    <w:rsid w:val="00E64EDB"/>
    <w:rsid w:val="00E65B1F"/>
    <w:rsid w:val="00E65C44"/>
    <w:rsid w:val="00E66D29"/>
    <w:rsid w:val="00E70164"/>
    <w:rsid w:val="00E71206"/>
    <w:rsid w:val="00E72B1B"/>
    <w:rsid w:val="00E73E19"/>
    <w:rsid w:val="00E7412A"/>
    <w:rsid w:val="00E7465D"/>
    <w:rsid w:val="00E755A4"/>
    <w:rsid w:val="00E75E22"/>
    <w:rsid w:val="00E75ECB"/>
    <w:rsid w:val="00E76AD9"/>
    <w:rsid w:val="00E76E46"/>
    <w:rsid w:val="00E77A47"/>
    <w:rsid w:val="00E77CF3"/>
    <w:rsid w:val="00E81CA0"/>
    <w:rsid w:val="00E8266F"/>
    <w:rsid w:val="00E8269B"/>
    <w:rsid w:val="00E84A84"/>
    <w:rsid w:val="00E85AF1"/>
    <w:rsid w:val="00E90C4F"/>
    <w:rsid w:val="00E9106D"/>
    <w:rsid w:val="00E91386"/>
    <w:rsid w:val="00E9199F"/>
    <w:rsid w:val="00E9244A"/>
    <w:rsid w:val="00E942EF"/>
    <w:rsid w:val="00E945DD"/>
    <w:rsid w:val="00E9733E"/>
    <w:rsid w:val="00EA0122"/>
    <w:rsid w:val="00EA0BB0"/>
    <w:rsid w:val="00EA0CFC"/>
    <w:rsid w:val="00EA4996"/>
    <w:rsid w:val="00EA5028"/>
    <w:rsid w:val="00EB0D6E"/>
    <w:rsid w:val="00EB0DFC"/>
    <w:rsid w:val="00EB1134"/>
    <w:rsid w:val="00EB1203"/>
    <w:rsid w:val="00EB6CE8"/>
    <w:rsid w:val="00EB7B3B"/>
    <w:rsid w:val="00EC6249"/>
    <w:rsid w:val="00EC7053"/>
    <w:rsid w:val="00EC7B77"/>
    <w:rsid w:val="00ED0525"/>
    <w:rsid w:val="00ED10FA"/>
    <w:rsid w:val="00ED2030"/>
    <w:rsid w:val="00ED406C"/>
    <w:rsid w:val="00ED56BD"/>
    <w:rsid w:val="00ED69B4"/>
    <w:rsid w:val="00ED76EE"/>
    <w:rsid w:val="00ED785F"/>
    <w:rsid w:val="00EE005A"/>
    <w:rsid w:val="00EE1074"/>
    <w:rsid w:val="00EE15DB"/>
    <w:rsid w:val="00EE1BCC"/>
    <w:rsid w:val="00EE3CA4"/>
    <w:rsid w:val="00EE6680"/>
    <w:rsid w:val="00EF0218"/>
    <w:rsid w:val="00EF07E4"/>
    <w:rsid w:val="00EF20B0"/>
    <w:rsid w:val="00EF2EA1"/>
    <w:rsid w:val="00EF4487"/>
    <w:rsid w:val="00EF5005"/>
    <w:rsid w:val="00EF67EC"/>
    <w:rsid w:val="00F01151"/>
    <w:rsid w:val="00F01224"/>
    <w:rsid w:val="00F0268A"/>
    <w:rsid w:val="00F02984"/>
    <w:rsid w:val="00F0462A"/>
    <w:rsid w:val="00F04F5F"/>
    <w:rsid w:val="00F1143D"/>
    <w:rsid w:val="00F12A51"/>
    <w:rsid w:val="00F12C79"/>
    <w:rsid w:val="00F14945"/>
    <w:rsid w:val="00F2032A"/>
    <w:rsid w:val="00F2041F"/>
    <w:rsid w:val="00F2103D"/>
    <w:rsid w:val="00F21DC1"/>
    <w:rsid w:val="00F2549E"/>
    <w:rsid w:val="00F26107"/>
    <w:rsid w:val="00F2688C"/>
    <w:rsid w:val="00F3274D"/>
    <w:rsid w:val="00F3365D"/>
    <w:rsid w:val="00F34315"/>
    <w:rsid w:val="00F40068"/>
    <w:rsid w:val="00F40981"/>
    <w:rsid w:val="00F4110D"/>
    <w:rsid w:val="00F41205"/>
    <w:rsid w:val="00F4378A"/>
    <w:rsid w:val="00F444D0"/>
    <w:rsid w:val="00F466E9"/>
    <w:rsid w:val="00F502F5"/>
    <w:rsid w:val="00F572DD"/>
    <w:rsid w:val="00F60F10"/>
    <w:rsid w:val="00F60FC5"/>
    <w:rsid w:val="00F65509"/>
    <w:rsid w:val="00F73BA2"/>
    <w:rsid w:val="00F744A8"/>
    <w:rsid w:val="00F750AB"/>
    <w:rsid w:val="00F82022"/>
    <w:rsid w:val="00F85043"/>
    <w:rsid w:val="00F85AFE"/>
    <w:rsid w:val="00F86174"/>
    <w:rsid w:val="00F97169"/>
    <w:rsid w:val="00FA0B50"/>
    <w:rsid w:val="00FA1636"/>
    <w:rsid w:val="00FA26FC"/>
    <w:rsid w:val="00FA3FB0"/>
    <w:rsid w:val="00FA561D"/>
    <w:rsid w:val="00FA7AC1"/>
    <w:rsid w:val="00FA7CC4"/>
    <w:rsid w:val="00FB54C6"/>
    <w:rsid w:val="00FB5A4B"/>
    <w:rsid w:val="00FC002A"/>
    <w:rsid w:val="00FC0E52"/>
    <w:rsid w:val="00FC1042"/>
    <w:rsid w:val="00FC120E"/>
    <w:rsid w:val="00FC437B"/>
    <w:rsid w:val="00FC4BA2"/>
    <w:rsid w:val="00FC5B9C"/>
    <w:rsid w:val="00FC747B"/>
    <w:rsid w:val="00FD0D4C"/>
    <w:rsid w:val="00FD0E9A"/>
    <w:rsid w:val="00FD13A5"/>
    <w:rsid w:val="00FD1493"/>
    <w:rsid w:val="00FD18F3"/>
    <w:rsid w:val="00FD1FDA"/>
    <w:rsid w:val="00FD282D"/>
    <w:rsid w:val="00FD4FA2"/>
    <w:rsid w:val="00FD6A54"/>
    <w:rsid w:val="00FE1A87"/>
    <w:rsid w:val="00FE288F"/>
    <w:rsid w:val="00FE3585"/>
    <w:rsid w:val="00FE4BEA"/>
    <w:rsid w:val="00FE557F"/>
    <w:rsid w:val="00FE5C98"/>
    <w:rsid w:val="00FE6CA5"/>
    <w:rsid w:val="00FF367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3B48A"/>
  <w15:chartTrackingRefBased/>
  <w15:docId w15:val="{A2449E8D-0771-4724-8AF2-D0FE846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endnote reference"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ootnote Text C"/>
    <w:basedOn w:val="Normal"/>
    <w:link w:val="FootnoteTextChar"/>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uiPriority w:val="99"/>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uiPriority w:val="99"/>
    <w:rsid w:val="00824FE2"/>
    <w:rPr>
      <w:lang w:val="x-none"/>
    </w:rPr>
  </w:style>
  <w:style w:type="character" w:customStyle="1" w:styleId="CommentTextChar">
    <w:name w:val="Comment Text Char"/>
    <w:link w:val="CommentText"/>
    <w:uiPriority w:val="99"/>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EF07E4"/>
    <w:rPr>
      <w:lang w:eastAsia="en-US"/>
    </w:rPr>
  </w:style>
  <w:style w:type="character" w:customStyle="1" w:styleId="style31">
    <w:name w:val="style31"/>
    <w:basedOn w:val="DefaultParagraphFont"/>
    <w:rsid w:val="00207907"/>
  </w:style>
  <w:style w:type="character" w:customStyle="1" w:styleId="sectionlabel">
    <w:name w:val="sectionlabel"/>
    <w:rsid w:val="001B0994"/>
  </w:style>
  <w:style w:type="character" w:customStyle="1" w:styleId="canliisectionwithsubsection">
    <w:name w:val="canlii_section_with_subsection"/>
    <w:rsid w:val="001B0994"/>
  </w:style>
  <w:style w:type="character" w:styleId="Emphasis">
    <w:name w:val="Emphasis"/>
    <w:uiPriority w:val="20"/>
    <w:qFormat/>
    <w:rsid w:val="001B0994"/>
    <w:rPr>
      <w:b/>
      <w:bCs/>
      <w:i w:val="0"/>
      <w:iCs w:val="0"/>
    </w:rPr>
  </w:style>
  <w:style w:type="character" w:customStyle="1" w:styleId="st">
    <w:name w:val="st"/>
    <w:rsid w:val="001B0994"/>
  </w:style>
  <w:style w:type="paragraph" w:customStyle="1" w:styleId="MediumGrid21">
    <w:name w:val="Medium Grid 21"/>
    <w:uiPriority w:val="1"/>
    <w:qFormat/>
    <w:rsid w:val="001B0994"/>
    <w:rPr>
      <w:rFonts w:ascii="Calibri" w:eastAsia="Calibri" w:hAnsi="Calibri"/>
      <w:sz w:val="22"/>
      <w:szCs w:val="22"/>
      <w:lang w:eastAsia="en-US"/>
    </w:rPr>
  </w:style>
  <w:style w:type="character" w:customStyle="1" w:styleId="s6b621b36">
    <w:name w:val="s6b621b36"/>
    <w:rsid w:val="001B0994"/>
  </w:style>
  <w:style w:type="paragraph" w:customStyle="1" w:styleId="ColorfulList-Accent11">
    <w:name w:val="Colorful List - Accent 11"/>
    <w:basedOn w:val="Normal"/>
    <w:uiPriority w:val="34"/>
    <w:qFormat/>
    <w:rsid w:val="001B0994"/>
    <w:pPr>
      <w:suppressAutoHyphens w:val="0"/>
      <w:spacing w:line="240" w:lineRule="auto"/>
      <w:ind w:left="720"/>
      <w:contextualSpacing/>
    </w:pPr>
    <w:rPr>
      <w:rFonts w:ascii="Calibri" w:eastAsia="MS Minngs" w:hAnsi="Calibri"/>
      <w:sz w:val="24"/>
      <w:szCs w:val="24"/>
      <w:lang w:val="en-US"/>
    </w:rPr>
  </w:style>
  <w:style w:type="paragraph" w:styleId="HTMLPreformatted">
    <w:name w:val="HTML Preformatted"/>
    <w:basedOn w:val="Normal"/>
    <w:link w:val="HTMLPreformattedChar"/>
    <w:uiPriority w:val="99"/>
    <w:unhideWhenUsed/>
    <w:rsid w:val="0084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x-none" w:eastAsia="x-none"/>
    </w:rPr>
  </w:style>
  <w:style w:type="character" w:customStyle="1" w:styleId="HTMLPreformattedChar">
    <w:name w:val="HTML Preformatted Char"/>
    <w:link w:val="HTMLPreformatted"/>
    <w:uiPriority w:val="99"/>
    <w:rsid w:val="008438AD"/>
    <w:rPr>
      <w:rFonts w:ascii="Courier New" w:hAnsi="Courier New" w:cs="Courier New"/>
    </w:rPr>
  </w:style>
  <w:style w:type="character" w:customStyle="1" w:styleId="apple-converted-space">
    <w:name w:val="apple-converted-space"/>
    <w:basedOn w:val="DefaultParagraphFont"/>
    <w:rsid w:val="00E73E19"/>
  </w:style>
  <w:style w:type="character" w:customStyle="1" w:styleId="FootnoteTextChar1">
    <w:name w:val="Footnote Text Char1"/>
    <w:aliases w:val="Footnote Reference1 Char1,4_G Char1,Footnote number Char1,ftref Char1,Footnotes refss Char1,Style 10 Char1,5_G Char1,Footnote Text Char Char Char Char Char Char1,Footnote Text Char Char Char Char Char2,Footnote reference Char1"/>
    <w:locked/>
    <w:rsid w:val="00C6404E"/>
    <w:rPr>
      <w:rFonts w:eastAsia="SimSun"/>
      <w:sz w:val="18"/>
      <w:lang w:val="en-US" w:eastAsia="zh-CN"/>
    </w:rPr>
  </w:style>
  <w:style w:type="paragraph" w:customStyle="1" w:styleId="USSamtale-Brdtekst">
    <w:name w:val="US Samtale - Brødtekst"/>
    <w:basedOn w:val="Normal"/>
    <w:uiPriority w:val="99"/>
    <w:rsid w:val="003277C4"/>
    <w:pPr>
      <w:tabs>
        <w:tab w:val="left" w:pos="3402"/>
        <w:tab w:val="left" w:pos="6577"/>
      </w:tabs>
      <w:suppressAutoHyphens w:val="0"/>
      <w:spacing w:after="280" w:line="20" w:lineRule="atLeast"/>
      <w:ind w:left="283"/>
      <w:jc w:val="both"/>
    </w:pPr>
    <w:rPr>
      <w:sz w:val="24"/>
      <w:szCs w:val="24"/>
      <w:lang w:val="da-DK" w:eastAsia="da-DK"/>
    </w:rPr>
  </w:style>
  <w:style w:type="paragraph" w:customStyle="1" w:styleId="FLNBrdtekst">
    <w:name w:val="FLN Brødtekst"/>
    <w:uiPriority w:val="99"/>
    <w:rsid w:val="00111EF0"/>
    <w:pPr>
      <w:spacing w:after="200" w:line="280" w:lineRule="exact"/>
      <w:jc w:val="both"/>
    </w:pPr>
    <w:rPr>
      <w:sz w:val="24"/>
      <w:szCs w:val="24"/>
      <w:lang w:val="da-DK" w:eastAsia="da-DK"/>
    </w:rPr>
  </w:style>
  <w:style w:type="paragraph" w:customStyle="1" w:styleId="MediumGrid22">
    <w:name w:val="Medium Grid 22"/>
    <w:uiPriority w:val="1"/>
    <w:qFormat/>
    <w:rsid w:val="00137696"/>
    <w:rPr>
      <w:rFonts w:ascii="Calibri" w:eastAsia="Calibri" w:hAnsi="Calibri"/>
      <w:sz w:val="22"/>
      <w:szCs w:val="22"/>
      <w:lang w:eastAsia="en-US"/>
    </w:rPr>
  </w:style>
  <w:style w:type="paragraph" w:customStyle="1" w:styleId="SingleTxt">
    <w:name w:val="__Single Txt"/>
    <w:basedOn w:val="Normal"/>
    <w:rsid w:val="004364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styleId="Title">
    <w:name w:val="Title"/>
    <w:basedOn w:val="Normal"/>
    <w:link w:val="TitleChar"/>
    <w:qFormat/>
    <w:rsid w:val="004213D4"/>
    <w:pPr>
      <w:suppressAutoHyphens w:val="0"/>
      <w:spacing w:line="-238" w:lineRule="auto"/>
      <w:jc w:val="center"/>
    </w:pPr>
    <w:rPr>
      <w:b/>
      <w:sz w:val="24"/>
      <w:szCs w:val="24"/>
      <w:lang w:val="en-US"/>
    </w:rPr>
  </w:style>
  <w:style w:type="character" w:customStyle="1" w:styleId="TitleChar">
    <w:name w:val="Title Char"/>
    <w:link w:val="Title"/>
    <w:rsid w:val="004213D4"/>
    <w:rPr>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501">
      <w:bodyDiv w:val="1"/>
      <w:marLeft w:val="0"/>
      <w:marRight w:val="0"/>
      <w:marTop w:val="0"/>
      <w:marBottom w:val="0"/>
      <w:divBdr>
        <w:top w:val="none" w:sz="0" w:space="0" w:color="auto"/>
        <w:left w:val="none" w:sz="0" w:space="0" w:color="auto"/>
        <w:bottom w:val="none" w:sz="0" w:space="0" w:color="auto"/>
        <w:right w:val="none" w:sz="0" w:space="0" w:color="auto"/>
      </w:divBdr>
    </w:div>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96409432">
      <w:bodyDiv w:val="1"/>
      <w:marLeft w:val="0"/>
      <w:marRight w:val="0"/>
      <w:marTop w:val="0"/>
      <w:marBottom w:val="0"/>
      <w:divBdr>
        <w:top w:val="none" w:sz="0" w:space="0" w:color="auto"/>
        <w:left w:val="none" w:sz="0" w:space="0" w:color="auto"/>
        <w:bottom w:val="none" w:sz="0" w:space="0" w:color="auto"/>
        <w:right w:val="none" w:sz="0" w:space="0" w:color="auto"/>
      </w:divBdr>
    </w:div>
    <w:div w:id="119105643">
      <w:bodyDiv w:val="1"/>
      <w:marLeft w:val="0"/>
      <w:marRight w:val="0"/>
      <w:marTop w:val="0"/>
      <w:marBottom w:val="0"/>
      <w:divBdr>
        <w:top w:val="none" w:sz="0" w:space="0" w:color="auto"/>
        <w:left w:val="none" w:sz="0" w:space="0" w:color="auto"/>
        <w:bottom w:val="none" w:sz="0" w:space="0" w:color="auto"/>
        <w:right w:val="none" w:sz="0" w:space="0" w:color="auto"/>
      </w:divBdr>
    </w:div>
    <w:div w:id="288828106">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36310080">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12926352">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33911943">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10509339">
      <w:bodyDiv w:val="1"/>
      <w:marLeft w:val="0"/>
      <w:marRight w:val="0"/>
      <w:marTop w:val="0"/>
      <w:marBottom w:val="0"/>
      <w:divBdr>
        <w:top w:val="none" w:sz="0" w:space="0" w:color="auto"/>
        <w:left w:val="none" w:sz="0" w:space="0" w:color="auto"/>
        <w:bottom w:val="none" w:sz="0" w:space="0" w:color="auto"/>
        <w:right w:val="none" w:sz="0" w:space="0" w:color="auto"/>
      </w:divBdr>
    </w:div>
    <w:div w:id="914557216">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59073691">
      <w:bodyDiv w:val="1"/>
      <w:marLeft w:val="0"/>
      <w:marRight w:val="0"/>
      <w:marTop w:val="0"/>
      <w:marBottom w:val="0"/>
      <w:divBdr>
        <w:top w:val="none" w:sz="0" w:space="0" w:color="auto"/>
        <w:left w:val="none" w:sz="0" w:space="0" w:color="auto"/>
        <w:bottom w:val="none" w:sz="0" w:space="0" w:color="auto"/>
        <w:right w:val="none" w:sz="0" w:space="0" w:color="auto"/>
      </w:divBdr>
    </w:div>
    <w:div w:id="1162769313">
      <w:bodyDiv w:val="1"/>
      <w:marLeft w:val="0"/>
      <w:marRight w:val="0"/>
      <w:marTop w:val="0"/>
      <w:marBottom w:val="0"/>
      <w:divBdr>
        <w:top w:val="none" w:sz="0" w:space="0" w:color="auto"/>
        <w:left w:val="none" w:sz="0" w:space="0" w:color="auto"/>
        <w:bottom w:val="none" w:sz="0" w:space="0" w:color="auto"/>
        <w:right w:val="none" w:sz="0" w:space="0" w:color="auto"/>
      </w:divBdr>
    </w:div>
    <w:div w:id="1269502915">
      <w:bodyDiv w:val="1"/>
      <w:marLeft w:val="0"/>
      <w:marRight w:val="0"/>
      <w:marTop w:val="0"/>
      <w:marBottom w:val="0"/>
      <w:divBdr>
        <w:top w:val="none" w:sz="0" w:space="0" w:color="auto"/>
        <w:left w:val="none" w:sz="0" w:space="0" w:color="auto"/>
        <w:bottom w:val="none" w:sz="0" w:space="0" w:color="auto"/>
        <w:right w:val="none" w:sz="0" w:space="0" w:color="auto"/>
      </w:divBdr>
    </w:div>
    <w:div w:id="1281495075">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05121048">
      <w:bodyDiv w:val="1"/>
      <w:marLeft w:val="0"/>
      <w:marRight w:val="0"/>
      <w:marTop w:val="0"/>
      <w:marBottom w:val="0"/>
      <w:divBdr>
        <w:top w:val="none" w:sz="0" w:space="0" w:color="auto"/>
        <w:left w:val="none" w:sz="0" w:space="0" w:color="auto"/>
        <w:bottom w:val="none" w:sz="0" w:space="0" w:color="auto"/>
        <w:right w:val="none" w:sz="0" w:space="0" w:color="auto"/>
      </w:divBdr>
    </w:div>
    <w:div w:id="1516962681">
      <w:bodyDiv w:val="1"/>
      <w:marLeft w:val="0"/>
      <w:marRight w:val="0"/>
      <w:marTop w:val="0"/>
      <w:marBottom w:val="0"/>
      <w:divBdr>
        <w:top w:val="none" w:sz="0" w:space="0" w:color="auto"/>
        <w:left w:val="none" w:sz="0" w:space="0" w:color="auto"/>
        <w:bottom w:val="none" w:sz="0" w:space="0" w:color="auto"/>
        <w:right w:val="none" w:sz="0" w:space="0" w:color="auto"/>
      </w:divBdr>
    </w:div>
    <w:div w:id="1549950336">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599866970">
      <w:bodyDiv w:val="1"/>
      <w:marLeft w:val="0"/>
      <w:marRight w:val="0"/>
      <w:marTop w:val="0"/>
      <w:marBottom w:val="0"/>
      <w:divBdr>
        <w:top w:val="none" w:sz="0" w:space="0" w:color="auto"/>
        <w:left w:val="none" w:sz="0" w:space="0" w:color="auto"/>
        <w:bottom w:val="none" w:sz="0" w:space="0" w:color="auto"/>
        <w:right w:val="none" w:sz="0" w:space="0" w:color="auto"/>
      </w:divBdr>
    </w:div>
    <w:div w:id="1715425981">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786583513">
      <w:bodyDiv w:val="1"/>
      <w:marLeft w:val="0"/>
      <w:marRight w:val="0"/>
      <w:marTop w:val="0"/>
      <w:marBottom w:val="0"/>
      <w:divBdr>
        <w:top w:val="none" w:sz="0" w:space="0" w:color="auto"/>
        <w:left w:val="none" w:sz="0" w:space="0" w:color="auto"/>
        <w:bottom w:val="none" w:sz="0" w:space="0" w:color="auto"/>
        <w:right w:val="none" w:sz="0" w:space="0" w:color="auto"/>
      </w:divBdr>
    </w:div>
    <w:div w:id="1932346524">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93332-4917-40EB-8875-45CBD19F652A}"/>
</file>

<file path=customXml/itemProps2.xml><?xml version="1.0" encoding="utf-8"?>
<ds:datastoreItem xmlns:ds="http://schemas.openxmlformats.org/officeDocument/2006/customXml" ds:itemID="{A6AADF1A-324A-42C0-BE08-5680FE3DDA7F}"/>
</file>

<file path=customXml/itemProps3.xml><?xml version="1.0" encoding="utf-8"?>
<ds:datastoreItem xmlns:ds="http://schemas.openxmlformats.org/officeDocument/2006/customXml" ds:itemID="{853CBB36-3CE3-45D7-AE95-A6715DA1C2F1}"/>
</file>

<file path=customXml/itemProps4.xml><?xml version="1.0" encoding="utf-8"?>
<ds:datastoreItem xmlns:ds="http://schemas.openxmlformats.org/officeDocument/2006/customXml" ds:itemID="{C9190C42-81D2-4233-B619-354D7BC9B3E5}"/>
</file>

<file path=docProps/app.xml><?xml version="1.0" encoding="utf-8"?>
<Properties xmlns="http://schemas.openxmlformats.org/officeDocument/2006/extended-properties" xmlns:vt="http://schemas.openxmlformats.org/officeDocument/2006/docPropsVTypes">
  <Template>CCPR_E.dotm</Template>
  <TotalTime>1</TotalTime>
  <Pages>10</Pages>
  <Words>4576</Words>
  <Characters>26085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CCPR/C/123/DR/2375/2014</vt:lpstr>
    </vt:vector>
  </TitlesOfParts>
  <Company>CSD</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CCPR/C/123/DR/2375/2014</dc:title>
  <dc:subject>1810787</dc:subject>
  <dc:creator>Generic Pdf eng</dc:creator>
  <cp:keywords/>
  <dc:description/>
  <cp:lastModifiedBy>Marie Araksia Gulsadian</cp:lastModifiedBy>
  <cp:revision>3</cp:revision>
  <cp:lastPrinted>2018-03-12T10:32:00Z</cp:lastPrinted>
  <dcterms:created xsi:type="dcterms:W3CDTF">2018-08-22T15:13:00Z</dcterms:created>
  <dcterms:modified xsi:type="dcterms:W3CDTF">2018-08-22T15:16:00Z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