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46"/>
        <w:tblOverlap w:val="never"/>
        <w:tblW w:w="9639" w:type="dxa"/>
        <w:tblLayout w:type="fixed"/>
        <w:tblCellMar>
          <w:left w:w="0" w:type="dxa"/>
          <w:right w:w="0" w:type="dxa"/>
        </w:tblCellMar>
        <w:tblLook w:val="01E0" w:firstRow="1" w:lastRow="1" w:firstColumn="1" w:lastColumn="1" w:noHBand="0" w:noVBand="0"/>
      </w:tblPr>
      <w:tblGrid>
        <w:gridCol w:w="1276"/>
        <w:gridCol w:w="1843"/>
        <w:gridCol w:w="3685"/>
        <w:gridCol w:w="2835"/>
      </w:tblGrid>
      <w:tr w:rsidR="006F50BD" w:rsidRPr="006B0676" w:rsidTr="007A77B0">
        <w:trPr>
          <w:cantSplit/>
          <w:trHeight w:hRule="exact" w:val="851"/>
        </w:trPr>
        <w:tc>
          <w:tcPr>
            <w:tcW w:w="1276" w:type="dxa"/>
            <w:tcBorders>
              <w:bottom w:val="single" w:sz="4" w:space="0" w:color="auto"/>
            </w:tcBorders>
            <w:vAlign w:val="bottom"/>
          </w:tcPr>
          <w:p w:rsidR="006F50BD" w:rsidRPr="00F40694" w:rsidRDefault="006F50BD" w:rsidP="006F50BD">
            <w:pPr>
              <w:spacing w:after="80" w:line="240" w:lineRule="auto"/>
              <w:rPr>
                <w:lang w:val="fr-CH"/>
              </w:rPr>
            </w:pPr>
          </w:p>
        </w:tc>
        <w:tc>
          <w:tcPr>
            <w:tcW w:w="1843" w:type="dxa"/>
            <w:tcBorders>
              <w:bottom w:val="single" w:sz="4" w:space="0" w:color="auto"/>
            </w:tcBorders>
            <w:vAlign w:val="bottom"/>
          </w:tcPr>
          <w:p w:rsidR="006F50BD" w:rsidRPr="006B0676" w:rsidRDefault="006F50BD" w:rsidP="006F50BD">
            <w:pPr>
              <w:spacing w:after="80" w:line="240" w:lineRule="auto"/>
              <w:rPr>
                <w:b/>
                <w:sz w:val="24"/>
                <w:szCs w:val="24"/>
              </w:rPr>
            </w:pPr>
            <w:r w:rsidRPr="006B0676">
              <w:rPr>
                <w:sz w:val="28"/>
                <w:szCs w:val="28"/>
              </w:rPr>
              <w:t>United Nations</w:t>
            </w:r>
          </w:p>
        </w:tc>
        <w:tc>
          <w:tcPr>
            <w:tcW w:w="6520" w:type="dxa"/>
            <w:gridSpan w:val="2"/>
            <w:tcBorders>
              <w:bottom w:val="single" w:sz="4" w:space="0" w:color="auto"/>
            </w:tcBorders>
            <w:vAlign w:val="bottom"/>
          </w:tcPr>
          <w:p w:rsidR="006F50BD" w:rsidRPr="00CF6C89" w:rsidRDefault="006F50BD" w:rsidP="006F50BD">
            <w:pPr>
              <w:spacing w:line="400" w:lineRule="exact"/>
              <w:jc w:val="right"/>
              <w:rPr>
                <w:sz w:val="40"/>
              </w:rPr>
            </w:pPr>
            <w:r w:rsidRPr="00CF6C89">
              <w:rPr>
                <w:sz w:val="40"/>
                <w:lang w:val="es-ES" w:eastAsia="es-ES"/>
              </w:rPr>
              <w:t>CCPR</w:t>
            </w:r>
            <w:r w:rsidRPr="00CF6C89">
              <w:rPr>
                <w:lang w:val="es-ES" w:eastAsia="es-ES"/>
              </w:rPr>
              <w:t>/C/124/DR/2257/2013</w:t>
            </w:r>
            <w:r>
              <w:rPr>
                <w:lang w:val="es-ES" w:eastAsia="es-ES"/>
              </w:rPr>
              <w:br/>
            </w:r>
            <w:r w:rsidRPr="00CF6C89">
              <w:rPr>
                <w:sz w:val="40"/>
                <w:lang w:val="es-ES" w:eastAsia="es-ES"/>
              </w:rPr>
              <w:t>CCPR</w:t>
            </w:r>
            <w:r w:rsidRPr="00CF6C89">
              <w:t>/C/124/DR/2334/2014</w:t>
            </w:r>
          </w:p>
        </w:tc>
      </w:tr>
      <w:tr w:rsidR="006F50BD" w:rsidRPr="006B0676" w:rsidTr="000B4FDB">
        <w:trPr>
          <w:cantSplit/>
          <w:trHeight w:hRule="exact" w:val="2835"/>
        </w:trPr>
        <w:tc>
          <w:tcPr>
            <w:tcW w:w="1276" w:type="dxa"/>
            <w:tcBorders>
              <w:top w:val="single" w:sz="4" w:space="0" w:color="auto"/>
              <w:bottom w:val="single" w:sz="12" w:space="0" w:color="auto"/>
            </w:tcBorders>
          </w:tcPr>
          <w:p w:rsidR="006F50BD" w:rsidRPr="006B0676" w:rsidRDefault="006F50BD" w:rsidP="006F50BD">
            <w:pPr>
              <w:spacing w:before="120" w:line="240" w:lineRule="auto"/>
            </w:pPr>
            <w:r w:rsidRPr="006B0676">
              <w:rPr>
                <w:noProof/>
                <w:lang w:eastAsia="en-GB"/>
              </w:rPr>
              <w:drawing>
                <wp:inline distT="0" distB="0" distL="0" distR="0" wp14:anchorId="7B6D2926" wp14:editId="25D0A0E6">
                  <wp:extent cx="71818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50BD" w:rsidRDefault="006F50BD" w:rsidP="006F50BD">
            <w:pPr>
              <w:spacing w:before="120" w:line="240" w:lineRule="auto"/>
              <w:rPr>
                <w:b/>
                <w:sz w:val="34"/>
                <w:szCs w:val="40"/>
              </w:rPr>
            </w:pPr>
            <w:r w:rsidRPr="006B0676">
              <w:rPr>
                <w:b/>
                <w:sz w:val="34"/>
                <w:szCs w:val="40"/>
              </w:rPr>
              <w:t>International Covenant on</w:t>
            </w:r>
            <w:r w:rsidRPr="006B0676">
              <w:rPr>
                <w:b/>
                <w:sz w:val="34"/>
                <w:szCs w:val="40"/>
              </w:rPr>
              <w:br/>
              <w:t>Civil and Political Rights</w:t>
            </w:r>
          </w:p>
          <w:p w:rsidR="006F50BD" w:rsidRDefault="006F50BD" w:rsidP="006F50BD">
            <w:pPr>
              <w:spacing w:before="120" w:line="380" w:lineRule="exact"/>
              <w:rPr>
                <w:b/>
                <w:sz w:val="34"/>
                <w:szCs w:val="40"/>
              </w:rPr>
            </w:pPr>
            <w:r>
              <w:rPr>
                <w:sz w:val="34"/>
              </w:rPr>
              <w:t>Advance unedited version</w:t>
            </w:r>
          </w:p>
          <w:p w:rsidR="006F50BD" w:rsidRPr="006B0676" w:rsidRDefault="006F50BD" w:rsidP="006F50BD">
            <w:pPr>
              <w:spacing w:before="120" w:line="240" w:lineRule="auto"/>
              <w:rPr>
                <w:sz w:val="34"/>
              </w:rPr>
            </w:pPr>
          </w:p>
        </w:tc>
        <w:tc>
          <w:tcPr>
            <w:tcW w:w="2835" w:type="dxa"/>
            <w:tcBorders>
              <w:top w:val="single" w:sz="4" w:space="0" w:color="auto"/>
              <w:bottom w:val="single" w:sz="12" w:space="0" w:color="auto"/>
            </w:tcBorders>
          </w:tcPr>
          <w:p w:rsidR="006F50BD" w:rsidRPr="006B0676" w:rsidRDefault="006F50BD" w:rsidP="006F50BD">
            <w:pPr>
              <w:spacing w:before="240" w:line="240" w:lineRule="auto"/>
            </w:pPr>
            <w:r w:rsidRPr="006B0676">
              <w:t xml:space="preserve">Distr.: </w:t>
            </w:r>
            <w:r>
              <w:t>General.</w:t>
            </w:r>
          </w:p>
          <w:p w:rsidR="006F50BD" w:rsidRPr="006B0676" w:rsidRDefault="006F50BD" w:rsidP="006F50BD">
            <w:pPr>
              <w:spacing w:line="240" w:lineRule="auto"/>
            </w:pPr>
            <w:r>
              <w:t>10 May</w:t>
            </w:r>
            <w:r w:rsidRPr="006B0676">
              <w:t xml:space="preserve"> 201</w:t>
            </w:r>
            <w:r>
              <w:t>9</w:t>
            </w:r>
          </w:p>
          <w:p w:rsidR="006F50BD" w:rsidRPr="006B0676" w:rsidRDefault="006F50BD" w:rsidP="006F50BD">
            <w:pPr>
              <w:spacing w:line="240" w:lineRule="auto"/>
            </w:pPr>
          </w:p>
          <w:p w:rsidR="006F50BD" w:rsidRPr="006B0676" w:rsidRDefault="006F50BD" w:rsidP="006F50BD">
            <w:pPr>
              <w:spacing w:line="240" w:lineRule="auto"/>
            </w:pPr>
            <w:r w:rsidRPr="006B0676">
              <w:t>Original: English</w:t>
            </w:r>
          </w:p>
          <w:p w:rsidR="006F50BD" w:rsidRPr="006B0676" w:rsidRDefault="006F50BD" w:rsidP="006F50BD">
            <w:pPr>
              <w:spacing w:line="240" w:lineRule="auto"/>
            </w:pPr>
          </w:p>
        </w:tc>
      </w:tr>
    </w:tbl>
    <w:p w:rsidR="006E0959" w:rsidRPr="00EB1C36" w:rsidRDefault="006E0959" w:rsidP="006E0959">
      <w:pPr>
        <w:spacing w:before="120"/>
        <w:rPr>
          <w:b/>
          <w:sz w:val="24"/>
          <w:szCs w:val="24"/>
        </w:rPr>
      </w:pPr>
      <w:r w:rsidRPr="00EB1C36">
        <w:rPr>
          <w:b/>
          <w:sz w:val="24"/>
          <w:szCs w:val="24"/>
        </w:rPr>
        <w:t>Human Rights Committee</w:t>
      </w:r>
    </w:p>
    <w:p w:rsidR="006E0959" w:rsidRPr="00EB1C36" w:rsidRDefault="006E0959" w:rsidP="006E0959">
      <w:pPr>
        <w:pStyle w:val="HChG"/>
      </w:pPr>
      <w:r w:rsidRPr="00EB1C36">
        <w:tab/>
      </w:r>
      <w:r w:rsidRPr="00EB1C36">
        <w:tab/>
      </w:r>
      <w:r w:rsidR="007C0A24" w:rsidRPr="00D728D5">
        <w:t>Views adopted by the Committee under article 5</w:t>
      </w:r>
      <w:r w:rsidR="007C0A24">
        <w:t xml:space="preserve"> </w:t>
      </w:r>
      <w:r w:rsidR="007C0A24" w:rsidRPr="00D728D5">
        <w:t>(4) of the</w:t>
      </w:r>
      <w:r w:rsidR="007C0A24">
        <w:t> </w:t>
      </w:r>
      <w:r w:rsidR="007C0A24" w:rsidRPr="00D728D5">
        <w:t xml:space="preserve">Optional Protocol, concerning </w:t>
      </w:r>
      <w:r w:rsidR="00136981">
        <w:t>c</w:t>
      </w:r>
      <w:r w:rsidRPr="00EB1C36">
        <w:t>ommunication No</w:t>
      </w:r>
      <w:r w:rsidR="00897690">
        <w:t>s</w:t>
      </w:r>
      <w:r w:rsidRPr="00EB1C36">
        <w:t xml:space="preserve">. </w:t>
      </w:r>
      <w:r w:rsidRPr="008C4067">
        <w:t>2257/2013 and 2334/</w:t>
      </w:r>
      <w:proofErr w:type="gramStart"/>
      <w:r w:rsidRPr="008C4067">
        <w:t>2014</w:t>
      </w:r>
      <w:r w:rsidR="00A63DF7">
        <w:t xml:space="preserve"> </w:t>
      </w:r>
      <w:proofErr w:type="gramEnd"/>
      <w:r w:rsidR="007C0A24" w:rsidRPr="007C0A24">
        <w:rPr>
          <w:rStyle w:val="FootnoteReference"/>
          <w:b w:val="0"/>
          <w:sz w:val="20"/>
          <w:vertAlign w:val="baseline"/>
        </w:rPr>
        <w:footnoteReference w:customMarkFollows="1" w:id="2"/>
        <w:t>*</w:t>
      </w:r>
      <w:r w:rsidR="007C0A24">
        <w:rPr>
          <w:b w:val="0"/>
          <w:sz w:val="20"/>
        </w:rPr>
        <w:t>,</w:t>
      </w:r>
      <w:r w:rsidR="007C0A24" w:rsidRPr="007C0A24">
        <w:rPr>
          <w:rStyle w:val="FootnoteReference"/>
          <w:b w:val="0"/>
          <w:sz w:val="20"/>
          <w:vertAlign w:val="baseline"/>
        </w:rPr>
        <w:footnoteReference w:customMarkFollows="1" w:id="3"/>
        <w:t>**</w:t>
      </w:r>
    </w:p>
    <w:p w:rsidR="006E0959" w:rsidRPr="00320C35" w:rsidRDefault="006E0959">
      <w:pPr>
        <w:pStyle w:val="H1G"/>
      </w:pPr>
      <w:r w:rsidRPr="00EB1C36">
        <w:tab/>
      </w:r>
      <w:r w:rsidRPr="00EB1C36">
        <w:tab/>
      </w:r>
    </w:p>
    <w:p w:rsidR="006E0959" w:rsidRPr="006B0676" w:rsidRDefault="006E0959" w:rsidP="00897690">
      <w:pPr>
        <w:pStyle w:val="SingleTxtG"/>
        <w:ind w:left="4536" w:hanging="3402"/>
        <w:jc w:val="left"/>
        <w:rPr>
          <w:lang w:val="en-GB"/>
        </w:rPr>
      </w:pPr>
      <w:r w:rsidRPr="00EB1C36">
        <w:rPr>
          <w:i/>
        </w:rPr>
        <w:t>Communication submitted by:</w:t>
      </w:r>
      <w:r w:rsidRPr="00EB1C36">
        <w:tab/>
      </w:r>
      <w:proofErr w:type="spellStart"/>
      <w:r w:rsidRPr="006B0676">
        <w:rPr>
          <w:lang w:val="en-GB"/>
        </w:rPr>
        <w:t>Bakhytzhan</w:t>
      </w:r>
      <w:proofErr w:type="spellEnd"/>
      <w:r w:rsidRPr="006B0676">
        <w:rPr>
          <w:lang w:val="en-GB"/>
        </w:rPr>
        <w:t xml:space="preserve"> </w:t>
      </w:r>
      <w:proofErr w:type="spellStart"/>
      <w:r w:rsidRPr="006B0676">
        <w:rPr>
          <w:lang w:val="en-GB"/>
        </w:rPr>
        <w:t>Toregozhina</w:t>
      </w:r>
      <w:proofErr w:type="spellEnd"/>
      <w:r w:rsidRPr="006B0676">
        <w:rPr>
          <w:lang w:val="en-GB"/>
        </w:rPr>
        <w:t xml:space="preserve"> (not represented by counsel</w:t>
      </w:r>
      <w:r>
        <w:rPr>
          <w:lang w:val="en-GB"/>
        </w:rPr>
        <w:t xml:space="preserve"> in communication No. 2257/2013, and </w:t>
      </w:r>
      <w:bookmarkStart w:id="0" w:name="_GoBack"/>
      <w:bookmarkEnd w:id="0"/>
      <w:r>
        <w:rPr>
          <w:lang w:val="en-GB"/>
        </w:rPr>
        <w:t xml:space="preserve">represented by counsel, Anna </w:t>
      </w:r>
      <w:proofErr w:type="spellStart"/>
      <w:r>
        <w:rPr>
          <w:lang w:val="en-GB"/>
        </w:rPr>
        <w:t>Smirnova</w:t>
      </w:r>
      <w:proofErr w:type="spellEnd"/>
      <w:r>
        <w:rPr>
          <w:lang w:val="en-GB"/>
        </w:rPr>
        <w:t>, in communication No. 2334/2014</w:t>
      </w:r>
      <w:r w:rsidRPr="006B0676">
        <w:rPr>
          <w:lang w:val="en-GB"/>
        </w:rPr>
        <w:t>)</w:t>
      </w:r>
    </w:p>
    <w:p w:rsidR="006E0959" w:rsidRPr="00EB1C36" w:rsidRDefault="006E0959" w:rsidP="006E0959">
      <w:pPr>
        <w:pStyle w:val="SingleTxtG"/>
        <w:ind w:left="4536" w:right="521" w:hanging="3402"/>
        <w:jc w:val="left"/>
      </w:pPr>
      <w:r w:rsidRPr="00EB1C36">
        <w:rPr>
          <w:i/>
        </w:rPr>
        <w:t>Alleged victim:</w:t>
      </w:r>
      <w:r w:rsidRPr="00EB1C36">
        <w:tab/>
      </w:r>
      <w:r w:rsidRPr="006B0676">
        <w:rPr>
          <w:lang w:val="en-GB"/>
        </w:rPr>
        <w:t>The author</w:t>
      </w:r>
    </w:p>
    <w:p w:rsidR="006E0959" w:rsidRPr="00EB1C36" w:rsidRDefault="006E0959" w:rsidP="006E0959">
      <w:pPr>
        <w:pStyle w:val="SingleTxtG"/>
        <w:ind w:left="4536" w:right="521" w:hanging="3402"/>
        <w:jc w:val="left"/>
      </w:pPr>
      <w:r w:rsidRPr="00EB1C36">
        <w:rPr>
          <w:i/>
        </w:rPr>
        <w:t>State party:</w:t>
      </w:r>
      <w:r w:rsidRPr="00EB1C36">
        <w:tab/>
      </w:r>
      <w:r w:rsidR="00897690">
        <w:rPr>
          <w:lang w:val="en-GB"/>
        </w:rPr>
        <w:t xml:space="preserve">The Republic of </w:t>
      </w:r>
      <w:r w:rsidRPr="006B0676">
        <w:rPr>
          <w:lang w:val="en-GB"/>
        </w:rPr>
        <w:t>Kazakhstan</w:t>
      </w:r>
    </w:p>
    <w:p w:rsidR="006E0959" w:rsidRPr="006B0676" w:rsidRDefault="006E0959" w:rsidP="00897690">
      <w:pPr>
        <w:pStyle w:val="SingleTxtG"/>
        <w:ind w:left="4536" w:hanging="3402"/>
        <w:jc w:val="left"/>
        <w:rPr>
          <w:lang w:val="en-GB"/>
        </w:rPr>
      </w:pPr>
      <w:r w:rsidRPr="00EB1C36">
        <w:rPr>
          <w:i/>
        </w:rPr>
        <w:t>Date of communication:</w:t>
      </w:r>
      <w:r w:rsidRPr="00EB1C36">
        <w:tab/>
      </w:r>
      <w:r w:rsidRPr="006B0676">
        <w:rPr>
          <w:lang w:val="en-GB"/>
        </w:rPr>
        <w:t>7 November 2012 (2257/2013) and 25</w:t>
      </w:r>
      <w:r w:rsidR="007E1B7A">
        <w:rPr>
          <w:lang w:val="en-GB"/>
        </w:rPr>
        <w:t> </w:t>
      </w:r>
      <w:r w:rsidRPr="006B0676">
        <w:rPr>
          <w:lang w:val="en-GB"/>
        </w:rPr>
        <w:t>September 2013 (2334/2014) (initial submissions)</w:t>
      </w:r>
    </w:p>
    <w:p w:rsidR="006E0959" w:rsidRPr="006B0676" w:rsidRDefault="006E0959" w:rsidP="00897690">
      <w:pPr>
        <w:pStyle w:val="SingleTxtG"/>
        <w:ind w:left="4536" w:hanging="3402"/>
        <w:jc w:val="left"/>
        <w:rPr>
          <w:lang w:val="en-GB"/>
        </w:rPr>
      </w:pPr>
      <w:r w:rsidRPr="00EB1C36">
        <w:rPr>
          <w:i/>
        </w:rPr>
        <w:t>Document references:</w:t>
      </w:r>
      <w:r w:rsidRPr="00EB1C36">
        <w:tab/>
      </w:r>
      <w:r w:rsidRPr="006B0676">
        <w:rPr>
          <w:lang w:val="en-GB"/>
        </w:rPr>
        <w:t>Decisions taken pursuant to rule 97 of the Committee’s rules of procedure, transmitted to the State party on 14 June 2013(2257/2013) and 15 January 2014 (2334/2014) (not issued in document form)</w:t>
      </w:r>
    </w:p>
    <w:p w:rsidR="006E0959" w:rsidRPr="00EB1C36" w:rsidRDefault="006E0959" w:rsidP="006E0959">
      <w:pPr>
        <w:pStyle w:val="SingleTxtG"/>
        <w:ind w:left="4536" w:right="521" w:hanging="3402"/>
        <w:jc w:val="left"/>
      </w:pPr>
      <w:r w:rsidRPr="00EB1C36">
        <w:rPr>
          <w:i/>
        </w:rPr>
        <w:t>Date of adoption of Views:</w:t>
      </w:r>
      <w:r w:rsidRPr="00EB1C36">
        <w:tab/>
      </w:r>
      <w:r w:rsidR="00F40694" w:rsidRPr="00F40694">
        <w:rPr>
          <w:lang w:val="en-GB"/>
        </w:rPr>
        <w:t>1</w:t>
      </w:r>
      <w:r w:rsidR="00F40694">
        <w:rPr>
          <w:lang w:val="en-GB"/>
        </w:rPr>
        <w:t>5</w:t>
      </w:r>
      <w:r w:rsidRPr="00EB1C36">
        <w:t xml:space="preserve"> </w:t>
      </w:r>
      <w:r>
        <w:t>October</w:t>
      </w:r>
      <w:r w:rsidRPr="00EB1C36">
        <w:t xml:space="preserve"> 201</w:t>
      </w:r>
      <w:r>
        <w:t>8</w:t>
      </w:r>
      <w:r w:rsidRPr="00EB1C36">
        <w:t xml:space="preserve"> </w:t>
      </w:r>
    </w:p>
    <w:p w:rsidR="006E0959" w:rsidRPr="006B0676" w:rsidRDefault="006E0959" w:rsidP="00897690">
      <w:pPr>
        <w:pStyle w:val="SingleTxtG"/>
        <w:ind w:left="4536" w:hanging="3402"/>
        <w:jc w:val="left"/>
        <w:rPr>
          <w:lang w:val="en-GB"/>
        </w:rPr>
      </w:pPr>
      <w:r w:rsidRPr="00EB1C36">
        <w:rPr>
          <w:i/>
          <w:iCs/>
        </w:rPr>
        <w:t>Subject matter:</w:t>
      </w:r>
      <w:r w:rsidRPr="00EB1C36">
        <w:tab/>
      </w:r>
      <w:r w:rsidRPr="006B0676">
        <w:rPr>
          <w:lang w:val="en-GB"/>
        </w:rPr>
        <w:t>Preventing the author from participating in peaceful protest</w:t>
      </w:r>
      <w:r>
        <w:rPr>
          <w:lang w:val="en-GB"/>
        </w:rPr>
        <w:t>s</w:t>
      </w:r>
      <w:r w:rsidR="007E1B7A">
        <w:rPr>
          <w:lang w:val="en-GB"/>
        </w:rPr>
        <w:t xml:space="preserve"> </w:t>
      </w:r>
    </w:p>
    <w:p w:rsidR="006E0959" w:rsidRPr="00EB1C36" w:rsidRDefault="006E0959" w:rsidP="006E0959">
      <w:pPr>
        <w:pStyle w:val="SingleTxtG"/>
        <w:ind w:left="4536" w:hanging="3402"/>
        <w:jc w:val="left"/>
      </w:pPr>
      <w:r w:rsidRPr="00EB1C36">
        <w:rPr>
          <w:i/>
          <w:iCs/>
        </w:rPr>
        <w:t>Procedural issue:</w:t>
      </w:r>
      <w:r>
        <w:tab/>
      </w:r>
      <w:r>
        <w:rPr>
          <w:iCs/>
          <w:lang w:val="en-GB"/>
        </w:rPr>
        <w:t>Exhaustion of domestic remedies</w:t>
      </w:r>
    </w:p>
    <w:p w:rsidR="006E0959" w:rsidRPr="006B0676" w:rsidRDefault="006E0959" w:rsidP="00897690">
      <w:pPr>
        <w:pStyle w:val="SingleTxtG"/>
        <w:ind w:left="4536" w:hanging="3402"/>
        <w:jc w:val="left"/>
        <w:rPr>
          <w:iCs/>
          <w:lang w:val="en-GB"/>
        </w:rPr>
      </w:pPr>
      <w:r w:rsidRPr="00EB1C36">
        <w:rPr>
          <w:i/>
          <w:iCs/>
        </w:rPr>
        <w:t xml:space="preserve">Substantive issues: </w:t>
      </w:r>
      <w:r w:rsidRPr="00EB1C36">
        <w:rPr>
          <w:i/>
          <w:iCs/>
        </w:rPr>
        <w:tab/>
      </w:r>
      <w:r w:rsidRPr="006B0676">
        <w:rPr>
          <w:iCs/>
          <w:lang w:val="en-GB"/>
        </w:rPr>
        <w:t>Freedom of expression, freedom of assembly</w:t>
      </w:r>
      <w:r>
        <w:rPr>
          <w:iCs/>
          <w:lang w:val="en-GB"/>
        </w:rPr>
        <w:t>, discrimination</w:t>
      </w:r>
    </w:p>
    <w:p w:rsidR="002A4EA6" w:rsidRPr="006B0676" w:rsidRDefault="002A4EA6" w:rsidP="00123EFE">
      <w:pPr>
        <w:pStyle w:val="SingleTxtG"/>
        <w:ind w:left="4536" w:hanging="3402"/>
        <w:jc w:val="left"/>
        <w:rPr>
          <w:lang w:val="en-GB"/>
        </w:rPr>
      </w:pPr>
      <w:r w:rsidRPr="006B0676">
        <w:rPr>
          <w:i/>
          <w:iCs/>
          <w:lang w:val="en-GB"/>
        </w:rPr>
        <w:t>Articles of the Covenant:</w:t>
      </w:r>
      <w:r w:rsidRPr="006B0676">
        <w:rPr>
          <w:lang w:val="en-GB"/>
        </w:rPr>
        <w:t xml:space="preserve"> </w:t>
      </w:r>
      <w:r w:rsidRPr="006B0676">
        <w:rPr>
          <w:lang w:val="en-GB"/>
        </w:rPr>
        <w:tab/>
      </w:r>
      <w:r w:rsidR="00F27BAB" w:rsidRPr="006B0676">
        <w:rPr>
          <w:lang w:val="en-GB"/>
        </w:rPr>
        <w:t>19</w:t>
      </w:r>
      <w:r w:rsidR="00833A9E">
        <w:rPr>
          <w:lang w:val="en-GB"/>
        </w:rPr>
        <w:t>,</w:t>
      </w:r>
      <w:r w:rsidR="00F27BAB" w:rsidRPr="006B0676">
        <w:rPr>
          <w:lang w:val="en-GB"/>
        </w:rPr>
        <w:t xml:space="preserve"> 21</w:t>
      </w:r>
      <w:r w:rsidR="00833A9E">
        <w:rPr>
          <w:lang w:val="en-GB"/>
        </w:rPr>
        <w:t>, and 26</w:t>
      </w:r>
    </w:p>
    <w:p w:rsidR="002A4EA6" w:rsidRPr="006B0676" w:rsidRDefault="002A4EA6" w:rsidP="002A4EA6">
      <w:pPr>
        <w:pStyle w:val="SingleTxtG"/>
        <w:ind w:left="4536" w:hanging="3402"/>
        <w:jc w:val="left"/>
        <w:rPr>
          <w:iCs/>
          <w:lang w:val="en-GB"/>
        </w:rPr>
      </w:pPr>
      <w:r w:rsidRPr="006B0676">
        <w:rPr>
          <w:i/>
          <w:iCs/>
          <w:lang w:val="en-GB"/>
        </w:rPr>
        <w:t>Articles of the Optional Protocol:</w:t>
      </w:r>
      <w:r w:rsidRPr="006B0676">
        <w:rPr>
          <w:i/>
          <w:iCs/>
          <w:lang w:val="en-GB"/>
        </w:rPr>
        <w:tab/>
      </w:r>
      <w:r w:rsidR="00145510" w:rsidRPr="006B0676">
        <w:rPr>
          <w:iCs/>
          <w:lang w:val="en-GB"/>
        </w:rPr>
        <w:t>5(2</w:t>
      </w:r>
      <w:proofErr w:type="gramStart"/>
      <w:r w:rsidR="00145510" w:rsidRPr="006B0676">
        <w:rPr>
          <w:iCs/>
          <w:lang w:val="en-GB"/>
        </w:rPr>
        <w:t>)(</w:t>
      </w:r>
      <w:proofErr w:type="gramEnd"/>
      <w:r w:rsidR="00145510" w:rsidRPr="006B0676">
        <w:rPr>
          <w:iCs/>
          <w:lang w:val="en-GB"/>
        </w:rPr>
        <w:t>b)</w:t>
      </w:r>
    </w:p>
    <w:p w:rsidR="007C0A24" w:rsidRDefault="007C0A24" w:rsidP="00833A9E">
      <w:pPr>
        <w:pStyle w:val="SingleTxtG"/>
        <w:rPr>
          <w:lang w:val="en-GB"/>
        </w:rPr>
      </w:pPr>
    </w:p>
    <w:p w:rsidR="007C0A24" w:rsidRDefault="007C0A24" w:rsidP="00833A9E">
      <w:pPr>
        <w:pStyle w:val="SingleTxtG"/>
        <w:rPr>
          <w:lang w:val="en-GB"/>
        </w:rPr>
      </w:pPr>
    </w:p>
    <w:p w:rsidR="00833A9E" w:rsidRPr="00833A9E" w:rsidRDefault="002A4EA6" w:rsidP="00833A9E">
      <w:pPr>
        <w:pStyle w:val="SingleTxtG"/>
        <w:rPr>
          <w:lang w:val="en-US"/>
        </w:rPr>
      </w:pPr>
      <w:r w:rsidRPr="006B0676">
        <w:rPr>
          <w:lang w:val="en-GB"/>
        </w:rPr>
        <w:lastRenderedPageBreak/>
        <w:t>1.1</w:t>
      </w:r>
      <w:r w:rsidRPr="006B0676">
        <w:rPr>
          <w:lang w:val="en-GB"/>
        </w:rPr>
        <w:tab/>
      </w:r>
      <w:r w:rsidR="00833A9E">
        <w:rPr>
          <w:lang w:val="en-GB"/>
        </w:rPr>
        <w:t>The author of the communication</w:t>
      </w:r>
      <w:r w:rsidR="001B74E3">
        <w:rPr>
          <w:lang w:val="en-GB"/>
        </w:rPr>
        <w:t>s</w:t>
      </w:r>
      <w:r w:rsidR="00833A9E">
        <w:rPr>
          <w:lang w:val="en-GB"/>
        </w:rPr>
        <w:t xml:space="preserve"> is </w:t>
      </w:r>
      <w:proofErr w:type="spellStart"/>
      <w:r w:rsidR="00833A9E">
        <w:rPr>
          <w:lang w:val="en-GB"/>
        </w:rPr>
        <w:t>Bakhytzhan</w:t>
      </w:r>
      <w:proofErr w:type="spellEnd"/>
      <w:r w:rsidR="00833A9E">
        <w:rPr>
          <w:lang w:val="en-GB"/>
        </w:rPr>
        <w:t xml:space="preserve"> </w:t>
      </w:r>
      <w:proofErr w:type="spellStart"/>
      <w:r w:rsidR="00833A9E">
        <w:rPr>
          <w:lang w:val="en-GB"/>
        </w:rPr>
        <w:t>Toregozhina</w:t>
      </w:r>
      <w:proofErr w:type="spellEnd"/>
      <w:r w:rsidR="00833A9E">
        <w:rPr>
          <w:lang w:val="en-GB"/>
        </w:rPr>
        <w:t xml:space="preserve">, a citizen of Kazakhstan, born in 1962. She claims that the State party violated her rights under articles 19, 21, and 26 of the Covenant. </w:t>
      </w:r>
      <w:r w:rsidR="00833A9E">
        <w:t xml:space="preserve">The Optional Protocol entered into force for the State party on </w:t>
      </w:r>
      <w:r w:rsidR="00833A9E">
        <w:rPr>
          <w:lang w:val="en-GB"/>
        </w:rPr>
        <w:t>30 September</w:t>
      </w:r>
      <w:r w:rsidR="00833A9E">
        <w:t xml:space="preserve"> </w:t>
      </w:r>
      <w:r w:rsidR="00833A9E">
        <w:rPr>
          <w:lang w:val="en-GB"/>
        </w:rPr>
        <w:t xml:space="preserve">2009. </w:t>
      </w:r>
      <w:r w:rsidR="00833A9E">
        <w:t>The author is</w:t>
      </w:r>
      <w:r w:rsidR="00833A9E">
        <w:rPr>
          <w:lang w:val="en-GB"/>
        </w:rPr>
        <w:t xml:space="preserve"> not </w:t>
      </w:r>
      <w:r w:rsidR="00833A9E">
        <w:t xml:space="preserve">represented </w:t>
      </w:r>
      <w:r w:rsidR="00833A9E">
        <w:rPr>
          <w:lang w:val="en-US"/>
        </w:rPr>
        <w:t xml:space="preserve">in communication No. </w:t>
      </w:r>
      <w:r w:rsidR="00833A9E">
        <w:t>2</w:t>
      </w:r>
      <w:r w:rsidR="00833A9E">
        <w:rPr>
          <w:lang w:val="en-US"/>
        </w:rPr>
        <w:t>257/2013, and represented by counsel in communication No. 2334/2014.</w:t>
      </w:r>
    </w:p>
    <w:p w:rsidR="00507237" w:rsidRPr="006B0676" w:rsidRDefault="00507237" w:rsidP="002A4EA6">
      <w:pPr>
        <w:pStyle w:val="SingleTxtG"/>
        <w:spacing w:line="240" w:lineRule="auto"/>
        <w:rPr>
          <w:lang w:val="en-GB"/>
        </w:rPr>
      </w:pPr>
      <w:r w:rsidRPr="006B0676">
        <w:rPr>
          <w:lang w:val="en-GB"/>
        </w:rPr>
        <w:t>1.</w:t>
      </w:r>
      <w:r w:rsidR="00AC43EB" w:rsidRPr="006B0676">
        <w:rPr>
          <w:lang w:val="en-GB"/>
        </w:rPr>
        <w:t>2</w:t>
      </w:r>
      <w:r w:rsidRPr="006B0676">
        <w:rPr>
          <w:lang w:val="en-GB"/>
        </w:rPr>
        <w:tab/>
        <w:t xml:space="preserve">On </w:t>
      </w:r>
      <w:r w:rsidR="00F40694">
        <w:rPr>
          <w:lang w:val="en-GB"/>
        </w:rPr>
        <w:t>15</w:t>
      </w:r>
      <w:r w:rsidRPr="006B0676">
        <w:rPr>
          <w:lang w:val="en-GB"/>
        </w:rPr>
        <w:t xml:space="preserve"> </w:t>
      </w:r>
      <w:r w:rsidR="00AC43EB" w:rsidRPr="006B0676">
        <w:rPr>
          <w:lang w:val="en-GB"/>
        </w:rPr>
        <w:t>October</w:t>
      </w:r>
      <w:r w:rsidRPr="006B0676">
        <w:rPr>
          <w:lang w:val="en-GB"/>
        </w:rPr>
        <w:t xml:space="preserve"> 2018, pursuant to rule 94, paragraph 2, of the Committee’s rules of procedure, the Committee decided to join communications No. </w:t>
      </w:r>
      <w:r w:rsidR="002A4EA6" w:rsidRPr="006B0676">
        <w:rPr>
          <w:lang w:val="en-GB"/>
        </w:rPr>
        <w:t>2</w:t>
      </w:r>
      <w:r w:rsidR="00AC43EB" w:rsidRPr="006B0676">
        <w:rPr>
          <w:lang w:val="en-GB"/>
        </w:rPr>
        <w:t>257/2013</w:t>
      </w:r>
      <w:r w:rsidRPr="006B0676">
        <w:rPr>
          <w:lang w:val="en-GB"/>
        </w:rPr>
        <w:t xml:space="preserve"> and </w:t>
      </w:r>
      <w:r w:rsidR="00AC43EB" w:rsidRPr="006B0676">
        <w:rPr>
          <w:lang w:val="en-GB"/>
        </w:rPr>
        <w:t>2334</w:t>
      </w:r>
      <w:r w:rsidRPr="006B0676">
        <w:rPr>
          <w:lang w:val="en-GB"/>
        </w:rPr>
        <w:t>/201</w:t>
      </w:r>
      <w:r w:rsidR="00AC43EB" w:rsidRPr="006B0676">
        <w:rPr>
          <w:lang w:val="en-GB"/>
        </w:rPr>
        <w:t>4</w:t>
      </w:r>
      <w:r w:rsidRPr="006B0676">
        <w:rPr>
          <w:lang w:val="en-GB"/>
        </w:rPr>
        <w:t xml:space="preserve">, submitted by </w:t>
      </w:r>
      <w:r w:rsidR="0062476F">
        <w:rPr>
          <w:lang w:val="en-GB"/>
        </w:rPr>
        <w:t>the same</w:t>
      </w:r>
      <w:r w:rsidRPr="006B0676">
        <w:rPr>
          <w:lang w:val="en-GB"/>
        </w:rPr>
        <w:t xml:space="preserve"> author, for decision</w:t>
      </w:r>
      <w:r w:rsidR="006A0475" w:rsidRPr="006B0676">
        <w:rPr>
          <w:lang w:val="en-GB"/>
        </w:rPr>
        <w:t>,</w:t>
      </w:r>
      <w:r w:rsidRPr="006B0676">
        <w:rPr>
          <w:lang w:val="en-GB"/>
        </w:rPr>
        <w:t xml:space="preserve"> in view of substantial factual and legal similarity.</w:t>
      </w:r>
    </w:p>
    <w:p w:rsidR="00453EAA" w:rsidRPr="006B0676" w:rsidRDefault="007E1B7A" w:rsidP="007E1B7A">
      <w:pPr>
        <w:pStyle w:val="H23G"/>
      </w:pPr>
      <w:r>
        <w:tab/>
      </w:r>
      <w:r>
        <w:tab/>
      </w:r>
      <w:r w:rsidR="00507237" w:rsidRPr="006B0676">
        <w:t>The facts as submitted by the author</w:t>
      </w:r>
      <w:r w:rsidR="00453EAA" w:rsidRPr="006B0676">
        <w:t xml:space="preserve"> </w:t>
      </w:r>
    </w:p>
    <w:p w:rsidR="00B528FB" w:rsidRPr="006B0676" w:rsidRDefault="007E1B7A" w:rsidP="007E1B7A">
      <w:pPr>
        <w:pStyle w:val="H4G"/>
      </w:pPr>
      <w:r>
        <w:tab/>
      </w:r>
      <w:r>
        <w:tab/>
      </w:r>
      <w:r w:rsidR="00B528FB" w:rsidRPr="006B0676">
        <w:t>2257/2013 (events of 28 April 2012)</w:t>
      </w:r>
    </w:p>
    <w:p w:rsidR="00B528FB" w:rsidRPr="006B0676" w:rsidRDefault="00390737" w:rsidP="00B528FB">
      <w:pPr>
        <w:pStyle w:val="SingleTxtG"/>
        <w:spacing w:line="240" w:lineRule="auto"/>
        <w:rPr>
          <w:rFonts w:ascii="Times" w:hAnsi="Times"/>
          <w:lang w:val="en-GB"/>
        </w:rPr>
      </w:pPr>
      <w:r w:rsidRPr="006B0676">
        <w:rPr>
          <w:rFonts w:ascii="Times" w:hAnsi="Times"/>
          <w:lang w:val="en-GB"/>
        </w:rPr>
        <w:t>2.1</w:t>
      </w:r>
      <w:r w:rsidRPr="006B0676">
        <w:rPr>
          <w:rFonts w:ascii="Times" w:hAnsi="Times"/>
          <w:lang w:val="en-GB"/>
        </w:rPr>
        <w:tab/>
      </w:r>
      <w:r w:rsidR="00B528FB" w:rsidRPr="006B0676">
        <w:rPr>
          <w:rFonts w:ascii="Times" w:hAnsi="Times"/>
          <w:lang w:val="en-GB"/>
        </w:rPr>
        <w:t xml:space="preserve">On 28 April 2012, at </w:t>
      </w:r>
      <w:r w:rsidR="00D726C6" w:rsidRPr="006B0676">
        <w:rPr>
          <w:rFonts w:ascii="Times" w:hAnsi="Times"/>
          <w:lang w:val="en-GB"/>
        </w:rPr>
        <w:t xml:space="preserve">around </w:t>
      </w:r>
      <w:r w:rsidR="00B528FB" w:rsidRPr="006B0676">
        <w:rPr>
          <w:rFonts w:ascii="Times" w:hAnsi="Times"/>
          <w:lang w:val="en-GB"/>
        </w:rPr>
        <w:t>11</w:t>
      </w:r>
      <w:r w:rsidR="00833A9E">
        <w:rPr>
          <w:rFonts w:ascii="Times" w:hAnsi="Times"/>
          <w:lang w:val="en-GB"/>
        </w:rPr>
        <w:t>a.m</w:t>
      </w:r>
      <w:r w:rsidR="00B528FB" w:rsidRPr="006B0676">
        <w:rPr>
          <w:rFonts w:ascii="Times" w:hAnsi="Times"/>
          <w:lang w:val="en-GB"/>
        </w:rPr>
        <w:t xml:space="preserve">., the author </w:t>
      </w:r>
      <w:proofErr w:type="gramStart"/>
      <w:r w:rsidR="00B528FB" w:rsidRPr="006B0676">
        <w:rPr>
          <w:rFonts w:ascii="Times" w:hAnsi="Times"/>
          <w:lang w:val="en-GB"/>
        </w:rPr>
        <w:t>was arrested</w:t>
      </w:r>
      <w:proofErr w:type="gramEnd"/>
      <w:r w:rsidR="00B528FB" w:rsidRPr="006B0676">
        <w:rPr>
          <w:rFonts w:ascii="Times" w:hAnsi="Times"/>
          <w:lang w:val="en-GB"/>
        </w:rPr>
        <w:t xml:space="preserve"> for organizing</w:t>
      </w:r>
      <w:r w:rsidRPr="006B0676">
        <w:rPr>
          <w:rFonts w:ascii="Times" w:hAnsi="Times"/>
          <w:lang w:val="en-GB"/>
        </w:rPr>
        <w:t xml:space="preserve"> an</w:t>
      </w:r>
      <w:r w:rsidR="00B528FB" w:rsidRPr="006B0676">
        <w:rPr>
          <w:rFonts w:ascii="Times" w:hAnsi="Times"/>
          <w:lang w:val="en-GB"/>
        </w:rPr>
        <w:t xml:space="preserve"> unauthorised </w:t>
      </w:r>
      <w:r w:rsidRPr="006B0676">
        <w:rPr>
          <w:rFonts w:ascii="Times" w:hAnsi="Times"/>
          <w:lang w:val="en-GB"/>
        </w:rPr>
        <w:t xml:space="preserve">public </w:t>
      </w:r>
      <w:r w:rsidR="00B528FB" w:rsidRPr="006B0676">
        <w:rPr>
          <w:rFonts w:ascii="Times" w:hAnsi="Times"/>
          <w:lang w:val="en-GB"/>
        </w:rPr>
        <w:t>protest, which was to take place on the same</w:t>
      </w:r>
      <w:r w:rsidR="00833A9E">
        <w:rPr>
          <w:rFonts w:ascii="Times" w:hAnsi="Times"/>
          <w:lang w:val="en-GB"/>
        </w:rPr>
        <w:t xml:space="preserve"> day. The author was planning to voice her protest</w:t>
      </w:r>
      <w:r w:rsidR="00B528FB" w:rsidRPr="006B0676">
        <w:rPr>
          <w:rFonts w:ascii="Times" w:hAnsi="Times"/>
          <w:lang w:val="en-GB"/>
        </w:rPr>
        <w:t xml:space="preserve"> against</w:t>
      </w:r>
      <w:r w:rsidR="00833A9E">
        <w:rPr>
          <w:rFonts w:ascii="Times" w:hAnsi="Times"/>
          <w:lang w:val="en-GB"/>
        </w:rPr>
        <w:t xml:space="preserve"> allegedly</w:t>
      </w:r>
      <w:r w:rsidRPr="006B0676">
        <w:rPr>
          <w:rFonts w:ascii="Times" w:hAnsi="Times"/>
          <w:lang w:val="en-GB"/>
        </w:rPr>
        <w:t xml:space="preserve"> unfair</w:t>
      </w:r>
      <w:r w:rsidR="00B528FB" w:rsidRPr="006B0676">
        <w:rPr>
          <w:rFonts w:ascii="Times" w:hAnsi="Times"/>
          <w:lang w:val="en-GB"/>
        </w:rPr>
        <w:t xml:space="preserve"> court trials of 37 oil workers in </w:t>
      </w:r>
      <w:proofErr w:type="spellStart"/>
      <w:r w:rsidR="00B528FB" w:rsidRPr="006B0676">
        <w:rPr>
          <w:rFonts w:ascii="Times" w:hAnsi="Times"/>
          <w:lang w:val="en-GB"/>
        </w:rPr>
        <w:t>Zhanozen</w:t>
      </w:r>
      <w:proofErr w:type="spellEnd"/>
      <w:r w:rsidR="00B528FB" w:rsidRPr="006B0676">
        <w:rPr>
          <w:rFonts w:ascii="Times" w:hAnsi="Times"/>
          <w:lang w:val="en-GB"/>
        </w:rPr>
        <w:t xml:space="preserve">, </w:t>
      </w:r>
      <w:r w:rsidR="001B74E3">
        <w:rPr>
          <w:rFonts w:ascii="Times" w:hAnsi="Times"/>
          <w:lang w:val="en-GB"/>
        </w:rPr>
        <w:t xml:space="preserve">and </w:t>
      </w:r>
      <w:r w:rsidR="00B528FB" w:rsidRPr="006B0676">
        <w:rPr>
          <w:rFonts w:ascii="Times" w:hAnsi="Times"/>
          <w:lang w:val="en-GB"/>
        </w:rPr>
        <w:t xml:space="preserve">of 12 persons in </w:t>
      </w:r>
      <w:proofErr w:type="spellStart"/>
      <w:r w:rsidR="00B528FB" w:rsidRPr="006B0676">
        <w:rPr>
          <w:rFonts w:ascii="Times" w:hAnsi="Times"/>
          <w:lang w:val="en-GB"/>
        </w:rPr>
        <w:t>Shetpe</w:t>
      </w:r>
      <w:proofErr w:type="spellEnd"/>
      <w:r w:rsidR="00833A9E">
        <w:rPr>
          <w:rFonts w:ascii="Times" w:hAnsi="Times"/>
          <w:lang w:val="en-GB"/>
        </w:rPr>
        <w:t>. She also planned to demand</w:t>
      </w:r>
      <w:r w:rsidR="00B528FB" w:rsidRPr="006B0676">
        <w:rPr>
          <w:rFonts w:ascii="Times" w:hAnsi="Times"/>
          <w:lang w:val="en-GB"/>
        </w:rPr>
        <w:t xml:space="preserve"> the release of all prisoners of conscience</w:t>
      </w:r>
      <w:r w:rsidRPr="006B0676">
        <w:rPr>
          <w:rFonts w:ascii="Times" w:hAnsi="Times"/>
          <w:lang w:val="en-GB"/>
        </w:rPr>
        <w:t xml:space="preserve"> in Kazakhstan</w:t>
      </w:r>
      <w:r w:rsidR="00B528FB" w:rsidRPr="006B0676">
        <w:rPr>
          <w:rFonts w:ascii="Times" w:hAnsi="Times"/>
          <w:lang w:val="en-GB"/>
        </w:rPr>
        <w:t xml:space="preserve">. </w:t>
      </w:r>
      <w:r w:rsidRPr="006B0676">
        <w:rPr>
          <w:rFonts w:ascii="Times" w:hAnsi="Times"/>
          <w:lang w:val="en-GB"/>
        </w:rPr>
        <w:t xml:space="preserve">Upon arrest, the </w:t>
      </w:r>
      <w:r w:rsidR="00833A9E">
        <w:rPr>
          <w:rFonts w:ascii="Times" w:hAnsi="Times"/>
          <w:lang w:val="en-GB"/>
        </w:rPr>
        <w:t xml:space="preserve">author </w:t>
      </w:r>
      <w:proofErr w:type="gramStart"/>
      <w:r w:rsidR="00833A9E">
        <w:rPr>
          <w:rFonts w:ascii="Times" w:hAnsi="Times"/>
          <w:lang w:val="en-GB"/>
        </w:rPr>
        <w:t>was taken</w:t>
      </w:r>
      <w:proofErr w:type="gramEnd"/>
      <w:r w:rsidR="00833A9E">
        <w:rPr>
          <w:rFonts w:ascii="Times" w:hAnsi="Times"/>
          <w:lang w:val="en-GB"/>
        </w:rPr>
        <w:t xml:space="preserve"> to a</w:t>
      </w:r>
      <w:r w:rsidR="00B528FB" w:rsidRPr="006B0676">
        <w:rPr>
          <w:rFonts w:ascii="Times" w:hAnsi="Times"/>
          <w:lang w:val="en-GB"/>
        </w:rPr>
        <w:t xml:space="preserve"> police station in </w:t>
      </w:r>
      <w:r w:rsidR="008E0918">
        <w:rPr>
          <w:rFonts w:ascii="Times" w:hAnsi="Times"/>
          <w:lang w:val="en-GB"/>
        </w:rPr>
        <w:t xml:space="preserve">the city of </w:t>
      </w:r>
      <w:r w:rsidR="00B528FB" w:rsidRPr="006B0676">
        <w:rPr>
          <w:rFonts w:ascii="Times" w:hAnsi="Times"/>
          <w:lang w:val="en-GB"/>
        </w:rPr>
        <w:t xml:space="preserve">Almaty, </w:t>
      </w:r>
      <w:r w:rsidRPr="006B0676">
        <w:rPr>
          <w:rFonts w:ascii="Times" w:hAnsi="Times"/>
          <w:lang w:val="en-GB"/>
        </w:rPr>
        <w:t>making it impossible for her to</w:t>
      </w:r>
      <w:r w:rsidR="00B528FB" w:rsidRPr="006B0676">
        <w:rPr>
          <w:rFonts w:ascii="Times" w:hAnsi="Times"/>
          <w:lang w:val="en-GB"/>
        </w:rPr>
        <w:t xml:space="preserve"> take part in the</w:t>
      </w:r>
      <w:r w:rsidR="00833A9E">
        <w:rPr>
          <w:rFonts w:ascii="Times" w:hAnsi="Times"/>
          <w:lang w:val="en-GB"/>
        </w:rPr>
        <w:t xml:space="preserve"> actual</w:t>
      </w:r>
      <w:r w:rsidR="00B528FB" w:rsidRPr="006B0676">
        <w:rPr>
          <w:rFonts w:ascii="Times" w:hAnsi="Times"/>
          <w:lang w:val="en-GB"/>
        </w:rPr>
        <w:t xml:space="preserve"> protest.</w:t>
      </w:r>
    </w:p>
    <w:p w:rsidR="00B528FB" w:rsidRPr="006B0676" w:rsidRDefault="00B528FB" w:rsidP="00B528FB">
      <w:pPr>
        <w:pStyle w:val="SingleTxtG"/>
        <w:spacing w:line="240" w:lineRule="auto"/>
        <w:rPr>
          <w:rFonts w:ascii="Times" w:hAnsi="Times"/>
          <w:lang w:val="en-GB"/>
        </w:rPr>
      </w:pPr>
      <w:r w:rsidRPr="006B0676">
        <w:rPr>
          <w:rFonts w:ascii="Times" w:hAnsi="Times"/>
          <w:lang w:val="en-GB"/>
        </w:rPr>
        <w:t>2.2</w:t>
      </w:r>
      <w:r w:rsidR="00390737" w:rsidRPr="006B0676">
        <w:rPr>
          <w:rFonts w:ascii="Times" w:hAnsi="Times"/>
          <w:lang w:val="en-GB"/>
        </w:rPr>
        <w:tab/>
      </w:r>
      <w:r w:rsidRPr="006B0676">
        <w:rPr>
          <w:rFonts w:ascii="Times" w:hAnsi="Times"/>
          <w:lang w:val="en-GB"/>
        </w:rPr>
        <w:t xml:space="preserve">On </w:t>
      </w:r>
      <w:r w:rsidR="008E0918">
        <w:rPr>
          <w:rFonts w:ascii="Times" w:hAnsi="Times"/>
          <w:lang w:val="en-GB"/>
        </w:rPr>
        <w:t>the same day</w:t>
      </w:r>
      <w:r w:rsidRPr="006B0676">
        <w:rPr>
          <w:rFonts w:ascii="Times" w:hAnsi="Times"/>
          <w:lang w:val="en-GB"/>
        </w:rPr>
        <w:t>, the Specialized Inter-</w:t>
      </w:r>
      <w:r w:rsidR="008E0918">
        <w:rPr>
          <w:rFonts w:ascii="Times" w:hAnsi="Times"/>
          <w:lang w:val="en-GB"/>
        </w:rPr>
        <w:t>D</w:t>
      </w:r>
      <w:r w:rsidRPr="006B0676">
        <w:rPr>
          <w:rFonts w:ascii="Times" w:hAnsi="Times"/>
          <w:lang w:val="en-GB"/>
        </w:rPr>
        <w:t>istrict Administrative Court</w:t>
      </w:r>
      <w:r w:rsidR="00390737" w:rsidRPr="006B0676">
        <w:rPr>
          <w:rFonts w:ascii="Times" w:hAnsi="Times"/>
          <w:lang w:val="en-GB"/>
        </w:rPr>
        <w:t xml:space="preserve"> of Almaty</w:t>
      </w:r>
      <w:r w:rsidRPr="006B0676">
        <w:rPr>
          <w:rFonts w:ascii="Times" w:hAnsi="Times"/>
          <w:lang w:val="en-GB"/>
        </w:rPr>
        <w:t xml:space="preserve"> found the author guilty of</w:t>
      </w:r>
      <w:r w:rsidR="008E0918">
        <w:rPr>
          <w:rFonts w:ascii="Times" w:hAnsi="Times"/>
          <w:lang w:val="en-GB"/>
        </w:rPr>
        <w:t xml:space="preserve"> an</w:t>
      </w:r>
      <w:r w:rsidRPr="006B0676">
        <w:rPr>
          <w:rFonts w:ascii="Times" w:hAnsi="Times"/>
          <w:lang w:val="en-GB"/>
        </w:rPr>
        <w:t xml:space="preserve"> administrative offence and sentenced her to 15 days in prison.</w:t>
      </w:r>
      <w:r w:rsidR="00390737" w:rsidRPr="006B0676">
        <w:rPr>
          <w:rFonts w:ascii="Times" w:hAnsi="Times"/>
          <w:lang w:val="en-GB"/>
        </w:rPr>
        <w:t xml:space="preserve"> The court in its decision stated that the author applied </w:t>
      </w:r>
      <w:proofErr w:type="gramStart"/>
      <w:r w:rsidR="00390737" w:rsidRPr="006B0676">
        <w:rPr>
          <w:rFonts w:ascii="Times" w:hAnsi="Times"/>
          <w:lang w:val="en-GB"/>
        </w:rPr>
        <w:t>for  permission</w:t>
      </w:r>
      <w:proofErr w:type="gramEnd"/>
      <w:r w:rsidR="00390737" w:rsidRPr="006B0676">
        <w:rPr>
          <w:rFonts w:ascii="Times" w:hAnsi="Times"/>
          <w:lang w:val="en-GB"/>
        </w:rPr>
        <w:t xml:space="preserve"> to organize an event, but that on 20 April 2012, the local authorities refused the permission. Despite this refusal, the author called for a public protest to </w:t>
      </w:r>
      <w:proofErr w:type="gramStart"/>
      <w:r w:rsidR="00390737" w:rsidRPr="006B0676">
        <w:rPr>
          <w:rFonts w:ascii="Times" w:hAnsi="Times"/>
          <w:lang w:val="en-GB"/>
        </w:rPr>
        <w:t>be held</w:t>
      </w:r>
      <w:proofErr w:type="gramEnd"/>
      <w:r w:rsidR="00390737" w:rsidRPr="006B0676">
        <w:rPr>
          <w:rFonts w:ascii="Times" w:hAnsi="Times"/>
          <w:lang w:val="en-GB"/>
        </w:rPr>
        <w:t xml:space="preserve"> near </w:t>
      </w:r>
      <w:proofErr w:type="spellStart"/>
      <w:r w:rsidR="00390737" w:rsidRPr="006B0676">
        <w:rPr>
          <w:rFonts w:ascii="Times" w:hAnsi="Times"/>
          <w:lang w:val="en-GB"/>
        </w:rPr>
        <w:t>Abai</w:t>
      </w:r>
      <w:proofErr w:type="spellEnd"/>
      <w:r w:rsidR="00390737" w:rsidRPr="006B0676">
        <w:rPr>
          <w:rFonts w:ascii="Times" w:hAnsi="Times"/>
          <w:lang w:val="en-GB"/>
        </w:rPr>
        <w:t xml:space="preserve"> monument on 28 April 2012.</w:t>
      </w:r>
      <w:r w:rsidRPr="006B0676">
        <w:rPr>
          <w:rFonts w:ascii="Times" w:hAnsi="Times"/>
          <w:lang w:val="en-GB"/>
        </w:rPr>
        <w:t xml:space="preserve"> The author submits that she </w:t>
      </w:r>
      <w:proofErr w:type="gramStart"/>
      <w:r w:rsidRPr="006B0676">
        <w:rPr>
          <w:rFonts w:ascii="Times" w:hAnsi="Times"/>
          <w:lang w:val="en-GB"/>
        </w:rPr>
        <w:t>had been previously subjected</w:t>
      </w:r>
      <w:proofErr w:type="gramEnd"/>
      <w:r w:rsidRPr="006B0676">
        <w:rPr>
          <w:rFonts w:ascii="Times" w:hAnsi="Times"/>
          <w:lang w:val="en-GB"/>
        </w:rPr>
        <w:t xml:space="preserve"> to administrative fines for organizing and participating in unauthorised protests on 17 January 2012, 25 February 2012 and 24</w:t>
      </w:r>
      <w:r w:rsidR="007E1B7A">
        <w:rPr>
          <w:rFonts w:ascii="Times" w:hAnsi="Times"/>
          <w:lang w:val="en-GB"/>
        </w:rPr>
        <w:t> </w:t>
      </w:r>
      <w:r w:rsidRPr="006B0676">
        <w:rPr>
          <w:rFonts w:ascii="Times" w:hAnsi="Times"/>
          <w:lang w:val="en-GB"/>
        </w:rPr>
        <w:t>March 2012. During one of these protests, the author made a speech contesting the results of parliamentary elections of 15 January 2012.</w:t>
      </w:r>
    </w:p>
    <w:p w:rsidR="00B528FB" w:rsidRPr="006B0676" w:rsidRDefault="00B528FB" w:rsidP="00B528FB">
      <w:pPr>
        <w:pStyle w:val="SingleTxtG"/>
        <w:spacing w:line="240" w:lineRule="auto"/>
        <w:rPr>
          <w:rFonts w:ascii="Times" w:hAnsi="Times"/>
          <w:lang w:val="en-GB"/>
        </w:rPr>
      </w:pPr>
      <w:r w:rsidRPr="006B0676">
        <w:rPr>
          <w:rFonts w:ascii="Times" w:hAnsi="Times"/>
          <w:lang w:val="en-GB"/>
        </w:rPr>
        <w:t>2.3</w:t>
      </w:r>
      <w:r w:rsidR="00390737" w:rsidRPr="006B0676">
        <w:rPr>
          <w:rFonts w:ascii="Times" w:hAnsi="Times"/>
          <w:lang w:val="en-GB"/>
        </w:rPr>
        <w:tab/>
      </w:r>
      <w:r w:rsidRPr="006B0676">
        <w:rPr>
          <w:rFonts w:ascii="Times" w:hAnsi="Times"/>
          <w:lang w:val="en-GB"/>
        </w:rPr>
        <w:t>The author claims tha</w:t>
      </w:r>
      <w:r w:rsidR="00390737" w:rsidRPr="006B0676">
        <w:rPr>
          <w:rFonts w:ascii="Times" w:hAnsi="Times"/>
          <w:lang w:val="en-GB"/>
        </w:rPr>
        <w:t xml:space="preserve">t she </w:t>
      </w:r>
      <w:proofErr w:type="gramStart"/>
      <w:r w:rsidR="00390737" w:rsidRPr="006B0676">
        <w:rPr>
          <w:rFonts w:ascii="Times" w:hAnsi="Times"/>
          <w:lang w:val="en-GB"/>
        </w:rPr>
        <w:t xml:space="preserve">was not </w:t>
      </w:r>
      <w:r w:rsidR="001B74E3">
        <w:rPr>
          <w:rFonts w:ascii="Times" w:hAnsi="Times"/>
          <w:lang w:val="en-GB"/>
        </w:rPr>
        <w:t xml:space="preserve">timely </w:t>
      </w:r>
      <w:r w:rsidR="00390737" w:rsidRPr="006B0676">
        <w:rPr>
          <w:rFonts w:ascii="Times" w:hAnsi="Times"/>
          <w:lang w:val="en-GB"/>
        </w:rPr>
        <w:t>provided</w:t>
      </w:r>
      <w:proofErr w:type="gramEnd"/>
      <w:r w:rsidR="00390737" w:rsidRPr="006B0676">
        <w:rPr>
          <w:rFonts w:ascii="Times" w:hAnsi="Times"/>
          <w:lang w:val="en-GB"/>
        </w:rPr>
        <w:t xml:space="preserve"> with a copy of the</w:t>
      </w:r>
      <w:r w:rsidRPr="006B0676">
        <w:rPr>
          <w:rFonts w:ascii="Times" w:hAnsi="Times"/>
          <w:lang w:val="en-GB"/>
        </w:rPr>
        <w:t xml:space="preserve"> court decision sentencing her to 15 days in prison, which created difficulties in appealing the decision. On 2 May 2012, while </w:t>
      </w:r>
      <w:r w:rsidR="00390737" w:rsidRPr="006B0676">
        <w:rPr>
          <w:rFonts w:ascii="Times" w:hAnsi="Times"/>
          <w:lang w:val="en-GB"/>
        </w:rPr>
        <w:t xml:space="preserve">still </w:t>
      </w:r>
      <w:r w:rsidRPr="006B0676">
        <w:rPr>
          <w:rFonts w:ascii="Times" w:hAnsi="Times"/>
          <w:lang w:val="en-GB"/>
        </w:rPr>
        <w:t xml:space="preserve">in detention, the author managed to file an appeal against the decision to the Almaty City Court. She claims that she could not consult her lawyers for the </w:t>
      </w:r>
      <w:proofErr w:type="gramStart"/>
      <w:r w:rsidRPr="006B0676">
        <w:rPr>
          <w:rFonts w:ascii="Times" w:hAnsi="Times"/>
          <w:lang w:val="en-GB"/>
        </w:rPr>
        <w:t>appeal</w:t>
      </w:r>
      <w:proofErr w:type="gramEnd"/>
      <w:r w:rsidRPr="006B0676">
        <w:rPr>
          <w:rFonts w:ascii="Times" w:hAnsi="Times"/>
          <w:lang w:val="en-GB"/>
        </w:rPr>
        <w:t xml:space="preserve"> as they were not allowed to visit her in the detention centre</w:t>
      </w:r>
      <w:r w:rsidR="001B74E3">
        <w:rPr>
          <w:rFonts w:ascii="Times" w:hAnsi="Times"/>
          <w:lang w:val="en-GB"/>
        </w:rPr>
        <w:t>.</w:t>
      </w:r>
    </w:p>
    <w:p w:rsidR="00B528FB" w:rsidRPr="006B0676" w:rsidRDefault="00B528FB" w:rsidP="00B528FB">
      <w:pPr>
        <w:pStyle w:val="SingleTxtG"/>
        <w:spacing w:line="240" w:lineRule="auto"/>
        <w:rPr>
          <w:rFonts w:ascii="Times" w:hAnsi="Times"/>
          <w:lang w:val="en-GB"/>
        </w:rPr>
      </w:pPr>
      <w:r w:rsidRPr="006B0676">
        <w:rPr>
          <w:rFonts w:ascii="Times" w:hAnsi="Times"/>
          <w:lang w:val="en-GB"/>
        </w:rPr>
        <w:t>2.4</w:t>
      </w:r>
      <w:r w:rsidR="00390737" w:rsidRPr="006B0676">
        <w:rPr>
          <w:rFonts w:ascii="Times" w:hAnsi="Times"/>
          <w:lang w:val="en-GB"/>
        </w:rPr>
        <w:tab/>
      </w:r>
      <w:r w:rsidRPr="006B0676">
        <w:rPr>
          <w:rFonts w:ascii="Times" w:hAnsi="Times"/>
          <w:lang w:val="en-GB"/>
        </w:rPr>
        <w:t xml:space="preserve">In her appeal, the author claimed that the protest of 28 April 2012 was a peaceful protest that did not cause threat to the public order, security, health or morals. On 4 May 2012, the Almaty City Court upheld the decision of the </w:t>
      </w:r>
      <w:r w:rsidR="00833A9E">
        <w:rPr>
          <w:rFonts w:ascii="Times" w:hAnsi="Times"/>
          <w:lang w:val="en-GB"/>
        </w:rPr>
        <w:t>administrative co</w:t>
      </w:r>
      <w:r w:rsidRPr="006B0676">
        <w:rPr>
          <w:rFonts w:ascii="Times" w:hAnsi="Times"/>
          <w:lang w:val="en-GB"/>
        </w:rPr>
        <w:t xml:space="preserve">urt. The author then appealed her sentence to the </w:t>
      </w:r>
      <w:r w:rsidR="00833A9E">
        <w:rPr>
          <w:rFonts w:ascii="Times" w:hAnsi="Times"/>
          <w:lang w:val="en-GB"/>
        </w:rPr>
        <w:t xml:space="preserve">Office of the Prosecutor </w:t>
      </w:r>
      <w:r w:rsidRPr="006B0676">
        <w:rPr>
          <w:rFonts w:ascii="Times" w:hAnsi="Times"/>
          <w:lang w:val="en-GB"/>
        </w:rPr>
        <w:t>General</w:t>
      </w:r>
      <w:r w:rsidR="00833A9E">
        <w:rPr>
          <w:rFonts w:ascii="Times" w:hAnsi="Times"/>
          <w:lang w:val="en-GB"/>
        </w:rPr>
        <w:t>.</w:t>
      </w:r>
      <w:r w:rsidRPr="006B0676">
        <w:rPr>
          <w:rFonts w:ascii="Times" w:hAnsi="Times"/>
          <w:lang w:val="en-GB"/>
        </w:rPr>
        <w:t xml:space="preserve"> In her appeal, she argued that the witness statements used as a basis for her conviction were unconvincing and did not prove her guilt.</w:t>
      </w:r>
    </w:p>
    <w:p w:rsidR="00B528FB" w:rsidRPr="006B0676" w:rsidRDefault="00B528FB" w:rsidP="006F4FC1">
      <w:pPr>
        <w:pStyle w:val="SingleTxtG"/>
        <w:spacing w:line="240" w:lineRule="auto"/>
        <w:rPr>
          <w:rFonts w:ascii="Times" w:hAnsi="Times"/>
          <w:lang w:val="en-GB"/>
        </w:rPr>
      </w:pPr>
      <w:r w:rsidRPr="006B0676">
        <w:rPr>
          <w:rFonts w:ascii="Times" w:hAnsi="Times"/>
          <w:lang w:val="en-GB"/>
        </w:rPr>
        <w:t>2.5</w:t>
      </w:r>
      <w:r w:rsidR="00390737" w:rsidRPr="006B0676">
        <w:rPr>
          <w:rFonts w:ascii="Times" w:hAnsi="Times"/>
          <w:lang w:val="en-GB"/>
        </w:rPr>
        <w:tab/>
      </w:r>
      <w:r w:rsidRPr="006B0676">
        <w:rPr>
          <w:rFonts w:ascii="Times" w:hAnsi="Times"/>
          <w:lang w:val="en-GB"/>
        </w:rPr>
        <w:t xml:space="preserve">The author adds that the Administrative Court wrongly </w:t>
      </w:r>
      <w:r w:rsidR="00833A9E">
        <w:rPr>
          <w:rFonts w:ascii="Times" w:hAnsi="Times"/>
          <w:lang w:val="en-GB"/>
        </w:rPr>
        <w:t>charged</w:t>
      </w:r>
      <w:r w:rsidRPr="006B0676">
        <w:rPr>
          <w:rFonts w:ascii="Times" w:hAnsi="Times"/>
          <w:lang w:val="en-GB"/>
        </w:rPr>
        <w:t xml:space="preserve"> her as the organizer of the protest, while, in fact, the organizer was one </w:t>
      </w:r>
      <w:r w:rsidR="006F4FC1">
        <w:rPr>
          <w:rFonts w:ascii="Times" w:hAnsi="Times"/>
          <w:lang w:val="en-GB"/>
        </w:rPr>
        <w:t>Mr M.</w:t>
      </w:r>
      <w:r w:rsidRPr="006B0676">
        <w:rPr>
          <w:rFonts w:ascii="Times" w:hAnsi="Times"/>
          <w:lang w:val="en-GB"/>
        </w:rPr>
        <w:t>, who applied to</w:t>
      </w:r>
      <w:r w:rsidR="006F4FC1">
        <w:rPr>
          <w:rFonts w:ascii="Times" w:hAnsi="Times"/>
          <w:lang w:val="en-GB"/>
        </w:rPr>
        <w:t xml:space="preserve"> the </w:t>
      </w:r>
      <w:r w:rsidR="00833A9E">
        <w:rPr>
          <w:rFonts w:ascii="Times" w:hAnsi="Times"/>
          <w:lang w:val="en-GB"/>
        </w:rPr>
        <w:t>Almaty city authorities</w:t>
      </w:r>
      <w:r w:rsidR="006F4FC1">
        <w:rPr>
          <w:rFonts w:ascii="Times" w:hAnsi="Times"/>
          <w:lang w:val="en-GB"/>
        </w:rPr>
        <w:t xml:space="preserve"> for a permission</w:t>
      </w:r>
      <w:r w:rsidRPr="006B0676">
        <w:rPr>
          <w:rFonts w:ascii="Times" w:hAnsi="Times"/>
          <w:lang w:val="en-GB"/>
        </w:rPr>
        <w:t xml:space="preserve"> to organize the protest in the first place. The author claims that she only expressed her support for the protest in her speech on 17 April 2012. She claims that at the time of her speech, there was no response from the </w:t>
      </w:r>
      <w:r w:rsidR="00833A9E">
        <w:rPr>
          <w:rFonts w:ascii="Times" w:hAnsi="Times"/>
          <w:lang w:val="en-GB"/>
        </w:rPr>
        <w:t>city authorities</w:t>
      </w:r>
      <w:r w:rsidRPr="006B0676">
        <w:rPr>
          <w:rFonts w:ascii="Times" w:hAnsi="Times"/>
          <w:lang w:val="en-GB"/>
        </w:rPr>
        <w:t xml:space="preserve"> yet. Therefore, she could not have called the public to take part in an “unauthorized” protest. </w:t>
      </w:r>
      <w:r w:rsidR="006F4FC1">
        <w:rPr>
          <w:rFonts w:ascii="Times" w:hAnsi="Times"/>
          <w:lang w:val="en-GB"/>
        </w:rPr>
        <w:t>A</w:t>
      </w:r>
      <w:r w:rsidRPr="006B0676">
        <w:rPr>
          <w:rFonts w:ascii="Times" w:hAnsi="Times"/>
          <w:lang w:val="en-GB"/>
        </w:rPr>
        <w:t xml:space="preserve">ccording to the </w:t>
      </w:r>
      <w:r w:rsidR="006F4FC1">
        <w:rPr>
          <w:rFonts w:ascii="Times" w:hAnsi="Times"/>
          <w:lang w:val="en-GB"/>
        </w:rPr>
        <w:t>c</w:t>
      </w:r>
      <w:r w:rsidRPr="006B0676">
        <w:rPr>
          <w:rFonts w:ascii="Times" w:hAnsi="Times"/>
          <w:lang w:val="en-GB"/>
        </w:rPr>
        <w:t>ourt</w:t>
      </w:r>
      <w:r w:rsidR="006F4FC1">
        <w:rPr>
          <w:rFonts w:ascii="Times" w:hAnsi="Times"/>
          <w:lang w:val="en-GB"/>
        </w:rPr>
        <w:t xml:space="preserve"> decision,</w:t>
      </w:r>
      <w:r w:rsidRPr="006B0676">
        <w:rPr>
          <w:rFonts w:ascii="Times" w:hAnsi="Times"/>
          <w:lang w:val="en-GB"/>
        </w:rPr>
        <w:t xml:space="preserve"> she encouraged the public to participat</w:t>
      </w:r>
      <w:r w:rsidR="006F4FC1">
        <w:rPr>
          <w:rFonts w:ascii="Times" w:hAnsi="Times"/>
          <w:lang w:val="en-GB"/>
        </w:rPr>
        <w:t>e in the protest via internet</w:t>
      </w:r>
      <w:r w:rsidRPr="006B0676">
        <w:rPr>
          <w:rFonts w:ascii="Times" w:hAnsi="Times"/>
          <w:lang w:val="en-GB"/>
        </w:rPr>
        <w:t xml:space="preserve">, which is </w:t>
      </w:r>
      <w:proofErr w:type="gramStart"/>
      <w:r w:rsidRPr="006B0676">
        <w:rPr>
          <w:rFonts w:ascii="Times" w:hAnsi="Times"/>
          <w:lang w:val="en-GB"/>
        </w:rPr>
        <w:t>not</w:t>
      </w:r>
      <w:proofErr w:type="gramEnd"/>
      <w:r w:rsidRPr="006B0676">
        <w:rPr>
          <w:rFonts w:ascii="Times" w:hAnsi="Times"/>
          <w:lang w:val="en-GB"/>
        </w:rPr>
        <w:t xml:space="preserve"> true and the </w:t>
      </w:r>
      <w:r w:rsidR="006F4FC1">
        <w:rPr>
          <w:rFonts w:ascii="Times" w:hAnsi="Times"/>
          <w:lang w:val="en-GB"/>
        </w:rPr>
        <w:t>c</w:t>
      </w:r>
      <w:r w:rsidRPr="006B0676">
        <w:rPr>
          <w:rFonts w:ascii="Times" w:hAnsi="Times"/>
          <w:lang w:val="en-GB"/>
        </w:rPr>
        <w:t xml:space="preserve">ourt did not </w:t>
      </w:r>
      <w:r w:rsidR="006F4FC1">
        <w:rPr>
          <w:rFonts w:ascii="Times" w:hAnsi="Times"/>
          <w:lang w:val="en-GB"/>
        </w:rPr>
        <w:t xml:space="preserve">provide </w:t>
      </w:r>
      <w:r w:rsidRPr="006B0676">
        <w:rPr>
          <w:rFonts w:ascii="Times" w:hAnsi="Times"/>
          <w:lang w:val="en-GB"/>
        </w:rPr>
        <w:t xml:space="preserve">any evidence in reaching </w:t>
      </w:r>
      <w:r w:rsidR="006F4FC1">
        <w:rPr>
          <w:rFonts w:ascii="Times" w:hAnsi="Times"/>
          <w:lang w:val="en-GB"/>
        </w:rPr>
        <w:t>this conclusion. Al</w:t>
      </w:r>
      <w:r w:rsidRPr="006B0676">
        <w:rPr>
          <w:rFonts w:ascii="Times" w:hAnsi="Times"/>
          <w:lang w:val="en-GB"/>
        </w:rPr>
        <w:t xml:space="preserve">though she </w:t>
      </w:r>
      <w:proofErr w:type="gramStart"/>
      <w:r w:rsidRPr="006B0676">
        <w:rPr>
          <w:rFonts w:ascii="Times" w:hAnsi="Times"/>
          <w:lang w:val="en-GB"/>
        </w:rPr>
        <w:t>was arrested</w:t>
      </w:r>
      <w:proofErr w:type="gramEnd"/>
      <w:r w:rsidRPr="006B0676">
        <w:rPr>
          <w:rFonts w:ascii="Times" w:hAnsi="Times"/>
          <w:lang w:val="en-GB"/>
        </w:rPr>
        <w:t xml:space="preserve"> at 11 a.m., the term of her sentence started at 7 p.m. on 28 April 2012, eight hours later, contradicting the national law, which prescribes that the administrative detention should count from the moment of arrest</w:t>
      </w:r>
      <w:r w:rsidR="001B74E3">
        <w:rPr>
          <w:rFonts w:ascii="Times" w:hAnsi="Times"/>
          <w:lang w:val="en-GB"/>
        </w:rPr>
        <w:t>.</w:t>
      </w:r>
      <w:r w:rsidRPr="006B0676">
        <w:rPr>
          <w:rFonts w:ascii="Times" w:hAnsi="Times"/>
          <w:lang w:val="en-GB"/>
        </w:rPr>
        <w:t xml:space="preserve"> </w:t>
      </w:r>
    </w:p>
    <w:p w:rsidR="00B528FB" w:rsidRPr="006B0676" w:rsidRDefault="00390737" w:rsidP="00B528FB">
      <w:pPr>
        <w:pStyle w:val="SingleTxtG"/>
        <w:spacing w:line="240" w:lineRule="auto"/>
        <w:rPr>
          <w:rFonts w:ascii="Times" w:hAnsi="Times"/>
          <w:lang w:val="en-GB"/>
        </w:rPr>
      </w:pPr>
      <w:r w:rsidRPr="006B0676">
        <w:rPr>
          <w:rFonts w:ascii="Times" w:hAnsi="Times"/>
          <w:lang w:val="en-GB"/>
        </w:rPr>
        <w:t>2.6</w:t>
      </w:r>
      <w:r w:rsidRPr="006B0676">
        <w:rPr>
          <w:rFonts w:ascii="Times" w:hAnsi="Times"/>
          <w:lang w:val="en-GB"/>
        </w:rPr>
        <w:tab/>
      </w:r>
      <w:r w:rsidR="00B528FB" w:rsidRPr="006B0676">
        <w:rPr>
          <w:rFonts w:ascii="Times" w:hAnsi="Times"/>
          <w:lang w:val="en-GB"/>
        </w:rPr>
        <w:t>On 29 May 2012, the General Prosecutor’s office forwarded her appeal to the Almaty City Prosecutor’s Office, which dismissed her appeal on 13 June 2012.</w:t>
      </w:r>
    </w:p>
    <w:p w:rsidR="00B528FB" w:rsidRPr="006B0676" w:rsidRDefault="007E1B7A" w:rsidP="007E1B7A">
      <w:pPr>
        <w:pStyle w:val="H4G"/>
      </w:pPr>
      <w:r>
        <w:tab/>
      </w:r>
      <w:r>
        <w:tab/>
      </w:r>
      <w:r w:rsidR="00B528FB" w:rsidRPr="006B0676">
        <w:t>2334/2014 (events concerning 30 July 2012)</w:t>
      </w:r>
    </w:p>
    <w:p w:rsidR="00B528FB" w:rsidRPr="006B0676" w:rsidRDefault="00B528FB" w:rsidP="00B528FB">
      <w:pPr>
        <w:pStyle w:val="SingleTxtG"/>
        <w:spacing w:line="240" w:lineRule="auto"/>
        <w:rPr>
          <w:rFonts w:ascii="Times" w:hAnsi="Times"/>
          <w:lang w:val="en-GB"/>
        </w:rPr>
      </w:pPr>
      <w:r w:rsidRPr="006B0676">
        <w:rPr>
          <w:rFonts w:ascii="Times" w:hAnsi="Times"/>
          <w:lang w:val="en-GB"/>
        </w:rPr>
        <w:t>2.</w:t>
      </w:r>
      <w:r w:rsidR="00F80BDA">
        <w:rPr>
          <w:rFonts w:ascii="Times" w:hAnsi="Times"/>
          <w:lang w:val="en-GB"/>
        </w:rPr>
        <w:t>7</w:t>
      </w:r>
      <w:r w:rsidRPr="006B0676">
        <w:rPr>
          <w:rFonts w:ascii="Times" w:hAnsi="Times"/>
          <w:lang w:val="en-GB"/>
        </w:rPr>
        <w:tab/>
        <w:t xml:space="preserve">On 19 July 2012, the author submitted a request to the Almaty </w:t>
      </w:r>
      <w:r w:rsidR="006F4FC1">
        <w:rPr>
          <w:rFonts w:ascii="Times" w:hAnsi="Times"/>
          <w:lang w:val="en-GB"/>
        </w:rPr>
        <w:t>city authorities</w:t>
      </w:r>
      <w:r w:rsidRPr="006B0676">
        <w:rPr>
          <w:rFonts w:ascii="Times" w:hAnsi="Times"/>
          <w:lang w:val="en-GB"/>
        </w:rPr>
        <w:t xml:space="preserve"> f</w:t>
      </w:r>
      <w:r w:rsidR="006F4FC1">
        <w:rPr>
          <w:rFonts w:ascii="Times" w:hAnsi="Times"/>
          <w:lang w:val="en-GB"/>
        </w:rPr>
        <w:t>or an authorization of a one-person</w:t>
      </w:r>
      <w:r w:rsidRPr="006B0676">
        <w:rPr>
          <w:rFonts w:ascii="Times" w:hAnsi="Times"/>
          <w:lang w:val="en-GB"/>
        </w:rPr>
        <w:t xml:space="preserve"> picket</w:t>
      </w:r>
      <w:r w:rsidR="00833A9E">
        <w:rPr>
          <w:rFonts w:ascii="Times" w:hAnsi="Times"/>
          <w:lang w:val="en-GB"/>
        </w:rPr>
        <w:t xml:space="preserve"> </w:t>
      </w:r>
      <w:r w:rsidR="00833A9E" w:rsidRPr="006B0676">
        <w:rPr>
          <w:rFonts w:ascii="Times" w:hAnsi="Times"/>
          <w:lang w:val="en-GB"/>
        </w:rPr>
        <w:t>on 30 July 2012, from 11:00 to 12:00, on the Republic square, ne</w:t>
      </w:r>
      <w:r w:rsidR="00833A9E">
        <w:rPr>
          <w:rFonts w:ascii="Times" w:hAnsi="Times"/>
          <w:lang w:val="en-GB"/>
        </w:rPr>
        <w:t>ar the Monument of Independence. The author was planning to voice her</w:t>
      </w:r>
      <w:r w:rsidRPr="006B0676">
        <w:rPr>
          <w:rFonts w:ascii="Times" w:hAnsi="Times"/>
          <w:lang w:val="en-GB"/>
        </w:rPr>
        <w:t xml:space="preserve"> support </w:t>
      </w:r>
      <w:r w:rsidR="00833A9E">
        <w:rPr>
          <w:rFonts w:ascii="Times" w:hAnsi="Times"/>
          <w:lang w:val="en-GB"/>
        </w:rPr>
        <w:t xml:space="preserve">for </w:t>
      </w:r>
      <w:r w:rsidRPr="006B0676">
        <w:rPr>
          <w:rFonts w:ascii="Times" w:hAnsi="Times"/>
          <w:lang w:val="en-GB"/>
        </w:rPr>
        <w:t>the “International Friendship Day”</w:t>
      </w:r>
      <w:r w:rsidR="00833A9E">
        <w:rPr>
          <w:rFonts w:ascii="Times" w:hAnsi="Times"/>
          <w:lang w:val="en-GB"/>
        </w:rPr>
        <w:t>.</w:t>
      </w:r>
      <w:r w:rsidRPr="006B0676">
        <w:rPr>
          <w:rFonts w:ascii="Times" w:hAnsi="Times"/>
          <w:lang w:val="en-GB"/>
        </w:rPr>
        <w:t xml:space="preserve"> On 24 Ju</w:t>
      </w:r>
      <w:r w:rsidR="00833A9E">
        <w:rPr>
          <w:rFonts w:ascii="Times" w:hAnsi="Times"/>
          <w:lang w:val="en-GB"/>
        </w:rPr>
        <w:t>ly 2012, the author received a</w:t>
      </w:r>
      <w:r w:rsidRPr="006B0676">
        <w:rPr>
          <w:rFonts w:ascii="Times" w:hAnsi="Times"/>
          <w:lang w:val="en-GB"/>
        </w:rPr>
        <w:t xml:space="preserve"> </w:t>
      </w:r>
      <w:r w:rsidR="006F4FC1">
        <w:rPr>
          <w:rFonts w:ascii="Times" w:hAnsi="Times"/>
          <w:lang w:val="en-GB"/>
        </w:rPr>
        <w:t xml:space="preserve">refusal from </w:t>
      </w:r>
      <w:r w:rsidR="006F4FC1">
        <w:rPr>
          <w:rFonts w:ascii="Times" w:hAnsi="Times"/>
          <w:lang w:val="en-GB"/>
        </w:rPr>
        <w:lastRenderedPageBreak/>
        <w:t xml:space="preserve">city authorities. The decision referred to the previous decision, dated </w:t>
      </w:r>
      <w:r w:rsidR="006F4FC1" w:rsidRPr="006B0676">
        <w:rPr>
          <w:rFonts w:ascii="Times" w:hAnsi="Times"/>
          <w:lang w:val="en-GB"/>
        </w:rPr>
        <w:t>29 July 2005</w:t>
      </w:r>
      <w:r w:rsidR="006F4FC1">
        <w:rPr>
          <w:rFonts w:ascii="Times" w:hAnsi="Times"/>
          <w:lang w:val="en-GB"/>
        </w:rPr>
        <w:t>, adopted by Almaty city council (</w:t>
      </w:r>
      <w:r w:rsidR="0065604C">
        <w:rPr>
          <w:rFonts w:ascii="Times" w:hAnsi="Times"/>
          <w:lang w:val="en-GB"/>
        </w:rPr>
        <w:t>“</w:t>
      </w:r>
      <w:proofErr w:type="spellStart"/>
      <w:r w:rsidR="006F4FC1">
        <w:rPr>
          <w:rFonts w:ascii="Times" w:hAnsi="Times"/>
          <w:lang w:val="en-GB"/>
        </w:rPr>
        <w:t>maslikhat</w:t>
      </w:r>
      <w:proofErr w:type="spellEnd"/>
      <w:r w:rsidR="0065604C">
        <w:rPr>
          <w:rFonts w:ascii="Times" w:hAnsi="Times"/>
          <w:lang w:val="en-GB"/>
        </w:rPr>
        <w:t>”</w:t>
      </w:r>
      <w:r w:rsidR="006F4FC1">
        <w:rPr>
          <w:rFonts w:ascii="Times" w:hAnsi="Times"/>
          <w:lang w:val="en-GB"/>
        </w:rPr>
        <w:t xml:space="preserve">) to allow </w:t>
      </w:r>
      <w:r w:rsidRPr="006B0676">
        <w:rPr>
          <w:rFonts w:ascii="Times" w:hAnsi="Times"/>
          <w:lang w:val="en-GB"/>
        </w:rPr>
        <w:t xml:space="preserve">the organization of all non-governmental </w:t>
      </w:r>
      <w:r w:rsidR="0065604C">
        <w:rPr>
          <w:rFonts w:ascii="Times" w:hAnsi="Times"/>
          <w:lang w:val="en-GB"/>
        </w:rPr>
        <w:t xml:space="preserve">public events or </w:t>
      </w:r>
      <w:r w:rsidRPr="006B0676">
        <w:rPr>
          <w:rFonts w:ascii="Times" w:hAnsi="Times"/>
          <w:lang w:val="en-GB"/>
        </w:rPr>
        <w:t xml:space="preserve">meetings of </w:t>
      </w:r>
      <w:r w:rsidR="006F4FC1">
        <w:rPr>
          <w:rFonts w:ascii="Times" w:hAnsi="Times"/>
          <w:lang w:val="en-GB"/>
        </w:rPr>
        <w:t>“</w:t>
      </w:r>
      <w:r w:rsidRPr="006B0676">
        <w:rPr>
          <w:rFonts w:ascii="Times" w:hAnsi="Times"/>
          <w:lang w:val="en-GB"/>
        </w:rPr>
        <w:t>soci</w:t>
      </w:r>
      <w:r w:rsidR="006F4FC1">
        <w:rPr>
          <w:rFonts w:ascii="Times" w:hAnsi="Times"/>
          <w:lang w:val="en-GB"/>
        </w:rPr>
        <w:t xml:space="preserve">al and </w:t>
      </w:r>
      <w:r w:rsidRPr="006B0676">
        <w:rPr>
          <w:rFonts w:ascii="Times" w:hAnsi="Times"/>
          <w:lang w:val="en-GB"/>
        </w:rPr>
        <w:t>political nature</w:t>
      </w:r>
      <w:r w:rsidR="006F4FC1">
        <w:rPr>
          <w:rFonts w:ascii="Times" w:hAnsi="Times"/>
          <w:lang w:val="en-GB"/>
        </w:rPr>
        <w:t>”</w:t>
      </w:r>
      <w:r w:rsidR="0065604C">
        <w:rPr>
          <w:rFonts w:ascii="Times" w:hAnsi="Times"/>
          <w:lang w:val="en-GB"/>
        </w:rPr>
        <w:t xml:space="preserve"> to be held</w:t>
      </w:r>
      <w:r w:rsidR="007E1B7A">
        <w:rPr>
          <w:rFonts w:ascii="Times" w:hAnsi="Times"/>
          <w:lang w:val="en-GB"/>
        </w:rPr>
        <w:t xml:space="preserve"> </w:t>
      </w:r>
      <w:r w:rsidR="006F4FC1">
        <w:rPr>
          <w:rFonts w:ascii="Times" w:hAnsi="Times"/>
          <w:lang w:val="en-GB"/>
        </w:rPr>
        <w:t>at</w:t>
      </w:r>
      <w:r w:rsidRPr="006B0676">
        <w:rPr>
          <w:rFonts w:ascii="Times" w:hAnsi="Times"/>
          <w:lang w:val="en-GB"/>
        </w:rPr>
        <w:t xml:space="preserve"> the square behind the </w:t>
      </w:r>
      <w:r w:rsidR="00B23624" w:rsidRPr="006B0676">
        <w:rPr>
          <w:rFonts w:ascii="Times" w:hAnsi="Times"/>
          <w:lang w:val="en-GB"/>
        </w:rPr>
        <w:t>“</w:t>
      </w:r>
      <w:proofErr w:type="spellStart"/>
      <w:r w:rsidRPr="006B0676">
        <w:rPr>
          <w:rFonts w:ascii="Times" w:hAnsi="Times"/>
          <w:lang w:val="en-GB"/>
        </w:rPr>
        <w:t>Sary</w:t>
      </w:r>
      <w:proofErr w:type="spellEnd"/>
      <w:r w:rsidR="00B23624" w:rsidRPr="006B0676">
        <w:rPr>
          <w:rFonts w:ascii="Times" w:hAnsi="Times"/>
          <w:lang w:val="en-GB"/>
        </w:rPr>
        <w:t xml:space="preserve"> </w:t>
      </w:r>
      <w:proofErr w:type="spellStart"/>
      <w:r w:rsidRPr="006B0676">
        <w:rPr>
          <w:rFonts w:ascii="Times" w:hAnsi="Times"/>
          <w:lang w:val="en-GB"/>
        </w:rPr>
        <w:t>Arka</w:t>
      </w:r>
      <w:proofErr w:type="spellEnd"/>
      <w:r w:rsidRPr="006B0676">
        <w:rPr>
          <w:rFonts w:ascii="Times" w:hAnsi="Times"/>
          <w:lang w:val="en-GB"/>
        </w:rPr>
        <w:t>”</w:t>
      </w:r>
      <w:r w:rsidR="00B23624" w:rsidRPr="006B0676">
        <w:rPr>
          <w:rFonts w:ascii="Times" w:hAnsi="Times"/>
          <w:lang w:val="en-GB"/>
        </w:rPr>
        <w:t xml:space="preserve"> cinema</w:t>
      </w:r>
      <w:r w:rsidRPr="006B0676">
        <w:rPr>
          <w:rFonts w:ascii="Times" w:hAnsi="Times"/>
          <w:lang w:val="en-GB"/>
        </w:rPr>
        <w:t xml:space="preserve">. </w:t>
      </w:r>
    </w:p>
    <w:p w:rsidR="006F4FC1" w:rsidRDefault="00B528FB" w:rsidP="00B528FB">
      <w:pPr>
        <w:pStyle w:val="SingleTxtG"/>
        <w:spacing w:line="240" w:lineRule="auto"/>
        <w:rPr>
          <w:rFonts w:ascii="Times" w:hAnsi="Times"/>
          <w:lang w:val="en-GB"/>
        </w:rPr>
      </w:pPr>
      <w:r w:rsidRPr="006B0676">
        <w:rPr>
          <w:rFonts w:ascii="Times" w:hAnsi="Times"/>
          <w:lang w:val="en-GB"/>
        </w:rPr>
        <w:t>2.</w:t>
      </w:r>
      <w:r w:rsidR="00F80BDA">
        <w:rPr>
          <w:rFonts w:ascii="Times" w:hAnsi="Times"/>
          <w:lang w:val="en-GB"/>
        </w:rPr>
        <w:t>8</w:t>
      </w:r>
      <w:r w:rsidRPr="006B0676">
        <w:rPr>
          <w:rFonts w:ascii="Times" w:hAnsi="Times"/>
          <w:lang w:val="en-GB"/>
        </w:rPr>
        <w:tab/>
        <w:t xml:space="preserve">On 20 August 2012, the author submitted a claim to the District Court of Almaty under article 27 of the Civil Procedure Code of the Republic of Kazakhstan and </w:t>
      </w:r>
      <w:proofErr w:type="gramStart"/>
      <w:r w:rsidRPr="006B0676">
        <w:rPr>
          <w:rFonts w:ascii="Times" w:hAnsi="Times"/>
          <w:lang w:val="en-GB"/>
        </w:rPr>
        <w:t xml:space="preserve">asked  </w:t>
      </w:r>
      <w:r w:rsidR="0065604C">
        <w:rPr>
          <w:rFonts w:ascii="Times" w:hAnsi="Times"/>
          <w:lang w:val="en-GB"/>
        </w:rPr>
        <w:t>the</w:t>
      </w:r>
      <w:proofErr w:type="gramEnd"/>
      <w:r w:rsidR="0065604C">
        <w:rPr>
          <w:rFonts w:ascii="Times" w:hAnsi="Times"/>
          <w:lang w:val="en-GB"/>
        </w:rPr>
        <w:t xml:space="preserve"> court to find</w:t>
      </w:r>
      <w:r w:rsidRPr="006B0676">
        <w:rPr>
          <w:rFonts w:ascii="Times" w:hAnsi="Times"/>
          <w:lang w:val="en-GB"/>
        </w:rPr>
        <w:t xml:space="preserve"> the refusal to grant permission of 24 July 2012 as inconsistent with the Covenant and international practice concerning the right</w:t>
      </w:r>
      <w:r w:rsidR="0065604C">
        <w:rPr>
          <w:rFonts w:ascii="Times" w:hAnsi="Times"/>
          <w:lang w:val="en-GB"/>
        </w:rPr>
        <w:t>s</w:t>
      </w:r>
      <w:r w:rsidRPr="006B0676">
        <w:rPr>
          <w:rFonts w:ascii="Times" w:hAnsi="Times"/>
          <w:lang w:val="en-GB"/>
        </w:rPr>
        <w:t xml:space="preserve"> to peaceful assembly</w:t>
      </w:r>
      <w:r w:rsidR="006F4FC1">
        <w:rPr>
          <w:rFonts w:ascii="Times" w:hAnsi="Times"/>
          <w:lang w:val="en-GB"/>
        </w:rPr>
        <w:t>.</w:t>
      </w:r>
      <w:r w:rsidR="007E1B7A">
        <w:rPr>
          <w:rFonts w:ascii="Times" w:hAnsi="Times"/>
          <w:lang w:val="en-GB"/>
        </w:rPr>
        <w:t xml:space="preserve"> </w:t>
      </w:r>
    </w:p>
    <w:p w:rsidR="00B528FB" w:rsidRPr="006B0676" w:rsidRDefault="00B528FB" w:rsidP="00B528FB">
      <w:pPr>
        <w:pStyle w:val="SingleTxtG"/>
        <w:spacing w:line="240" w:lineRule="auto"/>
        <w:rPr>
          <w:rFonts w:ascii="Times" w:hAnsi="Times"/>
          <w:lang w:val="en-GB"/>
        </w:rPr>
      </w:pPr>
      <w:r w:rsidRPr="006B0676">
        <w:rPr>
          <w:rFonts w:ascii="Times" w:hAnsi="Times"/>
          <w:lang w:val="en-GB"/>
        </w:rPr>
        <w:t>2.</w:t>
      </w:r>
      <w:r w:rsidR="00F80BDA">
        <w:rPr>
          <w:rFonts w:ascii="Times" w:hAnsi="Times"/>
          <w:lang w:val="en-GB"/>
        </w:rPr>
        <w:t>9</w:t>
      </w:r>
      <w:r w:rsidR="006F4FC1">
        <w:rPr>
          <w:rFonts w:ascii="Times" w:hAnsi="Times"/>
          <w:lang w:val="en-GB"/>
        </w:rPr>
        <w:tab/>
      </w:r>
      <w:r w:rsidRPr="006B0676">
        <w:rPr>
          <w:rFonts w:ascii="Times" w:hAnsi="Times"/>
          <w:lang w:val="en-GB"/>
        </w:rPr>
        <w:t xml:space="preserve">On 2 October 2012, the District Court of Almaty </w:t>
      </w:r>
      <w:r w:rsidR="006F4FC1">
        <w:rPr>
          <w:rFonts w:ascii="Times" w:hAnsi="Times"/>
          <w:lang w:val="en-GB"/>
        </w:rPr>
        <w:t>agreed with</w:t>
      </w:r>
      <w:r w:rsidRPr="006B0676">
        <w:rPr>
          <w:rFonts w:ascii="Times" w:hAnsi="Times"/>
          <w:lang w:val="en-GB"/>
        </w:rPr>
        <w:t xml:space="preserve"> the Almaty</w:t>
      </w:r>
      <w:r w:rsidR="006F4FC1">
        <w:rPr>
          <w:rFonts w:ascii="Times" w:hAnsi="Times"/>
          <w:lang w:val="en-GB"/>
        </w:rPr>
        <w:t xml:space="preserve"> city authorities. The court stated in its decision that the authorities did not refuse a one-person</w:t>
      </w:r>
      <w:r w:rsidRPr="006B0676">
        <w:rPr>
          <w:rFonts w:ascii="Times" w:hAnsi="Times"/>
          <w:lang w:val="en-GB"/>
        </w:rPr>
        <w:t xml:space="preserve"> </w:t>
      </w:r>
      <w:r w:rsidR="006F4FC1">
        <w:rPr>
          <w:rFonts w:ascii="Times" w:hAnsi="Times"/>
          <w:lang w:val="en-GB"/>
        </w:rPr>
        <w:t xml:space="preserve">picket, but offered an alternative location. </w:t>
      </w:r>
      <w:r w:rsidRPr="006B0676">
        <w:rPr>
          <w:rFonts w:ascii="Times" w:hAnsi="Times"/>
          <w:lang w:val="en-GB"/>
        </w:rPr>
        <w:t>On 17 October 2012, the author appe</w:t>
      </w:r>
      <w:r w:rsidR="00F80BDA">
        <w:rPr>
          <w:rFonts w:ascii="Times" w:hAnsi="Times"/>
          <w:lang w:val="en-GB"/>
        </w:rPr>
        <w:t xml:space="preserve">aled that decision </w:t>
      </w:r>
      <w:r w:rsidRPr="006B0676">
        <w:rPr>
          <w:rFonts w:ascii="Times" w:hAnsi="Times"/>
          <w:lang w:val="en-GB"/>
        </w:rPr>
        <w:t xml:space="preserve">to the Almaty City Court as being contrary to the Constitution of the Republic of Kazakhstan and the Covenant. On 29 November 2012, </w:t>
      </w:r>
      <w:r w:rsidR="00F80BDA">
        <w:rPr>
          <w:rFonts w:ascii="Times" w:hAnsi="Times"/>
          <w:lang w:val="en-GB"/>
        </w:rPr>
        <w:t>the appeals court</w:t>
      </w:r>
      <w:r w:rsidRPr="006B0676">
        <w:rPr>
          <w:rFonts w:ascii="Times" w:hAnsi="Times"/>
          <w:lang w:val="en-GB"/>
        </w:rPr>
        <w:t xml:space="preserve"> dismissed the</w:t>
      </w:r>
      <w:r w:rsidR="0065604C">
        <w:rPr>
          <w:rFonts w:ascii="Times" w:hAnsi="Times"/>
          <w:lang w:val="en-GB"/>
        </w:rPr>
        <w:t xml:space="preserve"> author’s</w:t>
      </w:r>
      <w:r w:rsidRPr="006B0676">
        <w:rPr>
          <w:rFonts w:ascii="Times" w:hAnsi="Times"/>
          <w:lang w:val="en-GB"/>
        </w:rPr>
        <w:t xml:space="preserve"> </w:t>
      </w:r>
      <w:r w:rsidR="0065604C">
        <w:rPr>
          <w:rFonts w:ascii="Times" w:hAnsi="Times"/>
          <w:lang w:val="en-GB"/>
        </w:rPr>
        <w:t>claims</w:t>
      </w:r>
      <w:r w:rsidR="00F80BDA">
        <w:rPr>
          <w:rFonts w:ascii="Times" w:hAnsi="Times"/>
          <w:lang w:val="en-GB"/>
        </w:rPr>
        <w:t xml:space="preserve"> as unfounded</w:t>
      </w:r>
      <w:r w:rsidRPr="006B0676">
        <w:rPr>
          <w:rFonts w:ascii="Times" w:hAnsi="Times"/>
          <w:lang w:val="en-GB"/>
        </w:rPr>
        <w:t>.</w:t>
      </w:r>
    </w:p>
    <w:p w:rsidR="00B528FB" w:rsidRPr="006B0676" w:rsidRDefault="00F80BDA" w:rsidP="00B528FB">
      <w:pPr>
        <w:pStyle w:val="SingleTxtG"/>
        <w:spacing w:line="240" w:lineRule="auto"/>
        <w:rPr>
          <w:rFonts w:ascii="Times" w:hAnsi="Times"/>
          <w:lang w:val="en-GB"/>
        </w:rPr>
      </w:pPr>
      <w:r>
        <w:rPr>
          <w:rFonts w:ascii="Times" w:hAnsi="Times"/>
          <w:lang w:val="en-GB"/>
        </w:rPr>
        <w:t>2.10</w:t>
      </w:r>
      <w:r>
        <w:rPr>
          <w:rFonts w:ascii="Times" w:hAnsi="Times"/>
          <w:lang w:val="en-GB"/>
        </w:rPr>
        <w:tab/>
      </w:r>
      <w:r w:rsidR="00B528FB" w:rsidRPr="006B0676">
        <w:rPr>
          <w:rFonts w:ascii="Times" w:hAnsi="Times"/>
          <w:lang w:val="en-GB"/>
        </w:rPr>
        <w:t xml:space="preserve">On 4 April 2013, the author submitted a cassation appeal to the Almaty City Court challenging the decisions of the District Court and the Almaty City Court. The author argued, inter alia, that the court decisions contradict international standards on the right of peaceful assembly and the right to freedom of expression. On 2 May 2013, the </w:t>
      </w:r>
      <w:r w:rsidR="007C75A2">
        <w:rPr>
          <w:rFonts w:ascii="Times" w:hAnsi="Times"/>
          <w:lang w:val="en-GB"/>
        </w:rPr>
        <w:t>c</w:t>
      </w:r>
      <w:r w:rsidR="00B528FB" w:rsidRPr="006B0676">
        <w:rPr>
          <w:rFonts w:ascii="Times" w:hAnsi="Times"/>
          <w:lang w:val="en-GB"/>
        </w:rPr>
        <w:t xml:space="preserve">assation </w:t>
      </w:r>
      <w:r w:rsidR="007C75A2">
        <w:rPr>
          <w:rFonts w:ascii="Times" w:hAnsi="Times"/>
          <w:lang w:val="en-GB"/>
        </w:rPr>
        <w:t>appeals chamber of the</w:t>
      </w:r>
      <w:r w:rsidR="00B528FB" w:rsidRPr="006B0676">
        <w:rPr>
          <w:rFonts w:ascii="Times" w:hAnsi="Times"/>
          <w:lang w:val="en-GB"/>
        </w:rPr>
        <w:t xml:space="preserve"> City Court of Almaty upheld the decisions of </w:t>
      </w:r>
      <w:r w:rsidR="007C75A2">
        <w:rPr>
          <w:rFonts w:ascii="Times" w:hAnsi="Times"/>
          <w:lang w:val="en-GB"/>
        </w:rPr>
        <w:t xml:space="preserve">the lower court </w:t>
      </w:r>
      <w:r w:rsidR="00B528FB" w:rsidRPr="006B0676">
        <w:rPr>
          <w:rFonts w:ascii="Times" w:hAnsi="Times"/>
          <w:lang w:val="en-GB"/>
        </w:rPr>
        <w:t xml:space="preserve">and dismissed the author’s </w:t>
      </w:r>
      <w:r w:rsidR="007C75A2">
        <w:rPr>
          <w:rFonts w:ascii="Times" w:hAnsi="Times"/>
          <w:lang w:val="en-GB"/>
        </w:rPr>
        <w:t>complaint</w:t>
      </w:r>
      <w:r w:rsidR="00B528FB" w:rsidRPr="006B0676">
        <w:rPr>
          <w:rFonts w:ascii="Times" w:hAnsi="Times"/>
          <w:lang w:val="en-GB"/>
        </w:rPr>
        <w:t>. On 20 June 2013, the author submitted petition to the Supreme Court</w:t>
      </w:r>
      <w:r w:rsidR="007C75A2">
        <w:rPr>
          <w:rFonts w:ascii="Times" w:hAnsi="Times"/>
          <w:lang w:val="en-GB"/>
        </w:rPr>
        <w:t xml:space="preserve"> of Kazakhstan</w:t>
      </w:r>
      <w:r w:rsidR="00B528FB" w:rsidRPr="006B0676">
        <w:rPr>
          <w:rFonts w:ascii="Times" w:hAnsi="Times"/>
          <w:lang w:val="en-GB"/>
        </w:rPr>
        <w:t xml:space="preserve"> for a supervisory </w:t>
      </w:r>
      <w:r w:rsidR="007C75A2">
        <w:rPr>
          <w:rFonts w:ascii="Times" w:hAnsi="Times"/>
          <w:lang w:val="en-GB"/>
        </w:rPr>
        <w:t>r</w:t>
      </w:r>
      <w:r w:rsidR="00B528FB" w:rsidRPr="006B0676">
        <w:rPr>
          <w:rFonts w:ascii="Times" w:hAnsi="Times"/>
          <w:lang w:val="en-GB"/>
        </w:rPr>
        <w:t>eview of the earlier court decisions</w:t>
      </w:r>
      <w:r w:rsidR="007C75A2">
        <w:rPr>
          <w:rFonts w:ascii="Times" w:hAnsi="Times"/>
          <w:lang w:val="en-GB"/>
        </w:rPr>
        <w:t xml:space="preserve">, which </w:t>
      </w:r>
      <w:proofErr w:type="gramStart"/>
      <w:r w:rsidR="007C75A2">
        <w:rPr>
          <w:rFonts w:ascii="Times" w:hAnsi="Times"/>
          <w:lang w:val="en-GB"/>
        </w:rPr>
        <w:t>was rejected</w:t>
      </w:r>
      <w:proofErr w:type="gramEnd"/>
      <w:r w:rsidR="007C75A2">
        <w:rPr>
          <w:rFonts w:ascii="Times" w:hAnsi="Times"/>
          <w:lang w:val="en-GB"/>
        </w:rPr>
        <w:t xml:space="preserve"> on 8 August 2013</w:t>
      </w:r>
      <w:r w:rsidR="00B528FB" w:rsidRPr="006B0676">
        <w:rPr>
          <w:rFonts w:ascii="Times" w:hAnsi="Times"/>
          <w:lang w:val="en-GB"/>
        </w:rPr>
        <w:t xml:space="preserve">. </w:t>
      </w:r>
    </w:p>
    <w:p w:rsidR="001B0994" w:rsidRPr="006B0676" w:rsidRDefault="001B0994" w:rsidP="007E1B7A">
      <w:pPr>
        <w:pStyle w:val="H23G"/>
      </w:pPr>
      <w:r w:rsidRPr="006B0676">
        <w:tab/>
      </w:r>
      <w:r w:rsidRPr="006B0676">
        <w:tab/>
        <w:t>The complaint</w:t>
      </w:r>
    </w:p>
    <w:p w:rsidR="002F2EB6" w:rsidRDefault="007E1B7A" w:rsidP="007E1B7A">
      <w:pPr>
        <w:pStyle w:val="H4G"/>
      </w:pPr>
      <w:r>
        <w:tab/>
      </w:r>
      <w:r>
        <w:tab/>
      </w:r>
      <w:r w:rsidR="002F2EB6" w:rsidRPr="006B0676">
        <w:t>2257/2013 (events of 28 April 2012)</w:t>
      </w:r>
    </w:p>
    <w:p w:rsidR="002F2EB6" w:rsidRPr="00A915F2" w:rsidRDefault="00A915F2" w:rsidP="00AC43EB">
      <w:pPr>
        <w:pStyle w:val="SingleTxtG"/>
        <w:spacing w:line="240" w:lineRule="auto"/>
        <w:rPr>
          <w:lang w:val="en-GB"/>
        </w:rPr>
      </w:pPr>
      <w:r w:rsidRPr="00A915F2">
        <w:rPr>
          <w:rFonts w:ascii="Times" w:hAnsi="Times"/>
          <w:lang w:val="en-GB"/>
        </w:rPr>
        <w:t>3.1</w:t>
      </w:r>
      <w:r>
        <w:rPr>
          <w:rFonts w:ascii="Times" w:hAnsi="Times"/>
          <w:lang w:val="en-GB"/>
        </w:rPr>
        <w:tab/>
        <w:t>The author claims that by arresting on 28 April 2012 and sending her to 15 days in administrative detention, the State party violated her rights under article</w:t>
      </w:r>
      <w:r w:rsidR="00D07326">
        <w:rPr>
          <w:rFonts w:ascii="Times" w:hAnsi="Times"/>
          <w:lang w:val="en-GB"/>
        </w:rPr>
        <w:t>s</w:t>
      </w:r>
      <w:r>
        <w:rPr>
          <w:rFonts w:ascii="Times" w:hAnsi="Times"/>
          <w:lang w:val="en-GB"/>
        </w:rPr>
        <w:t xml:space="preserve"> 19 and 21 of the Covenant. The decisions taken against the author violated the provisions of the Kazakh Constitution as well. The author has taken no actions that would threaten public order and justify actions by the law enforcement authorities. </w:t>
      </w:r>
    </w:p>
    <w:p w:rsidR="002F2EB6" w:rsidRPr="006B0676" w:rsidRDefault="007E1B7A" w:rsidP="007E1B7A">
      <w:pPr>
        <w:pStyle w:val="H4G"/>
      </w:pPr>
      <w:r>
        <w:tab/>
      </w:r>
      <w:r>
        <w:tab/>
      </w:r>
      <w:r w:rsidR="002F2EB6" w:rsidRPr="006B0676">
        <w:t>2334/2014 (events concerning 30 July 2012)</w:t>
      </w:r>
    </w:p>
    <w:p w:rsidR="00AC43EB" w:rsidRPr="006B0676" w:rsidRDefault="00A915F2" w:rsidP="00AC43EB">
      <w:pPr>
        <w:pStyle w:val="SingleTxtG"/>
        <w:spacing w:line="240" w:lineRule="auto"/>
        <w:rPr>
          <w:lang w:val="en-GB"/>
        </w:rPr>
      </w:pPr>
      <w:r>
        <w:rPr>
          <w:lang w:val="en-GB"/>
        </w:rPr>
        <w:t>3.2</w:t>
      </w:r>
      <w:r w:rsidR="00D726C6" w:rsidRPr="006B0676">
        <w:rPr>
          <w:lang w:val="en-GB"/>
        </w:rPr>
        <w:tab/>
      </w:r>
      <w:r w:rsidR="00AC43EB" w:rsidRPr="006B0676">
        <w:rPr>
          <w:lang w:val="en-GB"/>
        </w:rPr>
        <w:t xml:space="preserve">The author claims that the prohibition </w:t>
      </w:r>
      <w:r w:rsidR="00D07326">
        <w:rPr>
          <w:lang w:val="en-GB"/>
        </w:rPr>
        <w:t>on</w:t>
      </w:r>
      <w:r w:rsidR="00D07326" w:rsidRPr="006B0676">
        <w:rPr>
          <w:lang w:val="en-GB"/>
        </w:rPr>
        <w:t xml:space="preserve"> </w:t>
      </w:r>
      <w:r w:rsidR="00AC43EB" w:rsidRPr="006B0676">
        <w:rPr>
          <w:lang w:val="en-GB"/>
        </w:rPr>
        <w:t>organiz</w:t>
      </w:r>
      <w:r w:rsidR="00D07326">
        <w:rPr>
          <w:lang w:val="en-GB"/>
        </w:rPr>
        <w:t>ing</w:t>
      </w:r>
      <w:r w:rsidR="00AC43EB" w:rsidRPr="006B0676">
        <w:rPr>
          <w:lang w:val="en-GB"/>
        </w:rPr>
        <w:t xml:space="preserve"> the </w:t>
      </w:r>
      <w:r w:rsidR="00D07326">
        <w:rPr>
          <w:lang w:val="en-GB"/>
        </w:rPr>
        <w:t xml:space="preserve">one-person </w:t>
      </w:r>
      <w:r w:rsidR="00AC43EB" w:rsidRPr="006B0676">
        <w:rPr>
          <w:lang w:val="en-GB"/>
        </w:rPr>
        <w:t xml:space="preserve">picket amounts to violation of her rights under article 21 of the Covenant. </w:t>
      </w:r>
      <w:proofErr w:type="gramStart"/>
      <w:r w:rsidR="00AC43EB" w:rsidRPr="006B0676">
        <w:rPr>
          <w:lang w:val="en-GB"/>
        </w:rPr>
        <w:t xml:space="preserve">Referring to the findings of the Committee in </w:t>
      </w:r>
      <w:proofErr w:type="spellStart"/>
      <w:r w:rsidR="00AC43EB" w:rsidRPr="006B0676">
        <w:rPr>
          <w:lang w:val="en-GB"/>
        </w:rPr>
        <w:t>Kivenmaa</w:t>
      </w:r>
      <w:proofErr w:type="spellEnd"/>
      <w:r w:rsidR="00AC43EB" w:rsidRPr="006B0676">
        <w:rPr>
          <w:lang w:val="en-GB"/>
        </w:rPr>
        <w:t xml:space="preserve"> v. Finland, the author submits that the requirement to notify may be compatible with permitted limitations laid down in article 21 of the Covenant insofar as it “would normally be for the reasons of national security or public safety, public order, the protection of public health or morals or the rights and freedoms of others”</w:t>
      </w:r>
      <w:r w:rsidR="007E1B7A">
        <w:rPr>
          <w:lang w:val="en-GB"/>
        </w:rPr>
        <w:t>.</w:t>
      </w:r>
      <w:proofErr w:type="gramEnd"/>
      <w:r w:rsidR="00AC43EB" w:rsidRPr="006B0676">
        <w:rPr>
          <w:lang w:val="en-GB"/>
        </w:rPr>
        <w:t xml:space="preserve"> The auth</w:t>
      </w:r>
      <w:r w:rsidR="006F4FC1">
        <w:rPr>
          <w:lang w:val="en-GB"/>
        </w:rPr>
        <w:t>or claims that since her one-person</w:t>
      </w:r>
      <w:r w:rsidR="007E1B7A">
        <w:rPr>
          <w:lang w:val="en-GB"/>
        </w:rPr>
        <w:t xml:space="preserve"> picket did no</w:t>
      </w:r>
      <w:r w:rsidR="00AC43EB" w:rsidRPr="006B0676">
        <w:rPr>
          <w:lang w:val="en-GB"/>
        </w:rPr>
        <w:t xml:space="preserve">t represent any above threat, its prohibition along with the general </w:t>
      </w:r>
      <w:r w:rsidR="008C7B5D">
        <w:rPr>
          <w:lang w:val="en-GB"/>
        </w:rPr>
        <w:t>requirement</w:t>
      </w:r>
      <w:r w:rsidR="00AC43EB" w:rsidRPr="006B0676">
        <w:rPr>
          <w:lang w:val="en-GB"/>
        </w:rPr>
        <w:t xml:space="preserve"> to organize it only in one place is contrary to article 21 of the Covenant. </w:t>
      </w:r>
    </w:p>
    <w:p w:rsidR="00AC43EB" w:rsidRPr="006B0676" w:rsidRDefault="00A915F2" w:rsidP="00AC43EB">
      <w:pPr>
        <w:pStyle w:val="SingleTxtG"/>
        <w:spacing w:line="240" w:lineRule="auto"/>
        <w:rPr>
          <w:lang w:val="en-GB"/>
        </w:rPr>
      </w:pPr>
      <w:r>
        <w:rPr>
          <w:lang w:val="en-GB"/>
        </w:rPr>
        <w:t>3.3</w:t>
      </w:r>
      <w:r w:rsidR="00D726C6" w:rsidRPr="006B0676">
        <w:rPr>
          <w:lang w:val="en-GB"/>
        </w:rPr>
        <w:tab/>
      </w:r>
      <w:r w:rsidR="00AC43EB" w:rsidRPr="006B0676">
        <w:rPr>
          <w:lang w:val="en-GB"/>
        </w:rPr>
        <w:t xml:space="preserve">The author further claims that remoteness of the proposed location from the busy streets would render conducting of the picket meaningless. She therefore claims that by “designating only one place in outskirts of the town Almaty (square behind the cinema </w:t>
      </w:r>
      <w:proofErr w:type="spellStart"/>
      <w:r w:rsidR="00AC43EB" w:rsidRPr="006B0676">
        <w:rPr>
          <w:lang w:val="en-GB"/>
        </w:rPr>
        <w:t>Sary-Arka</w:t>
      </w:r>
      <w:proofErr w:type="spellEnd"/>
      <w:r w:rsidR="00AC43EB" w:rsidRPr="006B0676">
        <w:rPr>
          <w:lang w:val="en-GB"/>
        </w:rPr>
        <w:t>) for peaceful assemblies”, the State party violates her right under article 21 of the Covenant.</w:t>
      </w:r>
    </w:p>
    <w:p w:rsidR="00AC43EB" w:rsidRPr="006B0676" w:rsidRDefault="00AC43EB" w:rsidP="00AC43EB">
      <w:pPr>
        <w:pStyle w:val="SingleTxtG"/>
        <w:spacing w:line="240" w:lineRule="auto"/>
        <w:rPr>
          <w:lang w:val="en-GB"/>
        </w:rPr>
      </w:pPr>
      <w:r w:rsidRPr="006B0676">
        <w:rPr>
          <w:lang w:val="en-GB"/>
        </w:rPr>
        <w:t>3.</w:t>
      </w:r>
      <w:r w:rsidR="00A915F2">
        <w:rPr>
          <w:lang w:val="en-GB"/>
        </w:rPr>
        <w:t>4</w:t>
      </w:r>
      <w:r w:rsidR="00D726C6" w:rsidRPr="006B0676">
        <w:rPr>
          <w:lang w:val="en-GB"/>
        </w:rPr>
        <w:tab/>
      </w:r>
      <w:r w:rsidRPr="006B0676">
        <w:rPr>
          <w:lang w:val="en-GB"/>
        </w:rPr>
        <w:t>The</w:t>
      </w:r>
      <w:r w:rsidR="006F4FC1">
        <w:rPr>
          <w:lang w:val="en-GB"/>
        </w:rPr>
        <w:t xml:space="preserve"> author asserts that the one-person</w:t>
      </w:r>
      <w:r w:rsidRPr="006B0676">
        <w:rPr>
          <w:lang w:val="en-GB"/>
        </w:rPr>
        <w:t xml:space="preserve"> picket </w:t>
      </w:r>
      <w:proofErr w:type="gramStart"/>
      <w:r w:rsidRPr="006B0676">
        <w:rPr>
          <w:lang w:val="en-GB"/>
        </w:rPr>
        <w:t>should</w:t>
      </w:r>
      <w:r w:rsidR="007E1B7A">
        <w:rPr>
          <w:lang w:val="en-GB"/>
        </w:rPr>
        <w:t xml:space="preserve"> no</w:t>
      </w:r>
      <w:r w:rsidRPr="006B0676">
        <w:rPr>
          <w:lang w:val="en-GB"/>
        </w:rPr>
        <w:t>t be considered</w:t>
      </w:r>
      <w:proofErr w:type="gramEnd"/>
      <w:r w:rsidRPr="006B0676">
        <w:rPr>
          <w:lang w:val="en-GB"/>
        </w:rPr>
        <w:t xml:space="preserve"> as an assembly by the Kazakhstan authorities and should</w:t>
      </w:r>
      <w:r w:rsidR="007E1B7A">
        <w:rPr>
          <w:lang w:val="en-GB"/>
        </w:rPr>
        <w:t xml:space="preserve"> no</w:t>
      </w:r>
      <w:r w:rsidRPr="006B0676">
        <w:rPr>
          <w:lang w:val="en-GB"/>
        </w:rPr>
        <w:t xml:space="preserve">t require permission, since the person exercises his/her right individually. </w:t>
      </w:r>
      <w:proofErr w:type="gramStart"/>
      <w:r w:rsidRPr="006B0676">
        <w:rPr>
          <w:lang w:val="en-GB"/>
        </w:rPr>
        <w:t xml:space="preserve">Referring to the communication </w:t>
      </w:r>
      <w:proofErr w:type="spellStart"/>
      <w:r w:rsidRPr="006B0676">
        <w:rPr>
          <w:lang w:val="en-GB"/>
        </w:rPr>
        <w:t>Mukong</w:t>
      </w:r>
      <w:proofErr w:type="spellEnd"/>
      <w:r w:rsidRPr="006B0676">
        <w:rPr>
          <w:lang w:val="en-GB"/>
        </w:rPr>
        <w:t xml:space="preserve"> v. Cameroon, where the Committee considered that “while the State party indicated that the restrictions on the author’s freedom of expression were provided by law, it must still be determined whether the measures taken against the author were necessary for the safeguard of national security and/or public order”, the author claims that the restrictions to exercise her right of </w:t>
      </w:r>
      <w:r w:rsidR="006F4FC1">
        <w:rPr>
          <w:lang w:val="en-GB"/>
        </w:rPr>
        <w:t>freedom of expression in one-person</w:t>
      </w:r>
      <w:r w:rsidRPr="006B0676">
        <w:rPr>
          <w:lang w:val="en-GB"/>
        </w:rPr>
        <w:t xml:space="preserve"> picket were not necessary and therefore contrary to article 19 (2) of the Covenant.</w:t>
      </w:r>
      <w:proofErr w:type="gramEnd"/>
    </w:p>
    <w:p w:rsidR="00DA536F" w:rsidRPr="006B0676" w:rsidRDefault="00A915F2" w:rsidP="00AC43EB">
      <w:pPr>
        <w:pStyle w:val="SingleTxtG"/>
        <w:spacing w:line="240" w:lineRule="auto"/>
        <w:rPr>
          <w:lang w:val="en-GB"/>
        </w:rPr>
      </w:pPr>
      <w:r>
        <w:rPr>
          <w:lang w:val="en-GB"/>
        </w:rPr>
        <w:lastRenderedPageBreak/>
        <w:t>3.5</w:t>
      </w:r>
      <w:r w:rsidR="00D726C6" w:rsidRPr="006B0676">
        <w:rPr>
          <w:lang w:val="en-GB"/>
        </w:rPr>
        <w:tab/>
      </w:r>
      <w:r w:rsidR="00AC43EB" w:rsidRPr="006B0676">
        <w:rPr>
          <w:lang w:val="en-GB"/>
        </w:rPr>
        <w:t>Moreover, the author submits that the authorization to organize</w:t>
      </w:r>
      <w:r w:rsidR="00BA186A">
        <w:rPr>
          <w:lang w:val="en-GB"/>
        </w:rPr>
        <w:t xml:space="preserve"> a</w:t>
      </w:r>
      <w:r w:rsidR="00AC43EB" w:rsidRPr="006B0676">
        <w:rPr>
          <w:lang w:val="en-GB"/>
        </w:rPr>
        <w:t xml:space="preserve"> non-governmental </w:t>
      </w:r>
      <w:r w:rsidR="00BA186A">
        <w:rPr>
          <w:lang w:val="en-GB"/>
        </w:rPr>
        <w:t>“social or political</w:t>
      </w:r>
      <w:r w:rsidR="00AC43EB" w:rsidRPr="006B0676">
        <w:rPr>
          <w:lang w:val="en-GB"/>
        </w:rPr>
        <w:t xml:space="preserve"> meetings only at one specially designated place, while </w:t>
      </w:r>
      <w:r w:rsidR="0018247F" w:rsidRPr="006B0676">
        <w:rPr>
          <w:lang w:val="en-GB"/>
        </w:rPr>
        <w:t>authorizing</w:t>
      </w:r>
      <w:r w:rsidR="00AC43EB" w:rsidRPr="006B0676">
        <w:rPr>
          <w:lang w:val="en-GB"/>
        </w:rPr>
        <w:t xml:space="preserve"> governmental and non-political meetings in other locations, is politically motivated and discriminatory, and amounts to a violation of article 26 of the Covenant.</w:t>
      </w:r>
    </w:p>
    <w:p w:rsidR="001B0994" w:rsidRPr="006B0676" w:rsidRDefault="001B0994" w:rsidP="007E1B7A">
      <w:pPr>
        <w:pStyle w:val="H23G"/>
      </w:pPr>
      <w:r w:rsidRPr="006B0676">
        <w:tab/>
      </w:r>
      <w:r w:rsidRPr="006B0676">
        <w:tab/>
        <w:t>St</w:t>
      </w:r>
      <w:r w:rsidR="008D258E" w:rsidRPr="006B0676">
        <w:t xml:space="preserve">ate party’s observations on </w:t>
      </w:r>
      <w:r w:rsidRPr="006B0676">
        <w:t xml:space="preserve">admissibility </w:t>
      </w:r>
      <w:r w:rsidR="00B92F27" w:rsidRPr="006B0676">
        <w:t>and the merits</w:t>
      </w:r>
    </w:p>
    <w:p w:rsidR="002778AD" w:rsidRPr="006B0676" w:rsidRDefault="00584794" w:rsidP="0018247F">
      <w:pPr>
        <w:pStyle w:val="SingleTxtG"/>
        <w:spacing w:line="240" w:lineRule="auto"/>
        <w:rPr>
          <w:lang w:val="en-GB"/>
        </w:rPr>
      </w:pPr>
      <w:r w:rsidRPr="006B0676">
        <w:rPr>
          <w:lang w:val="en-GB"/>
        </w:rPr>
        <w:t>4.1</w:t>
      </w:r>
      <w:r w:rsidRPr="006B0676">
        <w:rPr>
          <w:lang w:val="en-GB"/>
        </w:rPr>
        <w:tab/>
      </w:r>
      <w:r w:rsidR="0018247F" w:rsidRPr="006B0676">
        <w:rPr>
          <w:lang w:val="en-GB"/>
        </w:rPr>
        <w:t>Responding to the author’s claims in communication No. 2257/2013, the State party asked the Committee to declare the complaint as inadmissible</w:t>
      </w:r>
      <w:r w:rsidR="001B74E3">
        <w:rPr>
          <w:lang w:val="en-GB"/>
        </w:rPr>
        <w:t>.</w:t>
      </w:r>
      <w:r w:rsidR="0018247F" w:rsidRPr="006B0676">
        <w:rPr>
          <w:lang w:val="en-GB"/>
        </w:rPr>
        <w:t xml:space="preserve"> On 10 April 2012, a group of citizens indeed requested to hold a public event on 28 April 2012, near </w:t>
      </w:r>
      <w:proofErr w:type="spellStart"/>
      <w:r w:rsidR="0018247F" w:rsidRPr="006B0676">
        <w:rPr>
          <w:lang w:val="en-GB"/>
        </w:rPr>
        <w:t>Abai</w:t>
      </w:r>
      <w:proofErr w:type="spellEnd"/>
      <w:r w:rsidR="0018247F" w:rsidRPr="006B0676">
        <w:rPr>
          <w:lang w:val="en-GB"/>
        </w:rPr>
        <w:t xml:space="preserve"> </w:t>
      </w:r>
      <w:proofErr w:type="spellStart"/>
      <w:r w:rsidR="0018247F" w:rsidRPr="006B0676">
        <w:rPr>
          <w:lang w:val="en-GB"/>
        </w:rPr>
        <w:t>Kunanbaev</w:t>
      </w:r>
      <w:proofErr w:type="spellEnd"/>
      <w:r w:rsidR="0018247F" w:rsidRPr="006B0676">
        <w:rPr>
          <w:lang w:val="en-GB"/>
        </w:rPr>
        <w:t xml:space="preserve"> monument. This permission </w:t>
      </w:r>
      <w:proofErr w:type="gramStart"/>
      <w:r w:rsidR="0018247F" w:rsidRPr="006B0676">
        <w:rPr>
          <w:lang w:val="en-GB"/>
        </w:rPr>
        <w:t>was not granted</w:t>
      </w:r>
      <w:proofErr w:type="gramEnd"/>
      <w:r w:rsidR="0018247F" w:rsidRPr="006B0676">
        <w:rPr>
          <w:lang w:val="en-GB"/>
        </w:rPr>
        <w:t xml:space="preserve">. The author nevertheless kept calling for people to gather at this location. The author was therefore charged and found guilty of violating article 373(3) of the Code of Administrative Offences, and was sentenced to 15 days of administrative arrest. The </w:t>
      </w:r>
      <w:proofErr w:type="gramStart"/>
      <w:r w:rsidR="0018247F" w:rsidRPr="006B0676">
        <w:rPr>
          <w:lang w:val="en-GB"/>
        </w:rPr>
        <w:t>author’s appeal was rejected on 4 May 2012 by the Almaty City Court</w:t>
      </w:r>
      <w:proofErr w:type="gramEnd"/>
      <w:r w:rsidR="0018247F" w:rsidRPr="006B0676">
        <w:rPr>
          <w:lang w:val="en-GB"/>
        </w:rPr>
        <w:t xml:space="preserve">. The author further asked the prosecutor’s office of Almaty to bring a complaint, which it refused to do on 13 June and 4 October 2012. </w:t>
      </w:r>
    </w:p>
    <w:p w:rsidR="0018247F" w:rsidRPr="006B0676" w:rsidRDefault="0018247F" w:rsidP="0018247F">
      <w:pPr>
        <w:pStyle w:val="SingleTxtG"/>
        <w:spacing w:line="240" w:lineRule="auto"/>
        <w:rPr>
          <w:lang w:val="en-GB"/>
        </w:rPr>
      </w:pPr>
      <w:r w:rsidRPr="006B0676">
        <w:rPr>
          <w:lang w:val="en-GB"/>
        </w:rPr>
        <w:t>4.2</w:t>
      </w:r>
      <w:r w:rsidRPr="006B0676">
        <w:rPr>
          <w:lang w:val="en-GB"/>
        </w:rPr>
        <w:tab/>
        <w:t>According to article 676 of the Code of Administrative Offences, however, the author has a right to request the Office of the Prosecutor General</w:t>
      </w:r>
      <w:r w:rsidR="00B23624" w:rsidRPr="006B0676">
        <w:rPr>
          <w:lang w:val="en-GB"/>
        </w:rPr>
        <w:t xml:space="preserve"> to bring a supervisory review to the Supreme Court, on behalf of the author. The Office of the Prosecutor General never </w:t>
      </w:r>
      <w:r w:rsidR="00F40694">
        <w:rPr>
          <w:lang w:val="en-GB"/>
        </w:rPr>
        <w:t>received</w:t>
      </w:r>
      <w:r w:rsidR="00B23624" w:rsidRPr="006B0676">
        <w:rPr>
          <w:lang w:val="en-GB"/>
        </w:rPr>
        <w:t xml:space="preserve"> this request</w:t>
      </w:r>
      <w:r w:rsidR="008C7B5D">
        <w:rPr>
          <w:lang w:val="en-GB"/>
        </w:rPr>
        <w:t>.</w:t>
      </w:r>
      <w:r w:rsidR="00B23624" w:rsidRPr="006B0676">
        <w:rPr>
          <w:lang w:val="en-GB"/>
        </w:rPr>
        <w:t xml:space="preserve"> The State party therefore considers that the author failed to exhaust all available domestic remedies, in violation of article 5(2</w:t>
      </w:r>
      <w:proofErr w:type="gramStart"/>
      <w:r w:rsidR="00B23624" w:rsidRPr="006B0676">
        <w:rPr>
          <w:lang w:val="en-GB"/>
        </w:rPr>
        <w:t>)(</w:t>
      </w:r>
      <w:proofErr w:type="gramEnd"/>
      <w:r w:rsidR="00B23624" w:rsidRPr="006B0676">
        <w:rPr>
          <w:lang w:val="en-GB"/>
        </w:rPr>
        <w:t xml:space="preserve">b) of the Optional Protocol to the Covenant. </w:t>
      </w:r>
    </w:p>
    <w:p w:rsidR="00B23624" w:rsidRPr="006B0676" w:rsidRDefault="00B23624" w:rsidP="0018247F">
      <w:pPr>
        <w:pStyle w:val="SingleTxtG"/>
        <w:spacing w:line="240" w:lineRule="auto"/>
        <w:rPr>
          <w:lang w:val="en-GB"/>
        </w:rPr>
      </w:pPr>
      <w:r w:rsidRPr="006B0676">
        <w:rPr>
          <w:lang w:val="en-GB"/>
        </w:rPr>
        <w:t>4.3</w:t>
      </w:r>
      <w:r w:rsidRPr="006B0676">
        <w:rPr>
          <w:lang w:val="en-GB"/>
        </w:rPr>
        <w:tab/>
        <w:t xml:space="preserve">Regarding the merits of the communication No. 2257/2013, the State party confirms that the only location for holding such events </w:t>
      </w:r>
      <w:proofErr w:type="gramStart"/>
      <w:r w:rsidRPr="006B0676">
        <w:rPr>
          <w:lang w:val="en-GB"/>
        </w:rPr>
        <w:t>was defined</w:t>
      </w:r>
      <w:proofErr w:type="gramEnd"/>
      <w:r w:rsidRPr="006B0676">
        <w:rPr>
          <w:lang w:val="en-GB"/>
        </w:rPr>
        <w:t xml:space="preserve"> to be a square behind a “</w:t>
      </w:r>
      <w:proofErr w:type="spellStart"/>
      <w:r w:rsidRPr="006B0676">
        <w:rPr>
          <w:lang w:val="en-GB"/>
        </w:rPr>
        <w:t>Sary</w:t>
      </w:r>
      <w:proofErr w:type="spellEnd"/>
      <w:r w:rsidRPr="006B0676">
        <w:rPr>
          <w:lang w:val="en-GB"/>
        </w:rPr>
        <w:t xml:space="preserve"> </w:t>
      </w:r>
      <w:proofErr w:type="spellStart"/>
      <w:r w:rsidRPr="006B0676">
        <w:rPr>
          <w:lang w:val="en-GB"/>
        </w:rPr>
        <w:t>Arka</w:t>
      </w:r>
      <w:proofErr w:type="spellEnd"/>
      <w:r w:rsidRPr="006B0676">
        <w:rPr>
          <w:lang w:val="en-GB"/>
        </w:rPr>
        <w:t xml:space="preserve">” cinema. </w:t>
      </w:r>
      <w:r w:rsidR="00D726C6" w:rsidRPr="006B0676">
        <w:rPr>
          <w:lang w:val="en-GB"/>
        </w:rPr>
        <w:t xml:space="preserve">The court decision shows that the author organized an </w:t>
      </w:r>
      <w:r w:rsidR="006B0676">
        <w:rPr>
          <w:lang w:val="en-GB"/>
        </w:rPr>
        <w:t>un</w:t>
      </w:r>
      <w:r w:rsidR="00D726C6" w:rsidRPr="006B0676">
        <w:rPr>
          <w:lang w:val="en-GB"/>
        </w:rPr>
        <w:t xml:space="preserve">authorized event, and actively called on people to participate in it. </w:t>
      </w:r>
    </w:p>
    <w:p w:rsidR="00D726C6" w:rsidRPr="006B0676" w:rsidRDefault="00D726C6" w:rsidP="0018247F">
      <w:pPr>
        <w:pStyle w:val="SingleTxtG"/>
        <w:spacing w:line="240" w:lineRule="auto"/>
        <w:rPr>
          <w:lang w:val="en-GB"/>
        </w:rPr>
      </w:pPr>
      <w:proofErr w:type="gramStart"/>
      <w:r w:rsidRPr="006B0676">
        <w:rPr>
          <w:lang w:val="en-GB"/>
        </w:rPr>
        <w:t>4.4</w:t>
      </w:r>
      <w:proofErr w:type="gramEnd"/>
      <w:r w:rsidRPr="006B0676">
        <w:rPr>
          <w:lang w:val="en-GB"/>
        </w:rPr>
        <w:tab/>
        <w:t xml:space="preserve">Article 19(2) of the Covenant gives everyone freedom of expression, which includes freedom to seek, receive and impart information of any form through any media. According to article 19(3), however, this freedom also imposes “certain obligations and responsibility”. There can be restrictions that </w:t>
      </w:r>
      <w:proofErr w:type="gramStart"/>
      <w:r w:rsidRPr="006B0676">
        <w:rPr>
          <w:lang w:val="en-GB"/>
        </w:rPr>
        <w:t>are imposed</w:t>
      </w:r>
      <w:proofErr w:type="gramEnd"/>
      <w:r w:rsidRPr="006B0676">
        <w:rPr>
          <w:lang w:val="en-GB"/>
        </w:rPr>
        <w:t xml:space="preserve"> by law and are necessary to respect rights and reputations of others, or for the protection of national security, public order, public health, or morals. Similarly, article 21 gives a right to freedom of assembly, and imposes similar restrictions. </w:t>
      </w:r>
    </w:p>
    <w:p w:rsidR="00D726C6" w:rsidRPr="006B0676" w:rsidRDefault="00D726C6" w:rsidP="0018247F">
      <w:pPr>
        <w:pStyle w:val="SingleTxtG"/>
        <w:spacing w:line="240" w:lineRule="auto"/>
        <w:rPr>
          <w:lang w:val="en-GB"/>
        </w:rPr>
      </w:pPr>
      <w:r w:rsidRPr="006B0676">
        <w:rPr>
          <w:lang w:val="en-GB"/>
        </w:rPr>
        <w:t>4.5</w:t>
      </w:r>
      <w:r w:rsidRPr="006B0676">
        <w:rPr>
          <w:lang w:val="en-GB"/>
        </w:rPr>
        <w:tab/>
      </w:r>
      <w:r w:rsidR="006B0676" w:rsidRPr="006B0676">
        <w:rPr>
          <w:lang w:val="en-GB"/>
        </w:rPr>
        <w:t xml:space="preserve">Article 32 of the Constitution of Kazakhstan further gives a right to citizen to gather peacefully and hold public events. This right, again, can be limited in the interest of state security, public order, protection of health and rights and freedoms of others. </w:t>
      </w:r>
      <w:r w:rsidRPr="006B0676">
        <w:rPr>
          <w:lang w:val="en-GB"/>
        </w:rPr>
        <w:t xml:space="preserve">The order of holding public events in public places </w:t>
      </w:r>
      <w:proofErr w:type="gramStart"/>
      <w:r w:rsidRPr="006B0676">
        <w:rPr>
          <w:lang w:val="en-GB"/>
        </w:rPr>
        <w:t>is regulated</w:t>
      </w:r>
      <w:proofErr w:type="gramEnd"/>
      <w:r w:rsidRPr="006B0676">
        <w:rPr>
          <w:lang w:val="en-GB"/>
        </w:rPr>
        <w:t xml:space="preserve"> by a law</w:t>
      </w:r>
      <w:r w:rsidR="006B0676" w:rsidRPr="006B0676">
        <w:rPr>
          <w:lang w:val="en-GB"/>
        </w:rPr>
        <w:t xml:space="preserve"> No. 2126</w:t>
      </w:r>
      <w:r w:rsidRPr="006B0676">
        <w:rPr>
          <w:lang w:val="en-GB"/>
        </w:rPr>
        <w:t xml:space="preserve"> “On order of organizing and holding peaceful meetings, </w:t>
      </w:r>
      <w:r w:rsidR="006B0676" w:rsidRPr="006B0676">
        <w:rPr>
          <w:lang w:val="en-GB"/>
        </w:rPr>
        <w:t xml:space="preserve">pickets and demonstrations” dated 17 March 1995. </w:t>
      </w:r>
      <w:r w:rsidR="006B0676">
        <w:rPr>
          <w:lang w:val="en-GB"/>
        </w:rPr>
        <w:t xml:space="preserve">Article 7 of this law forbids holding public events if these events threaten </w:t>
      </w:r>
      <w:r w:rsidR="00FC1577">
        <w:rPr>
          <w:lang w:val="en-GB"/>
        </w:rPr>
        <w:t>“</w:t>
      </w:r>
      <w:r w:rsidR="006B0676">
        <w:rPr>
          <w:lang w:val="en-GB"/>
        </w:rPr>
        <w:t>public order or security of citizens</w:t>
      </w:r>
      <w:r w:rsidR="00FC1577">
        <w:rPr>
          <w:lang w:val="en-GB"/>
        </w:rPr>
        <w:t>”</w:t>
      </w:r>
      <w:r w:rsidR="006B0676">
        <w:rPr>
          <w:lang w:val="en-GB"/>
        </w:rPr>
        <w:t xml:space="preserve">. </w:t>
      </w:r>
      <w:r w:rsidR="00FC1577">
        <w:rPr>
          <w:lang w:val="en-GB"/>
        </w:rPr>
        <w:t xml:space="preserve">The courts examined the record and events on 28 April 2012 and found the author guilty of violating article 373(3) of the Code of Administrative Offences. </w:t>
      </w:r>
    </w:p>
    <w:p w:rsidR="006B0676" w:rsidRDefault="006B0676" w:rsidP="0018247F">
      <w:pPr>
        <w:pStyle w:val="SingleTxtG"/>
        <w:spacing w:line="240" w:lineRule="auto"/>
        <w:rPr>
          <w:lang w:val="en-GB"/>
        </w:rPr>
      </w:pPr>
      <w:r w:rsidRPr="006B0676">
        <w:rPr>
          <w:lang w:val="en-GB"/>
        </w:rPr>
        <w:t>4.6</w:t>
      </w:r>
      <w:r w:rsidRPr="006B0676">
        <w:rPr>
          <w:lang w:val="en-GB"/>
        </w:rPr>
        <w:tab/>
      </w:r>
      <w:r w:rsidR="003236DD">
        <w:rPr>
          <w:lang w:val="en-GB"/>
        </w:rPr>
        <w:t xml:space="preserve">Responding to both communication Nos. 2257/2013 and 2334/2014, the State party reiterates its position, and additionally submits that it studied the practice of several other countries and found that the restrictions on public events in some countries are more formidable than in Kazakhstan. In the City of New York, for example, it is necessary to request permission 45 days before the event itself, and to indicate the route of the event. The city authorities have a right to move the location of the event, if the requested location is not acceptable. Other authorities, e.g. Sweden, have “black lists” of previously banned organizations. In France, local authorities have a right to prohibit any demonstrations, and in the UK, the authorities have a right to introduce “temporary bans”. </w:t>
      </w:r>
      <w:r w:rsidR="007201E4">
        <w:rPr>
          <w:lang w:val="en-GB"/>
        </w:rPr>
        <w:t xml:space="preserve">In the United Kingdom, street events </w:t>
      </w:r>
      <w:proofErr w:type="gramStart"/>
      <w:r w:rsidR="007201E4">
        <w:rPr>
          <w:lang w:val="en-GB"/>
        </w:rPr>
        <w:t>are allowed</w:t>
      </w:r>
      <w:proofErr w:type="gramEnd"/>
      <w:r w:rsidR="007201E4">
        <w:rPr>
          <w:lang w:val="en-GB"/>
        </w:rPr>
        <w:t xml:space="preserve"> only after receiving permission from police authorities. In Germany, any “mass event, meeting, or a demonstration” inside or outside must be permitted by authorities. </w:t>
      </w:r>
      <w:r w:rsidR="0040570F">
        <w:rPr>
          <w:lang w:val="en-GB"/>
        </w:rPr>
        <w:t xml:space="preserve">In general, </w:t>
      </w:r>
      <w:r w:rsidR="00FE5D8A">
        <w:rPr>
          <w:lang w:val="en-GB"/>
        </w:rPr>
        <w:t xml:space="preserve">during recent years, the European countries have been losing “billions” in damages to public and private property during “multiple pogroms” so that the rights of certain groups to hold mass events </w:t>
      </w:r>
      <w:proofErr w:type="gramStart"/>
      <w:r w:rsidR="00FE5D8A">
        <w:rPr>
          <w:lang w:val="en-GB"/>
        </w:rPr>
        <w:t>can be implemented</w:t>
      </w:r>
      <w:proofErr w:type="gramEnd"/>
      <w:r w:rsidR="00FE5D8A">
        <w:rPr>
          <w:lang w:val="en-GB"/>
        </w:rPr>
        <w:t xml:space="preserve">. Moreover, the work of private, state and transportation networks had to </w:t>
      </w:r>
      <w:proofErr w:type="gramStart"/>
      <w:r w:rsidR="00FE5D8A">
        <w:rPr>
          <w:lang w:val="en-GB"/>
        </w:rPr>
        <w:t>be disrupted</w:t>
      </w:r>
      <w:proofErr w:type="gramEnd"/>
      <w:r w:rsidR="00FE5D8A">
        <w:rPr>
          <w:lang w:val="en-GB"/>
        </w:rPr>
        <w:t xml:space="preserve"> as a result. </w:t>
      </w:r>
    </w:p>
    <w:p w:rsidR="00FE5D8A" w:rsidRDefault="00FE5D8A" w:rsidP="0018247F">
      <w:pPr>
        <w:pStyle w:val="SingleTxtG"/>
        <w:spacing w:line="240" w:lineRule="auto"/>
        <w:rPr>
          <w:lang w:val="en-GB"/>
        </w:rPr>
      </w:pPr>
      <w:r>
        <w:rPr>
          <w:lang w:val="en-GB"/>
        </w:rPr>
        <w:t>4.7</w:t>
      </w:r>
      <w:r>
        <w:rPr>
          <w:lang w:val="en-GB"/>
        </w:rPr>
        <w:tab/>
        <w:t xml:space="preserve">The State party authorities, to protect rights and freedoms of others, public order, as well as transportation system and other infrastructure, have designated special locations for </w:t>
      </w:r>
      <w:r>
        <w:rPr>
          <w:lang w:val="en-GB"/>
        </w:rPr>
        <w:lastRenderedPageBreak/>
        <w:t xml:space="preserve">non-government public events. Currently, almost each regional capital, and some districts have such designated areas, based on decisions of local councils. </w:t>
      </w:r>
    </w:p>
    <w:p w:rsidR="003236DD" w:rsidRDefault="003236DD" w:rsidP="0018247F">
      <w:pPr>
        <w:pStyle w:val="SingleTxtG"/>
        <w:spacing w:line="240" w:lineRule="auto"/>
        <w:rPr>
          <w:lang w:val="en-GB"/>
        </w:rPr>
      </w:pPr>
      <w:r>
        <w:rPr>
          <w:lang w:val="en-GB"/>
        </w:rPr>
        <w:t>4.</w:t>
      </w:r>
      <w:r w:rsidR="004B614C">
        <w:rPr>
          <w:lang w:val="en-GB"/>
        </w:rPr>
        <w:t>8</w:t>
      </w:r>
      <w:r>
        <w:rPr>
          <w:lang w:val="en-GB"/>
        </w:rPr>
        <w:tab/>
        <w:t xml:space="preserve">The State party therefore considers that its laws and regulations are in </w:t>
      </w:r>
      <w:r w:rsidR="00A93022">
        <w:rPr>
          <w:lang w:val="en-GB"/>
        </w:rPr>
        <w:t xml:space="preserve">line with requirements of the established international law, and practice of other countries. At the same time, the author systematically violates the national laws and regulations by organizing, or participating in unauthorized public events. </w:t>
      </w:r>
      <w:r w:rsidR="007201E4">
        <w:rPr>
          <w:lang w:val="en-GB"/>
        </w:rPr>
        <w:t>During 2011-20</w:t>
      </w:r>
      <w:r w:rsidR="001A71E2">
        <w:rPr>
          <w:lang w:val="en-GB"/>
        </w:rPr>
        <w:t>13, the author participated in five</w:t>
      </w:r>
      <w:r w:rsidR="007201E4">
        <w:rPr>
          <w:lang w:val="en-GB"/>
        </w:rPr>
        <w:t xml:space="preserve"> “unauthorized” events. </w:t>
      </w:r>
      <w:r w:rsidR="001A71E2">
        <w:rPr>
          <w:lang w:val="en-GB"/>
        </w:rPr>
        <w:t>As a result, s</w:t>
      </w:r>
      <w:r w:rsidR="007201E4">
        <w:rPr>
          <w:lang w:val="en-GB"/>
        </w:rPr>
        <w:t xml:space="preserve">he </w:t>
      </w:r>
      <w:proofErr w:type="gramStart"/>
      <w:r w:rsidR="007201E4">
        <w:rPr>
          <w:lang w:val="en-GB"/>
        </w:rPr>
        <w:t>has been found guilty of administrative violations, e.g. on 19 January 2012 and fined, but continued to commit similar violations</w:t>
      </w:r>
      <w:proofErr w:type="gramEnd"/>
      <w:r w:rsidR="007201E4">
        <w:rPr>
          <w:lang w:val="en-GB"/>
        </w:rPr>
        <w:t xml:space="preserve">. During 2012 alone, the author </w:t>
      </w:r>
      <w:proofErr w:type="gramStart"/>
      <w:r w:rsidR="007201E4">
        <w:rPr>
          <w:lang w:val="en-GB"/>
        </w:rPr>
        <w:t>was found</w:t>
      </w:r>
      <w:proofErr w:type="gramEnd"/>
      <w:r w:rsidR="007201E4">
        <w:rPr>
          <w:lang w:val="en-GB"/>
        </w:rPr>
        <w:t xml:space="preserve"> guilty four times under article 373(3) of the Code of Administrative Offences. </w:t>
      </w:r>
    </w:p>
    <w:p w:rsidR="007201E4" w:rsidRDefault="00BA186A" w:rsidP="0018247F">
      <w:pPr>
        <w:pStyle w:val="SingleTxtG"/>
        <w:spacing w:line="240" w:lineRule="auto"/>
        <w:rPr>
          <w:lang w:val="en-GB"/>
        </w:rPr>
      </w:pPr>
      <w:r>
        <w:rPr>
          <w:lang w:val="en-GB"/>
        </w:rPr>
        <w:t>4.9</w:t>
      </w:r>
      <w:r w:rsidR="007201E4">
        <w:rPr>
          <w:lang w:val="en-GB"/>
        </w:rPr>
        <w:tab/>
        <w:t xml:space="preserve">The State party analysed these actions, and submits that the author does not have a “true desire” to hold a public event. It </w:t>
      </w:r>
      <w:proofErr w:type="gramStart"/>
      <w:r w:rsidR="007201E4">
        <w:rPr>
          <w:lang w:val="en-GB"/>
        </w:rPr>
        <w:t>has been ascertained</w:t>
      </w:r>
      <w:proofErr w:type="gramEnd"/>
      <w:r w:rsidR="007201E4">
        <w:rPr>
          <w:lang w:val="en-GB"/>
        </w:rPr>
        <w:t xml:space="preserve">, for example, that the author submitted requests to hold public events to authorities of several regions, such as Akmola, South Kazakhstan, West Kazakhstan, </w:t>
      </w:r>
      <w:proofErr w:type="spellStart"/>
      <w:r w:rsidR="007201E4">
        <w:rPr>
          <w:lang w:val="en-GB"/>
        </w:rPr>
        <w:t>Ak</w:t>
      </w:r>
      <w:r w:rsidR="00EE575A">
        <w:rPr>
          <w:lang w:val="en-GB"/>
        </w:rPr>
        <w:t>t</w:t>
      </w:r>
      <w:r w:rsidR="007201E4">
        <w:rPr>
          <w:lang w:val="en-GB"/>
        </w:rPr>
        <w:t>yube</w:t>
      </w:r>
      <w:proofErr w:type="spellEnd"/>
      <w:r w:rsidR="007201E4">
        <w:rPr>
          <w:lang w:val="en-GB"/>
        </w:rPr>
        <w:t xml:space="preserve">, Karaganda, </w:t>
      </w:r>
      <w:proofErr w:type="spellStart"/>
      <w:r w:rsidR="007201E4">
        <w:rPr>
          <w:lang w:val="en-GB"/>
        </w:rPr>
        <w:t>Kostanai</w:t>
      </w:r>
      <w:proofErr w:type="spellEnd"/>
      <w:r w:rsidR="00EE575A">
        <w:rPr>
          <w:lang w:val="en-GB"/>
        </w:rPr>
        <w:t>,</w:t>
      </w:r>
      <w:r w:rsidR="008E0918">
        <w:rPr>
          <w:lang w:val="en-GB"/>
        </w:rPr>
        <w:t xml:space="preserve"> and cities of Astana and Almaty. The requests were to hold a “flash-mob”, on the same date – 26 June 2014 – at the same time, from 11:00 a.m. to 1:00 p.m. But the author did not hold any events as she requested, as the organizers did not show up at the </w:t>
      </w:r>
      <w:proofErr w:type="gramStart"/>
      <w:r w:rsidR="008E0918">
        <w:rPr>
          <w:lang w:val="en-GB"/>
        </w:rPr>
        <w:t>locations  requested</w:t>
      </w:r>
      <w:proofErr w:type="gramEnd"/>
      <w:r w:rsidR="008E0918">
        <w:rPr>
          <w:lang w:val="en-GB"/>
        </w:rPr>
        <w:t xml:space="preserve"> from the authorities, or</w:t>
      </w:r>
      <w:r w:rsidR="00D654DA">
        <w:rPr>
          <w:lang w:val="en-GB"/>
        </w:rPr>
        <w:t xml:space="preserve"> at</w:t>
      </w:r>
      <w:r w:rsidR="008E0918">
        <w:rPr>
          <w:lang w:val="en-GB"/>
        </w:rPr>
        <w:t xml:space="preserve"> alternative locations as suggested by the local authorities. Therefore, it can be concluded that in absolute majority of these cases, the author simply “imitated” being active as a human rights defender. </w:t>
      </w:r>
    </w:p>
    <w:p w:rsidR="0040570F" w:rsidRDefault="00BA186A" w:rsidP="0018247F">
      <w:pPr>
        <w:pStyle w:val="SingleTxtG"/>
        <w:spacing w:line="240" w:lineRule="auto"/>
        <w:rPr>
          <w:lang w:val="en-GB"/>
        </w:rPr>
      </w:pPr>
      <w:r>
        <w:rPr>
          <w:lang w:val="en-GB"/>
        </w:rPr>
        <w:t>4.10</w:t>
      </w:r>
      <w:r w:rsidR="0040570F">
        <w:rPr>
          <w:lang w:val="en-GB"/>
        </w:rPr>
        <w:tab/>
        <w:t>Regarding communication No. 2334/2014, the State party reiterates its position on articles 19 and 21, and add</w:t>
      </w:r>
      <w:r w:rsidR="00EE575A">
        <w:rPr>
          <w:lang w:val="en-GB"/>
        </w:rPr>
        <w:t>s</w:t>
      </w:r>
      <w:r w:rsidR="0040570F">
        <w:rPr>
          <w:lang w:val="en-GB"/>
        </w:rPr>
        <w:t xml:space="preserve"> the following. The State party confirms that the Almaty city authorities </w:t>
      </w:r>
      <w:proofErr w:type="gramStart"/>
      <w:r w:rsidR="0040570F">
        <w:rPr>
          <w:lang w:val="en-GB"/>
        </w:rPr>
        <w:t>were indeed asked</w:t>
      </w:r>
      <w:proofErr w:type="gramEnd"/>
      <w:r w:rsidR="0040570F">
        <w:rPr>
          <w:lang w:val="en-GB"/>
        </w:rPr>
        <w:t xml:space="preserve"> for a permission to hold a one-person picket near Independence Monument on 30 July 2012, stating that there is only one location for such events, which is located behind “</w:t>
      </w:r>
      <w:proofErr w:type="spellStart"/>
      <w:r w:rsidR="0040570F">
        <w:rPr>
          <w:lang w:val="en-GB"/>
        </w:rPr>
        <w:t>Sary</w:t>
      </w:r>
      <w:proofErr w:type="spellEnd"/>
      <w:r w:rsidR="0040570F">
        <w:rPr>
          <w:lang w:val="en-GB"/>
        </w:rPr>
        <w:t xml:space="preserve"> </w:t>
      </w:r>
      <w:proofErr w:type="spellStart"/>
      <w:r w:rsidR="0040570F">
        <w:rPr>
          <w:lang w:val="en-GB"/>
        </w:rPr>
        <w:t>Arka</w:t>
      </w:r>
      <w:proofErr w:type="spellEnd"/>
      <w:r w:rsidR="0040570F">
        <w:rPr>
          <w:lang w:val="en-GB"/>
        </w:rPr>
        <w:t xml:space="preserve">” cinema. The author did not make use of this opportunity, and instead, filed a complaint with courts. The final decision of the Supreme Court of Kazakhstan </w:t>
      </w:r>
      <w:proofErr w:type="gramStart"/>
      <w:r w:rsidR="0040570F">
        <w:rPr>
          <w:lang w:val="en-GB"/>
        </w:rPr>
        <w:t>was issued</w:t>
      </w:r>
      <w:proofErr w:type="gramEnd"/>
      <w:r w:rsidR="0040570F">
        <w:rPr>
          <w:lang w:val="en-GB"/>
        </w:rPr>
        <w:t xml:space="preserve"> in this case on 8 August 2013. The court concluded that the decision by the city authorities to assign one location to non-government public events did not violate the author’s rights. </w:t>
      </w:r>
    </w:p>
    <w:p w:rsidR="0040570F" w:rsidRDefault="00BA186A" w:rsidP="0018247F">
      <w:pPr>
        <w:pStyle w:val="SingleTxtG"/>
        <w:spacing w:line="240" w:lineRule="auto"/>
        <w:rPr>
          <w:lang w:val="en-GB"/>
        </w:rPr>
      </w:pPr>
      <w:r>
        <w:rPr>
          <w:lang w:val="en-GB"/>
        </w:rPr>
        <w:t>4.11</w:t>
      </w:r>
      <w:r w:rsidR="00FE5D8A">
        <w:rPr>
          <w:lang w:val="en-GB"/>
        </w:rPr>
        <w:tab/>
        <w:t xml:space="preserve">The State party further submits that the author also failed to exhaust domestic remedies in this communication as well. </w:t>
      </w:r>
      <w:r w:rsidR="00FB0E8C">
        <w:rPr>
          <w:lang w:val="en-GB"/>
        </w:rPr>
        <w:t>It is true that the Deputy Prosecutor General rejected the author’s request to file a supervisory review on 22 October 2013. According to articles 384 and 385 of the Civil Procedure Code, the author had the right to request the Prosecutor General to file a supervisory review (protest) before the Supreme Court of Kazakhstan. The author failed to file such a complaint, and her communication before the Committee should therefore be considered inadmissible under 5(2</w:t>
      </w:r>
      <w:proofErr w:type="gramStart"/>
      <w:r w:rsidR="00FB0E8C">
        <w:rPr>
          <w:lang w:val="en-GB"/>
        </w:rPr>
        <w:t>)(</w:t>
      </w:r>
      <w:proofErr w:type="gramEnd"/>
      <w:r w:rsidR="00FB0E8C">
        <w:rPr>
          <w:lang w:val="en-GB"/>
        </w:rPr>
        <w:t xml:space="preserve">b) of the Optional Protocol. </w:t>
      </w:r>
    </w:p>
    <w:p w:rsidR="0062476F" w:rsidRPr="008707D0" w:rsidRDefault="007E1B7A" w:rsidP="007E1B7A">
      <w:pPr>
        <w:pStyle w:val="H23G"/>
      </w:pPr>
      <w:r>
        <w:rPr>
          <w:snapToGrid w:val="0"/>
        </w:rPr>
        <w:tab/>
      </w:r>
      <w:r>
        <w:rPr>
          <w:snapToGrid w:val="0"/>
        </w:rPr>
        <w:tab/>
      </w:r>
      <w:r w:rsidR="0062476F" w:rsidRPr="00556895">
        <w:rPr>
          <w:snapToGrid w:val="0"/>
        </w:rPr>
        <w:t>Author’s comments on the State party’s observations on admissibility and merits</w:t>
      </w:r>
    </w:p>
    <w:p w:rsidR="0040570F" w:rsidRDefault="0062476F" w:rsidP="0018247F">
      <w:pPr>
        <w:pStyle w:val="SingleTxtG"/>
        <w:spacing w:line="240" w:lineRule="auto"/>
        <w:rPr>
          <w:lang w:val="en-GB"/>
        </w:rPr>
      </w:pPr>
      <w:r>
        <w:rPr>
          <w:lang w:val="en-GB"/>
        </w:rPr>
        <w:t>5.1</w:t>
      </w:r>
      <w:r>
        <w:rPr>
          <w:lang w:val="en-GB"/>
        </w:rPr>
        <w:tab/>
      </w:r>
      <w:r w:rsidR="00C16B1F">
        <w:rPr>
          <w:lang w:val="en-GB"/>
        </w:rPr>
        <w:t>On the events of 28 April 2012, t</w:t>
      </w:r>
      <w:r w:rsidR="00461218">
        <w:rPr>
          <w:lang w:val="en-GB"/>
        </w:rPr>
        <w:t xml:space="preserve">he author disputes the State party’s assertion that she failed to exhaust domestic remedies by not asking the Prosecutor’s Office to file a supervisory complaint. On 8 November 2012, she filed such a request, which </w:t>
      </w:r>
      <w:proofErr w:type="gramStart"/>
      <w:r w:rsidR="00461218">
        <w:rPr>
          <w:lang w:val="en-GB"/>
        </w:rPr>
        <w:t>was rejected</w:t>
      </w:r>
      <w:proofErr w:type="gramEnd"/>
      <w:r w:rsidR="00461218">
        <w:rPr>
          <w:lang w:val="en-GB"/>
        </w:rPr>
        <w:t xml:space="preserve"> on 7 February 2013. </w:t>
      </w:r>
    </w:p>
    <w:p w:rsidR="00461218" w:rsidRDefault="00461218" w:rsidP="0018247F">
      <w:pPr>
        <w:pStyle w:val="SingleTxtG"/>
        <w:spacing w:line="240" w:lineRule="auto"/>
        <w:rPr>
          <w:lang w:val="en-GB"/>
        </w:rPr>
      </w:pPr>
      <w:r>
        <w:rPr>
          <w:lang w:val="en-GB"/>
        </w:rPr>
        <w:t>5.2</w:t>
      </w:r>
      <w:r>
        <w:rPr>
          <w:lang w:val="en-GB"/>
        </w:rPr>
        <w:tab/>
        <w:t xml:space="preserve">The author’s actions never threatened public order or security of others. It is clear that the author </w:t>
      </w:r>
      <w:proofErr w:type="gramStart"/>
      <w:r>
        <w:rPr>
          <w:lang w:val="en-GB"/>
        </w:rPr>
        <w:t>was sanctioned</w:t>
      </w:r>
      <w:proofErr w:type="gramEnd"/>
      <w:r>
        <w:rPr>
          <w:lang w:val="en-GB"/>
        </w:rPr>
        <w:t xml:space="preserve"> because her message does not coin</w:t>
      </w:r>
      <w:r w:rsidR="00B37A68">
        <w:rPr>
          <w:lang w:val="en-GB"/>
        </w:rPr>
        <w:t xml:space="preserve">cide with public opinion of the authorities. The location that </w:t>
      </w:r>
      <w:proofErr w:type="gramStart"/>
      <w:r w:rsidR="00B37A68">
        <w:rPr>
          <w:lang w:val="en-GB"/>
        </w:rPr>
        <w:t>was offered</w:t>
      </w:r>
      <w:proofErr w:type="gramEnd"/>
      <w:r w:rsidR="00B37A68">
        <w:rPr>
          <w:lang w:val="en-GB"/>
        </w:rPr>
        <w:t xml:space="preserve"> by the authorities, cannot serve as a venue for public events, since it is located far from the centre, which is hard to reach for the citizens. Moreover, during that time, the area around the cinema </w:t>
      </w:r>
      <w:proofErr w:type="gramStart"/>
      <w:r w:rsidR="00B37A68">
        <w:rPr>
          <w:lang w:val="en-GB"/>
        </w:rPr>
        <w:t>was being renovated and closed off for access to public</w:t>
      </w:r>
      <w:proofErr w:type="gramEnd"/>
      <w:r w:rsidR="00B37A68">
        <w:rPr>
          <w:lang w:val="en-GB"/>
        </w:rPr>
        <w:t xml:space="preserve">. </w:t>
      </w:r>
    </w:p>
    <w:p w:rsidR="00B37A68" w:rsidRDefault="00B37A68" w:rsidP="0018247F">
      <w:pPr>
        <w:pStyle w:val="SingleTxtG"/>
        <w:spacing w:line="240" w:lineRule="auto"/>
        <w:rPr>
          <w:lang w:val="en-US"/>
        </w:rPr>
      </w:pPr>
      <w:r>
        <w:rPr>
          <w:lang w:val="en-GB"/>
        </w:rPr>
        <w:t>5.3</w:t>
      </w:r>
      <w:r>
        <w:rPr>
          <w:lang w:val="en-GB"/>
        </w:rPr>
        <w:tab/>
        <w:t>Any limitation placed on freedom of assembly must also be proportionate. B</w:t>
      </w:r>
      <w:r>
        <w:rPr>
          <w:lang w:val="en-US"/>
        </w:rPr>
        <w:t xml:space="preserve">y following the law, the State party </w:t>
      </w:r>
      <w:r w:rsidR="00D654DA">
        <w:rPr>
          <w:lang w:val="en-US"/>
        </w:rPr>
        <w:t>must</w:t>
      </w:r>
      <w:r>
        <w:rPr>
          <w:lang w:val="en-US"/>
        </w:rPr>
        <w:t xml:space="preserve"> nevertheless choose restrictions </w:t>
      </w:r>
      <w:proofErr w:type="gramStart"/>
      <w:r>
        <w:rPr>
          <w:lang w:val="en-US"/>
        </w:rPr>
        <w:t>that are less intrusive and would still allow holding an event</w:t>
      </w:r>
      <w:proofErr w:type="gramEnd"/>
      <w:r>
        <w:rPr>
          <w:lang w:val="en-US"/>
        </w:rPr>
        <w:t xml:space="preserve">. The restrictions in conformity with law must not be applied automatically, but consider individual circumstances of each event. Banning the protest or an event must be a measure of last resort, if no other restrictions are available. The State party violated all these principles. </w:t>
      </w:r>
      <w:r w:rsidR="00B17AA6">
        <w:rPr>
          <w:lang w:val="en-US"/>
        </w:rPr>
        <w:t xml:space="preserve">By arresting and sentencing the author to 15 days of imprisonment, the State party authorities showed once again that the international obligations of Kazakhstan </w:t>
      </w:r>
      <w:proofErr w:type="gramStart"/>
      <w:r w:rsidR="00B17AA6">
        <w:rPr>
          <w:lang w:val="en-US"/>
        </w:rPr>
        <w:t>are not taken</w:t>
      </w:r>
      <w:proofErr w:type="gramEnd"/>
      <w:r w:rsidR="00B17AA6">
        <w:rPr>
          <w:lang w:val="en-US"/>
        </w:rPr>
        <w:t xml:space="preserve"> seriously. </w:t>
      </w:r>
    </w:p>
    <w:p w:rsidR="004717AB" w:rsidRDefault="004717AB" w:rsidP="0018247F">
      <w:pPr>
        <w:pStyle w:val="SingleTxtG"/>
        <w:spacing w:line="240" w:lineRule="auto"/>
        <w:rPr>
          <w:lang w:val="en-US"/>
        </w:rPr>
      </w:pPr>
      <w:r>
        <w:rPr>
          <w:lang w:val="en-US"/>
        </w:rPr>
        <w:lastRenderedPageBreak/>
        <w:t>5.4</w:t>
      </w:r>
      <w:r>
        <w:rPr>
          <w:lang w:val="en-US"/>
        </w:rPr>
        <w:tab/>
      </w:r>
      <w:r w:rsidR="00C16B1F">
        <w:rPr>
          <w:lang w:val="en-US"/>
        </w:rPr>
        <w:t>On 28 April 2012, t</w:t>
      </w:r>
      <w:r>
        <w:rPr>
          <w:lang w:val="en-US"/>
        </w:rPr>
        <w:t xml:space="preserve">he author did not even get the chance to participate in the event. She </w:t>
      </w:r>
      <w:proofErr w:type="gramStart"/>
      <w:r>
        <w:rPr>
          <w:lang w:val="en-US"/>
        </w:rPr>
        <w:t>was arrested</w:t>
      </w:r>
      <w:proofErr w:type="gramEnd"/>
      <w:r>
        <w:rPr>
          <w:lang w:val="en-US"/>
        </w:rPr>
        <w:t xml:space="preserve"> when she was leaving her apartment. The event itself </w:t>
      </w:r>
      <w:proofErr w:type="gramStart"/>
      <w:r>
        <w:rPr>
          <w:lang w:val="en-US"/>
        </w:rPr>
        <w:t>was carried out</w:t>
      </w:r>
      <w:proofErr w:type="gramEnd"/>
      <w:r>
        <w:rPr>
          <w:lang w:val="en-US"/>
        </w:rPr>
        <w:t xml:space="preserve"> without her, and was held peacefully, which shows once again that it was not necessary to arrest and imprison the author. In any case, the freedom of assembly is considered </w:t>
      </w:r>
      <w:proofErr w:type="gramStart"/>
      <w:r>
        <w:rPr>
          <w:lang w:val="en-US"/>
        </w:rPr>
        <w:t>to be one</w:t>
      </w:r>
      <w:proofErr w:type="gramEnd"/>
      <w:r>
        <w:rPr>
          <w:lang w:val="en-US"/>
        </w:rPr>
        <w:t xml:space="preserve"> of the fundamental rights, and the potential participants of such events should not</w:t>
      </w:r>
      <w:r w:rsidR="008C7B5D">
        <w:rPr>
          <w:lang w:val="en-US"/>
        </w:rPr>
        <w:t xml:space="preserve"> have to</w:t>
      </w:r>
      <w:r>
        <w:rPr>
          <w:lang w:val="en-US"/>
        </w:rPr>
        <w:t xml:space="preserve"> ask for permission from authorities to participate. The law on mass events, article 10, does foresee local authorities further regulating the conduct of such events, but the law does not allow the authorities to limit the location of events only to one place. </w:t>
      </w:r>
    </w:p>
    <w:p w:rsidR="004717AB" w:rsidRDefault="004717AB" w:rsidP="0018247F">
      <w:pPr>
        <w:pStyle w:val="SingleTxtG"/>
        <w:spacing w:line="240" w:lineRule="auto"/>
        <w:rPr>
          <w:lang w:val="en-US"/>
        </w:rPr>
      </w:pPr>
      <w:r>
        <w:rPr>
          <w:lang w:val="en-US"/>
        </w:rPr>
        <w:t>5.5</w:t>
      </w:r>
      <w:r>
        <w:rPr>
          <w:lang w:val="en-US"/>
        </w:rPr>
        <w:tab/>
        <w:t>Instead of responding on substance, the State party authorities accuse</w:t>
      </w:r>
      <w:r w:rsidR="009A60FE">
        <w:rPr>
          <w:lang w:val="en-US"/>
        </w:rPr>
        <w:t>d</w:t>
      </w:r>
      <w:r>
        <w:rPr>
          <w:lang w:val="en-US"/>
        </w:rPr>
        <w:t xml:space="preserve"> the author </w:t>
      </w:r>
      <w:r w:rsidR="00013B1E">
        <w:rPr>
          <w:lang w:val="en-US"/>
        </w:rPr>
        <w:t>of repeatedly violating Kazakh laws. The author confirms that she has been charged and sentenced</w:t>
      </w:r>
      <w:r w:rsidR="007E0FB1">
        <w:rPr>
          <w:lang w:val="en-US"/>
        </w:rPr>
        <w:t xml:space="preserve"> five times</w:t>
      </w:r>
      <w:r w:rsidR="00013B1E">
        <w:rPr>
          <w:lang w:val="en-US"/>
        </w:rPr>
        <w:t xml:space="preserve"> for violating article 373(3) of the Code of Administrative Offences for exercising her right to peaceful assembly</w:t>
      </w:r>
      <w:r w:rsidR="007E0FB1">
        <w:rPr>
          <w:lang w:val="en-US"/>
        </w:rPr>
        <w:t>, and asks the Committee to consider this fact when adopting its decision</w:t>
      </w:r>
      <w:r w:rsidR="00013B1E">
        <w:rPr>
          <w:lang w:val="en-US"/>
        </w:rPr>
        <w:t xml:space="preserve">. </w:t>
      </w:r>
    </w:p>
    <w:p w:rsidR="00FC0A2E" w:rsidRDefault="00013B1E" w:rsidP="00FC0A2E">
      <w:pPr>
        <w:pStyle w:val="SingleTxtG"/>
        <w:spacing w:line="240" w:lineRule="auto"/>
        <w:rPr>
          <w:lang w:val="en-US"/>
        </w:rPr>
      </w:pPr>
      <w:r>
        <w:rPr>
          <w:lang w:val="en-US"/>
        </w:rPr>
        <w:t>5.6</w:t>
      </w:r>
      <w:r>
        <w:rPr>
          <w:lang w:val="en-US"/>
        </w:rPr>
        <w:tab/>
        <w:t xml:space="preserve">The State party further list some countries, which have a “notification system”, as opposed to the “permission system” in Kazakhstan. </w:t>
      </w:r>
      <w:r w:rsidR="001E2513">
        <w:rPr>
          <w:lang w:val="en-US"/>
        </w:rPr>
        <w:t xml:space="preserve">In October 2012, the author went to the United States, where she held a small protest in front of the White House in Washington, D.C., along with a Kazakh journalist, Mr. L.A. They did not seek any permissions, </w:t>
      </w:r>
      <w:proofErr w:type="gramStart"/>
      <w:r w:rsidR="001E2513">
        <w:rPr>
          <w:lang w:val="en-US"/>
        </w:rPr>
        <w:t>were allowed</w:t>
      </w:r>
      <w:proofErr w:type="gramEnd"/>
      <w:r w:rsidR="001E2513">
        <w:rPr>
          <w:lang w:val="en-US"/>
        </w:rPr>
        <w:t xml:space="preserve"> to protest and did not </w:t>
      </w:r>
      <w:r w:rsidR="00E44803">
        <w:rPr>
          <w:lang w:val="en-US"/>
        </w:rPr>
        <w:t>f</w:t>
      </w:r>
      <w:r w:rsidR="001E2513">
        <w:rPr>
          <w:lang w:val="en-US"/>
        </w:rPr>
        <w:t xml:space="preserve">ace an administrative fine or arrest. In Warsaw, Poland, the author also participated in several protests of about ten people, which did not require permission. </w:t>
      </w:r>
    </w:p>
    <w:p w:rsidR="001E2513" w:rsidRDefault="001E2513" w:rsidP="0018247F">
      <w:pPr>
        <w:pStyle w:val="SingleTxtG"/>
        <w:spacing w:line="240" w:lineRule="auto"/>
        <w:rPr>
          <w:lang w:val="en-US"/>
        </w:rPr>
      </w:pPr>
      <w:r>
        <w:rPr>
          <w:lang w:val="en-US"/>
        </w:rPr>
        <w:t>5.7</w:t>
      </w:r>
      <w:r>
        <w:rPr>
          <w:lang w:val="en-US"/>
        </w:rPr>
        <w:tab/>
        <w:t>The State party also attempt</w:t>
      </w:r>
      <w:r w:rsidR="00FC0A2E">
        <w:rPr>
          <w:lang w:val="en-US"/>
        </w:rPr>
        <w:t>ed</w:t>
      </w:r>
      <w:r>
        <w:rPr>
          <w:lang w:val="en-US"/>
        </w:rPr>
        <w:t xml:space="preserve"> to insult the author by stating that instead of being a human rights defender, she “imitates” activity. The author confirms filing 30 requests for public events, but for all these requests, she received a refusal. She did not want to </w:t>
      </w:r>
      <w:proofErr w:type="gramStart"/>
      <w:r>
        <w:rPr>
          <w:lang w:val="en-US"/>
        </w:rPr>
        <w:t>be jailed</w:t>
      </w:r>
      <w:proofErr w:type="gramEnd"/>
      <w:r>
        <w:rPr>
          <w:lang w:val="en-US"/>
        </w:rPr>
        <w:t xml:space="preserve"> for 15 days again, so she did not participate in these events. In addition to the present communications, the author filed three separate complaints with the UN Special Rapporteur on freedom of assembly</w:t>
      </w:r>
      <w:r w:rsidR="003C3475">
        <w:rPr>
          <w:lang w:val="en-US"/>
        </w:rPr>
        <w:t>.</w:t>
      </w:r>
      <w:r w:rsidR="00FE636B">
        <w:rPr>
          <w:rStyle w:val="FootnoteReference"/>
          <w:lang w:val="en-US"/>
        </w:rPr>
        <w:footnoteReference w:id="4"/>
      </w:r>
      <w:r>
        <w:rPr>
          <w:lang w:val="en-US"/>
        </w:rPr>
        <w:t xml:space="preserve"> </w:t>
      </w:r>
    </w:p>
    <w:p w:rsidR="00FC0A2E" w:rsidRDefault="00FC0A2E" w:rsidP="0018247F">
      <w:pPr>
        <w:pStyle w:val="SingleTxtG"/>
        <w:spacing w:line="240" w:lineRule="auto"/>
        <w:rPr>
          <w:lang w:val="en-US"/>
        </w:rPr>
      </w:pPr>
      <w:r>
        <w:rPr>
          <w:lang w:val="en-US"/>
        </w:rPr>
        <w:t>5.8</w:t>
      </w:r>
      <w:r>
        <w:rPr>
          <w:lang w:val="en-US"/>
        </w:rPr>
        <w:tab/>
        <w:t xml:space="preserve">Regarding </w:t>
      </w:r>
      <w:r w:rsidR="008C7B5D">
        <w:rPr>
          <w:lang w:val="en-US"/>
        </w:rPr>
        <w:t>the</w:t>
      </w:r>
      <w:r>
        <w:rPr>
          <w:lang w:val="en-US"/>
        </w:rPr>
        <w:t xml:space="preserve"> prohibition </w:t>
      </w:r>
      <w:r w:rsidR="008C7B5D">
        <w:rPr>
          <w:lang w:val="en-US"/>
        </w:rPr>
        <w:t>on</w:t>
      </w:r>
      <w:r>
        <w:rPr>
          <w:lang w:val="en-US"/>
        </w:rPr>
        <w:t xml:space="preserve"> hold</w:t>
      </w:r>
      <w:r w:rsidR="008C7B5D">
        <w:rPr>
          <w:lang w:val="en-US"/>
        </w:rPr>
        <w:t>ing</w:t>
      </w:r>
      <w:r>
        <w:rPr>
          <w:lang w:val="en-US"/>
        </w:rPr>
        <w:t xml:space="preserve"> a one-person picket</w:t>
      </w:r>
      <w:r w:rsidR="00525BF0">
        <w:rPr>
          <w:lang w:val="en-US"/>
        </w:rPr>
        <w:t xml:space="preserve"> (communication 2334/2014)</w:t>
      </w:r>
      <w:proofErr w:type="gramStart"/>
      <w:r>
        <w:rPr>
          <w:lang w:val="en-US"/>
        </w:rPr>
        <w:t>,</w:t>
      </w:r>
      <w:proofErr w:type="gramEnd"/>
      <w:r>
        <w:rPr>
          <w:lang w:val="en-US"/>
        </w:rPr>
        <w:t xml:space="preserve"> the author submits that it also did not threaten public order, or rights and freedoms of other persons. Therefore, the refusal by the State party to </w:t>
      </w:r>
      <w:r w:rsidR="008C7B5D">
        <w:rPr>
          <w:lang w:val="en-US"/>
        </w:rPr>
        <w:t>allow</w:t>
      </w:r>
      <w:r>
        <w:rPr>
          <w:lang w:val="en-US"/>
        </w:rPr>
        <w:t xml:space="preserve"> the event was a violation of the author’s rights under article 21. </w:t>
      </w:r>
      <w:r w:rsidR="008C7B5D">
        <w:rPr>
          <w:lang w:val="en-US"/>
        </w:rPr>
        <w:t>According to the</w:t>
      </w:r>
      <w:r>
        <w:rPr>
          <w:lang w:val="en-US"/>
        </w:rPr>
        <w:t xml:space="preserve"> Committee’s general comment No. 10, while the authorities can impose certain restrictions, these limitations cannot threaten the very right of freedom of assembly, </w:t>
      </w:r>
      <w:proofErr w:type="gramStart"/>
      <w:r>
        <w:rPr>
          <w:lang w:val="en-US"/>
        </w:rPr>
        <w:t>must be narrowly tailored</w:t>
      </w:r>
      <w:proofErr w:type="gramEnd"/>
      <w:r>
        <w:rPr>
          <w:lang w:val="en-US"/>
        </w:rPr>
        <w:t xml:space="preserve"> to serve its purpose, and must be in conformity with law. In its decision, the local council, when identifying a location where non-government public events </w:t>
      </w:r>
      <w:proofErr w:type="gramStart"/>
      <w:r>
        <w:rPr>
          <w:lang w:val="en-US"/>
        </w:rPr>
        <w:t>were allowed</w:t>
      </w:r>
      <w:proofErr w:type="gramEnd"/>
      <w:r>
        <w:rPr>
          <w:lang w:val="en-US"/>
        </w:rPr>
        <w:t>, did not indicate a reason why it was necessary to hold events at that location, behind “</w:t>
      </w:r>
      <w:proofErr w:type="spellStart"/>
      <w:r>
        <w:rPr>
          <w:lang w:val="en-US"/>
        </w:rPr>
        <w:t>Sary</w:t>
      </w:r>
      <w:proofErr w:type="spellEnd"/>
      <w:r>
        <w:rPr>
          <w:lang w:val="en-US"/>
        </w:rPr>
        <w:t xml:space="preserve"> </w:t>
      </w:r>
      <w:proofErr w:type="spellStart"/>
      <w:r>
        <w:rPr>
          <w:lang w:val="en-US"/>
        </w:rPr>
        <w:t>Arka</w:t>
      </w:r>
      <w:proofErr w:type="spellEnd"/>
      <w:r>
        <w:rPr>
          <w:lang w:val="en-US"/>
        </w:rPr>
        <w:t xml:space="preserve">” cinema. </w:t>
      </w:r>
    </w:p>
    <w:p w:rsidR="00FC0A2E" w:rsidRDefault="00FC0A2E" w:rsidP="0018247F">
      <w:pPr>
        <w:pStyle w:val="SingleTxtG"/>
        <w:spacing w:line="240" w:lineRule="auto"/>
        <w:rPr>
          <w:lang w:val="en-US"/>
        </w:rPr>
      </w:pPr>
      <w:r>
        <w:rPr>
          <w:lang w:val="en-US"/>
        </w:rPr>
        <w:t>5.9</w:t>
      </w:r>
      <w:r>
        <w:rPr>
          <w:lang w:val="en-US"/>
        </w:rPr>
        <w:tab/>
        <w:t xml:space="preserve">Furthermore, the law on mass events also requires pickets and demonstrations to </w:t>
      </w:r>
      <w:r w:rsidR="00EE575A">
        <w:rPr>
          <w:lang w:val="en-US"/>
        </w:rPr>
        <w:t>consist</w:t>
      </w:r>
      <w:r>
        <w:rPr>
          <w:lang w:val="en-US"/>
        </w:rPr>
        <w:t xml:space="preserve"> of two persons – one person as an organizer, and the second person as “responsible for safety”. According to this law itself, a one-person picket is not a public event, and does not require a permission from authorities. </w:t>
      </w:r>
    </w:p>
    <w:p w:rsidR="00060378" w:rsidRPr="006B0676" w:rsidRDefault="007E1B7A" w:rsidP="007E1B7A">
      <w:pPr>
        <w:pStyle w:val="H23G"/>
      </w:pPr>
      <w:r>
        <w:tab/>
      </w:r>
      <w:r>
        <w:tab/>
      </w:r>
      <w:r w:rsidR="00060378" w:rsidRPr="006B0676">
        <w:t>Issues and proceedings before the Committee</w:t>
      </w:r>
    </w:p>
    <w:p w:rsidR="001B0994" w:rsidRPr="006B0676" w:rsidRDefault="001B0994" w:rsidP="007E1B7A">
      <w:pPr>
        <w:pStyle w:val="H4G"/>
      </w:pPr>
      <w:r w:rsidRPr="006B0676">
        <w:rPr>
          <w:b/>
        </w:rPr>
        <w:tab/>
      </w:r>
      <w:r w:rsidRPr="006B0676">
        <w:rPr>
          <w:b/>
        </w:rPr>
        <w:tab/>
      </w:r>
      <w:r w:rsidRPr="006B0676">
        <w:t>Consideration of admissibility</w:t>
      </w:r>
    </w:p>
    <w:p w:rsidR="00316EF0" w:rsidRPr="006B0676" w:rsidRDefault="00F53486" w:rsidP="00316EF0">
      <w:pPr>
        <w:pStyle w:val="SingleTxtG"/>
        <w:spacing w:line="240" w:lineRule="auto"/>
        <w:rPr>
          <w:lang w:val="en-GB"/>
        </w:rPr>
      </w:pPr>
      <w:r>
        <w:rPr>
          <w:lang w:val="en-GB"/>
        </w:rPr>
        <w:t>6</w:t>
      </w:r>
      <w:r w:rsidR="001B0994" w:rsidRPr="006B0676">
        <w:rPr>
          <w:lang w:val="en-GB"/>
        </w:rPr>
        <w:t>.1</w:t>
      </w:r>
      <w:r w:rsidR="001B0994" w:rsidRPr="006B0676">
        <w:rPr>
          <w:lang w:val="en-GB"/>
        </w:rPr>
        <w:tab/>
        <w:t>Before considering any claim contained in a communication, the Committee must decide, in accordance with article 93 of its rules of procedure, whether the communication is admissible under the Optional Protoc</w:t>
      </w:r>
      <w:r w:rsidR="006A48B4" w:rsidRPr="006B0676">
        <w:rPr>
          <w:lang w:val="en-GB"/>
        </w:rPr>
        <w:t>ol</w:t>
      </w:r>
      <w:r w:rsidR="001B0994" w:rsidRPr="006B0676">
        <w:rPr>
          <w:lang w:val="en-GB"/>
        </w:rPr>
        <w:t>.</w:t>
      </w:r>
    </w:p>
    <w:p w:rsidR="00316EF0" w:rsidRPr="006B0676" w:rsidRDefault="00F53486" w:rsidP="00316EF0">
      <w:pPr>
        <w:pStyle w:val="SingleTxtG"/>
        <w:spacing w:line="240" w:lineRule="auto"/>
        <w:rPr>
          <w:lang w:val="en-GB"/>
        </w:rPr>
      </w:pPr>
      <w:r>
        <w:rPr>
          <w:lang w:val="en-GB"/>
        </w:rPr>
        <w:t>6</w:t>
      </w:r>
      <w:r w:rsidR="00316EF0" w:rsidRPr="006B0676">
        <w:rPr>
          <w:lang w:val="en-GB"/>
        </w:rPr>
        <w:t>.</w:t>
      </w:r>
      <w:r w:rsidR="00FD47BC">
        <w:rPr>
          <w:lang w:val="en-GB"/>
        </w:rPr>
        <w:t>2</w:t>
      </w:r>
      <w:r w:rsidR="0062532C" w:rsidRPr="006B0676">
        <w:rPr>
          <w:lang w:val="en-GB"/>
        </w:rPr>
        <w:tab/>
      </w:r>
      <w:r w:rsidR="00660FF3" w:rsidRPr="006B0676">
        <w:rPr>
          <w:lang w:val="en-GB"/>
        </w:rPr>
        <w:t>As required, under article 5(2</w:t>
      </w:r>
      <w:proofErr w:type="gramStart"/>
      <w:r w:rsidR="00660FF3" w:rsidRPr="006B0676">
        <w:rPr>
          <w:lang w:val="en-GB"/>
        </w:rPr>
        <w:t>)(</w:t>
      </w:r>
      <w:proofErr w:type="gramEnd"/>
      <w:r w:rsidR="00660FF3" w:rsidRPr="006B0676">
        <w:rPr>
          <w:lang w:val="en-GB"/>
        </w:rPr>
        <w:t xml:space="preserve">a) of the Optional Protocol, the Committee has ascertained that the same matter is not being examined under another procedure of international investigation or settlement. </w:t>
      </w:r>
    </w:p>
    <w:p w:rsidR="002778AD" w:rsidRDefault="00F53486" w:rsidP="002778AD">
      <w:pPr>
        <w:pStyle w:val="SingleTxtG"/>
        <w:rPr>
          <w:lang w:val="en-GB"/>
        </w:rPr>
      </w:pPr>
      <w:r>
        <w:rPr>
          <w:lang w:val="en-GB"/>
        </w:rPr>
        <w:t>6</w:t>
      </w:r>
      <w:r w:rsidR="006F588C" w:rsidRPr="006B0676">
        <w:rPr>
          <w:lang w:val="en-GB"/>
        </w:rPr>
        <w:t>.3</w:t>
      </w:r>
      <w:r w:rsidR="006F588C" w:rsidRPr="006B0676">
        <w:rPr>
          <w:lang w:val="en-GB"/>
        </w:rPr>
        <w:tab/>
        <w:t xml:space="preserve">The Committee notes </w:t>
      </w:r>
      <w:r w:rsidR="002778AD" w:rsidRPr="006B0676">
        <w:rPr>
          <w:lang w:val="en-GB"/>
        </w:rPr>
        <w:t xml:space="preserve">the State party’s contention that </w:t>
      </w:r>
      <w:r w:rsidR="00FC0A2E">
        <w:rPr>
          <w:lang w:val="en-GB"/>
        </w:rPr>
        <w:t>the author</w:t>
      </w:r>
      <w:r w:rsidR="002778AD" w:rsidRPr="006B0676">
        <w:rPr>
          <w:lang w:val="en-GB"/>
        </w:rPr>
        <w:t xml:space="preserve"> failed to exhaust</w:t>
      </w:r>
      <w:r w:rsidR="006F588C" w:rsidRPr="006B0676">
        <w:rPr>
          <w:lang w:val="en-GB"/>
        </w:rPr>
        <w:t xml:space="preserve"> </w:t>
      </w:r>
      <w:r w:rsidR="002778AD" w:rsidRPr="006B0676">
        <w:rPr>
          <w:lang w:val="en-GB"/>
        </w:rPr>
        <w:t xml:space="preserve">all </w:t>
      </w:r>
      <w:r w:rsidR="006F588C" w:rsidRPr="006B0676">
        <w:rPr>
          <w:lang w:val="en-GB"/>
        </w:rPr>
        <w:t xml:space="preserve">domestic remedies available to </w:t>
      </w:r>
      <w:r w:rsidR="00FC0A2E">
        <w:rPr>
          <w:lang w:val="en-GB"/>
        </w:rPr>
        <w:t>her, concerning her present claims</w:t>
      </w:r>
      <w:r w:rsidR="00101B2B">
        <w:rPr>
          <w:lang w:val="en-GB"/>
        </w:rPr>
        <w:t>,</w:t>
      </w:r>
      <w:r w:rsidR="00FC0A2E">
        <w:rPr>
          <w:lang w:val="en-GB"/>
        </w:rPr>
        <w:t xml:space="preserve"> </w:t>
      </w:r>
      <w:r w:rsidR="002778AD" w:rsidRPr="006B0676">
        <w:rPr>
          <w:color w:val="000000"/>
          <w:lang w:val="en-GB"/>
        </w:rPr>
        <w:t>by not filing a supervisory review appeal</w:t>
      </w:r>
      <w:r w:rsidR="002F4395" w:rsidRPr="006B0676">
        <w:rPr>
          <w:color w:val="000000"/>
          <w:lang w:val="en-GB"/>
        </w:rPr>
        <w:t xml:space="preserve"> request to the Prosecutor General’s Office</w:t>
      </w:r>
      <w:r w:rsidR="002778AD" w:rsidRPr="006B0676">
        <w:rPr>
          <w:lang w:val="en-GB"/>
        </w:rPr>
        <w:t xml:space="preserve">. </w:t>
      </w:r>
      <w:proofErr w:type="gramStart"/>
      <w:r w:rsidR="002778AD" w:rsidRPr="006B0676">
        <w:rPr>
          <w:lang w:val="en-GB"/>
        </w:rPr>
        <w:t xml:space="preserve">The Committee recalls its jurisprudence, according to which the filing of requests to a court, or to a prosecutor’s office, </w:t>
      </w:r>
      <w:r w:rsidR="002778AD" w:rsidRPr="006B0676">
        <w:rPr>
          <w:lang w:val="en-GB"/>
        </w:rPr>
        <w:lastRenderedPageBreak/>
        <w:t>for a supervisory review directed against court decisions that have entered into force and depend on the discretionary power of a judge or a prosecutor constitutes an extraordinary remedy and that the State party must show that there is a reasonable prospect that such requests would provide an effective remedy in the circumstances of the case.</w:t>
      </w:r>
      <w:r w:rsidR="002778AD" w:rsidRPr="006B0676">
        <w:rPr>
          <w:rStyle w:val="FootnoteReference"/>
          <w:lang w:val="en-GB"/>
        </w:rPr>
        <w:footnoteReference w:id="5"/>
      </w:r>
      <w:proofErr w:type="gramEnd"/>
      <w:r w:rsidR="002778AD" w:rsidRPr="006B0676">
        <w:rPr>
          <w:lang w:val="en-GB"/>
        </w:rPr>
        <w:t xml:space="preserve"> The State party has not shown, however, whether and in how many cases petitions under supervisory review procedures </w:t>
      </w:r>
      <w:proofErr w:type="gramStart"/>
      <w:r w:rsidR="002778AD" w:rsidRPr="006B0676">
        <w:rPr>
          <w:lang w:val="en-GB"/>
        </w:rPr>
        <w:t>were applied</w:t>
      </w:r>
      <w:proofErr w:type="gramEnd"/>
      <w:r w:rsidR="002778AD" w:rsidRPr="006B0676">
        <w:rPr>
          <w:lang w:val="en-GB"/>
        </w:rPr>
        <w:t xml:space="preserve"> successfully in cases concerning </w:t>
      </w:r>
      <w:r w:rsidR="00101B2B">
        <w:rPr>
          <w:lang w:val="en-GB"/>
        </w:rPr>
        <w:t>freedom of expression and assembly</w:t>
      </w:r>
      <w:r w:rsidR="002778AD" w:rsidRPr="006B0676">
        <w:rPr>
          <w:lang w:val="en-GB"/>
        </w:rPr>
        <w:t>.</w:t>
      </w:r>
      <w:r w:rsidR="00525BF0">
        <w:rPr>
          <w:lang w:val="en-GB"/>
        </w:rPr>
        <w:t xml:space="preserve"> In addition, the Committee notes that the author, on 8 November 2012, </w:t>
      </w:r>
      <w:r w:rsidR="00301F07">
        <w:rPr>
          <w:lang w:val="en-GB"/>
        </w:rPr>
        <w:t>did file</w:t>
      </w:r>
      <w:r w:rsidR="00525BF0">
        <w:rPr>
          <w:lang w:val="en-GB"/>
        </w:rPr>
        <w:t xml:space="preserve"> a supervisory</w:t>
      </w:r>
      <w:r w:rsidR="00301F07">
        <w:rPr>
          <w:lang w:val="en-GB"/>
        </w:rPr>
        <w:t xml:space="preserve"> review</w:t>
      </w:r>
      <w:r w:rsidR="00525BF0">
        <w:rPr>
          <w:lang w:val="en-GB"/>
        </w:rPr>
        <w:t xml:space="preserve"> request, which </w:t>
      </w:r>
      <w:proofErr w:type="gramStart"/>
      <w:r w:rsidR="00EE2A6C">
        <w:rPr>
          <w:lang w:val="en-GB"/>
        </w:rPr>
        <w:t>was rejected</w:t>
      </w:r>
      <w:proofErr w:type="gramEnd"/>
      <w:r w:rsidR="00EE2A6C">
        <w:rPr>
          <w:lang w:val="en-GB"/>
        </w:rPr>
        <w:t xml:space="preserve"> on 7 February 201</w:t>
      </w:r>
      <w:r w:rsidR="00D654DA">
        <w:rPr>
          <w:lang w:val="en-GB"/>
        </w:rPr>
        <w:t>3</w:t>
      </w:r>
      <w:r w:rsidR="00301F07">
        <w:rPr>
          <w:lang w:val="en-GB"/>
        </w:rPr>
        <w:t>.</w:t>
      </w:r>
      <w:r w:rsidR="002778AD" w:rsidRPr="006B0676">
        <w:rPr>
          <w:lang w:val="en-GB"/>
        </w:rPr>
        <w:t xml:space="preserve"> In those circumstances, the Committee considers that it is not precluded by article 5(2</w:t>
      </w:r>
      <w:proofErr w:type="gramStart"/>
      <w:r w:rsidR="002778AD" w:rsidRPr="006B0676">
        <w:rPr>
          <w:lang w:val="en-GB"/>
        </w:rPr>
        <w:t>)(</w:t>
      </w:r>
      <w:proofErr w:type="gramEnd"/>
      <w:r w:rsidR="002778AD" w:rsidRPr="006B0676">
        <w:rPr>
          <w:lang w:val="en-GB"/>
        </w:rPr>
        <w:t>b) of the Optional Protocol from examining the present communication.</w:t>
      </w:r>
      <w:r w:rsidR="002778AD" w:rsidRPr="006B0676">
        <w:rPr>
          <w:rStyle w:val="FootnoteReference"/>
          <w:lang w:val="en-GB"/>
        </w:rPr>
        <w:footnoteReference w:id="6"/>
      </w:r>
      <w:r w:rsidR="002778AD" w:rsidRPr="006B0676">
        <w:rPr>
          <w:lang w:val="en-GB"/>
        </w:rPr>
        <w:t xml:space="preserve"> </w:t>
      </w:r>
    </w:p>
    <w:p w:rsidR="00541AF8" w:rsidRPr="006B0676" w:rsidRDefault="00541AF8" w:rsidP="002778AD">
      <w:pPr>
        <w:pStyle w:val="SingleTxtG"/>
        <w:rPr>
          <w:lang w:val="en-GB"/>
        </w:rPr>
      </w:pPr>
      <w:r>
        <w:rPr>
          <w:lang w:val="en-GB"/>
        </w:rPr>
        <w:t>6.4</w:t>
      </w:r>
      <w:r>
        <w:rPr>
          <w:lang w:val="en-GB"/>
        </w:rPr>
        <w:tab/>
        <w:t xml:space="preserve">The Committee takes note of the author’s allegations that her rights under article 21 </w:t>
      </w:r>
      <w:proofErr w:type="gramStart"/>
      <w:r>
        <w:rPr>
          <w:lang w:val="en-GB"/>
        </w:rPr>
        <w:t>were violated</w:t>
      </w:r>
      <w:proofErr w:type="gramEnd"/>
      <w:r>
        <w:rPr>
          <w:lang w:val="en-GB"/>
        </w:rPr>
        <w:t xml:space="preserve"> when the local authorities refused to issue permission for her to hold a one-person picket on 30 July 2012. The Committee considers</w:t>
      </w:r>
      <w:r w:rsidR="00345939">
        <w:rPr>
          <w:rStyle w:val="FootnoteReference"/>
          <w:lang w:val="en-GB"/>
        </w:rPr>
        <w:footnoteReference w:id="7"/>
      </w:r>
      <w:r>
        <w:rPr>
          <w:lang w:val="en-GB"/>
        </w:rPr>
        <w:t xml:space="preserve"> that it is more appropriate to </w:t>
      </w:r>
      <w:r w:rsidR="00434EF2">
        <w:rPr>
          <w:lang w:val="en-GB"/>
        </w:rPr>
        <w:t>review</w:t>
      </w:r>
      <w:r>
        <w:rPr>
          <w:lang w:val="en-GB"/>
        </w:rPr>
        <w:t xml:space="preserve"> these issues as a prohibition of an exercise of freedom of expression, under article 19 of the Covenant. It therefore finds the author’s allegations concerning violations of her rights under article 21 of the Covenant, related to the planned protest on 30 July 2012 as insufficiently substantiated, and declares this part of the communication inadmissible under article 2 of the Optional Protocol. </w:t>
      </w:r>
    </w:p>
    <w:p w:rsidR="009742F9" w:rsidRPr="006B0676" w:rsidRDefault="00F53486" w:rsidP="009742F9">
      <w:pPr>
        <w:pStyle w:val="SingleTxtG"/>
        <w:rPr>
          <w:bCs/>
          <w:lang w:val="en-GB"/>
        </w:rPr>
      </w:pPr>
      <w:r>
        <w:rPr>
          <w:bCs/>
          <w:lang w:val="en-GB"/>
        </w:rPr>
        <w:t>6</w:t>
      </w:r>
      <w:r w:rsidR="009742F9" w:rsidRPr="006B0676">
        <w:rPr>
          <w:bCs/>
          <w:lang w:val="en-GB"/>
        </w:rPr>
        <w:t>.</w:t>
      </w:r>
      <w:r w:rsidR="00541AF8">
        <w:rPr>
          <w:bCs/>
          <w:lang w:val="en-GB"/>
        </w:rPr>
        <w:t>5</w:t>
      </w:r>
      <w:r w:rsidR="009742F9" w:rsidRPr="006B0676">
        <w:rPr>
          <w:bCs/>
          <w:lang w:val="en-GB"/>
        </w:rPr>
        <w:tab/>
        <w:t>The Committee</w:t>
      </w:r>
      <w:r w:rsidR="00541AF8">
        <w:rPr>
          <w:bCs/>
          <w:lang w:val="en-GB"/>
        </w:rPr>
        <w:t xml:space="preserve"> also</w:t>
      </w:r>
      <w:r w:rsidR="009742F9" w:rsidRPr="006B0676">
        <w:rPr>
          <w:bCs/>
          <w:lang w:val="en-GB"/>
        </w:rPr>
        <w:t xml:space="preserve"> takes note of the allegations that </w:t>
      </w:r>
      <w:r w:rsidR="00101B2B">
        <w:rPr>
          <w:bCs/>
          <w:lang w:val="en-GB"/>
        </w:rPr>
        <w:t>the author’s</w:t>
      </w:r>
      <w:r w:rsidR="009742F9" w:rsidRPr="006B0676">
        <w:rPr>
          <w:bCs/>
          <w:lang w:val="en-GB"/>
        </w:rPr>
        <w:t xml:space="preserve"> rights under article </w:t>
      </w:r>
      <w:r w:rsidR="00101B2B">
        <w:rPr>
          <w:bCs/>
          <w:lang w:val="en-GB"/>
        </w:rPr>
        <w:t>26</w:t>
      </w:r>
      <w:r w:rsidR="009742F9" w:rsidRPr="006B0676">
        <w:rPr>
          <w:bCs/>
          <w:lang w:val="en-GB"/>
        </w:rPr>
        <w:t xml:space="preserve"> of the Covenant </w:t>
      </w:r>
      <w:proofErr w:type="gramStart"/>
      <w:r w:rsidR="009742F9" w:rsidRPr="006B0676">
        <w:rPr>
          <w:bCs/>
          <w:lang w:val="en-GB"/>
        </w:rPr>
        <w:t>were violated</w:t>
      </w:r>
      <w:proofErr w:type="gramEnd"/>
      <w:r w:rsidR="009742F9" w:rsidRPr="006B0676">
        <w:rPr>
          <w:bCs/>
          <w:lang w:val="en-GB"/>
        </w:rPr>
        <w:t xml:space="preserve">. It notes that the State party has not </w:t>
      </w:r>
      <w:r w:rsidR="00E44803">
        <w:rPr>
          <w:bCs/>
          <w:lang w:val="en-GB"/>
        </w:rPr>
        <w:t xml:space="preserve">responded to </w:t>
      </w:r>
      <w:r w:rsidR="009742F9" w:rsidRPr="006B0676">
        <w:rPr>
          <w:bCs/>
          <w:lang w:val="en-GB"/>
        </w:rPr>
        <w:t xml:space="preserve">those allegations. </w:t>
      </w:r>
      <w:r w:rsidR="009742F9" w:rsidRPr="006B0676">
        <w:rPr>
          <w:lang w:val="en-GB"/>
        </w:rPr>
        <w:t xml:space="preserve">However, in the absence of further detailed information, explanations or evidence in support of those claims on file, the Committee finds these allegations insufficiently substantiated for the purposes of admissibility, and declares this part of the communication inadmissible under article 2 of the Optional Protocol. </w:t>
      </w:r>
    </w:p>
    <w:p w:rsidR="00EB1134" w:rsidRPr="006B0676" w:rsidRDefault="00F53486" w:rsidP="00EB1134">
      <w:pPr>
        <w:pStyle w:val="SingleTxtG"/>
        <w:rPr>
          <w:lang w:val="en-GB"/>
        </w:rPr>
      </w:pPr>
      <w:r>
        <w:rPr>
          <w:lang w:val="en-GB"/>
        </w:rPr>
        <w:t>6</w:t>
      </w:r>
      <w:r w:rsidR="009742F9" w:rsidRPr="006B0676">
        <w:rPr>
          <w:lang w:val="en-GB"/>
        </w:rPr>
        <w:t>.</w:t>
      </w:r>
      <w:r w:rsidR="00541AF8">
        <w:rPr>
          <w:lang w:val="en-GB"/>
        </w:rPr>
        <w:t>6</w:t>
      </w:r>
      <w:r w:rsidR="00EB1134" w:rsidRPr="006B0676">
        <w:rPr>
          <w:lang w:val="en-GB"/>
        </w:rPr>
        <w:tab/>
        <w:t>In the Committee’s vie</w:t>
      </w:r>
      <w:r w:rsidR="00101B2B">
        <w:rPr>
          <w:lang w:val="en-GB"/>
        </w:rPr>
        <w:t>w, the author has</w:t>
      </w:r>
      <w:r w:rsidR="00EB1134" w:rsidRPr="006B0676">
        <w:rPr>
          <w:lang w:val="en-GB"/>
        </w:rPr>
        <w:t xml:space="preserve"> sufficiently substantiated, for the purposes of admissibility, </w:t>
      </w:r>
      <w:r w:rsidR="00101B2B">
        <w:rPr>
          <w:lang w:val="en-GB"/>
        </w:rPr>
        <w:t>her</w:t>
      </w:r>
      <w:r w:rsidR="009742F9" w:rsidRPr="006B0676">
        <w:rPr>
          <w:lang w:val="en-GB"/>
        </w:rPr>
        <w:t xml:space="preserve"> </w:t>
      </w:r>
      <w:r w:rsidR="00EB1134" w:rsidRPr="006B0676">
        <w:rPr>
          <w:lang w:val="en-GB"/>
        </w:rPr>
        <w:t>claims under</w:t>
      </w:r>
      <w:r w:rsidR="00301F07">
        <w:rPr>
          <w:lang w:val="en-GB"/>
        </w:rPr>
        <w:t xml:space="preserve"> article 19</w:t>
      </w:r>
      <w:r w:rsidR="00D07326">
        <w:rPr>
          <w:lang w:val="en-GB"/>
        </w:rPr>
        <w:t>,</w:t>
      </w:r>
      <w:r w:rsidR="00301F07">
        <w:rPr>
          <w:lang w:val="en-GB"/>
        </w:rPr>
        <w:t xml:space="preserve"> and </w:t>
      </w:r>
      <w:r w:rsidR="00D07326">
        <w:rPr>
          <w:lang w:val="en-GB"/>
        </w:rPr>
        <w:t xml:space="preserve">under article </w:t>
      </w:r>
      <w:r w:rsidR="00301F07">
        <w:rPr>
          <w:lang w:val="en-GB"/>
        </w:rPr>
        <w:t xml:space="preserve">21 </w:t>
      </w:r>
      <w:r w:rsidR="00D07326">
        <w:rPr>
          <w:lang w:val="en-GB"/>
        </w:rPr>
        <w:t xml:space="preserve">(with respect </w:t>
      </w:r>
      <w:r w:rsidR="00301F07">
        <w:rPr>
          <w:lang w:val="en-GB"/>
        </w:rPr>
        <w:t xml:space="preserve">to </w:t>
      </w:r>
      <w:r w:rsidR="00D07326">
        <w:rPr>
          <w:lang w:val="en-GB"/>
        </w:rPr>
        <w:t xml:space="preserve">the </w:t>
      </w:r>
      <w:r w:rsidR="00301F07">
        <w:rPr>
          <w:lang w:val="en-GB"/>
        </w:rPr>
        <w:t>events of 28 April 2012) of</w:t>
      </w:r>
      <w:r w:rsidR="00EB1134" w:rsidRPr="006B0676">
        <w:rPr>
          <w:lang w:val="en-GB"/>
        </w:rPr>
        <w:t xml:space="preserve"> the Covenant, declares them admissible and proceeds with their consideration o</w:t>
      </w:r>
      <w:r w:rsidR="00CA27C9" w:rsidRPr="006B0676">
        <w:rPr>
          <w:lang w:val="en-GB"/>
        </w:rPr>
        <w:t>n</w:t>
      </w:r>
      <w:r w:rsidR="00EB1134" w:rsidRPr="006B0676">
        <w:rPr>
          <w:lang w:val="en-GB"/>
        </w:rPr>
        <w:t xml:space="preserve"> the merits. </w:t>
      </w:r>
    </w:p>
    <w:p w:rsidR="00290F61" w:rsidRPr="006B0676" w:rsidRDefault="00290F61" w:rsidP="007E1B7A">
      <w:pPr>
        <w:pStyle w:val="H4G"/>
      </w:pPr>
      <w:r w:rsidRPr="006B0676">
        <w:tab/>
      </w:r>
      <w:r w:rsidRPr="006B0676">
        <w:tab/>
        <w:t>Consideration of the merits</w:t>
      </w:r>
    </w:p>
    <w:p w:rsidR="00290F61" w:rsidRPr="006B0676" w:rsidRDefault="00F53486" w:rsidP="00290F61">
      <w:pPr>
        <w:pStyle w:val="SingleTxtG"/>
        <w:rPr>
          <w:lang w:val="en-GB"/>
        </w:rPr>
      </w:pPr>
      <w:r>
        <w:rPr>
          <w:lang w:val="en-GB"/>
        </w:rPr>
        <w:t>7</w:t>
      </w:r>
      <w:r w:rsidR="00290F61" w:rsidRPr="006B0676">
        <w:rPr>
          <w:lang w:val="en-GB"/>
        </w:rPr>
        <w:t>.1</w:t>
      </w:r>
      <w:r w:rsidR="00290F61" w:rsidRPr="006B0676">
        <w:rPr>
          <w:lang w:val="en-GB"/>
        </w:rPr>
        <w:tab/>
        <w:t>The Committee has considered the</w:t>
      </w:r>
      <w:r w:rsidR="00434EF2">
        <w:rPr>
          <w:lang w:val="en-GB"/>
        </w:rPr>
        <w:t>se</w:t>
      </w:r>
      <w:r w:rsidR="00290F61" w:rsidRPr="006B0676">
        <w:rPr>
          <w:lang w:val="en-GB"/>
        </w:rPr>
        <w:t xml:space="preserve"> case</w:t>
      </w:r>
      <w:r w:rsidR="00434EF2">
        <w:rPr>
          <w:lang w:val="en-GB"/>
        </w:rPr>
        <w:t>s</w:t>
      </w:r>
      <w:r w:rsidR="00290F61" w:rsidRPr="006B0676">
        <w:rPr>
          <w:lang w:val="en-GB"/>
        </w:rPr>
        <w:t xml:space="preserve"> in the light of all the information made available to it by the parties, as provided under article 5(1) of the Optional Protocol.</w:t>
      </w:r>
    </w:p>
    <w:p w:rsidR="0084428B" w:rsidRDefault="00F53486" w:rsidP="00101B2B">
      <w:pPr>
        <w:pStyle w:val="SingleTxtG"/>
        <w:rPr>
          <w:lang w:val="en-GB"/>
        </w:rPr>
      </w:pPr>
      <w:r>
        <w:rPr>
          <w:lang w:val="en-GB"/>
        </w:rPr>
        <w:t>7</w:t>
      </w:r>
      <w:r w:rsidR="00E513FC" w:rsidRPr="006B0676">
        <w:rPr>
          <w:lang w:val="en-GB"/>
        </w:rPr>
        <w:t>.2</w:t>
      </w:r>
      <w:r w:rsidR="00E513FC" w:rsidRPr="006B0676">
        <w:rPr>
          <w:lang w:val="en-GB"/>
        </w:rPr>
        <w:tab/>
      </w:r>
      <w:r w:rsidR="00101B2B" w:rsidRPr="001C469B">
        <w:rPr>
          <w:lang w:val="en-GB"/>
        </w:rPr>
        <w:t>The Committee note</w:t>
      </w:r>
      <w:r w:rsidR="00101B2B" w:rsidRPr="004D3BD8">
        <w:rPr>
          <w:lang w:val="en-GB"/>
        </w:rPr>
        <w:t>s the author’s claim that</w:t>
      </w:r>
      <w:r w:rsidR="00101B2B">
        <w:rPr>
          <w:lang w:val="en-GB"/>
        </w:rPr>
        <w:t>, by arresting her on 28 April 2012</w:t>
      </w:r>
      <w:r w:rsidR="00301F07">
        <w:rPr>
          <w:lang w:val="en-GB"/>
        </w:rPr>
        <w:t xml:space="preserve"> and sentencing </w:t>
      </w:r>
      <w:r w:rsidR="00D07326">
        <w:rPr>
          <w:lang w:val="en-GB"/>
        </w:rPr>
        <w:t xml:space="preserve">her </w:t>
      </w:r>
      <w:r w:rsidR="00301F07">
        <w:rPr>
          <w:lang w:val="en-GB"/>
        </w:rPr>
        <w:t>to 15 days of administrative arrest (communication 2257/2013),</w:t>
      </w:r>
      <w:r w:rsidR="00101B2B">
        <w:rPr>
          <w:lang w:val="en-GB"/>
        </w:rPr>
        <w:t xml:space="preserve"> the State party</w:t>
      </w:r>
      <w:r w:rsidR="00E44803">
        <w:rPr>
          <w:lang w:val="en-GB"/>
        </w:rPr>
        <w:t xml:space="preserve"> violated</w:t>
      </w:r>
      <w:r w:rsidR="00101B2B">
        <w:rPr>
          <w:lang w:val="en-GB"/>
        </w:rPr>
        <w:t xml:space="preserve"> </w:t>
      </w:r>
      <w:r w:rsidR="00101B2B" w:rsidRPr="004D3BD8">
        <w:rPr>
          <w:lang w:val="en-GB"/>
        </w:rPr>
        <w:t>her right to freedom of assembly</w:t>
      </w:r>
      <w:r w:rsidR="00101B2B">
        <w:rPr>
          <w:lang w:val="en-GB"/>
        </w:rPr>
        <w:t xml:space="preserve">. On </w:t>
      </w:r>
      <w:r w:rsidR="00541AF8">
        <w:rPr>
          <w:lang w:val="en-GB"/>
        </w:rPr>
        <w:t>28 April 2012</w:t>
      </w:r>
      <w:r w:rsidR="00101B2B">
        <w:rPr>
          <w:lang w:val="en-GB"/>
        </w:rPr>
        <w:t>, the author was intending to hold a peaceful protest that did not</w:t>
      </w:r>
      <w:r w:rsidR="00301F07">
        <w:rPr>
          <w:lang w:val="en-GB"/>
        </w:rPr>
        <w:t xml:space="preserve"> intend to</w:t>
      </w:r>
      <w:r w:rsidR="00101B2B">
        <w:rPr>
          <w:lang w:val="en-GB"/>
        </w:rPr>
        <w:t xml:space="preserve"> threaten public order, or </w:t>
      </w:r>
      <w:r w:rsidR="00D07326">
        <w:rPr>
          <w:lang w:val="en-GB"/>
        </w:rPr>
        <w:t xml:space="preserve">the </w:t>
      </w:r>
      <w:r w:rsidR="00101B2B">
        <w:rPr>
          <w:lang w:val="en-GB"/>
        </w:rPr>
        <w:t xml:space="preserve">rights and freedoms of others. </w:t>
      </w:r>
      <w:r w:rsidR="00101B2B" w:rsidRPr="00BC3AA9">
        <w:rPr>
          <w:lang w:val="en-GB"/>
        </w:rPr>
        <w:t>The State party argues that the author was arrested</w:t>
      </w:r>
      <w:r w:rsidR="003237B6">
        <w:rPr>
          <w:lang w:val="en-GB"/>
        </w:rPr>
        <w:t xml:space="preserve"> on 28 April 2012</w:t>
      </w:r>
      <w:r w:rsidR="00101B2B" w:rsidRPr="00BC3AA9">
        <w:rPr>
          <w:lang w:val="en-GB"/>
        </w:rPr>
        <w:t xml:space="preserve"> and </w:t>
      </w:r>
      <w:r w:rsidR="003237B6">
        <w:rPr>
          <w:lang w:val="en-GB"/>
        </w:rPr>
        <w:t>sentenced to administrative detention</w:t>
      </w:r>
      <w:r w:rsidR="00101B2B" w:rsidRPr="00BC3AA9">
        <w:rPr>
          <w:lang w:val="en-GB"/>
        </w:rPr>
        <w:t xml:space="preserve"> for organizing a public event without </w:t>
      </w:r>
      <w:r w:rsidR="00101B2B">
        <w:rPr>
          <w:lang w:val="en-GB"/>
        </w:rPr>
        <w:t>obtaining permission</w:t>
      </w:r>
      <w:r w:rsidR="00101B2B" w:rsidRPr="00BC3AA9">
        <w:rPr>
          <w:lang w:val="en-GB"/>
        </w:rPr>
        <w:t xml:space="preserve"> </w:t>
      </w:r>
      <w:r w:rsidR="00101B2B">
        <w:rPr>
          <w:lang w:val="en-GB"/>
        </w:rPr>
        <w:t>from the</w:t>
      </w:r>
      <w:r w:rsidR="00101B2B" w:rsidRPr="00BC3AA9">
        <w:rPr>
          <w:lang w:val="en-GB"/>
        </w:rPr>
        <w:t xml:space="preserve"> local authorities</w:t>
      </w:r>
      <w:r w:rsidR="00101B2B">
        <w:rPr>
          <w:lang w:val="en-GB"/>
        </w:rPr>
        <w:t>, and that these authorities have designated a special location for such events</w:t>
      </w:r>
      <w:r>
        <w:rPr>
          <w:lang w:val="en-GB"/>
        </w:rPr>
        <w:t xml:space="preserve"> in Almaty</w:t>
      </w:r>
      <w:r w:rsidR="00101B2B">
        <w:rPr>
          <w:lang w:val="en-GB"/>
        </w:rPr>
        <w:t>, behind the “</w:t>
      </w:r>
      <w:proofErr w:type="spellStart"/>
      <w:r w:rsidR="00101B2B">
        <w:rPr>
          <w:lang w:val="en-GB"/>
        </w:rPr>
        <w:t>Sary</w:t>
      </w:r>
      <w:proofErr w:type="spellEnd"/>
      <w:r w:rsidR="00101B2B">
        <w:rPr>
          <w:lang w:val="en-GB"/>
        </w:rPr>
        <w:t xml:space="preserve"> </w:t>
      </w:r>
      <w:proofErr w:type="spellStart"/>
      <w:r w:rsidR="00101B2B">
        <w:rPr>
          <w:lang w:val="en-GB"/>
        </w:rPr>
        <w:t>Arka</w:t>
      </w:r>
      <w:proofErr w:type="spellEnd"/>
      <w:r w:rsidR="00101B2B">
        <w:rPr>
          <w:lang w:val="en-GB"/>
        </w:rPr>
        <w:t xml:space="preserve">” cinema. </w:t>
      </w:r>
    </w:p>
    <w:p w:rsidR="00F53486" w:rsidRDefault="00F53486" w:rsidP="00F53486">
      <w:pPr>
        <w:pStyle w:val="SingleTxtG"/>
        <w:rPr>
          <w:lang w:val="en-GB"/>
        </w:rPr>
      </w:pPr>
      <w:r w:rsidRPr="00BC3AA9">
        <w:rPr>
          <w:lang w:val="en-GB"/>
        </w:rPr>
        <w:t>7.3</w:t>
      </w:r>
      <w:r w:rsidRPr="00BC3AA9">
        <w:rPr>
          <w:lang w:val="en-GB"/>
        </w:rPr>
        <w:tab/>
        <w:t xml:space="preserve">The Committee recalls that the right </w:t>
      </w:r>
      <w:r>
        <w:rPr>
          <w:lang w:val="en-GB"/>
        </w:rPr>
        <w:t xml:space="preserve">to </w:t>
      </w:r>
      <w:r w:rsidRPr="00BC3AA9">
        <w:rPr>
          <w:lang w:val="en-GB"/>
        </w:rPr>
        <w:t xml:space="preserve">peaceful assembly, as guaranteed under article 21 of the Covenant, is a fundamental human right that is essential for the public expression </w:t>
      </w:r>
      <w:r w:rsidRPr="00BC3AA9">
        <w:rPr>
          <w:lang w:val="en-GB"/>
        </w:rPr>
        <w:lastRenderedPageBreak/>
        <w:t>of an individual’s views and opinions and indispensable in a democratic society.</w:t>
      </w:r>
      <w:r w:rsidRPr="001C469B">
        <w:rPr>
          <w:rStyle w:val="FootnoteReference"/>
          <w:lang w:val="en-GB"/>
        </w:rPr>
        <w:footnoteReference w:id="8"/>
      </w:r>
      <w:r w:rsidRPr="001C469B">
        <w:rPr>
          <w:lang w:val="en-GB"/>
        </w:rPr>
        <w:t xml:space="preserve"> </w:t>
      </w:r>
      <w:r>
        <w:rPr>
          <w:lang w:val="en-GB"/>
        </w:rPr>
        <w:t xml:space="preserve">That </w:t>
      </w:r>
      <w:r w:rsidRPr="001C469B">
        <w:rPr>
          <w:lang w:val="en-GB"/>
        </w:rPr>
        <w:t xml:space="preserve">right entails the possibility of organizing and participating in a peaceful assembly in a public location. </w:t>
      </w:r>
      <w:proofErr w:type="gramStart"/>
      <w:r w:rsidRPr="001C469B">
        <w:rPr>
          <w:lang w:val="en-GB"/>
        </w:rPr>
        <w:t>The organizers of an assembly generally have the right to choose a location within sight and sound of their target audience</w:t>
      </w:r>
      <w:r w:rsidRPr="004D3BD8">
        <w:rPr>
          <w:lang w:val="en-GB"/>
        </w:rPr>
        <w:t xml:space="preserve"> and no restriction to </w:t>
      </w:r>
      <w:r>
        <w:rPr>
          <w:lang w:val="en-GB"/>
        </w:rPr>
        <w:t xml:space="preserve">that </w:t>
      </w:r>
      <w:r w:rsidRPr="004D3BD8">
        <w:rPr>
          <w:lang w:val="en-GB"/>
        </w:rPr>
        <w:t>right is permissible unless it is</w:t>
      </w:r>
      <w:r>
        <w:rPr>
          <w:lang w:val="en-GB"/>
        </w:rPr>
        <w:t>:</w:t>
      </w:r>
      <w:r w:rsidRPr="004D3BD8">
        <w:rPr>
          <w:lang w:val="en-GB"/>
        </w:rPr>
        <w:t xml:space="preserve"> (a) </w:t>
      </w:r>
      <w:r w:rsidRPr="00BC3AA9">
        <w:rPr>
          <w:lang w:val="en-GB"/>
        </w:rPr>
        <w:t>imposed in conformity with the law</w:t>
      </w:r>
      <w:r>
        <w:rPr>
          <w:lang w:val="en-GB"/>
        </w:rPr>
        <w:t>;</w:t>
      </w:r>
      <w:r w:rsidRPr="00BC3AA9">
        <w:rPr>
          <w:lang w:val="en-GB"/>
        </w:rPr>
        <w:t xml:space="preserve"> and (b) necessary in a democratic society, in the interests of national security or public safety, public order (</w:t>
      </w:r>
      <w:proofErr w:type="spellStart"/>
      <w:r w:rsidRPr="00BC3AA9">
        <w:rPr>
          <w:i/>
          <w:lang w:val="en-GB"/>
        </w:rPr>
        <w:t>ordre</w:t>
      </w:r>
      <w:proofErr w:type="spellEnd"/>
      <w:r w:rsidRPr="00BC3AA9">
        <w:rPr>
          <w:i/>
          <w:lang w:val="en-GB"/>
        </w:rPr>
        <w:t xml:space="preserve"> public</w:t>
      </w:r>
      <w:r w:rsidRPr="00BC3AA9">
        <w:rPr>
          <w:lang w:val="en-GB"/>
        </w:rPr>
        <w:t>), protection of public health or morals or protection of the rights and freedoms of others.</w:t>
      </w:r>
      <w:proofErr w:type="gramEnd"/>
      <w:r w:rsidRPr="00BC3AA9">
        <w:rPr>
          <w:lang w:val="en-GB"/>
        </w:rPr>
        <w:t xml:space="preserve"> When a State party imposes restrictions with the aim of reconciling an individual’s right of peaceful assembly and the aforementioned interests of general concern, it </w:t>
      </w:r>
      <w:proofErr w:type="gramStart"/>
      <w:r w:rsidRPr="00BC3AA9">
        <w:rPr>
          <w:lang w:val="en-GB"/>
        </w:rPr>
        <w:t>should be guided</w:t>
      </w:r>
      <w:proofErr w:type="gramEnd"/>
      <w:r w:rsidRPr="00BC3AA9">
        <w:rPr>
          <w:lang w:val="en-GB"/>
        </w:rPr>
        <w:t xml:space="preserve"> by the objective of facilitating the right, rather than seeking unnecessary or disproportionate limitations to it</w:t>
      </w:r>
      <w:r>
        <w:rPr>
          <w:lang w:val="en-GB"/>
        </w:rPr>
        <w:t>.</w:t>
      </w:r>
      <w:r w:rsidRPr="001C469B">
        <w:rPr>
          <w:rStyle w:val="FootnoteReference"/>
          <w:lang w:val="en-GB"/>
        </w:rPr>
        <w:footnoteReference w:id="9"/>
      </w:r>
      <w:r w:rsidRPr="001C469B">
        <w:rPr>
          <w:lang w:val="en-GB"/>
        </w:rPr>
        <w:t xml:space="preserve"> The State party is thus under the obligation to justify the limitation of the right protected by article 21 of the Covenant.</w:t>
      </w:r>
      <w:r w:rsidRPr="001C469B">
        <w:rPr>
          <w:rStyle w:val="FootnoteReference"/>
          <w:lang w:val="en-GB"/>
        </w:rPr>
        <w:footnoteReference w:id="10"/>
      </w:r>
    </w:p>
    <w:p w:rsidR="00F53486" w:rsidRDefault="00F53486" w:rsidP="00F53486">
      <w:pPr>
        <w:pStyle w:val="SingleTxtG"/>
        <w:rPr>
          <w:lang w:val="en-GB"/>
        </w:rPr>
      </w:pPr>
      <w:r>
        <w:rPr>
          <w:lang w:val="en-GB"/>
        </w:rPr>
        <w:t>7.4</w:t>
      </w:r>
      <w:r>
        <w:rPr>
          <w:lang w:val="en-GB"/>
        </w:rPr>
        <w:tab/>
      </w:r>
      <w:r w:rsidRPr="00BC3AA9">
        <w:rPr>
          <w:lang w:val="en-GB"/>
        </w:rPr>
        <w:t xml:space="preserve">The Committee notes that the State party submits that the restriction </w:t>
      </w:r>
      <w:proofErr w:type="gramStart"/>
      <w:r w:rsidRPr="00BC3AA9">
        <w:rPr>
          <w:lang w:val="en-GB"/>
        </w:rPr>
        <w:t>was imposed</w:t>
      </w:r>
      <w:proofErr w:type="gramEnd"/>
      <w:r w:rsidRPr="00BC3AA9">
        <w:rPr>
          <w:lang w:val="en-GB"/>
        </w:rPr>
        <w:t xml:space="preserve"> in conformity</w:t>
      </w:r>
      <w:r>
        <w:rPr>
          <w:lang w:val="en-GB"/>
        </w:rPr>
        <w:t xml:space="preserve"> with the Code of Administrative Offences, and other relevant laws, </w:t>
      </w:r>
      <w:r w:rsidR="004B614C">
        <w:rPr>
          <w:lang w:val="en-GB"/>
        </w:rPr>
        <w:t>“to protect rights and freedoms of others, public order, as well as transportation system and other infrastructure” (</w:t>
      </w:r>
      <w:r w:rsidR="004B614C" w:rsidRPr="00EE575A">
        <w:rPr>
          <w:lang w:val="en-GB"/>
        </w:rPr>
        <w:t>see para. 4.7 above)</w:t>
      </w:r>
      <w:r w:rsidR="004B614C">
        <w:rPr>
          <w:lang w:val="en-GB"/>
        </w:rPr>
        <w:t xml:space="preserve">. The author contends, however, that </w:t>
      </w:r>
      <w:r w:rsidR="00541AF8">
        <w:rPr>
          <w:lang w:val="en-GB"/>
        </w:rPr>
        <w:t>the planned event</w:t>
      </w:r>
      <w:r w:rsidR="004B614C">
        <w:rPr>
          <w:lang w:val="en-GB"/>
        </w:rPr>
        <w:t xml:space="preserve"> were going to be peaceful</w:t>
      </w:r>
      <w:r w:rsidR="004B614C" w:rsidRPr="00BC3AA9">
        <w:rPr>
          <w:lang w:val="en-GB"/>
        </w:rPr>
        <w:t xml:space="preserve"> and </w:t>
      </w:r>
      <w:r w:rsidR="004B614C">
        <w:rPr>
          <w:lang w:val="en-GB"/>
        </w:rPr>
        <w:t>would</w:t>
      </w:r>
      <w:r w:rsidR="004B614C" w:rsidRPr="00BC3AA9">
        <w:rPr>
          <w:lang w:val="en-GB"/>
        </w:rPr>
        <w:t xml:space="preserve"> not harm or endanger anyone or anything</w:t>
      </w:r>
      <w:r w:rsidR="004B614C">
        <w:rPr>
          <w:lang w:val="en-GB"/>
        </w:rPr>
        <w:t xml:space="preserve">. </w:t>
      </w:r>
      <w:proofErr w:type="gramStart"/>
      <w:r w:rsidR="004B614C" w:rsidRPr="004D3BD8">
        <w:rPr>
          <w:lang w:val="en-GB"/>
        </w:rPr>
        <w:t>The Committee therefore considers</w:t>
      </w:r>
      <w:r w:rsidR="004B614C" w:rsidRPr="00BC3AA9">
        <w:rPr>
          <w:lang w:val="en-GB"/>
        </w:rPr>
        <w:t xml:space="preserve">, based on the material before it, that the State party </w:t>
      </w:r>
      <w:r w:rsidR="004B614C">
        <w:rPr>
          <w:lang w:val="en-GB"/>
        </w:rPr>
        <w:t xml:space="preserve">has </w:t>
      </w:r>
      <w:r w:rsidR="004B614C" w:rsidRPr="00BC3AA9">
        <w:rPr>
          <w:lang w:val="en-GB"/>
        </w:rPr>
        <w:t>failed to demonstrate that the author’s arrest</w:t>
      </w:r>
      <w:r w:rsidR="006E3A84">
        <w:rPr>
          <w:lang w:val="en-GB"/>
        </w:rPr>
        <w:t>, conviction</w:t>
      </w:r>
      <w:r w:rsidR="0050299F">
        <w:rPr>
          <w:lang w:val="en-GB"/>
        </w:rPr>
        <w:t xml:space="preserve"> and 15</w:t>
      </w:r>
      <w:r w:rsidR="006E3A84">
        <w:rPr>
          <w:lang w:val="en-GB"/>
        </w:rPr>
        <w:t>-</w:t>
      </w:r>
      <w:r w:rsidR="0050299F">
        <w:rPr>
          <w:lang w:val="en-GB"/>
        </w:rPr>
        <w:t>day</w:t>
      </w:r>
      <w:r w:rsidR="006E3A84">
        <w:rPr>
          <w:lang w:val="en-GB"/>
        </w:rPr>
        <w:t xml:space="preserve"> sentence</w:t>
      </w:r>
      <w:r w:rsidR="0050299F">
        <w:rPr>
          <w:lang w:val="en-GB"/>
        </w:rPr>
        <w:t xml:space="preserve"> </w:t>
      </w:r>
      <w:r w:rsidR="00FE636B">
        <w:rPr>
          <w:lang w:val="en-GB"/>
        </w:rPr>
        <w:t>for planning to organize</w:t>
      </w:r>
      <w:r w:rsidR="00C16B1F">
        <w:rPr>
          <w:lang w:val="en-GB"/>
        </w:rPr>
        <w:t xml:space="preserve"> a </w:t>
      </w:r>
      <w:r w:rsidR="004B614C" w:rsidRPr="00BC3AA9">
        <w:rPr>
          <w:lang w:val="en-GB"/>
        </w:rPr>
        <w:t>peaceful public protest were necessary in a democratic society and were proportionate to the interests of national security or public safety, public order, the protection of public health or morals or the protection of the rights and freedoms of others</w:t>
      </w:r>
      <w:r w:rsidR="004B614C">
        <w:rPr>
          <w:lang w:val="en-GB"/>
        </w:rPr>
        <w:t>,</w:t>
      </w:r>
      <w:r w:rsidR="004B614C" w:rsidRPr="00BC3AA9">
        <w:rPr>
          <w:lang w:val="en-GB"/>
        </w:rPr>
        <w:t xml:space="preserve"> as required by article 21 of the Covenant.</w:t>
      </w:r>
      <w:proofErr w:type="gramEnd"/>
      <w:r w:rsidR="004B614C" w:rsidRPr="00BC3AA9">
        <w:rPr>
          <w:lang w:val="en-GB"/>
        </w:rPr>
        <w:t xml:space="preserve"> For th</w:t>
      </w:r>
      <w:r w:rsidR="004B614C">
        <w:rPr>
          <w:lang w:val="en-GB"/>
        </w:rPr>
        <w:t>o</w:t>
      </w:r>
      <w:r w:rsidR="004B614C" w:rsidRPr="00BC3AA9">
        <w:rPr>
          <w:lang w:val="en-GB"/>
        </w:rPr>
        <w:t>se reasons, the Committee concludes that</w:t>
      </w:r>
      <w:proofErr w:type="gramStart"/>
      <w:r w:rsidR="00D07326">
        <w:rPr>
          <w:lang w:val="en-GB"/>
        </w:rPr>
        <w:t>,</w:t>
      </w:r>
      <w:r w:rsidR="004B614C" w:rsidRPr="00BC3AA9">
        <w:rPr>
          <w:lang w:val="en-GB"/>
        </w:rPr>
        <w:t xml:space="preserve"> </w:t>
      </w:r>
      <w:r w:rsidR="00E73971">
        <w:rPr>
          <w:lang w:val="en-GB"/>
        </w:rPr>
        <w:t xml:space="preserve"> with</w:t>
      </w:r>
      <w:proofErr w:type="gramEnd"/>
      <w:r w:rsidR="00E73971">
        <w:rPr>
          <w:lang w:val="en-GB"/>
        </w:rPr>
        <w:t xml:space="preserve"> respect to </w:t>
      </w:r>
      <w:r w:rsidR="00FA742B">
        <w:rPr>
          <w:lang w:val="en-GB"/>
        </w:rPr>
        <w:t xml:space="preserve">the </w:t>
      </w:r>
      <w:r w:rsidR="00541AF8">
        <w:rPr>
          <w:lang w:val="en-GB"/>
        </w:rPr>
        <w:t>events of 28 April 2012</w:t>
      </w:r>
      <w:r w:rsidR="004B614C" w:rsidRPr="00BC3AA9">
        <w:rPr>
          <w:lang w:val="en-GB"/>
        </w:rPr>
        <w:t>, the State party has violated article 21 of the Covenant.</w:t>
      </w:r>
    </w:p>
    <w:p w:rsidR="007C4348" w:rsidRDefault="007C4348" w:rsidP="007C4348">
      <w:pPr>
        <w:pStyle w:val="SingleTxtG"/>
        <w:rPr>
          <w:lang w:val="en-GB"/>
        </w:rPr>
      </w:pPr>
      <w:r>
        <w:rPr>
          <w:lang w:val="en-GB"/>
        </w:rPr>
        <w:t>7.5</w:t>
      </w:r>
      <w:r>
        <w:rPr>
          <w:lang w:val="en-GB"/>
        </w:rPr>
        <w:tab/>
        <w:t>Similarly, in</w:t>
      </w:r>
      <w:r w:rsidRPr="008C08A5">
        <w:t xml:space="preserve"> the Committee</w:t>
      </w:r>
      <w:r>
        <w:t>’</w:t>
      </w:r>
      <w:r w:rsidRPr="008C08A5">
        <w:t>s opinion, the action</w:t>
      </w:r>
      <w:r>
        <w:t>s of the authorities</w:t>
      </w:r>
      <w:r w:rsidR="004C2147">
        <w:rPr>
          <w:lang w:val="en-US"/>
        </w:rPr>
        <w:t xml:space="preserve"> in both communications</w:t>
      </w:r>
      <w:r>
        <w:t xml:space="preserve"> </w:t>
      </w:r>
      <w:r w:rsidRPr="008C08A5">
        <w:t>amount</w:t>
      </w:r>
      <w:r>
        <w:rPr>
          <w:lang w:val="en-US"/>
        </w:rPr>
        <w:t>ed</w:t>
      </w:r>
      <w:r w:rsidRPr="008C08A5">
        <w:t xml:space="preserve"> to </w:t>
      </w:r>
      <w:r w:rsidRPr="00370364">
        <w:rPr>
          <w:iCs/>
        </w:rPr>
        <w:t>a</w:t>
      </w:r>
      <w:r w:rsidRPr="008D7960">
        <w:rPr>
          <w:i/>
          <w:iCs/>
        </w:rPr>
        <w:t xml:space="preserve"> </w:t>
      </w:r>
      <w:r w:rsidRPr="008C08A5">
        <w:t>limitation</w:t>
      </w:r>
      <w:r>
        <w:t xml:space="preserve"> </w:t>
      </w:r>
      <w:r w:rsidRPr="008C08A5">
        <w:t xml:space="preserve">of </w:t>
      </w:r>
      <w:r>
        <w:rPr>
          <w:lang w:val="en-US"/>
        </w:rPr>
        <w:t>the author’s</w:t>
      </w:r>
      <w:r>
        <w:t xml:space="preserve"> rights to impart information and ideas of any kind</w:t>
      </w:r>
      <w:r>
        <w:rPr>
          <w:lang w:val="en-US"/>
        </w:rPr>
        <w:t xml:space="preserve">, under article 19(2), </w:t>
      </w:r>
      <w:r>
        <w:t>o</w:t>
      </w:r>
      <w:r w:rsidRPr="008C08A5">
        <w:t>f the Covenant.</w:t>
      </w:r>
      <w:r>
        <w:rPr>
          <w:lang w:val="en-GB"/>
        </w:rPr>
        <w:t xml:space="preserve"> The Committee must therefore decide whether these limitations </w:t>
      </w:r>
      <w:proofErr w:type="gramStart"/>
      <w:r>
        <w:rPr>
          <w:lang w:val="en-GB"/>
        </w:rPr>
        <w:t>are allowed</w:t>
      </w:r>
      <w:proofErr w:type="gramEnd"/>
      <w:r>
        <w:rPr>
          <w:lang w:val="en-GB"/>
        </w:rPr>
        <w:t xml:space="preserve"> under one of the restrictions laid out in articles 19(3). </w:t>
      </w:r>
      <w:proofErr w:type="spellStart"/>
      <w:r>
        <w:rPr>
          <w:lang w:val="en-GB"/>
        </w:rPr>
        <w:t>T</w:t>
      </w:r>
      <w:r>
        <w:t>he</w:t>
      </w:r>
      <w:proofErr w:type="spellEnd"/>
      <w:r>
        <w:t xml:space="preserve"> Committee refers to its general comment No. 34 (2011) on the freedom of opinion and expression, according to which freedom of opinion and freedom of expression are indispensable conditions for the full development of the person. Such freedoms are essential for any society and constitute the foundation stone for every free and democratic society (para. 2). The Committee recalls that article 19(3) of the Covenant allows certain restrictions only as provided by law and necessary: (a) for the respect of the rights and reputation of others; and (b) for the protection of national security or of public order (</w:t>
      </w:r>
      <w:proofErr w:type="spellStart"/>
      <w:r w:rsidRPr="00EE23E7">
        <w:rPr>
          <w:iCs/>
        </w:rPr>
        <w:t>ordre</w:t>
      </w:r>
      <w:proofErr w:type="spellEnd"/>
      <w:r w:rsidRPr="00EE23E7">
        <w:rPr>
          <w:iCs/>
        </w:rPr>
        <w:t xml:space="preserve"> public</w:t>
      </w:r>
      <w:r>
        <w:t>),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Pr>
          <w:rStyle w:val="FootnoteReference"/>
        </w:rPr>
        <w:footnoteReference w:id="11"/>
      </w:r>
      <w:r>
        <w:t xml:space="preserve"> </w:t>
      </w:r>
      <w:r w:rsidR="006E3A84">
        <w:t>T</w:t>
      </w:r>
      <w:r>
        <w:rPr>
          <w:lang w:val="en-GB"/>
        </w:rPr>
        <w:t>he Committee recalls that any restriction on the freedom of expression must not be overbroad in nature, that is, it must be the least intrusive among the measures that might achieve the relevant protective function and proportionate to the interest whose protection is sought.</w:t>
      </w:r>
      <w:r w:rsidR="007E1B7A">
        <w:rPr>
          <w:lang w:val="en-GB"/>
        </w:rPr>
        <w:t xml:space="preserve"> </w:t>
      </w:r>
      <w:r w:rsidR="006E3A84">
        <w:t>The Committee further recalls</w:t>
      </w:r>
      <w:r w:rsidR="006E3A84">
        <w:rPr>
          <w:sz w:val="16"/>
          <w:szCs w:val="16"/>
        </w:rPr>
        <w:t xml:space="preserve"> </w:t>
      </w:r>
      <w:r w:rsidR="006E3A84">
        <w:t>that it is up to the State party to demonstrate that the restrictions on the rights under article 19 are necessary and proportionate</w:t>
      </w:r>
      <w:r w:rsidR="006E3A84" w:rsidRPr="007C4348">
        <w:rPr>
          <w:rStyle w:val="FootnoteReference"/>
        </w:rPr>
        <w:footnoteReference w:id="12"/>
      </w:r>
      <w:r w:rsidR="006E3A84" w:rsidRPr="008C7B5D">
        <w:rPr>
          <w:lang w:val="en-GB"/>
        </w:rPr>
        <w:t>.</w:t>
      </w:r>
      <w:r w:rsidR="006E3A84">
        <w:rPr>
          <w:lang w:val="en-GB"/>
        </w:rPr>
        <w:t xml:space="preserve"> </w:t>
      </w:r>
      <w:r>
        <w:t xml:space="preserve">The State party contends that </w:t>
      </w:r>
      <w:r>
        <w:rPr>
          <w:lang w:val="en-US"/>
        </w:rPr>
        <w:t>the author violated a procedure for obtaining a permission for planned events</w:t>
      </w:r>
      <w:r>
        <w:t>, but does not otherwise respond to the author’s allegations.</w:t>
      </w:r>
      <w:r w:rsidR="007E1B7A">
        <w:t xml:space="preserve"> </w:t>
      </w:r>
      <w:r w:rsidR="006E3A84">
        <w:t xml:space="preserve">In particular, the State party does not attempt to demonstrate in either case that the author’s arrest, detention, and subsequent prosecution and proportionate to a legitimate government aim.  </w:t>
      </w:r>
      <w:r w:rsidRPr="008C08A5">
        <w:t xml:space="preserve">The Committee considers that, in the circumstances, the </w:t>
      </w:r>
      <w:r>
        <w:t xml:space="preserve">prohibitions </w:t>
      </w:r>
      <w:r w:rsidRPr="008C08A5">
        <w:t xml:space="preserve">imposed on </w:t>
      </w:r>
      <w:r>
        <w:rPr>
          <w:lang w:val="en-US"/>
        </w:rPr>
        <w:t>the author</w:t>
      </w:r>
      <w:r>
        <w:t xml:space="preserve"> </w:t>
      </w:r>
      <w:proofErr w:type="spellStart"/>
      <w:r w:rsidRPr="008C08A5">
        <w:t>w</w:t>
      </w:r>
      <w:r>
        <w:t>ere</w:t>
      </w:r>
      <w:proofErr w:type="spellEnd"/>
      <w:r w:rsidRPr="008C08A5">
        <w:t xml:space="preserve"> not justified </w:t>
      </w:r>
      <w:r>
        <w:t>by the State party pursuant to the conditions</w:t>
      </w:r>
      <w:r w:rsidRPr="008C08A5">
        <w:t xml:space="preserve"> set out in article 19</w:t>
      </w:r>
      <w:r>
        <w:t xml:space="preserve">(3) </w:t>
      </w:r>
      <w:r>
        <w:lastRenderedPageBreak/>
        <w:t>of the Covenant</w:t>
      </w:r>
      <w:r w:rsidRPr="008C08A5">
        <w:t xml:space="preserve">. It therefore concludes that the </w:t>
      </w:r>
      <w:r>
        <w:rPr>
          <w:lang w:val="en-US"/>
        </w:rPr>
        <w:t>the author’s</w:t>
      </w:r>
      <w:r w:rsidRPr="008C08A5">
        <w:t xml:space="preserve"> rights under article 19</w:t>
      </w:r>
      <w:r>
        <w:t>(2)</w:t>
      </w:r>
      <w:r w:rsidRPr="00072DB4">
        <w:t xml:space="preserve"> of the Covenant</w:t>
      </w:r>
      <w:r w:rsidRPr="008C08A5">
        <w:t xml:space="preserve"> have been violated</w:t>
      </w:r>
      <w:r>
        <w:t>.</w:t>
      </w:r>
      <w:r w:rsidRPr="008D720A">
        <w:rPr>
          <w:rStyle w:val="FootnoteReference"/>
        </w:rPr>
        <w:t xml:space="preserve"> </w:t>
      </w:r>
      <w:r>
        <w:rPr>
          <w:rStyle w:val="FootnoteReference"/>
        </w:rPr>
        <w:footnoteReference w:id="13"/>
      </w:r>
    </w:p>
    <w:p w:rsidR="00BB1FD2" w:rsidRPr="006B0676" w:rsidRDefault="005F11C3" w:rsidP="00BB1FD2">
      <w:pPr>
        <w:pStyle w:val="SingleTxtG"/>
        <w:rPr>
          <w:lang w:val="en-GB"/>
        </w:rPr>
      </w:pPr>
      <w:r>
        <w:rPr>
          <w:lang w:val="en-GB"/>
        </w:rPr>
        <w:t>8</w:t>
      </w:r>
      <w:r w:rsidR="00726ECE" w:rsidRPr="006B0676">
        <w:rPr>
          <w:lang w:val="en-GB"/>
        </w:rPr>
        <w:t>.</w:t>
      </w:r>
      <w:r w:rsidR="00726ECE" w:rsidRPr="006B0676">
        <w:rPr>
          <w:lang w:val="en-GB"/>
        </w:rPr>
        <w:tab/>
      </w:r>
      <w:r w:rsidR="00BB1FD2" w:rsidRPr="006B0676">
        <w:rPr>
          <w:lang w:val="en-GB"/>
        </w:rPr>
        <w:t xml:space="preserve">The Committee, acting under article 5(4) of the Optional Protocol, is of the view that the facts before it discloses a violation by the State party of </w:t>
      </w:r>
      <w:r w:rsidR="00506380">
        <w:rPr>
          <w:lang w:val="en-GB"/>
        </w:rPr>
        <w:t>the author’s</w:t>
      </w:r>
      <w:r w:rsidR="00BB1FD2" w:rsidRPr="006B0676">
        <w:rPr>
          <w:lang w:val="en-GB"/>
        </w:rPr>
        <w:t xml:space="preserve"> rights under article</w:t>
      </w:r>
      <w:r w:rsidR="00506380">
        <w:rPr>
          <w:lang w:val="en-GB"/>
        </w:rPr>
        <w:t xml:space="preserve"> 19(2)</w:t>
      </w:r>
      <w:r w:rsidR="00434EF2">
        <w:rPr>
          <w:lang w:val="en-GB"/>
        </w:rPr>
        <w:t xml:space="preserve"> (concerning both events)</w:t>
      </w:r>
      <w:r w:rsidR="00506380">
        <w:rPr>
          <w:lang w:val="en-GB"/>
        </w:rPr>
        <w:t xml:space="preserve"> and</w:t>
      </w:r>
      <w:r w:rsidR="00434EF2">
        <w:rPr>
          <w:lang w:val="en-GB"/>
        </w:rPr>
        <w:t xml:space="preserve"> article</w:t>
      </w:r>
      <w:r w:rsidR="00506380">
        <w:rPr>
          <w:lang w:val="en-GB"/>
        </w:rPr>
        <w:t xml:space="preserve"> 21</w:t>
      </w:r>
      <w:r w:rsidR="00BB1FD2" w:rsidRPr="006B0676">
        <w:rPr>
          <w:lang w:val="en-GB"/>
        </w:rPr>
        <w:t xml:space="preserve"> of the Covenant</w:t>
      </w:r>
      <w:r w:rsidR="00434EF2">
        <w:rPr>
          <w:lang w:val="en-GB"/>
        </w:rPr>
        <w:t xml:space="preserve"> (concerning </w:t>
      </w:r>
      <w:r w:rsidR="00FA742B">
        <w:rPr>
          <w:lang w:val="en-GB"/>
        </w:rPr>
        <w:t xml:space="preserve">the </w:t>
      </w:r>
      <w:r w:rsidR="00434EF2">
        <w:rPr>
          <w:lang w:val="en-GB"/>
        </w:rPr>
        <w:t>events of 28 April 2012)</w:t>
      </w:r>
      <w:r w:rsidR="00BB1FD2" w:rsidRPr="006B0676">
        <w:rPr>
          <w:lang w:val="en-GB"/>
        </w:rPr>
        <w:t xml:space="preserve">. </w:t>
      </w:r>
    </w:p>
    <w:p w:rsidR="00506380" w:rsidRDefault="00506380" w:rsidP="00506380">
      <w:pPr>
        <w:pStyle w:val="SingleTxtG"/>
        <w:rPr>
          <w:lang w:val="en-GB" w:eastAsia="de-DE"/>
        </w:rPr>
      </w:pPr>
      <w:r w:rsidRPr="001C469B">
        <w:rPr>
          <w:lang w:val="en-GB"/>
        </w:rPr>
        <w:t>9</w:t>
      </w:r>
      <w:r w:rsidRPr="00717DC2">
        <w:rPr>
          <w:lang w:val="en-GB"/>
        </w:rPr>
        <w:t>.</w:t>
      </w:r>
      <w:r w:rsidRPr="00717DC2">
        <w:rPr>
          <w:lang w:val="en-GB"/>
        </w:rPr>
        <w:tab/>
      </w:r>
      <w:r>
        <w:rPr>
          <w:lang w:val="en-GB" w:eastAsia="de-DE"/>
        </w:rPr>
        <w:t xml:space="preserve">In accordance with </w:t>
      </w:r>
      <w:r w:rsidRPr="00717DC2">
        <w:rPr>
          <w:lang w:val="en-GB" w:eastAsia="de-DE"/>
        </w:rPr>
        <w:t>article 2(3</w:t>
      </w:r>
      <w:proofErr w:type="gramStart"/>
      <w:r w:rsidRPr="00717DC2">
        <w:rPr>
          <w:lang w:val="en-GB" w:eastAsia="de-DE"/>
        </w:rPr>
        <w:t>)(</w:t>
      </w:r>
      <w:proofErr w:type="gramEnd"/>
      <w:r w:rsidRPr="00717DC2">
        <w:rPr>
          <w:lang w:val="en-GB" w:eastAsia="de-DE"/>
        </w:rPr>
        <w:t>a) of the Covenant, the State party is under an obligation to provide individuals whose Covenant rights have been violated</w:t>
      </w:r>
      <w:r w:rsidRPr="006B40E1">
        <w:rPr>
          <w:lang w:val="en-GB" w:eastAsia="de-DE"/>
        </w:rPr>
        <w:t xml:space="preserve"> </w:t>
      </w:r>
      <w:r w:rsidRPr="003B5DD8">
        <w:rPr>
          <w:lang w:val="en-GB" w:eastAsia="de-DE"/>
        </w:rPr>
        <w:t xml:space="preserve">with an effective remedy. </w:t>
      </w:r>
      <w:r w:rsidR="001E6B30">
        <w:rPr>
          <w:lang w:eastAsia="de-DE"/>
        </w:rPr>
        <w:t xml:space="preserve">This requires it to make full reparation to individuals whose Covenant rights have been violated. </w:t>
      </w:r>
      <w:r w:rsidRPr="00717DC2">
        <w:rPr>
          <w:lang w:val="en-GB"/>
        </w:rPr>
        <w:t xml:space="preserve">Accordingly, the State party is obligated, </w:t>
      </w:r>
      <w:r w:rsidRPr="00717DC2">
        <w:rPr>
          <w:iCs/>
          <w:lang w:val="en-GB"/>
        </w:rPr>
        <w:t>inter alia,</w:t>
      </w:r>
      <w:r w:rsidRPr="00717DC2">
        <w:rPr>
          <w:lang w:val="en-GB"/>
        </w:rPr>
        <w:t xml:space="preserve"> to</w:t>
      </w:r>
      <w:r w:rsidRPr="001C469B">
        <w:rPr>
          <w:lang w:val="en-GB"/>
        </w:rPr>
        <w:t xml:space="preserve"> provide the author with adequate compensation and reimbursement of the fine and any legal costs incurred by her.</w:t>
      </w:r>
      <w:r w:rsidRPr="004D3BD8">
        <w:rPr>
          <w:lang w:val="en-GB" w:eastAsia="de-DE"/>
        </w:rPr>
        <w:t xml:space="preserve"> The State party is also under an obligation to take all steps necessary to prevent similar violations from occurring in the future.</w:t>
      </w:r>
      <w:r w:rsidR="008C7B5D">
        <w:rPr>
          <w:lang w:val="en-GB" w:eastAsia="de-DE"/>
        </w:rPr>
        <w:t xml:space="preserve"> </w:t>
      </w:r>
      <w:r w:rsidR="008C7B5D" w:rsidRPr="00BF2997">
        <w:t xml:space="preserve">In this connection, the Committee reiterates that, pursuant to its obligations under article 2(2) of the Covenant, the State party should review its legislation, in particular the law on the organization and conduct of peaceful assemblies, meetings, processions, pickets and demonstrations, as it has been applied in the present case, with a view to ensuring that the rights under </w:t>
      </w:r>
      <w:r w:rsidR="008C7B5D" w:rsidRPr="007C0A24">
        <w:t>article</w:t>
      </w:r>
      <w:r w:rsidR="00D07326" w:rsidRPr="007C0A24">
        <w:t>s</w:t>
      </w:r>
      <w:r w:rsidR="008C7B5D" w:rsidRPr="007C0A24">
        <w:t xml:space="preserve"> 19 </w:t>
      </w:r>
      <w:r w:rsidR="00D07326" w:rsidRPr="007C0A24">
        <w:t xml:space="preserve">and 21 </w:t>
      </w:r>
      <w:r w:rsidR="008C7B5D" w:rsidRPr="007C0A24">
        <w:t>of</w:t>
      </w:r>
      <w:r w:rsidR="008C7B5D" w:rsidRPr="00BF2997">
        <w:t xml:space="preserve"> the Covenant may be fully enjoyed in the State party.</w:t>
      </w:r>
      <w:r w:rsidRPr="004D3BD8">
        <w:rPr>
          <w:lang w:val="en-GB" w:eastAsia="de-DE"/>
        </w:rPr>
        <w:t xml:space="preserve"> </w:t>
      </w:r>
    </w:p>
    <w:p w:rsidR="00BB1FD2" w:rsidRPr="006B0676" w:rsidRDefault="00506380" w:rsidP="00BB1FD2">
      <w:pPr>
        <w:pStyle w:val="SingleTxtG"/>
        <w:rPr>
          <w:lang w:val="en-GB"/>
        </w:rPr>
      </w:pPr>
      <w:proofErr w:type="gramStart"/>
      <w:r w:rsidRPr="00BC3AA9">
        <w:rPr>
          <w:lang w:val="en-GB" w:eastAsia="de-DE"/>
        </w:rPr>
        <w:t>10</w:t>
      </w:r>
      <w:r w:rsidRPr="00717DC2">
        <w:rPr>
          <w:lang w:val="en-GB" w:eastAsia="de-DE"/>
        </w:rPr>
        <w:t>.</w:t>
      </w:r>
      <w:r w:rsidRPr="00717DC2">
        <w:rPr>
          <w:lang w:val="en-GB" w:eastAsia="de-DE"/>
        </w:rPr>
        <w:tab/>
        <w:t>Bearing in mind that, by becoming a party to the Optional Protocol, the State party has recognized the competence of the Committee to det</w:t>
      </w:r>
      <w:r w:rsidRPr="007C0A24">
        <w:rPr>
          <w:lang w:val="en-GB" w:eastAsia="de-DE"/>
        </w:rPr>
        <w:t>er</w:t>
      </w:r>
      <w:r w:rsidRPr="00717DC2">
        <w:rPr>
          <w:lang w:val="en-GB" w:eastAsia="de-DE"/>
        </w:rPr>
        <w:t xml:space="preserve">mine whether there has been a violation of the Covenant or not and that, pursuant to article 2 of the Covenant, the State party has </w:t>
      </w:r>
      <w:r w:rsidRPr="00717DC2">
        <w:rPr>
          <w:lang w:val="en-GB"/>
        </w:rPr>
        <w:t>undertaken</w:t>
      </w:r>
      <w:r w:rsidRPr="00717DC2">
        <w:rPr>
          <w:lang w:val="en-GB" w:eastAsia="de-DE"/>
        </w:rPr>
        <w:t xml:space="preserve">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w:t>
      </w:r>
      <w:proofErr w:type="gramEnd"/>
      <w:r w:rsidRPr="00717DC2">
        <w:rPr>
          <w:lang w:val="en-GB" w:eastAsia="de-DE"/>
        </w:rPr>
        <w:t xml:space="preserve"> The State party </w:t>
      </w:r>
      <w:proofErr w:type="gramStart"/>
      <w:r w:rsidRPr="00717DC2">
        <w:rPr>
          <w:lang w:val="en-GB" w:eastAsia="de-DE"/>
        </w:rPr>
        <w:t>is also requested</w:t>
      </w:r>
      <w:proofErr w:type="gramEnd"/>
      <w:r w:rsidRPr="00717DC2">
        <w:rPr>
          <w:lang w:val="en-GB" w:eastAsia="de-DE"/>
        </w:rPr>
        <w:t xml:space="preserve"> to publish the present Views and disseminate them widely in the official languages of the State party. </w:t>
      </w:r>
    </w:p>
    <w:p w:rsidR="00380C23" w:rsidRPr="006B0676" w:rsidRDefault="00726ECE" w:rsidP="007E4DFD">
      <w:pPr>
        <w:pStyle w:val="SingleTxtG"/>
        <w:spacing w:before="240" w:after="0"/>
        <w:jc w:val="center"/>
        <w:rPr>
          <w:lang w:val="en-GB"/>
        </w:rPr>
      </w:pPr>
      <w:r w:rsidRPr="006B0676">
        <w:rPr>
          <w:u w:val="single"/>
          <w:lang w:val="en-GB"/>
        </w:rPr>
        <w:tab/>
      </w:r>
      <w:r w:rsidRPr="006B0676">
        <w:rPr>
          <w:u w:val="single"/>
          <w:lang w:val="en-GB"/>
        </w:rPr>
        <w:tab/>
      </w:r>
      <w:r w:rsidRPr="006B0676">
        <w:rPr>
          <w:u w:val="single"/>
          <w:lang w:val="en-GB"/>
        </w:rPr>
        <w:tab/>
      </w:r>
      <w:r w:rsidR="00847E11">
        <w:rPr>
          <w:u w:val="single"/>
          <w:lang w:val="en-GB"/>
        </w:rPr>
        <w:tab/>
      </w:r>
    </w:p>
    <w:sectPr w:rsidR="00380C23" w:rsidRPr="006B0676" w:rsidSect="000B4F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08" w:rsidRDefault="00D61108"/>
  </w:endnote>
  <w:endnote w:type="continuationSeparator" w:id="0">
    <w:p w:rsidR="00D61108" w:rsidRDefault="00D61108"/>
  </w:endnote>
  <w:endnote w:type="continuationNotice" w:id="1">
    <w:p w:rsidR="00D61108" w:rsidRDefault="00D61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ngs">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26" w:rsidRPr="00781C83" w:rsidRDefault="00D07326" w:rsidP="00990482">
    <w:pPr>
      <w:pStyle w:val="Footer"/>
      <w:tabs>
        <w:tab w:val="right" w:pos="9638"/>
      </w:tabs>
    </w:pPr>
    <w:r w:rsidRPr="00781C83">
      <w:rPr>
        <w:b/>
        <w:sz w:val="18"/>
      </w:rPr>
      <w:fldChar w:fldCharType="begin"/>
    </w:r>
    <w:r>
      <w:rPr>
        <w:b/>
        <w:sz w:val="18"/>
      </w:rPr>
      <w:instrText>PAGE</w:instrText>
    </w:r>
    <w:r w:rsidRPr="00781C83">
      <w:rPr>
        <w:b/>
        <w:sz w:val="18"/>
      </w:rPr>
      <w:instrText xml:space="preserve">  \* MERGEFORMAT </w:instrText>
    </w:r>
    <w:r w:rsidRPr="00781C83">
      <w:rPr>
        <w:b/>
        <w:sz w:val="18"/>
      </w:rPr>
      <w:fldChar w:fldCharType="separate"/>
    </w:r>
    <w:r w:rsidR="006F50BD">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26" w:rsidRPr="00B34770" w:rsidRDefault="00D07326" w:rsidP="00990482">
    <w:pPr>
      <w:pStyle w:val="Footer"/>
      <w:tabs>
        <w:tab w:val="right" w:pos="9638"/>
      </w:tabs>
      <w:rPr>
        <w:b/>
        <w:bCs/>
        <w:sz w:val="18"/>
      </w:rPr>
    </w:pPr>
    <w:r>
      <w:rPr>
        <w:b/>
        <w:sz w:val="18"/>
      </w:rPr>
      <w:tab/>
    </w:r>
    <w:r w:rsidRPr="00B34770">
      <w:rPr>
        <w:b/>
        <w:bCs/>
        <w:sz w:val="18"/>
      </w:rPr>
      <w:fldChar w:fldCharType="begin"/>
    </w:r>
    <w:r>
      <w:rPr>
        <w:b/>
        <w:bCs/>
        <w:sz w:val="18"/>
      </w:rPr>
      <w:instrText>PAGE</w:instrText>
    </w:r>
    <w:r w:rsidRPr="00B34770">
      <w:rPr>
        <w:b/>
        <w:bCs/>
        <w:sz w:val="18"/>
      </w:rPr>
      <w:instrText xml:space="preserve">  \* MERGEFORMAT </w:instrText>
    </w:r>
    <w:r w:rsidRPr="00B34770">
      <w:rPr>
        <w:b/>
        <w:bCs/>
        <w:sz w:val="18"/>
      </w:rPr>
      <w:fldChar w:fldCharType="separate"/>
    </w:r>
    <w:r w:rsidR="006F50BD">
      <w:rPr>
        <w:b/>
        <w:bCs/>
        <w:noProof/>
        <w:sz w:val="18"/>
      </w:rPr>
      <w:t>3</w:t>
    </w:r>
    <w:r w:rsidRPr="00B347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26" w:rsidRDefault="00D07326" w:rsidP="00D028A2">
    <w:pPr>
      <w:pStyle w:val="Footer"/>
    </w:pPr>
    <w:r>
      <w:rPr>
        <w:noProof/>
        <w:lang w:val="en-GB" w:eastAsia="en-GB"/>
      </w:rPr>
      <w:drawing>
        <wp:anchor distT="0" distB="0" distL="114300" distR="114300" simplePos="0" relativeHeight="251659264" behindDoc="1" locked="1" layoutInCell="1" allowOverlap="1" wp14:anchorId="39A7AAE7" wp14:editId="39A7AAE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08" w:rsidRPr="000B175B" w:rsidRDefault="00D61108" w:rsidP="00990482">
      <w:pPr>
        <w:tabs>
          <w:tab w:val="right" w:pos="2155"/>
        </w:tabs>
        <w:spacing w:after="80"/>
        <w:ind w:left="680"/>
        <w:rPr>
          <w:u w:val="single"/>
        </w:rPr>
      </w:pPr>
      <w:r>
        <w:rPr>
          <w:u w:val="single"/>
        </w:rPr>
        <w:tab/>
      </w:r>
    </w:p>
  </w:footnote>
  <w:footnote w:type="continuationSeparator" w:id="0">
    <w:p w:rsidR="00D61108" w:rsidRPr="00FC68B7" w:rsidRDefault="00D61108" w:rsidP="00990482">
      <w:pPr>
        <w:tabs>
          <w:tab w:val="left" w:pos="2155"/>
        </w:tabs>
        <w:spacing w:after="80"/>
        <w:ind w:left="680"/>
        <w:rPr>
          <w:u w:val="single"/>
        </w:rPr>
      </w:pPr>
      <w:r>
        <w:rPr>
          <w:u w:val="single"/>
        </w:rPr>
        <w:tab/>
      </w:r>
    </w:p>
  </w:footnote>
  <w:footnote w:type="continuationNotice" w:id="1">
    <w:p w:rsidR="00D61108" w:rsidRDefault="00D61108"/>
  </w:footnote>
  <w:footnote w:id="2">
    <w:p w:rsidR="007C0A24" w:rsidRPr="007C0A24" w:rsidRDefault="007C0A24">
      <w:pPr>
        <w:pStyle w:val="FootnoteText"/>
        <w:rPr>
          <w:lang w:val="en-GB"/>
        </w:rPr>
      </w:pPr>
      <w:r>
        <w:rPr>
          <w:rStyle w:val="FootnoteReference"/>
        </w:rPr>
        <w:tab/>
      </w:r>
      <w:r w:rsidRPr="007C0A24">
        <w:rPr>
          <w:rStyle w:val="FootnoteReference"/>
          <w:sz w:val="20"/>
          <w:vertAlign w:val="baseline"/>
        </w:rPr>
        <w:t>*</w:t>
      </w:r>
      <w:r>
        <w:rPr>
          <w:rStyle w:val="FootnoteReference"/>
          <w:sz w:val="20"/>
          <w:vertAlign w:val="baseline"/>
        </w:rPr>
        <w:tab/>
      </w:r>
      <w:r w:rsidRPr="008E032C">
        <w:t>Adopted by the Committee at its 12</w:t>
      </w:r>
      <w:r>
        <w:t>4th</w:t>
      </w:r>
      <w:r w:rsidRPr="008E032C">
        <w:t xml:space="preserve"> session (</w:t>
      </w:r>
      <w:r>
        <w:t xml:space="preserve">8 </w:t>
      </w:r>
      <w:r>
        <w:rPr>
          <w:bCs/>
        </w:rPr>
        <w:t xml:space="preserve">October – 2 November </w:t>
      </w:r>
      <w:r w:rsidRPr="001103BA">
        <w:rPr>
          <w:bCs/>
        </w:rPr>
        <w:t>2018</w:t>
      </w:r>
      <w:r w:rsidRPr="008E032C">
        <w:t>).</w:t>
      </w:r>
    </w:p>
  </w:footnote>
  <w:footnote w:id="3">
    <w:p w:rsidR="007C0A24" w:rsidRPr="007C0A24" w:rsidRDefault="007C0A24">
      <w:pPr>
        <w:pStyle w:val="FootnoteText"/>
        <w:rPr>
          <w:lang w:val="en-GB"/>
        </w:rPr>
      </w:pPr>
      <w:r>
        <w:rPr>
          <w:rStyle w:val="FootnoteReference"/>
        </w:rPr>
        <w:tab/>
      </w:r>
      <w:r w:rsidRPr="007C0A24">
        <w:rPr>
          <w:rStyle w:val="FootnoteReference"/>
          <w:sz w:val="20"/>
          <w:vertAlign w:val="baseline"/>
        </w:rPr>
        <w:t>**</w:t>
      </w:r>
      <w:r>
        <w:rPr>
          <w:rStyle w:val="FootnoteReference"/>
          <w:sz w:val="20"/>
          <w:vertAlign w:val="baseline"/>
        </w:rPr>
        <w:tab/>
      </w:r>
      <w:r w:rsidRPr="008E032C">
        <w:t xml:space="preserve">The following members of the Committee participated in the examination of the communication: Tania </w:t>
      </w:r>
      <w:proofErr w:type="spellStart"/>
      <w:r w:rsidRPr="008E032C">
        <w:t>Mar</w:t>
      </w:r>
      <w:r>
        <w:t>í</w:t>
      </w:r>
      <w:r w:rsidRPr="008E032C">
        <w:t>a</w:t>
      </w:r>
      <w:proofErr w:type="spellEnd"/>
      <w:r w:rsidRPr="008E032C">
        <w:t xml:space="preserve"> </w:t>
      </w:r>
      <w:proofErr w:type="spellStart"/>
      <w:r w:rsidRPr="008E032C">
        <w:t>Abdo</w:t>
      </w:r>
      <w:proofErr w:type="spellEnd"/>
      <w:r w:rsidRPr="008E032C">
        <w:t xml:space="preserve"> </w:t>
      </w:r>
      <w:proofErr w:type="spellStart"/>
      <w:r w:rsidRPr="008E032C">
        <w:t>Rocholl</w:t>
      </w:r>
      <w:proofErr w:type="spellEnd"/>
      <w:r w:rsidRPr="008E032C">
        <w:t xml:space="preserve">, </w:t>
      </w:r>
      <w:proofErr w:type="spellStart"/>
      <w:r w:rsidRPr="008E032C">
        <w:t>Ilze</w:t>
      </w:r>
      <w:proofErr w:type="spellEnd"/>
      <w:r w:rsidRPr="008E032C">
        <w:t xml:space="preserve"> Brands </w:t>
      </w:r>
      <w:proofErr w:type="spellStart"/>
      <w:r w:rsidRPr="008E032C">
        <w:t>Kehris</w:t>
      </w:r>
      <w:proofErr w:type="spellEnd"/>
      <w:r w:rsidRPr="008E032C">
        <w:t xml:space="preserve">, Sarah Cleveland, Ahmed Amin </w:t>
      </w:r>
      <w:proofErr w:type="spellStart"/>
      <w:r w:rsidRPr="008E032C">
        <w:t>Fathalla</w:t>
      </w:r>
      <w:proofErr w:type="spellEnd"/>
      <w:r w:rsidRPr="008E032C">
        <w:t xml:space="preserve">, Olivier de </w:t>
      </w:r>
      <w:proofErr w:type="spellStart"/>
      <w:r w:rsidRPr="008E032C">
        <w:t>Frouville</w:t>
      </w:r>
      <w:proofErr w:type="spellEnd"/>
      <w:r w:rsidRPr="008E032C">
        <w:t xml:space="preserve">, </w:t>
      </w:r>
      <w:proofErr w:type="spellStart"/>
      <w:r w:rsidRPr="008E032C">
        <w:t>Christof</w:t>
      </w:r>
      <w:proofErr w:type="spellEnd"/>
      <w:r w:rsidRPr="008E032C">
        <w:t xml:space="preserve"> </w:t>
      </w:r>
      <w:proofErr w:type="spellStart"/>
      <w:r w:rsidRPr="008E032C">
        <w:t>Heyns</w:t>
      </w:r>
      <w:proofErr w:type="spellEnd"/>
      <w:r w:rsidRPr="008E032C">
        <w:t xml:space="preserve">, </w:t>
      </w:r>
      <w:proofErr w:type="spellStart"/>
      <w:r w:rsidRPr="008E032C">
        <w:t>Bamariam</w:t>
      </w:r>
      <w:proofErr w:type="spellEnd"/>
      <w:r w:rsidRPr="008E032C">
        <w:t xml:space="preserve"> </w:t>
      </w:r>
      <w:proofErr w:type="spellStart"/>
      <w:r w:rsidRPr="008E032C">
        <w:t>Koita</w:t>
      </w:r>
      <w:proofErr w:type="spellEnd"/>
      <w:r w:rsidRPr="008E032C">
        <w:t xml:space="preserve">, Marcia V.J. </w:t>
      </w:r>
      <w:proofErr w:type="spellStart"/>
      <w:r w:rsidRPr="008E032C">
        <w:t>Kran</w:t>
      </w:r>
      <w:proofErr w:type="spellEnd"/>
      <w:r w:rsidRPr="008E032C">
        <w:t xml:space="preserve">, Duncan </w:t>
      </w:r>
      <w:proofErr w:type="spellStart"/>
      <w:r w:rsidRPr="008E032C">
        <w:t>Laki</w:t>
      </w:r>
      <w:proofErr w:type="spellEnd"/>
      <w:r w:rsidRPr="008E032C">
        <w:t xml:space="preserve"> </w:t>
      </w:r>
      <w:proofErr w:type="spellStart"/>
      <w:r w:rsidRPr="008E032C">
        <w:t>Muhumuza</w:t>
      </w:r>
      <w:proofErr w:type="spellEnd"/>
      <w:r w:rsidRPr="008E032C">
        <w:t xml:space="preserve">, </w:t>
      </w:r>
      <w:proofErr w:type="spellStart"/>
      <w:r>
        <w:t>Phoyini</w:t>
      </w:r>
      <w:proofErr w:type="spellEnd"/>
      <w:r>
        <w:t xml:space="preserve"> </w:t>
      </w:r>
      <w:proofErr w:type="spellStart"/>
      <w:r>
        <w:t>Pazartzis</w:t>
      </w:r>
      <w:proofErr w:type="spellEnd"/>
      <w:r>
        <w:t xml:space="preserve">, </w:t>
      </w:r>
      <w:r w:rsidRPr="008E032C">
        <w:t xml:space="preserve">Mauro </w:t>
      </w:r>
      <w:proofErr w:type="spellStart"/>
      <w:r w:rsidRPr="008E032C">
        <w:t>Politi</w:t>
      </w:r>
      <w:proofErr w:type="spellEnd"/>
      <w:r w:rsidRPr="008E032C">
        <w:t xml:space="preserve">, José Manuel Santos </w:t>
      </w:r>
      <w:proofErr w:type="spellStart"/>
      <w:r w:rsidRPr="008E032C">
        <w:t>Pais</w:t>
      </w:r>
      <w:proofErr w:type="spellEnd"/>
      <w:r w:rsidRPr="008E032C">
        <w:t xml:space="preserve">, Yuval </w:t>
      </w:r>
      <w:proofErr w:type="spellStart"/>
      <w:r w:rsidRPr="008E032C">
        <w:t>Shany</w:t>
      </w:r>
      <w:proofErr w:type="spellEnd"/>
      <w:r>
        <w:t>,</w:t>
      </w:r>
      <w:r w:rsidRPr="008E032C">
        <w:t xml:space="preserve"> Margo </w:t>
      </w:r>
      <w:proofErr w:type="spellStart"/>
      <w:r w:rsidRPr="008E032C">
        <w:t>Waterval</w:t>
      </w:r>
      <w:proofErr w:type="spellEnd"/>
      <w:r>
        <w:t xml:space="preserve"> </w:t>
      </w:r>
      <w:r w:rsidRPr="008E032C">
        <w:t>and</w:t>
      </w:r>
      <w:r>
        <w:t xml:space="preserve"> Andreas B. Zimmermann</w:t>
      </w:r>
      <w:r w:rsidRPr="008E032C">
        <w:t>.</w:t>
      </w:r>
    </w:p>
  </w:footnote>
  <w:footnote w:id="4">
    <w:p w:rsidR="00D07326" w:rsidRDefault="00D07326" w:rsidP="001A13AB">
      <w:pPr>
        <w:pStyle w:val="FootnoteText"/>
      </w:pPr>
      <w:r>
        <w:tab/>
      </w:r>
      <w:r>
        <w:rPr>
          <w:rStyle w:val="FootnoteReference"/>
        </w:rPr>
        <w:footnoteRef/>
      </w:r>
      <w:r>
        <w:tab/>
        <w:t xml:space="preserve">The author attached copies of the complaints to the Special rapporteur, which concern events different from the two present communications. </w:t>
      </w:r>
    </w:p>
  </w:footnote>
  <w:footnote w:id="5">
    <w:p w:rsidR="00D07326" w:rsidRPr="00DD4C00" w:rsidRDefault="00D07326" w:rsidP="002778AD">
      <w:pPr>
        <w:pStyle w:val="FootnoteText"/>
      </w:pPr>
      <w:r>
        <w:tab/>
      </w:r>
      <w:r>
        <w:rPr>
          <w:rStyle w:val="FootnoteReference"/>
        </w:rPr>
        <w:footnoteRef/>
      </w:r>
      <w:r>
        <w:tab/>
        <w:t>See c</w:t>
      </w:r>
      <w:r w:rsidRPr="0000397C">
        <w:t>ommunication</w:t>
      </w:r>
      <w:r>
        <w:t>s</w:t>
      </w:r>
      <w:r w:rsidRPr="00380E01">
        <w:t xml:space="preserve"> No. 836/1998, </w:t>
      </w:r>
      <w:proofErr w:type="spellStart"/>
      <w:r w:rsidRPr="0086457A">
        <w:rPr>
          <w:i/>
        </w:rPr>
        <w:t>Gelazauskas</w:t>
      </w:r>
      <w:proofErr w:type="spellEnd"/>
      <w:r w:rsidRPr="0086457A">
        <w:rPr>
          <w:i/>
        </w:rPr>
        <w:t xml:space="preserve"> v. Lithuania</w:t>
      </w:r>
      <w:r w:rsidRPr="00380E01">
        <w:t xml:space="preserve">, Views adopted on </w:t>
      </w:r>
      <w:r>
        <w:t xml:space="preserve">17 March 2003, </w:t>
      </w:r>
      <w:r w:rsidRPr="00380E01">
        <w:t>para</w:t>
      </w:r>
      <w:r>
        <w:t>graph</w:t>
      </w:r>
      <w:r w:rsidRPr="00380E01">
        <w:t xml:space="preserve"> 7.4; No</w:t>
      </w:r>
      <w:r w:rsidRPr="00530425">
        <w:t>.</w:t>
      </w:r>
      <w:r w:rsidRPr="00380E01">
        <w:t xml:space="preserve"> 1851/2008, </w:t>
      </w:r>
      <w:proofErr w:type="spellStart"/>
      <w:r w:rsidRPr="006F5B58">
        <w:rPr>
          <w:i/>
          <w:iCs/>
        </w:rPr>
        <w:t>Sekerko</w:t>
      </w:r>
      <w:proofErr w:type="spellEnd"/>
      <w:r w:rsidRPr="006F5B58">
        <w:rPr>
          <w:i/>
          <w:iCs/>
        </w:rPr>
        <w:t xml:space="preserve"> v. Belarus</w:t>
      </w:r>
      <w:r>
        <w:t xml:space="preserve">, Views adopted on 28 October 2013, </w:t>
      </w:r>
      <w:r w:rsidRPr="00380E01">
        <w:t>para</w:t>
      </w:r>
      <w:r>
        <w:t>graph</w:t>
      </w:r>
      <w:r w:rsidRPr="00380E01">
        <w:t xml:space="preserve"> 8.3; </w:t>
      </w:r>
      <w:r>
        <w:t xml:space="preserve">Nos. 1919-1920/2009, </w:t>
      </w:r>
      <w:proofErr w:type="spellStart"/>
      <w:r w:rsidRPr="0086457A">
        <w:rPr>
          <w:i/>
        </w:rPr>
        <w:t>Protsko</w:t>
      </w:r>
      <w:proofErr w:type="spellEnd"/>
      <w:r w:rsidRPr="0086457A">
        <w:rPr>
          <w:i/>
        </w:rPr>
        <w:t xml:space="preserve"> and </w:t>
      </w:r>
      <w:proofErr w:type="spellStart"/>
      <w:r w:rsidRPr="0086457A">
        <w:rPr>
          <w:i/>
        </w:rPr>
        <w:t>Tolchin</w:t>
      </w:r>
      <w:proofErr w:type="spellEnd"/>
      <w:r w:rsidRPr="0086457A">
        <w:rPr>
          <w:i/>
        </w:rPr>
        <w:t xml:space="preserve"> v. Belarus</w:t>
      </w:r>
      <w:r w:rsidRPr="00380E01">
        <w:t xml:space="preserve">, </w:t>
      </w:r>
      <w:r>
        <w:t xml:space="preserve">Views adopted on 1 November 2013, </w:t>
      </w:r>
      <w:r w:rsidRPr="00380E01">
        <w:t xml:space="preserve">para. </w:t>
      </w:r>
      <w:proofErr w:type="gramStart"/>
      <w:r w:rsidRPr="00380E01">
        <w:t>6.5</w:t>
      </w:r>
      <w:proofErr w:type="gramEnd"/>
      <w:r w:rsidRPr="00380E01">
        <w:t xml:space="preserve">; No. 1784/2008, </w:t>
      </w:r>
      <w:proofErr w:type="spellStart"/>
      <w:r w:rsidRPr="0086457A">
        <w:rPr>
          <w:i/>
        </w:rPr>
        <w:t>Schumilin</w:t>
      </w:r>
      <w:proofErr w:type="spellEnd"/>
      <w:r w:rsidRPr="0086457A">
        <w:rPr>
          <w:i/>
        </w:rPr>
        <w:t xml:space="preserve"> v. Belarus</w:t>
      </w:r>
      <w:r w:rsidRPr="00380E01">
        <w:t xml:space="preserve">, Views adopted on 23 July 2012, para. </w:t>
      </w:r>
      <w:proofErr w:type="gramStart"/>
      <w:r w:rsidRPr="00380E01">
        <w:t>8.3</w:t>
      </w:r>
      <w:proofErr w:type="gramEnd"/>
      <w:r w:rsidRPr="00380E01">
        <w:t>; No.</w:t>
      </w:r>
      <w:r>
        <w:t> </w:t>
      </w:r>
      <w:r w:rsidRPr="00380E01">
        <w:t xml:space="preserve">1814/2008, </w:t>
      </w:r>
      <w:r w:rsidRPr="0086457A">
        <w:rPr>
          <w:i/>
        </w:rPr>
        <w:t>P.L. v. Belarus</w:t>
      </w:r>
      <w:r w:rsidRPr="00380E01">
        <w:t>, decision of inadmissibility</w:t>
      </w:r>
      <w:r>
        <w:t xml:space="preserve"> </w:t>
      </w:r>
      <w:r w:rsidRPr="00380E01">
        <w:t xml:space="preserve">adopted on 26 July </w:t>
      </w:r>
      <w:r>
        <w:t xml:space="preserve">2011, para. </w:t>
      </w:r>
      <w:proofErr w:type="gramStart"/>
      <w:r>
        <w:t>6.2</w:t>
      </w:r>
      <w:proofErr w:type="gramEnd"/>
      <w:r>
        <w:t>;</w:t>
      </w:r>
      <w:r w:rsidRPr="0086457A">
        <w:t xml:space="preserve"> No.</w:t>
      </w:r>
      <w:r>
        <w:t> </w:t>
      </w:r>
      <w:r w:rsidRPr="0086457A">
        <w:t xml:space="preserve">2021/2010, </w:t>
      </w:r>
      <w:r w:rsidRPr="0086457A">
        <w:rPr>
          <w:i/>
        </w:rPr>
        <w:t>E.Z. v. Kazakhstan</w:t>
      </w:r>
      <w:r w:rsidRPr="0086457A">
        <w:t>, decision</w:t>
      </w:r>
      <w:r>
        <w:t xml:space="preserve"> of </w:t>
      </w:r>
      <w:r w:rsidRPr="0086457A">
        <w:t xml:space="preserve">inadmissibility </w:t>
      </w:r>
      <w:r w:rsidRPr="00380E01">
        <w:t>adopted on</w:t>
      </w:r>
      <w:r w:rsidRPr="0086457A">
        <w:t xml:space="preserve"> 1 April 2015, para</w:t>
      </w:r>
      <w:r>
        <w:t>.</w:t>
      </w:r>
      <w:r w:rsidRPr="0086457A">
        <w:t xml:space="preserve"> </w:t>
      </w:r>
      <w:proofErr w:type="gramStart"/>
      <w:r w:rsidRPr="0086457A">
        <w:t>7.3</w:t>
      </w:r>
      <w:proofErr w:type="gramEnd"/>
      <w:r>
        <w:t>;</w:t>
      </w:r>
      <w:r w:rsidRPr="00C570B5">
        <w:rPr>
          <w:szCs w:val="18"/>
        </w:rPr>
        <w:t xml:space="preserve"> </w:t>
      </w:r>
      <w:r>
        <w:rPr>
          <w:szCs w:val="18"/>
        </w:rPr>
        <w:t xml:space="preserve">No. 1873/2009, </w:t>
      </w:r>
      <w:r>
        <w:rPr>
          <w:i/>
          <w:szCs w:val="18"/>
        </w:rPr>
        <w:t>Alekseev v. Russian Federation</w:t>
      </w:r>
      <w:r>
        <w:rPr>
          <w:szCs w:val="18"/>
        </w:rPr>
        <w:t>, Views adopted on 25 October 2013, para</w:t>
      </w:r>
      <w:r w:rsidRPr="00C51530">
        <w:rPr>
          <w:szCs w:val="18"/>
        </w:rPr>
        <w:t>.</w:t>
      </w:r>
      <w:r>
        <w:rPr>
          <w:szCs w:val="18"/>
        </w:rPr>
        <w:t xml:space="preserve"> </w:t>
      </w:r>
      <w:proofErr w:type="gramStart"/>
      <w:r>
        <w:rPr>
          <w:szCs w:val="18"/>
        </w:rPr>
        <w:t>8.4</w:t>
      </w:r>
      <w:proofErr w:type="gramEnd"/>
      <w:r w:rsidRPr="004E1E4E">
        <w:rPr>
          <w:szCs w:val="18"/>
        </w:rPr>
        <w:t xml:space="preserve">; </w:t>
      </w:r>
      <w:r w:rsidRPr="00C15B6B">
        <w:t>No.</w:t>
      </w:r>
      <w:r>
        <w:t> </w:t>
      </w:r>
      <w:r w:rsidRPr="00C15B6B">
        <w:rPr>
          <w:szCs w:val="18"/>
        </w:rPr>
        <w:t xml:space="preserve">2041/2011, </w:t>
      </w:r>
      <w:proofErr w:type="spellStart"/>
      <w:r w:rsidRPr="00C15B6B">
        <w:rPr>
          <w:i/>
          <w:szCs w:val="18"/>
        </w:rPr>
        <w:t>Dorofeev</w:t>
      </w:r>
      <w:proofErr w:type="spellEnd"/>
      <w:r w:rsidRPr="00C15B6B">
        <w:rPr>
          <w:i/>
          <w:szCs w:val="18"/>
        </w:rPr>
        <w:t xml:space="preserve"> v. Russian Federation</w:t>
      </w:r>
      <w:r w:rsidRPr="00C15B6B">
        <w:rPr>
          <w:szCs w:val="18"/>
        </w:rPr>
        <w:t xml:space="preserve">, Views adopted on </w:t>
      </w:r>
      <w:r w:rsidRPr="00C15B6B">
        <w:t>11 July 2014, para</w:t>
      </w:r>
      <w:r>
        <w:t>.</w:t>
      </w:r>
      <w:r w:rsidRPr="00C15B6B">
        <w:t xml:space="preserve"> 9.6.</w:t>
      </w:r>
      <w:r>
        <w:t xml:space="preserve"> </w:t>
      </w:r>
    </w:p>
  </w:footnote>
  <w:footnote w:id="6">
    <w:p w:rsidR="00D07326" w:rsidRPr="003230F7" w:rsidRDefault="00D07326" w:rsidP="002778AD">
      <w:pPr>
        <w:pStyle w:val="FootnoteText"/>
      </w:pPr>
      <w:r>
        <w:tab/>
      </w:r>
      <w:r>
        <w:rPr>
          <w:rStyle w:val="FootnoteReference"/>
        </w:rPr>
        <w:footnoteRef/>
      </w:r>
      <w:r>
        <w:tab/>
      </w:r>
      <w:r w:rsidRPr="00444A52">
        <w:t>See also communication No</w:t>
      </w:r>
      <w:r>
        <w:t>.</w:t>
      </w:r>
      <w:r w:rsidRPr="00444A52">
        <w:t xml:space="preserve"> 2141/</w:t>
      </w:r>
      <w:r>
        <w:t>2012,</w:t>
      </w:r>
      <w:r w:rsidRPr="00444A52">
        <w:t xml:space="preserve"> </w:t>
      </w:r>
      <w:proofErr w:type="spellStart"/>
      <w:r w:rsidRPr="00444A52">
        <w:rPr>
          <w:i/>
        </w:rPr>
        <w:t>Kostenko</w:t>
      </w:r>
      <w:proofErr w:type="spellEnd"/>
      <w:r w:rsidRPr="00444A52">
        <w:rPr>
          <w:i/>
        </w:rPr>
        <w:t xml:space="preserve"> v. Russian Federation</w:t>
      </w:r>
      <w:r>
        <w:t xml:space="preserve">, Views adopted on </w:t>
      </w:r>
      <w:r w:rsidRPr="00444A52">
        <w:rPr>
          <w:lang w:val="en"/>
        </w:rPr>
        <w:t>23</w:t>
      </w:r>
      <w:r>
        <w:rPr>
          <w:lang w:val="en"/>
        </w:rPr>
        <w:t> </w:t>
      </w:r>
      <w:r w:rsidRPr="00444A52">
        <w:rPr>
          <w:lang w:val="en"/>
        </w:rPr>
        <w:t>Oct</w:t>
      </w:r>
      <w:r>
        <w:rPr>
          <w:lang w:val="en"/>
        </w:rPr>
        <w:t>ober</w:t>
      </w:r>
      <w:r w:rsidRPr="00444A52">
        <w:rPr>
          <w:lang w:val="en"/>
        </w:rPr>
        <w:t xml:space="preserve"> 2015</w:t>
      </w:r>
      <w:r>
        <w:t xml:space="preserve">, para 6.3. </w:t>
      </w:r>
    </w:p>
  </w:footnote>
  <w:footnote w:id="7">
    <w:p w:rsidR="00D07326" w:rsidRDefault="00D07326" w:rsidP="00345939">
      <w:pPr>
        <w:pStyle w:val="FootnoteText"/>
        <w:ind w:hanging="234"/>
      </w:pPr>
      <w:r>
        <w:rPr>
          <w:rStyle w:val="FootnoteReference"/>
        </w:rPr>
        <w:footnoteRef/>
      </w:r>
      <w:r>
        <w:t xml:space="preserve">  See </w:t>
      </w:r>
      <w:r w:rsidRPr="006D2EEF">
        <w:rPr>
          <w:i/>
        </w:rPr>
        <w:t>Coleman v. Australia</w:t>
      </w:r>
      <w:r>
        <w:t>, (</w:t>
      </w:r>
      <w:r>
        <w:rPr>
          <w:lang w:val="en-GB"/>
        </w:rPr>
        <w:t xml:space="preserve">CCPR/C/87/D/1157/2003), para. 6.4., and </w:t>
      </w:r>
      <w:proofErr w:type="spellStart"/>
      <w:r w:rsidRPr="00E73971">
        <w:rPr>
          <w:i/>
          <w:lang w:val="en-GB"/>
        </w:rPr>
        <w:t>Levinov</w:t>
      </w:r>
      <w:proofErr w:type="spellEnd"/>
      <w:r w:rsidRPr="00E73971">
        <w:rPr>
          <w:i/>
          <w:lang w:val="en-GB"/>
        </w:rPr>
        <w:t xml:space="preserve"> v. Belarus</w:t>
      </w:r>
      <w:r>
        <w:rPr>
          <w:lang w:val="en-GB"/>
        </w:rPr>
        <w:t xml:space="preserve">, (CCPR/C/123/D/2235/2013), para 5.7.  </w:t>
      </w:r>
      <w:r>
        <w:t xml:space="preserve"> </w:t>
      </w:r>
    </w:p>
  </w:footnote>
  <w:footnote w:id="8">
    <w:p w:rsidR="00D07326" w:rsidRPr="00E67F87" w:rsidRDefault="00D07326" w:rsidP="00F53486">
      <w:pPr>
        <w:pStyle w:val="FootnoteText"/>
        <w:rPr>
          <w:lang w:val="en-GB"/>
        </w:rPr>
      </w:pPr>
      <w:r w:rsidRPr="00E67F87">
        <w:rPr>
          <w:lang w:val="en-GB"/>
        </w:rPr>
        <w:tab/>
      </w:r>
      <w:r w:rsidRPr="00E67F87">
        <w:rPr>
          <w:rStyle w:val="FootnoteReference"/>
          <w:lang w:val="en-GB"/>
        </w:rPr>
        <w:footnoteRef/>
      </w:r>
      <w:r w:rsidRPr="00E67F87">
        <w:rPr>
          <w:rStyle w:val="FootnoteReference"/>
          <w:lang w:val="en-GB"/>
        </w:rPr>
        <w:t xml:space="preserve"> </w:t>
      </w:r>
      <w:r w:rsidRPr="00E67F87">
        <w:rPr>
          <w:lang w:val="en-GB"/>
        </w:rPr>
        <w:tab/>
        <w:t xml:space="preserve">See, for example, </w:t>
      </w:r>
      <w:r w:rsidRPr="00E67F87">
        <w:rPr>
          <w:i/>
          <w:iCs/>
          <w:lang w:val="en-GB"/>
        </w:rPr>
        <w:t xml:space="preserve">Margarita </w:t>
      </w:r>
      <w:proofErr w:type="spellStart"/>
      <w:r w:rsidRPr="00E67F87">
        <w:rPr>
          <w:i/>
          <w:iCs/>
          <w:lang w:val="en-GB"/>
        </w:rPr>
        <w:t>Korol</w:t>
      </w:r>
      <w:proofErr w:type="spellEnd"/>
      <w:r w:rsidRPr="00E67F87">
        <w:rPr>
          <w:i/>
          <w:iCs/>
          <w:lang w:val="en-GB"/>
        </w:rPr>
        <w:t xml:space="preserve"> v. Belarus</w:t>
      </w:r>
      <w:r w:rsidRPr="00E67F87">
        <w:rPr>
          <w:lang w:val="en-GB"/>
        </w:rPr>
        <w:t xml:space="preserve"> (CCPR/C/117/D/2089/2011), para. 7.5. </w:t>
      </w:r>
    </w:p>
  </w:footnote>
  <w:footnote w:id="9">
    <w:p w:rsidR="00D07326" w:rsidRPr="00E67F87" w:rsidRDefault="00D07326" w:rsidP="00F53486">
      <w:pPr>
        <w:pStyle w:val="FootnoteText"/>
        <w:rPr>
          <w:lang w:val="en-GB"/>
        </w:rPr>
      </w:pPr>
      <w:r w:rsidRPr="00E67F87">
        <w:rPr>
          <w:lang w:val="en-GB"/>
        </w:rPr>
        <w:tab/>
      </w:r>
      <w:r w:rsidRPr="00E67F87">
        <w:rPr>
          <w:rStyle w:val="FootnoteReference"/>
          <w:lang w:val="en-GB"/>
        </w:rPr>
        <w:t xml:space="preserve"> </w:t>
      </w:r>
      <w:r w:rsidRPr="00E67F87">
        <w:rPr>
          <w:rStyle w:val="FootnoteReference"/>
          <w:lang w:val="en-GB"/>
        </w:rPr>
        <w:footnoteRef/>
      </w:r>
      <w:r w:rsidRPr="00E67F87">
        <w:rPr>
          <w:lang w:val="en-GB"/>
        </w:rPr>
        <w:t xml:space="preserve"> </w:t>
      </w:r>
      <w:r w:rsidRPr="00E67F87">
        <w:rPr>
          <w:lang w:val="en-GB"/>
        </w:rPr>
        <w:tab/>
        <w:t>Ibid.</w:t>
      </w:r>
    </w:p>
  </w:footnote>
  <w:footnote w:id="10">
    <w:p w:rsidR="00D07326" w:rsidRPr="00E67F87" w:rsidRDefault="00D07326" w:rsidP="00F53486">
      <w:pPr>
        <w:pStyle w:val="FootnoteText"/>
        <w:rPr>
          <w:lang w:val="en-GB"/>
        </w:rPr>
      </w:pPr>
      <w:r w:rsidRPr="00E67F87">
        <w:rPr>
          <w:lang w:val="en-GB"/>
        </w:rPr>
        <w:tab/>
      </w:r>
      <w:r w:rsidRPr="00E67F87">
        <w:rPr>
          <w:rStyle w:val="FootnoteReference"/>
          <w:lang w:val="en-GB"/>
        </w:rPr>
        <w:footnoteRef/>
      </w:r>
      <w:r w:rsidRPr="00E67F87">
        <w:rPr>
          <w:lang w:val="en-GB"/>
        </w:rPr>
        <w:tab/>
        <w:t xml:space="preserve">See </w:t>
      </w:r>
      <w:proofErr w:type="spellStart"/>
      <w:r w:rsidRPr="00E67F87">
        <w:rPr>
          <w:i/>
          <w:iCs/>
          <w:lang w:val="en-GB"/>
        </w:rPr>
        <w:t>Poplavny</w:t>
      </w:r>
      <w:proofErr w:type="spellEnd"/>
      <w:r w:rsidRPr="00E67F87">
        <w:rPr>
          <w:i/>
          <w:iCs/>
          <w:lang w:val="en-GB"/>
        </w:rPr>
        <w:t xml:space="preserve"> v. Belarus</w:t>
      </w:r>
      <w:r w:rsidRPr="00E67F87">
        <w:rPr>
          <w:lang w:val="en-GB"/>
        </w:rPr>
        <w:t xml:space="preserve"> (CCPR/C/115/D/2019/2010), para. 8.4.</w:t>
      </w:r>
    </w:p>
  </w:footnote>
  <w:footnote w:id="11">
    <w:p w:rsidR="00D07326" w:rsidRDefault="00D07326" w:rsidP="007C4348">
      <w:pPr>
        <w:pStyle w:val="FootnoteText"/>
      </w:pPr>
      <w:r>
        <w:tab/>
      </w:r>
      <w:r>
        <w:rPr>
          <w:rStyle w:val="FootnoteReference"/>
        </w:rPr>
        <w:footnoteRef/>
      </w:r>
      <w:r>
        <w:tab/>
        <w:t xml:space="preserve">See general comment No. 34 (2011), para. 22. </w:t>
      </w:r>
    </w:p>
  </w:footnote>
  <w:footnote w:id="12">
    <w:p w:rsidR="006E3A84" w:rsidRDefault="006E3A84" w:rsidP="006E3A84">
      <w:pPr>
        <w:pStyle w:val="FootnoteText"/>
      </w:pPr>
      <w:r>
        <w:tab/>
      </w:r>
      <w:r>
        <w:rPr>
          <w:rStyle w:val="FootnoteReference"/>
        </w:rPr>
        <w:footnoteRef/>
      </w:r>
      <w:r>
        <w:tab/>
        <w:t xml:space="preserve">See, for example, communications No. 1830/2008, </w:t>
      </w:r>
      <w:proofErr w:type="spellStart"/>
      <w:r>
        <w:rPr>
          <w:i/>
          <w:iCs/>
        </w:rPr>
        <w:t>Pivonos</w:t>
      </w:r>
      <w:proofErr w:type="spellEnd"/>
      <w:r>
        <w:rPr>
          <w:i/>
          <w:iCs/>
        </w:rPr>
        <w:t xml:space="preserve"> v. Belarus, </w:t>
      </w:r>
      <w:r>
        <w:t xml:space="preserve">Views adopted on 29 October 2012, </w:t>
      </w:r>
      <w:proofErr w:type="gramStart"/>
      <w:r>
        <w:t>para</w:t>
      </w:r>
      <w:proofErr w:type="gramEnd"/>
      <w:r>
        <w:t xml:space="preserve">. </w:t>
      </w:r>
      <w:proofErr w:type="gramStart"/>
      <w:r>
        <w:t>9.3</w:t>
      </w:r>
      <w:proofErr w:type="gramEnd"/>
      <w:r>
        <w:t xml:space="preserve">; No. 1785/2008, </w:t>
      </w:r>
      <w:proofErr w:type="spellStart"/>
      <w:r>
        <w:rPr>
          <w:i/>
          <w:iCs/>
        </w:rPr>
        <w:t>Olechkevitch</w:t>
      </w:r>
      <w:proofErr w:type="spellEnd"/>
      <w:r>
        <w:rPr>
          <w:i/>
          <w:iCs/>
        </w:rPr>
        <w:t xml:space="preserve"> v. Belarus, </w:t>
      </w:r>
      <w:r>
        <w:t xml:space="preserve">Views adopted on 18 March 2013, para. </w:t>
      </w:r>
      <w:proofErr w:type="gramStart"/>
      <w:r>
        <w:t>8.5</w:t>
      </w:r>
      <w:proofErr w:type="gramEnd"/>
      <w:r>
        <w:t xml:space="preserve">; and No. 2092/2011, </w:t>
      </w:r>
      <w:proofErr w:type="spellStart"/>
      <w:r>
        <w:rPr>
          <w:i/>
        </w:rPr>
        <w:t>Androsenko</w:t>
      </w:r>
      <w:proofErr w:type="spellEnd"/>
      <w:r>
        <w:rPr>
          <w:i/>
        </w:rPr>
        <w:t xml:space="preserve"> v. Belarus,</w:t>
      </w:r>
      <w:r>
        <w:t xml:space="preserve"> Views adopted on 30 March 2016, para.7.3.</w:t>
      </w:r>
    </w:p>
  </w:footnote>
  <w:footnote w:id="13">
    <w:p w:rsidR="00D07326" w:rsidRDefault="00D07326" w:rsidP="007C4348">
      <w:pPr>
        <w:pStyle w:val="FootnoteText"/>
      </w:pPr>
      <w:r>
        <w:tab/>
      </w:r>
      <w:r>
        <w:rPr>
          <w:rStyle w:val="FootnoteReference"/>
        </w:rPr>
        <w:footnoteRef/>
      </w:r>
      <w:r>
        <w:tab/>
        <w:t xml:space="preserve">See general comment No. 34 (2011), para. 34.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26" w:rsidRPr="00966685" w:rsidRDefault="007C0A24" w:rsidP="007C0A24">
    <w:pPr>
      <w:pStyle w:val="Header"/>
      <w:ind w:firstLine="567"/>
      <w:rPr>
        <w:lang w:val="en-US"/>
      </w:rPr>
    </w:pPr>
    <w:r>
      <w:rPr>
        <w:lang w:val="en-GB"/>
      </w:rPr>
      <w:t xml:space="preserve">                                 </w:t>
    </w:r>
    <w:r w:rsidR="00D07326">
      <w:t>CCPR/C</w:t>
    </w:r>
    <w:r w:rsidR="00D07326" w:rsidRPr="00031308">
      <w:rPr>
        <w:lang w:val="en-GB"/>
      </w:rPr>
      <w:t>/12</w:t>
    </w:r>
    <w:r w:rsidR="00D07326">
      <w:rPr>
        <w:lang w:val="en-GB"/>
      </w:rPr>
      <w:t>4</w:t>
    </w:r>
    <w:r w:rsidR="00D07326" w:rsidRPr="00031308">
      <w:rPr>
        <w:lang w:val="en-GB"/>
      </w:rPr>
      <w:t>/</w:t>
    </w:r>
    <w:r w:rsidR="00D07326">
      <w:t>D</w:t>
    </w:r>
    <w:r w:rsidR="00D07326">
      <w:rPr>
        <w:lang w:val="en-GB"/>
      </w:rPr>
      <w:t>R</w:t>
    </w:r>
    <w:r w:rsidR="00D07326">
      <w:t>/</w:t>
    </w:r>
    <w:r w:rsidR="00D07326">
      <w:rPr>
        <w:lang w:val="en-US"/>
      </w:rPr>
      <w:t>2257/2013</w:t>
    </w:r>
    <w:r w:rsidR="00D07326">
      <w:rPr>
        <w:lang w:val="en-US"/>
      </w:rPr>
      <w:br/>
    </w:r>
    <w:r w:rsidRPr="007C0A24">
      <w:t>Advance unedited version</w:t>
    </w:r>
    <w:r>
      <w:rPr>
        <w:lang w:val="en-GB"/>
      </w:rPr>
      <w:t xml:space="preserve"> </w:t>
    </w:r>
    <w:r w:rsidR="00D07326">
      <w:t>CCPR/C</w:t>
    </w:r>
    <w:r w:rsidR="00D07326" w:rsidRPr="00031308">
      <w:rPr>
        <w:lang w:val="en-GB"/>
      </w:rPr>
      <w:t>/12</w:t>
    </w:r>
    <w:r w:rsidR="00D07326">
      <w:rPr>
        <w:lang w:val="en-GB"/>
      </w:rPr>
      <w:t>4</w:t>
    </w:r>
    <w:r w:rsidR="00D07326" w:rsidRPr="00031308">
      <w:rPr>
        <w:lang w:val="en-GB"/>
      </w:rPr>
      <w:t>/</w:t>
    </w:r>
    <w:r w:rsidR="00D07326">
      <w:t>D</w:t>
    </w:r>
    <w:r w:rsidR="00D07326">
      <w:rPr>
        <w:lang w:val="en-GB"/>
      </w:rPr>
      <w:t>R</w:t>
    </w:r>
    <w:r w:rsidR="00D07326">
      <w:t>/</w:t>
    </w:r>
    <w:r w:rsidR="00D07326">
      <w:rPr>
        <w:lang w:val="en-US"/>
      </w:rPr>
      <w:t>2334/2014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326" w:rsidRPr="00966685" w:rsidRDefault="00D07326">
    <w:pPr>
      <w:pStyle w:val="Header"/>
      <w:jc w:val="right"/>
      <w:rPr>
        <w:lang w:val="en-US"/>
      </w:rPr>
    </w:pPr>
    <w:r>
      <w:t>CCPR/C</w:t>
    </w:r>
    <w:r w:rsidRPr="00031308">
      <w:rPr>
        <w:lang w:val="en-GB"/>
      </w:rPr>
      <w:t>/12</w:t>
    </w:r>
    <w:r>
      <w:rPr>
        <w:lang w:val="en-GB"/>
      </w:rPr>
      <w:t>4</w:t>
    </w:r>
    <w:r w:rsidRPr="00031308">
      <w:rPr>
        <w:lang w:val="en-GB"/>
      </w:rPr>
      <w:t>/</w:t>
    </w:r>
    <w:r>
      <w:t>D</w:t>
    </w:r>
    <w:r>
      <w:rPr>
        <w:lang w:val="en-GB"/>
      </w:rPr>
      <w:t>R</w:t>
    </w:r>
    <w:r>
      <w:t>/</w:t>
    </w:r>
    <w:r>
      <w:rPr>
        <w:lang w:val="en-US"/>
      </w:rPr>
      <w:t>2257/2013</w:t>
    </w:r>
    <w:r>
      <w:rPr>
        <w:lang w:val="en-US"/>
      </w:rPr>
      <w:br/>
    </w:r>
    <w:r w:rsidR="007C0A24" w:rsidRPr="007C0A24">
      <w:t>Advance unedited version</w:t>
    </w:r>
    <w:r w:rsidR="007C0A24">
      <w:rPr>
        <w:lang w:val="en-GB"/>
      </w:rPr>
      <w:t xml:space="preserve"> </w:t>
    </w:r>
    <w:r>
      <w:t>CCPR/C</w:t>
    </w:r>
    <w:r w:rsidRPr="00031308">
      <w:rPr>
        <w:lang w:val="en-GB"/>
      </w:rPr>
      <w:t>/12</w:t>
    </w:r>
    <w:r>
      <w:rPr>
        <w:lang w:val="en-GB"/>
      </w:rPr>
      <w:t>4</w:t>
    </w:r>
    <w:r w:rsidRPr="00031308">
      <w:rPr>
        <w:lang w:val="en-GB"/>
      </w:rPr>
      <w:t>/</w:t>
    </w:r>
    <w:r>
      <w:t>D</w:t>
    </w:r>
    <w:r>
      <w:rPr>
        <w:lang w:val="en-GB"/>
      </w:rPr>
      <w:t>R</w:t>
    </w:r>
    <w:r>
      <w:t>/</w:t>
    </w:r>
    <w:r>
      <w:rPr>
        <w:lang w:val="en-US"/>
      </w:rPr>
      <w:t>2334/2014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24" w:rsidRDefault="007C0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08D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34D4B24"/>
    <w:multiLevelType w:val="multilevel"/>
    <w:tmpl w:val="BA664D3A"/>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22C8A"/>
    <w:multiLevelType w:val="hybridMultilevel"/>
    <w:tmpl w:val="DED6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10"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A8003FD"/>
    <w:multiLevelType w:val="hybridMultilevel"/>
    <w:tmpl w:val="3FAC3CE6"/>
    <w:lvl w:ilvl="0" w:tplc="8C1ED3A6">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6" w15:restartNumberingAfterBreak="0">
    <w:nsid w:val="3EC5443C"/>
    <w:multiLevelType w:val="multilevel"/>
    <w:tmpl w:val="E0F6CAC8"/>
    <w:lvl w:ilvl="0">
      <w:start w:val="4"/>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9" w15:restartNumberingAfterBreak="0">
    <w:nsid w:val="480C28AA"/>
    <w:multiLevelType w:val="hybridMultilevel"/>
    <w:tmpl w:val="8E70E9EA"/>
    <w:lvl w:ilvl="0" w:tplc="DBD297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E723BF"/>
    <w:multiLevelType w:val="multilevel"/>
    <w:tmpl w:val="DF428AC8"/>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2.%4"/>
      <w:lvlJc w:val="left"/>
      <w:pPr>
        <w:ind w:left="357" w:hanging="357"/>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8" w15:restartNumberingAfterBreak="0">
    <w:nsid w:val="77C4647B"/>
    <w:multiLevelType w:val="hybridMultilevel"/>
    <w:tmpl w:val="CAB41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6"/>
  </w:num>
  <w:num w:numId="2">
    <w:abstractNumId w:val="26"/>
  </w:num>
  <w:num w:numId="3">
    <w:abstractNumId w:val="24"/>
  </w:num>
  <w:num w:numId="4">
    <w:abstractNumId w:val="12"/>
  </w:num>
  <w:num w:numId="5">
    <w:abstractNumId w:val="8"/>
  </w:num>
  <w:num w:numId="6">
    <w:abstractNumId w:val="13"/>
  </w:num>
  <w:num w:numId="7">
    <w:abstractNumId w:val="10"/>
  </w:num>
  <w:num w:numId="8">
    <w:abstractNumId w:val="18"/>
  </w:num>
  <w:num w:numId="9">
    <w:abstractNumId w:val="25"/>
  </w:num>
  <w:num w:numId="10">
    <w:abstractNumId w:val="30"/>
  </w:num>
  <w:num w:numId="11">
    <w:abstractNumId w:val="27"/>
  </w:num>
  <w:num w:numId="12">
    <w:abstractNumId w:val="9"/>
  </w:num>
  <w:num w:numId="13">
    <w:abstractNumId w:val="11"/>
  </w:num>
  <w:num w:numId="14">
    <w:abstractNumId w:val="17"/>
  </w:num>
  <w:num w:numId="15">
    <w:abstractNumId w:val="20"/>
  </w:num>
  <w:num w:numId="16">
    <w:abstractNumId w:val="14"/>
  </w:num>
  <w:num w:numId="17">
    <w:abstractNumId w:val="22"/>
  </w:num>
  <w:num w:numId="18">
    <w:abstractNumId w:val="29"/>
  </w:num>
  <w:num w:numId="19">
    <w:abstractNumId w:val="21"/>
  </w:num>
  <w:num w:numId="20">
    <w:abstractNumId w:val="0"/>
  </w:num>
  <w:num w:numId="21">
    <w:abstractNumId w:val="19"/>
  </w:num>
  <w:num w:numId="22">
    <w:abstractNumId w:val="28"/>
  </w:num>
  <w:num w:numId="23">
    <w:abstractNumId w:val="15"/>
  </w:num>
  <w:num w:numId="24">
    <w:abstractNumId w:val="1"/>
  </w:num>
  <w:num w:numId="25">
    <w:abstractNumId w:val="2"/>
  </w:num>
  <w:num w:numId="26">
    <w:abstractNumId w:val="4"/>
  </w:num>
  <w:num w:numId="27">
    <w:abstractNumId w:val="3"/>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pt-PT" w:vendorID="64" w:dllVersion="131078"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s-E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019"/>
    <w:rsid w:val="00000510"/>
    <w:rsid w:val="00000DD2"/>
    <w:rsid w:val="000028E0"/>
    <w:rsid w:val="000032FB"/>
    <w:rsid w:val="00003F67"/>
    <w:rsid w:val="00006DFB"/>
    <w:rsid w:val="00010688"/>
    <w:rsid w:val="00013B1E"/>
    <w:rsid w:val="00013C23"/>
    <w:rsid w:val="00015D87"/>
    <w:rsid w:val="0001697C"/>
    <w:rsid w:val="00017C61"/>
    <w:rsid w:val="00020129"/>
    <w:rsid w:val="00022D94"/>
    <w:rsid w:val="000233D2"/>
    <w:rsid w:val="00023B0F"/>
    <w:rsid w:val="0002521B"/>
    <w:rsid w:val="00030223"/>
    <w:rsid w:val="000312F5"/>
    <w:rsid w:val="00031308"/>
    <w:rsid w:val="0003657E"/>
    <w:rsid w:val="00036EDE"/>
    <w:rsid w:val="000435AE"/>
    <w:rsid w:val="0004514B"/>
    <w:rsid w:val="00046923"/>
    <w:rsid w:val="00046BD9"/>
    <w:rsid w:val="000478EB"/>
    <w:rsid w:val="00054F0B"/>
    <w:rsid w:val="00055767"/>
    <w:rsid w:val="000576AD"/>
    <w:rsid w:val="00060378"/>
    <w:rsid w:val="00060C03"/>
    <w:rsid w:val="00066809"/>
    <w:rsid w:val="00067795"/>
    <w:rsid w:val="00070027"/>
    <w:rsid w:val="00075162"/>
    <w:rsid w:val="00076918"/>
    <w:rsid w:val="00077641"/>
    <w:rsid w:val="00077B6F"/>
    <w:rsid w:val="00082EB2"/>
    <w:rsid w:val="000858FB"/>
    <w:rsid w:val="00085F49"/>
    <w:rsid w:val="00087B44"/>
    <w:rsid w:val="000917FC"/>
    <w:rsid w:val="00092CCC"/>
    <w:rsid w:val="00093CEC"/>
    <w:rsid w:val="0009413D"/>
    <w:rsid w:val="00096C1C"/>
    <w:rsid w:val="000A0BCF"/>
    <w:rsid w:val="000A1E60"/>
    <w:rsid w:val="000A3048"/>
    <w:rsid w:val="000A53CD"/>
    <w:rsid w:val="000B3581"/>
    <w:rsid w:val="000B4683"/>
    <w:rsid w:val="000B4FDB"/>
    <w:rsid w:val="000B6BCF"/>
    <w:rsid w:val="000C0A66"/>
    <w:rsid w:val="000C0ED0"/>
    <w:rsid w:val="000C1931"/>
    <w:rsid w:val="000C291C"/>
    <w:rsid w:val="000C3918"/>
    <w:rsid w:val="000C4895"/>
    <w:rsid w:val="000C568B"/>
    <w:rsid w:val="000C5906"/>
    <w:rsid w:val="000C5C2D"/>
    <w:rsid w:val="000C74C5"/>
    <w:rsid w:val="000C7DB0"/>
    <w:rsid w:val="000D481C"/>
    <w:rsid w:val="000D4CB8"/>
    <w:rsid w:val="000D56BE"/>
    <w:rsid w:val="000D5D20"/>
    <w:rsid w:val="000D6107"/>
    <w:rsid w:val="000D6C30"/>
    <w:rsid w:val="000E194D"/>
    <w:rsid w:val="000E2F50"/>
    <w:rsid w:val="000E3567"/>
    <w:rsid w:val="000E3BCA"/>
    <w:rsid w:val="000E4F6D"/>
    <w:rsid w:val="000E5370"/>
    <w:rsid w:val="000E6BED"/>
    <w:rsid w:val="000F21E5"/>
    <w:rsid w:val="000F3494"/>
    <w:rsid w:val="000F3B23"/>
    <w:rsid w:val="000F3C7F"/>
    <w:rsid w:val="000F52EB"/>
    <w:rsid w:val="000F5F5B"/>
    <w:rsid w:val="000F6065"/>
    <w:rsid w:val="000F767B"/>
    <w:rsid w:val="000F768E"/>
    <w:rsid w:val="00100142"/>
    <w:rsid w:val="0010083B"/>
    <w:rsid w:val="00101B2B"/>
    <w:rsid w:val="0010205A"/>
    <w:rsid w:val="00102FBD"/>
    <w:rsid w:val="00104C35"/>
    <w:rsid w:val="00105527"/>
    <w:rsid w:val="00105C69"/>
    <w:rsid w:val="0010758A"/>
    <w:rsid w:val="001105A5"/>
    <w:rsid w:val="00110E7A"/>
    <w:rsid w:val="00111363"/>
    <w:rsid w:val="00111EF0"/>
    <w:rsid w:val="00112A99"/>
    <w:rsid w:val="001135B4"/>
    <w:rsid w:val="00114142"/>
    <w:rsid w:val="001142F5"/>
    <w:rsid w:val="001176B0"/>
    <w:rsid w:val="0012019D"/>
    <w:rsid w:val="00122C31"/>
    <w:rsid w:val="00123EFE"/>
    <w:rsid w:val="00124EA5"/>
    <w:rsid w:val="00125006"/>
    <w:rsid w:val="0012505C"/>
    <w:rsid w:val="001253AB"/>
    <w:rsid w:val="00131114"/>
    <w:rsid w:val="00133661"/>
    <w:rsid w:val="00136981"/>
    <w:rsid w:val="00137696"/>
    <w:rsid w:val="00141125"/>
    <w:rsid w:val="001429D2"/>
    <w:rsid w:val="00142F09"/>
    <w:rsid w:val="00143A66"/>
    <w:rsid w:val="001448B2"/>
    <w:rsid w:val="00144995"/>
    <w:rsid w:val="00145510"/>
    <w:rsid w:val="001511AE"/>
    <w:rsid w:val="0015207D"/>
    <w:rsid w:val="00153F4B"/>
    <w:rsid w:val="00154CD4"/>
    <w:rsid w:val="00155235"/>
    <w:rsid w:val="001557F1"/>
    <w:rsid w:val="00156D17"/>
    <w:rsid w:val="00162ED4"/>
    <w:rsid w:val="00163EFA"/>
    <w:rsid w:val="001663EC"/>
    <w:rsid w:val="00170261"/>
    <w:rsid w:val="00170970"/>
    <w:rsid w:val="00173531"/>
    <w:rsid w:val="00173614"/>
    <w:rsid w:val="00175C12"/>
    <w:rsid w:val="00176DF3"/>
    <w:rsid w:val="0018008A"/>
    <w:rsid w:val="00180645"/>
    <w:rsid w:val="00180D37"/>
    <w:rsid w:val="0018247F"/>
    <w:rsid w:val="00182CB8"/>
    <w:rsid w:val="001838A0"/>
    <w:rsid w:val="00184BC5"/>
    <w:rsid w:val="0018545A"/>
    <w:rsid w:val="00186151"/>
    <w:rsid w:val="00187130"/>
    <w:rsid w:val="00192280"/>
    <w:rsid w:val="001923BA"/>
    <w:rsid w:val="001925AC"/>
    <w:rsid w:val="00194AD6"/>
    <w:rsid w:val="00195F9C"/>
    <w:rsid w:val="00196795"/>
    <w:rsid w:val="00197EBF"/>
    <w:rsid w:val="001A0A39"/>
    <w:rsid w:val="001A13AB"/>
    <w:rsid w:val="001A1869"/>
    <w:rsid w:val="001A1BC1"/>
    <w:rsid w:val="001A271A"/>
    <w:rsid w:val="001A38E1"/>
    <w:rsid w:val="001A50C4"/>
    <w:rsid w:val="001A71E2"/>
    <w:rsid w:val="001A7F23"/>
    <w:rsid w:val="001B0994"/>
    <w:rsid w:val="001B284E"/>
    <w:rsid w:val="001B3B67"/>
    <w:rsid w:val="001B4307"/>
    <w:rsid w:val="001B4EAF"/>
    <w:rsid w:val="001B5A17"/>
    <w:rsid w:val="001B74E3"/>
    <w:rsid w:val="001C7514"/>
    <w:rsid w:val="001D06A3"/>
    <w:rsid w:val="001D35AB"/>
    <w:rsid w:val="001D4510"/>
    <w:rsid w:val="001D5CFD"/>
    <w:rsid w:val="001D7060"/>
    <w:rsid w:val="001E121D"/>
    <w:rsid w:val="001E2513"/>
    <w:rsid w:val="001E3FD5"/>
    <w:rsid w:val="001E4D64"/>
    <w:rsid w:val="001E6092"/>
    <w:rsid w:val="001E696B"/>
    <w:rsid w:val="001E6B30"/>
    <w:rsid w:val="001E74E9"/>
    <w:rsid w:val="001E7905"/>
    <w:rsid w:val="001F06D5"/>
    <w:rsid w:val="001F3CBB"/>
    <w:rsid w:val="001F3F1C"/>
    <w:rsid w:val="0020075A"/>
    <w:rsid w:val="00200EA1"/>
    <w:rsid w:val="00201770"/>
    <w:rsid w:val="00203DC5"/>
    <w:rsid w:val="00207907"/>
    <w:rsid w:val="00207D2E"/>
    <w:rsid w:val="00207F1D"/>
    <w:rsid w:val="002102CF"/>
    <w:rsid w:val="002104CC"/>
    <w:rsid w:val="00211D0D"/>
    <w:rsid w:val="00212EFF"/>
    <w:rsid w:val="00213C50"/>
    <w:rsid w:val="00213E0F"/>
    <w:rsid w:val="00215DFC"/>
    <w:rsid w:val="00217907"/>
    <w:rsid w:val="00220C01"/>
    <w:rsid w:val="00221ECB"/>
    <w:rsid w:val="00222BB7"/>
    <w:rsid w:val="0022331A"/>
    <w:rsid w:val="00224861"/>
    <w:rsid w:val="0022629E"/>
    <w:rsid w:val="00231863"/>
    <w:rsid w:val="0023212C"/>
    <w:rsid w:val="002322A1"/>
    <w:rsid w:val="002334A9"/>
    <w:rsid w:val="00233C69"/>
    <w:rsid w:val="00237566"/>
    <w:rsid w:val="002379FC"/>
    <w:rsid w:val="00240536"/>
    <w:rsid w:val="00240954"/>
    <w:rsid w:val="00244168"/>
    <w:rsid w:val="00244313"/>
    <w:rsid w:val="00244FD2"/>
    <w:rsid w:val="002471E5"/>
    <w:rsid w:val="002474DA"/>
    <w:rsid w:val="00250314"/>
    <w:rsid w:val="00251C10"/>
    <w:rsid w:val="00251E7C"/>
    <w:rsid w:val="0025556F"/>
    <w:rsid w:val="00257262"/>
    <w:rsid w:val="002572D4"/>
    <w:rsid w:val="00257576"/>
    <w:rsid w:val="00261BA8"/>
    <w:rsid w:val="002624DB"/>
    <w:rsid w:val="00262C39"/>
    <w:rsid w:val="00262C67"/>
    <w:rsid w:val="00263C81"/>
    <w:rsid w:val="00265CAE"/>
    <w:rsid w:val="00266476"/>
    <w:rsid w:val="0026715F"/>
    <w:rsid w:val="002716A2"/>
    <w:rsid w:val="002758F0"/>
    <w:rsid w:val="0027610F"/>
    <w:rsid w:val="002765F1"/>
    <w:rsid w:val="002778AD"/>
    <w:rsid w:val="002779BF"/>
    <w:rsid w:val="00281678"/>
    <w:rsid w:val="00281931"/>
    <w:rsid w:val="00285BF3"/>
    <w:rsid w:val="00290414"/>
    <w:rsid w:val="00290F61"/>
    <w:rsid w:val="002917F1"/>
    <w:rsid w:val="00292109"/>
    <w:rsid w:val="002921D4"/>
    <w:rsid w:val="002929A3"/>
    <w:rsid w:val="00294D06"/>
    <w:rsid w:val="0029664C"/>
    <w:rsid w:val="0029721D"/>
    <w:rsid w:val="002A09F1"/>
    <w:rsid w:val="002A1807"/>
    <w:rsid w:val="002A1E31"/>
    <w:rsid w:val="002A2356"/>
    <w:rsid w:val="002A30FB"/>
    <w:rsid w:val="002A446D"/>
    <w:rsid w:val="002A4EA6"/>
    <w:rsid w:val="002A5527"/>
    <w:rsid w:val="002A6C93"/>
    <w:rsid w:val="002B003B"/>
    <w:rsid w:val="002B08F8"/>
    <w:rsid w:val="002B1645"/>
    <w:rsid w:val="002B2133"/>
    <w:rsid w:val="002B28E3"/>
    <w:rsid w:val="002B2F40"/>
    <w:rsid w:val="002B46F5"/>
    <w:rsid w:val="002B651B"/>
    <w:rsid w:val="002B7309"/>
    <w:rsid w:val="002C1E51"/>
    <w:rsid w:val="002C3C0C"/>
    <w:rsid w:val="002C451D"/>
    <w:rsid w:val="002C66AC"/>
    <w:rsid w:val="002C6871"/>
    <w:rsid w:val="002C7872"/>
    <w:rsid w:val="002D2581"/>
    <w:rsid w:val="002D2BC3"/>
    <w:rsid w:val="002D30A7"/>
    <w:rsid w:val="002D574A"/>
    <w:rsid w:val="002D7100"/>
    <w:rsid w:val="002D7EA8"/>
    <w:rsid w:val="002E0B88"/>
    <w:rsid w:val="002E3900"/>
    <w:rsid w:val="002E3B22"/>
    <w:rsid w:val="002E52C4"/>
    <w:rsid w:val="002E56D2"/>
    <w:rsid w:val="002E5B4E"/>
    <w:rsid w:val="002E6054"/>
    <w:rsid w:val="002E65D2"/>
    <w:rsid w:val="002E6917"/>
    <w:rsid w:val="002F1D17"/>
    <w:rsid w:val="002F2BDE"/>
    <w:rsid w:val="002F2EB6"/>
    <w:rsid w:val="002F4395"/>
    <w:rsid w:val="002F641D"/>
    <w:rsid w:val="002F648C"/>
    <w:rsid w:val="002F6A22"/>
    <w:rsid w:val="00300B51"/>
    <w:rsid w:val="003010EE"/>
    <w:rsid w:val="00301EC2"/>
    <w:rsid w:val="00301F07"/>
    <w:rsid w:val="00302EC3"/>
    <w:rsid w:val="00303957"/>
    <w:rsid w:val="0030683D"/>
    <w:rsid w:val="00310C67"/>
    <w:rsid w:val="0031100D"/>
    <w:rsid w:val="003117FD"/>
    <w:rsid w:val="0031229A"/>
    <w:rsid w:val="003126E3"/>
    <w:rsid w:val="00313423"/>
    <w:rsid w:val="00314741"/>
    <w:rsid w:val="00314902"/>
    <w:rsid w:val="003151AE"/>
    <w:rsid w:val="00315BDA"/>
    <w:rsid w:val="00315F1C"/>
    <w:rsid w:val="00316EF0"/>
    <w:rsid w:val="003236DD"/>
    <w:rsid w:val="003237B6"/>
    <w:rsid w:val="003254F1"/>
    <w:rsid w:val="003277C4"/>
    <w:rsid w:val="003278F3"/>
    <w:rsid w:val="00330B41"/>
    <w:rsid w:val="00330C91"/>
    <w:rsid w:val="00331566"/>
    <w:rsid w:val="0033454F"/>
    <w:rsid w:val="00334581"/>
    <w:rsid w:val="003357D8"/>
    <w:rsid w:val="0034062D"/>
    <w:rsid w:val="003408A8"/>
    <w:rsid w:val="003408D4"/>
    <w:rsid w:val="00340E07"/>
    <w:rsid w:val="00345073"/>
    <w:rsid w:val="00345939"/>
    <w:rsid w:val="00350088"/>
    <w:rsid w:val="00353744"/>
    <w:rsid w:val="00355F02"/>
    <w:rsid w:val="00356F4C"/>
    <w:rsid w:val="003579FC"/>
    <w:rsid w:val="00357E26"/>
    <w:rsid w:val="00357F5E"/>
    <w:rsid w:val="0036219F"/>
    <w:rsid w:val="00366CDC"/>
    <w:rsid w:val="00366F59"/>
    <w:rsid w:val="00367F3E"/>
    <w:rsid w:val="00370986"/>
    <w:rsid w:val="003717A1"/>
    <w:rsid w:val="00372A20"/>
    <w:rsid w:val="003744BB"/>
    <w:rsid w:val="00374686"/>
    <w:rsid w:val="00375ABF"/>
    <w:rsid w:val="00376C07"/>
    <w:rsid w:val="00380C23"/>
    <w:rsid w:val="003817E5"/>
    <w:rsid w:val="00382C16"/>
    <w:rsid w:val="00384303"/>
    <w:rsid w:val="00384326"/>
    <w:rsid w:val="003845F7"/>
    <w:rsid w:val="00386DE4"/>
    <w:rsid w:val="00387385"/>
    <w:rsid w:val="00390737"/>
    <w:rsid w:val="00393186"/>
    <w:rsid w:val="00393F0B"/>
    <w:rsid w:val="003966F6"/>
    <w:rsid w:val="003A2A43"/>
    <w:rsid w:val="003A42E5"/>
    <w:rsid w:val="003A4EB1"/>
    <w:rsid w:val="003A5EFE"/>
    <w:rsid w:val="003A6EBE"/>
    <w:rsid w:val="003A7AB6"/>
    <w:rsid w:val="003B1A3A"/>
    <w:rsid w:val="003B3FFB"/>
    <w:rsid w:val="003C041B"/>
    <w:rsid w:val="003C13C8"/>
    <w:rsid w:val="003C1781"/>
    <w:rsid w:val="003C3475"/>
    <w:rsid w:val="003C4055"/>
    <w:rsid w:val="003C75D0"/>
    <w:rsid w:val="003D187E"/>
    <w:rsid w:val="003D1D58"/>
    <w:rsid w:val="003D3056"/>
    <w:rsid w:val="003D6403"/>
    <w:rsid w:val="003D7560"/>
    <w:rsid w:val="003E2218"/>
    <w:rsid w:val="003E31DC"/>
    <w:rsid w:val="003E580F"/>
    <w:rsid w:val="003E6098"/>
    <w:rsid w:val="003E7207"/>
    <w:rsid w:val="003E73A6"/>
    <w:rsid w:val="003F0A49"/>
    <w:rsid w:val="003F13DE"/>
    <w:rsid w:val="003F3647"/>
    <w:rsid w:val="0040081E"/>
    <w:rsid w:val="00401493"/>
    <w:rsid w:val="004015FB"/>
    <w:rsid w:val="004019FE"/>
    <w:rsid w:val="004032B1"/>
    <w:rsid w:val="004049AC"/>
    <w:rsid w:val="0040570F"/>
    <w:rsid w:val="00412FB7"/>
    <w:rsid w:val="00414C93"/>
    <w:rsid w:val="00414EA8"/>
    <w:rsid w:val="004167B0"/>
    <w:rsid w:val="004213D4"/>
    <w:rsid w:val="004218B3"/>
    <w:rsid w:val="004225F6"/>
    <w:rsid w:val="00423A63"/>
    <w:rsid w:val="00424BEF"/>
    <w:rsid w:val="00424E67"/>
    <w:rsid w:val="00425FFB"/>
    <w:rsid w:val="00427D37"/>
    <w:rsid w:val="00430A8C"/>
    <w:rsid w:val="00431311"/>
    <w:rsid w:val="0043142B"/>
    <w:rsid w:val="00431DEB"/>
    <w:rsid w:val="0043291F"/>
    <w:rsid w:val="00434211"/>
    <w:rsid w:val="00434427"/>
    <w:rsid w:val="004345C1"/>
    <w:rsid w:val="00434EF2"/>
    <w:rsid w:val="0043642F"/>
    <w:rsid w:val="00436495"/>
    <w:rsid w:val="0043725F"/>
    <w:rsid w:val="004372E6"/>
    <w:rsid w:val="00441525"/>
    <w:rsid w:val="00441ECF"/>
    <w:rsid w:val="00444CE6"/>
    <w:rsid w:val="00445276"/>
    <w:rsid w:val="004456D3"/>
    <w:rsid w:val="00452BD7"/>
    <w:rsid w:val="00453D02"/>
    <w:rsid w:val="00453EAA"/>
    <w:rsid w:val="004559EC"/>
    <w:rsid w:val="00456346"/>
    <w:rsid w:val="0045650F"/>
    <w:rsid w:val="00461218"/>
    <w:rsid w:val="00470A4E"/>
    <w:rsid w:val="004717AB"/>
    <w:rsid w:val="004735FD"/>
    <w:rsid w:val="00474B7F"/>
    <w:rsid w:val="00480B56"/>
    <w:rsid w:val="0048396A"/>
    <w:rsid w:val="00484A9A"/>
    <w:rsid w:val="00484D29"/>
    <w:rsid w:val="00484E58"/>
    <w:rsid w:val="00486494"/>
    <w:rsid w:val="00491F10"/>
    <w:rsid w:val="00494DF4"/>
    <w:rsid w:val="00496084"/>
    <w:rsid w:val="0049674B"/>
    <w:rsid w:val="00496874"/>
    <w:rsid w:val="00496CFF"/>
    <w:rsid w:val="0049701A"/>
    <w:rsid w:val="004A0112"/>
    <w:rsid w:val="004A0394"/>
    <w:rsid w:val="004A2B83"/>
    <w:rsid w:val="004A3602"/>
    <w:rsid w:val="004A37B9"/>
    <w:rsid w:val="004A3CD6"/>
    <w:rsid w:val="004B00DB"/>
    <w:rsid w:val="004B1ABE"/>
    <w:rsid w:val="004B2975"/>
    <w:rsid w:val="004B34B4"/>
    <w:rsid w:val="004B4182"/>
    <w:rsid w:val="004B4215"/>
    <w:rsid w:val="004B448C"/>
    <w:rsid w:val="004B46FF"/>
    <w:rsid w:val="004B614C"/>
    <w:rsid w:val="004B71B6"/>
    <w:rsid w:val="004B7FF1"/>
    <w:rsid w:val="004C02AA"/>
    <w:rsid w:val="004C08A7"/>
    <w:rsid w:val="004C09B4"/>
    <w:rsid w:val="004C2147"/>
    <w:rsid w:val="004C2C4D"/>
    <w:rsid w:val="004C2EA8"/>
    <w:rsid w:val="004C3348"/>
    <w:rsid w:val="004C3AFE"/>
    <w:rsid w:val="004C4490"/>
    <w:rsid w:val="004C46E0"/>
    <w:rsid w:val="004C606E"/>
    <w:rsid w:val="004C6428"/>
    <w:rsid w:val="004C6DCF"/>
    <w:rsid w:val="004D0A83"/>
    <w:rsid w:val="004D0B44"/>
    <w:rsid w:val="004D2CCE"/>
    <w:rsid w:val="004D2F46"/>
    <w:rsid w:val="004D328D"/>
    <w:rsid w:val="004D6FB0"/>
    <w:rsid w:val="004D718F"/>
    <w:rsid w:val="004D71E1"/>
    <w:rsid w:val="004D7531"/>
    <w:rsid w:val="004E0AE4"/>
    <w:rsid w:val="004E1939"/>
    <w:rsid w:val="004E3748"/>
    <w:rsid w:val="004E3B21"/>
    <w:rsid w:val="004E74E4"/>
    <w:rsid w:val="004F1530"/>
    <w:rsid w:val="004F1C5C"/>
    <w:rsid w:val="004F230B"/>
    <w:rsid w:val="004F42BC"/>
    <w:rsid w:val="004F59A8"/>
    <w:rsid w:val="004F5EA8"/>
    <w:rsid w:val="005007AA"/>
    <w:rsid w:val="00501BEC"/>
    <w:rsid w:val="0050299F"/>
    <w:rsid w:val="00505037"/>
    <w:rsid w:val="00505727"/>
    <w:rsid w:val="00505DF0"/>
    <w:rsid w:val="00506380"/>
    <w:rsid w:val="00507237"/>
    <w:rsid w:val="00507F0F"/>
    <w:rsid w:val="005117BE"/>
    <w:rsid w:val="005141D8"/>
    <w:rsid w:val="0051476F"/>
    <w:rsid w:val="00515326"/>
    <w:rsid w:val="0051580C"/>
    <w:rsid w:val="00515B13"/>
    <w:rsid w:val="0051787C"/>
    <w:rsid w:val="00520978"/>
    <w:rsid w:val="0052390A"/>
    <w:rsid w:val="00523933"/>
    <w:rsid w:val="00525BF0"/>
    <w:rsid w:val="005303E9"/>
    <w:rsid w:val="005329D4"/>
    <w:rsid w:val="00533A7F"/>
    <w:rsid w:val="00534EEF"/>
    <w:rsid w:val="005350DF"/>
    <w:rsid w:val="00536A5B"/>
    <w:rsid w:val="00537F39"/>
    <w:rsid w:val="00540856"/>
    <w:rsid w:val="00541AF8"/>
    <w:rsid w:val="0054321D"/>
    <w:rsid w:val="00544956"/>
    <w:rsid w:val="00545E84"/>
    <w:rsid w:val="00552231"/>
    <w:rsid w:val="00552916"/>
    <w:rsid w:val="00554774"/>
    <w:rsid w:val="005552D4"/>
    <w:rsid w:val="00562295"/>
    <w:rsid w:val="005623EB"/>
    <w:rsid w:val="00563374"/>
    <w:rsid w:val="00564F7F"/>
    <w:rsid w:val="00566BE3"/>
    <w:rsid w:val="005706F7"/>
    <w:rsid w:val="00571B8F"/>
    <w:rsid w:val="00574ED4"/>
    <w:rsid w:val="00574F5B"/>
    <w:rsid w:val="005758F8"/>
    <w:rsid w:val="00577C88"/>
    <w:rsid w:val="00584490"/>
    <w:rsid w:val="00584794"/>
    <w:rsid w:val="0058610D"/>
    <w:rsid w:val="005866EB"/>
    <w:rsid w:val="00587C27"/>
    <w:rsid w:val="005902A6"/>
    <w:rsid w:val="00592676"/>
    <w:rsid w:val="00592AE2"/>
    <w:rsid w:val="005936CA"/>
    <w:rsid w:val="00595EFB"/>
    <w:rsid w:val="00596EC7"/>
    <w:rsid w:val="00597EFA"/>
    <w:rsid w:val="005A51C1"/>
    <w:rsid w:val="005A5777"/>
    <w:rsid w:val="005B2F50"/>
    <w:rsid w:val="005B353F"/>
    <w:rsid w:val="005B6D34"/>
    <w:rsid w:val="005C0BBB"/>
    <w:rsid w:val="005C0BF8"/>
    <w:rsid w:val="005C1D2A"/>
    <w:rsid w:val="005C28F0"/>
    <w:rsid w:val="005C2EDC"/>
    <w:rsid w:val="005C32A3"/>
    <w:rsid w:val="005C7A62"/>
    <w:rsid w:val="005D390A"/>
    <w:rsid w:val="005D55EE"/>
    <w:rsid w:val="005E0770"/>
    <w:rsid w:val="005E0A18"/>
    <w:rsid w:val="005E2225"/>
    <w:rsid w:val="005E34AE"/>
    <w:rsid w:val="005E44F5"/>
    <w:rsid w:val="005E51E5"/>
    <w:rsid w:val="005E5761"/>
    <w:rsid w:val="005E7F34"/>
    <w:rsid w:val="005F019E"/>
    <w:rsid w:val="005F11C3"/>
    <w:rsid w:val="005F1292"/>
    <w:rsid w:val="005F5053"/>
    <w:rsid w:val="005F5275"/>
    <w:rsid w:val="005F6EC4"/>
    <w:rsid w:val="00600DB1"/>
    <w:rsid w:val="00602671"/>
    <w:rsid w:val="0060382D"/>
    <w:rsid w:val="00605671"/>
    <w:rsid w:val="00607D75"/>
    <w:rsid w:val="00607E9A"/>
    <w:rsid w:val="0061025C"/>
    <w:rsid w:val="006109EB"/>
    <w:rsid w:val="00610E08"/>
    <w:rsid w:val="00612738"/>
    <w:rsid w:val="00612B94"/>
    <w:rsid w:val="00614CAC"/>
    <w:rsid w:val="006212E1"/>
    <w:rsid w:val="006235B0"/>
    <w:rsid w:val="00624188"/>
    <w:rsid w:val="00624719"/>
    <w:rsid w:val="0062476F"/>
    <w:rsid w:val="0062532C"/>
    <w:rsid w:val="00626A96"/>
    <w:rsid w:val="00626C5C"/>
    <w:rsid w:val="00632295"/>
    <w:rsid w:val="006338FF"/>
    <w:rsid w:val="00634557"/>
    <w:rsid w:val="00635A1E"/>
    <w:rsid w:val="00635AFF"/>
    <w:rsid w:val="00636FAC"/>
    <w:rsid w:val="006379F1"/>
    <w:rsid w:val="00637F3C"/>
    <w:rsid w:val="00641361"/>
    <w:rsid w:val="00641684"/>
    <w:rsid w:val="00641E73"/>
    <w:rsid w:val="00642F72"/>
    <w:rsid w:val="00643F09"/>
    <w:rsid w:val="00647966"/>
    <w:rsid w:val="00651262"/>
    <w:rsid w:val="006525B7"/>
    <w:rsid w:val="00652C9F"/>
    <w:rsid w:val="006532AE"/>
    <w:rsid w:val="0065400A"/>
    <w:rsid w:val="00654615"/>
    <w:rsid w:val="00654C72"/>
    <w:rsid w:val="006552E7"/>
    <w:rsid w:val="00655331"/>
    <w:rsid w:val="0065604C"/>
    <w:rsid w:val="006560D9"/>
    <w:rsid w:val="00660FF3"/>
    <w:rsid w:val="0066223F"/>
    <w:rsid w:val="00662548"/>
    <w:rsid w:val="00662B95"/>
    <w:rsid w:val="0066323F"/>
    <w:rsid w:val="00663BF2"/>
    <w:rsid w:val="00664657"/>
    <w:rsid w:val="00666BDB"/>
    <w:rsid w:val="00671CD6"/>
    <w:rsid w:val="006758D4"/>
    <w:rsid w:val="00676D70"/>
    <w:rsid w:val="00681498"/>
    <w:rsid w:val="00682F3B"/>
    <w:rsid w:val="006830DC"/>
    <w:rsid w:val="006832F6"/>
    <w:rsid w:val="00684D64"/>
    <w:rsid w:val="00686D95"/>
    <w:rsid w:val="00686E09"/>
    <w:rsid w:val="00686FB2"/>
    <w:rsid w:val="00690827"/>
    <w:rsid w:val="006912FA"/>
    <w:rsid w:val="00691C50"/>
    <w:rsid w:val="00691F9B"/>
    <w:rsid w:val="00695087"/>
    <w:rsid w:val="0069625F"/>
    <w:rsid w:val="006A0475"/>
    <w:rsid w:val="006A0589"/>
    <w:rsid w:val="006A0684"/>
    <w:rsid w:val="006A08C2"/>
    <w:rsid w:val="006A1040"/>
    <w:rsid w:val="006A48B4"/>
    <w:rsid w:val="006A49F7"/>
    <w:rsid w:val="006A6D9D"/>
    <w:rsid w:val="006A7284"/>
    <w:rsid w:val="006A72E1"/>
    <w:rsid w:val="006A7776"/>
    <w:rsid w:val="006B0676"/>
    <w:rsid w:val="006B1FE8"/>
    <w:rsid w:val="006B4141"/>
    <w:rsid w:val="006B58DD"/>
    <w:rsid w:val="006C19C8"/>
    <w:rsid w:val="006C37D6"/>
    <w:rsid w:val="006C6EF4"/>
    <w:rsid w:val="006D0E9E"/>
    <w:rsid w:val="006D2BE8"/>
    <w:rsid w:val="006D2EEF"/>
    <w:rsid w:val="006D5414"/>
    <w:rsid w:val="006D5BE8"/>
    <w:rsid w:val="006D6577"/>
    <w:rsid w:val="006E02CA"/>
    <w:rsid w:val="006E0959"/>
    <w:rsid w:val="006E18A3"/>
    <w:rsid w:val="006E212B"/>
    <w:rsid w:val="006E3A84"/>
    <w:rsid w:val="006E5582"/>
    <w:rsid w:val="006E6038"/>
    <w:rsid w:val="006F0033"/>
    <w:rsid w:val="006F354D"/>
    <w:rsid w:val="006F3851"/>
    <w:rsid w:val="006F4FC1"/>
    <w:rsid w:val="006F50BD"/>
    <w:rsid w:val="006F588C"/>
    <w:rsid w:val="006F72E2"/>
    <w:rsid w:val="007004CA"/>
    <w:rsid w:val="00701252"/>
    <w:rsid w:val="00704E6A"/>
    <w:rsid w:val="00706409"/>
    <w:rsid w:val="00706AC5"/>
    <w:rsid w:val="0071001E"/>
    <w:rsid w:val="007102E9"/>
    <w:rsid w:val="00710F04"/>
    <w:rsid w:val="00712A46"/>
    <w:rsid w:val="007201E4"/>
    <w:rsid w:val="007217B8"/>
    <w:rsid w:val="00721FEB"/>
    <w:rsid w:val="00726156"/>
    <w:rsid w:val="00726D5F"/>
    <w:rsid w:val="00726ECE"/>
    <w:rsid w:val="00727AC2"/>
    <w:rsid w:val="00730529"/>
    <w:rsid w:val="00730540"/>
    <w:rsid w:val="00730851"/>
    <w:rsid w:val="00733EBB"/>
    <w:rsid w:val="00736205"/>
    <w:rsid w:val="0073732F"/>
    <w:rsid w:val="00737F3C"/>
    <w:rsid w:val="00741045"/>
    <w:rsid w:val="00741A5B"/>
    <w:rsid w:val="00743B5A"/>
    <w:rsid w:val="0074519A"/>
    <w:rsid w:val="00747648"/>
    <w:rsid w:val="007522D0"/>
    <w:rsid w:val="00752307"/>
    <w:rsid w:val="00755039"/>
    <w:rsid w:val="00757C43"/>
    <w:rsid w:val="00757EEF"/>
    <w:rsid w:val="007606B2"/>
    <w:rsid w:val="00762271"/>
    <w:rsid w:val="00762447"/>
    <w:rsid w:val="00762A0C"/>
    <w:rsid w:val="007630C8"/>
    <w:rsid w:val="00763342"/>
    <w:rsid w:val="00766408"/>
    <w:rsid w:val="007676A8"/>
    <w:rsid w:val="007679E7"/>
    <w:rsid w:val="007679EF"/>
    <w:rsid w:val="00771214"/>
    <w:rsid w:val="00771905"/>
    <w:rsid w:val="00771B49"/>
    <w:rsid w:val="0077383E"/>
    <w:rsid w:val="00773C15"/>
    <w:rsid w:val="007743AE"/>
    <w:rsid w:val="00774957"/>
    <w:rsid w:val="00776042"/>
    <w:rsid w:val="007770CB"/>
    <w:rsid w:val="007805D1"/>
    <w:rsid w:val="00780AB0"/>
    <w:rsid w:val="00781715"/>
    <w:rsid w:val="007843F0"/>
    <w:rsid w:val="00785A10"/>
    <w:rsid w:val="00787E8A"/>
    <w:rsid w:val="00791C2F"/>
    <w:rsid w:val="00792060"/>
    <w:rsid w:val="007920E0"/>
    <w:rsid w:val="00793891"/>
    <w:rsid w:val="00796AB8"/>
    <w:rsid w:val="00797CD5"/>
    <w:rsid w:val="007A34BE"/>
    <w:rsid w:val="007A431A"/>
    <w:rsid w:val="007A5A85"/>
    <w:rsid w:val="007A5BFB"/>
    <w:rsid w:val="007A77B0"/>
    <w:rsid w:val="007A7B43"/>
    <w:rsid w:val="007A7C45"/>
    <w:rsid w:val="007B2CAA"/>
    <w:rsid w:val="007B33F7"/>
    <w:rsid w:val="007C0A24"/>
    <w:rsid w:val="007C1EEF"/>
    <w:rsid w:val="007C2227"/>
    <w:rsid w:val="007C2571"/>
    <w:rsid w:val="007C4348"/>
    <w:rsid w:val="007C44C4"/>
    <w:rsid w:val="007C47E5"/>
    <w:rsid w:val="007C6548"/>
    <w:rsid w:val="007C75A2"/>
    <w:rsid w:val="007D08E5"/>
    <w:rsid w:val="007D1932"/>
    <w:rsid w:val="007D5318"/>
    <w:rsid w:val="007E00D1"/>
    <w:rsid w:val="007E035D"/>
    <w:rsid w:val="007E0DFC"/>
    <w:rsid w:val="007E0FB1"/>
    <w:rsid w:val="007E18A3"/>
    <w:rsid w:val="007E1B23"/>
    <w:rsid w:val="007E1B7A"/>
    <w:rsid w:val="007E1F8A"/>
    <w:rsid w:val="007E3807"/>
    <w:rsid w:val="007E4DFD"/>
    <w:rsid w:val="007E600E"/>
    <w:rsid w:val="007E6C8F"/>
    <w:rsid w:val="007E7048"/>
    <w:rsid w:val="007E7D00"/>
    <w:rsid w:val="007E7D26"/>
    <w:rsid w:val="007F0452"/>
    <w:rsid w:val="007F0685"/>
    <w:rsid w:val="007F18F8"/>
    <w:rsid w:val="007F1F7A"/>
    <w:rsid w:val="007F227A"/>
    <w:rsid w:val="007F2865"/>
    <w:rsid w:val="007F3581"/>
    <w:rsid w:val="007F40A4"/>
    <w:rsid w:val="007F4684"/>
    <w:rsid w:val="007F6AAD"/>
    <w:rsid w:val="00802D50"/>
    <w:rsid w:val="0080368C"/>
    <w:rsid w:val="008039E7"/>
    <w:rsid w:val="0080512E"/>
    <w:rsid w:val="00805C86"/>
    <w:rsid w:val="00806C1E"/>
    <w:rsid w:val="0080735E"/>
    <w:rsid w:val="008076C3"/>
    <w:rsid w:val="00807D74"/>
    <w:rsid w:val="00810A1F"/>
    <w:rsid w:val="00810FAF"/>
    <w:rsid w:val="008125EE"/>
    <w:rsid w:val="008150E1"/>
    <w:rsid w:val="008163C0"/>
    <w:rsid w:val="00817857"/>
    <w:rsid w:val="008216A5"/>
    <w:rsid w:val="00822924"/>
    <w:rsid w:val="0082396B"/>
    <w:rsid w:val="008243FB"/>
    <w:rsid w:val="0083184F"/>
    <w:rsid w:val="00833A9E"/>
    <w:rsid w:val="00835094"/>
    <w:rsid w:val="00835EBA"/>
    <w:rsid w:val="008366F3"/>
    <w:rsid w:val="00836FDA"/>
    <w:rsid w:val="00837029"/>
    <w:rsid w:val="0084033F"/>
    <w:rsid w:val="00840464"/>
    <w:rsid w:val="00841D4E"/>
    <w:rsid w:val="008435B3"/>
    <w:rsid w:val="008438AD"/>
    <w:rsid w:val="008439E5"/>
    <w:rsid w:val="0084428B"/>
    <w:rsid w:val="00844CE0"/>
    <w:rsid w:val="00845FEF"/>
    <w:rsid w:val="008465C5"/>
    <w:rsid w:val="00846928"/>
    <w:rsid w:val="00846B9D"/>
    <w:rsid w:val="00847E11"/>
    <w:rsid w:val="00850436"/>
    <w:rsid w:val="00850B7F"/>
    <w:rsid w:val="008510FD"/>
    <w:rsid w:val="00851B1A"/>
    <w:rsid w:val="00854092"/>
    <w:rsid w:val="0085666F"/>
    <w:rsid w:val="008571DE"/>
    <w:rsid w:val="008611D9"/>
    <w:rsid w:val="00863D2A"/>
    <w:rsid w:val="00864558"/>
    <w:rsid w:val="00864703"/>
    <w:rsid w:val="008701F6"/>
    <w:rsid w:val="00881AAC"/>
    <w:rsid w:val="00882025"/>
    <w:rsid w:val="008821A9"/>
    <w:rsid w:val="00884FB1"/>
    <w:rsid w:val="00885A24"/>
    <w:rsid w:val="008868B9"/>
    <w:rsid w:val="00886E26"/>
    <w:rsid w:val="00896741"/>
    <w:rsid w:val="00897690"/>
    <w:rsid w:val="008A5659"/>
    <w:rsid w:val="008A7ECF"/>
    <w:rsid w:val="008B17EC"/>
    <w:rsid w:val="008B238D"/>
    <w:rsid w:val="008B3017"/>
    <w:rsid w:val="008B389B"/>
    <w:rsid w:val="008B707C"/>
    <w:rsid w:val="008B7695"/>
    <w:rsid w:val="008B7EAE"/>
    <w:rsid w:val="008C0434"/>
    <w:rsid w:val="008C0586"/>
    <w:rsid w:val="008C11C5"/>
    <w:rsid w:val="008C1E24"/>
    <w:rsid w:val="008C3749"/>
    <w:rsid w:val="008C3AFC"/>
    <w:rsid w:val="008C3B4F"/>
    <w:rsid w:val="008C4067"/>
    <w:rsid w:val="008C5992"/>
    <w:rsid w:val="008C64C7"/>
    <w:rsid w:val="008C6F2C"/>
    <w:rsid w:val="008C7513"/>
    <w:rsid w:val="008C7B5D"/>
    <w:rsid w:val="008D258E"/>
    <w:rsid w:val="008D38A6"/>
    <w:rsid w:val="008D441E"/>
    <w:rsid w:val="008D48F2"/>
    <w:rsid w:val="008D4FCC"/>
    <w:rsid w:val="008D4FD1"/>
    <w:rsid w:val="008D79C2"/>
    <w:rsid w:val="008E0918"/>
    <w:rsid w:val="008E0CB4"/>
    <w:rsid w:val="008E0E75"/>
    <w:rsid w:val="008E1B7D"/>
    <w:rsid w:val="008E1F7F"/>
    <w:rsid w:val="008E6E94"/>
    <w:rsid w:val="008E7198"/>
    <w:rsid w:val="008E78F2"/>
    <w:rsid w:val="008F060E"/>
    <w:rsid w:val="008F238B"/>
    <w:rsid w:val="008F4725"/>
    <w:rsid w:val="008F4C2B"/>
    <w:rsid w:val="008F613B"/>
    <w:rsid w:val="008F6292"/>
    <w:rsid w:val="008F6A45"/>
    <w:rsid w:val="00900FCA"/>
    <w:rsid w:val="00901516"/>
    <w:rsid w:val="009024CD"/>
    <w:rsid w:val="00904E9E"/>
    <w:rsid w:val="009050F6"/>
    <w:rsid w:val="00907651"/>
    <w:rsid w:val="0091022F"/>
    <w:rsid w:val="00910CE0"/>
    <w:rsid w:val="0091169E"/>
    <w:rsid w:val="00911B12"/>
    <w:rsid w:val="0091264A"/>
    <w:rsid w:val="00912A3A"/>
    <w:rsid w:val="00915531"/>
    <w:rsid w:val="00915C22"/>
    <w:rsid w:val="00924018"/>
    <w:rsid w:val="00924DA8"/>
    <w:rsid w:val="009263D1"/>
    <w:rsid w:val="009264BA"/>
    <w:rsid w:val="00926C2C"/>
    <w:rsid w:val="00927221"/>
    <w:rsid w:val="00930237"/>
    <w:rsid w:val="00931493"/>
    <w:rsid w:val="00931FEC"/>
    <w:rsid w:val="00934EC9"/>
    <w:rsid w:val="00936187"/>
    <w:rsid w:val="00936E30"/>
    <w:rsid w:val="009417CC"/>
    <w:rsid w:val="00942A85"/>
    <w:rsid w:val="00942D9C"/>
    <w:rsid w:val="0094393E"/>
    <w:rsid w:val="00944F19"/>
    <w:rsid w:val="00946477"/>
    <w:rsid w:val="00950BB0"/>
    <w:rsid w:val="00953B4B"/>
    <w:rsid w:val="00954909"/>
    <w:rsid w:val="00955F16"/>
    <w:rsid w:val="00961AE1"/>
    <w:rsid w:val="00962E73"/>
    <w:rsid w:val="00962F65"/>
    <w:rsid w:val="00965321"/>
    <w:rsid w:val="00966685"/>
    <w:rsid w:val="00967114"/>
    <w:rsid w:val="0096716F"/>
    <w:rsid w:val="00967622"/>
    <w:rsid w:val="009711DF"/>
    <w:rsid w:val="009730A5"/>
    <w:rsid w:val="009731B1"/>
    <w:rsid w:val="009742F9"/>
    <w:rsid w:val="00974D20"/>
    <w:rsid w:val="00975258"/>
    <w:rsid w:val="00975BFD"/>
    <w:rsid w:val="009764DF"/>
    <w:rsid w:val="0097657E"/>
    <w:rsid w:val="00981D82"/>
    <w:rsid w:val="00984EA8"/>
    <w:rsid w:val="00986458"/>
    <w:rsid w:val="00990482"/>
    <w:rsid w:val="009926A9"/>
    <w:rsid w:val="009927A7"/>
    <w:rsid w:val="00993E53"/>
    <w:rsid w:val="009948B6"/>
    <w:rsid w:val="009970B5"/>
    <w:rsid w:val="009A13DE"/>
    <w:rsid w:val="009A1D49"/>
    <w:rsid w:val="009A1EA4"/>
    <w:rsid w:val="009A405F"/>
    <w:rsid w:val="009A4B0D"/>
    <w:rsid w:val="009A5958"/>
    <w:rsid w:val="009A5E24"/>
    <w:rsid w:val="009A60FE"/>
    <w:rsid w:val="009A6D93"/>
    <w:rsid w:val="009A74D0"/>
    <w:rsid w:val="009A7CD2"/>
    <w:rsid w:val="009B2228"/>
    <w:rsid w:val="009B294F"/>
    <w:rsid w:val="009B3558"/>
    <w:rsid w:val="009B3F47"/>
    <w:rsid w:val="009B47B2"/>
    <w:rsid w:val="009B7379"/>
    <w:rsid w:val="009B7FD0"/>
    <w:rsid w:val="009C3453"/>
    <w:rsid w:val="009C53A9"/>
    <w:rsid w:val="009C5987"/>
    <w:rsid w:val="009C6C2A"/>
    <w:rsid w:val="009D0399"/>
    <w:rsid w:val="009D0445"/>
    <w:rsid w:val="009D269C"/>
    <w:rsid w:val="009D3A23"/>
    <w:rsid w:val="009D4E4B"/>
    <w:rsid w:val="009D5A64"/>
    <w:rsid w:val="009E0F05"/>
    <w:rsid w:val="009E2F4A"/>
    <w:rsid w:val="009F2F0F"/>
    <w:rsid w:val="009F365F"/>
    <w:rsid w:val="009F36AD"/>
    <w:rsid w:val="009F3717"/>
    <w:rsid w:val="009F4992"/>
    <w:rsid w:val="009F5B40"/>
    <w:rsid w:val="00A007A8"/>
    <w:rsid w:val="00A014E2"/>
    <w:rsid w:val="00A0171B"/>
    <w:rsid w:val="00A02997"/>
    <w:rsid w:val="00A05D8E"/>
    <w:rsid w:val="00A10856"/>
    <w:rsid w:val="00A12480"/>
    <w:rsid w:val="00A159F6"/>
    <w:rsid w:val="00A164F8"/>
    <w:rsid w:val="00A21D6D"/>
    <w:rsid w:val="00A240A4"/>
    <w:rsid w:val="00A24649"/>
    <w:rsid w:val="00A26106"/>
    <w:rsid w:val="00A263AB"/>
    <w:rsid w:val="00A26A1D"/>
    <w:rsid w:val="00A31AED"/>
    <w:rsid w:val="00A31F41"/>
    <w:rsid w:val="00A33F2A"/>
    <w:rsid w:val="00A35860"/>
    <w:rsid w:val="00A35A34"/>
    <w:rsid w:val="00A37238"/>
    <w:rsid w:val="00A40B93"/>
    <w:rsid w:val="00A413EC"/>
    <w:rsid w:val="00A415B3"/>
    <w:rsid w:val="00A44099"/>
    <w:rsid w:val="00A4465D"/>
    <w:rsid w:val="00A52A5D"/>
    <w:rsid w:val="00A52CDA"/>
    <w:rsid w:val="00A53A20"/>
    <w:rsid w:val="00A53FFC"/>
    <w:rsid w:val="00A54563"/>
    <w:rsid w:val="00A56EC0"/>
    <w:rsid w:val="00A571DE"/>
    <w:rsid w:val="00A57208"/>
    <w:rsid w:val="00A60BBF"/>
    <w:rsid w:val="00A625B6"/>
    <w:rsid w:val="00A62B4C"/>
    <w:rsid w:val="00A63D48"/>
    <w:rsid w:val="00A63DF7"/>
    <w:rsid w:val="00A66BC4"/>
    <w:rsid w:val="00A67138"/>
    <w:rsid w:val="00A67141"/>
    <w:rsid w:val="00A70A9E"/>
    <w:rsid w:val="00A70DB0"/>
    <w:rsid w:val="00A710AD"/>
    <w:rsid w:val="00A71988"/>
    <w:rsid w:val="00A71A53"/>
    <w:rsid w:val="00A72DED"/>
    <w:rsid w:val="00A81EB4"/>
    <w:rsid w:val="00A915F2"/>
    <w:rsid w:val="00A9286D"/>
    <w:rsid w:val="00A93022"/>
    <w:rsid w:val="00A946A1"/>
    <w:rsid w:val="00A94796"/>
    <w:rsid w:val="00A95237"/>
    <w:rsid w:val="00AA029E"/>
    <w:rsid w:val="00AA1A4F"/>
    <w:rsid w:val="00AA1F57"/>
    <w:rsid w:val="00AA1FC3"/>
    <w:rsid w:val="00AA260A"/>
    <w:rsid w:val="00AA4102"/>
    <w:rsid w:val="00AA47C6"/>
    <w:rsid w:val="00AA4CEE"/>
    <w:rsid w:val="00AA516F"/>
    <w:rsid w:val="00AA5340"/>
    <w:rsid w:val="00AA5E33"/>
    <w:rsid w:val="00AA622F"/>
    <w:rsid w:val="00AB00C4"/>
    <w:rsid w:val="00AB0CB5"/>
    <w:rsid w:val="00AB0DDF"/>
    <w:rsid w:val="00AB1B6C"/>
    <w:rsid w:val="00AB23F1"/>
    <w:rsid w:val="00AB2611"/>
    <w:rsid w:val="00AB41B2"/>
    <w:rsid w:val="00AB5DEE"/>
    <w:rsid w:val="00AB5F1F"/>
    <w:rsid w:val="00AB71AF"/>
    <w:rsid w:val="00AB7E27"/>
    <w:rsid w:val="00AC0136"/>
    <w:rsid w:val="00AC19CC"/>
    <w:rsid w:val="00AC1ADC"/>
    <w:rsid w:val="00AC1BDF"/>
    <w:rsid w:val="00AC43EB"/>
    <w:rsid w:val="00AC46A2"/>
    <w:rsid w:val="00AC4B87"/>
    <w:rsid w:val="00AC64B4"/>
    <w:rsid w:val="00AC73EA"/>
    <w:rsid w:val="00AC7F75"/>
    <w:rsid w:val="00AD1F16"/>
    <w:rsid w:val="00AD2076"/>
    <w:rsid w:val="00AD3EA7"/>
    <w:rsid w:val="00AD45BF"/>
    <w:rsid w:val="00AD6802"/>
    <w:rsid w:val="00AD6BE4"/>
    <w:rsid w:val="00AE343C"/>
    <w:rsid w:val="00AE56B5"/>
    <w:rsid w:val="00AE618D"/>
    <w:rsid w:val="00AF2449"/>
    <w:rsid w:val="00AF37B8"/>
    <w:rsid w:val="00AF55F6"/>
    <w:rsid w:val="00AF5B83"/>
    <w:rsid w:val="00B0056E"/>
    <w:rsid w:val="00B02F7F"/>
    <w:rsid w:val="00B041B0"/>
    <w:rsid w:val="00B05AC4"/>
    <w:rsid w:val="00B0625A"/>
    <w:rsid w:val="00B07B42"/>
    <w:rsid w:val="00B1095A"/>
    <w:rsid w:val="00B14768"/>
    <w:rsid w:val="00B14EAB"/>
    <w:rsid w:val="00B170DC"/>
    <w:rsid w:val="00B17AA6"/>
    <w:rsid w:val="00B22108"/>
    <w:rsid w:val="00B23624"/>
    <w:rsid w:val="00B263A0"/>
    <w:rsid w:val="00B26E8C"/>
    <w:rsid w:val="00B30955"/>
    <w:rsid w:val="00B3290E"/>
    <w:rsid w:val="00B32DD5"/>
    <w:rsid w:val="00B33FCF"/>
    <w:rsid w:val="00B374A7"/>
    <w:rsid w:val="00B37A68"/>
    <w:rsid w:val="00B37B49"/>
    <w:rsid w:val="00B37EEE"/>
    <w:rsid w:val="00B44168"/>
    <w:rsid w:val="00B46AD4"/>
    <w:rsid w:val="00B5049B"/>
    <w:rsid w:val="00B519CA"/>
    <w:rsid w:val="00B528FB"/>
    <w:rsid w:val="00B55345"/>
    <w:rsid w:val="00B55495"/>
    <w:rsid w:val="00B55544"/>
    <w:rsid w:val="00B56086"/>
    <w:rsid w:val="00B56AED"/>
    <w:rsid w:val="00B573B3"/>
    <w:rsid w:val="00B60959"/>
    <w:rsid w:val="00B6147B"/>
    <w:rsid w:val="00B627FC"/>
    <w:rsid w:val="00B63F65"/>
    <w:rsid w:val="00B64941"/>
    <w:rsid w:val="00B65EDE"/>
    <w:rsid w:val="00B67981"/>
    <w:rsid w:val="00B702E8"/>
    <w:rsid w:val="00B72097"/>
    <w:rsid w:val="00B7548D"/>
    <w:rsid w:val="00B76F1E"/>
    <w:rsid w:val="00B820DE"/>
    <w:rsid w:val="00B86B99"/>
    <w:rsid w:val="00B879D3"/>
    <w:rsid w:val="00B87FDD"/>
    <w:rsid w:val="00B9137D"/>
    <w:rsid w:val="00B91481"/>
    <w:rsid w:val="00B92D2E"/>
    <w:rsid w:val="00B92DF5"/>
    <w:rsid w:val="00B92F27"/>
    <w:rsid w:val="00B93194"/>
    <w:rsid w:val="00B94A2C"/>
    <w:rsid w:val="00B961CC"/>
    <w:rsid w:val="00B96B81"/>
    <w:rsid w:val="00BA0263"/>
    <w:rsid w:val="00BA0E3E"/>
    <w:rsid w:val="00BA186A"/>
    <w:rsid w:val="00BA2163"/>
    <w:rsid w:val="00BA4BBB"/>
    <w:rsid w:val="00BA7AAD"/>
    <w:rsid w:val="00BA7AD9"/>
    <w:rsid w:val="00BB016A"/>
    <w:rsid w:val="00BB018B"/>
    <w:rsid w:val="00BB0C52"/>
    <w:rsid w:val="00BB1FD2"/>
    <w:rsid w:val="00BB24DE"/>
    <w:rsid w:val="00BB3050"/>
    <w:rsid w:val="00BB3755"/>
    <w:rsid w:val="00BB6A41"/>
    <w:rsid w:val="00BC7670"/>
    <w:rsid w:val="00BD0F52"/>
    <w:rsid w:val="00BD1A11"/>
    <w:rsid w:val="00BD3B63"/>
    <w:rsid w:val="00BD44A7"/>
    <w:rsid w:val="00BD4B4C"/>
    <w:rsid w:val="00BD72CB"/>
    <w:rsid w:val="00BE0C4C"/>
    <w:rsid w:val="00BE0EC5"/>
    <w:rsid w:val="00BE332D"/>
    <w:rsid w:val="00BE45FF"/>
    <w:rsid w:val="00BE5B29"/>
    <w:rsid w:val="00BF0883"/>
    <w:rsid w:val="00BF102D"/>
    <w:rsid w:val="00BF17A5"/>
    <w:rsid w:val="00BF392C"/>
    <w:rsid w:val="00BF3B11"/>
    <w:rsid w:val="00BF7461"/>
    <w:rsid w:val="00C0072E"/>
    <w:rsid w:val="00C00EF6"/>
    <w:rsid w:val="00C02093"/>
    <w:rsid w:val="00C03A83"/>
    <w:rsid w:val="00C05D49"/>
    <w:rsid w:val="00C11DB2"/>
    <w:rsid w:val="00C121A1"/>
    <w:rsid w:val="00C166DF"/>
    <w:rsid w:val="00C169D0"/>
    <w:rsid w:val="00C16B1F"/>
    <w:rsid w:val="00C17242"/>
    <w:rsid w:val="00C23508"/>
    <w:rsid w:val="00C23B37"/>
    <w:rsid w:val="00C23BAC"/>
    <w:rsid w:val="00C26891"/>
    <w:rsid w:val="00C30DC1"/>
    <w:rsid w:val="00C32723"/>
    <w:rsid w:val="00C34341"/>
    <w:rsid w:val="00C34B28"/>
    <w:rsid w:val="00C35C21"/>
    <w:rsid w:val="00C3798D"/>
    <w:rsid w:val="00C41556"/>
    <w:rsid w:val="00C416BD"/>
    <w:rsid w:val="00C44EAA"/>
    <w:rsid w:val="00C46108"/>
    <w:rsid w:val="00C476D2"/>
    <w:rsid w:val="00C510C1"/>
    <w:rsid w:val="00C52E82"/>
    <w:rsid w:val="00C534EA"/>
    <w:rsid w:val="00C54052"/>
    <w:rsid w:val="00C558E6"/>
    <w:rsid w:val="00C6404E"/>
    <w:rsid w:val="00C65E17"/>
    <w:rsid w:val="00C663B5"/>
    <w:rsid w:val="00C671B1"/>
    <w:rsid w:val="00C67487"/>
    <w:rsid w:val="00C70B25"/>
    <w:rsid w:val="00C72566"/>
    <w:rsid w:val="00C734B4"/>
    <w:rsid w:val="00C7607C"/>
    <w:rsid w:val="00C76A65"/>
    <w:rsid w:val="00C77D43"/>
    <w:rsid w:val="00C82734"/>
    <w:rsid w:val="00C83B50"/>
    <w:rsid w:val="00C83CEA"/>
    <w:rsid w:val="00C84E47"/>
    <w:rsid w:val="00C90200"/>
    <w:rsid w:val="00C9444B"/>
    <w:rsid w:val="00C945BB"/>
    <w:rsid w:val="00C949A1"/>
    <w:rsid w:val="00C96508"/>
    <w:rsid w:val="00CA27C9"/>
    <w:rsid w:val="00CA3982"/>
    <w:rsid w:val="00CA4735"/>
    <w:rsid w:val="00CA658B"/>
    <w:rsid w:val="00CA7562"/>
    <w:rsid w:val="00CB014E"/>
    <w:rsid w:val="00CB0541"/>
    <w:rsid w:val="00CB082C"/>
    <w:rsid w:val="00CB33E9"/>
    <w:rsid w:val="00CB60C7"/>
    <w:rsid w:val="00CB66D3"/>
    <w:rsid w:val="00CB68DE"/>
    <w:rsid w:val="00CB6F78"/>
    <w:rsid w:val="00CC123B"/>
    <w:rsid w:val="00CC185D"/>
    <w:rsid w:val="00CC2EFC"/>
    <w:rsid w:val="00CC30A2"/>
    <w:rsid w:val="00CC5063"/>
    <w:rsid w:val="00CC7976"/>
    <w:rsid w:val="00CD2DCE"/>
    <w:rsid w:val="00CD48F2"/>
    <w:rsid w:val="00CD5B8E"/>
    <w:rsid w:val="00CD7741"/>
    <w:rsid w:val="00CE270B"/>
    <w:rsid w:val="00CE44AB"/>
    <w:rsid w:val="00CE5658"/>
    <w:rsid w:val="00CE6C0F"/>
    <w:rsid w:val="00CE6C21"/>
    <w:rsid w:val="00CE7317"/>
    <w:rsid w:val="00CF091C"/>
    <w:rsid w:val="00CF1BA1"/>
    <w:rsid w:val="00CF282F"/>
    <w:rsid w:val="00CF2B49"/>
    <w:rsid w:val="00CF42C9"/>
    <w:rsid w:val="00CF51BA"/>
    <w:rsid w:val="00CF6C89"/>
    <w:rsid w:val="00CF71B1"/>
    <w:rsid w:val="00CF7731"/>
    <w:rsid w:val="00CF7D3C"/>
    <w:rsid w:val="00D004A5"/>
    <w:rsid w:val="00D0088C"/>
    <w:rsid w:val="00D00950"/>
    <w:rsid w:val="00D00B03"/>
    <w:rsid w:val="00D02097"/>
    <w:rsid w:val="00D028A2"/>
    <w:rsid w:val="00D035FF"/>
    <w:rsid w:val="00D04616"/>
    <w:rsid w:val="00D05060"/>
    <w:rsid w:val="00D07326"/>
    <w:rsid w:val="00D1222E"/>
    <w:rsid w:val="00D154D3"/>
    <w:rsid w:val="00D17044"/>
    <w:rsid w:val="00D171DA"/>
    <w:rsid w:val="00D20C52"/>
    <w:rsid w:val="00D21917"/>
    <w:rsid w:val="00D22852"/>
    <w:rsid w:val="00D24BB8"/>
    <w:rsid w:val="00D273DE"/>
    <w:rsid w:val="00D30271"/>
    <w:rsid w:val="00D31A32"/>
    <w:rsid w:val="00D33EAB"/>
    <w:rsid w:val="00D3407E"/>
    <w:rsid w:val="00D3442C"/>
    <w:rsid w:val="00D34D18"/>
    <w:rsid w:val="00D352BF"/>
    <w:rsid w:val="00D35C3C"/>
    <w:rsid w:val="00D36C6C"/>
    <w:rsid w:val="00D3747B"/>
    <w:rsid w:val="00D42C3A"/>
    <w:rsid w:val="00D472E2"/>
    <w:rsid w:val="00D51B50"/>
    <w:rsid w:val="00D52FC1"/>
    <w:rsid w:val="00D536ED"/>
    <w:rsid w:val="00D53D2A"/>
    <w:rsid w:val="00D53DC2"/>
    <w:rsid w:val="00D5446D"/>
    <w:rsid w:val="00D5753F"/>
    <w:rsid w:val="00D576DE"/>
    <w:rsid w:val="00D57E94"/>
    <w:rsid w:val="00D60286"/>
    <w:rsid w:val="00D60BBE"/>
    <w:rsid w:val="00D610F3"/>
    <w:rsid w:val="00D61108"/>
    <w:rsid w:val="00D6264D"/>
    <w:rsid w:val="00D62B2A"/>
    <w:rsid w:val="00D62B76"/>
    <w:rsid w:val="00D64E53"/>
    <w:rsid w:val="00D654DA"/>
    <w:rsid w:val="00D664F4"/>
    <w:rsid w:val="00D718BA"/>
    <w:rsid w:val="00D72075"/>
    <w:rsid w:val="00D7247C"/>
    <w:rsid w:val="00D726C6"/>
    <w:rsid w:val="00D72A9B"/>
    <w:rsid w:val="00D73010"/>
    <w:rsid w:val="00D736D7"/>
    <w:rsid w:val="00D7439F"/>
    <w:rsid w:val="00D76E71"/>
    <w:rsid w:val="00D77744"/>
    <w:rsid w:val="00D8128B"/>
    <w:rsid w:val="00D8301A"/>
    <w:rsid w:val="00D83161"/>
    <w:rsid w:val="00D8457A"/>
    <w:rsid w:val="00D85BCB"/>
    <w:rsid w:val="00D86DE6"/>
    <w:rsid w:val="00D876B6"/>
    <w:rsid w:val="00D87860"/>
    <w:rsid w:val="00D906A4"/>
    <w:rsid w:val="00D909C6"/>
    <w:rsid w:val="00D90AA1"/>
    <w:rsid w:val="00D917D1"/>
    <w:rsid w:val="00D92FE9"/>
    <w:rsid w:val="00D971CA"/>
    <w:rsid w:val="00DA0B5A"/>
    <w:rsid w:val="00DA0BD0"/>
    <w:rsid w:val="00DA4A72"/>
    <w:rsid w:val="00DA536F"/>
    <w:rsid w:val="00DA5386"/>
    <w:rsid w:val="00DA5C5F"/>
    <w:rsid w:val="00DB04F7"/>
    <w:rsid w:val="00DB056F"/>
    <w:rsid w:val="00DB31A7"/>
    <w:rsid w:val="00DB47E6"/>
    <w:rsid w:val="00DB4B15"/>
    <w:rsid w:val="00DB5C28"/>
    <w:rsid w:val="00DB7C48"/>
    <w:rsid w:val="00DC148F"/>
    <w:rsid w:val="00DC163A"/>
    <w:rsid w:val="00DC2AB9"/>
    <w:rsid w:val="00DC3352"/>
    <w:rsid w:val="00DC3877"/>
    <w:rsid w:val="00DC39A9"/>
    <w:rsid w:val="00DC56B3"/>
    <w:rsid w:val="00DC6755"/>
    <w:rsid w:val="00DC6E0B"/>
    <w:rsid w:val="00DD041A"/>
    <w:rsid w:val="00DD0867"/>
    <w:rsid w:val="00DD3AF8"/>
    <w:rsid w:val="00DD503F"/>
    <w:rsid w:val="00DD54C2"/>
    <w:rsid w:val="00DD5E02"/>
    <w:rsid w:val="00DD63BD"/>
    <w:rsid w:val="00DD789A"/>
    <w:rsid w:val="00DE0D78"/>
    <w:rsid w:val="00DE1EBB"/>
    <w:rsid w:val="00DE23C5"/>
    <w:rsid w:val="00DE44B5"/>
    <w:rsid w:val="00DE53A9"/>
    <w:rsid w:val="00DE5FAB"/>
    <w:rsid w:val="00DF0873"/>
    <w:rsid w:val="00DF1373"/>
    <w:rsid w:val="00DF1F05"/>
    <w:rsid w:val="00DF3A81"/>
    <w:rsid w:val="00DF7299"/>
    <w:rsid w:val="00E01128"/>
    <w:rsid w:val="00E070E0"/>
    <w:rsid w:val="00E106DB"/>
    <w:rsid w:val="00E12341"/>
    <w:rsid w:val="00E12ADE"/>
    <w:rsid w:val="00E13B3B"/>
    <w:rsid w:val="00E143D0"/>
    <w:rsid w:val="00E16DA7"/>
    <w:rsid w:val="00E1795E"/>
    <w:rsid w:val="00E20420"/>
    <w:rsid w:val="00E21457"/>
    <w:rsid w:val="00E25ED3"/>
    <w:rsid w:val="00E2685E"/>
    <w:rsid w:val="00E27D3E"/>
    <w:rsid w:val="00E30747"/>
    <w:rsid w:val="00E329CA"/>
    <w:rsid w:val="00E36CD0"/>
    <w:rsid w:val="00E37C23"/>
    <w:rsid w:val="00E4007D"/>
    <w:rsid w:val="00E44803"/>
    <w:rsid w:val="00E44D48"/>
    <w:rsid w:val="00E4608B"/>
    <w:rsid w:val="00E468EB"/>
    <w:rsid w:val="00E47C23"/>
    <w:rsid w:val="00E513FC"/>
    <w:rsid w:val="00E51F2C"/>
    <w:rsid w:val="00E531D7"/>
    <w:rsid w:val="00E5689A"/>
    <w:rsid w:val="00E61AEF"/>
    <w:rsid w:val="00E61FDD"/>
    <w:rsid w:val="00E620D9"/>
    <w:rsid w:val="00E62767"/>
    <w:rsid w:val="00E641A8"/>
    <w:rsid w:val="00E64EB3"/>
    <w:rsid w:val="00E64EDB"/>
    <w:rsid w:val="00E65B1F"/>
    <w:rsid w:val="00E65C44"/>
    <w:rsid w:val="00E66D29"/>
    <w:rsid w:val="00E70164"/>
    <w:rsid w:val="00E71206"/>
    <w:rsid w:val="00E72B1B"/>
    <w:rsid w:val="00E73971"/>
    <w:rsid w:val="00E73E19"/>
    <w:rsid w:val="00E7412A"/>
    <w:rsid w:val="00E7465D"/>
    <w:rsid w:val="00E755A4"/>
    <w:rsid w:val="00E75E22"/>
    <w:rsid w:val="00E75ECB"/>
    <w:rsid w:val="00E76AD9"/>
    <w:rsid w:val="00E76E46"/>
    <w:rsid w:val="00E77A47"/>
    <w:rsid w:val="00E77CF3"/>
    <w:rsid w:val="00E81CA0"/>
    <w:rsid w:val="00E8266F"/>
    <w:rsid w:val="00E8269B"/>
    <w:rsid w:val="00E84A84"/>
    <w:rsid w:val="00E85AF1"/>
    <w:rsid w:val="00E90C4F"/>
    <w:rsid w:val="00E9106D"/>
    <w:rsid w:val="00E91386"/>
    <w:rsid w:val="00E9199F"/>
    <w:rsid w:val="00E9244A"/>
    <w:rsid w:val="00E942EF"/>
    <w:rsid w:val="00E945DD"/>
    <w:rsid w:val="00E9733E"/>
    <w:rsid w:val="00EA0122"/>
    <w:rsid w:val="00EA0BB0"/>
    <w:rsid w:val="00EA0CFC"/>
    <w:rsid w:val="00EA4996"/>
    <w:rsid w:val="00EA5028"/>
    <w:rsid w:val="00EB0D6E"/>
    <w:rsid w:val="00EB0DFC"/>
    <w:rsid w:val="00EB1134"/>
    <w:rsid w:val="00EB1203"/>
    <w:rsid w:val="00EB6CE8"/>
    <w:rsid w:val="00EB7B3B"/>
    <w:rsid w:val="00EC5A69"/>
    <w:rsid w:val="00EC6249"/>
    <w:rsid w:val="00EC7053"/>
    <w:rsid w:val="00EC7B77"/>
    <w:rsid w:val="00ED0525"/>
    <w:rsid w:val="00ED10FA"/>
    <w:rsid w:val="00ED2030"/>
    <w:rsid w:val="00ED346B"/>
    <w:rsid w:val="00ED406C"/>
    <w:rsid w:val="00ED56BD"/>
    <w:rsid w:val="00ED69B4"/>
    <w:rsid w:val="00ED76EE"/>
    <w:rsid w:val="00ED785F"/>
    <w:rsid w:val="00EE005A"/>
    <w:rsid w:val="00EE1074"/>
    <w:rsid w:val="00EE15DB"/>
    <w:rsid w:val="00EE1BCC"/>
    <w:rsid w:val="00EE2A6C"/>
    <w:rsid w:val="00EE3CA4"/>
    <w:rsid w:val="00EE575A"/>
    <w:rsid w:val="00EE6680"/>
    <w:rsid w:val="00EE6F69"/>
    <w:rsid w:val="00EF0218"/>
    <w:rsid w:val="00EF07E4"/>
    <w:rsid w:val="00EF20B0"/>
    <w:rsid w:val="00EF2EA1"/>
    <w:rsid w:val="00EF4487"/>
    <w:rsid w:val="00EF5005"/>
    <w:rsid w:val="00EF67EC"/>
    <w:rsid w:val="00F01151"/>
    <w:rsid w:val="00F01224"/>
    <w:rsid w:val="00F0268A"/>
    <w:rsid w:val="00F02984"/>
    <w:rsid w:val="00F0462A"/>
    <w:rsid w:val="00F04F5F"/>
    <w:rsid w:val="00F1143D"/>
    <w:rsid w:val="00F12A51"/>
    <w:rsid w:val="00F12C79"/>
    <w:rsid w:val="00F14945"/>
    <w:rsid w:val="00F2032A"/>
    <w:rsid w:val="00F2041F"/>
    <w:rsid w:val="00F2103D"/>
    <w:rsid w:val="00F2549E"/>
    <w:rsid w:val="00F26107"/>
    <w:rsid w:val="00F2688C"/>
    <w:rsid w:val="00F27BAB"/>
    <w:rsid w:val="00F3274D"/>
    <w:rsid w:val="00F3365D"/>
    <w:rsid w:val="00F34315"/>
    <w:rsid w:val="00F40694"/>
    <w:rsid w:val="00F40981"/>
    <w:rsid w:val="00F4110D"/>
    <w:rsid w:val="00F41205"/>
    <w:rsid w:val="00F4378A"/>
    <w:rsid w:val="00F444D0"/>
    <w:rsid w:val="00F466E9"/>
    <w:rsid w:val="00F502F5"/>
    <w:rsid w:val="00F53486"/>
    <w:rsid w:val="00F572DD"/>
    <w:rsid w:val="00F57F8D"/>
    <w:rsid w:val="00F60F10"/>
    <w:rsid w:val="00F60FC5"/>
    <w:rsid w:val="00F614F2"/>
    <w:rsid w:val="00F65509"/>
    <w:rsid w:val="00F73BA2"/>
    <w:rsid w:val="00F744A8"/>
    <w:rsid w:val="00F750AB"/>
    <w:rsid w:val="00F80BDA"/>
    <w:rsid w:val="00F82022"/>
    <w:rsid w:val="00F85043"/>
    <w:rsid w:val="00F85AFE"/>
    <w:rsid w:val="00F86174"/>
    <w:rsid w:val="00F907FF"/>
    <w:rsid w:val="00F97169"/>
    <w:rsid w:val="00FA0B50"/>
    <w:rsid w:val="00FA1636"/>
    <w:rsid w:val="00FA26FC"/>
    <w:rsid w:val="00FA3FB0"/>
    <w:rsid w:val="00FA561D"/>
    <w:rsid w:val="00FA6B42"/>
    <w:rsid w:val="00FA742B"/>
    <w:rsid w:val="00FA7AC1"/>
    <w:rsid w:val="00FA7CC4"/>
    <w:rsid w:val="00FB0E8C"/>
    <w:rsid w:val="00FB54C6"/>
    <w:rsid w:val="00FB5A4B"/>
    <w:rsid w:val="00FC002A"/>
    <w:rsid w:val="00FC0A2E"/>
    <w:rsid w:val="00FC0E52"/>
    <w:rsid w:val="00FC1042"/>
    <w:rsid w:val="00FC1577"/>
    <w:rsid w:val="00FC437B"/>
    <w:rsid w:val="00FC4BA2"/>
    <w:rsid w:val="00FC5B9C"/>
    <w:rsid w:val="00FC747B"/>
    <w:rsid w:val="00FD0D4C"/>
    <w:rsid w:val="00FD0E9A"/>
    <w:rsid w:val="00FD13A5"/>
    <w:rsid w:val="00FD1493"/>
    <w:rsid w:val="00FD18F3"/>
    <w:rsid w:val="00FD1FDA"/>
    <w:rsid w:val="00FD25A6"/>
    <w:rsid w:val="00FD282D"/>
    <w:rsid w:val="00FD47BC"/>
    <w:rsid w:val="00FD4FA2"/>
    <w:rsid w:val="00FD6A54"/>
    <w:rsid w:val="00FE1A87"/>
    <w:rsid w:val="00FE288F"/>
    <w:rsid w:val="00FE3585"/>
    <w:rsid w:val="00FE4BEA"/>
    <w:rsid w:val="00FE557F"/>
    <w:rsid w:val="00FE5C98"/>
    <w:rsid w:val="00FE5D8A"/>
    <w:rsid w:val="00FE636B"/>
    <w:rsid w:val="00FE6CA5"/>
    <w:rsid w:val="00FF367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78BFFA04-AD72-40E5-96F6-B3B78025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ootnote Text C"/>
    <w:basedOn w:val="Normal"/>
    <w:link w:val="FootnoteTextChar"/>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uiPriority w:val="99"/>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uiPriority w:val="99"/>
    <w:rsid w:val="00824FE2"/>
    <w:rPr>
      <w:lang w:val="x-none"/>
    </w:rPr>
  </w:style>
  <w:style w:type="character" w:customStyle="1" w:styleId="CommentTextChar">
    <w:name w:val="Comment Text Char"/>
    <w:link w:val="CommentText"/>
    <w:uiPriority w:val="99"/>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lang w:eastAsia="en-GB"/>
    </w:rPr>
  </w:style>
  <w:style w:type="paragraph" w:customStyle="1" w:styleId="ColorfulShading-Accent11">
    <w:name w:val="Colorful Shading - Accent 11"/>
    <w:hidden/>
    <w:uiPriority w:val="99"/>
    <w:semiHidden/>
    <w:rsid w:val="00EF07E4"/>
    <w:rPr>
      <w:lang w:eastAsia="en-US"/>
    </w:rPr>
  </w:style>
  <w:style w:type="character" w:customStyle="1" w:styleId="style31">
    <w:name w:val="style31"/>
    <w:basedOn w:val="DefaultParagraphFont"/>
    <w:rsid w:val="00207907"/>
  </w:style>
  <w:style w:type="character" w:customStyle="1" w:styleId="sectionlabel">
    <w:name w:val="sectionlabel"/>
    <w:rsid w:val="001B0994"/>
  </w:style>
  <w:style w:type="character" w:customStyle="1" w:styleId="canliisectionwithsubsection">
    <w:name w:val="canlii_section_with_subsection"/>
    <w:rsid w:val="001B0994"/>
  </w:style>
  <w:style w:type="character" w:styleId="Emphasis">
    <w:name w:val="Emphasis"/>
    <w:uiPriority w:val="20"/>
    <w:qFormat/>
    <w:rsid w:val="001B0994"/>
    <w:rPr>
      <w:b/>
      <w:bCs/>
      <w:i w:val="0"/>
      <w:iCs w:val="0"/>
    </w:rPr>
  </w:style>
  <w:style w:type="character" w:customStyle="1" w:styleId="st">
    <w:name w:val="st"/>
    <w:rsid w:val="001B0994"/>
  </w:style>
  <w:style w:type="paragraph" w:customStyle="1" w:styleId="MediumGrid21">
    <w:name w:val="Medium Grid 21"/>
    <w:uiPriority w:val="1"/>
    <w:qFormat/>
    <w:rsid w:val="001B0994"/>
    <w:rPr>
      <w:rFonts w:ascii="Calibri" w:eastAsia="Calibri" w:hAnsi="Calibri"/>
      <w:sz w:val="22"/>
      <w:szCs w:val="22"/>
      <w:lang w:eastAsia="en-US"/>
    </w:rPr>
  </w:style>
  <w:style w:type="character" w:customStyle="1" w:styleId="s6b621b36">
    <w:name w:val="s6b621b36"/>
    <w:rsid w:val="001B0994"/>
  </w:style>
  <w:style w:type="paragraph" w:customStyle="1" w:styleId="ColorfulList-Accent11">
    <w:name w:val="Colorful List - Accent 11"/>
    <w:basedOn w:val="Normal"/>
    <w:uiPriority w:val="34"/>
    <w:qFormat/>
    <w:rsid w:val="001B0994"/>
    <w:pPr>
      <w:suppressAutoHyphens w:val="0"/>
      <w:spacing w:line="240" w:lineRule="auto"/>
      <w:ind w:left="720"/>
      <w:contextualSpacing/>
    </w:pPr>
    <w:rPr>
      <w:rFonts w:ascii="Calibri" w:eastAsia="MS Minngs" w:hAnsi="Calibri"/>
      <w:sz w:val="24"/>
      <w:szCs w:val="24"/>
      <w:lang w:val="en-US"/>
    </w:rPr>
  </w:style>
  <w:style w:type="paragraph" w:styleId="HTMLPreformatted">
    <w:name w:val="HTML Preformatted"/>
    <w:basedOn w:val="Normal"/>
    <w:link w:val="HTMLPreformattedChar"/>
    <w:uiPriority w:val="99"/>
    <w:unhideWhenUsed/>
    <w:rsid w:val="0084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lang w:val="x-none" w:eastAsia="x-none"/>
    </w:rPr>
  </w:style>
  <w:style w:type="character" w:customStyle="1" w:styleId="HTMLPreformattedChar">
    <w:name w:val="HTML Preformatted Char"/>
    <w:link w:val="HTMLPreformatted"/>
    <w:uiPriority w:val="99"/>
    <w:rsid w:val="008438AD"/>
    <w:rPr>
      <w:rFonts w:ascii="Courier New" w:hAnsi="Courier New" w:cs="Courier New"/>
    </w:rPr>
  </w:style>
  <w:style w:type="character" w:customStyle="1" w:styleId="apple-converted-space">
    <w:name w:val="apple-converted-space"/>
    <w:basedOn w:val="DefaultParagraphFont"/>
    <w:rsid w:val="00E73E19"/>
  </w:style>
  <w:style w:type="character" w:customStyle="1" w:styleId="FootnoteTextChar1">
    <w:name w:val="Footnote Text Char1"/>
    <w:aliases w:val="Footnote Reference1 Char1,4_G Char1,Footnote number Char1,ftref Char1,Footnotes refss Char1,Style 10 Char1,5_G Char1,Footnote Text Char Char Char Char Char Char1,Footnote Text Char Char Char Char Char2,Footnote reference Char1"/>
    <w:locked/>
    <w:rsid w:val="00C6404E"/>
    <w:rPr>
      <w:rFonts w:eastAsia="SimSun"/>
      <w:sz w:val="18"/>
      <w:lang w:val="en-US" w:eastAsia="zh-CN"/>
    </w:rPr>
  </w:style>
  <w:style w:type="paragraph" w:customStyle="1" w:styleId="USSamtale-Brdtekst">
    <w:name w:val="US Samtale - Brødtekst"/>
    <w:basedOn w:val="Normal"/>
    <w:uiPriority w:val="99"/>
    <w:rsid w:val="003277C4"/>
    <w:pPr>
      <w:tabs>
        <w:tab w:val="left" w:pos="3402"/>
        <w:tab w:val="left" w:pos="6577"/>
      </w:tabs>
      <w:suppressAutoHyphens w:val="0"/>
      <w:spacing w:after="280" w:line="20" w:lineRule="atLeast"/>
      <w:ind w:left="283"/>
      <w:jc w:val="both"/>
    </w:pPr>
    <w:rPr>
      <w:sz w:val="24"/>
      <w:szCs w:val="24"/>
      <w:lang w:val="da-DK" w:eastAsia="da-DK"/>
    </w:rPr>
  </w:style>
  <w:style w:type="paragraph" w:customStyle="1" w:styleId="FLNBrdtekst">
    <w:name w:val="FLN Brødtekst"/>
    <w:uiPriority w:val="99"/>
    <w:rsid w:val="00111EF0"/>
    <w:pPr>
      <w:spacing w:after="200" w:line="280" w:lineRule="exact"/>
      <w:jc w:val="both"/>
    </w:pPr>
    <w:rPr>
      <w:sz w:val="24"/>
      <w:szCs w:val="24"/>
      <w:lang w:val="da-DK" w:eastAsia="da-DK"/>
    </w:rPr>
  </w:style>
  <w:style w:type="paragraph" w:customStyle="1" w:styleId="MediumGrid22">
    <w:name w:val="Medium Grid 22"/>
    <w:uiPriority w:val="1"/>
    <w:qFormat/>
    <w:rsid w:val="00137696"/>
    <w:rPr>
      <w:rFonts w:ascii="Calibri" w:eastAsia="Calibri" w:hAnsi="Calibri"/>
      <w:sz w:val="22"/>
      <w:szCs w:val="22"/>
      <w:lang w:eastAsia="en-US"/>
    </w:rPr>
  </w:style>
  <w:style w:type="paragraph" w:customStyle="1" w:styleId="SingleTxt">
    <w:name w:val="__Single Txt"/>
    <w:basedOn w:val="Normal"/>
    <w:rsid w:val="004364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styleId="Title">
    <w:name w:val="Title"/>
    <w:basedOn w:val="Normal"/>
    <w:link w:val="TitleChar"/>
    <w:qFormat/>
    <w:rsid w:val="004213D4"/>
    <w:pPr>
      <w:suppressAutoHyphens w:val="0"/>
      <w:spacing w:line="-238" w:lineRule="auto"/>
      <w:jc w:val="center"/>
    </w:pPr>
    <w:rPr>
      <w:b/>
      <w:sz w:val="24"/>
      <w:szCs w:val="24"/>
      <w:lang w:val="en-US"/>
    </w:rPr>
  </w:style>
  <w:style w:type="character" w:customStyle="1" w:styleId="TitleChar">
    <w:name w:val="Title Char"/>
    <w:link w:val="Title"/>
    <w:rsid w:val="004213D4"/>
    <w:rPr>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501">
      <w:bodyDiv w:val="1"/>
      <w:marLeft w:val="0"/>
      <w:marRight w:val="0"/>
      <w:marTop w:val="0"/>
      <w:marBottom w:val="0"/>
      <w:divBdr>
        <w:top w:val="none" w:sz="0" w:space="0" w:color="auto"/>
        <w:left w:val="none" w:sz="0" w:space="0" w:color="auto"/>
        <w:bottom w:val="none" w:sz="0" w:space="0" w:color="auto"/>
        <w:right w:val="none" w:sz="0" w:space="0" w:color="auto"/>
      </w:divBdr>
    </w:div>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96409432">
      <w:bodyDiv w:val="1"/>
      <w:marLeft w:val="0"/>
      <w:marRight w:val="0"/>
      <w:marTop w:val="0"/>
      <w:marBottom w:val="0"/>
      <w:divBdr>
        <w:top w:val="none" w:sz="0" w:space="0" w:color="auto"/>
        <w:left w:val="none" w:sz="0" w:space="0" w:color="auto"/>
        <w:bottom w:val="none" w:sz="0" w:space="0" w:color="auto"/>
        <w:right w:val="none" w:sz="0" w:space="0" w:color="auto"/>
      </w:divBdr>
    </w:div>
    <w:div w:id="119105643">
      <w:bodyDiv w:val="1"/>
      <w:marLeft w:val="0"/>
      <w:marRight w:val="0"/>
      <w:marTop w:val="0"/>
      <w:marBottom w:val="0"/>
      <w:divBdr>
        <w:top w:val="none" w:sz="0" w:space="0" w:color="auto"/>
        <w:left w:val="none" w:sz="0" w:space="0" w:color="auto"/>
        <w:bottom w:val="none" w:sz="0" w:space="0" w:color="auto"/>
        <w:right w:val="none" w:sz="0" w:space="0" w:color="auto"/>
      </w:divBdr>
    </w:div>
    <w:div w:id="288828106">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36310080">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12926352">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33911943">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10509339">
      <w:bodyDiv w:val="1"/>
      <w:marLeft w:val="0"/>
      <w:marRight w:val="0"/>
      <w:marTop w:val="0"/>
      <w:marBottom w:val="0"/>
      <w:divBdr>
        <w:top w:val="none" w:sz="0" w:space="0" w:color="auto"/>
        <w:left w:val="none" w:sz="0" w:space="0" w:color="auto"/>
        <w:bottom w:val="none" w:sz="0" w:space="0" w:color="auto"/>
        <w:right w:val="none" w:sz="0" w:space="0" w:color="auto"/>
      </w:divBdr>
    </w:div>
    <w:div w:id="914557216">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59073691">
      <w:bodyDiv w:val="1"/>
      <w:marLeft w:val="0"/>
      <w:marRight w:val="0"/>
      <w:marTop w:val="0"/>
      <w:marBottom w:val="0"/>
      <w:divBdr>
        <w:top w:val="none" w:sz="0" w:space="0" w:color="auto"/>
        <w:left w:val="none" w:sz="0" w:space="0" w:color="auto"/>
        <w:bottom w:val="none" w:sz="0" w:space="0" w:color="auto"/>
        <w:right w:val="none" w:sz="0" w:space="0" w:color="auto"/>
      </w:divBdr>
    </w:div>
    <w:div w:id="1162769313">
      <w:bodyDiv w:val="1"/>
      <w:marLeft w:val="0"/>
      <w:marRight w:val="0"/>
      <w:marTop w:val="0"/>
      <w:marBottom w:val="0"/>
      <w:divBdr>
        <w:top w:val="none" w:sz="0" w:space="0" w:color="auto"/>
        <w:left w:val="none" w:sz="0" w:space="0" w:color="auto"/>
        <w:bottom w:val="none" w:sz="0" w:space="0" w:color="auto"/>
        <w:right w:val="none" w:sz="0" w:space="0" w:color="auto"/>
      </w:divBdr>
    </w:div>
    <w:div w:id="1269502915">
      <w:bodyDiv w:val="1"/>
      <w:marLeft w:val="0"/>
      <w:marRight w:val="0"/>
      <w:marTop w:val="0"/>
      <w:marBottom w:val="0"/>
      <w:divBdr>
        <w:top w:val="none" w:sz="0" w:space="0" w:color="auto"/>
        <w:left w:val="none" w:sz="0" w:space="0" w:color="auto"/>
        <w:bottom w:val="none" w:sz="0" w:space="0" w:color="auto"/>
        <w:right w:val="none" w:sz="0" w:space="0" w:color="auto"/>
      </w:divBdr>
    </w:div>
    <w:div w:id="1281495075">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05121048">
      <w:bodyDiv w:val="1"/>
      <w:marLeft w:val="0"/>
      <w:marRight w:val="0"/>
      <w:marTop w:val="0"/>
      <w:marBottom w:val="0"/>
      <w:divBdr>
        <w:top w:val="none" w:sz="0" w:space="0" w:color="auto"/>
        <w:left w:val="none" w:sz="0" w:space="0" w:color="auto"/>
        <w:bottom w:val="none" w:sz="0" w:space="0" w:color="auto"/>
        <w:right w:val="none" w:sz="0" w:space="0" w:color="auto"/>
      </w:divBdr>
    </w:div>
    <w:div w:id="1516962681">
      <w:bodyDiv w:val="1"/>
      <w:marLeft w:val="0"/>
      <w:marRight w:val="0"/>
      <w:marTop w:val="0"/>
      <w:marBottom w:val="0"/>
      <w:divBdr>
        <w:top w:val="none" w:sz="0" w:space="0" w:color="auto"/>
        <w:left w:val="none" w:sz="0" w:space="0" w:color="auto"/>
        <w:bottom w:val="none" w:sz="0" w:space="0" w:color="auto"/>
        <w:right w:val="none" w:sz="0" w:space="0" w:color="auto"/>
      </w:divBdr>
    </w:div>
    <w:div w:id="1549950336">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599866970">
      <w:bodyDiv w:val="1"/>
      <w:marLeft w:val="0"/>
      <w:marRight w:val="0"/>
      <w:marTop w:val="0"/>
      <w:marBottom w:val="0"/>
      <w:divBdr>
        <w:top w:val="none" w:sz="0" w:space="0" w:color="auto"/>
        <w:left w:val="none" w:sz="0" w:space="0" w:color="auto"/>
        <w:bottom w:val="none" w:sz="0" w:space="0" w:color="auto"/>
        <w:right w:val="none" w:sz="0" w:space="0" w:color="auto"/>
      </w:divBdr>
    </w:div>
    <w:div w:id="1715425981">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786583513">
      <w:bodyDiv w:val="1"/>
      <w:marLeft w:val="0"/>
      <w:marRight w:val="0"/>
      <w:marTop w:val="0"/>
      <w:marBottom w:val="0"/>
      <w:divBdr>
        <w:top w:val="none" w:sz="0" w:space="0" w:color="auto"/>
        <w:left w:val="none" w:sz="0" w:space="0" w:color="auto"/>
        <w:bottom w:val="none" w:sz="0" w:space="0" w:color="auto"/>
        <w:right w:val="none" w:sz="0" w:space="0" w:color="auto"/>
      </w:divBdr>
    </w:div>
    <w:div w:id="1932346524">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2A90D-CBF9-4053-B755-B46BEBEDC26E}">
  <ds:schemaRefs>
    <ds:schemaRef ds:uri="http://schemas.openxmlformats.org/officeDocument/2006/bibliography"/>
  </ds:schemaRefs>
</ds:datastoreItem>
</file>

<file path=customXml/itemProps2.xml><?xml version="1.0" encoding="utf-8"?>
<ds:datastoreItem xmlns:ds="http://schemas.openxmlformats.org/officeDocument/2006/customXml" ds:itemID="{D0B4C06B-9018-4666-9B95-A924A6E0F2D2}"/>
</file>

<file path=customXml/itemProps3.xml><?xml version="1.0" encoding="utf-8"?>
<ds:datastoreItem xmlns:ds="http://schemas.openxmlformats.org/officeDocument/2006/customXml" ds:itemID="{938AD98E-739A-4C6F-B72B-1DA3B052D98B}"/>
</file>

<file path=customXml/itemProps4.xml><?xml version="1.0" encoding="utf-8"?>
<ds:datastoreItem xmlns:ds="http://schemas.openxmlformats.org/officeDocument/2006/customXml" ds:itemID="{4BBB1341-5F7C-4B52-8072-632CA70FC0C5}"/>
</file>

<file path=docProps/app.xml><?xml version="1.0" encoding="utf-8"?>
<Properties xmlns="http://schemas.openxmlformats.org/officeDocument/2006/extended-properties" xmlns:vt="http://schemas.openxmlformats.org/officeDocument/2006/docPropsVTypes">
  <Template>CCPR_E.dotm</Template>
  <TotalTime>26</TotalTime>
  <Pages>9</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CCPR/C/124/DR/2257/2013</vt:lpstr>
    </vt:vector>
  </TitlesOfParts>
  <Company>CSD</Company>
  <LinksUpToDate>false</LinksUpToDate>
  <CharactersWithSpaces>33395</CharactersWithSpaces>
  <SharedDoc>false</SharedDoc>
  <HLinks>
    <vt:vector size="6" baseType="variant">
      <vt:variant>
        <vt:i4>6946839</vt:i4>
      </vt:variant>
      <vt:variant>
        <vt:i4>0</vt:i4>
      </vt:variant>
      <vt:variant>
        <vt:i4>0</vt:i4>
      </vt:variant>
      <vt:variant>
        <vt:i4>5</vt:i4>
      </vt:variant>
      <vt:variant>
        <vt:lpwstr>https://en.wikipedia.org/wiki/Zhanaozen_massacre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CCPR/C/124/DR/2257/2013</dc:title>
  <dc:subject>1816678</dc:subject>
  <dc:creator>temp Neogi</dc:creator>
  <cp:keywords/>
  <dc:description>Symbol 1: CCPR/C/124/DR/2257/2013_x000d_
Symbol 2 : CCPR/C/124/DR/2334/2014</dc:description>
  <cp:lastModifiedBy>ABDELAZIM Mohamed</cp:lastModifiedBy>
  <cp:revision>6</cp:revision>
  <cp:lastPrinted>2019-05-10T13:04:00Z</cp:lastPrinted>
  <dcterms:created xsi:type="dcterms:W3CDTF">2018-10-30T09:31:00Z</dcterms:created>
  <dcterms:modified xsi:type="dcterms:W3CDTF">2019-05-10T13:20:00Z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