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DC046E">
        <w:trPr>
          <w:cantSplit/>
          <w:trHeight w:hRule="exact" w:val="851"/>
        </w:trPr>
        <w:tc>
          <w:tcPr>
            <w:tcW w:w="1276" w:type="dxa"/>
            <w:tcBorders>
              <w:bottom w:val="single" w:sz="4" w:space="0" w:color="auto"/>
            </w:tcBorders>
            <w:vAlign w:val="bottom"/>
          </w:tcPr>
          <w:p w:rsidR="00B56E9C" w:rsidRDefault="00B56E9C" w:rsidP="00DC046E">
            <w:pPr>
              <w:spacing w:after="80"/>
            </w:pPr>
          </w:p>
        </w:tc>
        <w:tc>
          <w:tcPr>
            <w:tcW w:w="2268" w:type="dxa"/>
            <w:tcBorders>
              <w:bottom w:val="single" w:sz="4" w:space="0" w:color="auto"/>
            </w:tcBorders>
            <w:vAlign w:val="bottom"/>
          </w:tcPr>
          <w:p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8E1CFA" w:rsidP="006B63C6">
            <w:pPr>
              <w:jc w:val="right"/>
            </w:pPr>
            <w:r w:rsidRPr="008E1CFA">
              <w:rPr>
                <w:sz w:val="40"/>
              </w:rPr>
              <w:t>CCPR</w:t>
            </w:r>
            <w:r>
              <w:t>/C/123/D/2785/2016</w:t>
            </w:r>
          </w:p>
        </w:tc>
      </w:tr>
      <w:tr w:rsidR="00B56E9C" w:rsidTr="00DC046E">
        <w:trPr>
          <w:cantSplit/>
          <w:trHeight w:hRule="exact" w:val="2835"/>
        </w:trPr>
        <w:tc>
          <w:tcPr>
            <w:tcW w:w="1276" w:type="dxa"/>
            <w:tcBorders>
              <w:top w:val="single" w:sz="4" w:space="0" w:color="auto"/>
              <w:bottom w:val="single" w:sz="12" w:space="0" w:color="auto"/>
            </w:tcBorders>
          </w:tcPr>
          <w:p w:rsidR="00B56E9C" w:rsidRDefault="004076CD" w:rsidP="00DC046E">
            <w:pPr>
              <w:spacing w:before="120"/>
            </w:pPr>
            <w:r>
              <w:rPr>
                <w:noProof/>
                <w:lang w:eastAsia="en-GB"/>
              </w:rPr>
              <w:drawing>
                <wp:inline distT="0" distB="0" distL="0" distR="0" wp14:anchorId="3922346F" wp14:editId="7042480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2D2A5B">
              <w:rPr>
                <w:b/>
                <w:sz w:val="34"/>
                <w:szCs w:val="40"/>
              </w:rPr>
              <w:t xml:space="preserve"> </w:t>
            </w:r>
            <w:r w:rsidR="00060C3A">
              <w:rPr>
                <w:b/>
                <w:sz w:val="34"/>
                <w:szCs w:val="40"/>
              </w:rPr>
              <w:br/>
              <w:t>Civil and Political R</w:t>
            </w:r>
            <w:r w:rsidR="00703577" w:rsidRPr="00267F5F">
              <w:rPr>
                <w:b/>
                <w:sz w:val="34"/>
                <w:szCs w:val="40"/>
              </w:rPr>
              <w:t>ights</w:t>
            </w:r>
          </w:p>
          <w:p w:rsidR="00945F95" w:rsidRDefault="00945F95" w:rsidP="00DC046E">
            <w:pPr>
              <w:spacing w:before="120" w:line="380" w:lineRule="exact"/>
              <w:rPr>
                <w:b/>
                <w:sz w:val="34"/>
                <w:szCs w:val="40"/>
              </w:rPr>
            </w:pPr>
          </w:p>
          <w:p w:rsidR="00945F95" w:rsidRDefault="00945F95" w:rsidP="00945F95">
            <w:pPr>
              <w:rPr>
                <w:b/>
                <w:sz w:val="34"/>
                <w:szCs w:val="40"/>
              </w:rPr>
            </w:pPr>
            <w:r>
              <w:rPr>
                <w:sz w:val="34"/>
                <w:szCs w:val="40"/>
              </w:rPr>
              <w:t>Advance unedited version</w:t>
            </w:r>
          </w:p>
          <w:p w:rsidR="00945F95" w:rsidRPr="00267F5F" w:rsidRDefault="00945F95" w:rsidP="00DC046E">
            <w:pPr>
              <w:spacing w:before="120" w:line="380" w:lineRule="exact"/>
              <w:rPr>
                <w:sz w:val="34"/>
              </w:rPr>
            </w:pPr>
          </w:p>
        </w:tc>
        <w:tc>
          <w:tcPr>
            <w:tcW w:w="2835" w:type="dxa"/>
            <w:tcBorders>
              <w:top w:val="single" w:sz="4" w:space="0" w:color="auto"/>
              <w:bottom w:val="single" w:sz="12" w:space="0" w:color="auto"/>
            </w:tcBorders>
          </w:tcPr>
          <w:p w:rsidR="00B56E9C" w:rsidRDefault="008E1CFA" w:rsidP="008E1CFA">
            <w:pPr>
              <w:spacing w:before="240" w:line="240" w:lineRule="exact"/>
            </w:pPr>
            <w:r>
              <w:t xml:space="preserve">Distr.: </w:t>
            </w:r>
            <w:r w:rsidR="006B63C6">
              <w:t>General</w:t>
            </w:r>
          </w:p>
          <w:p w:rsidR="008E1CFA" w:rsidRDefault="00E23BF2" w:rsidP="008E1CFA">
            <w:pPr>
              <w:spacing w:line="240" w:lineRule="exact"/>
            </w:pPr>
            <w:r>
              <w:t>13 March 2019</w:t>
            </w:r>
          </w:p>
          <w:p w:rsidR="008E1CFA" w:rsidRDefault="008E1CFA" w:rsidP="008E1CFA">
            <w:pPr>
              <w:spacing w:line="240" w:lineRule="exact"/>
            </w:pPr>
          </w:p>
          <w:p w:rsidR="008E1CFA" w:rsidRDefault="008E1CFA" w:rsidP="008E1CFA">
            <w:pPr>
              <w:spacing w:line="240" w:lineRule="exact"/>
            </w:pPr>
            <w:r>
              <w:t>Original: English</w:t>
            </w:r>
          </w:p>
          <w:p w:rsidR="00777C3A" w:rsidRDefault="00777C3A" w:rsidP="008E1CFA">
            <w:pPr>
              <w:spacing w:line="240" w:lineRule="exact"/>
            </w:pPr>
          </w:p>
        </w:tc>
      </w:tr>
    </w:tbl>
    <w:p w:rsidR="008E1CFA" w:rsidRDefault="008E1CFA" w:rsidP="008E1CFA">
      <w:pPr>
        <w:spacing w:before="120"/>
        <w:rPr>
          <w:b/>
          <w:sz w:val="24"/>
          <w:szCs w:val="24"/>
        </w:rPr>
      </w:pPr>
      <w:r w:rsidRPr="00A36331">
        <w:rPr>
          <w:b/>
          <w:sz w:val="24"/>
          <w:szCs w:val="24"/>
        </w:rPr>
        <w:t>Human Rights Committee</w:t>
      </w:r>
    </w:p>
    <w:p w:rsidR="008E1CFA" w:rsidRDefault="008E1CFA" w:rsidP="008E1CFA">
      <w:pPr>
        <w:pStyle w:val="HChG"/>
        <w:spacing w:before="240"/>
        <w:rPr>
          <w:b w:val="0"/>
          <w:sz w:val="20"/>
        </w:rPr>
      </w:pPr>
      <w:r w:rsidRPr="00214E11">
        <w:tab/>
      </w:r>
      <w:r w:rsidRPr="00214E11">
        <w:tab/>
      </w:r>
    </w:p>
    <w:p w:rsidR="00604023" w:rsidRPr="00604023" w:rsidRDefault="00604023" w:rsidP="00945F95">
      <w:pPr>
        <w:ind w:left="1134"/>
      </w:pPr>
      <w:r>
        <w:rPr>
          <w:b/>
          <w:sz w:val="28"/>
        </w:rPr>
        <w:t>Views adopted by the Committee under article 5(4) of the Optional Protocol, concerning communication N° 2785/</w:t>
      </w:r>
      <w:proofErr w:type="gramStart"/>
      <w:r>
        <w:rPr>
          <w:b/>
          <w:sz w:val="28"/>
        </w:rPr>
        <w:t xml:space="preserve">2016 </w:t>
      </w:r>
      <w:proofErr w:type="gramEnd"/>
      <w:r w:rsidR="00945F95" w:rsidRPr="00945F95">
        <w:rPr>
          <w:rStyle w:val="FootnoteReference"/>
          <w:b/>
          <w:sz w:val="20"/>
          <w:vertAlign w:val="baseline"/>
        </w:rPr>
        <w:footnoteReference w:customMarkFollows="1" w:id="2"/>
        <w:t>*</w:t>
      </w:r>
      <w:r w:rsidR="00945F95">
        <w:rPr>
          <w:b/>
        </w:rPr>
        <w:t>,</w:t>
      </w:r>
      <w:r w:rsidR="00945F95" w:rsidRPr="00945F95">
        <w:rPr>
          <w:rStyle w:val="FootnoteReference"/>
          <w:b/>
          <w:sz w:val="20"/>
          <w:vertAlign w:val="baseline"/>
        </w:rPr>
        <w:footnoteReference w:customMarkFollows="1" w:id="3"/>
        <w:t>**</w:t>
      </w:r>
    </w:p>
    <w:p w:rsidR="008E1CFA" w:rsidRPr="00214E11" w:rsidRDefault="008E1CFA" w:rsidP="008574C7">
      <w:pPr>
        <w:pStyle w:val="H1G"/>
        <w:spacing w:before="240" w:line="240" w:lineRule="atLeast"/>
      </w:pPr>
      <w:r>
        <w:tab/>
      </w:r>
      <w:r>
        <w:tab/>
      </w:r>
    </w:p>
    <w:p w:rsidR="00787670" w:rsidRPr="00872196" w:rsidRDefault="00787670" w:rsidP="00E51131">
      <w:pPr>
        <w:spacing w:after="100" w:line="220" w:lineRule="atLeast"/>
        <w:ind w:left="4536" w:right="1134" w:hanging="3402"/>
        <w:jc w:val="both"/>
      </w:pPr>
      <w:r w:rsidRPr="00872196">
        <w:rPr>
          <w:i/>
        </w:rPr>
        <w:t>Submitted by:</w:t>
      </w:r>
      <w:r w:rsidRPr="00872196">
        <w:tab/>
      </w:r>
      <w:r>
        <w:t>A</w:t>
      </w:r>
      <w:r w:rsidR="00604023">
        <w:t xml:space="preserve">hmad </w:t>
      </w:r>
      <w:proofErr w:type="spellStart"/>
      <w:r w:rsidR="00604023">
        <w:t>Khaleel</w:t>
      </w:r>
      <w:proofErr w:type="spellEnd"/>
      <w:r>
        <w:t>.</w:t>
      </w:r>
      <w:r w:rsidRPr="00872196">
        <w:t xml:space="preserve"> (</w:t>
      </w:r>
      <w:proofErr w:type="gramStart"/>
      <w:r w:rsidRPr="00872196">
        <w:t>represented</w:t>
      </w:r>
      <w:proofErr w:type="gramEnd"/>
      <w:r w:rsidRPr="00872196">
        <w:t xml:space="preserve"> by Mr Ahmed Shaheed)</w:t>
      </w:r>
    </w:p>
    <w:p w:rsidR="00787670" w:rsidRPr="00872196" w:rsidRDefault="00787670" w:rsidP="00E51131">
      <w:pPr>
        <w:spacing w:after="100" w:line="220" w:lineRule="atLeast"/>
        <w:ind w:left="4536" w:right="1134" w:hanging="3402"/>
        <w:jc w:val="both"/>
      </w:pPr>
      <w:r w:rsidRPr="00872196">
        <w:rPr>
          <w:i/>
        </w:rPr>
        <w:t>Alleged victim:</w:t>
      </w:r>
      <w:r w:rsidRPr="00872196">
        <w:tab/>
        <w:t>Hussain</w:t>
      </w:r>
      <w:r>
        <w:t xml:space="preserve"> </w:t>
      </w:r>
      <w:proofErr w:type="spellStart"/>
      <w:r>
        <w:t>Humaam</w:t>
      </w:r>
      <w:proofErr w:type="spellEnd"/>
      <w:r w:rsidRPr="00872196">
        <w:t xml:space="preserve"> Ahmed</w:t>
      </w:r>
    </w:p>
    <w:p w:rsidR="00787670" w:rsidRPr="00872196" w:rsidRDefault="00787670" w:rsidP="00E51131">
      <w:pPr>
        <w:spacing w:after="100" w:line="220" w:lineRule="atLeast"/>
        <w:ind w:left="4536" w:right="1134" w:hanging="3402"/>
        <w:jc w:val="both"/>
        <w:rPr>
          <w:lang w:val="en-US"/>
        </w:rPr>
      </w:pPr>
      <w:r w:rsidRPr="00872196">
        <w:rPr>
          <w:i/>
        </w:rPr>
        <w:t>State party:</w:t>
      </w:r>
      <w:r w:rsidRPr="00872196">
        <w:tab/>
        <w:t>Republic of the Maldives</w:t>
      </w:r>
    </w:p>
    <w:p w:rsidR="00787670" w:rsidRPr="00872196" w:rsidRDefault="00787670" w:rsidP="00E51131">
      <w:pPr>
        <w:spacing w:after="100" w:line="220" w:lineRule="atLeast"/>
        <w:ind w:left="4536" w:right="1134" w:hanging="3402"/>
        <w:jc w:val="both"/>
      </w:pPr>
      <w:r w:rsidRPr="00872196">
        <w:rPr>
          <w:i/>
        </w:rPr>
        <w:t>Date of communication:</w:t>
      </w:r>
      <w:r w:rsidRPr="00872196">
        <w:tab/>
        <w:t xml:space="preserve">11 July 2016 </w:t>
      </w:r>
      <w:r w:rsidRPr="00872196">
        <w:rPr>
          <w:lang w:val="x-none"/>
        </w:rPr>
        <w:t>(initial submission)</w:t>
      </w:r>
    </w:p>
    <w:p w:rsidR="00787670" w:rsidRPr="00872196" w:rsidRDefault="00787670" w:rsidP="00E51131">
      <w:pPr>
        <w:spacing w:after="100" w:line="220" w:lineRule="atLeast"/>
        <w:ind w:left="4536" w:right="1134" w:hanging="3402"/>
        <w:jc w:val="both"/>
      </w:pPr>
      <w:r w:rsidRPr="00872196">
        <w:rPr>
          <w:i/>
        </w:rPr>
        <w:t>Document references:</w:t>
      </w:r>
      <w:r w:rsidRPr="00872196">
        <w:tab/>
      </w:r>
      <w:r w:rsidRPr="00872196">
        <w:rPr>
          <w:lang w:val="en-US"/>
        </w:rPr>
        <w:t xml:space="preserve">Decision </w:t>
      </w:r>
      <w:r w:rsidRPr="00872196">
        <w:t>taken</w:t>
      </w:r>
      <w:r w:rsidRPr="00872196">
        <w:rPr>
          <w:lang w:val="en-US"/>
        </w:rPr>
        <w:t xml:space="preserve"> pursuant to rules 92 and rule 97 of the Committee’s rules of procedure</w:t>
      </w:r>
      <w:r w:rsidRPr="00872196">
        <w:rPr>
          <w:lang w:val="x-none"/>
        </w:rPr>
        <w:t xml:space="preserve">, transmitted to the State party on </w:t>
      </w:r>
      <w:r w:rsidRPr="00872196">
        <w:rPr>
          <w:lang w:val="en-US"/>
        </w:rPr>
        <w:t>(</w:t>
      </w:r>
      <w:r w:rsidRPr="00872196">
        <w:rPr>
          <w:lang w:val="x-none"/>
        </w:rPr>
        <w:t>not issued in a document form)</w:t>
      </w:r>
    </w:p>
    <w:p w:rsidR="00787670" w:rsidRPr="00872196" w:rsidRDefault="00787670" w:rsidP="00E51131">
      <w:pPr>
        <w:spacing w:after="100" w:line="220" w:lineRule="atLeast"/>
        <w:ind w:left="4536" w:right="1134" w:hanging="3402"/>
        <w:jc w:val="both"/>
        <w:rPr>
          <w:lang w:val="en-US"/>
        </w:rPr>
      </w:pPr>
      <w:r w:rsidRPr="00872196">
        <w:rPr>
          <w:i/>
        </w:rPr>
        <w:t>Date of adoption of Views:</w:t>
      </w:r>
      <w:r w:rsidRPr="00872196">
        <w:tab/>
      </w:r>
      <w:r w:rsidR="00604023">
        <w:t>27 July</w:t>
      </w:r>
      <w:r w:rsidRPr="00872196">
        <w:t xml:space="preserve"> 2018</w:t>
      </w:r>
    </w:p>
    <w:p w:rsidR="00787670" w:rsidRPr="00872196" w:rsidRDefault="00787670" w:rsidP="00E51131">
      <w:pPr>
        <w:spacing w:after="100" w:line="220" w:lineRule="atLeast"/>
        <w:ind w:left="4536" w:right="1134" w:hanging="3402"/>
        <w:jc w:val="both"/>
      </w:pPr>
      <w:r w:rsidRPr="00872196">
        <w:rPr>
          <w:i/>
          <w:iCs/>
        </w:rPr>
        <w:t xml:space="preserve">Subject matter: </w:t>
      </w:r>
      <w:r w:rsidRPr="00872196">
        <w:rPr>
          <w:i/>
          <w:iCs/>
        </w:rPr>
        <w:tab/>
      </w:r>
      <w:r w:rsidRPr="00872196">
        <w:rPr>
          <w:iCs/>
        </w:rPr>
        <w:t>Death penalty, fair trial</w:t>
      </w:r>
    </w:p>
    <w:p w:rsidR="00787670" w:rsidRPr="00872196" w:rsidRDefault="00787670" w:rsidP="00E51131">
      <w:pPr>
        <w:spacing w:after="100" w:line="220" w:lineRule="atLeast"/>
        <w:ind w:left="4536" w:hanging="3402"/>
        <w:jc w:val="both"/>
        <w:rPr>
          <w:iCs/>
        </w:rPr>
      </w:pPr>
      <w:r w:rsidRPr="00872196">
        <w:rPr>
          <w:i/>
          <w:iCs/>
          <w:lang w:val="en-US"/>
        </w:rPr>
        <w:t>Procedural issues</w:t>
      </w:r>
      <w:r w:rsidRPr="00872196">
        <w:rPr>
          <w:lang w:val="en-US"/>
        </w:rPr>
        <w:t xml:space="preserve">: </w:t>
      </w:r>
      <w:r w:rsidRPr="00872196">
        <w:rPr>
          <w:lang w:val="en-US"/>
        </w:rPr>
        <w:tab/>
        <w:t>E</w:t>
      </w:r>
      <w:proofErr w:type="spellStart"/>
      <w:r w:rsidRPr="00872196">
        <w:rPr>
          <w:iCs/>
        </w:rPr>
        <w:t>xhaustion</w:t>
      </w:r>
      <w:proofErr w:type="spellEnd"/>
      <w:r w:rsidRPr="00872196">
        <w:rPr>
          <w:iCs/>
        </w:rPr>
        <w:t xml:space="preserve"> of domestic remedies, consideration by another international procedure </w:t>
      </w:r>
    </w:p>
    <w:p w:rsidR="00787670" w:rsidRPr="00872196" w:rsidRDefault="00787670" w:rsidP="00E51131">
      <w:pPr>
        <w:spacing w:after="100" w:line="220" w:lineRule="atLeast"/>
        <w:ind w:left="4536" w:right="1134" w:hanging="3402"/>
        <w:jc w:val="both"/>
        <w:rPr>
          <w:lang w:val="en-US"/>
        </w:rPr>
      </w:pPr>
      <w:r w:rsidRPr="00872196">
        <w:rPr>
          <w:i/>
          <w:lang w:val="en-US"/>
        </w:rPr>
        <w:t>Substantive issues:</w:t>
      </w:r>
      <w:r w:rsidRPr="00872196">
        <w:rPr>
          <w:i/>
          <w:lang w:val="en-US"/>
        </w:rPr>
        <w:tab/>
      </w:r>
      <w:r w:rsidRPr="00872196">
        <w:rPr>
          <w:lang w:val="en-US"/>
        </w:rPr>
        <w:t xml:space="preserve">Right to life, fair trial; </w:t>
      </w:r>
    </w:p>
    <w:p w:rsidR="00787670" w:rsidRPr="00872196" w:rsidRDefault="00787670" w:rsidP="00E51131">
      <w:pPr>
        <w:spacing w:after="100" w:line="220" w:lineRule="atLeast"/>
        <w:ind w:left="4536" w:right="1134" w:hanging="3402"/>
        <w:jc w:val="both"/>
      </w:pPr>
      <w:r w:rsidRPr="00872196">
        <w:rPr>
          <w:i/>
          <w:iCs/>
        </w:rPr>
        <w:t>Articles of the Covenant:</w:t>
      </w:r>
      <w:r w:rsidR="00EE2064">
        <w:rPr>
          <w:i/>
          <w:iCs/>
        </w:rPr>
        <w:t xml:space="preserve"> </w:t>
      </w:r>
      <w:r w:rsidRPr="00872196">
        <w:rPr>
          <w:i/>
          <w:iCs/>
        </w:rPr>
        <w:tab/>
      </w:r>
      <w:r>
        <w:rPr>
          <w:iCs/>
        </w:rPr>
        <w:t xml:space="preserve">6, 7 and </w:t>
      </w:r>
      <w:r w:rsidRPr="00872196">
        <w:rPr>
          <w:iCs/>
        </w:rPr>
        <w:t xml:space="preserve">14 </w:t>
      </w:r>
    </w:p>
    <w:p w:rsidR="00787670" w:rsidRPr="00872196" w:rsidRDefault="00787670" w:rsidP="00E51131">
      <w:pPr>
        <w:spacing w:after="100" w:line="220" w:lineRule="atLeast"/>
        <w:ind w:left="4536" w:right="1134" w:hanging="3402"/>
        <w:jc w:val="both"/>
      </w:pPr>
      <w:r w:rsidRPr="00872196">
        <w:rPr>
          <w:i/>
          <w:iCs/>
        </w:rPr>
        <w:t xml:space="preserve">Articles of the Optional Protocol: </w:t>
      </w:r>
      <w:r w:rsidRPr="00872196">
        <w:rPr>
          <w:i/>
          <w:iCs/>
        </w:rPr>
        <w:tab/>
      </w:r>
      <w:proofErr w:type="gramStart"/>
      <w:r w:rsidRPr="00872196">
        <w:t>2</w:t>
      </w:r>
      <w:proofErr w:type="gramEnd"/>
      <w:r w:rsidRPr="00872196">
        <w:t xml:space="preserve"> and 5</w:t>
      </w:r>
    </w:p>
    <w:p w:rsidR="0048153D" w:rsidRDefault="0048153D" w:rsidP="00E51131">
      <w:pPr>
        <w:pStyle w:val="SingleTxtG"/>
        <w:spacing w:after="100" w:line="220" w:lineRule="atLeast"/>
      </w:pPr>
      <w:r>
        <w:t>1.1</w:t>
      </w:r>
      <w:r>
        <w:tab/>
      </w:r>
      <w:r w:rsidRPr="00872196">
        <w:t xml:space="preserve">The author of the communication, received on 11 July 2016, is </w:t>
      </w:r>
      <w:r>
        <w:t>A</w:t>
      </w:r>
      <w:r w:rsidR="00604023">
        <w:t xml:space="preserve">hmad </w:t>
      </w:r>
      <w:proofErr w:type="spellStart"/>
      <w:r w:rsidR="00604023">
        <w:t>Khaleel</w:t>
      </w:r>
      <w:proofErr w:type="spellEnd"/>
      <w:r w:rsidRPr="00872196">
        <w:t>, a national of the Republic of the Maldives</w:t>
      </w:r>
      <w:r>
        <w:t>. He</w:t>
      </w:r>
      <w:r w:rsidRPr="00872196">
        <w:t xml:space="preserve"> submits the communication on behalf of </w:t>
      </w:r>
      <w:r w:rsidR="00604023">
        <w:t xml:space="preserve">his son </w:t>
      </w:r>
      <w:r>
        <w:t xml:space="preserve">Mr. </w:t>
      </w:r>
      <w:proofErr w:type="spellStart"/>
      <w:r>
        <w:t>Humaam</w:t>
      </w:r>
      <w:proofErr w:type="spellEnd"/>
      <w:r w:rsidRPr="00872196">
        <w:t xml:space="preserve"> Ahmed (hereinafter ‘</w:t>
      </w:r>
      <w:r>
        <w:t xml:space="preserve">Mr. </w:t>
      </w:r>
      <w:proofErr w:type="spellStart"/>
      <w:r>
        <w:t>Humaam</w:t>
      </w:r>
      <w:proofErr w:type="spellEnd"/>
      <w:r w:rsidRPr="00872196">
        <w:t xml:space="preserve">’), also a </w:t>
      </w:r>
      <w:r>
        <w:t xml:space="preserve">Maldivian </w:t>
      </w:r>
      <w:r w:rsidRPr="00872196">
        <w:t xml:space="preserve">national, who is currently detained in prison having been sentenced to </w:t>
      </w:r>
      <w:r>
        <w:t xml:space="preserve">the </w:t>
      </w:r>
      <w:r w:rsidRPr="00872196">
        <w:t xml:space="preserve">death penalty. </w:t>
      </w:r>
      <w:proofErr w:type="gramStart"/>
      <w:r>
        <w:t xml:space="preserve">Mr. </w:t>
      </w:r>
      <w:proofErr w:type="spellStart"/>
      <w:r>
        <w:t>Humaam</w:t>
      </w:r>
      <w:r w:rsidRPr="00872196">
        <w:t>’s</w:t>
      </w:r>
      <w:proofErr w:type="spellEnd"/>
      <w:r w:rsidRPr="00872196">
        <w:t xml:space="preserve"> death sentence was confirmed by the Supreme Court of the Maldives</w:t>
      </w:r>
      <w:proofErr w:type="gramEnd"/>
      <w:r w:rsidRPr="00872196">
        <w:t xml:space="preserve"> on 24 June 2016, with the penalty to be carried out within 30 days of the decision.</w:t>
      </w:r>
      <w:r w:rsidR="00EE2064">
        <w:t xml:space="preserve"> </w:t>
      </w:r>
      <w:r w:rsidRPr="00872196">
        <w:t xml:space="preserve">The author claims that the State party would violate </w:t>
      </w:r>
      <w:r>
        <w:t xml:space="preserve">Mr. </w:t>
      </w:r>
      <w:proofErr w:type="spellStart"/>
      <w:r w:rsidRPr="00872196">
        <w:t>Humaa</w:t>
      </w:r>
      <w:r>
        <w:t>m</w:t>
      </w:r>
      <w:r w:rsidRPr="00872196">
        <w:t>’s</w:t>
      </w:r>
      <w:proofErr w:type="spellEnd"/>
      <w:r w:rsidRPr="00872196">
        <w:t xml:space="preserve"> rights under articles 6</w:t>
      </w:r>
      <w:r w:rsidR="00604023">
        <w:t>, 7</w:t>
      </w:r>
      <w:r w:rsidRPr="00872196">
        <w:t xml:space="preserve"> and 14 of the Covenant if the execution </w:t>
      </w:r>
      <w:proofErr w:type="gramStart"/>
      <w:r w:rsidRPr="00872196">
        <w:t>is carried out</w:t>
      </w:r>
      <w:proofErr w:type="gramEnd"/>
      <w:r w:rsidRPr="00872196">
        <w:t>.</w:t>
      </w:r>
      <w:r w:rsidRPr="00845571">
        <w:t xml:space="preserve"> </w:t>
      </w:r>
    </w:p>
    <w:p w:rsidR="001B4491" w:rsidRDefault="0048153D" w:rsidP="00134A86">
      <w:pPr>
        <w:pStyle w:val="SingleTxtG"/>
        <w:keepNext/>
        <w:keepLines/>
        <w:spacing w:line="220" w:lineRule="atLeast"/>
      </w:pPr>
      <w:r>
        <w:lastRenderedPageBreak/>
        <w:t>1.2</w:t>
      </w:r>
      <w:r>
        <w:tab/>
      </w:r>
      <w:r w:rsidRPr="00872196">
        <w:t xml:space="preserve">When submitting the communication, the author requested that the Committee issue a request for interim measures of protection asking the State party not to carry out </w:t>
      </w:r>
      <w:r>
        <w:t xml:space="preserve">Mr. </w:t>
      </w:r>
      <w:proofErr w:type="spellStart"/>
      <w:r>
        <w:t>Humaam’s</w:t>
      </w:r>
      <w:proofErr w:type="spellEnd"/>
      <w:r w:rsidRPr="00872196">
        <w:t xml:space="preserve"> death sentence pending the consideration of the present case by the Committee. </w:t>
      </w:r>
      <w:r>
        <w:t>O</w:t>
      </w:r>
      <w:r w:rsidRPr="00872196">
        <w:t>n 12 July 2016</w:t>
      </w:r>
      <w:r>
        <w:t xml:space="preserve">, pursuant to rule 92 of its rules of procedure, the Committee, acting through its Special Rapporteur for New Communications and Interim Measures requested that the State party not carry out the execution. On 12 September 2016, the State party agreed not to carry out the execution pending the Committee’s consideration. </w:t>
      </w:r>
    </w:p>
    <w:p w:rsidR="0048153D" w:rsidRPr="00872196" w:rsidRDefault="0048153D" w:rsidP="00134A86">
      <w:pPr>
        <w:pStyle w:val="SingleTxtG"/>
        <w:spacing w:line="220" w:lineRule="atLeast"/>
      </w:pPr>
      <w:r>
        <w:t>1.3</w:t>
      </w:r>
      <w:r>
        <w:tab/>
      </w:r>
      <w:r w:rsidRPr="00872196">
        <w:t xml:space="preserve">On 12 September 2016, the State party challenged the admissibility of the communication. </w:t>
      </w:r>
      <w:r>
        <w:t>On 19 November 2016, t</w:t>
      </w:r>
      <w:r w:rsidRPr="00872196">
        <w:t>he Committee</w:t>
      </w:r>
      <w:r>
        <w:t>, acting through its Special Rapporteur,</w:t>
      </w:r>
      <w:r w:rsidRPr="00872196">
        <w:t xml:space="preserve"> decided to consider admissibility and merits together.</w:t>
      </w:r>
    </w:p>
    <w:p w:rsidR="0048153D" w:rsidRPr="00872196" w:rsidRDefault="009A2797" w:rsidP="00134A86">
      <w:pPr>
        <w:pStyle w:val="H23G"/>
        <w:spacing w:line="220" w:lineRule="atLeast"/>
      </w:pPr>
      <w:r>
        <w:tab/>
      </w:r>
      <w:r>
        <w:tab/>
      </w:r>
      <w:r w:rsidR="0048153D" w:rsidRPr="00872196">
        <w:t>Facts as presented by the author</w:t>
      </w:r>
    </w:p>
    <w:p w:rsidR="0048153D" w:rsidRDefault="009A2797" w:rsidP="00134A86">
      <w:pPr>
        <w:pStyle w:val="SingleTxtG"/>
        <w:spacing w:line="220" w:lineRule="atLeast"/>
      </w:pPr>
      <w:proofErr w:type="gramStart"/>
      <w:r>
        <w:t>2.1</w:t>
      </w:r>
      <w:r w:rsidR="00740AAA">
        <w:tab/>
      </w:r>
      <w:r w:rsidR="0048153D" w:rsidRPr="00682621">
        <w:t xml:space="preserve">On 2 October 2012, the body of Mr. </w:t>
      </w:r>
      <w:proofErr w:type="spellStart"/>
      <w:r w:rsidR="0048153D" w:rsidRPr="00682621">
        <w:t>Afrasheem</w:t>
      </w:r>
      <w:proofErr w:type="spellEnd"/>
      <w:r w:rsidR="0048153D" w:rsidRPr="00682621">
        <w:t xml:space="preserve"> Ali, a Member of Parliament (MP), was discovered by his wife in </w:t>
      </w:r>
      <w:r w:rsidR="0048153D" w:rsidRPr="006735AC">
        <w:t>their apartment in Male</w:t>
      </w:r>
      <w:proofErr w:type="gramEnd"/>
      <w:r w:rsidR="0048153D" w:rsidRPr="006735AC">
        <w:t xml:space="preserve">. A few minutes later, the police arrested Mr. </w:t>
      </w:r>
      <w:proofErr w:type="spellStart"/>
      <w:r w:rsidR="0048153D" w:rsidRPr="006735AC">
        <w:t>Humaam</w:t>
      </w:r>
      <w:proofErr w:type="spellEnd"/>
      <w:r w:rsidR="0048153D" w:rsidRPr="006735AC">
        <w:t xml:space="preserve">, who was nearby. The police initially declared that the murder was politically motivated </w:t>
      </w:r>
      <w:proofErr w:type="gramStart"/>
      <w:r w:rsidR="0048153D" w:rsidRPr="006735AC">
        <w:t>and also</w:t>
      </w:r>
      <w:proofErr w:type="gramEnd"/>
      <w:r w:rsidR="0048153D" w:rsidRPr="006735AC">
        <w:t xml:space="preserve"> arrested four other people. However, all </w:t>
      </w:r>
      <w:proofErr w:type="gramStart"/>
      <w:r w:rsidR="0048153D" w:rsidRPr="006735AC">
        <w:t>were released</w:t>
      </w:r>
      <w:proofErr w:type="gramEnd"/>
      <w:r w:rsidR="0048153D" w:rsidRPr="006735AC">
        <w:t xml:space="preserve"> except Mr. </w:t>
      </w:r>
      <w:proofErr w:type="spellStart"/>
      <w:r w:rsidR="0048153D" w:rsidRPr="006735AC">
        <w:t>Humaam</w:t>
      </w:r>
      <w:proofErr w:type="spellEnd"/>
      <w:r w:rsidR="0048153D" w:rsidRPr="006735AC">
        <w:t xml:space="preserve">. </w:t>
      </w:r>
    </w:p>
    <w:p w:rsidR="0048153D" w:rsidRDefault="009A2797" w:rsidP="00134A86">
      <w:pPr>
        <w:pStyle w:val="SingleTxtG"/>
        <w:spacing w:line="220" w:lineRule="atLeast"/>
      </w:pPr>
      <w:r>
        <w:t>2.2</w:t>
      </w:r>
      <w:r w:rsidR="00740AAA">
        <w:tab/>
      </w:r>
      <w:r w:rsidR="0048153D">
        <w:t xml:space="preserve">Mr. </w:t>
      </w:r>
      <w:proofErr w:type="spellStart"/>
      <w:r w:rsidR="0048153D">
        <w:t>Humaam</w:t>
      </w:r>
      <w:proofErr w:type="spellEnd"/>
      <w:r w:rsidR="0048153D" w:rsidRPr="00872196">
        <w:t xml:space="preserve"> </w:t>
      </w:r>
      <w:proofErr w:type="gramStart"/>
      <w:r w:rsidR="0048153D" w:rsidRPr="00872196">
        <w:t xml:space="preserve">was convicted </w:t>
      </w:r>
      <w:r w:rsidR="0048153D">
        <w:t xml:space="preserve">of murder </w:t>
      </w:r>
      <w:r w:rsidR="0048153D" w:rsidRPr="00872196">
        <w:t xml:space="preserve">by the </w:t>
      </w:r>
      <w:r w:rsidR="0048153D">
        <w:t>Male C</w:t>
      </w:r>
      <w:r w:rsidR="0048153D" w:rsidRPr="00872196">
        <w:t xml:space="preserve">riminal </w:t>
      </w:r>
      <w:r w:rsidR="0048153D">
        <w:t>C</w:t>
      </w:r>
      <w:r w:rsidR="0048153D" w:rsidRPr="00872196">
        <w:t>ourt on 16 January 2014</w:t>
      </w:r>
      <w:r w:rsidR="0048153D">
        <w:t>, and sentenced to death</w:t>
      </w:r>
      <w:proofErr w:type="gramEnd"/>
      <w:r w:rsidR="0048153D">
        <w:t xml:space="preserve">. </w:t>
      </w:r>
      <w:r w:rsidR="0048153D" w:rsidRPr="00872196">
        <w:t>His lawyer appealed this decision to the High Court</w:t>
      </w:r>
      <w:r w:rsidR="0048153D">
        <w:t>,</w:t>
      </w:r>
      <w:r w:rsidR="0048153D" w:rsidRPr="00872196">
        <w:t xml:space="preserve"> which upheld the lower court’s decision on 7 September 2015.</w:t>
      </w:r>
      <w:r w:rsidR="00EE2064">
        <w:t xml:space="preserve"> </w:t>
      </w:r>
      <w:r w:rsidR="0048153D" w:rsidRPr="00872196">
        <w:t xml:space="preserve">On </w:t>
      </w:r>
      <w:r w:rsidR="002325F6">
        <w:t>24</w:t>
      </w:r>
      <w:r w:rsidR="0048153D" w:rsidRPr="00872196">
        <w:t xml:space="preserve"> June 2016, the Supreme Court upheld the High Court’s decision. </w:t>
      </w:r>
    </w:p>
    <w:p w:rsidR="0048153D" w:rsidRDefault="0048153D" w:rsidP="00134A86">
      <w:pPr>
        <w:pStyle w:val="SingleTxtG"/>
        <w:spacing w:line="220" w:lineRule="atLeast"/>
      </w:pPr>
      <w:r>
        <w:t>2.3</w:t>
      </w:r>
      <w:r>
        <w:tab/>
      </w:r>
      <w:r w:rsidRPr="0050425F">
        <w:t xml:space="preserve">The author claims that the investigation of the murder </w:t>
      </w:r>
      <w:proofErr w:type="gramStart"/>
      <w:r w:rsidRPr="0050425F">
        <w:t>was not properly conducted</w:t>
      </w:r>
      <w:proofErr w:type="gramEnd"/>
      <w:r w:rsidRPr="0050425F">
        <w:t xml:space="preserve">, </w:t>
      </w:r>
      <w:r>
        <w:t>because</w:t>
      </w:r>
      <w:r w:rsidRPr="0050425F">
        <w:t xml:space="preserve"> the authorities never </w:t>
      </w:r>
      <w:r>
        <w:t>identified</w:t>
      </w:r>
      <w:r w:rsidRPr="0050425F">
        <w:t xml:space="preserve"> Mr. </w:t>
      </w:r>
      <w:proofErr w:type="spellStart"/>
      <w:r w:rsidRPr="0050425F">
        <w:t>Humaam’s</w:t>
      </w:r>
      <w:proofErr w:type="spellEnd"/>
      <w:r w:rsidRPr="0050425F">
        <w:t xml:space="preserve"> motive to kill the MP and have never clarified why they </w:t>
      </w:r>
      <w:r>
        <w:t xml:space="preserve">initially </w:t>
      </w:r>
      <w:r w:rsidRPr="0050425F">
        <w:t xml:space="preserve">announced that the killing was politically motivated. The </w:t>
      </w:r>
      <w:r>
        <w:t xml:space="preserve">police initially claimed publicly </w:t>
      </w:r>
      <w:r w:rsidRPr="0050425F">
        <w:t>that vast sums of money were paid for the murder</w:t>
      </w:r>
      <w:r>
        <w:t xml:space="preserve"> and that these claims</w:t>
      </w:r>
      <w:r w:rsidRPr="0050425F">
        <w:t xml:space="preserve"> have neither been refuted nor explained; </w:t>
      </w:r>
      <w:proofErr w:type="gramStart"/>
      <w:r w:rsidRPr="0050425F">
        <w:t>therefore</w:t>
      </w:r>
      <w:proofErr w:type="gramEnd"/>
      <w:r w:rsidRPr="0050425F">
        <w:t xml:space="preserve"> no motive for the murder has been </w:t>
      </w:r>
      <w:r>
        <w:t>established</w:t>
      </w:r>
      <w:r w:rsidRPr="0050425F">
        <w:t xml:space="preserve">. The MP’s family even requested that the Supreme Court decision confirming the death sentence of 24 June 2016 not </w:t>
      </w:r>
      <w:proofErr w:type="gramStart"/>
      <w:r w:rsidRPr="0050425F">
        <w:t>be implemented</w:t>
      </w:r>
      <w:proofErr w:type="gramEnd"/>
      <w:r w:rsidRPr="0050425F">
        <w:t xml:space="preserve"> until a proper investigation of the murder </w:t>
      </w:r>
      <w:r>
        <w:t>was</w:t>
      </w:r>
      <w:r w:rsidR="009A2797">
        <w:t xml:space="preserve"> conducted. </w:t>
      </w:r>
      <w:r w:rsidRPr="0050425F">
        <w:t>However, the court refused to consider this request</w:t>
      </w:r>
      <w:r>
        <w:t>,</w:t>
      </w:r>
      <w:r w:rsidRPr="0050425F">
        <w:t xml:space="preserve"> as it </w:t>
      </w:r>
      <w:proofErr w:type="gramStart"/>
      <w:r w:rsidRPr="0050425F">
        <w:t>was presented</w:t>
      </w:r>
      <w:proofErr w:type="gramEnd"/>
      <w:r w:rsidRPr="0050425F">
        <w:t xml:space="preserve"> outside working hours.</w:t>
      </w:r>
    </w:p>
    <w:p w:rsidR="0048153D" w:rsidRDefault="0048153D" w:rsidP="00134A86">
      <w:pPr>
        <w:pStyle w:val="SingleTxtG"/>
        <w:spacing w:line="220" w:lineRule="atLeast"/>
      </w:pPr>
      <w:r>
        <w:t>2.4</w:t>
      </w:r>
      <w:r>
        <w:tab/>
      </w:r>
      <w:r w:rsidRPr="00872196">
        <w:t xml:space="preserve">The author submits that there were several irregularities during </w:t>
      </w:r>
      <w:r>
        <w:t xml:space="preserve">Mr. </w:t>
      </w:r>
      <w:proofErr w:type="spellStart"/>
      <w:r>
        <w:t>Humaam</w:t>
      </w:r>
      <w:r w:rsidRPr="00872196">
        <w:t>’s</w:t>
      </w:r>
      <w:proofErr w:type="spellEnd"/>
      <w:r w:rsidRPr="00872196">
        <w:t xml:space="preserve"> trial</w:t>
      </w:r>
      <w:r>
        <w:t>. First,</w:t>
      </w:r>
      <w:r w:rsidRPr="00872196">
        <w:t xml:space="preserve"> </w:t>
      </w:r>
      <w:r>
        <w:t>h</w:t>
      </w:r>
      <w:r w:rsidRPr="00872196">
        <w:t>e confessed to the crime when his lawyer was not present</w:t>
      </w:r>
      <w:r>
        <w:t>.</w:t>
      </w:r>
      <w:r w:rsidRPr="00872196">
        <w:t xml:space="preserve"> </w:t>
      </w:r>
      <w:r>
        <w:t>H</w:t>
      </w:r>
      <w:r w:rsidRPr="00872196">
        <w:t>e subsequently retracted the confession indicating that he had confessed under threats to his family, but the court did not accept the retraction</w:t>
      </w:r>
      <w:r>
        <w:t xml:space="preserve">. No investigation </w:t>
      </w:r>
      <w:proofErr w:type="gramStart"/>
      <w:r>
        <w:t>was carried out</w:t>
      </w:r>
      <w:proofErr w:type="gramEnd"/>
      <w:r>
        <w:t xml:space="preserve"> into the claim of duress. </w:t>
      </w:r>
    </w:p>
    <w:p w:rsidR="0048153D" w:rsidRDefault="0048153D" w:rsidP="00134A86">
      <w:pPr>
        <w:pStyle w:val="SingleTxtG"/>
        <w:spacing w:line="220" w:lineRule="atLeast"/>
      </w:pPr>
      <w:r>
        <w:t>2.5</w:t>
      </w:r>
      <w:r>
        <w:tab/>
        <w:t xml:space="preserve">Mr. </w:t>
      </w:r>
      <w:proofErr w:type="spellStart"/>
      <w:r>
        <w:t>Humaam</w:t>
      </w:r>
      <w:proofErr w:type="spellEnd"/>
      <w:r w:rsidRPr="00872196">
        <w:t xml:space="preserve"> </w:t>
      </w:r>
      <w:r>
        <w:t xml:space="preserve">also </w:t>
      </w:r>
      <w:proofErr w:type="gramStart"/>
      <w:r w:rsidRPr="00872196">
        <w:t>was not allowed</w:t>
      </w:r>
      <w:proofErr w:type="gramEnd"/>
      <w:r w:rsidRPr="00872196">
        <w:t xml:space="preserve"> to present witnesses to support his defence</w:t>
      </w:r>
      <w:r>
        <w:t>:</w:t>
      </w:r>
      <w:r w:rsidRPr="00872196">
        <w:t xml:space="preserve"> a key witness, Ahmed </w:t>
      </w:r>
      <w:proofErr w:type="spellStart"/>
      <w:r w:rsidRPr="00872196">
        <w:t>Nazeef</w:t>
      </w:r>
      <w:proofErr w:type="spellEnd"/>
      <w:r w:rsidRPr="00872196">
        <w:t xml:space="preserve"> </w:t>
      </w:r>
      <w:proofErr w:type="spellStart"/>
      <w:r w:rsidRPr="00872196">
        <w:t>Shaukath</w:t>
      </w:r>
      <w:proofErr w:type="spellEnd"/>
      <w:r w:rsidRPr="00872196">
        <w:t xml:space="preserve">, who was with </w:t>
      </w:r>
      <w:r>
        <w:t xml:space="preserve">Mr. </w:t>
      </w:r>
      <w:proofErr w:type="spellStart"/>
      <w:r>
        <w:t>Humaam</w:t>
      </w:r>
      <w:proofErr w:type="spellEnd"/>
      <w:r w:rsidRPr="00872196">
        <w:t xml:space="preserve"> when he was arrested, was found dead on 7 February 2013, before he could testify in court</w:t>
      </w:r>
      <w:r w:rsidR="009A2797">
        <w:t>.</w:t>
      </w:r>
      <w:r w:rsidRPr="00872196">
        <w:t xml:space="preserve"> </w:t>
      </w:r>
      <w:r>
        <w:t>A</w:t>
      </w:r>
      <w:r w:rsidRPr="00872196">
        <w:t xml:space="preserve">nother witness, Mr. </w:t>
      </w:r>
      <w:proofErr w:type="spellStart"/>
      <w:r w:rsidRPr="00872196">
        <w:t>Azlif</w:t>
      </w:r>
      <w:proofErr w:type="spellEnd"/>
      <w:r w:rsidRPr="00872196">
        <w:t xml:space="preserve"> Rauf, </w:t>
      </w:r>
      <w:r>
        <w:t xml:space="preserve">with </w:t>
      </w:r>
      <w:r w:rsidRPr="00872196">
        <w:t xml:space="preserve">whom </w:t>
      </w:r>
      <w:r>
        <w:t xml:space="preserve">Mr. </w:t>
      </w:r>
      <w:proofErr w:type="spellStart"/>
      <w:r>
        <w:t>Humaam</w:t>
      </w:r>
      <w:proofErr w:type="spellEnd"/>
      <w:r w:rsidRPr="00872196">
        <w:t xml:space="preserve"> </w:t>
      </w:r>
      <w:proofErr w:type="gramStart"/>
      <w:r>
        <w:t>was alleged</w:t>
      </w:r>
      <w:proofErr w:type="gramEnd"/>
      <w:r>
        <w:t xml:space="preserve"> to have</w:t>
      </w:r>
      <w:r w:rsidRPr="00872196">
        <w:t xml:space="preserve"> planned the murder, was allowed to leave the country in January 2015, despite having had his passport confiscated</w:t>
      </w:r>
      <w:r>
        <w:t>.</w:t>
      </w:r>
      <w:r w:rsidRPr="00872196">
        <w:t xml:space="preserve"> </w:t>
      </w:r>
    </w:p>
    <w:p w:rsidR="0048153D" w:rsidRPr="00872196" w:rsidRDefault="0048153D" w:rsidP="00134A86">
      <w:pPr>
        <w:pStyle w:val="SingleTxtG"/>
        <w:spacing w:line="220" w:lineRule="atLeast"/>
      </w:pPr>
      <w:r>
        <w:t>2.6</w:t>
      </w:r>
      <w:r>
        <w:tab/>
        <w:t xml:space="preserve">Mr. </w:t>
      </w:r>
      <w:proofErr w:type="spellStart"/>
      <w:r>
        <w:t>Humaam</w:t>
      </w:r>
      <w:r w:rsidRPr="00872196">
        <w:t>’s</w:t>
      </w:r>
      <w:proofErr w:type="spellEnd"/>
      <w:r w:rsidRPr="00872196" w:rsidDel="00710166">
        <w:t xml:space="preserve"> </w:t>
      </w:r>
      <w:r w:rsidRPr="00872196">
        <w:t xml:space="preserve">family requested an independent medical/psychiatric assessment of </w:t>
      </w:r>
      <w:r>
        <w:t xml:space="preserve">Mr. </w:t>
      </w:r>
      <w:proofErr w:type="spellStart"/>
      <w:r>
        <w:t>Humaam’s</w:t>
      </w:r>
      <w:proofErr w:type="spellEnd"/>
      <w:r>
        <w:t xml:space="preserve"> </w:t>
      </w:r>
      <w:r w:rsidRPr="00872196">
        <w:t>mental state</w:t>
      </w:r>
      <w:r>
        <w:t>, as he increasingly displayed signs of being mentally unstable</w:t>
      </w:r>
      <w:r w:rsidRPr="001B75EE">
        <w:t>, including erratic behaviour and changing pleas back and forth.</w:t>
      </w:r>
      <w:r>
        <w:t xml:space="preserve"> This also impeded the ability of his lawyer to provide effective counsel.</w:t>
      </w:r>
      <w:r w:rsidR="00EE2064">
        <w:t xml:space="preserve"> </w:t>
      </w:r>
      <w:r>
        <w:t xml:space="preserve">No </w:t>
      </w:r>
      <w:r w:rsidRPr="00872196">
        <w:t xml:space="preserve">assessment </w:t>
      </w:r>
      <w:proofErr w:type="gramStart"/>
      <w:r w:rsidRPr="00872196">
        <w:t>was ever carried out</w:t>
      </w:r>
      <w:proofErr w:type="gramEnd"/>
      <w:r w:rsidRPr="00872196">
        <w:t>.</w:t>
      </w:r>
    </w:p>
    <w:p w:rsidR="0048153D" w:rsidRPr="00872196" w:rsidRDefault="00815B64" w:rsidP="00134A86">
      <w:pPr>
        <w:pStyle w:val="SingleTxtG"/>
        <w:spacing w:line="220" w:lineRule="atLeast"/>
      </w:pPr>
      <w:r>
        <w:t>2.7</w:t>
      </w:r>
      <w:r>
        <w:tab/>
      </w:r>
      <w:r w:rsidR="0048153D">
        <w:t>Further,</w:t>
      </w:r>
      <w:r w:rsidR="0048153D" w:rsidRPr="00872196">
        <w:t xml:space="preserve"> the current law on clemency </w:t>
      </w:r>
      <w:r w:rsidR="0048153D">
        <w:t>gives</w:t>
      </w:r>
      <w:r w:rsidR="0048153D" w:rsidRPr="00872196">
        <w:t xml:space="preserve"> the </w:t>
      </w:r>
      <w:r w:rsidR="0048153D">
        <w:t>P</w:t>
      </w:r>
      <w:r w:rsidR="0048153D" w:rsidRPr="00872196">
        <w:t>resident the power to pardon or commute sentences in all cases, including murder cases. However</w:t>
      </w:r>
      <w:r w:rsidR="0048153D">
        <w:t>,</w:t>
      </w:r>
      <w:r w:rsidR="0048153D" w:rsidRPr="00872196">
        <w:t xml:space="preserve"> after the trial of Mr </w:t>
      </w:r>
      <w:proofErr w:type="spellStart"/>
      <w:r w:rsidR="0048153D">
        <w:t>Humaam</w:t>
      </w:r>
      <w:proofErr w:type="spellEnd"/>
      <w:r w:rsidR="0048153D">
        <w:t>,</w:t>
      </w:r>
      <w:r w:rsidR="0048153D" w:rsidRPr="00872196">
        <w:t xml:space="preserve"> the judiciary </w:t>
      </w:r>
      <w:r w:rsidR="0048153D">
        <w:t>interpreted</w:t>
      </w:r>
      <w:r w:rsidR="0048153D" w:rsidRPr="00872196">
        <w:t xml:space="preserve"> the </w:t>
      </w:r>
      <w:r w:rsidR="0048153D">
        <w:t>C</w:t>
      </w:r>
      <w:r w:rsidR="0048153D" w:rsidRPr="00872196">
        <w:t xml:space="preserve">lemency </w:t>
      </w:r>
      <w:r w:rsidR="0048153D">
        <w:t>A</w:t>
      </w:r>
      <w:r w:rsidR="0048153D" w:rsidRPr="00872196">
        <w:t xml:space="preserve">ct </w:t>
      </w:r>
      <w:r w:rsidR="0048153D">
        <w:t xml:space="preserve">as </w:t>
      </w:r>
      <w:r w:rsidR="0048153D" w:rsidRPr="00872196">
        <w:t xml:space="preserve">stating </w:t>
      </w:r>
      <w:r w:rsidR="0048153D">
        <w:t xml:space="preserve">that </w:t>
      </w:r>
      <w:r w:rsidR="0048153D" w:rsidRPr="00872196">
        <w:t>when exercising clemency</w:t>
      </w:r>
      <w:r w:rsidR="0048153D">
        <w:t>,</w:t>
      </w:r>
      <w:r w:rsidR="0048153D" w:rsidRPr="00872196">
        <w:t xml:space="preserve"> </w:t>
      </w:r>
      <w:r w:rsidR="0048153D">
        <w:t xml:space="preserve">the </w:t>
      </w:r>
      <w:r w:rsidR="0048153D" w:rsidRPr="00872196">
        <w:t xml:space="preserve">President must take into account </w:t>
      </w:r>
      <w:r w:rsidR="0048153D">
        <w:t xml:space="preserve">factors </w:t>
      </w:r>
      <w:r w:rsidR="0048153D" w:rsidRPr="00872196">
        <w:t>includ</w:t>
      </w:r>
      <w:r w:rsidR="0048153D">
        <w:t>ing</w:t>
      </w:r>
      <w:r w:rsidR="0048153D" w:rsidRPr="00872196">
        <w:t xml:space="preserve"> sharia law, especially the right </w:t>
      </w:r>
      <w:r w:rsidR="0048153D">
        <w:t xml:space="preserve">of the family of the deceased </w:t>
      </w:r>
      <w:r w:rsidR="0048153D" w:rsidRPr="00872196">
        <w:t xml:space="preserve">to </w:t>
      </w:r>
      <w:proofErr w:type="spellStart"/>
      <w:r w:rsidR="0048153D" w:rsidRPr="00872196">
        <w:t>qisas</w:t>
      </w:r>
      <w:proofErr w:type="spellEnd"/>
      <w:r w:rsidR="0048153D" w:rsidRPr="00872196">
        <w:rPr>
          <w:rStyle w:val="FootnoteReference"/>
        </w:rPr>
        <w:footnoteReference w:id="4"/>
      </w:r>
      <w:r w:rsidR="0048153D" w:rsidRPr="00872196">
        <w:t xml:space="preserve">, and </w:t>
      </w:r>
      <w:r w:rsidR="0048153D">
        <w:t xml:space="preserve">clemency </w:t>
      </w:r>
      <w:r w:rsidR="0048153D" w:rsidRPr="00872196">
        <w:t xml:space="preserve">therefore cannot be subject to presidential discretion. This, the author alleges, targeted </w:t>
      </w:r>
      <w:r w:rsidR="0048153D">
        <w:t xml:space="preserve">Mr. </w:t>
      </w:r>
      <w:proofErr w:type="spellStart"/>
      <w:r w:rsidR="0048153D">
        <w:t>Humaam</w:t>
      </w:r>
      <w:proofErr w:type="spellEnd"/>
      <w:r w:rsidR="0048153D" w:rsidRPr="00872196">
        <w:t xml:space="preserve"> and impinged upon his right to </w:t>
      </w:r>
      <w:r w:rsidR="0048153D">
        <w:t>clemency</w:t>
      </w:r>
      <w:r w:rsidR="0048153D" w:rsidRPr="00872196">
        <w:t>.</w:t>
      </w:r>
    </w:p>
    <w:p w:rsidR="0048153D" w:rsidRPr="005C7FD5" w:rsidRDefault="00E83F50" w:rsidP="00134A86">
      <w:pPr>
        <w:pStyle w:val="H23G"/>
        <w:spacing w:line="220" w:lineRule="atLeast"/>
      </w:pPr>
      <w:r>
        <w:lastRenderedPageBreak/>
        <w:tab/>
      </w:r>
      <w:r>
        <w:tab/>
      </w:r>
      <w:r w:rsidR="0048153D" w:rsidRPr="005C7FD5">
        <w:t xml:space="preserve">The </w:t>
      </w:r>
      <w:r w:rsidR="00740AAA">
        <w:t>complaint</w:t>
      </w:r>
    </w:p>
    <w:p w:rsidR="0048153D" w:rsidRDefault="0048153D" w:rsidP="00134A86">
      <w:pPr>
        <w:pStyle w:val="SingleTxtG"/>
        <w:spacing w:line="220" w:lineRule="atLeast"/>
      </w:pPr>
      <w:r w:rsidRPr="00872196">
        <w:t>3.</w:t>
      </w:r>
      <w:r>
        <w:t>1</w:t>
      </w:r>
      <w:r w:rsidR="00740AAA">
        <w:tab/>
      </w:r>
      <w:r w:rsidRPr="00872196">
        <w:t xml:space="preserve">The author claims that the State party would violate </w:t>
      </w:r>
      <w:r>
        <w:t xml:space="preserve">Mr. </w:t>
      </w:r>
      <w:proofErr w:type="spellStart"/>
      <w:r>
        <w:t>Humaam’s</w:t>
      </w:r>
      <w:proofErr w:type="spellEnd"/>
      <w:r>
        <w:t xml:space="preserve"> </w:t>
      </w:r>
      <w:r w:rsidRPr="00872196">
        <w:t xml:space="preserve">rights under article 6 of the Covenant if his death sentence </w:t>
      </w:r>
      <w:proofErr w:type="gramStart"/>
      <w:r w:rsidRPr="00872196">
        <w:t>is</w:t>
      </w:r>
      <w:proofErr w:type="gramEnd"/>
      <w:r w:rsidRPr="00872196">
        <w:t xml:space="preserve"> carried out</w:t>
      </w:r>
      <w:r>
        <w:t>,</w:t>
      </w:r>
      <w:r w:rsidRPr="00872196">
        <w:t xml:space="preserve"> in light of the alleged violations of his rights under article 14 of the Covenant. </w:t>
      </w:r>
    </w:p>
    <w:p w:rsidR="0048153D" w:rsidRPr="00872196" w:rsidRDefault="00E83F50" w:rsidP="00134A86">
      <w:pPr>
        <w:pStyle w:val="SingleTxtG"/>
        <w:spacing w:line="220" w:lineRule="atLeast"/>
      </w:pPr>
      <w:r>
        <w:t>3.2</w:t>
      </w:r>
      <w:r w:rsidR="00740AAA">
        <w:tab/>
      </w:r>
      <w:r w:rsidR="0048153D">
        <w:t xml:space="preserve">The author also claims that the repeated statements by the authorities and recent legislative changes aimed at the resumption of the execution have caused an enormous degree of distress to Mr </w:t>
      </w:r>
      <w:proofErr w:type="spellStart"/>
      <w:r w:rsidR="0048153D">
        <w:t>Humaam</w:t>
      </w:r>
      <w:proofErr w:type="spellEnd"/>
      <w:r w:rsidR="0048153D">
        <w:t>, contrary to the prohibition on cruel, inhuman or degrading treatment or punishment u</w:t>
      </w:r>
      <w:r>
        <w:t>nder article 7 of the Covenant.</w:t>
      </w:r>
    </w:p>
    <w:p w:rsidR="0048153D" w:rsidRPr="00872196" w:rsidRDefault="00E83F50" w:rsidP="00134A86">
      <w:pPr>
        <w:pStyle w:val="H23G"/>
        <w:spacing w:line="220" w:lineRule="atLeast"/>
      </w:pPr>
      <w:r>
        <w:tab/>
      </w:r>
      <w:r>
        <w:tab/>
      </w:r>
      <w:r w:rsidR="0048153D" w:rsidRPr="00872196">
        <w:t>State party’s submission on admissibility</w:t>
      </w:r>
    </w:p>
    <w:p w:rsidR="0048153D" w:rsidRPr="00901F33" w:rsidRDefault="0048153D" w:rsidP="00134A86">
      <w:pPr>
        <w:pStyle w:val="SingleTxtG"/>
        <w:spacing w:line="220" w:lineRule="atLeast"/>
      </w:pPr>
      <w:r>
        <w:t>4.1</w:t>
      </w:r>
      <w:r>
        <w:tab/>
      </w:r>
      <w:r w:rsidRPr="005C7FD5">
        <w:t xml:space="preserve">By a note </w:t>
      </w:r>
      <w:proofErr w:type="spellStart"/>
      <w:r w:rsidRPr="005C7FD5">
        <w:t>verbale</w:t>
      </w:r>
      <w:proofErr w:type="spellEnd"/>
      <w:r w:rsidRPr="005C7FD5">
        <w:t xml:space="preserve"> of 12 September 2016, the State party challenged the admissibility of the communication. It asserts that the admissibility criteria </w:t>
      </w:r>
      <w:proofErr w:type="gramStart"/>
      <w:r w:rsidRPr="005C7FD5">
        <w:t>have not been met</w:t>
      </w:r>
      <w:proofErr w:type="gramEnd"/>
      <w:r w:rsidRPr="005C7FD5">
        <w:t xml:space="preserve"> </w:t>
      </w:r>
      <w:r>
        <w:t xml:space="preserve">and that </w:t>
      </w:r>
      <w:r w:rsidRPr="005C7FD5">
        <w:t xml:space="preserve">the communication </w:t>
      </w:r>
      <w:r>
        <w:t xml:space="preserve">thus </w:t>
      </w:r>
      <w:r w:rsidRPr="005C7FD5">
        <w:t>constitutes an abuse of the right to petition the Committee</w:t>
      </w:r>
      <w:r>
        <w:t>.</w:t>
      </w:r>
    </w:p>
    <w:p w:rsidR="0048153D" w:rsidRDefault="0048153D" w:rsidP="00134A86">
      <w:pPr>
        <w:pStyle w:val="SingleTxtG"/>
        <w:spacing w:line="220" w:lineRule="atLeast"/>
      </w:pPr>
      <w:r>
        <w:t>4.2</w:t>
      </w:r>
      <w:r>
        <w:tab/>
      </w:r>
      <w:r w:rsidRPr="00DB48D2">
        <w:t xml:space="preserve">The State party claims that </w:t>
      </w:r>
      <w:r>
        <w:t>prior to</w:t>
      </w:r>
      <w:r w:rsidRPr="00DB48D2">
        <w:t xml:space="preserve"> the present communication, the same </w:t>
      </w:r>
      <w:r>
        <w:t>claim</w:t>
      </w:r>
      <w:r w:rsidRPr="00DB48D2">
        <w:t xml:space="preserve"> was submitted to the Special Rapporteurs on Extrajudicial, Summary or Arbitrary Executions, Independence of Judges and Lawyers, and on Torture and other Cruel, Inhuman or Degrading Treatment or Punishment. Therefore the State party contends that the matter is already being considered under ‘another procedure of international investigation’, and ought to be rejected under article 5(2</w:t>
      </w:r>
      <w:proofErr w:type="gramStart"/>
      <w:r w:rsidRPr="00DB48D2">
        <w:t>)(</w:t>
      </w:r>
      <w:proofErr w:type="gramEnd"/>
      <w:r w:rsidRPr="00DB48D2">
        <w:t>a) of the Optional Protocol.</w:t>
      </w:r>
      <w:r>
        <w:t xml:space="preserve"> </w:t>
      </w:r>
      <w:r w:rsidRPr="00034B7E">
        <w:t>The State party further argues that domestic remedies have not been exhausted under article 5(2</w:t>
      </w:r>
      <w:proofErr w:type="gramStart"/>
      <w:r w:rsidRPr="00034B7E">
        <w:t>)(</w:t>
      </w:r>
      <w:proofErr w:type="gramEnd"/>
      <w:r w:rsidRPr="00034B7E">
        <w:t xml:space="preserve">b) of the Optional Protocol. The State party submits that at this stage of proceedings, there is a mandatory mediation process between the MP’s family and Mr. </w:t>
      </w:r>
      <w:proofErr w:type="spellStart"/>
      <w:r w:rsidRPr="00034B7E">
        <w:t>Humaam</w:t>
      </w:r>
      <w:proofErr w:type="spellEnd"/>
      <w:r w:rsidRPr="00034B7E">
        <w:t xml:space="preserve">, which allows the family to either exercise or relinquish the right of </w:t>
      </w:r>
      <w:proofErr w:type="spellStart"/>
      <w:r w:rsidRPr="00034B7E">
        <w:t>Qisas</w:t>
      </w:r>
      <w:proofErr w:type="spellEnd"/>
      <w:r w:rsidRPr="00034B7E">
        <w:t>. Since the author asserts that the family already wrote a letter stating that they will not seek to exercise their right, it is likely that they will not enforce the right.</w:t>
      </w:r>
      <w:r w:rsidR="00EE2064">
        <w:t xml:space="preserve"> </w:t>
      </w:r>
      <w:r w:rsidRPr="00034B7E">
        <w:t xml:space="preserve">The State party contends, however, that this means this avenue </w:t>
      </w:r>
      <w:proofErr w:type="gramStart"/>
      <w:r w:rsidRPr="00034B7E">
        <w:t>is not exhausted</w:t>
      </w:r>
      <w:proofErr w:type="gramEnd"/>
      <w:r w:rsidRPr="00034B7E">
        <w:t xml:space="preserve"> at this point. Mediation under the regulation is mandatory, and the death penalty </w:t>
      </w:r>
      <w:proofErr w:type="gramStart"/>
      <w:r w:rsidRPr="00034B7E">
        <w:t>cannot be imposed</w:t>
      </w:r>
      <w:proofErr w:type="gramEnd"/>
      <w:r w:rsidRPr="00034B7E">
        <w:t xml:space="preserve"> without mediation being undertaken. </w:t>
      </w:r>
    </w:p>
    <w:p w:rsidR="0048153D" w:rsidRPr="00034B7E" w:rsidRDefault="0048153D" w:rsidP="006C1762">
      <w:pPr>
        <w:pStyle w:val="SingleTxtG"/>
      </w:pPr>
      <w:r>
        <w:t>4.3</w:t>
      </w:r>
      <w:r>
        <w:tab/>
      </w:r>
      <w:r w:rsidRPr="00034B7E">
        <w:t xml:space="preserve">The claims regarding an unfair trial </w:t>
      </w:r>
      <w:proofErr w:type="gramStart"/>
      <w:r w:rsidRPr="00034B7E">
        <w:t>are insufficiently substantiated</w:t>
      </w:r>
      <w:proofErr w:type="gramEnd"/>
      <w:r w:rsidRPr="00034B7E">
        <w:t xml:space="preserve">. With respect to the claim of a coerced confession, the State party contends that the author has presented no evidence upon which an allegation of coercion </w:t>
      </w:r>
      <w:proofErr w:type="gramStart"/>
      <w:r w:rsidRPr="00034B7E">
        <w:t>could be based</w:t>
      </w:r>
      <w:proofErr w:type="gramEnd"/>
      <w:r w:rsidRPr="00034B7E">
        <w:t xml:space="preserve">. The confession </w:t>
      </w:r>
      <w:proofErr w:type="gramStart"/>
      <w:r w:rsidRPr="00034B7E">
        <w:t>was given</w:t>
      </w:r>
      <w:proofErr w:type="gramEnd"/>
      <w:r w:rsidRPr="00034B7E">
        <w:t xml:space="preserve"> in a public trial; therefore, it seems illogical to suggest that the confession was coerced. </w:t>
      </w:r>
    </w:p>
    <w:p w:rsidR="0048153D" w:rsidRPr="00F53C5D" w:rsidRDefault="00740AAA" w:rsidP="0048153D">
      <w:pPr>
        <w:pStyle w:val="SingleTxtG"/>
        <w:rPr>
          <w:spacing w:val="-2"/>
        </w:rPr>
      </w:pPr>
      <w:r w:rsidRPr="00F53C5D">
        <w:rPr>
          <w:spacing w:val="-2"/>
        </w:rPr>
        <w:t>4.4</w:t>
      </w:r>
      <w:r w:rsidRPr="00F53C5D">
        <w:rPr>
          <w:spacing w:val="-2"/>
        </w:rPr>
        <w:tab/>
      </w:r>
      <w:r w:rsidR="0048153D" w:rsidRPr="00F53C5D">
        <w:rPr>
          <w:spacing w:val="-2"/>
        </w:rPr>
        <w:t xml:space="preserve">Regarding the allegation that Mr. </w:t>
      </w:r>
      <w:proofErr w:type="spellStart"/>
      <w:r w:rsidR="0048153D" w:rsidRPr="00F53C5D">
        <w:rPr>
          <w:spacing w:val="-2"/>
        </w:rPr>
        <w:t>Humaam</w:t>
      </w:r>
      <w:proofErr w:type="spellEnd"/>
      <w:r w:rsidR="0048153D" w:rsidRPr="00F53C5D">
        <w:rPr>
          <w:spacing w:val="-2"/>
        </w:rPr>
        <w:t xml:space="preserve"> was showing signs of mental illness and </w:t>
      </w:r>
      <w:proofErr w:type="gramStart"/>
      <w:r w:rsidR="0048153D" w:rsidRPr="00F53C5D">
        <w:rPr>
          <w:spacing w:val="-2"/>
        </w:rPr>
        <w:t>should have been given</w:t>
      </w:r>
      <w:proofErr w:type="gramEnd"/>
      <w:r w:rsidR="0048153D" w:rsidRPr="00F53C5D">
        <w:rPr>
          <w:spacing w:val="-2"/>
        </w:rPr>
        <w:t xml:space="preserve"> a psychiatric assessment, no evidence or clarification has been provided to support this claim, and it therefore is not substantiated. Mr. </w:t>
      </w:r>
      <w:proofErr w:type="spellStart"/>
      <w:r w:rsidR="0048153D" w:rsidRPr="00F53C5D">
        <w:rPr>
          <w:spacing w:val="-2"/>
        </w:rPr>
        <w:t>Humaam’s</w:t>
      </w:r>
      <w:proofErr w:type="spellEnd"/>
      <w:r w:rsidR="0048153D" w:rsidRPr="00F53C5D">
        <w:rPr>
          <w:spacing w:val="-2"/>
        </w:rPr>
        <w:t xml:space="preserve"> mental health </w:t>
      </w:r>
      <w:proofErr w:type="gramStart"/>
      <w:r w:rsidR="0048153D" w:rsidRPr="00F53C5D">
        <w:rPr>
          <w:spacing w:val="-2"/>
        </w:rPr>
        <w:t>was not raised</w:t>
      </w:r>
      <w:proofErr w:type="gramEnd"/>
      <w:r w:rsidR="0048153D" w:rsidRPr="00F53C5D">
        <w:rPr>
          <w:spacing w:val="-2"/>
        </w:rPr>
        <w:t xml:space="preserve"> until very late in the proceedings, and he was deemed lucid by the trial judge</w:t>
      </w:r>
      <w:r w:rsidR="00C82CF6" w:rsidRPr="00F53C5D">
        <w:rPr>
          <w:spacing w:val="-2"/>
        </w:rPr>
        <w:t>.</w:t>
      </w:r>
      <w:r w:rsidR="0042209C" w:rsidRPr="00F53C5D">
        <w:rPr>
          <w:rStyle w:val="FootnoteReference"/>
          <w:spacing w:val="-2"/>
        </w:rPr>
        <w:footnoteReference w:id="5"/>
      </w:r>
    </w:p>
    <w:p w:rsidR="00D85650" w:rsidRDefault="00D85650" w:rsidP="00134A86">
      <w:pPr>
        <w:pStyle w:val="SingleTxtG"/>
        <w:spacing w:line="220" w:lineRule="atLeast"/>
      </w:pPr>
      <w:r>
        <w:t>4.5</w:t>
      </w:r>
      <w:r>
        <w:tab/>
        <w:t xml:space="preserve">With respect to the claim regarding an inadequate investigation, the author’s assertion that the police claimed publicly that vast sums of money were paid for the murder and that these claims have never been refuted nor explained lacks sufficient clarity or factual support and does not establish that the investigation was incomplete. Even if a person </w:t>
      </w:r>
      <w:proofErr w:type="gramStart"/>
      <w:r>
        <w:t>was ordered</w:t>
      </w:r>
      <w:proofErr w:type="gramEnd"/>
      <w:r>
        <w:t xml:space="preserve"> to carry out a certain criminal act, it does not lessen the level of his criminal responsibility if it is established, through a judicial process and beyond reasonable doubt that he/she carried out the criminal act in question.</w:t>
      </w:r>
      <w:r w:rsidR="00EE2064">
        <w:t xml:space="preserve"> </w:t>
      </w:r>
      <w:r>
        <w:t xml:space="preserve">In this case, it was established in a court trial, and confirmed by two levels of appeal, that Mr. </w:t>
      </w:r>
      <w:proofErr w:type="spellStart"/>
      <w:r>
        <w:t>Humaam</w:t>
      </w:r>
      <w:proofErr w:type="spellEnd"/>
      <w:r>
        <w:t xml:space="preserve"> was guilty of murder, and he </w:t>
      </w:r>
      <w:proofErr w:type="gramStart"/>
      <w:r>
        <w:t>was sentenced</w:t>
      </w:r>
      <w:proofErr w:type="gramEnd"/>
      <w:r>
        <w:t xml:space="preserve"> to death. No credible evidence </w:t>
      </w:r>
      <w:proofErr w:type="gramStart"/>
      <w:r>
        <w:t>was put</w:t>
      </w:r>
      <w:proofErr w:type="gramEnd"/>
      <w:r>
        <w:t xml:space="preserve"> before the Court that would cast any doubt on Mr. </w:t>
      </w:r>
      <w:proofErr w:type="spellStart"/>
      <w:r>
        <w:t>Humaam’s</w:t>
      </w:r>
      <w:proofErr w:type="spellEnd"/>
      <w:r>
        <w:t xml:space="preserve"> criminal responsibility.</w:t>
      </w:r>
      <w:r w:rsidR="00EE2064">
        <w:t xml:space="preserve"> </w:t>
      </w:r>
      <w:r>
        <w:t xml:space="preserve">This matter </w:t>
      </w:r>
      <w:proofErr w:type="gramStart"/>
      <w:r>
        <w:t>was fully and comprehensively investigated</w:t>
      </w:r>
      <w:proofErr w:type="gramEnd"/>
      <w:r>
        <w:t xml:space="preserve"> and the proceedings were carried out in accordance with the highest investigative standards. The authorities complied fully at all stages of this investigation with their professional duties of disclosure. These allegations accordingly </w:t>
      </w:r>
      <w:proofErr w:type="gramStart"/>
      <w:r>
        <w:t>have not been substantiated</w:t>
      </w:r>
      <w:proofErr w:type="gramEnd"/>
      <w:r>
        <w:t>.</w:t>
      </w:r>
    </w:p>
    <w:p w:rsidR="0048153D" w:rsidRPr="00EF5F2D" w:rsidRDefault="00E83F50" w:rsidP="00134A86">
      <w:pPr>
        <w:pStyle w:val="SingleTxtG"/>
        <w:spacing w:line="220" w:lineRule="atLeast"/>
      </w:pPr>
      <w:r>
        <w:lastRenderedPageBreak/>
        <w:t>4.6</w:t>
      </w:r>
      <w:r w:rsidR="0048153D">
        <w:tab/>
      </w:r>
      <w:r w:rsidR="0048153D" w:rsidRPr="00872196">
        <w:t xml:space="preserve">The State party further objects that under Rule 96(b), </w:t>
      </w:r>
      <w:r w:rsidR="0048153D">
        <w:t>a</w:t>
      </w:r>
      <w:r w:rsidR="0048153D" w:rsidRPr="00872196">
        <w:t xml:space="preserve"> petition </w:t>
      </w:r>
      <w:r w:rsidR="0048153D">
        <w:t xml:space="preserve">ordinarily </w:t>
      </w:r>
      <w:r w:rsidR="0048153D" w:rsidRPr="00872196">
        <w:t xml:space="preserve">is to </w:t>
      </w:r>
      <w:proofErr w:type="gramStart"/>
      <w:r w:rsidR="0048153D" w:rsidRPr="00872196">
        <w:t>be submitted</w:t>
      </w:r>
      <w:proofErr w:type="gramEnd"/>
      <w:r w:rsidR="0048153D" w:rsidRPr="00872196">
        <w:t xml:space="preserve"> by the </w:t>
      </w:r>
      <w:r w:rsidR="0048153D">
        <w:t>victim</w:t>
      </w:r>
      <w:r w:rsidR="0048153D" w:rsidRPr="00872196">
        <w:t xml:space="preserve"> or his/her appointed representative. </w:t>
      </w:r>
      <w:r w:rsidR="0048153D">
        <w:t>In this case, n</w:t>
      </w:r>
      <w:r w:rsidR="0048153D" w:rsidRPr="00872196">
        <w:t>o evidence has been adduced, or explanation given</w:t>
      </w:r>
      <w:r w:rsidR="0048153D">
        <w:t>,</w:t>
      </w:r>
      <w:r w:rsidR="0048153D" w:rsidRPr="00872196">
        <w:t xml:space="preserve"> as to why the communication could not be submitted by </w:t>
      </w:r>
      <w:r w:rsidR="0048153D">
        <w:t xml:space="preserve">Mr. </w:t>
      </w:r>
      <w:proofErr w:type="spellStart"/>
      <w:r w:rsidR="0048153D">
        <w:t>Humaam</w:t>
      </w:r>
      <w:proofErr w:type="spellEnd"/>
      <w:r w:rsidR="0048153D" w:rsidRPr="00872196">
        <w:t xml:space="preserve"> himself, or by his appointed representative. The fact that </w:t>
      </w:r>
      <w:r w:rsidR="0048153D">
        <w:t xml:space="preserve">Mr. </w:t>
      </w:r>
      <w:proofErr w:type="spellStart"/>
      <w:r w:rsidR="0048153D">
        <w:t>Humaam</w:t>
      </w:r>
      <w:proofErr w:type="spellEnd"/>
      <w:r w:rsidR="0048153D" w:rsidRPr="00872196">
        <w:t xml:space="preserve"> is a serving prisoner </w:t>
      </w:r>
      <w:r w:rsidR="0048153D">
        <w:t xml:space="preserve">does </w:t>
      </w:r>
      <w:proofErr w:type="gramStart"/>
      <w:r w:rsidR="0048153D">
        <w:t xml:space="preserve">not make him </w:t>
      </w:r>
      <w:r w:rsidR="0048153D" w:rsidRPr="00872196">
        <w:t>unable</w:t>
      </w:r>
      <w:proofErr w:type="gramEnd"/>
      <w:r w:rsidR="0048153D" w:rsidRPr="00872196">
        <w:t xml:space="preserve"> to submit the communication or prevent it from being submitted by an appointed representative</w:t>
      </w:r>
      <w:r w:rsidR="0048153D">
        <w:t xml:space="preserve">. </w:t>
      </w:r>
      <w:r w:rsidR="0048153D" w:rsidRPr="00A72AF6">
        <w:t>The S</w:t>
      </w:r>
      <w:r w:rsidR="0048153D" w:rsidRPr="00021D4D">
        <w:t xml:space="preserve">tate party accordingly </w:t>
      </w:r>
      <w:r w:rsidR="0048153D" w:rsidRPr="00C74208">
        <w:t xml:space="preserve">asserts </w:t>
      </w:r>
      <w:r w:rsidR="0048153D" w:rsidRPr="00EF5F2D">
        <w:t xml:space="preserve">that the communication </w:t>
      </w:r>
      <w:proofErr w:type="gramStart"/>
      <w:r w:rsidR="0048153D" w:rsidRPr="00EF5F2D">
        <w:t>should be dismissed</w:t>
      </w:r>
      <w:proofErr w:type="gramEnd"/>
      <w:r w:rsidR="0048153D" w:rsidRPr="00EF5F2D">
        <w:t xml:space="preserve"> as inadmissible.</w:t>
      </w:r>
    </w:p>
    <w:p w:rsidR="0048153D" w:rsidRPr="00872196" w:rsidRDefault="00E83F50" w:rsidP="00134A86">
      <w:pPr>
        <w:pStyle w:val="H23G"/>
        <w:spacing w:line="220" w:lineRule="atLeast"/>
      </w:pPr>
      <w:r>
        <w:tab/>
      </w:r>
      <w:r>
        <w:tab/>
      </w:r>
      <w:r w:rsidR="0048153D" w:rsidRPr="00872196">
        <w:t>The author’s comments on the State party’ submission on admissibility</w:t>
      </w:r>
    </w:p>
    <w:p w:rsidR="0048153D" w:rsidRPr="00872196" w:rsidRDefault="00E83F50" w:rsidP="00134A86">
      <w:pPr>
        <w:pStyle w:val="SingleTxtG"/>
        <w:spacing w:line="220" w:lineRule="atLeast"/>
      </w:pPr>
      <w:r>
        <w:t>5.1</w:t>
      </w:r>
      <w:r w:rsidR="0048153D">
        <w:tab/>
      </w:r>
      <w:r w:rsidR="0048153D" w:rsidRPr="00872196">
        <w:t xml:space="preserve">By letter dated 13 November 2016, the author presented his comments on the State party’s observations on admissibility. </w:t>
      </w:r>
    </w:p>
    <w:p w:rsidR="0048153D" w:rsidRPr="00872196" w:rsidRDefault="0048153D" w:rsidP="00134A86">
      <w:pPr>
        <w:pStyle w:val="SingleTxtG"/>
        <w:spacing w:line="220" w:lineRule="atLeast"/>
      </w:pPr>
      <w:r w:rsidRPr="00872196">
        <w:t>5.2</w:t>
      </w:r>
      <w:r w:rsidR="00740AAA">
        <w:tab/>
      </w:r>
      <w:r>
        <w:t>The author contends that the same matter is not being considered by another international procedure of investigation or settlement within the meaning of article 5(2</w:t>
      </w:r>
      <w:proofErr w:type="gramStart"/>
      <w:r>
        <w:t>)(</w:t>
      </w:r>
      <w:proofErr w:type="gramEnd"/>
      <w:r>
        <w:t xml:space="preserve">a) of the Optional Protocol. </w:t>
      </w:r>
      <w:r w:rsidRPr="00872196">
        <w:t>The Committee has already concluded that extra</w:t>
      </w:r>
      <w:r>
        <w:t>-</w:t>
      </w:r>
      <w:r w:rsidRPr="00872196">
        <w:t xml:space="preserve">conventional procedures established by the Human Rights Council do not generally constitute </w:t>
      </w:r>
      <w:r>
        <w:t>such an</w:t>
      </w:r>
      <w:r w:rsidRPr="00872196">
        <w:t xml:space="preserve"> investigation or settlement.</w:t>
      </w:r>
      <w:r w:rsidRPr="00872196">
        <w:rPr>
          <w:rStyle w:val="FootnoteReference"/>
        </w:rPr>
        <w:footnoteReference w:id="6"/>
      </w:r>
      <w:r w:rsidRPr="00872196">
        <w:t xml:space="preserve"> In addition, the petition to the Special procedures was prepared by a human rights organisation and not by the victim or the family.</w:t>
      </w:r>
    </w:p>
    <w:p w:rsidR="0048153D" w:rsidRPr="00872196" w:rsidRDefault="00E83F50" w:rsidP="00134A86">
      <w:pPr>
        <w:pStyle w:val="SingleTxtG"/>
        <w:spacing w:line="220" w:lineRule="atLeast"/>
      </w:pPr>
      <w:r>
        <w:t>5.3</w:t>
      </w:r>
      <w:r w:rsidR="0048153D">
        <w:tab/>
      </w:r>
      <w:r w:rsidR="0048153D" w:rsidRPr="00872196">
        <w:t xml:space="preserve">Regarding the exhaustion of domestic remedies, </w:t>
      </w:r>
      <w:r w:rsidR="0048153D">
        <w:t>such</w:t>
      </w:r>
      <w:r w:rsidR="0048153D" w:rsidRPr="00872196">
        <w:t xml:space="preserve"> remedies must be effective and that the existing procedures in the Maldives do not guarantee the meaningful exercise of the right to seek </w:t>
      </w:r>
      <w:r w:rsidR="0048153D">
        <w:t xml:space="preserve">a </w:t>
      </w:r>
      <w:r w:rsidR="0048153D" w:rsidRPr="00872196">
        <w:t xml:space="preserve">pardon for purposes of article 6(4) </w:t>
      </w:r>
      <w:r w:rsidR="0048153D">
        <w:t xml:space="preserve">of the Covenant or </w:t>
      </w:r>
      <w:r w:rsidR="0048153D" w:rsidRPr="00872196">
        <w:t xml:space="preserve">the fair trial guarantees under article 14 of the Covenant. </w:t>
      </w:r>
    </w:p>
    <w:p w:rsidR="0048153D" w:rsidRPr="00872196" w:rsidRDefault="00E83F50" w:rsidP="00134A86">
      <w:pPr>
        <w:pStyle w:val="SingleTxtG"/>
        <w:spacing w:line="220" w:lineRule="atLeast"/>
      </w:pPr>
      <w:r>
        <w:t>5.4</w:t>
      </w:r>
      <w:r w:rsidR="0048153D">
        <w:tab/>
        <w:t>T</w:t>
      </w:r>
      <w:r w:rsidR="0048153D" w:rsidRPr="00872196">
        <w:t>he adoption of regulation 2014/R-33 ‘on Investigation of Murder and Implementation of the Death Penalty’</w:t>
      </w:r>
      <w:r w:rsidR="0048153D">
        <w:t xml:space="preserve">, adopted in 2014, </w:t>
      </w:r>
      <w:r w:rsidR="0048153D" w:rsidRPr="00872196">
        <w:t>remov</w:t>
      </w:r>
      <w:r w:rsidR="0048153D">
        <w:t>ed</w:t>
      </w:r>
      <w:r w:rsidR="0048153D" w:rsidRPr="00872196">
        <w:t xml:space="preserve"> </w:t>
      </w:r>
      <w:r w:rsidR="0048153D">
        <w:t xml:space="preserve">the </w:t>
      </w:r>
      <w:r w:rsidR="0048153D" w:rsidRPr="00872196">
        <w:t>presidential power to grant pardon or reduce sentences</w:t>
      </w:r>
      <w:r w:rsidR="0048153D">
        <w:t xml:space="preserve"> </w:t>
      </w:r>
      <w:r w:rsidR="0048153D" w:rsidRPr="00872196">
        <w:t xml:space="preserve">to persons convicted of </w:t>
      </w:r>
      <w:r w:rsidR="0048153D">
        <w:t xml:space="preserve">intentional murder </w:t>
      </w:r>
      <w:r w:rsidR="0048153D" w:rsidRPr="00872196">
        <w:t>who have no further right of appeal</w:t>
      </w:r>
      <w:r w:rsidR="0048153D" w:rsidRPr="00872196">
        <w:rPr>
          <w:rStyle w:val="FootnoteReference"/>
        </w:rPr>
        <w:footnoteReference w:id="7"/>
      </w:r>
      <w:r w:rsidR="0048153D">
        <w:t>.</w:t>
      </w:r>
      <w:r w:rsidR="0048153D" w:rsidRPr="00872196">
        <w:t xml:space="preserve"> </w:t>
      </w:r>
      <w:r w:rsidR="0048153D">
        <w:t>Under</w:t>
      </w:r>
      <w:r w:rsidR="0048153D" w:rsidRPr="00872196">
        <w:t xml:space="preserve"> section 13 of </w:t>
      </w:r>
      <w:r w:rsidR="0048153D">
        <w:t>r</w:t>
      </w:r>
      <w:r w:rsidR="0048153D" w:rsidRPr="00872196">
        <w:t>egulation</w:t>
      </w:r>
      <w:r w:rsidR="0048153D">
        <w:t xml:space="preserve"> R-33</w:t>
      </w:r>
      <w:r w:rsidR="0048153D" w:rsidRPr="00872196">
        <w:t>, the heirs of the murder victim have discretion to pardon the person facing executio</w:t>
      </w:r>
      <w:r w:rsidR="0048153D">
        <w:t>n. If</w:t>
      </w:r>
      <w:r w:rsidR="0048153D" w:rsidRPr="00872196">
        <w:t xml:space="preserve"> the pardon </w:t>
      </w:r>
      <w:proofErr w:type="gramStart"/>
      <w:r w:rsidR="0048153D">
        <w:t>is</w:t>
      </w:r>
      <w:r w:rsidR="0048153D" w:rsidRPr="00872196">
        <w:t xml:space="preserve"> granted</w:t>
      </w:r>
      <w:proofErr w:type="gramEnd"/>
      <w:r w:rsidR="0048153D" w:rsidRPr="00872196">
        <w:t xml:space="preserve">, the sentence </w:t>
      </w:r>
      <w:r w:rsidR="0048153D">
        <w:t xml:space="preserve">still </w:t>
      </w:r>
      <w:r w:rsidR="0048153D" w:rsidRPr="00872196">
        <w:t xml:space="preserve">can only be commuted </w:t>
      </w:r>
      <w:r w:rsidR="0048153D">
        <w:t>if</w:t>
      </w:r>
      <w:r w:rsidR="0048153D" w:rsidRPr="00872196">
        <w:t xml:space="preserve"> the Supreme Court does not issue an order to the contrary. During the</w:t>
      </w:r>
      <w:r w:rsidR="0048153D">
        <w:t xml:space="preserve"> Supreme Court</w:t>
      </w:r>
      <w:r w:rsidR="0048153D" w:rsidRPr="00872196">
        <w:t xml:space="preserve"> appeal process, the court’s registrar refused to accept a letter submitted by the MP’s family requesting</w:t>
      </w:r>
      <w:r w:rsidR="0048153D">
        <w:t xml:space="preserve"> a</w:t>
      </w:r>
      <w:r w:rsidR="0048153D" w:rsidRPr="00872196">
        <w:t xml:space="preserve"> reprieve for </w:t>
      </w:r>
      <w:r w:rsidR="0048153D">
        <w:t xml:space="preserve">Mr. </w:t>
      </w:r>
      <w:proofErr w:type="spellStart"/>
      <w:r w:rsidR="0048153D">
        <w:t>Humaam</w:t>
      </w:r>
      <w:proofErr w:type="spellEnd"/>
      <w:r w:rsidR="0048153D" w:rsidRPr="00872196">
        <w:t xml:space="preserve"> until </w:t>
      </w:r>
      <w:r w:rsidR="0048153D">
        <w:t>a proper</w:t>
      </w:r>
      <w:r w:rsidR="0048153D" w:rsidRPr="00872196">
        <w:t xml:space="preserve"> murder investigation is completed.</w:t>
      </w:r>
      <w:r w:rsidR="0048153D" w:rsidRPr="00872196">
        <w:rPr>
          <w:rStyle w:val="FootnoteReference"/>
        </w:rPr>
        <w:footnoteReference w:id="8"/>
      </w:r>
      <w:r w:rsidR="0048153D" w:rsidRPr="00872196">
        <w:t xml:space="preserve"> </w:t>
      </w:r>
      <w:r w:rsidR="0048153D">
        <w:t>Furthermore, a</w:t>
      </w:r>
      <w:r w:rsidR="0048153D" w:rsidRPr="00872196">
        <w:t xml:space="preserve">lthough the Supreme Court </w:t>
      </w:r>
      <w:r w:rsidR="0048153D">
        <w:t>issued its</w:t>
      </w:r>
      <w:r w:rsidR="0048153D" w:rsidRPr="00872196">
        <w:t xml:space="preserve"> final decision on 24 June 2016, the State party has failed to facilitate the mediation process</w:t>
      </w:r>
      <w:r w:rsidR="0048153D">
        <w:t xml:space="preserve"> pursuant to</w:t>
      </w:r>
      <w:r w:rsidR="0048153D" w:rsidRPr="00872196">
        <w:t xml:space="preserve"> article 9 of regulation R-33. The State party has not ensured that the mediation process </w:t>
      </w:r>
      <w:proofErr w:type="gramStart"/>
      <w:r w:rsidR="0048153D">
        <w:t>would be</w:t>
      </w:r>
      <w:r w:rsidR="0048153D" w:rsidRPr="00872196">
        <w:t xml:space="preserve"> completed</w:t>
      </w:r>
      <w:proofErr w:type="gramEnd"/>
      <w:r w:rsidR="0048153D" w:rsidRPr="00872196">
        <w:t xml:space="preserve"> without unreasonable delay </w:t>
      </w:r>
      <w:r w:rsidR="0048153D">
        <w:t>after</w:t>
      </w:r>
      <w:r w:rsidR="0048153D" w:rsidRPr="00872196">
        <w:t xml:space="preserve"> the death penalty was </w:t>
      </w:r>
      <w:r w:rsidR="0048153D">
        <w:t>imposed</w:t>
      </w:r>
      <w:r w:rsidR="0048153D" w:rsidRPr="00872196">
        <w:t xml:space="preserve"> (five months </w:t>
      </w:r>
      <w:r w:rsidR="0048153D">
        <w:t xml:space="preserve">having elapsed </w:t>
      </w:r>
      <w:r w:rsidR="0048153D" w:rsidRPr="00872196">
        <w:t>at the time</w:t>
      </w:r>
      <w:r w:rsidR="0048153D">
        <w:t xml:space="preserve"> the State party’s observations</w:t>
      </w:r>
      <w:r w:rsidR="0048153D" w:rsidRPr="00872196">
        <w:t xml:space="preserve"> were submitted)</w:t>
      </w:r>
      <w:r w:rsidR="001B4491">
        <w:t>.</w:t>
      </w:r>
      <w:r w:rsidR="0048153D" w:rsidRPr="00872196">
        <w:rPr>
          <w:rStyle w:val="FootnoteReference"/>
        </w:rPr>
        <w:footnoteReference w:id="9"/>
      </w:r>
      <w:r w:rsidR="0048153D" w:rsidRPr="00872196">
        <w:t xml:space="preserve"> </w:t>
      </w:r>
      <w:r w:rsidR="0048153D">
        <w:t>The</w:t>
      </w:r>
      <w:r w:rsidR="0048153D" w:rsidRPr="00872196">
        <w:t xml:space="preserve"> Regulation </w:t>
      </w:r>
      <w:r w:rsidR="0048153D">
        <w:t xml:space="preserve">also </w:t>
      </w:r>
      <w:r w:rsidR="0048153D" w:rsidRPr="00872196">
        <w:t xml:space="preserve">does not clearly </w:t>
      </w:r>
      <w:r w:rsidR="0048153D">
        <w:t>state</w:t>
      </w:r>
      <w:r w:rsidR="0048153D" w:rsidRPr="00872196">
        <w:t xml:space="preserve"> the process by which the Supreme Court may refuse to commute the death sentence in cases where the victim’s family pardons the convicted</w:t>
      </w:r>
      <w:r w:rsidR="0048153D">
        <w:t xml:space="preserve"> person.</w:t>
      </w:r>
      <w:r w:rsidR="00EE2064">
        <w:t xml:space="preserve"> </w:t>
      </w:r>
      <w:r w:rsidR="0048153D">
        <w:t xml:space="preserve">The </w:t>
      </w:r>
      <w:r w:rsidR="0048153D" w:rsidRPr="00872196">
        <w:t xml:space="preserve">process </w:t>
      </w:r>
      <w:r w:rsidR="00B51785">
        <w:t xml:space="preserve">also </w:t>
      </w:r>
      <w:r w:rsidR="0048153D" w:rsidRPr="00872196">
        <w:t>discriminat</w:t>
      </w:r>
      <w:r w:rsidR="0048153D">
        <w:t xml:space="preserve">es </w:t>
      </w:r>
      <w:proofErr w:type="gramStart"/>
      <w:r w:rsidR="0048153D">
        <w:t>on the basis of</w:t>
      </w:r>
      <w:proofErr w:type="gramEnd"/>
      <w:r w:rsidR="0048153D">
        <w:t xml:space="preserve"> the offence committed,</w:t>
      </w:r>
      <w:r w:rsidR="0048153D" w:rsidRPr="00872196">
        <w:rPr>
          <w:rStyle w:val="FootnoteReference"/>
        </w:rPr>
        <w:footnoteReference w:id="10"/>
      </w:r>
      <w:r w:rsidR="0048153D">
        <w:t xml:space="preserve"> since the High Court held in December 2015 that the President could not commute a death sentence or pardon a defendant who was accused of first-degree murder.</w:t>
      </w:r>
    </w:p>
    <w:p w:rsidR="0048153D" w:rsidRDefault="00E83F50" w:rsidP="00134A86">
      <w:pPr>
        <w:pStyle w:val="SingleTxtG"/>
        <w:spacing w:line="220" w:lineRule="atLeast"/>
      </w:pPr>
      <w:r>
        <w:t>5.5</w:t>
      </w:r>
      <w:r w:rsidR="0048153D">
        <w:tab/>
        <w:t>T</w:t>
      </w:r>
      <w:r w:rsidR="0048153D" w:rsidRPr="00872196">
        <w:t>he forced confession was made at a remand hearing</w:t>
      </w:r>
      <w:r w:rsidR="0048153D">
        <w:t xml:space="preserve"> on 7 December 2011,</w:t>
      </w:r>
      <w:r w:rsidR="0048153D" w:rsidRPr="00872196">
        <w:t xml:space="preserve"> but</w:t>
      </w:r>
      <w:r w:rsidR="0048153D">
        <w:t>,</w:t>
      </w:r>
      <w:r w:rsidR="0048153D" w:rsidRPr="00872196">
        <w:t xml:space="preserve"> at the trial</w:t>
      </w:r>
      <w:r w:rsidR="0048153D">
        <w:t>,</w:t>
      </w:r>
      <w:r w:rsidR="0048153D" w:rsidRPr="00872196">
        <w:t xml:space="preserve"> </w:t>
      </w:r>
      <w:r w:rsidR="0048153D">
        <w:t xml:space="preserve">Mr. </w:t>
      </w:r>
      <w:proofErr w:type="spellStart"/>
      <w:r w:rsidR="0048153D">
        <w:t>Humaam</w:t>
      </w:r>
      <w:proofErr w:type="spellEnd"/>
      <w:r w:rsidR="0048153D" w:rsidRPr="00872196">
        <w:t xml:space="preserve"> </w:t>
      </w:r>
      <w:r w:rsidR="0048153D">
        <w:t xml:space="preserve">later </w:t>
      </w:r>
      <w:r w:rsidR="0048153D" w:rsidRPr="00872196">
        <w:t xml:space="preserve">retracted the </w:t>
      </w:r>
      <w:r w:rsidR="0048153D">
        <w:t>confession</w:t>
      </w:r>
      <w:r w:rsidR="0048153D" w:rsidRPr="00872196">
        <w:t xml:space="preserve"> </w:t>
      </w:r>
      <w:proofErr w:type="gramStart"/>
      <w:r w:rsidR="0048153D" w:rsidRPr="00872196">
        <w:t xml:space="preserve">on the </w:t>
      </w:r>
      <w:r w:rsidR="0048153D">
        <w:t>grounds</w:t>
      </w:r>
      <w:r w:rsidR="0048153D" w:rsidRPr="00872196">
        <w:t xml:space="preserve"> that</w:t>
      </w:r>
      <w:proofErr w:type="gramEnd"/>
      <w:r w:rsidR="0048153D" w:rsidRPr="00872196">
        <w:t xml:space="preserve"> </w:t>
      </w:r>
      <w:r w:rsidR="0048153D">
        <w:t>it</w:t>
      </w:r>
      <w:r w:rsidR="0048153D" w:rsidRPr="00872196">
        <w:t xml:space="preserve"> was made under threats to his family. This </w:t>
      </w:r>
      <w:proofErr w:type="gramStart"/>
      <w:r w:rsidR="0048153D" w:rsidRPr="00872196">
        <w:t>was dismissed</w:t>
      </w:r>
      <w:proofErr w:type="gramEnd"/>
      <w:r w:rsidR="0048153D" w:rsidRPr="00872196">
        <w:t xml:space="preserve"> by the State party</w:t>
      </w:r>
      <w:r w:rsidR="0048153D">
        <w:t>,</w:t>
      </w:r>
      <w:r w:rsidR="0048153D" w:rsidRPr="00872196">
        <w:t xml:space="preserve"> which argued that his confession was corroborated by witness statements. </w:t>
      </w:r>
      <w:r w:rsidR="0048153D">
        <w:t xml:space="preserve">Mr. </w:t>
      </w:r>
      <w:proofErr w:type="spellStart"/>
      <w:r w:rsidR="0048153D">
        <w:t>Humaam</w:t>
      </w:r>
      <w:proofErr w:type="spellEnd"/>
      <w:r w:rsidR="0048153D" w:rsidRPr="00872196">
        <w:t xml:space="preserve"> confessed to other crimes at the trial</w:t>
      </w:r>
      <w:r w:rsidR="0048153D">
        <w:t>,</w:t>
      </w:r>
      <w:r w:rsidR="0048153D" w:rsidRPr="00872196">
        <w:t xml:space="preserve"> but he always categorically denied the murder of MP Dr Ali.</w:t>
      </w:r>
    </w:p>
    <w:p w:rsidR="0048153D" w:rsidRPr="00872196" w:rsidRDefault="00BF5808" w:rsidP="000F0BEF">
      <w:pPr>
        <w:pStyle w:val="SingleTxtG"/>
        <w:spacing w:line="220" w:lineRule="atLeast"/>
      </w:pPr>
      <w:r w:rsidRPr="00F53C5D">
        <w:rPr>
          <w:spacing w:val="-2"/>
        </w:rPr>
        <w:t>5.6</w:t>
      </w:r>
      <w:r w:rsidR="0048153D" w:rsidRPr="00F53C5D">
        <w:rPr>
          <w:spacing w:val="-2"/>
        </w:rPr>
        <w:tab/>
        <w:t xml:space="preserve">The re-introduction of the death penalty in April 2014 was a campaign pledge during the 2013 Presidential elections. The State party and judiciary appear to have colluded to </w:t>
      </w:r>
      <w:r w:rsidR="0048153D" w:rsidRPr="00F53C5D">
        <w:rPr>
          <w:spacing w:val="-2"/>
        </w:rPr>
        <w:lastRenderedPageBreak/>
        <w:t xml:space="preserve">expedite Mr </w:t>
      </w:r>
      <w:proofErr w:type="spellStart"/>
      <w:r w:rsidR="0048153D" w:rsidRPr="00F53C5D">
        <w:rPr>
          <w:spacing w:val="-2"/>
        </w:rPr>
        <w:t>Humaam’s</w:t>
      </w:r>
      <w:proofErr w:type="spellEnd"/>
      <w:r w:rsidR="0048153D" w:rsidRPr="00F53C5D">
        <w:rPr>
          <w:spacing w:val="-2"/>
        </w:rPr>
        <w:t xml:space="preserve"> case, despite the fact that he </w:t>
      </w:r>
      <w:proofErr w:type="gramStart"/>
      <w:r w:rsidR="0048153D" w:rsidRPr="00F53C5D">
        <w:rPr>
          <w:spacing w:val="-2"/>
        </w:rPr>
        <w:t>was sentenced</w:t>
      </w:r>
      <w:proofErr w:type="gramEnd"/>
      <w:r w:rsidR="0048153D" w:rsidRPr="00F53C5D">
        <w:rPr>
          <w:spacing w:val="-2"/>
        </w:rPr>
        <w:t xml:space="preserve"> to death in 2014, before Regulation 2014/R-33 was proclaimed. The President and Home Affairs Minister have consistently stated publicly that the death sentence </w:t>
      </w:r>
      <w:proofErr w:type="gramStart"/>
      <w:r w:rsidR="0048153D" w:rsidRPr="00F53C5D">
        <w:rPr>
          <w:spacing w:val="-2"/>
        </w:rPr>
        <w:t>will be implemented</w:t>
      </w:r>
      <w:proofErr w:type="gramEnd"/>
      <w:r w:rsidR="0048153D">
        <w:t>.</w:t>
      </w:r>
    </w:p>
    <w:p w:rsidR="0048153D" w:rsidRPr="00872196" w:rsidRDefault="0048153D" w:rsidP="000F0BEF">
      <w:pPr>
        <w:pStyle w:val="SingleTxtG"/>
        <w:spacing w:line="220" w:lineRule="atLeast"/>
      </w:pPr>
      <w:r w:rsidRPr="00872196">
        <w:t>5.</w:t>
      </w:r>
      <w:r>
        <w:t>7</w:t>
      </w:r>
      <w:r>
        <w:tab/>
      </w:r>
      <w:r w:rsidRPr="00872196">
        <w:t xml:space="preserve">Before the Supreme Court upheld the death sentence, the MP’s family appealed for a temporary reprieve for </w:t>
      </w:r>
      <w:r>
        <w:t xml:space="preserve">Mr. </w:t>
      </w:r>
      <w:proofErr w:type="spellStart"/>
      <w:r>
        <w:t>Humaam</w:t>
      </w:r>
      <w:proofErr w:type="spellEnd"/>
      <w:r>
        <w:t>,</w:t>
      </w:r>
      <w:r w:rsidRPr="00872196">
        <w:t xml:space="preserve"> but </w:t>
      </w:r>
      <w:proofErr w:type="gramStart"/>
      <w:r w:rsidRPr="00872196">
        <w:t>this was ignored by the Supreme Court</w:t>
      </w:r>
      <w:proofErr w:type="gramEnd"/>
      <w:r w:rsidRPr="00872196">
        <w:t xml:space="preserve">. </w:t>
      </w:r>
      <w:r>
        <w:t>Despite the public claims by the police, t</w:t>
      </w:r>
      <w:r w:rsidRPr="00872196">
        <w:t>here has been no investigation into othe</w:t>
      </w:r>
      <w:r>
        <w:t>r persons</w:t>
      </w:r>
      <w:r w:rsidRPr="00872196">
        <w:t xml:space="preserve"> allegedly involved in the murder. The MP’s family have publicly stated that they do not believe the people who masterminded the murder </w:t>
      </w:r>
      <w:proofErr w:type="gramStart"/>
      <w:r w:rsidRPr="00872196">
        <w:t>have been investigated</w:t>
      </w:r>
      <w:proofErr w:type="gramEnd"/>
      <w:r w:rsidRPr="00872196">
        <w:t>. This in part motivated their letter requesting a reprieve.</w:t>
      </w:r>
      <w:r w:rsidRPr="00872196">
        <w:rPr>
          <w:rStyle w:val="FootnoteReference"/>
        </w:rPr>
        <w:footnoteReference w:id="11"/>
      </w:r>
    </w:p>
    <w:p w:rsidR="0048153D" w:rsidRPr="00872196" w:rsidRDefault="0048153D" w:rsidP="000F0BEF">
      <w:pPr>
        <w:pStyle w:val="SingleTxtG"/>
        <w:spacing w:line="220" w:lineRule="atLeast"/>
      </w:pPr>
      <w:proofErr w:type="gramStart"/>
      <w:r w:rsidRPr="00872196">
        <w:t>5.</w:t>
      </w:r>
      <w:r>
        <w:t>8</w:t>
      </w:r>
      <w:r w:rsidR="00D85650">
        <w:tab/>
      </w:r>
      <w:r w:rsidRPr="00146398">
        <w:t xml:space="preserve">Regarding Mr </w:t>
      </w:r>
      <w:proofErr w:type="spellStart"/>
      <w:r w:rsidRPr="00146398">
        <w:t>Humaam’s</w:t>
      </w:r>
      <w:proofErr w:type="spellEnd"/>
      <w:r w:rsidRPr="00146398">
        <w:t xml:space="preserve"> mental state, during the High Court appeal process</w:t>
      </w:r>
      <w:r w:rsidR="00146398">
        <w:t>, which occurred</w:t>
      </w:r>
      <w:r w:rsidR="00290448" w:rsidRPr="00146398">
        <w:t xml:space="preserve"> </w:t>
      </w:r>
      <w:r w:rsidR="00146398">
        <w:t>between</w:t>
      </w:r>
      <w:r w:rsidR="00290448" w:rsidRPr="00146398">
        <w:t xml:space="preserve"> </w:t>
      </w:r>
      <w:r w:rsidR="004D59F4">
        <w:t>21 October 2014 and 7 September 2015</w:t>
      </w:r>
      <w:r w:rsidR="00290448" w:rsidRPr="00146398">
        <w:t>,</w:t>
      </w:r>
      <w:r w:rsidRPr="00872196">
        <w:t xml:space="preserve"> </w:t>
      </w:r>
      <w:r>
        <w:t xml:space="preserve">Mr. </w:t>
      </w:r>
      <w:proofErr w:type="spellStart"/>
      <w:r>
        <w:t>Humaam</w:t>
      </w:r>
      <w:proofErr w:type="spellEnd"/>
      <w:r w:rsidRPr="00872196">
        <w:t xml:space="preserve"> was referred to a psychiatrist by a penitentiary medical doctor</w:t>
      </w:r>
      <w:proofErr w:type="gramEnd"/>
      <w:r w:rsidRPr="00872196">
        <w:t>.</w:t>
      </w:r>
      <w:r>
        <w:t xml:space="preserve"> Moreover, </w:t>
      </w:r>
      <w:proofErr w:type="spellStart"/>
      <w:r>
        <w:t>Humaam’s</w:t>
      </w:r>
      <w:proofErr w:type="spellEnd"/>
      <w:r>
        <w:t xml:space="preserve"> conduct at trial, manifestly acting against his interest by constantly changing his plea, backed by behavioural signs observed on family visits and his history of mental illness, clearly pointed to the need for an independent psychiatric evaluation, especially in light of the capital crime with which he was charged.</w:t>
      </w:r>
      <w:r w:rsidRPr="00872196">
        <w:t xml:space="preserve"> However, </w:t>
      </w:r>
      <w:r>
        <w:t xml:space="preserve">no evaluation </w:t>
      </w:r>
      <w:proofErr w:type="gramStart"/>
      <w:r>
        <w:t>was carried out</w:t>
      </w:r>
      <w:proofErr w:type="gramEnd"/>
      <w:r>
        <w:t>.</w:t>
      </w:r>
    </w:p>
    <w:p w:rsidR="0048153D" w:rsidRPr="00872196" w:rsidRDefault="0048153D" w:rsidP="00B51785">
      <w:pPr>
        <w:pStyle w:val="SingleTxtG"/>
        <w:spacing w:line="220" w:lineRule="atLeast"/>
      </w:pPr>
      <w:r w:rsidRPr="00872196">
        <w:t>5.</w:t>
      </w:r>
      <w:r>
        <w:t>9</w:t>
      </w:r>
      <w:r w:rsidR="00D85650">
        <w:tab/>
      </w:r>
      <w:r w:rsidRPr="00872196">
        <w:t xml:space="preserve">Regarding the submission by someone other than </w:t>
      </w:r>
      <w:r>
        <w:t xml:space="preserve">Mr. </w:t>
      </w:r>
      <w:proofErr w:type="spellStart"/>
      <w:r>
        <w:t>Humaam</w:t>
      </w:r>
      <w:proofErr w:type="spellEnd"/>
      <w:r w:rsidRPr="00872196">
        <w:t xml:space="preserve"> or his duly authorized representative, the communication </w:t>
      </w:r>
      <w:proofErr w:type="gramStart"/>
      <w:r w:rsidRPr="00872196">
        <w:t>was drafted</w:t>
      </w:r>
      <w:proofErr w:type="gramEnd"/>
      <w:r w:rsidRPr="00872196">
        <w:t xml:space="preserve"> with assistance from </w:t>
      </w:r>
      <w:r>
        <w:t xml:space="preserve">Mr. </w:t>
      </w:r>
      <w:proofErr w:type="spellStart"/>
      <w:r>
        <w:t>Humaam</w:t>
      </w:r>
      <w:r w:rsidRPr="00872196">
        <w:t>’s</w:t>
      </w:r>
      <w:proofErr w:type="spellEnd"/>
      <w:r w:rsidRPr="00872196">
        <w:t xml:space="preserve"> lawyer</w:t>
      </w:r>
      <w:r>
        <w:t>,</w:t>
      </w:r>
      <w:r w:rsidRPr="00872196">
        <w:t xml:space="preserve"> but owing to the urgency of the situation, fear of delays and the fear of attorney-client privilege being breached by police surveillance in politically motivated cases</w:t>
      </w:r>
      <w:r w:rsidR="00BF5808">
        <w:t>,</w:t>
      </w:r>
      <w:r w:rsidRPr="00872196">
        <w:rPr>
          <w:rStyle w:val="FootnoteReference"/>
        </w:rPr>
        <w:footnoteReference w:id="12"/>
      </w:r>
      <w:r w:rsidRPr="00872196">
        <w:t xml:space="preserve"> the author felt it necessary to proceed himself.</w:t>
      </w:r>
      <w:r>
        <w:t xml:space="preserve"> All relevant powers of attorney were </w:t>
      </w:r>
      <w:proofErr w:type="spellStart"/>
      <w:r>
        <w:t>submitted.</w:t>
      </w:r>
      <w:r w:rsidRPr="00872196">
        <w:t>The</w:t>
      </w:r>
      <w:proofErr w:type="spellEnd"/>
      <w:r w:rsidRPr="00872196">
        <w:t xml:space="preserve"> Committee </w:t>
      </w:r>
      <w:r>
        <w:t>therefore should</w:t>
      </w:r>
      <w:r w:rsidRPr="00872196">
        <w:t xml:space="preserve"> find </w:t>
      </w:r>
      <w:r>
        <w:t>the</w:t>
      </w:r>
      <w:r w:rsidRPr="00872196">
        <w:t xml:space="preserve"> communication admissible and to proceed with its examination on the merits.</w:t>
      </w:r>
    </w:p>
    <w:p w:rsidR="0048153D" w:rsidRPr="00872196" w:rsidRDefault="00792F42" w:rsidP="000F0BEF">
      <w:pPr>
        <w:pStyle w:val="H23G"/>
        <w:spacing w:line="220" w:lineRule="atLeast"/>
      </w:pPr>
      <w:r>
        <w:tab/>
      </w:r>
      <w:r>
        <w:tab/>
      </w:r>
      <w:r w:rsidR="0048153D" w:rsidRPr="00872196">
        <w:t>State party’s observations on the merits</w:t>
      </w:r>
    </w:p>
    <w:p w:rsidR="0048153D" w:rsidRPr="00872196" w:rsidRDefault="00792F42" w:rsidP="000F0BEF">
      <w:pPr>
        <w:pStyle w:val="SingleTxtG"/>
        <w:spacing w:line="220" w:lineRule="atLeast"/>
      </w:pPr>
      <w:r>
        <w:t>6.1</w:t>
      </w:r>
      <w:r w:rsidR="006C1762">
        <w:tab/>
      </w:r>
      <w:r w:rsidR="0048153D" w:rsidRPr="00872196">
        <w:t xml:space="preserve">On 12 January 2017, the State party </w:t>
      </w:r>
      <w:r w:rsidR="0048153D">
        <w:t>reiterated</w:t>
      </w:r>
      <w:r w:rsidR="0048153D" w:rsidRPr="00872196">
        <w:t xml:space="preserve"> its prior arguments on admissibility</w:t>
      </w:r>
      <w:r w:rsidR="0048153D">
        <w:t xml:space="preserve"> and </w:t>
      </w:r>
      <w:r w:rsidR="0048153D" w:rsidRPr="00872196">
        <w:t xml:space="preserve">submitted its observations on the merits of the author’s complaint. </w:t>
      </w:r>
    </w:p>
    <w:p w:rsidR="0048153D" w:rsidRDefault="0048153D" w:rsidP="000F0BEF">
      <w:pPr>
        <w:pStyle w:val="SingleTxtG"/>
        <w:spacing w:line="220" w:lineRule="atLeast"/>
      </w:pPr>
      <w:r w:rsidRPr="00872196">
        <w:t>6.</w:t>
      </w:r>
      <w:r>
        <w:t>2</w:t>
      </w:r>
      <w:r w:rsidR="006C1762">
        <w:tab/>
      </w:r>
      <w:r>
        <w:t>T</w:t>
      </w:r>
      <w:r w:rsidRPr="00872196">
        <w:t xml:space="preserve">he State party notes that a </w:t>
      </w:r>
      <w:r>
        <w:t>d</w:t>
      </w:r>
      <w:r w:rsidRPr="00872196">
        <w:t xml:space="preserve">efendant before the </w:t>
      </w:r>
      <w:r>
        <w:t>c</w:t>
      </w:r>
      <w:r w:rsidRPr="00872196">
        <w:t xml:space="preserve">ourt would </w:t>
      </w:r>
      <w:r>
        <w:t>ordinarily</w:t>
      </w:r>
      <w:r w:rsidRPr="00872196">
        <w:t xml:space="preserve"> have had the opportunity to call evidence in his defence. However, </w:t>
      </w:r>
      <w:r>
        <w:t xml:space="preserve">Mr. </w:t>
      </w:r>
      <w:proofErr w:type="spellStart"/>
      <w:r>
        <w:t>Humaam</w:t>
      </w:r>
      <w:proofErr w:type="spellEnd"/>
      <w:r w:rsidRPr="00872196">
        <w:t xml:space="preserve"> </w:t>
      </w:r>
      <w:r>
        <w:t>fully admitted</w:t>
      </w:r>
      <w:r w:rsidRPr="00872196">
        <w:t xml:space="preserve"> the offence</w:t>
      </w:r>
      <w:r w:rsidRPr="00BE291F">
        <w:t xml:space="preserve"> </w:t>
      </w:r>
      <w:r>
        <w:t>to</w:t>
      </w:r>
      <w:r w:rsidRPr="00872196">
        <w:t xml:space="preserve"> the </w:t>
      </w:r>
      <w:r>
        <w:t>c</w:t>
      </w:r>
      <w:r w:rsidRPr="00872196">
        <w:t>ourt both on 7 December 2012 and on 22 May 2013</w:t>
      </w:r>
      <w:r w:rsidRPr="00FD1EC5">
        <w:t>.</w:t>
      </w:r>
      <w:r w:rsidR="00EE2064">
        <w:t xml:space="preserve"> </w:t>
      </w:r>
      <w:r w:rsidRPr="00872196">
        <w:t xml:space="preserve">On 22 May 2013, he </w:t>
      </w:r>
      <w:proofErr w:type="gramStart"/>
      <w:r w:rsidRPr="00872196">
        <w:t>was asked</w:t>
      </w:r>
      <w:proofErr w:type="gramEnd"/>
      <w:r w:rsidRPr="00872196">
        <w:t xml:space="preserve"> to confirm his plea on more than one occasion and did so. On </w:t>
      </w:r>
      <w:r>
        <w:t>both</w:t>
      </w:r>
      <w:r w:rsidRPr="00872196">
        <w:t xml:space="preserve"> </w:t>
      </w:r>
      <w:r>
        <w:t xml:space="preserve">7 December 2012 and 22 May </w:t>
      </w:r>
      <w:proofErr w:type="gramStart"/>
      <w:r>
        <w:t>2013</w:t>
      </w:r>
      <w:proofErr w:type="gramEnd"/>
      <w:r>
        <w:t xml:space="preserve"> </w:t>
      </w:r>
      <w:r w:rsidRPr="00872196">
        <w:t>an admission was made and a guilty plea entered.</w:t>
      </w:r>
      <w:r w:rsidR="00EE2064">
        <w:t xml:space="preserve"> </w:t>
      </w:r>
      <w:r w:rsidRPr="00FD1EC5">
        <w:t>He therefore also chose not to avail himself of the opportunity to present any witnesses, or to adduce any evidence.</w:t>
      </w:r>
      <w:r w:rsidRPr="00872196">
        <w:t xml:space="preserve"> </w:t>
      </w:r>
      <w:r>
        <w:t xml:space="preserve">Mr. </w:t>
      </w:r>
      <w:proofErr w:type="spellStart"/>
      <w:r>
        <w:t>Humaam</w:t>
      </w:r>
      <w:proofErr w:type="spellEnd"/>
      <w:r w:rsidRPr="00872196">
        <w:t xml:space="preserve"> </w:t>
      </w:r>
      <w:r>
        <w:t xml:space="preserve">only </w:t>
      </w:r>
      <w:r w:rsidRPr="00872196">
        <w:t>sought to retract his initial confession</w:t>
      </w:r>
      <w:r>
        <w:t xml:space="preserve"> much later in the proceedings</w:t>
      </w:r>
      <w:r w:rsidR="00EE2064">
        <w:t xml:space="preserve"> </w:t>
      </w:r>
      <w:r>
        <w:t xml:space="preserve">at which time his request to call witnesses </w:t>
      </w:r>
      <w:proofErr w:type="gramStart"/>
      <w:r>
        <w:t>was refused</w:t>
      </w:r>
      <w:proofErr w:type="gramEnd"/>
      <w:r w:rsidRPr="00872196">
        <w:t xml:space="preserve">. </w:t>
      </w:r>
      <w:r>
        <w:t>A</w:t>
      </w:r>
      <w:r w:rsidRPr="00697F8C">
        <w:t xml:space="preserve">s recorded by both the High </w:t>
      </w:r>
      <w:r>
        <w:t xml:space="preserve">Court </w:t>
      </w:r>
      <w:r w:rsidRPr="00697F8C">
        <w:t xml:space="preserve">and </w:t>
      </w:r>
      <w:r>
        <w:t xml:space="preserve">the </w:t>
      </w:r>
      <w:r w:rsidRPr="00697F8C">
        <w:t xml:space="preserve">Supreme Court, he was unable to demonstrate </w:t>
      </w:r>
      <w:r>
        <w:t>an</w:t>
      </w:r>
      <w:r w:rsidRPr="00697F8C">
        <w:t xml:space="preserve"> alleged danger to himself or his family </w:t>
      </w:r>
      <w:r>
        <w:t xml:space="preserve">had </w:t>
      </w:r>
      <w:r w:rsidRPr="00697F8C">
        <w:t xml:space="preserve">allegedly motivated his confession. </w:t>
      </w:r>
      <w:proofErr w:type="gramStart"/>
      <w:r w:rsidRPr="00697F8C">
        <w:t>As a consequence</w:t>
      </w:r>
      <w:proofErr w:type="gramEnd"/>
      <w:r w:rsidRPr="00697F8C">
        <w:t xml:space="preserve">, the confession could not be withdrawn. </w:t>
      </w:r>
      <w:r>
        <w:t xml:space="preserve">Furthermore, </w:t>
      </w:r>
      <w:r w:rsidRPr="00FD1EC5">
        <w:t xml:space="preserve">it is established jurisprudence that where the right of </w:t>
      </w:r>
      <w:proofErr w:type="spellStart"/>
      <w:r w:rsidRPr="00FD1EC5">
        <w:t>Qisas</w:t>
      </w:r>
      <w:proofErr w:type="spellEnd"/>
      <w:r w:rsidRPr="00FD1EC5">
        <w:t xml:space="preserve"> is involved, as in this case, an individual cannot retract a confession of murder.</w:t>
      </w:r>
      <w:r w:rsidRPr="00872196">
        <w:t xml:space="preserve"> </w:t>
      </w:r>
      <w:r>
        <w:t>T</w:t>
      </w:r>
      <w:r w:rsidRPr="00872196">
        <w:t>his is constitutional</w:t>
      </w:r>
      <w:r>
        <w:t>,</w:t>
      </w:r>
      <w:r w:rsidRPr="00872196">
        <w:t xml:space="preserve"> </w:t>
      </w:r>
      <w:r>
        <w:t>since</w:t>
      </w:r>
      <w:r w:rsidRPr="00872196">
        <w:t xml:space="preserve"> pursuant to Article 142 of the Constitution, a judge must consider Islamic Sharia when deciding matters upon which the Constitution, or the law, is silent. Further, it </w:t>
      </w:r>
      <w:proofErr w:type="gramStart"/>
      <w:r w:rsidRPr="00872196">
        <w:t>is settled</w:t>
      </w:r>
      <w:proofErr w:type="gramEnd"/>
      <w:r w:rsidRPr="00872196">
        <w:t xml:space="preserve"> law domestically that principles of Sharia are to be applied in matters concerning </w:t>
      </w:r>
      <w:proofErr w:type="spellStart"/>
      <w:r w:rsidRPr="00872196">
        <w:t>Qisas</w:t>
      </w:r>
      <w:proofErr w:type="spellEnd"/>
      <w:r w:rsidRPr="00872196">
        <w:t>, including on issues relating to any retraction of a confession</w:t>
      </w:r>
      <w:r>
        <w:t>.</w:t>
      </w:r>
    </w:p>
    <w:p w:rsidR="0048153D" w:rsidRPr="00F53C5D" w:rsidRDefault="00792F42" w:rsidP="000F0BEF">
      <w:pPr>
        <w:pStyle w:val="SingleTxtG"/>
        <w:spacing w:line="220" w:lineRule="atLeast"/>
        <w:rPr>
          <w:spacing w:val="-2"/>
        </w:rPr>
      </w:pPr>
      <w:r w:rsidRPr="00F53C5D">
        <w:rPr>
          <w:spacing w:val="-2"/>
        </w:rPr>
        <w:t>6.3</w:t>
      </w:r>
      <w:r w:rsidR="006C1762" w:rsidRPr="00F53C5D">
        <w:rPr>
          <w:spacing w:val="-2"/>
        </w:rPr>
        <w:tab/>
      </w:r>
      <w:r w:rsidR="0048153D" w:rsidRPr="00F53C5D">
        <w:rPr>
          <w:spacing w:val="-2"/>
        </w:rPr>
        <w:t xml:space="preserve">As a result of Mr. </w:t>
      </w:r>
      <w:proofErr w:type="spellStart"/>
      <w:r w:rsidR="0048153D" w:rsidRPr="00F53C5D">
        <w:rPr>
          <w:spacing w:val="-2"/>
        </w:rPr>
        <w:t>Humaam’s</w:t>
      </w:r>
      <w:proofErr w:type="spellEnd"/>
      <w:r w:rsidR="0048153D" w:rsidRPr="00F53C5D">
        <w:rPr>
          <w:spacing w:val="-2"/>
        </w:rPr>
        <w:t xml:space="preserve"> confession, it was entirely proper that the judge refused to allow him to call any witnesses. Moreover, the author’s claim regarding witnesses appears to be </w:t>
      </w:r>
      <w:proofErr w:type="gramStart"/>
      <w:r w:rsidR="0048153D" w:rsidRPr="00F53C5D">
        <w:rPr>
          <w:spacing w:val="-2"/>
        </w:rPr>
        <w:t>based on the fact that</w:t>
      </w:r>
      <w:proofErr w:type="gramEnd"/>
      <w:r w:rsidR="0048153D" w:rsidRPr="00F53C5D">
        <w:rPr>
          <w:spacing w:val="-2"/>
        </w:rPr>
        <w:t xml:space="preserve"> one witness was discovered dead on 7 February 2013, before he could testify. This is an issue entirely out of the control of the court and therefore </w:t>
      </w:r>
      <w:proofErr w:type="gramStart"/>
      <w:r w:rsidR="0048153D" w:rsidRPr="00F53C5D">
        <w:rPr>
          <w:spacing w:val="-2"/>
        </w:rPr>
        <w:t>must be ignored</w:t>
      </w:r>
      <w:proofErr w:type="gramEnd"/>
      <w:r w:rsidR="0048153D" w:rsidRPr="00F53C5D">
        <w:rPr>
          <w:spacing w:val="-2"/>
        </w:rPr>
        <w:t xml:space="preserve">. </w:t>
      </w:r>
    </w:p>
    <w:p w:rsidR="0048153D" w:rsidRPr="00872196" w:rsidRDefault="0048153D" w:rsidP="000F0BEF">
      <w:pPr>
        <w:pStyle w:val="SingleTxtG"/>
        <w:spacing w:line="220" w:lineRule="atLeast"/>
      </w:pPr>
      <w:r>
        <w:t>6.4</w:t>
      </w:r>
      <w:r>
        <w:tab/>
        <w:t>A</w:t>
      </w:r>
      <w:r w:rsidRPr="00872196">
        <w:t xml:space="preserve"> further witness </w:t>
      </w:r>
      <w:proofErr w:type="gramStart"/>
      <w:r w:rsidRPr="00872196">
        <w:t>was purportedly allowed</w:t>
      </w:r>
      <w:proofErr w:type="gramEnd"/>
      <w:r w:rsidRPr="00872196">
        <w:t xml:space="preserve"> to leave the country and travel abroad. It is unclear how this demonstrates that the </w:t>
      </w:r>
      <w:r>
        <w:t>d</w:t>
      </w:r>
      <w:r w:rsidRPr="00872196">
        <w:t xml:space="preserve">efendant </w:t>
      </w:r>
      <w:proofErr w:type="gramStart"/>
      <w:r>
        <w:t>was</w:t>
      </w:r>
      <w:r w:rsidRPr="00872196">
        <w:t xml:space="preserve"> prevented</w:t>
      </w:r>
      <w:proofErr w:type="gramEnd"/>
      <w:r w:rsidRPr="00872196">
        <w:t xml:space="preserve"> from </w:t>
      </w:r>
      <w:r>
        <w:t>presenting</w:t>
      </w:r>
      <w:r w:rsidRPr="00872196">
        <w:t xml:space="preserve"> his case.</w:t>
      </w:r>
      <w:r w:rsidRPr="00FF29E8">
        <w:t xml:space="preserve"> </w:t>
      </w:r>
      <w:r>
        <w:t>T</w:t>
      </w:r>
      <w:r w:rsidRPr="00872196">
        <w:t xml:space="preserve">he author does not clarify whether the </w:t>
      </w:r>
      <w:r>
        <w:t>individual</w:t>
      </w:r>
      <w:r w:rsidRPr="00872196">
        <w:t xml:space="preserve"> </w:t>
      </w:r>
      <w:proofErr w:type="gramStart"/>
      <w:r w:rsidRPr="00872196">
        <w:t>was identified</w:t>
      </w:r>
      <w:proofErr w:type="gramEnd"/>
      <w:r w:rsidRPr="00872196">
        <w:t xml:space="preserve"> to the </w:t>
      </w:r>
      <w:r>
        <w:t>c</w:t>
      </w:r>
      <w:r w:rsidRPr="00872196">
        <w:t xml:space="preserve">ourt as </w:t>
      </w:r>
      <w:r>
        <w:t>a witness</w:t>
      </w:r>
      <w:r w:rsidRPr="00872196">
        <w:t xml:space="preserve"> prior to hi</w:t>
      </w:r>
      <w:r>
        <w:t>s departure from</w:t>
      </w:r>
      <w:r w:rsidRPr="00872196">
        <w:t xml:space="preserve"> the Maldives, </w:t>
      </w:r>
      <w:r>
        <w:t>or</w:t>
      </w:r>
      <w:r w:rsidRPr="00872196">
        <w:t xml:space="preserve"> whether there was any procedural wrongdoing in allowing that witness to travel out of the country.</w:t>
      </w:r>
      <w:r w:rsidR="00EE2064">
        <w:t xml:space="preserve"> </w:t>
      </w:r>
      <w:r w:rsidRPr="00872196">
        <w:t xml:space="preserve">Further, the author does not suggest that the witness, even if he had remained in the Maldives, could have been compelled to give </w:t>
      </w:r>
      <w:r w:rsidRPr="00872196">
        <w:lastRenderedPageBreak/>
        <w:t xml:space="preserve">evidence on </w:t>
      </w:r>
      <w:r>
        <w:t xml:space="preserve">Mr </w:t>
      </w:r>
      <w:proofErr w:type="spellStart"/>
      <w:r>
        <w:t>Humaam’s</w:t>
      </w:r>
      <w:proofErr w:type="spellEnd"/>
      <w:r w:rsidRPr="00872196">
        <w:t xml:space="preserve"> behalf</w:t>
      </w:r>
      <w:r>
        <w:t>. T</w:t>
      </w:r>
      <w:r w:rsidRPr="00872196">
        <w:t xml:space="preserve">he defence </w:t>
      </w:r>
      <w:r>
        <w:t xml:space="preserve">is responsible for </w:t>
      </w:r>
      <w:r w:rsidRPr="00872196">
        <w:t>secur</w:t>
      </w:r>
      <w:r>
        <w:t>ing</w:t>
      </w:r>
      <w:r w:rsidRPr="00872196">
        <w:t xml:space="preserve"> the attendance of those they wish to call as witnesses</w:t>
      </w:r>
      <w:r>
        <w:t>,</w:t>
      </w:r>
      <w:r w:rsidRPr="00872196">
        <w:t xml:space="preserve"> and failure to do so </w:t>
      </w:r>
      <w:proofErr w:type="gramStart"/>
      <w:r w:rsidRPr="00872196">
        <w:t>does not in any way infringe</w:t>
      </w:r>
      <w:proofErr w:type="gramEnd"/>
      <w:r w:rsidRPr="00872196">
        <w:t xml:space="preserve"> </w:t>
      </w:r>
      <w:r>
        <w:t xml:space="preserve">on </w:t>
      </w:r>
      <w:r w:rsidRPr="00872196">
        <w:t xml:space="preserve">the fair trial rights of a defendant. </w:t>
      </w:r>
      <w:r>
        <w:t>W</w:t>
      </w:r>
      <w:r w:rsidRPr="00872196">
        <w:t xml:space="preserve">hether a defence witness travels out of the country, or attends the trial or otherwise, is out of the hands of the </w:t>
      </w:r>
      <w:r>
        <w:t>c</w:t>
      </w:r>
      <w:r w:rsidRPr="00872196">
        <w:t xml:space="preserve">ourt. </w:t>
      </w:r>
      <w:r>
        <w:t>I</w:t>
      </w:r>
      <w:r w:rsidRPr="00872196">
        <w:t xml:space="preserve">t is not for the </w:t>
      </w:r>
      <w:r>
        <w:t>c</w:t>
      </w:r>
      <w:r w:rsidRPr="00872196">
        <w:t xml:space="preserve">ourt, the Prosecution or the Government to dictate terms or to direct which witnesses the </w:t>
      </w:r>
      <w:r>
        <w:t>d</w:t>
      </w:r>
      <w:r w:rsidRPr="00872196">
        <w:t xml:space="preserve">efence calls. That is a matter entirely for the </w:t>
      </w:r>
      <w:r>
        <w:t>d</w:t>
      </w:r>
      <w:r w:rsidRPr="00872196">
        <w:t xml:space="preserve">efence and issue </w:t>
      </w:r>
      <w:proofErr w:type="gramStart"/>
      <w:r w:rsidRPr="00872196">
        <w:t>can only be taken</w:t>
      </w:r>
      <w:proofErr w:type="gramEnd"/>
      <w:r w:rsidRPr="00872196">
        <w:t xml:space="preserve"> if unsurmountable hurdles are placed in front of the </w:t>
      </w:r>
      <w:r>
        <w:t>d</w:t>
      </w:r>
      <w:r w:rsidRPr="00872196">
        <w:t xml:space="preserve">efence that constitute interference with the administration of justice. There is nothing to suggest that any disproportionate obstacles </w:t>
      </w:r>
      <w:proofErr w:type="gramStart"/>
      <w:r w:rsidRPr="00872196">
        <w:t>were placed</w:t>
      </w:r>
      <w:proofErr w:type="gramEnd"/>
      <w:r w:rsidRPr="00872196">
        <w:t xml:space="preserve"> in front of the </w:t>
      </w:r>
      <w:r>
        <w:t>d</w:t>
      </w:r>
      <w:r w:rsidRPr="00872196">
        <w:t>efence in this case.</w:t>
      </w:r>
      <w:r>
        <w:t xml:space="preserve"> </w:t>
      </w:r>
      <w:r w:rsidRPr="00872196">
        <w:t>I</w:t>
      </w:r>
      <w:r>
        <w:t>n addition, i</w:t>
      </w:r>
      <w:r w:rsidRPr="00872196">
        <w:t>t is established law that a presiding judge has discretion about whether to allow witnesses or other evidence</w:t>
      </w:r>
      <w:r w:rsidR="001B4491">
        <w:t>.</w:t>
      </w:r>
      <w:r w:rsidRPr="00872196">
        <w:rPr>
          <w:rStyle w:val="FootnoteReference"/>
          <w:i/>
        </w:rPr>
        <w:footnoteReference w:id="13"/>
      </w:r>
      <w:r w:rsidRPr="00872196">
        <w:rPr>
          <w:i/>
        </w:rPr>
        <w:t xml:space="preserve"> </w:t>
      </w:r>
      <w:r>
        <w:t>The question of relevance applies to all</w:t>
      </w:r>
      <w:r w:rsidR="00792F42">
        <w:t xml:space="preserve"> witnesses.</w:t>
      </w:r>
    </w:p>
    <w:p w:rsidR="0048153D" w:rsidRPr="00872196" w:rsidRDefault="0048153D" w:rsidP="000F0BEF">
      <w:pPr>
        <w:pStyle w:val="SingleTxtG"/>
        <w:spacing w:line="220" w:lineRule="atLeast"/>
      </w:pPr>
      <w:proofErr w:type="gramStart"/>
      <w:r>
        <w:t>6.</w:t>
      </w:r>
      <w:r w:rsidR="00571E4E">
        <w:t>5</w:t>
      </w:r>
      <w:r w:rsidR="006C1762">
        <w:tab/>
      </w:r>
      <w:r w:rsidRPr="00485B23">
        <w:t xml:space="preserve">Although </w:t>
      </w:r>
      <w:r>
        <w:t xml:space="preserve">the Prosecution redacted the names of </w:t>
      </w:r>
      <w:r w:rsidRPr="00485B23">
        <w:t>certain witnesses</w:t>
      </w:r>
      <w:r>
        <w:t>, including two policemen, whose</w:t>
      </w:r>
      <w:r w:rsidRPr="00485B23">
        <w:t xml:space="preserve"> identities were not disclosed, </w:t>
      </w:r>
      <w:r>
        <w:t xml:space="preserve">in order to protect them from being influenced and to prevent any harm that may come to them </w:t>
      </w:r>
      <w:r w:rsidRPr="00485B23">
        <w:t>the judge had access to the real names of the witnesses and could confirm that their identities and testimon</w:t>
      </w:r>
      <w:r>
        <w:t>ies</w:t>
      </w:r>
      <w:r w:rsidRPr="00485B23">
        <w:t xml:space="preserve"> were consistent, a fact that ensured the credibility of their testimon</w:t>
      </w:r>
      <w:r>
        <w:t>y</w:t>
      </w:r>
      <w:r w:rsidRPr="00485B23">
        <w:t>.</w:t>
      </w:r>
      <w:proofErr w:type="gramEnd"/>
      <w:r w:rsidRPr="00485B23">
        <w:t xml:space="preserve"> </w:t>
      </w:r>
      <w:r w:rsidR="00B61285">
        <w:t xml:space="preserve"> </w:t>
      </w:r>
      <w:proofErr w:type="gramStart"/>
      <w:r w:rsidR="00B61285">
        <w:t xml:space="preserve">In </w:t>
      </w:r>
      <w:proofErr w:type="spellStart"/>
      <w:r w:rsidR="00B61285" w:rsidRPr="00945F95">
        <w:rPr>
          <w:i/>
        </w:rPr>
        <w:t>Doorson</w:t>
      </w:r>
      <w:proofErr w:type="spellEnd"/>
      <w:r w:rsidR="00B61285" w:rsidRPr="00945F95">
        <w:rPr>
          <w:i/>
        </w:rPr>
        <w:t xml:space="preserve"> v. Netherlands</w:t>
      </w:r>
      <w:r w:rsidR="00B61285">
        <w:rPr>
          <w:i/>
        </w:rPr>
        <w:t>,</w:t>
      </w:r>
      <w:r w:rsidR="00B61285" w:rsidRPr="0048153D">
        <w:t xml:space="preserve"> the European Court of Human Rights found that the decision not to disclose the identity of certain witnesses to the defence “was inspired by the need, as assessed by it, to obtain evidence from them while at the same time protecting them against the possibility of reprisals […] This is certainly a relevant reason to allow them anonymity”.</w:t>
      </w:r>
      <w:proofErr w:type="gramEnd"/>
      <w:r w:rsidR="00B61285" w:rsidRPr="0048153D">
        <w:t xml:space="preserve"> </w:t>
      </w:r>
      <w:r w:rsidR="00B61285">
        <w:t xml:space="preserve">The Court also added </w:t>
      </w:r>
      <w:r w:rsidR="00B61285" w:rsidRPr="0048153D">
        <w:t>that “although, as the applicant has stated, there has been no suggestion that [the anonymous witnesses] were ever threatened by the applicant himself, the decision to maintain their anonymity cannot be regarded as unreasonable per se”</w:t>
      </w:r>
      <w:r w:rsidR="00B61285">
        <w:t xml:space="preserve">. </w:t>
      </w:r>
      <w:r>
        <w:t>T</w:t>
      </w:r>
      <w:r w:rsidRPr="00485B23">
        <w:t xml:space="preserve">he witness who gave the most relevant testimony was an acquaintance of the defendant, so his identity was not in question. </w:t>
      </w:r>
      <w:r>
        <w:t>In addition,</w:t>
      </w:r>
      <w:r w:rsidRPr="00485B23">
        <w:t xml:space="preserve"> although the testimon</w:t>
      </w:r>
      <w:r>
        <w:t>y</w:t>
      </w:r>
      <w:r w:rsidRPr="00485B23">
        <w:t xml:space="preserve"> of these witnesses </w:t>
      </w:r>
      <w:r>
        <w:t>was</w:t>
      </w:r>
      <w:r w:rsidRPr="00485B23">
        <w:t xml:space="preserve"> important, they were not the sole deciding factor of the Court’s decision</w:t>
      </w:r>
      <w:r>
        <w:t>. T</w:t>
      </w:r>
      <w:r w:rsidRPr="00485B23">
        <w:t>he</w:t>
      </w:r>
      <w:r>
        <w:t>ir</w:t>
      </w:r>
      <w:r w:rsidRPr="00485B23">
        <w:t xml:space="preserve"> testimon</w:t>
      </w:r>
      <w:r>
        <w:t>y</w:t>
      </w:r>
      <w:r w:rsidRPr="00485B23">
        <w:t xml:space="preserve"> </w:t>
      </w:r>
      <w:r>
        <w:t>was</w:t>
      </w:r>
      <w:r w:rsidRPr="00485B23">
        <w:t xml:space="preserve"> not essential in convicting Mr. </w:t>
      </w:r>
      <w:proofErr w:type="spellStart"/>
      <w:r w:rsidRPr="00485B23">
        <w:t>Humaam</w:t>
      </w:r>
      <w:proofErr w:type="spellEnd"/>
      <w:r w:rsidRPr="00485B23">
        <w:t xml:space="preserve">, but </w:t>
      </w:r>
      <w:r>
        <w:t xml:space="preserve">were </w:t>
      </w:r>
      <w:r w:rsidRPr="00485B23">
        <w:t xml:space="preserve">corroboration of </w:t>
      </w:r>
      <w:r>
        <w:t>his twice-made confession.</w:t>
      </w:r>
    </w:p>
    <w:p w:rsidR="0048153D" w:rsidRPr="00872196" w:rsidRDefault="0048153D" w:rsidP="000F0BEF">
      <w:pPr>
        <w:pStyle w:val="SingleTxtG"/>
        <w:spacing w:line="220" w:lineRule="atLeast"/>
      </w:pPr>
      <w:r w:rsidRPr="00872196">
        <w:t>6.</w:t>
      </w:r>
      <w:r w:rsidR="00571E4E">
        <w:t>6</w:t>
      </w:r>
      <w:r w:rsidR="006C1762">
        <w:tab/>
      </w:r>
      <w:r>
        <w:t>T</w:t>
      </w:r>
      <w:r w:rsidRPr="00872196">
        <w:t xml:space="preserve">he decisions of the Criminal Court, the High Court and the Supreme Court </w:t>
      </w:r>
      <w:proofErr w:type="gramStart"/>
      <w:r w:rsidRPr="00872196">
        <w:t>were not based</w:t>
      </w:r>
      <w:proofErr w:type="gramEnd"/>
      <w:r w:rsidRPr="00872196">
        <w:t xml:space="preserve"> solely on anonymous witnesses’ testimonies</w:t>
      </w:r>
      <w:r>
        <w:t>.</w:t>
      </w:r>
      <w:r w:rsidRPr="00872196">
        <w:t xml:space="preserve"> </w:t>
      </w:r>
      <w:r>
        <w:t>T</w:t>
      </w:r>
      <w:r w:rsidRPr="00872196">
        <w:t xml:space="preserve">here was </w:t>
      </w:r>
      <w:r>
        <w:t xml:space="preserve">also </w:t>
      </w:r>
      <w:r w:rsidRPr="00872196">
        <w:t xml:space="preserve">documentary evidence, </w:t>
      </w:r>
      <w:r>
        <w:t>testimony from non-anonymous witnesses</w:t>
      </w:r>
      <w:r w:rsidRPr="00872196">
        <w:t xml:space="preserve"> and a confession. DNA from the MP </w:t>
      </w:r>
      <w:r>
        <w:t xml:space="preserve">also </w:t>
      </w:r>
      <w:proofErr w:type="gramStart"/>
      <w:r w:rsidRPr="00872196">
        <w:t>was found</w:t>
      </w:r>
      <w:proofErr w:type="gramEnd"/>
      <w:r w:rsidRPr="00872196">
        <w:t xml:space="preserve"> in the tests conducted </w:t>
      </w:r>
      <w:r>
        <w:t>o</w:t>
      </w:r>
      <w:r w:rsidRPr="00872196">
        <w:t xml:space="preserve">n </w:t>
      </w:r>
      <w:r>
        <w:t xml:space="preserve">Mr. </w:t>
      </w:r>
      <w:proofErr w:type="spellStart"/>
      <w:r>
        <w:t>Humaam</w:t>
      </w:r>
      <w:r w:rsidRPr="00872196">
        <w:t>’s</w:t>
      </w:r>
      <w:proofErr w:type="spellEnd"/>
      <w:r w:rsidRPr="00872196">
        <w:t xml:space="preserve"> jeans, a DNA report </w:t>
      </w:r>
      <w:r>
        <w:t>which the</w:t>
      </w:r>
      <w:r w:rsidRPr="00872196">
        <w:t xml:space="preserve"> defence team had the opportunity to cross-examine. Finally, </w:t>
      </w:r>
      <w:r>
        <w:t xml:space="preserve">Mr. </w:t>
      </w:r>
      <w:proofErr w:type="spellStart"/>
      <w:r>
        <w:t>Humaam</w:t>
      </w:r>
      <w:r w:rsidRPr="00872196">
        <w:t>’s</w:t>
      </w:r>
      <w:proofErr w:type="spellEnd"/>
      <w:r w:rsidRPr="00872196">
        <w:t xml:space="preserve"> legal team </w:t>
      </w:r>
      <w:proofErr w:type="gramStart"/>
      <w:r w:rsidRPr="00872196">
        <w:t>was given</w:t>
      </w:r>
      <w:proofErr w:type="gramEnd"/>
      <w:r w:rsidRPr="00872196">
        <w:t xml:space="preserve"> the opportunity to question and cross-examine all witnesses during all the trial hearings in which the</w:t>
      </w:r>
      <w:r>
        <w:t xml:space="preserve"> witnesses testified. </w:t>
      </w:r>
      <w:r w:rsidRPr="00872196">
        <w:t xml:space="preserve">Although the defence team was unaware of the exact name of </w:t>
      </w:r>
      <w:r>
        <w:t xml:space="preserve">some of </w:t>
      </w:r>
      <w:r w:rsidRPr="00872196">
        <w:t>the witness</w:t>
      </w:r>
      <w:r>
        <w:t>es</w:t>
      </w:r>
      <w:r w:rsidRPr="00872196">
        <w:t xml:space="preserve">, they </w:t>
      </w:r>
      <w:proofErr w:type="gramStart"/>
      <w:r w:rsidRPr="00872196">
        <w:t>were informed</w:t>
      </w:r>
      <w:proofErr w:type="gramEnd"/>
      <w:r w:rsidRPr="00872196">
        <w:t xml:space="preserve"> of all the relevant details </w:t>
      </w:r>
      <w:r>
        <w:t>of</w:t>
      </w:r>
      <w:r w:rsidRPr="00872196">
        <w:t xml:space="preserve"> the investigation and were able to openly question them to verify the reliability and consistency of their testimony.</w:t>
      </w:r>
    </w:p>
    <w:p w:rsidR="0048153D" w:rsidRPr="00872196" w:rsidRDefault="0048153D" w:rsidP="000F0BEF">
      <w:pPr>
        <w:pStyle w:val="SingleTxtG"/>
        <w:spacing w:line="220" w:lineRule="atLeast"/>
      </w:pPr>
      <w:r w:rsidRPr="00872196">
        <w:t>6.</w:t>
      </w:r>
      <w:r w:rsidR="00571E4E">
        <w:t>7</w:t>
      </w:r>
      <w:r w:rsidR="006C1762">
        <w:tab/>
      </w:r>
      <w:r>
        <w:t xml:space="preserve">Moreover, Mr. </w:t>
      </w:r>
      <w:proofErr w:type="spellStart"/>
      <w:r>
        <w:t>Humaam</w:t>
      </w:r>
      <w:proofErr w:type="spellEnd"/>
      <w:r w:rsidRPr="00872196">
        <w:t xml:space="preserve"> voluntarily and intelligently entered </w:t>
      </w:r>
      <w:r>
        <w:t>a</w:t>
      </w:r>
      <w:r w:rsidRPr="00872196">
        <w:t xml:space="preserve"> guilty plea with full knowledge that his right to submit defence witnesses </w:t>
      </w:r>
      <w:proofErr w:type="gramStart"/>
      <w:r w:rsidRPr="00872196">
        <w:t>w</w:t>
      </w:r>
      <w:r>
        <w:t>ould</w:t>
      </w:r>
      <w:r w:rsidRPr="00872196">
        <w:t xml:space="preserve"> be waived</w:t>
      </w:r>
      <w:proofErr w:type="gramEnd"/>
      <w:r w:rsidRPr="00872196">
        <w:t xml:space="preserve">. </w:t>
      </w:r>
      <w:r>
        <w:t>T</w:t>
      </w:r>
      <w:r w:rsidRPr="00872196">
        <w:t xml:space="preserve">he complaint alleges that the confession </w:t>
      </w:r>
      <w:proofErr w:type="gramStart"/>
      <w:r w:rsidRPr="00872196">
        <w:t>was obtained</w:t>
      </w:r>
      <w:proofErr w:type="gramEnd"/>
      <w:r w:rsidRPr="00872196">
        <w:t xml:space="preserve"> </w:t>
      </w:r>
      <w:r>
        <w:t xml:space="preserve">under </w:t>
      </w:r>
      <w:r w:rsidRPr="00872196">
        <w:t xml:space="preserve">duress, </w:t>
      </w:r>
      <w:r>
        <w:t>but</w:t>
      </w:r>
      <w:r w:rsidRPr="00872196">
        <w:t xml:space="preserve"> no specific </w:t>
      </w:r>
      <w:r>
        <w:t xml:space="preserve">information is provided </w:t>
      </w:r>
      <w:r w:rsidRPr="00872196">
        <w:t>to substantiate this claim.</w:t>
      </w:r>
      <w:r>
        <w:t xml:space="preserve"> Under article 52 of the Constitution, a</w:t>
      </w:r>
      <w:r w:rsidRPr="00872196">
        <w:t xml:space="preserve"> confession obtained under duress </w:t>
      </w:r>
      <w:proofErr w:type="gramStart"/>
      <w:r w:rsidRPr="00872196">
        <w:t>must not be admitted</w:t>
      </w:r>
      <w:proofErr w:type="gramEnd"/>
      <w:r w:rsidR="001B4491">
        <w:t>.</w:t>
      </w:r>
      <w:r w:rsidRPr="00872196">
        <w:t xml:space="preserve"> However, </w:t>
      </w:r>
      <w:r>
        <w:t>the defendant must raise this issue</w:t>
      </w:r>
      <w:r w:rsidRPr="00872196">
        <w:t xml:space="preserve"> and thereafter show that the confession </w:t>
      </w:r>
      <w:proofErr w:type="gramStart"/>
      <w:r w:rsidRPr="00872196">
        <w:t>was obtained</w:t>
      </w:r>
      <w:proofErr w:type="gramEnd"/>
      <w:r w:rsidRPr="00872196">
        <w:t xml:space="preserve"> under duress. </w:t>
      </w:r>
      <w:r>
        <w:t>O</w:t>
      </w:r>
      <w:r w:rsidRPr="00872196">
        <w:t xml:space="preserve">nce the </w:t>
      </w:r>
      <w:r>
        <w:t>d</w:t>
      </w:r>
      <w:r w:rsidRPr="00872196">
        <w:t xml:space="preserve">efendant confesses of his own free will </w:t>
      </w:r>
      <w:r>
        <w:t xml:space="preserve">before </w:t>
      </w:r>
      <w:r w:rsidRPr="00872196">
        <w:t xml:space="preserve">a judge, the confession </w:t>
      </w:r>
      <w:proofErr w:type="gramStart"/>
      <w:r w:rsidRPr="00872196">
        <w:t xml:space="preserve">will be </w:t>
      </w:r>
      <w:r>
        <w:t>considered</w:t>
      </w:r>
      <w:proofErr w:type="gramEnd"/>
      <w:r w:rsidRPr="00872196">
        <w:t xml:space="preserve"> valid unless there is evidence to prove that the person was forced to confess. In this case, there was no evidence that the </w:t>
      </w:r>
      <w:r>
        <w:t>d</w:t>
      </w:r>
      <w:r w:rsidRPr="00872196">
        <w:t xml:space="preserve">efendant had any mental illness or that he </w:t>
      </w:r>
      <w:proofErr w:type="gramStart"/>
      <w:r w:rsidRPr="00872196">
        <w:t>was forced</w:t>
      </w:r>
      <w:proofErr w:type="gramEnd"/>
      <w:r w:rsidRPr="00872196">
        <w:t xml:space="preserve"> to confess. </w:t>
      </w:r>
      <w:proofErr w:type="gramStart"/>
      <w:r w:rsidRPr="00872196">
        <w:t>Hence</w:t>
      </w:r>
      <w:proofErr w:type="gramEnd"/>
      <w:r w:rsidRPr="00872196">
        <w:t xml:space="preserve"> the judge in the court of first instance correctly ruled that his confession was admissible under Article 52 of the Constitution.</w:t>
      </w:r>
      <w:r>
        <w:t xml:space="preserve"> </w:t>
      </w:r>
      <w:r w:rsidRPr="00872196">
        <w:t xml:space="preserve">The High Court </w:t>
      </w:r>
      <w:r>
        <w:t xml:space="preserve">also </w:t>
      </w:r>
      <w:r w:rsidRPr="00872196">
        <w:t xml:space="preserve">held that the </w:t>
      </w:r>
      <w:r>
        <w:t>d</w:t>
      </w:r>
      <w:r w:rsidRPr="00872196">
        <w:t xml:space="preserve">efendant had confessed to murdering the victim of his own free will in a sound state of mind, in front of the </w:t>
      </w:r>
      <w:r>
        <w:t>j</w:t>
      </w:r>
      <w:r w:rsidRPr="00872196">
        <w:t xml:space="preserve">udge and thus in accordance with the law. The High Court </w:t>
      </w:r>
      <w:r>
        <w:t>concluded that</w:t>
      </w:r>
      <w:r w:rsidRPr="00872196">
        <w:t xml:space="preserve"> when the </w:t>
      </w:r>
      <w:r>
        <w:t>c</w:t>
      </w:r>
      <w:r w:rsidRPr="00872196">
        <w:t xml:space="preserve">onfession </w:t>
      </w:r>
      <w:proofErr w:type="gramStart"/>
      <w:r w:rsidRPr="00872196">
        <w:t xml:space="preserve">is </w:t>
      </w:r>
      <w:r>
        <w:t>allowed</w:t>
      </w:r>
      <w:proofErr w:type="gramEnd"/>
      <w:r w:rsidRPr="00872196">
        <w:t xml:space="preserve"> to stand </w:t>
      </w:r>
      <w:r>
        <w:t>at</w:t>
      </w:r>
      <w:r w:rsidRPr="00872196">
        <w:t xml:space="preserve"> trial then, the </w:t>
      </w:r>
      <w:r>
        <w:t>t</w:t>
      </w:r>
      <w:r w:rsidRPr="00872196">
        <w:t xml:space="preserve">rial </w:t>
      </w:r>
      <w:r>
        <w:t>j</w:t>
      </w:r>
      <w:r w:rsidRPr="00872196">
        <w:t xml:space="preserve">udge is justified in not allowing the defence to submit witness evidence to prove </w:t>
      </w:r>
      <w:r>
        <w:t>his innocence</w:t>
      </w:r>
      <w:r w:rsidRPr="00872196">
        <w:t xml:space="preserve">. </w:t>
      </w:r>
    </w:p>
    <w:p w:rsidR="0048153D" w:rsidRPr="00872196" w:rsidRDefault="0048153D" w:rsidP="0048153D">
      <w:pPr>
        <w:pStyle w:val="SingleTxtG"/>
      </w:pPr>
      <w:r w:rsidRPr="00872196">
        <w:lastRenderedPageBreak/>
        <w:t>6.</w:t>
      </w:r>
      <w:r w:rsidR="00571E4E">
        <w:t>8</w:t>
      </w:r>
      <w:r w:rsidR="006C1762">
        <w:tab/>
      </w:r>
      <w:r>
        <w:t>T</w:t>
      </w:r>
      <w:r w:rsidRPr="00872196">
        <w:t xml:space="preserve">he suggestion that the ability to have the sentence commuted </w:t>
      </w:r>
      <w:proofErr w:type="gramStart"/>
      <w:r w:rsidRPr="00872196">
        <w:t>has somehow been curtailed</w:t>
      </w:r>
      <w:proofErr w:type="gramEnd"/>
      <w:r w:rsidRPr="00872196">
        <w:t xml:space="preserve"> is wrong. </w:t>
      </w:r>
      <w:r>
        <w:t>T</w:t>
      </w:r>
      <w:r w:rsidRPr="00872196">
        <w:t xml:space="preserve">he author’s interpretation of the Clemency Act is that the President must take into account principles of Sharia Law, including the right of </w:t>
      </w:r>
      <w:proofErr w:type="spellStart"/>
      <w:r w:rsidRPr="00872196">
        <w:t>Qisas</w:t>
      </w:r>
      <w:proofErr w:type="spellEnd"/>
      <w:r w:rsidRPr="00872196">
        <w:t xml:space="preserve">, and thus </w:t>
      </w:r>
      <w:r>
        <w:t>the President’s</w:t>
      </w:r>
      <w:r w:rsidRPr="00872196">
        <w:t xml:space="preserve"> discretion </w:t>
      </w:r>
      <w:proofErr w:type="gramStart"/>
      <w:r w:rsidRPr="00872196">
        <w:t>is removed</w:t>
      </w:r>
      <w:proofErr w:type="gramEnd"/>
      <w:r w:rsidRPr="00872196">
        <w:t xml:space="preserve">. The issue concerning the President’s </w:t>
      </w:r>
      <w:proofErr w:type="gramStart"/>
      <w:r w:rsidRPr="00872196">
        <w:t>right,</w:t>
      </w:r>
      <w:proofErr w:type="gramEnd"/>
      <w:r w:rsidRPr="00872196">
        <w:t xml:space="preserve"> or otherwise to pardon an offender was addressed in an entirely separate and distinct cas</w:t>
      </w:r>
      <w:r>
        <w:t>e.</w:t>
      </w:r>
      <w:r w:rsidR="00EE2064">
        <w:t xml:space="preserve"> </w:t>
      </w:r>
      <w:r>
        <w:t>Moreover, because the</w:t>
      </w:r>
      <w:r w:rsidRPr="00872196">
        <w:t xml:space="preserve"> regulatory procedure concerning imposition of the sentence </w:t>
      </w:r>
      <w:proofErr w:type="gramStart"/>
      <w:r w:rsidRPr="00872196">
        <w:t xml:space="preserve">is </w:t>
      </w:r>
      <w:r>
        <w:t>governed</w:t>
      </w:r>
      <w:proofErr w:type="gramEnd"/>
      <w:r>
        <w:t xml:space="preserve"> by</w:t>
      </w:r>
      <w:r w:rsidRPr="00872196">
        <w:t xml:space="preserve"> the Regulation on Investigation and Execution of Death Penalty in Wilful Murder</w:t>
      </w:r>
      <w:r>
        <w:t>, t</w:t>
      </w:r>
      <w:r w:rsidRPr="00872196">
        <w:t xml:space="preserve">he family of the MP will be explicitly asked whether they wish to pardon the offender. </w:t>
      </w:r>
      <w:r>
        <w:t>Regardless</w:t>
      </w:r>
      <w:r w:rsidRPr="00872196">
        <w:t xml:space="preserve"> </w:t>
      </w:r>
      <w:r>
        <w:t xml:space="preserve">of </w:t>
      </w:r>
      <w:r w:rsidRPr="00872196">
        <w:t xml:space="preserve">whether the </w:t>
      </w:r>
      <w:r>
        <w:t xml:space="preserve">victim’s </w:t>
      </w:r>
      <w:r w:rsidRPr="00872196">
        <w:t xml:space="preserve">family </w:t>
      </w:r>
      <w:r>
        <w:t>wants</w:t>
      </w:r>
      <w:r w:rsidRPr="00872196">
        <w:t xml:space="preserve"> to pardon the offender, the Ministry of Islamic Affairs </w:t>
      </w:r>
      <w:r>
        <w:t>must</w:t>
      </w:r>
      <w:r w:rsidRPr="00872196">
        <w:t xml:space="preserve"> initiate the mediation process, the whole purpose of which is to explain to the victim’s family the importance and the role of a pardon assigned in Islam. </w:t>
      </w:r>
      <w:r>
        <w:t xml:space="preserve">The regulation absolutely requires </w:t>
      </w:r>
      <w:r w:rsidRPr="00872196">
        <w:t xml:space="preserve">that the victim’s family be consulted, even on the day of execution, and thus there is </w:t>
      </w:r>
      <w:proofErr w:type="gramStart"/>
      <w:r w:rsidRPr="00872196">
        <w:t>ample opportunity</w:t>
      </w:r>
      <w:proofErr w:type="gramEnd"/>
      <w:r w:rsidRPr="00872196">
        <w:t xml:space="preserve"> for the family of the victim to communicate their wishes.</w:t>
      </w:r>
    </w:p>
    <w:p w:rsidR="0048153D" w:rsidRPr="00872196" w:rsidRDefault="0048153D" w:rsidP="0048153D">
      <w:pPr>
        <w:pStyle w:val="SingleTxtG"/>
      </w:pPr>
      <w:r>
        <w:t>6.</w:t>
      </w:r>
      <w:r w:rsidR="00571E4E">
        <w:t>9</w:t>
      </w:r>
      <w:r w:rsidR="006C1762">
        <w:tab/>
      </w:r>
      <w:r>
        <w:t>In addition, t</w:t>
      </w:r>
      <w:r w:rsidRPr="00872196">
        <w:t>he decision of the High Court on appeal</w:t>
      </w:r>
      <w:r>
        <w:t xml:space="preserve"> </w:t>
      </w:r>
      <w:r w:rsidRPr="00872196">
        <w:t>notes</w:t>
      </w:r>
      <w:r>
        <w:t xml:space="preserve"> that all relevant heirs </w:t>
      </w:r>
      <w:r w:rsidRPr="00872196">
        <w:t xml:space="preserve">wanted the death penalty for the person or persons </w:t>
      </w:r>
      <w:r>
        <w:t>responsible for the MP’s murder. Thus,</w:t>
      </w:r>
      <w:r w:rsidRPr="00872196">
        <w:t xml:space="preserve"> the </w:t>
      </w:r>
      <w:r>
        <w:t xml:space="preserve">family signalled an intent </w:t>
      </w:r>
      <w:r w:rsidRPr="00872196">
        <w:t xml:space="preserve">that the execution ought to </w:t>
      </w:r>
      <w:proofErr w:type="gramStart"/>
      <w:r w:rsidRPr="00872196">
        <w:t>be carried out</w:t>
      </w:r>
      <w:proofErr w:type="gramEnd"/>
      <w:r w:rsidRPr="00872196">
        <w:t>.</w:t>
      </w:r>
    </w:p>
    <w:p w:rsidR="0048153D" w:rsidRPr="00872196" w:rsidRDefault="0048153D" w:rsidP="0048153D">
      <w:pPr>
        <w:pStyle w:val="SingleTxtG"/>
      </w:pPr>
      <w:r w:rsidRPr="00872196">
        <w:t>6.</w:t>
      </w:r>
      <w:r>
        <w:t>1</w:t>
      </w:r>
      <w:r w:rsidR="00571E4E">
        <w:t>0</w:t>
      </w:r>
      <w:r w:rsidR="006C1762">
        <w:tab/>
      </w:r>
      <w:r w:rsidRPr="00872196">
        <w:t xml:space="preserve">The Supreme Court decision offers further guidance and analysis on the issues of </w:t>
      </w:r>
      <w:proofErr w:type="spellStart"/>
      <w:r w:rsidRPr="00872196">
        <w:t>Qisas</w:t>
      </w:r>
      <w:proofErr w:type="spellEnd"/>
      <w:r w:rsidRPr="00872196">
        <w:t>, and offers a contrary position to that advanced by the author concerning heirs.</w:t>
      </w:r>
      <w:r>
        <w:t xml:space="preserve"> </w:t>
      </w:r>
      <w:r w:rsidRPr="00872196">
        <w:t>There is still ample opportunity for the family of the victim to request that the execution be commuted</w:t>
      </w:r>
      <w:r>
        <w:t>,</w:t>
      </w:r>
      <w:r w:rsidRPr="00872196">
        <w:t xml:space="preserve"> rendering this particular </w:t>
      </w:r>
      <w:r>
        <w:t>objection</w:t>
      </w:r>
      <w:r w:rsidRPr="00872196">
        <w:t xml:space="preserve"> baseless.</w:t>
      </w:r>
    </w:p>
    <w:p w:rsidR="0048153D" w:rsidRPr="00872196" w:rsidRDefault="0048153D" w:rsidP="0048153D">
      <w:pPr>
        <w:pStyle w:val="SingleTxtG"/>
      </w:pPr>
      <w:r w:rsidRPr="00872196">
        <w:t>6.</w:t>
      </w:r>
      <w:r>
        <w:t>1</w:t>
      </w:r>
      <w:r w:rsidR="00571E4E">
        <w:t>1</w:t>
      </w:r>
      <w:r w:rsidR="006C1762">
        <w:tab/>
      </w:r>
      <w:r w:rsidRPr="00872196">
        <w:t xml:space="preserve">Regarding </w:t>
      </w:r>
      <w:r>
        <w:t xml:space="preserve">Mr. </w:t>
      </w:r>
      <w:proofErr w:type="spellStart"/>
      <w:r>
        <w:t>Humaam’s</w:t>
      </w:r>
      <w:proofErr w:type="spellEnd"/>
      <w:r>
        <w:t xml:space="preserve"> reported </w:t>
      </w:r>
      <w:r w:rsidRPr="00872196">
        <w:t xml:space="preserve">mental illness, the fact that a report </w:t>
      </w:r>
      <w:proofErr w:type="gramStart"/>
      <w:r>
        <w:t>is</w:t>
      </w:r>
      <w:r w:rsidRPr="00872196">
        <w:t xml:space="preserve"> requested</w:t>
      </w:r>
      <w:proofErr w:type="gramEnd"/>
      <w:r w:rsidRPr="00872196">
        <w:t xml:space="preserve"> does not mean that an assessment must be undertaken. </w:t>
      </w:r>
      <w:r>
        <w:t xml:space="preserve">Mr. </w:t>
      </w:r>
      <w:proofErr w:type="spellStart"/>
      <w:r>
        <w:t>Humaam</w:t>
      </w:r>
      <w:proofErr w:type="spellEnd"/>
      <w:r>
        <w:t xml:space="preserve"> failed to provide any supporting evidence regarding his mental incapacity. </w:t>
      </w:r>
      <w:r w:rsidRPr="00872196">
        <w:t xml:space="preserve">Further, if an ‘independent’ report </w:t>
      </w:r>
      <w:proofErr w:type="gramStart"/>
      <w:r w:rsidRPr="00872196">
        <w:t>is requested</w:t>
      </w:r>
      <w:proofErr w:type="gramEnd"/>
      <w:r w:rsidRPr="00872196">
        <w:t xml:space="preserve">, </w:t>
      </w:r>
      <w:r>
        <w:t>it should not be</w:t>
      </w:r>
      <w:r w:rsidRPr="00872196">
        <w:t xml:space="preserve"> the </w:t>
      </w:r>
      <w:r>
        <w:t>c</w:t>
      </w:r>
      <w:r w:rsidRPr="00872196">
        <w:t>ourt’s responsibility or that of the Prosecution to commission such a report. F</w:t>
      </w:r>
      <w:r>
        <w:t>inally</w:t>
      </w:r>
      <w:r w:rsidRPr="00872196">
        <w:t xml:space="preserve">, the issue of mental health </w:t>
      </w:r>
      <w:proofErr w:type="gramStart"/>
      <w:r w:rsidRPr="00872196">
        <w:t>was not raised</w:t>
      </w:r>
      <w:proofErr w:type="gramEnd"/>
      <w:r w:rsidRPr="00872196">
        <w:t xml:space="preserve"> in these proceedings until </w:t>
      </w:r>
      <w:r>
        <w:t xml:space="preserve">Mr. </w:t>
      </w:r>
      <w:proofErr w:type="spellStart"/>
      <w:r>
        <w:t>Humaam</w:t>
      </w:r>
      <w:proofErr w:type="spellEnd"/>
      <w:r w:rsidRPr="00872196">
        <w:t xml:space="preserve"> changed his legal team at a late stage</w:t>
      </w:r>
      <w:r>
        <w:t>, suggesting that this w</w:t>
      </w:r>
      <w:r w:rsidRPr="00872196">
        <w:t>as a ‘last ditch’ argument</w:t>
      </w:r>
      <w:r>
        <w:t xml:space="preserve"> before conviction</w:t>
      </w:r>
      <w:r w:rsidRPr="00872196">
        <w:t>.</w:t>
      </w:r>
    </w:p>
    <w:p w:rsidR="0048153D" w:rsidRPr="005C7FD5" w:rsidRDefault="000A68E2" w:rsidP="000A68E2">
      <w:pPr>
        <w:pStyle w:val="H23G"/>
      </w:pPr>
      <w:r>
        <w:tab/>
      </w:r>
      <w:r>
        <w:tab/>
      </w:r>
      <w:r w:rsidR="0048153D" w:rsidRPr="005C7FD5">
        <w:t>The author’s comments on the State party’s observations</w:t>
      </w:r>
    </w:p>
    <w:p w:rsidR="0048153D" w:rsidRPr="00872196" w:rsidRDefault="000A68E2" w:rsidP="0048153D">
      <w:pPr>
        <w:pStyle w:val="SingleTxtG"/>
      </w:pPr>
      <w:r>
        <w:t>7.1</w:t>
      </w:r>
      <w:r>
        <w:tab/>
      </w:r>
      <w:r w:rsidR="0048153D" w:rsidRPr="00872196">
        <w:t>On 12 March 2017, the author provided comments on the Sate party’s observations on the merits.</w:t>
      </w:r>
    </w:p>
    <w:p w:rsidR="0048153D" w:rsidRPr="00872196" w:rsidRDefault="000A68E2" w:rsidP="0048153D">
      <w:pPr>
        <w:pStyle w:val="SingleTxtG"/>
      </w:pPr>
      <w:r>
        <w:t>7.2</w:t>
      </w:r>
      <w:r w:rsidR="006C1762">
        <w:tab/>
      </w:r>
      <w:r w:rsidR="0048153D">
        <w:t>The Police report app</w:t>
      </w:r>
      <w:r w:rsidR="0048153D" w:rsidRPr="00B51340">
        <w:t>ended to the State par</w:t>
      </w:r>
      <w:r w:rsidR="001B4491">
        <w:t>ty’s observations on the merits</w:t>
      </w:r>
      <w:r w:rsidR="0048153D" w:rsidRPr="00872196">
        <w:rPr>
          <w:rStyle w:val="FootnoteReference"/>
        </w:rPr>
        <w:footnoteReference w:id="14"/>
      </w:r>
      <w:r w:rsidR="0048153D">
        <w:t xml:space="preserve"> indicates that </w:t>
      </w:r>
      <w:r w:rsidR="0048153D" w:rsidRPr="00872196">
        <w:t>on 13 October 2012</w:t>
      </w:r>
      <w:r w:rsidR="0048153D">
        <w:t xml:space="preserve">, Mr. </w:t>
      </w:r>
      <w:proofErr w:type="spellStart"/>
      <w:r w:rsidR="0048153D">
        <w:t>Humaam</w:t>
      </w:r>
      <w:proofErr w:type="spellEnd"/>
      <w:r w:rsidR="0048153D" w:rsidRPr="00872196">
        <w:t xml:space="preserve"> </w:t>
      </w:r>
      <w:proofErr w:type="gramStart"/>
      <w:r w:rsidR="0048153D" w:rsidRPr="00872196">
        <w:t>was interviewed</w:t>
      </w:r>
      <w:proofErr w:type="gramEnd"/>
      <w:r w:rsidR="0048153D" w:rsidRPr="00872196">
        <w:t xml:space="preserve"> in </w:t>
      </w:r>
      <w:proofErr w:type="spellStart"/>
      <w:r w:rsidR="0048153D" w:rsidRPr="00872196">
        <w:t>Feydhoofinolhu</w:t>
      </w:r>
      <w:proofErr w:type="spellEnd"/>
      <w:r w:rsidR="0048153D">
        <w:t>,</w:t>
      </w:r>
      <w:r w:rsidR="0048153D" w:rsidRPr="00872196">
        <w:t xml:space="preserve"> an island far away from any police detention facility </w:t>
      </w:r>
      <w:r w:rsidR="0048153D">
        <w:t>that</w:t>
      </w:r>
      <w:r w:rsidR="0048153D" w:rsidRPr="00872196">
        <w:t xml:space="preserve"> has never been a detention facility</w:t>
      </w:r>
      <w:r w:rsidR="0048153D">
        <w:t>.</w:t>
      </w:r>
      <w:r w:rsidR="00EE2064">
        <w:t xml:space="preserve"> </w:t>
      </w:r>
      <w:r w:rsidR="0048153D">
        <w:t>N</w:t>
      </w:r>
      <w:r w:rsidR="0048153D" w:rsidRPr="00872196">
        <w:t xml:space="preserve">or was it used by the Maldives Police Service to conduct investigations or interviews of suspects. No explanation </w:t>
      </w:r>
      <w:proofErr w:type="gramStart"/>
      <w:r w:rsidR="0048153D" w:rsidRPr="00872196">
        <w:t>has been provided</w:t>
      </w:r>
      <w:proofErr w:type="gramEnd"/>
      <w:r w:rsidR="0048153D" w:rsidRPr="00872196">
        <w:t xml:space="preserve"> as to why this was deemed appropriate.</w:t>
      </w:r>
    </w:p>
    <w:p w:rsidR="0048153D" w:rsidRPr="00872196" w:rsidRDefault="000A68E2" w:rsidP="0048153D">
      <w:pPr>
        <w:pStyle w:val="SingleTxtG"/>
      </w:pPr>
      <w:r>
        <w:t>7.3</w:t>
      </w:r>
      <w:r w:rsidR="006C1762">
        <w:tab/>
      </w:r>
      <w:r w:rsidR="0048153D" w:rsidRPr="00872196">
        <w:t>Regarding the observation</w:t>
      </w:r>
      <w:r w:rsidR="0048153D">
        <w:rPr>
          <w:rStyle w:val="FootnoteReference"/>
        </w:rPr>
        <w:footnoteReference w:id="15"/>
      </w:r>
      <w:r w:rsidR="0048153D">
        <w:t xml:space="preserve"> </w:t>
      </w:r>
      <w:r w:rsidR="0048153D" w:rsidRPr="00872196">
        <w:t xml:space="preserve">that </w:t>
      </w:r>
      <w:r w:rsidR="0048153D">
        <w:t xml:space="preserve">Mr. </w:t>
      </w:r>
      <w:proofErr w:type="spellStart"/>
      <w:r w:rsidR="0048153D">
        <w:t>Humaam</w:t>
      </w:r>
      <w:proofErr w:type="spellEnd"/>
      <w:r w:rsidR="0048153D" w:rsidRPr="00872196">
        <w:t xml:space="preserve"> </w:t>
      </w:r>
      <w:proofErr w:type="gramStart"/>
      <w:r w:rsidR="0048153D" w:rsidRPr="00872196">
        <w:t>was transferred</w:t>
      </w:r>
      <w:proofErr w:type="gramEnd"/>
      <w:r w:rsidR="0048153D" w:rsidRPr="00872196">
        <w:t xml:space="preserve"> to </w:t>
      </w:r>
      <w:proofErr w:type="spellStart"/>
      <w:r w:rsidR="0048153D" w:rsidRPr="00872196">
        <w:t>Villimale</w:t>
      </w:r>
      <w:proofErr w:type="spellEnd"/>
      <w:r w:rsidR="0048153D" w:rsidRPr="00872196">
        <w:t xml:space="preserve"> police station on 30 October 2012, it is unclear where </w:t>
      </w:r>
      <w:r w:rsidR="0048153D">
        <w:t xml:space="preserve">Mr </w:t>
      </w:r>
      <w:proofErr w:type="spellStart"/>
      <w:r w:rsidR="0048153D">
        <w:t>Humaam</w:t>
      </w:r>
      <w:proofErr w:type="spellEnd"/>
      <w:r w:rsidR="0048153D" w:rsidRPr="00872196">
        <w:t xml:space="preserve"> was held prior to this transfer. Furthermore, it is highly unusual for the police to transfer any person detained from Male to </w:t>
      </w:r>
      <w:proofErr w:type="spellStart"/>
      <w:r w:rsidR="0048153D" w:rsidRPr="00872196">
        <w:t>Villimale</w:t>
      </w:r>
      <w:proofErr w:type="spellEnd"/>
      <w:r w:rsidR="0048153D" w:rsidRPr="00872196">
        <w:t>, which is a separate island from Male’</w:t>
      </w:r>
      <w:r w:rsidR="0048153D">
        <w:t>.</w:t>
      </w:r>
      <w:r w:rsidR="0048153D" w:rsidRPr="00872196">
        <w:t xml:space="preserve"> </w:t>
      </w:r>
      <w:proofErr w:type="gramStart"/>
      <w:r w:rsidR="0048153D" w:rsidRPr="00872196">
        <w:t>Normally persons detained by the police are held either</w:t>
      </w:r>
      <w:proofErr w:type="gramEnd"/>
      <w:r w:rsidR="0048153D" w:rsidRPr="00872196">
        <w:t xml:space="preserve"> in police detention facilities in Male’ or </w:t>
      </w:r>
      <w:proofErr w:type="spellStart"/>
      <w:r w:rsidR="0048153D" w:rsidRPr="00872196">
        <w:t>Dhoonidhoo</w:t>
      </w:r>
      <w:proofErr w:type="spellEnd"/>
      <w:r w:rsidR="0048153D" w:rsidRPr="00872196">
        <w:t xml:space="preserve"> Island until the end of their trial.</w:t>
      </w:r>
      <w:r w:rsidR="0048153D">
        <w:t xml:space="preserve"> The author wishes an explanation.</w:t>
      </w:r>
    </w:p>
    <w:p w:rsidR="0048153D" w:rsidRDefault="000A68E2" w:rsidP="0048153D">
      <w:pPr>
        <w:pStyle w:val="SingleTxtG"/>
      </w:pPr>
      <w:r>
        <w:t>7.4</w:t>
      </w:r>
      <w:r w:rsidR="006C1762">
        <w:tab/>
      </w:r>
      <w:r w:rsidR="0048153D">
        <w:t>A</w:t>
      </w:r>
      <w:r w:rsidR="0048153D" w:rsidRPr="00872196">
        <w:t xml:space="preserve"> lawyer was appointed for </w:t>
      </w:r>
      <w:r w:rsidR="0048153D">
        <w:t xml:space="preserve">Mr. </w:t>
      </w:r>
      <w:proofErr w:type="spellStart"/>
      <w:r w:rsidR="0048153D">
        <w:t>Humaam</w:t>
      </w:r>
      <w:proofErr w:type="spellEnd"/>
      <w:r w:rsidR="0048153D" w:rsidRPr="00872196">
        <w:t xml:space="preserve"> </w:t>
      </w:r>
      <w:r w:rsidR="0048153D">
        <w:t xml:space="preserve">on </w:t>
      </w:r>
      <w:r w:rsidR="0048153D" w:rsidRPr="00872196">
        <w:t xml:space="preserve">2 November 2012, and on 16 November </w:t>
      </w:r>
      <w:proofErr w:type="gramStart"/>
      <w:r w:rsidR="0048153D" w:rsidRPr="00872196">
        <w:t>2012</w:t>
      </w:r>
      <w:proofErr w:type="gramEnd"/>
      <w:r w:rsidR="0048153D" w:rsidRPr="00872196">
        <w:t xml:space="preserve"> </w:t>
      </w:r>
      <w:r w:rsidR="0048153D">
        <w:t xml:space="preserve">Mr. </w:t>
      </w:r>
      <w:proofErr w:type="spellStart"/>
      <w:r w:rsidR="0048153D">
        <w:t>Humaam</w:t>
      </w:r>
      <w:proofErr w:type="spellEnd"/>
      <w:r w:rsidR="0048153D" w:rsidRPr="00872196">
        <w:t xml:space="preserve"> signed a statement denying the offence. On 7 December 2012, </w:t>
      </w:r>
      <w:r w:rsidR="0048153D">
        <w:t xml:space="preserve">Mr. </w:t>
      </w:r>
      <w:proofErr w:type="spellStart"/>
      <w:r w:rsidR="0048153D">
        <w:t>Humaam</w:t>
      </w:r>
      <w:proofErr w:type="spellEnd"/>
      <w:r w:rsidR="0048153D" w:rsidRPr="00872196">
        <w:t xml:space="preserve"> was taken to the Police Headquarters in Male’ and made the alleged confession there. It is not clear why he had to be brought all the way from </w:t>
      </w:r>
      <w:proofErr w:type="spellStart"/>
      <w:r w:rsidR="0048153D" w:rsidRPr="00872196">
        <w:t>Villimale</w:t>
      </w:r>
      <w:proofErr w:type="spellEnd"/>
      <w:r w:rsidR="0048153D" w:rsidRPr="00872196">
        <w:t>’ to the Police Headquarters in Male’ where he sudden</w:t>
      </w:r>
      <w:r w:rsidR="0048153D">
        <w:t>ly</w:t>
      </w:r>
      <w:r w:rsidR="0048153D" w:rsidRPr="00872196">
        <w:t xml:space="preserve"> confessed to the crime, which he had denied earlier, and signed a statement to that effect. Immediately thereafter, he </w:t>
      </w:r>
      <w:proofErr w:type="gramStart"/>
      <w:r w:rsidR="0048153D" w:rsidRPr="00872196">
        <w:t>was taken</w:t>
      </w:r>
      <w:proofErr w:type="gramEnd"/>
      <w:r w:rsidR="0048153D" w:rsidRPr="00872196">
        <w:t xml:space="preserve"> before a judge and he repeated his confession. The records of the investigation, trial and appeal do not show that the legal counsel for </w:t>
      </w:r>
      <w:r w:rsidR="0048153D">
        <w:t xml:space="preserve">Mr. </w:t>
      </w:r>
      <w:proofErr w:type="spellStart"/>
      <w:r w:rsidR="0048153D">
        <w:t>Humaam</w:t>
      </w:r>
      <w:proofErr w:type="spellEnd"/>
      <w:r w:rsidR="0048153D" w:rsidRPr="00872196">
        <w:t xml:space="preserve"> was present when the alleged confession </w:t>
      </w:r>
      <w:proofErr w:type="gramStart"/>
      <w:r w:rsidR="0048153D" w:rsidRPr="00872196">
        <w:t>was made</w:t>
      </w:r>
      <w:proofErr w:type="gramEnd"/>
      <w:r w:rsidR="0048153D" w:rsidRPr="00872196">
        <w:t xml:space="preserve"> to the police on 7 December 2012 and before the judge the following day. This is a </w:t>
      </w:r>
      <w:r w:rsidR="0048153D" w:rsidRPr="00872196">
        <w:lastRenderedPageBreak/>
        <w:t>clear violation of Article</w:t>
      </w:r>
      <w:r w:rsidR="0048153D">
        <w:t>s</w:t>
      </w:r>
      <w:r w:rsidR="0048153D" w:rsidRPr="00872196">
        <w:t xml:space="preserve"> 51(f) and 53 of the Constitution</w:t>
      </w:r>
      <w:r w:rsidR="0048153D">
        <w:t>,</w:t>
      </w:r>
      <w:r w:rsidR="0048153D" w:rsidRPr="00872196">
        <w:t xml:space="preserve"> </w:t>
      </w:r>
      <w:r w:rsidR="0048153D">
        <w:t>which</w:t>
      </w:r>
      <w:r w:rsidR="0048153D" w:rsidRPr="00872196">
        <w:t xml:space="preserve"> includ</w:t>
      </w:r>
      <w:r w:rsidR="0048153D">
        <w:t>e</w:t>
      </w:r>
      <w:r w:rsidR="0048153D" w:rsidRPr="00872196">
        <w:t xml:space="preserve"> the right </w:t>
      </w:r>
      <w:r w:rsidR="0048153D">
        <w:t xml:space="preserve">to </w:t>
      </w:r>
      <w:r w:rsidR="0048153D" w:rsidRPr="00872196">
        <w:t xml:space="preserve">consult with and </w:t>
      </w:r>
      <w:proofErr w:type="gramStart"/>
      <w:r w:rsidR="0048153D" w:rsidRPr="00872196">
        <w:t>be represented</w:t>
      </w:r>
      <w:proofErr w:type="gramEnd"/>
      <w:r w:rsidR="0048153D" w:rsidRPr="00872196">
        <w:t xml:space="preserve"> by a lawyer of </w:t>
      </w:r>
      <w:r w:rsidR="0048153D">
        <w:t>the defendant’s</w:t>
      </w:r>
      <w:r w:rsidR="0048153D" w:rsidRPr="00872196">
        <w:t xml:space="preserve"> choice.</w:t>
      </w:r>
      <w:r w:rsidR="0048153D" w:rsidRPr="005C7FD5">
        <w:t xml:space="preserve"> </w:t>
      </w:r>
      <w:r w:rsidR="0048153D">
        <w:t xml:space="preserve">Mr. </w:t>
      </w:r>
      <w:proofErr w:type="spellStart"/>
      <w:r w:rsidR="0048153D">
        <w:t>Humaam</w:t>
      </w:r>
      <w:r w:rsidR="0048153D" w:rsidRPr="00872196">
        <w:t>’s</w:t>
      </w:r>
      <w:proofErr w:type="spellEnd"/>
      <w:r w:rsidR="0048153D" w:rsidRPr="00872196">
        <w:t xml:space="preserve"> lawyer departed the Maldives to study. As </w:t>
      </w:r>
      <w:r w:rsidR="0048153D">
        <w:t xml:space="preserve">Mr. </w:t>
      </w:r>
      <w:proofErr w:type="spellStart"/>
      <w:r w:rsidR="0048153D">
        <w:t>Humaam</w:t>
      </w:r>
      <w:proofErr w:type="spellEnd"/>
      <w:r w:rsidR="0048153D" w:rsidRPr="00872196">
        <w:t xml:space="preserve"> </w:t>
      </w:r>
      <w:proofErr w:type="gramStart"/>
      <w:r w:rsidR="0048153D" w:rsidRPr="00872196">
        <w:t>couldn’t</w:t>
      </w:r>
      <w:proofErr w:type="gramEnd"/>
      <w:r w:rsidR="0048153D" w:rsidRPr="00872196">
        <w:t xml:space="preserve"> afford a lawyer, </w:t>
      </w:r>
      <w:r w:rsidR="0048153D">
        <w:t>he was appointed a public defender</w:t>
      </w:r>
      <w:r w:rsidR="0048153D" w:rsidRPr="00872196">
        <w:t xml:space="preserve">. However, </w:t>
      </w:r>
      <w:r w:rsidR="0048153D">
        <w:t xml:space="preserve">Mr. </w:t>
      </w:r>
      <w:proofErr w:type="spellStart"/>
      <w:r w:rsidR="0048153D">
        <w:t>Humaam</w:t>
      </w:r>
      <w:proofErr w:type="spellEnd"/>
      <w:r w:rsidR="0048153D" w:rsidRPr="00872196">
        <w:t xml:space="preserve"> refused the services </w:t>
      </w:r>
      <w:r w:rsidR="0048153D">
        <w:t>of that</w:t>
      </w:r>
      <w:r w:rsidR="0048153D" w:rsidRPr="00872196">
        <w:t xml:space="preserve"> lawyer because he </w:t>
      </w:r>
      <w:r w:rsidR="0048153D">
        <w:t>did</w:t>
      </w:r>
      <w:r w:rsidR="0048153D" w:rsidRPr="00872196">
        <w:t xml:space="preserve"> no</w:t>
      </w:r>
      <w:r w:rsidR="0048153D">
        <w:t>t</w:t>
      </w:r>
      <w:r w:rsidR="0048153D" w:rsidRPr="00872196">
        <w:t xml:space="preserve"> trust the criminal justice</w:t>
      </w:r>
      <w:r w:rsidR="0048153D">
        <w:t xml:space="preserve"> system</w:t>
      </w:r>
      <w:r w:rsidR="0048153D" w:rsidRPr="00872196">
        <w:t xml:space="preserve">. His lack of </w:t>
      </w:r>
      <w:r w:rsidR="0048153D">
        <w:t xml:space="preserve">access to his retained counsel and access to any </w:t>
      </w:r>
      <w:r w:rsidR="0048153D" w:rsidRPr="00872196">
        <w:t xml:space="preserve">counsel </w:t>
      </w:r>
      <w:r w:rsidR="0048153D">
        <w:t>at certain times indicates</w:t>
      </w:r>
      <w:r w:rsidR="0048153D" w:rsidRPr="00872196">
        <w:t xml:space="preserve"> that the alleged ‘confession’ </w:t>
      </w:r>
      <w:proofErr w:type="gramStart"/>
      <w:r w:rsidR="0048153D" w:rsidRPr="00872196">
        <w:t xml:space="preserve">was </w:t>
      </w:r>
      <w:r w:rsidR="0048153D">
        <w:t xml:space="preserve">not </w:t>
      </w:r>
      <w:r w:rsidR="0048153D" w:rsidRPr="00872196">
        <w:t>made</w:t>
      </w:r>
      <w:proofErr w:type="gramEnd"/>
      <w:r w:rsidR="0048153D" w:rsidRPr="00872196">
        <w:t xml:space="preserve"> voluntarily.</w:t>
      </w:r>
    </w:p>
    <w:p w:rsidR="0048153D" w:rsidRPr="00872196" w:rsidRDefault="000A68E2" w:rsidP="0048153D">
      <w:pPr>
        <w:pStyle w:val="SingleTxtG"/>
      </w:pPr>
      <w:r>
        <w:t>7.5</w:t>
      </w:r>
      <w:r w:rsidR="006C1762">
        <w:tab/>
      </w:r>
      <w:r w:rsidR="0048153D" w:rsidRPr="005C7FD5">
        <w:t xml:space="preserve">Further, </w:t>
      </w:r>
      <w:r w:rsidR="0048153D">
        <w:t>t</w:t>
      </w:r>
      <w:r w:rsidR="0048153D" w:rsidRPr="00872196">
        <w:t xml:space="preserve">he absence of video footage of the alleged ‘confession’ at the police headquarters on 7 December 2012, </w:t>
      </w:r>
      <w:r w:rsidR="0048153D">
        <w:t>violates</w:t>
      </w:r>
      <w:r w:rsidR="0048153D" w:rsidRPr="00872196">
        <w:t xml:space="preserve"> Section 6 of the Police Powers Regulation (dated 2 November 2008)</w:t>
      </w:r>
      <w:r w:rsidR="0048153D">
        <w:t>, which</w:t>
      </w:r>
      <w:r w:rsidR="0048153D" w:rsidRPr="00872196">
        <w:t xml:space="preserve"> require</w:t>
      </w:r>
      <w:r w:rsidR="0048153D">
        <w:t>s</w:t>
      </w:r>
      <w:r w:rsidR="0048153D" w:rsidRPr="00872196">
        <w:t xml:space="preserve"> video recording of all </w:t>
      </w:r>
      <w:r w:rsidR="0048153D">
        <w:t xml:space="preserve">police investigation </w:t>
      </w:r>
      <w:r w:rsidR="0048153D" w:rsidRPr="00872196">
        <w:t>interrogations.</w:t>
      </w:r>
      <w:r w:rsidR="00EE2064">
        <w:t xml:space="preserve"> </w:t>
      </w:r>
      <w:r w:rsidR="0048153D">
        <w:t>Finally, a</w:t>
      </w:r>
      <w:r w:rsidR="0048153D" w:rsidRPr="00872196">
        <w:t xml:space="preserve">ccording to the </w:t>
      </w:r>
      <w:r w:rsidR="0048153D">
        <w:t xml:space="preserve">court </w:t>
      </w:r>
      <w:r w:rsidR="0048153D" w:rsidRPr="00872196">
        <w:t xml:space="preserve">records </w:t>
      </w:r>
      <w:r w:rsidR="0048153D">
        <w:t xml:space="preserve">Mr. </w:t>
      </w:r>
      <w:proofErr w:type="spellStart"/>
      <w:r w:rsidR="0048153D">
        <w:t>Humaam</w:t>
      </w:r>
      <w:proofErr w:type="spellEnd"/>
      <w:r w:rsidR="0048153D" w:rsidRPr="00872196">
        <w:t xml:space="preserve"> </w:t>
      </w:r>
      <w:proofErr w:type="gramStart"/>
      <w:r w:rsidR="0048153D" w:rsidRPr="00872196">
        <w:t>was charged</w:t>
      </w:r>
      <w:proofErr w:type="gramEnd"/>
      <w:r w:rsidR="0048153D" w:rsidRPr="00872196">
        <w:t xml:space="preserve"> on 30 January 2013. </w:t>
      </w:r>
      <w:r w:rsidR="0048153D">
        <w:t xml:space="preserve">It </w:t>
      </w:r>
      <w:r w:rsidR="0048153D" w:rsidRPr="00872196">
        <w:t xml:space="preserve">is not ordinary criminal procedure in the Maldives to record a confession of a suspect in court before the suspect </w:t>
      </w:r>
      <w:proofErr w:type="gramStart"/>
      <w:r w:rsidR="0048153D">
        <w:t>is</w:t>
      </w:r>
      <w:r w:rsidR="0048153D" w:rsidRPr="00872196">
        <w:t xml:space="preserve"> charged</w:t>
      </w:r>
      <w:proofErr w:type="gramEnd"/>
      <w:r w:rsidR="0048153D" w:rsidRPr="00872196">
        <w:t xml:space="preserve"> with a crime. </w:t>
      </w:r>
    </w:p>
    <w:p w:rsidR="0048153D" w:rsidRPr="00872196" w:rsidRDefault="0048153D" w:rsidP="0048153D">
      <w:pPr>
        <w:pStyle w:val="SingleTxtG"/>
      </w:pPr>
      <w:r>
        <w:t>7</w:t>
      </w:r>
      <w:r w:rsidR="000A68E2">
        <w:t>.6</w:t>
      </w:r>
      <w:r w:rsidR="006C1762">
        <w:tab/>
      </w:r>
      <w:r w:rsidRPr="00872196">
        <w:t xml:space="preserve">On 6 May 2013, when the trial commenced, without a lawyer, </w:t>
      </w:r>
      <w:r>
        <w:t xml:space="preserve">Mr. </w:t>
      </w:r>
      <w:proofErr w:type="spellStart"/>
      <w:r>
        <w:t>Humaam</w:t>
      </w:r>
      <w:proofErr w:type="spellEnd"/>
      <w:r w:rsidRPr="00872196">
        <w:t xml:space="preserve"> denied having committed the offence. However, </w:t>
      </w:r>
      <w:r>
        <w:t>at</w:t>
      </w:r>
      <w:r w:rsidRPr="00872196">
        <w:t xml:space="preserve"> a hearing on 22 May 2013</w:t>
      </w:r>
      <w:r>
        <w:t>,</w:t>
      </w:r>
      <w:r w:rsidRPr="00872196">
        <w:t xml:space="preserve"> without being represented by a lawyer, </w:t>
      </w:r>
      <w:r>
        <w:t xml:space="preserve">Mr. </w:t>
      </w:r>
      <w:proofErr w:type="spellStart"/>
      <w:r>
        <w:t>Humaam</w:t>
      </w:r>
      <w:proofErr w:type="spellEnd"/>
      <w:r w:rsidRPr="00872196">
        <w:t xml:space="preserve"> ‘confessed’ to the crime. </w:t>
      </w:r>
      <w:r>
        <w:t>O</w:t>
      </w:r>
      <w:r w:rsidRPr="00872196">
        <w:t xml:space="preserve">n 31st May 2013, </w:t>
      </w:r>
      <w:r>
        <w:t xml:space="preserve">when </w:t>
      </w:r>
      <w:proofErr w:type="gramStart"/>
      <w:r>
        <w:t>he was represented by counsel</w:t>
      </w:r>
      <w:proofErr w:type="gramEnd"/>
      <w:r>
        <w:t xml:space="preserve">, Mr. </w:t>
      </w:r>
      <w:proofErr w:type="spellStart"/>
      <w:r>
        <w:t>Humaam</w:t>
      </w:r>
      <w:proofErr w:type="spellEnd"/>
      <w:r w:rsidRPr="00872196">
        <w:t xml:space="preserve"> retracted </w:t>
      </w:r>
      <w:r>
        <w:t>his</w:t>
      </w:r>
      <w:r w:rsidRPr="00872196">
        <w:t xml:space="preserve"> ‘confession’.</w:t>
      </w:r>
      <w:r>
        <w:t xml:space="preserve"> </w:t>
      </w:r>
    </w:p>
    <w:p w:rsidR="0048153D" w:rsidRPr="00872196" w:rsidRDefault="0048153D" w:rsidP="0048153D">
      <w:pPr>
        <w:pStyle w:val="SingleTxtG"/>
      </w:pPr>
      <w:r>
        <w:t>7</w:t>
      </w:r>
      <w:r w:rsidRPr="00872196">
        <w:t>.</w:t>
      </w:r>
      <w:r>
        <w:t>7</w:t>
      </w:r>
      <w:r w:rsidR="006C1762">
        <w:tab/>
      </w:r>
      <w:r w:rsidRPr="00964A54">
        <w:t xml:space="preserve">The author further refutes the State party’s observation that there was no evidence suggesting that Mr. </w:t>
      </w:r>
      <w:proofErr w:type="spellStart"/>
      <w:r w:rsidRPr="00964A54">
        <w:t>Humaam</w:t>
      </w:r>
      <w:proofErr w:type="spellEnd"/>
      <w:r w:rsidRPr="00964A54">
        <w:t xml:space="preserve"> had any mental illness or that he </w:t>
      </w:r>
      <w:proofErr w:type="gramStart"/>
      <w:r w:rsidRPr="00964A54">
        <w:t>was forced</w:t>
      </w:r>
      <w:proofErr w:type="gramEnd"/>
      <w:r w:rsidRPr="00964A54">
        <w:t xml:space="preserve"> to confess. </w:t>
      </w:r>
      <w:r>
        <w:t xml:space="preserve">The </w:t>
      </w:r>
      <w:r w:rsidRPr="00964A54">
        <w:t xml:space="preserve">courts failed to take into account the fact that </w:t>
      </w:r>
      <w:r>
        <w:t xml:space="preserve">Mr. </w:t>
      </w:r>
      <w:proofErr w:type="spellStart"/>
      <w:r>
        <w:t>Humaam</w:t>
      </w:r>
      <w:proofErr w:type="spellEnd"/>
      <w:r w:rsidRPr="00964A54">
        <w:t xml:space="preserve"> had a history of mental health issues and had been in State care for treatment</w:t>
      </w:r>
      <w:r>
        <w:t xml:space="preserve"> only months before his arrest</w:t>
      </w:r>
      <w:r w:rsidRPr="00964A54">
        <w:t xml:space="preserve">. This fact, coupled with his behaviour from the time of his arrest on 2 October 2012, constitutes a flaw in the entire trial and appeal process. </w:t>
      </w:r>
      <w:r w:rsidRPr="00872196">
        <w:t>The Case Report of the Maldives Police Service</w:t>
      </w:r>
      <w:r w:rsidRPr="00872196">
        <w:rPr>
          <w:rStyle w:val="FootnoteReference"/>
        </w:rPr>
        <w:footnoteReference w:id="16"/>
      </w:r>
      <w:r w:rsidRPr="00872196">
        <w:t xml:space="preserve"> shows that doctors have prescribed medication for mental issues to </w:t>
      </w:r>
      <w:r>
        <w:t xml:space="preserve">Mr. </w:t>
      </w:r>
      <w:proofErr w:type="spellStart"/>
      <w:r>
        <w:t>Humaam</w:t>
      </w:r>
      <w:proofErr w:type="spellEnd"/>
      <w:r w:rsidRPr="00872196">
        <w:t xml:space="preserve"> and that the only professional psychiatrist in the country had refused to make a psychological assessment of him due to a conflict of interest.</w:t>
      </w:r>
      <w:r w:rsidR="00AF53E3">
        <w:rPr>
          <w:rStyle w:val="FootnoteReference"/>
        </w:rPr>
        <w:t xml:space="preserve"> </w:t>
      </w:r>
      <w:r>
        <w:t>T</w:t>
      </w:r>
      <w:r w:rsidRPr="00872196">
        <w:t xml:space="preserve">he Human Rights Commission also wrote to the Maldives Police Service regarding psychiatric medication for </w:t>
      </w:r>
      <w:r>
        <w:t xml:space="preserve">Mr. </w:t>
      </w:r>
      <w:proofErr w:type="spellStart"/>
      <w:r>
        <w:t>Humaam</w:t>
      </w:r>
      <w:proofErr w:type="spellEnd"/>
      <w:r w:rsidRPr="00872196">
        <w:t xml:space="preserve">. The </w:t>
      </w:r>
      <w:r>
        <w:t xml:space="preserve">Police </w:t>
      </w:r>
      <w:r w:rsidRPr="00872196">
        <w:t xml:space="preserve">Case Report also states that the lawyers for </w:t>
      </w:r>
      <w:r>
        <w:t xml:space="preserve">Mr. </w:t>
      </w:r>
      <w:proofErr w:type="spellStart"/>
      <w:r>
        <w:t>Humaam</w:t>
      </w:r>
      <w:proofErr w:type="spellEnd"/>
      <w:r w:rsidRPr="00872196">
        <w:t xml:space="preserve"> requested </w:t>
      </w:r>
      <w:r>
        <w:t xml:space="preserve">that </w:t>
      </w:r>
      <w:r w:rsidRPr="00872196">
        <w:t xml:space="preserve">the trial court </w:t>
      </w:r>
      <w:r>
        <w:t>assess</w:t>
      </w:r>
      <w:r w:rsidRPr="00872196">
        <w:t xml:space="preserve"> the psychological condition of </w:t>
      </w:r>
      <w:r>
        <w:t xml:space="preserve">Mr. </w:t>
      </w:r>
      <w:proofErr w:type="spellStart"/>
      <w:r>
        <w:t>Humaam</w:t>
      </w:r>
      <w:proofErr w:type="spellEnd"/>
      <w:r>
        <w:t>,</w:t>
      </w:r>
      <w:r w:rsidRPr="00872196">
        <w:t xml:space="preserve"> and the court refused those requests. Moreover, </w:t>
      </w:r>
      <w:r>
        <w:t xml:space="preserve">Mr. </w:t>
      </w:r>
      <w:proofErr w:type="spellStart"/>
      <w:r>
        <w:t>Humaam</w:t>
      </w:r>
      <w:proofErr w:type="spellEnd"/>
      <w:r w:rsidRPr="00872196">
        <w:t xml:space="preserve"> was in state rehabilitation care due to behavioural issues until a few months prior to the murder of the </w:t>
      </w:r>
      <w:r>
        <w:t>MP</w:t>
      </w:r>
      <w:r w:rsidRPr="00872196">
        <w:t>.</w:t>
      </w:r>
      <w:r w:rsidR="00EE2064">
        <w:t xml:space="preserve"> </w:t>
      </w:r>
      <w:r w:rsidRPr="00964A54">
        <w:t xml:space="preserve">When </w:t>
      </w:r>
      <w:r>
        <w:t xml:space="preserve">Mr. </w:t>
      </w:r>
      <w:proofErr w:type="spellStart"/>
      <w:r>
        <w:t>Humaam</w:t>
      </w:r>
      <w:proofErr w:type="spellEnd"/>
      <w:r w:rsidRPr="00964A54">
        <w:t xml:space="preserve"> </w:t>
      </w:r>
      <w:proofErr w:type="gramStart"/>
      <w:r w:rsidRPr="00964A54">
        <w:t>was produced</w:t>
      </w:r>
      <w:proofErr w:type="gramEnd"/>
      <w:r w:rsidRPr="00964A54">
        <w:t xml:space="preserve"> before the Juvenile Court in a previous case, the Juvenile Court had directed the authorities to provide psychological counselling to Mr. </w:t>
      </w:r>
      <w:proofErr w:type="spellStart"/>
      <w:r w:rsidRPr="00964A54">
        <w:t>Humaam</w:t>
      </w:r>
      <w:proofErr w:type="spellEnd"/>
      <w:r w:rsidRPr="00964A54">
        <w:t xml:space="preserve">. This fact should have been within the knowledge of the trial judge. </w:t>
      </w:r>
    </w:p>
    <w:p w:rsidR="0048153D" w:rsidRPr="00872196" w:rsidRDefault="0048153D" w:rsidP="0048153D">
      <w:pPr>
        <w:pStyle w:val="SingleTxtG"/>
      </w:pPr>
      <w:r>
        <w:t>7</w:t>
      </w:r>
      <w:r w:rsidRPr="00872196">
        <w:t>.</w:t>
      </w:r>
      <w:r>
        <w:t>8</w:t>
      </w:r>
      <w:r w:rsidR="006C1762">
        <w:tab/>
      </w:r>
      <w:r w:rsidRPr="00872196">
        <w:t xml:space="preserve">The </w:t>
      </w:r>
      <w:r>
        <w:t xml:space="preserve">author notes the </w:t>
      </w:r>
      <w:r w:rsidRPr="00872196">
        <w:t>State party</w:t>
      </w:r>
      <w:r>
        <w:t xml:space="preserve">’s observation </w:t>
      </w:r>
      <w:r w:rsidRPr="00872196">
        <w:t>that any witnesses bec</w:t>
      </w:r>
      <w:r>
        <w:t>a</w:t>
      </w:r>
      <w:r w:rsidRPr="00872196">
        <w:t xml:space="preserve">me irrelevant </w:t>
      </w:r>
      <w:r>
        <w:t xml:space="preserve">due to Mr. </w:t>
      </w:r>
      <w:proofErr w:type="spellStart"/>
      <w:r>
        <w:t>Humaam’s</w:t>
      </w:r>
      <w:proofErr w:type="spellEnd"/>
      <w:r>
        <w:t xml:space="preserve"> confession of</w:t>
      </w:r>
      <w:r w:rsidRPr="00872196">
        <w:t xml:space="preserve"> 22 May 2013. However, </w:t>
      </w:r>
      <w:r>
        <w:t>because</w:t>
      </w:r>
      <w:r w:rsidRPr="00872196">
        <w:t xml:space="preserve"> </w:t>
      </w:r>
      <w:r>
        <w:t xml:space="preserve">Mr </w:t>
      </w:r>
      <w:proofErr w:type="spellStart"/>
      <w:r>
        <w:t>Humaam</w:t>
      </w:r>
      <w:proofErr w:type="spellEnd"/>
      <w:r>
        <w:t xml:space="preserve"> </w:t>
      </w:r>
      <w:r w:rsidRPr="00872196">
        <w:t xml:space="preserve">retracted </w:t>
      </w:r>
      <w:r>
        <w:t>his</w:t>
      </w:r>
      <w:r w:rsidRPr="00872196">
        <w:t xml:space="preserve"> confession on 31 May 2013, he </w:t>
      </w:r>
      <w:proofErr w:type="gramStart"/>
      <w:r w:rsidRPr="00872196">
        <w:t xml:space="preserve">should have been </w:t>
      </w:r>
      <w:r>
        <w:t>allowed</w:t>
      </w:r>
      <w:proofErr w:type="gramEnd"/>
      <w:r w:rsidRPr="00872196">
        <w:t xml:space="preserve"> to call witnesses. </w:t>
      </w:r>
      <w:r>
        <w:t>Although t</w:t>
      </w:r>
      <w:r w:rsidRPr="00872196">
        <w:t xml:space="preserve">he High Court and the Supreme Court </w:t>
      </w:r>
      <w:r>
        <w:t>concluded</w:t>
      </w:r>
      <w:r w:rsidRPr="00872196">
        <w:t xml:space="preserve"> that </w:t>
      </w:r>
      <w:r>
        <w:t xml:space="preserve">Mr. </w:t>
      </w:r>
      <w:proofErr w:type="spellStart"/>
      <w:r>
        <w:t>Humaam</w:t>
      </w:r>
      <w:proofErr w:type="spellEnd"/>
      <w:r w:rsidRPr="00872196">
        <w:t xml:space="preserve"> was unable to demonstrate the danger to either himself or his family</w:t>
      </w:r>
      <w:r>
        <w:t>,</w:t>
      </w:r>
      <w:r w:rsidRPr="00872196">
        <w:t xml:space="preserve"> even though he alleged these as reasons for the confession</w:t>
      </w:r>
      <w:r>
        <w:t xml:space="preserve">, after </w:t>
      </w:r>
      <w:r w:rsidRPr="00872196">
        <w:t xml:space="preserve">withdrawing the confession on 31 May 2013, </w:t>
      </w:r>
      <w:r>
        <w:t xml:space="preserve">Mr. </w:t>
      </w:r>
      <w:proofErr w:type="spellStart"/>
      <w:r>
        <w:t>Humaam</w:t>
      </w:r>
      <w:proofErr w:type="spellEnd"/>
      <w:r w:rsidRPr="00872196">
        <w:t xml:space="preserve"> sought to call witnesses to prove that he was under duress when he made the confession. As he </w:t>
      </w:r>
      <w:proofErr w:type="gramStart"/>
      <w:r>
        <w:t>was not allowed</w:t>
      </w:r>
      <w:proofErr w:type="gramEnd"/>
      <w:r>
        <w:t xml:space="preserve"> to do so</w:t>
      </w:r>
      <w:r w:rsidRPr="00872196">
        <w:t>, he was denied the opportunity to mount his defence</w:t>
      </w:r>
      <w:r>
        <w:t>, contrary to article 14 of the Covenant</w:t>
      </w:r>
      <w:r w:rsidRPr="00872196">
        <w:t xml:space="preserve">. Hence, the </w:t>
      </w:r>
      <w:r>
        <w:t xml:space="preserve">State party’s </w:t>
      </w:r>
      <w:r w:rsidRPr="00872196">
        <w:t>contention that calling witnesses at that stage was ‘irrelevant’</w:t>
      </w:r>
      <w:r>
        <w:t xml:space="preserve"> is incorrect</w:t>
      </w:r>
      <w:r w:rsidRPr="00872196">
        <w:t xml:space="preserve">. </w:t>
      </w:r>
    </w:p>
    <w:p w:rsidR="0048153D" w:rsidRPr="00872196" w:rsidRDefault="0048153D" w:rsidP="0048153D">
      <w:pPr>
        <w:pStyle w:val="SingleTxtG"/>
      </w:pPr>
      <w:r>
        <w:t>7.9</w:t>
      </w:r>
      <w:r w:rsidR="006C1762">
        <w:tab/>
      </w:r>
      <w:r w:rsidRPr="00872196">
        <w:t xml:space="preserve">The author submits that </w:t>
      </w:r>
      <w:r>
        <w:t xml:space="preserve">Mr. </w:t>
      </w:r>
      <w:proofErr w:type="spellStart"/>
      <w:r>
        <w:t>Humaam</w:t>
      </w:r>
      <w:proofErr w:type="spellEnd"/>
      <w:r w:rsidRPr="00872196">
        <w:t xml:space="preserve"> lost two key witnesses. </w:t>
      </w:r>
      <w:r>
        <w:t xml:space="preserve">The first one </w:t>
      </w:r>
      <w:r w:rsidRPr="00872196">
        <w:t xml:space="preserve">was the police officer who was in charge of monitoring CCTV cameras on the streets </w:t>
      </w:r>
      <w:proofErr w:type="gramStart"/>
      <w:r w:rsidRPr="00872196">
        <w:t>in the vicinity of</w:t>
      </w:r>
      <w:proofErr w:type="gramEnd"/>
      <w:r w:rsidRPr="00872196">
        <w:t xml:space="preserve"> the murder. Not only did the officer die soon after the incident (his unexplained death was never investigated), but there </w:t>
      </w:r>
      <w:r>
        <w:t xml:space="preserve">also </w:t>
      </w:r>
      <w:r w:rsidRPr="00872196">
        <w:t xml:space="preserve">was no video footage of the material time from any CCTV camera in that vicinity. The second witness, Mr. </w:t>
      </w:r>
      <w:proofErr w:type="spellStart"/>
      <w:r w:rsidRPr="00872196">
        <w:t>Azlif</w:t>
      </w:r>
      <w:proofErr w:type="spellEnd"/>
      <w:r w:rsidRPr="00872196">
        <w:t xml:space="preserve"> Rauf, whose passport </w:t>
      </w:r>
      <w:proofErr w:type="gramStart"/>
      <w:r w:rsidRPr="00872196">
        <w:t>was seized</w:t>
      </w:r>
      <w:proofErr w:type="gramEnd"/>
      <w:r w:rsidRPr="00872196">
        <w:t xml:space="preserve"> by the Maldives Police Service in connection with the </w:t>
      </w:r>
      <w:r>
        <w:t xml:space="preserve">MP’s </w:t>
      </w:r>
      <w:r w:rsidRPr="00872196">
        <w:t>murder</w:t>
      </w:r>
      <w:r>
        <w:t xml:space="preserve">, </w:t>
      </w:r>
      <w:r w:rsidRPr="00872196">
        <w:t xml:space="preserve">was mysteriously allowed to leave </w:t>
      </w:r>
      <w:r>
        <w:t xml:space="preserve">the country </w:t>
      </w:r>
      <w:r w:rsidRPr="00872196">
        <w:t xml:space="preserve">and has not returned since. It is clear that a person whose passport </w:t>
      </w:r>
      <w:proofErr w:type="gramStart"/>
      <w:r w:rsidRPr="00872196">
        <w:t xml:space="preserve">was seized by the police and prevented from leaving the country by a court order for a very serious </w:t>
      </w:r>
      <w:r w:rsidRPr="00872196">
        <w:lastRenderedPageBreak/>
        <w:t>crime</w:t>
      </w:r>
      <w:proofErr w:type="gramEnd"/>
      <w:r w:rsidRPr="00872196">
        <w:t xml:space="preserve"> could not </w:t>
      </w:r>
      <w:r>
        <w:t xml:space="preserve">travel abroad </w:t>
      </w:r>
      <w:r w:rsidRPr="00872196">
        <w:t xml:space="preserve">unless senior government officials and the Maldives Police Service had facilitated his departure. </w:t>
      </w:r>
      <w:r>
        <w:t xml:space="preserve">The police </w:t>
      </w:r>
      <w:r w:rsidRPr="00872196">
        <w:t xml:space="preserve">opened an investigation to </w:t>
      </w:r>
      <w:r>
        <w:t>determine</w:t>
      </w:r>
      <w:r w:rsidRPr="00872196">
        <w:t xml:space="preserve"> who was responsible for facilitating his departure, but </w:t>
      </w:r>
      <w:r>
        <w:t>it h</w:t>
      </w:r>
      <w:r w:rsidRPr="00872196">
        <w:t xml:space="preserve">as not concluded to date. The author asserts that the State party misrepresented the facts in these paragraphs by saying that </w:t>
      </w:r>
      <w:r>
        <w:t>t</w:t>
      </w:r>
      <w:r w:rsidRPr="00872196">
        <w:t xml:space="preserve">he </w:t>
      </w:r>
      <w:r>
        <w:t xml:space="preserve">second witness </w:t>
      </w:r>
      <w:r w:rsidRPr="00872196">
        <w:t>had left the country of his own volition</w:t>
      </w:r>
      <w:r>
        <w:t>,</w:t>
      </w:r>
      <w:r w:rsidRPr="00872196">
        <w:t xml:space="preserve"> thereby suggesting that he was free to leave without the consent of the authorities.</w:t>
      </w:r>
    </w:p>
    <w:p w:rsidR="0048153D" w:rsidRPr="00872196" w:rsidRDefault="0048153D" w:rsidP="0048153D">
      <w:pPr>
        <w:pStyle w:val="SingleTxtG"/>
      </w:pPr>
      <w:r>
        <w:t>7</w:t>
      </w:r>
      <w:r w:rsidRPr="00872196">
        <w:t>.1</w:t>
      </w:r>
      <w:r>
        <w:t>0</w:t>
      </w:r>
      <w:r w:rsidR="006C1762">
        <w:tab/>
      </w:r>
      <w:r>
        <w:t xml:space="preserve">The Maldives does not have a criminal procedure code or an evidence act. Very few provisions on evidence are contained elsewhere in domestic law. </w:t>
      </w:r>
      <w:proofErr w:type="gramStart"/>
      <w:r>
        <w:t>Therefore</w:t>
      </w:r>
      <w:proofErr w:type="gramEnd"/>
      <w:r>
        <w:t xml:space="preserve"> criminal procedure relating to the conduct of a trial and appeal is left to the discretion of each judge on a case by case basis. </w:t>
      </w:r>
      <w:proofErr w:type="gramStart"/>
      <w:r>
        <w:t>Therefore</w:t>
      </w:r>
      <w:proofErr w:type="gramEnd"/>
      <w:r>
        <w:t xml:space="preserve"> </w:t>
      </w:r>
      <w:r w:rsidRPr="00872196">
        <w:t xml:space="preserve">Maldivian courts do not have any rules relating to anonymous witnesses. </w:t>
      </w:r>
      <w:r>
        <w:t>T</w:t>
      </w:r>
      <w:r w:rsidRPr="00872196">
        <w:t xml:space="preserve">he defendant’s right to a fair trial </w:t>
      </w:r>
      <w:proofErr w:type="gramStart"/>
      <w:r w:rsidRPr="00872196">
        <w:t>is violated</w:t>
      </w:r>
      <w:proofErr w:type="gramEnd"/>
      <w:r w:rsidRPr="00872196">
        <w:t xml:space="preserve"> in every case where the prosecution relies on anonymous witnesses. As it is impossible to conduct cross-examination of an anonymous witness</w:t>
      </w:r>
      <w:r>
        <w:t>,</w:t>
      </w:r>
      <w:r w:rsidRPr="00872196">
        <w:t xml:space="preserve"> there are no means available for the defendant to verify the truthfulness of the testimony. Usually a written statement </w:t>
      </w:r>
      <w:proofErr w:type="gramStart"/>
      <w:r w:rsidRPr="00872196">
        <w:t>is taken</w:t>
      </w:r>
      <w:proofErr w:type="gramEnd"/>
      <w:r w:rsidRPr="00872196">
        <w:t xml:space="preserve"> from the anonymous witnesses. </w:t>
      </w:r>
      <w:proofErr w:type="gramStart"/>
      <w:r w:rsidRPr="00872196">
        <w:t>However</w:t>
      </w:r>
      <w:proofErr w:type="gramEnd"/>
      <w:r w:rsidRPr="00872196">
        <w:t xml:space="preserve"> the Prosecution does not share the written statement with the Defence. </w:t>
      </w:r>
      <w:r>
        <w:t>T</w:t>
      </w:r>
      <w:r w:rsidRPr="00872196">
        <w:t>he Defence</w:t>
      </w:r>
      <w:r>
        <w:t xml:space="preserve"> thus</w:t>
      </w:r>
      <w:r w:rsidRPr="00872196">
        <w:t xml:space="preserve"> </w:t>
      </w:r>
      <w:proofErr w:type="gramStart"/>
      <w:r w:rsidRPr="00872196">
        <w:t>cannot be prepared</w:t>
      </w:r>
      <w:proofErr w:type="gramEnd"/>
      <w:r w:rsidRPr="00872196">
        <w:t xml:space="preserve"> for the cross-examination. Moreover, </w:t>
      </w:r>
      <w:proofErr w:type="gramStart"/>
      <w:r w:rsidRPr="00872196">
        <w:t xml:space="preserve">anonymous witnesses are relied on by the Prosecution only </w:t>
      </w:r>
      <w:r>
        <w:t>in political cases</w:t>
      </w:r>
      <w:proofErr w:type="gramEnd"/>
      <w:r>
        <w:t xml:space="preserve">. </w:t>
      </w:r>
      <w:r w:rsidRPr="00872196">
        <w:t xml:space="preserve">The identity of </w:t>
      </w:r>
      <w:r>
        <w:t xml:space="preserve">a </w:t>
      </w:r>
      <w:r w:rsidRPr="00872196">
        <w:t xml:space="preserve">witness </w:t>
      </w:r>
      <w:proofErr w:type="gramStart"/>
      <w:r w:rsidRPr="00872196">
        <w:t>is withheld</w:t>
      </w:r>
      <w:proofErr w:type="gramEnd"/>
      <w:r w:rsidRPr="00872196">
        <w:t xml:space="preserve"> for political reasons rather than to protect individual witnesses. </w:t>
      </w:r>
    </w:p>
    <w:p w:rsidR="0048153D" w:rsidRPr="00872196" w:rsidRDefault="0048153D" w:rsidP="0048153D">
      <w:pPr>
        <w:pStyle w:val="SingleTxtG"/>
      </w:pPr>
      <w:r>
        <w:t>7.11</w:t>
      </w:r>
      <w:r w:rsidR="006C1762">
        <w:tab/>
      </w:r>
      <w:r>
        <w:t xml:space="preserve">The author further refers to a report prepared by the </w:t>
      </w:r>
      <w:r w:rsidRPr="00872196">
        <w:t xml:space="preserve">University </w:t>
      </w:r>
      <w:proofErr w:type="gramStart"/>
      <w:r w:rsidRPr="00872196">
        <w:t>of</w:t>
      </w:r>
      <w:proofErr w:type="gramEnd"/>
      <w:r w:rsidRPr="00872196">
        <w:t xml:space="preserve"> Pennsylvania Law School</w:t>
      </w:r>
      <w:r>
        <w:t xml:space="preserve"> </w:t>
      </w:r>
      <w:r w:rsidRPr="00872196">
        <w:t>to the Government of Maldives in 2005</w:t>
      </w:r>
      <w:r w:rsidRPr="00872196">
        <w:rPr>
          <w:rStyle w:val="FootnoteReference"/>
        </w:rPr>
        <w:footnoteReference w:id="17"/>
      </w:r>
      <w:r>
        <w:t>, which</w:t>
      </w:r>
      <w:r w:rsidRPr="00872196">
        <w:t xml:space="preserve"> stated that “the Maldivian criminal justice system is inadequate, to the point that it systematically fails to do justice and regularly does injustice.” </w:t>
      </w:r>
      <w:r>
        <w:t xml:space="preserve">The report </w:t>
      </w:r>
      <w:r w:rsidRPr="00872196">
        <w:t xml:space="preserve">recommended wide ranging reforms, and </w:t>
      </w:r>
      <w:r>
        <w:t xml:space="preserve">noted </w:t>
      </w:r>
      <w:r w:rsidRPr="00872196">
        <w:t xml:space="preserve">that without dramatic change, the system was likely to deteriorate further. </w:t>
      </w:r>
      <w:r>
        <w:t>The reforms</w:t>
      </w:r>
      <w:r w:rsidRPr="00872196">
        <w:t xml:space="preserve"> include</w:t>
      </w:r>
      <w:r>
        <w:t>d</w:t>
      </w:r>
      <w:r w:rsidRPr="00872196">
        <w:t xml:space="preserve"> making the judiciary an independent branch of government, limiting the police's right to search, establishing the defendants' right to legal counsel, and ending the “present practice of relying primarily on confessions as the basis for establishing criminal liability.” </w:t>
      </w:r>
      <w:r>
        <w:t xml:space="preserve">These </w:t>
      </w:r>
      <w:r w:rsidRPr="00872196">
        <w:t xml:space="preserve">recommendations </w:t>
      </w:r>
      <w:proofErr w:type="gramStart"/>
      <w:r w:rsidRPr="00872196">
        <w:t>have not been implemented</w:t>
      </w:r>
      <w:proofErr w:type="gramEnd"/>
      <w:r w:rsidRPr="00872196">
        <w:t xml:space="preserve"> in full to-date</w:t>
      </w:r>
      <w:r>
        <w:t>,</w:t>
      </w:r>
      <w:r w:rsidRPr="00872196">
        <w:t xml:space="preserve"> and the author submits that political influence on the judiciary</w:t>
      </w:r>
      <w:r>
        <w:t xml:space="preserve"> has</w:t>
      </w:r>
      <w:r w:rsidRPr="00872196">
        <w:t xml:space="preserve"> </w:t>
      </w:r>
      <w:r>
        <w:t xml:space="preserve">increased since </w:t>
      </w:r>
      <w:r w:rsidRPr="00872196">
        <w:t xml:space="preserve">in 2005. </w:t>
      </w:r>
    </w:p>
    <w:p w:rsidR="0048153D" w:rsidRPr="00872196" w:rsidRDefault="0048153D" w:rsidP="0048153D">
      <w:pPr>
        <w:pStyle w:val="SingleTxtG"/>
      </w:pPr>
      <w:r>
        <w:t>7</w:t>
      </w:r>
      <w:r w:rsidRPr="00872196">
        <w:t>.1</w:t>
      </w:r>
      <w:r>
        <w:t>2</w:t>
      </w:r>
      <w:r w:rsidR="006C1762">
        <w:tab/>
      </w:r>
      <w:r>
        <w:t>The author notes that under a</w:t>
      </w:r>
      <w:r w:rsidRPr="00872196">
        <w:t xml:space="preserve">rticle 6(4) of </w:t>
      </w:r>
      <w:r>
        <w:t xml:space="preserve">the </w:t>
      </w:r>
      <w:r w:rsidRPr="00872196">
        <w:t xml:space="preserve">Covenant, anyone sentenced to death </w:t>
      </w:r>
      <w:proofErr w:type="gramStart"/>
      <w:r w:rsidRPr="00872196">
        <w:t>shall, in all cases, have</w:t>
      </w:r>
      <w:proofErr w:type="gramEnd"/>
      <w:r w:rsidRPr="00872196">
        <w:t xml:space="preserve"> the right to seek pardon or commutation of the sentence and amnesty, pardon or commutation of the </w:t>
      </w:r>
      <w:r>
        <w:t xml:space="preserve">death </w:t>
      </w:r>
      <w:r w:rsidRPr="00872196">
        <w:t xml:space="preserve">sentence. </w:t>
      </w:r>
      <w:r>
        <w:t>A</w:t>
      </w:r>
      <w:r w:rsidRPr="00872196">
        <w:t xml:space="preserve"> </w:t>
      </w:r>
      <w:r>
        <w:t xml:space="preserve">State party must </w:t>
      </w:r>
      <w:r w:rsidRPr="00872196">
        <w:t xml:space="preserve">assure availability of this right in all cases. </w:t>
      </w:r>
      <w:r>
        <w:t>Under</w:t>
      </w:r>
      <w:r w:rsidRPr="00872196">
        <w:t xml:space="preserve"> Sharia law</w:t>
      </w:r>
      <w:r>
        <w:t>,</w:t>
      </w:r>
      <w:r w:rsidRPr="00872196">
        <w:t xml:space="preserve"> the opinions of jurists </w:t>
      </w:r>
      <w:proofErr w:type="gramStart"/>
      <w:r w:rsidRPr="00872196">
        <w:t>are divided</w:t>
      </w:r>
      <w:proofErr w:type="gramEnd"/>
      <w:r w:rsidRPr="00872196">
        <w:t xml:space="preserve"> on whether the </w:t>
      </w:r>
      <w:r>
        <w:t>S</w:t>
      </w:r>
      <w:r w:rsidRPr="00872196">
        <w:t xml:space="preserve">tate </w:t>
      </w:r>
      <w:r>
        <w:t xml:space="preserve">can </w:t>
      </w:r>
      <w:r w:rsidRPr="00872196">
        <w:t xml:space="preserve">commute death sentences </w:t>
      </w:r>
      <w:r>
        <w:t>of</w:t>
      </w:r>
      <w:r w:rsidRPr="00872196">
        <w:t xml:space="preserve"> those convicted of murder. However, </w:t>
      </w:r>
      <w:r>
        <w:t xml:space="preserve">an </w:t>
      </w:r>
      <w:r w:rsidRPr="00872196">
        <w:t xml:space="preserve">executive regulation made by the Government in 2015, known as the Regulation for Execution, takes away the power of the </w:t>
      </w:r>
      <w:r>
        <w:t>S</w:t>
      </w:r>
      <w:r w:rsidRPr="00872196">
        <w:t>tate for commutation of death sentence. Therefore</w:t>
      </w:r>
      <w:r>
        <w:t>,</w:t>
      </w:r>
      <w:r w:rsidRPr="00872196">
        <w:t xml:space="preserve"> the Government has clearly violated </w:t>
      </w:r>
      <w:r>
        <w:t>a</w:t>
      </w:r>
      <w:r w:rsidRPr="00872196">
        <w:t>rticle 6(4).</w:t>
      </w:r>
    </w:p>
    <w:p w:rsidR="0048153D" w:rsidRPr="00872196" w:rsidRDefault="00416384" w:rsidP="00416384">
      <w:pPr>
        <w:pStyle w:val="H23G"/>
      </w:pPr>
      <w:r>
        <w:tab/>
      </w:r>
      <w:r>
        <w:tab/>
      </w:r>
      <w:r w:rsidR="0048153D" w:rsidRPr="00872196">
        <w:t>Issues and proceedings before the Committee</w:t>
      </w:r>
    </w:p>
    <w:p w:rsidR="0048153D" w:rsidRPr="00872196" w:rsidRDefault="00416384" w:rsidP="00416384">
      <w:pPr>
        <w:pStyle w:val="H4G"/>
      </w:pPr>
      <w:r>
        <w:tab/>
      </w:r>
      <w:r>
        <w:tab/>
      </w:r>
      <w:r w:rsidR="0048153D" w:rsidRPr="00872196">
        <w:t>Consideration of admissibility</w:t>
      </w:r>
    </w:p>
    <w:p w:rsidR="0048153D" w:rsidRPr="00872196" w:rsidRDefault="00416384" w:rsidP="0048153D">
      <w:pPr>
        <w:pStyle w:val="SingleTxtG"/>
      </w:pPr>
      <w:r>
        <w:t>8.1</w:t>
      </w:r>
      <w:r w:rsidR="006C1762">
        <w:tab/>
      </w:r>
      <w:r w:rsidR="0048153D" w:rsidRPr="00872196">
        <w:t>Before considering any claim contained in a communication, the Committee must decide, in accordance with rule 93 of its rules of procedure, whether the communication is admissible under the Optional Protocol to the Covenant.</w:t>
      </w:r>
    </w:p>
    <w:p w:rsidR="0048153D" w:rsidRPr="00872196" w:rsidRDefault="00416384" w:rsidP="0048153D">
      <w:pPr>
        <w:pStyle w:val="SingleTxtG"/>
      </w:pPr>
      <w:r>
        <w:t>8.2</w:t>
      </w:r>
      <w:r w:rsidR="006C1762">
        <w:tab/>
      </w:r>
      <w:r w:rsidR="0048153D" w:rsidRPr="00872196">
        <w:t>As required under article 5</w:t>
      </w:r>
      <w:r w:rsidR="0048153D">
        <w:t>(</w:t>
      </w:r>
      <w:r w:rsidR="0048153D" w:rsidRPr="00872196">
        <w:t>2</w:t>
      </w:r>
      <w:proofErr w:type="gramStart"/>
      <w:r w:rsidR="0048153D">
        <w:t>)</w:t>
      </w:r>
      <w:r w:rsidR="0048153D" w:rsidRPr="00872196">
        <w:t>(</w:t>
      </w:r>
      <w:proofErr w:type="gramEnd"/>
      <w:r w:rsidR="0048153D" w:rsidRPr="00872196">
        <w:t xml:space="preserve">a), of the Optional Protocol, the Committee must ascertain that the same matter is not being examined under another procedure of international investigation or settlement. The Committee notes the assertion of the State party that the same matters </w:t>
      </w:r>
      <w:proofErr w:type="gramStart"/>
      <w:r w:rsidR="0048153D" w:rsidRPr="00872196">
        <w:t>were raised</w:t>
      </w:r>
      <w:proofErr w:type="gramEnd"/>
      <w:r w:rsidR="0048153D" w:rsidRPr="00872196">
        <w:t xml:space="preserve"> in relation to </w:t>
      </w:r>
      <w:r w:rsidR="0048153D">
        <w:t xml:space="preserve">Mr. </w:t>
      </w:r>
      <w:proofErr w:type="spellStart"/>
      <w:r w:rsidR="0048153D">
        <w:t>Humaam</w:t>
      </w:r>
      <w:r w:rsidR="0048153D" w:rsidRPr="00872196">
        <w:t>’s</w:t>
      </w:r>
      <w:proofErr w:type="spellEnd"/>
      <w:r w:rsidR="0048153D" w:rsidRPr="00872196">
        <w:t xml:space="preserve"> case before the Human Rights Council Special Procedures mechanisms. </w:t>
      </w:r>
      <w:proofErr w:type="gramStart"/>
      <w:r w:rsidR="0048153D" w:rsidRPr="00872196">
        <w:t>The Committee refers to its jurisprudence</w:t>
      </w:r>
      <w:r w:rsidR="0048153D" w:rsidRPr="00872196">
        <w:rPr>
          <w:rStyle w:val="FootnoteReference"/>
        </w:rPr>
        <w:footnoteReference w:id="18"/>
      </w:r>
      <w:r w:rsidR="0048153D" w:rsidRPr="005C7FD5">
        <w:t xml:space="preserve"> </w:t>
      </w:r>
      <w:r w:rsidR="0048153D" w:rsidRPr="00872196">
        <w:t xml:space="preserve">in which it </w:t>
      </w:r>
      <w:r w:rsidR="0048153D">
        <w:t xml:space="preserve">has </w:t>
      </w:r>
      <w:r w:rsidR="0048153D" w:rsidRPr="00872196">
        <w:t xml:space="preserve">found that extra-conventional procedures or mechanisms established by the Human Rights Council, and whose mandates are to examine and report publicly on human rights situations in specific countries or territories, or cases of widespread human rights violations worldwide, do not generally constitute an international procedure of investigation or settlement within </w:t>
      </w:r>
      <w:r w:rsidR="0048153D" w:rsidRPr="00872196">
        <w:lastRenderedPageBreak/>
        <w:t>the meaning of article 5</w:t>
      </w:r>
      <w:r w:rsidR="0048153D">
        <w:t>(</w:t>
      </w:r>
      <w:r w:rsidR="0048153D" w:rsidRPr="00872196">
        <w:t>2</w:t>
      </w:r>
      <w:r w:rsidR="0048153D">
        <w:t>)</w:t>
      </w:r>
      <w:r w:rsidR="0048153D" w:rsidRPr="00872196">
        <w:t>(a) of the Optional Protocol.</w:t>
      </w:r>
      <w:proofErr w:type="gramEnd"/>
      <w:r w:rsidR="00EE2064">
        <w:t xml:space="preserve"> </w:t>
      </w:r>
      <w:r w:rsidR="0048153D" w:rsidRPr="00872196">
        <w:t xml:space="preserve">Accordingly, the Committee considers that it </w:t>
      </w:r>
      <w:proofErr w:type="gramStart"/>
      <w:r w:rsidR="0048153D" w:rsidRPr="00872196">
        <w:t>is not precluded</w:t>
      </w:r>
      <w:proofErr w:type="gramEnd"/>
      <w:r w:rsidR="0048153D" w:rsidRPr="00872196">
        <w:t xml:space="preserve"> from examining the present case under this provision.</w:t>
      </w:r>
    </w:p>
    <w:p w:rsidR="0048153D" w:rsidRDefault="00416384" w:rsidP="0048153D">
      <w:pPr>
        <w:pStyle w:val="SingleTxtG"/>
      </w:pPr>
      <w:r>
        <w:t>8.3</w:t>
      </w:r>
      <w:r w:rsidR="006C1762">
        <w:tab/>
      </w:r>
      <w:r w:rsidR="0048153D" w:rsidRPr="00872196">
        <w:t xml:space="preserve">The Committee </w:t>
      </w:r>
      <w:r w:rsidR="0048153D">
        <w:t>notes</w:t>
      </w:r>
      <w:r w:rsidR="0048153D" w:rsidRPr="00872196">
        <w:t xml:space="preserve"> the </w:t>
      </w:r>
      <w:r w:rsidR="0048153D">
        <w:t xml:space="preserve">State party’s objection regarding the non-exhaustion of domestic </w:t>
      </w:r>
      <w:proofErr w:type="spellStart"/>
      <w:r w:rsidR="0048153D">
        <w:t>remedieson</w:t>
      </w:r>
      <w:proofErr w:type="spellEnd"/>
      <w:r w:rsidR="0048153D">
        <w:t xml:space="preserve"> the grounds that the mediation process is effective and available until the day of execution. It also notes the </w:t>
      </w:r>
      <w:r w:rsidR="0048153D" w:rsidRPr="00872196">
        <w:t xml:space="preserve">author’s </w:t>
      </w:r>
      <w:r w:rsidR="0048153D">
        <w:t>reply that since the court did not take the MP’s family’s request to halt the execution into account, the mediation process is rendered ineffective and in any case has been unreasonably prolonged, rendering domestic remedies ineffective. The Committee further notes the author’s claims that the new</w:t>
      </w:r>
      <w:r w:rsidR="0048153D" w:rsidRPr="00AA7A99">
        <w:t xml:space="preserve"> rules on clemency are opaque</w:t>
      </w:r>
      <w:r w:rsidR="0048153D">
        <w:t xml:space="preserve"> as to the President’s discretion and the Supreme Court powers, discriminatory and thus ineffective. </w:t>
      </w:r>
      <w:r w:rsidR="0048153D" w:rsidRPr="00AA7A99">
        <w:t>It further notes the State party’s argument that the rules on clemency are clear and are in accordance with Sharia.</w:t>
      </w:r>
    </w:p>
    <w:p w:rsidR="0048153D" w:rsidRDefault="00416384" w:rsidP="0048153D">
      <w:pPr>
        <w:pStyle w:val="SingleTxtG"/>
      </w:pPr>
      <w:r>
        <w:t>8.4</w:t>
      </w:r>
      <w:r w:rsidR="006C1762">
        <w:tab/>
      </w:r>
      <w:r w:rsidR="0048153D" w:rsidRPr="00872196">
        <w:t xml:space="preserve">The Committee considers that </w:t>
      </w:r>
      <w:r w:rsidR="0048153D">
        <w:t>clemency is a discretionary remedy, which does not need to be exhausted for the purposes of the Optional Protocol.</w:t>
      </w:r>
      <w:r w:rsidR="00EE2064">
        <w:t xml:space="preserve"> </w:t>
      </w:r>
      <w:proofErr w:type="gramStart"/>
      <w:r w:rsidR="0048153D">
        <w:t xml:space="preserve">It further notes that the clemency process works in tandem with the mandatory mediation procedure under </w:t>
      </w:r>
      <w:proofErr w:type="spellStart"/>
      <w:r w:rsidR="0048153D">
        <w:t>Shariah</w:t>
      </w:r>
      <w:proofErr w:type="spellEnd"/>
      <w:r w:rsidR="0048153D">
        <w:t>, and notes the lack of clear information about the ability of the President and the Supreme Court to grant or uphold clemency in the face of mediation in cases involving intentional killing, as well as the lack of clear information about the nature of the regulatory changes in this regard.</w:t>
      </w:r>
      <w:proofErr w:type="gramEnd"/>
      <w:r w:rsidR="0048153D">
        <w:t xml:space="preserve"> The Committee considers that under these circumstances, the State party has not demonstrated that the mediation process constitutes an available and effective remedy, and that it is not precluded by </w:t>
      </w:r>
      <w:r w:rsidR="0048153D" w:rsidRPr="00872196">
        <w:t>article 5</w:t>
      </w:r>
      <w:r w:rsidR="0048153D">
        <w:t>(</w:t>
      </w:r>
      <w:r w:rsidR="0048153D" w:rsidRPr="00872196">
        <w:t>2</w:t>
      </w:r>
      <w:r w:rsidR="0048153D">
        <w:t>)</w:t>
      </w:r>
      <w:r w:rsidR="0048153D" w:rsidRPr="00872196">
        <w:t xml:space="preserve">(b) of the Optional Protocol </w:t>
      </w:r>
      <w:r w:rsidR="0048153D">
        <w:t>from proceeding to a consideration of the merits of the present communication</w:t>
      </w:r>
      <w:r w:rsidR="0048153D" w:rsidRPr="00872196">
        <w:t>.</w:t>
      </w:r>
    </w:p>
    <w:p w:rsidR="00A257F0" w:rsidRPr="00DC0D3C" w:rsidRDefault="0048153D" w:rsidP="00A257F0">
      <w:pPr>
        <w:pStyle w:val="SingleTxtG"/>
      </w:pPr>
      <w:r w:rsidRPr="00A63C43">
        <w:t>8.</w:t>
      </w:r>
      <w:r>
        <w:t>5</w:t>
      </w:r>
      <w:r w:rsidR="006C1762">
        <w:tab/>
      </w:r>
      <w:r w:rsidR="00A257F0" w:rsidRPr="00DC0D3C">
        <w:t>The Committee takes note of the State part</w:t>
      </w:r>
      <w:r w:rsidR="00A257F0" w:rsidRPr="00945F95">
        <w:t>y’s</w:t>
      </w:r>
      <w:r w:rsidR="00A257F0" w:rsidRPr="00DC0D3C">
        <w:t xml:space="preserve"> argument that the communication is inadmissible since it </w:t>
      </w:r>
      <w:proofErr w:type="gramStart"/>
      <w:r w:rsidR="00A257F0" w:rsidRPr="00DC0D3C">
        <w:t>was submitted</w:t>
      </w:r>
      <w:proofErr w:type="gramEnd"/>
      <w:r w:rsidR="00A257F0" w:rsidRPr="00DC0D3C">
        <w:t xml:space="preserve"> to the Committee by a third party and not by the alleged victim himself. </w:t>
      </w:r>
      <w:proofErr w:type="gramStart"/>
      <w:r w:rsidR="00A257F0" w:rsidRPr="00DC0D3C">
        <w:t>In this respect the</w:t>
      </w:r>
      <w:r w:rsidR="00A257F0">
        <w:t xml:space="preserve"> Committee recalls that rule </w:t>
      </w:r>
      <w:r w:rsidR="00A257F0" w:rsidRPr="00945F95">
        <w:t>96(b</w:t>
      </w:r>
      <w:r w:rsidR="00A257F0" w:rsidRPr="00A257F0">
        <w:t>)</w:t>
      </w:r>
      <w:r w:rsidR="00A257F0" w:rsidRPr="00DC0D3C">
        <w:t xml:space="preserve"> of its rules of procedure provides that a communication should normally be submitted by the individual personally or by that individual’s representative, but that a communication submitted on behalf of any alleged victim may however be accepted when it appears that the individual in question in unable to submit the communication personally.</w:t>
      </w:r>
      <w:proofErr w:type="gramEnd"/>
      <w:r w:rsidR="00A257F0" w:rsidRPr="00DC0D3C">
        <w:t xml:space="preserve"> In the present case, the Committee notes that the alleged victim was detained on death row, that </w:t>
      </w:r>
      <w:proofErr w:type="gramStart"/>
      <w:r w:rsidR="00A257F0" w:rsidRPr="00DC0D3C">
        <w:t>the communication was submitted on behalf of the alleged victim by his father and a counsel, who have presented a duly signed letter of</w:t>
      </w:r>
      <w:r w:rsidR="00A52C15">
        <w:t xml:space="preserve"> author</w:t>
      </w:r>
      <w:r w:rsidR="00A257F0" w:rsidRPr="00DC0D3C">
        <w:t>ization and a power of attorney for the counsel by the alleged victim to represent him before the Committee</w:t>
      </w:r>
      <w:proofErr w:type="gramEnd"/>
      <w:r w:rsidR="00A257F0" w:rsidRPr="00DC0D3C">
        <w:t xml:space="preserve">. Accordingly, the Committee </w:t>
      </w:r>
      <w:proofErr w:type="gramStart"/>
      <w:r w:rsidR="00A257F0" w:rsidRPr="00DC0D3C">
        <w:t>is not precluded</w:t>
      </w:r>
      <w:proofErr w:type="gramEnd"/>
      <w:r w:rsidR="00A257F0" w:rsidRPr="00DC0D3C">
        <w:t xml:space="preserve"> by article 1 of the Optional protocol from examining the communication.</w:t>
      </w:r>
      <w:r w:rsidR="00A257F0" w:rsidRPr="00BC65B2">
        <w:rPr>
          <w:rStyle w:val="FootnoteReference"/>
          <w:sz w:val="20"/>
        </w:rPr>
        <w:footnoteReference w:id="19"/>
      </w:r>
    </w:p>
    <w:p w:rsidR="00295B44" w:rsidRPr="00872196" w:rsidRDefault="00416384" w:rsidP="00295B44">
      <w:pPr>
        <w:pStyle w:val="SingleTxtG"/>
      </w:pPr>
      <w:proofErr w:type="gramStart"/>
      <w:r>
        <w:t>8.6</w:t>
      </w:r>
      <w:r w:rsidR="006C1762">
        <w:tab/>
      </w:r>
      <w:r w:rsidR="00295B44" w:rsidRPr="00EA2755">
        <w:t xml:space="preserve">In relation to the claim that the repeated statements regarding the imposition of the death penalty have created such a psychological toll on Mr </w:t>
      </w:r>
      <w:proofErr w:type="spellStart"/>
      <w:r w:rsidR="00295B44" w:rsidRPr="00EA2755">
        <w:t>Humaam</w:t>
      </w:r>
      <w:proofErr w:type="spellEnd"/>
      <w:r w:rsidR="00295B44" w:rsidRPr="00EA2755">
        <w:t xml:space="preserve"> as to amount to a violation of the right not to be subjected to cruel, inhuman or degrading treatment or punishment</w:t>
      </w:r>
      <w:r w:rsidR="00295B44">
        <w:t xml:space="preserve"> under article 7 of the Covenant</w:t>
      </w:r>
      <w:r w:rsidR="00295B44" w:rsidRPr="00EA2755">
        <w:t>, the Committee does not find on file</w:t>
      </w:r>
      <w:r w:rsidR="00295B44">
        <w:t xml:space="preserve"> anything further to support or</w:t>
      </w:r>
      <w:r w:rsidR="00295B44" w:rsidRPr="00EA2755">
        <w:t xml:space="preserve"> </w:t>
      </w:r>
      <w:r w:rsidR="00295B44">
        <w:t>substantiate this claim.</w:t>
      </w:r>
      <w:proofErr w:type="gramEnd"/>
      <w:r w:rsidR="00295B44">
        <w:t xml:space="preserve"> The Committee therefore finds this claim inadmissible for lack of substantiation under article 2 of the Optional Protocol.</w:t>
      </w:r>
    </w:p>
    <w:p w:rsidR="0048153D" w:rsidRPr="00872196" w:rsidRDefault="00295B44" w:rsidP="0048153D">
      <w:pPr>
        <w:pStyle w:val="SingleTxtG"/>
      </w:pPr>
      <w:r>
        <w:t>8.7</w:t>
      </w:r>
      <w:r>
        <w:tab/>
        <w:t>With respect to the author’s claims under article 14 of the Covenant, t</w:t>
      </w:r>
      <w:r w:rsidR="0048153D" w:rsidRPr="00872196">
        <w:t xml:space="preserve">he Committee </w:t>
      </w:r>
      <w:r w:rsidR="0048153D">
        <w:t xml:space="preserve">further </w:t>
      </w:r>
      <w:r w:rsidR="0048153D" w:rsidRPr="00872196">
        <w:t>notes the State party</w:t>
      </w:r>
      <w:r w:rsidR="0048153D">
        <w:t>’s argument</w:t>
      </w:r>
      <w:r w:rsidR="0048153D" w:rsidRPr="00872196">
        <w:t xml:space="preserve"> that the claims </w:t>
      </w:r>
      <w:r w:rsidR="0048153D">
        <w:t xml:space="preserve">that Mr. </w:t>
      </w:r>
      <w:proofErr w:type="spellStart"/>
      <w:r w:rsidR="0048153D">
        <w:t>Humaam</w:t>
      </w:r>
      <w:proofErr w:type="spellEnd"/>
      <w:r w:rsidR="0048153D">
        <w:t xml:space="preserve"> confessed under duress </w:t>
      </w:r>
      <w:r w:rsidR="0048153D" w:rsidRPr="00872196">
        <w:t xml:space="preserve">and </w:t>
      </w:r>
      <w:r w:rsidR="0048153D">
        <w:t xml:space="preserve">regarding Mr. </w:t>
      </w:r>
      <w:proofErr w:type="spellStart"/>
      <w:r w:rsidR="0048153D">
        <w:t>Humaam</w:t>
      </w:r>
      <w:r w:rsidR="0048153D" w:rsidRPr="00872196">
        <w:t>’s</w:t>
      </w:r>
      <w:proofErr w:type="spellEnd"/>
      <w:r w:rsidR="0048153D" w:rsidRPr="00872196">
        <w:t xml:space="preserve"> mental health </w:t>
      </w:r>
      <w:proofErr w:type="gramStart"/>
      <w:r w:rsidR="0048153D">
        <w:t>are insufficiently</w:t>
      </w:r>
      <w:r w:rsidR="0048153D" w:rsidRPr="00872196">
        <w:t xml:space="preserve"> substantiat</w:t>
      </w:r>
      <w:r w:rsidR="0048153D">
        <w:t>ed</w:t>
      </w:r>
      <w:proofErr w:type="gramEnd"/>
      <w:r w:rsidR="0048153D">
        <w:t>.</w:t>
      </w:r>
      <w:r w:rsidR="0048153D" w:rsidRPr="00872196">
        <w:t xml:space="preserve"> It also notes the author’s assertions that </w:t>
      </w:r>
      <w:r w:rsidR="0048153D">
        <w:t xml:space="preserve">Mr. </w:t>
      </w:r>
      <w:proofErr w:type="spellStart"/>
      <w:r w:rsidR="0048153D">
        <w:t>Humaam’s</w:t>
      </w:r>
      <w:proofErr w:type="spellEnd"/>
      <w:r w:rsidR="0048153D" w:rsidRPr="00872196">
        <w:t xml:space="preserve"> </w:t>
      </w:r>
      <w:r w:rsidR="0048153D">
        <w:t>counsel was not present</w:t>
      </w:r>
      <w:r w:rsidR="0048153D" w:rsidRPr="00872196">
        <w:t xml:space="preserve"> when he made the confession, that </w:t>
      </w:r>
      <w:r w:rsidR="0048153D">
        <w:t xml:space="preserve">he later attempted to withdraw the confession, but that the court did not allow him to </w:t>
      </w:r>
      <w:r w:rsidR="0048153D" w:rsidRPr="00872196">
        <w:t xml:space="preserve">present evidence </w:t>
      </w:r>
      <w:r w:rsidR="0048153D">
        <w:t>that</w:t>
      </w:r>
      <w:r w:rsidR="0048153D" w:rsidRPr="00872196">
        <w:t xml:space="preserve"> his </w:t>
      </w:r>
      <w:r w:rsidR="0048153D">
        <w:t>confession was coerced</w:t>
      </w:r>
      <w:r w:rsidR="0048153D" w:rsidRPr="00872196">
        <w:t xml:space="preserve">, </w:t>
      </w:r>
      <w:r w:rsidR="0048153D">
        <w:t xml:space="preserve">including witnesses to that effect. Regarding the request for </w:t>
      </w:r>
      <w:r w:rsidR="0048153D" w:rsidRPr="00872196">
        <w:t>psychiatric assessment</w:t>
      </w:r>
      <w:r w:rsidR="0048153D">
        <w:t xml:space="preserve">, the Committee notes the author’s arguments that Mr </w:t>
      </w:r>
      <w:proofErr w:type="spellStart"/>
      <w:r w:rsidR="0048153D">
        <w:t>Humaam</w:t>
      </w:r>
      <w:proofErr w:type="spellEnd"/>
      <w:r w:rsidR="0048153D">
        <w:t xml:space="preserve"> has a history of mental illness, including provision of state care, and that his behaviour during the court proceedings indicated that he needed evaluation, which his family requested. </w:t>
      </w:r>
      <w:proofErr w:type="gramStart"/>
      <w:r w:rsidR="0048153D">
        <w:t xml:space="preserve">It further notes the State party’s assertion that the issue was not raised until late in the proceedings, that an independent assessment was not the responsibility of the State party to arrange, that Mr. </w:t>
      </w:r>
      <w:proofErr w:type="spellStart"/>
      <w:r w:rsidR="0048153D">
        <w:t>Humaam</w:t>
      </w:r>
      <w:proofErr w:type="spellEnd"/>
      <w:r w:rsidR="0048153D">
        <w:t xml:space="preserve"> had not raised the issue in criminal proceedings in the past, and that in any case no evidence was adduced in court to support the claim of the author in this regard, and the court found Mr </w:t>
      </w:r>
      <w:proofErr w:type="spellStart"/>
      <w:r w:rsidR="0048153D">
        <w:t>Humaam</w:t>
      </w:r>
      <w:proofErr w:type="spellEnd"/>
      <w:r w:rsidR="0048153D">
        <w:t xml:space="preserve"> to be lucid</w:t>
      </w:r>
      <w:r w:rsidR="0048153D" w:rsidRPr="00872196">
        <w:t>.</w:t>
      </w:r>
      <w:proofErr w:type="gramEnd"/>
      <w:r w:rsidR="0048153D" w:rsidRPr="00872196">
        <w:t xml:space="preserve"> The Committee finds that the</w:t>
      </w:r>
      <w:r>
        <w:t xml:space="preserve"> </w:t>
      </w:r>
      <w:proofErr w:type="gramStart"/>
      <w:r>
        <w:t xml:space="preserve">author’s </w:t>
      </w:r>
      <w:r w:rsidR="0048153D" w:rsidRPr="00872196">
        <w:t xml:space="preserve"> claims</w:t>
      </w:r>
      <w:proofErr w:type="gramEnd"/>
      <w:r w:rsidR="0048153D" w:rsidRPr="00872196">
        <w:t xml:space="preserve"> under article 14 are sufficiently substantiated for </w:t>
      </w:r>
      <w:r w:rsidR="0048153D" w:rsidRPr="00872196">
        <w:lastRenderedPageBreak/>
        <w:t>the purpose of admissibility</w:t>
      </w:r>
      <w:r>
        <w:t>.</w:t>
      </w:r>
      <w:r w:rsidR="00C27B3F">
        <w:t>.</w:t>
      </w:r>
      <w:r w:rsidR="00416384">
        <w:t>8.7</w:t>
      </w:r>
      <w:r w:rsidR="006C1762">
        <w:tab/>
      </w:r>
      <w:r w:rsidR="0048153D" w:rsidRPr="00872196">
        <w:t>8.</w:t>
      </w:r>
      <w:r w:rsidR="0048153D">
        <w:t>8</w:t>
      </w:r>
      <w:r w:rsidR="006C1762">
        <w:tab/>
      </w:r>
      <w:r>
        <w:t xml:space="preserve">In light of the alleged violations of Mr. </w:t>
      </w:r>
      <w:proofErr w:type="spellStart"/>
      <w:r>
        <w:t>Humaam’s</w:t>
      </w:r>
      <w:proofErr w:type="spellEnd"/>
      <w:r>
        <w:t xml:space="preserve"> rights under article 14 of the Covenant, the Committee considers the author’s claim of a violation of Mr. </w:t>
      </w:r>
      <w:proofErr w:type="spellStart"/>
      <w:r>
        <w:t>Humaam’s</w:t>
      </w:r>
      <w:proofErr w:type="spellEnd"/>
      <w:r>
        <w:t xml:space="preserve"> rights under article 6 of the Covenant </w:t>
      </w:r>
      <w:r w:rsidR="0048153D" w:rsidRPr="00872196">
        <w:t xml:space="preserve">sufficiently substantiated </w:t>
      </w:r>
      <w:r w:rsidR="0048153D">
        <w:t>for the purposes of admissibility</w:t>
      </w:r>
      <w:r>
        <w:t>. The Committee therefore declares the author’s claims under articles 6 and 14 admissible and proceeds to their consideration on the merits.</w:t>
      </w:r>
      <w:r w:rsidR="0048153D">
        <w:t xml:space="preserve"> </w:t>
      </w:r>
    </w:p>
    <w:p w:rsidR="0048153D" w:rsidRPr="00872196" w:rsidRDefault="00416384" w:rsidP="00416384">
      <w:pPr>
        <w:pStyle w:val="H4G"/>
      </w:pPr>
      <w:r>
        <w:tab/>
      </w:r>
      <w:r>
        <w:tab/>
      </w:r>
      <w:r w:rsidR="0048153D" w:rsidRPr="00872196">
        <w:t>Consideration of the merits</w:t>
      </w:r>
    </w:p>
    <w:p w:rsidR="0048153D" w:rsidRPr="00872196" w:rsidRDefault="0048153D" w:rsidP="0048153D">
      <w:pPr>
        <w:pStyle w:val="SingleTxtG"/>
      </w:pPr>
      <w:r>
        <w:t>9</w:t>
      </w:r>
      <w:r w:rsidR="00416384">
        <w:t>.1</w:t>
      </w:r>
      <w:r w:rsidR="006C1762">
        <w:tab/>
      </w:r>
      <w:r w:rsidRPr="00872196">
        <w:t>The Human Rights Committee has considered this communication in the light of all the information received, in accordance with article 5</w:t>
      </w:r>
      <w:r>
        <w:t>(</w:t>
      </w:r>
      <w:r w:rsidRPr="00872196">
        <w:t>1</w:t>
      </w:r>
      <w:r>
        <w:t xml:space="preserve">) </w:t>
      </w:r>
      <w:r w:rsidRPr="00872196">
        <w:t>of the Optional Protocol.</w:t>
      </w:r>
    </w:p>
    <w:p w:rsidR="0048153D" w:rsidRDefault="0048153D" w:rsidP="0048153D">
      <w:pPr>
        <w:pStyle w:val="SingleTxtG"/>
      </w:pPr>
      <w:r>
        <w:t>9</w:t>
      </w:r>
      <w:r w:rsidR="00416384">
        <w:t>.2</w:t>
      </w:r>
      <w:r w:rsidR="006C1762">
        <w:tab/>
      </w:r>
      <w:r w:rsidRPr="00872196">
        <w:t>The Committee note</w:t>
      </w:r>
      <w:r>
        <w:t>s</w:t>
      </w:r>
      <w:r w:rsidRPr="00872196">
        <w:t xml:space="preserve"> the author’s claims under articles 6 and 14 of the Covenant that </w:t>
      </w:r>
      <w:r>
        <w:t xml:space="preserve">Mr </w:t>
      </w:r>
      <w:proofErr w:type="spellStart"/>
      <w:r>
        <w:t>Humaam</w:t>
      </w:r>
      <w:proofErr w:type="spellEnd"/>
      <w:r w:rsidRPr="00872196">
        <w:t xml:space="preserve"> </w:t>
      </w:r>
      <w:r>
        <w:t xml:space="preserve">was </w:t>
      </w:r>
      <w:r w:rsidRPr="00872196">
        <w:t xml:space="preserve">subjected to psychological pressure to force </w:t>
      </w:r>
      <w:r>
        <w:t xml:space="preserve">him </w:t>
      </w:r>
      <w:r w:rsidRPr="00872196">
        <w:t>to confess</w:t>
      </w:r>
      <w:r>
        <w:t>.</w:t>
      </w:r>
      <w:r w:rsidRPr="003B2842">
        <w:t xml:space="preserve"> On 7 December </w:t>
      </w:r>
      <w:r w:rsidR="00295B44">
        <w:t xml:space="preserve">2012 </w:t>
      </w:r>
      <w:r w:rsidRPr="003B2842">
        <w:t xml:space="preserve">when he made the </w:t>
      </w:r>
      <w:proofErr w:type="gramStart"/>
      <w:r w:rsidRPr="003B2842">
        <w:t>confession</w:t>
      </w:r>
      <w:proofErr w:type="gramEnd"/>
      <w:r w:rsidRPr="003B2842">
        <w:t xml:space="preserve"> he had counsel, but counsel was not present. Nor was counsel present the following day in court when he confirmed the confession. No date </w:t>
      </w:r>
      <w:proofErr w:type="gramStart"/>
      <w:r w:rsidRPr="003B2842">
        <w:t>is given</w:t>
      </w:r>
      <w:proofErr w:type="gramEnd"/>
      <w:r w:rsidRPr="003B2842">
        <w:t xml:space="preserve"> as to when counsel left the country. </w:t>
      </w:r>
      <w:r w:rsidR="00295B44">
        <w:t xml:space="preserve">Mr. </w:t>
      </w:r>
      <w:proofErr w:type="spellStart"/>
      <w:r w:rsidR="00295B44">
        <w:t>Humaam</w:t>
      </w:r>
      <w:proofErr w:type="spellEnd"/>
      <w:r w:rsidR="00295B44" w:rsidRPr="003B2842">
        <w:t xml:space="preserve"> </w:t>
      </w:r>
      <w:r w:rsidRPr="003B2842">
        <w:t>did not have counsel when the trial commenced. It appears that he did not accept state appointed counsel. He denied having committed the offence on 6 May, without counsel. On 22</w:t>
      </w:r>
      <w:r w:rsidRPr="003B2842">
        <w:rPr>
          <w:vertAlign w:val="superscript"/>
        </w:rPr>
        <w:t>nd</w:t>
      </w:r>
      <w:r w:rsidRPr="003B2842">
        <w:t xml:space="preserve"> May, still unrepresented, he confessed. He retracted on 31 may, when he had a lawyer. There is reference in the timeline of the police report that he </w:t>
      </w:r>
      <w:proofErr w:type="gramStart"/>
      <w:r w:rsidRPr="003B2842">
        <w:t>was given</w:t>
      </w:r>
      <w:proofErr w:type="gramEnd"/>
      <w:r w:rsidRPr="003B2842">
        <w:t xml:space="preserve"> 10 days, on 22 April 2013, to obtain counsel of his choosing</w:t>
      </w:r>
      <w:r>
        <w:t>,</w:t>
      </w:r>
      <w:r w:rsidRPr="003B2842">
        <w:t xml:space="preserve"> as he did not want state appointed counsel.</w:t>
      </w:r>
      <w:r w:rsidR="00EE2064">
        <w:t xml:space="preserve"> </w:t>
      </w:r>
      <w:r w:rsidRPr="003B2842">
        <w:t>It appears he agreed to appear without counsel when the trial started</w:t>
      </w:r>
      <w:proofErr w:type="gramStart"/>
      <w:r w:rsidRPr="003B2842">
        <w:t>..</w:t>
      </w:r>
      <w:proofErr w:type="gramEnd"/>
      <w:r w:rsidR="007E2A68">
        <w:t xml:space="preserve"> </w:t>
      </w:r>
      <w:proofErr w:type="gramStart"/>
      <w:r w:rsidR="007E2A68">
        <w:t xml:space="preserve">The </w:t>
      </w:r>
      <w:r w:rsidR="00834E33">
        <w:t>C</w:t>
      </w:r>
      <w:r w:rsidR="007E2A68">
        <w:t xml:space="preserve">ommittee also notes </w:t>
      </w:r>
      <w:r w:rsidRPr="00872196">
        <w:t xml:space="preserve">that no video recording of the police interrogation and subsequent confession </w:t>
      </w:r>
      <w:r>
        <w:t>were</w:t>
      </w:r>
      <w:r w:rsidRPr="00872196">
        <w:t xml:space="preserve"> made available</w:t>
      </w:r>
      <w:r>
        <w:t>,</w:t>
      </w:r>
      <w:r w:rsidRPr="00872196">
        <w:t xml:space="preserve"> </w:t>
      </w:r>
      <w:r>
        <w:t xml:space="preserve">although </w:t>
      </w:r>
      <w:r w:rsidRPr="00872196">
        <w:t xml:space="preserve">such recording is required by </w:t>
      </w:r>
      <w:r>
        <w:t xml:space="preserve">domestic </w:t>
      </w:r>
      <w:r w:rsidRPr="00872196">
        <w:t>law</w:t>
      </w:r>
      <w:r>
        <w:t>;</w:t>
      </w:r>
      <w:r w:rsidRPr="00872196">
        <w:t xml:space="preserve"> that the confession was made without access to </w:t>
      </w:r>
      <w:r>
        <w:t xml:space="preserve">his </w:t>
      </w:r>
      <w:r w:rsidRPr="00872196">
        <w:t xml:space="preserve">counsel </w:t>
      </w:r>
      <w:r>
        <w:t>at the time;</w:t>
      </w:r>
      <w:r w:rsidRPr="00872196">
        <w:t xml:space="preserve"> that the statement of confession was </w:t>
      </w:r>
      <w:r>
        <w:t>confirmed</w:t>
      </w:r>
      <w:r w:rsidRPr="00872196">
        <w:t xml:space="preserve"> in court</w:t>
      </w:r>
      <w:r>
        <w:t>,</w:t>
      </w:r>
      <w:r w:rsidRPr="00872196">
        <w:t xml:space="preserve"> </w:t>
      </w:r>
      <w:r>
        <w:t xml:space="preserve">again in the absence of counsel, and </w:t>
      </w:r>
      <w:r w:rsidRPr="00872196">
        <w:t>before charges were officially laid</w:t>
      </w:r>
      <w:r>
        <w:t>;</w:t>
      </w:r>
      <w:r w:rsidRPr="00872196">
        <w:t xml:space="preserve"> that although </w:t>
      </w:r>
      <w:r>
        <w:t xml:space="preserve">Mr </w:t>
      </w:r>
      <w:proofErr w:type="spellStart"/>
      <w:r>
        <w:t>Humaam</w:t>
      </w:r>
      <w:proofErr w:type="spellEnd"/>
      <w:r w:rsidRPr="00872196">
        <w:t xml:space="preserve"> </w:t>
      </w:r>
      <w:r>
        <w:t xml:space="preserve">confessed </w:t>
      </w:r>
      <w:r w:rsidRPr="00872196">
        <w:t xml:space="preserve">guilt </w:t>
      </w:r>
      <w:r>
        <w:t>in court</w:t>
      </w:r>
      <w:r w:rsidRPr="00872196">
        <w:t xml:space="preserve">, </w:t>
      </w:r>
      <w:r w:rsidR="00834E33">
        <w:t xml:space="preserve">the author contends that </w:t>
      </w:r>
      <w:r w:rsidRPr="00872196">
        <w:t>the threats to his family meant that he was still under duress at that time</w:t>
      </w:r>
      <w:r>
        <w:t>;</w:t>
      </w:r>
      <w:r w:rsidRPr="00872196">
        <w:t xml:space="preserve"> that when </w:t>
      </w:r>
      <w:r>
        <w:t xml:space="preserve">Mr </w:t>
      </w:r>
      <w:proofErr w:type="spellStart"/>
      <w:r>
        <w:t>Humaam</w:t>
      </w:r>
      <w:proofErr w:type="spellEnd"/>
      <w:r w:rsidRPr="00872196">
        <w:t xml:space="preserve"> recanted th</w:t>
      </w:r>
      <w:r w:rsidR="00295B44">
        <w:t>is</w:t>
      </w:r>
      <w:r w:rsidRPr="00872196">
        <w:t xml:space="preserve"> confession </w:t>
      </w:r>
      <w:r>
        <w:t xml:space="preserve">in the presence of counsel </w:t>
      </w:r>
      <w:r w:rsidRPr="00872196">
        <w:t>and requested to call witnesses to corroborate his claim of duress, he was not allowed to do so.</w:t>
      </w:r>
      <w:proofErr w:type="gramEnd"/>
      <w:r w:rsidRPr="00872196">
        <w:t xml:space="preserve"> </w:t>
      </w:r>
      <w:proofErr w:type="gramStart"/>
      <w:r w:rsidRPr="0029372A">
        <w:t xml:space="preserve">The Committee further notes the State party’s arguments that Mr </w:t>
      </w:r>
      <w:proofErr w:type="spellStart"/>
      <w:r w:rsidRPr="0029372A">
        <w:t>Humaam</w:t>
      </w:r>
      <w:proofErr w:type="spellEnd"/>
      <w:r w:rsidRPr="0029372A">
        <w:t xml:space="preserve"> made a confession </w:t>
      </w:r>
      <w:r>
        <w:t xml:space="preserve">before the police and twice </w:t>
      </w:r>
      <w:r w:rsidRPr="0029372A">
        <w:t>before a judge, only made the claims about duress at a later stage after having changed his team of lawyers</w:t>
      </w:r>
      <w:r>
        <w:t xml:space="preserve">, </w:t>
      </w:r>
      <w:r w:rsidRPr="0029372A">
        <w:t>that it is for the defence to substantiate the claim of duress</w:t>
      </w:r>
      <w:r>
        <w:t xml:space="preserve">, not the State party, </w:t>
      </w:r>
      <w:r w:rsidRPr="0029372A">
        <w:t xml:space="preserve">that in any case a confession cannot be retracted under </w:t>
      </w:r>
      <w:proofErr w:type="spellStart"/>
      <w:r w:rsidRPr="0029372A">
        <w:t>Shariah</w:t>
      </w:r>
      <w:proofErr w:type="spellEnd"/>
      <w:r w:rsidRPr="0029372A">
        <w:t xml:space="preserve"> law when a defendant is thought to be of sound mind, which the Court adjudged him to be in the absence of evidence to the contrary</w:t>
      </w:r>
      <w:r>
        <w:t>,</w:t>
      </w:r>
      <w:r w:rsidRPr="00024FFD">
        <w:t xml:space="preserve"> and that the confession was not the sole basis upon which Mr </w:t>
      </w:r>
      <w:proofErr w:type="spellStart"/>
      <w:r w:rsidRPr="00024FFD">
        <w:t>Humaam</w:t>
      </w:r>
      <w:proofErr w:type="spellEnd"/>
      <w:r w:rsidRPr="00024FFD">
        <w:t xml:space="preserve"> was convicted</w:t>
      </w:r>
      <w:r>
        <w:t>,</w:t>
      </w:r>
      <w:r w:rsidRPr="00024FFD">
        <w:t xml:space="preserve"> as his confession only corroborate</w:t>
      </w:r>
      <w:r>
        <w:t>d a multitude of other evidence.</w:t>
      </w:r>
      <w:proofErr w:type="gramEnd"/>
      <w:r>
        <w:t xml:space="preserve"> </w:t>
      </w:r>
    </w:p>
    <w:p w:rsidR="0048153D" w:rsidRDefault="0048153D" w:rsidP="00416384">
      <w:pPr>
        <w:pStyle w:val="SingleTxtG"/>
        <w:keepNext/>
        <w:keepLines/>
      </w:pPr>
      <w:r>
        <w:lastRenderedPageBreak/>
        <w:t>9.3</w:t>
      </w:r>
      <w:r w:rsidR="006C1762">
        <w:tab/>
      </w:r>
      <w:r w:rsidRPr="00024FFD">
        <w:t>The Committee recalls, first, that once a complaint about ill-treatment contrary to article 7 h</w:t>
      </w:r>
      <w:r>
        <w:t>as been made, including</w:t>
      </w:r>
      <w:r w:rsidRPr="00024FFD">
        <w:t xml:space="preserve"> psychological pressure to make a confession, a State party must investigate it promptly and impartially.</w:t>
      </w:r>
      <w:r>
        <w:rPr>
          <w:rStyle w:val="FootnoteReference"/>
        </w:rPr>
        <w:footnoteReference w:id="20"/>
      </w:r>
      <w:r w:rsidR="00EE2064">
        <w:t xml:space="preserve"> </w:t>
      </w:r>
      <w:r w:rsidRPr="00024FFD">
        <w:t xml:space="preserve">It further recalls </w:t>
      </w:r>
      <w:r w:rsidR="00295B44">
        <w:t>its General Comment N° 32</w:t>
      </w:r>
      <w:proofErr w:type="gramStart"/>
      <w:r w:rsidR="00295B44">
        <w:t>,(</w:t>
      </w:r>
      <w:proofErr w:type="gramEnd"/>
      <w:r w:rsidR="00295B44">
        <w:t xml:space="preserve">2007), </w:t>
      </w:r>
      <w:r w:rsidRPr="00024FFD">
        <w:t>that the s</w:t>
      </w:r>
      <w:r>
        <w:t>afeguards set out in article 14</w:t>
      </w:r>
      <w:r w:rsidRPr="00024FFD">
        <w:t>(3)(g) of the Covenant must be understood in terms of the absence of any direct or indirect physical or undue psychological pressure from the investigating authorities on the accused, with a view to obtaining a confession of guilt.</w:t>
      </w:r>
      <w:r>
        <w:rPr>
          <w:rStyle w:val="FootnoteReference"/>
        </w:rPr>
        <w:footnoteReference w:id="21"/>
      </w:r>
      <w:r w:rsidR="00EE2064">
        <w:t xml:space="preserve"> </w:t>
      </w:r>
      <w:r w:rsidRPr="00024FFD">
        <w:t xml:space="preserve">The Committee notes that, despite numerous claims by Mr </w:t>
      </w:r>
      <w:proofErr w:type="spellStart"/>
      <w:r w:rsidRPr="00024FFD">
        <w:t>Humaam</w:t>
      </w:r>
      <w:proofErr w:type="spellEnd"/>
      <w:r w:rsidRPr="00024FFD">
        <w:t xml:space="preserve"> </w:t>
      </w:r>
      <w:r>
        <w:t>that he had been</w:t>
      </w:r>
      <w:r w:rsidRPr="00024FFD">
        <w:t xml:space="preserve"> forc</w:t>
      </w:r>
      <w:r>
        <w:t xml:space="preserve">ed to confess guilt under </w:t>
      </w:r>
      <w:proofErr w:type="gramStart"/>
      <w:r>
        <w:t>duress,</w:t>
      </w:r>
      <w:proofErr w:type="gramEnd"/>
      <w:r w:rsidRPr="00024FFD">
        <w:t xml:space="preserve"> the State party did not allow Mr </w:t>
      </w:r>
      <w:proofErr w:type="spellStart"/>
      <w:r w:rsidRPr="00024FFD">
        <w:t>Humaam</w:t>
      </w:r>
      <w:proofErr w:type="spellEnd"/>
      <w:r w:rsidRPr="00024FFD">
        <w:t xml:space="preserve"> to </w:t>
      </w:r>
      <w:r>
        <w:t xml:space="preserve">present evidence or </w:t>
      </w:r>
      <w:r w:rsidRPr="00024FFD">
        <w:t>call witnesses to support his claims</w:t>
      </w:r>
      <w:r>
        <w:t xml:space="preserve"> and did not</w:t>
      </w:r>
      <w:r w:rsidRPr="00024FFD">
        <w:t xml:space="preserve"> conduct</w:t>
      </w:r>
      <w:r>
        <w:t xml:space="preserve"> </w:t>
      </w:r>
      <w:r w:rsidRPr="00024FFD">
        <w:t>any i</w:t>
      </w:r>
      <w:r>
        <w:t>nvestigation into those</w:t>
      </w:r>
      <w:r w:rsidRPr="00024FFD">
        <w:t xml:space="preserve"> allegation</w:t>
      </w:r>
      <w:r>
        <w:t>s</w:t>
      </w:r>
      <w:r w:rsidRPr="00024FFD">
        <w:t xml:space="preserve">. </w:t>
      </w:r>
      <w:proofErr w:type="gramStart"/>
      <w:r>
        <w:t xml:space="preserve">Regarding the State party’s contention that Mr </w:t>
      </w:r>
      <w:proofErr w:type="spellStart"/>
      <w:r>
        <w:t>Humaam</w:t>
      </w:r>
      <w:proofErr w:type="spellEnd"/>
      <w:r>
        <w:t xml:space="preserve"> bore the</w:t>
      </w:r>
      <w:r w:rsidRPr="00024FFD">
        <w:t xml:space="preserve"> </w:t>
      </w:r>
      <w:r>
        <w:t>burden of proof in establishing that the confession</w:t>
      </w:r>
      <w:r w:rsidRPr="00024FFD">
        <w:t xml:space="preserve"> was extracted under duress and was not voluntary, the Committee </w:t>
      </w:r>
      <w:r w:rsidR="000F0BFE">
        <w:t>recalls</w:t>
      </w:r>
      <w:r w:rsidR="000F0BFE" w:rsidRPr="00024FFD">
        <w:t xml:space="preserve"> </w:t>
      </w:r>
      <w:r w:rsidRPr="00024FFD">
        <w:t xml:space="preserve">that it is implicit in </w:t>
      </w:r>
      <w:r>
        <w:t xml:space="preserve">article 14(3)(g) that once a defendant raises credible claims that a confession was made under duress, </w:t>
      </w:r>
      <w:r w:rsidRPr="00024FFD">
        <w:t xml:space="preserve">the prosecution </w:t>
      </w:r>
      <w:r>
        <w:t xml:space="preserve">bears responsibility for establishing </w:t>
      </w:r>
      <w:r w:rsidRPr="00024FFD">
        <w:t xml:space="preserve">that the confession was </w:t>
      </w:r>
      <w:r w:rsidR="000F0BFE">
        <w:t xml:space="preserve">given </w:t>
      </w:r>
      <w:r>
        <w:t>voluntar</w:t>
      </w:r>
      <w:r w:rsidR="000F0BFE">
        <w:t>ily</w:t>
      </w:r>
      <w:r w:rsidRPr="00024FFD">
        <w:t>.</w:t>
      </w:r>
      <w:proofErr w:type="gramEnd"/>
      <w:r w:rsidRPr="00024FFD">
        <w:t xml:space="preserve"> </w:t>
      </w:r>
      <w:proofErr w:type="gramStart"/>
      <w:r w:rsidRPr="00024FFD">
        <w:t xml:space="preserve">The Committee notes in this respect that the failure of the State party to allow Mr </w:t>
      </w:r>
      <w:proofErr w:type="spellStart"/>
      <w:r w:rsidRPr="00024FFD">
        <w:t>Humaam</w:t>
      </w:r>
      <w:proofErr w:type="spellEnd"/>
      <w:r w:rsidRPr="00024FFD">
        <w:t xml:space="preserve"> to present evidence to support </w:t>
      </w:r>
      <w:r>
        <w:t>the claim or to independently investigate it</w:t>
      </w:r>
      <w:r w:rsidRPr="00024FFD">
        <w:t xml:space="preserve"> shows t</w:t>
      </w:r>
      <w:r>
        <w:t xml:space="preserve">hat this </w:t>
      </w:r>
      <w:r w:rsidR="00834E33">
        <w:t xml:space="preserve">obligation </w:t>
      </w:r>
      <w:r>
        <w:t>was not met</w:t>
      </w:r>
      <w:r w:rsidRPr="00024FFD">
        <w:t xml:space="preserve">, especially </w:t>
      </w:r>
      <w:r>
        <w:t>since</w:t>
      </w:r>
      <w:r w:rsidRPr="00024FFD">
        <w:t xml:space="preserve"> </w:t>
      </w:r>
      <w:r w:rsidR="00834E33">
        <w:t xml:space="preserve">Mr. </w:t>
      </w:r>
      <w:proofErr w:type="spellStart"/>
      <w:r w:rsidR="00834E33">
        <w:t>Humaam</w:t>
      </w:r>
      <w:proofErr w:type="spellEnd"/>
      <w:r w:rsidR="00834E33" w:rsidRPr="00024FFD">
        <w:t xml:space="preserve"> </w:t>
      </w:r>
      <w:r w:rsidRPr="00024FFD">
        <w:t xml:space="preserve">was in detention at the time and the State party has failed to provide </w:t>
      </w:r>
      <w:r>
        <w:t>the</w:t>
      </w:r>
      <w:r w:rsidRPr="00024FFD">
        <w:t xml:space="preserve"> recording of the interview</w:t>
      </w:r>
      <w:r>
        <w:t xml:space="preserve"> as required by domestic law</w:t>
      </w:r>
      <w:r w:rsidRPr="00024FFD">
        <w:t>.</w:t>
      </w:r>
      <w:proofErr w:type="gramEnd"/>
      <w:r w:rsidRPr="00024FFD">
        <w:t xml:space="preserve"> The Committee </w:t>
      </w:r>
      <w:r w:rsidR="000F0BFE">
        <w:t xml:space="preserve">concludes </w:t>
      </w:r>
      <w:r w:rsidRPr="00024FFD">
        <w:t xml:space="preserve">that by placing the burden of proof that his confession was made under duress on Mr </w:t>
      </w:r>
      <w:proofErr w:type="spellStart"/>
      <w:r w:rsidRPr="00024FFD">
        <w:t>Humaam</w:t>
      </w:r>
      <w:proofErr w:type="spellEnd"/>
      <w:r w:rsidRPr="00024FFD">
        <w:t>, a</w:t>
      </w:r>
      <w:r>
        <w:t xml:space="preserve">nd failing to allow him to present evidence to </w:t>
      </w:r>
      <w:r w:rsidR="00834E33">
        <w:t xml:space="preserve">support </w:t>
      </w:r>
      <w:r>
        <w:t>it</w:t>
      </w:r>
      <w:r w:rsidRPr="00024FFD">
        <w:t>, the State party violated article 1</w:t>
      </w:r>
      <w:r>
        <w:t xml:space="preserve">4 </w:t>
      </w:r>
      <w:r w:rsidRPr="00024FFD">
        <w:t>(3)(g</w:t>
      </w:r>
      <w:r>
        <w:t>)</w:t>
      </w:r>
      <w:r w:rsidRPr="00024FFD">
        <w:t xml:space="preserve">. Accordingly, the Committee concludes that the facts before it disclose a violation of </w:t>
      </w:r>
      <w:r w:rsidR="000F0BFE">
        <w:t xml:space="preserve">Mr. </w:t>
      </w:r>
      <w:proofErr w:type="spellStart"/>
      <w:r w:rsidR="000F0BFE">
        <w:t>Humaam’s</w:t>
      </w:r>
      <w:proofErr w:type="spellEnd"/>
      <w:r w:rsidRPr="00024FFD">
        <w:t xml:space="preserve"> rights under article 14(3</w:t>
      </w:r>
      <w:proofErr w:type="gramStart"/>
      <w:r w:rsidRPr="00024FFD">
        <w:t>)(</w:t>
      </w:r>
      <w:proofErr w:type="gramEnd"/>
      <w:r w:rsidRPr="00024FFD">
        <w:t>g)</w:t>
      </w:r>
      <w:r w:rsidR="00F72B4F">
        <w:t xml:space="preserve"> </w:t>
      </w:r>
      <w:r w:rsidRPr="00024FFD">
        <w:t>of the Covenant.</w:t>
      </w:r>
    </w:p>
    <w:p w:rsidR="000F0BFE" w:rsidRPr="00DC0D3C" w:rsidRDefault="007863CB" w:rsidP="000F0BFE">
      <w:pPr>
        <w:pStyle w:val="SingleTxtG"/>
      </w:pPr>
      <w:r>
        <w:t>9.4</w:t>
      </w:r>
      <w:r w:rsidR="006C1762">
        <w:tab/>
      </w:r>
      <w:r w:rsidR="000F0BFE" w:rsidRPr="00DC0D3C">
        <w:t xml:space="preserve">In connection with the author’s claim that Mr </w:t>
      </w:r>
      <w:proofErr w:type="spellStart"/>
      <w:r w:rsidR="000F0BFE" w:rsidRPr="00DC0D3C">
        <w:t>Humaam’s</w:t>
      </w:r>
      <w:proofErr w:type="spellEnd"/>
      <w:r w:rsidR="000F0BFE" w:rsidRPr="00DC0D3C">
        <w:t xml:space="preserve"> confession </w:t>
      </w:r>
      <w:proofErr w:type="gramStart"/>
      <w:r w:rsidR="000F0BFE" w:rsidRPr="00DC0D3C">
        <w:t>was obtained</w:t>
      </w:r>
      <w:proofErr w:type="gramEnd"/>
      <w:r w:rsidR="000F0BFE" w:rsidRPr="00DC0D3C">
        <w:t xml:space="preserve"> in the absence of his defence lawyer, the Committee notes the State party’s statement that Mr </w:t>
      </w:r>
      <w:proofErr w:type="spellStart"/>
      <w:r w:rsidR="000F0BFE" w:rsidRPr="00DC0D3C">
        <w:t>Humaam</w:t>
      </w:r>
      <w:proofErr w:type="spellEnd"/>
      <w:r w:rsidR="000F0BFE" w:rsidRPr="00DC0D3C">
        <w:t xml:space="preserve"> refused the services of the lawyer appointed by the authorities to represent him. </w:t>
      </w:r>
      <w:proofErr w:type="gramStart"/>
      <w:r w:rsidR="000F0BFE" w:rsidRPr="00DC0D3C">
        <w:t>The Committee recalls its General Comment No. 32 (2007), that in cases involving capital punishment, it is axiomatic that the accused must be effectively assisted by a lawyer at all stages of the proceedings and that the interests of justice may, in the case of a specific trial, require the assignment of a lawyer against the wishes of the accused, particularly in cases of persons facing a grave charge but being unable to act in their own interests.</w:t>
      </w:r>
      <w:r w:rsidR="000F0BFE" w:rsidRPr="00BC65B2">
        <w:rPr>
          <w:rStyle w:val="FootnoteReference"/>
          <w:sz w:val="20"/>
        </w:rPr>
        <w:footnoteReference w:id="22"/>
      </w:r>
      <w:proofErr w:type="gramEnd"/>
      <w:r w:rsidR="000F0BFE" w:rsidRPr="00DC0D3C">
        <w:t xml:space="preserve"> In </w:t>
      </w:r>
      <w:r w:rsidR="000F0BFE">
        <w:t>the present case</w:t>
      </w:r>
      <w:r w:rsidR="000F0BFE" w:rsidRPr="00010BC9">
        <w:t>,</w:t>
      </w:r>
      <w:r w:rsidR="000F0BFE" w:rsidRPr="00300165">
        <w:t xml:space="preserve"> </w:t>
      </w:r>
      <w:r w:rsidR="00CF314C">
        <w:t>t</w:t>
      </w:r>
      <w:r w:rsidR="000F0BFE">
        <w:t xml:space="preserve">he Committee </w:t>
      </w:r>
      <w:r w:rsidR="000F0BFE" w:rsidRPr="00095427">
        <w:t>notes the author’s claim that</w:t>
      </w:r>
      <w:r w:rsidR="000F0BFE" w:rsidRPr="00D62FA6">
        <w:t xml:space="preserve"> the early proceedings were conducted in circumstances that were not conducive to protecting Mr. </w:t>
      </w:r>
      <w:proofErr w:type="spellStart"/>
      <w:r w:rsidR="000F0BFE" w:rsidRPr="00D62FA6">
        <w:t>Humaam’s</w:t>
      </w:r>
      <w:proofErr w:type="spellEnd"/>
      <w:r w:rsidR="000F0BFE" w:rsidRPr="00D62FA6">
        <w:t xml:space="preserve"> procedural rights, including the author’s unrefu</w:t>
      </w:r>
      <w:r w:rsidR="000F0BFE" w:rsidRPr="00095427">
        <w:t xml:space="preserve">ted claims that </w:t>
      </w:r>
      <w:r w:rsidR="000F0BFE" w:rsidRPr="00D62FA6">
        <w:t xml:space="preserve">Mr.. </w:t>
      </w:r>
      <w:proofErr w:type="spellStart"/>
      <w:r w:rsidR="000F0BFE" w:rsidRPr="00D62FA6">
        <w:t>Humaam’s</w:t>
      </w:r>
      <w:proofErr w:type="spellEnd"/>
      <w:r w:rsidR="000F0BFE" w:rsidRPr="00095427">
        <w:t xml:space="preserve"> interview </w:t>
      </w:r>
      <w:proofErr w:type="gramStart"/>
      <w:r w:rsidR="000F0BFE" w:rsidRPr="00D62FA6">
        <w:t>was</w:t>
      </w:r>
      <w:r w:rsidR="000F0BFE" w:rsidRPr="00095427">
        <w:t xml:space="preserve"> conducted</w:t>
      </w:r>
      <w:proofErr w:type="gramEnd"/>
      <w:r w:rsidR="000F0BFE" w:rsidRPr="00095427">
        <w:t xml:space="preserve"> </w:t>
      </w:r>
      <w:r w:rsidR="000F0BFE" w:rsidRPr="00D62FA6">
        <w:t xml:space="preserve">in a distant location, without video recording required by domestic law, </w:t>
      </w:r>
      <w:r w:rsidR="000F0BFE" w:rsidRPr="00095427">
        <w:t xml:space="preserve">and that the State party did not ensure </w:t>
      </w:r>
      <w:r w:rsidR="000F0BFE" w:rsidRPr="00D62FA6">
        <w:t>an effective access to counsel at the early stages of the proceedings</w:t>
      </w:r>
      <w:r w:rsidR="000F0BFE" w:rsidRPr="00095427">
        <w:t xml:space="preserve"> </w:t>
      </w:r>
      <w:r w:rsidR="000F0BFE" w:rsidRPr="00D62FA6">
        <w:t>(paras</w:t>
      </w:r>
      <w:r w:rsidR="000F0BFE" w:rsidRPr="00095427">
        <w:t xml:space="preserve">. </w:t>
      </w:r>
      <w:r w:rsidR="000F0BFE" w:rsidRPr="00D62FA6">
        <w:t>7.2-</w:t>
      </w:r>
      <w:r w:rsidR="000F0BFE" w:rsidRPr="00095427">
        <w:t>7.5</w:t>
      </w:r>
      <w:r w:rsidR="000F0BFE" w:rsidRPr="00D62FA6">
        <w:t>)</w:t>
      </w:r>
      <w:r w:rsidR="000F0BFE" w:rsidRPr="00095427">
        <w:t xml:space="preserve">.  </w:t>
      </w:r>
      <w:proofErr w:type="gramStart"/>
      <w:r w:rsidR="000F0BFE" w:rsidRPr="00D62FA6">
        <w:t xml:space="preserve">It further notes that </w:t>
      </w:r>
      <w:r w:rsidR="000F0BFE" w:rsidRPr="00095427">
        <w:t xml:space="preserve">the State party </w:t>
      </w:r>
      <w:r w:rsidR="000F0BFE" w:rsidRPr="00D62FA6">
        <w:t xml:space="preserve">only gave Mr </w:t>
      </w:r>
      <w:proofErr w:type="spellStart"/>
      <w:r w:rsidR="000F0BFE" w:rsidRPr="00D62FA6">
        <w:t>Humaam</w:t>
      </w:r>
      <w:proofErr w:type="spellEnd"/>
      <w:r w:rsidR="000F0BFE" w:rsidRPr="00D62FA6">
        <w:t xml:space="preserve"> ten days to obtain private counsel; did not appoint counsel, albeit against his wishes, in the event of his failure to retain private counsel; failed to ensure that Mr. </w:t>
      </w:r>
      <w:proofErr w:type="spellStart"/>
      <w:r w:rsidR="000F0BFE" w:rsidRPr="00D62FA6">
        <w:t>Humaam</w:t>
      </w:r>
      <w:proofErr w:type="spellEnd"/>
      <w:r w:rsidR="000F0BFE" w:rsidRPr="00D62FA6">
        <w:t xml:space="preserve"> was capable of acting in his own interests, as concluded in paragraph 9.5, below;</w:t>
      </w:r>
      <w:r w:rsidR="000F0BFE" w:rsidRPr="00095427">
        <w:t xml:space="preserve"> and recorded </w:t>
      </w:r>
      <w:r w:rsidR="000F0BFE" w:rsidRPr="00D62FA6">
        <w:t>the confession in court without counsel before charges had been laid, Under these circumstances,</w:t>
      </w:r>
      <w:r w:rsidR="000F0BFE">
        <w:t xml:space="preserve"> </w:t>
      </w:r>
      <w:r w:rsidR="000F0BFE" w:rsidRPr="00DC0D3C">
        <w:t xml:space="preserve">the Committee concludes that the facts as submitted by the </w:t>
      </w:r>
      <w:r w:rsidR="000F0BFE" w:rsidRPr="00010BC9">
        <w:t xml:space="preserve">author reveal a violation of Mr </w:t>
      </w:r>
      <w:proofErr w:type="spellStart"/>
      <w:r w:rsidR="000F0BFE" w:rsidRPr="00010BC9">
        <w:t>Humaam’s</w:t>
      </w:r>
      <w:proofErr w:type="spellEnd"/>
      <w:r w:rsidR="000F0BFE" w:rsidRPr="00300165">
        <w:t xml:space="preserve"> rights to legal assistance under article 14(3)(d) of the Covenant.</w:t>
      </w:r>
      <w:proofErr w:type="gramEnd"/>
    </w:p>
    <w:p w:rsidR="0048153D" w:rsidRPr="00B300CE" w:rsidRDefault="000F0BFE" w:rsidP="0048153D">
      <w:pPr>
        <w:pStyle w:val="SingleTxtG"/>
      </w:pPr>
      <w:r>
        <w:t>9.5</w:t>
      </w:r>
      <w:r>
        <w:tab/>
      </w:r>
      <w:r w:rsidR="0048153D">
        <w:t xml:space="preserve">Regarding the ability to present witness testimony more generally, the Committee notes the author’s claim that Mr </w:t>
      </w:r>
      <w:proofErr w:type="spellStart"/>
      <w:r w:rsidR="0048153D">
        <w:t>Humaam</w:t>
      </w:r>
      <w:proofErr w:type="spellEnd"/>
      <w:r w:rsidR="0048153D">
        <w:t xml:space="preserve"> was not allowed to call </w:t>
      </w:r>
      <w:r>
        <w:t xml:space="preserve">defence </w:t>
      </w:r>
      <w:proofErr w:type="gramStart"/>
      <w:r w:rsidR="0048153D">
        <w:t xml:space="preserve">witnesses </w:t>
      </w:r>
      <w:r>
        <w:t xml:space="preserve"> including</w:t>
      </w:r>
      <w:proofErr w:type="gramEnd"/>
      <w:r>
        <w:t xml:space="preserve"> witnesses to establish that his confession was made under duress</w:t>
      </w:r>
      <w:r w:rsidR="0048153D">
        <w:t>.</w:t>
      </w:r>
      <w:r w:rsidR="00EE2064">
        <w:t xml:space="preserve"> </w:t>
      </w:r>
      <w:r>
        <w:t>The Committee further</w:t>
      </w:r>
      <w:r w:rsidR="0048153D">
        <w:t xml:space="preserve"> notes his claim that </w:t>
      </w:r>
      <w:r w:rsidR="0048153D" w:rsidRPr="00872196">
        <w:t>among the</w:t>
      </w:r>
      <w:r w:rsidR="0048153D">
        <w:t xml:space="preserve"> </w:t>
      </w:r>
      <w:r w:rsidR="0048153D" w:rsidRPr="00872196">
        <w:t xml:space="preserve">witnesses </w:t>
      </w:r>
      <w:r w:rsidR="0048153D">
        <w:t xml:space="preserve">Mr </w:t>
      </w:r>
      <w:proofErr w:type="spellStart"/>
      <w:r w:rsidR="0048153D">
        <w:t>Humaam</w:t>
      </w:r>
      <w:proofErr w:type="spellEnd"/>
      <w:r w:rsidR="0048153D" w:rsidRPr="00872196">
        <w:t xml:space="preserve"> wished to call, one died in still unexplained circumstances, </w:t>
      </w:r>
      <w:r w:rsidR="0048153D">
        <w:t xml:space="preserve">without </w:t>
      </w:r>
      <w:r w:rsidR="0048153D" w:rsidRPr="00872196">
        <w:t xml:space="preserve">an investigation </w:t>
      </w:r>
      <w:r w:rsidR="0048153D">
        <w:t>ever being</w:t>
      </w:r>
      <w:r w:rsidR="0048153D" w:rsidRPr="00872196">
        <w:t xml:space="preserve"> carried out, </w:t>
      </w:r>
      <w:r w:rsidR="0048153D">
        <w:t>and</w:t>
      </w:r>
      <w:r w:rsidR="0048153D" w:rsidRPr="00872196">
        <w:t xml:space="preserve"> the CCTV evidence to which the deceased witness’ testimony related</w:t>
      </w:r>
      <w:r w:rsidR="0048153D">
        <w:t>,</w:t>
      </w:r>
      <w:r w:rsidR="0048153D" w:rsidRPr="00872196">
        <w:t xml:space="preserve"> was never made available</w:t>
      </w:r>
      <w:r w:rsidR="0048153D">
        <w:t>.</w:t>
      </w:r>
      <w:r w:rsidR="00EE2064">
        <w:t xml:space="preserve"> </w:t>
      </w:r>
      <w:r w:rsidR="0048153D">
        <w:t xml:space="preserve">The Committee further notes that another witness Mr </w:t>
      </w:r>
      <w:proofErr w:type="spellStart"/>
      <w:r w:rsidR="0048153D">
        <w:t>Humaan</w:t>
      </w:r>
      <w:proofErr w:type="spellEnd"/>
      <w:r w:rsidR="0048153D" w:rsidRPr="00872196">
        <w:t xml:space="preserve"> wished to call had had his passport retained by authorities after the murder to </w:t>
      </w:r>
      <w:r w:rsidR="0048153D">
        <w:t>prevent</w:t>
      </w:r>
      <w:r w:rsidR="0048153D" w:rsidRPr="00872196">
        <w:t xml:space="preserve"> him</w:t>
      </w:r>
      <w:r w:rsidR="0048153D">
        <w:t xml:space="preserve"> from</w:t>
      </w:r>
      <w:r w:rsidR="0048153D" w:rsidRPr="00872196">
        <w:t xml:space="preserve"> leaving the country</w:t>
      </w:r>
      <w:r w:rsidR="0048153D">
        <w:t>,</w:t>
      </w:r>
      <w:r w:rsidR="0048153D" w:rsidRPr="00872196">
        <w:t xml:space="preserve"> and yet</w:t>
      </w:r>
      <w:r w:rsidR="0048153D">
        <w:t>,</w:t>
      </w:r>
      <w:r w:rsidR="0048153D" w:rsidRPr="00872196">
        <w:t xml:space="preserve"> </w:t>
      </w:r>
      <w:r w:rsidR="0048153D">
        <w:t xml:space="preserve">he still </w:t>
      </w:r>
      <w:proofErr w:type="gramStart"/>
      <w:r w:rsidR="0048153D">
        <w:t>was</w:t>
      </w:r>
      <w:r w:rsidR="0048153D" w:rsidRPr="00872196">
        <w:t xml:space="preserve"> allowed</w:t>
      </w:r>
      <w:proofErr w:type="gramEnd"/>
      <w:r w:rsidR="0048153D" w:rsidRPr="00872196">
        <w:t xml:space="preserve"> to leave</w:t>
      </w:r>
      <w:r w:rsidR="0048153D">
        <w:t xml:space="preserve">. </w:t>
      </w:r>
      <w:r w:rsidR="0048153D" w:rsidRPr="003E2520">
        <w:t xml:space="preserve">The author </w:t>
      </w:r>
      <w:r w:rsidR="0048153D">
        <w:t>further</w:t>
      </w:r>
      <w:r w:rsidR="0048153D" w:rsidRPr="003E2520">
        <w:t xml:space="preserve"> claims that th</w:t>
      </w:r>
      <w:r w:rsidR="0048153D">
        <w:t xml:space="preserve">e complete discretion of judges </w:t>
      </w:r>
      <w:r w:rsidR="0048153D" w:rsidRPr="003E2520">
        <w:t>in the Maldives as to what evidence</w:t>
      </w:r>
      <w:r w:rsidR="0048153D">
        <w:t xml:space="preserve"> is presented, including</w:t>
      </w:r>
      <w:r w:rsidR="0048153D" w:rsidRPr="003E2520">
        <w:t xml:space="preserve"> which witnesses</w:t>
      </w:r>
      <w:r w:rsidR="0048153D">
        <w:t>,</w:t>
      </w:r>
      <w:r w:rsidR="0048153D" w:rsidRPr="003E2520">
        <w:t xml:space="preserve"> </w:t>
      </w:r>
      <w:r w:rsidR="0048153D">
        <w:t xml:space="preserve">if any, </w:t>
      </w:r>
      <w:r w:rsidR="0048153D" w:rsidRPr="003E2520">
        <w:t>can be called</w:t>
      </w:r>
      <w:r w:rsidR="0048153D">
        <w:t>,</w:t>
      </w:r>
      <w:r w:rsidR="0048153D" w:rsidRPr="003E2520">
        <w:t xml:space="preserve"> and </w:t>
      </w:r>
      <w:r w:rsidR="0048153D">
        <w:t>the use of anonymous witnesses in the trial, prevented</w:t>
      </w:r>
      <w:r w:rsidR="0048153D" w:rsidRPr="003E2520">
        <w:t xml:space="preserve"> the defence from being able to cross-examine witnesses</w:t>
      </w:r>
      <w:r w:rsidR="0048153D">
        <w:t xml:space="preserve">. </w:t>
      </w:r>
      <w:proofErr w:type="gramStart"/>
      <w:r w:rsidR="0048153D">
        <w:t>The Committee notes the</w:t>
      </w:r>
      <w:r w:rsidR="0048153D" w:rsidRPr="003E2520">
        <w:t xml:space="preserve"> State party’s argument that </w:t>
      </w:r>
      <w:r>
        <w:t xml:space="preserve">Mr. </w:t>
      </w:r>
      <w:proofErr w:type="spellStart"/>
      <w:r>
        <w:lastRenderedPageBreak/>
        <w:t>Humaam</w:t>
      </w:r>
      <w:proofErr w:type="spellEnd"/>
      <w:r>
        <w:t xml:space="preserve"> </w:t>
      </w:r>
      <w:r w:rsidR="0048153D" w:rsidRPr="003E2520">
        <w:t xml:space="preserve"> </w:t>
      </w:r>
      <w:r w:rsidR="0048153D">
        <w:t>was not allowed</w:t>
      </w:r>
      <w:r w:rsidR="0048153D" w:rsidRPr="003E2520">
        <w:t xml:space="preserve"> to call witnesses </w:t>
      </w:r>
      <w:r w:rsidR="0048153D">
        <w:t>in his defence due to his confession at the outset, that</w:t>
      </w:r>
      <w:r w:rsidR="0048153D" w:rsidRPr="00C057B0">
        <w:t xml:space="preserve"> that complaints regarding witness unavailability </w:t>
      </w:r>
      <w:r w:rsidR="0048153D">
        <w:t xml:space="preserve">were not substantiated, </w:t>
      </w:r>
      <w:r w:rsidR="0048153D" w:rsidRPr="00C057B0">
        <w:t xml:space="preserve">that these matters were not under State control, </w:t>
      </w:r>
      <w:r w:rsidR="0048153D">
        <w:t xml:space="preserve">that as in other jurisdictions, judges have discretion about admitting relevant evidence, that Mr </w:t>
      </w:r>
      <w:proofErr w:type="spellStart"/>
      <w:r w:rsidR="0048153D">
        <w:t>Humaam</w:t>
      </w:r>
      <w:proofErr w:type="spellEnd"/>
      <w:r w:rsidR="0048153D" w:rsidRPr="003E2520">
        <w:t xml:space="preserve"> had been given the opportunity to cross-examine prosecution witnesses as</w:t>
      </w:r>
      <w:r w:rsidR="0048153D">
        <w:t>,</w:t>
      </w:r>
      <w:r w:rsidR="0048153D" w:rsidRPr="003E2520">
        <w:t xml:space="preserve"> even though anonymous, </w:t>
      </w:r>
      <w:r w:rsidR="0048153D">
        <w:t>all essential</w:t>
      </w:r>
      <w:r w:rsidR="0048153D" w:rsidRPr="003E2520">
        <w:t xml:space="preserve"> information was provided and that he had been able to cross examine on the DNA evidence, having had access to the report.</w:t>
      </w:r>
      <w:proofErr w:type="gramEnd"/>
      <w:r w:rsidR="0048153D" w:rsidRPr="003E2520">
        <w:t xml:space="preserve"> </w:t>
      </w:r>
      <w:r w:rsidR="0048153D">
        <w:t>T</w:t>
      </w:r>
      <w:r w:rsidR="0048153D" w:rsidRPr="003E2520">
        <w:t xml:space="preserve">he Committee recalls its jurisprudence that the right to obtain the attendance of the witnesses by the accused or their counsel is not unlimited, but that there should be a proper opportunity to question and challenge witnesses against them at some stage of </w:t>
      </w:r>
      <w:r w:rsidR="0048153D">
        <w:t xml:space="preserve">the </w:t>
      </w:r>
      <w:r w:rsidR="0048153D" w:rsidRPr="003E2520">
        <w:t>proceedings</w:t>
      </w:r>
      <w:r w:rsidR="0048153D">
        <w:t>.</w:t>
      </w:r>
      <w:r w:rsidR="0048153D">
        <w:rPr>
          <w:rStyle w:val="FootnoteReference"/>
        </w:rPr>
        <w:footnoteReference w:id="23"/>
      </w:r>
      <w:r w:rsidR="0048153D">
        <w:t xml:space="preserve"> </w:t>
      </w:r>
      <w:r>
        <w:t xml:space="preserve">The Committee also notes the irregular representation of Mr. </w:t>
      </w:r>
      <w:proofErr w:type="spellStart"/>
      <w:r>
        <w:t>Humaam</w:t>
      </w:r>
      <w:proofErr w:type="spellEnd"/>
      <w:r>
        <w:t xml:space="preserve"> by counsel during his capital trial proceeding. </w:t>
      </w:r>
      <w:proofErr w:type="gramStart"/>
      <w:r w:rsidR="0048153D" w:rsidRPr="003E2520">
        <w:t>The Committee considers that the failure to allow the defendant an opportunity to present witnesses in his defence</w:t>
      </w:r>
      <w:r>
        <w:t xml:space="preserve"> in a capital proceeding, including witnesses to corroborate the involuntary nature of his confession</w:t>
      </w:r>
      <w:r w:rsidRPr="003E2520">
        <w:t xml:space="preserve"> </w:t>
      </w:r>
      <w:r w:rsidR="0048153D">
        <w:t xml:space="preserve">and </w:t>
      </w:r>
      <w:r>
        <w:t xml:space="preserve">the </w:t>
      </w:r>
      <w:r w:rsidR="0048153D">
        <w:t>failure to timely provide relevant information to allow adequate cross-examination of the prosecution’s witnesses</w:t>
      </w:r>
      <w:r w:rsidR="0048153D" w:rsidRPr="003E2520">
        <w:t xml:space="preserve">, </w:t>
      </w:r>
      <w:r w:rsidR="0048153D">
        <w:t xml:space="preserve">violated </w:t>
      </w:r>
      <w:r w:rsidR="0048153D" w:rsidRPr="003E2520">
        <w:t xml:space="preserve">Mr </w:t>
      </w:r>
      <w:proofErr w:type="spellStart"/>
      <w:r w:rsidR="0048153D" w:rsidRPr="003E2520">
        <w:t>H</w:t>
      </w:r>
      <w:r w:rsidR="0048153D">
        <w:t>umaam’s</w:t>
      </w:r>
      <w:proofErr w:type="spellEnd"/>
      <w:r w:rsidR="0048153D">
        <w:t xml:space="preserve"> rights under article 14(3)(b) and (e) of </w:t>
      </w:r>
      <w:r w:rsidR="0048153D" w:rsidRPr="003E2520">
        <w:t>the Covenant.</w:t>
      </w:r>
      <w:proofErr w:type="gramEnd"/>
      <w:r w:rsidR="0048153D" w:rsidRPr="00EE4A53">
        <w:t xml:space="preserve"> </w:t>
      </w:r>
    </w:p>
    <w:p w:rsidR="0048153D" w:rsidRDefault="007863CB" w:rsidP="0048153D">
      <w:pPr>
        <w:pStyle w:val="SingleTxtG"/>
      </w:pPr>
      <w:proofErr w:type="gramStart"/>
      <w:r>
        <w:t>9.</w:t>
      </w:r>
      <w:r w:rsidR="000F0BFE">
        <w:t>6</w:t>
      </w:r>
      <w:r w:rsidR="006C1762">
        <w:tab/>
      </w:r>
      <w:r w:rsidR="00B855A1">
        <w:t>T</w:t>
      </w:r>
      <w:r w:rsidR="0048153D">
        <w:t>he Committee notes the author’s claims that</w:t>
      </w:r>
      <w:r w:rsidR="0048153D" w:rsidRPr="003E2520">
        <w:t xml:space="preserve"> </w:t>
      </w:r>
      <w:r w:rsidR="00B855A1">
        <w:t xml:space="preserve">Mr. </w:t>
      </w:r>
      <w:proofErr w:type="spellStart"/>
      <w:r w:rsidR="00B855A1">
        <w:t>Humaam’s</w:t>
      </w:r>
      <w:proofErr w:type="spellEnd"/>
      <w:r w:rsidR="00B855A1">
        <w:t xml:space="preserve"> mental health </w:t>
      </w:r>
      <w:r w:rsidR="0048153D">
        <w:t>had</w:t>
      </w:r>
      <w:r w:rsidR="0048153D" w:rsidRPr="003E2520">
        <w:t xml:space="preserve"> been called into question by a </w:t>
      </w:r>
      <w:r w:rsidR="00B855A1">
        <w:t xml:space="preserve">recent </w:t>
      </w:r>
      <w:r w:rsidR="0048153D" w:rsidRPr="003E2520">
        <w:t>history of psychiatric treatment and by his erratic and</w:t>
      </w:r>
      <w:r w:rsidR="0048153D">
        <w:t xml:space="preserve"> inconsistent behaviour from the outset of proceedings, including </w:t>
      </w:r>
      <w:r w:rsidR="000F0BFE">
        <w:t xml:space="preserve">by rejecting state appointed counsel and insisting on his own representation, repeatedly </w:t>
      </w:r>
      <w:r w:rsidR="0048153D">
        <w:t>changing pleas, and generally acting against his own interests,</w:t>
      </w:r>
      <w:r w:rsidR="0048153D" w:rsidRPr="003E2520">
        <w:t xml:space="preserve"> </w:t>
      </w:r>
      <w:r w:rsidR="000F0BFE">
        <w:t xml:space="preserve">and  </w:t>
      </w:r>
      <w:r w:rsidR="0048153D">
        <w:t xml:space="preserve">that the State party failed to facilitate an independent </w:t>
      </w:r>
      <w:r w:rsidR="008E3685">
        <w:t xml:space="preserve">psychiatric </w:t>
      </w:r>
      <w:r w:rsidR="0048153D">
        <w:t xml:space="preserve">assessment </w:t>
      </w:r>
      <w:r w:rsidR="0048153D" w:rsidRPr="003E2520">
        <w:t>despite requests by the family</w:t>
      </w:r>
      <w:r w:rsidR="0048153D">
        <w:t>, the police,</w:t>
      </w:r>
      <w:r w:rsidR="0048153D" w:rsidRPr="003E2520">
        <w:t xml:space="preserve"> and a penitentiary medical doctor.</w:t>
      </w:r>
      <w:proofErr w:type="gramEnd"/>
      <w:r w:rsidR="00C82CF6">
        <w:t xml:space="preserve"> </w:t>
      </w:r>
      <w:r w:rsidR="00B855A1">
        <w:t xml:space="preserve">It also notes the author’s argument that </w:t>
      </w:r>
      <w:r w:rsidR="00B855A1" w:rsidRPr="00872196">
        <w:t xml:space="preserve">the only professional psychiatrist in the country </w:t>
      </w:r>
      <w:r w:rsidR="00CC6488">
        <w:t xml:space="preserve">had </w:t>
      </w:r>
      <w:r w:rsidR="00B855A1" w:rsidRPr="00872196">
        <w:t xml:space="preserve">refused to make a psychological assessment of </w:t>
      </w:r>
      <w:r w:rsidR="008E3685">
        <w:t xml:space="preserve">Mr. </w:t>
      </w:r>
      <w:proofErr w:type="spellStart"/>
      <w:proofErr w:type="gramStart"/>
      <w:r w:rsidR="008E3685">
        <w:t>Humaam</w:t>
      </w:r>
      <w:proofErr w:type="spellEnd"/>
      <w:r w:rsidR="008E3685">
        <w:t xml:space="preserve"> </w:t>
      </w:r>
      <w:r w:rsidR="008E3685" w:rsidRPr="00872196">
        <w:t xml:space="preserve"> </w:t>
      </w:r>
      <w:r w:rsidR="00B855A1" w:rsidRPr="00872196">
        <w:t>due</w:t>
      </w:r>
      <w:proofErr w:type="gramEnd"/>
      <w:r w:rsidR="00B855A1" w:rsidRPr="00872196">
        <w:t xml:space="preserve"> to a conflict of interest</w:t>
      </w:r>
      <w:r w:rsidR="00B855A1">
        <w:t>.</w:t>
      </w:r>
      <w:r w:rsidR="00B855A1" w:rsidRPr="00FE0A6C">
        <w:t xml:space="preserve"> </w:t>
      </w:r>
      <w:r w:rsidR="0048153D">
        <w:t xml:space="preserve">It </w:t>
      </w:r>
      <w:r w:rsidR="00B855A1">
        <w:t xml:space="preserve">further </w:t>
      </w:r>
      <w:r w:rsidR="0048153D">
        <w:t xml:space="preserve">notes the State party’s argument that the court adjudged Mr </w:t>
      </w:r>
      <w:proofErr w:type="spellStart"/>
      <w:r w:rsidR="0048153D">
        <w:t>Humaam</w:t>
      </w:r>
      <w:proofErr w:type="spellEnd"/>
      <w:r w:rsidR="0048153D">
        <w:t xml:space="preserve"> to be fit for trial, that there was no indication of a history of mental illness, that the matter </w:t>
      </w:r>
      <w:proofErr w:type="gramStart"/>
      <w:r w:rsidR="0048153D">
        <w:t>was raised</w:t>
      </w:r>
      <w:proofErr w:type="gramEnd"/>
      <w:r w:rsidR="0048153D">
        <w:t xml:space="preserve"> late in </w:t>
      </w:r>
      <w:r w:rsidR="008E3685">
        <w:t xml:space="preserve">the trial </w:t>
      </w:r>
      <w:r w:rsidR="0048153D">
        <w:t xml:space="preserve">proceedings after a change in </w:t>
      </w:r>
      <w:r w:rsidR="008E3685">
        <w:t xml:space="preserve">Mr. </w:t>
      </w:r>
      <w:proofErr w:type="spellStart"/>
      <w:r w:rsidR="008E3685">
        <w:t>Humaam’s</w:t>
      </w:r>
      <w:proofErr w:type="spellEnd"/>
      <w:r w:rsidR="008E3685">
        <w:t xml:space="preserve"> </w:t>
      </w:r>
      <w:r w:rsidR="0048153D">
        <w:t>representation and that it is for the defence to furnish his own supporting evidence.</w:t>
      </w:r>
      <w:r w:rsidR="0048153D" w:rsidRPr="00172874">
        <w:t xml:space="preserve"> </w:t>
      </w:r>
      <w:proofErr w:type="gramStart"/>
      <w:r w:rsidR="0048153D" w:rsidRPr="00FE0A6C">
        <w:t xml:space="preserve">The Committee </w:t>
      </w:r>
      <w:r w:rsidR="00B855A1">
        <w:t>considers</w:t>
      </w:r>
      <w:r w:rsidR="00B855A1" w:rsidRPr="00FE0A6C">
        <w:t xml:space="preserve"> </w:t>
      </w:r>
      <w:r w:rsidR="0048153D" w:rsidRPr="00FE0A6C">
        <w:t>that</w:t>
      </w:r>
      <w:r w:rsidR="008E3685">
        <w:t xml:space="preserve">, particularly in a capital trial, </w:t>
      </w:r>
      <w:r w:rsidR="00834E33">
        <w:t xml:space="preserve"> in a context</w:t>
      </w:r>
      <w:r w:rsidR="0048153D">
        <w:t xml:space="preserve"> when </w:t>
      </w:r>
      <w:r w:rsidR="008E3685">
        <w:t xml:space="preserve">Mr. </w:t>
      </w:r>
      <w:proofErr w:type="spellStart"/>
      <w:r w:rsidR="008E3685">
        <w:t>Humaam</w:t>
      </w:r>
      <w:proofErr w:type="spellEnd"/>
      <w:r w:rsidR="008E3685">
        <w:t xml:space="preserve"> was making inconsistent pleas, insisting on representing himself, and was otherwise irregularly represented by </w:t>
      </w:r>
      <w:r w:rsidR="00CF314C">
        <w:t xml:space="preserve">counsel </w:t>
      </w:r>
      <w:r w:rsidR="0048153D">
        <w:t>whe</w:t>
      </w:r>
      <w:r w:rsidR="00CF314C">
        <w:t>re</w:t>
      </w:r>
      <w:r w:rsidR="0048153D">
        <w:t xml:space="preserve"> a</w:t>
      </w:r>
      <w:r w:rsidR="008E3685">
        <w:t xml:space="preserve"> psychiatric</w:t>
      </w:r>
      <w:r w:rsidR="0048153D">
        <w:t xml:space="preserve"> assessment had been requested by </w:t>
      </w:r>
      <w:r w:rsidR="00CF314C">
        <w:t>his</w:t>
      </w:r>
      <w:r w:rsidR="0048153D">
        <w:t xml:space="preserve"> family and by a penitentiary doctor </w:t>
      </w:r>
      <w:r w:rsidR="008E3685">
        <w:t xml:space="preserve">where there was evidence of prior state care for mental health issues </w:t>
      </w:r>
      <w:r w:rsidR="0048153D">
        <w:t>and requests for assessment in prior proceedings</w:t>
      </w:r>
      <w:r w:rsidR="00B855A1">
        <w:t xml:space="preserve">, </w:t>
      </w:r>
      <w:r w:rsidR="008E3685">
        <w:t xml:space="preserve">and where the State party has not presented evidence of a detailed inquiry into Mr. </w:t>
      </w:r>
      <w:proofErr w:type="spellStart"/>
      <w:r w:rsidR="008E3685">
        <w:t>Humaam’s</w:t>
      </w:r>
      <w:proofErr w:type="spellEnd"/>
      <w:r w:rsidR="008E3685">
        <w:t xml:space="preserve"> fitness to stand trial, </w:t>
      </w:r>
      <w:r w:rsidR="00B855A1">
        <w:t>the State party</w:t>
      </w:r>
      <w:r w:rsidR="00B855A1" w:rsidRPr="00172874">
        <w:t xml:space="preserve"> </w:t>
      </w:r>
      <w:r w:rsidR="00B855A1">
        <w:t>failed</w:t>
      </w:r>
      <w:r w:rsidR="00B855A1" w:rsidRPr="00172874">
        <w:t xml:space="preserve"> to </w:t>
      </w:r>
      <w:r w:rsidR="00B855A1" w:rsidRPr="002D64C9">
        <w:t xml:space="preserve">conduct an adequate inquiry into Mr </w:t>
      </w:r>
      <w:proofErr w:type="spellStart"/>
      <w:r w:rsidR="00B855A1" w:rsidRPr="002D64C9">
        <w:t>Humaam’s</w:t>
      </w:r>
      <w:proofErr w:type="spellEnd"/>
      <w:r w:rsidR="00B855A1" w:rsidRPr="002D64C9">
        <w:t xml:space="preserve"> mental health, </w:t>
      </w:r>
      <w:r w:rsidR="00B855A1">
        <w:t xml:space="preserve">and thus </w:t>
      </w:r>
      <w:r w:rsidR="00B855A1" w:rsidRPr="002D64C9">
        <w:t>fail</w:t>
      </w:r>
      <w:r w:rsidR="00B855A1">
        <w:t>ed</w:t>
      </w:r>
      <w:r w:rsidR="00B855A1" w:rsidRPr="002D64C9">
        <w:t xml:space="preserve"> to ensure that Mr </w:t>
      </w:r>
      <w:proofErr w:type="spellStart"/>
      <w:r w:rsidR="00B855A1" w:rsidRPr="002D64C9">
        <w:t>Humaam</w:t>
      </w:r>
      <w:proofErr w:type="spellEnd"/>
      <w:r w:rsidR="00B855A1" w:rsidRPr="002D64C9">
        <w:t xml:space="preserve"> was capable of standing trial</w:t>
      </w:r>
      <w:r w:rsidR="00B855A1">
        <w:t xml:space="preserve"> and that</w:t>
      </w:r>
      <w:r w:rsidR="00B855A1" w:rsidRPr="002D64C9">
        <w:t xml:space="preserve"> he was competent to</w:t>
      </w:r>
      <w:r w:rsidR="00B855A1">
        <w:t xml:space="preserve"> act in his own best interests</w:t>
      </w:r>
      <w:r w:rsidR="00834E33">
        <w:t>.</w:t>
      </w:r>
      <w:proofErr w:type="gramEnd"/>
      <w:r w:rsidR="00C82CF6">
        <w:t xml:space="preserve"> </w:t>
      </w:r>
      <w:r w:rsidR="00834E33">
        <w:t xml:space="preserve">Under these circumstances, the Committee </w:t>
      </w:r>
      <w:r w:rsidR="00B855A1">
        <w:t>concludes</w:t>
      </w:r>
      <w:r w:rsidR="00834E33">
        <w:t xml:space="preserve"> that</w:t>
      </w:r>
      <w:r w:rsidR="0048153D" w:rsidRPr="002D64C9">
        <w:t xml:space="preserve"> the State party </w:t>
      </w:r>
      <w:r w:rsidR="00B855A1">
        <w:t>violated</w:t>
      </w:r>
      <w:r w:rsidR="0048153D" w:rsidRPr="002D64C9">
        <w:t xml:space="preserve"> its obligations </w:t>
      </w:r>
      <w:r w:rsidR="00B855A1">
        <w:t xml:space="preserve">under </w:t>
      </w:r>
      <w:r w:rsidR="0048153D" w:rsidRPr="002D64C9">
        <w:t>article 14</w:t>
      </w:r>
      <w:r w:rsidR="00834E33">
        <w:t>(1)</w:t>
      </w:r>
      <w:r w:rsidR="0048153D" w:rsidRPr="002D64C9">
        <w:t>.</w:t>
      </w:r>
      <w:r w:rsidR="0048153D">
        <w:t xml:space="preserve"> </w:t>
      </w:r>
    </w:p>
    <w:p w:rsidR="0048153D" w:rsidRDefault="006C1762" w:rsidP="00945F95">
      <w:pPr>
        <w:pStyle w:val="SingleTxtG"/>
      </w:pPr>
      <w:r>
        <w:tab/>
      </w:r>
      <w:r w:rsidR="0048153D">
        <w:t>9.7</w:t>
      </w:r>
      <w:r>
        <w:tab/>
      </w:r>
      <w:r w:rsidR="0048153D" w:rsidRPr="00850F90">
        <w:t>The author further claims a violatio</w:t>
      </w:r>
      <w:r w:rsidR="0048153D">
        <w:t xml:space="preserve">n of Mr. </w:t>
      </w:r>
      <w:proofErr w:type="spellStart"/>
      <w:r w:rsidR="0048153D">
        <w:t>Humaam’s</w:t>
      </w:r>
      <w:proofErr w:type="spellEnd"/>
      <w:r w:rsidR="0048153D" w:rsidRPr="00850F90">
        <w:t xml:space="preserve"> right to life under article 6</w:t>
      </w:r>
      <w:r w:rsidR="0048153D">
        <w:t>(1)</w:t>
      </w:r>
      <w:r w:rsidR="0048153D" w:rsidRPr="00850F90">
        <w:t xml:space="preserve"> of the Covenant, since he </w:t>
      </w:r>
      <w:proofErr w:type="gramStart"/>
      <w:r w:rsidR="0048153D" w:rsidRPr="00850F90">
        <w:t>was sentenced</w:t>
      </w:r>
      <w:proofErr w:type="gramEnd"/>
      <w:r w:rsidR="0048153D" w:rsidRPr="00850F90">
        <w:t xml:space="preserve"> to death after an unfair trial</w:t>
      </w:r>
      <w:r w:rsidR="0048153D">
        <w:t xml:space="preserve"> in violation of article 14 of the Covenant.</w:t>
      </w:r>
      <w:r w:rsidR="0048153D" w:rsidRPr="00850F90">
        <w:t xml:space="preserve"> </w:t>
      </w:r>
      <w:proofErr w:type="gramStart"/>
      <w:r w:rsidR="0048153D" w:rsidRPr="00850F90">
        <w:t>The Committee notes that the State party has argued, with reference to article 6</w:t>
      </w:r>
      <w:r w:rsidR="0048153D">
        <w:t xml:space="preserve">(2) of the Covenant, that </w:t>
      </w:r>
      <w:r w:rsidR="0048153D" w:rsidRPr="00850F90">
        <w:t xml:space="preserve">Mr </w:t>
      </w:r>
      <w:proofErr w:type="spellStart"/>
      <w:r w:rsidR="0048153D" w:rsidRPr="00850F90">
        <w:t>Humaam</w:t>
      </w:r>
      <w:proofErr w:type="spellEnd"/>
      <w:r w:rsidR="0048153D" w:rsidRPr="00850F90">
        <w:t xml:space="preserve"> was sentenced to death for having committed serious crimes following the judgement handed down by the courts, in accordance with the Constitution</w:t>
      </w:r>
      <w:r w:rsidR="0048153D">
        <w:t xml:space="preserve"> and laws</w:t>
      </w:r>
      <w:r w:rsidR="0048153D" w:rsidRPr="00850F90">
        <w:t xml:space="preserve"> of the Maldives and </w:t>
      </w:r>
      <w:proofErr w:type="spellStart"/>
      <w:r w:rsidR="0048153D" w:rsidRPr="00850F90">
        <w:t>Shariah</w:t>
      </w:r>
      <w:proofErr w:type="spellEnd"/>
      <w:r w:rsidR="0048153D" w:rsidRPr="00850F90">
        <w:t xml:space="preserve"> law, and that the imposition of the death penalty was not contrary to the Covenant.</w:t>
      </w:r>
      <w:proofErr w:type="gramEnd"/>
      <w:r w:rsidR="0048153D" w:rsidRPr="00850F90">
        <w:t xml:space="preserve"> </w:t>
      </w:r>
      <w:proofErr w:type="gramStart"/>
      <w:r w:rsidR="0048153D">
        <w:t>T</w:t>
      </w:r>
      <w:r w:rsidR="0048153D" w:rsidRPr="00850F90">
        <w:t xml:space="preserve">he Committee recalls its general comment No. 6 (1982) on the right to life, in which it noted that the </w:t>
      </w:r>
      <w:r w:rsidR="0048153D">
        <w:t xml:space="preserve">article 6 </w:t>
      </w:r>
      <w:r w:rsidR="0048153D" w:rsidRPr="00850F90">
        <w:t xml:space="preserve">provision that a sentence of death may be imposed only in accordance with law and not contrary to the provisions of the Covenant, implies that the procedural guarantees prescribed </w:t>
      </w:r>
      <w:r w:rsidR="0048153D">
        <w:t xml:space="preserve">by the Covenant </w:t>
      </w:r>
      <w:r w:rsidR="0048153D" w:rsidRPr="00850F90">
        <w:t>must be observed, including the right to a fair hearing by an independent tribunal, the presumption of innocence, the minimum guarantees for the defence, and the right to review by a higher tribunal.</w:t>
      </w:r>
      <w:r w:rsidR="0048153D">
        <w:rPr>
          <w:rStyle w:val="FootnoteReference"/>
        </w:rPr>
        <w:footnoteReference w:id="24"/>
      </w:r>
      <w:proofErr w:type="gramEnd"/>
      <w:r w:rsidR="00EE2064">
        <w:t xml:space="preserve"> </w:t>
      </w:r>
      <w:r w:rsidR="0048153D">
        <w:t xml:space="preserve">It further </w:t>
      </w:r>
      <w:r w:rsidR="0048153D" w:rsidRPr="00850F90">
        <w:t xml:space="preserve">reiterates its jurisprudence that the imposition of a sentence of death upon conclusion of a trial in which the provisions of article 14 of the Covenant </w:t>
      </w:r>
      <w:proofErr w:type="gramStart"/>
      <w:r w:rsidR="0048153D" w:rsidRPr="00850F90">
        <w:t>have not been respected</w:t>
      </w:r>
      <w:proofErr w:type="gramEnd"/>
      <w:r w:rsidR="0048153D" w:rsidRPr="00850F90">
        <w:t xml:space="preserve"> constitutes a violation of a</w:t>
      </w:r>
      <w:r w:rsidR="0048153D">
        <w:t>rticle 6 of the Covenant.</w:t>
      </w:r>
      <w:r w:rsidR="0048153D">
        <w:rPr>
          <w:rStyle w:val="FootnoteReference"/>
        </w:rPr>
        <w:footnoteReference w:id="25"/>
      </w:r>
      <w:r w:rsidR="0048153D">
        <w:t xml:space="preserve"> In light of its findings that the State party violated Mr </w:t>
      </w:r>
      <w:proofErr w:type="spellStart"/>
      <w:r w:rsidR="0048153D">
        <w:t>Humaam’s</w:t>
      </w:r>
      <w:proofErr w:type="spellEnd"/>
      <w:r w:rsidR="0048153D">
        <w:t xml:space="preserve"> rights under article 14 as set out above it, the Committee </w:t>
      </w:r>
      <w:r w:rsidR="0048153D">
        <w:lastRenderedPageBreak/>
        <w:t xml:space="preserve">considers that in sentencing Mr </w:t>
      </w:r>
      <w:proofErr w:type="spellStart"/>
      <w:r w:rsidR="0048153D">
        <w:t>Humaam</w:t>
      </w:r>
      <w:proofErr w:type="spellEnd"/>
      <w:r w:rsidR="0048153D">
        <w:t xml:space="preserve"> to death following a </w:t>
      </w:r>
      <w:proofErr w:type="gramStart"/>
      <w:r w:rsidR="0048153D">
        <w:t>trial which</w:t>
      </w:r>
      <w:proofErr w:type="gramEnd"/>
      <w:r w:rsidR="0048153D">
        <w:t xml:space="preserve"> suffered from such deficiencies, the State party has violated its obligations under article 6(1) of the Covenant.</w:t>
      </w:r>
    </w:p>
    <w:p w:rsidR="00B855A1" w:rsidRDefault="007863CB" w:rsidP="003C4F6B">
      <w:pPr>
        <w:pStyle w:val="SingleTxtG"/>
        <w:spacing w:after="80"/>
      </w:pPr>
      <w:proofErr w:type="gramStart"/>
      <w:r>
        <w:t>9.8</w:t>
      </w:r>
      <w:r w:rsidR="006C1762">
        <w:tab/>
      </w:r>
      <w:r w:rsidR="0048153D">
        <w:t>In relation to the exercise of clemency, the Committee notes the author’s statement that despite purported mandatory mediation with the family of the accused, the State party</w:t>
      </w:r>
      <w:r w:rsidR="0048153D" w:rsidRPr="00EE4A53">
        <w:t xml:space="preserve"> ignored </w:t>
      </w:r>
      <w:r w:rsidR="0048153D">
        <w:t xml:space="preserve">a </w:t>
      </w:r>
      <w:r w:rsidR="0048153D" w:rsidRPr="00EE4A53">
        <w:t>request by the family of the MP to stop the death penalty being carried out unless and until the murder investigation is</w:t>
      </w:r>
      <w:r w:rsidR="0048153D">
        <w:t xml:space="preserve"> properly concluded,</w:t>
      </w:r>
      <w:r w:rsidR="0048153D" w:rsidRPr="00EE4A53">
        <w:t xml:space="preserve"> that the new rules on clemency h</w:t>
      </w:r>
      <w:r w:rsidR="0048153D">
        <w:t>ave in fact taken away the discretion</w:t>
      </w:r>
      <w:r w:rsidR="0048153D" w:rsidRPr="00EE4A53">
        <w:t xml:space="preserve"> of the President to grant clemency</w:t>
      </w:r>
      <w:r w:rsidR="0048153D">
        <w:t xml:space="preserve"> in the circumstances of this case</w:t>
      </w:r>
      <w:r w:rsidR="0048153D" w:rsidRPr="00EE4A53">
        <w:t xml:space="preserve"> and do not provide clear rules regarding the basis upon which the Supreme Court is able to stop an execution</w:t>
      </w:r>
      <w:r w:rsidR="0048153D">
        <w:t xml:space="preserve"> even if the family so requests,</w:t>
      </w:r>
      <w:r w:rsidR="0048153D" w:rsidRPr="00EE4A53">
        <w:t xml:space="preserve"> and that this </w:t>
      </w:r>
      <w:r w:rsidR="0048153D">
        <w:t xml:space="preserve">process </w:t>
      </w:r>
      <w:r w:rsidR="0048153D" w:rsidRPr="00EE4A53">
        <w:t xml:space="preserve">therefore contravenes Mr </w:t>
      </w:r>
      <w:proofErr w:type="spellStart"/>
      <w:r w:rsidR="0048153D" w:rsidRPr="00EE4A53">
        <w:t>Humaam’s</w:t>
      </w:r>
      <w:proofErr w:type="spellEnd"/>
      <w:r w:rsidR="0048153D" w:rsidRPr="00EE4A53">
        <w:t xml:space="preserve"> rights under article 14</w:t>
      </w:r>
      <w:r w:rsidR="0034195B">
        <w:t>(1)</w:t>
      </w:r>
      <w:r w:rsidR="00B855A1">
        <w:t xml:space="preserve"> of the Covenant</w:t>
      </w:r>
      <w:r w:rsidR="0048153D">
        <w:t>.</w:t>
      </w:r>
      <w:proofErr w:type="gramEnd"/>
      <w:r w:rsidR="0048153D">
        <w:t xml:space="preserve"> The Committee notes the State party’s arguments in this regard that mediation with the victim’s family is mandatory, that the author has misunderstood the provisions on clemency and the interplay with Sharia law, and that the judicial interpretation referred to by the author was specific to that case and does not </w:t>
      </w:r>
      <w:proofErr w:type="gramStart"/>
      <w:r w:rsidR="0048153D">
        <w:t>impact</w:t>
      </w:r>
      <w:proofErr w:type="gramEnd"/>
      <w:r w:rsidR="0048153D">
        <w:t xml:space="preserve"> Mr </w:t>
      </w:r>
      <w:proofErr w:type="spellStart"/>
      <w:r w:rsidR="0048153D">
        <w:t>Humaam’s</w:t>
      </w:r>
      <w:proofErr w:type="spellEnd"/>
      <w:r w:rsidR="0048153D">
        <w:t xml:space="preserve"> case. </w:t>
      </w:r>
    </w:p>
    <w:p w:rsidR="0048153D" w:rsidRPr="00F53C5D" w:rsidRDefault="00B855A1" w:rsidP="003C4F6B">
      <w:pPr>
        <w:pStyle w:val="SingleTxtG"/>
        <w:spacing w:after="80"/>
        <w:rPr>
          <w:spacing w:val="-2"/>
        </w:rPr>
      </w:pPr>
      <w:proofErr w:type="gramStart"/>
      <w:r w:rsidRPr="00F53C5D">
        <w:rPr>
          <w:spacing w:val="-2"/>
        </w:rPr>
        <w:t>9.9</w:t>
      </w:r>
      <w:r w:rsidRPr="00F53C5D">
        <w:rPr>
          <w:spacing w:val="-2"/>
        </w:rPr>
        <w:tab/>
      </w:r>
      <w:r w:rsidR="0048153D" w:rsidRPr="00F53C5D" w:rsidDel="0034195B">
        <w:rPr>
          <w:spacing w:val="-2"/>
        </w:rPr>
        <w:t xml:space="preserve">The Committee recalls </w:t>
      </w:r>
      <w:r w:rsidRPr="00F53C5D">
        <w:rPr>
          <w:spacing w:val="-2"/>
        </w:rPr>
        <w:t xml:space="preserve">its jurisprudence </w:t>
      </w:r>
      <w:r w:rsidR="0048153D" w:rsidRPr="00F53C5D" w:rsidDel="0034195B">
        <w:rPr>
          <w:spacing w:val="-2"/>
        </w:rPr>
        <w:t xml:space="preserve">that States parties are required, pursuant to </w:t>
      </w:r>
      <w:r w:rsidRPr="00F53C5D">
        <w:rPr>
          <w:spacing w:val="-2"/>
        </w:rPr>
        <w:t>a</w:t>
      </w:r>
      <w:r w:rsidR="0048153D" w:rsidRPr="00F53C5D" w:rsidDel="0034195B">
        <w:rPr>
          <w:spacing w:val="-2"/>
        </w:rPr>
        <w:t>rticle 6(4), to allow individuals sentenced to death to seek pardon or commutation, to ensure that amnesties, pardons and commutation can be granted to them in appropriate circumstances, and to ensure that sentences are not carried out before requests for pardon or commutation have been meaningfully considered and conclusively decided upon.</w:t>
      </w:r>
      <w:proofErr w:type="gramEnd"/>
      <w:r w:rsidR="00EE2064" w:rsidRPr="00F53C5D" w:rsidDel="0034195B">
        <w:rPr>
          <w:spacing w:val="-2"/>
        </w:rPr>
        <w:t xml:space="preserve"> </w:t>
      </w:r>
      <w:r w:rsidR="0048153D" w:rsidRPr="00F53C5D" w:rsidDel="0034195B">
        <w:rPr>
          <w:spacing w:val="-2"/>
        </w:rPr>
        <w:t xml:space="preserve">No category of sentenced persons </w:t>
      </w:r>
      <w:proofErr w:type="gramStart"/>
      <w:r w:rsidR="0048153D" w:rsidRPr="00F53C5D" w:rsidDel="0034195B">
        <w:rPr>
          <w:spacing w:val="-2"/>
        </w:rPr>
        <w:t xml:space="preserve">can be </w:t>
      </w:r>
      <w:r w:rsidR="0048153D" w:rsidRPr="00F53C5D" w:rsidDel="0034195B">
        <w:rPr>
          <w:i/>
          <w:spacing w:val="-2"/>
        </w:rPr>
        <w:t xml:space="preserve">a priori </w:t>
      </w:r>
      <w:r w:rsidR="0048153D" w:rsidRPr="00F53C5D" w:rsidDel="0034195B">
        <w:rPr>
          <w:spacing w:val="-2"/>
        </w:rPr>
        <w:t>excluded</w:t>
      </w:r>
      <w:proofErr w:type="gramEnd"/>
      <w:r w:rsidR="0048153D" w:rsidRPr="00F53C5D" w:rsidDel="0034195B">
        <w:rPr>
          <w:spacing w:val="-2"/>
        </w:rPr>
        <w:t xml:space="preserve"> from such measures of relief, nor should the conditions for attainment of relief be ineffective, unnecessarily burdensome, discriminatory in nature or applied in an arbitrary manner.</w:t>
      </w:r>
      <w:r w:rsidR="00EE2064" w:rsidRPr="00F53C5D" w:rsidDel="0034195B">
        <w:rPr>
          <w:spacing w:val="-2"/>
        </w:rPr>
        <w:t xml:space="preserve"> </w:t>
      </w:r>
      <w:r w:rsidR="0048153D" w:rsidRPr="00F53C5D" w:rsidDel="0034195B">
        <w:rPr>
          <w:spacing w:val="-2"/>
        </w:rPr>
        <w:t>Article 6(4) does not prescribe a particular procedure for the exercise of the right to seek pardon or commutation, and States parties consequently retain some discretion in spellin</w:t>
      </w:r>
      <w:r w:rsidR="00EE2064" w:rsidRPr="00F53C5D" w:rsidDel="0034195B">
        <w:rPr>
          <w:spacing w:val="-2"/>
        </w:rPr>
        <w:t xml:space="preserve">g out the relevant procedures. </w:t>
      </w:r>
      <w:r w:rsidR="0048153D" w:rsidRPr="00F53C5D" w:rsidDel="0034195B">
        <w:rPr>
          <w:spacing w:val="-2"/>
        </w:rPr>
        <w:t xml:space="preserve">Still, such procedures </w:t>
      </w:r>
      <w:proofErr w:type="gramStart"/>
      <w:r w:rsidR="0048153D" w:rsidRPr="00F53C5D" w:rsidDel="0034195B">
        <w:rPr>
          <w:spacing w:val="-2"/>
        </w:rPr>
        <w:t>should be specified</w:t>
      </w:r>
      <w:proofErr w:type="gramEnd"/>
      <w:r w:rsidR="0048153D" w:rsidRPr="00F53C5D" w:rsidDel="0034195B">
        <w:rPr>
          <w:spacing w:val="-2"/>
        </w:rPr>
        <w:t xml:space="preserve"> in domestic legislation. Moreover, clemency procedures must not afford the families of crime victims a preponderant role in determining whether the death sentence </w:t>
      </w:r>
      <w:proofErr w:type="gramStart"/>
      <w:r w:rsidR="0048153D" w:rsidRPr="00F53C5D" w:rsidDel="0034195B">
        <w:rPr>
          <w:spacing w:val="-2"/>
        </w:rPr>
        <w:t>should be carried out</w:t>
      </w:r>
      <w:proofErr w:type="gramEnd"/>
      <w:r w:rsidR="0048153D" w:rsidRPr="00F53C5D" w:rsidDel="0034195B">
        <w:rPr>
          <w:spacing w:val="-2"/>
        </w:rPr>
        <w:t>.</w:t>
      </w:r>
      <w:r w:rsidR="00EE2064" w:rsidRPr="00F53C5D" w:rsidDel="0034195B">
        <w:rPr>
          <w:spacing w:val="-2"/>
        </w:rPr>
        <w:t xml:space="preserve"> </w:t>
      </w:r>
      <w:proofErr w:type="gramStart"/>
      <w:r w:rsidR="0048153D" w:rsidRPr="00F53C5D" w:rsidDel="0034195B">
        <w:rPr>
          <w:spacing w:val="-2"/>
        </w:rPr>
        <w:t>Furthermore, pardon or commutation procedures must offer certain essential guarantees, including certainty about the processes followed and the substantive criteria applied; a right for individuals sentenced to death to initiate pardon or commutation procedures and to make representations about their personal or other relevant circumstances; a right to be informed in advanced when the request will be considered; and a right to be informed promptly about th</w:t>
      </w:r>
      <w:r w:rsidR="00FA51A5" w:rsidRPr="00F53C5D" w:rsidDel="0034195B">
        <w:rPr>
          <w:spacing w:val="-2"/>
        </w:rPr>
        <w:t>e outcome of the procedure.</w:t>
      </w:r>
      <w:proofErr w:type="gramEnd"/>
      <w:r w:rsidR="00FA51A5" w:rsidRPr="00F53C5D" w:rsidDel="0034195B">
        <w:rPr>
          <w:spacing w:val="-2"/>
        </w:rPr>
        <w:t xml:space="preserve"> </w:t>
      </w:r>
      <w:r w:rsidR="0048153D" w:rsidRPr="00F53C5D">
        <w:rPr>
          <w:spacing w:val="-2"/>
        </w:rPr>
        <w:t>In light of the lack of certainty in the law regarding the clemency process and its effectiveness, the Committee considers that the State party has not met its obligation</w:t>
      </w:r>
      <w:r w:rsidRPr="00F53C5D">
        <w:rPr>
          <w:spacing w:val="-2"/>
        </w:rPr>
        <w:t>s</w:t>
      </w:r>
      <w:r w:rsidR="0048153D" w:rsidRPr="00F53C5D">
        <w:rPr>
          <w:spacing w:val="-2"/>
        </w:rPr>
        <w:t xml:space="preserve"> </w:t>
      </w:r>
      <w:r w:rsidRPr="00F53C5D">
        <w:rPr>
          <w:spacing w:val="-2"/>
        </w:rPr>
        <w:t>under</w:t>
      </w:r>
      <w:r w:rsidR="0048153D" w:rsidRPr="00F53C5D">
        <w:rPr>
          <w:spacing w:val="-2"/>
        </w:rPr>
        <w:t xml:space="preserve"> article 6(4) of the Covenant.</w:t>
      </w:r>
      <w:r w:rsidRPr="00F53C5D">
        <w:rPr>
          <w:spacing w:val="-2"/>
        </w:rPr>
        <w:t xml:space="preserve"> The Committee concludes that the author’s claims reveal a violation of article 6(4) of the Covenant. </w:t>
      </w:r>
    </w:p>
    <w:p w:rsidR="0048153D" w:rsidRPr="00FA51A5" w:rsidRDefault="007863CB" w:rsidP="003C4F6B">
      <w:pPr>
        <w:pStyle w:val="SingleTxtG"/>
        <w:spacing w:after="80"/>
        <w:rPr>
          <w:spacing w:val="-2"/>
        </w:rPr>
      </w:pPr>
      <w:r w:rsidRPr="00F53C5D">
        <w:t>10.</w:t>
      </w:r>
      <w:r w:rsidR="006C1762" w:rsidRPr="00F53C5D">
        <w:tab/>
      </w:r>
      <w:r w:rsidR="0048153D" w:rsidRPr="00F53C5D">
        <w:t xml:space="preserve">The Human Rights Committee, acting under article 5(4) of the Optional Protocol, is of the view that the information before it discloses a violation by the State party of Mr </w:t>
      </w:r>
      <w:proofErr w:type="spellStart"/>
      <w:r w:rsidR="0048153D" w:rsidRPr="00F53C5D">
        <w:t>Humaam’s</w:t>
      </w:r>
      <w:proofErr w:type="spellEnd"/>
      <w:r w:rsidR="0048153D" w:rsidRPr="00F53C5D">
        <w:t xml:space="preserve"> rights under articles </w:t>
      </w:r>
      <w:bookmarkStart w:id="0" w:name="_GoBack"/>
      <w:bookmarkEnd w:id="0"/>
      <w:r w:rsidR="0048153D" w:rsidRPr="00F53C5D">
        <w:t>6(1) and (4)</w:t>
      </w:r>
      <w:r w:rsidR="00B855A1" w:rsidRPr="00F53C5D">
        <w:t>;</w:t>
      </w:r>
      <w:r w:rsidR="0048153D" w:rsidRPr="00F53C5D">
        <w:t xml:space="preserve"> </w:t>
      </w:r>
      <w:r w:rsidR="006277A3" w:rsidRPr="00F53C5D">
        <w:t xml:space="preserve">and article </w:t>
      </w:r>
      <w:r w:rsidR="0048153D" w:rsidRPr="00F53C5D">
        <w:t>14</w:t>
      </w:r>
      <w:r w:rsidR="006277A3" w:rsidRPr="00F53C5D">
        <w:t>(1)</w:t>
      </w:r>
      <w:r w:rsidR="00B855A1" w:rsidRPr="00F53C5D">
        <w:t xml:space="preserve"> </w:t>
      </w:r>
      <w:r w:rsidR="006277A3" w:rsidRPr="00F53C5D">
        <w:t>and 14</w:t>
      </w:r>
      <w:r w:rsidR="0048153D" w:rsidRPr="00F53C5D">
        <w:t>(3)(b), (d), (e) and (g) of the Covenant</w:t>
      </w:r>
      <w:r w:rsidR="0048153D" w:rsidRPr="00FA51A5">
        <w:rPr>
          <w:spacing w:val="-2"/>
        </w:rPr>
        <w:t>.</w:t>
      </w:r>
    </w:p>
    <w:p w:rsidR="0048153D" w:rsidRPr="00872196" w:rsidRDefault="0048153D" w:rsidP="003C4F6B">
      <w:pPr>
        <w:pStyle w:val="SingleTxtG"/>
        <w:spacing w:after="80"/>
      </w:pPr>
      <w:r>
        <w:t>11.</w:t>
      </w:r>
      <w:r w:rsidR="006C1762">
        <w:tab/>
      </w:r>
      <w:r w:rsidRPr="00872196">
        <w:t>In accordance with article 2(3</w:t>
      </w:r>
      <w:proofErr w:type="gramStart"/>
      <w:r w:rsidRPr="00872196">
        <w:t>)(</w:t>
      </w:r>
      <w:proofErr w:type="gramEnd"/>
      <w:r w:rsidRPr="00872196">
        <w:t xml:space="preserve">a) of the Covenant, the State party is under an obligation to provide </w:t>
      </w:r>
      <w:r w:rsidR="008E3685">
        <w:t xml:space="preserve">Mr. </w:t>
      </w:r>
      <w:proofErr w:type="spellStart"/>
      <w:r w:rsidR="008E3685">
        <w:t>Humaam</w:t>
      </w:r>
      <w:proofErr w:type="spellEnd"/>
      <w:r w:rsidR="008E3685">
        <w:t xml:space="preserve"> </w:t>
      </w:r>
      <w:r w:rsidRPr="00872196">
        <w:t xml:space="preserve"> with an effective remedy. This requires it to make full reparation to individuals whose Covenant rights </w:t>
      </w:r>
      <w:proofErr w:type="gramStart"/>
      <w:r w:rsidRPr="00872196">
        <w:t>have been violated</w:t>
      </w:r>
      <w:proofErr w:type="gramEnd"/>
      <w:r w:rsidRPr="00872196">
        <w:t xml:space="preserve">. </w:t>
      </w:r>
      <w:proofErr w:type="gramStart"/>
      <w:r w:rsidRPr="00872196">
        <w:t>Accordingly, the State party is obligated</w:t>
      </w:r>
      <w:r>
        <w:t xml:space="preserve"> to</w:t>
      </w:r>
      <w:r w:rsidRPr="00872196">
        <w:t>, inter alia,</w:t>
      </w:r>
      <w:r>
        <w:t xml:space="preserve"> (a)</w:t>
      </w:r>
      <w:r w:rsidRPr="00872196">
        <w:t xml:space="preserve"> </w:t>
      </w:r>
      <w:r w:rsidR="008E3685">
        <w:t xml:space="preserve">take immediate steps to </w:t>
      </w:r>
      <w:r>
        <w:t xml:space="preserve">quash Mr </w:t>
      </w:r>
      <w:proofErr w:type="spellStart"/>
      <w:r>
        <w:t>Humaam’s</w:t>
      </w:r>
      <w:proofErr w:type="spellEnd"/>
      <w:r>
        <w:t xml:space="preserve"> conviction and sentence </w:t>
      </w:r>
      <w:r w:rsidR="008E3685">
        <w:t xml:space="preserve"> and immediately release him </w:t>
      </w:r>
      <w:r>
        <w:t xml:space="preserve">, (b) if appropriate, </w:t>
      </w:r>
      <w:r w:rsidRPr="00872196">
        <w:t xml:space="preserve">order a retrial of </w:t>
      </w:r>
      <w:r>
        <w:t xml:space="preserve">Mr </w:t>
      </w:r>
      <w:proofErr w:type="spellStart"/>
      <w:r>
        <w:t>Humaam</w:t>
      </w:r>
      <w:r w:rsidRPr="00872196">
        <w:t>’s</w:t>
      </w:r>
      <w:proofErr w:type="spellEnd"/>
      <w:r w:rsidRPr="00872196">
        <w:t xml:space="preserve"> case, ensuring that the proceedings comply with </w:t>
      </w:r>
      <w:r>
        <w:t xml:space="preserve">all </w:t>
      </w:r>
      <w:r w:rsidRPr="00872196">
        <w:t xml:space="preserve">fair trial guarantees in accordance with </w:t>
      </w:r>
      <w:r w:rsidR="006277A3">
        <w:t>the</w:t>
      </w:r>
      <w:r w:rsidR="006277A3" w:rsidRPr="00872196">
        <w:t xml:space="preserve"> </w:t>
      </w:r>
      <w:r w:rsidRPr="00872196">
        <w:t>obligation</w:t>
      </w:r>
      <w:r>
        <w:t>s</w:t>
      </w:r>
      <w:r w:rsidRPr="00872196">
        <w:t xml:space="preserve"> under article</w:t>
      </w:r>
      <w:r>
        <w:t>s 6 and</w:t>
      </w:r>
      <w:r w:rsidRPr="00872196">
        <w:t xml:space="preserve"> 14 of the Covenant</w:t>
      </w:r>
      <w:r>
        <w:t xml:space="preserve">, </w:t>
      </w:r>
      <w:r w:rsidR="008E3685">
        <w:t xml:space="preserve">including conducting a psychiatric </w:t>
      </w:r>
      <w:r w:rsidR="004673F7">
        <w:t xml:space="preserve">assessment to ensure that Mr. </w:t>
      </w:r>
      <w:proofErr w:type="spellStart"/>
      <w:r w:rsidR="004673F7">
        <w:t>Humaam</w:t>
      </w:r>
      <w:proofErr w:type="spellEnd"/>
      <w:r w:rsidR="004673F7">
        <w:t xml:space="preserve"> is competent to stand trial; </w:t>
      </w:r>
      <w:r>
        <w:t xml:space="preserve">and (c) provide Mr </w:t>
      </w:r>
      <w:proofErr w:type="spellStart"/>
      <w:r>
        <w:t>Humaam</w:t>
      </w:r>
      <w:proofErr w:type="spellEnd"/>
      <w:r>
        <w:t xml:space="preserve"> with adequate compensation</w:t>
      </w:r>
      <w:r w:rsidRPr="00872196">
        <w:t>.</w:t>
      </w:r>
      <w:proofErr w:type="gramEnd"/>
      <w:r w:rsidR="00EE2064">
        <w:t xml:space="preserve"> </w:t>
      </w:r>
      <w:r w:rsidRPr="00872196">
        <w:t xml:space="preserve">The State party is also under an obligation to avoid similar violations of the Covenant in the future. </w:t>
      </w:r>
      <w:r w:rsidR="004673F7">
        <w:t xml:space="preserve">In this regard, the Committee reminds the State party that it may not </w:t>
      </w:r>
      <w:r w:rsidR="00994268">
        <w:t xml:space="preserve">impose the death penalty on an individual with serious </w:t>
      </w:r>
      <w:proofErr w:type="gramStart"/>
      <w:r w:rsidR="00994268">
        <w:t>psycho-social</w:t>
      </w:r>
      <w:proofErr w:type="gramEnd"/>
      <w:r w:rsidR="00994268">
        <w:t xml:space="preserve"> and intellectual disabilities, or </w:t>
      </w:r>
      <w:r w:rsidR="004673F7">
        <w:t xml:space="preserve">execute any individual with a diminished ability to understand the reasons for </w:t>
      </w:r>
      <w:r w:rsidR="00994268">
        <w:t>their</w:t>
      </w:r>
      <w:r w:rsidR="004673F7">
        <w:t xml:space="preserve"> sentence</w:t>
      </w:r>
      <w:r w:rsidR="001F4856">
        <w:t>.</w:t>
      </w:r>
      <w:r w:rsidR="004400A4">
        <w:rPr>
          <w:rStyle w:val="FootnoteReference"/>
        </w:rPr>
        <w:footnoteReference w:id="26"/>
      </w:r>
    </w:p>
    <w:p w:rsidR="0048153D" w:rsidRDefault="0048153D" w:rsidP="0048153D">
      <w:pPr>
        <w:pStyle w:val="SingleTxtG"/>
      </w:pPr>
      <w:proofErr w:type="gramStart"/>
      <w:r w:rsidRPr="00872196">
        <w:t>1</w:t>
      </w:r>
      <w:r>
        <w:t>2</w:t>
      </w:r>
      <w:r w:rsidRPr="00872196">
        <w:t>.</w:t>
      </w:r>
      <w:r w:rsidRPr="00872196">
        <w:tab/>
        <w:t xml:space="preserve">Bearing in mind that, by becoming a party to the Optional Protocol, the State party has recognized the competence of the Committee to determine whether there has been a </w:t>
      </w:r>
      <w:r w:rsidRPr="00872196">
        <w:lastRenderedPageBreak/>
        <w:t>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w:t>
      </w:r>
      <w:proofErr w:type="gramEnd"/>
      <w:r w:rsidRPr="00872196">
        <w:t xml:space="preserve"> The State party </w:t>
      </w:r>
      <w:proofErr w:type="gramStart"/>
      <w:r w:rsidRPr="00872196">
        <w:t>is also requested</w:t>
      </w:r>
      <w:proofErr w:type="gramEnd"/>
      <w:r w:rsidRPr="00872196">
        <w:t xml:space="preserve"> to publish the present Views and to have them widely disseminated in the official language of the State party.</w:t>
      </w:r>
    </w:p>
    <w:p w:rsidR="008E1CFA" w:rsidRPr="007863CB" w:rsidRDefault="001B4491" w:rsidP="00897CDD">
      <w:pPr>
        <w:pStyle w:val="SingleTxtG"/>
        <w:spacing w:before="240" w:after="0"/>
        <w:jc w:val="center"/>
        <w:rPr>
          <w:u w:val="single"/>
        </w:rPr>
      </w:pPr>
      <w:r>
        <w:rPr>
          <w:u w:val="single"/>
        </w:rPr>
        <w:tab/>
      </w:r>
      <w:r w:rsidR="007863CB">
        <w:rPr>
          <w:u w:val="single"/>
        </w:rPr>
        <w:tab/>
      </w:r>
      <w:r w:rsidR="00704353">
        <w:rPr>
          <w:u w:val="single"/>
        </w:rPr>
        <w:tab/>
      </w:r>
    </w:p>
    <w:sectPr w:rsidR="008E1CFA" w:rsidRPr="007863CB" w:rsidSect="008E1CFA">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B7B" w:rsidRDefault="00201B7B"/>
  </w:endnote>
  <w:endnote w:type="continuationSeparator" w:id="0">
    <w:p w:rsidR="00201B7B" w:rsidRDefault="00201B7B"/>
  </w:endnote>
  <w:endnote w:type="continuationNotice" w:id="1">
    <w:p w:rsidR="00201B7B" w:rsidRDefault="0020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A1" w:rsidRPr="008E1CFA" w:rsidRDefault="00B855A1" w:rsidP="008E1CFA">
    <w:pPr>
      <w:pStyle w:val="Footer"/>
      <w:tabs>
        <w:tab w:val="right" w:pos="9638"/>
      </w:tabs>
      <w:rPr>
        <w:sz w:val="18"/>
      </w:rPr>
    </w:pPr>
    <w:r w:rsidRPr="008E1CFA">
      <w:rPr>
        <w:b/>
        <w:sz w:val="18"/>
      </w:rPr>
      <w:fldChar w:fldCharType="begin"/>
    </w:r>
    <w:r w:rsidRPr="008E1CFA">
      <w:rPr>
        <w:b/>
        <w:sz w:val="18"/>
      </w:rPr>
      <w:instrText xml:space="preserve"> PAGE  \* MERGEFORMAT </w:instrText>
    </w:r>
    <w:r w:rsidRPr="008E1CFA">
      <w:rPr>
        <w:b/>
        <w:sz w:val="18"/>
      </w:rPr>
      <w:fldChar w:fldCharType="separate"/>
    </w:r>
    <w:r w:rsidR="00E21842">
      <w:rPr>
        <w:b/>
        <w:noProof/>
        <w:sz w:val="18"/>
      </w:rPr>
      <w:t>14</w:t>
    </w:r>
    <w:r w:rsidRPr="008E1C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A1" w:rsidRPr="008E1CFA" w:rsidRDefault="00B855A1" w:rsidP="008E1CFA">
    <w:pPr>
      <w:pStyle w:val="Footer"/>
      <w:tabs>
        <w:tab w:val="right" w:pos="9638"/>
      </w:tabs>
      <w:rPr>
        <w:b/>
        <w:sz w:val="18"/>
      </w:rPr>
    </w:pPr>
    <w:r>
      <w:tab/>
    </w:r>
    <w:r w:rsidRPr="008E1CFA">
      <w:rPr>
        <w:b/>
        <w:sz w:val="18"/>
      </w:rPr>
      <w:fldChar w:fldCharType="begin"/>
    </w:r>
    <w:r w:rsidRPr="008E1CFA">
      <w:rPr>
        <w:b/>
        <w:sz w:val="18"/>
      </w:rPr>
      <w:instrText xml:space="preserve"> PAGE  \* MERGEFORMAT </w:instrText>
    </w:r>
    <w:r w:rsidRPr="008E1CFA">
      <w:rPr>
        <w:b/>
        <w:sz w:val="18"/>
      </w:rPr>
      <w:fldChar w:fldCharType="separate"/>
    </w:r>
    <w:r w:rsidR="00E21842">
      <w:rPr>
        <w:b/>
        <w:noProof/>
        <w:sz w:val="18"/>
      </w:rPr>
      <w:t>15</w:t>
    </w:r>
    <w:r w:rsidRPr="008E1CF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2A" w:rsidRDefault="0023722A" w:rsidP="0023722A">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3722A" w:rsidRPr="0023722A" w:rsidRDefault="0023722A" w:rsidP="0023722A">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3/DR/2785/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3/DR/2785/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B7B" w:rsidRPr="000B175B" w:rsidRDefault="00201B7B" w:rsidP="000B175B">
      <w:pPr>
        <w:tabs>
          <w:tab w:val="right" w:pos="2155"/>
        </w:tabs>
        <w:spacing w:after="80"/>
        <w:ind w:left="680"/>
        <w:rPr>
          <w:u w:val="single"/>
        </w:rPr>
      </w:pPr>
      <w:r>
        <w:rPr>
          <w:u w:val="single"/>
        </w:rPr>
        <w:tab/>
      </w:r>
    </w:p>
  </w:footnote>
  <w:footnote w:type="continuationSeparator" w:id="0">
    <w:p w:rsidR="00201B7B" w:rsidRPr="00FC68B7" w:rsidRDefault="00201B7B" w:rsidP="00FC68B7">
      <w:pPr>
        <w:tabs>
          <w:tab w:val="left" w:pos="2155"/>
        </w:tabs>
        <w:spacing w:after="80"/>
        <w:ind w:left="680"/>
        <w:rPr>
          <w:u w:val="single"/>
        </w:rPr>
      </w:pPr>
      <w:r>
        <w:rPr>
          <w:u w:val="single"/>
        </w:rPr>
        <w:tab/>
      </w:r>
    </w:p>
  </w:footnote>
  <w:footnote w:type="continuationNotice" w:id="1">
    <w:p w:rsidR="00201B7B" w:rsidRDefault="00201B7B"/>
  </w:footnote>
  <w:footnote w:id="2">
    <w:p w:rsidR="00945F95" w:rsidRPr="00945F95" w:rsidRDefault="00945F95" w:rsidP="00945F95">
      <w:pPr>
        <w:pStyle w:val="FootnoteText"/>
        <w:ind w:right="0"/>
      </w:pPr>
      <w:r>
        <w:rPr>
          <w:rStyle w:val="FootnoteReference"/>
        </w:rPr>
        <w:tab/>
      </w:r>
      <w:r w:rsidRPr="00945F95">
        <w:rPr>
          <w:rStyle w:val="FootnoteReference"/>
          <w:sz w:val="20"/>
          <w:vertAlign w:val="baseline"/>
        </w:rPr>
        <w:t>*</w:t>
      </w:r>
      <w:r>
        <w:rPr>
          <w:rStyle w:val="FootnoteReference"/>
          <w:sz w:val="20"/>
          <w:vertAlign w:val="baseline"/>
        </w:rPr>
        <w:tab/>
      </w:r>
      <w:r>
        <w:rPr>
          <w:sz w:val="20"/>
        </w:rPr>
        <w:t>Adopted by the Committee at its 123</w:t>
      </w:r>
      <w:r w:rsidRPr="00945F95">
        <w:rPr>
          <w:sz w:val="20"/>
          <w:vertAlign w:val="superscript"/>
        </w:rPr>
        <w:t>rd</w:t>
      </w:r>
      <w:r>
        <w:rPr>
          <w:sz w:val="20"/>
        </w:rPr>
        <w:t xml:space="preserve"> session (2-27 July 2018)</w:t>
      </w:r>
      <w:r>
        <w:tab/>
        <w:t xml:space="preserve"> </w:t>
      </w:r>
    </w:p>
  </w:footnote>
  <w:footnote w:id="3">
    <w:p w:rsidR="00945F95" w:rsidRPr="00945F95" w:rsidRDefault="00945F95" w:rsidP="00945F95">
      <w:pPr>
        <w:pStyle w:val="FootnoteText"/>
      </w:pPr>
      <w:r>
        <w:rPr>
          <w:rStyle w:val="FootnoteReference"/>
        </w:rPr>
        <w:tab/>
      </w:r>
      <w:r w:rsidRPr="00945F95">
        <w:rPr>
          <w:rStyle w:val="FootnoteReference"/>
          <w:sz w:val="20"/>
          <w:vertAlign w:val="baseline"/>
        </w:rPr>
        <w:t>**</w:t>
      </w:r>
      <w:r>
        <w:rPr>
          <w:rStyle w:val="FootnoteReference"/>
          <w:sz w:val="20"/>
          <w:vertAlign w:val="baseline"/>
        </w:rPr>
        <w:tab/>
      </w:r>
      <w:r>
        <w:t xml:space="preserve">The following members of the Committee participated in the examination of the present communication: </w:t>
      </w:r>
      <w:r>
        <w:rPr>
          <w:rFonts w:cs="Arial"/>
          <w:lang w:val="es-ES"/>
        </w:rPr>
        <w:t xml:space="preserve">Tania María </w:t>
      </w:r>
      <w:proofErr w:type="spellStart"/>
      <w:r>
        <w:rPr>
          <w:rFonts w:cs="Arial"/>
          <w:lang w:val="es-ES"/>
        </w:rPr>
        <w:t>Abdo</w:t>
      </w:r>
      <w:proofErr w:type="spellEnd"/>
      <w:r>
        <w:rPr>
          <w:rFonts w:cs="Arial"/>
          <w:lang w:val="es-ES"/>
        </w:rPr>
        <w:t xml:space="preserve"> </w:t>
      </w:r>
      <w:proofErr w:type="spellStart"/>
      <w:r>
        <w:rPr>
          <w:rFonts w:cs="Arial"/>
          <w:lang w:val="es-ES"/>
        </w:rPr>
        <w:t>Rocholl</w:t>
      </w:r>
      <w:proofErr w:type="spellEnd"/>
      <w:r>
        <w:rPr>
          <w:rFonts w:cs="Arial"/>
          <w:lang w:val="es-ES"/>
        </w:rPr>
        <w:t xml:space="preserve">, </w:t>
      </w:r>
      <w:proofErr w:type="spellStart"/>
      <w:r w:rsidRPr="00812B41">
        <w:rPr>
          <w:spacing w:val="-1"/>
          <w:szCs w:val="18"/>
        </w:rPr>
        <w:t>Yadh</w:t>
      </w:r>
      <w:proofErr w:type="spellEnd"/>
      <w:r w:rsidRPr="00812B41">
        <w:rPr>
          <w:spacing w:val="-1"/>
          <w:szCs w:val="18"/>
        </w:rPr>
        <w:t xml:space="preserve"> Ben </w:t>
      </w:r>
      <w:proofErr w:type="spellStart"/>
      <w:r w:rsidRPr="00812B41">
        <w:rPr>
          <w:spacing w:val="-1"/>
          <w:szCs w:val="18"/>
        </w:rPr>
        <w:t>Achour</w:t>
      </w:r>
      <w:proofErr w:type="spellEnd"/>
      <w:r w:rsidRPr="00812B41">
        <w:rPr>
          <w:spacing w:val="-1"/>
          <w:szCs w:val="18"/>
        </w:rPr>
        <w:t xml:space="preserve">, </w:t>
      </w:r>
      <w:proofErr w:type="spellStart"/>
      <w:r w:rsidRPr="00812B41">
        <w:rPr>
          <w:spacing w:val="-1"/>
        </w:rPr>
        <w:t>Ilze</w:t>
      </w:r>
      <w:proofErr w:type="spellEnd"/>
      <w:r w:rsidRPr="00812B41">
        <w:rPr>
          <w:spacing w:val="-1"/>
        </w:rPr>
        <w:t xml:space="preserve"> Brands </w:t>
      </w:r>
      <w:proofErr w:type="spellStart"/>
      <w:r w:rsidRPr="00812B41">
        <w:rPr>
          <w:spacing w:val="-1"/>
        </w:rPr>
        <w:t>Kehris</w:t>
      </w:r>
      <w:proofErr w:type="spellEnd"/>
      <w:r w:rsidRPr="00812B41">
        <w:rPr>
          <w:spacing w:val="-1"/>
          <w:szCs w:val="18"/>
        </w:rPr>
        <w:t xml:space="preserve">, Sarah Cleveland, </w:t>
      </w:r>
      <w:r w:rsidRPr="00F94F07">
        <w:t xml:space="preserve">Ahmed Amin </w:t>
      </w:r>
      <w:proofErr w:type="spellStart"/>
      <w:r w:rsidRPr="00F94F07">
        <w:t>Fathalla</w:t>
      </w:r>
      <w:proofErr w:type="spellEnd"/>
      <w:r>
        <w:rPr>
          <w:spacing w:val="-1"/>
          <w:szCs w:val="18"/>
        </w:rPr>
        <w:t xml:space="preserve">, </w:t>
      </w:r>
      <w:r w:rsidRPr="00812B41">
        <w:rPr>
          <w:spacing w:val="-1"/>
          <w:szCs w:val="18"/>
        </w:rPr>
        <w:t xml:space="preserve">Olivier de </w:t>
      </w:r>
      <w:proofErr w:type="spellStart"/>
      <w:r w:rsidRPr="00812B41">
        <w:rPr>
          <w:spacing w:val="-1"/>
          <w:szCs w:val="18"/>
        </w:rPr>
        <w:t>Frouville</w:t>
      </w:r>
      <w:proofErr w:type="spellEnd"/>
      <w:r w:rsidRPr="00812B41">
        <w:rPr>
          <w:spacing w:val="-1"/>
          <w:szCs w:val="18"/>
        </w:rPr>
        <w:t xml:space="preserve">, </w:t>
      </w:r>
      <w:proofErr w:type="spellStart"/>
      <w:r w:rsidRPr="00812B41">
        <w:rPr>
          <w:spacing w:val="-1"/>
          <w:szCs w:val="18"/>
        </w:rPr>
        <w:t>Christof</w:t>
      </w:r>
      <w:proofErr w:type="spellEnd"/>
      <w:r w:rsidRPr="00812B41">
        <w:rPr>
          <w:spacing w:val="-1"/>
          <w:szCs w:val="18"/>
        </w:rPr>
        <w:t xml:space="preserve"> </w:t>
      </w:r>
      <w:proofErr w:type="spellStart"/>
      <w:r w:rsidRPr="00812B41">
        <w:rPr>
          <w:spacing w:val="-1"/>
          <w:szCs w:val="18"/>
        </w:rPr>
        <w:t>Heyns</w:t>
      </w:r>
      <w:proofErr w:type="spellEnd"/>
      <w:r w:rsidRPr="00812B41">
        <w:rPr>
          <w:spacing w:val="-1"/>
          <w:szCs w:val="18"/>
        </w:rPr>
        <w:t xml:space="preserve">, </w:t>
      </w:r>
      <w:proofErr w:type="spellStart"/>
      <w:r w:rsidRPr="00812B41">
        <w:rPr>
          <w:spacing w:val="-1"/>
          <w:szCs w:val="18"/>
        </w:rPr>
        <w:t>Bamariam</w:t>
      </w:r>
      <w:proofErr w:type="spellEnd"/>
      <w:r w:rsidRPr="00812B41">
        <w:rPr>
          <w:spacing w:val="-1"/>
          <w:szCs w:val="18"/>
        </w:rPr>
        <w:t xml:space="preserve"> </w:t>
      </w:r>
      <w:proofErr w:type="spellStart"/>
      <w:r w:rsidRPr="00812B41">
        <w:rPr>
          <w:spacing w:val="-1"/>
          <w:szCs w:val="18"/>
        </w:rPr>
        <w:t>Koita</w:t>
      </w:r>
      <w:proofErr w:type="spellEnd"/>
      <w:r w:rsidRPr="00812B41">
        <w:rPr>
          <w:spacing w:val="-1"/>
          <w:szCs w:val="18"/>
        </w:rPr>
        <w:t xml:space="preserve">, </w:t>
      </w:r>
      <w:r w:rsidRPr="00457BC5">
        <w:rPr>
          <w:spacing w:val="-1"/>
          <w:szCs w:val="18"/>
        </w:rPr>
        <w:t xml:space="preserve">Marcia V. J. </w:t>
      </w:r>
      <w:proofErr w:type="spellStart"/>
      <w:r w:rsidRPr="00457BC5">
        <w:rPr>
          <w:spacing w:val="-1"/>
          <w:szCs w:val="18"/>
        </w:rPr>
        <w:t>Kran</w:t>
      </w:r>
      <w:proofErr w:type="spellEnd"/>
      <w:r>
        <w:rPr>
          <w:spacing w:val="-1"/>
          <w:szCs w:val="18"/>
        </w:rPr>
        <w:t xml:space="preserve">, </w:t>
      </w:r>
      <w:r w:rsidRPr="00F94F07">
        <w:t xml:space="preserve">Duncan </w:t>
      </w:r>
      <w:proofErr w:type="spellStart"/>
      <w:r w:rsidRPr="00F94F07">
        <w:t>Laki</w:t>
      </w:r>
      <w:proofErr w:type="spellEnd"/>
      <w:r w:rsidRPr="00F94F07">
        <w:t xml:space="preserve"> </w:t>
      </w:r>
      <w:proofErr w:type="spellStart"/>
      <w:r w:rsidRPr="00F94F07">
        <w:t>Muhumuza</w:t>
      </w:r>
      <w:proofErr w:type="spellEnd"/>
      <w:r>
        <w:rPr>
          <w:spacing w:val="-1"/>
          <w:szCs w:val="18"/>
        </w:rPr>
        <w:t xml:space="preserve">,  </w:t>
      </w:r>
      <w:r w:rsidRPr="00812B41">
        <w:rPr>
          <w:spacing w:val="-1"/>
          <w:szCs w:val="18"/>
        </w:rPr>
        <w:t xml:space="preserve">Mauro </w:t>
      </w:r>
      <w:proofErr w:type="spellStart"/>
      <w:r w:rsidRPr="00812B41">
        <w:rPr>
          <w:spacing w:val="-1"/>
          <w:szCs w:val="18"/>
        </w:rPr>
        <w:t>Politi</w:t>
      </w:r>
      <w:proofErr w:type="spellEnd"/>
      <w:r w:rsidRPr="00812B41">
        <w:rPr>
          <w:spacing w:val="-1"/>
          <w:szCs w:val="18"/>
        </w:rPr>
        <w:t xml:space="preserve">, </w:t>
      </w:r>
      <w:r w:rsidRPr="00812B41">
        <w:rPr>
          <w:spacing w:val="-1"/>
        </w:rPr>
        <w:t xml:space="preserve">José Manuel Santos </w:t>
      </w:r>
      <w:proofErr w:type="spellStart"/>
      <w:r w:rsidRPr="00812B41">
        <w:rPr>
          <w:spacing w:val="-1"/>
        </w:rPr>
        <w:t>Pais</w:t>
      </w:r>
      <w:proofErr w:type="spellEnd"/>
      <w:r w:rsidRPr="00812B41">
        <w:rPr>
          <w:spacing w:val="-1"/>
        </w:rPr>
        <w:t xml:space="preserve">, </w:t>
      </w:r>
      <w:r w:rsidRPr="00812B41">
        <w:rPr>
          <w:spacing w:val="-1"/>
          <w:szCs w:val="18"/>
        </w:rPr>
        <w:t xml:space="preserve">Yuval </w:t>
      </w:r>
      <w:proofErr w:type="spellStart"/>
      <w:r w:rsidRPr="00812B41">
        <w:rPr>
          <w:spacing w:val="-1"/>
          <w:szCs w:val="18"/>
        </w:rPr>
        <w:t>Shany</w:t>
      </w:r>
      <w:proofErr w:type="spellEnd"/>
      <w:r w:rsidRPr="00812B41">
        <w:rPr>
          <w:spacing w:val="-1"/>
          <w:szCs w:val="18"/>
        </w:rPr>
        <w:t xml:space="preserve"> and Margo </w:t>
      </w:r>
      <w:proofErr w:type="spellStart"/>
      <w:r w:rsidRPr="00812B41">
        <w:rPr>
          <w:spacing w:val="-1"/>
          <w:szCs w:val="18"/>
        </w:rPr>
        <w:t>Waterval</w:t>
      </w:r>
      <w:proofErr w:type="spellEnd"/>
    </w:p>
    <w:p w:rsidR="00945F95" w:rsidRDefault="00945F95" w:rsidP="00945F95">
      <w:pPr>
        <w:pStyle w:val="FootnoteText"/>
        <w:ind w:right="0"/>
        <w:rPr>
          <w:sz w:val="20"/>
        </w:rPr>
      </w:pPr>
    </w:p>
    <w:p w:rsidR="00945F95" w:rsidRPr="00945F95" w:rsidRDefault="00945F95" w:rsidP="00945F95">
      <w:pPr>
        <w:pStyle w:val="FootnoteText"/>
      </w:pPr>
      <w:r>
        <w:tab/>
      </w:r>
      <w:r>
        <w:tab/>
      </w:r>
    </w:p>
  </w:footnote>
  <w:footnote w:id="4">
    <w:p w:rsidR="00B855A1" w:rsidRPr="005C7FD5" w:rsidRDefault="00B855A1" w:rsidP="00F53C5D">
      <w:pPr>
        <w:pStyle w:val="FootnoteText"/>
        <w:jc w:val="both"/>
      </w:pPr>
      <w:r>
        <w:tab/>
      </w:r>
      <w:r w:rsidRPr="005C7FD5">
        <w:rPr>
          <w:rStyle w:val="FootnoteReference"/>
        </w:rPr>
        <w:footnoteRef/>
      </w:r>
      <w:r>
        <w:tab/>
      </w:r>
      <w:r w:rsidRPr="005C7FD5">
        <w:t xml:space="preserve">The ‘Right of </w:t>
      </w:r>
      <w:proofErr w:type="spellStart"/>
      <w:r w:rsidRPr="005C7FD5">
        <w:t>Qisas</w:t>
      </w:r>
      <w:proofErr w:type="spellEnd"/>
      <w:r w:rsidRPr="005C7FD5">
        <w:t>’, means the right of a victim’s nearest relative to, if the Court approves, take the life of the individual deemed responsible for the crime of murder.</w:t>
      </w:r>
    </w:p>
  </w:footnote>
  <w:footnote w:id="5">
    <w:p w:rsidR="0042209C" w:rsidRPr="00E25384" w:rsidRDefault="00E25384" w:rsidP="002E0D06">
      <w:pPr>
        <w:pStyle w:val="FootnoteText"/>
        <w:jc w:val="both"/>
      </w:pPr>
      <w:r>
        <w:tab/>
      </w:r>
      <w:r w:rsidR="0042209C" w:rsidRPr="0042209C">
        <w:rPr>
          <w:rStyle w:val="FootnoteReference"/>
        </w:rPr>
        <w:footnoteRef/>
      </w:r>
      <w:r>
        <w:tab/>
      </w:r>
      <w:r w:rsidR="0042209C" w:rsidRPr="00C27B8C">
        <w:t xml:space="preserve">The mental health of Mr. </w:t>
      </w:r>
      <w:proofErr w:type="spellStart"/>
      <w:r w:rsidR="0042209C" w:rsidRPr="00C27B8C">
        <w:t>Humaam</w:t>
      </w:r>
      <w:proofErr w:type="spellEnd"/>
      <w:r w:rsidR="0042209C" w:rsidRPr="00C27B8C">
        <w:t xml:space="preserve"> </w:t>
      </w:r>
      <w:proofErr w:type="gramStart"/>
      <w:r w:rsidR="0042209C" w:rsidRPr="00C27B8C">
        <w:t>is not</w:t>
      </w:r>
      <w:r w:rsidR="0042209C">
        <w:t xml:space="preserve"> </w:t>
      </w:r>
      <w:r w:rsidR="0042209C" w:rsidRPr="00C27B8C">
        <w:t>mentioned</w:t>
      </w:r>
      <w:proofErr w:type="gramEnd"/>
      <w:r w:rsidR="0042209C" w:rsidRPr="00C27B8C">
        <w:t xml:space="preserve"> in the judgements of the H</w:t>
      </w:r>
      <w:r w:rsidR="0042209C" w:rsidRPr="0042209C">
        <w:t>igh Court and the Supreme Court</w:t>
      </w:r>
      <w:r w:rsidR="00146398">
        <w:t>.</w:t>
      </w:r>
      <w:r w:rsidR="0042209C" w:rsidRPr="0042209C">
        <w:t xml:space="preserve"> </w:t>
      </w:r>
      <w:r w:rsidR="00146398">
        <w:t>T</w:t>
      </w:r>
      <w:r w:rsidR="0042209C" w:rsidRPr="00C27B8C">
        <w:t xml:space="preserve">he </w:t>
      </w:r>
      <w:r w:rsidR="00146398">
        <w:t>C</w:t>
      </w:r>
      <w:r w:rsidR="0042209C" w:rsidRPr="00C27B8C">
        <w:t xml:space="preserve">riminal Court judgment </w:t>
      </w:r>
      <w:r w:rsidR="0080236D" w:rsidRPr="00C27B8C">
        <w:t xml:space="preserve">of 16 January 2014 </w:t>
      </w:r>
      <w:r w:rsidR="0042209C" w:rsidRPr="00C27B8C">
        <w:t xml:space="preserve">alludes to the matter </w:t>
      </w:r>
      <w:r w:rsidR="0042209C">
        <w:t xml:space="preserve">only </w:t>
      </w:r>
      <w:r w:rsidR="0042209C" w:rsidRPr="00C27B8C">
        <w:t>in one paragraph</w:t>
      </w:r>
      <w:r w:rsidR="00146398">
        <w:t xml:space="preserve">, </w:t>
      </w:r>
      <w:proofErr w:type="gramStart"/>
      <w:r w:rsidR="00146398">
        <w:t>stating:</w:t>
      </w:r>
      <w:proofErr w:type="gramEnd"/>
      <w:r w:rsidR="00146398">
        <w:t xml:space="preserve"> “</w:t>
      </w:r>
      <w:r w:rsidR="0042209C" w:rsidRPr="00C27B8C">
        <w:t xml:space="preserve">Even though the </w:t>
      </w:r>
      <w:proofErr w:type="spellStart"/>
      <w:r w:rsidR="0042209C" w:rsidRPr="00C27B8C">
        <w:t>defense</w:t>
      </w:r>
      <w:proofErr w:type="spellEnd"/>
      <w:r w:rsidR="0042209C" w:rsidRPr="00C27B8C">
        <w:t xml:space="preserve"> attorney had stated that the defendant had a mental impairment since his adolescence. Subsequent to the statement by the defendant’s father, the </w:t>
      </w:r>
      <w:proofErr w:type="spellStart"/>
      <w:r w:rsidR="0042209C" w:rsidRPr="00C27B8C">
        <w:t>defense</w:t>
      </w:r>
      <w:proofErr w:type="spellEnd"/>
      <w:r w:rsidR="0042209C" w:rsidRPr="00C27B8C">
        <w:t xml:space="preserve"> of insanity </w:t>
      </w:r>
      <w:proofErr w:type="gramStart"/>
      <w:r w:rsidR="0042209C" w:rsidRPr="00C27B8C">
        <w:t>has never been brought up</w:t>
      </w:r>
      <w:proofErr w:type="gramEnd"/>
      <w:r w:rsidR="0042209C" w:rsidRPr="00C27B8C">
        <w:t xml:space="preserve"> in any of the various offences he has been charged with. </w:t>
      </w:r>
      <w:r w:rsidR="0042209C" w:rsidRPr="00F53C5D">
        <w:t xml:space="preserve">Considering this, taking up the said </w:t>
      </w:r>
      <w:proofErr w:type="spellStart"/>
      <w:r w:rsidR="0042209C" w:rsidRPr="00F53C5D">
        <w:t>defense</w:t>
      </w:r>
      <w:proofErr w:type="spellEnd"/>
      <w:r w:rsidR="0042209C" w:rsidRPr="00F53C5D">
        <w:t xml:space="preserve"> in the current case makes it questionable. The </w:t>
      </w:r>
      <w:proofErr w:type="spellStart"/>
      <w:r w:rsidR="0042209C" w:rsidRPr="00F53C5D">
        <w:t>defense</w:t>
      </w:r>
      <w:proofErr w:type="spellEnd"/>
      <w:r w:rsidR="0042209C" w:rsidRPr="00F53C5D">
        <w:t xml:space="preserve"> attorney had been unable to prove to the court that the defendant suffered from mental impairment”.</w:t>
      </w:r>
    </w:p>
  </w:footnote>
  <w:footnote w:id="6">
    <w:p w:rsidR="00B855A1" w:rsidRPr="00E25384" w:rsidRDefault="00E25384" w:rsidP="002E0D06">
      <w:pPr>
        <w:pStyle w:val="FootnoteText"/>
        <w:jc w:val="both"/>
      </w:pPr>
      <w:r>
        <w:tab/>
      </w:r>
      <w:r w:rsidR="00B855A1" w:rsidRPr="00E25384">
        <w:rPr>
          <w:rStyle w:val="FootnoteReference"/>
        </w:rPr>
        <w:footnoteRef/>
      </w:r>
      <w:r w:rsidR="00B855A1" w:rsidRPr="00F53C5D">
        <w:rPr>
          <w:vertAlign w:val="superscript"/>
        </w:rPr>
        <w:tab/>
      </w:r>
      <w:r w:rsidR="00B51785">
        <w:rPr>
          <w:vertAlign w:val="superscript"/>
        </w:rPr>
        <w:t xml:space="preserve">See e.g. </w:t>
      </w:r>
      <w:r w:rsidR="00B855A1" w:rsidRPr="00E25384">
        <w:t>Communication</w:t>
      </w:r>
      <w:r w:rsidR="00B51785">
        <w:t>s</w:t>
      </w:r>
      <w:r w:rsidR="00B855A1" w:rsidRPr="00E25384">
        <w:t xml:space="preserve"> No. 2069/2011, </w:t>
      </w:r>
      <w:proofErr w:type="spellStart"/>
      <w:r w:rsidR="00B855A1" w:rsidRPr="00F53C5D">
        <w:t>Shikhmuradova</w:t>
      </w:r>
      <w:proofErr w:type="spellEnd"/>
      <w:r w:rsidR="00B855A1" w:rsidRPr="00F53C5D">
        <w:t xml:space="preserve"> v Turkmenistan</w:t>
      </w:r>
      <w:r w:rsidR="00B855A1" w:rsidRPr="00E25384">
        <w:t xml:space="preserve">, 1781/2008, </w:t>
      </w:r>
      <w:proofErr w:type="spellStart"/>
      <w:r w:rsidR="00B855A1" w:rsidRPr="00F53C5D">
        <w:t>Bashasha</w:t>
      </w:r>
      <w:proofErr w:type="spellEnd"/>
      <w:r w:rsidR="00B855A1" w:rsidRPr="00F53C5D">
        <w:t xml:space="preserve"> v Algeria</w:t>
      </w:r>
      <w:r w:rsidR="00B855A1" w:rsidRPr="00E25384">
        <w:t>.</w:t>
      </w:r>
    </w:p>
  </w:footnote>
  <w:footnote w:id="7">
    <w:p w:rsidR="00B855A1" w:rsidRPr="00E25384" w:rsidRDefault="00B855A1" w:rsidP="002E0D06">
      <w:pPr>
        <w:pStyle w:val="FootnoteText"/>
        <w:jc w:val="both"/>
      </w:pPr>
      <w:r w:rsidRPr="00E25384">
        <w:tab/>
      </w:r>
      <w:r w:rsidRPr="00E25384">
        <w:rPr>
          <w:rStyle w:val="FootnoteReference"/>
        </w:rPr>
        <w:footnoteRef/>
      </w:r>
      <w:r w:rsidRPr="00E25384">
        <w:tab/>
        <w:t>As guaranteed under article 115(s) of the Maldivian Constitution.</w:t>
      </w:r>
    </w:p>
  </w:footnote>
  <w:footnote w:id="8">
    <w:p w:rsidR="00B855A1" w:rsidRPr="00E25384" w:rsidRDefault="00B855A1" w:rsidP="002E0D06">
      <w:pPr>
        <w:pStyle w:val="FootnoteText"/>
        <w:jc w:val="both"/>
      </w:pPr>
      <w:r w:rsidRPr="00E25384">
        <w:tab/>
      </w:r>
      <w:r w:rsidRPr="00E25384">
        <w:rPr>
          <w:rStyle w:val="FootnoteReference"/>
        </w:rPr>
        <w:footnoteRef/>
      </w:r>
      <w:r w:rsidRPr="00E25384">
        <w:tab/>
        <w:t>Letter not provided.</w:t>
      </w:r>
    </w:p>
  </w:footnote>
  <w:footnote w:id="9">
    <w:p w:rsidR="00B855A1" w:rsidRPr="00E25384" w:rsidRDefault="00B855A1" w:rsidP="002E0D06">
      <w:pPr>
        <w:pStyle w:val="FootnoteText"/>
        <w:jc w:val="both"/>
      </w:pPr>
      <w:r w:rsidRPr="00E25384">
        <w:tab/>
      </w:r>
      <w:r w:rsidRPr="00E25384">
        <w:rPr>
          <w:rStyle w:val="FootnoteReference"/>
        </w:rPr>
        <w:footnoteRef/>
      </w:r>
      <w:r w:rsidRPr="00E25384">
        <w:tab/>
        <w:t xml:space="preserve">In this connection, the author refers to the former Special Rapporteur on Extrajudicial, Summary or Arbitrary Executions, Philip Alston’s comment that where the </w:t>
      </w:r>
      <w:proofErr w:type="spellStart"/>
      <w:r w:rsidRPr="00E25384">
        <w:t>diyah</w:t>
      </w:r>
      <w:proofErr w:type="spellEnd"/>
      <w:r w:rsidRPr="00E25384">
        <w:t xml:space="preserve"> pardon is available it must be supplemented by a separate public system for seeking an official pardon or commutation</w:t>
      </w:r>
      <w:r w:rsidR="00C82CF6">
        <w:t xml:space="preserve"> </w:t>
      </w:r>
      <w:proofErr w:type="gramStart"/>
      <w:r w:rsidR="00121168">
        <w:t xml:space="preserve">otherwise </w:t>
      </w:r>
      <w:r w:rsidRPr="00E25384">
        <w:t xml:space="preserve"> ‘international</w:t>
      </w:r>
      <w:proofErr w:type="gramEnd"/>
      <w:r w:rsidRPr="00E25384">
        <w:t xml:space="preserve"> law will be violated.’</w:t>
      </w:r>
    </w:p>
  </w:footnote>
  <w:footnote w:id="10">
    <w:p w:rsidR="00B855A1" w:rsidRPr="006C1762" w:rsidRDefault="00B855A1" w:rsidP="002E0D06">
      <w:pPr>
        <w:pStyle w:val="FootnoteText"/>
        <w:jc w:val="both"/>
      </w:pPr>
      <w:r>
        <w:tab/>
      </w:r>
      <w:r w:rsidRPr="006C1762">
        <w:rPr>
          <w:rStyle w:val="FootnoteReference"/>
        </w:rPr>
        <w:footnoteRef/>
      </w:r>
      <w:r>
        <w:tab/>
      </w:r>
      <w:r w:rsidRPr="006C1762">
        <w:t>See High Court of the Maldives, Judgment Number 2012-dm-08</w:t>
      </w:r>
      <w:r w:rsidR="00B51785">
        <w:t xml:space="preserve"> (December 2015)</w:t>
      </w:r>
      <w:r w:rsidRPr="006C1762">
        <w:t>, accessible at http://www.highcourt.gov.mv/dhi/mediamanager/2012-dm-08.pdf</w:t>
      </w:r>
      <w:r>
        <w:t>.</w:t>
      </w:r>
    </w:p>
  </w:footnote>
  <w:footnote w:id="11">
    <w:p w:rsidR="00B855A1" w:rsidRPr="006C1762" w:rsidRDefault="00B855A1" w:rsidP="002E0D06">
      <w:pPr>
        <w:pStyle w:val="FootnoteText"/>
        <w:jc w:val="both"/>
      </w:pPr>
      <w:r>
        <w:tab/>
      </w:r>
      <w:r w:rsidRPr="006C1762">
        <w:rPr>
          <w:rStyle w:val="FootnoteReference"/>
        </w:rPr>
        <w:footnoteRef/>
      </w:r>
      <w:r>
        <w:tab/>
      </w:r>
      <w:r w:rsidRPr="006C1762">
        <w:t xml:space="preserve">In this regard, the author refers to the report published by the Maldivian Democracy Network regarding the flawed trial: Republic of Maldives v Hussein Mr. </w:t>
      </w:r>
      <w:proofErr w:type="spellStart"/>
      <w:r w:rsidRPr="006C1762">
        <w:t>Humaam</w:t>
      </w:r>
      <w:proofErr w:type="spellEnd"/>
      <w:r w:rsidRPr="006C1762">
        <w:t xml:space="preserve"> Ahmed: reprieve death row prisoner.</w:t>
      </w:r>
    </w:p>
  </w:footnote>
  <w:footnote w:id="12">
    <w:p w:rsidR="00B855A1" w:rsidRPr="005C7FD5" w:rsidRDefault="00B855A1" w:rsidP="002E0D06">
      <w:pPr>
        <w:pStyle w:val="FootnoteText"/>
        <w:jc w:val="both"/>
      </w:pPr>
      <w:r>
        <w:tab/>
      </w:r>
      <w:r w:rsidRPr="005C7FD5">
        <w:rPr>
          <w:rStyle w:val="FootnoteReference"/>
        </w:rPr>
        <w:footnoteRef/>
      </w:r>
      <w:r>
        <w:tab/>
      </w:r>
      <w:r w:rsidRPr="005C7FD5">
        <w:t xml:space="preserve">Maldives accused of spying on imprisoned Mohammad </w:t>
      </w:r>
      <w:proofErr w:type="spellStart"/>
      <w:r w:rsidRPr="005C7FD5">
        <w:t>Nasheed</w:t>
      </w:r>
      <w:proofErr w:type="spellEnd"/>
      <w:r w:rsidRPr="005C7FD5">
        <w:t xml:space="preserve"> https://www.theguardian.com/</w:t>
      </w:r>
      <w:r w:rsidR="00704353">
        <w:br/>
      </w:r>
      <w:r w:rsidRPr="005C7FD5">
        <w:t>world/2015/sep/10/maldives-accused-of-spying-on-imprisoned-mohamed-nasheed-legal-team</w:t>
      </w:r>
      <w:r>
        <w:t>.</w:t>
      </w:r>
    </w:p>
  </w:footnote>
  <w:footnote w:id="13">
    <w:p w:rsidR="00B855A1" w:rsidRPr="0048153D" w:rsidRDefault="00B855A1" w:rsidP="002E0D06">
      <w:pPr>
        <w:pStyle w:val="FootnoteText"/>
        <w:jc w:val="both"/>
      </w:pPr>
      <w:r>
        <w:tab/>
      </w:r>
      <w:r w:rsidRPr="005C7FD5">
        <w:rPr>
          <w:rStyle w:val="FootnoteReference"/>
        </w:rPr>
        <w:footnoteRef/>
      </w:r>
      <w:r>
        <w:tab/>
      </w:r>
      <w:r w:rsidRPr="00872196">
        <w:t>Communication No.</w:t>
      </w:r>
      <w:r>
        <w:t xml:space="preserve"> </w:t>
      </w:r>
      <w:r w:rsidRPr="00872196">
        <w:t xml:space="preserve">349/1989, </w:t>
      </w:r>
      <w:r w:rsidRPr="005C7FD5">
        <w:rPr>
          <w:i/>
        </w:rPr>
        <w:t>Wright v. Jamaica</w:t>
      </w:r>
      <w:r w:rsidRPr="005C7FD5">
        <w:t xml:space="preserve"> </w:t>
      </w:r>
      <w:r w:rsidR="00B61285">
        <w:t xml:space="preserve">para. 8.4 </w:t>
      </w:r>
      <w:proofErr w:type="gramStart"/>
      <w:r w:rsidRPr="005C7FD5">
        <w:t>where</w:t>
      </w:r>
      <w:proofErr w:type="gramEnd"/>
      <w:r w:rsidRPr="005C7FD5">
        <w:t xml:space="preserve"> the Human Rights Committee observed that “With respect to the alleged violation of article 14, paragraph 3(e), it is uncontested that the trial judge refused a request from counsel to call a witness on Mr. Wright’s behalf. It is not apparent, however, that the testimony sought from this witness would have buttressed the defence in respect of the charge of murder, as it merely concerned the nature of the inquiries </w:t>
      </w:r>
      <w:r w:rsidRPr="0048153D">
        <w:t>allegedly inflicted on the author by a mob outside the Waterford police station. In the circumstances, the Committee finds no violation of this provision”.</w:t>
      </w:r>
    </w:p>
  </w:footnote>
  <w:footnote w:id="14">
    <w:p w:rsidR="00B855A1" w:rsidRPr="0048153D" w:rsidRDefault="00B855A1" w:rsidP="002E0D06">
      <w:pPr>
        <w:pStyle w:val="FootnoteText"/>
        <w:jc w:val="both"/>
      </w:pPr>
      <w:r>
        <w:tab/>
      </w:r>
      <w:r w:rsidRPr="006C1762">
        <w:rPr>
          <w:rStyle w:val="FootnoteReference"/>
        </w:rPr>
        <w:footnoteRef/>
      </w:r>
      <w:r>
        <w:tab/>
      </w:r>
      <w:r w:rsidRPr="0048153D">
        <w:t>Maldives Police Service, Case Report [Redacted Version] LC2012/15547, 15 December 2016.</w:t>
      </w:r>
    </w:p>
  </w:footnote>
  <w:footnote w:id="15">
    <w:p w:rsidR="00B855A1" w:rsidRPr="0048153D" w:rsidRDefault="00B855A1" w:rsidP="002E0D06">
      <w:pPr>
        <w:pStyle w:val="FootnoteText"/>
        <w:jc w:val="both"/>
      </w:pPr>
      <w:r>
        <w:tab/>
      </w:r>
      <w:r w:rsidRPr="006C1762">
        <w:rPr>
          <w:rStyle w:val="FootnoteReference"/>
        </w:rPr>
        <w:footnoteRef/>
      </w:r>
      <w:r>
        <w:tab/>
      </w:r>
      <w:r w:rsidRPr="0048153D">
        <w:t xml:space="preserve">In the chronology of events provided by the State party at page 4 </w:t>
      </w:r>
      <w:r w:rsidRPr="006C1762">
        <w:t>of 27</w:t>
      </w:r>
      <w:r w:rsidRPr="0048153D">
        <w:t xml:space="preserve"> of its submission on admissibility.</w:t>
      </w:r>
    </w:p>
  </w:footnote>
  <w:footnote w:id="16">
    <w:p w:rsidR="00B855A1" w:rsidRPr="005C7FD5" w:rsidRDefault="00B855A1" w:rsidP="002E0D06">
      <w:pPr>
        <w:pStyle w:val="FootnoteText"/>
        <w:jc w:val="both"/>
      </w:pPr>
      <w:r>
        <w:tab/>
      </w:r>
      <w:r w:rsidRPr="005C7FD5">
        <w:rPr>
          <w:rStyle w:val="FootnoteReference"/>
        </w:rPr>
        <w:footnoteRef/>
      </w:r>
      <w:r>
        <w:tab/>
      </w:r>
      <w:r w:rsidR="00A257F0">
        <w:t xml:space="preserve"> Police Service Case Report, </w:t>
      </w:r>
      <w:r w:rsidR="00A257F0" w:rsidRPr="00945F95">
        <w:rPr>
          <w:i/>
        </w:rPr>
        <w:t>supra</w:t>
      </w:r>
      <w:r w:rsidR="00A257F0">
        <w:t xml:space="preserve">. </w:t>
      </w:r>
      <w:r w:rsidR="00AF53E3">
        <w:t>This report</w:t>
      </w:r>
      <w:r w:rsidR="00A257F0">
        <w:t xml:space="preserve"> indicates that </w:t>
      </w:r>
      <w:r w:rsidR="00AF53E3">
        <w:t xml:space="preserve">on 17 February 2013, Mr. </w:t>
      </w:r>
      <w:proofErr w:type="spellStart"/>
      <w:r w:rsidR="00AF53E3">
        <w:t>Humaam</w:t>
      </w:r>
      <w:proofErr w:type="spellEnd"/>
      <w:r w:rsidR="00AF53E3">
        <w:t xml:space="preserve"> </w:t>
      </w:r>
      <w:proofErr w:type="gramStart"/>
      <w:r w:rsidR="00AF53E3">
        <w:t>was taken</w:t>
      </w:r>
      <w:proofErr w:type="gramEnd"/>
      <w:r w:rsidR="00AF53E3">
        <w:t xml:space="preserve"> to a psychiatric hospital to see a psychiatrist at the request of his family, and evaluated and prescribed medication for anxiety, auditory hallucination and “</w:t>
      </w:r>
      <w:proofErr w:type="spellStart"/>
      <w:r w:rsidR="00AF53E3">
        <w:t>suspisciouness</w:t>
      </w:r>
      <w:proofErr w:type="spellEnd"/>
      <w:r w:rsidR="00AF53E3">
        <w:t>”.</w:t>
      </w:r>
      <w:r w:rsidR="00C82CF6">
        <w:t xml:space="preserve"> </w:t>
      </w:r>
      <w:r w:rsidR="00AF53E3">
        <w:t>This is also when the only available clinical psychologist refused to perform an evaluation on the ground of conflict of interest.</w:t>
      </w:r>
    </w:p>
  </w:footnote>
  <w:footnote w:id="17">
    <w:p w:rsidR="00B855A1" w:rsidRPr="0048153D" w:rsidRDefault="00B855A1" w:rsidP="002E0D06">
      <w:pPr>
        <w:pStyle w:val="FootnoteText"/>
        <w:jc w:val="both"/>
      </w:pPr>
      <w:r>
        <w:tab/>
      </w:r>
      <w:r w:rsidRPr="006C1762">
        <w:rPr>
          <w:rStyle w:val="FootnoteReference"/>
        </w:rPr>
        <w:footnoteRef/>
      </w:r>
      <w:r>
        <w:tab/>
      </w:r>
      <w:r w:rsidRPr="0048153D">
        <w:t>https://www.unicef.org/maldives/Criminal_Justice_System_in_Maldives.pdf</w:t>
      </w:r>
      <w:r>
        <w:t>.</w:t>
      </w:r>
    </w:p>
  </w:footnote>
  <w:footnote w:id="18">
    <w:p w:rsidR="00B855A1" w:rsidRPr="0048153D" w:rsidRDefault="00B855A1" w:rsidP="002E0D06">
      <w:pPr>
        <w:pStyle w:val="FootnoteText"/>
        <w:jc w:val="both"/>
      </w:pPr>
      <w:r>
        <w:tab/>
      </w:r>
      <w:r w:rsidRPr="006C1762">
        <w:rPr>
          <w:rStyle w:val="FootnoteReference"/>
        </w:rPr>
        <w:footnoteRef/>
      </w:r>
      <w:r>
        <w:tab/>
      </w:r>
      <w:r w:rsidRPr="0048153D">
        <w:t xml:space="preserve">See, </w:t>
      </w:r>
      <w:r w:rsidR="00A257F0">
        <w:t>e.g. C</w:t>
      </w:r>
      <w:r w:rsidRPr="0048153D">
        <w:t>ommunication</w:t>
      </w:r>
      <w:r w:rsidR="00A257F0">
        <w:t>s</w:t>
      </w:r>
      <w:r w:rsidRPr="0048153D">
        <w:t xml:space="preserve"> No. 1781/2008, </w:t>
      </w:r>
      <w:proofErr w:type="spellStart"/>
      <w:r w:rsidRPr="0048153D">
        <w:t>Berzig</w:t>
      </w:r>
      <w:proofErr w:type="spellEnd"/>
      <w:r w:rsidRPr="0048153D">
        <w:t xml:space="preserve"> v. Algeria, Views adopted on 31 October 2011, </w:t>
      </w:r>
      <w:proofErr w:type="gramStart"/>
      <w:r w:rsidRPr="0048153D">
        <w:t>para</w:t>
      </w:r>
      <w:proofErr w:type="gramEnd"/>
      <w:r w:rsidRPr="0048153D">
        <w:t xml:space="preserve">. </w:t>
      </w:r>
      <w:proofErr w:type="gramStart"/>
      <w:r w:rsidRPr="0048153D">
        <w:t>7.2 No. 1776/2008</w:t>
      </w:r>
      <w:proofErr w:type="gramEnd"/>
      <w:r w:rsidRPr="0048153D">
        <w:t xml:space="preserve">, </w:t>
      </w:r>
      <w:proofErr w:type="spellStart"/>
      <w:r w:rsidRPr="0048153D">
        <w:t>Bashasha</w:t>
      </w:r>
      <w:proofErr w:type="spellEnd"/>
      <w:r w:rsidRPr="0048153D">
        <w:t xml:space="preserve"> v. Libyan Arab Jamahiriya, Views adopted on 20 October 2010, para. </w:t>
      </w:r>
      <w:proofErr w:type="gramStart"/>
      <w:r w:rsidRPr="0048153D">
        <w:t>6.2</w:t>
      </w:r>
      <w:proofErr w:type="gramEnd"/>
      <w:r w:rsidRPr="0048153D">
        <w:t xml:space="preserve">; and No. 540/1993, </w:t>
      </w:r>
      <w:proofErr w:type="spellStart"/>
      <w:r w:rsidRPr="0048153D">
        <w:t>Celis</w:t>
      </w:r>
      <w:proofErr w:type="spellEnd"/>
      <w:r w:rsidRPr="0048153D">
        <w:t xml:space="preserve"> </w:t>
      </w:r>
      <w:proofErr w:type="spellStart"/>
      <w:r w:rsidRPr="0048153D">
        <w:t>Laureano</w:t>
      </w:r>
      <w:proofErr w:type="spellEnd"/>
      <w:r w:rsidRPr="0048153D">
        <w:t xml:space="preserve"> v. Peru, Views adopted on 25 March 1996, para. 7.1.</w:t>
      </w:r>
    </w:p>
  </w:footnote>
  <w:footnote w:id="19">
    <w:p w:rsidR="00A257F0" w:rsidRDefault="00A257F0" w:rsidP="00A257F0">
      <w:pPr>
        <w:pStyle w:val="FootnoteText"/>
      </w:pPr>
      <w:r>
        <w:rPr>
          <w:rStyle w:val="FootnoteReference"/>
        </w:rPr>
        <w:footnoteRef/>
      </w:r>
      <w:r>
        <w:t xml:space="preserve"> Communication No. 1910/2009, </w:t>
      </w:r>
      <w:proofErr w:type="spellStart"/>
      <w:r>
        <w:t>Zhuk</w:t>
      </w:r>
      <w:proofErr w:type="spellEnd"/>
      <w:r>
        <w:t xml:space="preserve"> v. Belarus, Views adopted on 30 October 2013, para. 7.3. </w:t>
      </w:r>
    </w:p>
  </w:footnote>
  <w:footnote w:id="20">
    <w:p w:rsidR="00B855A1" w:rsidRPr="0048153D" w:rsidRDefault="00B855A1" w:rsidP="002E0D06">
      <w:pPr>
        <w:pStyle w:val="FootnoteText"/>
        <w:jc w:val="both"/>
      </w:pPr>
      <w:r>
        <w:tab/>
      </w:r>
      <w:r w:rsidRPr="006C1762">
        <w:rPr>
          <w:rStyle w:val="FootnoteReference"/>
        </w:rPr>
        <w:footnoteRef/>
      </w:r>
      <w:r w:rsidRPr="007863CB">
        <w:rPr>
          <w:rStyle w:val="FootnoteReference"/>
          <w:vertAlign w:val="baseline"/>
        </w:rPr>
        <w:tab/>
      </w:r>
      <w:proofErr w:type="spellStart"/>
      <w:r w:rsidRPr="0048153D">
        <w:t>Amanklychev</w:t>
      </w:r>
      <w:proofErr w:type="spellEnd"/>
      <w:r w:rsidRPr="0048153D">
        <w:t xml:space="preserve"> v. Turkmenistan, Communication No. 2078/2011, </w:t>
      </w:r>
      <w:proofErr w:type="gramStart"/>
      <w:r w:rsidRPr="0048153D">
        <w:t>Views</w:t>
      </w:r>
      <w:proofErr w:type="gramEnd"/>
      <w:r w:rsidRPr="0048153D">
        <w:t xml:space="preserve"> adopted 31 March 2016</w:t>
      </w:r>
      <w:r>
        <w:t>.</w:t>
      </w:r>
    </w:p>
  </w:footnote>
  <w:footnote w:id="21">
    <w:p w:rsidR="00B855A1" w:rsidRPr="0048153D" w:rsidRDefault="00B855A1" w:rsidP="002E0D06">
      <w:pPr>
        <w:pStyle w:val="FootnoteText"/>
        <w:jc w:val="both"/>
      </w:pPr>
      <w:r>
        <w:tab/>
      </w:r>
      <w:r w:rsidRPr="006C1762">
        <w:rPr>
          <w:rStyle w:val="FootnoteReference"/>
        </w:rPr>
        <w:footnoteRef/>
      </w:r>
      <w:r w:rsidRPr="007863CB">
        <w:rPr>
          <w:rStyle w:val="FootnoteReference"/>
          <w:vertAlign w:val="baseline"/>
        </w:rPr>
        <w:tab/>
      </w:r>
      <w:proofErr w:type="spellStart"/>
      <w:r w:rsidRPr="0048153D">
        <w:t>Kovaleva</w:t>
      </w:r>
      <w:proofErr w:type="spellEnd"/>
      <w:r w:rsidRPr="0048153D">
        <w:t xml:space="preserve"> and </w:t>
      </w:r>
      <w:proofErr w:type="spellStart"/>
      <w:r w:rsidRPr="0048153D">
        <w:t>Kozyar</w:t>
      </w:r>
      <w:proofErr w:type="spellEnd"/>
      <w:r w:rsidRPr="0048153D">
        <w:t xml:space="preserve"> v Belarus, Communication No. 2120/2011, Views adopted 29 October 2012</w:t>
      </w:r>
      <w:r>
        <w:t>.</w:t>
      </w:r>
    </w:p>
  </w:footnote>
  <w:footnote w:id="22">
    <w:p w:rsidR="000F0BFE" w:rsidRPr="0048153D" w:rsidRDefault="000F0BFE" w:rsidP="000F0BFE">
      <w:pPr>
        <w:pStyle w:val="FootnoteText"/>
        <w:jc w:val="both"/>
      </w:pPr>
      <w:r>
        <w:tab/>
      </w:r>
      <w:r w:rsidRPr="00945F95">
        <w:rPr>
          <w:rStyle w:val="FootnoteReference"/>
        </w:rPr>
        <w:footnoteRef/>
      </w:r>
      <w:r w:rsidRPr="00945F95">
        <w:tab/>
        <w:t>Id., paras. 37-38.</w:t>
      </w:r>
    </w:p>
  </w:footnote>
  <w:footnote w:id="23">
    <w:p w:rsidR="00B855A1" w:rsidRPr="0048153D" w:rsidRDefault="00B855A1" w:rsidP="002E0D06">
      <w:pPr>
        <w:pStyle w:val="FootnoteText"/>
        <w:jc w:val="both"/>
      </w:pPr>
      <w:r>
        <w:tab/>
      </w:r>
      <w:r w:rsidRPr="006C1762">
        <w:rPr>
          <w:rStyle w:val="FootnoteReference"/>
        </w:rPr>
        <w:footnoteRef/>
      </w:r>
      <w:r>
        <w:tab/>
      </w:r>
      <w:r w:rsidRPr="0048153D">
        <w:t xml:space="preserve">General Comment 32, para </w:t>
      </w:r>
      <w:r>
        <w:t>39.</w:t>
      </w:r>
    </w:p>
  </w:footnote>
  <w:footnote w:id="24">
    <w:p w:rsidR="00B855A1" w:rsidRPr="0048153D" w:rsidRDefault="00B855A1" w:rsidP="002E0D06">
      <w:pPr>
        <w:pStyle w:val="FootnoteText"/>
        <w:jc w:val="both"/>
      </w:pPr>
      <w:r>
        <w:tab/>
      </w:r>
      <w:r w:rsidRPr="006C1762">
        <w:rPr>
          <w:rStyle w:val="FootnoteReference"/>
        </w:rPr>
        <w:footnoteRef/>
      </w:r>
      <w:r>
        <w:tab/>
      </w:r>
      <w:r w:rsidRPr="0048153D">
        <w:t xml:space="preserve">See para. </w:t>
      </w:r>
      <w:proofErr w:type="gramStart"/>
      <w:r w:rsidRPr="0048153D">
        <w:t>7</w:t>
      </w:r>
      <w:proofErr w:type="gramEnd"/>
      <w:r w:rsidRPr="0048153D">
        <w:t xml:space="preserve"> of General comment No. 6:</w:t>
      </w:r>
      <w:r>
        <w:t xml:space="preserve"> </w:t>
      </w:r>
      <w:r w:rsidRPr="0048153D">
        <w:t>Article 6 (Right to life) Sixteenth session (1982)</w:t>
      </w:r>
      <w:r>
        <w:t>.</w:t>
      </w:r>
    </w:p>
  </w:footnote>
  <w:footnote w:id="25">
    <w:p w:rsidR="00B855A1" w:rsidRPr="0048153D" w:rsidRDefault="00B855A1" w:rsidP="002E0D06">
      <w:pPr>
        <w:pStyle w:val="FootnoteText"/>
        <w:jc w:val="both"/>
      </w:pPr>
      <w:r>
        <w:tab/>
      </w:r>
      <w:r w:rsidRPr="006C1762">
        <w:rPr>
          <w:rStyle w:val="FootnoteReference"/>
        </w:rPr>
        <w:footnoteRef/>
      </w:r>
      <w:r>
        <w:tab/>
      </w:r>
      <w:r w:rsidRPr="0048153D">
        <w:t xml:space="preserve">Hezekiah Price v. Jamaica, Communication No. 572/1994, </w:t>
      </w:r>
    </w:p>
  </w:footnote>
  <w:footnote w:id="26">
    <w:p w:rsidR="004400A4" w:rsidRPr="004400A4" w:rsidRDefault="004400A4">
      <w:pPr>
        <w:pStyle w:val="FootnoteText"/>
      </w:pPr>
      <w:r>
        <w:rPr>
          <w:rStyle w:val="FootnoteReference"/>
        </w:rPr>
        <w:footnoteRef/>
      </w:r>
      <w:r>
        <w:t xml:space="preserve"> Cf. </w:t>
      </w:r>
      <w:r>
        <w:rPr>
          <w:i/>
        </w:rPr>
        <w:t xml:space="preserve">R.S. v. Trinidad and Tobago, </w:t>
      </w:r>
      <w:r>
        <w:t>Communication N° 684/1996 (April 2002), para.7.2. General Comment N°36 on Article 6 (right to life)(2018), para.53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A1" w:rsidRPr="008E1CFA" w:rsidRDefault="00945F95" w:rsidP="00E25384">
    <w:pPr>
      <w:pStyle w:val="Header"/>
    </w:pPr>
    <w:r w:rsidRPr="00945F95">
      <w:t>Advance unedited version</w:t>
    </w:r>
    <w:r>
      <w:t xml:space="preserve"> </w:t>
    </w:r>
    <w:r w:rsidR="00B855A1" w:rsidRPr="00581589">
      <w:t>CCPR/C/123/D/2785/2016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5A1" w:rsidRPr="008E1CFA" w:rsidRDefault="00945F95" w:rsidP="00F37AA3">
    <w:pPr>
      <w:pStyle w:val="Header"/>
      <w:jc w:val="right"/>
    </w:pPr>
    <w:r w:rsidRPr="00945F95">
      <w:t>Advance unedited version</w:t>
    </w:r>
    <w:r>
      <w:t xml:space="preserve"> </w:t>
    </w:r>
    <w:r w:rsidR="00B855A1" w:rsidRPr="00581589">
      <w:t>CCPR/C/123/D/2785/2016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E21FA"/>
    <w:multiLevelType w:val="multilevel"/>
    <w:tmpl w:val="6C50B3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715349"/>
    <w:multiLevelType w:val="hybridMultilevel"/>
    <w:tmpl w:val="25C0C3A0"/>
    <w:lvl w:ilvl="0" w:tplc="08090001">
      <w:start w:val="5"/>
      <w:numFmt w:val="bullet"/>
      <w:lvlText w:val=""/>
      <w:lvlJc w:val="left"/>
      <w:pPr>
        <w:ind w:left="927" w:hanging="360"/>
      </w:pPr>
      <w:rPr>
        <w:rFonts w:ascii="Symbol" w:eastAsia="Times New Roman" w:hAnsi="Symbol"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B667CF8"/>
    <w:multiLevelType w:val="multilevel"/>
    <w:tmpl w:val="F4A402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D3C3723"/>
    <w:multiLevelType w:val="multilevel"/>
    <w:tmpl w:val="11068B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7366E85"/>
    <w:multiLevelType w:val="multilevel"/>
    <w:tmpl w:val="83F001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FE4FF7"/>
    <w:multiLevelType w:val="multilevel"/>
    <w:tmpl w:val="13B4269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5F65276"/>
    <w:multiLevelType w:val="multilevel"/>
    <w:tmpl w:val="F442354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D36077"/>
    <w:multiLevelType w:val="hybridMultilevel"/>
    <w:tmpl w:val="64B01922"/>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A5C38"/>
    <w:multiLevelType w:val="hybridMultilevel"/>
    <w:tmpl w:val="3EF6DC00"/>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A4AD8"/>
    <w:multiLevelType w:val="multilevel"/>
    <w:tmpl w:val="29AE43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190AB7"/>
    <w:multiLevelType w:val="multilevel"/>
    <w:tmpl w:val="86863E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6BB4797"/>
    <w:multiLevelType w:val="multilevel"/>
    <w:tmpl w:val="62C823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796106F"/>
    <w:multiLevelType w:val="multilevel"/>
    <w:tmpl w:val="F4145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CAA644B"/>
    <w:multiLevelType w:val="multilevel"/>
    <w:tmpl w:val="A7363A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AD5507"/>
    <w:multiLevelType w:val="hybridMultilevel"/>
    <w:tmpl w:val="B20E567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B350C"/>
    <w:multiLevelType w:val="multilevel"/>
    <w:tmpl w:val="AF2CC3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3FD2027"/>
    <w:multiLevelType w:val="multilevel"/>
    <w:tmpl w:val="803E69CC"/>
    <w:lvl w:ilvl="0">
      <w:start w:val="4"/>
      <w:numFmt w:val="decimal"/>
      <w:lvlText w:val="%1"/>
      <w:lvlJc w:val="left"/>
      <w:pPr>
        <w:ind w:left="360" w:hanging="360"/>
      </w:pPr>
      <w:rPr>
        <w:rFonts w:ascii="Times New Roman" w:hAnsi="Times New Roman" w:cs="Times New Roman"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1C5F4B"/>
    <w:multiLevelType w:val="multilevel"/>
    <w:tmpl w:val="F58A5A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BB47AB4"/>
    <w:multiLevelType w:val="multilevel"/>
    <w:tmpl w:val="3B3277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9"/>
  </w:num>
  <w:num w:numId="3">
    <w:abstractNumId w:val="4"/>
  </w:num>
  <w:num w:numId="4">
    <w:abstractNumId w:val="4"/>
  </w:num>
  <w:num w:numId="5">
    <w:abstractNumId w:val="14"/>
  </w:num>
  <w:num w:numId="6">
    <w:abstractNumId w:val="6"/>
  </w:num>
  <w:num w:numId="7">
    <w:abstractNumId w:val="20"/>
  </w:num>
  <w:num w:numId="8">
    <w:abstractNumId w:val="11"/>
  </w:num>
  <w:num w:numId="9">
    <w:abstractNumId w:val="8"/>
  </w:num>
  <w:num w:numId="10">
    <w:abstractNumId w:val="17"/>
  </w:num>
  <w:num w:numId="11">
    <w:abstractNumId w:val="1"/>
  </w:num>
  <w:num w:numId="12">
    <w:abstractNumId w:val="15"/>
  </w:num>
  <w:num w:numId="13">
    <w:abstractNumId w:val="13"/>
  </w:num>
  <w:num w:numId="14">
    <w:abstractNumId w:val="3"/>
  </w:num>
  <w:num w:numId="15">
    <w:abstractNumId w:val="5"/>
  </w:num>
  <w:num w:numId="16">
    <w:abstractNumId w:val="7"/>
  </w:num>
  <w:num w:numId="17">
    <w:abstractNumId w:val="21"/>
  </w:num>
  <w:num w:numId="18">
    <w:abstractNumId w:val="12"/>
  </w:num>
  <w:num w:numId="19">
    <w:abstractNumId w:val="18"/>
  </w:num>
  <w:num w:numId="20">
    <w:abstractNumId w:val="16"/>
  </w:num>
  <w:num w:numId="21">
    <w:abstractNumId w:val="2"/>
  </w:num>
  <w:num w:numId="22">
    <w:abstractNumId w:val="9"/>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FA"/>
    <w:rsid w:val="000272B3"/>
    <w:rsid w:val="00036A80"/>
    <w:rsid w:val="00050F6B"/>
    <w:rsid w:val="00052687"/>
    <w:rsid w:val="00057E97"/>
    <w:rsid w:val="00060C3A"/>
    <w:rsid w:val="00072C8C"/>
    <w:rsid w:val="000733B5"/>
    <w:rsid w:val="00081815"/>
    <w:rsid w:val="000931C0"/>
    <w:rsid w:val="000A68E2"/>
    <w:rsid w:val="000B175B"/>
    <w:rsid w:val="000B3A0F"/>
    <w:rsid w:val="000B4EF7"/>
    <w:rsid w:val="000C2C03"/>
    <w:rsid w:val="000C2D2E"/>
    <w:rsid w:val="000E0415"/>
    <w:rsid w:val="000F0BEF"/>
    <w:rsid w:val="000F0BFE"/>
    <w:rsid w:val="001103AA"/>
    <w:rsid w:val="0011171C"/>
    <w:rsid w:val="00121168"/>
    <w:rsid w:val="00134A86"/>
    <w:rsid w:val="00146398"/>
    <w:rsid w:val="00165F3A"/>
    <w:rsid w:val="00183968"/>
    <w:rsid w:val="00192666"/>
    <w:rsid w:val="001947C6"/>
    <w:rsid w:val="001A6686"/>
    <w:rsid w:val="001B4491"/>
    <w:rsid w:val="001B4B04"/>
    <w:rsid w:val="001C6663"/>
    <w:rsid w:val="001C7895"/>
    <w:rsid w:val="001D0112"/>
    <w:rsid w:val="001D0C8C"/>
    <w:rsid w:val="001D1527"/>
    <w:rsid w:val="001D26DF"/>
    <w:rsid w:val="001D3A03"/>
    <w:rsid w:val="001F4856"/>
    <w:rsid w:val="00201B7B"/>
    <w:rsid w:val="00202DA8"/>
    <w:rsid w:val="00211E0B"/>
    <w:rsid w:val="0023210C"/>
    <w:rsid w:val="002325F6"/>
    <w:rsid w:val="0023722A"/>
    <w:rsid w:val="00253117"/>
    <w:rsid w:val="002613C6"/>
    <w:rsid w:val="00267F5F"/>
    <w:rsid w:val="00286B4D"/>
    <w:rsid w:val="00290448"/>
    <w:rsid w:val="00295B44"/>
    <w:rsid w:val="002D2A5B"/>
    <w:rsid w:val="002E0D06"/>
    <w:rsid w:val="002E2AF5"/>
    <w:rsid w:val="002F175C"/>
    <w:rsid w:val="00310108"/>
    <w:rsid w:val="003229D8"/>
    <w:rsid w:val="0034195B"/>
    <w:rsid w:val="00352709"/>
    <w:rsid w:val="00367567"/>
    <w:rsid w:val="00371178"/>
    <w:rsid w:val="0038336C"/>
    <w:rsid w:val="003A42D4"/>
    <w:rsid w:val="003A6810"/>
    <w:rsid w:val="003C2CC4"/>
    <w:rsid w:val="003C4F6B"/>
    <w:rsid w:val="003D4B23"/>
    <w:rsid w:val="004076CD"/>
    <w:rsid w:val="00410C89"/>
    <w:rsid w:val="00416384"/>
    <w:rsid w:val="0042209C"/>
    <w:rsid w:val="00426B9B"/>
    <w:rsid w:val="004325CB"/>
    <w:rsid w:val="00436B33"/>
    <w:rsid w:val="004400A4"/>
    <w:rsid w:val="00442A83"/>
    <w:rsid w:val="00451DF0"/>
    <w:rsid w:val="0045495B"/>
    <w:rsid w:val="004673F7"/>
    <w:rsid w:val="0048153D"/>
    <w:rsid w:val="00487488"/>
    <w:rsid w:val="004D59F4"/>
    <w:rsid w:val="0052136D"/>
    <w:rsid w:val="0052775E"/>
    <w:rsid w:val="005420F2"/>
    <w:rsid w:val="00551EE2"/>
    <w:rsid w:val="005628B6"/>
    <w:rsid w:val="00571E4E"/>
    <w:rsid w:val="005761F8"/>
    <w:rsid w:val="00581589"/>
    <w:rsid w:val="005848B3"/>
    <w:rsid w:val="005952BA"/>
    <w:rsid w:val="00597CF6"/>
    <w:rsid w:val="005A3B1F"/>
    <w:rsid w:val="005A7E24"/>
    <w:rsid w:val="005B3DB3"/>
    <w:rsid w:val="005C1A98"/>
    <w:rsid w:val="005F7717"/>
    <w:rsid w:val="005F7B75"/>
    <w:rsid w:val="006001EE"/>
    <w:rsid w:val="00604023"/>
    <w:rsid w:val="00605042"/>
    <w:rsid w:val="00611FC4"/>
    <w:rsid w:val="006176FB"/>
    <w:rsid w:val="006277A3"/>
    <w:rsid w:val="0063059B"/>
    <w:rsid w:val="00640B26"/>
    <w:rsid w:val="0065003C"/>
    <w:rsid w:val="00652D0A"/>
    <w:rsid w:val="00662BB6"/>
    <w:rsid w:val="00665D9A"/>
    <w:rsid w:val="00684C21"/>
    <w:rsid w:val="006879ED"/>
    <w:rsid w:val="006B63C6"/>
    <w:rsid w:val="006B64A4"/>
    <w:rsid w:val="006C1762"/>
    <w:rsid w:val="006D37AF"/>
    <w:rsid w:val="006D51D0"/>
    <w:rsid w:val="006E564B"/>
    <w:rsid w:val="006E7191"/>
    <w:rsid w:val="00703577"/>
    <w:rsid w:val="00704353"/>
    <w:rsid w:val="0072632A"/>
    <w:rsid w:val="007327D5"/>
    <w:rsid w:val="00740AAA"/>
    <w:rsid w:val="00755BCA"/>
    <w:rsid w:val="007629C8"/>
    <w:rsid w:val="00777C3A"/>
    <w:rsid w:val="007863CB"/>
    <w:rsid w:val="00787670"/>
    <w:rsid w:val="00792F42"/>
    <w:rsid w:val="007A0789"/>
    <w:rsid w:val="007A4C34"/>
    <w:rsid w:val="007B6BA5"/>
    <w:rsid w:val="007C3390"/>
    <w:rsid w:val="007C4F4B"/>
    <w:rsid w:val="007C784F"/>
    <w:rsid w:val="007E0B2D"/>
    <w:rsid w:val="007E2A68"/>
    <w:rsid w:val="007F6611"/>
    <w:rsid w:val="0080236D"/>
    <w:rsid w:val="008105B8"/>
    <w:rsid w:val="00815B64"/>
    <w:rsid w:val="008242D7"/>
    <w:rsid w:val="008257B1"/>
    <w:rsid w:val="00834E33"/>
    <w:rsid w:val="00843767"/>
    <w:rsid w:val="008574C7"/>
    <w:rsid w:val="0086779C"/>
    <w:rsid w:val="008679D9"/>
    <w:rsid w:val="008979B1"/>
    <w:rsid w:val="00897CDD"/>
    <w:rsid w:val="008A1DB2"/>
    <w:rsid w:val="008A6B25"/>
    <w:rsid w:val="008A6C4F"/>
    <w:rsid w:val="008B2335"/>
    <w:rsid w:val="008B4D4A"/>
    <w:rsid w:val="008E0678"/>
    <w:rsid w:val="008E1CFA"/>
    <w:rsid w:val="008E3685"/>
    <w:rsid w:val="00910F40"/>
    <w:rsid w:val="00912C08"/>
    <w:rsid w:val="009223CA"/>
    <w:rsid w:val="0092408C"/>
    <w:rsid w:val="00940F93"/>
    <w:rsid w:val="00945F95"/>
    <w:rsid w:val="0095347F"/>
    <w:rsid w:val="009760F3"/>
    <w:rsid w:val="0097647A"/>
    <w:rsid w:val="009909F5"/>
    <w:rsid w:val="00994268"/>
    <w:rsid w:val="009A0E8D"/>
    <w:rsid w:val="009A2797"/>
    <w:rsid w:val="009B26E7"/>
    <w:rsid w:val="009C55D4"/>
    <w:rsid w:val="00A00A3F"/>
    <w:rsid w:val="00A01489"/>
    <w:rsid w:val="00A257F0"/>
    <w:rsid w:val="00A338F1"/>
    <w:rsid w:val="00A44615"/>
    <w:rsid w:val="00A46021"/>
    <w:rsid w:val="00A52C15"/>
    <w:rsid w:val="00A72F22"/>
    <w:rsid w:val="00A7360F"/>
    <w:rsid w:val="00A748A6"/>
    <w:rsid w:val="00A769F4"/>
    <w:rsid w:val="00A776B4"/>
    <w:rsid w:val="00A81B21"/>
    <w:rsid w:val="00A94361"/>
    <w:rsid w:val="00AA293C"/>
    <w:rsid w:val="00AB1606"/>
    <w:rsid w:val="00AF53E3"/>
    <w:rsid w:val="00B00BA1"/>
    <w:rsid w:val="00B03F7C"/>
    <w:rsid w:val="00B10229"/>
    <w:rsid w:val="00B13E9B"/>
    <w:rsid w:val="00B30179"/>
    <w:rsid w:val="00B339A7"/>
    <w:rsid w:val="00B51785"/>
    <w:rsid w:val="00B56E4A"/>
    <w:rsid w:val="00B56E9C"/>
    <w:rsid w:val="00B61285"/>
    <w:rsid w:val="00B64B1F"/>
    <w:rsid w:val="00B6553F"/>
    <w:rsid w:val="00B66E5E"/>
    <w:rsid w:val="00B77D05"/>
    <w:rsid w:val="00B81206"/>
    <w:rsid w:val="00B81E12"/>
    <w:rsid w:val="00B855A1"/>
    <w:rsid w:val="00B85A31"/>
    <w:rsid w:val="00B9067B"/>
    <w:rsid w:val="00BB237F"/>
    <w:rsid w:val="00BC2C23"/>
    <w:rsid w:val="00BC5F03"/>
    <w:rsid w:val="00BC74E9"/>
    <w:rsid w:val="00BF2963"/>
    <w:rsid w:val="00BF5808"/>
    <w:rsid w:val="00BF68A8"/>
    <w:rsid w:val="00C11A03"/>
    <w:rsid w:val="00C27B3F"/>
    <w:rsid w:val="00C27B8C"/>
    <w:rsid w:val="00C463DD"/>
    <w:rsid w:val="00C4724C"/>
    <w:rsid w:val="00C629A0"/>
    <w:rsid w:val="00C745C3"/>
    <w:rsid w:val="00C82CF6"/>
    <w:rsid w:val="00CB7C44"/>
    <w:rsid w:val="00CC6488"/>
    <w:rsid w:val="00CD3C7B"/>
    <w:rsid w:val="00CE4A8F"/>
    <w:rsid w:val="00CE6826"/>
    <w:rsid w:val="00CF314C"/>
    <w:rsid w:val="00D1362A"/>
    <w:rsid w:val="00D2031B"/>
    <w:rsid w:val="00D25FE2"/>
    <w:rsid w:val="00D43252"/>
    <w:rsid w:val="00D47EEA"/>
    <w:rsid w:val="00D6350F"/>
    <w:rsid w:val="00D85650"/>
    <w:rsid w:val="00D95303"/>
    <w:rsid w:val="00D978C6"/>
    <w:rsid w:val="00DA3111"/>
    <w:rsid w:val="00DA3C1C"/>
    <w:rsid w:val="00DA7E18"/>
    <w:rsid w:val="00DB0C79"/>
    <w:rsid w:val="00DB7C19"/>
    <w:rsid w:val="00DC046E"/>
    <w:rsid w:val="00DD63D4"/>
    <w:rsid w:val="00E17533"/>
    <w:rsid w:val="00E21842"/>
    <w:rsid w:val="00E23BF2"/>
    <w:rsid w:val="00E25384"/>
    <w:rsid w:val="00E27346"/>
    <w:rsid w:val="00E51131"/>
    <w:rsid w:val="00E71BC8"/>
    <w:rsid w:val="00E7260F"/>
    <w:rsid w:val="00E75862"/>
    <w:rsid w:val="00E779FC"/>
    <w:rsid w:val="00E83F50"/>
    <w:rsid w:val="00E91F38"/>
    <w:rsid w:val="00E96630"/>
    <w:rsid w:val="00EB2581"/>
    <w:rsid w:val="00ED7A2A"/>
    <w:rsid w:val="00EE2064"/>
    <w:rsid w:val="00EF1D7F"/>
    <w:rsid w:val="00F20C3D"/>
    <w:rsid w:val="00F37AA3"/>
    <w:rsid w:val="00F4116A"/>
    <w:rsid w:val="00F43E9E"/>
    <w:rsid w:val="00F53C5D"/>
    <w:rsid w:val="00F702EB"/>
    <w:rsid w:val="00F72B4F"/>
    <w:rsid w:val="00F74A4A"/>
    <w:rsid w:val="00F802FE"/>
    <w:rsid w:val="00F9057C"/>
    <w:rsid w:val="00F906D7"/>
    <w:rsid w:val="00F93781"/>
    <w:rsid w:val="00FA51A5"/>
    <w:rsid w:val="00FB613B"/>
    <w:rsid w:val="00FC33EC"/>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05B889EA-A7EA-44F3-9FF9-B3CEA983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4_G Zchn Zchn"/>
    <w:basedOn w:val="DefaultParagraphFont"/>
    <w:link w:val="4GZchn"/>
    <w:uiPriority w:val="99"/>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link w:val="FooterChar"/>
    <w:uiPriority w:val="99"/>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8E1CFA"/>
    <w:rPr>
      <w:sz w:val="18"/>
      <w:lang w:val="en-GB" w:eastAsia="en-US"/>
    </w:rPr>
  </w:style>
  <w:style w:type="character" w:customStyle="1" w:styleId="SingleTxtGChar">
    <w:name w:val="_ Single Txt_G Char"/>
    <w:link w:val="SingleTxtG"/>
    <w:uiPriority w:val="99"/>
    <w:rsid w:val="008E1CFA"/>
    <w:rPr>
      <w:lang w:val="en-GB" w:eastAsia="en-US"/>
    </w:rPr>
  </w:style>
  <w:style w:type="paragraph" w:styleId="ListParagraph">
    <w:name w:val="List Paragraph"/>
    <w:basedOn w:val="Normal"/>
    <w:uiPriority w:val="34"/>
    <w:qFormat/>
    <w:rsid w:val="0048153D"/>
    <w:pPr>
      <w:suppressAutoHyphens w:val="0"/>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8153D"/>
    <w:rPr>
      <w:sz w:val="16"/>
      <w:szCs w:val="16"/>
    </w:rPr>
  </w:style>
  <w:style w:type="paragraph" w:styleId="CommentText">
    <w:name w:val="annotation text"/>
    <w:basedOn w:val="Normal"/>
    <w:link w:val="CommentTextChar"/>
    <w:uiPriority w:val="99"/>
    <w:semiHidden/>
    <w:unhideWhenUsed/>
    <w:rsid w:val="0048153D"/>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48153D"/>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48153D"/>
    <w:rPr>
      <w:b/>
      <w:bCs/>
    </w:rPr>
  </w:style>
  <w:style w:type="character" w:customStyle="1" w:styleId="CommentSubjectChar">
    <w:name w:val="Comment Subject Char"/>
    <w:basedOn w:val="CommentTextChar"/>
    <w:link w:val="CommentSubject"/>
    <w:uiPriority w:val="99"/>
    <w:semiHidden/>
    <w:rsid w:val="0048153D"/>
    <w:rPr>
      <w:rFonts w:asciiTheme="minorHAnsi" w:eastAsiaTheme="minorHAnsi" w:hAnsiTheme="minorHAnsi" w:cstheme="minorBidi"/>
      <w:b/>
      <w:bCs/>
      <w:lang w:val="en-GB" w:eastAsia="en-US"/>
    </w:rPr>
  </w:style>
  <w:style w:type="paragraph" w:styleId="Revision">
    <w:name w:val="Revision"/>
    <w:hidden/>
    <w:uiPriority w:val="99"/>
    <w:semiHidden/>
    <w:rsid w:val="0048153D"/>
    <w:rPr>
      <w:rFonts w:asciiTheme="minorHAnsi" w:eastAsiaTheme="minorHAnsi" w:hAnsiTheme="minorHAnsi" w:cstheme="minorBidi"/>
      <w:sz w:val="22"/>
      <w:szCs w:val="22"/>
      <w:lang w:val="en-GB" w:eastAsia="en-US"/>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48153D"/>
    <w:pPr>
      <w:suppressAutoHyphens w:val="0"/>
      <w:spacing w:after="160" w:line="240" w:lineRule="exact"/>
    </w:pPr>
    <w:rPr>
      <w:sz w:val="18"/>
      <w:vertAlign w:val="superscript"/>
      <w:lang w:val="fr-FR" w:eastAsia="fr-FR"/>
    </w:rPr>
  </w:style>
  <w:style w:type="character" w:customStyle="1" w:styleId="HeaderChar">
    <w:name w:val="Header Char"/>
    <w:aliases w:val="6_G Char"/>
    <w:basedOn w:val="DefaultParagraphFont"/>
    <w:link w:val="Header"/>
    <w:uiPriority w:val="99"/>
    <w:rsid w:val="0048153D"/>
    <w:rPr>
      <w:b/>
      <w:sz w:val="18"/>
      <w:lang w:val="en-GB" w:eastAsia="en-US"/>
    </w:rPr>
  </w:style>
  <w:style w:type="character" w:customStyle="1" w:styleId="FooterChar">
    <w:name w:val="Footer Char"/>
    <w:aliases w:val="3_G Char"/>
    <w:basedOn w:val="DefaultParagraphFont"/>
    <w:link w:val="Footer"/>
    <w:uiPriority w:val="99"/>
    <w:rsid w:val="0048153D"/>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2587">
      <w:bodyDiv w:val="1"/>
      <w:marLeft w:val="0"/>
      <w:marRight w:val="0"/>
      <w:marTop w:val="0"/>
      <w:marBottom w:val="0"/>
      <w:divBdr>
        <w:top w:val="none" w:sz="0" w:space="0" w:color="auto"/>
        <w:left w:val="none" w:sz="0" w:space="0" w:color="auto"/>
        <w:bottom w:val="none" w:sz="0" w:space="0" w:color="auto"/>
        <w:right w:val="none" w:sz="0" w:space="0" w:color="auto"/>
      </w:divBdr>
    </w:div>
    <w:div w:id="408119444">
      <w:bodyDiv w:val="1"/>
      <w:marLeft w:val="0"/>
      <w:marRight w:val="0"/>
      <w:marTop w:val="0"/>
      <w:marBottom w:val="0"/>
      <w:divBdr>
        <w:top w:val="none" w:sz="0" w:space="0" w:color="auto"/>
        <w:left w:val="none" w:sz="0" w:space="0" w:color="auto"/>
        <w:bottom w:val="none" w:sz="0" w:space="0" w:color="auto"/>
        <w:right w:val="none" w:sz="0" w:space="0" w:color="auto"/>
      </w:divBdr>
    </w:div>
    <w:div w:id="472647900">
      <w:bodyDiv w:val="1"/>
      <w:marLeft w:val="0"/>
      <w:marRight w:val="0"/>
      <w:marTop w:val="0"/>
      <w:marBottom w:val="0"/>
      <w:divBdr>
        <w:top w:val="none" w:sz="0" w:space="0" w:color="auto"/>
        <w:left w:val="none" w:sz="0" w:space="0" w:color="auto"/>
        <w:bottom w:val="none" w:sz="0" w:space="0" w:color="auto"/>
        <w:right w:val="none" w:sz="0" w:space="0" w:color="auto"/>
      </w:divBdr>
    </w:div>
    <w:div w:id="768739779">
      <w:bodyDiv w:val="1"/>
      <w:marLeft w:val="0"/>
      <w:marRight w:val="0"/>
      <w:marTop w:val="0"/>
      <w:marBottom w:val="0"/>
      <w:divBdr>
        <w:top w:val="none" w:sz="0" w:space="0" w:color="auto"/>
        <w:left w:val="none" w:sz="0" w:space="0" w:color="auto"/>
        <w:bottom w:val="none" w:sz="0" w:space="0" w:color="auto"/>
        <w:right w:val="none" w:sz="0" w:space="0" w:color="auto"/>
      </w:divBdr>
    </w:div>
    <w:div w:id="78080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7237B-EBF7-49DF-959A-E7FDE7E7E319}"/>
</file>

<file path=customXml/itemProps2.xml><?xml version="1.0" encoding="utf-8"?>
<ds:datastoreItem xmlns:ds="http://schemas.openxmlformats.org/officeDocument/2006/customXml" ds:itemID="{1491FE45-FA5A-4F0F-A733-2D088F4D3A7F}"/>
</file>

<file path=customXml/itemProps3.xml><?xml version="1.0" encoding="utf-8"?>
<ds:datastoreItem xmlns:ds="http://schemas.openxmlformats.org/officeDocument/2006/customXml" ds:itemID="{0A73A1E1-F122-440B-ABA2-25728DD04508}"/>
</file>

<file path=customXml/itemProps4.xml><?xml version="1.0" encoding="utf-8"?>
<ds:datastoreItem xmlns:ds="http://schemas.openxmlformats.org/officeDocument/2006/customXml" ds:itemID="{1275A1CB-4C77-4EC7-968B-B7CA38000E18}"/>
</file>

<file path=docProps/app.xml><?xml version="1.0" encoding="utf-8"?>
<Properties xmlns="http://schemas.openxmlformats.org/officeDocument/2006/extended-properties" xmlns:vt="http://schemas.openxmlformats.org/officeDocument/2006/docPropsVTypes">
  <Template>CCPR_E.dotm</Template>
  <TotalTime>7</TotalTime>
  <Pages>15</Pages>
  <Words>8619</Words>
  <Characters>49134</Characters>
  <Application>Microsoft Office Word</Application>
  <DocSecurity>0</DocSecurity>
  <Lines>409</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CCPR/C/123/DR/2785/2016</vt:lpstr>
      <vt:lpstr>United Nations</vt:lpstr>
    </vt:vector>
  </TitlesOfParts>
  <Company>CSD</Company>
  <LinksUpToDate>false</LinksUpToDate>
  <CharactersWithSpaces>57638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CCPR/C/123/DR/2785/2016</dc:title>
  <dc:subject>1811118</dc:subject>
  <dc:creator>ABDELAZIM Mohamed</dc:creator>
  <cp:keywords/>
  <dc:description/>
  <cp:lastModifiedBy>ABDELAZIM Mohamed</cp:lastModifiedBy>
  <cp:revision>4</cp:revision>
  <cp:lastPrinted>2018-07-05T12:56:00Z</cp:lastPrinted>
  <dcterms:created xsi:type="dcterms:W3CDTF">2019-03-13T13:25:00Z</dcterms:created>
  <dcterms:modified xsi:type="dcterms:W3CDTF">2019-03-13T13:54:00Z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