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903D3" w:rsidTr="005E62E4">
        <w:trPr>
          <w:trHeight w:hRule="exact" w:val="851"/>
        </w:trPr>
        <w:tc>
          <w:tcPr>
            <w:tcW w:w="1280" w:type="dxa"/>
            <w:tcBorders>
              <w:bottom w:val="single" w:sz="4" w:space="0" w:color="auto"/>
            </w:tcBorders>
            <w:shd w:val="clear" w:color="auto" w:fill="auto"/>
          </w:tcPr>
          <w:p w:rsidR="002D5AAC" w:rsidRPr="009903D3" w:rsidRDefault="002D5AAC" w:rsidP="005E62E4">
            <w:pPr>
              <w:rPr>
                <w:rStyle w:val="FollowedHyperlink"/>
                <w:lang w:val="es-ES_tradnl"/>
              </w:rPr>
            </w:pPr>
          </w:p>
        </w:tc>
        <w:tc>
          <w:tcPr>
            <w:tcW w:w="2273" w:type="dxa"/>
            <w:tcBorders>
              <w:bottom w:val="single" w:sz="4" w:space="0" w:color="auto"/>
            </w:tcBorders>
            <w:shd w:val="clear" w:color="auto" w:fill="auto"/>
            <w:vAlign w:val="bottom"/>
          </w:tcPr>
          <w:p w:rsidR="002D5AAC" w:rsidRPr="009903D3" w:rsidRDefault="00BD33EE" w:rsidP="005E62E4">
            <w:pPr>
              <w:spacing w:after="80" w:line="300" w:lineRule="exact"/>
              <w:rPr>
                <w:sz w:val="28"/>
                <w:lang w:val="es-ES_tradnl"/>
              </w:rPr>
            </w:pPr>
            <w:r w:rsidRPr="009903D3">
              <w:rPr>
                <w:sz w:val="28"/>
                <w:lang w:val="es-ES_tradnl"/>
              </w:rPr>
              <w:t>Naciones Unidas</w:t>
            </w:r>
          </w:p>
        </w:tc>
        <w:tc>
          <w:tcPr>
            <w:tcW w:w="6086" w:type="dxa"/>
            <w:gridSpan w:val="2"/>
            <w:tcBorders>
              <w:bottom w:val="single" w:sz="4" w:space="0" w:color="auto"/>
            </w:tcBorders>
            <w:shd w:val="clear" w:color="auto" w:fill="auto"/>
            <w:vAlign w:val="bottom"/>
          </w:tcPr>
          <w:p w:rsidR="002D5AAC" w:rsidRPr="009903D3" w:rsidRDefault="00917FB1" w:rsidP="00437E18">
            <w:pPr>
              <w:jc w:val="right"/>
              <w:rPr>
                <w:lang w:val="es-ES_tradnl"/>
              </w:rPr>
            </w:pPr>
            <w:r w:rsidRPr="009903D3">
              <w:rPr>
                <w:sz w:val="40"/>
                <w:lang w:val="es-ES_tradnl"/>
              </w:rPr>
              <w:t>CCPR</w:t>
            </w:r>
            <w:r w:rsidRPr="009903D3">
              <w:rPr>
                <w:lang w:val="es-ES_tradnl"/>
              </w:rPr>
              <w:t>/C/1</w:t>
            </w:r>
            <w:r w:rsidR="00437E18">
              <w:rPr>
                <w:lang w:val="es-ES_tradnl"/>
              </w:rPr>
              <w:t>23</w:t>
            </w:r>
            <w:r w:rsidRPr="009903D3">
              <w:rPr>
                <w:lang w:val="es-ES_tradnl"/>
              </w:rPr>
              <w:t>/D/</w:t>
            </w:r>
            <w:r w:rsidR="00437E18">
              <w:rPr>
                <w:lang w:val="es-ES_tradnl"/>
              </w:rPr>
              <w:t>2414/2014</w:t>
            </w:r>
          </w:p>
        </w:tc>
      </w:tr>
      <w:tr w:rsidR="002D5AAC" w:rsidRPr="009903D3" w:rsidTr="005E62E4">
        <w:trPr>
          <w:trHeight w:hRule="exact" w:val="2835"/>
        </w:trPr>
        <w:tc>
          <w:tcPr>
            <w:tcW w:w="1280" w:type="dxa"/>
            <w:tcBorders>
              <w:top w:val="single" w:sz="4" w:space="0" w:color="auto"/>
              <w:bottom w:val="single" w:sz="12" w:space="0" w:color="auto"/>
            </w:tcBorders>
            <w:shd w:val="clear" w:color="auto" w:fill="auto"/>
          </w:tcPr>
          <w:p w:rsidR="002D5AAC" w:rsidRPr="009903D3" w:rsidRDefault="00974CB1" w:rsidP="005E62E4">
            <w:pPr>
              <w:spacing w:before="120"/>
              <w:jc w:val="center"/>
              <w:rPr>
                <w:lang w:val="es-ES_tradnl"/>
              </w:rPr>
            </w:pPr>
            <w:r w:rsidRPr="009903D3">
              <w:rPr>
                <w:noProof/>
                <w:lang w:val="en-GB" w:eastAsia="en-GB"/>
              </w:rPr>
              <w:drawing>
                <wp:inline distT="0" distB="0" distL="0" distR="0">
                  <wp:extent cx="707390"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Default="00963777" w:rsidP="005E62E4">
            <w:pPr>
              <w:spacing w:before="120" w:line="360" w:lineRule="exact"/>
              <w:rPr>
                <w:b/>
                <w:sz w:val="34"/>
                <w:szCs w:val="34"/>
                <w:lang w:val="es-ES_tradnl"/>
              </w:rPr>
            </w:pPr>
            <w:r w:rsidRPr="009903D3">
              <w:rPr>
                <w:b/>
                <w:sz w:val="34"/>
                <w:szCs w:val="34"/>
                <w:lang w:val="es-ES_tradnl"/>
              </w:rPr>
              <w:t>Pacto Internacional de Derechos</w:t>
            </w:r>
            <w:r w:rsidR="00637FC5">
              <w:rPr>
                <w:b/>
                <w:sz w:val="34"/>
                <w:szCs w:val="34"/>
                <w:lang w:val="es-ES_tradnl"/>
              </w:rPr>
              <w:t xml:space="preserve"> </w:t>
            </w:r>
            <w:r w:rsidRPr="009903D3">
              <w:rPr>
                <w:b/>
                <w:sz w:val="34"/>
                <w:szCs w:val="34"/>
                <w:lang w:val="es-ES_tradnl"/>
              </w:rPr>
              <w:br/>
              <w:t>Civiles y Políticos</w:t>
            </w:r>
          </w:p>
          <w:p w:rsidR="001D6583" w:rsidRPr="009903D3" w:rsidRDefault="001D6583" w:rsidP="005E62E4">
            <w:pPr>
              <w:spacing w:before="120" w:line="360" w:lineRule="exact"/>
              <w:rPr>
                <w:b/>
                <w:sz w:val="34"/>
                <w:szCs w:val="34"/>
                <w:lang w:val="es-ES_tradnl"/>
              </w:rPr>
            </w:pPr>
            <w:r>
              <w:rPr>
                <w:b/>
                <w:sz w:val="34"/>
                <w:szCs w:val="34"/>
                <w:lang w:val="es-ES_tradnl"/>
              </w:rPr>
              <w:t>Edición avanzada sin editar</w:t>
            </w:r>
          </w:p>
        </w:tc>
        <w:tc>
          <w:tcPr>
            <w:tcW w:w="2819" w:type="dxa"/>
            <w:tcBorders>
              <w:top w:val="single" w:sz="4" w:space="0" w:color="auto"/>
              <w:bottom w:val="single" w:sz="12" w:space="0" w:color="auto"/>
            </w:tcBorders>
            <w:shd w:val="clear" w:color="auto" w:fill="auto"/>
          </w:tcPr>
          <w:p w:rsidR="002D5AAC" w:rsidRPr="009903D3" w:rsidRDefault="00917FB1" w:rsidP="005E62E4">
            <w:pPr>
              <w:spacing w:before="240"/>
              <w:rPr>
                <w:lang w:val="es-ES_tradnl"/>
              </w:rPr>
            </w:pPr>
            <w:proofErr w:type="spellStart"/>
            <w:r w:rsidRPr="009903D3">
              <w:rPr>
                <w:lang w:val="es-ES_tradnl"/>
              </w:rPr>
              <w:t>Distr</w:t>
            </w:r>
            <w:proofErr w:type="spellEnd"/>
            <w:r w:rsidRPr="009903D3">
              <w:rPr>
                <w:lang w:val="es-ES_tradnl"/>
              </w:rPr>
              <w:t xml:space="preserve">. </w:t>
            </w:r>
            <w:r w:rsidR="00F40F73">
              <w:rPr>
                <w:lang w:val="es-ES_tradnl"/>
              </w:rPr>
              <w:t>g</w:t>
            </w:r>
            <w:r w:rsidR="001D6583">
              <w:rPr>
                <w:lang w:val="es-ES_tradnl"/>
              </w:rPr>
              <w:t>eneral</w:t>
            </w:r>
          </w:p>
          <w:p w:rsidR="00917FB1" w:rsidRDefault="00CF4A59" w:rsidP="00E75194">
            <w:pPr>
              <w:spacing w:line="240" w:lineRule="exact"/>
              <w:rPr>
                <w:lang w:val="es-ES_tradnl"/>
              </w:rPr>
            </w:pPr>
            <w:r>
              <w:rPr>
                <w:lang w:val="es-ES_tradnl"/>
              </w:rPr>
              <w:t xml:space="preserve">8 de </w:t>
            </w:r>
            <w:proofErr w:type="gramStart"/>
            <w:r>
              <w:rPr>
                <w:lang w:val="es-ES_tradnl"/>
              </w:rPr>
              <w:t>Agosto</w:t>
            </w:r>
            <w:proofErr w:type="gramEnd"/>
            <w:r w:rsidR="00437E18">
              <w:rPr>
                <w:lang w:val="es-ES_tradnl"/>
              </w:rPr>
              <w:t xml:space="preserve"> de 2018</w:t>
            </w:r>
          </w:p>
          <w:p w:rsidR="001A4EC2" w:rsidRPr="009903D3" w:rsidRDefault="001A4EC2" w:rsidP="00E75194">
            <w:pPr>
              <w:spacing w:line="240" w:lineRule="exact"/>
              <w:rPr>
                <w:lang w:val="es-ES_tradnl"/>
              </w:rPr>
            </w:pPr>
          </w:p>
          <w:p w:rsidR="00917FB1" w:rsidRDefault="00917FB1" w:rsidP="004766B2">
            <w:pPr>
              <w:spacing w:line="240" w:lineRule="exact"/>
              <w:rPr>
                <w:lang w:val="es-ES_tradnl"/>
              </w:rPr>
            </w:pPr>
            <w:r w:rsidRPr="009903D3">
              <w:rPr>
                <w:lang w:val="es-ES_tradnl"/>
              </w:rPr>
              <w:t>Original:</w:t>
            </w:r>
            <w:r w:rsidR="004766B2" w:rsidRPr="009903D3">
              <w:rPr>
                <w:lang w:val="es-ES_tradnl"/>
              </w:rPr>
              <w:t xml:space="preserve"> español</w:t>
            </w:r>
          </w:p>
          <w:p w:rsidR="009C52A4" w:rsidRPr="009903D3" w:rsidRDefault="009C52A4" w:rsidP="004766B2">
            <w:pPr>
              <w:spacing w:line="240" w:lineRule="exact"/>
              <w:rPr>
                <w:lang w:val="es-ES_tradnl"/>
              </w:rPr>
            </w:pPr>
          </w:p>
        </w:tc>
      </w:tr>
    </w:tbl>
    <w:p w:rsidR="00F40CB4" w:rsidRPr="00983505" w:rsidRDefault="00F40CB4" w:rsidP="00D232C4">
      <w:pPr>
        <w:spacing w:before="120" w:after="240"/>
        <w:rPr>
          <w:b/>
          <w:sz w:val="24"/>
          <w:szCs w:val="24"/>
          <w:lang w:val="es-ES_tradnl"/>
        </w:rPr>
      </w:pPr>
      <w:r w:rsidRPr="009903D3">
        <w:rPr>
          <w:b/>
          <w:sz w:val="24"/>
          <w:szCs w:val="24"/>
          <w:lang w:val="es-ES_tradnl"/>
        </w:rPr>
        <w:t>Comité de Derechos Hu</w:t>
      </w:r>
      <w:r w:rsidRPr="00983505">
        <w:rPr>
          <w:b/>
          <w:sz w:val="24"/>
          <w:szCs w:val="24"/>
          <w:lang w:val="es-ES_tradnl"/>
        </w:rPr>
        <w:t>manos</w:t>
      </w:r>
    </w:p>
    <w:p w:rsidR="00F40CB4" w:rsidRPr="00983505" w:rsidRDefault="00D232C4">
      <w:pPr>
        <w:pStyle w:val="HChG"/>
        <w:rPr>
          <w:lang w:val="es-ES_tradnl"/>
        </w:rPr>
      </w:pPr>
      <w:r>
        <w:rPr>
          <w:lang w:val="es-ES_tradnl"/>
        </w:rPr>
        <w:tab/>
      </w:r>
      <w:r>
        <w:rPr>
          <w:lang w:val="es-ES_tradnl"/>
        </w:rPr>
        <w:tab/>
      </w:r>
      <w:r w:rsidR="001D6583">
        <w:rPr>
          <w:lang w:val="es-ES_tradnl"/>
        </w:rPr>
        <w:t>Dictamen aprobado por el Comité a tenor del artículo 5, párrafo 4, del Protocolo Facultativo, respecto de la</w:t>
      </w:r>
      <w:r w:rsidR="001D6583">
        <w:t xml:space="preserve"> </w:t>
      </w:r>
      <w:r w:rsidR="001D6583">
        <w:rPr>
          <w:lang w:val="es-ES_tradnl"/>
        </w:rPr>
        <w:t>c</w:t>
      </w:r>
      <w:r w:rsidR="00F40CB4" w:rsidRPr="00983505">
        <w:rPr>
          <w:lang w:val="es-ES_tradnl"/>
        </w:rPr>
        <w:t xml:space="preserve">omunicación Nº </w:t>
      </w:r>
      <w:r w:rsidR="0020050D" w:rsidRPr="00983505">
        <w:rPr>
          <w:lang w:val="es-ES_tradnl"/>
        </w:rPr>
        <w:t>2</w:t>
      </w:r>
      <w:r w:rsidR="00437E18">
        <w:rPr>
          <w:lang w:val="es-ES_tradnl"/>
        </w:rPr>
        <w:t>414/2014</w:t>
      </w:r>
      <w:r w:rsidR="001D6583" w:rsidRPr="00E94CAD">
        <w:rPr>
          <w:rStyle w:val="FootnoteReference"/>
          <w:b w:val="0"/>
          <w:sz w:val="20"/>
          <w:vertAlign w:val="baseline"/>
          <w:lang w:val="es-ES_tradnl"/>
        </w:rPr>
        <w:footnoteReference w:customMarkFollows="1" w:id="1"/>
        <w:t>*</w:t>
      </w:r>
      <w:r w:rsidR="001D6583">
        <w:rPr>
          <w:b w:val="0"/>
          <w:sz w:val="20"/>
          <w:lang w:val="es-ES_tradnl"/>
        </w:rPr>
        <w:t>,</w:t>
      </w:r>
      <w:r w:rsidR="001D6583" w:rsidRPr="00E94CAD">
        <w:rPr>
          <w:rStyle w:val="FootnoteReference"/>
          <w:b w:val="0"/>
          <w:sz w:val="20"/>
          <w:vertAlign w:val="baseline"/>
          <w:lang w:val="es-ES_tradnl"/>
        </w:rPr>
        <w:footnoteReference w:customMarkFollows="1" w:id="2"/>
        <w:t>**</w:t>
      </w:r>
    </w:p>
    <w:p w:rsidR="00F00FA8" w:rsidRPr="000F2ED3" w:rsidRDefault="000D2405" w:rsidP="00D232C4">
      <w:pPr>
        <w:pStyle w:val="SingleTxtG"/>
        <w:spacing w:line="220" w:lineRule="atLeast"/>
        <w:ind w:left="4536" w:hanging="3402"/>
        <w:jc w:val="left"/>
        <w:rPr>
          <w:i/>
          <w:lang w:val="es-ES_tradnl"/>
        </w:rPr>
      </w:pPr>
      <w:r w:rsidRPr="000F2ED3">
        <w:rPr>
          <w:i/>
          <w:lang w:val="es-ES_tradnl"/>
        </w:rPr>
        <w:t>Presentada por</w:t>
      </w:r>
      <w:r w:rsidRPr="009C52A4">
        <w:rPr>
          <w:lang w:val="es-ES_tradnl"/>
        </w:rPr>
        <w:t>:</w:t>
      </w:r>
      <w:r w:rsidRPr="000F2ED3">
        <w:rPr>
          <w:lang w:val="es-ES_tradnl"/>
        </w:rPr>
        <w:tab/>
      </w:r>
      <w:r w:rsidR="0026469F" w:rsidRPr="000F2ED3">
        <w:rPr>
          <w:lang w:val="es-ES_tradnl"/>
        </w:rPr>
        <w:t>I.D.M</w:t>
      </w:r>
      <w:r w:rsidR="0062712C" w:rsidRPr="000F2ED3">
        <w:rPr>
          <w:lang w:val="es-ES_tradnl"/>
        </w:rPr>
        <w:t xml:space="preserve"> (representad</w:t>
      </w:r>
      <w:r w:rsidR="00E179D2" w:rsidRPr="000F2ED3">
        <w:rPr>
          <w:lang w:val="es-ES_tradnl"/>
        </w:rPr>
        <w:t>o</w:t>
      </w:r>
      <w:r w:rsidR="0062712C" w:rsidRPr="000F2ED3">
        <w:rPr>
          <w:lang w:val="es-ES_tradnl"/>
        </w:rPr>
        <w:t xml:space="preserve"> por abogado, </w:t>
      </w:r>
      <w:r w:rsidR="00AF4756" w:rsidRPr="000F2ED3">
        <w:rPr>
          <w:lang w:val="es-ES_tradnl"/>
        </w:rPr>
        <w:t>Ricardo Cifuentes Salamanca</w:t>
      </w:r>
      <w:r w:rsidR="0062712C" w:rsidRPr="000F2ED3">
        <w:rPr>
          <w:lang w:val="es-ES_tradnl"/>
        </w:rPr>
        <w:t>)</w:t>
      </w:r>
      <w:r w:rsidR="00B21F91" w:rsidRPr="000F2ED3">
        <w:rPr>
          <w:lang w:val="es-ES_tradnl"/>
        </w:rPr>
        <w:t xml:space="preserve"> </w:t>
      </w:r>
    </w:p>
    <w:p w:rsidR="00F00FA8" w:rsidRPr="000F2ED3" w:rsidRDefault="00F00FA8" w:rsidP="00D232C4">
      <w:pPr>
        <w:pStyle w:val="SingleTxtG"/>
        <w:spacing w:line="220" w:lineRule="atLeast"/>
        <w:ind w:left="4536" w:hanging="3402"/>
        <w:jc w:val="left"/>
        <w:rPr>
          <w:i/>
          <w:lang w:val="es-ES_tradnl"/>
        </w:rPr>
      </w:pPr>
      <w:r w:rsidRPr="00983505">
        <w:rPr>
          <w:i/>
          <w:lang w:val="es-ES_tradnl"/>
        </w:rPr>
        <w:t>Presunta víctima</w:t>
      </w:r>
      <w:r w:rsidRPr="009C52A4">
        <w:rPr>
          <w:lang w:val="es-ES_tradnl"/>
        </w:rPr>
        <w:t>:</w:t>
      </w:r>
      <w:r w:rsidRPr="00983505">
        <w:rPr>
          <w:lang w:val="es-ES_tradnl"/>
        </w:rPr>
        <w:tab/>
      </w:r>
      <w:r w:rsidR="00AF4756" w:rsidRPr="000F2ED3">
        <w:rPr>
          <w:lang w:val="es-ES_tradnl"/>
        </w:rPr>
        <w:t>El autor</w:t>
      </w:r>
    </w:p>
    <w:p w:rsidR="000D2405" w:rsidRPr="000F2ED3" w:rsidRDefault="000D2405" w:rsidP="00D232C4">
      <w:pPr>
        <w:pStyle w:val="SingleTxtG"/>
        <w:spacing w:line="220" w:lineRule="atLeast"/>
        <w:ind w:left="4536" w:hanging="3402"/>
        <w:jc w:val="left"/>
        <w:rPr>
          <w:i/>
          <w:lang w:val="es-ES_tradnl"/>
        </w:rPr>
      </w:pPr>
      <w:r w:rsidRPr="000F2ED3">
        <w:rPr>
          <w:i/>
          <w:lang w:val="es-ES_tradnl"/>
        </w:rPr>
        <w:t>Estado parte</w:t>
      </w:r>
      <w:r w:rsidRPr="009C52A4">
        <w:rPr>
          <w:lang w:val="es-ES_tradnl"/>
        </w:rPr>
        <w:t>:</w:t>
      </w:r>
      <w:r w:rsidRPr="000F2ED3">
        <w:rPr>
          <w:lang w:val="es-ES_tradnl"/>
        </w:rPr>
        <w:tab/>
      </w:r>
      <w:r w:rsidR="00AF4756" w:rsidRPr="000F2ED3">
        <w:rPr>
          <w:lang w:val="es-ES_tradnl"/>
        </w:rPr>
        <w:t>Colombia</w:t>
      </w:r>
    </w:p>
    <w:p w:rsidR="000D2405" w:rsidRPr="000F2ED3" w:rsidRDefault="000D2405" w:rsidP="00D232C4">
      <w:pPr>
        <w:pStyle w:val="SingleTxtG"/>
        <w:spacing w:line="220" w:lineRule="atLeast"/>
        <w:ind w:left="4536" w:hanging="3402"/>
        <w:jc w:val="left"/>
        <w:rPr>
          <w:i/>
          <w:lang w:val="es-ES_tradnl"/>
        </w:rPr>
      </w:pPr>
      <w:r w:rsidRPr="000F2ED3">
        <w:rPr>
          <w:i/>
          <w:lang w:val="es-ES_tradnl"/>
        </w:rPr>
        <w:t>Fecha de la comunicación</w:t>
      </w:r>
      <w:r w:rsidRPr="009C52A4">
        <w:rPr>
          <w:lang w:val="es-ES_tradnl"/>
        </w:rPr>
        <w:t>:</w:t>
      </w:r>
      <w:r w:rsidRPr="000F2ED3">
        <w:rPr>
          <w:lang w:val="es-ES_tradnl"/>
        </w:rPr>
        <w:t xml:space="preserve"> </w:t>
      </w:r>
      <w:r w:rsidRPr="000F2ED3">
        <w:rPr>
          <w:lang w:val="es-ES_tradnl"/>
        </w:rPr>
        <w:tab/>
      </w:r>
      <w:r w:rsidR="00AF4756" w:rsidRPr="000F2ED3">
        <w:rPr>
          <w:lang w:val="es-ES_tradnl"/>
        </w:rPr>
        <w:t>14 de mayo de 2013</w:t>
      </w:r>
      <w:r w:rsidRPr="000F2ED3">
        <w:rPr>
          <w:lang w:val="es-ES_tradnl"/>
        </w:rPr>
        <w:t xml:space="preserve"> </w:t>
      </w:r>
    </w:p>
    <w:p w:rsidR="000D2405" w:rsidRPr="000F2ED3" w:rsidRDefault="000D2405" w:rsidP="00D232C4">
      <w:pPr>
        <w:pStyle w:val="SingleTxtG"/>
        <w:spacing w:line="220" w:lineRule="atLeast"/>
        <w:ind w:left="4536" w:hanging="3402"/>
        <w:rPr>
          <w:i/>
          <w:lang w:val="es-ES_tradnl"/>
        </w:rPr>
      </w:pPr>
      <w:r w:rsidRPr="000F2ED3">
        <w:rPr>
          <w:i/>
          <w:lang w:val="es-ES_tradnl"/>
        </w:rPr>
        <w:t>Referencias</w:t>
      </w:r>
      <w:r w:rsidRPr="009C52A4">
        <w:rPr>
          <w:lang w:val="es-ES_tradnl"/>
        </w:rPr>
        <w:t>:</w:t>
      </w:r>
      <w:r w:rsidRPr="000F2ED3">
        <w:rPr>
          <w:lang w:val="es-ES_tradnl"/>
        </w:rPr>
        <w:tab/>
        <w:t>Decisión de</w:t>
      </w:r>
      <w:r w:rsidR="009F7F68" w:rsidRPr="000F2ED3">
        <w:rPr>
          <w:lang w:val="es-ES_tradnl"/>
        </w:rPr>
        <w:t xml:space="preserve"> </w:t>
      </w:r>
      <w:r w:rsidRPr="000F2ED3">
        <w:rPr>
          <w:lang w:val="es-ES_tradnl"/>
        </w:rPr>
        <w:t>l</w:t>
      </w:r>
      <w:r w:rsidR="009F7F68" w:rsidRPr="000F2ED3">
        <w:rPr>
          <w:lang w:val="es-ES_tradnl"/>
        </w:rPr>
        <w:t>os</w:t>
      </w:r>
      <w:r w:rsidRPr="000F2ED3">
        <w:rPr>
          <w:lang w:val="es-ES_tradnl"/>
        </w:rPr>
        <w:t xml:space="preserve"> Relator</w:t>
      </w:r>
      <w:r w:rsidR="009F7F68" w:rsidRPr="000F2ED3">
        <w:rPr>
          <w:lang w:val="es-ES_tradnl"/>
        </w:rPr>
        <w:t>es</w:t>
      </w:r>
      <w:r w:rsidRPr="000F2ED3">
        <w:rPr>
          <w:lang w:val="es-ES_tradnl"/>
        </w:rPr>
        <w:t xml:space="preserve"> Especial</w:t>
      </w:r>
      <w:r w:rsidR="009F7F68" w:rsidRPr="000F2ED3">
        <w:rPr>
          <w:lang w:val="es-ES_tradnl"/>
        </w:rPr>
        <w:t>es</w:t>
      </w:r>
      <w:r w:rsidRPr="000F2ED3">
        <w:rPr>
          <w:lang w:val="es-ES_tradnl"/>
        </w:rPr>
        <w:t xml:space="preserve"> c</w:t>
      </w:r>
      <w:r w:rsidR="00845DE3" w:rsidRPr="000F2ED3">
        <w:rPr>
          <w:lang w:val="es-ES_tradnl"/>
        </w:rPr>
        <w:t xml:space="preserve">on arreglo al artículo </w:t>
      </w:r>
      <w:r w:rsidRPr="000F2ED3">
        <w:rPr>
          <w:lang w:val="es-ES_tradnl"/>
        </w:rPr>
        <w:t xml:space="preserve">97 del reglamento, transmitida al Estado parte el </w:t>
      </w:r>
      <w:r w:rsidR="00AF4756" w:rsidRPr="000F2ED3">
        <w:rPr>
          <w:lang w:val="es-ES_tradnl"/>
        </w:rPr>
        <w:t>4 de junio de 2014</w:t>
      </w:r>
      <w:r w:rsidRPr="000F2ED3">
        <w:rPr>
          <w:lang w:val="es-ES_tradnl"/>
        </w:rPr>
        <w:t xml:space="preserve"> (no se publicó como documento)</w:t>
      </w:r>
    </w:p>
    <w:p w:rsidR="00E9094E" w:rsidRPr="000F2ED3" w:rsidRDefault="000D2405" w:rsidP="00D232C4">
      <w:pPr>
        <w:pStyle w:val="SingleTxtG"/>
        <w:spacing w:after="0" w:line="220" w:lineRule="atLeast"/>
        <w:ind w:left="4536" w:hanging="3402"/>
        <w:jc w:val="left"/>
        <w:rPr>
          <w:i/>
          <w:lang w:val="es-ES_tradnl"/>
        </w:rPr>
      </w:pPr>
      <w:r w:rsidRPr="000F2ED3">
        <w:rPr>
          <w:i/>
          <w:lang w:val="es-ES_tradnl"/>
        </w:rPr>
        <w:t xml:space="preserve">Fecha de aprobación </w:t>
      </w:r>
    </w:p>
    <w:p w:rsidR="000D2405" w:rsidRPr="000F2ED3" w:rsidRDefault="000D2405" w:rsidP="00D232C4">
      <w:pPr>
        <w:pStyle w:val="SingleTxtG"/>
        <w:spacing w:line="220" w:lineRule="atLeast"/>
        <w:ind w:left="4536" w:hanging="3402"/>
        <w:jc w:val="left"/>
        <w:rPr>
          <w:i/>
          <w:lang w:val="es-ES_tradnl"/>
        </w:rPr>
      </w:pPr>
      <w:r w:rsidRPr="000F2ED3">
        <w:rPr>
          <w:i/>
          <w:lang w:val="es-ES_tradnl"/>
        </w:rPr>
        <w:t>del dictamen</w:t>
      </w:r>
      <w:r w:rsidRPr="009C52A4">
        <w:rPr>
          <w:lang w:val="es-ES_tradnl"/>
        </w:rPr>
        <w:t>:</w:t>
      </w:r>
      <w:r w:rsidRPr="000F2ED3">
        <w:rPr>
          <w:lang w:val="es-ES_tradnl"/>
        </w:rPr>
        <w:t xml:space="preserve"> </w:t>
      </w:r>
      <w:r w:rsidRPr="000F2ED3">
        <w:rPr>
          <w:lang w:val="es-ES_tradnl"/>
        </w:rPr>
        <w:tab/>
      </w:r>
      <w:r w:rsidR="001D6583">
        <w:rPr>
          <w:lang w:val="es-ES_tradnl"/>
        </w:rPr>
        <w:t>25</w:t>
      </w:r>
      <w:r w:rsidR="001D6583" w:rsidRPr="000F2ED3">
        <w:rPr>
          <w:lang w:val="es-ES_tradnl"/>
        </w:rPr>
        <w:t xml:space="preserve"> </w:t>
      </w:r>
      <w:r w:rsidRPr="000F2ED3">
        <w:rPr>
          <w:lang w:val="es-ES_tradnl"/>
        </w:rPr>
        <w:t>de</w:t>
      </w:r>
      <w:r w:rsidR="004766B2" w:rsidRPr="000F2ED3">
        <w:rPr>
          <w:lang w:val="es-ES_tradnl"/>
        </w:rPr>
        <w:t xml:space="preserve"> </w:t>
      </w:r>
      <w:r w:rsidR="00AF4756" w:rsidRPr="000F2ED3">
        <w:rPr>
          <w:lang w:val="es-ES_tradnl"/>
        </w:rPr>
        <w:t xml:space="preserve">julio </w:t>
      </w:r>
      <w:r w:rsidR="00403738" w:rsidRPr="000F2ED3">
        <w:rPr>
          <w:lang w:val="es-ES_tradnl"/>
        </w:rPr>
        <w:t>de 2018</w:t>
      </w:r>
    </w:p>
    <w:p w:rsidR="000D2405" w:rsidRPr="000F2ED3" w:rsidRDefault="000D2405" w:rsidP="00D232C4">
      <w:pPr>
        <w:pStyle w:val="SingleTxtG"/>
        <w:spacing w:line="220" w:lineRule="atLeast"/>
        <w:ind w:left="4536" w:hanging="3402"/>
        <w:rPr>
          <w:i/>
          <w:lang w:val="es-ES_tradnl"/>
        </w:rPr>
      </w:pPr>
      <w:r w:rsidRPr="000F2ED3">
        <w:rPr>
          <w:i/>
          <w:lang w:val="es-ES_tradnl"/>
        </w:rPr>
        <w:lastRenderedPageBreak/>
        <w:t>Asunto</w:t>
      </w:r>
      <w:r w:rsidRPr="009C52A4">
        <w:rPr>
          <w:lang w:val="es-ES_tradnl"/>
        </w:rPr>
        <w:t>:</w:t>
      </w:r>
      <w:r w:rsidRPr="000F2ED3">
        <w:rPr>
          <w:lang w:val="es-ES_tradnl"/>
        </w:rPr>
        <w:tab/>
      </w:r>
      <w:r w:rsidR="009352AF" w:rsidRPr="000F2ED3">
        <w:rPr>
          <w:lang w:val="es-ES_tradnl"/>
        </w:rPr>
        <w:t xml:space="preserve">Condena de ex congresista por el órgano jurisdiccional más alto debido a aforamiento parlamentario </w:t>
      </w:r>
    </w:p>
    <w:p w:rsidR="00403738" w:rsidRPr="000F2ED3" w:rsidRDefault="000D2405" w:rsidP="00D232C4">
      <w:pPr>
        <w:pStyle w:val="SingleTxtG"/>
        <w:spacing w:line="220" w:lineRule="atLeast"/>
        <w:ind w:left="4536" w:hanging="3402"/>
        <w:rPr>
          <w:lang w:val="es-ES_tradnl"/>
        </w:rPr>
      </w:pPr>
      <w:r w:rsidRPr="000F2ED3">
        <w:rPr>
          <w:i/>
          <w:lang w:val="es-ES_tradnl"/>
        </w:rPr>
        <w:t>Cuestiones de fondo</w:t>
      </w:r>
      <w:r w:rsidRPr="009C52A4">
        <w:rPr>
          <w:lang w:val="es-ES_tradnl"/>
        </w:rPr>
        <w:t>:</w:t>
      </w:r>
      <w:r w:rsidRPr="000F2ED3">
        <w:rPr>
          <w:lang w:val="es-ES_tradnl"/>
        </w:rPr>
        <w:tab/>
      </w:r>
      <w:r w:rsidR="002815FF" w:rsidRPr="000F2ED3">
        <w:rPr>
          <w:lang w:eastAsia="en-US"/>
        </w:rPr>
        <w:t>Derecho al debido proceso; derecho a ser oído por un tribunal competente, independiente e imparcial; derecho a la presunción de inocencia</w:t>
      </w:r>
      <w:r w:rsidR="003E3BC2" w:rsidRPr="000F2ED3">
        <w:rPr>
          <w:lang w:eastAsia="en-US"/>
        </w:rPr>
        <w:t>; derecho a que el fallo condenatorio y la pena sean revisados por un tribunal superior; igualdad ante la ley</w:t>
      </w:r>
      <w:r w:rsidR="00F269E4" w:rsidRPr="000F2ED3">
        <w:rPr>
          <w:lang w:val="es-ES_tradnl"/>
        </w:rPr>
        <w:t xml:space="preserve"> </w:t>
      </w:r>
    </w:p>
    <w:p w:rsidR="00845DE3" w:rsidRPr="00AF4756" w:rsidRDefault="000D2405" w:rsidP="00D232C4">
      <w:pPr>
        <w:pStyle w:val="SingleTxtG"/>
        <w:spacing w:line="220" w:lineRule="atLeast"/>
        <w:ind w:left="4536" w:hanging="3402"/>
        <w:rPr>
          <w:highlight w:val="yellow"/>
          <w:lang w:val="es-ES_tradnl"/>
        </w:rPr>
      </w:pPr>
      <w:r w:rsidRPr="004A556C">
        <w:rPr>
          <w:i/>
          <w:lang w:val="es-ES_tradnl"/>
        </w:rPr>
        <w:t>Cuestiones de procedimiento</w:t>
      </w:r>
      <w:r w:rsidRPr="009C52A4">
        <w:rPr>
          <w:lang w:val="es-ES_tradnl"/>
        </w:rPr>
        <w:t>:</w:t>
      </w:r>
      <w:r w:rsidRPr="004A556C">
        <w:rPr>
          <w:lang w:val="es-ES_tradnl"/>
        </w:rPr>
        <w:tab/>
      </w:r>
      <w:r w:rsidR="0026469F" w:rsidRPr="0026469F">
        <w:rPr>
          <w:lang w:val="es-ES_tradnl"/>
        </w:rPr>
        <w:t>A</w:t>
      </w:r>
      <w:r w:rsidR="00660FAF" w:rsidRPr="0026469F">
        <w:rPr>
          <w:lang w:val="es-ES_tradnl"/>
        </w:rPr>
        <w:t>buso d</w:t>
      </w:r>
      <w:r w:rsidR="00660FAF" w:rsidRPr="009352AF">
        <w:rPr>
          <w:lang w:val="es-ES_tradnl"/>
        </w:rPr>
        <w:t>el derecho a presentar comunicaciones, fundamentación suficiente de la queja</w:t>
      </w:r>
      <w:r w:rsidR="00F406ED" w:rsidRPr="00F406ED">
        <w:rPr>
          <w:lang w:eastAsia="en-US"/>
        </w:rPr>
        <w:t xml:space="preserve"> </w:t>
      </w:r>
    </w:p>
    <w:p w:rsidR="000D2405" w:rsidRPr="00983505" w:rsidRDefault="000D2405" w:rsidP="00D232C4">
      <w:pPr>
        <w:pStyle w:val="SingleTxtG"/>
        <w:spacing w:line="220" w:lineRule="atLeast"/>
        <w:ind w:left="4536" w:hanging="3402"/>
        <w:jc w:val="left"/>
        <w:rPr>
          <w:i/>
          <w:lang w:val="es-ES_tradnl"/>
        </w:rPr>
      </w:pPr>
      <w:r w:rsidRPr="003E3BC2">
        <w:rPr>
          <w:i/>
          <w:lang w:val="es-ES_tradnl"/>
        </w:rPr>
        <w:t>Artículos del Pacto</w:t>
      </w:r>
      <w:r w:rsidRPr="009C52A4">
        <w:rPr>
          <w:lang w:val="es-ES_tradnl"/>
        </w:rPr>
        <w:t>:</w:t>
      </w:r>
      <w:r w:rsidRPr="003E3BC2">
        <w:rPr>
          <w:lang w:val="es-ES_tradnl"/>
        </w:rPr>
        <w:tab/>
      </w:r>
      <w:r w:rsidR="003E3BC2" w:rsidRPr="003E3BC2">
        <w:rPr>
          <w:lang w:val="es-ES_tradnl"/>
        </w:rPr>
        <w:t>2, 3, 9(1)(4)(5), 14(1)(2)(3)(5)</w:t>
      </w:r>
      <w:r w:rsidR="00686484" w:rsidRPr="003E3BC2">
        <w:rPr>
          <w:lang w:val="es-ES_tradnl"/>
        </w:rPr>
        <w:t xml:space="preserve"> </w:t>
      </w:r>
      <w:r w:rsidR="00403738" w:rsidRPr="003E3BC2">
        <w:rPr>
          <w:lang w:val="es-ES_tradnl"/>
        </w:rPr>
        <w:t>y 26</w:t>
      </w:r>
    </w:p>
    <w:p w:rsidR="000444BE" w:rsidRPr="003E3BC2" w:rsidRDefault="000D2405" w:rsidP="00D232C4">
      <w:pPr>
        <w:pStyle w:val="SingleTxtG"/>
        <w:spacing w:after="0" w:line="220" w:lineRule="atLeast"/>
        <w:ind w:left="4536" w:hanging="3402"/>
        <w:jc w:val="left"/>
        <w:rPr>
          <w:lang w:val="es-ES_tradnl"/>
        </w:rPr>
      </w:pPr>
      <w:r w:rsidRPr="003E3BC2">
        <w:rPr>
          <w:i/>
          <w:lang w:val="es-ES_tradnl"/>
        </w:rPr>
        <w:t xml:space="preserve">Artículos del Protocolo </w:t>
      </w:r>
    </w:p>
    <w:p w:rsidR="000D2405" w:rsidRPr="00983505" w:rsidRDefault="000D2405" w:rsidP="00D232C4">
      <w:pPr>
        <w:pStyle w:val="SingleTxtG"/>
        <w:spacing w:after="240" w:line="220" w:lineRule="atLeast"/>
        <w:ind w:left="4536" w:hanging="3402"/>
        <w:jc w:val="left"/>
        <w:rPr>
          <w:i/>
          <w:lang w:val="es-ES_tradnl"/>
        </w:rPr>
      </w:pPr>
      <w:r w:rsidRPr="003E3BC2">
        <w:rPr>
          <w:i/>
          <w:lang w:val="es-ES_tradnl"/>
        </w:rPr>
        <w:t>Facultativo</w:t>
      </w:r>
      <w:r w:rsidRPr="009C52A4">
        <w:rPr>
          <w:lang w:val="es-ES_tradnl"/>
        </w:rPr>
        <w:t>:</w:t>
      </w:r>
      <w:r w:rsidRPr="003E3BC2">
        <w:rPr>
          <w:lang w:val="es-ES_tradnl"/>
        </w:rPr>
        <w:tab/>
      </w:r>
      <w:r w:rsidR="009047F2" w:rsidRPr="003E3BC2">
        <w:rPr>
          <w:lang w:val="es-ES_tradnl"/>
        </w:rPr>
        <w:t xml:space="preserve">2, </w:t>
      </w:r>
      <w:r w:rsidR="00B5199C" w:rsidRPr="003E3BC2">
        <w:rPr>
          <w:lang w:val="es-ES_tradnl"/>
        </w:rPr>
        <w:t xml:space="preserve">3 </w:t>
      </w:r>
    </w:p>
    <w:p w:rsidR="000D2405" w:rsidRPr="000F2ED3" w:rsidRDefault="00605B1D" w:rsidP="00605B1D">
      <w:pPr>
        <w:pStyle w:val="SingleTxtG"/>
        <w:rPr>
          <w:lang w:val="es-ES_tradnl"/>
        </w:rPr>
      </w:pPr>
      <w:r w:rsidRPr="00983505">
        <w:rPr>
          <w:lang w:val="es-ES_tradnl"/>
        </w:rPr>
        <w:t>1</w:t>
      </w:r>
      <w:r w:rsidRPr="000F2ED3">
        <w:rPr>
          <w:lang w:val="es-ES_tradnl"/>
        </w:rPr>
        <w:t>.</w:t>
      </w:r>
      <w:r w:rsidR="005A4677" w:rsidRPr="000F2ED3">
        <w:rPr>
          <w:lang w:val="es-ES_tradnl"/>
        </w:rPr>
        <w:t>1</w:t>
      </w:r>
      <w:r w:rsidRPr="000F2ED3">
        <w:rPr>
          <w:lang w:val="es-ES_tradnl"/>
        </w:rPr>
        <w:tab/>
      </w:r>
      <w:r w:rsidR="004E2058" w:rsidRPr="000F2ED3">
        <w:rPr>
          <w:lang w:val="es-ES_tradnl"/>
        </w:rPr>
        <w:t>El autor de la comunicación</w:t>
      </w:r>
      <w:r w:rsidR="00A11394" w:rsidRPr="000F2ED3">
        <w:rPr>
          <w:lang w:val="es-ES_tradnl"/>
        </w:rPr>
        <w:t xml:space="preserve"> </w:t>
      </w:r>
      <w:r w:rsidR="00B5199C" w:rsidRPr="000F2ED3">
        <w:rPr>
          <w:lang w:val="es-ES_tradnl"/>
        </w:rPr>
        <w:t xml:space="preserve">es </w:t>
      </w:r>
      <w:r w:rsidR="004E2058" w:rsidRPr="000F2ED3">
        <w:rPr>
          <w:lang w:val="es-ES_tradnl"/>
        </w:rPr>
        <w:t>I</w:t>
      </w:r>
      <w:r w:rsidR="0026469F" w:rsidRPr="000F2ED3">
        <w:rPr>
          <w:lang w:val="es-ES_tradnl"/>
        </w:rPr>
        <w:t>.D.M</w:t>
      </w:r>
      <w:r w:rsidR="00A11394" w:rsidRPr="000F2ED3">
        <w:rPr>
          <w:lang w:val="es-ES_tradnl"/>
        </w:rPr>
        <w:t>, ciu</w:t>
      </w:r>
      <w:r w:rsidR="004E0F9B" w:rsidRPr="000F2ED3">
        <w:rPr>
          <w:lang w:val="es-ES_tradnl"/>
        </w:rPr>
        <w:t>dadan</w:t>
      </w:r>
      <w:r w:rsidR="004E2058" w:rsidRPr="000F2ED3">
        <w:rPr>
          <w:lang w:val="es-ES_tradnl"/>
        </w:rPr>
        <w:t>o</w:t>
      </w:r>
      <w:r w:rsidR="00931CD3" w:rsidRPr="000F2ED3">
        <w:rPr>
          <w:lang w:val="es-ES_tradnl"/>
        </w:rPr>
        <w:t xml:space="preserve"> </w:t>
      </w:r>
      <w:r w:rsidR="004E2058" w:rsidRPr="000F2ED3">
        <w:rPr>
          <w:lang w:val="es-ES_tradnl"/>
        </w:rPr>
        <w:t>colombiano, nacido el 14 de octubre de 1962.</w:t>
      </w:r>
      <w:r w:rsidR="00A11394" w:rsidRPr="000F2ED3">
        <w:rPr>
          <w:lang w:val="es-ES_tradnl"/>
        </w:rPr>
        <w:t xml:space="preserve"> Alega ser víctima de una violación </w:t>
      </w:r>
      <w:r w:rsidR="00A71921" w:rsidRPr="000F2ED3">
        <w:rPr>
          <w:lang w:val="es-ES_tradnl"/>
        </w:rPr>
        <w:t>p</w:t>
      </w:r>
      <w:r w:rsidR="00A11394" w:rsidRPr="000F2ED3">
        <w:rPr>
          <w:lang w:val="es-ES_tradnl"/>
        </w:rPr>
        <w:t xml:space="preserve">or el Estado parte </w:t>
      </w:r>
      <w:r w:rsidR="004E0F9B" w:rsidRPr="000F2ED3">
        <w:rPr>
          <w:lang w:val="es-ES_tradnl"/>
        </w:rPr>
        <w:t xml:space="preserve">de </w:t>
      </w:r>
      <w:r w:rsidR="00565F7E" w:rsidRPr="000F2ED3">
        <w:rPr>
          <w:lang w:val="es-ES_tradnl"/>
        </w:rPr>
        <w:t>sus derechos contenidos en los artículos 2</w:t>
      </w:r>
      <w:r w:rsidR="004E2058" w:rsidRPr="000F2ED3">
        <w:rPr>
          <w:lang w:val="es-ES_tradnl"/>
        </w:rPr>
        <w:t>,</w:t>
      </w:r>
      <w:r w:rsidR="006C6AB8" w:rsidRPr="000F2ED3">
        <w:rPr>
          <w:lang w:val="es-ES_tradnl"/>
        </w:rPr>
        <w:t xml:space="preserve"> </w:t>
      </w:r>
      <w:r w:rsidR="004E2058" w:rsidRPr="000F2ED3">
        <w:rPr>
          <w:lang w:val="es-ES_tradnl"/>
        </w:rPr>
        <w:t>3, 9</w:t>
      </w:r>
      <w:r w:rsidR="00262A9E" w:rsidRPr="000F2ED3">
        <w:rPr>
          <w:lang w:val="es-ES_tradnl"/>
        </w:rPr>
        <w:t>(1)(4)(5)</w:t>
      </w:r>
      <w:r w:rsidR="004E2058" w:rsidRPr="000F2ED3">
        <w:rPr>
          <w:lang w:val="es-ES_tradnl"/>
        </w:rPr>
        <w:t>, 14(1)(2)(3)(5) y 26</w:t>
      </w:r>
      <w:r w:rsidR="00565F7E" w:rsidRPr="000F2ED3">
        <w:rPr>
          <w:lang w:val="es-ES_tradnl"/>
        </w:rPr>
        <w:t xml:space="preserve"> del Pacto</w:t>
      </w:r>
      <w:r w:rsidR="00A11394" w:rsidRPr="000F2ED3">
        <w:rPr>
          <w:lang w:val="es-ES_tradnl"/>
        </w:rPr>
        <w:t xml:space="preserve">. </w:t>
      </w:r>
      <w:r w:rsidR="004E2058" w:rsidRPr="000F2ED3">
        <w:rPr>
          <w:lang w:val="es-ES_tradnl"/>
        </w:rPr>
        <w:t>El autor está representado por abogado</w:t>
      </w:r>
      <w:r w:rsidR="00A11394" w:rsidRPr="000F2ED3">
        <w:rPr>
          <w:lang w:val="es-ES_tradnl"/>
        </w:rPr>
        <w:t>. El Protocolo Facultativo entró en vigor para el Estado parte el</w:t>
      </w:r>
      <w:r w:rsidR="00931CD3" w:rsidRPr="000F2ED3">
        <w:rPr>
          <w:lang w:val="es-ES_tradnl"/>
        </w:rPr>
        <w:t xml:space="preserve"> </w:t>
      </w:r>
      <w:r w:rsidR="004E2058" w:rsidRPr="000F2ED3">
        <w:rPr>
          <w:lang w:val="es-ES_tradnl"/>
        </w:rPr>
        <w:t>23 de marzo de 1976</w:t>
      </w:r>
      <w:r w:rsidR="00A11394" w:rsidRPr="000F2ED3">
        <w:rPr>
          <w:lang w:val="es-ES_tradnl"/>
        </w:rPr>
        <w:t>.</w:t>
      </w:r>
    </w:p>
    <w:p w:rsidR="00E313CC" w:rsidRPr="000F2ED3" w:rsidRDefault="00841D02" w:rsidP="00841D02">
      <w:pPr>
        <w:pStyle w:val="SingleTxtG"/>
      </w:pPr>
      <w:r w:rsidRPr="000F2ED3">
        <w:t>1.2</w:t>
      </w:r>
      <w:r w:rsidRPr="000F2ED3">
        <w:tab/>
        <w:t xml:space="preserve">El 8 de octubre de 2014, el Estado parte presentó sus observaciones sobre la admisibilidad y solicitó al Comité </w:t>
      </w:r>
      <w:r w:rsidR="00E313CC" w:rsidRPr="000F2ED3">
        <w:t>la cuestión de la admisibilidad sea examinada de forma separada del fondo de la comunicación.</w:t>
      </w:r>
    </w:p>
    <w:p w:rsidR="00841D02" w:rsidRPr="000F2ED3" w:rsidRDefault="00E36D3B" w:rsidP="00E313CC">
      <w:pPr>
        <w:pStyle w:val="SingleTxtG"/>
        <w:rPr>
          <w:lang w:val="es-ES_tradnl"/>
        </w:rPr>
      </w:pPr>
      <w:r>
        <w:t>1.3</w:t>
      </w:r>
      <w:r w:rsidR="00E313CC" w:rsidRPr="000F2ED3">
        <w:tab/>
        <w:t xml:space="preserve">El 3 de diciembre de 2014, </w:t>
      </w:r>
      <w:r w:rsidR="00841D02" w:rsidRPr="000F2ED3">
        <w:t xml:space="preserve">el Comité, por conducto de su Relator Especial sobre nuevas comunicaciones y medidas provisionales, </w:t>
      </w:r>
      <w:r w:rsidR="00E313CC" w:rsidRPr="000F2ED3">
        <w:rPr>
          <w:lang w:val="es-ES_tradnl"/>
        </w:rPr>
        <w:t>decidió rechazar la solicitud del Estado parte de examinar la admisibilidad de la comunicación de forma separada del fondo.</w:t>
      </w:r>
    </w:p>
    <w:p w:rsidR="000D2405" w:rsidRPr="000F2ED3" w:rsidRDefault="000D2405" w:rsidP="008C7A97">
      <w:pPr>
        <w:pStyle w:val="H23G"/>
        <w:rPr>
          <w:lang w:val="es-ES_tradnl"/>
        </w:rPr>
      </w:pPr>
      <w:r w:rsidRPr="000F2ED3">
        <w:rPr>
          <w:lang w:val="es-ES_tradnl"/>
        </w:rPr>
        <w:tab/>
      </w:r>
      <w:r w:rsidR="008C7A97" w:rsidRPr="000F2ED3">
        <w:rPr>
          <w:lang w:val="es-ES_tradnl"/>
        </w:rPr>
        <w:tab/>
      </w:r>
      <w:r w:rsidR="00325F19" w:rsidRPr="000F2ED3">
        <w:rPr>
          <w:lang w:val="es-ES_tradnl"/>
        </w:rPr>
        <w:t xml:space="preserve">Los hechos </w:t>
      </w:r>
      <w:r w:rsidR="004E2058" w:rsidRPr="000F2ED3">
        <w:rPr>
          <w:lang w:val="es-ES_tradnl"/>
        </w:rPr>
        <w:t>expuestos por</w:t>
      </w:r>
      <w:r w:rsidR="00325F19" w:rsidRPr="000F2ED3">
        <w:rPr>
          <w:lang w:val="es-ES_tradnl"/>
        </w:rPr>
        <w:t xml:space="preserve"> </w:t>
      </w:r>
      <w:r w:rsidR="004E2058" w:rsidRPr="000F2ED3">
        <w:rPr>
          <w:lang w:val="es-ES_tradnl"/>
        </w:rPr>
        <w:t>el autor</w:t>
      </w:r>
    </w:p>
    <w:p w:rsidR="00262A9E" w:rsidRPr="000F2ED3" w:rsidRDefault="00E36D3B" w:rsidP="00C76DD7">
      <w:pPr>
        <w:pStyle w:val="SingleTxtG"/>
        <w:rPr>
          <w:lang w:val="es-ES_tradnl"/>
        </w:rPr>
      </w:pPr>
      <w:r>
        <w:rPr>
          <w:lang w:val="es-ES_tradnl"/>
        </w:rPr>
        <w:t>2.1</w:t>
      </w:r>
      <w:r w:rsidR="00F002C4" w:rsidRPr="000F2ED3">
        <w:rPr>
          <w:lang w:val="es-ES_tradnl"/>
        </w:rPr>
        <w:tab/>
        <w:t xml:space="preserve"> </w:t>
      </w:r>
      <w:r w:rsidR="00262A9E" w:rsidRPr="000F2ED3">
        <w:rPr>
          <w:lang w:val="es-ES_tradnl"/>
        </w:rPr>
        <w:t xml:space="preserve">El autor fue elegido representante </w:t>
      </w:r>
      <w:r w:rsidR="006A2A04" w:rsidRPr="000F2ED3">
        <w:rPr>
          <w:lang w:val="es-ES_tradnl"/>
        </w:rPr>
        <w:t xml:space="preserve">(congresista) </w:t>
      </w:r>
      <w:r w:rsidR="00262A9E" w:rsidRPr="000F2ED3">
        <w:rPr>
          <w:lang w:val="es-ES_tradnl"/>
        </w:rPr>
        <w:t>en la Cámara de Representantes del Congreso de la República, por la circunscripción electoral del departamento de Santander, para el período 2002-2006. El 19 de marzo de 2004, se le concedió una licencia</w:t>
      </w:r>
      <w:r w:rsidR="004A556C" w:rsidRPr="000F2ED3">
        <w:rPr>
          <w:lang w:val="es-ES_tradnl"/>
        </w:rPr>
        <w:t xml:space="preserve"> temporal</w:t>
      </w:r>
      <w:r w:rsidR="00262A9E" w:rsidRPr="000F2ED3">
        <w:rPr>
          <w:lang w:val="es-ES_tradnl"/>
        </w:rPr>
        <w:t xml:space="preserve"> no remunerada de 3 meses</w:t>
      </w:r>
      <w:r w:rsidR="00133837" w:rsidRPr="000F2ED3">
        <w:rPr>
          <w:lang w:val="es-ES_tradnl"/>
        </w:rPr>
        <w:t xml:space="preserve"> a partir del 1 de abril de 2004</w:t>
      </w:r>
      <w:r w:rsidR="00D37B45" w:rsidRPr="000F2ED3">
        <w:rPr>
          <w:lang w:val="es-ES_tradnl"/>
        </w:rPr>
        <w:t xml:space="preserve">. El 31 de marzo de 2004, </w:t>
      </w:r>
      <w:r w:rsidR="00262A9E" w:rsidRPr="000F2ED3">
        <w:rPr>
          <w:lang w:val="es-ES_tradnl"/>
        </w:rPr>
        <w:t>la Sra. Y.M.P.</w:t>
      </w:r>
      <w:r w:rsidR="00D37B45" w:rsidRPr="000F2ED3">
        <w:rPr>
          <w:lang w:val="es-ES_tradnl"/>
        </w:rPr>
        <w:t xml:space="preserve"> reemplazó al autor como representante, en la Cámara de Representantes.</w:t>
      </w:r>
    </w:p>
    <w:p w:rsidR="00262A9E" w:rsidRPr="000F2ED3" w:rsidRDefault="00E36D3B" w:rsidP="00C76DD7">
      <w:pPr>
        <w:pStyle w:val="SingleTxtG"/>
        <w:rPr>
          <w:lang w:val="es-ES_tradnl"/>
        </w:rPr>
      </w:pPr>
      <w:r>
        <w:rPr>
          <w:lang w:val="es-ES_tradnl"/>
        </w:rPr>
        <w:t>2.2</w:t>
      </w:r>
      <w:r w:rsidR="0027494C" w:rsidRPr="000F2ED3">
        <w:rPr>
          <w:lang w:val="es-ES_tradnl"/>
        </w:rPr>
        <w:tab/>
        <w:t>El</w:t>
      </w:r>
      <w:r w:rsidR="00D37B45" w:rsidRPr="000F2ED3">
        <w:rPr>
          <w:lang w:val="es-ES_tradnl"/>
        </w:rPr>
        <w:t xml:space="preserve"> </w:t>
      </w:r>
      <w:r w:rsidR="00262A9E" w:rsidRPr="000F2ED3">
        <w:rPr>
          <w:lang w:val="es-ES_tradnl"/>
        </w:rPr>
        <w:t>3 de junio de 2004, la Comisión Primera de la Cámara de Representantes sometió a voto el proyecto de acto legislativo por medio del cual se establecía la reelección presidencial</w:t>
      </w:r>
      <w:r w:rsidR="00160EE9" w:rsidRPr="000F2ED3">
        <w:rPr>
          <w:lang w:val="es-ES_tradnl"/>
        </w:rPr>
        <w:t xml:space="preserve"> (proyecto sobre reelección presidencial)</w:t>
      </w:r>
      <w:r w:rsidR="00262A9E" w:rsidRPr="000F2ED3">
        <w:rPr>
          <w:lang w:val="es-ES_tradnl"/>
        </w:rPr>
        <w:t>. La Sra. Y.M.P. participó y votó en dicha sesión, en</w:t>
      </w:r>
      <w:r>
        <w:rPr>
          <w:lang w:val="es-ES_tradnl"/>
        </w:rPr>
        <w:t xml:space="preserve"> su condición de representante.</w:t>
      </w:r>
    </w:p>
    <w:p w:rsidR="00262A9E" w:rsidRPr="000F2ED3" w:rsidRDefault="00E36D3B" w:rsidP="00C76DD7">
      <w:pPr>
        <w:pStyle w:val="SingleTxtG"/>
        <w:rPr>
          <w:lang w:val="es-ES_tradnl"/>
        </w:rPr>
      </w:pPr>
      <w:r>
        <w:rPr>
          <w:lang w:val="es-ES_tradnl"/>
        </w:rPr>
        <w:t>2.3</w:t>
      </w:r>
      <w:r w:rsidR="00262A9E" w:rsidRPr="000F2ED3">
        <w:rPr>
          <w:lang w:val="es-ES_tradnl"/>
        </w:rPr>
        <w:tab/>
      </w:r>
      <w:r w:rsidR="0094266C" w:rsidRPr="000F2ED3">
        <w:rPr>
          <w:lang w:val="es-ES_tradnl"/>
        </w:rPr>
        <w:t xml:space="preserve">El 1 de julio de 2004, el autor se reintegró a la Cámara y ejerció su cargo hasta el 19 de julio de 2004, término del periodo constitucional </w:t>
      </w:r>
      <w:r w:rsidR="00262A9E" w:rsidRPr="000F2ED3">
        <w:rPr>
          <w:lang w:val="es-ES_tradnl"/>
        </w:rPr>
        <w:t>Posteriormente, el autor fue elegido Senador de la República para el período 2006-2010.</w:t>
      </w:r>
    </w:p>
    <w:p w:rsidR="004A556C" w:rsidRPr="000F2ED3" w:rsidRDefault="00E36D3B" w:rsidP="004A556C">
      <w:pPr>
        <w:pStyle w:val="SingleTxtG"/>
        <w:rPr>
          <w:lang w:val="es-ES_tradnl"/>
        </w:rPr>
      </w:pPr>
      <w:r>
        <w:rPr>
          <w:lang w:val="es-ES_tradnl"/>
        </w:rPr>
        <w:t>2.4</w:t>
      </w:r>
      <w:r w:rsidR="00262A9E" w:rsidRPr="000F2ED3">
        <w:rPr>
          <w:lang w:val="es-ES_tradnl"/>
        </w:rPr>
        <w:tab/>
        <w:t>El 11 de febrero de 2008, el Consejo de Estado decretó la pérdida de investidura del autor como Senador de la Rep</w:t>
      </w:r>
      <w:r w:rsidR="00D37B45" w:rsidRPr="000F2ED3">
        <w:rPr>
          <w:lang w:val="es-ES_tradnl"/>
        </w:rPr>
        <w:t xml:space="preserve">ública, </w:t>
      </w:r>
      <w:r w:rsidR="0094266C" w:rsidRPr="000F2ED3">
        <w:rPr>
          <w:lang w:val="es-ES_tradnl"/>
        </w:rPr>
        <w:t xml:space="preserve">por haber incurrido en una </w:t>
      </w:r>
      <w:r w:rsidR="004A556C" w:rsidRPr="000F2ED3">
        <w:rPr>
          <w:lang w:val="es-ES_tradnl"/>
        </w:rPr>
        <w:t>“</w:t>
      </w:r>
      <w:r w:rsidR="0094266C" w:rsidRPr="000F2ED3">
        <w:rPr>
          <w:lang w:val="es-ES_tradnl"/>
        </w:rPr>
        <w:t>inhabilidad electoral</w:t>
      </w:r>
      <w:r w:rsidR="00B37D5B">
        <w:rPr>
          <w:lang w:val="es-ES_tradnl"/>
        </w:rPr>
        <w:t>”.</w:t>
      </w:r>
    </w:p>
    <w:p w:rsidR="00231F48" w:rsidRPr="000F2ED3" w:rsidRDefault="00E36D3B" w:rsidP="00231F48">
      <w:pPr>
        <w:pStyle w:val="SingleTxtG"/>
        <w:rPr>
          <w:lang w:val="es-ES_tradnl"/>
        </w:rPr>
      </w:pPr>
      <w:r>
        <w:rPr>
          <w:lang w:val="es-ES_tradnl"/>
        </w:rPr>
        <w:t>2.5</w:t>
      </w:r>
      <w:r w:rsidR="004A556C" w:rsidRPr="000F2ED3">
        <w:rPr>
          <w:lang w:val="es-ES_tradnl"/>
        </w:rPr>
        <w:tab/>
      </w:r>
      <w:r w:rsidR="003334BC" w:rsidRPr="000F2ED3">
        <w:rPr>
          <w:lang w:val="es-ES_tradnl"/>
        </w:rPr>
        <w:t>En un momento no especificado por la comun</w:t>
      </w:r>
      <w:r w:rsidR="004A556C" w:rsidRPr="000F2ED3">
        <w:rPr>
          <w:lang w:val="es-ES_tradnl"/>
        </w:rPr>
        <w:t>icación, un congresista denunció</w:t>
      </w:r>
      <w:r w:rsidR="003334BC" w:rsidRPr="000F2ED3">
        <w:rPr>
          <w:lang w:val="es-ES_tradnl"/>
        </w:rPr>
        <w:t xml:space="preserve"> que el 1 de junio de 2004, 18 de los 35 integrantes de la Comisión Primera de la Cámara de </w:t>
      </w:r>
      <w:r w:rsidR="003334BC" w:rsidRPr="000F2ED3">
        <w:rPr>
          <w:lang w:val="es-ES_tradnl"/>
        </w:rPr>
        <w:lastRenderedPageBreak/>
        <w:t xml:space="preserve">Representantes, entre ellos la Sra. Y.M.P., se reunieron y suscribieron un documento en el que proponía votar el archivo del proyecto de acto legislativo que establecía la reelección presidencial. No obstante, ese acuerdo fracasó porque la Sra. Y.M.P. y otro congresista cambiaron su voto y su participación en el debate por supuestas prebendas ofrecidas por el Gobierno. En este marco, </w:t>
      </w:r>
      <w:r w:rsidR="00231F48" w:rsidRPr="000F2ED3">
        <w:rPr>
          <w:lang w:val="es-ES_tradnl"/>
        </w:rPr>
        <w:t>se dio inicio a un proceso penal ante la Corte Suprema de Justicia (CSJ). E</w:t>
      </w:r>
      <w:r w:rsidR="00160EE9" w:rsidRPr="000F2ED3">
        <w:rPr>
          <w:lang w:val="es-ES_tradnl"/>
        </w:rPr>
        <w:t xml:space="preserve">l autor alega que la Sra. Y.M.P. declaró ante la CSJ que había recibido una promesa de dinero por parte del gobierno nacional, a cambio de votar a favor del proyecto sobre reelección presidencial y que el autor </w:t>
      </w:r>
      <w:r w:rsidR="0094266C" w:rsidRPr="000F2ED3">
        <w:rPr>
          <w:lang w:val="es-ES_tradnl"/>
        </w:rPr>
        <w:t>la había amenazado</w:t>
      </w:r>
      <w:r w:rsidR="00231F48" w:rsidRPr="000F2ED3">
        <w:rPr>
          <w:lang w:val="es-ES_tradnl"/>
        </w:rPr>
        <w:t xml:space="preserve"> con el fin de que vote a favor</w:t>
      </w:r>
      <w:r w:rsidR="00160EE9" w:rsidRPr="000F2ED3">
        <w:rPr>
          <w:lang w:val="es-ES_tradnl"/>
        </w:rPr>
        <w:t xml:space="preserve"> </w:t>
      </w:r>
      <w:r w:rsidR="001C4649" w:rsidRPr="000F2ED3">
        <w:rPr>
          <w:lang w:val="es-ES_tradnl"/>
        </w:rPr>
        <w:t xml:space="preserve">de </w:t>
      </w:r>
      <w:r w:rsidR="00B37D5B">
        <w:rPr>
          <w:lang w:val="es-ES_tradnl"/>
        </w:rPr>
        <w:t>dicho proyecto.</w:t>
      </w:r>
      <w:r w:rsidR="00231F48" w:rsidRPr="000F2ED3">
        <w:rPr>
          <w:lang w:val="es-ES_tradnl"/>
        </w:rPr>
        <w:t xml:space="preserve"> </w:t>
      </w:r>
      <w:r w:rsidR="003C4D58" w:rsidRPr="000F2ED3">
        <w:rPr>
          <w:lang w:val="es-ES_tradnl"/>
        </w:rPr>
        <w:t>En base a las declaraciones de la Sra. Y.M.P., la Sala de Casación Penal de la CSJ</w:t>
      </w:r>
      <w:r w:rsidR="006A7477" w:rsidRPr="000F2ED3">
        <w:rPr>
          <w:lang w:val="es-ES_tradnl"/>
        </w:rPr>
        <w:t xml:space="preserve"> (Sala Penal)</w:t>
      </w:r>
      <w:r w:rsidR="003C4D58" w:rsidRPr="000F2ED3">
        <w:rPr>
          <w:lang w:val="es-ES_tradnl"/>
        </w:rPr>
        <w:t xml:space="preserve"> dispuso abrir una inve</w:t>
      </w:r>
      <w:r w:rsidR="003D6B56">
        <w:rPr>
          <w:lang w:val="es-ES_tradnl"/>
        </w:rPr>
        <w:t>stigación penal contra el autor</w:t>
      </w:r>
      <w:r w:rsidR="003C4D58" w:rsidRPr="000F2ED3">
        <w:rPr>
          <w:rStyle w:val="FootnoteReference"/>
          <w:lang w:val="es-ES_tradnl"/>
        </w:rPr>
        <w:footnoteReference w:id="3"/>
      </w:r>
      <w:r w:rsidR="00B37D5B">
        <w:rPr>
          <w:lang w:val="es-ES_tradnl"/>
        </w:rPr>
        <w:t>.</w:t>
      </w:r>
    </w:p>
    <w:p w:rsidR="00636FC9" w:rsidRPr="000F2ED3" w:rsidRDefault="003D6B56" w:rsidP="00231F48">
      <w:pPr>
        <w:pStyle w:val="SingleTxtG"/>
        <w:rPr>
          <w:lang w:val="es-ES_tradnl"/>
        </w:rPr>
      </w:pPr>
      <w:r>
        <w:rPr>
          <w:lang w:val="es-ES_tradnl"/>
        </w:rPr>
        <w:t>2.6</w:t>
      </w:r>
      <w:r w:rsidR="00231F48" w:rsidRPr="000F2ED3">
        <w:rPr>
          <w:lang w:val="es-ES_tradnl"/>
        </w:rPr>
        <w:tab/>
      </w:r>
      <w:r w:rsidR="00636FC9" w:rsidRPr="000F2ED3">
        <w:rPr>
          <w:lang w:val="es-ES_tradnl"/>
        </w:rPr>
        <w:t>El 20</w:t>
      </w:r>
      <w:r w:rsidR="00D35F22" w:rsidRPr="000F2ED3">
        <w:rPr>
          <w:lang w:val="es-ES_tradnl"/>
        </w:rPr>
        <w:t xml:space="preserve"> de mayo de 2008, </w:t>
      </w:r>
      <w:r w:rsidR="006A7477" w:rsidRPr="000F2ED3">
        <w:rPr>
          <w:lang w:val="es-ES_tradnl"/>
        </w:rPr>
        <w:t xml:space="preserve">la Sala Penal </w:t>
      </w:r>
      <w:r w:rsidR="00636FC9" w:rsidRPr="000F2ED3">
        <w:rPr>
          <w:lang w:val="es-ES_tradnl"/>
        </w:rPr>
        <w:t>dictó el auto de apertura de instrucción, llamamiento a indagatoria contra el autor</w:t>
      </w:r>
      <w:r w:rsidR="00D35F22" w:rsidRPr="000F2ED3">
        <w:rPr>
          <w:lang w:val="es-ES_tradnl"/>
        </w:rPr>
        <w:t xml:space="preserve"> y ordenó su detención preventiva. </w:t>
      </w:r>
      <w:r w:rsidR="00636FC9" w:rsidRPr="000F2ED3">
        <w:rPr>
          <w:lang w:val="es-ES_tradnl"/>
        </w:rPr>
        <w:t xml:space="preserve">La </w:t>
      </w:r>
      <w:r w:rsidR="006A7477" w:rsidRPr="000F2ED3">
        <w:rPr>
          <w:lang w:val="es-ES_tradnl"/>
        </w:rPr>
        <w:t xml:space="preserve">Sala Penal </w:t>
      </w:r>
      <w:r w:rsidR="00636FC9" w:rsidRPr="000F2ED3">
        <w:rPr>
          <w:lang w:val="es-ES_tradnl"/>
        </w:rPr>
        <w:t xml:space="preserve">determinó inter </w:t>
      </w:r>
      <w:proofErr w:type="spellStart"/>
      <w:r w:rsidR="00636FC9" w:rsidRPr="000F2ED3">
        <w:rPr>
          <w:lang w:val="es-ES_tradnl"/>
        </w:rPr>
        <w:t>alia</w:t>
      </w:r>
      <w:proofErr w:type="spellEnd"/>
      <w:r w:rsidR="00636FC9" w:rsidRPr="000F2ED3">
        <w:rPr>
          <w:lang w:val="es-ES_tradnl"/>
        </w:rPr>
        <w:t xml:space="preserve"> que el aforamiento del autor, como ex</w:t>
      </w:r>
      <w:r w:rsidR="0045482B" w:rsidRPr="000F2ED3">
        <w:rPr>
          <w:lang w:val="es-ES_tradnl"/>
        </w:rPr>
        <w:t>-</w:t>
      </w:r>
      <w:r w:rsidR="00636FC9" w:rsidRPr="000F2ED3">
        <w:rPr>
          <w:lang w:val="es-ES_tradnl"/>
        </w:rPr>
        <w:t xml:space="preserve">congresista, era aplicable a su caso ya que las conductas que se le atribuían guardaban relación con el cargo que por entonces desempeñaba y </w:t>
      </w:r>
      <w:r w:rsidR="00231F48" w:rsidRPr="000F2ED3">
        <w:rPr>
          <w:lang w:val="es-ES_tradnl"/>
        </w:rPr>
        <w:t>que,</w:t>
      </w:r>
      <w:r w:rsidR="00636FC9" w:rsidRPr="000F2ED3">
        <w:rPr>
          <w:lang w:val="es-ES_tradnl"/>
        </w:rPr>
        <w:t xml:space="preserve"> </w:t>
      </w:r>
      <w:r w:rsidR="0045482B" w:rsidRPr="000F2ED3">
        <w:rPr>
          <w:lang w:val="es-ES_tradnl"/>
        </w:rPr>
        <w:t>aun cuando</w:t>
      </w:r>
      <w:r w:rsidR="00636FC9" w:rsidRPr="000F2ED3">
        <w:rPr>
          <w:lang w:val="es-ES_tradnl"/>
        </w:rPr>
        <w:t xml:space="preserve"> se encontraba de licencia en aquel momento, él seguía vinculado al servicio y conservaba su investidura de acuerdo al artículo 262 </w:t>
      </w:r>
      <w:bookmarkStart w:id="0" w:name="_GoBack"/>
      <w:bookmarkEnd w:id="0"/>
      <w:r w:rsidR="00636FC9" w:rsidRPr="000F2ED3">
        <w:rPr>
          <w:lang w:val="es-ES_tradnl"/>
        </w:rPr>
        <w:t xml:space="preserve">del Reglamento del Congreso, Ley 5 de 1992. </w:t>
      </w:r>
    </w:p>
    <w:p w:rsidR="008D0A6B" w:rsidRPr="000F2ED3" w:rsidRDefault="003D6B56" w:rsidP="00C76DD7">
      <w:pPr>
        <w:pStyle w:val="SingleTxtG"/>
        <w:rPr>
          <w:lang w:val="es-ES_tradnl"/>
        </w:rPr>
      </w:pPr>
      <w:r>
        <w:rPr>
          <w:lang w:val="es-ES_tradnl"/>
        </w:rPr>
        <w:t>2.7</w:t>
      </w:r>
      <w:r w:rsidR="00231F48" w:rsidRPr="000F2ED3">
        <w:rPr>
          <w:lang w:val="es-ES_tradnl"/>
        </w:rPr>
        <w:tab/>
      </w:r>
      <w:r w:rsidR="006A7477" w:rsidRPr="000F2ED3">
        <w:rPr>
          <w:lang w:val="es-ES_tradnl"/>
        </w:rPr>
        <w:t xml:space="preserve">El 30 de mayo de 2008, la </w:t>
      </w:r>
      <w:r w:rsidR="00952F4D" w:rsidRPr="000F2ED3">
        <w:rPr>
          <w:lang w:val="es-ES_tradnl"/>
        </w:rPr>
        <w:t>Sala Penal</w:t>
      </w:r>
      <w:r w:rsidR="001F7447" w:rsidRPr="000F2ED3">
        <w:rPr>
          <w:lang w:val="es-ES_tradnl"/>
        </w:rPr>
        <w:t xml:space="preserve"> de la </w:t>
      </w:r>
      <w:r w:rsidR="006A7477" w:rsidRPr="000F2ED3">
        <w:rPr>
          <w:lang w:val="es-ES_tradnl"/>
        </w:rPr>
        <w:t>CSJ</w:t>
      </w:r>
      <w:r w:rsidR="00636FC9" w:rsidRPr="000F2ED3">
        <w:rPr>
          <w:lang w:val="es-ES_tradnl"/>
        </w:rPr>
        <w:t xml:space="preserve"> definió la situación jurídica del autor y determinó que la Sala Penal de la CSJ era competente para juzgarlo. </w:t>
      </w:r>
      <w:r w:rsidR="00615FAD" w:rsidRPr="000F2ED3">
        <w:rPr>
          <w:lang w:val="es-ES_tradnl"/>
        </w:rPr>
        <w:t xml:space="preserve">El autor interpuso un recurso de reposición ante la </w:t>
      </w:r>
      <w:r w:rsidR="00231F48" w:rsidRPr="000F2ED3">
        <w:rPr>
          <w:lang w:val="es-ES_tradnl"/>
        </w:rPr>
        <w:t>propia</w:t>
      </w:r>
      <w:r w:rsidR="008D0A6B" w:rsidRPr="000F2ED3">
        <w:rPr>
          <w:lang w:val="es-ES_tradnl"/>
        </w:rPr>
        <w:t xml:space="preserve"> </w:t>
      </w:r>
      <w:r w:rsidR="00615FAD" w:rsidRPr="000F2ED3">
        <w:rPr>
          <w:lang w:val="es-ES_tradnl"/>
        </w:rPr>
        <w:t xml:space="preserve">CSJ </w:t>
      </w:r>
      <w:r w:rsidR="006A2A04" w:rsidRPr="000F2ED3">
        <w:rPr>
          <w:lang w:val="es-ES_tradnl"/>
        </w:rPr>
        <w:t>y</w:t>
      </w:r>
      <w:r w:rsidR="00615FAD" w:rsidRPr="000F2ED3">
        <w:rPr>
          <w:lang w:val="es-ES_tradnl"/>
        </w:rPr>
        <w:t xml:space="preserve"> alegó </w:t>
      </w:r>
      <w:r w:rsidR="006A2A04" w:rsidRPr="000F2ED3">
        <w:rPr>
          <w:lang w:val="es-ES_tradnl"/>
        </w:rPr>
        <w:t xml:space="preserve">inter </w:t>
      </w:r>
      <w:proofErr w:type="spellStart"/>
      <w:r w:rsidR="006A2A04" w:rsidRPr="000F2ED3">
        <w:rPr>
          <w:lang w:val="es-ES_tradnl"/>
        </w:rPr>
        <w:t>alia</w:t>
      </w:r>
      <w:proofErr w:type="spellEnd"/>
      <w:r w:rsidR="006A2A04" w:rsidRPr="000F2ED3">
        <w:rPr>
          <w:lang w:val="es-ES_tradnl"/>
        </w:rPr>
        <w:t xml:space="preserve"> </w:t>
      </w:r>
      <w:r w:rsidR="00615FAD" w:rsidRPr="000F2ED3">
        <w:rPr>
          <w:lang w:val="es-ES_tradnl"/>
        </w:rPr>
        <w:t xml:space="preserve">que </w:t>
      </w:r>
      <w:r w:rsidR="008D0A6B" w:rsidRPr="000F2ED3">
        <w:rPr>
          <w:lang w:val="es-ES_tradnl"/>
        </w:rPr>
        <w:t xml:space="preserve">de acuerdo al artículo 235 de la Constitución, </w:t>
      </w:r>
      <w:r w:rsidR="00615FAD" w:rsidRPr="000F2ED3">
        <w:rPr>
          <w:lang w:val="es-ES_tradnl"/>
        </w:rPr>
        <w:t xml:space="preserve">la Sala Penal no era el juez natural y, por tanto, no tenía competencia para juzgarlo ya </w:t>
      </w:r>
      <w:r w:rsidR="006A2A04" w:rsidRPr="000F2ED3">
        <w:rPr>
          <w:lang w:val="es-ES_tradnl"/>
        </w:rPr>
        <w:t>que en el momento de los hechos no estaba en el ejercicio de su cargo como congresista</w:t>
      </w:r>
      <w:r w:rsidR="00231F48" w:rsidRPr="000F2ED3">
        <w:rPr>
          <w:lang w:val="es-ES_tradnl"/>
        </w:rPr>
        <w:t>,</w:t>
      </w:r>
      <w:r w:rsidR="006A2A04" w:rsidRPr="000F2ED3">
        <w:rPr>
          <w:lang w:val="es-ES_tradnl"/>
        </w:rPr>
        <w:t xml:space="preserve"> y los hechos en cuestión no estaban relacionados con la función de congresista</w:t>
      </w:r>
      <w:r w:rsidR="008D0A6B" w:rsidRPr="000F2ED3">
        <w:rPr>
          <w:lang w:val="es-ES_tradnl"/>
        </w:rPr>
        <w:t>.</w:t>
      </w:r>
      <w:r w:rsidR="00636FC9" w:rsidRPr="000F2ED3">
        <w:rPr>
          <w:lang w:val="es-ES_tradnl"/>
        </w:rPr>
        <w:t xml:space="preserve"> </w:t>
      </w:r>
      <w:r w:rsidR="008D0A6B" w:rsidRPr="000F2ED3">
        <w:rPr>
          <w:lang w:val="es-ES_tradnl"/>
        </w:rPr>
        <w:t xml:space="preserve">El 16 de junio de 2008, la Sala </w:t>
      </w:r>
      <w:r w:rsidR="006A7477" w:rsidRPr="000F2ED3">
        <w:rPr>
          <w:lang w:val="es-ES_tradnl"/>
        </w:rPr>
        <w:t>Penal</w:t>
      </w:r>
      <w:r w:rsidR="008D0A6B" w:rsidRPr="000F2ED3">
        <w:rPr>
          <w:lang w:val="es-ES_tradnl"/>
        </w:rPr>
        <w:t xml:space="preserve"> desestimó el recurso de reposición del autor</w:t>
      </w:r>
      <w:r w:rsidR="00A008E7" w:rsidRPr="000F2ED3">
        <w:rPr>
          <w:lang w:val="es-ES_tradnl"/>
        </w:rPr>
        <w:t>.</w:t>
      </w:r>
    </w:p>
    <w:p w:rsidR="000961D6" w:rsidRPr="000F2ED3" w:rsidRDefault="003D6B56" w:rsidP="00C76DD7">
      <w:pPr>
        <w:pStyle w:val="SingleTxtG"/>
        <w:rPr>
          <w:lang w:val="es-ES_tradnl"/>
        </w:rPr>
      </w:pPr>
      <w:r>
        <w:rPr>
          <w:lang w:val="es-ES_tradnl"/>
        </w:rPr>
        <w:t>2.8</w:t>
      </w:r>
      <w:r w:rsidR="00231F48" w:rsidRPr="000F2ED3">
        <w:rPr>
          <w:lang w:val="es-ES_tradnl"/>
        </w:rPr>
        <w:tab/>
      </w:r>
      <w:r w:rsidR="006A7477" w:rsidRPr="000F2ED3">
        <w:rPr>
          <w:lang w:val="es-ES_tradnl"/>
        </w:rPr>
        <w:t>Posteriormente, e</w:t>
      </w:r>
      <w:r w:rsidR="000961D6" w:rsidRPr="000F2ED3">
        <w:rPr>
          <w:lang w:val="es-ES_tradnl"/>
        </w:rPr>
        <w:t xml:space="preserve">l autor interpuso una acción de tutela </w:t>
      </w:r>
      <w:r w:rsidR="009B0173" w:rsidRPr="000F2ED3">
        <w:rPr>
          <w:lang w:val="es-ES_tradnl"/>
        </w:rPr>
        <w:t xml:space="preserve">ante la Sala Civil de la CSJ, </w:t>
      </w:r>
      <w:r w:rsidR="0027494C" w:rsidRPr="000F2ED3">
        <w:rPr>
          <w:lang w:val="es-ES_tradnl"/>
        </w:rPr>
        <w:t>en relación con las decisiones de la Sal</w:t>
      </w:r>
      <w:r w:rsidR="00636FC9" w:rsidRPr="000F2ED3">
        <w:rPr>
          <w:lang w:val="es-ES_tradnl"/>
        </w:rPr>
        <w:t>a</w:t>
      </w:r>
      <w:r w:rsidR="0027494C" w:rsidRPr="000F2ED3">
        <w:rPr>
          <w:lang w:val="es-ES_tradnl"/>
        </w:rPr>
        <w:t xml:space="preserve"> Penal de 20 y 30 de mayo, 16 de junio y 25 de septiembre de 2008. El autor objetó</w:t>
      </w:r>
      <w:r w:rsidR="000961D6" w:rsidRPr="000F2ED3">
        <w:rPr>
          <w:lang w:val="es-ES_tradnl"/>
        </w:rPr>
        <w:t xml:space="preserve"> la competencia de la Sala Penal de la CSJ para conocer del proceso en que se debía dete</w:t>
      </w:r>
      <w:r>
        <w:rPr>
          <w:lang w:val="es-ES_tradnl"/>
        </w:rPr>
        <w:t>rminar su responsabilidad penal</w:t>
      </w:r>
      <w:r w:rsidR="00B37D5B">
        <w:rPr>
          <w:lang w:val="es-ES_tradnl"/>
        </w:rPr>
        <w:t>.</w:t>
      </w:r>
      <w:r w:rsidR="000961D6" w:rsidRPr="000F2ED3">
        <w:rPr>
          <w:lang w:val="es-ES_tradnl"/>
        </w:rPr>
        <w:t xml:space="preserve"> El 30 de octubre de 2008, la Sala de Casación Civil de la CSJ rechaz</w:t>
      </w:r>
      <w:r>
        <w:rPr>
          <w:lang w:val="es-ES_tradnl"/>
        </w:rPr>
        <w:t>ó la acción de tutela del autor</w:t>
      </w:r>
      <w:r w:rsidR="00B37D5B">
        <w:rPr>
          <w:lang w:val="es-ES_tradnl"/>
        </w:rPr>
        <w:t>.</w:t>
      </w:r>
      <w:r w:rsidR="008F5FE1" w:rsidRPr="000F2ED3">
        <w:rPr>
          <w:lang w:val="es-ES_tradnl"/>
        </w:rPr>
        <w:t xml:space="preserve"> </w:t>
      </w:r>
    </w:p>
    <w:p w:rsidR="0069503A" w:rsidRPr="000F2ED3" w:rsidRDefault="003D6B56" w:rsidP="00C76DD7">
      <w:pPr>
        <w:pStyle w:val="SingleTxtG"/>
        <w:rPr>
          <w:lang w:val="es-ES_tradnl"/>
        </w:rPr>
      </w:pPr>
      <w:r>
        <w:rPr>
          <w:lang w:val="es-ES_tradnl"/>
        </w:rPr>
        <w:t>2.9</w:t>
      </w:r>
      <w:r w:rsidR="006A7477" w:rsidRPr="000F2ED3">
        <w:rPr>
          <w:lang w:val="es-ES_tradnl"/>
        </w:rPr>
        <w:tab/>
      </w:r>
      <w:r w:rsidR="003B7A8C" w:rsidRPr="000F2ED3">
        <w:rPr>
          <w:lang w:val="es-ES_tradnl"/>
        </w:rPr>
        <w:t xml:space="preserve">El 12 de marzo de 2009, la Sala Penal resolvió </w:t>
      </w:r>
      <w:r w:rsidR="0027494C" w:rsidRPr="000F2ED3">
        <w:rPr>
          <w:lang w:val="es-ES_tradnl"/>
        </w:rPr>
        <w:t>otro recurso interpuesto por el autor, conservando la competencia para conocer el caso</w:t>
      </w:r>
      <w:r w:rsidR="0069503A" w:rsidRPr="000F2ED3">
        <w:rPr>
          <w:lang w:val="es-ES_tradnl"/>
        </w:rPr>
        <w:t>. El autor alega que estas decisiones violaban su derecho al juez natural, igualdad ante los tribunales, a un juez imparcial y a la revisión del fallo condenatorio y la pena.</w:t>
      </w:r>
    </w:p>
    <w:p w:rsidR="00BF172D" w:rsidRPr="000F2ED3" w:rsidRDefault="006A7477" w:rsidP="00BF172D">
      <w:pPr>
        <w:pStyle w:val="SingleTxtG"/>
        <w:rPr>
          <w:lang w:val="es-ES_tradnl"/>
        </w:rPr>
      </w:pPr>
      <w:r w:rsidRPr="000F2ED3">
        <w:rPr>
          <w:lang w:val="es-ES_tradnl"/>
        </w:rPr>
        <w:lastRenderedPageBreak/>
        <w:t>2.10</w:t>
      </w:r>
      <w:r w:rsidRPr="000F2ED3">
        <w:rPr>
          <w:lang w:val="es-ES_tradnl"/>
        </w:rPr>
        <w:tab/>
      </w:r>
      <w:r w:rsidR="007A73AB" w:rsidRPr="000F2ED3">
        <w:rPr>
          <w:lang w:val="es-ES_tradnl"/>
        </w:rPr>
        <w:t xml:space="preserve">El autor alega que presentó una nueva acción de tutela </w:t>
      </w:r>
      <w:r w:rsidR="00BF172D" w:rsidRPr="000F2ED3">
        <w:rPr>
          <w:lang w:val="es-ES_tradnl"/>
        </w:rPr>
        <w:t>ante la Sala de Jurisdicción Disciplinaria del Consejo Seccional de la Judicatura, que fue declarada improcedente debido a que exis</w:t>
      </w:r>
      <w:r w:rsidR="003D6B56">
        <w:rPr>
          <w:lang w:val="es-ES_tradnl"/>
        </w:rPr>
        <w:t>tía un proceso penal en trámite</w:t>
      </w:r>
      <w:r w:rsidR="00B37D5B">
        <w:rPr>
          <w:lang w:val="es-ES_tradnl"/>
        </w:rPr>
        <w:t>.</w:t>
      </w:r>
    </w:p>
    <w:p w:rsidR="00420038" w:rsidRPr="000F2ED3" w:rsidRDefault="006A7477" w:rsidP="00BF172D">
      <w:pPr>
        <w:pStyle w:val="SingleTxtG"/>
        <w:rPr>
          <w:lang w:val="es-ES_tradnl"/>
        </w:rPr>
      </w:pPr>
      <w:r w:rsidRPr="000F2ED3">
        <w:rPr>
          <w:lang w:val="es-ES_tradnl"/>
        </w:rPr>
        <w:t>2.11</w:t>
      </w:r>
      <w:r w:rsidRPr="000F2ED3">
        <w:rPr>
          <w:lang w:val="es-ES_tradnl"/>
        </w:rPr>
        <w:tab/>
      </w:r>
      <w:r w:rsidR="00BF172D" w:rsidRPr="000F2ED3">
        <w:rPr>
          <w:lang w:val="es-ES_tradnl"/>
        </w:rPr>
        <w:t xml:space="preserve">El 3 de junio de 2009, la Sala Penal </w:t>
      </w:r>
      <w:r w:rsidRPr="000F2ED3">
        <w:rPr>
          <w:lang w:val="es-ES_tradnl"/>
        </w:rPr>
        <w:t xml:space="preserve">concluyó que el autor había cometido el delito </w:t>
      </w:r>
      <w:r w:rsidRPr="000F2ED3">
        <w:t>de concusión</w:t>
      </w:r>
      <w:r w:rsidRPr="000F2ED3">
        <w:rPr>
          <w:lang w:val="es-ES_tradnl"/>
        </w:rPr>
        <w:t xml:space="preserve"> y lo condenó</w:t>
      </w:r>
      <w:r w:rsidR="00BF172D" w:rsidRPr="000F2ED3">
        <w:rPr>
          <w:lang w:val="es-ES_tradnl"/>
        </w:rPr>
        <w:t xml:space="preserve"> </w:t>
      </w:r>
      <w:r w:rsidR="00815F0F" w:rsidRPr="000F2ED3">
        <w:rPr>
          <w:lang w:val="es-ES_tradnl"/>
        </w:rPr>
        <w:t>a</w:t>
      </w:r>
      <w:r w:rsidR="00AC4DF5" w:rsidRPr="000F2ED3">
        <w:rPr>
          <w:lang w:val="es-ES_tradnl"/>
        </w:rPr>
        <w:t xml:space="preserve"> 6 años de prisión sin beneficios de prisión sustitutiva ni prisión domiciliara, al pago de 50 salarios mínimos mensuales y a la inhabilitación de derechos y funciones públicas por 5 años</w:t>
      </w:r>
      <w:r w:rsidR="0027494C" w:rsidRPr="000F2ED3">
        <w:rPr>
          <w:lang w:val="es-ES_tradnl"/>
        </w:rPr>
        <w:t>.</w:t>
      </w:r>
      <w:r w:rsidR="007A11BD" w:rsidRPr="000F2ED3">
        <w:rPr>
          <w:lang w:val="es-ES_tradnl"/>
        </w:rPr>
        <w:t xml:space="preserve"> La Sala Penal señaló inter </w:t>
      </w:r>
      <w:proofErr w:type="spellStart"/>
      <w:r w:rsidR="007A11BD" w:rsidRPr="000F2ED3">
        <w:rPr>
          <w:lang w:val="es-ES_tradnl"/>
        </w:rPr>
        <w:t>alia</w:t>
      </w:r>
      <w:proofErr w:type="spellEnd"/>
      <w:r w:rsidR="007A11BD" w:rsidRPr="000F2ED3">
        <w:rPr>
          <w:lang w:val="es-ES_tradnl"/>
        </w:rPr>
        <w:t xml:space="preserve"> que la licencia no remunera</w:t>
      </w:r>
      <w:r w:rsidR="00815F0F" w:rsidRPr="000F2ED3">
        <w:rPr>
          <w:lang w:val="es-ES_tradnl"/>
        </w:rPr>
        <w:t>da</w:t>
      </w:r>
      <w:r w:rsidR="007A11BD" w:rsidRPr="000F2ED3">
        <w:rPr>
          <w:lang w:val="es-ES_tradnl"/>
        </w:rPr>
        <w:t xml:space="preserve"> del autor al momento de los hechos era una situación administrativa que no generó el apartamiento de su condición de congresistas ni la desvinculación de su cargo, ya que solo era una suspensión temporal de funciones, conservado el estatus de funcionario público, por lo que tenía la investidura de congresista y era aforado</w:t>
      </w:r>
      <w:r w:rsidR="00815F0F" w:rsidRPr="000F2ED3">
        <w:rPr>
          <w:lang w:val="es-ES_tradnl"/>
        </w:rPr>
        <w:t>. Concluyó que d</w:t>
      </w:r>
      <w:r w:rsidR="007A11BD" w:rsidRPr="000F2ED3">
        <w:rPr>
          <w:lang w:val="es-ES_tradnl"/>
        </w:rPr>
        <w:t>ado el delito que se le atribuía, el juez natural que debía investigar y juzgar era la Sala Penal de la CSJ.</w:t>
      </w:r>
    </w:p>
    <w:p w:rsidR="00934C55" w:rsidRPr="000F2ED3" w:rsidRDefault="000C4237" w:rsidP="00BF172D">
      <w:pPr>
        <w:pStyle w:val="SingleTxtG"/>
        <w:rPr>
          <w:lang w:val="es-ES_tradnl"/>
        </w:rPr>
      </w:pPr>
      <w:r w:rsidRPr="000F2ED3">
        <w:rPr>
          <w:lang w:val="es-ES_tradnl"/>
        </w:rPr>
        <w:t>2.12</w:t>
      </w:r>
      <w:r w:rsidRPr="000F2ED3">
        <w:rPr>
          <w:lang w:val="es-ES_tradnl"/>
        </w:rPr>
        <w:tab/>
      </w:r>
      <w:r w:rsidR="00BF172D" w:rsidRPr="000F2ED3">
        <w:rPr>
          <w:lang w:val="es-ES_tradnl"/>
        </w:rPr>
        <w:t>El 27 de agosto de 2009, la Sala de Jurisdicción Disciplinaria del Con</w:t>
      </w:r>
      <w:r w:rsidR="009B0173" w:rsidRPr="000F2ED3">
        <w:rPr>
          <w:lang w:val="es-ES_tradnl"/>
        </w:rPr>
        <w:t xml:space="preserve">sejo Superior de la Judicatura, en apelación, </w:t>
      </w:r>
      <w:r w:rsidR="00BF172D" w:rsidRPr="000F2ED3">
        <w:rPr>
          <w:lang w:val="es-ES_tradnl"/>
        </w:rPr>
        <w:t>revocó la decisión de</w:t>
      </w:r>
      <w:r w:rsidR="009B0173" w:rsidRPr="000F2ED3">
        <w:rPr>
          <w:lang w:val="es-ES_tradnl"/>
        </w:rPr>
        <w:t xml:space="preserve"> la Sala Civil de la CSJ</w:t>
      </w:r>
      <w:r w:rsidRPr="000F2ED3">
        <w:rPr>
          <w:lang w:val="es-ES_tradnl"/>
        </w:rPr>
        <w:t xml:space="preserve"> </w:t>
      </w:r>
      <w:r w:rsidR="009B0173" w:rsidRPr="000F2ED3">
        <w:rPr>
          <w:lang w:val="es-ES_tradnl"/>
        </w:rPr>
        <w:t xml:space="preserve">(véase 2.8) </w:t>
      </w:r>
      <w:r w:rsidRPr="000F2ED3">
        <w:rPr>
          <w:lang w:val="es-ES_tradnl"/>
        </w:rPr>
        <w:t>y declaró fundada</w:t>
      </w:r>
      <w:r w:rsidR="00BF172D" w:rsidRPr="000F2ED3">
        <w:rPr>
          <w:lang w:val="es-ES_tradnl"/>
        </w:rPr>
        <w:t xml:space="preserve"> la acción de tutela del autor debido a que la Sala Penal había incurrido en una vía de hecho por defecto orgánico, al conservar la competencia para investigar y juzgar al autor. El Consejo Superior señaló que debía diferenciarse entre “cargo” y “funciones”; que el artículo 235 de la Constitución se refería a que </w:t>
      </w:r>
      <w:r w:rsidR="00815F0F" w:rsidRPr="000F2ED3">
        <w:rPr>
          <w:lang w:val="es-ES_tradnl"/>
        </w:rPr>
        <w:t xml:space="preserve">el </w:t>
      </w:r>
      <w:r w:rsidR="00BF172D" w:rsidRPr="000F2ED3">
        <w:rPr>
          <w:lang w:val="es-ES_tradnl"/>
        </w:rPr>
        <w:t>fuero solo se mantenía por las conductas punibles que tengan relación con las “funciones desempeñadas” del congresista; que en el momento de los hechos en cuestión el autor estaba con licencia no remunerada; y que por tanto el ejercicio de la competencia de la Sala Penal estaba condicionad</w:t>
      </w:r>
      <w:r w:rsidR="00815F0F" w:rsidRPr="000F2ED3">
        <w:rPr>
          <w:lang w:val="es-ES_tradnl"/>
        </w:rPr>
        <w:t>o</w:t>
      </w:r>
      <w:r w:rsidR="00BF172D" w:rsidRPr="000F2ED3">
        <w:rPr>
          <w:lang w:val="es-ES_tradnl"/>
        </w:rPr>
        <w:t xml:space="preserve"> a que la </w:t>
      </w:r>
      <w:r w:rsidR="008B48F9" w:rsidRPr="000F2ED3">
        <w:rPr>
          <w:lang w:val="es-ES_tradnl"/>
        </w:rPr>
        <w:t>conducta</w:t>
      </w:r>
      <w:r w:rsidR="00BF172D" w:rsidRPr="000F2ED3">
        <w:rPr>
          <w:lang w:val="es-ES_tradnl"/>
        </w:rPr>
        <w:t xml:space="preserve"> punible</w:t>
      </w:r>
      <w:r w:rsidR="008B48F9" w:rsidRPr="000F2ED3">
        <w:rPr>
          <w:lang w:val="es-ES_tradnl"/>
        </w:rPr>
        <w:t xml:space="preserve"> </w:t>
      </w:r>
      <w:r w:rsidR="00815F0F" w:rsidRPr="000F2ED3">
        <w:rPr>
          <w:lang w:val="es-ES_tradnl"/>
        </w:rPr>
        <w:t xml:space="preserve">fuese </w:t>
      </w:r>
      <w:r w:rsidR="008B48F9" w:rsidRPr="000F2ED3">
        <w:rPr>
          <w:lang w:val="es-ES_tradnl"/>
        </w:rPr>
        <w:t xml:space="preserve">relacionada con “las funciones desempeñadas” y no al “cargo” o estatus de congresista. </w:t>
      </w:r>
    </w:p>
    <w:p w:rsidR="009B0173" w:rsidRPr="000F2ED3" w:rsidRDefault="000C4237" w:rsidP="00BF172D">
      <w:pPr>
        <w:pStyle w:val="SingleTxtG"/>
        <w:rPr>
          <w:lang w:val="es-ES_tradnl"/>
        </w:rPr>
      </w:pPr>
      <w:r w:rsidRPr="000F2ED3">
        <w:rPr>
          <w:lang w:val="es-ES_tradnl"/>
        </w:rPr>
        <w:t>2.13</w:t>
      </w:r>
      <w:r w:rsidRPr="000F2ED3">
        <w:rPr>
          <w:lang w:val="es-ES_tradnl"/>
        </w:rPr>
        <w:tab/>
        <w:t>E</w:t>
      </w:r>
      <w:r w:rsidR="0027494C" w:rsidRPr="000F2ED3">
        <w:rPr>
          <w:lang w:val="es-ES_tradnl"/>
        </w:rPr>
        <w:t xml:space="preserve">l 18 de diciembre de </w:t>
      </w:r>
      <w:r w:rsidR="008B48F9" w:rsidRPr="000F2ED3">
        <w:rPr>
          <w:lang w:val="es-ES_tradnl"/>
        </w:rPr>
        <w:t xml:space="preserve">2009 la Corte Constitucional revocó la sentencia del Consejo Superior y concluyó que en el caso del autor no se había violado el derecho al debido proceso al ser juzgado por la CSJ en un procedimiento de única instancia, “porque el juzgamiento de los altos funcionarios por el órgano máximo de la jurisdicción ordinaria ofrece plenas garantías al derecho de defensa y al debido proceso en armonía con lo que establecen los principales instrumentos internacionales de Derechos Humanos”. </w:t>
      </w:r>
    </w:p>
    <w:p w:rsidR="000D2405" w:rsidRPr="000F2ED3" w:rsidRDefault="00F002C4" w:rsidP="00F002C4">
      <w:pPr>
        <w:pStyle w:val="H23G"/>
        <w:rPr>
          <w:lang w:val="es-ES_tradnl"/>
        </w:rPr>
      </w:pPr>
      <w:r w:rsidRPr="000F2ED3">
        <w:rPr>
          <w:lang w:val="es-ES_tradnl"/>
        </w:rPr>
        <w:tab/>
      </w:r>
      <w:r w:rsidRPr="000F2ED3">
        <w:rPr>
          <w:lang w:val="es-ES_tradnl"/>
        </w:rPr>
        <w:tab/>
      </w:r>
      <w:r w:rsidR="000D2405" w:rsidRPr="000F2ED3">
        <w:rPr>
          <w:lang w:val="es-ES_tradnl"/>
        </w:rPr>
        <w:t>La denuncia</w:t>
      </w:r>
    </w:p>
    <w:p w:rsidR="003A3D76" w:rsidRPr="000F2ED3" w:rsidRDefault="005A4B82" w:rsidP="00D4750E">
      <w:pPr>
        <w:pStyle w:val="SingleTxtG"/>
        <w:rPr>
          <w:lang w:val="es-ES_tradnl"/>
        </w:rPr>
      </w:pPr>
      <w:r w:rsidRPr="000F2ED3">
        <w:rPr>
          <w:lang w:val="es-ES_tradnl"/>
        </w:rPr>
        <w:t>3.1</w:t>
      </w:r>
      <w:r w:rsidRPr="000F2ED3">
        <w:rPr>
          <w:lang w:val="es-ES_tradnl"/>
        </w:rPr>
        <w:tab/>
      </w:r>
      <w:r w:rsidR="003A3D76" w:rsidRPr="000F2ED3">
        <w:rPr>
          <w:lang w:val="es-ES_tradnl"/>
        </w:rPr>
        <w:t>Le autor sostiene que el Estado parte violó los derechos que le asisten en virtud de los artículos</w:t>
      </w:r>
      <w:r w:rsidR="00DA14D0" w:rsidRPr="000F2ED3">
        <w:rPr>
          <w:lang w:val="es-ES_tradnl"/>
        </w:rPr>
        <w:t xml:space="preserve"> </w:t>
      </w:r>
      <w:r w:rsidR="003A3D76" w:rsidRPr="000F2ED3">
        <w:rPr>
          <w:lang w:val="es-ES_tradnl"/>
        </w:rPr>
        <w:t>2, 3, 9(1)(4)(5)</w:t>
      </w:r>
      <w:r w:rsidR="00273B99">
        <w:rPr>
          <w:lang w:val="es-ES_tradnl"/>
        </w:rPr>
        <w:t>, 14(1)(2)(3)(5) y 26 del Pacto</w:t>
      </w:r>
      <w:r w:rsidR="009A10F7" w:rsidRPr="000F2ED3">
        <w:rPr>
          <w:rStyle w:val="FootnoteReference"/>
          <w:lang w:val="es-ES_tradnl"/>
        </w:rPr>
        <w:footnoteReference w:id="4"/>
      </w:r>
      <w:r w:rsidR="004F7D99">
        <w:rPr>
          <w:lang w:val="es-ES_tradnl"/>
        </w:rPr>
        <w:t>.</w:t>
      </w:r>
      <w:r w:rsidR="003A3D76" w:rsidRPr="000F2ED3">
        <w:rPr>
          <w:lang w:val="es-ES_tradnl"/>
        </w:rPr>
        <w:t xml:space="preserve"> </w:t>
      </w:r>
    </w:p>
    <w:p w:rsidR="006C2F9E" w:rsidRPr="000F2ED3" w:rsidRDefault="00273B99" w:rsidP="00DF4055">
      <w:pPr>
        <w:pStyle w:val="SingleTxtG"/>
        <w:rPr>
          <w:lang w:val="es-ES_tradnl"/>
        </w:rPr>
      </w:pPr>
      <w:r>
        <w:rPr>
          <w:lang w:val="es-ES_tradnl"/>
        </w:rPr>
        <w:t>3.2</w:t>
      </w:r>
      <w:r w:rsidR="006C2F9E" w:rsidRPr="000F2ED3">
        <w:rPr>
          <w:lang w:val="es-ES_tradnl"/>
        </w:rPr>
        <w:tab/>
        <w:t>El autor alega que sus derechos en virtud de los artículos 14(1) and 26 del Pacto fueron violados debido a que no fue juzgado por el juez natural y en respeto al derecho a la igualdad ante los tribunales. De acuerdo a los artículos 186 y 235 de la Constitución, los miembros del Congreso tienen fuero y son juzgado</w:t>
      </w:r>
      <w:r w:rsidR="00DF4055" w:rsidRPr="000F2ED3">
        <w:rPr>
          <w:lang w:val="es-ES_tradnl"/>
        </w:rPr>
        <w:t>s por la Sala Penal de la CSJ. Pero, c</w:t>
      </w:r>
      <w:r w:rsidR="006C2F9E" w:rsidRPr="000F2ED3">
        <w:rPr>
          <w:lang w:val="es-ES_tradnl"/>
        </w:rPr>
        <w:t>uando hubieren cesado en el ejercicio de su cargo, el fuero sólo se mantiene para las conductas punibles que tengan relación con las funciones desempeñadas como congresista. Tanto la legislación como la jurisprudencia de la CSJ señalab</w:t>
      </w:r>
      <w:r w:rsidR="00213F21" w:rsidRPr="000F2ED3">
        <w:rPr>
          <w:lang w:val="es-ES_tradnl"/>
        </w:rPr>
        <w:t>an que si un congresista no estaba</w:t>
      </w:r>
      <w:r w:rsidR="006C2F9E" w:rsidRPr="000F2ED3">
        <w:rPr>
          <w:lang w:val="es-ES_tradnl"/>
        </w:rPr>
        <w:t xml:space="preserve"> en el ejercicio del cargo</w:t>
      </w:r>
      <w:r w:rsidR="00213F21" w:rsidRPr="000F2ED3">
        <w:rPr>
          <w:lang w:val="es-ES_tradnl"/>
        </w:rPr>
        <w:t xml:space="preserve"> y los hechos carecían</w:t>
      </w:r>
      <w:r w:rsidR="006C2F9E" w:rsidRPr="000F2ED3">
        <w:rPr>
          <w:lang w:val="es-ES_tradnl"/>
        </w:rPr>
        <w:t xml:space="preserve"> de relación funcional con las actividades desarrolladas por la persona aforada, el juez natural e</w:t>
      </w:r>
      <w:r w:rsidR="00213F21" w:rsidRPr="000F2ED3">
        <w:rPr>
          <w:lang w:val="es-ES_tradnl"/>
        </w:rPr>
        <w:t>ra</w:t>
      </w:r>
      <w:r w:rsidR="006C2F9E" w:rsidRPr="000F2ED3">
        <w:rPr>
          <w:lang w:val="es-ES_tradnl"/>
        </w:rPr>
        <w:t xml:space="preserve"> el juez ordinar</w:t>
      </w:r>
      <w:r w:rsidR="004F7D99">
        <w:rPr>
          <w:lang w:val="es-ES_tradnl"/>
        </w:rPr>
        <w:t xml:space="preserve">io y no la Sala Penal de la CSJ </w:t>
      </w:r>
      <w:r w:rsidR="006C2F9E" w:rsidRPr="000F2ED3">
        <w:rPr>
          <w:rStyle w:val="FootnoteReference"/>
          <w:lang w:val="es-ES_tradnl"/>
        </w:rPr>
        <w:footnoteReference w:id="5"/>
      </w:r>
      <w:r w:rsidR="004F7D99">
        <w:rPr>
          <w:lang w:val="es-ES_tradnl"/>
        </w:rPr>
        <w:t>.</w:t>
      </w:r>
      <w:r w:rsidR="006C2F9E" w:rsidRPr="000F2ED3">
        <w:rPr>
          <w:lang w:val="es-ES_tradnl"/>
        </w:rPr>
        <w:t xml:space="preserve"> Por</w:t>
      </w:r>
      <w:r w:rsidR="000C71C9" w:rsidRPr="000F2ED3">
        <w:rPr>
          <w:lang w:val="es-ES_tradnl"/>
        </w:rPr>
        <w:t xml:space="preserve"> tanto, si la </w:t>
      </w:r>
      <w:r w:rsidR="000C71C9" w:rsidRPr="000F2ED3">
        <w:rPr>
          <w:lang w:val="es-ES_tradnl"/>
        </w:rPr>
        <w:lastRenderedPageBreak/>
        <w:t xml:space="preserve">CSJ hubiese </w:t>
      </w:r>
      <w:r w:rsidR="006C2F9E" w:rsidRPr="000F2ED3">
        <w:rPr>
          <w:lang w:val="es-ES_tradnl"/>
        </w:rPr>
        <w:t>aplicado su propia jurisprudencia en el caso del autor, la investigación sobre su posible responsabilidad penal debió estar a cargo de la Fiscalía General toda vez que en el momento de los hechos en cuestión él no ejercía el cargo de congresista, ya que gozaba de una licencia temporal y era reemplazado por la Sra. Y.M.P.</w:t>
      </w:r>
      <w:r w:rsidR="001E224A" w:rsidRPr="000F2ED3">
        <w:rPr>
          <w:lang w:val="es-ES_tradnl"/>
        </w:rPr>
        <w:t xml:space="preserve"> P</w:t>
      </w:r>
      <w:r w:rsidR="00DA14D0" w:rsidRPr="000F2ED3">
        <w:rPr>
          <w:lang w:val="es-ES_tradnl"/>
        </w:rPr>
        <w:t>or lo tanto</w:t>
      </w:r>
      <w:r w:rsidR="001E224A" w:rsidRPr="000F2ED3">
        <w:rPr>
          <w:lang w:val="es-ES_tradnl"/>
        </w:rPr>
        <w:t>,</w:t>
      </w:r>
      <w:r w:rsidR="00DA14D0" w:rsidRPr="000F2ED3">
        <w:rPr>
          <w:lang w:val="es-ES_tradnl"/>
        </w:rPr>
        <w:t xml:space="preserve"> no era aforado</w:t>
      </w:r>
      <w:r w:rsidR="00DF4055" w:rsidRPr="000F2ED3">
        <w:rPr>
          <w:lang w:val="es-ES_tradnl"/>
        </w:rPr>
        <w:t>. P</w:t>
      </w:r>
      <w:r w:rsidR="000C71C9" w:rsidRPr="000F2ED3">
        <w:rPr>
          <w:lang w:val="es-ES_tradnl"/>
        </w:rPr>
        <w:t>or otro lado, no existía relación alguna entre estos hechos y las funciones que desempeñó anteriormente como congresista</w:t>
      </w:r>
      <w:r w:rsidR="00DA14D0" w:rsidRPr="000F2ED3">
        <w:rPr>
          <w:lang w:val="es-ES_tradnl"/>
        </w:rPr>
        <w:t>.</w:t>
      </w:r>
      <w:r w:rsidR="005104D3">
        <w:rPr>
          <w:lang w:val="es-ES_tradnl"/>
        </w:rPr>
        <w:t xml:space="preserve"> </w:t>
      </w:r>
      <w:r w:rsidR="006C2F9E" w:rsidRPr="000F2ED3">
        <w:rPr>
          <w:lang w:val="es-ES_tradnl"/>
        </w:rPr>
        <w:t xml:space="preserve">En </w:t>
      </w:r>
      <w:r w:rsidR="00DF4055" w:rsidRPr="000F2ED3">
        <w:rPr>
          <w:lang w:val="es-ES_tradnl"/>
        </w:rPr>
        <w:t>este marco, el autor considera que</w:t>
      </w:r>
      <w:r w:rsidR="006C2F9E" w:rsidRPr="000F2ED3">
        <w:rPr>
          <w:lang w:val="es-ES_tradnl"/>
        </w:rPr>
        <w:t xml:space="preserve"> la CSJ cambió su propia jurisprudencia con el fin específico de juzgar</w:t>
      </w:r>
      <w:r w:rsidR="00213F21" w:rsidRPr="000F2ED3">
        <w:rPr>
          <w:lang w:val="es-ES_tradnl"/>
        </w:rPr>
        <w:t xml:space="preserve"> al autor</w:t>
      </w:r>
      <w:r w:rsidR="00D46B0C" w:rsidRPr="000F2ED3">
        <w:rPr>
          <w:lang w:val="es-ES_tradnl"/>
        </w:rPr>
        <w:t xml:space="preserve"> y evitar que lo juzgue el juez natural, es decir, el juez ordinario</w:t>
      </w:r>
      <w:r w:rsidR="006C2F9E" w:rsidRPr="000F2ED3">
        <w:rPr>
          <w:lang w:val="es-ES_tradnl"/>
        </w:rPr>
        <w:t xml:space="preserve">. </w:t>
      </w:r>
      <w:r w:rsidR="00420038" w:rsidRPr="000F2ED3">
        <w:rPr>
          <w:lang w:val="es-ES_tradnl"/>
        </w:rPr>
        <w:t>Agrega que la Sala Penal señaló que “la licencia, es una de las situaciones administrativas en las que se puede encontrar un empleado del sector público, y consiste en la separación temporal de las funciones laborales que habitualmente ejerce o, lo que es lo mismo, el retiro transitorio del cargo que ocupa en determinada entidad del Estado, sin que por ello cese su vínculo laboral con la empresa u órgano estatal respectivo”. D</w:t>
      </w:r>
      <w:r w:rsidR="00213F21" w:rsidRPr="000F2ED3">
        <w:rPr>
          <w:lang w:val="es-ES_tradnl"/>
        </w:rPr>
        <w:t>e acuerdo al autor, bajo esta</w:t>
      </w:r>
      <w:r w:rsidR="00420038" w:rsidRPr="000F2ED3">
        <w:rPr>
          <w:lang w:val="es-ES_tradnl"/>
        </w:rPr>
        <w:t xml:space="preserve"> interpretación, era evidente que los hechos por los que se le investigó no guardaban relación alguna con las funciones desempeñadas como congresista, ya que en la fecha de los hechos en cuestión no desempeñaba ninguna función de congresista, puesto que se encontraba de licencia temporal.</w:t>
      </w:r>
      <w:r w:rsidR="00502666" w:rsidRPr="000F2ED3">
        <w:rPr>
          <w:lang w:val="es-ES_tradnl"/>
        </w:rPr>
        <w:t xml:space="preserve"> </w:t>
      </w:r>
    </w:p>
    <w:p w:rsidR="006C2F9E" w:rsidRPr="000F2ED3" w:rsidRDefault="00273B99" w:rsidP="006C2F9E">
      <w:pPr>
        <w:pStyle w:val="SingleTxtG"/>
        <w:rPr>
          <w:lang w:val="es-ES_tradnl"/>
        </w:rPr>
      </w:pPr>
      <w:r>
        <w:rPr>
          <w:lang w:val="es-ES_tradnl"/>
        </w:rPr>
        <w:t>3.3</w:t>
      </w:r>
      <w:r w:rsidR="006C2F9E" w:rsidRPr="000F2ED3">
        <w:rPr>
          <w:lang w:val="es-ES_tradnl"/>
        </w:rPr>
        <w:tab/>
      </w:r>
      <w:r w:rsidR="00DF4055" w:rsidRPr="000F2ED3">
        <w:rPr>
          <w:lang w:val="es-ES_tradnl"/>
        </w:rPr>
        <w:t>En los procesos penales contra miembros del congreso que están aforados, la</w:t>
      </w:r>
      <w:r w:rsidR="006C2F9E" w:rsidRPr="000F2ED3">
        <w:rPr>
          <w:lang w:val="es-ES_tradnl"/>
        </w:rPr>
        <w:t xml:space="preserve"> Sala Penal </w:t>
      </w:r>
      <w:r w:rsidR="00FE7518" w:rsidRPr="000F2ED3">
        <w:rPr>
          <w:lang w:val="es-ES_tradnl"/>
        </w:rPr>
        <w:t xml:space="preserve">de la CSJ </w:t>
      </w:r>
      <w:r w:rsidR="006C2F9E" w:rsidRPr="000F2ED3">
        <w:rPr>
          <w:lang w:val="es-ES_tradnl"/>
        </w:rPr>
        <w:t>investiga y acusa ante sí misma a un miembro del Congreso</w:t>
      </w:r>
      <w:r w:rsidR="00FE7518" w:rsidRPr="000F2ED3">
        <w:rPr>
          <w:lang w:val="es-ES_tradnl"/>
        </w:rPr>
        <w:t xml:space="preserve">, no existiendo una separación funcional entre quien investiga y quien juzga. Por tanto, son los mismos magistrados que realizan la investigación, califican el proceso, llaman a juicio y finalmente acuerdan </w:t>
      </w:r>
      <w:r w:rsidR="00DF4055" w:rsidRPr="000F2ED3">
        <w:rPr>
          <w:lang w:val="es-ES_tradnl"/>
        </w:rPr>
        <w:t>la sentencia y eventual condena</w:t>
      </w:r>
      <w:r w:rsidR="006C2F9E" w:rsidRPr="000F2ED3">
        <w:rPr>
          <w:lang w:val="es-ES_tradnl"/>
        </w:rPr>
        <w:t xml:space="preserve"> en violación del derecho a un tribunal imparcial establecido en el artículo 14(1) del Pacto. </w:t>
      </w:r>
    </w:p>
    <w:p w:rsidR="000C71C9" w:rsidRPr="000F2ED3" w:rsidRDefault="00273B99" w:rsidP="006C2F9E">
      <w:pPr>
        <w:pStyle w:val="SingleTxtG"/>
        <w:rPr>
          <w:lang w:val="es-ES_tradnl"/>
        </w:rPr>
      </w:pPr>
      <w:r>
        <w:rPr>
          <w:lang w:val="es-ES_tradnl"/>
        </w:rPr>
        <w:t>3.4</w:t>
      </w:r>
      <w:r w:rsidR="00DF4055" w:rsidRPr="000F2ED3">
        <w:rPr>
          <w:lang w:val="es-ES_tradnl"/>
        </w:rPr>
        <w:tab/>
      </w:r>
      <w:r w:rsidR="000C71C9" w:rsidRPr="000F2ED3">
        <w:rPr>
          <w:lang w:val="es-ES_tradnl"/>
        </w:rPr>
        <w:t>El autor alega que el Estado parte violó su derecho a la presunción de inocencia establecido en el artículo 14(2) del Pacto, toda vez que fue condenado debido a que supuestamente amenazó a la Sra. Y.M. con el fin de que ella apoye el proyecto sobre reelección presidencial</w:t>
      </w:r>
      <w:r w:rsidR="0031297D" w:rsidRPr="000F2ED3">
        <w:rPr>
          <w:lang w:val="es-ES_tradnl"/>
        </w:rPr>
        <w:t>, sin que exista prueba suficiente que indicara con certeza que en efecto esto sucedió</w:t>
      </w:r>
      <w:r w:rsidR="000C71C9" w:rsidRPr="000F2ED3">
        <w:rPr>
          <w:lang w:val="es-ES_tradnl"/>
        </w:rPr>
        <w:t>. Al respecto, el autor sostiene que durante el proceso penal se demostró que él nunca condicionó o limitó a la Sra. Y.M. en el ejercicio de sus funciones, incluso por medio de la declaración de la propia Sra. Y.M. as</w:t>
      </w:r>
      <w:r w:rsidR="00291E1D" w:rsidRPr="000F2ED3">
        <w:rPr>
          <w:lang w:val="es-ES_tradnl"/>
        </w:rPr>
        <w:t>í como del</w:t>
      </w:r>
      <w:r w:rsidR="0031297D" w:rsidRPr="000F2ED3">
        <w:rPr>
          <w:lang w:val="es-ES_tradnl"/>
        </w:rPr>
        <w:t xml:space="preserve"> testigo</w:t>
      </w:r>
      <w:r w:rsidR="00291E1D" w:rsidRPr="000F2ED3">
        <w:rPr>
          <w:lang w:val="es-ES_tradnl"/>
        </w:rPr>
        <w:t xml:space="preserve"> C.G</w:t>
      </w:r>
      <w:r w:rsidR="0031297D" w:rsidRPr="000F2ED3">
        <w:rPr>
          <w:lang w:val="es-ES_tradnl"/>
        </w:rPr>
        <w:t xml:space="preserve">. </w:t>
      </w:r>
      <w:r w:rsidR="006334E3" w:rsidRPr="000F2ED3">
        <w:rPr>
          <w:lang w:val="es-ES_tradnl"/>
        </w:rPr>
        <w:t>E</w:t>
      </w:r>
      <w:r w:rsidR="0031297D" w:rsidRPr="000F2ED3">
        <w:rPr>
          <w:lang w:val="es-ES_tradnl"/>
        </w:rPr>
        <w:t>l propio Ministerio Público, que inicialmente apoyó la acusación, señaló que a la luz de la “evolución probatoria” durante el proceso, no existía prueba suficiente para acordar una sentencia condenatoria ya que no existía certeza del hecho ni de la responsabilidad del acusado.</w:t>
      </w:r>
      <w:r w:rsidR="00291E1D" w:rsidRPr="000F2ED3">
        <w:rPr>
          <w:lang w:val="es-ES_tradnl"/>
        </w:rPr>
        <w:t xml:space="preserve"> Ante las distintas versiones en las declaraciones de la Sra. Y.M. y del Sr. C.G., la Sala Penal simplemente concluyó que estos testigos demostraban ánimo de favorecer al autor al “armonizar” sus declaraciones</w:t>
      </w:r>
      <w:r w:rsidR="00F01613" w:rsidRPr="000F2ED3">
        <w:rPr>
          <w:lang w:val="es-ES_tradnl"/>
        </w:rPr>
        <w:t>. Por esta conclusión</w:t>
      </w:r>
      <w:r w:rsidR="00291E1D" w:rsidRPr="000F2ED3">
        <w:rPr>
          <w:lang w:val="es-ES_tradnl"/>
        </w:rPr>
        <w:t xml:space="preserve">, </w:t>
      </w:r>
      <w:r w:rsidR="00F01613" w:rsidRPr="000F2ED3">
        <w:rPr>
          <w:lang w:val="es-ES_tradnl"/>
        </w:rPr>
        <w:t xml:space="preserve">la Sala Penal violó el </w:t>
      </w:r>
      <w:r w:rsidR="00291E1D" w:rsidRPr="000F2ED3">
        <w:rPr>
          <w:lang w:val="es-ES_tradnl"/>
        </w:rPr>
        <w:t xml:space="preserve">principio de presunción de inocencia. </w:t>
      </w:r>
      <w:r w:rsidR="00DF4055" w:rsidRPr="000F2ED3">
        <w:rPr>
          <w:lang w:val="es-ES_tradnl"/>
        </w:rPr>
        <w:t>Más</w:t>
      </w:r>
      <w:r w:rsidR="006334E3" w:rsidRPr="000F2ED3">
        <w:rPr>
          <w:lang w:val="es-ES_tradnl"/>
        </w:rPr>
        <w:t xml:space="preserve"> aún, no realizó una valoración adecuada de la prueba y su apreciación de la misma no estaba </w:t>
      </w:r>
      <w:r w:rsidR="0097722F" w:rsidRPr="000F2ED3">
        <w:rPr>
          <w:lang w:val="es-ES_tradnl"/>
        </w:rPr>
        <w:t>suficientemente</w:t>
      </w:r>
      <w:r w:rsidR="006334E3" w:rsidRPr="000F2ED3">
        <w:rPr>
          <w:lang w:val="es-ES_tradnl"/>
        </w:rPr>
        <w:t xml:space="preserve"> fundamentada. </w:t>
      </w:r>
    </w:p>
    <w:p w:rsidR="003A3D76" w:rsidRPr="000F2ED3" w:rsidRDefault="00DF4055" w:rsidP="003A3D76">
      <w:pPr>
        <w:pStyle w:val="SingleTxtG"/>
        <w:rPr>
          <w:lang w:val="es-ES_tradnl"/>
        </w:rPr>
      </w:pPr>
      <w:r w:rsidRPr="000F2ED3">
        <w:rPr>
          <w:lang w:val="es-ES_tradnl"/>
        </w:rPr>
        <w:t>3.5</w:t>
      </w:r>
      <w:r w:rsidR="00DA14D0" w:rsidRPr="000F2ED3">
        <w:rPr>
          <w:lang w:val="es-ES_tradnl"/>
        </w:rPr>
        <w:tab/>
      </w:r>
      <w:r w:rsidR="003A3D76" w:rsidRPr="000F2ED3">
        <w:rPr>
          <w:lang w:val="es-ES_tradnl"/>
        </w:rPr>
        <w:t xml:space="preserve">El proceso penal contra miembros del Congreso de la República también constituye una violación del artículo 14(5) del Pacto, toda vez que </w:t>
      </w:r>
      <w:r w:rsidRPr="000F2ED3">
        <w:rPr>
          <w:lang w:val="es-ES_tradnl"/>
        </w:rPr>
        <w:t>el fallo condenatorio y la pena</w:t>
      </w:r>
      <w:r w:rsidR="003A3D76" w:rsidRPr="000F2ED3">
        <w:rPr>
          <w:lang w:val="es-ES_tradnl"/>
        </w:rPr>
        <w:t xml:space="preserve"> establecida por la Sala Penal de la CSJ no puede ser apelada ante </w:t>
      </w:r>
      <w:r w:rsidRPr="000F2ED3">
        <w:rPr>
          <w:lang w:val="es-ES_tradnl"/>
        </w:rPr>
        <w:t>un tribunal superior</w:t>
      </w:r>
      <w:r w:rsidR="003A3D76" w:rsidRPr="000F2ED3">
        <w:rPr>
          <w:lang w:val="es-ES_tradnl"/>
        </w:rPr>
        <w:t>. A pesar de que no existe impedimento para que la CSJ esta</w:t>
      </w:r>
      <w:r w:rsidRPr="000F2ED3">
        <w:rPr>
          <w:lang w:val="es-ES_tradnl"/>
        </w:rPr>
        <w:t>blezca a través de su reglamento</w:t>
      </w:r>
      <w:r w:rsidR="003A3D76" w:rsidRPr="000F2ED3">
        <w:rPr>
          <w:lang w:val="es-ES_tradnl"/>
        </w:rPr>
        <w:t xml:space="preserve"> un mecanismo que permita la revisión de la sentencia y condena en segunda instancia, en el momento en que la comunicación fue presentada al Comité no existía ningún mecanismo de </w:t>
      </w:r>
      <w:r w:rsidR="003A3D76" w:rsidRPr="000F2ED3">
        <w:rPr>
          <w:lang w:val="es-ES_tradnl"/>
        </w:rPr>
        <w:lastRenderedPageBreak/>
        <w:t xml:space="preserve">este tipo. </w:t>
      </w:r>
      <w:r w:rsidR="00DA14D0" w:rsidRPr="000F2ED3">
        <w:rPr>
          <w:lang w:val="es-ES_tradnl"/>
        </w:rPr>
        <w:t xml:space="preserve">Así, pues, en su caso, el autor no tuvo a disposición la posibilidad de apelar la sentencia y condena </w:t>
      </w:r>
      <w:r w:rsidR="00F01613" w:rsidRPr="000F2ED3">
        <w:rPr>
          <w:lang w:val="es-ES_tradnl"/>
        </w:rPr>
        <w:t xml:space="preserve">adoptadas </w:t>
      </w:r>
      <w:r w:rsidR="00DA14D0" w:rsidRPr="000F2ED3">
        <w:rPr>
          <w:lang w:val="es-ES_tradnl"/>
        </w:rPr>
        <w:t>en su contra.</w:t>
      </w:r>
    </w:p>
    <w:p w:rsidR="00DC0373" w:rsidRPr="000F2ED3" w:rsidRDefault="001B2476" w:rsidP="00273B99">
      <w:pPr>
        <w:pStyle w:val="SingleTxtG"/>
        <w:keepNext/>
        <w:keepLines/>
        <w:rPr>
          <w:lang w:val="es-ES_tradnl"/>
        </w:rPr>
      </w:pPr>
      <w:r w:rsidRPr="000F2ED3">
        <w:rPr>
          <w:lang w:val="es-ES_tradnl"/>
        </w:rPr>
        <w:t>3.6</w:t>
      </w:r>
      <w:r w:rsidR="00DC0373" w:rsidRPr="000F2ED3">
        <w:rPr>
          <w:lang w:val="es-ES_tradnl"/>
        </w:rPr>
        <w:tab/>
        <w:t xml:space="preserve">El autor </w:t>
      </w:r>
      <w:r w:rsidR="00F01613" w:rsidRPr="000F2ED3">
        <w:rPr>
          <w:lang w:val="es-ES_tradnl"/>
        </w:rPr>
        <w:t xml:space="preserve">considera </w:t>
      </w:r>
      <w:proofErr w:type="gramStart"/>
      <w:r w:rsidR="00DC0373" w:rsidRPr="000F2ED3">
        <w:rPr>
          <w:lang w:val="es-ES_tradnl"/>
        </w:rPr>
        <w:t>que</w:t>
      </w:r>
      <w:proofErr w:type="gramEnd"/>
      <w:r w:rsidR="00DC0373" w:rsidRPr="000F2ED3">
        <w:rPr>
          <w:lang w:val="es-ES_tradnl"/>
        </w:rPr>
        <w:t xml:space="preserve"> en el momento de los hechos, la CSJ rechazaba toda acción de tutela en la que se alegaba que una sentencia o actuación procesal de la propia CSJ violaba derechos humanos, y que esta práctica constituye una violación del artículo 2(3</w:t>
      </w:r>
      <w:r w:rsidR="00A40DA1" w:rsidRPr="000F2ED3">
        <w:rPr>
          <w:lang w:val="es-ES_tradnl"/>
        </w:rPr>
        <w:t>) del Pacto</w:t>
      </w:r>
      <w:r w:rsidR="00DC0373" w:rsidRPr="000F2ED3">
        <w:rPr>
          <w:lang w:val="es-ES_tradnl"/>
        </w:rPr>
        <w:t>.</w:t>
      </w:r>
    </w:p>
    <w:p w:rsidR="0097722F" w:rsidRPr="000F2ED3" w:rsidRDefault="00701BF5" w:rsidP="003A3D76">
      <w:pPr>
        <w:pStyle w:val="SingleTxtG"/>
        <w:rPr>
          <w:lang w:val="es-ES_tradnl"/>
        </w:rPr>
      </w:pPr>
      <w:r>
        <w:rPr>
          <w:lang w:val="es-ES_tradnl"/>
        </w:rPr>
        <w:t>3.7</w:t>
      </w:r>
      <w:r w:rsidR="001B2476" w:rsidRPr="000F2ED3">
        <w:rPr>
          <w:lang w:val="es-ES_tradnl"/>
        </w:rPr>
        <w:tab/>
      </w:r>
      <w:r w:rsidR="0097722F" w:rsidRPr="000F2ED3">
        <w:rPr>
          <w:lang w:val="es-ES_tradnl"/>
        </w:rPr>
        <w:t xml:space="preserve">El autor sostiene que el proceso penal seguido en su contra, en violación de sus derechos humanos, y las consecuencias que se derivan del mismo, le ocasionaron daños materiales e inmateriales. </w:t>
      </w:r>
      <w:r w:rsidR="006513BC" w:rsidRPr="000F2ED3">
        <w:rPr>
          <w:lang w:val="es-ES_tradnl"/>
        </w:rPr>
        <w:t xml:space="preserve">Por tanto, solicita como reparaciones que el Comité declare las violaciones de sus derechos bajo el Pacto; que el Estado parte informe a la opinión pública sobre la decisión del Comité, en el mismo número de publicaciones y en los mismos medios en lo que fue tratado como un criminal debido a la sentencia de la Sala Penal; que se le otorgue una indemnización que comprenda los daños materiales e inmateriales, de acuerdo a las alegaciones presentadas en su comunicación al respecto; y que se solicite al Estado parte medidas de no repetición. </w:t>
      </w:r>
    </w:p>
    <w:p w:rsidR="000D2405" w:rsidRPr="000F2ED3" w:rsidRDefault="00701BF5" w:rsidP="00701BF5">
      <w:pPr>
        <w:pStyle w:val="H23G"/>
        <w:rPr>
          <w:lang w:val="es-ES_tradnl"/>
        </w:rPr>
      </w:pPr>
      <w:r>
        <w:rPr>
          <w:lang w:val="es-ES_tradnl"/>
        </w:rPr>
        <w:tab/>
      </w:r>
      <w:r>
        <w:rPr>
          <w:lang w:val="es-ES_tradnl"/>
        </w:rPr>
        <w:tab/>
      </w:r>
      <w:r w:rsidR="000D2405" w:rsidRPr="000F2ED3">
        <w:rPr>
          <w:lang w:val="es-ES_tradnl"/>
        </w:rPr>
        <w:t xml:space="preserve">Observaciones del Estado parte sobre </w:t>
      </w:r>
      <w:r w:rsidR="00FF31A5" w:rsidRPr="000F2ED3">
        <w:rPr>
          <w:lang w:val="es-ES_tradnl"/>
        </w:rPr>
        <w:t>la admisibilidad</w:t>
      </w:r>
      <w:r w:rsidR="003A59F5" w:rsidRPr="000F2ED3">
        <w:rPr>
          <w:lang w:val="es-ES_tradnl"/>
        </w:rPr>
        <w:t xml:space="preserve"> </w:t>
      </w:r>
    </w:p>
    <w:p w:rsidR="00655464" w:rsidRPr="000F2ED3" w:rsidRDefault="000D2405" w:rsidP="00655464">
      <w:pPr>
        <w:pStyle w:val="SingleTxtG"/>
      </w:pPr>
      <w:r w:rsidRPr="000F2ED3">
        <w:rPr>
          <w:lang w:val="es-ES_tradnl"/>
        </w:rPr>
        <w:t>4.1</w:t>
      </w:r>
      <w:r w:rsidRPr="000F2ED3">
        <w:rPr>
          <w:lang w:val="es-ES_tradnl"/>
        </w:rPr>
        <w:tab/>
      </w:r>
      <w:r w:rsidR="00235398" w:rsidRPr="000F2ED3">
        <w:rPr>
          <w:lang w:val="es-ES_tradnl"/>
        </w:rPr>
        <w:t>Mediante nota verbal de</w:t>
      </w:r>
      <w:r w:rsidR="00655464" w:rsidRPr="000F2ED3">
        <w:rPr>
          <w:lang w:val="es-ES_tradnl"/>
        </w:rPr>
        <w:t xml:space="preserve"> 8 de octubre de 2014,</w:t>
      </w:r>
      <w:r w:rsidR="00A456FC" w:rsidRPr="000F2ED3">
        <w:rPr>
          <w:lang w:val="es-ES_tradnl"/>
        </w:rPr>
        <w:t xml:space="preserve"> </w:t>
      </w:r>
      <w:r w:rsidR="00655464" w:rsidRPr="000F2ED3">
        <w:t xml:space="preserve">el Estado parte formuló sus observaciones sobre la admisibilidad de la comunicación y solicitó al Comité que sea declarada inadmisible. </w:t>
      </w:r>
    </w:p>
    <w:p w:rsidR="00B91E2F" w:rsidRPr="000F2ED3" w:rsidRDefault="00701BF5" w:rsidP="005F7A7B">
      <w:pPr>
        <w:pStyle w:val="SingleTxtG"/>
      </w:pPr>
      <w:r>
        <w:t>4.2</w:t>
      </w:r>
      <w:r w:rsidR="0027494C" w:rsidRPr="000F2ED3">
        <w:tab/>
      </w:r>
      <w:r w:rsidR="00851835" w:rsidRPr="000F2ED3">
        <w:t>El Estado parte presenta una detallada descripción sobre las normas de la Constitución, las disposiciones legales y jurisprudencia</w:t>
      </w:r>
      <w:r w:rsidR="00841D02" w:rsidRPr="000F2ED3">
        <w:t xml:space="preserve"> de sus tribunales</w:t>
      </w:r>
      <w:r w:rsidR="00851835" w:rsidRPr="000F2ED3">
        <w:t xml:space="preserve"> s</w:t>
      </w:r>
      <w:r w:rsidR="0033078A" w:rsidRPr="000F2ED3">
        <w:t>obre el fuero de parlamentarios</w:t>
      </w:r>
      <w:r w:rsidR="00585BDD" w:rsidRPr="000F2ED3">
        <w:t xml:space="preserve"> y</w:t>
      </w:r>
      <w:r w:rsidR="00561DF3" w:rsidRPr="000F2ED3">
        <w:t xml:space="preserve"> los procesos de investigación y juzgamiento en materia penal, a cargo de la Sala Penal de la CSJ.</w:t>
      </w:r>
      <w:r w:rsidR="00851835" w:rsidRPr="000F2ED3">
        <w:t xml:space="preserve"> </w:t>
      </w:r>
      <w:r w:rsidR="0033078A" w:rsidRPr="000F2ED3">
        <w:t xml:space="preserve">En los procesos de investigación y juzgamiento de los congresistas </w:t>
      </w:r>
      <w:r w:rsidR="00B91E2F" w:rsidRPr="000F2ED3">
        <w:t xml:space="preserve">en materia </w:t>
      </w:r>
      <w:r w:rsidR="0033078A" w:rsidRPr="000F2ED3">
        <w:t>penal, los artículos 186, 234 y 235 de la Constitución establecen que el juez natural es la CSJ</w:t>
      </w:r>
      <w:r w:rsidR="00B91E2F" w:rsidRPr="000F2ED3">
        <w:t>.</w:t>
      </w:r>
    </w:p>
    <w:p w:rsidR="00655464" w:rsidRPr="000F2ED3" w:rsidRDefault="003D3740" w:rsidP="005F7A7B">
      <w:pPr>
        <w:pStyle w:val="SingleTxtG"/>
      </w:pPr>
      <w:r>
        <w:t>4.3</w:t>
      </w:r>
      <w:r w:rsidR="00B91E2F" w:rsidRPr="000F2ED3">
        <w:tab/>
        <w:t>Las competencias para el juzgamiento de los congresistas están determinadas por un marco normativo que garantiza el derecho al debido proceso, que se lleva a cabo ante el máximo órgano judicial en materia penal, la S</w:t>
      </w:r>
      <w:r w:rsidR="00585BDD" w:rsidRPr="000F2ED3">
        <w:t>ala de Casación Penal de la CSJ</w:t>
      </w:r>
      <w:r w:rsidR="00B91E2F" w:rsidRPr="000F2ED3">
        <w:t>. El Estado parte se refiere a la jurisprudencia de su Corte Constitucional</w:t>
      </w:r>
      <w:r w:rsidR="00B91E2F" w:rsidRPr="000F2ED3">
        <w:rPr>
          <w:rStyle w:val="FootnoteReference"/>
        </w:rPr>
        <w:footnoteReference w:id="6"/>
      </w:r>
      <w:r w:rsidR="00B91E2F" w:rsidRPr="000F2ED3">
        <w:t xml:space="preserve"> y sostiene que el principio de la doble instancia penal no es absoluto, pues no hace parte del núcleo esencial de</w:t>
      </w:r>
      <w:r w:rsidR="00585BDD" w:rsidRPr="000F2ED3">
        <w:t>l derecho al debido proce</w:t>
      </w:r>
      <w:r w:rsidR="004F5755" w:rsidRPr="000F2ED3">
        <w:t>so. Este principio puede tener</w:t>
      </w:r>
      <w:r w:rsidR="00B91E2F" w:rsidRPr="000F2ED3">
        <w:t xml:space="preserve"> excepciones, siempre que estas sean razonables y proporcionales y observen el derecho a la igualdad y al debido proceso sustancial.</w:t>
      </w:r>
      <w:r w:rsidR="00FE6085" w:rsidRPr="000F2ED3">
        <w:t xml:space="preserve"> La finalidad del fuero de los congresistas es, entre otro, el de servir de garantía de la independencia, autonomía y funcionamiento ordenado de los órganos del Estado a los que sirven los funcionarios aforados; y garantizar la independencia e imparcialidad del juez en el proceso. Por ello, el fuero no entraña un privilegio personal estab</w:t>
      </w:r>
      <w:r>
        <w:t>lecido a favor de los aforados.</w:t>
      </w:r>
    </w:p>
    <w:p w:rsidR="0001528F" w:rsidRPr="000F2ED3" w:rsidRDefault="003D3740" w:rsidP="005F7A7B">
      <w:pPr>
        <w:pStyle w:val="SingleTxtG"/>
      </w:pPr>
      <w:r>
        <w:t>4.4</w:t>
      </w:r>
      <w:r w:rsidR="004F5755" w:rsidRPr="000F2ED3">
        <w:tab/>
      </w:r>
      <w:r w:rsidR="0001528F" w:rsidRPr="000F2ED3">
        <w:t>De los tratados de derechos humanos no se deduce un mandato a establecer la doble instancia en los procesos penales relativos a altos funcionarios aforados. Los Estados partes gozan de un amplio margen para configurar los procedimientos y para diseñar los mecanismos eficaces de protección de los derechos sin que se requiera que en los casos de los altos funcionarios aforados necesariamente tenga una segunda instancia penal. El juzgamiento de estas personas</w:t>
      </w:r>
      <w:r w:rsidR="004F5755" w:rsidRPr="000F2ED3">
        <w:t>, en calidad de altos funcionarios aforados,</w:t>
      </w:r>
      <w:r w:rsidR="0001528F" w:rsidRPr="000F2ED3">
        <w:t xml:space="preserve"> por el órgano de más alta instancia en materia penal es en sí misma una forma de garantizar de manera integral el debido proceso. </w:t>
      </w:r>
      <w:r w:rsidR="006D263E" w:rsidRPr="000F2ED3">
        <w:t xml:space="preserve">El Estado parte </w:t>
      </w:r>
      <w:r w:rsidR="004F5755" w:rsidRPr="000F2ED3">
        <w:t>mantiene</w:t>
      </w:r>
      <w:r w:rsidR="006D263E" w:rsidRPr="000F2ED3">
        <w:t xml:space="preserve"> que de la redacción del artículo 14(5) del Pacto no se deduce taxativamente la formulación de una “segunda instancia”, ya que el tex</w:t>
      </w:r>
      <w:r w:rsidR="009D3162" w:rsidRPr="000F2ED3">
        <w:t>t</w:t>
      </w:r>
      <w:r w:rsidR="006D263E" w:rsidRPr="000F2ED3">
        <w:t xml:space="preserve">o </w:t>
      </w:r>
      <w:r w:rsidR="00A27797" w:rsidRPr="000F2ED3">
        <w:t xml:space="preserve">hace </w:t>
      </w:r>
      <w:r w:rsidR="006D263E" w:rsidRPr="000F2ED3">
        <w:t xml:space="preserve">literalmente </w:t>
      </w:r>
      <w:r w:rsidR="00A27797" w:rsidRPr="000F2ED3">
        <w:t xml:space="preserve">referencia al </w:t>
      </w:r>
      <w:r w:rsidR="006D263E" w:rsidRPr="000F2ED3">
        <w:t>“tribunal superior”. Esta redacción puede interpretarse en el sentido que la mención a “tribunal superior” implica la necesidad de que el caso sea conocido por u</w:t>
      </w:r>
      <w:r w:rsidR="008D356F" w:rsidRPr="000F2ED3">
        <w:t xml:space="preserve">n </w:t>
      </w:r>
      <w:r w:rsidR="008D356F" w:rsidRPr="000F2ED3">
        <w:lastRenderedPageBreak/>
        <w:t>tribunal con mayores cualidades académicas y profesionales</w:t>
      </w:r>
      <w:r w:rsidR="006D263E" w:rsidRPr="000F2ED3">
        <w:t xml:space="preserve">, que garanticen una correcta valoración de los asuntos puestos a su consideración. </w:t>
      </w:r>
      <w:r w:rsidR="009D3162" w:rsidRPr="000F2ED3">
        <w:t xml:space="preserve">Además, debe tenerse en cuenta que no se trata del juzgamiento de particulares sino de los más altos funcionarios, como son los parlamentarios. </w:t>
      </w:r>
    </w:p>
    <w:p w:rsidR="00BB0C33" w:rsidRPr="000F2ED3" w:rsidRDefault="00B543CC" w:rsidP="0051442D">
      <w:pPr>
        <w:pStyle w:val="SingleTxtG"/>
      </w:pPr>
      <w:r>
        <w:t>4.5</w:t>
      </w:r>
      <w:r w:rsidR="004F5755" w:rsidRPr="000F2ED3">
        <w:tab/>
      </w:r>
      <w:r w:rsidR="00BB0C33" w:rsidRPr="000F2ED3">
        <w:t xml:space="preserve">En atención a lo anterior, </w:t>
      </w:r>
      <w:r w:rsidR="004F5755" w:rsidRPr="000F2ED3">
        <w:t>los dictámenes</w:t>
      </w:r>
      <w:r w:rsidR="00BB0C33" w:rsidRPr="000F2ED3">
        <w:t xml:space="preserve"> del Comité con relación a la</w:t>
      </w:r>
      <w:r w:rsidR="0051442D" w:rsidRPr="000F2ED3">
        <w:t>s</w:t>
      </w:r>
      <w:r w:rsidR="00BB0C33" w:rsidRPr="000F2ED3">
        <w:t xml:space="preserve"> comunicaci</w:t>
      </w:r>
      <w:r w:rsidR="0051442D" w:rsidRPr="000F2ED3">
        <w:t xml:space="preserve">ones </w:t>
      </w:r>
      <w:r w:rsidR="004F5755" w:rsidRPr="000F2ED3">
        <w:t>No 64/</w:t>
      </w:r>
      <w:r w:rsidR="0051442D" w:rsidRPr="000F2ED3">
        <w:t xml:space="preserve">1979, Salgar de Motejo c. Colombia, y </w:t>
      </w:r>
      <w:r w:rsidR="004F5755" w:rsidRPr="000F2ED3">
        <w:t xml:space="preserve">No. </w:t>
      </w:r>
      <w:r w:rsidR="0051442D" w:rsidRPr="000F2ED3">
        <w:t xml:space="preserve">1211/2003, </w:t>
      </w:r>
      <w:proofErr w:type="spellStart"/>
      <w:r w:rsidR="0051442D" w:rsidRPr="000F2ED3">
        <w:t>Oliveró</w:t>
      </w:r>
      <w:proofErr w:type="spellEnd"/>
      <w:r w:rsidR="0051442D" w:rsidRPr="000F2ED3">
        <w:t xml:space="preserve"> </w:t>
      </w:r>
      <w:proofErr w:type="spellStart"/>
      <w:r w:rsidR="0051442D" w:rsidRPr="000F2ED3">
        <w:t>Capellades</w:t>
      </w:r>
      <w:proofErr w:type="spellEnd"/>
      <w:r w:rsidR="0051442D" w:rsidRPr="000F2ED3">
        <w:t xml:space="preserve"> c. España, </w:t>
      </w:r>
      <w:r w:rsidR="00FB605E" w:rsidRPr="000F2ED3">
        <w:t xml:space="preserve">entre otros, </w:t>
      </w:r>
      <w:r w:rsidR="0051442D" w:rsidRPr="000F2ED3">
        <w:t>no son pertinentes toda vez que los autores de las comunicaciones no tenían el estatus de parlamentaria(o)</w:t>
      </w:r>
      <w:r w:rsidR="008E444C" w:rsidRPr="000F2ED3">
        <w:t xml:space="preserve"> y el Comité no tuvo oportunidad de analizar las particularidades de los procesos penales de congresistas</w:t>
      </w:r>
      <w:r w:rsidR="0051442D" w:rsidRPr="000F2ED3">
        <w:t xml:space="preserve">. </w:t>
      </w:r>
    </w:p>
    <w:p w:rsidR="00D4607E" w:rsidRPr="000F2ED3" w:rsidRDefault="004F5755" w:rsidP="00D4607E">
      <w:pPr>
        <w:pStyle w:val="SingleTxtG"/>
      </w:pPr>
      <w:r w:rsidRPr="000F2ED3">
        <w:t>4.6</w:t>
      </w:r>
      <w:r w:rsidR="000C13F4" w:rsidRPr="000F2ED3">
        <w:tab/>
        <w:t>En el caso del autor</w:t>
      </w:r>
      <w:r w:rsidR="00FE6085" w:rsidRPr="000F2ED3">
        <w:t>, el 20 de mayo de 2008, la Sala Penal de la CSJ dispuso abrir investigación formal</w:t>
      </w:r>
      <w:r w:rsidR="00A27797" w:rsidRPr="000F2ED3">
        <w:t xml:space="preserve"> en su</w:t>
      </w:r>
      <w:r w:rsidR="00FE6085" w:rsidRPr="000F2ED3">
        <w:t xml:space="preserve"> contra por el delito de concusión, en virtud de los artículos de la Constitución citados anteriormente y del artículo 32</w:t>
      </w:r>
      <w:r w:rsidR="00A27797" w:rsidRPr="000F2ED3">
        <w:t xml:space="preserve"> del</w:t>
      </w:r>
      <w:r w:rsidR="00FE6085" w:rsidRPr="000F2ED3">
        <w:t xml:space="preserve"> Código de Procedimiento Penal (Ley 906 de 2004). El autor hizo uso de los recursos disponible</w:t>
      </w:r>
      <w:r w:rsidR="00A27797" w:rsidRPr="000F2ED3">
        <w:t>s</w:t>
      </w:r>
      <w:r w:rsidR="00FE6085" w:rsidRPr="000F2ED3">
        <w:t xml:space="preserve"> para objetar la competencia de la Sala Penal, sin éxito. Incluso </w:t>
      </w:r>
      <w:r w:rsidR="00712342" w:rsidRPr="000F2ED3">
        <w:t xml:space="preserve">interpuso una acción de tutela ante la Sala Jurisdiccional Disciplinaria del Consejo Superior de la Judicatura, que fue finalmente desestimado por la Corte Constitucional el 18 de diciembre de 2009, concluyendo que no se había violado el derecho al debido proceso del autor. </w:t>
      </w:r>
      <w:r w:rsidR="00DC3432" w:rsidRPr="000F2ED3">
        <w:t>El Estado parte sostiene que</w:t>
      </w:r>
      <w:r w:rsidR="00A27797" w:rsidRPr="000F2ED3">
        <w:t>,</w:t>
      </w:r>
      <w:r w:rsidR="00DC3432" w:rsidRPr="000F2ED3">
        <w:t xml:space="preserve"> si bien el autor fue juzgado por una única instancia en materia penal, por vía de acción de tutela, su caso fue también analizado y juzgado por otros tribunales, como el Consejo Seccional de la Judicatura de Cundinamarca – Sala Jurisdiccional Disciplinaria, Consejo Superior de la Judicatura y Corte Constitucional. </w:t>
      </w:r>
    </w:p>
    <w:p w:rsidR="00FE6085" w:rsidRPr="000F2ED3" w:rsidRDefault="00B543CC" w:rsidP="00D4607E">
      <w:pPr>
        <w:pStyle w:val="SingleTxtG"/>
      </w:pPr>
      <w:r>
        <w:t>4.7</w:t>
      </w:r>
      <w:r w:rsidR="000C13F4" w:rsidRPr="000F2ED3">
        <w:tab/>
      </w:r>
      <w:r w:rsidR="00D4607E" w:rsidRPr="000F2ED3">
        <w:t xml:space="preserve">El Estado parte sostiene que </w:t>
      </w:r>
      <w:r w:rsidR="00355667" w:rsidRPr="000F2ED3">
        <w:t>las alegaciones del autor</w:t>
      </w:r>
      <w:r w:rsidR="00D4607E" w:rsidRPr="000F2ED3">
        <w:t xml:space="preserve"> sobre </w:t>
      </w:r>
      <w:r w:rsidR="00355667" w:rsidRPr="000F2ED3">
        <w:t xml:space="preserve">los efectos de </w:t>
      </w:r>
      <w:r w:rsidR="00D4607E" w:rsidRPr="000F2ED3">
        <w:t xml:space="preserve">la licencia temporal no remunerada </w:t>
      </w:r>
      <w:r w:rsidR="00A27797" w:rsidRPr="000F2ED3">
        <w:t>que tenía en el momento de los hechos</w:t>
      </w:r>
      <w:r w:rsidR="00D4607E" w:rsidRPr="000F2ED3">
        <w:t xml:space="preserve"> </w:t>
      </w:r>
      <w:r w:rsidR="00355667" w:rsidRPr="000F2ED3">
        <w:t xml:space="preserve">y las conclusiones a las que llegaron </w:t>
      </w:r>
      <w:r w:rsidR="00A27797" w:rsidRPr="000F2ED3">
        <w:t>las jurisdicciones nacionales</w:t>
      </w:r>
      <w:r w:rsidR="00355667" w:rsidRPr="000F2ED3">
        <w:t xml:space="preserve"> </w:t>
      </w:r>
      <w:r w:rsidR="00D4607E" w:rsidRPr="000F2ED3">
        <w:t xml:space="preserve">no </w:t>
      </w:r>
      <w:r w:rsidR="00355667" w:rsidRPr="000F2ED3">
        <w:t>son</w:t>
      </w:r>
      <w:r w:rsidR="00D4607E" w:rsidRPr="000F2ED3">
        <w:t xml:space="preserve"> relevante</w:t>
      </w:r>
      <w:r w:rsidR="00355667" w:rsidRPr="000F2ED3">
        <w:t>s</w:t>
      </w:r>
      <w:r w:rsidR="00D4607E" w:rsidRPr="000F2ED3">
        <w:t xml:space="preserve"> para el examen de la comunicación</w:t>
      </w:r>
      <w:r w:rsidR="00355667" w:rsidRPr="000F2ED3">
        <w:t xml:space="preserve">. Además, el Comité carece de competencia para cuestionar </w:t>
      </w:r>
      <w:r w:rsidR="00D4607E" w:rsidRPr="000F2ED3">
        <w:t>el examen y evaluación de sus tribunales</w:t>
      </w:r>
      <w:r w:rsidR="00355667" w:rsidRPr="000F2ED3">
        <w:t xml:space="preserve"> al respecto</w:t>
      </w:r>
      <w:r w:rsidR="00D4607E" w:rsidRPr="000F2ED3">
        <w:t xml:space="preserve">. </w:t>
      </w:r>
      <w:r w:rsidR="002105DB" w:rsidRPr="000F2ED3">
        <w:t>En cualquier caso, en virtud de los artículos 261 de la Constitución y 262 de la Ley 5 de 1992, Reglamento del Congreso, la jurisprudencia de la CSJ ha señalado que el congresista que disfrute de una licencia temporal, sigue vinculado al ser</w:t>
      </w:r>
      <w:r w:rsidR="004F7D99">
        <w:t xml:space="preserve">vicio y conserva su investidura </w:t>
      </w:r>
      <w:r w:rsidR="002105DB" w:rsidRPr="000F2ED3">
        <w:rPr>
          <w:rStyle w:val="FootnoteReference"/>
        </w:rPr>
        <w:footnoteReference w:id="7"/>
      </w:r>
      <w:r w:rsidR="004F7D99">
        <w:t>.</w:t>
      </w:r>
      <w:r w:rsidR="002105DB" w:rsidRPr="000F2ED3">
        <w:t xml:space="preserve"> </w:t>
      </w:r>
      <w:r w:rsidR="00153CB2" w:rsidRPr="000F2ED3">
        <w:t xml:space="preserve">Agrega </w:t>
      </w:r>
      <w:proofErr w:type="gramStart"/>
      <w:r w:rsidR="00153CB2" w:rsidRPr="000F2ED3">
        <w:t>que</w:t>
      </w:r>
      <w:proofErr w:type="gramEnd"/>
      <w:r w:rsidR="00153CB2" w:rsidRPr="000F2ED3">
        <w:t xml:space="preserve"> de acuerdo</w:t>
      </w:r>
      <w:r w:rsidR="00A27797" w:rsidRPr="000F2ED3">
        <w:t xml:space="preserve"> a</w:t>
      </w:r>
      <w:r w:rsidR="00153CB2" w:rsidRPr="000F2ED3">
        <w:t xml:space="preserve"> la jurisprudencia de la CSJ, para que se configure el fuero de los congresistas es necesario que el imputado se desempeñe como congresista o senador, o que la conducta punible tenga relación con las funciones desempeñadas. Por su parte, el artículo 235 de la Constitución, que regula las atribuciones de la CSJ, señala </w:t>
      </w:r>
      <w:r w:rsidR="00785573" w:rsidRPr="000F2ED3">
        <w:t xml:space="preserve">que </w:t>
      </w:r>
      <w:r w:rsidR="005E346D" w:rsidRPr="000F2ED3">
        <w:t>el fuero se mantiene después del cese del cargo, cuando el delito atribuido tenga relación con el cargo que determinó la calidad de aforado.</w:t>
      </w:r>
      <w:r w:rsidR="006C4768" w:rsidRPr="000F2ED3">
        <w:t xml:space="preserve"> En el caso del autor, él gozó de investidura parlamentaria entre 20 de julio de 1998, cuando asumió el cargo de congresista por primera vez, y el 19 de julio de 2006, las autoridades judiciales encontraron plenamente probado que el autor estaba aforado para la fecha en la que ocurrieron los hechos denunciados. Este aforamiento debía mantenerse ya que las conductas que se le atribuyen guardaban innegable relación con el cargo que desempeñaba como congresista.</w:t>
      </w:r>
      <w:r w:rsidR="0073546D" w:rsidRPr="000F2ED3">
        <w:t xml:space="preserve"> </w:t>
      </w:r>
      <w:r w:rsidR="00785573" w:rsidRPr="000F2ED3">
        <w:t>La</w:t>
      </w:r>
      <w:r w:rsidR="0073546D" w:rsidRPr="000F2ED3">
        <w:t xml:space="preserve"> CSJ determinó que la licencia temporal era solo una situación administrativa que no comportaba un rompimiento del vínculo laboral entre el servidor público y el Estado, por lo que mantenía l</w:t>
      </w:r>
      <w:r w:rsidR="00C5631D" w:rsidRPr="000F2ED3">
        <w:t>a condición de servidor público.</w:t>
      </w:r>
    </w:p>
    <w:p w:rsidR="00C5631D" w:rsidRPr="000F2ED3" w:rsidRDefault="00B543CC" w:rsidP="00D4607E">
      <w:pPr>
        <w:pStyle w:val="SingleTxtG"/>
      </w:pPr>
      <w:r>
        <w:t>4.8</w:t>
      </w:r>
      <w:r w:rsidR="00785573" w:rsidRPr="000F2ED3">
        <w:tab/>
      </w:r>
      <w:r w:rsidR="001B7844" w:rsidRPr="000F2ED3">
        <w:t>El Estado parte sostiene que l</w:t>
      </w:r>
      <w:r w:rsidR="00C5631D" w:rsidRPr="000F2ED3">
        <w:t xml:space="preserve">a comunicación es inadmisible toda vez que pretende que el Comité se convierta en una cuarta instancia y asuma un papel de instancia de apelación para discutir el proceso penal en el que se determinó que el autor había cometido el delito de concusión. Las alegaciones de violación del Pacto principalmente reflejan la inconformidad del autor con las sentencias acordadas por los tribunales nacionales, en el marco de un debido proceso. El Comité, sin embargo, no tiene competencia para reexaminar las decisiones de los </w:t>
      </w:r>
      <w:r w:rsidR="00C5631D" w:rsidRPr="000F2ED3">
        <w:lastRenderedPageBreak/>
        <w:t>tribunales nacionales y la evaluación de los hechos y las pruebas realizadas por éstos.</w:t>
      </w:r>
      <w:r w:rsidR="00CB3474" w:rsidRPr="000F2ED3">
        <w:t xml:space="preserve"> Agrega que la actuación de los tribunales no fue arbitraria y</w:t>
      </w:r>
      <w:r w:rsidR="00A27797" w:rsidRPr="000F2ED3">
        <w:t xml:space="preserve"> que las</w:t>
      </w:r>
      <w:r w:rsidR="00CB3474" w:rsidRPr="000F2ED3">
        <w:t xml:space="preserve"> alegaciones del autor fueron debidamente consideradas dent</w:t>
      </w:r>
      <w:r w:rsidR="001B7844" w:rsidRPr="000F2ED3">
        <w:t>ro de los procesos judiciales. E</w:t>
      </w:r>
      <w:r w:rsidR="00CB3474" w:rsidRPr="000F2ED3">
        <w:t>l autor contó y utilizó diferentes recursos procesales, y las decisiones judiciales fueron debidamente motivadas.</w:t>
      </w:r>
    </w:p>
    <w:p w:rsidR="00C12CC5" w:rsidRPr="000F2ED3" w:rsidRDefault="00B543CC" w:rsidP="001B7844">
      <w:pPr>
        <w:pStyle w:val="SingleTxtG"/>
      </w:pPr>
      <w:r>
        <w:t>4.9</w:t>
      </w:r>
      <w:r w:rsidR="001B7844" w:rsidRPr="000F2ED3">
        <w:tab/>
      </w:r>
      <w:r w:rsidR="00CB3474" w:rsidRPr="000F2ED3">
        <w:t xml:space="preserve">La comunicación del autor constituye un abuso del derecho a presentar una comunicación. Si bien el Protocolo Facultativo no establece un plazo para presentar una comunicación ante el Comité, a través de su jurisprudencia, el Comité ha considerado algunas comunicaciones inadmisibles, por abuso de derecho a presentar una comunicación, debido al tiempo transcurrido entre la ocurrencia de los hechos y la presentación del caso al Comité. </w:t>
      </w:r>
      <w:r w:rsidR="00CD048A" w:rsidRPr="000F2ED3">
        <w:t>En el presente caso, e</w:t>
      </w:r>
      <w:r w:rsidR="00CB3474" w:rsidRPr="000F2ED3">
        <w:t xml:space="preserve">xiste un lapso de más de tres años desde la última actuación de la jurisdicción interna y la presentación de la comunicación ante el Comité, sin que el autor haya explicado convincentemente las razones que justifiquen esta demora. </w:t>
      </w:r>
      <w:r w:rsidR="001307CE" w:rsidRPr="000F2ED3">
        <w:t>L</w:t>
      </w:r>
      <w:r w:rsidR="00CB3474" w:rsidRPr="000F2ED3">
        <w:t xml:space="preserve">a comunicación </w:t>
      </w:r>
      <w:r w:rsidR="001307CE" w:rsidRPr="000F2ED3">
        <w:t>también constituye un abuso al derecho a presentar una comunicación debido a que aporta</w:t>
      </w:r>
      <w:r w:rsidR="00CB3474" w:rsidRPr="000F2ED3">
        <w:t xml:space="preserve"> información falsa, distorsionada, incompleta y poco clara. Por ejemplo, la comunicación se refiere a la jurisprudencia del Comité </w:t>
      </w:r>
      <w:r w:rsidR="00B735E1" w:rsidRPr="000F2ED3">
        <w:t xml:space="preserve">alegando que sería aplicable al caso del autor, obviando mencionar que esos casos son sustancialmente distintos ya que no se trataba del juzgamiento a un parlamentario. </w:t>
      </w:r>
      <w:r w:rsidR="00B517B3" w:rsidRPr="000F2ED3">
        <w:t xml:space="preserve">De forma incongruente, la comunicación por un lado alega la inexistencia de un </w:t>
      </w:r>
      <w:r w:rsidR="00C12CC5" w:rsidRPr="000F2ED3">
        <w:t>juez natural y, por otro lado, cuestiona el proceso de juzgamiento y apreciación de la prueba de la Sala Penal de la CSJ. Asimismo, la comunicación presenta las alegaciones al Comité de forma falaz, pretendiendo sostener que las decisiones judiciales fueron arbitrarias e incongruentes y que constituyeron una denegación de justicia.</w:t>
      </w:r>
    </w:p>
    <w:p w:rsidR="00CB3474" w:rsidRPr="000F2ED3" w:rsidRDefault="00CD048A" w:rsidP="00CB3474">
      <w:pPr>
        <w:pStyle w:val="SingleTxtG"/>
      </w:pPr>
      <w:r w:rsidRPr="000F2ED3">
        <w:t>4.10</w:t>
      </w:r>
      <w:r w:rsidRPr="000F2ED3">
        <w:tab/>
      </w:r>
      <w:r w:rsidR="00C12CC5" w:rsidRPr="000F2ED3">
        <w:t>Las alegaciones de violación de los derechos del Pacto no están suficientemente fundamentadas a efectos de la admisibilidad.</w:t>
      </w:r>
      <w:r w:rsidR="005104D3">
        <w:t xml:space="preserve"> </w:t>
      </w:r>
      <w:r w:rsidR="0032428C" w:rsidRPr="000F2ED3">
        <w:t>El autor alega que se violaron los derechos que le asisten en v</w:t>
      </w:r>
      <w:r w:rsidRPr="000F2ED3">
        <w:t>irtud de los artículos 2, 3, 9,</w:t>
      </w:r>
      <w:r w:rsidR="0032428C" w:rsidRPr="000F2ED3">
        <w:t xml:space="preserve"> 14 </w:t>
      </w:r>
      <w:r w:rsidRPr="000F2ED3">
        <w:t xml:space="preserve">y 26 </w:t>
      </w:r>
      <w:r w:rsidR="0032428C" w:rsidRPr="000F2ED3">
        <w:t>del Pacto. Sin embargo, sus alegaciones sólo se refieren a las vulneraciones del artículo 14 y brevemente al artículo 26. Por otro lado, las alegaciones del autor de que la Sala Penal de la CSJ cambió su línea jurisprudencial con el único propósito de conservar la competencia y juzgar al autor no están fundamentadas. Así, la comunicación de forma general señala decisiones sin relacionarlas con la supuesta línea jurisprudencia de la CSJ, que permita al Comité contrastar las sentencias para verificar si efectivamente se dio un cambio jurisprudencia</w:t>
      </w:r>
      <w:r w:rsidR="00A6038F" w:rsidRPr="000F2ED3">
        <w:t>l</w:t>
      </w:r>
      <w:r w:rsidR="0032428C" w:rsidRPr="000F2ED3">
        <w:t xml:space="preserve"> y eventualmente una violación al derecho a la igualdad. Más aún, la jurisprudencia a la que </w:t>
      </w:r>
      <w:r w:rsidR="00EE6E59" w:rsidRPr="000F2ED3">
        <w:t>parece hace</w:t>
      </w:r>
      <w:r w:rsidR="00A6038F" w:rsidRPr="000F2ED3">
        <w:t>r</w:t>
      </w:r>
      <w:r w:rsidR="00EE6E59" w:rsidRPr="000F2ED3">
        <w:t xml:space="preserve"> referencia</w:t>
      </w:r>
      <w:r w:rsidR="0032428C" w:rsidRPr="000F2ED3">
        <w:t xml:space="preserve"> la</w:t>
      </w:r>
      <w:r w:rsidR="00EE6E59" w:rsidRPr="000F2ED3">
        <w:t xml:space="preserve"> comunicación </w:t>
      </w:r>
      <w:r w:rsidR="00122CD5" w:rsidRPr="000F2ED3">
        <w:t>se estableció con relación a casos en los que la persona juzgada no disfrutaba de investidura de congresista. A este respecto, el Estado parte añade que en materia de procesos penales contra personas con fuero parla</w:t>
      </w:r>
      <w:r w:rsidRPr="000F2ED3">
        <w:t>mentario, sus tribunales</w:t>
      </w:r>
      <w:r w:rsidR="00EE6E59" w:rsidRPr="000F2ED3">
        <w:t xml:space="preserve"> </w:t>
      </w:r>
      <w:r w:rsidR="00122CD5" w:rsidRPr="000F2ED3">
        <w:t>siempre han aplicado la legislación vigente y otorgado el mismo trato a los procesados</w:t>
      </w:r>
      <w:r w:rsidR="00122CD5" w:rsidRPr="000F2ED3">
        <w:rPr>
          <w:rStyle w:val="FootnoteReference"/>
        </w:rPr>
        <w:footnoteReference w:id="8"/>
      </w:r>
      <w:r w:rsidR="009057B6">
        <w:t>.</w:t>
      </w:r>
    </w:p>
    <w:p w:rsidR="00976F61" w:rsidRPr="000F2ED3" w:rsidRDefault="009057B6" w:rsidP="009057B6">
      <w:pPr>
        <w:pStyle w:val="H23G"/>
        <w:rPr>
          <w:lang w:val="es-ES_tradnl"/>
        </w:rPr>
      </w:pPr>
      <w:r>
        <w:rPr>
          <w:lang w:val="es-ES_tradnl"/>
        </w:rPr>
        <w:tab/>
      </w:r>
      <w:r>
        <w:rPr>
          <w:lang w:val="es-ES_tradnl"/>
        </w:rPr>
        <w:tab/>
      </w:r>
      <w:r w:rsidR="00FF31A5" w:rsidRPr="000F2ED3">
        <w:rPr>
          <w:lang w:val="es-ES_tradnl"/>
        </w:rPr>
        <w:t>Comentarios</w:t>
      </w:r>
      <w:r w:rsidR="00976F61" w:rsidRPr="000F2ED3">
        <w:rPr>
          <w:lang w:val="es-ES_tradnl"/>
        </w:rPr>
        <w:t xml:space="preserve"> de</w:t>
      </w:r>
      <w:r w:rsidR="00235398" w:rsidRPr="000F2ED3">
        <w:rPr>
          <w:lang w:val="es-ES_tradnl"/>
        </w:rPr>
        <w:t>l autor</w:t>
      </w:r>
      <w:r w:rsidR="00FF31A5" w:rsidRPr="000F2ED3">
        <w:rPr>
          <w:lang w:val="es-ES_tradnl"/>
        </w:rPr>
        <w:t xml:space="preserve"> a las observaciones del Estado parte sobre la admisibilidad</w:t>
      </w:r>
      <w:r w:rsidR="0060363D" w:rsidRPr="000F2ED3">
        <w:rPr>
          <w:lang w:val="es-ES_tradnl"/>
        </w:rPr>
        <w:t xml:space="preserve"> e información adicional</w:t>
      </w:r>
    </w:p>
    <w:p w:rsidR="00A6234C" w:rsidRPr="000F2ED3" w:rsidRDefault="009057B6" w:rsidP="009057B6">
      <w:pPr>
        <w:pStyle w:val="H4G"/>
        <w:rPr>
          <w:lang w:val="es-ES_tradnl"/>
        </w:rPr>
      </w:pPr>
      <w:r>
        <w:rPr>
          <w:lang w:val="es-ES_tradnl"/>
        </w:rPr>
        <w:tab/>
      </w:r>
      <w:r>
        <w:rPr>
          <w:lang w:val="es-ES_tradnl"/>
        </w:rPr>
        <w:tab/>
      </w:r>
      <w:r w:rsidR="00A6234C" w:rsidRPr="000F2ED3">
        <w:rPr>
          <w:lang w:val="es-ES_tradnl"/>
        </w:rPr>
        <w:t>Comentarios sobre admisibilidad</w:t>
      </w:r>
    </w:p>
    <w:p w:rsidR="00297196" w:rsidRPr="000F2ED3" w:rsidRDefault="001B70FE" w:rsidP="00514676">
      <w:pPr>
        <w:pStyle w:val="SingleTxtG"/>
        <w:spacing w:before="120"/>
      </w:pPr>
      <w:r w:rsidRPr="000F2ED3">
        <w:rPr>
          <w:lang w:val="es-ES_tradnl"/>
        </w:rPr>
        <w:t>5</w:t>
      </w:r>
      <w:r w:rsidR="00D14247" w:rsidRPr="000F2ED3">
        <w:rPr>
          <w:lang w:val="es-ES_tradnl"/>
        </w:rPr>
        <w:t>.1</w:t>
      </w:r>
      <w:r w:rsidR="00235398" w:rsidRPr="000F2ED3">
        <w:rPr>
          <w:lang w:val="es-ES_tradnl"/>
        </w:rPr>
        <w:tab/>
        <w:t>El 24 de noviembre de 2014, el autor presentó comentarios sobre las observaciones del Estado parte y reiteró que su comunicación cumple con los criterios de admisibilidad establecido</w:t>
      </w:r>
      <w:r w:rsidR="00514676" w:rsidRPr="000F2ED3">
        <w:rPr>
          <w:lang w:val="es-ES_tradnl"/>
        </w:rPr>
        <w:t xml:space="preserve">s en el Protocolo Facultativo. </w:t>
      </w:r>
    </w:p>
    <w:p w:rsidR="00514676" w:rsidRPr="000F2ED3" w:rsidRDefault="00514676" w:rsidP="00514676">
      <w:pPr>
        <w:pStyle w:val="SingleTxtG"/>
        <w:spacing w:before="120"/>
      </w:pPr>
      <w:r w:rsidRPr="000F2ED3">
        <w:t>5.</w:t>
      </w:r>
      <w:r w:rsidR="009057B6">
        <w:t>2</w:t>
      </w:r>
      <w:r w:rsidRPr="000F2ED3">
        <w:tab/>
        <w:t xml:space="preserve">El autor reitera sus alegaciones respecto a que el proceso penal en su contra constituyó una violación del artículo 14(5) del Pacto, ya que los congresistas aforados no tienen derecho a la doble instancia penal. Sostiene que la Corte Constitucional ha establecido en su jurisprudencia que los procesos penales de única instancia seguidos por la Sala Penal de la CSJ, en contra de personas aforadas, se ajustan a la Constitución del Estado parte y a los </w:t>
      </w:r>
      <w:r w:rsidRPr="000F2ED3">
        <w:lastRenderedPageBreak/>
        <w:t>tratados internacionales</w:t>
      </w:r>
      <w:r w:rsidRPr="000F2ED3">
        <w:rPr>
          <w:rStyle w:val="FootnoteReference"/>
        </w:rPr>
        <w:footnoteReference w:id="9"/>
      </w:r>
      <w:r w:rsidRPr="000F2ED3">
        <w:t>. La Corte Constitucional unificó su jurisprudencia y señaló que el juzgamiento a los altos dignatarios del Estado en procesos de única instancia no implicaba un desconocimient</w:t>
      </w:r>
      <w:r w:rsidR="00297196" w:rsidRPr="000F2ED3">
        <w:t>o del derecho al debido proceso</w:t>
      </w:r>
      <w:r w:rsidRPr="000F2ED3">
        <w:rPr>
          <w:rStyle w:val="FootnoteReference"/>
        </w:rPr>
        <w:footnoteReference w:id="10"/>
      </w:r>
      <w:r w:rsidR="00297196" w:rsidRPr="000F2ED3">
        <w:t>.</w:t>
      </w:r>
    </w:p>
    <w:p w:rsidR="00514676" w:rsidRPr="000F2ED3" w:rsidRDefault="009057B6" w:rsidP="00514676">
      <w:pPr>
        <w:pStyle w:val="SingleTxtG"/>
        <w:spacing w:before="120"/>
        <w:rPr>
          <w:iCs/>
          <w:color w:val="000000"/>
          <w:lang w:eastAsia="es-CO"/>
        </w:rPr>
      </w:pPr>
      <w:r>
        <w:t>5.3</w:t>
      </w:r>
      <w:r w:rsidR="00514676" w:rsidRPr="000F2ED3">
        <w:tab/>
      </w:r>
      <w:r w:rsidR="00297196" w:rsidRPr="000F2ED3">
        <w:t>E</w:t>
      </w:r>
      <w:r w:rsidR="00514676" w:rsidRPr="000F2ED3">
        <w:t>n el marco del proceso penal en que se determinó su responsabilidad penal</w:t>
      </w:r>
      <w:r w:rsidR="00297196" w:rsidRPr="000F2ED3">
        <w:t>, el autor</w:t>
      </w:r>
      <w:r w:rsidR="00514676" w:rsidRPr="000F2ED3">
        <w:t xml:space="preserve"> no tuvo oportunidad de presentar un recurso de apelación de forma que la sentencia y condena fueran revisadas por un tribunal superior. Las acciones de tutela no pueden ser consideradas como sustituta del recurso de apelación penal a efectos de satisfacer las obligaciones contenidas en el artículo 14(5) del Pacto, toda vez que tiene una naturaleza legal y efectos distintos. Es más, en su caso</w:t>
      </w:r>
      <w:r w:rsidR="00C1346D" w:rsidRPr="000F2ED3">
        <w:t>,</w:t>
      </w:r>
      <w:r w:rsidR="00514676" w:rsidRPr="000F2ED3">
        <w:t xml:space="preserve"> la acción de tutela presentada a la Sala Civil de la CSJ fue interpuesta contra el auto mediante el cual la CSJ se asignaba la competencia para conocer del proceso y no contra la sentencia posterior de la Sala Penal.</w:t>
      </w:r>
      <w:r w:rsidR="00514676" w:rsidRPr="000F2ED3">
        <w:rPr>
          <w:color w:val="000000"/>
          <w:lang w:eastAsia="es-CO"/>
        </w:rPr>
        <w:t xml:space="preserve"> Agrega que en general la CSJ siempre rechaza las acciones de tutela contra sentencias o decisiones de la propia CSJ. </w:t>
      </w:r>
      <w:r w:rsidR="00514676" w:rsidRPr="000F2ED3">
        <w:rPr>
          <w:iCs/>
          <w:color w:val="000000"/>
          <w:lang w:eastAsia="es-CO"/>
        </w:rPr>
        <w:t>El derecho a la doble instancia penal no admite excepciones, incluso en el caso de altos funcionarios, y no se satisface o “compensa” mediante el juzgamiento en única instancia del órgano jurisdiccio</w:t>
      </w:r>
      <w:r>
        <w:rPr>
          <w:iCs/>
          <w:color w:val="000000"/>
          <w:lang w:eastAsia="es-CO"/>
        </w:rPr>
        <w:t>nal penal de más alta jerarquía</w:t>
      </w:r>
      <w:r w:rsidR="00514676" w:rsidRPr="000F2ED3">
        <w:rPr>
          <w:rStyle w:val="FootnoteReference"/>
          <w:iCs/>
          <w:color w:val="000000"/>
          <w:lang w:eastAsia="es-CO"/>
        </w:rPr>
        <w:footnoteReference w:id="11"/>
      </w:r>
      <w:r w:rsidR="004F7D99">
        <w:rPr>
          <w:iCs/>
          <w:color w:val="000000"/>
          <w:lang w:eastAsia="es-CO"/>
        </w:rPr>
        <w:t>.</w:t>
      </w:r>
    </w:p>
    <w:p w:rsidR="00514676" w:rsidRPr="000F2ED3" w:rsidRDefault="00625CAC" w:rsidP="00C17293">
      <w:pPr>
        <w:pStyle w:val="SingleTxtG"/>
        <w:spacing w:before="120"/>
        <w:rPr>
          <w:rFonts w:eastAsia="Arial Unicode MS"/>
        </w:rPr>
      </w:pPr>
      <w:r>
        <w:rPr>
          <w:color w:val="000000"/>
          <w:lang w:eastAsia="es-CO"/>
        </w:rPr>
        <w:t>5.4</w:t>
      </w:r>
      <w:r w:rsidR="00514676" w:rsidRPr="000F2ED3">
        <w:rPr>
          <w:rFonts w:eastAsia="Arial Unicode MS"/>
        </w:rPr>
        <w:tab/>
        <w:t xml:space="preserve">En relación con las observaciones del Estado parte sobre el abuso del derecho a presentar una comunicación, el autor sostiene que </w:t>
      </w:r>
      <w:r w:rsidR="00C17293" w:rsidRPr="000F2ED3">
        <w:rPr>
          <w:rFonts w:eastAsia="Arial Unicode MS"/>
        </w:rPr>
        <w:t>no existe</w:t>
      </w:r>
      <w:r w:rsidR="00514676" w:rsidRPr="000F2ED3">
        <w:rPr>
          <w:rFonts w:eastAsia="Arial Unicode MS"/>
        </w:rPr>
        <w:t xml:space="preserve"> un plazo para presentar una comunicación y que en su caso ésta fue presentada dentro de un plazo razonable. Por otra parte, su comunicación no presenta</w:t>
      </w:r>
      <w:r w:rsidR="00514676" w:rsidRPr="000F2ED3">
        <w:t xml:space="preserve"> informaciones deliberadamente falsas o distorsionadas. La jurisprudencia de órganos internacionales de derechos humanos citada es </w:t>
      </w:r>
      <w:r w:rsidR="00C17293" w:rsidRPr="000F2ED3">
        <w:t>relevante y aplicable a su caso</w:t>
      </w:r>
      <w:r w:rsidR="00514676" w:rsidRPr="000F2ED3">
        <w:t>.</w:t>
      </w:r>
    </w:p>
    <w:p w:rsidR="00514676" w:rsidRPr="000F2ED3" w:rsidRDefault="00C17293" w:rsidP="00514676">
      <w:pPr>
        <w:pStyle w:val="SingleTxtG"/>
        <w:spacing w:before="120"/>
      </w:pPr>
      <w:r w:rsidRPr="000F2ED3">
        <w:t>5.5</w:t>
      </w:r>
      <w:r w:rsidR="00514676" w:rsidRPr="000F2ED3">
        <w:tab/>
        <w:t xml:space="preserve">Las alegaciones de violación de los derechos del Pacto están debidamente fundamentadas. Con relación al artículo 2 del Pacto, el autor sostiene que el Estado parte no ha tomados las medidas necesarias para garantizar el derecho a la doble instancia penal de todas las personas, al derecho a un juez imparcial a pesar de los dictámenes y decisiones del Comité y de otros órganos internacionales de derechos humanos que encontraron que el Estado parte había violado estos derechos. Tampoco garantiza el acceso a un recurso efectivo, que en el caso del ordenamiento jurídico del Estado parte es la acción de tutela, ya que el artículo 2(3) del Pacto no excluye a ninguna autoridad de los Estados partes </w:t>
      </w:r>
      <w:r w:rsidR="00C1346D" w:rsidRPr="000F2ED3">
        <w:t xml:space="preserve">del acceso a los recursos efectivos, </w:t>
      </w:r>
      <w:r w:rsidR="00514676" w:rsidRPr="000F2ED3">
        <w:t>ni establece que tales recursos no procederán en contra de decisiones tomadas por la CSJ</w:t>
      </w:r>
      <w:r w:rsidR="00625CAC">
        <w:t>.</w:t>
      </w:r>
    </w:p>
    <w:p w:rsidR="0060363D" w:rsidRPr="000F2ED3" w:rsidRDefault="00625CAC" w:rsidP="00625CAC">
      <w:pPr>
        <w:pStyle w:val="H4G"/>
      </w:pPr>
      <w:r>
        <w:tab/>
      </w:r>
      <w:r>
        <w:tab/>
      </w:r>
      <w:r w:rsidR="0060363D" w:rsidRPr="000F2ED3">
        <w:t>Información adicional</w:t>
      </w:r>
    </w:p>
    <w:p w:rsidR="0060363D" w:rsidRPr="000F2ED3" w:rsidRDefault="00625CAC" w:rsidP="0060363D">
      <w:pPr>
        <w:pStyle w:val="SingleTxtG"/>
        <w:spacing w:before="120"/>
        <w:rPr>
          <w:lang w:val="es-ES_tradnl"/>
        </w:rPr>
      </w:pPr>
      <w:r>
        <w:t>6.1</w:t>
      </w:r>
      <w:r w:rsidR="0060363D" w:rsidRPr="000F2ED3">
        <w:tab/>
        <w:t>El 5 de diciembre de 2014, el autor informó al Comité que e</w:t>
      </w:r>
      <w:r w:rsidR="00841D02" w:rsidRPr="000F2ED3">
        <w:t xml:space="preserve">n un momento no determinado </w:t>
      </w:r>
      <w:r w:rsidR="0060363D" w:rsidRPr="000F2ED3">
        <w:t xml:space="preserve">presentó una solicitud de nulidad contra la sentencia </w:t>
      </w:r>
      <w:r w:rsidR="00526383" w:rsidRPr="000F2ED3">
        <w:t>de la Corte Constitucional d</w:t>
      </w:r>
      <w:r w:rsidR="00526383" w:rsidRPr="000F2ED3">
        <w:rPr>
          <w:lang w:val="es-ES_tradnl"/>
        </w:rPr>
        <w:t>e</w:t>
      </w:r>
      <w:r w:rsidR="00C1346D" w:rsidRPr="000F2ED3">
        <w:rPr>
          <w:lang w:val="es-ES_tradnl"/>
        </w:rPr>
        <w:t>l</w:t>
      </w:r>
      <w:r w:rsidR="0060363D" w:rsidRPr="000F2ED3">
        <w:rPr>
          <w:lang w:val="es-ES_tradnl"/>
        </w:rPr>
        <w:t xml:space="preserve"> 18 de diciembre de 2009</w:t>
      </w:r>
      <w:r w:rsidR="00621349" w:rsidRPr="000F2ED3">
        <w:rPr>
          <w:lang w:val="es-ES_tradnl"/>
        </w:rPr>
        <w:t>.</w:t>
      </w:r>
    </w:p>
    <w:p w:rsidR="00621349" w:rsidRPr="000F2ED3" w:rsidRDefault="00625CAC" w:rsidP="0060363D">
      <w:pPr>
        <w:pStyle w:val="SingleTxtG"/>
        <w:spacing w:before="120"/>
        <w:rPr>
          <w:lang w:val="es-ES_tradnl"/>
        </w:rPr>
      </w:pPr>
      <w:r>
        <w:rPr>
          <w:lang w:val="es-ES_tradnl"/>
        </w:rPr>
        <w:t>6.2</w:t>
      </w:r>
      <w:r w:rsidR="00621349" w:rsidRPr="000F2ED3">
        <w:rPr>
          <w:lang w:val="es-ES_tradnl"/>
        </w:rPr>
        <w:tab/>
        <w:t xml:space="preserve">El 2 de febrero de 2011, la Sala Plena de la Corte Constitucional negó la solicitud de nulidad del autor. </w:t>
      </w:r>
      <w:r w:rsidR="00C92DF0" w:rsidRPr="000F2ED3">
        <w:rPr>
          <w:lang w:val="es-ES_tradnl"/>
        </w:rPr>
        <w:t xml:space="preserve">La Corte estableció </w:t>
      </w:r>
      <w:r w:rsidR="0059148D" w:rsidRPr="000F2ED3">
        <w:rPr>
          <w:lang w:val="es-ES_tradnl"/>
        </w:rPr>
        <w:t xml:space="preserve">inter </w:t>
      </w:r>
      <w:proofErr w:type="spellStart"/>
      <w:r w:rsidR="0059148D" w:rsidRPr="000F2ED3">
        <w:rPr>
          <w:lang w:val="es-ES_tradnl"/>
        </w:rPr>
        <w:t>alia</w:t>
      </w:r>
      <w:proofErr w:type="spellEnd"/>
      <w:r w:rsidR="0059148D" w:rsidRPr="000F2ED3">
        <w:rPr>
          <w:lang w:val="es-ES_tradnl"/>
        </w:rPr>
        <w:t xml:space="preserve"> </w:t>
      </w:r>
      <w:r w:rsidR="00C92DF0" w:rsidRPr="000F2ED3">
        <w:rPr>
          <w:lang w:val="es-ES_tradnl"/>
        </w:rPr>
        <w:t>que</w:t>
      </w:r>
      <w:r w:rsidR="0059148D" w:rsidRPr="000F2ED3">
        <w:rPr>
          <w:lang w:val="es-ES_tradnl"/>
        </w:rPr>
        <w:t xml:space="preserve"> la Sala Segunda de Revisión no se había apartado de la jurisprudencia de la Corte Constitucional pues en los nueve casos, entre 1993 y 2008, en los que había consolidado su jurisprudencia sobre el fuero establecido en la Constitución para ciertas autoridades y la competencia de la CSJ para el juzgamiento de los congresistas, nunca había examinado la situación administrativa que surge para un congresista cuando goza de una lice</w:t>
      </w:r>
      <w:r w:rsidR="003B1461">
        <w:rPr>
          <w:lang w:val="es-ES_tradnl"/>
        </w:rPr>
        <w:t>ncia temporal no remunerada.</w:t>
      </w:r>
    </w:p>
    <w:p w:rsidR="000D2405" w:rsidRPr="000F2ED3" w:rsidRDefault="003B1461" w:rsidP="003B1461">
      <w:pPr>
        <w:pStyle w:val="H23G"/>
        <w:rPr>
          <w:lang w:val="es-ES_tradnl"/>
        </w:rPr>
      </w:pPr>
      <w:r>
        <w:rPr>
          <w:lang w:val="es-ES_tradnl"/>
        </w:rPr>
        <w:lastRenderedPageBreak/>
        <w:tab/>
      </w:r>
      <w:r>
        <w:rPr>
          <w:lang w:val="es-ES_tradnl"/>
        </w:rPr>
        <w:tab/>
      </w:r>
      <w:r w:rsidR="00322934" w:rsidRPr="000F2ED3">
        <w:rPr>
          <w:lang w:val="es-ES_tradnl"/>
        </w:rPr>
        <w:t xml:space="preserve">Observaciones </w:t>
      </w:r>
      <w:r w:rsidR="001B70FE" w:rsidRPr="000F2ED3">
        <w:rPr>
          <w:lang w:val="es-ES_tradnl"/>
        </w:rPr>
        <w:t>del Estado parte sobre el fondo</w:t>
      </w:r>
    </w:p>
    <w:p w:rsidR="00340AE0" w:rsidRPr="000F2ED3" w:rsidRDefault="00340AE0" w:rsidP="00464306">
      <w:pPr>
        <w:pStyle w:val="SingleTxtG"/>
        <w:spacing w:before="120"/>
        <w:rPr>
          <w:lang w:val="es-ES_tradnl"/>
        </w:rPr>
      </w:pPr>
      <w:r w:rsidRPr="000F2ED3">
        <w:rPr>
          <w:lang w:val="es-ES_tradnl"/>
        </w:rPr>
        <w:t>7</w:t>
      </w:r>
      <w:r w:rsidR="00513DCA" w:rsidRPr="000F2ED3">
        <w:rPr>
          <w:lang w:val="es-ES_tradnl"/>
        </w:rPr>
        <w:t>.1</w:t>
      </w:r>
      <w:r w:rsidR="00513DCA" w:rsidRPr="000F2ED3">
        <w:rPr>
          <w:lang w:val="es-ES_tradnl"/>
        </w:rPr>
        <w:tab/>
      </w:r>
      <w:r w:rsidRPr="000F2ED3">
        <w:rPr>
          <w:lang w:val="es-ES_tradnl"/>
        </w:rPr>
        <w:t>El</w:t>
      </w:r>
      <w:r w:rsidR="00513DCA" w:rsidRPr="000F2ED3">
        <w:rPr>
          <w:lang w:val="es-ES_tradnl"/>
        </w:rPr>
        <w:t xml:space="preserve"> </w:t>
      </w:r>
      <w:r w:rsidR="0060363D" w:rsidRPr="000F2ED3">
        <w:rPr>
          <w:lang w:val="es-ES_tradnl"/>
        </w:rPr>
        <w:t>5 de mayo de 2015</w:t>
      </w:r>
      <w:r w:rsidR="00513DCA" w:rsidRPr="000F2ED3">
        <w:rPr>
          <w:lang w:val="es-ES_tradnl"/>
        </w:rPr>
        <w:t xml:space="preserve">, el Estado parte </w:t>
      </w:r>
      <w:r w:rsidRPr="000F2ED3">
        <w:rPr>
          <w:lang w:val="es-ES_tradnl"/>
        </w:rPr>
        <w:t xml:space="preserve">presentó sus observaciones sobre el fondo de la comunicación y reiteró que la misma no cumplía con los criterios de admisibilidad establecidos en el Protocolo Facultativo. </w:t>
      </w:r>
    </w:p>
    <w:p w:rsidR="006B4E0E" w:rsidRPr="000F2ED3" w:rsidRDefault="003B1461" w:rsidP="00DD57CB">
      <w:pPr>
        <w:pStyle w:val="SingleTxtG"/>
        <w:spacing w:before="120"/>
        <w:rPr>
          <w:lang w:val="es-ES_tradnl"/>
        </w:rPr>
      </w:pPr>
      <w:r>
        <w:rPr>
          <w:lang w:val="es-ES_tradnl"/>
        </w:rPr>
        <w:t>7.2</w:t>
      </w:r>
      <w:r w:rsidR="00603A13" w:rsidRPr="000F2ED3">
        <w:rPr>
          <w:lang w:val="es-ES_tradnl"/>
        </w:rPr>
        <w:tab/>
        <w:t>Con relación a las alegaciones del autor de v</w:t>
      </w:r>
      <w:r w:rsidR="00DD57CB" w:rsidRPr="000F2ED3">
        <w:rPr>
          <w:lang w:val="es-ES_tradnl"/>
        </w:rPr>
        <w:t>iolación del artículo 14(1)(2) y</w:t>
      </w:r>
      <w:r w:rsidR="00603A13" w:rsidRPr="000F2ED3">
        <w:rPr>
          <w:lang w:val="es-ES_tradnl"/>
        </w:rPr>
        <w:t xml:space="preserve"> (5), el Estado parte sostiene que el autor tuvo acceso a un proceso con las debidas garantías, ante un tribunal independiente e imparcial y en condición de igualdad. Los artículos 186, 234 y 235 de la Constitución establece</w:t>
      </w:r>
      <w:r w:rsidR="00C90A6F" w:rsidRPr="000F2ED3">
        <w:rPr>
          <w:lang w:val="es-ES_tradnl"/>
        </w:rPr>
        <w:t>n</w:t>
      </w:r>
      <w:r w:rsidR="00603A13" w:rsidRPr="000F2ED3">
        <w:rPr>
          <w:lang w:val="es-ES_tradnl"/>
        </w:rPr>
        <w:t xml:space="preserve"> el procedimiento para el juzgamiento de congresistas por la CSJ, como el juez natural. De igual modo, el artículo 32.7 del Código de Procedimiento Penal, Ley 906 de 2004, establecía que correspondía a la Sala de Casación Penal de la CSJ conocer de la investigación y juzgamiento de </w:t>
      </w:r>
      <w:r w:rsidR="006B4E0E" w:rsidRPr="000F2ED3">
        <w:rPr>
          <w:lang w:val="es-ES_tradnl"/>
        </w:rPr>
        <w:t>los senadores y representantes a la Cámara.</w:t>
      </w:r>
      <w:r w:rsidR="00603A13" w:rsidRPr="000F2ED3">
        <w:rPr>
          <w:lang w:val="es-ES_tradnl"/>
        </w:rPr>
        <w:t xml:space="preserve"> </w:t>
      </w:r>
      <w:r w:rsidR="006B4E0E" w:rsidRPr="000F2ED3">
        <w:rPr>
          <w:lang w:val="es-ES_tradnl"/>
        </w:rPr>
        <w:t>No obstante</w:t>
      </w:r>
      <w:r w:rsidR="00C90A6F" w:rsidRPr="000F2ED3">
        <w:rPr>
          <w:lang w:val="es-ES_tradnl"/>
        </w:rPr>
        <w:t>,</w:t>
      </w:r>
      <w:r w:rsidR="006B4E0E" w:rsidRPr="000F2ED3">
        <w:rPr>
          <w:lang w:val="es-ES_tradnl"/>
        </w:rPr>
        <w:t xml:space="preserve"> el proceso penal contra una alta autoridad se desarrolla ante la CSJ, si existe escisión entre las funciones de investigación y juzgamiento. </w:t>
      </w:r>
    </w:p>
    <w:p w:rsidR="006B4E0E" w:rsidRPr="000F2ED3" w:rsidRDefault="00DD57CB" w:rsidP="00DD57CB">
      <w:pPr>
        <w:pStyle w:val="SingleTxtG"/>
        <w:spacing w:before="120"/>
        <w:rPr>
          <w:lang w:val="es-ES_tradnl"/>
        </w:rPr>
      </w:pPr>
      <w:r w:rsidRPr="000F2ED3">
        <w:rPr>
          <w:lang w:val="es-ES_tradnl"/>
        </w:rPr>
        <w:t>7.3</w:t>
      </w:r>
      <w:r w:rsidR="006B4E0E" w:rsidRPr="000F2ED3">
        <w:rPr>
          <w:lang w:val="es-ES_tradnl"/>
        </w:rPr>
        <w:tab/>
      </w:r>
      <w:r w:rsidRPr="000F2ED3">
        <w:rPr>
          <w:lang w:val="es-ES_tradnl"/>
        </w:rPr>
        <w:t>Tanto las decisiones de la CSJ como de la Corte Constitucional se basaron en la jurisprudencia establecida. La Corte Constitucional en reiterada jurisprudencia ha concluido que el principio de la doble instancia no reviste un carácter absoluto, pues no hace parte del núcleo esencial del derecho al debido proceso; y que la ley podía introducir excepciones a la doble instancia penal</w:t>
      </w:r>
      <w:r w:rsidRPr="000F2ED3">
        <w:rPr>
          <w:rStyle w:val="FootnoteReference"/>
          <w:lang w:val="es-ES_tradnl"/>
        </w:rPr>
        <w:footnoteReference w:id="12"/>
      </w:r>
      <w:r w:rsidRPr="000F2ED3">
        <w:rPr>
          <w:lang w:val="es-ES_tradnl"/>
        </w:rPr>
        <w:t xml:space="preserve">. Esta Corte también señaló que el establecimiento de la única instancia en los procesos de pérdida de investidura de congresistas era razonable y proporcional y no vulneraba las garantías fundamentales. </w:t>
      </w:r>
      <w:r w:rsidR="006B4E0E" w:rsidRPr="000F2ED3">
        <w:rPr>
          <w:lang w:val="es-ES_tradnl"/>
        </w:rPr>
        <w:t xml:space="preserve">La sentencia de la Corte Constitucional C-545 de </w:t>
      </w:r>
      <w:r w:rsidR="00C15012">
        <w:rPr>
          <w:lang w:val="es-ES_tradnl"/>
        </w:rPr>
        <w:t xml:space="preserve">28 de mayo de </w:t>
      </w:r>
      <w:r w:rsidR="006B4E0E" w:rsidRPr="000F2ED3">
        <w:rPr>
          <w:lang w:val="es-ES_tradnl"/>
        </w:rPr>
        <w:t>2008, establece la jurisprudencia en relación con la naturaleza y finalidad del fuero constitucional para la</w:t>
      </w:r>
      <w:r w:rsidR="00807CDC" w:rsidRPr="000F2ED3">
        <w:rPr>
          <w:lang w:val="es-ES_tradnl"/>
        </w:rPr>
        <w:t>s</w:t>
      </w:r>
      <w:r w:rsidR="006B4E0E" w:rsidRPr="000F2ED3">
        <w:rPr>
          <w:lang w:val="es-ES_tradnl"/>
        </w:rPr>
        <w:t xml:space="preserve"> más altas autoridades del Estado, al tiempo que separa las funciones de investigación y juzgamiento dentro de la CSJ</w:t>
      </w:r>
      <w:r w:rsidR="00807CDC" w:rsidRPr="000F2ED3">
        <w:rPr>
          <w:lang w:val="es-ES_tradnl"/>
        </w:rPr>
        <w:t xml:space="preserve"> con el fin de garantizar la imparcialidad objetiva del juez</w:t>
      </w:r>
      <w:r w:rsidR="006B4E0E" w:rsidRPr="000F2ED3">
        <w:rPr>
          <w:lang w:val="es-ES_tradnl"/>
        </w:rPr>
        <w:t>. De acuerdo a esta sentencia, el fuero busca preservar la autonomía y la independencia de las funciones de estas autoridades, mediante procesos especiales, distintos a los procedimientos ordinarios, sin que ello implique discriminación alguna. El juzgamiento en única instancia por la CSJ tiene cierta</w:t>
      </w:r>
      <w:r w:rsidR="00807CDC" w:rsidRPr="000F2ED3">
        <w:rPr>
          <w:lang w:val="es-ES_tradnl"/>
        </w:rPr>
        <w:t>s</w:t>
      </w:r>
      <w:r w:rsidR="006B4E0E" w:rsidRPr="000F2ED3">
        <w:rPr>
          <w:lang w:val="es-ES_tradnl"/>
        </w:rPr>
        <w:t xml:space="preserve"> diferencias al proceso ordinario, sin que ello implique que las personas procesadas no gocen de las debidas garantías procesales. Así, cuentan con el privilegio que todo el proceso se siga ante los jueces de más alta preparación y experiencia</w:t>
      </w:r>
      <w:r w:rsidR="00753D40" w:rsidRPr="000F2ED3">
        <w:rPr>
          <w:lang w:val="es-ES_tradnl"/>
        </w:rPr>
        <w:t xml:space="preserve">. </w:t>
      </w:r>
    </w:p>
    <w:p w:rsidR="00FE7FE0" w:rsidRPr="000F2ED3" w:rsidRDefault="00DD57CB" w:rsidP="002D2935">
      <w:pPr>
        <w:pStyle w:val="SingleTxtG"/>
        <w:spacing w:before="120"/>
        <w:rPr>
          <w:lang w:val="es-ES_tradnl"/>
        </w:rPr>
      </w:pPr>
      <w:r w:rsidRPr="000F2ED3">
        <w:rPr>
          <w:lang w:val="es-ES_tradnl"/>
        </w:rPr>
        <w:t>7.4</w:t>
      </w:r>
      <w:r w:rsidR="00434221" w:rsidRPr="000F2ED3">
        <w:rPr>
          <w:lang w:val="es-ES_tradnl"/>
        </w:rPr>
        <w:tab/>
        <w:t xml:space="preserve">El Estado parte reitera que </w:t>
      </w:r>
      <w:r w:rsidR="008D356F" w:rsidRPr="000F2ED3">
        <w:rPr>
          <w:lang w:val="es-ES_tradnl"/>
        </w:rPr>
        <w:t xml:space="preserve">del artículo 14(5) del Pacto y </w:t>
      </w:r>
      <w:r w:rsidR="00434221" w:rsidRPr="000F2ED3">
        <w:rPr>
          <w:lang w:val="es-ES_tradnl"/>
        </w:rPr>
        <w:t xml:space="preserve">de la jurisprudencia del Comité como de otros órganos internacionales de derechos humanos no se concluye una regla según la </w:t>
      </w:r>
      <w:r w:rsidR="007A14A2" w:rsidRPr="000F2ED3">
        <w:rPr>
          <w:lang w:val="es-ES_tradnl"/>
        </w:rPr>
        <w:t>cual,</w:t>
      </w:r>
      <w:r w:rsidR="00434221" w:rsidRPr="000F2ED3">
        <w:rPr>
          <w:lang w:val="es-ES_tradnl"/>
        </w:rPr>
        <w:t xml:space="preserve"> en los juzgamientos de los altos funcionarios con fuero penal ante el órgano jurisdiccional de más alta instancia, debe establecerse una segunda instancia semejante a la que existe en otros procesos penales.</w:t>
      </w:r>
      <w:r w:rsidR="001306A6" w:rsidRPr="000F2ED3">
        <w:rPr>
          <w:lang w:val="es-ES_tradnl"/>
        </w:rPr>
        <w:t xml:space="preserve"> </w:t>
      </w:r>
      <w:r w:rsidR="00434221" w:rsidRPr="000F2ED3">
        <w:rPr>
          <w:lang w:val="es-ES_tradnl"/>
        </w:rPr>
        <w:t xml:space="preserve">Por otra parte, en el caso </w:t>
      </w:r>
      <w:proofErr w:type="spellStart"/>
      <w:r w:rsidR="00434221" w:rsidRPr="000F2ED3">
        <w:rPr>
          <w:lang w:val="es-ES_tradnl"/>
        </w:rPr>
        <w:t>Gomariz</w:t>
      </w:r>
      <w:proofErr w:type="spellEnd"/>
      <w:r w:rsidR="00434221" w:rsidRPr="000F2ED3">
        <w:rPr>
          <w:lang w:val="es-ES_tradnl"/>
        </w:rPr>
        <w:t xml:space="preserve"> c. España,</w:t>
      </w:r>
      <w:r w:rsidR="00841958" w:rsidRPr="000F2ED3">
        <w:rPr>
          <w:rStyle w:val="FootnoteReference"/>
          <w:lang w:val="es-ES_tradnl"/>
        </w:rPr>
        <w:footnoteReference w:id="13"/>
      </w:r>
      <w:r w:rsidR="00434221" w:rsidRPr="000F2ED3">
        <w:rPr>
          <w:lang w:val="es-ES_tradnl"/>
        </w:rPr>
        <w:t xml:space="preserve"> que no trataba de un alto funcionario aforado, el Comité concluyó que la ausencia del derecho a revisión por un tribunal superior de la condena impuesta por el tribunal de apelación, después de que la persona hubiese sido declarada inocente por un tribunal inferior, no constituía una violación del artículo 14(5) del Pacto.</w:t>
      </w:r>
      <w:r w:rsidR="002D2935" w:rsidRPr="000F2ED3">
        <w:rPr>
          <w:lang w:val="es-ES_tradnl"/>
        </w:rPr>
        <w:t xml:space="preserve"> </w:t>
      </w:r>
    </w:p>
    <w:p w:rsidR="009210F5" w:rsidRPr="000F2ED3" w:rsidRDefault="00DD57CB" w:rsidP="00464306">
      <w:pPr>
        <w:pStyle w:val="SingleTxtG"/>
        <w:spacing w:before="120"/>
        <w:rPr>
          <w:lang w:val="es-ES_tradnl"/>
        </w:rPr>
      </w:pPr>
      <w:r w:rsidRPr="000F2ED3">
        <w:rPr>
          <w:lang w:val="es-ES_tradnl"/>
        </w:rPr>
        <w:t>7.5</w:t>
      </w:r>
      <w:r w:rsidR="00040869" w:rsidRPr="000F2ED3">
        <w:rPr>
          <w:lang w:val="es-ES_tradnl"/>
        </w:rPr>
        <w:tab/>
      </w:r>
      <w:r w:rsidR="00FE06E8" w:rsidRPr="000F2ED3">
        <w:rPr>
          <w:lang w:val="es-ES_tradnl"/>
        </w:rPr>
        <w:t xml:space="preserve">Las alegaciones del autor manifiestan su inconformidad respecto al proceso penal y al fallo condenatorio; y en la práctica, pretenden utilizar al Comité como una cuarta instancia, y </w:t>
      </w:r>
      <w:r w:rsidRPr="000F2ED3">
        <w:rPr>
          <w:lang w:val="es-ES_tradnl"/>
        </w:rPr>
        <w:t xml:space="preserve">que </w:t>
      </w:r>
      <w:r w:rsidR="00FE06E8" w:rsidRPr="000F2ED3">
        <w:rPr>
          <w:lang w:val="es-ES_tradnl"/>
        </w:rPr>
        <w:t>se reabra el debate respecto a su responsabilidad penal. Sin embargo, la existencia de un fallo desfavorable no constituye una violación del Pacto</w:t>
      </w:r>
      <w:r w:rsidRPr="000F2ED3">
        <w:rPr>
          <w:lang w:val="es-ES_tradnl"/>
        </w:rPr>
        <w:t>.</w:t>
      </w:r>
      <w:r w:rsidR="00A771FD" w:rsidRPr="000F2ED3">
        <w:rPr>
          <w:lang w:val="es-ES_tradnl"/>
        </w:rPr>
        <w:t xml:space="preserve"> </w:t>
      </w:r>
      <w:r w:rsidR="008E5D6D" w:rsidRPr="000F2ED3">
        <w:rPr>
          <w:lang w:val="es-ES_tradnl"/>
        </w:rPr>
        <w:t xml:space="preserve">El Estado parte resalta que la sentencia judicial que determinó la responsabilidad penal del autor no es arbitraria, está debidamente motivada y se dio en el marco de un proceso judicial en observancia del debido proceso. El autor presentó una acción de tutela que fue finalmente desestimada por la Corte </w:t>
      </w:r>
      <w:r w:rsidR="008E5D6D" w:rsidRPr="000F2ED3">
        <w:rPr>
          <w:lang w:val="es-ES_tradnl"/>
        </w:rPr>
        <w:lastRenderedPageBreak/>
        <w:t>Constitucional el 18 de diciembre de 2009</w:t>
      </w:r>
      <w:r w:rsidR="002D7E3D" w:rsidRPr="000F2ED3">
        <w:rPr>
          <w:lang w:val="es-ES_tradnl"/>
        </w:rPr>
        <w:t>. En todos los procesos judiciales con ocasión de los recursos presentados por el autor</w:t>
      </w:r>
      <w:r w:rsidR="00C90A6F" w:rsidRPr="000F2ED3">
        <w:rPr>
          <w:lang w:val="es-ES_tradnl"/>
        </w:rPr>
        <w:t>,</w:t>
      </w:r>
      <w:r w:rsidR="002D7E3D" w:rsidRPr="000F2ED3">
        <w:rPr>
          <w:lang w:val="es-ES_tradnl"/>
        </w:rPr>
        <w:t xml:space="preserve"> </w:t>
      </w:r>
      <w:r w:rsidR="0047230A">
        <w:rPr>
          <w:lang w:val="es-ES_tradnl"/>
        </w:rPr>
        <w:t>se garantizó un debido proceso.</w:t>
      </w:r>
    </w:p>
    <w:p w:rsidR="00FE7FE0" w:rsidRPr="000F2ED3" w:rsidRDefault="00DD57CB" w:rsidP="00DD57CB">
      <w:pPr>
        <w:pStyle w:val="SingleTxtG"/>
        <w:spacing w:before="120"/>
        <w:rPr>
          <w:lang w:val="es-ES_tradnl"/>
        </w:rPr>
      </w:pPr>
      <w:r w:rsidRPr="000F2ED3">
        <w:rPr>
          <w:lang w:val="es-ES_tradnl"/>
        </w:rPr>
        <w:t>7.6</w:t>
      </w:r>
      <w:r w:rsidR="009210F5" w:rsidRPr="000F2ED3">
        <w:rPr>
          <w:lang w:val="es-ES_tradnl"/>
        </w:rPr>
        <w:tab/>
        <w:t>El proceso penal seguido contra el autor no constituyó una violación de los artículo</w:t>
      </w:r>
      <w:r w:rsidR="000E5F19" w:rsidRPr="000F2ED3">
        <w:rPr>
          <w:lang w:val="es-ES_tradnl"/>
        </w:rPr>
        <w:t>s</w:t>
      </w:r>
      <w:r w:rsidR="009210F5" w:rsidRPr="000F2ED3">
        <w:rPr>
          <w:lang w:val="es-ES_tradnl"/>
        </w:rPr>
        <w:t xml:space="preserve"> 14(1) y 26 del Pacto.</w:t>
      </w:r>
      <w:r w:rsidRPr="000F2ED3">
        <w:rPr>
          <w:lang w:val="es-ES_tradnl"/>
        </w:rPr>
        <w:t xml:space="preserve"> </w:t>
      </w:r>
      <w:r w:rsidR="00C90A6F" w:rsidRPr="000F2ED3">
        <w:rPr>
          <w:lang w:val="es-ES_tradnl"/>
        </w:rPr>
        <w:t>Más bien, c</w:t>
      </w:r>
      <w:r w:rsidR="000E5F19" w:rsidRPr="000F2ED3">
        <w:rPr>
          <w:lang w:val="es-ES_tradnl"/>
        </w:rPr>
        <w:t>orrespondió al tipo de proceso que se llevan a cabo con relación a personas que tiene</w:t>
      </w:r>
      <w:r w:rsidR="00C90A6F" w:rsidRPr="000F2ED3">
        <w:rPr>
          <w:lang w:val="es-ES_tradnl"/>
        </w:rPr>
        <w:t>n</w:t>
      </w:r>
      <w:r w:rsidR="000E5F19" w:rsidRPr="000F2ED3">
        <w:rPr>
          <w:lang w:val="es-ES_tradnl"/>
        </w:rPr>
        <w:t xml:space="preserve"> fuero congresal. Por lo tanto, el autor no sufrió un trato distinto con relación a otras personas en la misma situación.</w:t>
      </w:r>
    </w:p>
    <w:p w:rsidR="001B70FE" w:rsidRPr="000F2ED3" w:rsidRDefault="00B877B5" w:rsidP="00B877B5">
      <w:pPr>
        <w:pStyle w:val="H23G"/>
        <w:rPr>
          <w:lang w:val="es-ES_tradnl"/>
        </w:rPr>
      </w:pPr>
      <w:r>
        <w:rPr>
          <w:lang w:val="es-ES_tradnl"/>
        </w:rPr>
        <w:tab/>
      </w:r>
      <w:r>
        <w:rPr>
          <w:lang w:val="es-ES_tradnl"/>
        </w:rPr>
        <w:tab/>
      </w:r>
      <w:r w:rsidR="001B70FE" w:rsidRPr="000F2ED3">
        <w:rPr>
          <w:lang w:val="es-ES_tradnl"/>
        </w:rPr>
        <w:t>Comentarios de</w:t>
      </w:r>
      <w:r w:rsidR="00DA0629" w:rsidRPr="000F2ED3">
        <w:rPr>
          <w:lang w:val="es-ES_tradnl"/>
        </w:rPr>
        <w:t>l autor</w:t>
      </w:r>
      <w:r w:rsidR="001B70FE" w:rsidRPr="000F2ED3">
        <w:rPr>
          <w:lang w:val="es-ES_tradnl"/>
        </w:rPr>
        <w:t xml:space="preserve"> a las observaciones del Estado parte sobre el fondo</w:t>
      </w:r>
    </w:p>
    <w:p w:rsidR="001F01DF" w:rsidRPr="000F2ED3" w:rsidRDefault="00EC3F11" w:rsidP="001F01DF">
      <w:pPr>
        <w:pStyle w:val="SingleTxtG"/>
        <w:rPr>
          <w:lang w:val="es-ES_tradnl"/>
        </w:rPr>
      </w:pPr>
      <w:r w:rsidRPr="000F2ED3">
        <w:rPr>
          <w:lang w:val="es-ES_tradnl"/>
        </w:rPr>
        <w:t>8</w:t>
      </w:r>
      <w:r w:rsidR="001B70FE" w:rsidRPr="000F2ED3">
        <w:rPr>
          <w:lang w:val="es-ES_tradnl"/>
        </w:rPr>
        <w:t>.1</w:t>
      </w:r>
      <w:r w:rsidR="00194B44" w:rsidRPr="000F2ED3">
        <w:rPr>
          <w:lang w:val="es-ES_tradnl"/>
        </w:rPr>
        <w:tab/>
      </w:r>
      <w:r w:rsidR="00D4489A" w:rsidRPr="000F2ED3">
        <w:rPr>
          <w:lang w:val="es-ES_tradnl"/>
        </w:rPr>
        <w:t xml:space="preserve">El </w:t>
      </w:r>
      <w:r w:rsidR="0026469F" w:rsidRPr="000F2ED3">
        <w:rPr>
          <w:lang w:val="es-ES_tradnl"/>
        </w:rPr>
        <w:t>6 de septiembre de 2015</w:t>
      </w:r>
      <w:r w:rsidR="00D4489A" w:rsidRPr="000F2ED3">
        <w:rPr>
          <w:lang w:val="es-ES_tradnl"/>
        </w:rPr>
        <w:t xml:space="preserve">, </w:t>
      </w:r>
      <w:r w:rsidR="00DA0629" w:rsidRPr="000F2ED3">
        <w:rPr>
          <w:lang w:val="es-ES_tradnl"/>
        </w:rPr>
        <w:t xml:space="preserve">el autor presentó sus comentarios sobre el fondo de la comunicación y reiteró </w:t>
      </w:r>
      <w:r w:rsidR="001F01DF" w:rsidRPr="000F2ED3">
        <w:rPr>
          <w:lang w:val="es-ES_tradnl"/>
        </w:rPr>
        <w:t>que el Estado parte violó sus derechos al acceso a un tribunal independiente e imparcial, a la presunción de inocencia, a ser juzgado por el juez natural y a recurrir la sentencia y pena ante un tribunal superior.</w:t>
      </w:r>
    </w:p>
    <w:p w:rsidR="00881780" w:rsidRPr="000F2ED3" w:rsidRDefault="00EC3F11" w:rsidP="001F01DF">
      <w:pPr>
        <w:pStyle w:val="SingleTxtG"/>
      </w:pPr>
      <w:r w:rsidRPr="000F2ED3">
        <w:rPr>
          <w:lang w:val="es-ES_tradnl"/>
        </w:rPr>
        <w:t>8</w:t>
      </w:r>
      <w:r w:rsidR="00B877B5">
        <w:t>.2</w:t>
      </w:r>
      <w:r w:rsidR="001F01DF" w:rsidRPr="000F2ED3">
        <w:tab/>
        <w:t xml:space="preserve">Con relación a sus alegaciones de la falta de imparcialidad del tribunal, el autor señala que los mismos jueces que acordaron el llamamiento a juicio, son los mismos que dictaron la sentencia, y que, por tanto, no hubo una separación de funciones, por ejemplo, mediante sub-salas entre los miembros de la Sala Penal, a fin de que una sub-sala investigara y acusara y otra distinta </w:t>
      </w:r>
      <w:r w:rsidR="00E2462C" w:rsidRPr="000F2ED3">
        <w:t>fuera responsable</w:t>
      </w:r>
      <w:r w:rsidR="001F01DF" w:rsidRPr="000F2ED3">
        <w:t xml:space="preserve"> </w:t>
      </w:r>
      <w:r w:rsidR="00E2462C" w:rsidRPr="000F2ED3">
        <w:t>d</w:t>
      </w:r>
      <w:r w:rsidR="001F01DF" w:rsidRPr="000F2ED3">
        <w:t xml:space="preserve">el juicio y profiriera la sentencia. </w:t>
      </w:r>
    </w:p>
    <w:p w:rsidR="00881780" w:rsidRPr="000F2ED3" w:rsidRDefault="00EC3F11" w:rsidP="00881780">
      <w:pPr>
        <w:pStyle w:val="SingleTxtG"/>
      </w:pPr>
      <w:r w:rsidRPr="000F2ED3">
        <w:t>8</w:t>
      </w:r>
      <w:r w:rsidR="00881780" w:rsidRPr="000F2ED3">
        <w:t>.3</w:t>
      </w:r>
      <w:r w:rsidR="00881780" w:rsidRPr="000F2ED3">
        <w:tab/>
      </w:r>
      <w:r w:rsidR="001F01DF" w:rsidRPr="000F2ED3">
        <w:t xml:space="preserve">En </w:t>
      </w:r>
      <w:r w:rsidR="00881780" w:rsidRPr="000F2ED3">
        <w:t>atención al marco descrito en el párrafo anterior</w:t>
      </w:r>
      <w:r w:rsidR="001F01DF" w:rsidRPr="000F2ED3">
        <w:t xml:space="preserve">, el derecho a la presunción de inocencia también fue violado ya que los jueces que llamaron </w:t>
      </w:r>
      <w:r w:rsidR="00C90A6F" w:rsidRPr="000F2ED3">
        <w:t xml:space="preserve">el </w:t>
      </w:r>
      <w:r w:rsidR="001F01DF" w:rsidRPr="000F2ED3">
        <w:t>autor</w:t>
      </w:r>
      <w:r w:rsidR="00C90A6F" w:rsidRPr="000F2ED3">
        <w:t xml:space="preserve"> a juicio</w:t>
      </w:r>
      <w:r w:rsidR="001F01DF" w:rsidRPr="000F2ED3">
        <w:t xml:space="preserve"> son los mismos que lo juzgaron.</w:t>
      </w:r>
      <w:r w:rsidR="00E2462C" w:rsidRPr="000F2ED3">
        <w:t xml:space="preserve"> El hecho que el</w:t>
      </w:r>
      <w:r w:rsidR="001F01DF" w:rsidRPr="000F2ED3">
        <w:t xml:space="preserve"> juez natural en el caso del autor fuera la CSJ no legitima las condenas penales de única instancia, en ausencia de separación funcional entre quien acusa y quien juzga y condena.</w:t>
      </w:r>
    </w:p>
    <w:p w:rsidR="00DA0629" w:rsidRPr="000F2ED3" w:rsidRDefault="00EC3F11" w:rsidP="00EC0E9F">
      <w:pPr>
        <w:pStyle w:val="SingleTxtG"/>
        <w:rPr>
          <w:lang w:val="es-ES_tradnl"/>
        </w:rPr>
      </w:pPr>
      <w:r w:rsidRPr="000F2ED3">
        <w:t>8</w:t>
      </w:r>
      <w:r w:rsidR="00B877B5">
        <w:t>.4</w:t>
      </w:r>
      <w:r w:rsidR="00881780" w:rsidRPr="000F2ED3">
        <w:tab/>
      </w:r>
      <w:r w:rsidR="001F01DF" w:rsidRPr="000F2ED3">
        <w:t>Con relación al derecho al juez natural, el autor reitera sus alegaciones de que no debió aplicarse el fuero congresal a su caso toda vez que en el momento de los hechos él tenía una licencia temporal sin remuneración por lo que no ejercía como congresista. Toda vez que fue reemplazado por la Sra. Y.M.</w:t>
      </w:r>
      <w:r w:rsidR="005D07E1" w:rsidRPr="000F2ED3">
        <w:t>,</w:t>
      </w:r>
      <w:r w:rsidR="001F01DF" w:rsidRPr="000F2ED3">
        <w:t xml:space="preserve"> el fuero congresal solo era aplicable a su caso. </w:t>
      </w:r>
    </w:p>
    <w:p w:rsidR="000D2405" w:rsidRPr="000F2ED3" w:rsidRDefault="007F5BB4" w:rsidP="0021420D">
      <w:pPr>
        <w:pStyle w:val="H23G"/>
        <w:rPr>
          <w:lang w:val="es-ES_tradnl"/>
        </w:rPr>
      </w:pPr>
      <w:r w:rsidRPr="000F2ED3">
        <w:rPr>
          <w:lang w:val="es-ES_tradnl"/>
        </w:rPr>
        <w:tab/>
      </w:r>
      <w:r w:rsidRPr="000F2ED3">
        <w:rPr>
          <w:lang w:val="es-ES_tradnl"/>
        </w:rPr>
        <w:tab/>
      </w:r>
      <w:r w:rsidR="000D2405" w:rsidRPr="000F2ED3">
        <w:rPr>
          <w:lang w:val="es-ES_tradnl"/>
        </w:rPr>
        <w:t>Deliberaciones del Comité</w:t>
      </w:r>
    </w:p>
    <w:p w:rsidR="000D2405" w:rsidRPr="000F2ED3" w:rsidRDefault="000D2405" w:rsidP="000C0D62">
      <w:pPr>
        <w:pStyle w:val="H4G"/>
        <w:rPr>
          <w:lang w:val="es-ES_tradnl"/>
        </w:rPr>
      </w:pPr>
      <w:r w:rsidRPr="000F2ED3">
        <w:rPr>
          <w:lang w:val="es-ES_tradnl"/>
        </w:rPr>
        <w:tab/>
      </w:r>
      <w:r w:rsidR="000C0D62" w:rsidRPr="000F2ED3">
        <w:rPr>
          <w:lang w:val="es-ES_tradnl"/>
        </w:rPr>
        <w:tab/>
      </w:r>
      <w:r w:rsidRPr="000F2ED3">
        <w:rPr>
          <w:lang w:val="es-ES_tradnl"/>
        </w:rPr>
        <w:t>Examen de la admisibilidad</w:t>
      </w:r>
    </w:p>
    <w:p w:rsidR="00EC0E9F" w:rsidRPr="000F2ED3" w:rsidRDefault="008B7EA5" w:rsidP="00EC0E9F">
      <w:pPr>
        <w:pStyle w:val="SingleTxtG"/>
        <w:rPr>
          <w:lang w:val="es-ES_tradnl"/>
        </w:rPr>
      </w:pPr>
      <w:r w:rsidRPr="000F2ED3">
        <w:rPr>
          <w:lang w:val="es-ES_tradnl"/>
        </w:rPr>
        <w:t>9</w:t>
      </w:r>
      <w:r w:rsidR="000D2405" w:rsidRPr="000F2ED3">
        <w:rPr>
          <w:lang w:val="es-ES_tradnl"/>
        </w:rPr>
        <w:t>.1</w:t>
      </w:r>
      <w:r w:rsidR="000D2405" w:rsidRPr="000F2ED3">
        <w:rPr>
          <w:lang w:val="es-ES_tradnl"/>
        </w:rPr>
        <w:tab/>
        <w:t xml:space="preserve">Antes de examinar toda </w:t>
      </w:r>
      <w:r w:rsidR="00FC25EE" w:rsidRPr="000F2ED3">
        <w:rPr>
          <w:lang w:val="es-ES_tradnl"/>
        </w:rPr>
        <w:t>queja</w:t>
      </w:r>
      <w:r w:rsidR="000D2405" w:rsidRPr="000F2ED3">
        <w:rPr>
          <w:lang w:val="es-ES_tradnl"/>
        </w:rPr>
        <w:t xml:space="preserve"> formulada en una comunicación, el Comité debe decidir, de conformidad con el artículo 93 de su reglamento, si el caso es o no admisible en virtud del</w:t>
      </w:r>
      <w:r w:rsidR="00CC4B7A" w:rsidRPr="000F2ED3">
        <w:rPr>
          <w:lang w:val="es-ES_tradnl"/>
        </w:rPr>
        <w:t xml:space="preserve"> Protocolo Facultativo</w:t>
      </w:r>
      <w:r w:rsidR="000D2405" w:rsidRPr="000F2ED3">
        <w:rPr>
          <w:lang w:val="es-ES_tradnl"/>
        </w:rPr>
        <w:t>.</w:t>
      </w:r>
    </w:p>
    <w:p w:rsidR="00EC0E9F" w:rsidRPr="000F2ED3" w:rsidRDefault="00EC0E9F" w:rsidP="00EC0E9F">
      <w:pPr>
        <w:pStyle w:val="SingleTxtG"/>
      </w:pPr>
      <w:r w:rsidRPr="000F2ED3">
        <w:rPr>
          <w:lang w:val="es-ES_tradnl"/>
        </w:rPr>
        <w:t>9</w:t>
      </w:r>
      <w:r w:rsidRPr="000F2ED3">
        <w:t>.2</w:t>
      </w:r>
      <w:r w:rsidRPr="000F2ED3">
        <w:tab/>
        <w:t>En cumplimiento de lo exigido en el artículo 5, párrafo 2 a), del Protocolo Facultativo, el Comité se ha cerciorado de que el mismo asunto no está siendo examinado en el marco de otro procedimiento de examen o arreglo internacional.</w:t>
      </w:r>
    </w:p>
    <w:p w:rsidR="00EC0E9F" w:rsidRPr="000F2ED3" w:rsidRDefault="00FE2F26" w:rsidP="00FE2F26">
      <w:pPr>
        <w:pStyle w:val="SingleTxtG"/>
      </w:pPr>
      <w:r w:rsidRPr="000F2ED3">
        <w:t>9</w:t>
      </w:r>
      <w:r w:rsidR="00EC0E9F" w:rsidRPr="000F2ED3">
        <w:t>.3</w:t>
      </w:r>
      <w:r w:rsidR="00EC0E9F" w:rsidRPr="000F2ED3">
        <w:tab/>
        <w:t>El Comité toma nota de la alegación de</w:t>
      </w:r>
      <w:r w:rsidR="00CC4B7A" w:rsidRPr="000F2ED3">
        <w:t>l</w:t>
      </w:r>
      <w:r w:rsidRPr="000F2ED3">
        <w:t xml:space="preserve"> autor</w:t>
      </w:r>
      <w:r w:rsidR="00EC0E9F" w:rsidRPr="000F2ED3">
        <w:t xml:space="preserve"> de que ha agotado todos los recursos internos efectivos de que disponía. Puesto que el Estado parte no ha formulado objeción alguna a ese respecto, el Comité considera que se han cumplid</w:t>
      </w:r>
      <w:r w:rsidRPr="000F2ED3">
        <w:t>o los requisitos del artículo 5(2)(b)</w:t>
      </w:r>
      <w:r w:rsidR="00EC0E9F" w:rsidRPr="000F2ED3">
        <w:t xml:space="preserve"> del Protocolo Facultativo.</w:t>
      </w:r>
    </w:p>
    <w:p w:rsidR="008B7EA5" w:rsidRPr="000F2ED3" w:rsidRDefault="00EC0E9F" w:rsidP="00FE2F26">
      <w:pPr>
        <w:pStyle w:val="SingleTxtG"/>
        <w:spacing w:line="236" w:lineRule="atLeast"/>
        <w:ind w:left="1138" w:right="1138"/>
      </w:pPr>
      <w:r w:rsidRPr="000F2ED3">
        <w:rPr>
          <w:shd w:val="clear" w:color="auto" w:fill="FFFFFF"/>
        </w:rPr>
        <w:t>9</w:t>
      </w:r>
      <w:r w:rsidR="00FE2F26" w:rsidRPr="000F2ED3">
        <w:rPr>
          <w:shd w:val="clear" w:color="auto" w:fill="FFFFFF"/>
        </w:rPr>
        <w:t>.4</w:t>
      </w:r>
      <w:r w:rsidR="008B7EA5" w:rsidRPr="000F2ED3">
        <w:rPr>
          <w:shd w:val="clear" w:color="auto" w:fill="FFFFFF"/>
        </w:rPr>
        <w:tab/>
      </w:r>
      <w:r w:rsidR="008B7EA5" w:rsidRPr="000F2ED3">
        <w:t xml:space="preserve">El Comité toma nota del argumento del Estado parte de que debería considerarse inadmisible la comunicación por constituir un abuso del derecho a presentar </w:t>
      </w:r>
      <w:r w:rsidRPr="000F2ED3">
        <w:t>una</w:t>
      </w:r>
      <w:r w:rsidR="008B7EA5" w:rsidRPr="000F2ED3">
        <w:t xml:space="preserve"> comunicaci</w:t>
      </w:r>
      <w:r w:rsidRPr="000F2ED3">
        <w:t>ón</w:t>
      </w:r>
      <w:r w:rsidR="008B7EA5" w:rsidRPr="000F2ED3">
        <w:t xml:space="preserve">, en razón de que la misma presenta información falsa, distorsionada, incompleta y poco clara. El Comité observa, sin embargo, que la mera discrepancia entre el Estado parte y el </w:t>
      </w:r>
      <w:r w:rsidRPr="000F2ED3">
        <w:t xml:space="preserve">autor </w:t>
      </w:r>
      <w:r w:rsidR="008B7EA5" w:rsidRPr="000F2ED3">
        <w:t>de la comunicación sobre los hechos y la aplicación de la ley, y</w:t>
      </w:r>
      <w:r w:rsidR="005D07E1" w:rsidRPr="000F2ED3">
        <w:t xml:space="preserve"> sobre</w:t>
      </w:r>
      <w:r w:rsidR="008B7EA5" w:rsidRPr="000F2ED3">
        <w:t xml:space="preserve"> la pertinencia de la jurisprudencia de los tribunales nacionales y del Comité que serían aplicables al caso</w:t>
      </w:r>
      <w:r w:rsidR="005D07E1" w:rsidRPr="000F2ED3">
        <w:t>,</w:t>
      </w:r>
      <w:r w:rsidR="008B7EA5" w:rsidRPr="000F2ED3">
        <w:t xml:space="preserve"> no constituye</w:t>
      </w:r>
      <w:r w:rsidR="005D07E1" w:rsidRPr="000F2ED3">
        <w:t>n</w:t>
      </w:r>
      <w:r w:rsidR="008B7EA5" w:rsidRPr="000F2ED3">
        <w:t xml:space="preserve"> un abuso del derec</w:t>
      </w:r>
      <w:r w:rsidR="004F7D99">
        <w:t>ho a presentar una comunicación</w:t>
      </w:r>
      <w:r w:rsidRPr="000F2ED3">
        <w:rPr>
          <w:rStyle w:val="FootnoteReference"/>
        </w:rPr>
        <w:footnoteReference w:id="14"/>
      </w:r>
      <w:r w:rsidR="004F7D99">
        <w:t>.</w:t>
      </w:r>
      <w:r w:rsidR="008B7EA5" w:rsidRPr="000F2ED3">
        <w:t xml:space="preserve"> El </w:t>
      </w:r>
      <w:r w:rsidR="008B7EA5" w:rsidRPr="000F2ED3">
        <w:lastRenderedPageBreak/>
        <w:t xml:space="preserve">Comité también toma nota del argumento del Estado parte de que la comunicación es inadmisible debido al tiempo transcurrido entre las últimas sentencias de los tribunales nacionales y la presentación de la comunicación ante el Comité. </w:t>
      </w:r>
      <w:r w:rsidR="00FE2F26" w:rsidRPr="000F2ED3">
        <w:t>El Comité recuerda que</w:t>
      </w:r>
      <w:r w:rsidR="005D07E1" w:rsidRPr="000F2ED3">
        <w:t>,</w:t>
      </w:r>
      <w:r w:rsidR="00FE2F26" w:rsidRPr="000F2ED3">
        <w:t xml:space="preserve"> aunque no existe ningún plazo explícito para la presentación de comunicaciones en virtud del Protocolo Facultativo, </w:t>
      </w:r>
      <w:r w:rsidR="00FE2F26" w:rsidRPr="000F2ED3">
        <w:rPr>
          <w:rFonts w:eastAsia="MS Mincho"/>
        </w:rPr>
        <w:t>de acuerdo al artículo 96 c) de su reglamento, “[e]</w:t>
      </w:r>
      <w:r w:rsidR="00FE2F26" w:rsidRPr="000F2ED3">
        <w:t xml:space="preserve">n principio, la demora en presentar una comunicación no puede invocarse como base de una decisión de inadmisibilidad </w:t>
      </w:r>
      <w:proofErr w:type="spellStart"/>
      <w:r w:rsidR="00FE2F26" w:rsidRPr="000F2ED3">
        <w:rPr>
          <w:i/>
        </w:rPr>
        <w:t>ratione</w:t>
      </w:r>
      <w:proofErr w:type="spellEnd"/>
      <w:r w:rsidR="00FE2F26" w:rsidRPr="000F2ED3">
        <w:rPr>
          <w:i/>
        </w:rPr>
        <w:t xml:space="preserve"> </w:t>
      </w:r>
      <w:proofErr w:type="spellStart"/>
      <w:r w:rsidR="00FE2F26" w:rsidRPr="000F2ED3">
        <w:rPr>
          <w:i/>
        </w:rPr>
        <w:t>temporis</w:t>
      </w:r>
      <w:proofErr w:type="spellEnd"/>
      <w:r w:rsidR="00FE2F26" w:rsidRPr="000F2ED3">
        <w:t xml:space="preserve"> fundada en el abuso del derecho a presentar una comunicación. Sin embargo, podrá constituir abuso de ese derecho la presentación de una comunicación 5 años después del agotamiento de los recursos internos por su autor o, en su caso, 3 años después de la conclusión de otro procedimiento de examen o arreglo internacionales, a menos que la demora esté justificada habida cuenta de todas las circunstancias de la comunicación”</w:t>
      </w:r>
      <w:r w:rsidR="00FE2F26" w:rsidRPr="000F2ED3">
        <w:rPr>
          <w:rStyle w:val="FootnoteReference"/>
          <w:rFonts w:ascii="TimesNewRoman" w:hAnsi="TimesNewRoman"/>
          <w:sz w:val="20"/>
          <w:lang w:eastAsia="en-GB"/>
        </w:rPr>
        <w:footnoteReference w:id="15"/>
      </w:r>
      <w:r w:rsidR="00FE2F26" w:rsidRPr="000F2ED3">
        <w:t xml:space="preserve">. </w:t>
      </w:r>
      <w:r w:rsidR="008B7EA5" w:rsidRPr="000F2ED3">
        <w:t>En el presente caso, e</w:t>
      </w:r>
      <w:r w:rsidR="008B7EA5" w:rsidRPr="000F2ED3">
        <w:rPr>
          <w:lang w:val="es-ES_tradnl"/>
        </w:rPr>
        <w:t xml:space="preserve">l Comité </w:t>
      </w:r>
      <w:r w:rsidRPr="000F2ED3">
        <w:rPr>
          <w:lang w:val="es-ES_tradnl"/>
        </w:rPr>
        <w:t>not</w:t>
      </w:r>
      <w:r w:rsidR="008B7EA5" w:rsidRPr="000F2ED3">
        <w:rPr>
          <w:lang w:val="es-ES_tradnl"/>
        </w:rPr>
        <w:t xml:space="preserve">a que, </w:t>
      </w:r>
      <w:r w:rsidR="00526383" w:rsidRPr="000F2ED3">
        <w:rPr>
          <w:lang w:val="es-ES_tradnl"/>
        </w:rPr>
        <w:t xml:space="preserve">con </w:t>
      </w:r>
      <w:r w:rsidR="008B7EA5" w:rsidRPr="000F2ED3">
        <w:rPr>
          <w:lang w:val="es-ES_tradnl"/>
        </w:rPr>
        <w:t>posterioridad a</w:t>
      </w:r>
      <w:r w:rsidR="00526383" w:rsidRPr="000F2ED3">
        <w:rPr>
          <w:lang w:val="es-ES_tradnl"/>
        </w:rPr>
        <w:t>l fallo condenatorio de la CSJ, la Corte Constitucional desestimó la acción de tutela del autor el 18 de diciembre de 2009</w:t>
      </w:r>
      <w:r w:rsidR="00D62E27" w:rsidRPr="000F2ED3">
        <w:rPr>
          <w:lang w:val="es-ES_tradnl"/>
        </w:rPr>
        <w:t xml:space="preserve"> (para</w:t>
      </w:r>
      <w:r w:rsidR="00F962B2" w:rsidRPr="000F2ED3">
        <w:rPr>
          <w:lang w:val="es-ES_tradnl"/>
        </w:rPr>
        <w:t>s</w:t>
      </w:r>
      <w:r w:rsidR="00D62E27" w:rsidRPr="000F2ED3">
        <w:rPr>
          <w:lang w:val="es-ES_tradnl"/>
        </w:rPr>
        <w:t xml:space="preserve"> 2.13</w:t>
      </w:r>
      <w:r w:rsidR="00F962B2" w:rsidRPr="000F2ED3">
        <w:rPr>
          <w:lang w:val="es-ES_tradnl"/>
        </w:rPr>
        <w:t>, 4.6</w:t>
      </w:r>
      <w:r w:rsidR="00D62E27" w:rsidRPr="000F2ED3">
        <w:rPr>
          <w:lang w:val="es-ES_tradnl"/>
        </w:rPr>
        <w:t>)</w:t>
      </w:r>
      <w:r w:rsidRPr="000F2ED3">
        <w:rPr>
          <w:lang w:val="es-ES_tradnl"/>
        </w:rPr>
        <w:t xml:space="preserve">. El autor interpuso un recurso de nulidad contra esta sentencia que fue también denegado por la Sala Plena de la Corte Constitucional el </w:t>
      </w:r>
      <w:r w:rsidR="00526383" w:rsidRPr="000F2ED3">
        <w:rPr>
          <w:lang w:val="es-ES_tradnl"/>
        </w:rPr>
        <w:t>2 de febrero de 201</w:t>
      </w:r>
      <w:r w:rsidR="00CC4B7A" w:rsidRPr="000F2ED3">
        <w:rPr>
          <w:lang w:val="es-ES_tradnl"/>
        </w:rPr>
        <w:t>1</w:t>
      </w:r>
      <w:r w:rsidR="00F962B2" w:rsidRPr="000F2ED3">
        <w:rPr>
          <w:lang w:val="es-ES_tradnl"/>
        </w:rPr>
        <w:t xml:space="preserve"> (paras 6.1</w:t>
      </w:r>
      <w:r w:rsidR="00E02848" w:rsidRPr="000F2ED3">
        <w:rPr>
          <w:lang w:val="es-ES_tradnl"/>
        </w:rPr>
        <w:t>-</w:t>
      </w:r>
      <w:r w:rsidR="00F962B2" w:rsidRPr="000F2ED3">
        <w:rPr>
          <w:lang w:val="es-ES_tradnl"/>
        </w:rPr>
        <w:t>6.2)</w:t>
      </w:r>
      <w:r w:rsidRPr="000F2ED3">
        <w:rPr>
          <w:lang w:val="es-ES_tradnl"/>
        </w:rPr>
        <w:t>. Por tanto, el Comité observa que la comunicación fue presentada al Comité dentro del plazo de 5 a</w:t>
      </w:r>
      <w:r w:rsidR="00CC4B7A" w:rsidRPr="000F2ED3">
        <w:rPr>
          <w:lang w:val="es-ES_tradnl"/>
        </w:rPr>
        <w:t>ños establecido en su reglamento</w:t>
      </w:r>
      <w:r w:rsidRPr="000F2ED3">
        <w:rPr>
          <w:lang w:val="es-ES_tradnl"/>
        </w:rPr>
        <w:t xml:space="preserve"> y considera que la misma no constituye un abuso de derec</w:t>
      </w:r>
      <w:r w:rsidR="00CC4B7A" w:rsidRPr="000F2ED3">
        <w:rPr>
          <w:lang w:val="es-ES_tradnl"/>
        </w:rPr>
        <w:t>ho a presentar una comunicación</w:t>
      </w:r>
      <w:r w:rsidRPr="000F2ED3">
        <w:rPr>
          <w:lang w:val="es-ES_tradnl"/>
        </w:rPr>
        <w:t xml:space="preserve"> </w:t>
      </w:r>
      <w:r w:rsidR="008B7EA5" w:rsidRPr="000F2ED3">
        <w:rPr>
          <w:lang w:val="es-ES_tradnl"/>
        </w:rPr>
        <w:t>en virtud de lo dispuesto en el artículo 3 del Protocolo Facultativo.</w:t>
      </w:r>
    </w:p>
    <w:p w:rsidR="00EB0B3C" w:rsidRPr="000F2ED3" w:rsidRDefault="00900331" w:rsidP="00EB0B3C">
      <w:pPr>
        <w:pStyle w:val="SingleTxtG"/>
        <w:rPr>
          <w:lang w:val="es-ES_tradnl" w:eastAsia="en-US"/>
        </w:rPr>
      </w:pPr>
      <w:r w:rsidRPr="000F2ED3">
        <w:t>9.5</w:t>
      </w:r>
      <w:r w:rsidR="00EB0B3C" w:rsidRPr="000F2ED3">
        <w:tab/>
        <w:t xml:space="preserve">El Comité </w:t>
      </w:r>
      <w:r w:rsidR="00CC4B7A" w:rsidRPr="000F2ED3">
        <w:t xml:space="preserve">toma </w:t>
      </w:r>
      <w:r w:rsidR="00EB0B3C" w:rsidRPr="000F2ED3">
        <w:t>nota de las alegaciones del autor de que sus derecho</w:t>
      </w:r>
      <w:r w:rsidR="00DD3492" w:rsidRPr="000F2ED3">
        <w:t>s en virtud de los artículos 3,</w:t>
      </w:r>
      <w:r w:rsidR="00EB0B3C" w:rsidRPr="000F2ED3">
        <w:t xml:space="preserve"> 9 </w:t>
      </w:r>
      <w:r w:rsidR="00DD3492" w:rsidRPr="000F2ED3">
        <w:t xml:space="preserve">y 14(3) </w:t>
      </w:r>
      <w:r w:rsidR="00EB0B3C" w:rsidRPr="000F2ED3">
        <w:t xml:space="preserve">del Pacto fueron violados por el Estado parte. El autor se limita a citar </w:t>
      </w:r>
      <w:r w:rsidR="00CC4B7A" w:rsidRPr="000F2ED3">
        <w:t>esto</w:t>
      </w:r>
      <w:r w:rsidR="00EB0B3C" w:rsidRPr="000F2ED3">
        <w:t xml:space="preserve">s artículos del Pacto sin fundamentar mínimamente las razones por las cuales </w:t>
      </w:r>
      <w:r w:rsidR="00CC4B7A" w:rsidRPr="000F2ED3">
        <w:t xml:space="preserve">considera que </w:t>
      </w:r>
      <w:r w:rsidR="00EB0B3C" w:rsidRPr="000F2ED3">
        <w:t xml:space="preserve">estos derechos fueron violados. </w:t>
      </w:r>
      <w:r w:rsidR="00EB0B3C" w:rsidRPr="000F2ED3">
        <w:rPr>
          <w:lang w:val="es-ES_tradnl" w:eastAsia="en-US"/>
        </w:rPr>
        <w:t xml:space="preserve">En consecuencia, el Comité </w:t>
      </w:r>
      <w:r w:rsidR="00CC4B7A" w:rsidRPr="000F2ED3">
        <w:rPr>
          <w:lang w:val="es-ES_tradnl" w:eastAsia="en-US"/>
        </w:rPr>
        <w:t>concluye</w:t>
      </w:r>
      <w:r w:rsidR="00EB0B3C" w:rsidRPr="000F2ED3">
        <w:rPr>
          <w:lang w:val="es-ES_tradnl" w:eastAsia="en-US"/>
        </w:rPr>
        <w:t xml:space="preserve"> que el autor no ha f</w:t>
      </w:r>
      <w:r w:rsidR="00CC4B7A" w:rsidRPr="000F2ED3">
        <w:rPr>
          <w:lang w:val="es-ES_tradnl" w:eastAsia="en-US"/>
        </w:rPr>
        <w:t>undamentado suficientemente estas quejas a efectos de la admisibilidad,</w:t>
      </w:r>
      <w:r w:rsidR="00EB0B3C" w:rsidRPr="000F2ED3">
        <w:rPr>
          <w:lang w:val="es-ES_tradnl" w:eastAsia="en-US"/>
        </w:rPr>
        <w:t xml:space="preserve"> y las declara inadmisible</w:t>
      </w:r>
      <w:r w:rsidR="00CC4B7A" w:rsidRPr="000F2ED3">
        <w:rPr>
          <w:lang w:val="es-ES_tradnl" w:eastAsia="en-US"/>
        </w:rPr>
        <w:t>s</w:t>
      </w:r>
      <w:r w:rsidR="00EB0B3C" w:rsidRPr="000F2ED3">
        <w:rPr>
          <w:lang w:val="es-ES_tradnl" w:eastAsia="en-US"/>
        </w:rPr>
        <w:t xml:space="preserve"> de conformidad con el artículo 2 del Protocolo Facultativo.</w:t>
      </w:r>
    </w:p>
    <w:p w:rsidR="00070D33" w:rsidRPr="000F2ED3" w:rsidRDefault="009B36B3" w:rsidP="00070D33">
      <w:pPr>
        <w:pStyle w:val="SingleTxtG"/>
      </w:pPr>
      <w:r>
        <w:t>9.6</w:t>
      </w:r>
      <w:r w:rsidR="00070D33" w:rsidRPr="000F2ED3">
        <w:tab/>
        <w:t>El Comité toma nota de las alegaciones del autor de violación del artículo 2 del Pacto. El Comité se remite a su jurisprudencia al respecto, según la cual lo dispuesto en el artículo 2 del Pacto, que prevé obligaciones generales para los Estados partes, no puede en sí dar lugar a una reclamación en una comunicación en virtud del Protocolo Facultativo</w:t>
      </w:r>
      <w:r w:rsidR="00070D33" w:rsidRPr="000F2ED3">
        <w:rPr>
          <w:vertAlign w:val="superscript"/>
        </w:rPr>
        <w:footnoteReference w:id="16"/>
      </w:r>
      <w:r w:rsidR="00070D33" w:rsidRPr="000F2ED3">
        <w:t>. Por consiguiente, el Comité considera que las alegaciones del autor en este sentido son inadmisibles en virtud del artículo 2 del Protocolo Facultativo.</w:t>
      </w:r>
    </w:p>
    <w:p w:rsidR="007C76D3" w:rsidRPr="000F2ED3" w:rsidRDefault="009B36B3" w:rsidP="002A4830">
      <w:pPr>
        <w:pStyle w:val="SingleTxtG"/>
        <w:rPr>
          <w:lang w:val="es-ES_tradnl"/>
        </w:rPr>
      </w:pPr>
      <w:r>
        <w:rPr>
          <w:lang w:eastAsia="en-US"/>
        </w:rPr>
        <w:t>9.7</w:t>
      </w:r>
      <w:r w:rsidR="00E179D2" w:rsidRPr="000F2ED3">
        <w:rPr>
          <w:lang w:eastAsia="en-US"/>
        </w:rPr>
        <w:tab/>
      </w:r>
      <w:r w:rsidR="00E179D2" w:rsidRPr="000F2ED3">
        <w:t xml:space="preserve">El Comité toma nota de las alegaciones del autor de que </w:t>
      </w:r>
      <w:r w:rsidR="00E179D2" w:rsidRPr="000F2ED3">
        <w:rPr>
          <w:lang w:val="es-ES_tradnl"/>
        </w:rPr>
        <w:t xml:space="preserve">sus derechos en virtud de los artículos 14(1) and 26 del Pacto fueron violados debido a que no fue juzgado por el juez </w:t>
      </w:r>
      <w:r w:rsidR="009A541B" w:rsidRPr="000F2ED3">
        <w:rPr>
          <w:lang w:val="es-ES_tradnl"/>
        </w:rPr>
        <w:t xml:space="preserve">competente </w:t>
      </w:r>
      <w:r w:rsidR="00E179D2" w:rsidRPr="000F2ED3">
        <w:rPr>
          <w:lang w:val="es-ES_tradnl"/>
        </w:rPr>
        <w:t xml:space="preserve">y en respeto al derecho a la igualdad ante los tribunales, toda vez que la Sala Penal de la CSJ </w:t>
      </w:r>
      <w:r w:rsidR="000B7DEB" w:rsidRPr="000F2ED3">
        <w:rPr>
          <w:lang w:val="es-ES_tradnl"/>
        </w:rPr>
        <w:t>habría cambiado</w:t>
      </w:r>
      <w:r w:rsidR="00E179D2" w:rsidRPr="000F2ED3">
        <w:rPr>
          <w:lang w:val="es-ES_tradnl"/>
        </w:rPr>
        <w:t xml:space="preserve"> su propia jurisprudencia con el fin específico de juzgar al autor y evitar que lo juzgue el juez ordinario (véase 3.2). El Comité también toma nota de los argumentos del Estado parte de que tanto las decisiones de la CSJ como de la Corte Constitucional </w:t>
      </w:r>
      <w:r w:rsidR="008F0775" w:rsidRPr="000F2ED3">
        <w:rPr>
          <w:lang w:val="es-ES_tradnl"/>
        </w:rPr>
        <w:t xml:space="preserve">en el caso del autor </w:t>
      </w:r>
      <w:r w:rsidR="00E179D2" w:rsidRPr="000F2ED3">
        <w:rPr>
          <w:lang w:val="es-ES_tradnl"/>
        </w:rPr>
        <w:t>se basaron en la ley vigente y la jurisprudencia establecida al momento de los hechos (véase 7.3)</w:t>
      </w:r>
      <w:r w:rsidR="005263EA" w:rsidRPr="000F2ED3">
        <w:rPr>
          <w:lang w:val="es-ES_tradnl"/>
        </w:rPr>
        <w:t>; que la jurisprudencia citada por el autor no es relevante al caso ya que no se refiere a las consecuencias de la licencia temporal no remunerada de un congresista sobre el fuero congresal; que la CSJ ha señalado en su jurisprudencia que</w:t>
      </w:r>
      <w:r w:rsidR="005104D3">
        <w:rPr>
          <w:lang w:val="es-ES_tradnl"/>
        </w:rPr>
        <w:t xml:space="preserve"> </w:t>
      </w:r>
      <w:r w:rsidR="005263EA" w:rsidRPr="000F2ED3">
        <w:rPr>
          <w:lang w:val="es-ES_tradnl"/>
        </w:rPr>
        <w:t xml:space="preserve">el congresista que disfrute de una licencia temporal sigue vinculado al servicio y conserva su investidura; </w:t>
      </w:r>
      <w:r w:rsidR="00B42C21" w:rsidRPr="000F2ED3">
        <w:rPr>
          <w:lang w:val="es-ES_tradnl"/>
        </w:rPr>
        <w:t>y que el autor no sufrió un trato distinto con relación a otras personas en la misma situación</w:t>
      </w:r>
      <w:r w:rsidR="00F417DA" w:rsidRPr="000F2ED3">
        <w:rPr>
          <w:lang w:val="es-ES_tradnl"/>
        </w:rPr>
        <w:t xml:space="preserve"> (paras </w:t>
      </w:r>
      <w:r w:rsidR="009D0EA5" w:rsidRPr="000F2ED3">
        <w:rPr>
          <w:lang w:val="es-ES_tradnl"/>
        </w:rPr>
        <w:t xml:space="preserve">4.5, 4.7, </w:t>
      </w:r>
      <w:r w:rsidR="00F417DA" w:rsidRPr="000F2ED3">
        <w:rPr>
          <w:lang w:val="es-ES_tradnl"/>
        </w:rPr>
        <w:t>7.6)</w:t>
      </w:r>
      <w:r w:rsidR="00B42C21" w:rsidRPr="000F2ED3">
        <w:rPr>
          <w:lang w:val="es-ES_tradnl"/>
        </w:rPr>
        <w:t>.</w:t>
      </w:r>
      <w:r w:rsidR="002A4830" w:rsidRPr="000F2ED3">
        <w:rPr>
          <w:lang w:val="es-ES_tradnl"/>
        </w:rPr>
        <w:t xml:space="preserve"> </w:t>
      </w:r>
    </w:p>
    <w:p w:rsidR="002A4830" w:rsidRPr="000F2ED3" w:rsidRDefault="0013411D" w:rsidP="002A4830">
      <w:pPr>
        <w:pStyle w:val="SingleTxtG"/>
        <w:rPr>
          <w:lang w:val="es-ES_tradnl"/>
        </w:rPr>
      </w:pPr>
      <w:r>
        <w:rPr>
          <w:lang w:val="es-ES_tradnl"/>
        </w:rPr>
        <w:t>9.8</w:t>
      </w:r>
      <w:r w:rsidR="007C76D3" w:rsidRPr="000F2ED3">
        <w:rPr>
          <w:lang w:val="es-ES_tradnl"/>
        </w:rPr>
        <w:tab/>
      </w:r>
      <w:r w:rsidR="009A541B" w:rsidRPr="000F2ED3">
        <w:rPr>
          <w:lang w:val="es-ES_tradnl"/>
        </w:rPr>
        <w:t>El Comité observa que e</w:t>
      </w:r>
      <w:r w:rsidR="00593DDD" w:rsidRPr="000F2ED3">
        <w:rPr>
          <w:lang w:val="es-ES_tradnl"/>
        </w:rPr>
        <w:t xml:space="preserve">l autor no cuestiona que de acuerdo a los artículos 186 y 235 de la Constitución, los miembros del Congreso tienen fuero y son juzgados por la Sala Penal </w:t>
      </w:r>
      <w:r w:rsidR="00593DDD" w:rsidRPr="000F2ED3">
        <w:rPr>
          <w:lang w:val="es-ES_tradnl"/>
        </w:rPr>
        <w:lastRenderedPageBreak/>
        <w:t xml:space="preserve">de la CSJ sino que </w:t>
      </w:r>
      <w:r w:rsidR="009A541B" w:rsidRPr="000F2ED3">
        <w:rPr>
          <w:lang w:val="es-ES_tradnl"/>
        </w:rPr>
        <w:t xml:space="preserve">considera que </w:t>
      </w:r>
      <w:r w:rsidR="00593DDD" w:rsidRPr="000F2ED3">
        <w:rPr>
          <w:lang w:val="es-ES_tradnl"/>
        </w:rPr>
        <w:t xml:space="preserve">habiendo estado de licencia temporal no remunerada al momento de los hechos en cuestión, la CSJ debió aplicar su jurisprudencia según la cual si un congresista había dejado el cargo y los hechos carecían de relación funcional con las actividades desarrolladas como congresista, el juez </w:t>
      </w:r>
      <w:r w:rsidR="009A541B" w:rsidRPr="000F2ED3">
        <w:rPr>
          <w:lang w:val="es-ES_tradnl"/>
        </w:rPr>
        <w:t xml:space="preserve">competente </w:t>
      </w:r>
      <w:r w:rsidR="00593DDD" w:rsidRPr="000F2ED3">
        <w:rPr>
          <w:lang w:val="es-ES_tradnl"/>
        </w:rPr>
        <w:t>era el juez ordinario y no la Sala Penal de la CSJ</w:t>
      </w:r>
      <w:r w:rsidR="00AA2857" w:rsidRPr="000F2ED3">
        <w:rPr>
          <w:lang w:val="es-ES_tradnl"/>
        </w:rPr>
        <w:t xml:space="preserve"> (</w:t>
      </w:r>
      <w:r w:rsidR="00653B78" w:rsidRPr="000F2ED3">
        <w:rPr>
          <w:lang w:val="es-ES_tradnl"/>
        </w:rPr>
        <w:t>para 3.2)</w:t>
      </w:r>
      <w:r w:rsidR="00593DDD" w:rsidRPr="000F2ED3">
        <w:rPr>
          <w:lang w:val="es-ES_tradnl"/>
        </w:rPr>
        <w:t>.</w:t>
      </w:r>
      <w:r w:rsidR="009A541B" w:rsidRPr="000F2ED3">
        <w:rPr>
          <w:lang w:val="es-ES_tradnl"/>
        </w:rPr>
        <w:t xml:space="preserve"> Sin embargo, en su caso, la Sala Penal consideró que era competente para juzgar al autor debido a que</w:t>
      </w:r>
      <w:r w:rsidR="005D07E1" w:rsidRPr="000F2ED3">
        <w:rPr>
          <w:lang w:val="es-ES_tradnl"/>
        </w:rPr>
        <w:t>,</w:t>
      </w:r>
      <w:r w:rsidR="009A541B" w:rsidRPr="000F2ED3">
        <w:rPr>
          <w:lang w:val="es-ES_tradnl"/>
        </w:rPr>
        <w:t xml:space="preserve"> a pesar de gozar de licencia temporal no remunerada</w:t>
      </w:r>
      <w:r w:rsidR="005D07E1" w:rsidRPr="000F2ED3">
        <w:rPr>
          <w:lang w:val="es-ES_tradnl"/>
        </w:rPr>
        <w:t>,</w:t>
      </w:r>
      <w:r w:rsidR="009A541B" w:rsidRPr="000F2ED3">
        <w:rPr>
          <w:lang w:val="es-ES_tradnl"/>
        </w:rPr>
        <w:t xml:space="preserve"> el autor no se había desvinculado del cargo de congresista, mantenía el fuero congresal y las conductas que se le atribuían guardaban relación con el cargo que desempeñaba como congresista</w:t>
      </w:r>
      <w:r w:rsidR="00653B78" w:rsidRPr="000F2ED3">
        <w:rPr>
          <w:lang w:val="es-ES_tradnl"/>
        </w:rPr>
        <w:t xml:space="preserve"> (para 4.7)</w:t>
      </w:r>
      <w:r w:rsidR="009A541B" w:rsidRPr="000F2ED3">
        <w:rPr>
          <w:lang w:val="es-ES_tradnl"/>
        </w:rPr>
        <w:t xml:space="preserve">. </w:t>
      </w:r>
      <w:r w:rsidR="007C76D3" w:rsidRPr="000F2ED3">
        <w:rPr>
          <w:rFonts w:eastAsia="Arial Unicode MS"/>
        </w:rPr>
        <w:t>E</w:t>
      </w:r>
      <w:r w:rsidR="007C76D3" w:rsidRPr="000F2ED3">
        <w:t>l Comité recuerda que el artículo 14 del Pacto garantiza la igualdad ante los tribunales pero no puede interpretarse en el sentido de que garantiza la igualdad en los resultados</w:t>
      </w:r>
      <w:r w:rsidR="007C76D3" w:rsidRPr="000F2ED3">
        <w:rPr>
          <w:rStyle w:val="FootnoteReference"/>
        </w:rPr>
        <w:footnoteReference w:id="17"/>
      </w:r>
      <w:r w:rsidR="007C76D3" w:rsidRPr="000F2ED3">
        <w:t>. El Comité también recuerda su jurisprudencia en el sentido de que en general incumbe a los tribunales de los Estados partes la aplicación de la legislación interna</w:t>
      </w:r>
      <w:r w:rsidR="00D01A9B">
        <w:t xml:space="preserve"> en un caso en particular</w:t>
      </w:r>
      <w:r w:rsidR="007C76D3" w:rsidRPr="000F2ED3">
        <w:t xml:space="preserve">, a menos que se demuestre que esa aplicación fue claramente arbitraria o equivalió a </w:t>
      </w:r>
      <w:r w:rsidR="005D07E1" w:rsidRPr="000F2ED3">
        <w:t xml:space="preserve">un </w:t>
      </w:r>
      <w:r w:rsidR="007C76D3" w:rsidRPr="000F2ED3">
        <w:t>error manifiesto o</w:t>
      </w:r>
      <w:r w:rsidR="005D07E1" w:rsidRPr="000F2ED3">
        <w:t xml:space="preserve"> a</w:t>
      </w:r>
      <w:r w:rsidR="007C76D3" w:rsidRPr="000F2ED3">
        <w:t xml:space="preserve"> </w:t>
      </w:r>
      <w:r w:rsidR="005D07E1" w:rsidRPr="000F2ED3">
        <w:t xml:space="preserve">una </w:t>
      </w:r>
      <w:r w:rsidR="007C76D3" w:rsidRPr="000F2ED3">
        <w:t>denegación de justicia</w:t>
      </w:r>
      <w:r w:rsidR="007C76D3" w:rsidRPr="000F2ED3">
        <w:rPr>
          <w:rStyle w:val="FootnoteReference"/>
        </w:rPr>
        <w:footnoteReference w:id="18"/>
      </w:r>
      <w:r w:rsidR="007C76D3" w:rsidRPr="000F2ED3">
        <w:t>. En las circunstancias del presente caso, el Comité considera que el autor no ha fundamentado suficientemente sus alegaciones de que no fue juzgado por el juez competente. Asimismo, d</w:t>
      </w:r>
      <w:proofErr w:type="spellStart"/>
      <w:r w:rsidR="009A541B" w:rsidRPr="000F2ED3">
        <w:rPr>
          <w:lang w:val="es-ES_tradnl"/>
        </w:rPr>
        <w:t>e</w:t>
      </w:r>
      <w:proofErr w:type="spellEnd"/>
      <w:r w:rsidR="009A541B" w:rsidRPr="000F2ED3">
        <w:rPr>
          <w:lang w:val="es-ES_tradnl"/>
        </w:rPr>
        <w:t xml:space="preserve"> la información puesta </w:t>
      </w:r>
      <w:r w:rsidR="007C76D3" w:rsidRPr="000F2ED3">
        <w:rPr>
          <w:lang w:val="es-ES_tradnl"/>
        </w:rPr>
        <w:t xml:space="preserve">a su disposición, el Comité considera que </w:t>
      </w:r>
      <w:r w:rsidR="009A541B" w:rsidRPr="000F2ED3">
        <w:rPr>
          <w:lang w:val="es-ES_tradnl"/>
        </w:rPr>
        <w:t xml:space="preserve">no se desprende que las autoridades judiciales </w:t>
      </w:r>
      <w:r w:rsidR="007C76D3" w:rsidRPr="000F2ED3">
        <w:rPr>
          <w:lang w:val="es-ES_tradnl"/>
        </w:rPr>
        <w:t xml:space="preserve">no </w:t>
      </w:r>
      <w:r w:rsidR="009A541B" w:rsidRPr="000F2ED3">
        <w:rPr>
          <w:lang w:val="es-ES_tradnl"/>
        </w:rPr>
        <w:t xml:space="preserve">aplicaran su jurisprudencia en el caso del autor </w:t>
      </w:r>
      <w:r w:rsidR="007C76D3" w:rsidRPr="000F2ED3">
        <w:rPr>
          <w:lang w:val="es-ES_tradnl"/>
        </w:rPr>
        <w:t xml:space="preserve">para determinar el tribunal competente </w:t>
      </w:r>
      <w:r w:rsidR="009A541B" w:rsidRPr="000F2ED3">
        <w:rPr>
          <w:lang w:val="es-ES_tradnl"/>
        </w:rPr>
        <w:t xml:space="preserve">de forma tal que </w:t>
      </w:r>
      <w:r w:rsidR="007C76D3" w:rsidRPr="000F2ED3">
        <w:rPr>
          <w:lang w:val="es-ES_tradnl"/>
        </w:rPr>
        <w:t>pudiera constituir</w:t>
      </w:r>
      <w:r w:rsidR="009A541B" w:rsidRPr="000F2ED3">
        <w:rPr>
          <w:lang w:val="es-ES_tradnl"/>
        </w:rPr>
        <w:t xml:space="preserve"> una violación al derecho a la igualdad ante los tribunales y la ley; </w:t>
      </w:r>
      <w:r w:rsidR="002A4830" w:rsidRPr="000F2ED3">
        <w:rPr>
          <w:lang w:val="es-ES_tradnl"/>
        </w:rPr>
        <w:t xml:space="preserve">y que </w:t>
      </w:r>
      <w:r w:rsidR="009A541B" w:rsidRPr="000F2ED3">
        <w:rPr>
          <w:lang w:val="es-ES_tradnl"/>
        </w:rPr>
        <w:t xml:space="preserve">el autor </w:t>
      </w:r>
      <w:r w:rsidR="002A4830" w:rsidRPr="000F2ED3">
        <w:rPr>
          <w:lang w:val="es-ES_tradnl"/>
        </w:rPr>
        <w:t xml:space="preserve">no ha fundamentado suficientemente, a efectos de admisibilidad, de </w:t>
      </w:r>
      <w:r w:rsidR="002A4830" w:rsidRPr="000F2ED3">
        <w:rPr>
          <w:rFonts w:eastAsia="Arial Unicode MS"/>
        </w:rPr>
        <w:t xml:space="preserve">que forma han sido víctima de discriminación </w:t>
      </w:r>
      <w:r w:rsidR="002A4830" w:rsidRPr="000F2ED3">
        <w:rPr>
          <w:lang w:val="es-ES_tradnl"/>
        </w:rPr>
        <w:t>por uno de los motivos aludidos en el artículo 26 del Pacto. Por consiguiente, el Comité considera que esta</w:t>
      </w:r>
      <w:r w:rsidR="007C76D3" w:rsidRPr="000F2ED3">
        <w:rPr>
          <w:lang w:val="es-ES_tradnl"/>
        </w:rPr>
        <w:t>s</w:t>
      </w:r>
      <w:r w:rsidR="002A4830" w:rsidRPr="000F2ED3">
        <w:rPr>
          <w:lang w:val="es-ES_tradnl"/>
        </w:rPr>
        <w:t xml:space="preserve"> queja</w:t>
      </w:r>
      <w:r w:rsidR="007C76D3" w:rsidRPr="000F2ED3">
        <w:rPr>
          <w:lang w:val="es-ES_tradnl"/>
        </w:rPr>
        <w:t>s</w:t>
      </w:r>
      <w:r w:rsidR="002A4830" w:rsidRPr="000F2ED3">
        <w:rPr>
          <w:lang w:val="es-ES_tradnl"/>
        </w:rPr>
        <w:t xml:space="preserve"> </w:t>
      </w:r>
      <w:r w:rsidR="007C76D3" w:rsidRPr="000F2ED3">
        <w:rPr>
          <w:lang w:val="es-ES_tradnl"/>
        </w:rPr>
        <w:t xml:space="preserve">son </w:t>
      </w:r>
      <w:r w:rsidR="002A4830" w:rsidRPr="000F2ED3">
        <w:rPr>
          <w:lang w:val="es-ES_tradnl"/>
        </w:rPr>
        <w:t>inadmisible</w:t>
      </w:r>
      <w:r w:rsidR="007C76D3" w:rsidRPr="000F2ED3">
        <w:rPr>
          <w:lang w:val="es-ES_tradnl"/>
        </w:rPr>
        <w:t>s</w:t>
      </w:r>
      <w:r w:rsidR="002A4830" w:rsidRPr="000F2ED3">
        <w:rPr>
          <w:lang w:val="es-ES_tradnl"/>
        </w:rPr>
        <w:t xml:space="preserve"> en virtud del artículo 2 del Protocolo Facultativo.</w:t>
      </w:r>
    </w:p>
    <w:p w:rsidR="008830BA" w:rsidRPr="000F2ED3" w:rsidRDefault="0013411D" w:rsidP="008830BA">
      <w:pPr>
        <w:pStyle w:val="SingleTxtG"/>
        <w:rPr>
          <w:lang w:val="es-ES_tradnl"/>
        </w:rPr>
      </w:pPr>
      <w:r>
        <w:rPr>
          <w:lang w:val="es-ES_tradnl"/>
        </w:rPr>
        <w:t>9.9</w:t>
      </w:r>
      <w:r>
        <w:rPr>
          <w:lang w:val="es-ES_tradnl"/>
        </w:rPr>
        <w:tab/>
      </w:r>
      <w:r w:rsidR="008830BA" w:rsidRPr="000F2ED3">
        <w:rPr>
          <w:lang w:val="es-ES_tradnl"/>
        </w:rPr>
        <w:t xml:space="preserve">El Comité toma nota de la alegación del autor de violación del derecho a un tribunal imparcial establecido en el artículo 14(1) del Pacto, ya que </w:t>
      </w:r>
      <w:r w:rsidR="00B47EA2" w:rsidRPr="000F2ED3">
        <w:rPr>
          <w:lang w:val="es-ES_tradnl"/>
        </w:rPr>
        <w:t xml:space="preserve">en </w:t>
      </w:r>
      <w:r w:rsidR="008830BA" w:rsidRPr="000F2ED3">
        <w:rPr>
          <w:lang w:val="es-ES_tradnl"/>
        </w:rPr>
        <w:t xml:space="preserve">los procesos penales contra miembros del congreso que están aforados, la Sala Penal de la CSJ </w:t>
      </w:r>
      <w:r w:rsidR="00B47EA2" w:rsidRPr="000F2ED3">
        <w:rPr>
          <w:lang w:val="es-ES_tradnl"/>
        </w:rPr>
        <w:t>investiga,</w:t>
      </w:r>
      <w:r w:rsidR="008830BA" w:rsidRPr="000F2ED3">
        <w:rPr>
          <w:lang w:val="es-ES_tradnl"/>
        </w:rPr>
        <w:t xml:space="preserve"> acusa </w:t>
      </w:r>
      <w:r w:rsidR="00B47EA2" w:rsidRPr="000F2ED3">
        <w:rPr>
          <w:lang w:val="es-ES_tradnl"/>
        </w:rPr>
        <w:t>y sentencia</w:t>
      </w:r>
      <w:r w:rsidR="008830BA" w:rsidRPr="000F2ED3">
        <w:rPr>
          <w:lang w:val="es-ES_tradnl"/>
        </w:rPr>
        <w:t>, no existiendo una separación funcional entre quien investiga y quien juzga</w:t>
      </w:r>
      <w:r w:rsidR="009E5CED" w:rsidRPr="000F2ED3">
        <w:rPr>
          <w:lang w:val="es-ES_tradnl"/>
        </w:rPr>
        <w:t xml:space="preserve"> (para 3.3)</w:t>
      </w:r>
      <w:r w:rsidR="008830BA" w:rsidRPr="000F2ED3">
        <w:rPr>
          <w:lang w:val="es-ES_tradnl"/>
        </w:rPr>
        <w:t xml:space="preserve">. </w:t>
      </w:r>
      <w:r w:rsidR="008972D9">
        <w:rPr>
          <w:lang w:val="es-ES_tradnl"/>
        </w:rPr>
        <w:t xml:space="preserve">El Comité recuerda que </w:t>
      </w:r>
      <w:r w:rsidR="008972D9">
        <w:t xml:space="preserve">el requisito de imparcialidad bajo el artículo 14(1) del Pacto requiere inter </w:t>
      </w:r>
      <w:proofErr w:type="spellStart"/>
      <w:r w:rsidR="008972D9">
        <w:t>alia</w:t>
      </w:r>
      <w:proofErr w:type="spellEnd"/>
      <w:r w:rsidR="008972D9">
        <w:t xml:space="preserve"> que el tribunal parezca</w:t>
      </w:r>
      <w:r w:rsidR="008972D9">
        <w:rPr>
          <w:bCs/>
        </w:rPr>
        <w:t xml:space="preserve"> imparcial a un observador razonable</w:t>
      </w:r>
      <w:r w:rsidR="008972D9">
        <w:t xml:space="preserve">. A este respecto, </w:t>
      </w:r>
      <w:r w:rsidR="008972D9" w:rsidRPr="008972D9">
        <w:t>l</w:t>
      </w:r>
      <w:r w:rsidR="008972D9" w:rsidRPr="008972D9">
        <w:rPr>
          <w:lang w:val="es-ES_tradnl"/>
        </w:rPr>
        <w:t>os jueces no sólo debe</w:t>
      </w:r>
      <w:r w:rsidR="00312BF6">
        <w:rPr>
          <w:lang w:val="es-ES_tradnl"/>
        </w:rPr>
        <w:t>n</w:t>
      </w:r>
      <w:r w:rsidR="008972D9" w:rsidRPr="008972D9">
        <w:rPr>
          <w:lang w:val="es-ES_tradnl"/>
        </w:rPr>
        <w:t xml:space="preserve"> ser imparciales sino que también deben parecerlo.</w:t>
      </w:r>
      <w:r w:rsidR="008972D9" w:rsidRPr="008972D9">
        <w:t xml:space="preserve"> </w:t>
      </w:r>
      <w:r w:rsidR="008972D9">
        <w:t xml:space="preserve">Cuando la participación de los jueces en el procedimiento preliminar es tal que les permite hacerse una opinión antes del juicio y este conocimiento se refiere directamente a las acusaciones formuladas contra el acusado y a la evaluación de las mismas, su participación en la etapa del juicio es incompatible con el requisito de imparcialidad establecido en el artículo 14(1) del Pacto. </w:t>
      </w:r>
      <w:r w:rsidR="00312BF6">
        <w:t>En el presente caso, e</w:t>
      </w:r>
      <w:r w:rsidR="00F02982" w:rsidRPr="008972D9">
        <w:rPr>
          <w:lang w:val="es-ES_tradnl"/>
        </w:rPr>
        <w:t>l C</w:t>
      </w:r>
      <w:r w:rsidR="00F02982" w:rsidRPr="000F2ED3">
        <w:rPr>
          <w:lang w:val="es-ES_tradnl"/>
        </w:rPr>
        <w:t>omité</w:t>
      </w:r>
      <w:r w:rsidR="00E55E98">
        <w:rPr>
          <w:lang w:val="es-ES_tradnl"/>
        </w:rPr>
        <w:t xml:space="preserve"> observa, sin embargo, que</w:t>
      </w:r>
      <w:r w:rsidR="00C3145E" w:rsidRPr="000F2ED3">
        <w:rPr>
          <w:lang w:val="es-ES_tradnl"/>
        </w:rPr>
        <w:t xml:space="preserve"> la sentencia de la Corte Constitucional C-545 de </w:t>
      </w:r>
      <w:r w:rsidR="00E55E98">
        <w:rPr>
          <w:lang w:val="es-ES_tradnl"/>
        </w:rPr>
        <w:t xml:space="preserve">28 de mayo </w:t>
      </w:r>
      <w:r w:rsidR="00C3145E" w:rsidRPr="000F2ED3">
        <w:rPr>
          <w:lang w:val="es-ES_tradnl"/>
        </w:rPr>
        <w:t xml:space="preserve">2008 </w:t>
      </w:r>
      <w:r w:rsidR="00E55E98">
        <w:rPr>
          <w:lang w:val="es-ES_tradnl"/>
        </w:rPr>
        <w:t xml:space="preserve">(véase párrafo 4.7 de la sentencia) </w:t>
      </w:r>
      <w:r w:rsidR="00C3145E" w:rsidRPr="000F2ED3">
        <w:rPr>
          <w:lang w:val="es-ES_tradnl"/>
        </w:rPr>
        <w:t>establec</w:t>
      </w:r>
      <w:r w:rsidR="00E55E98">
        <w:rPr>
          <w:lang w:val="es-ES_tradnl"/>
        </w:rPr>
        <w:t>ió</w:t>
      </w:r>
      <w:r w:rsidR="00C3145E" w:rsidRPr="000F2ED3">
        <w:rPr>
          <w:lang w:val="es-ES_tradnl"/>
        </w:rPr>
        <w:t xml:space="preserve"> la separación de funciones de investigación y juzgamiento dentro de la CSJ</w:t>
      </w:r>
      <w:r w:rsidR="006A5800" w:rsidRPr="000F2ED3">
        <w:rPr>
          <w:lang w:val="es-ES_tradnl"/>
        </w:rPr>
        <w:t xml:space="preserve"> </w:t>
      </w:r>
      <w:r w:rsidR="00E55E98">
        <w:rPr>
          <w:lang w:val="es-ES_tradnl"/>
        </w:rPr>
        <w:t xml:space="preserve">en los procesos penales contra miembros del Congreso que </w:t>
      </w:r>
      <w:r w:rsidR="00314E38">
        <w:rPr>
          <w:lang w:val="es-ES_tradnl"/>
        </w:rPr>
        <w:t xml:space="preserve">tenían aforamiento parlamentario, con el fin de garantizar la imparcialidad del tribunal </w:t>
      </w:r>
      <w:r w:rsidR="006A5800" w:rsidRPr="000F2ED3">
        <w:rPr>
          <w:lang w:val="es-ES_tradnl"/>
        </w:rPr>
        <w:t>(para 7.3)</w:t>
      </w:r>
      <w:r w:rsidR="00314E38">
        <w:rPr>
          <w:lang w:val="es-ES_tradnl"/>
        </w:rPr>
        <w:t xml:space="preserve"> y que la CSJ cumplió con esta orden de la Corte Constitucional</w:t>
      </w:r>
      <w:r w:rsidR="00D9646C" w:rsidRPr="000F2ED3">
        <w:rPr>
          <w:lang w:val="es-ES_tradnl"/>
        </w:rPr>
        <w:t xml:space="preserve">. </w:t>
      </w:r>
      <w:r w:rsidR="00314E38">
        <w:rPr>
          <w:lang w:val="es-ES_tradnl"/>
        </w:rPr>
        <w:t xml:space="preserve">El Comité también nota que </w:t>
      </w:r>
      <w:r w:rsidR="00B47EA2" w:rsidRPr="000F2ED3">
        <w:rPr>
          <w:lang w:val="es-ES_tradnl"/>
        </w:rPr>
        <w:t xml:space="preserve">las alegaciones del autor </w:t>
      </w:r>
      <w:r w:rsidR="00417B8A" w:rsidRPr="000F2ED3">
        <w:rPr>
          <w:lang w:val="es-ES_tradnl"/>
        </w:rPr>
        <w:t>son generales</w:t>
      </w:r>
      <w:r w:rsidR="00C3145E" w:rsidRPr="000F2ED3">
        <w:rPr>
          <w:lang w:val="es-ES_tradnl"/>
        </w:rPr>
        <w:t xml:space="preserve"> y </w:t>
      </w:r>
      <w:r w:rsidR="00314E38">
        <w:rPr>
          <w:lang w:val="es-ES_tradnl"/>
        </w:rPr>
        <w:t xml:space="preserve">fundamentalmente cuestionan el sistema procesal penal </w:t>
      </w:r>
      <w:r w:rsidR="00312BF6">
        <w:rPr>
          <w:lang w:val="es-ES_tradnl"/>
        </w:rPr>
        <w:t xml:space="preserve">para miembros del congreso con aforamiento </w:t>
      </w:r>
      <w:r w:rsidR="00314E38">
        <w:rPr>
          <w:lang w:val="es-ES_tradnl"/>
        </w:rPr>
        <w:t xml:space="preserve">en el momento de los hechos, refiriéndose al </w:t>
      </w:r>
      <w:r w:rsidR="00314E38">
        <w:rPr>
          <w:lang w:val="es-ES_tradnl"/>
        </w:rPr>
        <w:lastRenderedPageBreak/>
        <w:t xml:space="preserve">hecho de que la Sala Penal de la CSJ -y, por tanto, los mismo jueces- estaba a cargo de todo el proceso penal, incluida la investigación y el juicio. No obstante, el autor no ha explicado suficientemente ante el Comité de qué forma en su caso no hubo </w:t>
      </w:r>
      <w:r w:rsidR="00B9030E">
        <w:rPr>
          <w:lang w:val="es-ES_tradnl"/>
        </w:rPr>
        <w:t xml:space="preserve">tal </w:t>
      </w:r>
      <w:r w:rsidR="00314E38">
        <w:rPr>
          <w:lang w:val="es-ES_tradnl"/>
        </w:rPr>
        <w:t>separación de funciones de investigación y juicio dentro de la Sala Penal de la CSJ</w:t>
      </w:r>
      <w:r w:rsidR="00B9030E">
        <w:rPr>
          <w:lang w:val="es-ES_tradnl"/>
        </w:rPr>
        <w:t>; o que los mismos jueces intervinieran en las diferentes partes del proceso</w:t>
      </w:r>
      <w:r w:rsidR="00312BF6">
        <w:rPr>
          <w:lang w:val="es-ES_tradnl"/>
        </w:rPr>
        <w:t xml:space="preserve"> de forma tal que el tribunal que lo juzgó deviniera en imparcial</w:t>
      </w:r>
      <w:r w:rsidR="00314E38">
        <w:rPr>
          <w:lang w:val="es-ES_tradnl"/>
        </w:rPr>
        <w:t>.</w:t>
      </w:r>
      <w:r w:rsidR="00B9030E">
        <w:rPr>
          <w:lang w:val="es-ES_tradnl"/>
        </w:rPr>
        <w:t xml:space="preserve"> Por tanto, e</w:t>
      </w:r>
      <w:r w:rsidR="005400F1" w:rsidRPr="000F2ED3">
        <w:rPr>
          <w:lang w:val="es-ES_tradnl"/>
        </w:rPr>
        <w:t>n las circunstancias particulares de este caso, el Comité considera que estas alegaciones no están suficientemente fundamentadas, a efectos de la admisibilidad</w:t>
      </w:r>
      <w:r w:rsidR="00417B8A" w:rsidRPr="000F2ED3">
        <w:rPr>
          <w:lang w:val="es-ES_tradnl"/>
        </w:rPr>
        <w:t>,</w:t>
      </w:r>
      <w:r w:rsidR="005400F1" w:rsidRPr="000F2ED3">
        <w:rPr>
          <w:lang w:val="es-ES_tradnl"/>
        </w:rPr>
        <w:t xml:space="preserve"> y las declara inadmisible</w:t>
      </w:r>
      <w:r w:rsidR="00CC4B7A" w:rsidRPr="000F2ED3">
        <w:rPr>
          <w:lang w:val="es-ES_tradnl"/>
        </w:rPr>
        <w:t>s</w:t>
      </w:r>
      <w:r w:rsidR="005400F1" w:rsidRPr="000F2ED3">
        <w:rPr>
          <w:lang w:val="es-ES_tradnl"/>
        </w:rPr>
        <w:t xml:space="preserve"> en virtud del artículo 2 del Protocolo Facultativo. </w:t>
      </w:r>
    </w:p>
    <w:p w:rsidR="00332AA5" w:rsidRPr="000F2ED3" w:rsidRDefault="005400F1" w:rsidP="007A766E">
      <w:pPr>
        <w:pStyle w:val="SingleTxtG"/>
        <w:rPr>
          <w:lang w:val="es-ES_tradnl"/>
        </w:rPr>
      </w:pPr>
      <w:r w:rsidRPr="000F2ED3">
        <w:rPr>
          <w:lang w:val="es-ES_tradnl"/>
        </w:rPr>
        <w:t>9.10</w:t>
      </w:r>
      <w:r w:rsidR="00DD3492" w:rsidRPr="000F2ED3">
        <w:rPr>
          <w:lang w:val="es-ES_tradnl"/>
        </w:rPr>
        <w:tab/>
        <w:t>Con relación al artículo 14(2) del Pacto, el Comité</w:t>
      </w:r>
      <w:r w:rsidR="0013411D">
        <w:rPr>
          <w:lang w:val="es-ES_tradnl"/>
        </w:rPr>
        <w:t xml:space="preserve"> toma nota de la alegación del </w:t>
      </w:r>
      <w:r w:rsidR="00DD3492" w:rsidRPr="000F2ED3">
        <w:rPr>
          <w:lang w:val="es-ES_tradnl"/>
        </w:rPr>
        <w:t>autor de que el Estado parte violó su derecho a la presunción de inocencia, toda vez que fue condenado sin que exista prueba suficien</w:t>
      </w:r>
      <w:r w:rsidR="00332AA5" w:rsidRPr="000F2ED3">
        <w:rPr>
          <w:lang w:val="es-ES_tradnl"/>
        </w:rPr>
        <w:t xml:space="preserve">te que indicara con certeza que </w:t>
      </w:r>
      <w:r w:rsidR="00DD3492" w:rsidRPr="000F2ED3">
        <w:rPr>
          <w:lang w:val="es-ES_tradnl"/>
        </w:rPr>
        <w:t xml:space="preserve">en efecto </w:t>
      </w:r>
      <w:r w:rsidR="00332AA5" w:rsidRPr="000F2ED3">
        <w:rPr>
          <w:lang w:val="es-ES_tradnl"/>
        </w:rPr>
        <w:t xml:space="preserve">cometió la conducta constitutiva del delito de concusión; y que </w:t>
      </w:r>
      <w:r w:rsidR="00DD3492" w:rsidRPr="000F2ED3">
        <w:rPr>
          <w:lang w:val="es-ES_tradnl"/>
        </w:rPr>
        <w:t>la Sala Penal no realizó una valoración adecuada de la prueba</w:t>
      </w:r>
      <w:r w:rsidR="00332AA5" w:rsidRPr="000F2ED3">
        <w:rPr>
          <w:lang w:val="es-ES_tradnl"/>
        </w:rPr>
        <w:t>, incluidas las distintas versiones de la declaración de la Sra. Y.M. y del Sr. C.G.</w:t>
      </w:r>
      <w:r w:rsidR="00DD3492" w:rsidRPr="000F2ED3">
        <w:rPr>
          <w:lang w:val="es-ES_tradnl"/>
        </w:rPr>
        <w:t xml:space="preserve"> y su apreciación de la misma no estaba suficientemente fundamentada</w:t>
      </w:r>
      <w:r w:rsidR="006A5800" w:rsidRPr="000F2ED3">
        <w:rPr>
          <w:lang w:val="es-ES_tradnl"/>
        </w:rPr>
        <w:t xml:space="preserve"> (para 3.4)</w:t>
      </w:r>
      <w:r w:rsidR="00DD3492" w:rsidRPr="000F2ED3">
        <w:rPr>
          <w:lang w:val="es-ES_tradnl"/>
        </w:rPr>
        <w:t xml:space="preserve">. </w:t>
      </w:r>
      <w:r w:rsidR="005263EA" w:rsidRPr="000F2ED3">
        <w:t>El Comité recuerda su jurisprudencia en el sentido de que en general incumbe a los tribunales de los Estados partes evaluar los hechos y las pruebas en cada caso particular, a menos que se demuestre que esa evaluación fue claramente arbitraria o equivalió a</w:t>
      </w:r>
      <w:r w:rsidR="00F44F98" w:rsidRPr="000F2ED3">
        <w:t xml:space="preserve"> un</w:t>
      </w:r>
      <w:r w:rsidR="005263EA" w:rsidRPr="000F2ED3">
        <w:t xml:space="preserve"> error manifiesto o denegación de justicia</w:t>
      </w:r>
      <w:r w:rsidR="005263EA" w:rsidRPr="000F2ED3">
        <w:rPr>
          <w:rStyle w:val="FootnoteReference"/>
        </w:rPr>
        <w:footnoteReference w:id="19"/>
      </w:r>
      <w:r w:rsidR="005263EA" w:rsidRPr="000F2ED3">
        <w:t>. El Comité ha examinado los materiales presentados por las partes, incluida la sentencia de</w:t>
      </w:r>
      <w:r w:rsidR="002A4830" w:rsidRPr="000F2ED3">
        <w:t xml:space="preserve"> la Sala Penal de la CSJ </w:t>
      </w:r>
      <w:r w:rsidR="00332AA5" w:rsidRPr="000F2ED3">
        <w:t>de 3 de junio de 2009, y considera que</w:t>
      </w:r>
      <w:r w:rsidR="005263EA" w:rsidRPr="000F2ED3">
        <w:t xml:space="preserve"> dichos </w:t>
      </w:r>
      <w:r w:rsidR="00F44F98" w:rsidRPr="000F2ED3">
        <w:t xml:space="preserve">elementos </w:t>
      </w:r>
      <w:r w:rsidR="005263EA" w:rsidRPr="000F2ED3">
        <w:t xml:space="preserve">no muestran que </w:t>
      </w:r>
      <w:r w:rsidR="00332AA5" w:rsidRPr="000F2ED3">
        <w:t>el proceso penal contra el autor adoleciese</w:t>
      </w:r>
      <w:r w:rsidR="005263EA" w:rsidRPr="000F2ED3">
        <w:t xml:space="preserve"> de los defectos arriba mencionados.</w:t>
      </w:r>
      <w:r w:rsidR="00332AA5" w:rsidRPr="000F2ED3">
        <w:t xml:space="preserve"> </w:t>
      </w:r>
      <w:r w:rsidR="00332AA5" w:rsidRPr="000F2ED3">
        <w:rPr>
          <w:lang w:val="es-ES_tradnl"/>
        </w:rPr>
        <w:t>Por consiguiente, el Comité considera que la queja del autor con relación al artículo 14(2) no ha sido suficientemente fundamentada a efectos de la admisibilidad</w:t>
      </w:r>
      <w:r w:rsidR="00CC4B7A" w:rsidRPr="000F2ED3">
        <w:rPr>
          <w:lang w:val="es-ES_tradnl"/>
        </w:rPr>
        <w:t>,</w:t>
      </w:r>
      <w:r w:rsidR="00332AA5" w:rsidRPr="000F2ED3">
        <w:rPr>
          <w:lang w:val="es-ES_tradnl"/>
        </w:rPr>
        <w:t xml:space="preserve"> y la declara inadmisible en virtud del artículo 2 del Protocolo Facultativo.</w:t>
      </w:r>
    </w:p>
    <w:p w:rsidR="00787D60" w:rsidRPr="000F2ED3" w:rsidRDefault="005400F1" w:rsidP="00787D60">
      <w:pPr>
        <w:pStyle w:val="SingleTxtG"/>
        <w:rPr>
          <w:lang w:val="es-ES_tradnl"/>
        </w:rPr>
      </w:pPr>
      <w:r w:rsidRPr="000F2ED3">
        <w:rPr>
          <w:lang w:val="es-ES_tradnl"/>
        </w:rPr>
        <w:t>9.11</w:t>
      </w:r>
      <w:r w:rsidR="000D2405" w:rsidRPr="000F2ED3">
        <w:rPr>
          <w:lang w:val="es-ES_tradnl"/>
        </w:rPr>
        <w:tab/>
      </w:r>
      <w:r w:rsidR="00787D60" w:rsidRPr="000F2ED3">
        <w:rPr>
          <w:lang w:val="es-ES_tradnl"/>
        </w:rPr>
        <w:t xml:space="preserve">El Comité </w:t>
      </w:r>
      <w:r w:rsidR="00642730" w:rsidRPr="000F2ED3">
        <w:rPr>
          <w:lang w:val="es-ES_tradnl"/>
        </w:rPr>
        <w:t>toma nota de las alegaciones del autor con relación al artículo 14(5) del Pacto. El Comité también toma nota del argumento del Estado parte de que esta queja debe ser declarada inadmisible por falta de fundamentación. El Comité considera, sin embargo,</w:t>
      </w:r>
      <w:r w:rsidR="00787D60" w:rsidRPr="000F2ED3">
        <w:rPr>
          <w:lang w:val="es-ES_tradnl"/>
        </w:rPr>
        <w:t xml:space="preserve"> que la queja de</w:t>
      </w:r>
      <w:r w:rsidR="00642730" w:rsidRPr="000F2ED3">
        <w:rPr>
          <w:lang w:val="es-ES_tradnl"/>
        </w:rPr>
        <w:t xml:space="preserve">l autor en virtud del artículo 14(5) </w:t>
      </w:r>
      <w:r w:rsidR="00787D60" w:rsidRPr="000F2ED3">
        <w:rPr>
          <w:lang w:val="es-ES_tradnl"/>
        </w:rPr>
        <w:t xml:space="preserve">ha sido suficientemente fundamentada a </w:t>
      </w:r>
      <w:r w:rsidR="00DE64BA" w:rsidRPr="000F2ED3">
        <w:rPr>
          <w:lang w:val="es-ES_tradnl"/>
        </w:rPr>
        <w:t xml:space="preserve">los </w:t>
      </w:r>
      <w:r w:rsidR="00787D60" w:rsidRPr="000F2ED3">
        <w:rPr>
          <w:lang w:val="es-ES_tradnl"/>
        </w:rPr>
        <w:t>efectos de la admisibilidad</w:t>
      </w:r>
      <w:r w:rsidR="00CC4B7A" w:rsidRPr="000F2ED3">
        <w:rPr>
          <w:lang w:val="es-ES_tradnl"/>
        </w:rPr>
        <w:t xml:space="preserve">. Por tanto, </w:t>
      </w:r>
      <w:r w:rsidR="00F44F98" w:rsidRPr="000F2ED3">
        <w:rPr>
          <w:lang w:val="es-ES_tradnl"/>
        </w:rPr>
        <w:t>la declara</w:t>
      </w:r>
      <w:r w:rsidR="005F7B0F" w:rsidRPr="000F2ED3">
        <w:rPr>
          <w:lang w:val="es-ES_tradnl"/>
        </w:rPr>
        <w:t xml:space="preserve"> </w:t>
      </w:r>
      <w:r w:rsidR="00787D60" w:rsidRPr="000F2ED3">
        <w:rPr>
          <w:lang w:val="es-ES_tradnl"/>
        </w:rPr>
        <w:t>admisible y procede a su examen en cuanto al fondo.</w:t>
      </w:r>
    </w:p>
    <w:p w:rsidR="000D2405" w:rsidRPr="000F2ED3" w:rsidRDefault="000D2405" w:rsidP="00F919CD">
      <w:pPr>
        <w:pStyle w:val="H4G"/>
        <w:rPr>
          <w:lang w:val="es-ES_tradnl"/>
        </w:rPr>
      </w:pPr>
      <w:r w:rsidRPr="000F2ED3">
        <w:rPr>
          <w:lang w:val="es-ES_tradnl"/>
        </w:rPr>
        <w:tab/>
      </w:r>
      <w:r w:rsidR="00F919CD" w:rsidRPr="000F2ED3">
        <w:rPr>
          <w:lang w:val="es-ES_tradnl"/>
        </w:rPr>
        <w:tab/>
      </w:r>
      <w:r w:rsidRPr="000F2ED3">
        <w:rPr>
          <w:lang w:val="es-ES_tradnl"/>
        </w:rPr>
        <w:t>Examen de la cuestión en cuanto al fondo</w:t>
      </w:r>
    </w:p>
    <w:p w:rsidR="000D2405" w:rsidRPr="000F2ED3" w:rsidRDefault="006C37CB" w:rsidP="000D2405">
      <w:pPr>
        <w:pStyle w:val="SingleTxtG"/>
        <w:rPr>
          <w:lang w:val="es-ES_tradnl"/>
        </w:rPr>
      </w:pPr>
      <w:r w:rsidRPr="000F2ED3">
        <w:rPr>
          <w:lang w:val="es-ES_tradnl"/>
        </w:rPr>
        <w:t>10</w:t>
      </w:r>
      <w:r w:rsidR="000D2405" w:rsidRPr="000F2ED3">
        <w:rPr>
          <w:lang w:val="es-ES_tradnl"/>
        </w:rPr>
        <w:t>.1</w:t>
      </w:r>
      <w:r w:rsidR="000D2405" w:rsidRPr="000F2ED3">
        <w:rPr>
          <w:lang w:val="es-ES_tradnl"/>
        </w:rPr>
        <w:tab/>
        <w:t>El Comité ha examinado la presente comunicación teniendo en cuenta toda la información que le han facilitado las partes, de conformidad con lo dispuesto en el artículo 5, párrafo 1, del Protocolo Facultativo.</w:t>
      </w:r>
    </w:p>
    <w:p w:rsidR="00417B8A" w:rsidRPr="0006404D" w:rsidRDefault="009D1B6A" w:rsidP="00294595">
      <w:pPr>
        <w:pStyle w:val="SingleTxtG"/>
        <w:rPr>
          <w:spacing w:val="-3"/>
          <w:lang w:val="es-ES_tradnl"/>
        </w:rPr>
      </w:pPr>
      <w:r w:rsidRPr="0006404D">
        <w:rPr>
          <w:spacing w:val="-3"/>
          <w:lang w:val="es-ES_tradnl"/>
        </w:rPr>
        <w:t>1</w:t>
      </w:r>
      <w:r w:rsidR="006C37CB" w:rsidRPr="0006404D">
        <w:rPr>
          <w:spacing w:val="-3"/>
          <w:lang w:val="es-ES_tradnl"/>
        </w:rPr>
        <w:t>0</w:t>
      </w:r>
      <w:r w:rsidR="0043310B" w:rsidRPr="0006404D">
        <w:rPr>
          <w:spacing w:val="-3"/>
          <w:lang w:val="es-ES_tradnl"/>
        </w:rPr>
        <w:t>.2</w:t>
      </w:r>
      <w:r w:rsidR="006712FD" w:rsidRPr="0006404D">
        <w:rPr>
          <w:spacing w:val="-3"/>
          <w:lang w:val="es-ES_tradnl"/>
        </w:rPr>
        <w:tab/>
      </w:r>
      <w:r w:rsidR="00294595" w:rsidRPr="0006404D">
        <w:rPr>
          <w:spacing w:val="-3"/>
          <w:lang w:val="es-ES_tradnl"/>
        </w:rPr>
        <w:t>El Comité toma nota de la alegación del autor de que el proceso penal en su contra constituyó una violación del artículo 14(5) del Pacto,</w:t>
      </w:r>
      <w:r w:rsidR="00417B8A" w:rsidRPr="0006404D">
        <w:rPr>
          <w:spacing w:val="-3"/>
          <w:lang w:val="es-ES_tradnl"/>
        </w:rPr>
        <w:t xml:space="preserve"> toda vez que </w:t>
      </w:r>
      <w:r w:rsidR="00294595" w:rsidRPr="0006404D">
        <w:rPr>
          <w:spacing w:val="-3"/>
          <w:lang w:val="es-ES_tradnl"/>
        </w:rPr>
        <w:t xml:space="preserve">no existe un mecanismo que le permita </w:t>
      </w:r>
      <w:r w:rsidR="005F4CE7" w:rsidRPr="0006404D">
        <w:rPr>
          <w:spacing w:val="-3"/>
          <w:lang w:val="es-ES_tradnl"/>
        </w:rPr>
        <w:t xml:space="preserve">apelar la sentencia y </w:t>
      </w:r>
      <w:r w:rsidR="00294595" w:rsidRPr="0006404D">
        <w:rPr>
          <w:spacing w:val="-3"/>
          <w:lang w:val="es-ES_tradnl"/>
        </w:rPr>
        <w:t>solicitar la revisión por un tribunal superior d</w:t>
      </w:r>
      <w:r w:rsidR="00417B8A" w:rsidRPr="0006404D">
        <w:rPr>
          <w:spacing w:val="-3"/>
          <w:lang w:val="es-ES_tradnl"/>
        </w:rPr>
        <w:t xml:space="preserve">el fallo condenatorio y la pena establecida por la Sala Penal de la CSJ </w:t>
      </w:r>
      <w:r w:rsidR="00294595" w:rsidRPr="0006404D">
        <w:rPr>
          <w:spacing w:val="-3"/>
          <w:lang w:val="es-ES_tradnl"/>
        </w:rPr>
        <w:t>el 3 de junio de 2009</w:t>
      </w:r>
      <w:r w:rsidR="00461D59" w:rsidRPr="0006404D">
        <w:rPr>
          <w:spacing w:val="-3"/>
          <w:lang w:val="es-ES_tradnl"/>
        </w:rPr>
        <w:t xml:space="preserve"> (para 3.5)</w:t>
      </w:r>
      <w:r w:rsidR="005F4CE7" w:rsidRPr="0006404D">
        <w:rPr>
          <w:spacing w:val="-3"/>
          <w:lang w:val="es-ES_tradnl"/>
        </w:rPr>
        <w:t>.</w:t>
      </w:r>
      <w:r w:rsidR="00294595" w:rsidRPr="0006404D">
        <w:rPr>
          <w:spacing w:val="-3"/>
          <w:lang w:val="es-ES_tradnl"/>
        </w:rPr>
        <w:t xml:space="preserve"> </w:t>
      </w:r>
    </w:p>
    <w:p w:rsidR="00952F4D" w:rsidRPr="000F2ED3" w:rsidRDefault="006C37CB" w:rsidP="00952F4D">
      <w:pPr>
        <w:pStyle w:val="SingleTxtG"/>
      </w:pPr>
      <w:r w:rsidRPr="000F2ED3">
        <w:t>10.3</w:t>
      </w:r>
      <w:r w:rsidR="00456C31" w:rsidRPr="000F2ED3">
        <w:tab/>
      </w:r>
      <w:r w:rsidR="00B31D9F" w:rsidRPr="000F2ED3">
        <w:t xml:space="preserve">El Comité también toma nota de los argumentos del Estado parte de que </w:t>
      </w:r>
      <w:r w:rsidR="00456C31" w:rsidRPr="000F2ED3">
        <w:t>de la redacción del artículo 14(5) del Pacto no se deduce taxativamente la formulación de una “segunda instancia”, ya que el texto indica l</w:t>
      </w:r>
      <w:r w:rsidR="00B31D9F" w:rsidRPr="000F2ED3">
        <w:t>iteralmente “tribunal superior”; que e</w:t>
      </w:r>
      <w:r w:rsidR="00456C31" w:rsidRPr="000F2ED3">
        <w:t xml:space="preserve">sta redacción puede interpretarse en el sentido que implica la necesidad de que el caso sea </w:t>
      </w:r>
      <w:r w:rsidR="00456C31" w:rsidRPr="000F2ED3">
        <w:lastRenderedPageBreak/>
        <w:t>conocido por un tribunal con mayores cualidades académicas y profesionales, que garanticen una correcta valoración de los asuntos puestos a su consideración</w:t>
      </w:r>
      <w:r w:rsidR="00803524" w:rsidRPr="000F2ED3">
        <w:t>; que los Estados partes gozan de un amplio margen para configurar los procedimientos y para diseñar los mecanismos eficaces de protección de los derechos sin que se requiera que en los casos de los altos funcionarios aforados necesariamente tenga una segunda instancia penal; y que el</w:t>
      </w:r>
      <w:r w:rsidR="00B31D9F" w:rsidRPr="000F2ED3">
        <w:t xml:space="preserve"> juzgamiento de estas personas, en calidad de altos funcionarios aforados, por el órgano de más alta instancia en materia penal</w:t>
      </w:r>
      <w:r w:rsidR="00F44F98" w:rsidRPr="000F2ED3">
        <w:t>,</w:t>
      </w:r>
      <w:r w:rsidR="00B31D9F" w:rsidRPr="000F2ED3">
        <w:t xml:space="preserve"> es en sí misma una forma de garantizar de manera integral el debido proceso</w:t>
      </w:r>
      <w:r w:rsidR="00C1007C" w:rsidRPr="000F2ED3">
        <w:t xml:space="preserve"> (paras 4.3-4.4)</w:t>
      </w:r>
      <w:r w:rsidR="00B31D9F" w:rsidRPr="000F2ED3">
        <w:t>.</w:t>
      </w:r>
    </w:p>
    <w:p w:rsidR="00952F4D" w:rsidRPr="000F2ED3" w:rsidRDefault="004F6B0A" w:rsidP="00952F4D">
      <w:pPr>
        <w:pStyle w:val="SingleTxtG"/>
      </w:pPr>
      <w:r>
        <w:t>10.4</w:t>
      </w:r>
      <w:r w:rsidR="00952F4D" w:rsidRPr="000F2ED3">
        <w:tab/>
        <w:t xml:space="preserve">El Comité recuerda que el articulo 14(5) del Pacto establece que una persona declarada culpable de un delito tiene derecho a que el fallo condenatorio y la pena que se le haya impuesto sean sometidos a un tribunal superior, conforme a lo prescrito por la ley. El Comité recuerda que la expresión “conforme a lo prescrito por la ley” no tiene la intención de dejar la existencia misma del derecho a la revisión a la discreción de los Estados </w:t>
      </w:r>
      <w:r w:rsidR="00F44F98" w:rsidRPr="000F2ED3">
        <w:t>p</w:t>
      </w:r>
      <w:r w:rsidR="00952F4D" w:rsidRPr="000F2ED3">
        <w:t>a</w:t>
      </w:r>
      <w:r w:rsidR="005F7B0F" w:rsidRPr="000F2ED3">
        <w:t>rtes.</w:t>
      </w:r>
      <w:r w:rsidR="005104D3">
        <w:t xml:space="preserve"> </w:t>
      </w:r>
      <w:r w:rsidR="005F7B0F" w:rsidRPr="000F2ED3">
        <w:t>Si bien la legislación de un Estado parte puede disponer</w:t>
      </w:r>
      <w:r w:rsidR="00952F4D" w:rsidRPr="000F2ED3">
        <w:t xml:space="preserve"> en ciertas ocasiones que una persona en razón de su cargo sea juzgada por un tribunal de mayor jerarquía que el que naturalmente correspondería, esta circunstancia no puede por sí sola menoscabar el derecho del acusado a la revisión de su sent</w:t>
      </w:r>
      <w:r w:rsidR="004F7D99">
        <w:t>encia y condena por un tribunal</w:t>
      </w:r>
      <w:r w:rsidR="00952F4D" w:rsidRPr="000F2ED3">
        <w:rPr>
          <w:rStyle w:val="FootnoteReference"/>
        </w:rPr>
        <w:footnoteReference w:id="20"/>
      </w:r>
      <w:r w:rsidR="004F7D99">
        <w:t>.</w:t>
      </w:r>
      <w:r w:rsidR="00952F4D" w:rsidRPr="000F2ED3">
        <w:t xml:space="preserve"> </w:t>
      </w:r>
      <w:r w:rsidR="00F2051A" w:rsidRPr="000F2ED3">
        <w:t>En el presente caso, el Estado parte ha reconocido que no existía ningún recurso disponible para que el autor pueda solicitar que el fallo condenatorio y condena fueran revisad</w:t>
      </w:r>
      <w:r w:rsidR="00F44F98" w:rsidRPr="000F2ED3">
        <w:t>o</w:t>
      </w:r>
      <w:r w:rsidR="00F2051A" w:rsidRPr="000F2ED3">
        <w:t>s por otro tribunal</w:t>
      </w:r>
      <w:r w:rsidR="008804D7" w:rsidRPr="000F2ED3">
        <w:t xml:space="preserve"> (paras 4.3-4.4)</w:t>
      </w:r>
      <w:r w:rsidR="00F2051A" w:rsidRPr="000F2ED3">
        <w:t xml:space="preserve">. </w:t>
      </w:r>
      <w:r w:rsidR="00101AA2">
        <w:t xml:space="preserve">Además, de acuerdo a información en el dominio público, el 24 de abril de 2015 la Corte Constitucional declaró inconstitucional varios artículos del Código de Procedimiento Penal que omitían la posibilidad de impugnar todas las sentencias condenatorias ante el superior jerárquico o funcional y exhortó al Congreso de la República para que, en el término de un año, regule íntegramente el derecho a impugnar todas las sentencias condenatorias. De lo contrario, se debía entender que procede la impugnación contra todas las sentencias condenatorias. El 28 de abril de 2016, la CSJ emitió una sentencia en que señalaba que la disposición de la Corte Constitucional era aplicable respecto de sentencias que no se encontraban ejecutoriadas para el 24 de abril de 2016. El 18 de enero de 2018, el Poder Legislativo, mediante acto legislativo No. 001 de 2018, modificó la Constitución (artículos 186, 234 y 235) de forma que se garantice el derecho a la doble instancia penal para aquellas personas que gocen de aforamiento parlamentario. </w:t>
      </w:r>
      <w:r w:rsidR="00952F4D" w:rsidRPr="000F2ED3">
        <w:t xml:space="preserve">Por consiguiente, el Comité </w:t>
      </w:r>
      <w:r w:rsidR="00952F4D" w:rsidRPr="000F2ED3">
        <w:rPr>
          <w:color w:val="000000"/>
        </w:rPr>
        <w:t>concluye q</w:t>
      </w:r>
      <w:r w:rsidR="00F2051A" w:rsidRPr="000F2ED3">
        <w:rPr>
          <w:color w:val="000000"/>
        </w:rPr>
        <w:t>ue el Estado parte violó los derechos que asisten al autor en virtud del artículo 14(5)</w:t>
      </w:r>
      <w:r w:rsidR="00952F4D" w:rsidRPr="000F2ED3">
        <w:rPr>
          <w:color w:val="000000"/>
        </w:rPr>
        <w:t xml:space="preserve"> del Pacto.</w:t>
      </w:r>
    </w:p>
    <w:p w:rsidR="000D2405" w:rsidRPr="000F2ED3" w:rsidRDefault="000D2405" w:rsidP="000D2405">
      <w:pPr>
        <w:pStyle w:val="SingleTxtG"/>
        <w:rPr>
          <w:lang w:val="es-ES_tradnl"/>
        </w:rPr>
      </w:pPr>
      <w:r w:rsidRPr="000F2ED3">
        <w:rPr>
          <w:lang w:val="es-ES_tradnl"/>
        </w:rPr>
        <w:t>1</w:t>
      </w:r>
      <w:r w:rsidR="00F2051A" w:rsidRPr="000F2ED3">
        <w:rPr>
          <w:lang w:val="es-ES_tradnl"/>
        </w:rPr>
        <w:t>1</w:t>
      </w:r>
      <w:r w:rsidR="00AE1F63" w:rsidRPr="000F2ED3">
        <w:rPr>
          <w:lang w:val="es-ES_tradnl"/>
        </w:rPr>
        <w:t>.</w:t>
      </w:r>
      <w:r w:rsidRPr="000F2ED3">
        <w:rPr>
          <w:lang w:val="es-ES_tradnl"/>
        </w:rPr>
        <w:tab/>
      </w:r>
      <w:r w:rsidR="00B437F8" w:rsidRPr="000F2ED3">
        <w:rPr>
          <w:lang w:val="es-ES_tradnl"/>
        </w:rPr>
        <w:t xml:space="preserve">El Comité de Derechos Humanos, actuando en virtud del artículo 5, párrafo 4, del Protocolo Facultativo del Pacto Internacional de Derechos Civiles y Políticos, dictamina que los hechos que tiene ante sí ponen de manifiesto una vulneración </w:t>
      </w:r>
      <w:r w:rsidR="00E102A7" w:rsidRPr="000F2ED3">
        <w:rPr>
          <w:lang w:val="es-ES_tradnl"/>
        </w:rPr>
        <w:t>de</w:t>
      </w:r>
      <w:r w:rsidR="00F2051A" w:rsidRPr="000F2ED3">
        <w:rPr>
          <w:lang w:val="es-ES_tradnl"/>
        </w:rPr>
        <w:t>l artículo 14(5)</w:t>
      </w:r>
      <w:r w:rsidR="009C313E" w:rsidRPr="000F2ED3">
        <w:rPr>
          <w:lang w:val="es-ES_tradnl"/>
        </w:rPr>
        <w:t xml:space="preserve"> del Pacto</w:t>
      </w:r>
      <w:r w:rsidR="00B437F8" w:rsidRPr="000F2ED3">
        <w:rPr>
          <w:lang w:val="es-ES_tradnl"/>
        </w:rPr>
        <w:t>.</w:t>
      </w:r>
    </w:p>
    <w:p w:rsidR="000D2405" w:rsidRDefault="000D2405" w:rsidP="001B13E9">
      <w:pPr>
        <w:pStyle w:val="SingleTxtG"/>
        <w:rPr>
          <w:lang w:val="es-ES_tradnl"/>
        </w:rPr>
      </w:pPr>
      <w:r w:rsidRPr="000F2ED3">
        <w:rPr>
          <w:lang w:val="es-ES_tradnl"/>
        </w:rPr>
        <w:t>1</w:t>
      </w:r>
      <w:r w:rsidR="00F2051A" w:rsidRPr="000F2ED3">
        <w:rPr>
          <w:lang w:val="es-ES_tradnl"/>
        </w:rPr>
        <w:t>2</w:t>
      </w:r>
      <w:r w:rsidR="00AE1F63" w:rsidRPr="000F2ED3">
        <w:rPr>
          <w:lang w:val="es-ES_tradnl"/>
        </w:rPr>
        <w:t>.</w:t>
      </w:r>
      <w:r w:rsidRPr="000F2ED3">
        <w:rPr>
          <w:lang w:val="es-ES_tradnl"/>
        </w:rPr>
        <w:tab/>
      </w:r>
      <w:r w:rsidR="0043310B" w:rsidRPr="000F2ED3">
        <w:rPr>
          <w:lang w:val="es-ES_tradnl"/>
        </w:rPr>
        <w:t>De conformidad con el artículo 2</w:t>
      </w:r>
      <w:r w:rsidR="00F2051A" w:rsidRPr="000F2ED3">
        <w:rPr>
          <w:lang w:val="es-ES_tradnl"/>
        </w:rPr>
        <w:t>(3)(a)</w:t>
      </w:r>
      <w:r w:rsidR="0043310B" w:rsidRPr="000F2ED3">
        <w:rPr>
          <w:lang w:val="es-ES_tradnl"/>
        </w:rPr>
        <w:t xml:space="preserve">, del Pacto, el Estado parte tiene </w:t>
      </w:r>
      <w:r w:rsidR="00C370FE" w:rsidRPr="000F2ED3">
        <w:rPr>
          <w:lang w:val="es-ES_tradnl"/>
        </w:rPr>
        <w:t>la obligación de proporcionar a</w:t>
      </w:r>
      <w:r w:rsidR="00F2051A" w:rsidRPr="000F2ED3">
        <w:rPr>
          <w:lang w:val="es-ES_tradnl"/>
        </w:rPr>
        <w:t>l autor</w:t>
      </w:r>
      <w:r w:rsidR="0043310B" w:rsidRPr="000F2ED3">
        <w:rPr>
          <w:lang w:val="es-ES_tradnl"/>
        </w:rPr>
        <w:t xml:space="preserve"> un recurso efectivo. Ello requiere una reparación íntegra a los individuos cuyos derechos hayan sido violados. </w:t>
      </w:r>
      <w:r w:rsidR="001B13E9" w:rsidRPr="000F2ED3">
        <w:t>Por consiguiente, el Estado parte está obligado, entre otras cosas, a conceder al autor una indemnización adecuada</w:t>
      </w:r>
      <w:r w:rsidR="00EA3485">
        <w:t>.</w:t>
      </w:r>
      <w:r w:rsidR="001B13E9">
        <w:t xml:space="preserve"> El Estado parte también tiene la obligación de adoptar todas las medidas que sean necesarias para evitar que se cometan violaciones semejantes en el futuro.</w:t>
      </w:r>
    </w:p>
    <w:p w:rsidR="006F35EE" w:rsidRPr="009903D3" w:rsidRDefault="000D2405" w:rsidP="000D2405">
      <w:pPr>
        <w:pStyle w:val="SingleTxtG"/>
        <w:rPr>
          <w:lang w:val="es-ES_tradnl"/>
        </w:rPr>
      </w:pPr>
      <w:r w:rsidRPr="00983505">
        <w:rPr>
          <w:lang w:val="es-ES_tradnl"/>
        </w:rPr>
        <w:t>1</w:t>
      </w:r>
      <w:r w:rsidR="00AE1F63">
        <w:rPr>
          <w:lang w:val="es-ES_tradnl"/>
        </w:rPr>
        <w:t>3.</w:t>
      </w:r>
      <w:r w:rsidRPr="00983505">
        <w:rPr>
          <w:lang w:val="es-ES_tradnl"/>
        </w:rPr>
        <w:tab/>
        <w:t xml:space="preserve">Teniendo presente que, por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w:t>
      </w:r>
      <w:r w:rsidRPr="00983505">
        <w:rPr>
          <w:lang w:val="es-ES_tradnl"/>
        </w:rPr>
        <w:lastRenderedPageBreak/>
        <w:t>dictamen. Se pide asimismo</w:t>
      </w:r>
      <w:r w:rsidRPr="009903D3">
        <w:rPr>
          <w:lang w:val="es-ES_tradnl"/>
        </w:rPr>
        <w:t xml:space="preserve"> al Estado parte que publique el dictamen del Comité y le dé amplia difusión.</w:t>
      </w:r>
    </w:p>
    <w:p w:rsidR="00B149C8" w:rsidRPr="001D6DAD" w:rsidRDefault="00B149C8" w:rsidP="00B149C8">
      <w:pPr>
        <w:pStyle w:val="SingleTxtG"/>
        <w:spacing w:before="240"/>
        <w:jc w:val="center"/>
        <w:rPr>
          <w:u w:val="single"/>
        </w:rPr>
      </w:pPr>
      <w:r w:rsidRPr="009903D3">
        <w:rPr>
          <w:u w:val="single"/>
          <w:lang w:val="es-ES_tradnl"/>
        </w:rPr>
        <w:tab/>
      </w:r>
      <w:r w:rsidRPr="009903D3">
        <w:rPr>
          <w:u w:val="single"/>
          <w:lang w:val="es-ES_tradnl"/>
        </w:rPr>
        <w:tab/>
      </w:r>
      <w:r w:rsidRPr="009903D3">
        <w:rPr>
          <w:u w:val="single"/>
          <w:lang w:val="es-ES_tradnl"/>
        </w:rPr>
        <w:tab/>
      </w:r>
      <w:r w:rsidR="00AA1FD6">
        <w:rPr>
          <w:u w:val="single"/>
          <w:lang w:val="es-ES_tradnl"/>
        </w:rPr>
        <w:tab/>
      </w:r>
    </w:p>
    <w:sectPr w:rsidR="00B149C8" w:rsidRPr="001D6DAD" w:rsidSect="00917FB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12" w:rsidRDefault="002B5812"/>
  </w:endnote>
  <w:endnote w:type="continuationSeparator" w:id="0">
    <w:p w:rsidR="002B5812" w:rsidRDefault="002B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85" w:rsidRPr="00917FB1" w:rsidRDefault="00FE6085" w:rsidP="00917FB1">
    <w:pPr>
      <w:pStyle w:val="Footer"/>
      <w:tabs>
        <w:tab w:val="right" w:pos="9638"/>
      </w:tabs>
    </w:pPr>
    <w:r w:rsidRPr="00917FB1">
      <w:rPr>
        <w:b/>
        <w:sz w:val="18"/>
      </w:rPr>
      <w:fldChar w:fldCharType="begin"/>
    </w:r>
    <w:r w:rsidRPr="00917FB1">
      <w:rPr>
        <w:b/>
        <w:sz w:val="18"/>
      </w:rPr>
      <w:instrText xml:space="preserve"> PAGE  \* MERGEFORMAT </w:instrText>
    </w:r>
    <w:r w:rsidRPr="00917FB1">
      <w:rPr>
        <w:b/>
        <w:sz w:val="18"/>
      </w:rPr>
      <w:fldChar w:fldCharType="separate"/>
    </w:r>
    <w:r w:rsidR="00216274">
      <w:rPr>
        <w:b/>
        <w:noProof/>
        <w:sz w:val="18"/>
      </w:rPr>
      <w:t>14</w:t>
    </w:r>
    <w:r w:rsidRPr="00917FB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85" w:rsidRPr="00917FB1" w:rsidRDefault="00FE6085" w:rsidP="00917FB1">
    <w:pPr>
      <w:pStyle w:val="Footer"/>
      <w:tabs>
        <w:tab w:val="right" w:pos="9638"/>
      </w:tabs>
      <w:rPr>
        <w:b/>
        <w:sz w:val="18"/>
      </w:rPr>
    </w:pPr>
    <w:r>
      <w:tab/>
    </w:r>
    <w:r w:rsidRPr="00917FB1">
      <w:rPr>
        <w:b/>
        <w:sz w:val="18"/>
      </w:rPr>
      <w:fldChar w:fldCharType="begin"/>
    </w:r>
    <w:r w:rsidRPr="00917FB1">
      <w:rPr>
        <w:b/>
        <w:sz w:val="18"/>
      </w:rPr>
      <w:instrText xml:space="preserve"> PAGE  \* MERGEFORMAT </w:instrText>
    </w:r>
    <w:r w:rsidRPr="00917FB1">
      <w:rPr>
        <w:b/>
        <w:sz w:val="18"/>
      </w:rPr>
      <w:fldChar w:fldCharType="separate"/>
    </w:r>
    <w:r w:rsidR="00216274">
      <w:rPr>
        <w:b/>
        <w:noProof/>
        <w:sz w:val="18"/>
      </w:rPr>
      <w:t>15</w:t>
    </w:r>
    <w:r w:rsidRPr="00917F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93" w:rsidRPr="00F35002" w:rsidRDefault="00F35002" w:rsidP="00F35002">
    <w:pPr>
      <w:pStyle w:val="Footer"/>
      <w:spacing w:before="120" w:line="240" w:lineRule="auto"/>
      <w:rPr>
        <w:sz w:val="20"/>
      </w:rPr>
    </w:pPr>
    <w:r>
      <w:rPr>
        <w:noProof/>
        <w:sz w:val="20"/>
        <w:lang w:val="en-GB" w:eastAsia="en-GB"/>
      </w:rPr>
      <w:drawing>
        <wp:anchor distT="0" distB="0" distL="114300" distR="114300" simplePos="0" relativeHeight="251657216" behindDoc="0" locked="0" layoutInCell="1" allowOverlap="1" wp14:anchorId="662F175E" wp14:editId="37A04D29">
          <wp:simplePos x="0" y="0"/>
          <wp:positionH relativeFrom="margin">
            <wp:posOffset>5473626</wp:posOffset>
          </wp:positionH>
          <wp:positionV relativeFrom="margin">
            <wp:posOffset>8030668</wp:posOffset>
          </wp:positionV>
          <wp:extent cx="638175" cy="638175"/>
          <wp:effectExtent l="0" t="0" r="9525" b="9525"/>
          <wp:wrapNone/>
          <wp:docPr id="2" name="Imagen 1" descr="https://undocs.org/m2/QRCode.ashx?DS=CCPR/C/123/DR/2414/24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R/2414/2414&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A59" w:rsidDel="00CF4A59">
      <w:rPr>
        <w:sz w:val="20"/>
      </w:rPr>
      <w:t xml:space="preserve"> </w:t>
    </w:r>
    <w:r>
      <w:rPr>
        <w:sz w:val="20"/>
      </w:rPr>
      <w:br/>
    </w:r>
    <w:r w:rsidRPr="00F35002">
      <w:rPr>
        <w:rFonts w:ascii="C39T30Lfz" w:hAnsi="C39T30Lfz"/>
        <w:noProof/>
        <w:sz w:val="56"/>
        <w:lang w:val="en-GB" w:eastAsia="en-GB"/>
      </w:rPr>
      <w:drawing>
        <wp:anchor distT="0" distB="0" distL="114300" distR="114300" simplePos="0" relativeHeight="251659264" behindDoc="0" locked="1" layoutInCell="1" allowOverlap="1" wp14:anchorId="78971267" wp14:editId="56A9F293">
          <wp:simplePos x="0" y="0"/>
          <wp:positionH relativeFrom="margin">
            <wp:posOffset>4321810</wp:posOffset>
          </wp:positionH>
          <wp:positionV relativeFrom="margin">
            <wp:posOffset>8278495</wp:posOffset>
          </wp:positionV>
          <wp:extent cx="1087120" cy="22987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12" w:rsidRPr="001075E9" w:rsidRDefault="002B5812" w:rsidP="001075E9">
      <w:pPr>
        <w:tabs>
          <w:tab w:val="right" w:pos="2155"/>
        </w:tabs>
        <w:spacing w:after="80" w:line="240" w:lineRule="auto"/>
        <w:ind w:left="680"/>
        <w:rPr>
          <w:u w:val="single"/>
        </w:rPr>
      </w:pPr>
      <w:r>
        <w:rPr>
          <w:u w:val="single"/>
        </w:rPr>
        <w:tab/>
      </w:r>
    </w:p>
  </w:footnote>
  <w:footnote w:type="continuationSeparator" w:id="0">
    <w:p w:rsidR="002B5812" w:rsidRDefault="002B5812" w:rsidP="00AE0E02">
      <w:pPr>
        <w:tabs>
          <w:tab w:val="right" w:pos="2155"/>
        </w:tabs>
        <w:spacing w:after="80" w:line="240" w:lineRule="auto"/>
        <w:ind w:left="680"/>
        <w:rPr>
          <w:u w:val="single"/>
        </w:rPr>
      </w:pPr>
      <w:r>
        <w:rPr>
          <w:u w:val="single"/>
        </w:rPr>
        <w:tab/>
      </w:r>
    </w:p>
  </w:footnote>
  <w:footnote w:id="1">
    <w:p w:rsidR="001D6583" w:rsidRPr="00EF1792" w:rsidRDefault="001D6583" w:rsidP="001D6583">
      <w:pPr>
        <w:pStyle w:val="FootnoteText"/>
      </w:pPr>
      <w:r>
        <w:rPr>
          <w:rStyle w:val="FootnoteReference"/>
        </w:rPr>
        <w:tab/>
      </w:r>
      <w:r w:rsidRPr="00E94CAD">
        <w:rPr>
          <w:rStyle w:val="FootnoteReference"/>
          <w:sz w:val="20"/>
          <w:vertAlign w:val="baseline"/>
        </w:rPr>
        <w:t>*</w:t>
      </w:r>
      <w:r>
        <w:rPr>
          <w:rStyle w:val="FootnoteReference"/>
          <w:sz w:val="20"/>
          <w:vertAlign w:val="baseline"/>
        </w:rPr>
        <w:tab/>
      </w:r>
      <w:r w:rsidRPr="00E94CAD">
        <w:t>Adopt</w:t>
      </w:r>
      <w:r>
        <w:t>ado por el Comité en su 123° período de sesiones (2 a 27 de julio de 2018).</w:t>
      </w:r>
    </w:p>
  </w:footnote>
  <w:footnote w:id="2">
    <w:p w:rsidR="001D6583" w:rsidRPr="00C471B0" w:rsidRDefault="001D6583" w:rsidP="001D6583">
      <w:pPr>
        <w:pStyle w:val="FootnoteText"/>
      </w:pPr>
      <w:r>
        <w:rPr>
          <w:rStyle w:val="FootnoteReference"/>
        </w:rPr>
        <w:tab/>
      </w:r>
      <w:r w:rsidRPr="00E94CAD">
        <w:rPr>
          <w:rStyle w:val="FootnoteReference"/>
          <w:sz w:val="20"/>
          <w:vertAlign w:val="baseline"/>
        </w:rPr>
        <w:t>**</w:t>
      </w:r>
      <w:r>
        <w:rPr>
          <w:rStyle w:val="FootnoteReference"/>
          <w:sz w:val="20"/>
          <w:vertAlign w:val="baseline"/>
        </w:rPr>
        <w:tab/>
      </w:r>
      <w:r w:rsidRPr="00C471B0">
        <w:rPr>
          <w:rStyle w:val="FootnoteReference"/>
          <w:sz w:val="20"/>
          <w:vertAlign w:val="baseline"/>
        </w:rPr>
        <w:t xml:space="preserve">Participaron en el examen de la comunicación los siguientes miembros del Comité: Tania María </w:t>
      </w:r>
      <w:proofErr w:type="spellStart"/>
      <w:r w:rsidRPr="00C471B0">
        <w:rPr>
          <w:rStyle w:val="FootnoteReference"/>
          <w:sz w:val="20"/>
          <w:vertAlign w:val="baseline"/>
        </w:rPr>
        <w:t>Abdo</w:t>
      </w:r>
      <w:proofErr w:type="spellEnd"/>
      <w:r w:rsidRPr="00C471B0">
        <w:rPr>
          <w:rStyle w:val="FootnoteReference"/>
          <w:sz w:val="20"/>
          <w:vertAlign w:val="baseline"/>
        </w:rPr>
        <w:t xml:space="preserve"> </w:t>
      </w:r>
      <w:proofErr w:type="spellStart"/>
      <w:r w:rsidRPr="00C471B0">
        <w:rPr>
          <w:rStyle w:val="FootnoteReference"/>
          <w:sz w:val="20"/>
          <w:vertAlign w:val="baseline"/>
        </w:rPr>
        <w:t>Rocholl</w:t>
      </w:r>
      <w:proofErr w:type="spellEnd"/>
      <w:r w:rsidRPr="00C471B0">
        <w:rPr>
          <w:rStyle w:val="FootnoteReference"/>
          <w:sz w:val="20"/>
          <w:vertAlign w:val="baseline"/>
        </w:rPr>
        <w:t xml:space="preserve">, </w:t>
      </w:r>
      <w:proofErr w:type="spellStart"/>
      <w:r w:rsidRPr="00C471B0">
        <w:rPr>
          <w:rStyle w:val="FootnoteReference"/>
          <w:sz w:val="20"/>
          <w:vertAlign w:val="baseline"/>
        </w:rPr>
        <w:t>Yadh</w:t>
      </w:r>
      <w:proofErr w:type="spellEnd"/>
      <w:r w:rsidRPr="00C471B0">
        <w:rPr>
          <w:rStyle w:val="FootnoteReference"/>
          <w:sz w:val="20"/>
          <w:vertAlign w:val="baseline"/>
        </w:rPr>
        <w:t xml:space="preserve"> Ben </w:t>
      </w:r>
      <w:proofErr w:type="spellStart"/>
      <w:r w:rsidRPr="00C471B0">
        <w:rPr>
          <w:rStyle w:val="FootnoteReference"/>
          <w:sz w:val="20"/>
          <w:vertAlign w:val="baseline"/>
        </w:rPr>
        <w:t>Achour</w:t>
      </w:r>
      <w:proofErr w:type="spellEnd"/>
      <w:r w:rsidRPr="00C471B0">
        <w:rPr>
          <w:rStyle w:val="FootnoteReference"/>
          <w:sz w:val="20"/>
          <w:vertAlign w:val="baseline"/>
        </w:rPr>
        <w:t xml:space="preserve">, </w:t>
      </w:r>
      <w:proofErr w:type="spellStart"/>
      <w:r w:rsidRPr="00C471B0">
        <w:rPr>
          <w:rStyle w:val="FootnoteReference"/>
          <w:sz w:val="20"/>
          <w:vertAlign w:val="baseline"/>
        </w:rPr>
        <w:t>Ilze</w:t>
      </w:r>
      <w:proofErr w:type="spellEnd"/>
      <w:r w:rsidRPr="00C471B0">
        <w:rPr>
          <w:rStyle w:val="FootnoteReference"/>
          <w:sz w:val="20"/>
          <w:vertAlign w:val="baseline"/>
        </w:rPr>
        <w:t xml:space="preserve"> </w:t>
      </w:r>
      <w:proofErr w:type="spellStart"/>
      <w:r w:rsidRPr="00C471B0">
        <w:rPr>
          <w:rStyle w:val="FootnoteReference"/>
          <w:sz w:val="20"/>
          <w:vertAlign w:val="baseline"/>
        </w:rPr>
        <w:t>Brands</w:t>
      </w:r>
      <w:proofErr w:type="spellEnd"/>
      <w:r w:rsidRPr="00C471B0">
        <w:rPr>
          <w:rStyle w:val="FootnoteReference"/>
          <w:sz w:val="20"/>
          <w:vertAlign w:val="baseline"/>
        </w:rPr>
        <w:t xml:space="preserve"> </w:t>
      </w:r>
      <w:proofErr w:type="spellStart"/>
      <w:r w:rsidRPr="00C471B0">
        <w:rPr>
          <w:rStyle w:val="FootnoteReference"/>
          <w:sz w:val="20"/>
          <w:vertAlign w:val="baseline"/>
        </w:rPr>
        <w:t>Kehris</w:t>
      </w:r>
      <w:proofErr w:type="spellEnd"/>
      <w:r w:rsidRPr="00C471B0">
        <w:rPr>
          <w:rStyle w:val="FootnoteReference"/>
          <w:sz w:val="20"/>
          <w:vertAlign w:val="baseline"/>
        </w:rPr>
        <w:t xml:space="preserve">, Sarah Cleveland, Olivier de </w:t>
      </w:r>
      <w:proofErr w:type="spellStart"/>
      <w:r w:rsidRPr="00C471B0">
        <w:rPr>
          <w:rStyle w:val="FootnoteReference"/>
          <w:sz w:val="20"/>
          <w:vertAlign w:val="baseline"/>
        </w:rPr>
        <w:t>Frouville</w:t>
      </w:r>
      <w:proofErr w:type="spellEnd"/>
      <w:r w:rsidRPr="00C471B0">
        <w:rPr>
          <w:rStyle w:val="FootnoteReference"/>
          <w:sz w:val="20"/>
          <w:vertAlign w:val="baseline"/>
        </w:rPr>
        <w:t xml:space="preserve">, Ahmed </w:t>
      </w:r>
      <w:proofErr w:type="spellStart"/>
      <w:r w:rsidRPr="00C471B0">
        <w:rPr>
          <w:rStyle w:val="FootnoteReference"/>
          <w:sz w:val="20"/>
          <w:vertAlign w:val="baseline"/>
        </w:rPr>
        <w:t>Amin</w:t>
      </w:r>
      <w:proofErr w:type="spellEnd"/>
      <w:r w:rsidRPr="00C471B0">
        <w:rPr>
          <w:rStyle w:val="FootnoteReference"/>
          <w:sz w:val="20"/>
          <w:vertAlign w:val="baseline"/>
        </w:rPr>
        <w:t xml:space="preserve"> </w:t>
      </w:r>
      <w:proofErr w:type="spellStart"/>
      <w:r w:rsidRPr="00C471B0">
        <w:rPr>
          <w:rStyle w:val="FootnoteReference"/>
          <w:sz w:val="20"/>
          <w:vertAlign w:val="baseline"/>
        </w:rPr>
        <w:t>Fathalla</w:t>
      </w:r>
      <w:proofErr w:type="spellEnd"/>
      <w:r w:rsidRPr="00C471B0">
        <w:rPr>
          <w:rStyle w:val="FootnoteReference"/>
          <w:sz w:val="20"/>
          <w:vertAlign w:val="baseline"/>
        </w:rPr>
        <w:t xml:space="preserve">, </w:t>
      </w:r>
      <w:proofErr w:type="spellStart"/>
      <w:r w:rsidRPr="00C471B0">
        <w:rPr>
          <w:rStyle w:val="FootnoteReference"/>
          <w:sz w:val="20"/>
          <w:vertAlign w:val="baseline"/>
        </w:rPr>
        <w:t>Ba</w:t>
      </w:r>
      <w:r>
        <w:rPr>
          <w:rStyle w:val="FootnoteReference"/>
          <w:sz w:val="20"/>
          <w:vertAlign w:val="baseline"/>
        </w:rPr>
        <w:t>mariam</w:t>
      </w:r>
      <w:proofErr w:type="spellEnd"/>
      <w:r>
        <w:rPr>
          <w:rStyle w:val="FootnoteReference"/>
          <w:sz w:val="20"/>
          <w:vertAlign w:val="baseline"/>
        </w:rPr>
        <w:t xml:space="preserve"> </w:t>
      </w:r>
      <w:proofErr w:type="spellStart"/>
      <w:r>
        <w:rPr>
          <w:rStyle w:val="FootnoteReference"/>
          <w:sz w:val="20"/>
          <w:vertAlign w:val="baseline"/>
        </w:rPr>
        <w:t>Koita</w:t>
      </w:r>
      <w:proofErr w:type="spellEnd"/>
      <w:r>
        <w:rPr>
          <w:rStyle w:val="FootnoteReference"/>
          <w:sz w:val="20"/>
          <w:vertAlign w:val="baseline"/>
        </w:rPr>
        <w:t xml:space="preserve">, Marcia V.J. </w:t>
      </w:r>
      <w:proofErr w:type="spellStart"/>
      <w:r>
        <w:rPr>
          <w:rStyle w:val="FootnoteReference"/>
          <w:sz w:val="20"/>
          <w:vertAlign w:val="baseline"/>
        </w:rPr>
        <w:t>Kran</w:t>
      </w:r>
      <w:proofErr w:type="spellEnd"/>
      <w:r w:rsidRPr="00C471B0">
        <w:rPr>
          <w:rStyle w:val="FootnoteReference"/>
          <w:sz w:val="20"/>
          <w:vertAlign w:val="baseline"/>
        </w:rPr>
        <w:t>,</w:t>
      </w:r>
      <w:r>
        <w:rPr>
          <w:sz w:val="20"/>
        </w:rPr>
        <w:t xml:space="preserve"> Duncan </w:t>
      </w:r>
      <w:proofErr w:type="spellStart"/>
      <w:r>
        <w:rPr>
          <w:sz w:val="20"/>
        </w:rPr>
        <w:t>Laki</w:t>
      </w:r>
      <w:proofErr w:type="spellEnd"/>
      <w:r>
        <w:rPr>
          <w:sz w:val="20"/>
        </w:rPr>
        <w:t xml:space="preserve"> </w:t>
      </w:r>
      <w:proofErr w:type="spellStart"/>
      <w:r>
        <w:rPr>
          <w:sz w:val="20"/>
        </w:rPr>
        <w:t>Muhumuza</w:t>
      </w:r>
      <w:proofErr w:type="spellEnd"/>
      <w:r>
        <w:rPr>
          <w:sz w:val="20"/>
        </w:rPr>
        <w:t>,</w:t>
      </w:r>
      <w:r w:rsidRPr="00C471B0">
        <w:rPr>
          <w:rStyle w:val="FootnoteReference"/>
          <w:sz w:val="20"/>
          <w:vertAlign w:val="baseline"/>
        </w:rPr>
        <w:t xml:space="preserve"> Mauro </w:t>
      </w:r>
      <w:proofErr w:type="spellStart"/>
      <w:r w:rsidRPr="00C471B0">
        <w:rPr>
          <w:rStyle w:val="FootnoteReference"/>
          <w:sz w:val="20"/>
          <w:vertAlign w:val="baseline"/>
        </w:rPr>
        <w:t>Politi</w:t>
      </w:r>
      <w:proofErr w:type="spellEnd"/>
      <w:r w:rsidRPr="00C471B0">
        <w:rPr>
          <w:rStyle w:val="FootnoteReference"/>
          <w:sz w:val="20"/>
          <w:vertAlign w:val="baseline"/>
        </w:rPr>
        <w:t xml:space="preserve">, José Manuel Santos </w:t>
      </w:r>
      <w:proofErr w:type="spellStart"/>
      <w:r w:rsidRPr="00C471B0">
        <w:rPr>
          <w:rStyle w:val="FootnoteReference"/>
          <w:sz w:val="20"/>
          <w:vertAlign w:val="baseline"/>
        </w:rPr>
        <w:t>Pais</w:t>
      </w:r>
      <w:proofErr w:type="spellEnd"/>
      <w:r w:rsidRPr="00C471B0">
        <w:rPr>
          <w:rStyle w:val="FootnoteReference"/>
          <w:sz w:val="20"/>
          <w:vertAlign w:val="baseline"/>
        </w:rPr>
        <w:t xml:space="preserve">, </w:t>
      </w:r>
      <w:proofErr w:type="spellStart"/>
      <w:r w:rsidRPr="00C471B0">
        <w:rPr>
          <w:rStyle w:val="FootnoteReference"/>
          <w:sz w:val="20"/>
          <w:vertAlign w:val="baseline"/>
        </w:rPr>
        <w:t>Yuval</w:t>
      </w:r>
      <w:proofErr w:type="spellEnd"/>
      <w:r w:rsidRPr="00C471B0">
        <w:rPr>
          <w:rStyle w:val="FootnoteReference"/>
          <w:sz w:val="20"/>
          <w:vertAlign w:val="baseline"/>
        </w:rPr>
        <w:t xml:space="preserve"> </w:t>
      </w:r>
      <w:proofErr w:type="spellStart"/>
      <w:r w:rsidRPr="00C471B0">
        <w:rPr>
          <w:rStyle w:val="FootnoteReference"/>
          <w:sz w:val="20"/>
          <w:vertAlign w:val="baseline"/>
        </w:rPr>
        <w:t>Shany</w:t>
      </w:r>
      <w:proofErr w:type="spellEnd"/>
      <w:r w:rsidRPr="00C471B0">
        <w:rPr>
          <w:rStyle w:val="FootnoteReference"/>
          <w:sz w:val="20"/>
          <w:vertAlign w:val="baseline"/>
        </w:rPr>
        <w:t xml:space="preserve"> y Margo </w:t>
      </w:r>
      <w:proofErr w:type="spellStart"/>
      <w:r w:rsidRPr="00C471B0">
        <w:rPr>
          <w:rStyle w:val="FootnoteReference"/>
          <w:sz w:val="20"/>
          <w:vertAlign w:val="baseline"/>
        </w:rPr>
        <w:t>Waterval</w:t>
      </w:r>
      <w:proofErr w:type="spellEnd"/>
      <w:r w:rsidRPr="00C471B0">
        <w:rPr>
          <w:rStyle w:val="FootnoteReference"/>
          <w:sz w:val="20"/>
          <w:vertAlign w:val="baseline"/>
        </w:rPr>
        <w:t>.</w:t>
      </w:r>
    </w:p>
  </w:footnote>
  <w:footnote w:id="3">
    <w:p w:rsidR="00FE6085" w:rsidRPr="002E3F0E" w:rsidRDefault="00B37D5B" w:rsidP="00B37D5B">
      <w:pPr>
        <w:pStyle w:val="FootnoteText"/>
        <w:jc w:val="both"/>
      </w:pPr>
      <w:r>
        <w:tab/>
      </w:r>
      <w:r w:rsidR="00FE6085" w:rsidRPr="002E3F0E">
        <w:rPr>
          <w:rStyle w:val="FootnoteReference"/>
        </w:rPr>
        <w:footnoteRef/>
      </w:r>
      <w:r>
        <w:tab/>
      </w:r>
      <w:r w:rsidR="00FE6085" w:rsidRPr="002E3F0E">
        <w:t>El autor señala que, de acuerdo a los artículos 186 y 235 de la Constitución, los miembros del Congreso son juzgados por la Corte Suprema de Justicia.</w:t>
      </w:r>
    </w:p>
    <w:p w:rsidR="00FE6085" w:rsidRPr="002E3F0E" w:rsidRDefault="00FE6085" w:rsidP="00B25F3F">
      <w:pPr>
        <w:spacing w:line="240" w:lineRule="auto"/>
        <w:ind w:left="1134" w:right="1133"/>
        <w:jc w:val="both"/>
        <w:rPr>
          <w:sz w:val="18"/>
          <w:szCs w:val="18"/>
        </w:rPr>
      </w:pPr>
      <w:r w:rsidRPr="002E3F0E">
        <w:rPr>
          <w:sz w:val="18"/>
          <w:szCs w:val="18"/>
        </w:rPr>
        <w:t>Artículo 186. De los delitos que cometan los congresistas, conocerá en forma privativa la Corte Suprema de Justicia, única autoridad que podrá ordenar su detención. En caso de flagrante delito deberán ser aprehendidos y puestos inmediatamente a disposición de la misma corporación.</w:t>
      </w:r>
    </w:p>
    <w:p w:rsidR="00FE6085" w:rsidRPr="002E3F0E" w:rsidRDefault="00FE6085" w:rsidP="00B25F3F">
      <w:pPr>
        <w:spacing w:line="240" w:lineRule="auto"/>
        <w:ind w:left="1134" w:right="1133"/>
        <w:jc w:val="both"/>
        <w:rPr>
          <w:sz w:val="18"/>
          <w:szCs w:val="18"/>
        </w:rPr>
      </w:pPr>
      <w:r w:rsidRPr="002E3F0E">
        <w:rPr>
          <w:sz w:val="18"/>
          <w:szCs w:val="18"/>
        </w:rPr>
        <w:t>Artículo 235. Son atribuciones de la Corte Suprema de Justicia:</w:t>
      </w:r>
    </w:p>
    <w:p w:rsidR="00FE6085" w:rsidRPr="002E3F0E" w:rsidRDefault="00FE6085" w:rsidP="00B25F3F">
      <w:pPr>
        <w:spacing w:line="240" w:lineRule="auto"/>
        <w:ind w:left="1134" w:right="1133"/>
        <w:jc w:val="both"/>
        <w:rPr>
          <w:sz w:val="18"/>
          <w:szCs w:val="18"/>
        </w:rPr>
      </w:pPr>
      <w:r w:rsidRPr="002E3F0E">
        <w:rPr>
          <w:sz w:val="18"/>
          <w:szCs w:val="18"/>
        </w:rPr>
        <w:t xml:space="preserve">[…] </w:t>
      </w:r>
    </w:p>
    <w:p w:rsidR="00FE6085" w:rsidRPr="002E3F0E" w:rsidRDefault="00FE6085" w:rsidP="00B25F3F">
      <w:pPr>
        <w:spacing w:line="240" w:lineRule="auto"/>
        <w:ind w:left="1134" w:right="1133"/>
        <w:jc w:val="both"/>
        <w:rPr>
          <w:sz w:val="18"/>
          <w:szCs w:val="18"/>
        </w:rPr>
      </w:pPr>
      <w:r w:rsidRPr="002E3F0E">
        <w:rPr>
          <w:sz w:val="18"/>
          <w:szCs w:val="18"/>
        </w:rPr>
        <w:t xml:space="preserve">3. Investigar y juzgar a los miembros del Congreso. </w:t>
      </w:r>
    </w:p>
    <w:p w:rsidR="00FE6085" w:rsidRPr="002E3F0E" w:rsidRDefault="00FE6085" w:rsidP="00B25F3F">
      <w:pPr>
        <w:spacing w:line="240" w:lineRule="auto"/>
        <w:ind w:left="1134" w:right="1133"/>
        <w:jc w:val="both"/>
        <w:rPr>
          <w:sz w:val="18"/>
          <w:szCs w:val="18"/>
        </w:rPr>
      </w:pPr>
      <w:r w:rsidRPr="002E3F0E">
        <w:rPr>
          <w:sz w:val="18"/>
          <w:szCs w:val="18"/>
        </w:rPr>
        <w:t>[…]</w:t>
      </w:r>
    </w:p>
    <w:p w:rsidR="00FE6085" w:rsidRPr="002E3F0E" w:rsidRDefault="00FE6085" w:rsidP="00B25F3F">
      <w:pPr>
        <w:spacing w:line="240" w:lineRule="auto"/>
        <w:ind w:left="1134" w:right="1133"/>
        <w:jc w:val="both"/>
        <w:rPr>
          <w:sz w:val="18"/>
          <w:szCs w:val="18"/>
        </w:rPr>
      </w:pPr>
      <w:r w:rsidRPr="002E3F0E">
        <w:rPr>
          <w:sz w:val="18"/>
          <w:szCs w:val="18"/>
        </w:rPr>
        <w:t>Parágrafo. Cuando los funcionarios antes enumerados hubieren cesado en el ejercicio de su cargo, el fuero sólo se mantendrá para las conductas punibles que tengan relación con las funciones desempeñadas.</w:t>
      </w:r>
    </w:p>
  </w:footnote>
  <w:footnote w:id="4">
    <w:p w:rsidR="009A10F7" w:rsidRPr="009A10F7" w:rsidRDefault="00B37D5B" w:rsidP="00B37D5B">
      <w:pPr>
        <w:pStyle w:val="FootnoteText"/>
      </w:pPr>
      <w:r>
        <w:tab/>
      </w:r>
      <w:r w:rsidR="009A10F7">
        <w:rPr>
          <w:rStyle w:val="FootnoteReference"/>
        </w:rPr>
        <w:footnoteRef/>
      </w:r>
      <w:r>
        <w:tab/>
      </w:r>
      <w:r w:rsidR="009A10F7">
        <w:t>La comunicación no fundamenta las alegaciones en virtud de los artículos</w:t>
      </w:r>
      <w:r w:rsidR="00A40DA1">
        <w:t xml:space="preserve"> 2(1) y (2),</w:t>
      </w:r>
      <w:r w:rsidR="00DD3492">
        <w:t xml:space="preserve"> 3, 9 y 14(3)</w:t>
      </w:r>
      <w:r w:rsidR="009A10F7">
        <w:t xml:space="preserve"> limitándose a invocar estos artículos. </w:t>
      </w:r>
    </w:p>
  </w:footnote>
  <w:footnote w:id="5">
    <w:p w:rsidR="00FE6085" w:rsidRPr="00AB75B5" w:rsidRDefault="00B37D5B" w:rsidP="00B37D5B">
      <w:pPr>
        <w:pStyle w:val="FootnoteText"/>
        <w:rPr>
          <w:lang w:val="es-ES_tradnl"/>
        </w:rPr>
      </w:pPr>
      <w:r>
        <w:tab/>
      </w:r>
      <w:r w:rsidR="00FE6085">
        <w:rPr>
          <w:rStyle w:val="FootnoteReference"/>
        </w:rPr>
        <w:footnoteRef/>
      </w:r>
      <w:r>
        <w:tab/>
      </w:r>
      <w:r w:rsidR="00FE6085">
        <w:rPr>
          <w:lang w:val="es-ES_tradnl"/>
        </w:rPr>
        <w:t>El autor se refiere a la jurisprudencia de la CSJ con relación a los procesos 24.162, 24.064 y 27.313, de 10 de agosto de 2006 y 7 de febrero y 17 de noviembre de 2008, respectivamente.</w:t>
      </w:r>
    </w:p>
  </w:footnote>
  <w:footnote w:id="6">
    <w:p w:rsidR="00FE6085" w:rsidRPr="00B91E2F" w:rsidRDefault="00B37D5B" w:rsidP="00B37D5B">
      <w:pPr>
        <w:pStyle w:val="FootnoteText"/>
        <w:jc w:val="both"/>
      </w:pPr>
      <w:r>
        <w:tab/>
      </w:r>
      <w:r w:rsidR="00FE6085">
        <w:rPr>
          <w:rStyle w:val="FootnoteReference"/>
        </w:rPr>
        <w:footnoteRef/>
      </w:r>
      <w:r>
        <w:tab/>
      </w:r>
      <w:r w:rsidR="00FE6085" w:rsidRPr="00B91E2F">
        <w:t>Sentencia</w:t>
      </w:r>
      <w:r w:rsidR="00FE6085">
        <w:t>s de la Corte Constitucional</w:t>
      </w:r>
      <w:r w:rsidR="00FE6085" w:rsidRPr="00B91E2F">
        <w:t xml:space="preserve"> C-650-2001 y C-254A de 2012.</w:t>
      </w:r>
    </w:p>
  </w:footnote>
  <w:footnote w:id="7">
    <w:p w:rsidR="002105DB" w:rsidRPr="002105DB" w:rsidRDefault="00B37D5B" w:rsidP="00B37D5B">
      <w:pPr>
        <w:pStyle w:val="FootnoteText"/>
        <w:jc w:val="both"/>
      </w:pPr>
      <w:r>
        <w:tab/>
      </w:r>
      <w:r w:rsidR="002105DB">
        <w:rPr>
          <w:rStyle w:val="FootnoteReference"/>
        </w:rPr>
        <w:footnoteRef/>
      </w:r>
      <w:r>
        <w:tab/>
      </w:r>
      <w:r w:rsidR="002105DB" w:rsidRPr="002105DB">
        <w:t>El Estado parte se refiere a las decision</w:t>
      </w:r>
      <w:r w:rsidR="002105DB">
        <w:t>e</w:t>
      </w:r>
      <w:r w:rsidR="002105DB" w:rsidRPr="002105DB">
        <w:t>s de la Sala Penal de la CSJ</w:t>
      </w:r>
      <w:r w:rsidR="002105DB">
        <w:t xml:space="preserve"> </w:t>
      </w:r>
      <w:r w:rsidR="002105DB" w:rsidRPr="002105DB">
        <w:t xml:space="preserve">de 14 de </w:t>
      </w:r>
      <w:r w:rsidR="002105DB">
        <w:t>a</w:t>
      </w:r>
      <w:r w:rsidR="002105DB" w:rsidRPr="002105DB">
        <w:t xml:space="preserve">gosto de 2000, Rad. </w:t>
      </w:r>
      <w:r w:rsidR="002105DB">
        <w:t xml:space="preserve">13.349; 11 de marzo de 2003, Rad. 17.653; y 24 de enero de 2007, Rad. 21.497. </w:t>
      </w:r>
    </w:p>
  </w:footnote>
  <w:footnote w:id="8">
    <w:p w:rsidR="00122CD5" w:rsidRPr="00122CD5" w:rsidRDefault="00B37D5B" w:rsidP="00B37D5B">
      <w:pPr>
        <w:pStyle w:val="FootnoteText"/>
        <w:jc w:val="both"/>
      </w:pPr>
      <w:r>
        <w:tab/>
      </w:r>
      <w:r w:rsidR="00122CD5">
        <w:rPr>
          <w:rStyle w:val="FootnoteReference"/>
        </w:rPr>
        <w:footnoteRef/>
      </w:r>
      <w:r>
        <w:tab/>
      </w:r>
      <w:r w:rsidR="00122CD5" w:rsidRPr="00122CD5">
        <w:t xml:space="preserve">El Estado </w:t>
      </w:r>
      <w:r w:rsidR="00122CD5" w:rsidRPr="002E3F0E">
        <w:t>parte se refiere a nueve decisiones judiciales relativas a diferentes casos, incluidas sentencias condenatorias, acordadas entre diciembre de 2007 y febrero de 2010.</w:t>
      </w:r>
    </w:p>
  </w:footnote>
  <w:footnote w:id="9">
    <w:p w:rsidR="00514676" w:rsidRDefault="00B37D5B" w:rsidP="00B37D5B">
      <w:pPr>
        <w:pStyle w:val="FootnoteText"/>
        <w:jc w:val="both"/>
        <w:rPr>
          <w:rFonts w:ascii="Calibri" w:hAnsi="Calibri" w:cs="Microsoft New Tai Lue"/>
          <w:sz w:val="20"/>
        </w:rPr>
      </w:pPr>
      <w:r>
        <w:tab/>
      </w:r>
      <w:r w:rsidR="00514676">
        <w:rPr>
          <w:rStyle w:val="FootnoteReference"/>
        </w:rPr>
        <w:footnoteRef/>
      </w:r>
      <w:r>
        <w:tab/>
      </w:r>
      <w:r w:rsidR="00514676">
        <w:t>El autor se refiere a la sentencia de la Corte Constitucional C-545/08.</w:t>
      </w:r>
    </w:p>
  </w:footnote>
  <w:footnote w:id="10">
    <w:p w:rsidR="00514676" w:rsidRDefault="00B37D5B" w:rsidP="00B37D5B">
      <w:pPr>
        <w:pStyle w:val="FootnoteText"/>
        <w:jc w:val="both"/>
      </w:pPr>
      <w:r>
        <w:tab/>
      </w:r>
      <w:r w:rsidR="00514676">
        <w:rPr>
          <w:rStyle w:val="FootnoteReference"/>
        </w:rPr>
        <w:footnoteRef/>
      </w:r>
      <w:r>
        <w:tab/>
      </w:r>
      <w:r w:rsidR="00514676">
        <w:t>El autor se refiere a la sentencia de la Corte Constitucional SU 198/13.</w:t>
      </w:r>
    </w:p>
  </w:footnote>
  <w:footnote w:id="11">
    <w:p w:rsidR="00514676" w:rsidRDefault="00B37D5B" w:rsidP="00B37D5B">
      <w:pPr>
        <w:pStyle w:val="FootnoteText"/>
        <w:jc w:val="both"/>
      </w:pPr>
      <w:r>
        <w:tab/>
      </w:r>
      <w:r w:rsidR="00514676">
        <w:rPr>
          <w:rStyle w:val="FootnoteReference"/>
        </w:rPr>
        <w:footnoteRef/>
      </w:r>
      <w:r>
        <w:tab/>
      </w:r>
      <w:r w:rsidR="00514676">
        <w:t>El autor se refiere al dictamen del Comité con relación a la com</w:t>
      </w:r>
      <w:r w:rsidR="00625CAC">
        <w:t xml:space="preserve">unicación </w:t>
      </w:r>
      <w:r w:rsidR="00625CAC" w:rsidRPr="003B18FB">
        <w:rPr>
          <w:i/>
        </w:rPr>
        <w:t xml:space="preserve">Olivero </w:t>
      </w:r>
      <w:proofErr w:type="spellStart"/>
      <w:r w:rsidR="00625CAC" w:rsidRPr="003B18FB">
        <w:rPr>
          <w:i/>
        </w:rPr>
        <w:t>Capellades</w:t>
      </w:r>
      <w:proofErr w:type="spellEnd"/>
      <w:r w:rsidR="00625CAC">
        <w:t xml:space="preserve"> c. </w:t>
      </w:r>
      <w:r w:rsidR="00514676" w:rsidRPr="003B18FB">
        <w:rPr>
          <w:i/>
        </w:rPr>
        <w:t>España</w:t>
      </w:r>
      <w:r w:rsidR="00514676">
        <w:t xml:space="preserve">, (CCPR/C/87/D/1211/2003), párr. 7. </w:t>
      </w:r>
    </w:p>
  </w:footnote>
  <w:footnote w:id="12">
    <w:p w:rsidR="00DD57CB" w:rsidRPr="00040869" w:rsidRDefault="00B37D5B" w:rsidP="00B37D5B">
      <w:pPr>
        <w:pStyle w:val="FootnoteText"/>
        <w:jc w:val="both"/>
      </w:pPr>
      <w:r>
        <w:tab/>
      </w:r>
      <w:r w:rsidR="00DD57CB">
        <w:rPr>
          <w:rStyle w:val="FootnoteReference"/>
        </w:rPr>
        <w:footnoteRef/>
      </w:r>
      <w:r>
        <w:tab/>
      </w:r>
      <w:r w:rsidR="00DD57CB" w:rsidRPr="00040869">
        <w:t>Corte Constitucional, sentencias C-650-2001 y C-254A de 2012</w:t>
      </w:r>
      <w:r w:rsidR="00DD57CB">
        <w:t>.</w:t>
      </w:r>
    </w:p>
  </w:footnote>
  <w:footnote w:id="13">
    <w:p w:rsidR="00841958" w:rsidRPr="00841958" w:rsidRDefault="00B37D5B" w:rsidP="00B37D5B">
      <w:pPr>
        <w:pStyle w:val="FootnoteText"/>
        <w:jc w:val="both"/>
      </w:pPr>
      <w:r>
        <w:tab/>
      </w:r>
      <w:r w:rsidR="00841958">
        <w:rPr>
          <w:rStyle w:val="FootnoteReference"/>
        </w:rPr>
        <w:footnoteRef/>
      </w:r>
      <w:r>
        <w:tab/>
      </w:r>
      <w:proofErr w:type="spellStart"/>
      <w:r w:rsidR="00841958" w:rsidRPr="003B18FB">
        <w:rPr>
          <w:i/>
        </w:rPr>
        <w:t>Gomariz</w:t>
      </w:r>
      <w:proofErr w:type="spellEnd"/>
      <w:r w:rsidR="00841958" w:rsidRPr="00841958">
        <w:t xml:space="preserve"> c. </w:t>
      </w:r>
      <w:r w:rsidR="00841958" w:rsidRPr="003B18FB">
        <w:rPr>
          <w:i/>
        </w:rPr>
        <w:t>España</w:t>
      </w:r>
      <w:r w:rsidR="00841958" w:rsidRPr="00841958">
        <w:t>, (</w:t>
      </w:r>
      <w:r w:rsidR="00841958" w:rsidRPr="00841958">
        <w:rPr>
          <w:bCs/>
          <w:color w:val="000000"/>
          <w:shd w:val="clear" w:color="auto" w:fill="FFFFFF"/>
        </w:rPr>
        <w:t>CCPR/C/84/D/1095/2002).</w:t>
      </w:r>
    </w:p>
  </w:footnote>
  <w:footnote w:id="14">
    <w:p w:rsidR="00EC0E9F" w:rsidRPr="00EC0E9F" w:rsidRDefault="00B37D5B" w:rsidP="00B37D5B">
      <w:pPr>
        <w:pStyle w:val="FootnoteText"/>
        <w:jc w:val="both"/>
      </w:pPr>
      <w:r>
        <w:tab/>
      </w:r>
      <w:r w:rsidR="00EC0E9F">
        <w:rPr>
          <w:rStyle w:val="FootnoteReference"/>
        </w:rPr>
        <w:footnoteRef/>
      </w:r>
      <w:r>
        <w:tab/>
      </w:r>
      <w:r w:rsidR="00EC0E9F" w:rsidRPr="00C41D41">
        <w:rPr>
          <w:i/>
        </w:rPr>
        <w:t>Véase Henao</w:t>
      </w:r>
      <w:r w:rsidR="00EC0E9F" w:rsidRPr="00EC0E9F">
        <w:t xml:space="preserve"> et al c. </w:t>
      </w:r>
      <w:r w:rsidR="00EC0E9F" w:rsidRPr="00C41D41">
        <w:rPr>
          <w:i/>
        </w:rPr>
        <w:t>Colombia</w:t>
      </w:r>
      <w:r w:rsidR="00EC0E9F" w:rsidRPr="00EC0E9F">
        <w:t>, (</w:t>
      </w:r>
      <w:r w:rsidR="00A27E6D">
        <w:t>CCPR/C/</w:t>
      </w:r>
      <w:r w:rsidR="00EC0E9F">
        <w:t>119/2121/2011), párr. 8.3</w:t>
      </w:r>
      <w:r w:rsidR="009B36B3">
        <w:t>.</w:t>
      </w:r>
    </w:p>
  </w:footnote>
  <w:footnote w:id="15">
    <w:p w:rsidR="00FE2F26" w:rsidRPr="00D73BB3" w:rsidRDefault="00B37D5B" w:rsidP="00B37D5B">
      <w:pPr>
        <w:pStyle w:val="FootnoteText"/>
        <w:jc w:val="both"/>
      </w:pPr>
      <w:r>
        <w:tab/>
      </w:r>
      <w:r w:rsidR="00FE2F26" w:rsidRPr="00B031A3">
        <w:rPr>
          <w:rStyle w:val="FootnoteReference"/>
        </w:rPr>
        <w:footnoteRef/>
      </w:r>
      <w:r>
        <w:tab/>
      </w:r>
      <w:r w:rsidR="00FE2F26" w:rsidRPr="00D73BB3">
        <w:t>Regla aplicable a las comunicaciones recibidas por el Comité a partir del 1º de enero de 2012.</w:t>
      </w:r>
    </w:p>
  </w:footnote>
  <w:footnote w:id="16">
    <w:p w:rsidR="00070D33" w:rsidRPr="00F14952" w:rsidRDefault="00B37D5B" w:rsidP="007A766E">
      <w:pPr>
        <w:pStyle w:val="FootnoteText"/>
        <w:jc w:val="both"/>
      </w:pPr>
      <w:r w:rsidRPr="00DA58AC">
        <w:tab/>
      </w:r>
      <w:r w:rsidR="00070D33" w:rsidRPr="00F14952">
        <w:rPr>
          <w:rStyle w:val="FootnoteReference"/>
        </w:rPr>
        <w:footnoteRef/>
      </w:r>
      <w:r>
        <w:rPr>
          <w:lang w:val="fr-FR"/>
        </w:rPr>
        <w:tab/>
      </w:r>
      <w:proofErr w:type="spellStart"/>
      <w:r w:rsidR="00B43F7B" w:rsidRPr="00DA58AC">
        <w:rPr>
          <w:i/>
          <w:lang w:val="fr-FR"/>
        </w:rPr>
        <w:t>Véanse</w:t>
      </w:r>
      <w:proofErr w:type="spellEnd"/>
      <w:r w:rsidR="007A766E">
        <w:rPr>
          <w:lang w:val="fr-FR"/>
        </w:rPr>
        <w:t> </w:t>
      </w:r>
      <w:proofErr w:type="spellStart"/>
      <w:r w:rsidR="009B36B3" w:rsidRPr="00DA58AC">
        <w:rPr>
          <w:i/>
          <w:lang w:val="fr-FR"/>
        </w:rPr>
        <w:t>Jusinskas</w:t>
      </w:r>
      <w:proofErr w:type="spellEnd"/>
      <w:r w:rsidR="009B36B3" w:rsidRPr="00DA58AC">
        <w:rPr>
          <w:i/>
          <w:lang w:val="fr-FR"/>
        </w:rPr>
        <w:t xml:space="preserve"> </w:t>
      </w:r>
      <w:r w:rsidR="009B36B3" w:rsidRPr="00DA58AC">
        <w:rPr>
          <w:lang w:val="fr-FR"/>
        </w:rPr>
        <w:t>c.</w:t>
      </w:r>
      <w:r w:rsidR="007A766E">
        <w:rPr>
          <w:i/>
          <w:lang w:val="fr-FR"/>
        </w:rPr>
        <w:t> </w:t>
      </w:r>
      <w:proofErr w:type="spellStart"/>
      <w:r w:rsidR="00070D33" w:rsidRPr="00DA58AC">
        <w:rPr>
          <w:i/>
          <w:lang w:val="fr-FR"/>
        </w:rPr>
        <w:t>Lituania</w:t>
      </w:r>
      <w:proofErr w:type="spellEnd"/>
      <w:r w:rsidR="00070D33" w:rsidRPr="00DA58AC">
        <w:rPr>
          <w:lang w:val="fr-FR"/>
        </w:rPr>
        <w:t xml:space="preserve"> (CCPR/C/109/D/2014/2010), </w:t>
      </w:r>
      <w:proofErr w:type="spellStart"/>
      <w:r w:rsidR="00070D33" w:rsidRPr="00DA58AC">
        <w:rPr>
          <w:lang w:val="fr-FR"/>
        </w:rPr>
        <w:t>párr</w:t>
      </w:r>
      <w:proofErr w:type="spellEnd"/>
      <w:r w:rsidR="00070D33" w:rsidRPr="00DA58AC">
        <w:rPr>
          <w:lang w:val="fr-FR"/>
        </w:rPr>
        <w:t xml:space="preserve">. </w:t>
      </w:r>
      <w:r w:rsidR="00070D33" w:rsidRPr="00DA58AC">
        <w:t xml:space="preserve">7.6; </w:t>
      </w:r>
      <w:r w:rsidR="00070D33" w:rsidRPr="00DA58AC">
        <w:rPr>
          <w:i/>
        </w:rPr>
        <w:t>A.</w:t>
      </w:r>
      <w:r w:rsidR="00B43F7B" w:rsidRPr="00DA58AC">
        <w:rPr>
          <w:i/>
        </w:rPr>
        <w:t xml:space="preserve"> P. </w:t>
      </w:r>
      <w:r w:rsidR="00B43F7B" w:rsidRPr="00DA58AC">
        <w:t>c.</w:t>
      </w:r>
      <w:r w:rsidR="00B43F7B" w:rsidRPr="00DA58AC">
        <w:rPr>
          <w:i/>
        </w:rPr>
        <w:t> </w:t>
      </w:r>
      <w:r w:rsidR="00070D33" w:rsidRPr="00DA58AC">
        <w:rPr>
          <w:i/>
        </w:rPr>
        <w:t>Ucrania</w:t>
      </w:r>
      <w:r w:rsidR="00070D33" w:rsidRPr="00DA58AC">
        <w:t xml:space="preserve">, (CCPR/C/105/D/1834/2008), párr. 8.5, y </w:t>
      </w:r>
      <w:proofErr w:type="spellStart"/>
      <w:r w:rsidR="00070D33" w:rsidRPr="00DA58AC">
        <w:rPr>
          <w:i/>
        </w:rPr>
        <w:t>Peirano</w:t>
      </w:r>
      <w:proofErr w:type="spellEnd"/>
      <w:r w:rsidR="00070D33" w:rsidRPr="00DA58AC">
        <w:rPr>
          <w:i/>
        </w:rPr>
        <w:t xml:space="preserve"> Basso </w:t>
      </w:r>
      <w:r w:rsidR="00070D33" w:rsidRPr="00DA58AC">
        <w:t>c.</w:t>
      </w:r>
      <w:r w:rsidR="00B43F7B" w:rsidRPr="00DA58AC">
        <w:rPr>
          <w:i/>
        </w:rPr>
        <w:t> </w:t>
      </w:r>
      <w:r w:rsidR="00070D33" w:rsidRPr="00DA58AC">
        <w:rPr>
          <w:i/>
        </w:rPr>
        <w:t>el Uruguay</w:t>
      </w:r>
      <w:r w:rsidR="00070D33" w:rsidRPr="00DA58AC">
        <w:t>, (CCPR/C/100/D/1887/2009), párr. 9.4.</w:t>
      </w:r>
    </w:p>
  </w:footnote>
  <w:footnote w:id="17">
    <w:p w:rsidR="007C76D3" w:rsidRPr="00F2659F" w:rsidRDefault="00B37D5B" w:rsidP="00B37D5B">
      <w:pPr>
        <w:pStyle w:val="FootnoteText"/>
        <w:widowControl w:val="0"/>
        <w:tabs>
          <w:tab w:val="clear" w:pos="1021"/>
          <w:tab w:val="right" w:pos="1020"/>
        </w:tabs>
        <w:suppressAutoHyphens/>
        <w:jc w:val="both"/>
      </w:pPr>
      <w:r>
        <w:tab/>
      </w:r>
      <w:r w:rsidR="007C76D3">
        <w:rPr>
          <w:rStyle w:val="FootnoteReference"/>
        </w:rPr>
        <w:footnoteRef/>
      </w:r>
      <w:r>
        <w:tab/>
      </w:r>
      <w:r w:rsidR="00332AA5" w:rsidRPr="00C41D41">
        <w:rPr>
          <w:i/>
        </w:rPr>
        <w:t>Véase Henao</w:t>
      </w:r>
      <w:r w:rsidR="00332AA5">
        <w:t xml:space="preserve"> et al c. </w:t>
      </w:r>
      <w:r w:rsidR="00C3145E" w:rsidRPr="00C41D41">
        <w:rPr>
          <w:i/>
        </w:rPr>
        <w:t>Colombia</w:t>
      </w:r>
      <w:r w:rsidR="00C3145E">
        <w:t xml:space="preserve"> (</w:t>
      </w:r>
      <w:r w:rsidR="00332AA5">
        <w:t xml:space="preserve">CCPR/C/119/D/2121/2011), </w:t>
      </w:r>
      <w:r w:rsidR="00332AA5">
        <w:rPr>
          <w:szCs w:val="18"/>
        </w:rPr>
        <w:t>párr. 8.5</w:t>
      </w:r>
      <w:r w:rsidR="007C76D3" w:rsidRPr="00C12822">
        <w:rPr>
          <w:szCs w:val="18"/>
        </w:rPr>
        <w:t>.</w:t>
      </w:r>
    </w:p>
  </w:footnote>
  <w:footnote w:id="18">
    <w:p w:rsidR="007C76D3" w:rsidRPr="00F42DFC" w:rsidRDefault="00B37D5B" w:rsidP="00B37D5B">
      <w:pPr>
        <w:pStyle w:val="FootnoteText"/>
        <w:widowControl w:val="0"/>
        <w:tabs>
          <w:tab w:val="clear" w:pos="1021"/>
          <w:tab w:val="right" w:pos="1020"/>
        </w:tabs>
        <w:suppressAutoHyphens/>
        <w:jc w:val="both"/>
      </w:pPr>
      <w:r>
        <w:rPr>
          <w:szCs w:val="18"/>
          <w:lang w:val="es-ES_tradnl"/>
        </w:rPr>
        <w:tab/>
      </w:r>
      <w:r w:rsidR="007C76D3">
        <w:rPr>
          <w:rStyle w:val="FootnoteReference"/>
        </w:rPr>
        <w:footnoteRef/>
      </w:r>
      <w:r>
        <w:rPr>
          <w:szCs w:val="18"/>
          <w:lang w:val="es-ES_tradnl"/>
        </w:rPr>
        <w:tab/>
      </w:r>
      <w:r w:rsidR="007C76D3" w:rsidRPr="00C12822">
        <w:rPr>
          <w:szCs w:val="18"/>
          <w:lang w:val="es-ES_tradnl"/>
        </w:rPr>
        <w:t>Véase la observación general n° 32 del Comité relativa al artículo 14: el derecho a un juicio imparcial y a la igualdad ante los tribunales y cortes de justicia</w:t>
      </w:r>
      <w:r w:rsidR="007C76D3" w:rsidRPr="00E113E0">
        <w:rPr>
          <w:lang w:val="es-ES_tradnl"/>
        </w:rPr>
        <w:t xml:space="preserve"> (</w:t>
      </w:r>
      <w:r w:rsidR="007C76D3" w:rsidRPr="00E113E0">
        <w:rPr>
          <w:i/>
          <w:lang w:val="es-ES_tradnl"/>
        </w:rPr>
        <w:t>Documentos Oficiales de la Asamblea General, Sexagésimo segundo período de sesiones, Suplemento N.º 40</w:t>
      </w:r>
      <w:r w:rsidR="007C76D3" w:rsidRPr="00E113E0">
        <w:rPr>
          <w:lang w:val="es-ES_tradnl"/>
        </w:rPr>
        <w:t xml:space="preserve">, vol. I [A/62/40 </w:t>
      </w:r>
      <w:r w:rsidR="007C76D3" w:rsidRPr="000F2ED3">
        <w:rPr>
          <w:lang w:val="es-ES_tradnl"/>
        </w:rPr>
        <w:t>(</w:t>
      </w:r>
      <w:proofErr w:type="spellStart"/>
      <w:r w:rsidR="007C76D3" w:rsidRPr="000F2ED3">
        <w:rPr>
          <w:lang w:val="es-ES_tradnl"/>
        </w:rPr>
        <w:t>Vol.I</w:t>
      </w:r>
      <w:proofErr w:type="spellEnd"/>
      <w:r w:rsidR="007C76D3" w:rsidRPr="000F2ED3">
        <w:rPr>
          <w:lang w:val="es-ES_tradnl"/>
        </w:rPr>
        <w:t xml:space="preserve">)], anexo VI), párr. 26. </w:t>
      </w:r>
      <w:r w:rsidR="007C76D3" w:rsidRPr="000F2ED3">
        <w:t xml:space="preserve">Véase igualmente, </w:t>
      </w:r>
      <w:r w:rsidR="007C76D3" w:rsidRPr="000F2ED3">
        <w:rPr>
          <w:i/>
        </w:rPr>
        <w:t>Manzano c. Colombia</w:t>
      </w:r>
      <w:r w:rsidR="007C76D3" w:rsidRPr="000F2ED3">
        <w:t xml:space="preserve">, </w:t>
      </w:r>
      <w:r w:rsidR="00BB41BB" w:rsidRPr="000F2ED3">
        <w:t>(CCPR/C/119/D/2121/2011)</w:t>
      </w:r>
      <w:r w:rsidR="007C76D3" w:rsidRPr="000F2ED3">
        <w:t xml:space="preserve">, </w:t>
      </w:r>
      <w:r w:rsidR="00BB41BB" w:rsidRPr="000F2ED3">
        <w:t>párr.</w:t>
      </w:r>
      <w:r w:rsidR="007C76D3" w:rsidRPr="000F2ED3">
        <w:t xml:space="preserve"> </w:t>
      </w:r>
      <w:r w:rsidR="00B322C1" w:rsidRPr="000F2ED3">
        <w:t>8.5</w:t>
      </w:r>
      <w:r w:rsidR="0006404D">
        <w:t>.</w:t>
      </w:r>
    </w:p>
  </w:footnote>
  <w:footnote w:id="19">
    <w:p w:rsidR="005263EA" w:rsidRPr="000444BE" w:rsidRDefault="00B37D5B" w:rsidP="00DA58AC">
      <w:pPr>
        <w:pStyle w:val="FootnoteText"/>
        <w:tabs>
          <w:tab w:val="clear" w:pos="1021"/>
          <w:tab w:val="right" w:pos="1020"/>
        </w:tabs>
      </w:pPr>
      <w:r>
        <w:rPr>
          <w:szCs w:val="18"/>
        </w:rPr>
        <w:tab/>
      </w:r>
      <w:r w:rsidR="005263EA" w:rsidRPr="000444BE">
        <w:rPr>
          <w:rStyle w:val="FootnoteReference"/>
        </w:rPr>
        <w:footnoteRef/>
      </w:r>
      <w:r w:rsidRPr="00DA58AC">
        <w:rPr>
          <w:vertAlign w:val="superscript"/>
        </w:rPr>
        <w:tab/>
      </w:r>
      <w:r w:rsidR="004F6B0A" w:rsidRPr="00DA58AC">
        <w:t>Manzano c. </w:t>
      </w:r>
      <w:r w:rsidR="000F2ED3" w:rsidRPr="00DA58AC">
        <w:t>Colombia</w:t>
      </w:r>
      <w:r w:rsidR="00BB41BB" w:rsidRPr="001A4EC2">
        <w:t>, párr.</w:t>
      </w:r>
      <w:r w:rsidR="005263EA" w:rsidRPr="000444BE">
        <w:t xml:space="preserve"> 6.4. </w:t>
      </w:r>
    </w:p>
  </w:footnote>
  <w:footnote w:id="20">
    <w:p w:rsidR="00952F4D" w:rsidRPr="000444BE" w:rsidRDefault="00B37D5B" w:rsidP="00DA58AC">
      <w:pPr>
        <w:pStyle w:val="FootnoteText"/>
      </w:pPr>
      <w:r>
        <w:tab/>
      </w:r>
      <w:r w:rsidR="00952F4D" w:rsidRPr="000444BE">
        <w:rPr>
          <w:rStyle w:val="FootnoteReference"/>
        </w:rPr>
        <w:footnoteRef/>
      </w:r>
      <w:r w:rsidRPr="000444BE">
        <w:tab/>
      </w:r>
      <w:r w:rsidR="00D649D7" w:rsidRPr="00DA58AC">
        <w:t>Véase </w:t>
      </w:r>
      <w:proofErr w:type="spellStart"/>
      <w:r w:rsidR="00952F4D" w:rsidRPr="00DA58AC">
        <w:t>Terron</w:t>
      </w:r>
      <w:proofErr w:type="spellEnd"/>
      <w:r w:rsidR="008E5AE2" w:rsidRPr="000444BE">
        <w:t xml:space="preserve"> c. </w:t>
      </w:r>
      <w:r w:rsidR="00952F4D" w:rsidRPr="00DA58AC">
        <w:t>España</w:t>
      </w:r>
      <w:r w:rsidR="00952F4D" w:rsidRPr="000444BE">
        <w:t xml:space="preserve"> (CCPR/C/82/D/1073/2002), párr. 7.4. </w:t>
      </w:r>
      <w:r w:rsidR="00B25F3F" w:rsidRPr="000444BE">
        <w:t>Véase</w:t>
      </w:r>
      <w:r w:rsidR="00AB373C" w:rsidRPr="000444BE">
        <w:t xml:space="preserve"> también observación general </w:t>
      </w:r>
      <w:r w:rsidR="00AB373C" w:rsidRPr="001A4EC2">
        <w:rPr>
          <w:rFonts w:eastAsia="MS Mincho"/>
        </w:rPr>
        <w:t>n</w:t>
      </w:r>
      <w:r w:rsidR="00AB373C" w:rsidRPr="00DA58AC">
        <w:rPr>
          <w:rFonts w:eastAsia="MS Mincho"/>
        </w:rPr>
        <w:t>o</w:t>
      </w:r>
      <w:r w:rsidR="00AB373C" w:rsidRPr="000444BE">
        <w:t> </w:t>
      </w:r>
      <w:r w:rsidR="00952F4D" w:rsidRPr="000444BE">
        <w:t>32, párr.</w:t>
      </w:r>
      <w:r w:rsidR="00F2051A" w:rsidRPr="000444BE">
        <w:t xml:space="preserve"> 45-47.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85" w:rsidRPr="00917FB1" w:rsidRDefault="00216274">
    <w:pPr>
      <w:pStyle w:val="Header"/>
    </w:pPr>
    <w:r w:rsidRPr="00512762">
      <w:t xml:space="preserve">Edición avanzada sin editar </w:t>
    </w:r>
    <w:r w:rsidR="00FE6085">
      <w:t>CCPR/C/123/D/2414/2014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85" w:rsidRPr="00917FB1" w:rsidRDefault="00216274" w:rsidP="00917FB1">
    <w:pPr>
      <w:pStyle w:val="Header"/>
      <w:jc w:val="right"/>
    </w:pPr>
    <w:r w:rsidRPr="00512762">
      <w:t xml:space="preserve">Edición avanzada sin editar </w:t>
    </w:r>
    <w:r w:rsidR="00FE6085">
      <w:t>CCPR/C/123/D/2414/2014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FA6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C980BCA"/>
    <w:multiLevelType w:val="hybridMultilevel"/>
    <w:tmpl w:val="58EA5F00"/>
    <w:lvl w:ilvl="0" w:tplc="3D68119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E8E4080"/>
    <w:multiLevelType w:val="multilevel"/>
    <w:tmpl w:val="4B323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704EF"/>
    <w:multiLevelType w:val="multilevel"/>
    <w:tmpl w:val="0B18158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18"/>
  </w:num>
  <w:num w:numId="4">
    <w:abstractNumId w:val="17"/>
  </w:num>
  <w:num w:numId="5">
    <w:abstractNumId w:val="1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14"/>
  </w:num>
  <w:num w:numId="17">
    <w:abstractNumId w:val="0"/>
  </w:num>
  <w:num w:numId="18">
    <w:abstractNumId w:val="1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7A"/>
    <w:rsid w:val="00001A05"/>
    <w:rsid w:val="00002E81"/>
    <w:rsid w:val="00003BF0"/>
    <w:rsid w:val="00004D18"/>
    <w:rsid w:val="000064F3"/>
    <w:rsid w:val="00006BB9"/>
    <w:rsid w:val="00006C05"/>
    <w:rsid w:val="00007906"/>
    <w:rsid w:val="0000793C"/>
    <w:rsid w:val="00007D56"/>
    <w:rsid w:val="0001020D"/>
    <w:rsid w:val="00011DD7"/>
    <w:rsid w:val="00012AAD"/>
    <w:rsid w:val="00014E9A"/>
    <w:rsid w:val="0001514F"/>
    <w:rsid w:val="0001528F"/>
    <w:rsid w:val="00015A2C"/>
    <w:rsid w:val="00016099"/>
    <w:rsid w:val="00017770"/>
    <w:rsid w:val="00017884"/>
    <w:rsid w:val="000232F5"/>
    <w:rsid w:val="000236F2"/>
    <w:rsid w:val="00023C31"/>
    <w:rsid w:val="000247CF"/>
    <w:rsid w:val="00026857"/>
    <w:rsid w:val="00026F94"/>
    <w:rsid w:val="00030182"/>
    <w:rsid w:val="0003024D"/>
    <w:rsid w:val="00032CA9"/>
    <w:rsid w:val="00032D25"/>
    <w:rsid w:val="000340E0"/>
    <w:rsid w:val="000363B7"/>
    <w:rsid w:val="00036636"/>
    <w:rsid w:val="00037849"/>
    <w:rsid w:val="00040869"/>
    <w:rsid w:val="000408C8"/>
    <w:rsid w:val="000444BE"/>
    <w:rsid w:val="00044B0F"/>
    <w:rsid w:val="000457F6"/>
    <w:rsid w:val="00045F59"/>
    <w:rsid w:val="00047331"/>
    <w:rsid w:val="00047DCB"/>
    <w:rsid w:val="0005126B"/>
    <w:rsid w:val="0005274F"/>
    <w:rsid w:val="00053466"/>
    <w:rsid w:val="000538D0"/>
    <w:rsid w:val="00053CC3"/>
    <w:rsid w:val="00054758"/>
    <w:rsid w:val="00056E46"/>
    <w:rsid w:val="000618AF"/>
    <w:rsid w:val="00063D3C"/>
    <w:rsid w:val="0006404D"/>
    <w:rsid w:val="0006597C"/>
    <w:rsid w:val="00066F0E"/>
    <w:rsid w:val="00070238"/>
    <w:rsid w:val="00070D33"/>
    <w:rsid w:val="000725A7"/>
    <w:rsid w:val="000730CC"/>
    <w:rsid w:val="0007406E"/>
    <w:rsid w:val="000740CD"/>
    <w:rsid w:val="00074535"/>
    <w:rsid w:val="000747D6"/>
    <w:rsid w:val="00075A2E"/>
    <w:rsid w:val="00075FEE"/>
    <w:rsid w:val="00076735"/>
    <w:rsid w:val="00076B6B"/>
    <w:rsid w:val="00076C68"/>
    <w:rsid w:val="00077DE1"/>
    <w:rsid w:val="00080C4D"/>
    <w:rsid w:val="000811A5"/>
    <w:rsid w:val="0008121E"/>
    <w:rsid w:val="00082A7A"/>
    <w:rsid w:val="00082B3A"/>
    <w:rsid w:val="00082F5C"/>
    <w:rsid w:val="00083759"/>
    <w:rsid w:val="00084C74"/>
    <w:rsid w:val="00084CE7"/>
    <w:rsid w:val="00086E2A"/>
    <w:rsid w:val="00087C45"/>
    <w:rsid w:val="00087D80"/>
    <w:rsid w:val="00090163"/>
    <w:rsid w:val="00091131"/>
    <w:rsid w:val="00091B14"/>
    <w:rsid w:val="00092765"/>
    <w:rsid w:val="000934D4"/>
    <w:rsid w:val="000941F9"/>
    <w:rsid w:val="00096195"/>
    <w:rsid w:val="000961D6"/>
    <w:rsid w:val="00097E4C"/>
    <w:rsid w:val="000A0249"/>
    <w:rsid w:val="000A2F45"/>
    <w:rsid w:val="000A3522"/>
    <w:rsid w:val="000A36A2"/>
    <w:rsid w:val="000A3B2A"/>
    <w:rsid w:val="000A4232"/>
    <w:rsid w:val="000A487F"/>
    <w:rsid w:val="000A6117"/>
    <w:rsid w:val="000A6436"/>
    <w:rsid w:val="000B0413"/>
    <w:rsid w:val="000B0DE2"/>
    <w:rsid w:val="000B11AB"/>
    <w:rsid w:val="000B1E6D"/>
    <w:rsid w:val="000B2878"/>
    <w:rsid w:val="000B2C20"/>
    <w:rsid w:val="000B42D8"/>
    <w:rsid w:val="000B4E0B"/>
    <w:rsid w:val="000B57E7"/>
    <w:rsid w:val="000B591B"/>
    <w:rsid w:val="000B5E08"/>
    <w:rsid w:val="000B63CC"/>
    <w:rsid w:val="000B65C3"/>
    <w:rsid w:val="000B6A5D"/>
    <w:rsid w:val="000B7DEB"/>
    <w:rsid w:val="000C0C79"/>
    <w:rsid w:val="000C0D40"/>
    <w:rsid w:val="000C0D62"/>
    <w:rsid w:val="000C13F4"/>
    <w:rsid w:val="000C275F"/>
    <w:rsid w:val="000C2C71"/>
    <w:rsid w:val="000C2E9B"/>
    <w:rsid w:val="000C41A5"/>
    <w:rsid w:val="000C4237"/>
    <w:rsid w:val="000C4B73"/>
    <w:rsid w:val="000C56ED"/>
    <w:rsid w:val="000C58BB"/>
    <w:rsid w:val="000C71C9"/>
    <w:rsid w:val="000D007C"/>
    <w:rsid w:val="000D0F15"/>
    <w:rsid w:val="000D2405"/>
    <w:rsid w:val="000D2C50"/>
    <w:rsid w:val="000D59C8"/>
    <w:rsid w:val="000E0AEF"/>
    <w:rsid w:val="000E289F"/>
    <w:rsid w:val="000E2996"/>
    <w:rsid w:val="000E2B02"/>
    <w:rsid w:val="000E2C09"/>
    <w:rsid w:val="000E2EC4"/>
    <w:rsid w:val="000E3705"/>
    <w:rsid w:val="000E5860"/>
    <w:rsid w:val="000E5DD0"/>
    <w:rsid w:val="000E5EA0"/>
    <w:rsid w:val="000E5F19"/>
    <w:rsid w:val="000E600E"/>
    <w:rsid w:val="000E604F"/>
    <w:rsid w:val="000E6D0E"/>
    <w:rsid w:val="000F095F"/>
    <w:rsid w:val="000F09DF"/>
    <w:rsid w:val="000F103A"/>
    <w:rsid w:val="000F109E"/>
    <w:rsid w:val="000F1DEF"/>
    <w:rsid w:val="000F25CA"/>
    <w:rsid w:val="000F2ED3"/>
    <w:rsid w:val="000F446F"/>
    <w:rsid w:val="000F457A"/>
    <w:rsid w:val="000F4806"/>
    <w:rsid w:val="000F4F5A"/>
    <w:rsid w:val="000F57CE"/>
    <w:rsid w:val="000F5A5A"/>
    <w:rsid w:val="000F61B2"/>
    <w:rsid w:val="000F6649"/>
    <w:rsid w:val="000F7D96"/>
    <w:rsid w:val="00100E00"/>
    <w:rsid w:val="00101AA2"/>
    <w:rsid w:val="001022F6"/>
    <w:rsid w:val="00102CA7"/>
    <w:rsid w:val="00103DE4"/>
    <w:rsid w:val="001040A7"/>
    <w:rsid w:val="00104533"/>
    <w:rsid w:val="00105829"/>
    <w:rsid w:val="00105CBC"/>
    <w:rsid w:val="001075E9"/>
    <w:rsid w:val="00107A80"/>
    <w:rsid w:val="00110ED9"/>
    <w:rsid w:val="00112775"/>
    <w:rsid w:val="0011365F"/>
    <w:rsid w:val="00113AFA"/>
    <w:rsid w:val="00114534"/>
    <w:rsid w:val="00116421"/>
    <w:rsid w:val="00117D54"/>
    <w:rsid w:val="001212BD"/>
    <w:rsid w:val="001213AD"/>
    <w:rsid w:val="00122446"/>
    <w:rsid w:val="00122CD5"/>
    <w:rsid w:val="00122D71"/>
    <w:rsid w:val="0012513C"/>
    <w:rsid w:val="0012533A"/>
    <w:rsid w:val="001253DB"/>
    <w:rsid w:val="00125D70"/>
    <w:rsid w:val="00126457"/>
    <w:rsid w:val="00127132"/>
    <w:rsid w:val="00127A4C"/>
    <w:rsid w:val="001306A6"/>
    <w:rsid w:val="001307CE"/>
    <w:rsid w:val="00130C1A"/>
    <w:rsid w:val="00130E56"/>
    <w:rsid w:val="00131831"/>
    <w:rsid w:val="00131C86"/>
    <w:rsid w:val="00133129"/>
    <w:rsid w:val="00133152"/>
    <w:rsid w:val="00133550"/>
    <w:rsid w:val="00133837"/>
    <w:rsid w:val="00133A71"/>
    <w:rsid w:val="0013411D"/>
    <w:rsid w:val="00134521"/>
    <w:rsid w:val="001347EF"/>
    <w:rsid w:val="00136AFC"/>
    <w:rsid w:val="00140905"/>
    <w:rsid w:val="001423C9"/>
    <w:rsid w:val="00143ED9"/>
    <w:rsid w:val="0014604E"/>
    <w:rsid w:val="00147064"/>
    <w:rsid w:val="0014786A"/>
    <w:rsid w:val="00150646"/>
    <w:rsid w:val="00152210"/>
    <w:rsid w:val="00153CB2"/>
    <w:rsid w:val="00153FBC"/>
    <w:rsid w:val="0015589D"/>
    <w:rsid w:val="001604A7"/>
    <w:rsid w:val="001605DC"/>
    <w:rsid w:val="00160CBC"/>
    <w:rsid w:val="00160D65"/>
    <w:rsid w:val="00160EE9"/>
    <w:rsid w:val="00160FF7"/>
    <w:rsid w:val="00161CF8"/>
    <w:rsid w:val="00162D02"/>
    <w:rsid w:val="00163531"/>
    <w:rsid w:val="00163BBF"/>
    <w:rsid w:val="001648CA"/>
    <w:rsid w:val="00164EA6"/>
    <w:rsid w:val="00165C76"/>
    <w:rsid w:val="00166594"/>
    <w:rsid w:val="00166B67"/>
    <w:rsid w:val="00166EDA"/>
    <w:rsid w:val="00170F07"/>
    <w:rsid w:val="001715FE"/>
    <w:rsid w:val="00171B87"/>
    <w:rsid w:val="00173EAD"/>
    <w:rsid w:val="00174A28"/>
    <w:rsid w:val="00175AA8"/>
    <w:rsid w:val="0017603F"/>
    <w:rsid w:val="00176D27"/>
    <w:rsid w:val="00180039"/>
    <w:rsid w:val="0018007A"/>
    <w:rsid w:val="00180183"/>
    <w:rsid w:val="001815A9"/>
    <w:rsid w:val="00182085"/>
    <w:rsid w:val="00183483"/>
    <w:rsid w:val="00184E33"/>
    <w:rsid w:val="00185442"/>
    <w:rsid w:val="0018599D"/>
    <w:rsid w:val="00187F5B"/>
    <w:rsid w:val="00190012"/>
    <w:rsid w:val="00190232"/>
    <w:rsid w:val="00191A42"/>
    <w:rsid w:val="00191C05"/>
    <w:rsid w:val="00192361"/>
    <w:rsid w:val="001941C0"/>
    <w:rsid w:val="00194A01"/>
    <w:rsid w:val="00194B44"/>
    <w:rsid w:val="00194E88"/>
    <w:rsid w:val="001959C0"/>
    <w:rsid w:val="00196389"/>
    <w:rsid w:val="0019718C"/>
    <w:rsid w:val="001A09B1"/>
    <w:rsid w:val="001A1763"/>
    <w:rsid w:val="001A1F00"/>
    <w:rsid w:val="001A2024"/>
    <w:rsid w:val="001A2BFE"/>
    <w:rsid w:val="001A409E"/>
    <w:rsid w:val="001A4B2B"/>
    <w:rsid w:val="001A4E78"/>
    <w:rsid w:val="001A4EC2"/>
    <w:rsid w:val="001A78A7"/>
    <w:rsid w:val="001B0A50"/>
    <w:rsid w:val="001B13E9"/>
    <w:rsid w:val="001B2476"/>
    <w:rsid w:val="001B3318"/>
    <w:rsid w:val="001B3515"/>
    <w:rsid w:val="001B3DC3"/>
    <w:rsid w:val="001B3FA0"/>
    <w:rsid w:val="001B69CC"/>
    <w:rsid w:val="001B70FE"/>
    <w:rsid w:val="001B7844"/>
    <w:rsid w:val="001B7F66"/>
    <w:rsid w:val="001C093C"/>
    <w:rsid w:val="001C1437"/>
    <w:rsid w:val="001C1D1D"/>
    <w:rsid w:val="001C32AD"/>
    <w:rsid w:val="001C32F3"/>
    <w:rsid w:val="001C424B"/>
    <w:rsid w:val="001C4625"/>
    <w:rsid w:val="001C4649"/>
    <w:rsid w:val="001C4ADD"/>
    <w:rsid w:val="001C55CA"/>
    <w:rsid w:val="001C6888"/>
    <w:rsid w:val="001C7A89"/>
    <w:rsid w:val="001D0515"/>
    <w:rsid w:val="001D353D"/>
    <w:rsid w:val="001D3903"/>
    <w:rsid w:val="001D5645"/>
    <w:rsid w:val="001D62CC"/>
    <w:rsid w:val="001D6583"/>
    <w:rsid w:val="001D6DAD"/>
    <w:rsid w:val="001D74F5"/>
    <w:rsid w:val="001E224A"/>
    <w:rsid w:val="001E4294"/>
    <w:rsid w:val="001E4B36"/>
    <w:rsid w:val="001E50EE"/>
    <w:rsid w:val="001E5468"/>
    <w:rsid w:val="001E65BB"/>
    <w:rsid w:val="001E7444"/>
    <w:rsid w:val="001E780F"/>
    <w:rsid w:val="001F01DF"/>
    <w:rsid w:val="001F1193"/>
    <w:rsid w:val="001F21AF"/>
    <w:rsid w:val="001F2744"/>
    <w:rsid w:val="001F34C4"/>
    <w:rsid w:val="001F3DF1"/>
    <w:rsid w:val="001F4826"/>
    <w:rsid w:val="001F50A3"/>
    <w:rsid w:val="001F5163"/>
    <w:rsid w:val="001F5408"/>
    <w:rsid w:val="001F65D7"/>
    <w:rsid w:val="001F7447"/>
    <w:rsid w:val="0020050D"/>
    <w:rsid w:val="002006D1"/>
    <w:rsid w:val="002022C7"/>
    <w:rsid w:val="00203BFD"/>
    <w:rsid w:val="00203C5A"/>
    <w:rsid w:val="002068C9"/>
    <w:rsid w:val="002105DB"/>
    <w:rsid w:val="00212DE7"/>
    <w:rsid w:val="002136B1"/>
    <w:rsid w:val="00213F21"/>
    <w:rsid w:val="0021420D"/>
    <w:rsid w:val="002158A7"/>
    <w:rsid w:val="00216274"/>
    <w:rsid w:val="002165E8"/>
    <w:rsid w:val="00217C4B"/>
    <w:rsid w:val="00220812"/>
    <w:rsid w:val="0022087C"/>
    <w:rsid w:val="0022309C"/>
    <w:rsid w:val="00223A16"/>
    <w:rsid w:val="002251AD"/>
    <w:rsid w:val="00227619"/>
    <w:rsid w:val="0022765D"/>
    <w:rsid w:val="002303C7"/>
    <w:rsid w:val="002305F2"/>
    <w:rsid w:val="00230841"/>
    <w:rsid w:val="00231F48"/>
    <w:rsid w:val="0023235B"/>
    <w:rsid w:val="002330BE"/>
    <w:rsid w:val="00233F51"/>
    <w:rsid w:val="00235398"/>
    <w:rsid w:val="00236767"/>
    <w:rsid w:val="0024009C"/>
    <w:rsid w:val="00242E10"/>
    <w:rsid w:val="00243781"/>
    <w:rsid w:val="00243DFE"/>
    <w:rsid w:val="0024442E"/>
    <w:rsid w:val="00244F26"/>
    <w:rsid w:val="00245100"/>
    <w:rsid w:val="0024581C"/>
    <w:rsid w:val="0024621C"/>
    <w:rsid w:val="00246826"/>
    <w:rsid w:val="00246C73"/>
    <w:rsid w:val="002470AF"/>
    <w:rsid w:val="00247F25"/>
    <w:rsid w:val="00252197"/>
    <w:rsid w:val="00254B64"/>
    <w:rsid w:val="0025504D"/>
    <w:rsid w:val="00255E87"/>
    <w:rsid w:val="00257268"/>
    <w:rsid w:val="002603E7"/>
    <w:rsid w:val="002606CA"/>
    <w:rsid w:val="002613F1"/>
    <w:rsid w:val="00262A9E"/>
    <w:rsid w:val="00262E0C"/>
    <w:rsid w:val="00262E17"/>
    <w:rsid w:val="00263678"/>
    <w:rsid w:val="0026469F"/>
    <w:rsid w:val="00266298"/>
    <w:rsid w:val="00266690"/>
    <w:rsid w:val="00271397"/>
    <w:rsid w:val="00271817"/>
    <w:rsid w:val="002718D8"/>
    <w:rsid w:val="00271BCB"/>
    <w:rsid w:val="00272591"/>
    <w:rsid w:val="00273208"/>
    <w:rsid w:val="00273B99"/>
    <w:rsid w:val="00273DB8"/>
    <w:rsid w:val="00274653"/>
    <w:rsid w:val="00274921"/>
    <w:rsid w:val="0027494C"/>
    <w:rsid w:val="002749B5"/>
    <w:rsid w:val="00275089"/>
    <w:rsid w:val="0027537B"/>
    <w:rsid w:val="00275FCB"/>
    <w:rsid w:val="0027614E"/>
    <w:rsid w:val="0027618E"/>
    <w:rsid w:val="0027690F"/>
    <w:rsid w:val="0027726D"/>
    <w:rsid w:val="00280DF9"/>
    <w:rsid w:val="002815FF"/>
    <w:rsid w:val="002817CB"/>
    <w:rsid w:val="00283CC6"/>
    <w:rsid w:val="0028446F"/>
    <w:rsid w:val="00284886"/>
    <w:rsid w:val="002860E9"/>
    <w:rsid w:val="00287C92"/>
    <w:rsid w:val="00291E1D"/>
    <w:rsid w:val="00292A54"/>
    <w:rsid w:val="002942AC"/>
    <w:rsid w:val="00294595"/>
    <w:rsid w:val="00294F87"/>
    <w:rsid w:val="00295CA9"/>
    <w:rsid w:val="0029614F"/>
    <w:rsid w:val="00296569"/>
    <w:rsid w:val="00297196"/>
    <w:rsid w:val="0029754D"/>
    <w:rsid w:val="00297929"/>
    <w:rsid w:val="002A061F"/>
    <w:rsid w:val="002A1646"/>
    <w:rsid w:val="002A1779"/>
    <w:rsid w:val="002A2C6B"/>
    <w:rsid w:val="002A2EFC"/>
    <w:rsid w:val="002A41AF"/>
    <w:rsid w:val="002A4830"/>
    <w:rsid w:val="002A59EE"/>
    <w:rsid w:val="002A6FA7"/>
    <w:rsid w:val="002A7B66"/>
    <w:rsid w:val="002B04E9"/>
    <w:rsid w:val="002B062D"/>
    <w:rsid w:val="002B0CC4"/>
    <w:rsid w:val="002B14A5"/>
    <w:rsid w:val="002B1764"/>
    <w:rsid w:val="002B1CCD"/>
    <w:rsid w:val="002B2568"/>
    <w:rsid w:val="002B296C"/>
    <w:rsid w:val="002B37CA"/>
    <w:rsid w:val="002B3E9A"/>
    <w:rsid w:val="002B4498"/>
    <w:rsid w:val="002B4503"/>
    <w:rsid w:val="002B4AC8"/>
    <w:rsid w:val="002B4D7B"/>
    <w:rsid w:val="002B51BC"/>
    <w:rsid w:val="002B53FB"/>
    <w:rsid w:val="002B5812"/>
    <w:rsid w:val="002B586A"/>
    <w:rsid w:val="002B670D"/>
    <w:rsid w:val="002B6868"/>
    <w:rsid w:val="002B6ED1"/>
    <w:rsid w:val="002B7DBF"/>
    <w:rsid w:val="002C0E18"/>
    <w:rsid w:val="002C1732"/>
    <w:rsid w:val="002C2394"/>
    <w:rsid w:val="002C2B49"/>
    <w:rsid w:val="002C31A1"/>
    <w:rsid w:val="002C33BB"/>
    <w:rsid w:val="002C3A80"/>
    <w:rsid w:val="002C3C17"/>
    <w:rsid w:val="002C3F03"/>
    <w:rsid w:val="002C43C5"/>
    <w:rsid w:val="002C5425"/>
    <w:rsid w:val="002C6F37"/>
    <w:rsid w:val="002C725D"/>
    <w:rsid w:val="002C79D9"/>
    <w:rsid w:val="002C7A03"/>
    <w:rsid w:val="002D112E"/>
    <w:rsid w:val="002D2935"/>
    <w:rsid w:val="002D32F9"/>
    <w:rsid w:val="002D3C20"/>
    <w:rsid w:val="002D5AAC"/>
    <w:rsid w:val="002D6114"/>
    <w:rsid w:val="002D71CB"/>
    <w:rsid w:val="002D78FC"/>
    <w:rsid w:val="002D7C8D"/>
    <w:rsid w:val="002D7E3D"/>
    <w:rsid w:val="002D7F0F"/>
    <w:rsid w:val="002E0547"/>
    <w:rsid w:val="002E071C"/>
    <w:rsid w:val="002E092A"/>
    <w:rsid w:val="002E0ACF"/>
    <w:rsid w:val="002E1E3C"/>
    <w:rsid w:val="002E1E60"/>
    <w:rsid w:val="002E242A"/>
    <w:rsid w:val="002E3F0E"/>
    <w:rsid w:val="002E4AA5"/>
    <w:rsid w:val="002E509F"/>
    <w:rsid w:val="002E57E9"/>
    <w:rsid w:val="002E57F9"/>
    <w:rsid w:val="002F0166"/>
    <w:rsid w:val="002F13FE"/>
    <w:rsid w:val="002F1BEA"/>
    <w:rsid w:val="002F2307"/>
    <w:rsid w:val="002F269D"/>
    <w:rsid w:val="002F34AD"/>
    <w:rsid w:val="002F3A70"/>
    <w:rsid w:val="002F5F9A"/>
    <w:rsid w:val="002F66D6"/>
    <w:rsid w:val="002F7276"/>
    <w:rsid w:val="002F7321"/>
    <w:rsid w:val="00300151"/>
    <w:rsid w:val="00300859"/>
    <w:rsid w:val="003011A0"/>
    <w:rsid w:val="00301299"/>
    <w:rsid w:val="00302D15"/>
    <w:rsid w:val="00303CCE"/>
    <w:rsid w:val="00304150"/>
    <w:rsid w:val="0030448F"/>
    <w:rsid w:val="00305CAD"/>
    <w:rsid w:val="00306899"/>
    <w:rsid w:val="0030712E"/>
    <w:rsid w:val="003072CF"/>
    <w:rsid w:val="003074D1"/>
    <w:rsid w:val="00311265"/>
    <w:rsid w:val="0031297D"/>
    <w:rsid w:val="00312BF6"/>
    <w:rsid w:val="00312C9F"/>
    <w:rsid w:val="003131FA"/>
    <w:rsid w:val="00313513"/>
    <w:rsid w:val="003135D6"/>
    <w:rsid w:val="00314E38"/>
    <w:rsid w:val="00315A2C"/>
    <w:rsid w:val="003163CC"/>
    <w:rsid w:val="00316519"/>
    <w:rsid w:val="00316580"/>
    <w:rsid w:val="003175E6"/>
    <w:rsid w:val="00317E5C"/>
    <w:rsid w:val="00320AD8"/>
    <w:rsid w:val="00322004"/>
    <w:rsid w:val="00322257"/>
    <w:rsid w:val="00322934"/>
    <w:rsid w:val="0032428C"/>
    <w:rsid w:val="00324FD8"/>
    <w:rsid w:val="0032576F"/>
    <w:rsid w:val="00325F19"/>
    <w:rsid w:val="00326207"/>
    <w:rsid w:val="00326484"/>
    <w:rsid w:val="003267F6"/>
    <w:rsid w:val="00327ECF"/>
    <w:rsid w:val="0033078A"/>
    <w:rsid w:val="003310D2"/>
    <w:rsid w:val="00332424"/>
    <w:rsid w:val="00332808"/>
    <w:rsid w:val="00332AA5"/>
    <w:rsid w:val="003334BC"/>
    <w:rsid w:val="0033358C"/>
    <w:rsid w:val="00335084"/>
    <w:rsid w:val="003354CC"/>
    <w:rsid w:val="00335BF3"/>
    <w:rsid w:val="0033654D"/>
    <w:rsid w:val="00336927"/>
    <w:rsid w:val="00337270"/>
    <w:rsid w:val="003402C2"/>
    <w:rsid w:val="00340AE0"/>
    <w:rsid w:val="003412FA"/>
    <w:rsid w:val="00341BA1"/>
    <w:rsid w:val="00341C44"/>
    <w:rsid w:val="00342037"/>
    <w:rsid w:val="003435C4"/>
    <w:rsid w:val="00343CB3"/>
    <w:rsid w:val="00344C7E"/>
    <w:rsid w:val="0034528C"/>
    <w:rsid w:val="003466AE"/>
    <w:rsid w:val="00346775"/>
    <w:rsid w:val="00346B4B"/>
    <w:rsid w:val="00351326"/>
    <w:rsid w:val="0035359B"/>
    <w:rsid w:val="00353DE3"/>
    <w:rsid w:val="00355667"/>
    <w:rsid w:val="0035621E"/>
    <w:rsid w:val="00356C0A"/>
    <w:rsid w:val="003572D0"/>
    <w:rsid w:val="00357A76"/>
    <w:rsid w:val="00357C0E"/>
    <w:rsid w:val="00357EE5"/>
    <w:rsid w:val="00361346"/>
    <w:rsid w:val="003619FE"/>
    <w:rsid w:val="00361FAB"/>
    <w:rsid w:val="00362C2A"/>
    <w:rsid w:val="003670AF"/>
    <w:rsid w:val="003705D8"/>
    <w:rsid w:val="00370B87"/>
    <w:rsid w:val="00371F25"/>
    <w:rsid w:val="003723DC"/>
    <w:rsid w:val="0037246D"/>
    <w:rsid w:val="00373468"/>
    <w:rsid w:val="0037348A"/>
    <w:rsid w:val="0037485E"/>
    <w:rsid w:val="003758FB"/>
    <w:rsid w:val="00376954"/>
    <w:rsid w:val="00377C81"/>
    <w:rsid w:val="003814D6"/>
    <w:rsid w:val="00381C24"/>
    <w:rsid w:val="003826E5"/>
    <w:rsid w:val="0038439C"/>
    <w:rsid w:val="00384790"/>
    <w:rsid w:val="00386375"/>
    <w:rsid w:val="003867C2"/>
    <w:rsid w:val="0038680A"/>
    <w:rsid w:val="00386B49"/>
    <w:rsid w:val="003871E9"/>
    <w:rsid w:val="00391367"/>
    <w:rsid w:val="00392898"/>
    <w:rsid w:val="00394825"/>
    <w:rsid w:val="00395101"/>
    <w:rsid w:val="0039512F"/>
    <w:rsid w:val="003957BC"/>
    <w:rsid w:val="003958D0"/>
    <w:rsid w:val="00395BB0"/>
    <w:rsid w:val="00395FD3"/>
    <w:rsid w:val="003960A2"/>
    <w:rsid w:val="00396871"/>
    <w:rsid w:val="003968E5"/>
    <w:rsid w:val="00397179"/>
    <w:rsid w:val="003A0673"/>
    <w:rsid w:val="003A06E8"/>
    <w:rsid w:val="003A1695"/>
    <w:rsid w:val="003A18A8"/>
    <w:rsid w:val="003A2D93"/>
    <w:rsid w:val="003A3347"/>
    <w:rsid w:val="003A3356"/>
    <w:rsid w:val="003A3B4A"/>
    <w:rsid w:val="003A3D76"/>
    <w:rsid w:val="003A59F5"/>
    <w:rsid w:val="003A640C"/>
    <w:rsid w:val="003A75FF"/>
    <w:rsid w:val="003A7764"/>
    <w:rsid w:val="003A7A21"/>
    <w:rsid w:val="003B107D"/>
    <w:rsid w:val="003B1461"/>
    <w:rsid w:val="003B18FB"/>
    <w:rsid w:val="003B36BA"/>
    <w:rsid w:val="003B42EE"/>
    <w:rsid w:val="003B4DB7"/>
    <w:rsid w:val="003B59B8"/>
    <w:rsid w:val="003B77FB"/>
    <w:rsid w:val="003B7A8C"/>
    <w:rsid w:val="003C0E5F"/>
    <w:rsid w:val="003C1401"/>
    <w:rsid w:val="003C1BF4"/>
    <w:rsid w:val="003C2ADD"/>
    <w:rsid w:val="003C2CC2"/>
    <w:rsid w:val="003C3872"/>
    <w:rsid w:val="003C4D58"/>
    <w:rsid w:val="003C59E3"/>
    <w:rsid w:val="003C6C47"/>
    <w:rsid w:val="003C6F7C"/>
    <w:rsid w:val="003C7B65"/>
    <w:rsid w:val="003D3584"/>
    <w:rsid w:val="003D3740"/>
    <w:rsid w:val="003D5BC2"/>
    <w:rsid w:val="003D6178"/>
    <w:rsid w:val="003D6829"/>
    <w:rsid w:val="003D6B56"/>
    <w:rsid w:val="003E0372"/>
    <w:rsid w:val="003E049A"/>
    <w:rsid w:val="003E04E9"/>
    <w:rsid w:val="003E1F6E"/>
    <w:rsid w:val="003E289A"/>
    <w:rsid w:val="003E2E8A"/>
    <w:rsid w:val="003E3BC2"/>
    <w:rsid w:val="003E4FFB"/>
    <w:rsid w:val="003E6C1F"/>
    <w:rsid w:val="003F0B2F"/>
    <w:rsid w:val="003F13B5"/>
    <w:rsid w:val="003F2594"/>
    <w:rsid w:val="003F48B4"/>
    <w:rsid w:val="003F581F"/>
    <w:rsid w:val="003F67A5"/>
    <w:rsid w:val="003F7316"/>
    <w:rsid w:val="00400CAA"/>
    <w:rsid w:val="00400CB1"/>
    <w:rsid w:val="00401F1D"/>
    <w:rsid w:val="00402133"/>
    <w:rsid w:val="00402D11"/>
    <w:rsid w:val="004031D8"/>
    <w:rsid w:val="00403738"/>
    <w:rsid w:val="00403CC8"/>
    <w:rsid w:val="00403D24"/>
    <w:rsid w:val="00404CD2"/>
    <w:rsid w:val="00405A68"/>
    <w:rsid w:val="00406A83"/>
    <w:rsid w:val="00406D97"/>
    <w:rsid w:val="00406FD2"/>
    <w:rsid w:val="004111DF"/>
    <w:rsid w:val="00411E5C"/>
    <w:rsid w:val="00412345"/>
    <w:rsid w:val="0041254D"/>
    <w:rsid w:val="00412764"/>
    <w:rsid w:val="00413500"/>
    <w:rsid w:val="00413F3A"/>
    <w:rsid w:val="00414E7D"/>
    <w:rsid w:val="00415ADB"/>
    <w:rsid w:val="00416CE8"/>
    <w:rsid w:val="00416E60"/>
    <w:rsid w:val="00417947"/>
    <w:rsid w:val="00417B8A"/>
    <w:rsid w:val="00417E36"/>
    <w:rsid w:val="00420038"/>
    <w:rsid w:val="0042060F"/>
    <w:rsid w:val="004215CA"/>
    <w:rsid w:val="004216DD"/>
    <w:rsid w:val="004218FF"/>
    <w:rsid w:val="00421D92"/>
    <w:rsid w:val="004228AD"/>
    <w:rsid w:val="00423442"/>
    <w:rsid w:val="00424180"/>
    <w:rsid w:val="0042438C"/>
    <w:rsid w:val="00425027"/>
    <w:rsid w:val="00425040"/>
    <w:rsid w:val="00425F26"/>
    <w:rsid w:val="00426F61"/>
    <w:rsid w:val="00430094"/>
    <w:rsid w:val="00430233"/>
    <w:rsid w:val="00430853"/>
    <w:rsid w:val="0043173B"/>
    <w:rsid w:val="004317DB"/>
    <w:rsid w:val="0043191F"/>
    <w:rsid w:val="0043310B"/>
    <w:rsid w:val="0043360A"/>
    <w:rsid w:val="00434075"/>
    <w:rsid w:val="00434221"/>
    <w:rsid w:val="00435360"/>
    <w:rsid w:val="004358FC"/>
    <w:rsid w:val="00435F4B"/>
    <w:rsid w:val="00437E18"/>
    <w:rsid w:val="00440B11"/>
    <w:rsid w:val="00441EDC"/>
    <w:rsid w:val="0044479D"/>
    <w:rsid w:val="00445172"/>
    <w:rsid w:val="00447D95"/>
    <w:rsid w:val="00450BF8"/>
    <w:rsid w:val="00451062"/>
    <w:rsid w:val="00451A3F"/>
    <w:rsid w:val="00451E88"/>
    <w:rsid w:val="004523B7"/>
    <w:rsid w:val="0045393D"/>
    <w:rsid w:val="0045482B"/>
    <w:rsid w:val="00454E07"/>
    <w:rsid w:val="004550A1"/>
    <w:rsid w:val="0045681E"/>
    <w:rsid w:val="00456C31"/>
    <w:rsid w:val="00456D23"/>
    <w:rsid w:val="004573F3"/>
    <w:rsid w:val="00461D59"/>
    <w:rsid w:val="00461E7A"/>
    <w:rsid w:val="00462125"/>
    <w:rsid w:val="004626B0"/>
    <w:rsid w:val="0046311F"/>
    <w:rsid w:val="004633C6"/>
    <w:rsid w:val="00464306"/>
    <w:rsid w:val="004648DB"/>
    <w:rsid w:val="00464DE9"/>
    <w:rsid w:val="004676C3"/>
    <w:rsid w:val="00467BB6"/>
    <w:rsid w:val="004703C2"/>
    <w:rsid w:val="00470810"/>
    <w:rsid w:val="00471BFD"/>
    <w:rsid w:val="00471D79"/>
    <w:rsid w:val="0047230A"/>
    <w:rsid w:val="004744DF"/>
    <w:rsid w:val="004746C2"/>
    <w:rsid w:val="00476027"/>
    <w:rsid w:val="004766B2"/>
    <w:rsid w:val="0048024A"/>
    <w:rsid w:val="00480D0E"/>
    <w:rsid w:val="00481131"/>
    <w:rsid w:val="00481A46"/>
    <w:rsid w:val="004828C2"/>
    <w:rsid w:val="00482C3C"/>
    <w:rsid w:val="00483CA1"/>
    <w:rsid w:val="004849C7"/>
    <w:rsid w:val="0048518D"/>
    <w:rsid w:val="00485F38"/>
    <w:rsid w:val="00487375"/>
    <w:rsid w:val="004875CF"/>
    <w:rsid w:val="00487A0E"/>
    <w:rsid w:val="00487F03"/>
    <w:rsid w:val="0049250A"/>
    <w:rsid w:val="0049289A"/>
    <w:rsid w:val="00492AF6"/>
    <w:rsid w:val="00492D11"/>
    <w:rsid w:val="00493D81"/>
    <w:rsid w:val="00495AE5"/>
    <w:rsid w:val="00497C84"/>
    <w:rsid w:val="004A1134"/>
    <w:rsid w:val="004A2DB9"/>
    <w:rsid w:val="004A48E6"/>
    <w:rsid w:val="004A4929"/>
    <w:rsid w:val="004A556C"/>
    <w:rsid w:val="004A748C"/>
    <w:rsid w:val="004A7FF1"/>
    <w:rsid w:val="004B0067"/>
    <w:rsid w:val="004B09FA"/>
    <w:rsid w:val="004B0EB3"/>
    <w:rsid w:val="004B1A7E"/>
    <w:rsid w:val="004B1ADB"/>
    <w:rsid w:val="004B1CA7"/>
    <w:rsid w:val="004B2481"/>
    <w:rsid w:val="004B25A4"/>
    <w:rsid w:val="004B3E27"/>
    <w:rsid w:val="004B66AF"/>
    <w:rsid w:val="004B6DA7"/>
    <w:rsid w:val="004B7134"/>
    <w:rsid w:val="004C11AE"/>
    <w:rsid w:val="004C14A4"/>
    <w:rsid w:val="004C162D"/>
    <w:rsid w:val="004C5345"/>
    <w:rsid w:val="004C58F6"/>
    <w:rsid w:val="004C62ED"/>
    <w:rsid w:val="004C72F2"/>
    <w:rsid w:val="004D10E1"/>
    <w:rsid w:val="004D2142"/>
    <w:rsid w:val="004D45A8"/>
    <w:rsid w:val="004D475E"/>
    <w:rsid w:val="004D53F4"/>
    <w:rsid w:val="004D5D08"/>
    <w:rsid w:val="004D68A2"/>
    <w:rsid w:val="004D68B4"/>
    <w:rsid w:val="004E058B"/>
    <w:rsid w:val="004E0F9B"/>
    <w:rsid w:val="004E1030"/>
    <w:rsid w:val="004E2058"/>
    <w:rsid w:val="004E20F0"/>
    <w:rsid w:val="004E3AAC"/>
    <w:rsid w:val="004E3AC9"/>
    <w:rsid w:val="004E3B18"/>
    <w:rsid w:val="004E4363"/>
    <w:rsid w:val="004E453E"/>
    <w:rsid w:val="004E4896"/>
    <w:rsid w:val="004E4B46"/>
    <w:rsid w:val="004E4EC7"/>
    <w:rsid w:val="004E62FD"/>
    <w:rsid w:val="004E7694"/>
    <w:rsid w:val="004E77BF"/>
    <w:rsid w:val="004E792B"/>
    <w:rsid w:val="004E7F5D"/>
    <w:rsid w:val="004F0A18"/>
    <w:rsid w:val="004F0B5C"/>
    <w:rsid w:val="004F16A2"/>
    <w:rsid w:val="004F5755"/>
    <w:rsid w:val="004F5C40"/>
    <w:rsid w:val="004F6B0A"/>
    <w:rsid w:val="004F7D99"/>
    <w:rsid w:val="00500425"/>
    <w:rsid w:val="005009FC"/>
    <w:rsid w:val="00500C45"/>
    <w:rsid w:val="0050108D"/>
    <w:rsid w:val="00501EFE"/>
    <w:rsid w:val="005023A1"/>
    <w:rsid w:val="005023DC"/>
    <w:rsid w:val="00502666"/>
    <w:rsid w:val="005044E6"/>
    <w:rsid w:val="005052BD"/>
    <w:rsid w:val="00505E2D"/>
    <w:rsid w:val="005067F9"/>
    <w:rsid w:val="00507326"/>
    <w:rsid w:val="005079CB"/>
    <w:rsid w:val="00507F21"/>
    <w:rsid w:val="005104D3"/>
    <w:rsid w:val="00510C16"/>
    <w:rsid w:val="00511776"/>
    <w:rsid w:val="00512056"/>
    <w:rsid w:val="005120C0"/>
    <w:rsid w:val="0051269A"/>
    <w:rsid w:val="00513485"/>
    <w:rsid w:val="00513DCA"/>
    <w:rsid w:val="0051442D"/>
    <w:rsid w:val="00514676"/>
    <w:rsid w:val="00514B87"/>
    <w:rsid w:val="00514F65"/>
    <w:rsid w:val="0051507C"/>
    <w:rsid w:val="005169F8"/>
    <w:rsid w:val="005202AE"/>
    <w:rsid w:val="00521C42"/>
    <w:rsid w:val="00524551"/>
    <w:rsid w:val="00525040"/>
    <w:rsid w:val="00526383"/>
    <w:rsid w:val="005263EA"/>
    <w:rsid w:val="00527350"/>
    <w:rsid w:val="00527CA6"/>
    <w:rsid w:val="0053115B"/>
    <w:rsid w:val="005312AA"/>
    <w:rsid w:val="00533B50"/>
    <w:rsid w:val="00534B0D"/>
    <w:rsid w:val="005357D7"/>
    <w:rsid w:val="005400F1"/>
    <w:rsid w:val="00542249"/>
    <w:rsid w:val="005425FC"/>
    <w:rsid w:val="005428F2"/>
    <w:rsid w:val="00543566"/>
    <w:rsid w:val="00544596"/>
    <w:rsid w:val="005448F9"/>
    <w:rsid w:val="005463A0"/>
    <w:rsid w:val="00546D60"/>
    <w:rsid w:val="00547FB0"/>
    <w:rsid w:val="00553517"/>
    <w:rsid w:val="00555117"/>
    <w:rsid w:val="00555A94"/>
    <w:rsid w:val="00556301"/>
    <w:rsid w:val="00557280"/>
    <w:rsid w:val="00557FD5"/>
    <w:rsid w:val="00560ADF"/>
    <w:rsid w:val="00561DF3"/>
    <w:rsid w:val="00563043"/>
    <w:rsid w:val="005636AC"/>
    <w:rsid w:val="00563862"/>
    <w:rsid w:val="00564D71"/>
    <w:rsid w:val="00565F7E"/>
    <w:rsid w:val="0056644E"/>
    <w:rsid w:val="005669B1"/>
    <w:rsid w:val="00566C17"/>
    <w:rsid w:val="00566FD8"/>
    <w:rsid w:val="0056787C"/>
    <w:rsid w:val="005679FA"/>
    <w:rsid w:val="00570826"/>
    <w:rsid w:val="00570A9B"/>
    <w:rsid w:val="00570F63"/>
    <w:rsid w:val="005714BD"/>
    <w:rsid w:val="005715AB"/>
    <w:rsid w:val="00571BF0"/>
    <w:rsid w:val="005720EB"/>
    <w:rsid w:val="005727C0"/>
    <w:rsid w:val="00572984"/>
    <w:rsid w:val="00572BA0"/>
    <w:rsid w:val="00572E19"/>
    <w:rsid w:val="0057374B"/>
    <w:rsid w:val="00574621"/>
    <w:rsid w:val="00575186"/>
    <w:rsid w:val="005757BC"/>
    <w:rsid w:val="00576058"/>
    <w:rsid w:val="005764A7"/>
    <w:rsid w:val="00577173"/>
    <w:rsid w:val="0058033D"/>
    <w:rsid w:val="00581134"/>
    <w:rsid w:val="005812CC"/>
    <w:rsid w:val="00581D2C"/>
    <w:rsid w:val="00581E41"/>
    <w:rsid w:val="005827F9"/>
    <w:rsid w:val="00583173"/>
    <w:rsid w:val="005835AA"/>
    <w:rsid w:val="00585BDD"/>
    <w:rsid w:val="005865FF"/>
    <w:rsid w:val="00587B47"/>
    <w:rsid w:val="0059148D"/>
    <w:rsid w:val="005916D4"/>
    <w:rsid w:val="00592B47"/>
    <w:rsid w:val="00592C3B"/>
    <w:rsid w:val="00592D07"/>
    <w:rsid w:val="00593786"/>
    <w:rsid w:val="00593DDD"/>
    <w:rsid w:val="005940D5"/>
    <w:rsid w:val="005A028A"/>
    <w:rsid w:val="005A0625"/>
    <w:rsid w:val="005A0CCF"/>
    <w:rsid w:val="005A2375"/>
    <w:rsid w:val="005A2FF8"/>
    <w:rsid w:val="005A31FD"/>
    <w:rsid w:val="005A3284"/>
    <w:rsid w:val="005A3394"/>
    <w:rsid w:val="005A4677"/>
    <w:rsid w:val="005A4B82"/>
    <w:rsid w:val="005A5AAC"/>
    <w:rsid w:val="005A5AF5"/>
    <w:rsid w:val="005A5EF3"/>
    <w:rsid w:val="005A626C"/>
    <w:rsid w:val="005A6B3F"/>
    <w:rsid w:val="005A7897"/>
    <w:rsid w:val="005B12D6"/>
    <w:rsid w:val="005B212B"/>
    <w:rsid w:val="005B3827"/>
    <w:rsid w:val="005B3E01"/>
    <w:rsid w:val="005B67C4"/>
    <w:rsid w:val="005B7644"/>
    <w:rsid w:val="005B7D91"/>
    <w:rsid w:val="005C0F71"/>
    <w:rsid w:val="005C31D2"/>
    <w:rsid w:val="005C34C1"/>
    <w:rsid w:val="005C34E3"/>
    <w:rsid w:val="005C73EB"/>
    <w:rsid w:val="005D07E1"/>
    <w:rsid w:val="005D1676"/>
    <w:rsid w:val="005D2127"/>
    <w:rsid w:val="005D5A20"/>
    <w:rsid w:val="005D6088"/>
    <w:rsid w:val="005D72A2"/>
    <w:rsid w:val="005D7652"/>
    <w:rsid w:val="005D7DCD"/>
    <w:rsid w:val="005D7E90"/>
    <w:rsid w:val="005E0FFB"/>
    <w:rsid w:val="005E2F05"/>
    <w:rsid w:val="005E346D"/>
    <w:rsid w:val="005E4157"/>
    <w:rsid w:val="005E57F8"/>
    <w:rsid w:val="005E62E4"/>
    <w:rsid w:val="005E687A"/>
    <w:rsid w:val="005E6DB5"/>
    <w:rsid w:val="005E7A80"/>
    <w:rsid w:val="005F0B42"/>
    <w:rsid w:val="005F1B64"/>
    <w:rsid w:val="005F3B2F"/>
    <w:rsid w:val="005F3B95"/>
    <w:rsid w:val="005F4961"/>
    <w:rsid w:val="005F4C30"/>
    <w:rsid w:val="005F4CE7"/>
    <w:rsid w:val="005F4DDE"/>
    <w:rsid w:val="005F612E"/>
    <w:rsid w:val="005F6A38"/>
    <w:rsid w:val="005F7A7B"/>
    <w:rsid w:val="005F7B0F"/>
    <w:rsid w:val="0060095A"/>
    <w:rsid w:val="00600B06"/>
    <w:rsid w:val="00602315"/>
    <w:rsid w:val="00603196"/>
    <w:rsid w:val="0060363D"/>
    <w:rsid w:val="00603A13"/>
    <w:rsid w:val="00604C77"/>
    <w:rsid w:val="00604F47"/>
    <w:rsid w:val="00605B1D"/>
    <w:rsid w:val="00606721"/>
    <w:rsid w:val="00606D25"/>
    <w:rsid w:val="00607510"/>
    <w:rsid w:val="00610DD8"/>
    <w:rsid w:val="00611FC3"/>
    <w:rsid w:val="00612188"/>
    <w:rsid w:val="006129B1"/>
    <w:rsid w:val="00612BCE"/>
    <w:rsid w:val="00614642"/>
    <w:rsid w:val="006152A6"/>
    <w:rsid w:val="0061576A"/>
    <w:rsid w:val="00615845"/>
    <w:rsid w:val="00615FAD"/>
    <w:rsid w:val="0062063D"/>
    <w:rsid w:val="00620B91"/>
    <w:rsid w:val="00620C27"/>
    <w:rsid w:val="00621349"/>
    <w:rsid w:val="00621B5E"/>
    <w:rsid w:val="006225C1"/>
    <w:rsid w:val="00622E0F"/>
    <w:rsid w:val="006235A6"/>
    <w:rsid w:val="00624249"/>
    <w:rsid w:val="00624D58"/>
    <w:rsid w:val="006254CF"/>
    <w:rsid w:val="00625CAC"/>
    <w:rsid w:val="00625F00"/>
    <w:rsid w:val="0062712C"/>
    <w:rsid w:val="0062745F"/>
    <w:rsid w:val="006274EB"/>
    <w:rsid w:val="00627F61"/>
    <w:rsid w:val="00630E86"/>
    <w:rsid w:val="00631902"/>
    <w:rsid w:val="006334E3"/>
    <w:rsid w:val="0063362B"/>
    <w:rsid w:val="006358AF"/>
    <w:rsid w:val="00635F2F"/>
    <w:rsid w:val="00636FC9"/>
    <w:rsid w:val="00637FC5"/>
    <w:rsid w:val="00642730"/>
    <w:rsid w:val="00642A08"/>
    <w:rsid w:val="00642BD9"/>
    <w:rsid w:val="00643285"/>
    <w:rsid w:val="0064449B"/>
    <w:rsid w:val="00644E81"/>
    <w:rsid w:val="00645EDA"/>
    <w:rsid w:val="00650CE1"/>
    <w:rsid w:val="006513BC"/>
    <w:rsid w:val="0065216F"/>
    <w:rsid w:val="00652CDD"/>
    <w:rsid w:val="00653B78"/>
    <w:rsid w:val="00654AF3"/>
    <w:rsid w:val="00654E91"/>
    <w:rsid w:val="00655464"/>
    <w:rsid w:val="00655790"/>
    <w:rsid w:val="00655A21"/>
    <w:rsid w:val="00656907"/>
    <w:rsid w:val="0065734B"/>
    <w:rsid w:val="00657E7F"/>
    <w:rsid w:val="006606E6"/>
    <w:rsid w:val="00660FAF"/>
    <w:rsid w:val="006624EA"/>
    <w:rsid w:val="0066429D"/>
    <w:rsid w:val="00664AA9"/>
    <w:rsid w:val="0067059A"/>
    <w:rsid w:val="006712FD"/>
    <w:rsid w:val="0067190E"/>
    <w:rsid w:val="00672233"/>
    <w:rsid w:val="0067237D"/>
    <w:rsid w:val="0067369B"/>
    <w:rsid w:val="00674685"/>
    <w:rsid w:val="006747DE"/>
    <w:rsid w:val="0067490A"/>
    <w:rsid w:val="00675CA2"/>
    <w:rsid w:val="006769AF"/>
    <w:rsid w:val="00677DF2"/>
    <w:rsid w:val="00677E66"/>
    <w:rsid w:val="006808A9"/>
    <w:rsid w:val="0068189B"/>
    <w:rsid w:val="006828ED"/>
    <w:rsid w:val="00682F98"/>
    <w:rsid w:val="006846C1"/>
    <w:rsid w:val="006849F2"/>
    <w:rsid w:val="006852D1"/>
    <w:rsid w:val="0068539B"/>
    <w:rsid w:val="00686484"/>
    <w:rsid w:val="00687F83"/>
    <w:rsid w:val="00687F9D"/>
    <w:rsid w:val="006905BE"/>
    <w:rsid w:val="00692D62"/>
    <w:rsid w:val="00693991"/>
    <w:rsid w:val="0069503A"/>
    <w:rsid w:val="0069510D"/>
    <w:rsid w:val="00695B8C"/>
    <w:rsid w:val="00697275"/>
    <w:rsid w:val="0069728D"/>
    <w:rsid w:val="006975F1"/>
    <w:rsid w:val="006A0173"/>
    <w:rsid w:val="006A0A42"/>
    <w:rsid w:val="006A0A55"/>
    <w:rsid w:val="006A237C"/>
    <w:rsid w:val="006A2A04"/>
    <w:rsid w:val="006A46CD"/>
    <w:rsid w:val="006A4DAF"/>
    <w:rsid w:val="006A5800"/>
    <w:rsid w:val="006A6CB5"/>
    <w:rsid w:val="006A7250"/>
    <w:rsid w:val="006A7380"/>
    <w:rsid w:val="006A7477"/>
    <w:rsid w:val="006B067B"/>
    <w:rsid w:val="006B2F86"/>
    <w:rsid w:val="006B4E0E"/>
    <w:rsid w:val="006B5A48"/>
    <w:rsid w:val="006B5AFE"/>
    <w:rsid w:val="006B77AE"/>
    <w:rsid w:val="006C143F"/>
    <w:rsid w:val="006C2309"/>
    <w:rsid w:val="006C25F3"/>
    <w:rsid w:val="006C2908"/>
    <w:rsid w:val="006C2F9E"/>
    <w:rsid w:val="006C3356"/>
    <w:rsid w:val="006C37CB"/>
    <w:rsid w:val="006C3FA2"/>
    <w:rsid w:val="006C42BA"/>
    <w:rsid w:val="006C441A"/>
    <w:rsid w:val="006C4768"/>
    <w:rsid w:val="006C6AB8"/>
    <w:rsid w:val="006C6BE4"/>
    <w:rsid w:val="006D09F5"/>
    <w:rsid w:val="006D179B"/>
    <w:rsid w:val="006D197F"/>
    <w:rsid w:val="006D263E"/>
    <w:rsid w:val="006D274F"/>
    <w:rsid w:val="006D3AD1"/>
    <w:rsid w:val="006D5803"/>
    <w:rsid w:val="006D7144"/>
    <w:rsid w:val="006D742C"/>
    <w:rsid w:val="006D7635"/>
    <w:rsid w:val="006D7CE4"/>
    <w:rsid w:val="006E37EE"/>
    <w:rsid w:val="006E482D"/>
    <w:rsid w:val="006E5046"/>
    <w:rsid w:val="006E56B3"/>
    <w:rsid w:val="006E6EC2"/>
    <w:rsid w:val="006E75E5"/>
    <w:rsid w:val="006E7768"/>
    <w:rsid w:val="006E7CA2"/>
    <w:rsid w:val="006F025D"/>
    <w:rsid w:val="006F1588"/>
    <w:rsid w:val="006F202E"/>
    <w:rsid w:val="006F298F"/>
    <w:rsid w:val="006F35EE"/>
    <w:rsid w:val="006F47DB"/>
    <w:rsid w:val="006F4B8E"/>
    <w:rsid w:val="006F538C"/>
    <w:rsid w:val="006F59B0"/>
    <w:rsid w:val="006F59F5"/>
    <w:rsid w:val="006F613B"/>
    <w:rsid w:val="006F6A5F"/>
    <w:rsid w:val="006F7594"/>
    <w:rsid w:val="00701BF5"/>
    <w:rsid w:val="00701DC3"/>
    <w:rsid w:val="00702077"/>
    <w:rsid w:val="007021FF"/>
    <w:rsid w:val="007033F8"/>
    <w:rsid w:val="00705152"/>
    <w:rsid w:val="00705D7D"/>
    <w:rsid w:val="007071AA"/>
    <w:rsid w:val="007076CB"/>
    <w:rsid w:val="00707D64"/>
    <w:rsid w:val="007100CA"/>
    <w:rsid w:val="00710C56"/>
    <w:rsid w:val="00711F93"/>
    <w:rsid w:val="00712342"/>
    <w:rsid w:val="007125BB"/>
    <w:rsid w:val="007128BF"/>
    <w:rsid w:val="0071302C"/>
    <w:rsid w:val="007136FD"/>
    <w:rsid w:val="0071395C"/>
    <w:rsid w:val="007143AD"/>
    <w:rsid w:val="00714AE8"/>
    <w:rsid w:val="00716BD6"/>
    <w:rsid w:val="00716E2D"/>
    <w:rsid w:val="0072102D"/>
    <w:rsid w:val="00721764"/>
    <w:rsid w:val="00722AF2"/>
    <w:rsid w:val="0072386B"/>
    <w:rsid w:val="007243E8"/>
    <w:rsid w:val="00724BA1"/>
    <w:rsid w:val="00725F3F"/>
    <w:rsid w:val="00726812"/>
    <w:rsid w:val="00726C38"/>
    <w:rsid w:val="00727E34"/>
    <w:rsid w:val="00730C04"/>
    <w:rsid w:val="00731E95"/>
    <w:rsid w:val="007320BA"/>
    <w:rsid w:val="0073546D"/>
    <w:rsid w:val="007354E3"/>
    <w:rsid w:val="00736339"/>
    <w:rsid w:val="00736825"/>
    <w:rsid w:val="0073746D"/>
    <w:rsid w:val="00737FB3"/>
    <w:rsid w:val="007400A9"/>
    <w:rsid w:val="007400AD"/>
    <w:rsid w:val="00741A89"/>
    <w:rsid w:val="007441D3"/>
    <w:rsid w:val="007453F9"/>
    <w:rsid w:val="00746715"/>
    <w:rsid w:val="007468B1"/>
    <w:rsid w:val="007471EC"/>
    <w:rsid w:val="00752F1D"/>
    <w:rsid w:val="007532CB"/>
    <w:rsid w:val="00753D40"/>
    <w:rsid w:val="00754621"/>
    <w:rsid w:val="0075488D"/>
    <w:rsid w:val="00754A6A"/>
    <w:rsid w:val="00754BDD"/>
    <w:rsid w:val="007565E2"/>
    <w:rsid w:val="007569E6"/>
    <w:rsid w:val="00757C3C"/>
    <w:rsid w:val="00762346"/>
    <w:rsid w:val="00762E3D"/>
    <w:rsid w:val="007641DD"/>
    <w:rsid w:val="00764B6E"/>
    <w:rsid w:val="00764DFA"/>
    <w:rsid w:val="00764E88"/>
    <w:rsid w:val="007652FB"/>
    <w:rsid w:val="00765D8C"/>
    <w:rsid w:val="00767DB8"/>
    <w:rsid w:val="00770324"/>
    <w:rsid w:val="0077090C"/>
    <w:rsid w:val="00773B7F"/>
    <w:rsid w:val="00774F76"/>
    <w:rsid w:val="00775703"/>
    <w:rsid w:val="00776552"/>
    <w:rsid w:val="007768AD"/>
    <w:rsid w:val="00777979"/>
    <w:rsid w:val="007802DA"/>
    <w:rsid w:val="00782EC4"/>
    <w:rsid w:val="007839F4"/>
    <w:rsid w:val="00783BF7"/>
    <w:rsid w:val="0078510A"/>
    <w:rsid w:val="0078544D"/>
    <w:rsid w:val="00785573"/>
    <w:rsid w:val="00787D60"/>
    <w:rsid w:val="00787F9D"/>
    <w:rsid w:val="007900E4"/>
    <w:rsid w:val="00790381"/>
    <w:rsid w:val="007922DF"/>
    <w:rsid w:val="007929F5"/>
    <w:rsid w:val="007932A4"/>
    <w:rsid w:val="00793C7C"/>
    <w:rsid w:val="007943EE"/>
    <w:rsid w:val="00794E4B"/>
    <w:rsid w:val="007952C8"/>
    <w:rsid w:val="0079542E"/>
    <w:rsid w:val="007967DF"/>
    <w:rsid w:val="00797622"/>
    <w:rsid w:val="007A0D9C"/>
    <w:rsid w:val="007A11BD"/>
    <w:rsid w:val="007A14A2"/>
    <w:rsid w:val="007A2263"/>
    <w:rsid w:val="007A2C9D"/>
    <w:rsid w:val="007A3ABE"/>
    <w:rsid w:val="007A3D16"/>
    <w:rsid w:val="007A5419"/>
    <w:rsid w:val="007A5E45"/>
    <w:rsid w:val="007A63A6"/>
    <w:rsid w:val="007A73AB"/>
    <w:rsid w:val="007A766E"/>
    <w:rsid w:val="007B0298"/>
    <w:rsid w:val="007B15F3"/>
    <w:rsid w:val="007B1C67"/>
    <w:rsid w:val="007B2C94"/>
    <w:rsid w:val="007B4D6C"/>
    <w:rsid w:val="007B54C6"/>
    <w:rsid w:val="007B5A2D"/>
    <w:rsid w:val="007B663F"/>
    <w:rsid w:val="007C05EC"/>
    <w:rsid w:val="007C0FC2"/>
    <w:rsid w:val="007C10A2"/>
    <w:rsid w:val="007C140C"/>
    <w:rsid w:val="007C2E65"/>
    <w:rsid w:val="007C3EF4"/>
    <w:rsid w:val="007C5298"/>
    <w:rsid w:val="007C63B2"/>
    <w:rsid w:val="007C676F"/>
    <w:rsid w:val="007C72D4"/>
    <w:rsid w:val="007C76D3"/>
    <w:rsid w:val="007D00E0"/>
    <w:rsid w:val="007D28D7"/>
    <w:rsid w:val="007D2FC2"/>
    <w:rsid w:val="007D3D63"/>
    <w:rsid w:val="007D5581"/>
    <w:rsid w:val="007D649D"/>
    <w:rsid w:val="007E0845"/>
    <w:rsid w:val="007E235E"/>
    <w:rsid w:val="007E3A77"/>
    <w:rsid w:val="007E3D83"/>
    <w:rsid w:val="007E76A6"/>
    <w:rsid w:val="007E7A41"/>
    <w:rsid w:val="007E7EC3"/>
    <w:rsid w:val="007F0521"/>
    <w:rsid w:val="007F4778"/>
    <w:rsid w:val="007F5BB4"/>
    <w:rsid w:val="007F6AE6"/>
    <w:rsid w:val="007F7229"/>
    <w:rsid w:val="008014BC"/>
    <w:rsid w:val="00801D57"/>
    <w:rsid w:val="00802806"/>
    <w:rsid w:val="00802E0F"/>
    <w:rsid w:val="00803524"/>
    <w:rsid w:val="0080453B"/>
    <w:rsid w:val="008048A6"/>
    <w:rsid w:val="00806051"/>
    <w:rsid w:val="008069FC"/>
    <w:rsid w:val="00806A91"/>
    <w:rsid w:val="00807CDC"/>
    <w:rsid w:val="00812808"/>
    <w:rsid w:val="00813F05"/>
    <w:rsid w:val="00814CCA"/>
    <w:rsid w:val="0081570C"/>
    <w:rsid w:val="00815A6A"/>
    <w:rsid w:val="00815B9F"/>
    <w:rsid w:val="00815F0F"/>
    <w:rsid w:val="0081609D"/>
    <w:rsid w:val="0082082C"/>
    <w:rsid w:val="00821CA3"/>
    <w:rsid w:val="008224D5"/>
    <w:rsid w:val="00823B85"/>
    <w:rsid w:val="00824765"/>
    <w:rsid w:val="008253D0"/>
    <w:rsid w:val="00825502"/>
    <w:rsid w:val="008260BD"/>
    <w:rsid w:val="00826464"/>
    <w:rsid w:val="00827AF5"/>
    <w:rsid w:val="00831CC6"/>
    <w:rsid w:val="00833FD8"/>
    <w:rsid w:val="00834B71"/>
    <w:rsid w:val="00835696"/>
    <w:rsid w:val="0084005B"/>
    <w:rsid w:val="00841958"/>
    <w:rsid w:val="00841D02"/>
    <w:rsid w:val="00842094"/>
    <w:rsid w:val="00845DE3"/>
    <w:rsid w:val="00846DCE"/>
    <w:rsid w:val="008508F7"/>
    <w:rsid w:val="00851835"/>
    <w:rsid w:val="00851EF2"/>
    <w:rsid w:val="00853933"/>
    <w:rsid w:val="00853AC5"/>
    <w:rsid w:val="00854208"/>
    <w:rsid w:val="0085555C"/>
    <w:rsid w:val="008572B2"/>
    <w:rsid w:val="00857771"/>
    <w:rsid w:val="00857DD6"/>
    <w:rsid w:val="00857E1E"/>
    <w:rsid w:val="008600BC"/>
    <w:rsid w:val="008602CD"/>
    <w:rsid w:val="00860D57"/>
    <w:rsid w:val="008614B4"/>
    <w:rsid w:val="00862643"/>
    <w:rsid w:val="008638FE"/>
    <w:rsid w:val="0086445C"/>
    <w:rsid w:val="008648D5"/>
    <w:rsid w:val="00864CFD"/>
    <w:rsid w:val="008666A8"/>
    <w:rsid w:val="00866D40"/>
    <w:rsid w:val="00867288"/>
    <w:rsid w:val="00870354"/>
    <w:rsid w:val="0087055A"/>
    <w:rsid w:val="00873225"/>
    <w:rsid w:val="0087434C"/>
    <w:rsid w:val="008744DA"/>
    <w:rsid w:val="008751E7"/>
    <w:rsid w:val="0087563D"/>
    <w:rsid w:val="00875EB5"/>
    <w:rsid w:val="00877DF0"/>
    <w:rsid w:val="008804D7"/>
    <w:rsid w:val="00881780"/>
    <w:rsid w:val="00882816"/>
    <w:rsid w:val="008830BA"/>
    <w:rsid w:val="008830D6"/>
    <w:rsid w:val="00884199"/>
    <w:rsid w:val="00884BCB"/>
    <w:rsid w:val="008863E4"/>
    <w:rsid w:val="008877D2"/>
    <w:rsid w:val="00887BA6"/>
    <w:rsid w:val="00887F1A"/>
    <w:rsid w:val="00890B4A"/>
    <w:rsid w:val="00891BD2"/>
    <w:rsid w:val="0089322C"/>
    <w:rsid w:val="008972D9"/>
    <w:rsid w:val="008977BD"/>
    <w:rsid w:val="008A0610"/>
    <w:rsid w:val="008A08D7"/>
    <w:rsid w:val="008A0F84"/>
    <w:rsid w:val="008A13F9"/>
    <w:rsid w:val="008A2CAE"/>
    <w:rsid w:val="008A32D2"/>
    <w:rsid w:val="008A45C9"/>
    <w:rsid w:val="008A62A1"/>
    <w:rsid w:val="008A6C9E"/>
    <w:rsid w:val="008A6D73"/>
    <w:rsid w:val="008A7B05"/>
    <w:rsid w:val="008B042E"/>
    <w:rsid w:val="008B0C58"/>
    <w:rsid w:val="008B12CA"/>
    <w:rsid w:val="008B48F9"/>
    <w:rsid w:val="008B673C"/>
    <w:rsid w:val="008B7EA5"/>
    <w:rsid w:val="008C0106"/>
    <w:rsid w:val="008C0A50"/>
    <w:rsid w:val="008C1244"/>
    <w:rsid w:val="008C206E"/>
    <w:rsid w:val="008C2D0E"/>
    <w:rsid w:val="008C3F65"/>
    <w:rsid w:val="008C426E"/>
    <w:rsid w:val="008C5F61"/>
    <w:rsid w:val="008C62EC"/>
    <w:rsid w:val="008C6C8C"/>
    <w:rsid w:val="008C796B"/>
    <w:rsid w:val="008C7A97"/>
    <w:rsid w:val="008D0A6B"/>
    <w:rsid w:val="008D1078"/>
    <w:rsid w:val="008D356F"/>
    <w:rsid w:val="008D4E56"/>
    <w:rsid w:val="008D5352"/>
    <w:rsid w:val="008D54C8"/>
    <w:rsid w:val="008D56F3"/>
    <w:rsid w:val="008D5DB6"/>
    <w:rsid w:val="008D6FEA"/>
    <w:rsid w:val="008D7392"/>
    <w:rsid w:val="008D79C1"/>
    <w:rsid w:val="008E0764"/>
    <w:rsid w:val="008E0F3D"/>
    <w:rsid w:val="008E0F68"/>
    <w:rsid w:val="008E2485"/>
    <w:rsid w:val="008E2584"/>
    <w:rsid w:val="008E2DCC"/>
    <w:rsid w:val="008E3219"/>
    <w:rsid w:val="008E444C"/>
    <w:rsid w:val="008E4E20"/>
    <w:rsid w:val="008E51B9"/>
    <w:rsid w:val="008E5AE2"/>
    <w:rsid w:val="008E5D6D"/>
    <w:rsid w:val="008E6AF0"/>
    <w:rsid w:val="008F0775"/>
    <w:rsid w:val="008F106C"/>
    <w:rsid w:val="008F261B"/>
    <w:rsid w:val="008F2766"/>
    <w:rsid w:val="008F4B15"/>
    <w:rsid w:val="008F5228"/>
    <w:rsid w:val="008F5960"/>
    <w:rsid w:val="008F5A64"/>
    <w:rsid w:val="008F5B9E"/>
    <w:rsid w:val="008F5FE1"/>
    <w:rsid w:val="008F6CD6"/>
    <w:rsid w:val="00900331"/>
    <w:rsid w:val="00904647"/>
    <w:rsid w:val="009047F2"/>
    <w:rsid w:val="009054B4"/>
    <w:rsid w:val="009057B6"/>
    <w:rsid w:val="00906570"/>
    <w:rsid w:val="00906698"/>
    <w:rsid w:val="00906890"/>
    <w:rsid w:val="00906E35"/>
    <w:rsid w:val="00910AEF"/>
    <w:rsid w:val="00912A80"/>
    <w:rsid w:val="00912FFB"/>
    <w:rsid w:val="0091366D"/>
    <w:rsid w:val="00913B93"/>
    <w:rsid w:val="00914A51"/>
    <w:rsid w:val="00914A7B"/>
    <w:rsid w:val="00914CB0"/>
    <w:rsid w:val="009152D4"/>
    <w:rsid w:val="00916396"/>
    <w:rsid w:val="009172EC"/>
    <w:rsid w:val="00917FB1"/>
    <w:rsid w:val="0092099C"/>
    <w:rsid w:val="009210F5"/>
    <w:rsid w:val="00922171"/>
    <w:rsid w:val="00922DB0"/>
    <w:rsid w:val="00923A45"/>
    <w:rsid w:val="00923D23"/>
    <w:rsid w:val="00924CF6"/>
    <w:rsid w:val="00925398"/>
    <w:rsid w:val="00926260"/>
    <w:rsid w:val="00926D05"/>
    <w:rsid w:val="0093165B"/>
    <w:rsid w:val="00931921"/>
    <w:rsid w:val="00931CD3"/>
    <w:rsid w:val="009322FC"/>
    <w:rsid w:val="00932362"/>
    <w:rsid w:val="0093269E"/>
    <w:rsid w:val="00932D85"/>
    <w:rsid w:val="00933439"/>
    <w:rsid w:val="00933B34"/>
    <w:rsid w:val="00934152"/>
    <w:rsid w:val="009347F2"/>
    <w:rsid w:val="00934C55"/>
    <w:rsid w:val="009352AF"/>
    <w:rsid w:val="00935B37"/>
    <w:rsid w:val="00941EC2"/>
    <w:rsid w:val="0094266C"/>
    <w:rsid w:val="00944A2E"/>
    <w:rsid w:val="009455F0"/>
    <w:rsid w:val="009471FA"/>
    <w:rsid w:val="009472CC"/>
    <w:rsid w:val="009472F7"/>
    <w:rsid w:val="009478F6"/>
    <w:rsid w:val="00950055"/>
    <w:rsid w:val="00951144"/>
    <w:rsid w:val="00951972"/>
    <w:rsid w:val="00952833"/>
    <w:rsid w:val="00952F4D"/>
    <w:rsid w:val="00954EC9"/>
    <w:rsid w:val="00956599"/>
    <w:rsid w:val="009573E6"/>
    <w:rsid w:val="0095778D"/>
    <w:rsid w:val="00957F52"/>
    <w:rsid w:val="009608B5"/>
    <w:rsid w:val="0096335B"/>
    <w:rsid w:val="009633AD"/>
    <w:rsid w:val="00963777"/>
    <w:rsid w:val="00964DAD"/>
    <w:rsid w:val="009668DC"/>
    <w:rsid w:val="00966AEE"/>
    <w:rsid w:val="00966D70"/>
    <w:rsid w:val="00967BC6"/>
    <w:rsid w:val="0097078D"/>
    <w:rsid w:val="00972342"/>
    <w:rsid w:val="00973043"/>
    <w:rsid w:val="00974766"/>
    <w:rsid w:val="009748D2"/>
    <w:rsid w:val="00974CB1"/>
    <w:rsid w:val="009755DF"/>
    <w:rsid w:val="00976F61"/>
    <w:rsid w:val="0097722F"/>
    <w:rsid w:val="00977E78"/>
    <w:rsid w:val="00981B9A"/>
    <w:rsid w:val="00982EDB"/>
    <w:rsid w:val="009833BC"/>
    <w:rsid w:val="00983505"/>
    <w:rsid w:val="00983591"/>
    <w:rsid w:val="009835AE"/>
    <w:rsid w:val="00983605"/>
    <w:rsid w:val="00984B5E"/>
    <w:rsid w:val="009903D3"/>
    <w:rsid w:val="009922C8"/>
    <w:rsid w:val="00992D6D"/>
    <w:rsid w:val="0099391E"/>
    <w:rsid w:val="009946B1"/>
    <w:rsid w:val="0099503E"/>
    <w:rsid w:val="00995969"/>
    <w:rsid w:val="00996875"/>
    <w:rsid w:val="009A0145"/>
    <w:rsid w:val="009A029C"/>
    <w:rsid w:val="009A10F7"/>
    <w:rsid w:val="009A11D3"/>
    <w:rsid w:val="009A15DF"/>
    <w:rsid w:val="009A1DBE"/>
    <w:rsid w:val="009A2B7D"/>
    <w:rsid w:val="009A3248"/>
    <w:rsid w:val="009A39D8"/>
    <w:rsid w:val="009A4C8F"/>
    <w:rsid w:val="009A541B"/>
    <w:rsid w:val="009A5A81"/>
    <w:rsid w:val="009A621B"/>
    <w:rsid w:val="009A6ABC"/>
    <w:rsid w:val="009B0173"/>
    <w:rsid w:val="009B04C1"/>
    <w:rsid w:val="009B0C08"/>
    <w:rsid w:val="009B0F70"/>
    <w:rsid w:val="009B1C1A"/>
    <w:rsid w:val="009B36B3"/>
    <w:rsid w:val="009B452A"/>
    <w:rsid w:val="009B4E5E"/>
    <w:rsid w:val="009B5B96"/>
    <w:rsid w:val="009B5D88"/>
    <w:rsid w:val="009B60F5"/>
    <w:rsid w:val="009B7725"/>
    <w:rsid w:val="009C06CB"/>
    <w:rsid w:val="009C2101"/>
    <w:rsid w:val="009C25CE"/>
    <w:rsid w:val="009C313E"/>
    <w:rsid w:val="009C4412"/>
    <w:rsid w:val="009C52A4"/>
    <w:rsid w:val="009C578C"/>
    <w:rsid w:val="009C674C"/>
    <w:rsid w:val="009D0277"/>
    <w:rsid w:val="009D0EA5"/>
    <w:rsid w:val="009D1B6A"/>
    <w:rsid w:val="009D223F"/>
    <w:rsid w:val="009D2F56"/>
    <w:rsid w:val="009D3162"/>
    <w:rsid w:val="009D4E8E"/>
    <w:rsid w:val="009D4EE3"/>
    <w:rsid w:val="009D5E44"/>
    <w:rsid w:val="009D61FB"/>
    <w:rsid w:val="009D625F"/>
    <w:rsid w:val="009D6E08"/>
    <w:rsid w:val="009D7CAD"/>
    <w:rsid w:val="009E0B17"/>
    <w:rsid w:val="009E1105"/>
    <w:rsid w:val="009E3D57"/>
    <w:rsid w:val="009E5CED"/>
    <w:rsid w:val="009E6E40"/>
    <w:rsid w:val="009E7FCB"/>
    <w:rsid w:val="009F0936"/>
    <w:rsid w:val="009F0ACC"/>
    <w:rsid w:val="009F0F4F"/>
    <w:rsid w:val="009F324E"/>
    <w:rsid w:val="009F35E3"/>
    <w:rsid w:val="009F36CA"/>
    <w:rsid w:val="009F56E9"/>
    <w:rsid w:val="009F5DB4"/>
    <w:rsid w:val="009F766C"/>
    <w:rsid w:val="009F7F68"/>
    <w:rsid w:val="00A008E7"/>
    <w:rsid w:val="00A00E6F"/>
    <w:rsid w:val="00A01BEE"/>
    <w:rsid w:val="00A01D37"/>
    <w:rsid w:val="00A023CC"/>
    <w:rsid w:val="00A0374A"/>
    <w:rsid w:val="00A03CDB"/>
    <w:rsid w:val="00A044EF"/>
    <w:rsid w:val="00A0454A"/>
    <w:rsid w:val="00A0487A"/>
    <w:rsid w:val="00A05E2F"/>
    <w:rsid w:val="00A102AF"/>
    <w:rsid w:val="00A11394"/>
    <w:rsid w:val="00A11A33"/>
    <w:rsid w:val="00A122BC"/>
    <w:rsid w:val="00A122D3"/>
    <w:rsid w:val="00A12791"/>
    <w:rsid w:val="00A12BE7"/>
    <w:rsid w:val="00A156CE"/>
    <w:rsid w:val="00A15AF7"/>
    <w:rsid w:val="00A1794D"/>
    <w:rsid w:val="00A17A4F"/>
    <w:rsid w:val="00A17AD3"/>
    <w:rsid w:val="00A17AF7"/>
    <w:rsid w:val="00A17DFD"/>
    <w:rsid w:val="00A20105"/>
    <w:rsid w:val="00A21B3F"/>
    <w:rsid w:val="00A24174"/>
    <w:rsid w:val="00A24805"/>
    <w:rsid w:val="00A24E5F"/>
    <w:rsid w:val="00A25B91"/>
    <w:rsid w:val="00A26108"/>
    <w:rsid w:val="00A26900"/>
    <w:rsid w:val="00A2722D"/>
    <w:rsid w:val="00A27797"/>
    <w:rsid w:val="00A27E6D"/>
    <w:rsid w:val="00A27F4A"/>
    <w:rsid w:val="00A309C0"/>
    <w:rsid w:val="00A32134"/>
    <w:rsid w:val="00A367A7"/>
    <w:rsid w:val="00A3791D"/>
    <w:rsid w:val="00A37E13"/>
    <w:rsid w:val="00A40D4A"/>
    <w:rsid w:val="00A40DA1"/>
    <w:rsid w:val="00A4155E"/>
    <w:rsid w:val="00A41977"/>
    <w:rsid w:val="00A42FF4"/>
    <w:rsid w:val="00A456FC"/>
    <w:rsid w:val="00A4661D"/>
    <w:rsid w:val="00A4714E"/>
    <w:rsid w:val="00A50BE7"/>
    <w:rsid w:val="00A5168F"/>
    <w:rsid w:val="00A53580"/>
    <w:rsid w:val="00A539E6"/>
    <w:rsid w:val="00A54654"/>
    <w:rsid w:val="00A54911"/>
    <w:rsid w:val="00A55441"/>
    <w:rsid w:val="00A56AA7"/>
    <w:rsid w:val="00A60120"/>
    <w:rsid w:val="00A6038F"/>
    <w:rsid w:val="00A60990"/>
    <w:rsid w:val="00A6234C"/>
    <w:rsid w:val="00A62869"/>
    <w:rsid w:val="00A62A08"/>
    <w:rsid w:val="00A62CFB"/>
    <w:rsid w:val="00A6508E"/>
    <w:rsid w:val="00A655FF"/>
    <w:rsid w:val="00A65CC7"/>
    <w:rsid w:val="00A662CC"/>
    <w:rsid w:val="00A66565"/>
    <w:rsid w:val="00A677D8"/>
    <w:rsid w:val="00A71921"/>
    <w:rsid w:val="00A72AAE"/>
    <w:rsid w:val="00A73245"/>
    <w:rsid w:val="00A736A6"/>
    <w:rsid w:val="00A73B5C"/>
    <w:rsid w:val="00A759AE"/>
    <w:rsid w:val="00A75BD5"/>
    <w:rsid w:val="00A76CD4"/>
    <w:rsid w:val="00A77019"/>
    <w:rsid w:val="00A771FD"/>
    <w:rsid w:val="00A77A2D"/>
    <w:rsid w:val="00A8077B"/>
    <w:rsid w:val="00A80A72"/>
    <w:rsid w:val="00A80B5D"/>
    <w:rsid w:val="00A81257"/>
    <w:rsid w:val="00A82749"/>
    <w:rsid w:val="00A833E3"/>
    <w:rsid w:val="00A83645"/>
    <w:rsid w:val="00A847D0"/>
    <w:rsid w:val="00A850D9"/>
    <w:rsid w:val="00A85C91"/>
    <w:rsid w:val="00A85DFA"/>
    <w:rsid w:val="00A90D9B"/>
    <w:rsid w:val="00A917B3"/>
    <w:rsid w:val="00A939F1"/>
    <w:rsid w:val="00A93A8F"/>
    <w:rsid w:val="00A9422D"/>
    <w:rsid w:val="00A943A6"/>
    <w:rsid w:val="00A9513B"/>
    <w:rsid w:val="00A95242"/>
    <w:rsid w:val="00A96211"/>
    <w:rsid w:val="00A9727B"/>
    <w:rsid w:val="00A97CA2"/>
    <w:rsid w:val="00AA12DE"/>
    <w:rsid w:val="00AA1634"/>
    <w:rsid w:val="00AA1FD6"/>
    <w:rsid w:val="00AA2857"/>
    <w:rsid w:val="00AA46FF"/>
    <w:rsid w:val="00AA75E4"/>
    <w:rsid w:val="00AA765C"/>
    <w:rsid w:val="00AA7666"/>
    <w:rsid w:val="00AB036B"/>
    <w:rsid w:val="00AB1897"/>
    <w:rsid w:val="00AB373C"/>
    <w:rsid w:val="00AB4B51"/>
    <w:rsid w:val="00AB7280"/>
    <w:rsid w:val="00AB75B5"/>
    <w:rsid w:val="00AC0E9B"/>
    <w:rsid w:val="00AC2812"/>
    <w:rsid w:val="00AC36AC"/>
    <w:rsid w:val="00AC3A2F"/>
    <w:rsid w:val="00AC424B"/>
    <w:rsid w:val="00AC46A9"/>
    <w:rsid w:val="00AC4DF5"/>
    <w:rsid w:val="00AC6834"/>
    <w:rsid w:val="00AC7B49"/>
    <w:rsid w:val="00AC7D40"/>
    <w:rsid w:val="00AD034C"/>
    <w:rsid w:val="00AD0C10"/>
    <w:rsid w:val="00AD1A37"/>
    <w:rsid w:val="00AD2129"/>
    <w:rsid w:val="00AD2E58"/>
    <w:rsid w:val="00AD349E"/>
    <w:rsid w:val="00AD3596"/>
    <w:rsid w:val="00AD4672"/>
    <w:rsid w:val="00AD66BA"/>
    <w:rsid w:val="00AD722E"/>
    <w:rsid w:val="00AE0A01"/>
    <w:rsid w:val="00AE0E02"/>
    <w:rsid w:val="00AE1A34"/>
    <w:rsid w:val="00AE1E22"/>
    <w:rsid w:val="00AE1F63"/>
    <w:rsid w:val="00AE376C"/>
    <w:rsid w:val="00AE43EC"/>
    <w:rsid w:val="00AE4CC4"/>
    <w:rsid w:val="00AE6B67"/>
    <w:rsid w:val="00AE6F9A"/>
    <w:rsid w:val="00AF030D"/>
    <w:rsid w:val="00AF0613"/>
    <w:rsid w:val="00AF0C40"/>
    <w:rsid w:val="00AF1375"/>
    <w:rsid w:val="00AF14BB"/>
    <w:rsid w:val="00AF4116"/>
    <w:rsid w:val="00AF4756"/>
    <w:rsid w:val="00AF4792"/>
    <w:rsid w:val="00AF4F90"/>
    <w:rsid w:val="00AF6B35"/>
    <w:rsid w:val="00AF6FE6"/>
    <w:rsid w:val="00B02102"/>
    <w:rsid w:val="00B02D5B"/>
    <w:rsid w:val="00B040B5"/>
    <w:rsid w:val="00B05224"/>
    <w:rsid w:val="00B06D96"/>
    <w:rsid w:val="00B07235"/>
    <w:rsid w:val="00B1098E"/>
    <w:rsid w:val="00B10CC7"/>
    <w:rsid w:val="00B12198"/>
    <w:rsid w:val="00B125F7"/>
    <w:rsid w:val="00B128D9"/>
    <w:rsid w:val="00B132E8"/>
    <w:rsid w:val="00B1460D"/>
    <w:rsid w:val="00B149C8"/>
    <w:rsid w:val="00B14A24"/>
    <w:rsid w:val="00B15E3A"/>
    <w:rsid w:val="00B17C2F"/>
    <w:rsid w:val="00B2137D"/>
    <w:rsid w:val="00B21625"/>
    <w:rsid w:val="00B21858"/>
    <w:rsid w:val="00B21F86"/>
    <w:rsid w:val="00B21F91"/>
    <w:rsid w:val="00B2204B"/>
    <w:rsid w:val="00B223A7"/>
    <w:rsid w:val="00B22BFC"/>
    <w:rsid w:val="00B22D72"/>
    <w:rsid w:val="00B22FDA"/>
    <w:rsid w:val="00B237EC"/>
    <w:rsid w:val="00B251A2"/>
    <w:rsid w:val="00B25843"/>
    <w:rsid w:val="00B25F3F"/>
    <w:rsid w:val="00B2602A"/>
    <w:rsid w:val="00B26300"/>
    <w:rsid w:val="00B26C13"/>
    <w:rsid w:val="00B26DA2"/>
    <w:rsid w:val="00B27FC0"/>
    <w:rsid w:val="00B306D9"/>
    <w:rsid w:val="00B319E0"/>
    <w:rsid w:val="00B31A9C"/>
    <w:rsid w:val="00B31D9F"/>
    <w:rsid w:val="00B322C1"/>
    <w:rsid w:val="00B332F1"/>
    <w:rsid w:val="00B339B5"/>
    <w:rsid w:val="00B344B9"/>
    <w:rsid w:val="00B34633"/>
    <w:rsid w:val="00B35E86"/>
    <w:rsid w:val="00B365D8"/>
    <w:rsid w:val="00B36BC7"/>
    <w:rsid w:val="00B37372"/>
    <w:rsid w:val="00B37D5B"/>
    <w:rsid w:val="00B40550"/>
    <w:rsid w:val="00B405F1"/>
    <w:rsid w:val="00B40DA3"/>
    <w:rsid w:val="00B40EB1"/>
    <w:rsid w:val="00B413D0"/>
    <w:rsid w:val="00B41426"/>
    <w:rsid w:val="00B41A96"/>
    <w:rsid w:val="00B41D03"/>
    <w:rsid w:val="00B4229E"/>
    <w:rsid w:val="00B42C21"/>
    <w:rsid w:val="00B43150"/>
    <w:rsid w:val="00B437F8"/>
    <w:rsid w:val="00B43ECD"/>
    <w:rsid w:val="00B43F7B"/>
    <w:rsid w:val="00B44BB9"/>
    <w:rsid w:val="00B46348"/>
    <w:rsid w:val="00B465DD"/>
    <w:rsid w:val="00B47EA2"/>
    <w:rsid w:val="00B5025C"/>
    <w:rsid w:val="00B511D3"/>
    <w:rsid w:val="00B517B3"/>
    <w:rsid w:val="00B5199C"/>
    <w:rsid w:val="00B51B21"/>
    <w:rsid w:val="00B51B60"/>
    <w:rsid w:val="00B5217C"/>
    <w:rsid w:val="00B52AC4"/>
    <w:rsid w:val="00B543CC"/>
    <w:rsid w:val="00B54D3B"/>
    <w:rsid w:val="00B57D82"/>
    <w:rsid w:val="00B57E56"/>
    <w:rsid w:val="00B621F9"/>
    <w:rsid w:val="00B62458"/>
    <w:rsid w:val="00B63E10"/>
    <w:rsid w:val="00B63E3D"/>
    <w:rsid w:val="00B65DA5"/>
    <w:rsid w:val="00B6626B"/>
    <w:rsid w:val="00B67F2B"/>
    <w:rsid w:val="00B70336"/>
    <w:rsid w:val="00B70CE2"/>
    <w:rsid w:val="00B735E1"/>
    <w:rsid w:val="00B73722"/>
    <w:rsid w:val="00B739E8"/>
    <w:rsid w:val="00B73FC7"/>
    <w:rsid w:val="00B74B01"/>
    <w:rsid w:val="00B74C20"/>
    <w:rsid w:val="00B751AD"/>
    <w:rsid w:val="00B76FD5"/>
    <w:rsid w:val="00B8088F"/>
    <w:rsid w:val="00B80A73"/>
    <w:rsid w:val="00B80BA2"/>
    <w:rsid w:val="00B858D3"/>
    <w:rsid w:val="00B86898"/>
    <w:rsid w:val="00B868AE"/>
    <w:rsid w:val="00B86CFB"/>
    <w:rsid w:val="00B87566"/>
    <w:rsid w:val="00B877B5"/>
    <w:rsid w:val="00B87A1F"/>
    <w:rsid w:val="00B9030E"/>
    <w:rsid w:val="00B91E2F"/>
    <w:rsid w:val="00B9246E"/>
    <w:rsid w:val="00B92B4A"/>
    <w:rsid w:val="00B93FCC"/>
    <w:rsid w:val="00B9405B"/>
    <w:rsid w:val="00B94151"/>
    <w:rsid w:val="00B953BC"/>
    <w:rsid w:val="00B967D1"/>
    <w:rsid w:val="00BA1EA3"/>
    <w:rsid w:val="00BA2210"/>
    <w:rsid w:val="00BA270D"/>
    <w:rsid w:val="00BA3170"/>
    <w:rsid w:val="00BA576E"/>
    <w:rsid w:val="00BA5DE1"/>
    <w:rsid w:val="00BB01B7"/>
    <w:rsid w:val="00BB02EE"/>
    <w:rsid w:val="00BB08AA"/>
    <w:rsid w:val="00BB0C33"/>
    <w:rsid w:val="00BB128D"/>
    <w:rsid w:val="00BB1C25"/>
    <w:rsid w:val="00BB3159"/>
    <w:rsid w:val="00BB41BB"/>
    <w:rsid w:val="00BB6411"/>
    <w:rsid w:val="00BB64DF"/>
    <w:rsid w:val="00BB79F0"/>
    <w:rsid w:val="00BC008F"/>
    <w:rsid w:val="00BC0D30"/>
    <w:rsid w:val="00BC1242"/>
    <w:rsid w:val="00BC190B"/>
    <w:rsid w:val="00BC1E48"/>
    <w:rsid w:val="00BC3321"/>
    <w:rsid w:val="00BC3925"/>
    <w:rsid w:val="00BC7D6B"/>
    <w:rsid w:val="00BD04FC"/>
    <w:rsid w:val="00BD1239"/>
    <w:rsid w:val="00BD15C9"/>
    <w:rsid w:val="00BD2093"/>
    <w:rsid w:val="00BD2793"/>
    <w:rsid w:val="00BD28DF"/>
    <w:rsid w:val="00BD2B80"/>
    <w:rsid w:val="00BD33EE"/>
    <w:rsid w:val="00BD4803"/>
    <w:rsid w:val="00BD5C61"/>
    <w:rsid w:val="00BD68B5"/>
    <w:rsid w:val="00BD7A7C"/>
    <w:rsid w:val="00BE0062"/>
    <w:rsid w:val="00BE11B6"/>
    <w:rsid w:val="00BE1EFE"/>
    <w:rsid w:val="00BE2AE2"/>
    <w:rsid w:val="00BE4243"/>
    <w:rsid w:val="00BE4F3A"/>
    <w:rsid w:val="00BE6AD6"/>
    <w:rsid w:val="00BF172D"/>
    <w:rsid w:val="00BF1DBD"/>
    <w:rsid w:val="00BF26C6"/>
    <w:rsid w:val="00BF347A"/>
    <w:rsid w:val="00BF3876"/>
    <w:rsid w:val="00BF407C"/>
    <w:rsid w:val="00BF40BB"/>
    <w:rsid w:val="00BF44D9"/>
    <w:rsid w:val="00BF53BF"/>
    <w:rsid w:val="00BF609F"/>
    <w:rsid w:val="00C00BBE"/>
    <w:rsid w:val="00C01D06"/>
    <w:rsid w:val="00C01EA5"/>
    <w:rsid w:val="00C02EA6"/>
    <w:rsid w:val="00C03EA2"/>
    <w:rsid w:val="00C050DF"/>
    <w:rsid w:val="00C06CEF"/>
    <w:rsid w:val="00C07A45"/>
    <w:rsid w:val="00C1007C"/>
    <w:rsid w:val="00C11481"/>
    <w:rsid w:val="00C11979"/>
    <w:rsid w:val="00C12A4B"/>
    <w:rsid w:val="00C12CC5"/>
    <w:rsid w:val="00C1346D"/>
    <w:rsid w:val="00C15012"/>
    <w:rsid w:val="00C1557A"/>
    <w:rsid w:val="00C1656E"/>
    <w:rsid w:val="00C171CF"/>
    <w:rsid w:val="00C17293"/>
    <w:rsid w:val="00C201E6"/>
    <w:rsid w:val="00C20A99"/>
    <w:rsid w:val="00C20C84"/>
    <w:rsid w:val="00C2108D"/>
    <w:rsid w:val="00C21704"/>
    <w:rsid w:val="00C22DB5"/>
    <w:rsid w:val="00C23595"/>
    <w:rsid w:val="00C23CFA"/>
    <w:rsid w:val="00C245BE"/>
    <w:rsid w:val="00C2527D"/>
    <w:rsid w:val="00C26935"/>
    <w:rsid w:val="00C274EA"/>
    <w:rsid w:val="00C275AD"/>
    <w:rsid w:val="00C27796"/>
    <w:rsid w:val="00C27ECE"/>
    <w:rsid w:val="00C3145E"/>
    <w:rsid w:val="00C3194E"/>
    <w:rsid w:val="00C31B53"/>
    <w:rsid w:val="00C31DC7"/>
    <w:rsid w:val="00C33381"/>
    <w:rsid w:val="00C34079"/>
    <w:rsid w:val="00C3586B"/>
    <w:rsid w:val="00C35995"/>
    <w:rsid w:val="00C370FE"/>
    <w:rsid w:val="00C37162"/>
    <w:rsid w:val="00C37B60"/>
    <w:rsid w:val="00C40B1C"/>
    <w:rsid w:val="00C40B31"/>
    <w:rsid w:val="00C41747"/>
    <w:rsid w:val="00C41944"/>
    <w:rsid w:val="00C41D41"/>
    <w:rsid w:val="00C42E8F"/>
    <w:rsid w:val="00C435FF"/>
    <w:rsid w:val="00C44E4D"/>
    <w:rsid w:val="00C44F4A"/>
    <w:rsid w:val="00C4531B"/>
    <w:rsid w:val="00C45D1D"/>
    <w:rsid w:val="00C46199"/>
    <w:rsid w:val="00C46D4B"/>
    <w:rsid w:val="00C46DBB"/>
    <w:rsid w:val="00C51360"/>
    <w:rsid w:val="00C51595"/>
    <w:rsid w:val="00C52577"/>
    <w:rsid w:val="00C52D75"/>
    <w:rsid w:val="00C54F9E"/>
    <w:rsid w:val="00C5631D"/>
    <w:rsid w:val="00C56FC7"/>
    <w:rsid w:val="00C600ED"/>
    <w:rsid w:val="00C60F0C"/>
    <w:rsid w:val="00C632DC"/>
    <w:rsid w:val="00C63614"/>
    <w:rsid w:val="00C63675"/>
    <w:rsid w:val="00C63ABB"/>
    <w:rsid w:val="00C6523B"/>
    <w:rsid w:val="00C67926"/>
    <w:rsid w:val="00C7068C"/>
    <w:rsid w:val="00C70A88"/>
    <w:rsid w:val="00C70D8A"/>
    <w:rsid w:val="00C71035"/>
    <w:rsid w:val="00C72AD2"/>
    <w:rsid w:val="00C74827"/>
    <w:rsid w:val="00C74BD9"/>
    <w:rsid w:val="00C75983"/>
    <w:rsid w:val="00C76505"/>
    <w:rsid w:val="00C76DD7"/>
    <w:rsid w:val="00C805C9"/>
    <w:rsid w:val="00C81042"/>
    <w:rsid w:val="00C812F6"/>
    <w:rsid w:val="00C81CC0"/>
    <w:rsid w:val="00C82632"/>
    <w:rsid w:val="00C82933"/>
    <w:rsid w:val="00C8304B"/>
    <w:rsid w:val="00C831D1"/>
    <w:rsid w:val="00C83B5E"/>
    <w:rsid w:val="00C84936"/>
    <w:rsid w:val="00C8576C"/>
    <w:rsid w:val="00C86E56"/>
    <w:rsid w:val="00C86F64"/>
    <w:rsid w:val="00C877D5"/>
    <w:rsid w:val="00C90A6F"/>
    <w:rsid w:val="00C90CA0"/>
    <w:rsid w:val="00C9186B"/>
    <w:rsid w:val="00C92DF0"/>
    <w:rsid w:val="00C92E37"/>
    <w:rsid w:val="00C9363A"/>
    <w:rsid w:val="00C94C0F"/>
    <w:rsid w:val="00C95186"/>
    <w:rsid w:val="00C96992"/>
    <w:rsid w:val="00C96E5C"/>
    <w:rsid w:val="00C976CB"/>
    <w:rsid w:val="00CA03E3"/>
    <w:rsid w:val="00CA08E6"/>
    <w:rsid w:val="00CA1679"/>
    <w:rsid w:val="00CA21A7"/>
    <w:rsid w:val="00CA3FFE"/>
    <w:rsid w:val="00CA45E0"/>
    <w:rsid w:val="00CA69BD"/>
    <w:rsid w:val="00CB058C"/>
    <w:rsid w:val="00CB0724"/>
    <w:rsid w:val="00CB0C5E"/>
    <w:rsid w:val="00CB13D9"/>
    <w:rsid w:val="00CB1670"/>
    <w:rsid w:val="00CB2F63"/>
    <w:rsid w:val="00CB3474"/>
    <w:rsid w:val="00CB3F34"/>
    <w:rsid w:val="00CB4332"/>
    <w:rsid w:val="00CB4CEE"/>
    <w:rsid w:val="00CB58B7"/>
    <w:rsid w:val="00CC2710"/>
    <w:rsid w:val="00CC28BB"/>
    <w:rsid w:val="00CC2EF6"/>
    <w:rsid w:val="00CC3994"/>
    <w:rsid w:val="00CC3A4B"/>
    <w:rsid w:val="00CC4B7A"/>
    <w:rsid w:val="00CC5DB1"/>
    <w:rsid w:val="00CC623B"/>
    <w:rsid w:val="00CC6B0D"/>
    <w:rsid w:val="00CC7BF1"/>
    <w:rsid w:val="00CC7C91"/>
    <w:rsid w:val="00CD048A"/>
    <w:rsid w:val="00CD08F1"/>
    <w:rsid w:val="00CD100C"/>
    <w:rsid w:val="00CD168D"/>
    <w:rsid w:val="00CD1E4E"/>
    <w:rsid w:val="00CD4531"/>
    <w:rsid w:val="00CD53CC"/>
    <w:rsid w:val="00CD58A3"/>
    <w:rsid w:val="00CD5FCA"/>
    <w:rsid w:val="00CD72C3"/>
    <w:rsid w:val="00CD7BF5"/>
    <w:rsid w:val="00CE099F"/>
    <w:rsid w:val="00CE19F1"/>
    <w:rsid w:val="00CE2406"/>
    <w:rsid w:val="00CE3032"/>
    <w:rsid w:val="00CE3A91"/>
    <w:rsid w:val="00CE4241"/>
    <w:rsid w:val="00CE4B32"/>
    <w:rsid w:val="00CE4C87"/>
    <w:rsid w:val="00CE537E"/>
    <w:rsid w:val="00CE5A83"/>
    <w:rsid w:val="00CE6A7D"/>
    <w:rsid w:val="00CE6DCC"/>
    <w:rsid w:val="00CF0107"/>
    <w:rsid w:val="00CF0344"/>
    <w:rsid w:val="00CF0998"/>
    <w:rsid w:val="00CF11D7"/>
    <w:rsid w:val="00CF1BEE"/>
    <w:rsid w:val="00CF1CC3"/>
    <w:rsid w:val="00CF26BC"/>
    <w:rsid w:val="00CF3F3A"/>
    <w:rsid w:val="00CF4803"/>
    <w:rsid w:val="00CF4A59"/>
    <w:rsid w:val="00CF4EEA"/>
    <w:rsid w:val="00CF56C8"/>
    <w:rsid w:val="00CF59CA"/>
    <w:rsid w:val="00CF7734"/>
    <w:rsid w:val="00CF7782"/>
    <w:rsid w:val="00CF7A32"/>
    <w:rsid w:val="00CF7DBD"/>
    <w:rsid w:val="00D0026D"/>
    <w:rsid w:val="00D00693"/>
    <w:rsid w:val="00D0129A"/>
    <w:rsid w:val="00D01A9B"/>
    <w:rsid w:val="00D02E87"/>
    <w:rsid w:val="00D02FB1"/>
    <w:rsid w:val="00D03712"/>
    <w:rsid w:val="00D03AF1"/>
    <w:rsid w:val="00D0408C"/>
    <w:rsid w:val="00D044D8"/>
    <w:rsid w:val="00D04F67"/>
    <w:rsid w:val="00D06048"/>
    <w:rsid w:val="00D07194"/>
    <w:rsid w:val="00D11C1D"/>
    <w:rsid w:val="00D11D93"/>
    <w:rsid w:val="00D13EA2"/>
    <w:rsid w:val="00D14247"/>
    <w:rsid w:val="00D14412"/>
    <w:rsid w:val="00D15DD5"/>
    <w:rsid w:val="00D16085"/>
    <w:rsid w:val="00D175ED"/>
    <w:rsid w:val="00D22A3F"/>
    <w:rsid w:val="00D232C4"/>
    <w:rsid w:val="00D233FE"/>
    <w:rsid w:val="00D25210"/>
    <w:rsid w:val="00D2533A"/>
    <w:rsid w:val="00D267D7"/>
    <w:rsid w:val="00D27A9D"/>
    <w:rsid w:val="00D27D18"/>
    <w:rsid w:val="00D301D5"/>
    <w:rsid w:val="00D33256"/>
    <w:rsid w:val="00D338D6"/>
    <w:rsid w:val="00D35F22"/>
    <w:rsid w:val="00D36A19"/>
    <w:rsid w:val="00D36EDC"/>
    <w:rsid w:val="00D37A2B"/>
    <w:rsid w:val="00D37AAF"/>
    <w:rsid w:val="00D37B45"/>
    <w:rsid w:val="00D409BD"/>
    <w:rsid w:val="00D40E5F"/>
    <w:rsid w:val="00D410FC"/>
    <w:rsid w:val="00D4267F"/>
    <w:rsid w:val="00D4407F"/>
    <w:rsid w:val="00D4489A"/>
    <w:rsid w:val="00D45633"/>
    <w:rsid w:val="00D4607E"/>
    <w:rsid w:val="00D466F0"/>
    <w:rsid w:val="00D46B0C"/>
    <w:rsid w:val="00D46D30"/>
    <w:rsid w:val="00D4750E"/>
    <w:rsid w:val="00D5042C"/>
    <w:rsid w:val="00D51475"/>
    <w:rsid w:val="00D5354A"/>
    <w:rsid w:val="00D55041"/>
    <w:rsid w:val="00D55A88"/>
    <w:rsid w:val="00D55CDB"/>
    <w:rsid w:val="00D5702D"/>
    <w:rsid w:val="00D6184F"/>
    <w:rsid w:val="00D62047"/>
    <w:rsid w:val="00D62091"/>
    <w:rsid w:val="00D62977"/>
    <w:rsid w:val="00D62E27"/>
    <w:rsid w:val="00D63459"/>
    <w:rsid w:val="00D649D7"/>
    <w:rsid w:val="00D64EA6"/>
    <w:rsid w:val="00D706D9"/>
    <w:rsid w:val="00D736A9"/>
    <w:rsid w:val="00D809C0"/>
    <w:rsid w:val="00D80BBB"/>
    <w:rsid w:val="00D80FB5"/>
    <w:rsid w:val="00D812DE"/>
    <w:rsid w:val="00D814C8"/>
    <w:rsid w:val="00D81716"/>
    <w:rsid w:val="00D8184D"/>
    <w:rsid w:val="00D81996"/>
    <w:rsid w:val="00D81AEE"/>
    <w:rsid w:val="00D81D33"/>
    <w:rsid w:val="00D82742"/>
    <w:rsid w:val="00D83A2A"/>
    <w:rsid w:val="00D83CCD"/>
    <w:rsid w:val="00D843E4"/>
    <w:rsid w:val="00D86230"/>
    <w:rsid w:val="00D8624C"/>
    <w:rsid w:val="00D877FF"/>
    <w:rsid w:val="00D90138"/>
    <w:rsid w:val="00D90B40"/>
    <w:rsid w:val="00D90D6F"/>
    <w:rsid w:val="00D91989"/>
    <w:rsid w:val="00D92096"/>
    <w:rsid w:val="00D92B23"/>
    <w:rsid w:val="00D94764"/>
    <w:rsid w:val="00D9646C"/>
    <w:rsid w:val="00D96EAB"/>
    <w:rsid w:val="00DA0289"/>
    <w:rsid w:val="00DA0629"/>
    <w:rsid w:val="00DA14D0"/>
    <w:rsid w:val="00DA3739"/>
    <w:rsid w:val="00DA4A30"/>
    <w:rsid w:val="00DA5653"/>
    <w:rsid w:val="00DA58AC"/>
    <w:rsid w:val="00DA77BE"/>
    <w:rsid w:val="00DB041A"/>
    <w:rsid w:val="00DB0B6F"/>
    <w:rsid w:val="00DB0E46"/>
    <w:rsid w:val="00DB114D"/>
    <w:rsid w:val="00DB3B06"/>
    <w:rsid w:val="00DB3C57"/>
    <w:rsid w:val="00DB5F17"/>
    <w:rsid w:val="00DB5F33"/>
    <w:rsid w:val="00DB6720"/>
    <w:rsid w:val="00DB6F96"/>
    <w:rsid w:val="00DC030F"/>
    <w:rsid w:val="00DC0373"/>
    <w:rsid w:val="00DC0D18"/>
    <w:rsid w:val="00DC107A"/>
    <w:rsid w:val="00DC2C4F"/>
    <w:rsid w:val="00DC3432"/>
    <w:rsid w:val="00DC56CD"/>
    <w:rsid w:val="00DC6A74"/>
    <w:rsid w:val="00DC739F"/>
    <w:rsid w:val="00DC788A"/>
    <w:rsid w:val="00DD0002"/>
    <w:rsid w:val="00DD0A03"/>
    <w:rsid w:val="00DD0E43"/>
    <w:rsid w:val="00DD3109"/>
    <w:rsid w:val="00DD3492"/>
    <w:rsid w:val="00DD46A9"/>
    <w:rsid w:val="00DD57CB"/>
    <w:rsid w:val="00DD61B0"/>
    <w:rsid w:val="00DD61D3"/>
    <w:rsid w:val="00DD6925"/>
    <w:rsid w:val="00DE23A9"/>
    <w:rsid w:val="00DE2975"/>
    <w:rsid w:val="00DE31EB"/>
    <w:rsid w:val="00DE387C"/>
    <w:rsid w:val="00DE44AD"/>
    <w:rsid w:val="00DE480F"/>
    <w:rsid w:val="00DE4DCC"/>
    <w:rsid w:val="00DE64BA"/>
    <w:rsid w:val="00DE6968"/>
    <w:rsid w:val="00DF1E6E"/>
    <w:rsid w:val="00DF2A51"/>
    <w:rsid w:val="00DF300C"/>
    <w:rsid w:val="00DF4055"/>
    <w:rsid w:val="00DF4724"/>
    <w:rsid w:val="00DF4A42"/>
    <w:rsid w:val="00DF4FAA"/>
    <w:rsid w:val="00DF5745"/>
    <w:rsid w:val="00DF5A33"/>
    <w:rsid w:val="00E01BBE"/>
    <w:rsid w:val="00E0244A"/>
    <w:rsid w:val="00E02848"/>
    <w:rsid w:val="00E02AA0"/>
    <w:rsid w:val="00E0387D"/>
    <w:rsid w:val="00E039CD"/>
    <w:rsid w:val="00E046BD"/>
    <w:rsid w:val="00E056D6"/>
    <w:rsid w:val="00E0644C"/>
    <w:rsid w:val="00E074FC"/>
    <w:rsid w:val="00E102A7"/>
    <w:rsid w:val="00E1098A"/>
    <w:rsid w:val="00E114C5"/>
    <w:rsid w:val="00E14815"/>
    <w:rsid w:val="00E14B9F"/>
    <w:rsid w:val="00E15CA8"/>
    <w:rsid w:val="00E15F07"/>
    <w:rsid w:val="00E15FB3"/>
    <w:rsid w:val="00E179D2"/>
    <w:rsid w:val="00E20758"/>
    <w:rsid w:val="00E21336"/>
    <w:rsid w:val="00E213B2"/>
    <w:rsid w:val="00E2160E"/>
    <w:rsid w:val="00E21BBA"/>
    <w:rsid w:val="00E22983"/>
    <w:rsid w:val="00E23488"/>
    <w:rsid w:val="00E23691"/>
    <w:rsid w:val="00E242B4"/>
    <w:rsid w:val="00E2462C"/>
    <w:rsid w:val="00E246D9"/>
    <w:rsid w:val="00E24D65"/>
    <w:rsid w:val="00E256C1"/>
    <w:rsid w:val="00E2645C"/>
    <w:rsid w:val="00E268E5"/>
    <w:rsid w:val="00E27222"/>
    <w:rsid w:val="00E27956"/>
    <w:rsid w:val="00E3004E"/>
    <w:rsid w:val="00E30399"/>
    <w:rsid w:val="00E30A97"/>
    <w:rsid w:val="00E313CC"/>
    <w:rsid w:val="00E31B20"/>
    <w:rsid w:val="00E32B03"/>
    <w:rsid w:val="00E34227"/>
    <w:rsid w:val="00E36845"/>
    <w:rsid w:val="00E36D3B"/>
    <w:rsid w:val="00E37167"/>
    <w:rsid w:val="00E371D0"/>
    <w:rsid w:val="00E413ED"/>
    <w:rsid w:val="00E414C8"/>
    <w:rsid w:val="00E42B2D"/>
    <w:rsid w:val="00E44D42"/>
    <w:rsid w:val="00E4596A"/>
    <w:rsid w:val="00E46660"/>
    <w:rsid w:val="00E46E80"/>
    <w:rsid w:val="00E478D8"/>
    <w:rsid w:val="00E50427"/>
    <w:rsid w:val="00E5280E"/>
    <w:rsid w:val="00E533CF"/>
    <w:rsid w:val="00E537A1"/>
    <w:rsid w:val="00E558FF"/>
    <w:rsid w:val="00E55C60"/>
    <w:rsid w:val="00E55E98"/>
    <w:rsid w:val="00E56ED8"/>
    <w:rsid w:val="00E57A37"/>
    <w:rsid w:val="00E6247A"/>
    <w:rsid w:val="00E62E6F"/>
    <w:rsid w:val="00E642A8"/>
    <w:rsid w:val="00E646A3"/>
    <w:rsid w:val="00E64853"/>
    <w:rsid w:val="00E64BE8"/>
    <w:rsid w:val="00E701E8"/>
    <w:rsid w:val="00E7055A"/>
    <w:rsid w:val="00E718AF"/>
    <w:rsid w:val="00E73EA2"/>
    <w:rsid w:val="00E73F76"/>
    <w:rsid w:val="00E742DE"/>
    <w:rsid w:val="00E75194"/>
    <w:rsid w:val="00E75448"/>
    <w:rsid w:val="00E7549E"/>
    <w:rsid w:val="00E75707"/>
    <w:rsid w:val="00E76146"/>
    <w:rsid w:val="00E77F5A"/>
    <w:rsid w:val="00E80C4E"/>
    <w:rsid w:val="00E813D0"/>
    <w:rsid w:val="00E8263E"/>
    <w:rsid w:val="00E8325A"/>
    <w:rsid w:val="00E83979"/>
    <w:rsid w:val="00E841C6"/>
    <w:rsid w:val="00E84B83"/>
    <w:rsid w:val="00E85A18"/>
    <w:rsid w:val="00E863CD"/>
    <w:rsid w:val="00E877B5"/>
    <w:rsid w:val="00E9094E"/>
    <w:rsid w:val="00E9272C"/>
    <w:rsid w:val="00E9336B"/>
    <w:rsid w:val="00E93B12"/>
    <w:rsid w:val="00E93D7C"/>
    <w:rsid w:val="00E93F8D"/>
    <w:rsid w:val="00E9416D"/>
    <w:rsid w:val="00E95172"/>
    <w:rsid w:val="00E9671E"/>
    <w:rsid w:val="00EA1211"/>
    <w:rsid w:val="00EA164F"/>
    <w:rsid w:val="00EA267F"/>
    <w:rsid w:val="00EA2AA1"/>
    <w:rsid w:val="00EA2CFF"/>
    <w:rsid w:val="00EA2F2A"/>
    <w:rsid w:val="00EA3485"/>
    <w:rsid w:val="00EA4560"/>
    <w:rsid w:val="00EA4C73"/>
    <w:rsid w:val="00EA6354"/>
    <w:rsid w:val="00EA7AC5"/>
    <w:rsid w:val="00EB0B3C"/>
    <w:rsid w:val="00EB1812"/>
    <w:rsid w:val="00EB1ABE"/>
    <w:rsid w:val="00EB2118"/>
    <w:rsid w:val="00EB22D2"/>
    <w:rsid w:val="00EB2C13"/>
    <w:rsid w:val="00EB33B4"/>
    <w:rsid w:val="00EB35AD"/>
    <w:rsid w:val="00EB3BC9"/>
    <w:rsid w:val="00EB47FB"/>
    <w:rsid w:val="00EB4D65"/>
    <w:rsid w:val="00EB4DA4"/>
    <w:rsid w:val="00EB5321"/>
    <w:rsid w:val="00EB6941"/>
    <w:rsid w:val="00EB7AD0"/>
    <w:rsid w:val="00EC030B"/>
    <w:rsid w:val="00EC0C7F"/>
    <w:rsid w:val="00EC0E9F"/>
    <w:rsid w:val="00EC181B"/>
    <w:rsid w:val="00EC199F"/>
    <w:rsid w:val="00EC1CDF"/>
    <w:rsid w:val="00EC1D65"/>
    <w:rsid w:val="00EC2092"/>
    <w:rsid w:val="00EC2570"/>
    <w:rsid w:val="00EC2ADF"/>
    <w:rsid w:val="00EC2B3E"/>
    <w:rsid w:val="00EC2EC5"/>
    <w:rsid w:val="00EC3F11"/>
    <w:rsid w:val="00EC49EE"/>
    <w:rsid w:val="00EC4A59"/>
    <w:rsid w:val="00EC4C65"/>
    <w:rsid w:val="00EC6DDE"/>
    <w:rsid w:val="00EC72B8"/>
    <w:rsid w:val="00EC7990"/>
    <w:rsid w:val="00ED1EB8"/>
    <w:rsid w:val="00ED2922"/>
    <w:rsid w:val="00ED377C"/>
    <w:rsid w:val="00ED37E1"/>
    <w:rsid w:val="00ED4D4E"/>
    <w:rsid w:val="00ED5B89"/>
    <w:rsid w:val="00ED6291"/>
    <w:rsid w:val="00ED709D"/>
    <w:rsid w:val="00ED751B"/>
    <w:rsid w:val="00EE026A"/>
    <w:rsid w:val="00EE0AC4"/>
    <w:rsid w:val="00EE0B47"/>
    <w:rsid w:val="00EE0DE5"/>
    <w:rsid w:val="00EE0F00"/>
    <w:rsid w:val="00EE178D"/>
    <w:rsid w:val="00EE21F1"/>
    <w:rsid w:val="00EE3AFD"/>
    <w:rsid w:val="00EE496F"/>
    <w:rsid w:val="00EE4A31"/>
    <w:rsid w:val="00EE5D6A"/>
    <w:rsid w:val="00EE60CA"/>
    <w:rsid w:val="00EE6E59"/>
    <w:rsid w:val="00EF07B7"/>
    <w:rsid w:val="00EF1360"/>
    <w:rsid w:val="00EF16D9"/>
    <w:rsid w:val="00EF216F"/>
    <w:rsid w:val="00EF3220"/>
    <w:rsid w:val="00EF3F34"/>
    <w:rsid w:val="00EF4AAD"/>
    <w:rsid w:val="00EF631A"/>
    <w:rsid w:val="00EF6955"/>
    <w:rsid w:val="00EF7658"/>
    <w:rsid w:val="00F002C4"/>
    <w:rsid w:val="00F00FA8"/>
    <w:rsid w:val="00F01613"/>
    <w:rsid w:val="00F01BB7"/>
    <w:rsid w:val="00F01FB2"/>
    <w:rsid w:val="00F02982"/>
    <w:rsid w:val="00F03213"/>
    <w:rsid w:val="00F05FF8"/>
    <w:rsid w:val="00F06965"/>
    <w:rsid w:val="00F06FBF"/>
    <w:rsid w:val="00F0723A"/>
    <w:rsid w:val="00F0786A"/>
    <w:rsid w:val="00F1276D"/>
    <w:rsid w:val="00F13AD9"/>
    <w:rsid w:val="00F144E3"/>
    <w:rsid w:val="00F14693"/>
    <w:rsid w:val="00F1561B"/>
    <w:rsid w:val="00F15899"/>
    <w:rsid w:val="00F15E08"/>
    <w:rsid w:val="00F2051A"/>
    <w:rsid w:val="00F21CB9"/>
    <w:rsid w:val="00F22781"/>
    <w:rsid w:val="00F237D5"/>
    <w:rsid w:val="00F23E65"/>
    <w:rsid w:val="00F23F57"/>
    <w:rsid w:val="00F24872"/>
    <w:rsid w:val="00F24E3E"/>
    <w:rsid w:val="00F24F2E"/>
    <w:rsid w:val="00F25129"/>
    <w:rsid w:val="00F269E4"/>
    <w:rsid w:val="00F27552"/>
    <w:rsid w:val="00F27AF0"/>
    <w:rsid w:val="00F27FCD"/>
    <w:rsid w:val="00F31B51"/>
    <w:rsid w:val="00F337CF"/>
    <w:rsid w:val="00F34B0F"/>
    <w:rsid w:val="00F34E02"/>
    <w:rsid w:val="00F35002"/>
    <w:rsid w:val="00F37024"/>
    <w:rsid w:val="00F37264"/>
    <w:rsid w:val="00F37BF2"/>
    <w:rsid w:val="00F406ED"/>
    <w:rsid w:val="00F40CB4"/>
    <w:rsid w:val="00F40EEF"/>
    <w:rsid w:val="00F40F73"/>
    <w:rsid w:val="00F4166D"/>
    <w:rsid w:val="00F416D0"/>
    <w:rsid w:val="00F417DA"/>
    <w:rsid w:val="00F42B14"/>
    <w:rsid w:val="00F444F8"/>
    <w:rsid w:val="00F44B33"/>
    <w:rsid w:val="00F44F98"/>
    <w:rsid w:val="00F45165"/>
    <w:rsid w:val="00F455EC"/>
    <w:rsid w:val="00F45F6B"/>
    <w:rsid w:val="00F4704A"/>
    <w:rsid w:val="00F50372"/>
    <w:rsid w:val="00F51B14"/>
    <w:rsid w:val="00F5379C"/>
    <w:rsid w:val="00F5422B"/>
    <w:rsid w:val="00F54958"/>
    <w:rsid w:val="00F627AB"/>
    <w:rsid w:val="00F63299"/>
    <w:rsid w:val="00F6367C"/>
    <w:rsid w:val="00F644D9"/>
    <w:rsid w:val="00F66069"/>
    <w:rsid w:val="00F671D8"/>
    <w:rsid w:val="00F674C6"/>
    <w:rsid w:val="00F73BA0"/>
    <w:rsid w:val="00F75ED4"/>
    <w:rsid w:val="00F76437"/>
    <w:rsid w:val="00F765F2"/>
    <w:rsid w:val="00F7752E"/>
    <w:rsid w:val="00F77C9F"/>
    <w:rsid w:val="00F80990"/>
    <w:rsid w:val="00F80FE5"/>
    <w:rsid w:val="00F817DD"/>
    <w:rsid w:val="00F8480C"/>
    <w:rsid w:val="00F84E63"/>
    <w:rsid w:val="00F84FB5"/>
    <w:rsid w:val="00F8523C"/>
    <w:rsid w:val="00F85566"/>
    <w:rsid w:val="00F85651"/>
    <w:rsid w:val="00F85C24"/>
    <w:rsid w:val="00F85D5A"/>
    <w:rsid w:val="00F85F97"/>
    <w:rsid w:val="00F86753"/>
    <w:rsid w:val="00F87A48"/>
    <w:rsid w:val="00F917A8"/>
    <w:rsid w:val="00F919CD"/>
    <w:rsid w:val="00F92CF7"/>
    <w:rsid w:val="00F94155"/>
    <w:rsid w:val="00F957A1"/>
    <w:rsid w:val="00F95A4C"/>
    <w:rsid w:val="00F962B2"/>
    <w:rsid w:val="00F9703B"/>
    <w:rsid w:val="00F97583"/>
    <w:rsid w:val="00FA0212"/>
    <w:rsid w:val="00FA0434"/>
    <w:rsid w:val="00FA0F44"/>
    <w:rsid w:val="00FA106A"/>
    <w:rsid w:val="00FA3160"/>
    <w:rsid w:val="00FA3AC9"/>
    <w:rsid w:val="00FA3CB5"/>
    <w:rsid w:val="00FA58EC"/>
    <w:rsid w:val="00FA5CCD"/>
    <w:rsid w:val="00FA5DEE"/>
    <w:rsid w:val="00FA60DA"/>
    <w:rsid w:val="00FA6546"/>
    <w:rsid w:val="00FA738D"/>
    <w:rsid w:val="00FA750E"/>
    <w:rsid w:val="00FA7634"/>
    <w:rsid w:val="00FB04A9"/>
    <w:rsid w:val="00FB1C06"/>
    <w:rsid w:val="00FB29CC"/>
    <w:rsid w:val="00FB40C5"/>
    <w:rsid w:val="00FB5834"/>
    <w:rsid w:val="00FB605E"/>
    <w:rsid w:val="00FB7A1E"/>
    <w:rsid w:val="00FB7D7F"/>
    <w:rsid w:val="00FC2474"/>
    <w:rsid w:val="00FC25EE"/>
    <w:rsid w:val="00FC2A9D"/>
    <w:rsid w:val="00FC43DC"/>
    <w:rsid w:val="00FC72C5"/>
    <w:rsid w:val="00FD19F0"/>
    <w:rsid w:val="00FD1FF1"/>
    <w:rsid w:val="00FD27B1"/>
    <w:rsid w:val="00FD2E12"/>
    <w:rsid w:val="00FD2EF7"/>
    <w:rsid w:val="00FD36FD"/>
    <w:rsid w:val="00FD4AD6"/>
    <w:rsid w:val="00FD5446"/>
    <w:rsid w:val="00FD55B1"/>
    <w:rsid w:val="00FD56CD"/>
    <w:rsid w:val="00FD5E04"/>
    <w:rsid w:val="00FD7117"/>
    <w:rsid w:val="00FD7E51"/>
    <w:rsid w:val="00FD7F59"/>
    <w:rsid w:val="00FE06E8"/>
    <w:rsid w:val="00FE15C3"/>
    <w:rsid w:val="00FE1721"/>
    <w:rsid w:val="00FE1AE5"/>
    <w:rsid w:val="00FE2F26"/>
    <w:rsid w:val="00FE3816"/>
    <w:rsid w:val="00FE388F"/>
    <w:rsid w:val="00FE3BAC"/>
    <w:rsid w:val="00FE3BFF"/>
    <w:rsid w:val="00FE3F90"/>
    <w:rsid w:val="00FE4567"/>
    <w:rsid w:val="00FE477F"/>
    <w:rsid w:val="00FE5CCE"/>
    <w:rsid w:val="00FE6085"/>
    <w:rsid w:val="00FE6A4C"/>
    <w:rsid w:val="00FE7159"/>
    <w:rsid w:val="00FE7518"/>
    <w:rsid w:val="00FE75F2"/>
    <w:rsid w:val="00FE7FE0"/>
    <w:rsid w:val="00FF18CA"/>
    <w:rsid w:val="00FF1E5D"/>
    <w:rsid w:val="00FF31A5"/>
    <w:rsid w:val="00FF3BE3"/>
    <w:rsid w:val="00FF53E3"/>
    <w:rsid w:val="00FF5EE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27A6F"/>
  <w15:chartTrackingRefBased/>
  <w15:docId w15:val="{5B0C3F48-A910-41C2-91F9-2157D2F8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Title" w:qFormat="1"/>
    <w:lsdException w:name="Subtitle" w:qFormat="1"/>
    <w:lsdException w:name="Strong" w:uiPriority="22" w:qFormat="1"/>
    <w:lsdException w:name="Emphasis" w:qFormat="1"/>
    <w:lsdException w:name="Document Map"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Texto de nota al pie,Appel note de bas de page,Footnotes refss,referencia nota al pie,BVI fnr,f,16 Point,Superscript 6 Point,Texto nota al pie,Footnote Reference Char3,Footnote Reference Char1 Char,Ref. de nota al"/>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C,Car,Ca,ft"/>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rsid w:val="007A0D9C"/>
    <w:rPr>
      <w:color w:val="0000FF"/>
      <w:u w:val="none"/>
    </w:rPr>
  </w:style>
  <w:style w:type="character" w:styleId="FollowedHyperlink">
    <w:name w:val="FollowedHyperlink"/>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uiPriority w:val="22"/>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8F5A64"/>
    <w:pPr>
      <w:spacing w:line="240" w:lineRule="auto"/>
    </w:pPr>
    <w:rPr>
      <w:rFonts w:ascii="Tahoma" w:hAnsi="Tahoma" w:cs="Tahoma"/>
      <w:sz w:val="16"/>
      <w:szCs w:val="16"/>
    </w:rPr>
  </w:style>
  <w:style w:type="character" w:customStyle="1" w:styleId="BalloonTextChar">
    <w:name w:val="Balloon Text Char"/>
    <w:link w:val="BalloonText"/>
    <w:semiHidden/>
    <w:rsid w:val="008F5A64"/>
    <w:rPr>
      <w:rFonts w:ascii="Tahoma" w:hAnsi="Tahoma" w:cs="Tahoma"/>
      <w:sz w:val="16"/>
      <w:szCs w:val="16"/>
      <w:lang w:val="es-ES" w:eastAsia="es-ES"/>
    </w:rPr>
  </w:style>
  <w:style w:type="character" w:customStyle="1" w:styleId="apple-converted-space">
    <w:name w:val="apple-converted-space"/>
    <w:rsid w:val="00806A91"/>
  </w:style>
  <w:style w:type="character" w:styleId="CommentReference">
    <w:name w:val="annotation reference"/>
    <w:semiHidden/>
    <w:rsid w:val="001A2024"/>
    <w:rPr>
      <w:sz w:val="16"/>
      <w:szCs w:val="16"/>
    </w:rPr>
  </w:style>
  <w:style w:type="paragraph" w:styleId="CommentText">
    <w:name w:val="annotation text"/>
    <w:basedOn w:val="Normal"/>
    <w:link w:val="CommentTextChar"/>
    <w:semiHidden/>
    <w:rsid w:val="001A2024"/>
  </w:style>
  <w:style w:type="character" w:customStyle="1" w:styleId="CommentTextChar">
    <w:name w:val="Comment Text Char"/>
    <w:link w:val="CommentText"/>
    <w:semiHidden/>
    <w:rsid w:val="001A2024"/>
    <w:rPr>
      <w:lang w:val="es-ES" w:eastAsia="es-ES"/>
    </w:rPr>
  </w:style>
  <w:style w:type="paragraph" w:styleId="CommentSubject">
    <w:name w:val="annotation subject"/>
    <w:basedOn w:val="CommentText"/>
    <w:next w:val="CommentText"/>
    <w:link w:val="CommentSubjectChar"/>
    <w:semiHidden/>
    <w:rsid w:val="001A2024"/>
    <w:rPr>
      <w:b/>
      <w:bCs/>
    </w:rPr>
  </w:style>
  <w:style w:type="character" w:customStyle="1" w:styleId="CommentSubjectChar">
    <w:name w:val="Comment Subject Char"/>
    <w:link w:val="CommentSubject"/>
    <w:semiHidden/>
    <w:rsid w:val="001A2024"/>
    <w:rPr>
      <w:b/>
      <w:bCs/>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0E2B02"/>
    <w:rPr>
      <w:sz w:val="18"/>
      <w:lang w:val="es-ES" w:eastAsia="es-ES"/>
    </w:rPr>
  </w:style>
  <w:style w:type="paragraph" w:customStyle="1" w:styleId="Default">
    <w:name w:val="Default"/>
    <w:rsid w:val="00FA58EC"/>
    <w:pPr>
      <w:autoSpaceDE w:val="0"/>
      <w:autoSpaceDN w:val="0"/>
      <w:adjustRightInd w:val="0"/>
    </w:pPr>
    <w:rPr>
      <w:rFonts w:eastAsia="SimSun"/>
      <w:color w:val="000000"/>
      <w:sz w:val="24"/>
      <w:szCs w:val="24"/>
      <w:lang w:val="en-GB" w:eastAsia="en-GB"/>
    </w:rPr>
  </w:style>
  <w:style w:type="character" w:customStyle="1" w:styleId="SingleTxtGChar">
    <w:name w:val="_ Single Txt_G Char"/>
    <w:link w:val="SingleTxtG"/>
    <w:rsid w:val="00B413D0"/>
    <w:rPr>
      <w:lang w:val="es-ES" w:eastAsia="es-ES"/>
    </w:rPr>
  </w:style>
  <w:style w:type="paragraph" w:customStyle="1" w:styleId="LightGrid-Accent31">
    <w:name w:val="Light Grid - Accent 31"/>
    <w:basedOn w:val="Normal"/>
    <w:uiPriority w:val="34"/>
    <w:qFormat/>
    <w:rsid w:val="000C2C71"/>
    <w:pPr>
      <w:spacing w:line="240" w:lineRule="auto"/>
      <w:ind w:left="720"/>
    </w:pPr>
    <w:rPr>
      <w:rFonts w:eastAsia="SimSun"/>
      <w:sz w:val="24"/>
      <w:szCs w:val="24"/>
      <w:lang w:val="en-US" w:eastAsia="zh-CN"/>
    </w:rPr>
  </w:style>
  <w:style w:type="paragraph" w:styleId="Revision">
    <w:name w:val="Revision"/>
    <w:hidden/>
    <w:uiPriority w:val="99"/>
    <w:semiHidden/>
    <w:rsid w:val="000F2ED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9048">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504082529">
      <w:bodyDiv w:val="1"/>
      <w:marLeft w:val="0"/>
      <w:marRight w:val="0"/>
      <w:marTop w:val="0"/>
      <w:marBottom w:val="0"/>
      <w:divBdr>
        <w:top w:val="none" w:sz="0" w:space="0" w:color="auto"/>
        <w:left w:val="none" w:sz="0" w:space="0" w:color="auto"/>
        <w:bottom w:val="none" w:sz="0" w:space="0" w:color="auto"/>
        <w:right w:val="none" w:sz="0" w:space="0" w:color="auto"/>
      </w:divBdr>
      <w:divsChild>
        <w:div w:id="58986525">
          <w:marLeft w:val="0"/>
          <w:marRight w:val="0"/>
          <w:marTop w:val="0"/>
          <w:marBottom w:val="0"/>
          <w:divBdr>
            <w:top w:val="none" w:sz="0" w:space="0" w:color="auto"/>
            <w:left w:val="none" w:sz="0" w:space="0" w:color="auto"/>
            <w:bottom w:val="none" w:sz="0" w:space="0" w:color="auto"/>
            <w:right w:val="none" w:sz="0" w:space="0" w:color="auto"/>
          </w:divBdr>
        </w:div>
        <w:div w:id="111049277">
          <w:marLeft w:val="0"/>
          <w:marRight w:val="0"/>
          <w:marTop w:val="0"/>
          <w:marBottom w:val="0"/>
          <w:divBdr>
            <w:top w:val="none" w:sz="0" w:space="0" w:color="auto"/>
            <w:left w:val="none" w:sz="0" w:space="0" w:color="auto"/>
            <w:bottom w:val="none" w:sz="0" w:space="0" w:color="auto"/>
            <w:right w:val="none" w:sz="0" w:space="0" w:color="auto"/>
          </w:divBdr>
        </w:div>
        <w:div w:id="157617097">
          <w:marLeft w:val="0"/>
          <w:marRight w:val="0"/>
          <w:marTop w:val="0"/>
          <w:marBottom w:val="0"/>
          <w:divBdr>
            <w:top w:val="none" w:sz="0" w:space="0" w:color="auto"/>
            <w:left w:val="none" w:sz="0" w:space="0" w:color="auto"/>
            <w:bottom w:val="none" w:sz="0" w:space="0" w:color="auto"/>
            <w:right w:val="none" w:sz="0" w:space="0" w:color="auto"/>
          </w:divBdr>
        </w:div>
        <w:div w:id="308637117">
          <w:marLeft w:val="0"/>
          <w:marRight w:val="0"/>
          <w:marTop w:val="0"/>
          <w:marBottom w:val="0"/>
          <w:divBdr>
            <w:top w:val="none" w:sz="0" w:space="0" w:color="auto"/>
            <w:left w:val="none" w:sz="0" w:space="0" w:color="auto"/>
            <w:bottom w:val="none" w:sz="0" w:space="0" w:color="auto"/>
            <w:right w:val="none" w:sz="0" w:space="0" w:color="auto"/>
          </w:divBdr>
        </w:div>
        <w:div w:id="340621243">
          <w:marLeft w:val="0"/>
          <w:marRight w:val="0"/>
          <w:marTop w:val="0"/>
          <w:marBottom w:val="0"/>
          <w:divBdr>
            <w:top w:val="none" w:sz="0" w:space="0" w:color="auto"/>
            <w:left w:val="none" w:sz="0" w:space="0" w:color="auto"/>
            <w:bottom w:val="none" w:sz="0" w:space="0" w:color="auto"/>
            <w:right w:val="none" w:sz="0" w:space="0" w:color="auto"/>
          </w:divBdr>
        </w:div>
        <w:div w:id="346296792">
          <w:marLeft w:val="0"/>
          <w:marRight w:val="0"/>
          <w:marTop w:val="0"/>
          <w:marBottom w:val="0"/>
          <w:divBdr>
            <w:top w:val="none" w:sz="0" w:space="0" w:color="auto"/>
            <w:left w:val="none" w:sz="0" w:space="0" w:color="auto"/>
            <w:bottom w:val="none" w:sz="0" w:space="0" w:color="auto"/>
            <w:right w:val="none" w:sz="0" w:space="0" w:color="auto"/>
          </w:divBdr>
        </w:div>
        <w:div w:id="587689106">
          <w:marLeft w:val="0"/>
          <w:marRight w:val="0"/>
          <w:marTop w:val="0"/>
          <w:marBottom w:val="0"/>
          <w:divBdr>
            <w:top w:val="none" w:sz="0" w:space="0" w:color="auto"/>
            <w:left w:val="none" w:sz="0" w:space="0" w:color="auto"/>
            <w:bottom w:val="none" w:sz="0" w:space="0" w:color="auto"/>
            <w:right w:val="none" w:sz="0" w:space="0" w:color="auto"/>
          </w:divBdr>
        </w:div>
        <w:div w:id="616570056">
          <w:marLeft w:val="0"/>
          <w:marRight w:val="0"/>
          <w:marTop w:val="0"/>
          <w:marBottom w:val="0"/>
          <w:divBdr>
            <w:top w:val="none" w:sz="0" w:space="0" w:color="auto"/>
            <w:left w:val="none" w:sz="0" w:space="0" w:color="auto"/>
            <w:bottom w:val="none" w:sz="0" w:space="0" w:color="auto"/>
            <w:right w:val="none" w:sz="0" w:space="0" w:color="auto"/>
          </w:divBdr>
        </w:div>
        <w:div w:id="682587740">
          <w:marLeft w:val="0"/>
          <w:marRight w:val="0"/>
          <w:marTop w:val="0"/>
          <w:marBottom w:val="0"/>
          <w:divBdr>
            <w:top w:val="none" w:sz="0" w:space="0" w:color="auto"/>
            <w:left w:val="none" w:sz="0" w:space="0" w:color="auto"/>
            <w:bottom w:val="none" w:sz="0" w:space="0" w:color="auto"/>
            <w:right w:val="none" w:sz="0" w:space="0" w:color="auto"/>
          </w:divBdr>
        </w:div>
        <w:div w:id="693699514">
          <w:marLeft w:val="0"/>
          <w:marRight w:val="0"/>
          <w:marTop w:val="0"/>
          <w:marBottom w:val="0"/>
          <w:divBdr>
            <w:top w:val="none" w:sz="0" w:space="0" w:color="auto"/>
            <w:left w:val="none" w:sz="0" w:space="0" w:color="auto"/>
            <w:bottom w:val="none" w:sz="0" w:space="0" w:color="auto"/>
            <w:right w:val="none" w:sz="0" w:space="0" w:color="auto"/>
          </w:divBdr>
        </w:div>
        <w:div w:id="712585362">
          <w:marLeft w:val="0"/>
          <w:marRight w:val="0"/>
          <w:marTop w:val="0"/>
          <w:marBottom w:val="0"/>
          <w:divBdr>
            <w:top w:val="none" w:sz="0" w:space="0" w:color="auto"/>
            <w:left w:val="none" w:sz="0" w:space="0" w:color="auto"/>
            <w:bottom w:val="none" w:sz="0" w:space="0" w:color="auto"/>
            <w:right w:val="none" w:sz="0" w:space="0" w:color="auto"/>
          </w:divBdr>
        </w:div>
        <w:div w:id="937055508">
          <w:marLeft w:val="0"/>
          <w:marRight w:val="0"/>
          <w:marTop w:val="0"/>
          <w:marBottom w:val="0"/>
          <w:divBdr>
            <w:top w:val="none" w:sz="0" w:space="0" w:color="auto"/>
            <w:left w:val="none" w:sz="0" w:space="0" w:color="auto"/>
            <w:bottom w:val="none" w:sz="0" w:space="0" w:color="auto"/>
            <w:right w:val="none" w:sz="0" w:space="0" w:color="auto"/>
          </w:divBdr>
        </w:div>
        <w:div w:id="1058357267">
          <w:marLeft w:val="0"/>
          <w:marRight w:val="0"/>
          <w:marTop w:val="0"/>
          <w:marBottom w:val="0"/>
          <w:divBdr>
            <w:top w:val="none" w:sz="0" w:space="0" w:color="auto"/>
            <w:left w:val="none" w:sz="0" w:space="0" w:color="auto"/>
            <w:bottom w:val="none" w:sz="0" w:space="0" w:color="auto"/>
            <w:right w:val="none" w:sz="0" w:space="0" w:color="auto"/>
          </w:divBdr>
        </w:div>
        <w:div w:id="1059205457">
          <w:marLeft w:val="0"/>
          <w:marRight w:val="0"/>
          <w:marTop w:val="0"/>
          <w:marBottom w:val="0"/>
          <w:divBdr>
            <w:top w:val="none" w:sz="0" w:space="0" w:color="auto"/>
            <w:left w:val="none" w:sz="0" w:space="0" w:color="auto"/>
            <w:bottom w:val="none" w:sz="0" w:space="0" w:color="auto"/>
            <w:right w:val="none" w:sz="0" w:space="0" w:color="auto"/>
          </w:divBdr>
        </w:div>
        <w:div w:id="1072773395">
          <w:marLeft w:val="0"/>
          <w:marRight w:val="0"/>
          <w:marTop w:val="0"/>
          <w:marBottom w:val="0"/>
          <w:divBdr>
            <w:top w:val="none" w:sz="0" w:space="0" w:color="auto"/>
            <w:left w:val="none" w:sz="0" w:space="0" w:color="auto"/>
            <w:bottom w:val="none" w:sz="0" w:space="0" w:color="auto"/>
            <w:right w:val="none" w:sz="0" w:space="0" w:color="auto"/>
          </w:divBdr>
        </w:div>
        <w:div w:id="1325010215">
          <w:marLeft w:val="0"/>
          <w:marRight w:val="0"/>
          <w:marTop w:val="0"/>
          <w:marBottom w:val="0"/>
          <w:divBdr>
            <w:top w:val="none" w:sz="0" w:space="0" w:color="auto"/>
            <w:left w:val="none" w:sz="0" w:space="0" w:color="auto"/>
            <w:bottom w:val="none" w:sz="0" w:space="0" w:color="auto"/>
            <w:right w:val="none" w:sz="0" w:space="0" w:color="auto"/>
          </w:divBdr>
        </w:div>
        <w:div w:id="1520853951">
          <w:marLeft w:val="0"/>
          <w:marRight w:val="0"/>
          <w:marTop w:val="0"/>
          <w:marBottom w:val="0"/>
          <w:divBdr>
            <w:top w:val="none" w:sz="0" w:space="0" w:color="auto"/>
            <w:left w:val="none" w:sz="0" w:space="0" w:color="auto"/>
            <w:bottom w:val="none" w:sz="0" w:space="0" w:color="auto"/>
            <w:right w:val="none" w:sz="0" w:space="0" w:color="auto"/>
          </w:divBdr>
        </w:div>
        <w:div w:id="1585140156">
          <w:marLeft w:val="0"/>
          <w:marRight w:val="0"/>
          <w:marTop w:val="0"/>
          <w:marBottom w:val="0"/>
          <w:divBdr>
            <w:top w:val="none" w:sz="0" w:space="0" w:color="auto"/>
            <w:left w:val="none" w:sz="0" w:space="0" w:color="auto"/>
            <w:bottom w:val="none" w:sz="0" w:space="0" w:color="auto"/>
            <w:right w:val="none" w:sz="0" w:space="0" w:color="auto"/>
          </w:divBdr>
        </w:div>
        <w:div w:id="1831364546">
          <w:marLeft w:val="0"/>
          <w:marRight w:val="0"/>
          <w:marTop w:val="0"/>
          <w:marBottom w:val="0"/>
          <w:divBdr>
            <w:top w:val="none" w:sz="0" w:space="0" w:color="auto"/>
            <w:left w:val="none" w:sz="0" w:space="0" w:color="auto"/>
            <w:bottom w:val="none" w:sz="0" w:space="0" w:color="auto"/>
            <w:right w:val="none" w:sz="0" w:space="0" w:color="auto"/>
          </w:divBdr>
        </w:div>
        <w:div w:id="1909799727">
          <w:marLeft w:val="0"/>
          <w:marRight w:val="0"/>
          <w:marTop w:val="0"/>
          <w:marBottom w:val="0"/>
          <w:divBdr>
            <w:top w:val="none" w:sz="0" w:space="0" w:color="auto"/>
            <w:left w:val="none" w:sz="0" w:space="0" w:color="auto"/>
            <w:bottom w:val="none" w:sz="0" w:space="0" w:color="auto"/>
            <w:right w:val="none" w:sz="0" w:space="0" w:color="auto"/>
          </w:divBdr>
        </w:div>
        <w:div w:id="1929655672">
          <w:marLeft w:val="0"/>
          <w:marRight w:val="0"/>
          <w:marTop w:val="0"/>
          <w:marBottom w:val="0"/>
          <w:divBdr>
            <w:top w:val="none" w:sz="0" w:space="0" w:color="auto"/>
            <w:left w:val="none" w:sz="0" w:space="0" w:color="auto"/>
            <w:bottom w:val="none" w:sz="0" w:space="0" w:color="auto"/>
            <w:right w:val="none" w:sz="0" w:space="0" w:color="auto"/>
          </w:divBdr>
        </w:div>
        <w:div w:id="2011592462">
          <w:marLeft w:val="0"/>
          <w:marRight w:val="0"/>
          <w:marTop w:val="0"/>
          <w:marBottom w:val="0"/>
          <w:divBdr>
            <w:top w:val="none" w:sz="0" w:space="0" w:color="auto"/>
            <w:left w:val="none" w:sz="0" w:space="0" w:color="auto"/>
            <w:bottom w:val="none" w:sz="0" w:space="0" w:color="auto"/>
            <w:right w:val="none" w:sz="0" w:space="0" w:color="auto"/>
          </w:divBdr>
        </w:div>
      </w:divsChild>
    </w:div>
    <w:div w:id="1987009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C9840-92F0-4D51-A702-D18751B9AEC2}"/>
</file>

<file path=customXml/itemProps2.xml><?xml version="1.0" encoding="utf-8"?>
<ds:datastoreItem xmlns:ds="http://schemas.openxmlformats.org/officeDocument/2006/customXml" ds:itemID="{B7A13B25-1246-4A12-9248-D0D1076A16B8}"/>
</file>

<file path=customXml/itemProps3.xml><?xml version="1.0" encoding="utf-8"?>
<ds:datastoreItem xmlns:ds="http://schemas.openxmlformats.org/officeDocument/2006/customXml" ds:itemID="{B1F6E56B-9C70-45EB-BE80-9DE801ED46DE}"/>
</file>

<file path=customXml/itemProps4.xml><?xml version="1.0" encoding="utf-8"?>
<ds:datastoreItem xmlns:ds="http://schemas.openxmlformats.org/officeDocument/2006/customXml" ds:itemID="{67069D3D-EAE7-4859-8195-2C3629BB26EB}"/>
</file>

<file path=docProps/app.xml><?xml version="1.0" encoding="utf-8"?>
<Properties xmlns="http://schemas.openxmlformats.org/officeDocument/2006/extended-properties" xmlns:vt="http://schemas.openxmlformats.org/officeDocument/2006/docPropsVTypes">
  <Template>CCPR.dotm</Template>
  <TotalTime>1</TotalTime>
  <Pages>15</Pages>
  <Words>7764</Words>
  <Characters>44260</Characters>
  <Application>Microsoft Office Word</Application>
  <DocSecurity>0</DocSecurity>
  <Lines>368</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CCPR/C/123/DR/2414/2414</vt:lpstr>
      <vt:lpstr>CCPR/C/WG/113/DR/1875/2009</vt:lpstr>
    </vt:vector>
  </TitlesOfParts>
  <Company>OHCHR</Company>
  <LinksUpToDate>false</LinksUpToDate>
  <CharactersWithSpaces>51921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CCPR/C/123/DR/2414/2414</dc:title>
  <dc:subject/>
  <dc:creator>Maria De La Plaza</dc:creator>
  <cp:keywords/>
  <dc:description/>
  <cp:lastModifiedBy>Marie Araksia Gulsadian</cp:lastModifiedBy>
  <cp:revision>4</cp:revision>
  <cp:lastPrinted>2018-05-07T09:07:00Z</cp:lastPrinted>
  <dcterms:created xsi:type="dcterms:W3CDTF">2018-08-08T09:09:00Z</dcterms:created>
  <dcterms:modified xsi:type="dcterms:W3CDTF">2018-08-08T09:13:00Z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