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683A64" w:rsidTr="00B6553F">
        <w:trPr>
          <w:cantSplit/>
          <w:trHeight w:hRule="exact" w:val="851"/>
        </w:trPr>
        <w:tc>
          <w:tcPr>
            <w:tcW w:w="1276" w:type="dxa"/>
            <w:tcBorders>
              <w:bottom w:val="single" w:sz="4" w:space="0" w:color="auto"/>
            </w:tcBorders>
            <w:vAlign w:val="bottom"/>
          </w:tcPr>
          <w:p w:rsidR="00B56E9C" w:rsidRPr="0029586D" w:rsidRDefault="00B56E9C" w:rsidP="00B6553F">
            <w:pPr>
              <w:spacing w:after="80"/>
              <w:rPr>
                <w:rFonts w:ascii="Sylfaen" w:hAnsi="Sylfaen"/>
                <w:lang w:val="en-US"/>
              </w:rPr>
            </w:pPr>
          </w:p>
        </w:tc>
        <w:tc>
          <w:tcPr>
            <w:tcW w:w="2268" w:type="dxa"/>
            <w:tcBorders>
              <w:bottom w:val="single" w:sz="4" w:space="0" w:color="auto"/>
            </w:tcBorders>
            <w:vAlign w:val="bottom"/>
          </w:tcPr>
          <w:p w:rsidR="00B56E9C" w:rsidRPr="00683A64" w:rsidRDefault="00B56E9C" w:rsidP="00B6553F">
            <w:pPr>
              <w:spacing w:after="80" w:line="300" w:lineRule="exact"/>
              <w:rPr>
                <w:b/>
                <w:sz w:val="24"/>
                <w:szCs w:val="24"/>
              </w:rPr>
            </w:pPr>
            <w:r w:rsidRPr="00683A64">
              <w:rPr>
                <w:sz w:val="28"/>
                <w:szCs w:val="28"/>
              </w:rPr>
              <w:t>United Nations</w:t>
            </w:r>
          </w:p>
        </w:tc>
        <w:tc>
          <w:tcPr>
            <w:tcW w:w="6095" w:type="dxa"/>
            <w:gridSpan w:val="2"/>
            <w:tcBorders>
              <w:bottom w:val="single" w:sz="4" w:space="0" w:color="auto"/>
            </w:tcBorders>
            <w:vAlign w:val="bottom"/>
          </w:tcPr>
          <w:p w:rsidR="00B56E9C" w:rsidRPr="00683A64" w:rsidRDefault="008216A5" w:rsidP="00F20CE9">
            <w:pPr>
              <w:jc w:val="right"/>
            </w:pPr>
            <w:r w:rsidRPr="00683A64">
              <w:rPr>
                <w:sz w:val="40"/>
              </w:rPr>
              <w:t>CCPR</w:t>
            </w:r>
            <w:r w:rsidRPr="00683A64">
              <w:t>/C/1</w:t>
            </w:r>
            <w:r w:rsidR="00711F00" w:rsidRPr="00683A64">
              <w:t>1</w:t>
            </w:r>
            <w:r w:rsidR="002E17F3" w:rsidRPr="00683A64">
              <w:t>6</w:t>
            </w:r>
            <w:r w:rsidRPr="00683A64">
              <w:t>/D/</w:t>
            </w:r>
            <w:r w:rsidR="002E17F3" w:rsidRPr="00683A64">
              <w:t>24</w:t>
            </w:r>
            <w:r w:rsidR="000B6CA3" w:rsidRPr="00683A64">
              <w:t>1</w:t>
            </w:r>
            <w:r w:rsidR="002E17F3" w:rsidRPr="00683A64">
              <w:t>1</w:t>
            </w:r>
            <w:r w:rsidR="0068555B" w:rsidRPr="00683A64">
              <w:t>/201</w:t>
            </w:r>
            <w:r w:rsidR="002E17F3" w:rsidRPr="00683A64">
              <w:t>4</w:t>
            </w:r>
          </w:p>
        </w:tc>
      </w:tr>
      <w:tr w:rsidR="00B56E9C" w:rsidRPr="00683A64" w:rsidTr="00B6553F">
        <w:trPr>
          <w:cantSplit/>
          <w:trHeight w:hRule="exact" w:val="2835"/>
        </w:trPr>
        <w:tc>
          <w:tcPr>
            <w:tcW w:w="1276" w:type="dxa"/>
            <w:tcBorders>
              <w:top w:val="single" w:sz="4" w:space="0" w:color="auto"/>
              <w:bottom w:val="single" w:sz="12" w:space="0" w:color="auto"/>
            </w:tcBorders>
          </w:tcPr>
          <w:p w:rsidR="00B56E9C" w:rsidRPr="00683A64" w:rsidRDefault="003346E8" w:rsidP="00B6553F">
            <w:pPr>
              <w:spacing w:before="120"/>
            </w:pPr>
            <w:r>
              <w:rPr>
                <w:noProof/>
                <w:lang w:eastAsia="en-GB"/>
              </w:rPr>
              <w:drawing>
                <wp:inline distT="0" distB="0" distL="0" distR="0" wp14:anchorId="65142B26" wp14:editId="51C84252">
                  <wp:extent cx="717550" cy="590550"/>
                  <wp:effectExtent l="0" t="0" r="635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755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Default="00B56E9C" w:rsidP="00267F5F">
            <w:pPr>
              <w:spacing w:before="120" w:line="380" w:lineRule="exact"/>
              <w:rPr>
                <w:b/>
                <w:sz w:val="34"/>
                <w:szCs w:val="40"/>
              </w:rPr>
            </w:pPr>
            <w:r w:rsidRPr="00683A64">
              <w:rPr>
                <w:b/>
                <w:sz w:val="34"/>
                <w:szCs w:val="40"/>
              </w:rPr>
              <w:t xml:space="preserve">International </w:t>
            </w:r>
            <w:r w:rsidR="00060C3A" w:rsidRPr="00683A64">
              <w:rPr>
                <w:b/>
                <w:sz w:val="34"/>
                <w:szCs w:val="40"/>
              </w:rPr>
              <w:t>Covenant on</w:t>
            </w:r>
            <w:r w:rsidR="00060C3A" w:rsidRPr="00683A64">
              <w:rPr>
                <w:b/>
                <w:sz w:val="34"/>
                <w:szCs w:val="40"/>
              </w:rPr>
              <w:br/>
              <w:t>Civil and Political R</w:t>
            </w:r>
            <w:r w:rsidR="00703577" w:rsidRPr="00683A64">
              <w:rPr>
                <w:b/>
                <w:sz w:val="34"/>
                <w:szCs w:val="40"/>
              </w:rPr>
              <w:t>ights</w:t>
            </w:r>
          </w:p>
          <w:p w:rsidR="00F20CE9" w:rsidRPr="005A431A" w:rsidRDefault="00F20CE9" w:rsidP="00267F5F">
            <w:pPr>
              <w:spacing w:before="120" w:line="380" w:lineRule="exact"/>
              <w:rPr>
                <w:sz w:val="34"/>
              </w:rPr>
            </w:pPr>
            <w:r w:rsidRPr="005A431A">
              <w:rPr>
                <w:sz w:val="34"/>
                <w:szCs w:val="40"/>
              </w:rPr>
              <w:t>Advance unedited version</w:t>
            </w:r>
          </w:p>
        </w:tc>
        <w:tc>
          <w:tcPr>
            <w:tcW w:w="2835" w:type="dxa"/>
            <w:tcBorders>
              <w:top w:val="single" w:sz="4" w:space="0" w:color="auto"/>
              <w:bottom w:val="single" w:sz="12" w:space="0" w:color="auto"/>
            </w:tcBorders>
          </w:tcPr>
          <w:p w:rsidR="003346E8" w:rsidRPr="00463B9A" w:rsidRDefault="003346E8" w:rsidP="003346E8">
            <w:pPr>
              <w:spacing w:before="240" w:line="240" w:lineRule="exact"/>
            </w:pPr>
            <w:r w:rsidRPr="00463B9A">
              <w:t xml:space="preserve">Distr.: </w:t>
            </w:r>
            <w:r w:rsidR="00F20CE9">
              <w:t>General</w:t>
            </w:r>
          </w:p>
          <w:p w:rsidR="003346E8" w:rsidRPr="00463B9A" w:rsidRDefault="00F20CE9" w:rsidP="003346E8">
            <w:pPr>
              <w:spacing w:line="240" w:lineRule="exact"/>
            </w:pPr>
            <w:r>
              <w:t>17 June</w:t>
            </w:r>
            <w:r w:rsidR="003346E8">
              <w:t xml:space="preserve"> 2016</w:t>
            </w:r>
          </w:p>
          <w:p w:rsidR="003346E8" w:rsidRPr="00463B9A" w:rsidRDefault="003346E8" w:rsidP="003346E8">
            <w:pPr>
              <w:spacing w:line="240" w:lineRule="exact"/>
            </w:pPr>
          </w:p>
          <w:p w:rsidR="003346E8" w:rsidRPr="00463B9A" w:rsidRDefault="003346E8" w:rsidP="003346E8">
            <w:pPr>
              <w:spacing w:line="240" w:lineRule="exact"/>
            </w:pPr>
            <w:r w:rsidRPr="00463B9A">
              <w:t>Original: English</w:t>
            </w:r>
          </w:p>
          <w:p w:rsidR="008216A5" w:rsidRPr="00683A64" w:rsidRDefault="008216A5" w:rsidP="005A431A">
            <w:pPr>
              <w:spacing w:line="240" w:lineRule="exact"/>
            </w:pPr>
          </w:p>
        </w:tc>
      </w:tr>
    </w:tbl>
    <w:p w:rsidR="00824D0D" w:rsidRPr="00A360C5" w:rsidRDefault="00824D0D" w:rsidP="00A360C5">
      <w:pPr>
        <w:spacing w:line="20" w:lineRule="exact"/>
        <w:rPr>
          <w:b/>
          <w:sz w:val="2"/>
          <w:szCs w:val="24"/>
        </w:rPr>
      </w:pPr>
    </w:p>
    <w:p w:rsidR="00A360C5" w:rsidRPr="00824D0D" w:rsidRDefault="00A360C5" w:rsidP="00824D0D">
      <w:pPr>
        <w:spacing w:line="20" w:lineRule="exact"/>
        <w:rPr>
          <w:b/>
          <w:sz w:val="2"/>
          <w:szCs w:val="24"/>
        </w:rPr>
      </w:pPr>
    </w:p>
    <w:p w:rsidR="003346E8" w:rsidRPr="00463B9A" w:rsidRDefault="003346E8" w:rsidP="003346E8">
      <w:pPr>
        <w:spacing w:before="120"/>
        <w:rPr>
          <w:b/>
          <w:sz w:val="24"/>
          <w:szCs w:val="24"/>
        </w:rPr>
      </w:pPr>
      <w:r w:rsidRPr="00463B9A">
        <w:rPr>
          <w:b/>
          <w:sz w:val="24"/>
          <w:szCs w:val="24"/>
        </w:rPr>
        <w:t>Human Rights Committee</w:t>
      </w:r>
    </w:p>
    <w:p w:rsidR="008216A5" w:rsidRPr="00683A64" w:rsidRDefault="008216A5" w:rsidP="002012C3">
      <w:pPr>
        <w:pStyle w:val="H1G"/>
      </w:pPr>
      <w:r w:rsidRPr="00683A64">
        <w:tab/>
      </w:r>
      <w:r w:rsidRPr="00683A64">
        <w:tab/>
      </w:r>
      <w:r w:rsidR="00F20CE9" w:rsidRPr="00F20CE9">
        <w:t xml:space="preserve">Decision adopted by the Committee under the Optional Protocol, concerning communication No. </w:t>
      </w:r>
      <w:r w:rsidR="00F20CE9">
        <w:t>2411/2014</w:t>
      </w:r>
      <w:r w:rsidR="00F20CE9" w:rsidRPr="00F20CE9">
        <w:rPr>
          <w:vertAlign w:val="superscript"/>
        </w:rPr>
        <w:footnoteReference w:customMarkFollows="1" w:id="2"/>
        <w:t>*</w:t>
      </w:r>
      <w:r w:rsidR="00F20CE9" w:rsidRPr="00F20CE9">
        <w:t xml:space="preserve"> </w:t>
      </w:r>
      <w:r w:rsidR="00F20CE9" w:rsidRPr="00F20CE9">
        <w:rPr>
          <w:vertAlign w:val="superscript"/>
        </w:rPr>
        <w:footnoteReference w:customMarkFollows="1" w:id="3"/>
        <w:t>**</w:t>
      </w:r>
    </w:p>
    <w:p w:rsidR="008216A5" w:rsidRPr="00683A64" w:rsidRDefault="008216A5" w:rsidP="00781C83">
      <w:pPr>
        <w:pStyle w:val="SingleTxtG"/>
        <w:ind w:left="4536" w:hanging="3402"/>
      </w:pPr>
      <w:r w:rsidRPr="00683A64">
        <w:rPr>
          <w:i/>
        </w:rPr>
        <w:t>Submitted by:</w:t>
      </w:r>
      <w:r w:rsidRPr="00683A64">
        <w:tab/>
      </w:r>
      <w:r w:rsidR="00F20CE9">
        <w:t>V.K.</w:t>
      </w:r>
      <w:r w:rsidR="00231C9F" w:rsidRPr="00683A64">
        <w:t xml:space="preserve"> (</w:t>
      </w:r>
      <w:r w:rsidR="00F05444" w:rsidRPr="00683A64">
        <w:t>not represented by counsel</w:t>
      </w:r>
      <w:r w:rsidRPr="00683A64">
        <w:t>)</w:t>
      </w:r>
    </w:p>
    <w:p w:rsidR="008216A5" w:rsidRPr="00683A64" w:rsidRDefault="008216A5" w:rsidP="00781C83">
      <w:pPr>
        <w:pStyle w:val="SingleTxtG"/>
        <w:ind w:left="4536" w:hanging="3402"/>
      </w:pPr>
      <w:r w:rsidRPr="00683A64">
        <w:rPr>
          <w:i/>
        </w:rPr>
        <w:t>Alleged victim:</w:t>
      </w:r>
      <w:r w:rsidRPr="00683A64">
        <w:tab/>
        <w:t>The author</w:t>
      </w:r>
    </w:p>
    <w:p w:rsidR="008216A5" w:rsidRPr="00683A64" w:rsidRDefault="008216A5" w:rsidP="00781C83">
      <w:pPr>
        <w:pStyle w:val="SingleTxtG"/>
        <w:ind w:left="4536" w:hanging="3402"/>
      </w:pPr>
      <w:r w:rsidRPr="00683A64">
        <w:rPr>
          <w:i/>
        </w:rPr>
        <w:t>State party:</w:t>
      </w:r>
      <w:r w:rsidRPr="00683A64">
        <w:tab/>
      </w:r>
      <w:r w:rsidR="002E17F3" w:rsidRPr="00683A64">
        <w:t>Russian Federation</w:t>
      </w:r>
    </w:p>
    <w:p w:rsidR="008216A5" w:rsidRPr="00683A64" w:rsidRDefault="008216A5" w:rsidP="00781C83">
      <w:pPr>
        <w:pStyle w:val="SingleTxtG"/>
        <w:ind w:left="4536" w:hanging="3402"/>
      </w:pPr>
      <w:r w:rsidRPr="00683A64">
        <w:rPr>
          <w:i/>
        </w:rPr>
        <w:t>Date of communication:</w:t>
      </w:r>
      <w:r w:rsidRPr="00683A64">
        <w:tab/>
      </w:r>
      <w:r w:rsidR="002E17F3" w:rsidRPr="00683A64">
        <w:t>21 March 2014</w:t>
      </w:r>
      <w:r w:rsidR="0037204F" w:rsidRPr="00683A64">
        <w:t xml:space="preserve"> (initial submission</w:t>
      </w:r>
      <w:r w:rsidRPr="00683A64">
        <w:t>)</w:t>
      </w:r>
    </w:p>
    <w:p w:rsidR="008216A5" w:rsidRPr="00683A64" w:rsidRDefault="008216A5" w:rsidP="00781C83">
      <w:pPr>
        <w:pStyle w:val="SingleTxtG"/>
        <w:ind w:left="4536" w:hanging="3402"/>
      </w:pPr>
      <w:r w:rsidRPr="00683A64">
        <w:rPr>
          <w:i/>
        </w:rPr>
        <w:t>Document references:</w:t>
      </w:r>
      <w:r w:rsidRPr="00683A64">
        <w:tab/>
        <w:t xml:space="preserve">Special Rapporteur’s rule 97 decision, transmitted to the State party on </w:t>
      </w:r>
      <w:r w:rsidR="002E17F3" w:rsidRPr="00683A64">
        <w:t>4 June 2014</w:t>
      </w:r>
      <w:r w:rsidRPr="00683A64">
        <w:t xml:space="preserve"> (not issued in document form)</w:t>
      </w:r>
    </w:p>
    <w:p w:rsidR="003346E8" w:rsidRDefault="008216A5" w:rsidP="00781C83">
      <w:pPr>
        <w:pStyle w:val="SingleTxtG"/>
        <w:ind w:left="4536" w:hanging="3402"/>
      </w:pPr>
      <w:r w:rsidRPr="00683A64">
        <w:rPr>
          <w:i/>
        </w:rPr>
        <w:t xml:space="preserve">Date of adoption of </w:t>
      </w:r>
      <w:r w:rsidR="003346E8">
        <w:rPr>
          <w:i/>
        </w:rPr>
        <w:t>decision</w:t>
      </w:r>
      <w:r w:rsidRPr="00683A64">
        <w:rPr>
          <w:i/>
        </w:rPr>
        <w:t>:</w:t>
      </w:r>
      <w:r w:rsidRPr="00683A64">
        <w:tab/>
      </w:r>
      <w:r w:rsidR="00F20CE9">
        <w:t>30</w:t>
      </w:r>
      <w:r w:rsidR="00F20CE9">
        <w:t xml:space="preserve"> </w:t>
      </w:r>
      <w:r w:rsidR="002E17F3" w:rsidRPr="00683A64">
        <w:t>March</w:t>
      </w:r>
      <w:r w:rsidRPr="00683A64">
        <w:t xml:space="preserve"> 201</w:t>
      </w:r>
      <w:r w:rsidR="002E17F3" w:rsidRPr="00683A64">
        <w:t>6</w:t>
      </w:r>
    </w:p>
    <w:p w:rsidR="008216A5" w:rsidRPr="00683A64" w:rsidRDefault="008216A5" w:rsidP="002012C3">
      <w:pPr>
        <w:pStyle w:val="SingleTxtG"/>
        <w:ind w:left="4536" w:hanging="3402"/>
      </w:pPr>
      <w:r w:rsidRPr="00683A64">
        <w:rPr>
          <w:i/>
          <w:iCs/>
        </w:rPr>
        <w:t>Subject matter:</w:t>
      </w:r>
      <w:r w:rsidRPr="00683A64">
        <w:tab/>
      </w:r>
      <w:r w:rsidR="005A084E" w:rsidRPr="00683A64">
        <w:tab/>
      </w:r>
      <w:r w:rsidR="009728A7" w:rsidRPr="00683A64">
        <w:t>Torture; f</w:t>
      </w:r>
      <w:r w:rsidR="008454DC" w:rsidRPr="00683A64">
        <w:t>air trial; retroactive application of criminal law</w:t>
      </w:r>
      <w:r w:rsidR="00FE6BC7" w:rsidRPr="00683A64">
        <w:t>.</w:t>
      </w:r>
      <w:r w:rsidR="00806AAA" w:rsidRPr="00683A64">
        <w:t xml:space="preserve"> </w:t>
      </w:r>
    </w:p>
    <w:p w:rsidR="00C42AEC" w:rsidRPr="00683A64" w:rsidRDefault="008216A5" w:rsidP="00781C83">
      <w:pPr>
        <w:pStyle w:val="SingleTxtG"/>
        <w:ind w:left="4536" w:hanging="3402"/>
      </w:pPr>
      <w:r w:rsidRPr="00683A64">
        <w:rPr>
          <w:i/>
          <w:iCs/>
        </w:rPr>
        <w:t xml:space="preserve">Substantive issues: </w:t>
      </w:r>
      <w:r w:rsidRPr="00683A64">
        <w:rPr>
          <w:i/>
          <w:iCs/>
        </w:rPr>
        <w:tab/>
      </w:r>
      <w:r w:rsidR="002E17F3" w:rsidRPr="00683A64">
        <w:rPr>
          <w:iCs/>
        </w:rPr>
        <w:t>Torture; conditions of detention; fair trial; fair trial – witnesses; retroactiv</w:t>
      </w:r>
      <w:r w:rsidR="008454DC" w:rsidRPr="00683A64">
        <w:rPr>
          <w:iCs/>
        </w:rPr>
        <w:t>e application of criminal law</w:t>
      </w:r>
      <w:r w:rsidR="002E17F3" w:rsidRPr="00683A64">
        <w:rPr>
          <w:iCs/>
        </w:rPr>
        <w:t>.</w:t>
      </w:r>
    </w:p>
    <w:p w:rsidR="008216A5" w:rsidRPr="00683A64" w:rsidRDefault="008216A5" w:rsidP="00781C83">
      <w:pPr>
        <w:pStyle w:val="SingleTxtG"/>
        <w:ind w:left="4536" w:hanging="3402"/>
      </w:pPr>
      <w:r w:rsidRPr="00683A64">
        <w:rPr>
          <w:i/>
          <w:iCs/>
        </w:rPr>
        <w:t>Procedural issue</w:t>
      </w:r>
      <w:r w:rsidR="006761C2" w:rsidRPr="00683A64">
        <w:rPr>
          <w:i/>
          <w:iCs/>
        </w:rPr>
        <w:t>s</w:t>
      </w:r>
      <w:r w:rsidRPr="00683A64">
        <w:rPr>
          <w:i/>
          <w:iCs/>
        </w:rPr>
        <w:t xml:space="preserve">: </w:t>
      </w:r>
      <w:r w:rsidRPr="00683A64">
        <w:rPr>
          <w:i/>
          <w:iCs/>
        </w:rPr>
        <w:tab/>
      </w:r>
      <w:r w:rsidR="00CA1929" w:rsidRPr="00683A64">
        <w:t>E</w:t>
      </w:r>
      <w:r w:rsidR="00596EFC" w:rsidRPr="00683A64">
        <w:t>xhaustion of domestic remedies</w:t>
      </w:r>
      <w:r w:rsidR="00AB767D" w:rsidRPr="00683A64">
        <w:t>; substantiation of claims</w:t>
      </w:r>
      <w:r w:rsidR="009728A7" w:rsidRPr="00683A64">
        <w:t>.</w:t>
      </w:r>
    </w:p>
    <w:p w:rsidR="008216A5" w:rsidRPr="00683A64" w:rsidRDefault="008216A5" w:rsidP="00781C83">
      <w:pPr>
        <w:pStyle w:val="SingleTxtG"/>
        <w:ind w:left="4536" w:hanging="3402"/>
      </w:pPr>
      <w:r w:rsidRPr="00683A64">
        <w:rPr>
          <w:i/>
          <w:iCs/>
        </w:rPr>
        <w:t>Article</w:t>
      </w:r>
      <w:r w:rsidR="0068599A" w:rsidRPr="00683A64">
        <w:rPr>
          <w:i/>
          <w:iCs/>
        </w:rPr>
        <w:t>s</w:t>
      </w:r>
      <w:r w:rsidRPr="00683A64">
        <w:rPr>
          <w:i/>
          <w:iCs/>
        </w:rPr>
        <w:t xml:space="preserve"> of the Covenant:</w:t>
      </w:r>
      <w:r w:rsidRPr="00683A64">
        <w:t xml:space="preserve"> </w:t>
      </w:r>
      <w:r w:rsidRPr="00683A64">
        <w:tab/>
      </w:r>
      <w:r w:rsidR="00AB767D" w:rsidRPr="00683A64">
        <w:t>7, 10 (1)</w:t>
      </w:r>
      <w:r w:rsidR="008B7D16" w:rsidRPr="00683A64">
        <w:t xml:space="preserve"> and</w:t>
      </w:r>
      <w:r w:rsidR="00124AFB">
        <w:t xml:space="preserve"> </w:t>
      </w:r>
      <w:r w:rsidR="00AB767D" w:rsidRPr="00683A64">
        <w:t>(2) (a), 14 (1), (3) (b), (d), (e)</w:t>
      </w:r>
      <w:r w:rsidR="008B7D16" w:rsidRPr="00683A64">
        <w:t xml:space="preserve"> and</w:t>
      </w:r>
      <w:r w:rsidR="00AB767D" w:rsidRPr="00683A64">
        <w:t xml:space="preserve"> (g), 15 (1)</w:t>
      </w:r>
    </w:p>
    <w:p w:rsidR="005704D1" w:rsidRPr="00683A64" w:rsidRDefault="008216A5" w:rsidP="00781C83">
      <w:pPr>
        <w:pStyle w:val="SingleTxtG"/>
        <w:ind w:left="4536" w:hanging="3402"/>
      </w:pPr>
      <w:r w:rsidRPr="00683A64">
        <w:rPr>
          <w:i/>
          <w:iCs/>
        </w:rPr>
        <w:t>Article</w:t>
      </w:r>
      <w:r w:rsidR="00CA16A8" w:rsidRPr="00683A64">
        <w:rPr>
          <w:i/>
          <w:iCs/>
        </w:rPr>
        <w:t>s</w:t>
      </w:r>
      <w:r w:rsidRPr="00683A64">
        <w:rPr>
          <w:i/>
          <w:iCs/>
        </w:rPr>
        <w:t xml:space="preserve"> of the Optional Protocol:</w:t>
      </w:r>
      <w:r w:rsidRPr="00683A64">
        <w:rPr>
          <w:i/>
          <w:iCs/>
        </w:rPr>
        <w:tab/>
      </w:r>
      <w:r w:rsidR="00FE6BC7" w:rsidRPr="00683A64">
        <w:rPr>
          <w:iCs/>
        </w:rPr>
        <w:t>2,</w:t>
      </w:r>
      <w:r w:rsidR="004C721E" w:rsidRPr="00683A64">
        <w:t xml:space="preserve"> </w:t>
      </w:r>
      <w:r w:rsidR="00A2698E" w:rsidRPr="00683A64">
        <w:t>5</w:t>
      </w:r>
      <w:r w:rsidR="00A8780F" w:rsidRPr="00683A64">
        <w:t xml:space="preserve"> </w:t>
      </w:r>
    </w:p>
    <w:p w:rsidR="008216A5" w:rsidRPr="00683A64" w:rsidRDefault="008216A5" w:rsidP="00781C83">
      <w:pPr>
        <w:pStyle w:val="H1G"/>
      </w:pPr>
      <w:r w:rsidRPr="00683A64">
        <w:lastRenderedPageBreak/>
        <w:tab/>
      </w:r>
      <w:r w:rsidRPr="00683A64">
        <w:tab/>
      </w:r>
      <w:r w:rsidR="003346E8">
        <w:t>Decision</w:t>
      </w:r>
      <w:r w:rsidR="003346E8" w:rsidRPr="00BC7809">
        <w:t xml:space="preserve"> </w:t>
      </w:r>
      <w:r w:rsidR="003346E8">
        <w:t>on admissibility</w:t>
      </w:r>
    </w:p>
    <w:p w:rsidR="008216A5" w:rsidRPr="00683A64" w:rsidRDefault="008563FE" w:rsidP="004346B9">
      <w:pPr>
        <w:pStyle w:val="SingleTxtG"/>
      </w:pPr>
      <w:r w:rsidRPr="00683A64">
        <w:t>1.</w:t>
      </w:r>
      <w:r w:rsidR="004346B9" w:rsidRPr="00683A64">
        <w:tab/>
      </w:r>
      <w:r w:rsidR="008216A5" w:rsidRPr="00683A64">
        <w:t xml:space="preserve">The author of the communication is </w:t>
      </w:r>
      <w:r w:rsidR="00F20CE9">
        <w:t>V.K.</w:t>
      </w:r>
      <w:r w:rsidR="008216A5" w:rsidRPr="00683A64">
        <w:t xml:space="preserve">, a </w:t>
      </w:r>
      <w:r w:rsidR="00AB767D" w:rsidRPr="00683A64">
        <w:t>Russian</w:t>
      </w:r>
      <w:r w:rsidR="008216A5" w:rsidRPr="00683A64">
        <w:t xml:space="preserve"> national born in 19</w:t>
      </w:r>
      <w:r w:rsidR="00F653FE" w:rsidRPr="00683A64">
        <w:t>5</w:t>
      </w:r>
      <w:r w:rsidR="00AB767D" w:rsidRPr="00683A64">
        <w:t>0</w:t>
      </w:r>
      <w:r w:rsidR="008216A5" w:rsidRPr="00683A64">
        <w:t xml:space="preserve">. He claims to be a victim of a violation by </w:t>
      </w:r>
      <w:r w:rsidR="00AB767D" w:rsidRPr="00683A64">
        <w:t>the Russian Federation</w:t>
      </w:r>
      <w:r w:rsidR="008216A5" w:rsidRPr="00683A64">
        <w:t xml:space="preserve"> of his rights under article</w:t>
      </w:r>
      <w:r w:rsidR="002632E7" w:rsidRPr="00683A64">
        <w:t>s</w:t>
      </w:r>
      <w:r w:rsidR="008216A5" w:rsidRPr="00683A64">
        <w:t xml:space="preserve"> </w:t>
      </w:r>
      <w:r w:rsidR="00AB767D" w:rsidRPr="00683A64">
        <w:t>7, 10 (1)</w:t>
      </w:r>
      <w:r w:rsidR="008B7D16" w:rsidRPr="00683A64">
        <w:t xml:space="preserve"> and </w:t>
      </w:r>
      <w:r w:rsidR="00AB767D" w:rsidRPr="00683A64">
        <w:t>(2) (a), 14 (1), (3) (b), (d), (e)</w:t>
      </w:r>
      <w:r w:rsidR="008B7D16" w:rsidRPr="00683A64">
        <w:t xml:space="preserve"> and </w:t>
      </w:r>
      <w:r w:rsidR="00AB767D" w:rsidRPr="00683A64">
        <w:t>(g)</w:t>
      </w:r>
      <w:r w:rsidR="008B7D16" w:rsidRPr="00683A64">
        <w:t xml:space="preserve"> and</w:t>
      </w:r>
      <w:r w:rsidR="00AB767D" w:rsidRPr="00683A64">
        <w:t xml:space="preserve"> 15 (1)</w:t>
      </w:r>
      <w:r w:rsidR="008B7D16" w:rsidRPr="00683A64">
        <w:t>,</w:t>
      </w:r>
      <w:r w:rsidR="00AB767D" w:rsidRPr="00683A64">
        <w:t xml:space="preserve"> </w:t>
      </w:r>
      <w:r w:rsidR="008216A5" w:rsidRPr="00683A64">
        <w:t>of the International Covenant on Civil and Political Rights. The Optional Prot</w:t>
      </w:r>
      <w:r w:rsidR="00294F4A" w:rsidRPr="00683A64">
        <w:t xml:space="preserve">ocol entered into force for </w:t>
      </w:r>
      <w:r w:rsidR="00AB767D" w:rsidRPr="00683A64">
        <w:t>the Russian Federation</w:t>
      </w:r>
      <w:r w:rsidR="00294F4A" w:rsidRPr="00683A64">
        <w:t xml:space="preserve"> </w:t>
      </w:r>
      <w:r w:rsidR="008216A5" w:rsidRPr="00683A64">
        <w:t xml:space="preserve">on </w:t>
      </w:r>
      <w:r w:rsidR="00AB767D" w:rsidRPr="00683A64">
        <w:t>1 January 1</w:t>
      </w:r>
      <w:r w:rsidR="008216A5" w:rsidRPr="00683A64">
        <w:t xml:space="preserve">992. The author is </w:t>
      </w:r>
      <w:r w:rsidR="00165AA7" w:rsidRPr="00683A64">
        <w:t>not represented by counsel</w:t>
      </w:r>
      <w:r w:rsidR="008216A5" w:rsidRPr="00683A64">
        <w:t xml:space="preserve">. </w:t>
      </w:r>
    </w:p>
    <w:p w:rsidR="008216A5" w:rsidRPr="00683A64" w:rsidRDefault="008216A5" w:rsidP="00781C83">
      <w:pPr>
        <w:pStyle w:val="H23G"/>
      </w:pPr>
      <w:r w:rsidRPr="00683A64">
        <w:tab/>
      </w:r>
      <w:r w:rsidRPr="00683A64">
        <w:tab/>
        <w:t xml:space="preserve">The facts as </w:t>
      </w:r>
      <w:r w:rsidR="00101383" w:rsidRPr="00683A64">
        <w:t>submitted</w:t>
      </w:r>
      <w:r w:rsidRPr="00683A64">
        <w:t xml:space="preserve"> by the author</w:t>
      </w:r>
    </w:p>
    <w:p w:rsidR="005576A9" w:rsidRPr="00683A64" w:rsidRDefault="008216A5" w:rsidP="003346E8">
      <w:pPr>
        <w:pStyle w:val="SingleTxtG"/>
      </w:pPr>
      <w:r w:rsidRPr="00683A64">
        <w:t>2.1</w:t>
      </w:r>
      <w:r w:rsidRPr="00683A64">
        <w:tab/>
      </w:r>
      <w:r w:rsidR="00436E13" w:rsidRPr="00683A64">
        <w:t xml:space="preserve">The author served as an officer in the Ministry of Internal Affairs </w:t>
      </w:r>
      <w:r w:rsidR="00EF106D" w:rsidRPr="00683A64">
        <w:t xml:space="preserve">units </w:t>
      </w:r>
      <w:r w:rsidR="00436E13" w:rsidRPr="00683A64">
        <w:t>from 1971 to 2004, including on senior positions. On 3 April 2005</w:t>
      </w:r>
      <w:r w:rsidR="00122A76" w:rsidRPr="00683A64">
        <w:t>,</w:t>
      </w:r>
      <w:r w:rsidR="00436E13" w:rsidRPr="00683A64">
        <w:t xml:space="preserve"> </w:t>
      </w:r>
      <w:r w:rsidR="00EF106D" w:rsidRPr="00683A64">
        <w:t xml:space="preserve">after winning the general elections, </w:t>
      </w:r>
      <w:r w:rsidR="00436E13" w:rsidRPr="00683A64">
        <w:t xml:space="preserve">he assumed the post of a Head of Administration of </w:t>
      </w:r>
      <w:r w:rsidR="008B7D16" w:rsidRPr="00683A64">
        <w:t xml:space="preserve">the </w:t>
      </w:r>
      <w:proofErr w:type="spellStart"/>
      <w:r w:rsidR="00436E13" w:rsidRPr="00683A64">
        <w:t>Kurgan</w:t>
      </w:r>
      <w:r w:rsidR="00884354">
        <w:t>insky</w:t>
      </w:r>
      <w:proofErr w:type="spellEnd"/>
      <w:r w:rsidR="00E02662">
        <w:t xml:space="preserve"> </w:t>
      </w:r>
      <w:proofErr w:type="spellStart"/>
      <w:r w:rsidR="00E02662">
        <w:t>raion</w:t>
      </w:r>
      <w:proofErr w:type="spellEnd"/>
      <w:r w:rsidR="00436E13" w:rsidRPr="00683A64">
        <w:t>, Krasnodar</w:t>
      </w:r>
      <w:r w:rsidR="00E02662" w:rsidRPr="00E02662">
        <w:t xml:space="preserve"> </w:t>
      </w:r>
      <w:r w:rsidR="00E02662">
        <w:t>territory</w:t>
      </w:r>
      <w:r w:rsidR="00436E13" w:rsidRPr="00683A64">
        <w:t xml:space="preserve">. </w:t>
      </w:r>
      <w:r w:rsidR="0037564E" w:rsidRPr="00683A64">
        <w:t>On 27 July 2005</w:t>
      </w:r>
      <w:r w:rsidR="00122A76" w:rsidRPr="00683A64">
        <w:t>,</w:t>
      </w:r>
      <w:r w:rsidR="0037564E" w:rsidRPr="00683A64">
        <w:t xml:space="preserve"> the author resigned from the post</w:t>
      </w:r>
      <w:r w:rsidR="00122A76" w:rsidRPr="00683A64">
        <w:t>, allegedly under pressure</w:t>
      </w:r>
      <w:r w:rsidR="0037564E" w:rsidRPr="00683A64">
        <w:t xml:space="preserve">. </w:t>
      </w:r>
    </w:p>
    <w:p w:rsidR="009A59E3" w:rsidRPr="00683A64" w:rsidRDefault="00122A76" w:rsidP="003346E8">
      <w:pPr>
        <w:pStyle w:val="SingleTxtG"/>
      </w:pPr>
      <w:r w:rsidRPr="00683A64">
        <w:t>2.2</w:t>
      </w:r>
      <w:r w:rsidRPr="00683A64">
        <w:tab/>
      </w:r>
      <w:r w:rsidR="00696DA7" w:rsidRPr="00683A64">
        <w:t>On 1 September 20</w:t>
      </w:r>
      <w:r w:rsidRPr="00683A64">
        <w:t>0</w:t>
      </w:r>
      <w:r w:rsidR="00696DA7" w:rsidRPr="00683A64">
        <w:t xml:space="preserve">5, the author was arrested by the Federal Security Service </w:t>
      </w:r>
      <w:r w:rsidR="007F614B" w:rsidRPr="00683A64">
        <w:t>(FSS)</w:t>
      </w:r>
      <w:r w:rsidR="00124AFB">
        <w:t xml:space="preserve"> </w:t>
      </w:r>
      <w:r w:rsidR="008B7D16" w:rsidRPr="00683A64">
        <w:t>on</w:t>
      </w:r>
      <w:r w:rsidR="00696DA7" w:rsidRPr="00683A64">
        <w:t xml:space="preserve"> suspicion of organizing terrorist </w:t>
      </w:r>
      <w:r w:rsidR="00965212" w:rsidRPr="00683A64">
        <w:t>attacks</w:t>
      </w:r>
      <w:r w:rsidR="00696DA7" w:rsidRPr="00683A64">
        <w:t xml:space="preserve">. </w:t>
      </w:r>
      <w:r w:rsidR="008B7D16" w:rsidRPr="00683A64">
        <w:t>D</w:t>
      </w:r>
      <w:r w:rsidR="009B4971" w:rsidRPr="00683A64">
        <w:t xml:space="preserve">uring his detention in the </w:t>
      </w:r>
      <w:r w:rsidR="00884354">
        <w:t xml:space="preserve">Krasnodar FSS </w:t>
      </w:r>
      <w:r w:rsidR="009B4971" w:rsidRPr="00683A64">
        <w:t xml:space="preserve">remand facility in order to obtain his confession he was </w:t>
      </w:r>
      <w:r w:rsidR="009A59E3" w:rsidRPr="00683A64">
        <w:t xml:space="preserve">verbally offended and </w:t>
      </w:r>
      <w:r w:rsidR="009B4971" w:rsidRPr="00683A64">
        <w:t xml:space="preserve">psychologically pressured by the </w:t>
      </w:r>
      <w:r w:rsidR="008B7D16" w:rsidRPr="00683A64">
        <w:t xml:space="preserve">FSS </w:t>
      </w:r>
      <w:r w:rsidR="009B4971" w:rsidRPr="00683A64">
        <w:t>officers</w:t>
      </w:r>
      <w:r w:rsidR="009A59E3" w:rsidRPr="00683A64">
        <w:t xml:space="preserve"> and his cell-mates, who were working for the </w:t>
      </w:r>
      <w:r w:rsidR="007F614B" w:rsidRPr="00683A64">
        <w:t>FSS</w:t>
      </w:r>
      <w:r w:rsidR="009A59E3" w:rsidRPr="00683A64">
        <w:t>.</w:t>
      </w:r>
      <w:r w:rsidR="009B4971" w:rsidRPr="00683A64">
        <w:t xml:space="preserve"> </w:t>
      </w:r>
      <w:r w:rsidR="009A59E3" w:rsidRPr="00683A64">
        <w:t>O</w:t>
      </w:r>
      <w:r w:rsidR="009B4971" w:rsidRPr="00683A64">
        <w:t xml:space="preserve">n one occasion </w:t>
      </w:r>
      <w:r w:rsidR="009A59E3" w:rsidRPr="00683A64">
        <w:t xml:space="preserve">he was </w:t>
      </w:r>
      <w:r w:rsidR="009B4971" w:rsidRPr="00683A64">
        <w:t>injected with psychotropic drugs, which caused a health disorder and suicidal thoughts for two months. He also claims to have been denied medical assistance</w:t>
      </w:r>
      <w:r w:rsidR="00E62642" w:rsidRPr="00683A64">
        <w:t xml:space="preserve"> and detained in one cell with </w:t>
      </w:r>
      <w:r w:rsidR="008B7D16" w:rsidRPr="00683A64">
        <w:t>previously convicted criminals</w:t>
      </w:r>
      <w:r w:rsidR="009B4971" w:rsidRPr="00683A64">
        <w:t xml:space="preserve">. The author also claims that he was treated with unnecessary </w:t>
      </w:r>
      <w:r w:rsidR="003B3B38" w:rsidRPr="00683A64">
        <w:t xml:space="preserve">violence </w:t>
      </w:r>
      <w:r w:rsidR="009B4971" w:rsidRPr="00683A64">
        <w:t>when transported from the remand facility to the court.</w:t>
      </w:r>
    </w:p>
    <w:p w:rsidR="005576A9" w:rsidRPr="00683A64" w:rsidRDefault="004A51F3" w:rsidP="003346E8">
      <w:pPr>
        <w:pStyle w:val="SingleTxtG"/>
      </w:pPr>
      <w:r w:rsidRPr="00683A64">
        <w:t>2.3</w:t>
      </w:r>
      <w:r w:rsidR="00696DA7" w:rsidRPr="00683A64">
        <w:tab/>
      </w:r>
      <w:r w:rsidR="003A22FB" w:rsidRPr="00683A64">
        <w:t xml:space="preserve">On </w:t>
      </w:r>
      <w:r w:rsidR="00F05444" w:rsidRPr="00683A64">
        <w:t xml:space="preserve">26 December 2006, </w:t>
      </w:r>
      <w:r w:rsidR="005576A9" w:rsidRPr="00683A64">
        <w:t xml:space="preserve">in a </w:t>
      </w:r>
      <w:r w:rsidR="00D5177F" w:rsidRPr="00683A64">
        <w:t xml:space="preserve">jury </w:t>
      </w:r>
      <w:r w:rsidR="005576A9" w:rsidRPr="00683A64">
        <w:t>trial</w:t>
      </w:r>
      <w:r w:rsidR="003346E8">
        <w:t>,</w:t>
      </w:r>
      <w:r w:rsidR="00D5177F" w:rsidRPr="00683A64">
        <w:t xml:space="preserve"> the </w:t>
      </w:r>
      <w:r w:rsidR="00F05444" w:rsidRPr="00683A64">
        <w:t xml:space="preserve">Krasnodar </w:t>
      </w:r>
      <w:r w:rsidR="00884354">
        <w:t>Territorial</w:t>
      </w:r>
      <w:r w:rsidR="00884354" w:rsidRPr="00683A64">
        <w:t xml:space="preserve"> </w:t>
      </w:r>
      <w:r w:rsidR="00F05444" w:rsidRPr="00683A64">
        <w:t xml:space="preserve">Court </w:t>
      </w:r>
      <w:r w:rsidR="00350238" w:rsidRPr="00683A64">
        <w:t xml:space="preserve">found the author guilty of planning terrorist attacks in </w:t>
      </w:r>
      <w:proofErr w:type="spellStart"/>
      <w:r w:rsidR="00350238" w:rsidRPr="00683A64">
        <w:t>Armavir</w:t>
      </w:r>
      <w:proofErr w:type="spellEnd"/>
      <w:r w:rsidR="00350238" w:rsidRPr="00683A64">
        <w:t xml:space="preserve"> city on 9 and 16 January 2000 under articles 33 (3) and 205 (3) of the Criminal Code of 27 December 1996 as amended on 9 January 1999</w:t>
      </w:r>
      <w:r w:rsidR="007474E2" w:rsidRPr="00683A64">
        <w:t xml:space="preserve"> (terrorism)</w:t>
      </w:r>
      <w:r w:rsidR="00350238" w:rsidRPr="00683A64">
        <w:t>.</w:t>
      </w:r>
      <w:r w:rsidR="00850EB0" w:rsidRPr="00683A64">
        <w:rPr>
          <w:rStyle w:val="FootnoteReference"/>
        </w:rPr>
        <w:footnoteReference w:id="4"/>
      </w:r>
      <w:r w:rsidR="00350238" w:rsidRPr="00683A64">
        <w:t xml:space="preserve"> </w:t>
      </w:r>
      <w:r w:rsidR="00696DA7" w:rsidRPr="00683A64">
        <w:t xml:space="preserve">Both </w:t>
      </w:r>
      <w:r w:rsidR="00B35FDA" w:rsidRPr="00683A64">
        <w:t xml:space="preserve">provisions </w:t>
      </w:r>
      <w:r w:rsidR="00350238" w:rsidRPr="00683A64">
        <w:t xml:space="preserve">were applied </w:t>
      </w:r>
      <w:r w:rsidR="00CB09D0" w:rsidRPr="00683A64">
        <w:t xml:space="preserve">separately </w:t>
      </w:r>
      <w:r w:rsidR="00350238" w:rsidRPr="00683A64">
        <w:t>for each attempt</w:t>
      </w:r>
      <w:r w:rsidR="007474E2" w:rsidRPr="00683A64">
        <w:t>ed</w:t>
      </w:r>
      <w:r w:rsidR="00350238" w:rsidRPr="00683A64">
        <w:t xml:space="preserve"> terrorist a</w:t>
      </w:r>
      <w:r w:rsidR="007474E2" w:rsidRPr="00683A64">
        <w:t>c</w:t>
      </w:r>
      <w:r w:rsidR="00350238" w:rsidRPr="00683A64">
        <w:t xml:space="preserve">t. The author was also </w:t>
      </w:r>
      <w:r w:rsidR="002E6ABB" w:rsidRPr="00683A64">
        <w:t xml:space="preserve">found guilty </w:t>
      </w:r>
      <w:r w:rsidR="00350238" w:rsidRPr="00683A64">
        <w:t xml:space="preserve">of </w:t>
      </w:r>
      <w:r w:rsidR="009E6050" w:rsidRPr="00683A64">
        <w:t xml:space="preserve">staging an attempt to his life </w:t>
      </w:r>
      <w:r w:rsidR="00AA0F39" w:rsidRPr="00683A64">
        <w:t xml:space="preserve">by blowing up a grenade </w:t>
      </w:r>
      <w:r w:rsidR="009E6050" w:rsidRPr="00683A64">
        <w:t>in</w:t>
      </w:r>
      <w:r w:rsidR="00AA0F39" w:rsidRPr="00683A64">
        <w:t xml:space="preserve"> his apartment </w:t>
      </w:r>
      <w:r w:rsidR="009D13F0" w:rsidRPr="00683A64">
        <w:t>o</w:t>
      </w:r>
      <w:r w:rsidR="00AA0F39" w:rsidRPr="00683A64">
        <w:t>n</w:t>
      </w:r>
      <w:r w:rsidR="009D13F0" w:rsidRPr="00683A64">
        <w:t xml:space="preserve"> 19</w:t>
      </w:r>
      <w:r w:rsidR="00AA0F39" w:rsidRPr="00683A64">
        <w:t xml:space="preserve"> </w:t>
      </w:r>
      <w:r w:rsidR="009E6050" w:rsidRPr="00683A64">
        <w:t xml:space="preserve">April 2005 and in this connection he was found guilty under </w:t>
      </w:r>
      <w:r w:rsidR="00F05444" w:rsidRPr="00683A64">
        <w:t xml:space="preserve">article 306 (3) (knowingly false denunciation); article 307 (2) (provision of knowingly false </w:t>
      </w:r>
      <w:r w:rsidR="00B8243A" w:rsidRPr="00683A64">
        <w:t>testimony</w:t>
      </w:r>
      <w:r w:rsidR="00F05444" w:rsidRPr="00683A64">
        <w:t>)</w:t>
      </w:r>
      <w:r w:rsidR="00D5177F" w:rsidRPr="00683A64">
        <w:t>, article 167 (1) (intentional damaging of other’s property) and article 222 (1) (illegal acquisition, transportation and storage of ammunition)</w:t>
      </w:r>
      <w:r w:rsidR="009E6050" w:rsidRPr="00683A64">
        <w:t xml:space="preserve"> of the </w:t>
      </w:r>
      <w:r w:rsidR="00B35FDA" w:rsidRPr="00683A64">
        <w:t xml:space="preserve">Criminal </w:t>
      </w:r>
      <w:r w:rsidR="009E6050" w:rsidRPr="00683A64">
        <w:t>Code</w:t>
      </w:r>
      <w:r w:rsidR="00D5177F" w:rsidRPr="00683A64">
        <w:t>.</w:t>
      </w:r>
      <w:r w:rsidR="00F05444" w:rsidRPr="00683A64">
        <w:t xml:space="preserve"> </w:t>
      </w:r>
      <w:r w:rsidR="00B35FDA" w:rsidRPr="00683A64">
        <w:t xml:space="preserve">He </w:t>
      </w:r>
      <w:r w:rsidR="00D5177F" w:rsidRPr="00683A64">
        <w:t xml:space="preserve">was </w:t>
      </w:r>
      <w:r w:rsidR="009E6050" w:rsidRPr="00683A64">
        <w:t>sentenced to 22 years in a penal colony of maximum security</w:t>
      </w:r>
      <w:r w:rsidR="00B35FDA" w:rsidRPr="00683A64">
        <w:t xml:space="preserve">, </w:t>
      </w:r>
      <w:r w:rsidR="009E6050" w:rsidRPr="00683A64">
        <w:t>deprived of the rank of colonel and of professional awards.</w:t>
      </w:r>
    </w:p>
    <w:p w:rsidR="005576A9" w:rsidRPr="00683A64" w:rsidRDefault="004A51F3" w:rsidP="003346E8">
      <w:pPr>
        <w:pStyle w:val="SingleTxtG"/>
      </w:pPr>
      <w:r w:rsidRPr="00683A64">
        <w:t>2.4</w:t>
      </w:r>
      <w:r w:rsidR="00D5177F" w:rsidRPr="00683A64">
        <w:tab/>
      </w:r>
      <w:r w:rsidR="00B06167" w:rsidRPr="00683A64">
        <w:t>On 29</w:t>
      </w:r>
      <w:r w:rsidR="004D0762" w:rsidRPr="00683A64">
        <w:t xml:space="preserve"> </w:t>
      </w:r>
      <w:r w:rsidR="00B06167" w:rsidRPr="00683A64">
        <w:t>December</w:t>
      </w:r>
      <w:r w:rsidR="004D0762" w:rsidRPr="00683A64">
        <w:t xml:space="preserve"> 200</w:t>
      </w:r>
      <w:r w:rsidR="00B06167" w:rsidRPr="00683A64">
        <w:t>6</w:t>
      </w:r>
      <w:r w:rsidR="004D0762" w:rsidRPr="00683A64">
        <w:t xml:space="preserve">, the author filed a cassation appeal </w:t>
      </w:r>
      <w:r w:rsidR="00ED518D" w:rsidRPr="00683A64">
        <w:t>with</w:t>
      </w:r>
      <w:r w:rsidR="004D0762" w:rsidRPr="00683A64">
        <w:t xml:space="preserve"> the Supreme Court claiming erroneous application of criminal law </w:t>
      </w:r>
      <w:r w:rsidRPr="00683A64">
        <w:t xml:space="preserve">by </w:t>
      </w:r>
      <w:r w:rsidR="00ED518D" w:rsidRPr="00683A64">
        <w:t xml:space="preserve">the first instance court. </w:t>
      </w:r>
      <w:r w:rsidR="00BC43D0" w:rsidRPr="00683A64">
        <w:t xml:space="preserve">He argued that the </w:t>
      </w:r>
      <w:r w:rsidR="00884354">
        <w:t>Territorial</w:t>
      </w:r>
      <w:r w:rsidR="00884354" w:rsidRPr="00683A64">
        <w:t xml:space="preserve"> </w:t>
      </w:r>
      <w:r w:rsidR="00BC43D0" w:rsidRPr="00683A64">
        <w:t>C</w:t>
      </w:r>
      <w:r w:rsidR="00ED518D" w:rsidRPr="00683A64">
        <w:t xml:space="preserve">ourt applied </w:t>
      </w:r>
      <w:r w:rsidRPr="00683A64">
        <w:t xml:space="preserve">an old version of the Criminal Code, while </w:t>
      </w:r>
      <w:r w:rsidR="00ED518D" w:rsidRPr="00683A64">
        <w:t xml:space="preserve">a </w:t>
      </w:r>
      <w:r w:rsidRPr="00683A64">
        <w:t xml:space="preserve">new version entered into force </w:t>
      </w:r>
      <w:r w:rsidR="008C3ACC" w:rsidRPr="00683A64">
        <w:t xml:space="preserve">on 27 July 2006, i.e. </w:t>
      </w:r>
      <w:r w:rsidRPr="00683A64">
        <w:t xml:space="preserve">before </w:t>
      </w:r>
      <w:r w:rsidR="00ED518D" w:rsidRPr="00683A64">
        <w:t xml:space="preserve">the author’s </w:t>
      </w:r>
      <w:r w:rsidRPr="00683A64">
        <w:t>t</w:t>
      </w:r>
      <w:r w:rsidR="00ED518D" w:rsidRPr="00683A64">
        <w:t>rial took place</w:t>
      </w:r>
      <w:r w:rsidRPr="00683A64">
        <w:t xml:space="preserve">. Since the new </w:t>
      </w:r>
      <w:r w:rsidRPr="00683A64">
        <w:lastRenderedPageBreak/>
        <w:t xml:space="preserve">version of </w:t>
      </w:r>
      <w:r w:rsidR="00B35FDA" w:rsidRPr="00683A64">
        <w:t>a</w:t>
      </w:r>
      <w:r w:rsidR="004D0762" w:rsidRPr="00683A64">
        <w:t xml:space="preserve">rticle 205 </w:t>
      </w:r>
      <w:r w:rsidRPr="00683A64">
        <w:t xml:space="preserve">of the </w:t>
      </w:r>
      <w:r w:rsidR="004D0762" w:rsidRPr="00683A64">
        <w:t xml:space="preserve">Criminal Code </w:t>
      </w:r>
      <w:r w:rsidRPr="00683A64">
        <w:t>amended</w:t>
      </w:r>
      <w:r w:rsidR="00850EB0" w:rsidRPr="00683A64">
        <w:t xml:space="preserve"> the subjective element of the disposition </w:t>
      </w:r>
      <w:r w:rsidRPr="00683A64">
        <w:t xml:space="preserve">(the purpose of the </w:t>
      </w:r>
      <w:r w:rsidR="00BC43D0" w:rsidRPr="00683A64">
        <w:t xml:space="preserve">terrorist </w:t>
      </w:r>
      <w:r w:rsidRPr="00683A64">
        <w:t>act)</w:t>
      </w:r>
      <w:r w:rsidR="004D0762" w:rsidRPr="00683A64">
        <w:t>,</w:t>
      </w:r>
      <w:r w:rsidRPr="00683A64">
        <w:rPr>
          <w:rStyle w:val="FootnoteReference"/>
        </w:rPr>
        <w:footnoteReference w:id="5"/>
      </w:r>
      <w:r w:rsidR="004D0762" w:rsidRPr="00683A64">
        <w:t xml:space="preserve"> </w:t>
      </w:r>
      <w:r w:rsidRPr="00683A64">
        <w:t>the author argued that</w:t>
      </w:r>
      <w:r w:rsidR="004D0762" w:rsidRPr="00683A64">
        <w:t xml:space="preserve"> his actions did not constitute terrorism</w:t>
      </w:r>
      <w:r w:rsidRPr="00683A64">
        <w:t xml:space="preserve"> </w:t>
      </w:r>
      <w:r w:rsidR="00BC43D0" w:rsidRPr="00683A64">
        <w:t>under the new law</w:t>
      </w:r>
      <w:r w:rsidRPr="00683A64">
        <w:t xml:space="preserve">. His actions should have been qualified under different articles of the Criminal Code, which would entail lighter penalty. </w:t>
      </w:r>
      <w:r w:rsidR="004D0762" w:rsidRPr="00683A64">
        <w:t xml:space="preserve">The author also claimed wrong application of </w:t>
      </w:r>
      <w:r w:rsidRPr="00683A64">
        <w:t>articles</w:t>
      </w:r>
      <w:r w:rsidR="004D0762" w:rsidRPr="00683A64">
        <w:t xml:space="preserve"> 306</w:t>
      </w:r>
      <w:r w:rsidRPr="00683A64">
        <w:t xml:space="preserve"> (3)</w:t>
      </w:r>
      <w:r w:rsidR="004D0762" w:rsidRPr="00683A64">
        <w:t xml:space="preserve"> and 307 </w:t>
      </w:r>
      <w:r w:rsidRPr="00683A64">
        <w:t>(2) of the Criminal Code</w:t>
      </w:r>
      <w:r w:rsidR="004D0762" w:rsidRPr="00683A64">
        <w:t xml:space="preserve"> and of the additional </w:t>
      </w:r>
      <w:r w:rsidRPr="00683A64">
        <w:t>penalty</w:t>
      </w:r>
      <w:r w:rsidR="004D0762" w:rsidRPr="00683A64">
        <w:t xml:space="preserve"> depriv</w:t>
      </w:r>
      <w:r w:rsidRPr="00683A64">
        <w:t xml:space="preserve">ing him of the rank and awards. He </w:t>
      </w:r>
      <w:r w:rsidR="00FB74FB" w:rsidRPr="00683A64">
        <w:t>as well</w:t>
      </w:r>
      <w:r w:rsidR="00C87756" w:rsidRPr="00683A64">
        <w:t xml:space="preserve"> </w:t>
      </w:r>
      <w:r w:rsidRPr="00683A64">
        <w:t>brought up</w:t>
      </w:r>
      <w:r w:rsidR="004D0762" w:rsidRPr="00683A64">
        <w:t xml:space="preserve"> </w:t>
      </w:r>
      <w:r w:rsidRPr="00683A64">
        <w:t>complaints concerning the</w:t>
      </w:r>
      <w:r w:rsidR="004D0762" w:rsidRPr="00683A64">
        <w:t xml:space="preserve"> procedural violations in the court of </w:t>
      </w:r>
      <w:r w:rsidRPr="00683A64">
        <w:t xml:space="preserve">the </w:t>
      </w:r>
      <w:r w:rsidR="004D0762" w:rsidRPr="00683A64">
        <w:t xml:space="preserve">first instance, </w:t>
      </w:r>
      <w:r w:rsidRPr="00683A64">
        <w:t xml:space="preserve">among other, </w:t>
      </w:r>
      <w:r w:rsidR="004D0762" w:rsidRPr="00683A64">
        <w:t>biased attitude of the presiding judge</w:t>
      </w:r>
      <w:r w:rsidRPr="00683A64">
        <w:t xml:space="preserve">, her influencing the </w:t>
      </w:r>
      <w:r w:rsidR="002B7E9E" w:rsidRPr="00683A64">
        <w:t xml:space="preserve">decision of the </w:t>
      </w:r>
      <w:r w:rsidRPr="00683A64">
        <w:t>jury</w:t>
      </w:r>
      <w:r w:rsidR="00DB2C15" w:rsidRPr="00683A64">
        <w:t xml:space="preserve"> </w:t>
      </w:r>
      <w:r w:rsidR="00267F1B" w:rsidRPr="00683A64">
        <w:t xml:space="preserve">by expressing an opinion about the facts of the case and the guilt of the </w:t>
      </w:r>
      <w:r w:rsidR="0066065C" w:rsidRPr="00683A64">
        <w:t>defendants</w:t>
      </w:r>
      <w:r w:rsidR="00267F1B" w:rsidRPr="00683A64">
        <w:t xml:space="preserve">, </w:t>
      </w:r>
      <w:r w:rsidR="00DB2C15" w:rsidRPr="00683A64">
        <w:t>manipulat</w:t>
      </w:r>
      <w:r w:rsidR="00267F1B" w:rsidRPr="00683A64">
        <w:t>ing of</w:t>
      </w:r>
      <w:r w:rsidR="00DB2C15" w:rsidRPr="00683A64">
        <w:t xml:space="preserve"> the way evidence was presented and witnesses questioned, </w:t>
      </w:r>
      <w:r w:rsidR="00267F1B" w:rsidRPr="00683A64">
        <w:t xml:space="preserve">failure of the presiding judge to </w:t>
      </w:r>
      <w:r w:rsidR="00537ED5" w:rsidRPr="00683A64">
        <w:t>read in the court pre-trial statements of</w:t>
      </w:r>
      <w:r w:rsidR="00124AFB">
        <w:t xml:space="preserve"> </w:t>
      </w:r>
      <w:r w:rsidR="00537ED5" w:rsidRPr="00683A64">
        <w:t xml:space="preserve">the </w:t>
      </w:r>
      <w:r w:rsidR="00267F1B" w:rsidRPr="00683A64">
        <w:t>witnesses</w:t>
      </w:r>
      <w:r w:rsidR="002E6ABB" w:rsidRPr="00683A64">
        <w:t xml:space="preserve"> </w:t>
      </w:r>
      <w:r w:rsidR="00537ED5" w:rsidRPr="00683A64">
        <w:t xml:space="preserve">- </w:t>
      </w:r>
      <w:r w:rsidR="002E6ABB" w:rsidRPr="00683A64">
        <w:t xml:space="preserve">Mr. </w:t>
      </w:r>
      <w:proofErr w:type="spellStart"/>
      <w:r w:rsidR="002E6ABB" w:rsidRPr="00683A64">
        <w:t>Drobotov</w:t>
      </w:r>
      <w:proofErr w:type="spellEnd"/>
      <w:r w:rsidR="002E6ABB" w:rsidRPr="00683A64">
        <w:t xml:space="preserve"> and Mr. </w:t>
      </w:r>
      <w:proofErr w:type="spellStart"/>
      <w:r w:rsidR="002E6ABB" w:rsidRPr="00683A64">
        <w:t>Sidelnik</w:t>
      </w:r>
      <w:proofErr w:type="spellEnd"/>
      <w:r w:rsidR="00537ED5" w:rsidRPr="00683A64">
        <w:t xml:space="preserve"> – which differed from those given by them during the hearing, </w:t>
      </w:r>
      <w:r w:rsidR="004E048C" w:rsidRPr="00683A64">
        <w:t xml:space="preserve">and to order </w:t>
      </w:r>
      <w:r w:rsidR="00BC43D0" w:rsidRPr="00683A64">
        <w:t>additional expert</w:t>
      </w:r>
      <w:r w:rsidR="00AE062A" w:rsidRPr="00683A64">
        <w:t xml:space="preserve"> </w:t>
      </w:r>
      <w:r w:rsidR="009005E0" w:rsidRPr="00683A64">
        <w:t xml:space="preserve">examination on the possible cause of fire in his </w:t>
      </w:r>
      <w:r w:rsidR="009D13F0" w:rsidRPr="00683A64">
        <w:t xml:space="preserve">apartment after </w:t>
      </w:r>
      <w:r w:rsidR="00AE062A" w:rsidRPr="00683A64">
        <w:t>a</w:t>
      </w:r>
      <w:r w:rsidR="009D13F0" w:rsidRPr="00683A64">
        <w:t xml:space="preserve"> grenade explosion on 19 April 2005</w:t>
      </w:r>
      <w:r w:rsidR="00267F1B" w:rsidRPr="00683A64">
        <w:t xml:space="preserve">, as well as </w:t>
      </w:r>
      <w:r w:rsidR="004D0762" w:rsidRPr="00683A64">
        <w:t>discrepancy between the facts of the c</w:t>
      </w:r>
      <w:r w:rsidR="00BC43D0" w:rsidRPr="00683A64">
        <w:t xml:space="preserve">ase and the conclusions of the </w:t>
      </w:r>
      <w:r w:rsidR="0066065C" w:rsidRPr="00683A64">
        <w:t>c</w:t>
      </w:r>
      <w:r w:rsidR="003346E8">
        <w:t>ourt.</w:t>
      </w:r>
    </w:p>
    <w:p w:rsidR="005576A9" w:rsidRPr="00683A64" w:rsidRDefault="004A51F3" w:rsidP="003346E8">
      <w:pPr>
        <w:pStyle w:val="SingleTxtG"/>
      </w:pPr>
      <w:r w:rsidRPr="00683A64">
        <w:t>2.5</w:t>
      </w:r>
      <w:r w:rsidRPr="00683A64">
        <w:tab/>
      </w:r>
      <w:r w:rsidR="004D0762" w:rsidRPr="00683A64">
        <w:t>In its decision of 22 November 2007</w:t>
      </w:r>
      <w:r w:rsidRPr="00683A64">
        <w:t>,</w:t>
      </w:r>
      <w:r w:rsidR="004D0762" w:rsidRPr="00683A64">
        <w:t xml:space="preserve"> the </w:t>
      </w:r>
      <w:r w:rsidRPr="00683A64">
        <w:t xml:space="preserve">Supreme Court acting as a </w:t>
      </w:r>
      <w:r w:rsidR="004D0762" w:rsidRPr="00683A64">
        <w:t xml:space="preserve">court of cassation repealed the additional sanction depriving the author of the rank and awards. The rest of the sentence remained unchanged. The </w:t>
      </w:r>
      <w:r w:rsidR="001A1094" w:rsidRPr="00683A64">
        <w:t>Court</w:t>
      </w:r>
      <w:r w:rsidR="004D0762" w:rsidRPr="00683A64">
        <w:t xml:space="preserve"> stated that the qualification of the </w:t>
      </w:r>
      <w:r w:rsidR="00BC43D0" w:rsidRPr="00683A64">
        <w:t xml:space="preserve">author’s </w:t>
      </w:r>
      <w:r w:rsidR="004D0762" w:rsidRPr="00683A64">
        <w:t>action</w:t>
      </w:r>
      <w:r w:rsidR="00BC43D0" w:rsidRPr="00683A64">
        <w:t>s</w:t>
      </w:r>
      <w:r w:rsidR="004D0762" w:rsidRPr="00683A64">
        <w:t xml:space="preserve"> under </w:t>
      </w:r>
      <w:r w:rsidR="001A1094" w:rsidRPr="00683A64">
        <w:t>article</w:t>
      </w:r>
      <w:r w:rsidR="004D0762" w:rsidRPr="00683A64">
        <w:t xml:space="preserve"> 205</w:t>
      </w:r>
      <w:r w:rsidR="001A1094" w:rsidRPr="00683A64">
        <w:t xml:space="preserve"> (3)</w:t>
      </w:r>
      <w:r w:rsidR="004D0762" w:rsidRPr="00683A64">
        <w:t xml:space="preserve"> was correct and that the procedural rules were not violated by the </w:t>
      </w:r>
      <w:r w:rsidR="004D0762" w:rsidRPr="003346E8">
        <w:t>court</w:t>
      </w:r>
      <w:r w:rsidR="004D0762" w:rsidRPr="00683A64">
        <w:t xml:space="preserve"> of </w:t>
      </w:r>
      <w:r w:rsidRPr="00683A64">
        <w:t xml:space="preserve">the </w:t>
      </w:r>
      <w:r w:rsidR="004D0762" w:rsidRPr="00683A64">
        <w:t xml:space="preserve">first instance as per the materials of the case and the </w:t>
      </w:r>
      <w:r w:rsidR="00F420D2" w:rsidRPr="00683A64">
        <w:t xml:space="preserve">trial </w:t>
      </w:r>
      <w:r w:rsidR="00DD30ED" w:rsidRPr="00683A64">
        <w:t>transcript</w:t>
      </w:r>
      <w:r w:rsidR="004D0762" w:rsidRPr="00683A64">
        <w:t xml:space="preserve">. </w:t>
      </w:r>
      <w:r w:rsidR="00CF1206" w:rsidRPr="00683A64">
        <w:t xml:space="preserve">The Court found that the defence had a chance to question the witnesses during the court hearing, but did not use this opportunity. </w:t>
      </w:r>
      <w:r w:rsidR="004D0762" w:rsidRPr="00683A64">
        <w:t xml:space="preserve">As for the discrepancies between the facts of the case and </w:t>
      </w:r>
      <w:r w:rsidR="00836144" w:rsidRPr="00683A64">
        <w:t>the verdict</w:t>
      </w:r>
      <w:r w:rsidR="004D0762" w:rsidRPr="00683A64">
        <w:t>, the cassation court stated that the jury ha</w:t>
      </w:r>
      <w:r w:rsidR="001A1094" w:rsidRPr="00683A64">
        <w:t>d</w:t>
      </w:r>
      <w:r w:rsidR="004D0762" w:rsidRPr="00683A64">
        <w:t xml:space="preserve"> the exclusive prerogative to establish the facts of the case and its judgment </w:t>
      </w:r>
      <w:r w:rsidR="001A1094" w:rsidRPr="00683A64">
        <w:t>could not</w:t>
      </w:r>
      <w:r w:rsidR="004D0762" w:rsidRPr="00683A64">
        <w:t xml:space="preserve"> be revised.</w:t>
      </w:r>
    </w:p>
    <w:p w:rsidR="005576A9" w:rsidRPr="00683A64" w:rsidRDefault="00052A79" w:rsidP="003346E8">
      <w:pPr>
        <w:pStyle w:val="SingleTxtG"/>
      </w:pPr>
      <w:r w:rsidRPr="00683A64">
        <w:t>2.6</w:t>
      </w:r>
      <w:r w:rsidRPr="00683A64">
        <w:tab/>
        <w:t xml:space="preserve">On </w:t>
      </w:r>
      <w:r w:rsidR="000F0195" w:rsidRPr="00683A64">
        <w:t>28 August</w:t>
      </w:r>
      <w:r w:rsidRPr="00683A64">
        <w:t xml:space="preserve"> 2008, the author appealed under the supervisory review proceedings to the Presidium of the Supreme Court with the same claims as in his cassation appeal. In its decision of 19 November 2008, the </w:t>
      </w:r>
      <w:r w:rsidR="00BC43D0" w:rsidRPr="00683A64">
        <w:t xml:space="preserve">Supreme </w:t>
      </w:r>
      <w:r w:rsidRPr="00683A64">
        <w:t xml:space="preserve">Court partially changed the sentence. It ruled that articles 33 (3) and 205 (3) of the Criminal Code should have been applied once </w:t>
      </w:r>
      <w:r w:rsidR="00FB74FB" w:rsidRPr="00683A64">
        <w:t>since</w:t>
      </w:r>
      <w:r w:rsidRPr="00683A64">
        <w:t xml:space="preserve"> </w:t>
      </w:r>
      <w:r w:rsidR="00B35FDA" w:rsidRPr="00683A64">
        <w:t xml:space="preserve">the </w:t>
      </w:r>
      <w:r w:rsidRPr="00683A64">
        <w:t>action</w:t>
      </w:r>
      <w:r w:rsidR="00FB74FB" w:rsidRPr="00683A64">
        <w:t>s</w:t>
      </w:r>
      <w:r w:rsidRPr="00683A64">
        <w:t xml:space="preserve"> falling under the same provision of the </w:t>
      </w:r>
      <w:r w:rsidR="00B35FDA" w:rsidRPr="00683A64">
        <w:t xml:space="preserve">Criminal </w:t>
      </w:r>
      <w:r w:rsidRPr="00683A64">
        <w:t xml:space="preserve">Code formed a single and not a cumulative offence. The Court also repealed </w:t>
      </w:r>
      <w:r w:rsidR="00BC43D0" w:rsidRPr="00683A64">
        <w:t xml:space="preserve">the author’s </w:t>
      </w:r>
      <w:r w:rsidRPr="00683A64">
        <w:t xml:space="preserve">sentence under article 307 (2) of the </w:t>
      </w:r>
      <w:r w:rsidR="00B35FDA" w:rsidRPr="00683A64">
        <w:t xml:space="preserve">Criminal </w:t>
      </w:r>
      <w:r w:rsidRPr="00683A64">
        <w:t>Code. At the same time it increased the original terms in prison set by the first instance court under articles 306 (3), 167 (2) and 222 (1) of the Code and sentenced the author to 21 years in a penal colony of maximum security. The author’s claim about</w:t>
      </w:r>
      <w:r w:rsidR="00E800DD" w:rsidRPr="00683A64">
        <w:t xml:space="preserve"> the</w:t>
      </w:r>
      <w:r w:rsidRPr="00683A64">
        <w:t xml:space="preserve"> breach of procedure during the hearing at the first instance court was considered </w:t>
      </w:r>
      <w:r w:rsidR="0066065C" w:rsidRPr="00683A64">
        <w:t>groundless</w:t>
      </w:r>
      <w:r w:rsidRPr="00683A64">
        <w:t>. The Supreme Court found invalid the author’s claim that the new version of article 205 decriminalized his actions. It ruled that the criminal liability for the actions committed by the author was not abolished by the amended provision</w:t>
      </w:r>
      <w:r w:rsidR="009B09A8" w:rsidRPr="00683A64">
        <w:t xml:space="preserve">, that the old version </w:t>
      </w:r>
      <w:r w:rsidR="009B09A8" w:rsidRPr="00683A64">
        <w:lastRenderedPageBreak/>
        <w:t xml:space="preserve">of the Code </w:t>
      </w:r>
      <w:r w:rsidR="00B35FDA" w:rsidRPr="00683A64">
        <w:t xml:space="preserve">was </w:t>
      </w:r>
      <w:r w:rsidR="009B09A8" w:rsidRPr="00683A64">
        <w:t>applied because it provided for a lighter penalty,</w:t>
      </w:r>
      <w:r w:rsidRPr="00683A64">
        <w:t xml:space="preserve"> and that there were no grounds for a different qualifica</w:t>
      </w:r>
      <w:r w:rsidR="003346E8">
        <w:t>tion of the author’s actions.</w:t>
      </w:r>
      <w:r w:rsidR="00124AFB">
        <w:t xml:space="preserve"> </w:t>
      </w:r>
    </w:p>
    <w:p w:rsidR="005576A9" w:rsidRPr="00683A64" w:rsidRDefault="00261870" w:rsidP="003346E8">
      <w:pPr>
        <w:pStyle w:val="SingleTxtG"/>
      </w:pPr>
      <w:r w:rsidRPr="00683A64">
        <w:t>2.7</w:t>
      </w:r>
      <w:r w:rsidRPr="00683A64">
        <w:tab/>
        <w:t xml:space="preserve">On 20 December 2011, the author filed a claim to the Constitutional Court arguing that article 205 of the Criminal Code in the version of 27 July 2006 should have been applied </w:t>
      </w:r>
      <w:r w:rsidR="00FB74FB" w:rsidRPr="00683A64">
        <w:t xml:space="preserve">in his </w:t>
      </w:r>
      <w:r w:rsidR="00FB74FB" w:rsidRPr="003346E8">
        <w:t>case</w:t>
      </w:r>
      <w:r w:rsidRPr="00683A64">
        <w:t xml:space="preserve"> since it decriminalized his actions. </w:t>
      </w:r>
      <w:r w:rsidR="00C87756" w:rsidRPr="00683A64">
        <w:t>On 25 January 2012, t</w:t>
      </w:r>
      <w:r w:rsidRPr="00683A64">
        <w:t>he Constitutional Court found his claim inadmissible stating that the question of whether amendments in the criminal law contain changes bene</w:t>
      </w:r>
      <w:r w:rsidR="00C87756" w:rsidRPr="00683A64">
        <w:t>ficial for the sentenced person</w:t>
      </w:r>
      <w:r w:rsidRPr="00683A64">
        <w:t xml:space="preserve"> and whether certain provision should be applied in the claimant’s case</w:t>
      </w:r>
      <w:r w:rsidR="00B35FDA" w:rsidRPr="00683A64">
        <w:t xml:space="preserve"> </w:t>
      </w:r>
      <w:r w:rsidRPr="00683A64">
        <w:t>f</w:t>
      </w:r>
      <w:r w:rsidR="00B35FDA" w:rsidRPr="00683A64">
        <w:t>a</w:t>
      </w:r>
      <w:r w:rsidRPr="00683A64">
        <w:t xml:space="preserve">ll outside </w:t>
      </w:r>
      <w:r w:rsidR="00B35FDA" w:rsidRPr="00683A64">
        <w:t xml:space="preserve">of </w:t>
      </w:r>
      <w:r w:rsidRPr="00683A64">
        <w:t xml:space="preserve">the Court’s jurisdiction. </w:t>
      </w:r>
    </w:p>
    <w:p w:rsidR="005576A9" w:rsidRPr="003346E8" w:rsidRDefault="00261870" w:rsidP="003346E8">
      <w:pPr>
        <w:pStyle w:val="SingleTxtG"/>
      </w:pPr>
      <w:r w:rsidRPr="00683A64">
        <w:t>2.8</w:t>
      </w:r>
      <w:r w:rsidR="00BA4082" w:rsidRPr="00683A64">
        <w:tab/>
        <w:t xml:space="preserve">On </w:t>
      </w:r>
      <w:r w:rsidR="000F6B56" w:rsidRPr="00683A64">
        <w:t>an unspecified date</w:t>
      </w:r>
      <w:r w:rsidR="00B35FDA" w:rsidRPr="00683A64">
        <w:t>,</w:t>
      </w:r>
      <w:r w:rsidR="000F6B56" w:rsidRPr="00683A64">
        <w:t xml:space="preserve"> the author filed an appeal under the supervisory review proceedings to the Prosecutor General’s Office, which was rejected on 27 October 2009. On </w:t>
      </w:r>
      <w:r w:rsidR="00BA4082" w:rsidRPr="00683A64">
        <w:t xml:space="preserve">7 June 2013, the author appealed </w:t>
      </w:r>
      <w:r w:rsidR="000F6B56" w:rsidRPr="00683A64">
        <w:t xml:space="preserve">again </w:t>
      </w:r>
      <w:r w:rsidR="00BA4082" w:rsidRPr="00683A64">
        <w:t xml:space="preserve">under the supervisory review proceedings to the Prosecutor General’s </w:t>
      </w:r>
      <w:r w:rsidR="00BA4082" w:rsidRPr="003346E8">
        <w:t>Office</w:t>
      </w:r>
      <w:r w:rsidR="00BA4082" w:rsidRPr="00683A64">
        <w:t xml:space="preserve">. </w:t>
      </w:r>
      <w:r w:rsidR="00967918" w:rsidRPr="00683A64">
        <w:t xml:space="preserve">In his </w:t>
      </w:r>
      <w:r w:rsidR="00FB74FB" w:rsidRPr="00683A64">
        <w:t xml:space="preserve">second </w:t>
      </w:r>
      <w:r w:rsidR="00967918" w:rsidRPr="00683A64">
        <w:t>appeal</w:t>
      </w:r>
      <w:r w:rsidR="00B35FDA" w:rsidRPr="00683A64">
        <w:t>,</w:t>
      </w:r>
      <w:r w:rsidR="00967918" w:rsidRPr="00683A64">
        <w:t xml:space="preserve"> he referred to the Resolution of the Supreme Court No.1 </w:t>
      </w:r>
      <w:r w:rsidR="00B4643E" w:rsidRPr="00683A64">
        <w:t xml:space="preserve">of 9 February 2012 </w:t>
      </w:r>
      <w:r w:rsidR="00967918" w:rsidRPr="00683A64">
        <w:t>“On Some Aspects of Judicial Practice Relating to Criminal Cases on Crimes of Terrorist Nature”. Article 1 of the Resolution underlined that the actions enumerated in article 205 of the Criminal Code constitute the cr</w:t>
      </w:r>
      <w:r w:rsidR="0058072C" w:rsidRPr="00683A64">
        <w:t>ime of terrorism only if there i</w:t>
      </w:r>
      <w:r w:rsidR="00967918" w:rsidRPr="00683A64">
        <w:t xml:space="preserve">s a specific purpose of influencing the decision by authorities or </w:t>
      </w:r>
      <w:r w:rsidR="00B35FDA" w:rsidRPr="00683A64">
        <w:t xml:space="preserve">of an </w:t>
      </w:r>
      <w:r w:rsidR="00967918" w:rsidRPr="00683A64">
        <w:t xml:space="preserve">international organisation. Paragraph 11 of the Resolution further </w:t>
      </w:r>
      <w:r w:rsidR="00C87756" w:rsidRPr="00683A64">
        <w:t>clarified</w:t>
      </w:r>
      <w:r w:rsidR="00967918" w:rsidRPr="00683A64">
        <w:t xml:space="preserve"> that if </w:t>
      </w:r>
      <w:r w:rsidR="00C87756" w:rsidRPr="00683A64">
        <w:t>the</w:t>
      </w:r>
      <w:r w:rsidR="00967918" w:rsidRPr="00683A64">
        <w:t xml:space="preserve"> </w:t>
      </w:r>
      <w:r w:rsidR="00C87756" w:rsidRPr="00683A64">
        <w:t>actions listed in article 205 of the Code pursued a different purpose,</w:t>
      </w:r>
      <w:r w:rsidR="00123B0D" w:rsidRPr="00683A64">
        <w:t xml:space="preserve"> </w:t>
      </w:r>
      <w:r w:rsidR="00967918" w:rsidRPr="00683A64">
        <w:t xml:space="preserve">they should be qualified under </w:t>
      </w:r>
      <w:r w:rsidR="00C87756" w:rsidRPr="00683A64">
        <w:t>other relevant</w:t>
      </w:r>
      <w:r w:rsidR="00967918" w:rsidRPr="00683A64">
        <w:t xml:space="preserve"> articles of the Criminal Code. </w:t>
      </w:r>
      <w:r w:rsidRPr="00683A64">
        <w:t xml:space="preserve">The Prosecutor General’s Office rejected the </w:t>
      </w:r>
      <w:r w:rsidR="00B4643E" w:rsidRPr="00683A64">
        <w:t xml:space="preserve">author’s </w:t>
      </w:r>
      <w:r w:rsidRPr="00683A64">
        <w:t>appeal on 14 June 2013.</w:t>
      </w:r>
    </w:p>
    <w:p w:rsidR="00750181" w:rsidRPr="00683A64" w:rsidRDefault="00750181" w:rsidP="00967918">
      <w:pPr>
        <w:pStyle w:val="SingleTxtG"/>
        <w:rPr>
          <w:sz w:val="18"/>
        </w:rPr>
      </w:pPr>
      <w:r w:rsidRPr="003346E8">
        <w:t>2.9</w:t>
      </w:r>
      <w:r w:rsidRPr="003346E8">
        <w:tab/>
        <w:t>On 29 January 2008,</w:t>
      </w:r>
      <w:r w:rsidRPr="00683A64">
        <w:t xml:space="preserve"> the author filed a complaint to the European Court of Human Rights. His complaint was found inadmissible by </w:t>
      </w:r>
      <w:r w:rsidR="0058072C" w:rsidRPr="00683A64">
        <w:t xml:space="preserve">a </w:t>
      </w:r>
      <w:r w:rsidR="00B35FDA" w:rsidRPr="00683A64">
        <w:t xml:space="preserve">Committee of </w:t>
      </w:r>
      <w:r w:rsidR="0058072C" w:rsidRPr="00683A64">
        <w:t>three judges</w:t>
      </w:r>
      <w:r w:rsidRPr="00683A64">
        <w:t xml:space="preserve"> on 30 April 2010. The Committee found that the material on file did not disclose </w:t>
      </w:r>
      <w:r w:rsidR="00B35FDA" w:rsidRPr="00683A64">
        <w:t xml:space="preserve">any </w:t>
      </w:r>
      <w:r w:rsidRPr="00683A64">
        <w:t>violation of the author’s rights and freedoms.</w:t>
      </w:r>
    </w:p>
    <w:p w:rsidR="00FF67E9" w:rsidRPr="00683A64" w:rsidRDefault="00D2276A" w:rsidP="00F12D79">
      <w:pPr>
        <w:pStyle w:val="H23G"/>
      </w:pPr>
      <w:r w:rsidRPr="00683A64">
        <w:tab/>
      </w:r>
      <w:r w:rsidRPr="00683A64">
        <w:tab/>
      </w:r>
      <w:r w:rsidR="00FF67E9" w:rsidRPr="00683A64">
        <w:t>The complaint</w:t>
      </w:r>
    </w:p>
    <w:p w:rsidR="009A59E3" w:rsidRPr="00683A64" w:rsidRDefault="00FF67E9" w:rsidP="003346E8">
      <w:pPr>
        <w:pStyle w:val="SingleTxtG"/>
        <w:rPr>
          <w:sz w:val="18"/>
        </w:rPr>
      </w:pPr>
      <w:r w:rsidRPr="00683A64">
        <w:t>3.</w:t>
      </w:r>
      <w:r w:rsidR="000F03D7" w:rsidRPr="00683A64">
        <w:t>1</w:t>
      </w:r>
      <w:r w:rsidR="001D5C81" w:rsidRPr="00683A64">
        <w:tab/>
      </w:r>
      <w:r w:rsidR="009A59E3" w:rsidRPr="00683A64">
        <w:t xml:space="preserve">The author </w:t>
      </w:r>
      <w:r w:rsidR="00B35FDA" w:rsidRPr="00683A64">
        <w:t xml:space="preserve">claims </w:t>
      </w:r>
      <w:r w:rsidR="009A59E3" w:rsidRPr="00683A64">
        <w:t xml:space="preserve">that </w:t>
      </w:r>
      <w:r w:rsidR="00B35FDA" w:rsidRPr="00683A64">
        <w:t>his</w:t>
      </w:r>
      <w:r w:rsidR="009A59E3" w:rsidRPr="00683A64">
        <w:t xml:space="preserve"> prolonged subjection to inhumane treatment while in the Security </w:t>
      </w:r>
      <w:r w:rsidR="009A59E3" w:rsidRPr="003346E8">
        <w:t>Service</w:t>
      </w:r>
      <w:r w:rsidR="009A59E3" w:rsidRPr="00683A64">
        <w:t xml:space="preserve"> remand facility had an adverse physical and psychological effect on him, especially taking into account the state of his health (diabetes, hypertension, gastritis, pyelonephritis, prostatitis, varicose, chronic bronchitis, barotrauma, and reduced hearing). In this context he</w:t>
      </w:r>
      <w:r w:rsidR="00EE1EB9" w:rsidRPr="00683A64">
        <w:t xml:space="preserve"> claims</w:t>
      </w:r>
      <w:r w:rsidR="009A59E3" w:rsidRPr="00683A64">
        <w:t xml:space="preserve"> that his rights under articles</w:t>
      </w:r>
      <w:r w:rsidR="00030626" w:rsidRPr="00683A64">
        <w:t xml:space="preserve"> </w:t>
      </w:r>
      <w:r w:rsidR="009A59E3" w:rsidRPr="00683A64">
        <w:t xml:space="preserve">7 and 10 (1) </w:t>
      </w:r>
      <w:r w:rsidR="00E62642" w:rsidRPr="00683A64">
        <w:t xml:space="preserve">and (2) (a) </w:t>
      </w:r>
      <w:r w:rsidR="009A59E3" w:rsidRPr="00683A64">
        <w:t xml:space="preserve">of the Covenant </w:t>
      </w:r>
      <w:r w:rsidR="00EE1EB9" w:rsidRPr="00683A64">
        <w:t xml:space="preserve">have been </w:t>
      </w:r>
      <w:r w:rsidR="009A59E3" w:rsidRPr="00683A64">
        <w:t>violated.</w:t>
      </w:r>
    </w:p>
    <w:p w:rsidR="00DB2C15" w:rsidRPr="00683A64" w:rsidRDefault="00DB2C15" w:rsidP="003346E8">
      <w:pPr>
        <w:pStyle w:val="SingleTxtG"/>
      </w:pPr>
      <w:r w:rsidRPr="00683A64">
        <w:rPr>
          <w:sz w:val="18"/>
        </w:rPr>
        <w:t>3.2</w:t>
      </w:r>
      <w:r w:rsidRPr="00683A64">
        <w:rPr>
          <w:sz w:val="18"/>
        </w:rPr>
        <w:tab/>
      </w:r>
      <w:r w:rsidRPr="00683A64">
        <w:t xml:space="preserve">The author </w:t>
      </w:r>
      <w:r w:rsidR="00EE1EB9" w:rsidRPr="00683A64">
        <w:t xml:space="preserve">claims a </w:t>
      </w:r>
      <w:r w:rsidRPr="00683A64">
        <w:t xml:space="preserve">violation of his rights under article 14 (1) of the Covenant because the presiding judge of the first instance court was biased, influenced </w:t>
      </w:r>
      <w:r w:rsidR="00EE1EB9" w:rsidRPr="00683A64">
        <w:t xml:space="preserve">the </w:t>
      </w:r>
      <w:r w:rsidRPr="00683A64">
        <w:t>decision of the jur</w:t>
      </w:r>
      <w:r w:rsidR="00030626" w:rsidRPr="00683A64">
        <w:t>y</w:t>
      </w:r>
      <w:r w:rsidRPr="00683A64">
        <w:t xml:space="preserve">, prohibited carrying out audio recording of the hearing and taking written notes by the lawyer and relatives of the author while the Security Service representatives were allowed to video record the hearing. The author claims that the </w:t>
      </w:r>
      <w:r w:rsidR="00F420D2" w:rsidRPr="00683A64">
        <w:t xml:space="preserve">trial </w:t>
      </w:r>
      <w:r w:rsidR="002E6ABB" w:rsidRPr="00683A64">
        <w:t>transcript</w:t>
      </w:r>
      <w:r w:rsidRPr="00683A64">
        <w:t xml:space="preserve"> drafted for seven months, was </w:t>
      </w:r>
      <w:r w:rsidR="002E6ABB" w:rsidRPr="00683A64">
        <w:t xml:space="preserve">amended </w:t>
      </w:r>
      <w:r w:rsidRPr="00683A64">
        <w:t>by the court</w:t>
      </w:r>
      <w:r w:rsidR="002E6ABB" w:rsidRPr="00683A64">
        <w:t>,</w:t>
      </w:r>
      <w:r w:rsidRPr="00683A64">
        <w:t xml:space="preserve"> and the defence did not </w:t>
      </w:r>
      <w:r w:rsidR="002E6ABB" w:rsidRPr="00683A64">
        <w:t xml:space="preserve">possess </w:t>
      </w:r>
      <w:r w:rsidRPr="00683A64">
        <w:t xml:space="preserve">audio recordings to prove the bias of the judge and </w:t>
      </w:r>
      <w:r w:rsidR="00EE1EB9" w:rsidRPr="00683A64">
        <w:t xml:space="preserve">other </w:t>
      </w:r>
      <w:r w:rsidRPr="00683A64">
        <w:t xml:space="preserve">procedural violations. </w:t>
      </w:r>
      <w:r w:rsidR="00EE1EB9" w:rsidRPr="00683A64">
        <w:t xml:space="preserve">He </w:t>
      </w:r>
      <w:r w:rsidR="009F16A1" w:rsidRPr="00683A64">
        <w:t>also</w:t>
      </w:r>
      <w:r w:rsidRPr="00683A64">
        <w:t xml:space="preserve"> claims that the court breached the </w:t>
      </w:r>
      <w:r w:rsidR="009F16A1" w:rsidRPr="00683A64">
        <w:t xml:space="preserve">principle of </w:t>
      </w:r>
      <w:r w:rsidRPr="00683A64">
        <w:t xml:space="preserve">equality of all persons before </w:t>
      </w:r>
      <w:r w:rsidR="009F16A1" w:rsidRPr="00683A64">
        <w:t xml:space="preserve">the </w:t>
      </w:r>
      <w:r w:rsidR="00030626" w:rsidRPr="00683A64">
        <w:t xml:space="preserve">law </w:t>
      </w:r>
      <w:r w:rsidRPr="00683A64">
        <w:t xml:space="preserve">by failing to apply to him mitigating circumstances, applied to </w:t>
      </w:r>
      <w:r w:rsidR="00B4643E" w:rsidRPr="00683A64">
        <w:t>his co-</w:t>
      </w:r>
      <w:r w:rsidR="009F16A1" w:rsidRPr="00683A64">
        <w:t xml:space="preserve">defendants </w:t>
      </w:r>
      <w:r w:rsidR="00BE5683">
        <w:t>considering</w:t>
      </w:r>
      <w:r w:rsidR="002D6EF2" w:rsidRPr="00683A64">
        <w:t xml:space="preserve"> that the planned effects of the explosion never took place.</w:t>
      </w:r>
      <w:r w:rsidR="00197E35" w:rsidRPr="00683A64">
        <w:t xml:space="preserve"> He claims that his sentence was excessively strict and did not take into account, among other, such circumstances as his age, weak health, family circumstances, and professional awards.</w:t>
      </w:r>
    </w:p>
    <w:p w:rsidR="009F16A1" w:rsidRPr="003346E8" w:rsidRDefault="009F16A1" w:rsidP="003346E8">
      <w:pPr>
        <w:pStyle w:val="SingleTxtG"/>
      </w:pPr>
      <w:r w:rsidRPr="003346E8">
        <w:t>3.3</w:t>
      </w:r>
      <w:r w:rsidRPr="003346E8">
        <w:tab/>
      </w:r>
      <w:r w:rsidR="00EE1EB9" w:rsidRPr="003346E8">
        <w:t xml:space="preserve">He further </w:t>
      </w:r>
      <w:r w:rsidRPr="003346E8">
        <w:t xml:space="preserve">submits that his right to equality of arms under article 14 (3) (e) of the Covenant was violated when the presiding judge in the first instance court </w:t>
      </w:r>
      <w:r w:rsidR="00537ED5" w:rsidRPr="003346E8">
        <w:t>refused to read the pre-trial statements of the</w:t>
      </w:r>
      <w:r w:rsidRPr="003346E8">
        <w:t xml:space="preserve"> witnesses</w:t>
      </w:r>
      <w:r w:rsidR="002E6ABB" w:rsidRPr="003346E8">
        <w:t xml:space="preserve"> Mr. </w:t>
      </w:r>
      <w:proofErr w:type="spellStart"/>
      <w:r w:rsidR="002E6ABB" w:rsidRPr="003346E8">
        <w:t>Drobotov</w:t>
      </w:r>
      <w:proofErr w:type="spellEnd"/>
      <w:r w:rsidR="002E6ABB" w:rsidRPr="003346E8">
        <w:t xml:space="preserve"> and Mr. </w:t>
      </w:r>
      <w:proofErr w:type="spellStart"/>
      <w:r w:rsidR="002E6ABB" w:rsidRPr="003346E8">
        <w:t>Sidelnik</w:t>
      </w:r>
      <w:proofErr w:type="spellEnd"/>
      <w:r w:rsidR="00537ED5" w:rsidRPr="003346E8">
        <w:t>,</w:t>
      </w:r>
      <w:r w:rsidR="002E6ABB" w:rsidRPr="003346E8">
        <w:t xml:space="preserve"> whose numerous pre-trial statements were</w:t>
      </w:r>
      <w:r w:rsidR="00F65DFC" w:rsidRPr="003346E8">
        <w:t xml:space="preserve"> allegedly</w:t>
      </w:r>
      <w:r w:rsidR="002E6ABB" w:rsidRPr="003346E8">
        <w:t xml:space="preserve"> incoherent and controversial</w:t>
      </w:r>
      <w:r w:rsidR="00537ED5" w:rsidRPr="003346E8">
        <w:t xml:space="preserve"> and contradicted the </w:t>
      </w:r>
      <w:r w:rsidR="00537ED5" w:rsidRPr="003346E8">
        <w:lastRenderedPageBreak/>
        <w:t>statements made by the</w:t>
      </w:r>
      <w:r w:rsidR="0084307A" w:rsidRPr="003346E8">
        <w:t>m</w:t>
      </w:r>
      <w:r w:rsidR="00537ED5" w:rsidRPr="003346E8">
        <w:t xml:space="preserve"> in the court</w:t>
      </w:r>
      <w:r w:rsidR="002E6ABB" w:rsidRPr="003346E8">
        <w:t>.</w:t>
      </w:r>
      <w:r w:rsidR="005C1AAF" w:rsidRPr="003346E8">
        <w:t xml:space="preserve"> He also claims </w:t>
      </w:r>
      <w:r w:rsidR="00EE1EB9" w:rsidRPr="003346E8">
        <w:t xml:space="preserve">a </w:t>
      </w:r>
      <w:r w:rsidR="005C1AAF" w:rsidRPr="003346E8">
        <w:t>v</w:t>
      </w:r>
      <w:r w:rsidR="00AA0F39" w:rsidRPr="003346E8">
        <w:t>iolation of articles 14 (3) (b)</w:t>
      </w:r>
      <w:r w:rsidR="005C1AAF" w:rsidRPr="003346E8">
        <w:t xml:space="preserve"> and (</w:t>
      </w:r>
      <w:r w:rsidR="008F4BEF" w:rsidRPr="003346E8">
        <w:t>g</w:t>
      </w:r>
      <w:r w:rsidR="005C1AAF" w:rsidRPr="003346E8">
        <w:t>)</w:t>
      </w:r>
      <w:r w:rsidR="007D7E65" w:rsidRPr="003346E8">
        <w:t xml:space="preserve"> of the Covenant without providing further details</w:t>
      </w:r>
      <w:r w:rsidR="005C1AAF" w:rsidRPr="003346E8">
        <w:t>.</w:t>
      </w:r>
    </w:p>
    <w:p w:rsidR="008F4BEF" w:rsidRPr="00683A64" w:rsidRDefault="00AA0F39" w:rsidP="003346E8">
      <w:pPr>
        <w:pStyle w:val="SingleTxtG"/>
      </w:pPr>
      <w:r w:rsidRPr="003346E8">
        <w:t>3.4</w:t>
      </w:r>
      <w:r w:rsidRPr="003346E8">
        <w:tab/>
        <w:t>The</w:t>
      </w:r>
      <w:r w:rsidRPr="00683A64">
        <w:t xml:space="preserve"> author </w:t>
      </w:r>
      <w:r w:rsidR="00EE1EB9" w:rsidRPr="00683A64">
        <w:t xml:space="preserve">also </w:t>
      </w:r>
      <w:r w:rsidRPr="00683A64">
        <w:t xml:space="preserve">claims that </w:t>
      </w:r>
      <w:r w:rsidR="00C040CE" w:rsidRPr="00683A64">
        <w:t xml:space="preserve">the court violated </w:t>
      </w:r>
      <w:r w:rsidRPr="00683A64">
        <w:t>article 14 (3) (</w:t>
      </w:r>
      <w:r w:rsidR="00C040CE" w:rsidRPr="00683A64">
        <w:t>d</w:t>
      </w:r>
      <w:r w:rsidRPr="00683A64">
        <w:t>)</w:t>
      </w:r>
      <w:r w:rsidR="007D7E65" w:rsidRPr="00683A64">
        <w:t xml:space="preserve"> of the Covenant </w:t>
      </w:r>
      <w:r w:rsidRPr="00683A64">
        <w:t xml:space="preserve">because he was </w:t>
      </w:r>
      <w:r w:rsidR="00C040CE" w:rsidRPr="00683A64">
        <w:t xml:space="preserve">found guilty </w:t>
      </w:r>
      <w:r w:rsidR="00E466B1" w:rsidRPr="00683A64">
        <w:t>under article 307 (2) of the Criminal Court o</w:t>
      </w:r>
      <w:r w:rsidR="00C040CE" w:rsidRPr="00683A64">
        <w:t>f giv</w:t>
      </w:r>
      <w:r w:rsidR="003560C0" w:rsidRPr="00683A64">
        <w:t>ing</w:t>
      </w:r>
      <w:r w:rsidR="00C040CE" w:rsidRPr="00683A64">
        <w:t xml:space="preserve"> false testimony </w:t>
      </w:r>
      <w:r w:rsidR="003560C0" w:rsidRPr="00683A64">
        <w:t xml:space="preserve">when interrogated </w:t>
      </w:r>
      <w:r w:rsidR="00E466B1" w:rsidRPr="00683A64">
        <w:t xml:space="preserve">on </w:t>
      </w:r>
      <w:r w:rsidR="00C040CE" w:rsidRPr="00683A64">
        <w:t xml:space="preserve">the alleged attempt to his life, </w:t>
      </w:r>
      <w:r w:rsidR="003560C0" w:rsidRPr="00683A64">
        <w:t>while, a</w:t>
      </w:r>
      <w:r w:rsidR="00C040CE" w:rsidRPr="00683A64">
        <w:t>t the same time</w:t>
      </w:r>
      <w:r w:rsidR="003560C0" w:rsidRPr="00683A64">
        <w:t>,</w:t>
      </w:r>
      <w:r w:rsidR="00C040CE" w:rsidRPr="00683A64">
        <w:t xml:space="preserve"> </w:t>
      </w:r>
      <w:r w:rsidR="003560C0" w:rsidRPr="00683A64">
        <w:t xml:space="preserve">he was </w:t>
      </w:r>
      <w:r w:rsidR="00C040CE" w:rsidRPr="00683A64">
        <w:t xml:space="preserve">found guilty </w:t>
      </w:r>
      <w:r w:rsidR="003560C0" w:rsidRPr="00683A64">
        <w:t>o</w:t>
      </w:r>
      <w:r w:rsidR="00C040CE" w:rsidRPr="00683A64">
        <w:t>f</w:t>
      </w:r>
      <w:r w:rsidR="003560C0" w:rsidRPr="00683A64">
        <w:t xml:space="preserve"> staging </w:t>
      </w:r>
      <w:r w:rsidR="00C040CE" w:rsidRPr="00683A64">
        <w:t>the</w:t>
      </w:r>
      <w:r w:rsidR="003560C0" w:rsidRPr="00683A64">
        <w:t xml:space="preserve"> attempt </w:t>
      </w:r>
      <w:r w:rsidR="00C040CE" w:rsidRPr="00683A64">
        <w:t xml:space="preserve">himself by exploding a grenade in his apartment. </w:t>
      </w:r>
      <w:r w:rsidR="003560C0" w:rsidRPr="00683A64">
        <w:t>H</w:t>
      </w:r>
      <w:r w:rsidR="00C040CE" w:rsidRPr="00683A64">
        <w:t xml:space="preserve">e claims that under </w:t>
      </w:r>
      <w:r w:rsidR="003560C0" w:rsidRPr="00683A64">
        <w:t>art</w:t>
      </w:r>
      <w:r w:rsidR="008F4BEF" w:rsidRPr="00683A64">
        <w:t>icle</w:t>
      </w:r>
      <w:r w:rsidR="003560C0" w:rsidRPr="00683A64">
        <w:t xml:space="preserve"> 51 of the Constitution, a person who gives false testimon</w:t>
      </w:r>
      <w:r w:rsidR="008F4BEF" w:rsidRPr="00683A64">
        <w:t>y</w:t>
      </w:r>
      <w:r w:rsidR="003560C0" w:rsidRPr="00683A64">
        <w:t xml:space="preserve"> when interrogated as a witness in a crime</w:t>
      </w:r>
      <w:r w:rsidR="00E466B1" w:rsidRPr="00683A64">
        <w:t>,</w:t>
      </w:r>
      <w:r w:rsidR="003560C0" w:rsidRPr="00683A64">
        <w:t xml:space="preserve"> cannot</w:t>
      </w:r>
      <w:r w:rsidR="008F4BEF" w:rsidRPr="00683A64">
        <w:t xml:space="preserve"> </w:t>
      </w:r>
      <w:r w:rsidR="003560C0" w:rsidRPr="00683A64">
        <w:t xml:space="preserve">be held responsible </w:t>
      </w:r>
      <w:r w:rsidR="00E466B1" w:rsidRPr="00683A64">
        <w:t>for having given such testimon</w:t>
      </w:r>
      <w:r w:rsidR="008F4BEF" w:rsidRPr="00683A64">
        <w:t>y</w:t>
      </w:r>
      <w:r w:rsidR="00E466B1" w:rsidRPr="00683A64">
        <w:t xml:space="preserve"> </w:t>
      </w:r>
      <w:r w:rsidR="003560C0" w:rsidRPr="00683A64">
        <w:t>if he/she had participated in the crime in question.</w:t>
      </w:r>
      <w:r w:rsidR="00124AFB">
        <w:t xml:space="preserve"> </w:t>
      </w:r>
    </w:p>
    <w:p w:rsidR="009F16A1" w:rsidRPr="003346E8" w:rsidRDefault="00AA0F39" w:rsidP="003346E8">
      <w:pPr>
        <w:pStyle w:val="SingleTxtG"/>
      </w:pPr>
      <w:r w:rsidRPr="003346E8">
        <w:t>3.5</w:t>
      </w:r>
      <w:r w:rsidR="009F16A1" w:rsidRPr="003346E8">
        <w:tab/>
        <w:t xml:space="preserve">The author finally alleges </w:t>
      </w:r>
      <w:r w:rsidR="003D335B" w:rsidRPr="003346E8">
        <w:t xml:space="preserve">a </w:t>
      </w:r>
      <w:r w:rsidR="009F16A1" w:rsidRPr="003346E8">
        <w:t>violation of his rights under article 15 (1) of the Covenant on two accoun</w:t>
      </w:r>
      <w:r w:rsidR="0058072C" w:rsidRPr="003346E8">
        <w:t>ts: a) t</w:t>
      </w:r>
      <w:r w:rsidR="009F16A1" w:rsidRPr="003346E8">
        <w:t xml:space="preserve">he supervisory instance court worsened </w:t>
      </w:r>
      <w:r w:rsidR="003D335B" w:rsidRPr="003346E8">
        <w:t>his</w:t>
      </w:r>
      <w:r w:rsidR="009F16A1" w:rsidRPr="003346E8">
        <w:t xml:space="preserve"> situation by increasing the term in prison </w:t>
      </w:r>
      <w:r w:rsidR="00B4643E" w:rsidRPr="003346E8">
        <w:t xml:space="preserve">under </w:t>
      </w:r>
      <w:r w:rsidR="00BE5683">
        <w:t>some of the</w:t>
      </w:r>
      <w:r w:rsidR="00BE5683" w:rsidRPr="003346E8">
        <w:t xml:space="preserve"> </w:t>
      </w:r>
      <w:r w:rsidR="00B4643E" w:rsidRPr="003346E8">
        <w:t>article</w:t>
      </w:r>
      <w:r w:rsidR="00BE5683">
        <w:t>s</w:t>
      </w:r>
      <w:r w:rsidR="00B4643E" w:rsidRPr="003346E8">
        <w:t xml:space="preserve"> of his sentence</w:t>
      </w:r>
      <w:r w:rsidR="009F16A1" w:rsidRPr="003346E8">
        <w:t>, compared to the term</w:t>
      </w:r>
      <w:r w:rsidR="00B4643E" w:rsidRPr="003346E8">
        <w:t>s</w:t>
      </w:r>
      <w:r w:rsidR="009F16A1" w:rsidRPr="003346E8">
        <w:t xml:space="preserve"> imposed by the first instance court; b) the courts did not take into account </w:t>
      </w:r>
      <w:r w:rsidR="003D335B" w:rsidRPr="003346E8">
        <w:t xml:space="preserve">the </w:t>
      </w:r>
      <w:r w:rsidR="009F16A1" w:rsidRPr="003346E8">
        <w:t xml:space="preserve">decriminalization of his actions by article 205 of the Criminal Code as amended on 27 July 2006 and made an error by applying to him a heavier penalty under the old version of the </w:t>
      </w:r>
      <w:r w:rsidR="00BF7C2D" w:rsidRPr="003346E8">
        <w:t>Code</w:t>
      </w:r>
      <w:r w:rsidR="00B4643E" w:rsidRPr="003346E8">
        <w:t xml:space="preserve"> instead of requalifying his actions under different articles of the </w:t>
      </w:r>
      <w:r w:rsidR="0015324D" w:rsidRPr="003346E8">
        <w:t xml:space="preserve">Criminal </w:t>
      </w:r>
      <w:r w:rsidR="00B4643E" w:rsidRPr="003346E8">
        <w:t>Code</w:t>
      </w:r>
      <w:r w:rsidR="009F16A1" w:rsidRPr="003346E8">
        <w:t xml:space="preserve">. </w:t>
      </w:r>
    </w:p>
    <w:p w:rsidR="00F26BC3" w:rsidRPr="00683A64" w:rsidRDefault="008216A5" w:rsidP="00F26BC3">
      <w:pPr>
        <w:pStyle w:val="H23G"/>
      </w:pPr>
      <w:r w:rsidRPr="00683A64">
        <w:tab/>
      </w:r>
      <w:r w:rsidRPr="00683A64">
        <w:tab/>
      </w:r>
      <w:r w:rsidR="00F26BC3" w:rsidRPr="00683A64">
        <w:t xml:space="preserve">State party’s observations </w:t>
      </w:r>
    </w:p>
    <w:p w:rsidR="00D91CE2" w:rsidRPr="00683A64" w:rsidRDefault="00F26BC3" w:rsidP="003346E8">
      <w:pPr>
        <w:pStyle w:val="SingleTxtG"/>
      </w:pPr>
      <w:r w:rsidRPr="00683A64">
        <w:t>4</w:t>
      </w:r>
      <w:r w:rsidR="00BC6B1E" w:rsidRPr="00683A64">
        <w:t>.</w:t>
      </w:r>
      <w:r w:rsidR="00D91CE2" w:rsidRPr="00683A64">
        <w:t>1</w:t>
      </w:r>
      <w:r w:rsidRPr="00683A64">
        <w:tab/>
      </w:r>
      <w:r w:rsidR="00D91CE2" w:rsidRPr="00683A64">
        <w:t>By</w:t>
      </w:r>
      <w:r w:rsidR="005479E7" w:rsidRPr="00683A64">
        <w:t xml:space="preserve"> a note </w:t>
      </w:r>
      <w:proofErr w:type="spellStart"/>
      <w:r w:rsidR="005479E7" w:rsidRPr="00683A64">
        <w:t>verbale</w:t>
      </w:r>
      <w:proofErr w:type="spellEnd"/>
      <w:r w:rsidR="005479E7" w:rsidRPr="00683A64">
        <w:t xml:space="preserve"> </w:t>
      </w:r>
      <w:r w:rsidR="00D91CE2" w:rsidRPr="00683A64">
        <w:t>of</w:t>
      </w:r>
      <w:r w:rsidR="00267F1B" w:rsidRPr="00683A64">
        <w:t xml:space="preserve"> 31</w:t>
      </w:r>
      <w:r w:rsidR="005479E7" w:rsidRPr="00683A64">
        <w:t xml:space="preserve"> Ju</w:t>
      </w:r>
      <w:r w:rsidR="00267F1B" w:rsidRPr="00683A64">
        <w:t>l</w:t>
      </w:r>
      <w:r w:rsidR="005479E7" w:rsidRPr="00683A64">
        <w:t>y 201</w:t>
      </w:r>
      <w:r w:rsidR="00267F1B" w:rsidRPr="00683A64">
        <w:t>4</w:t>
      </w:r>
      <w:r w:rsidR="005479E7" w:rsidRPr="00683A64">
        <w:t xml:space="preserve">, the State party </w:t>
      </w:r>
      <w:r w:rsidR="00A76388" w:rsidRPr="00683A64">
        <w:t xml:space="preserve">submitted </w:t>
      </w:r>
      <w:r w:rsidR="00267F1B" w:rsidRPr="00683A64">
        <w:t xml:space="preserve">that since the author filed a complaint with the </w:t>
      </w:r>
      <w:r w:rsidR="00267F1B" w:rsidRPr="003346E8">
        <w:t>European</w:t>
      </w:r>
      <w:r w:rsidR="00267F1B" w:rsidRPr="00683A64">
        <w:t xml:space="preserve"> Court of Human Rights in 2008, </w:t>
      </w:r>
      <w:r w:rsidR="00A76388" w:rsidRPr="00683A64">
        <w:t>his complaint to the Committee wa</w:t>
      </w:r>
      <w:r w:rsidR="00267F1B" w:rsidRPr="00683A64">
        <w:t xml:space="preserve">s inadmissible under </w:t>
      </w:r>
      <w:r w:rsidR="005479E7" w:rsidRPr="00683A64">
        <w:t>article 2</w:t>
      </w:r>
      <w:r w:rsidR="00267F1B" w:rsidRPr="00683A64">
        <w:t xml:space="preserve"> (5)</w:t>
      </w:r>
      <w:r w:rsidR="005479E7" w:rsidRPr="00683A64">
        <w:t xml:space="preserve"> of the Optional Protocol. </w:t>
      </w:r>
    </w:p>
    <w:p w:rsidR="0015324D" w:rsidRPr="00683A64" w:rsidRDefault="00D91CE2" w:rsidP="005479E7">
      <w:pPr>
        <w:pStyle w:val="SingleTxtG"/>
      </w:pPr>
      <w:r w:rsidRPr="00683A64">
        <w:t>4.2</w:t>
      </w:r>
      <w:r w:rsidRPr="00683A64">
        <w:tab/>
      </w:r>
      <w:r w:rsidR="0015324D" w:rsidRPr="00683A64">
        <w:t xml:space="preserve">By </w:t>
      </w:r>
      <w:r w:rsidR="00267F1B" w:rsidRPr="00683A64">
        <w:t xml:space="preserve">note </w:t>
      </w:r>
      <w:proofErr w:type="spellStart"/>
      <w:r w:rsidR="00267F1B" w:rsidRPr="00683A64">
        <w:t>verbale</w:t>
      </w:r>
      <w:proofErr w:type="spellEnd"/>
      <w:r w:rsidR="00267F1B" w:rsidRPr="00683A64">
        <w:t xml:space="preserve"> of 6 October 2014, t</w:t>
      </w:r>
      <w:r w:rsidR="005479E7" w:rsidRPr="00683A64">
        <w:t xml:space="preserve">he State party </w:t>
      </w:r>
      <w:r w:rsidR="00465C93" w:rsidRPr="00683A64">
        <w:t>submitted its comments on admissibility and merits. It stated that the author’s allegations o</w:t>
      </w:r>
      <w:r w:rsidR="0015324D" w:rsidRPr="00683A64">
        <w:t>f a</w:t>
      </w:r>
      <w:r w:rsidR="00465C93" w:rsidRPr="00683A64">
        <w:t xml:space="preserve"> violation of articles 14 and 15 of the Covenant were considered by the Supreme Court acting </w:t>
      </w:r>
      <w:r w:rsidR="0015324D" w:rsidRPr="00683A64">
        <w:t>as</w:t>
      </w:r>
      <w:r w:rsidR="00465C93" w:rsidRPr="00683A64">
        <w:t xml:space="preserve"> </w:t>
      </w:r>
      <w:r w:rsidR="0015324D" w:rsidRPr="00683A64">
        <w:t xml:space="preserve">a </w:t>
      </w:r>
      <w:r w:rsidR="00465C93" w:rsidRPr="00683A64">
        <w:t>supervisory instance</w:t>
      </w:r>
      <w:r w:rsidR="00B1352C" w:rsidRPr="00683A64">
        <w:t xml:space="preserve"> [in its decision of 19 November 2008]</w:t>
      </w:r>
      <w:r w:rsidR="00465C93" w:rsidRPr="00683A64">
        <w:t xml:space="preserve">. The Supreme Court found no confirmation of the biased attitude of the presiding judge of the first instance court and found that her behaviour corresponded to the requirements of the procedural legislation. </w:t>
      </w:r>
      <w:r w:rsidR="004A3F24" w:rsidRPr="00683A64">
        <w:t>The Supreme Court noted that the witnesses were question</w:t>
      </w:r>
      <w:r w:rsidR="00A76388" w:rsidRPr="00683A64">
        <w:t>ed</w:t>
      </w:r>
      <w:r w:rsidR="004A3F24" w:rsidRPr="00683A64">
        <w:t xml:space="preserve"> during the court hearing and the defence had a possibility to ask them questions about </w:t>
      </w:r>
      <w:r w:rsidR="00A76388" w:rsidRPr="00683A64">
        <w:t xml:space="preserve">the </w:t>
      </w:r>
      <w:r w:rsidR="004A3F24" w:rsidRPr="00683A64">
        <w:t xml:space="preserve">inconsistencies in their </w:t>
      </w:r>
      <w:r w:rsidR="0015324D" w:rsidRPr="00683A64">
        <w:t xml:space="preserve">statements made during the </w:t>
      </w:r>
      <w:r w:rsidR="004A3F24" w:rsidRPr="00683A64">
        <w:t xml:space="preserve">pre-trial </w:t>
      </w:r>
      <w:r w:rsidR="0015324D" w:rsidRPr="00683A64">
        <w:t>investigation</w:t>
      </w:r>
      <w:r w:rsidR="004A3F24" w:rsidRPr="00683A64">
        <w:t>. The def</w:t>
      </w:r>
      <w:r w:rsidR="007D4CDF" w:rsidRPr="00683A64">
        <w:t>ence</w:t>
      </w:r>
      <w:r w:rsidR="0015324D" w:rsidRPr="00683A64">
        <w:t>, however,</w:t>
      </w:r>
      <w:r w:rsidR="007D4CDF" w:rsidRPr="00683A64">
        <w:t xml:space="preserve"> did not avail itself o</w:t>
      </w:r>
      <w:r w:rsidR="004A3F24" w:rsidRPr="00683A64">
        <w:t xml:space="preserve">f this opportunity. </w:t>
      </w:r>
    </w:p>
    <w:p w:rsidR="0015324D" w:rsidRPr="00683A64" w:rsidRDefault="003346E8" w:rsidP="005479E7">
      <w:pPr>
        <w:pStyle w:val="SingleTxtG"/>
      </w:pPr>
      <w:r>
        <w:t>4.3</w:t>
      </w:r>
      <w:r>
        <w:tab/>
      </w:r>
      <w:r w:rsidR="004A3F24" w:rsidRPr="00683A64">
        <w:t xml:space="preserve">The </w:t>
      </w:r>
      <w:r w:rsidR="0015324D" w:rsidRPr="00683A64">
        <w:t xml:space="preserve">Supreme Court also noted that the </w:t>
      </w:r>
      <w:r w:rsidR="004A3F24" w:rsidRPr="00683A64">
        <w:t xml:space="preserve">evidence and conclusions of experts were studied during the court hearing in accordance with the established procedure. The request of the defence to conduct additional expert </w:t>
      </w:r>
      <w:r w:rsidR="0015324D" w:rsidRPr="00683A64">
        <w:t xml:space="preserve">examination </w:t>
      </w:r>
      <w:r w:rsidR="004A3F24" w:rsidRPr="00683A64">
        <w:t xml:space="preserve">was rejected by the presiding judge with due account of the opinion of the trial participants, with the reasons for the refusal reflected in the </w:t>
      </w:r>
      <w:r w:rsidR="00F420D2" w:rsidRPr="00683A64">
        <w:t>trial record</w:t>
      </w:r>
      <w:r w:rsidR="004A3F24" w:rsidRPr="00683A64">
        <w:t>.</w:t>
      </w:r>
      <w:r w:rsidR="000E6570" w:rsidRPr="00683A64">
        <w:t xml:space="preserve"> </w:t>
      </w:r>
      <w:r w:rsidR="00B1352C" w:rsidRPr="00683A64">
        <w:t>T</w:t>
      </w:r>
      <w:r w:rsidR="000E6570" w:rsidRPr="00683A64">
        <w:t>he Supreme Court</w:t>
      </w:r>
      <w:r w:rsidR="00B1352C" w:rsidRPr="00683A64">
        <w:t xml:space="preserve"> </w:t>
      </w:r>
      <w:r w:rsidR="000E6570" w:rsidRPr="00683A64">
        <w:t xml:space="preserve">repealed the author’s sentence under article 307 (2) of the Code. As for the author’s claims about erroneous qualification of his actions under article 205 of the old version of the Criminal Code, the Supreme Court found that the new </w:t>
      </w:r>
      <w:r w:rsidR="00AE062A" w:rsidRPr="00683A64">
        <w:t>wording</w:t>
      </w:r>
      <w:r w:rsidR="0015324D" w:rsidRPr="00683A64">
        <w:t xml:space="preserve"> of </w:t>
      </w:r>
      <w:r w:rsidR="000E6570" w:rsidRPr="00683A64">
        <w:t xml:space="preserve">article 205 of the </w:t>
      </w:r>
      <w:r w:rsidR="0015324D" w:rsidRPr="00683A64">
        <w:t xml:space="preserve">Criminal </w:t>
      </w:r>
      <w:r w:rsidR="000E6570" w:rsidRPr="00683A64">
        <w:t xml:space="preserve">Code did not decriminalize </w:t>
      </w:r>
      <w:r w:rsidR="006E046E" w:rsidRPr="00683A64">
        <w:t>his</w:t>
      </w:r>
      <w:r w:rsidR="000E6570" w:rsidRPr="00683A64">
        <w:t xml:space="preserve"> actions and there was no reason to qualify </w:t>
      </w:r>
      <w:r w:rsidR="006E046E" w:rsidRPr="00683A64">
        <w:t>them</w:t>
      </w:r>
      <w:r w:rsidR="000E6570" w:rsidRPr="00683A64">
        <w:t xml:space="preserve"> differently.</w:t>
      </w:r>
      <w:r w:rsidR="00361582" w:rsidRPr="00683A64">
        <w:t xml:space="preserve"> The overall sentence of 21 years in a penal colony of maximum security was calculated by the </w:t>
      </w:r>
      <w:r w:rsidR="006E046E" w:rsidRPr="00683A64">
        <w:t xml:space="preserve">Supreme </w:t>
      </w:r>
      <w:r w:rsidR="00361582" w:rsidRPr="00683A64">
        <w:t xml:space="preserve">Court in accordance with </w:t>
      </w:r>
      <w:r w:rsidR="00C66B41" w:rsidRPr="00683A64">
        <w:t xml:space="preserve">article 69 </w:t>
      </w:r>
      <w:r w:rsidR="00361582" w:rsidRPr="00683A64">
        <w:t>of the Criminal Code</w:t>
      </w:r>
      <w:r w:rsidR="00C66B41" w:rsidRPr="00683A64">
        <w:t>, which sets the rules</w:t>
      </w:r>
      <w:r w:rsidR="00D103AA" w:rsidRPr="00683A64">
        <w:t xml:space="preserve"> for determining</w:t>
      </w:r>
      <w:r w:rsidR="00C66B41" w:rsidRPr="00683A64">
        <w:t xml:space="preserve"> sentence for </w:t>
      </w:r>
      <w:r w:rsidR="00D103AA" w:rsidRPr="00683A64">
        <w:t>cumulative offences</w:t>
      </w:r>
      <w:r w:rsidR="000C15B1" w:rsidRPr="00683A64">
        <w:t xml:space="preserve"> and was fair and proportionate to his actions</w:t>
      </w:r>
      <w:r w:rsidR="00361582" w:rsidRPr="00683A64">
        <w:t xml:space="preserve">. </w:t>
      </w:r>
    </w:p>
    <w:p w:rsidR="005479E7" w:rsidRPr="00683A64" w:rsidRDefault="0015324D" w:rsidP="005479E7">
      <w:pPr>
        <w:pStyle w:val="SingleTxtG"/>
      </w:pPr>
      <w:r w:rsidRPr="00683A64">
        <w:t>4.4</w:t>
      </w:r>
      <w:r w:rsidR="008F4BEF" w:rsidRPr="00683A64">
        <w:tab/>
      </w:r>
      <w:r w:rsidR="007B0DD9" w:rsidRPr="00683A64">
        <w:t xml:space="preserve">As for the author’s allegations </w:t>
      </w:r>
      <w:r w:rsidR="00AB71B0" w:rsidRPr="00683A64">
        <w:t xml:space="preserve">concerning </w:t>
      </w:r>
      <w:r w:rsidRPr="00683A64">
        <w:t xml:space="preserve">a </w:t>
      </w:r>
      <w:r w:rsidR="00AB71B0" w:rsidRPr="00683A64">
        <w:t xml:space="preserve">violation of </w:t>
      </w:r>
      <w:r w:rsidR="007B0DD9" w:rsidRPr="00683A64">
        <w:t xml:space="preserve">article 7 of the Covenant, the </w:t>
      </w:r>
      <w:r w:rsidRPr="00683A64">
        <w:t xml:space="preserve">Supreme Court notes that the </w:t>
      </w:r>
      <w:r w:rsidR="00F420D2" w:rsidRPr="00683A64">
        <w:t xml:space="preserve">trial </w:t>
      </w:r>
      <w:r w:rsidR="00BE5683">
        <w:t>transcript</w:t>
      </w:r>
      <w:r w:rsidR="00BE5683" w:rsidRPr="00683A64">
        <w:t xml:space="preserve"> </w:t>
      </w:r>
      <w:r w:rsidR="007B0DD9" w:rsidRPr="00683A64">
        <w:t xml:space="preserve">does not reflect any mentioning </w:t>
      </w:r>
      <w:r w:rsidR="00A76388" w:rsidRPr="00683A64">
        <w:t xml:space="preserve">by the author </w:t>
      </w:r>
      <w:r w:rsidR="007B0DD9" w:rsidRPr="00683A64">
        <w:t>of cruel treatment.</w:t>
      </w:r>
      <w:r w:rsidR="00AB71B0" w:rsidRPr="00683A64">
        <w:t xml:space="preserve"> The </w:t>
      </w:r>
      <w:r w:rsidR="00917B00" w:rsidRPr="00683A64">
        <w:t>author</w:t>
      </w:r>
      <w:r w:rsidR="00AB71B0" w:rsidRPr="00683A64">
        <w:t xml:space="preserve"> submitted </w:t>
      </w:r>
      <w:r w:rsidR="00917B00" w:rsidRPr="00683A64">
        <w:t>his</w:t>
      </w:r>
      <w:r w:rsidR="00AB71B0" w:rsidRPr="00683A64">
        <w:t xml:space="preserve"> comments to the </w:t>
      </w:r>
      <w:r w:rsidR="00F420D2" w:rsidRPr="00683A64">
        <w:t xml:space="preserve">trial </w:t>
      </w:r>
      <w:r w:rsidR="00BE5683">
        <w:t>transcript</w:t>
      </w:r>
      <w:r w:rsidR="00BE5683" w:rsidRPr="00683A64">
        <w:t xml:space="preserve"> </w:t>
      </w:r>
      <w:r w:rsidR="00AB71B0" w:rsidRPr="00683A64">
        <w:t xml:space="preserve">but did not mention that </w:t>
      </w:r>
      <w:r w:rsidR="00876A12" w:rsidRPr="00683A64">
        <w:t>these particular allegations</w:t>
      </w:r>
      <w:r w:rsidR="00AB71B0" w:rsidRPr="00683A64">
        <w:t xml:space="preserve"> were left out by the </w:t>
      </w:r>
      <w:r w:rsidR="00BE5683">
        <w:t>Territorial</w:t>
      </w:r>
      <w:r w:rsidR="00BE5683" w:rsidRPr="00683A64">
        <w:t xml:space="preserve"> </w:t>
      </w:r>
      <w:r w:rsidR="00917B00" w:rsidRPr="00683A64">
        <w:t>C</w:t>
      </w:r>
      <w:r w:rsidR="00AB71B0" w:rsidRPr="00683A64">
        <w:t>ourt.</w:t>
      </w:r>
      <w:r w:rsidR="00C54F78" w:rsidRPr="00683A64">
        <w:t xml:space="preserve"> The State party conclude</w:t>
      </w:r>
      <w:r w:rsidRPr="00683A64">
        <w:t>s</w:t>
      </w:r>
      <w:r w:rsidR="00C54F78" w:rsidRPr="00683A64">
        <w:t xml:space="preserve"> that the author’s complaint </w:t>
      </w:r>
      <w:r w:rsidRPr="00683A64">
        <w:t xml:space="preserve">thus </w:t>
      </w:r>
      <w:r w:rsidR="00BE5683">
        <w:t>does</w:t>
      </w:r>
      <w:r w:rsidR="00BE5683" w:rsidRPr="00683A64">
        <w:t xml:space="preserve"> </w:t>
      </w:r>
      <w:r w:rsidR="00D37D36" w:rsidRPr="00683A64">
        <w:t xml:space="preserve">not reveal </w:t>
      </w:r>
      <w:r w:rsidRPr="00683A64">
        <w:t xml:space="preserve">a </w:t>
      </w:r>
      <w:r w:rsidR="00D37D36" w:rsidRPr="00683A64">
        <w:t>violation of his rights under the Covenant</w:t>
      </w:r>
      <w:r w:rsidR="005477B4" w:rsidRPr="00683A64">
        <w:t xml:space="preserve"> by the national courts</w:t>
      </w:r>
      <w:r w:rsidR="00D37D36" w:rsidRPr="00683A64">
        <w:t xml:space="preserve">. </w:t>
      </w:r>
    </w:p>
    <w:p w:rsidR="00AF1E8E" w:rsidRPr="00683A64" w:rsidRDefault="003346E8" w:rsidP="003346E8">
      <w:pPr>
        <w:pStyle w:val="H23G"/>
      </w:pPr>
      <w:r>
        <w:lastRenderedPageBreak/>
        <w:tab/>
      </w:r>
      <w:r>
        <w:tab/>
      </w:r>
      <w:r w:rsidR="00AF1E8E" w:rsidRPr="00683A64">
        <w:t>Author’s comments on the State party’s observations</w:t>
      </w:r>
    </w:p>
    <w:p w:rsidR="00C702EE" w:rsidRPr="00683A64" w:rsidRDefault="0008317C" w:rsidP="00C702EE">
      <w:pPr>
        <w:pStyle w:val="SingleTxtG"/>
        <w:rPr>
          <w:bCs/>
        </w:rPr>
      </w:pPr>
      <w:r w:rsidRPr="00683A64">
        <w:t>5.1</w:t>
      </w:r>
      <w:r w:rsidRPr="00683A64">
        <w:tab/>
      </w:r>
      <w:r w:rsidR="00C702EE" w:rsidRPr="00683A64">
        <w:rPr>
          <w:bCs/>
        </w:rPr>
        <w:t xml:space="preserve">In </w:t>
      </w:r>
      <w:r w:rsidR="00D91CE2" w:rsidRPr="00683A64">
        <w:rPr>
          <w:bCs/>
        </w:rPr>
        <w:t>a</w:t>
      </w:r>
      <w:r w:rsidR="003E7377" w:rsidRPr="00683A64">
        <w:rPr>
          <w:bCs/>
        </w:rPr>
        <w:t xml:space="preserve"> letter of </w:t>
      </w:r>
      <w:r w:rsidR="00381A99" w:rsidRPr="00683A64">
        <w:rPr>
          <w:bCs/>
        </w:rPr>
        <w:t>11 November 2014</w:t>
      </w:r>
      <w:r w:rsidR="00C702EE" w:rsidRPr="00683A64">
        <w:rPr>
          <w:bCs/>
        </w:rPr>
        <w:t>, the author</w:t>
      </w:r>
      <w:r w:rsidR="00381A99" w:rsidRPr="00683A64">
        <w:rPr>
          <w:bCs/>
        </w:rPr>
        <w:t xml:space="preserve"> reiterated his original allegations and specified that the remedy he was seeking before the Committee was that the State party repealed his sentence under article</w:t>
      </w:r>
      <w:r w:rsidR="006E046E" w:rsidRPr="00683A64">
        <w:rPr>
          <w:bCs/>
        </w:rPr>
        <w:t>s</w:t>
      </w:r>
      <w:r w:rsidR="00381A99" w:rsidRPr="00683A64">
        <w:rPr>
          <w:bCs/>
        </w:rPr>
        <w:t xml:space="preserve"> 33 (3) and 205 (3) and reduced his sentence from 21 to 10 years.</w:t>
      </w:r>
    </w:p>
    <w:p w:rsidR="00C702EE" w:rsidRPr="00683A64" w:rsidRDefault="00C702EE" w:rsidP="00C702EE">
      <w:pPr>
        <w:pStyle w:val="SingleTxtG"/>
        <w:rPr>
          <w:bCs/>
        </w:rPr>
      </w:pPr>
      <w:r w:rsidRPr="00683A64">
        <w:rPr>
          <w:bCs/>
        </w:rPr>
        <w:t>5.2</w:t>
      </w:r>
      <w:r w:rsidRPr="00683A64">
        <w:rPr>
          <w:bCs/>
        </w:rPr>
        <w:tab/>
      </w:r>
      <w:r w:rsidR="00381A99" w:rsidRPr="00683A64">
        <w:rPr>
          <w:bCs/>
        </w:rPr>
        <w:t xml:space="preserve">On 24 November 2014, he </w:t>
      </w:r>
      <w:r w:rsidR="0015324D" w:rsidRPr="00683A64">
        <w:rPr>
          <w:bCs/>
        </w:rPr>
        <w:t xml:space="preserve">added </w:t>
      </w:r>
      <w:r w:rsidR="00381A99" w:rsidRPr="00683A64">
        <w:rPr>
          <w:bCs/>
        </w:rPr>
        <w:t xml:space="preserve">that the correspondence from the Committee was delivered to him by </w:t>
      </w:r>
      <w:r w:rsidR="0015324D" w:rsidRPr="00683A64">
        <w:rPr>
          <w:bCs/>
        </w:rPr>
        <w:t xml:space="preserve">the </w:t>
      </w:r>
      <w:r w:rsidR="00381A99" w:rsidRPr="00683A64">
        <w:rPr>
          <w:bCs/>
        </w:rPr>
        <w:t>prison authoriti</w:t>
      </w:r>
      <w:r w:rsidR="003E7377" w:rsidRPr="00683A64">
        <w:rPr>
          <w:bCs/>
        </w:rPr>
        <w:t>es in a damaged envelope and that</w:t>
      </w:r>
      <w:r w:rsidR="00381A99" w:rsidRPr="00683A64">
        <w:rPr>
          <w:bCs/>
        </w:rPr>
        <w:t xml:space="preserve"> he </w:t>
      </w:r>
      <w:r w:rsidR="003E7377" w:rsidRPr="00683A64">
        <w:rPr>
          <w:bCs/>
        </w:rPr>
        <w:t>made a note about it in t</w:t>
      </w:r>
      <w:r w:rsidR="00381A99" w:rsidRPr="00683A64">
        <w:rPr>
          <w:bCs/>
        </w:rPr>
        <w:t xml:space="preserve">he </w:t>
      </w:r>
      <w:r w:rsidR="003E7377" w:rsidRPr="00683A64">
        <w:rPr>
          <w:bCs/>
        </w:rPr>
        <w:t>incom</w:t>
      </w:r>
      <w:r w:rsidR="006E046E" w:rsidRPr="00683A64">
        <w:rPr>
          <w:bCs/>
        </w:rPr>
        <w:t>ing</w:t>
      </w:r>
      <w:r w:rsidR="003E7377" w:rsidRPr="00683A64">
        <w:rPr>
          <w:bCs/>
        </w:rPr>
        <w:t xml:space="preserve"> correspondence </w:t>
      </w:r>
      <w:r w:rsidR="006E046E" w:rsidRPr="00683A64">
        <w:rPr>
          <w:bCs/>
        </w:rPr>
        <w:t>registry</w:t>
      </w:r>
      <w:r w:rsidR="00381A99" w:rsidRPr="00683A64">
        <w:rPr>
          <w:bCs/>
        </w:rPr>
        <w:t xml:space="preserve">. </w:t>
      </w:r>
      <w:r w:rsidR="00F33CAB" w:rsidRPr="00683A64">
        <w:rPr>
          <w:bCs/>
        </w:rPr>
        <w:t>When he returned to his cell, he found a SIM card among his belongings, which was not his. After this</w:t>
      </w:r>
      <w:r w:rsidR="0015324D" w:rsidRPr="00683A64">
        <w:rPr>
          <w:bCs/>
        </w:rPr>
        <w:t>,</w:t>
      </w:r>
      <w:r w:rsidR="00381A99" w:rsidRPr="00683A64">
        <w:rPr>
          <w:bCs/>
        </w:rPr>
        <w:t xml:space="preserve"> he was </w:t>
      </w:r>
      <w:r w:rsidR="00F33CAB" w:rsidRPr="00683A64">
        <w:rPr>
          <w:bCs/>
        </w:rPr>
        <w:t xml:space="preserve">accused </w:t>
      </w:r>
      <w:r w:rsidR="00FC7E8F" w:rsidRPr="00683A64">
        <w:rPr>
          <w:bCs/>
        </w:rPr>
        <w:t>of</w:t>
      </w:r>
      <w:r w:rsidR="00F33CAB" w:rsidRPr="00683A64">
        <w:rPr>
          <w:bCs/>
        </w:rPr>
        <w:t xml:space="preserve"> </w:t>
      </w:r>
      <w:r w:rsidR="0015324D" w:rsidRPr="00683A64">
        <w:rPr>
          <w:bCs/>
        </w:rPr>
        <w:t xml:space="preserve">having </w:t>
      </w:r>
      <w:r w:rsidR="00F33CAB" w:rsidRPr="00683A64">
        <w:rPr>
          <w:bCs/>
        </w:rPr>
        <w:t>violat</w:t>
      </w:r>
      <w:r w:rsidR="0015324D" w:rsidRPr="00683A64">
        <w:rPr>
          <w:bCs/>
        </w:rPr>
        <w:t>ed the</w:t>
      </w:r>
      <w:r w:rsidR="00F33CAB" w:rsidRPr="00683A64">
        <w:rPr>
          <w:bCs/>
        </w:rPr>
        <w:t xml:space="preserve"> </w:t>
      </w:r>
      <w:r w:rsidR="00A03EDB" w:rsidRPr="00683A64">
        <w:rPr>
          <w:bCs/>
        </w:rPr>
        <w:t xml:space="preserve">prison </w:t>
      </w:r>
      <w:proofErr w:type="gramStart"/>
      <w:r w:rsidR="00A03EDB" w:rsidRPr="00683A64">
        <w:rPr>
          <w:bCs/>
        </w:rPr>
        <w:t>regime,</w:t>
      </w:r>
      <w:proofErr w:type="gramEnd"/>
      <w:r w:rsidR="00A03EDB" w:rsidRPr="00683A64">
        <w:rPr>
          <w:bCs/>
        </w:rPr>
        <w:t xml:space="preserve"> </w:t>
      </w:r>
      <w:r w:rsidR="0015324D" w:rsidRPr="00683A64">
        <w:rPr>
          <w:bCs/>
        </w:rPr>
        <w:t xml:space="preserve">he was placed </w:t>
      </w:r>
      <w:r w:rsidR="00FC7E8F" w:rsidRPr="00683A64">
        <w:rPr>
          <w:bCs/>
        </w:rPr>
        <w:t>in</w:t>
      </w:r>
      <w:r w:rsidR="00A03EDB" w:rsidRPr="00683A64">
        <w:rPr>
          <w:bCs/>
        </w:rPr>
        <w:t xml:space="preserve"> solitary confinement cell for three days and t</w:t>
      </w:r>
      <w:r w:rsidR="00381A99" w:rsidRPr="00683A64">
        <w:rPr>
          <w:bCs/>
        </w:rPr>
        <w:t xml:space="preserve">ransferred from </w:t>
      </w:r>
      <w:r w:rsidR="003E5666" w:rsidRPr="00683A64">
        <w:rPr>
          <w:bCs/>
        </w:rPr>
        <w:t>a</w:t>
      </w:r>
      <w:r w:rsidR="00381A99" w:rsidRPr="00683A64">
        <w:rPr>
          <w:bCs/>
        </w:rPr>
        <w:t xml:space="preserve"> lighte</w:t>
      </w:r>
      <w:r w:rsidR="00A03EDB" w:rsidRPr="00683A64">
        <w:rPr>
          <w:bCs/>
        </w:rPr>
        <w:t>r</w:t>
      </w:r>
      <w:r w:rsidR="00381A99" w:rsidRPr="00683A64">
        <w:rPr>
          <w:bCs/>
        </w:rPr>
        <w:t xml:space="preserve"> to strict</w:t>
      </w:r>
      <w:r w:rsidR="00A03EDB" w:rsidRPr="00683A64">
        <w:rPr>
          <w:bCs/>
        </w:rPr>
        <w:t>er</w:t>
      </w:r>
      <w:r w:rsidR="00381A99" w:rsidRPr="00683A64">
        <w:rPr>
          <w:bCs/>
        </w:rPr>
        <w:t xml:space="preserve"> </w:t>
      </w:r>
      <w:r w:rsidR="00A03EDB" w:rsidRPr="00683A64">
        <w:rPr>
          <w:bCs/>
        </w:rPr>
        <w:t>regime of detention</w:t>
      </w:r>
      <w:r w:rsidR="0015324D" w:rsidRPr="00683A64">
        <w:rPr>
          <w:bCs/>
        </w:rPr>
        <w:t xml:space="preserve"> afterwards</w:t>
      </w:r>
      <w:r w:rsidR="00A03EDB" w:rsidRPr="00683A64">
        <w:rPr>
          <w:bCs/>
        </w:rPr>
        <w:t>.</w:t>
      </w:r>
      <w:r w:rsidR="00381A99" w:rsidRPr="00683A64">
        <w:rPr>
          <w:bCs/>
        </w:rPr>
        <w:t xml:space="preserve"> </w:t>
      </w:r>
      <w:r w:rsidR="0015324D" w:rsidRPr="00683A64">
        <w:rPr>
          <w:bCs/>
        </w:rPr>
        <w:t>He</w:t>
      </w:r>
      <w:r w:rsidR="00BF581E" w:rsidRPr="00683A64">
        <w:rPr>
          <w:bCs/>
        </w:rPr>
        <w:t xml:space="preserve"> allege</w:t>
      </w:r>
      <w:r w:rsidR="00A43AB1" w:rsidRPr="00683A64">
        <w:rPr>
          <w:bCs/>
        </w:rPr>
        <w:t>s</w:t>
      </w:r>
      <w:r w:rsidR="006E046E" w:rsidRPr="00683A64">
        <w:rPr>
          <w:bCs/>
        </w:rPr>
        <w:t xml:space="preserve"> that the</w:t>
      </w:r>
      <w:r w:rsidR="00280EF1" w:rsidRPr="00683A64">
        <w:rPr>
          <w:bCs/>
        </w:rPr>
        <w:t>s</w:t>
      </w:r>
      <w:r w:rsidR="006E046E" w:rsidRPr="00683A64">
        <w:rPr>
          <w:bCs/>
        </w:rPr>
        <w:t>e sanctions were a</w:t>
      </w:r>
      <w:r w:rsidR="00280EF1" w:rsidRPr="00683A64">
        <w:rPr>
          <w:bCs/>
        </w:rPr>
        <w:t xml:space="preserve"> retaliation of the prison authorities for his report on the open letter. </w:t>
      </w:r>
    </w:p>
    <w:p w:rsidR="00DC28AA" w:rsidRPr="00683A64" w:rsidRDefault="00DC28AA" w:rsidP="00C702EE">
      <w:pPr>
        <w:pStyle w:val="SingleTxtG"/>
        <w:rPr>
          <w:bCs/>
        </w:rPr>
      </w:pPr>
      <w:r w:rsidRPr="00683A64">
        <w:rPr>
          <w:bCs/>
        </w:rPr>
        <w:t>5.3</w:t>
      </w:r>
      <w:r w:rsidRPr="00683A64">
        <w:rPr>
          <w:bCs/>
        </w:rPr>
        <w:tab/>
        <w:t xml:space="preserve">On 20 August 2015, the author informed the Committee that he </w:t>
      </w:r>
      <w:r w:rsidR="0015324D" w:rsidRPr="00683A64">
        <w:rPr>
          <w:bCs/>
        </w:rPr>
        <w:t xml:space="preserve">underwent </w:t>
      </w:r>
      <w:r w:rsidRPr="00683A64">
        <w:rPr>
          <w:bCs/>
        </w:rPr>
        <w:t xml:space="preserve">a surgery on one eye and a surgery on the other </w:t>
      </w:r>
      <w:r w:rsidR="006E046E" w:rsidRPr="00683A64">
        <w:rPr>
          <w:bCs/>
        </w:rPr>
        <w:t>one was needed</w:t>
      </w:r>
      <w:r w:rsidRPr="00683A64">
        <w:rPr>
          <w:bCs/>
        </w:rPr>
        <w:t xml:space="preserve">, </w:t>
      </w:r>
      <w:r w:rsidR="006E046E" w:rsidRPr="00683A64">
        <w:rPr>
          <w:bCs/>
        </w:rPr>
        <w:t>but</w:t>
      </w:r>
      <w:r w:rsidRPr="00683A64">
        <w:rPr>
          <w:bCs/>
        </w:rPr>
        <w:t xml:space="preserve"> was not possible in prison hospitals.</w:t>
      </w:r>
      <w:r w:rsidR="00925EAE" w:rsidRPr="00683A64">
        <w:rPr>
          <w:bCs/>
        </w:rPr>
        <w:t xml:space="preserve"> Because </w:t>
      </w:r>
      <w:r w:rsidR="00F066FE" w:rsidRPr="00683A64">
        <w:rPr>
          <w:bCs/>
        </w:rPr>
        <w:t xml:space="preserve">of </w:t>
      </w:r>
      <w:r w:rsidR="00684FF7" w:rsidRPr="00683A64">
        <w:rPr>
          <w:bCs/>
        </w:rPr>
        <w:t>a</w:t>
      </w:r>
      <w:r w:rsidR="00F066FE" w:rsidRPr="00683A64">
        <w:rPr>
          <w:bCs/>
        </w:rPr>
        <w:t xml:space="preserve"> deteriorating</w:t>
      </w:r>
      <w:r w:rsidR="00925EAE" w:rsidRPr="00683A64">
        <w:rPr>
          <w:bCs/>
        </w:rPr>
        <w:t xml:space="preserve"> condition of his health,</w:t>
      </w:r>
      <w:r w:rsidRPr="00683A64">
        <w:rPr>
          <w:bCs/>
        </w:rPr>
        <w:t xml:space="preserve"> he asked the Committee to speed up the consideration of his </w:t>
      </w:r>
      <w:r w:rsidR="000E53AA" w:rsidRPr="00683A64">
        <w:rPr>
          <w:bCs/>
        </w:rPr>
        <w:t>complaint</w:t>
      </w:r>
      <w:r w:rsidRPr="00683A64">
        <w:rPr>
          <w:bCs/>
        </w:rPr>
        <w:t>.</w:t>
      </w:r>
      <w:r w:rsidR="00124AFB">
        <w:rPr>
          <w:bCs/>
        </w:rPr>
        <w:t xml:space="preserve"> </w:t>
      </w:r>
    </w:p>
    <w:p w:rsidR="008216A5" w:rsidRPr="00683A64" w:rsidRDefault="008216A5" w:rsidP="00ED06EC">
      <w:pPr>
        <w:pStyle w:val="H23G"/>
        <w:spacing w:afterLines="120" w:after="288"/>
      </w:pPr>
      <w:r w:rsidRPr="00683A64">
        <w:tab/>
      </w:r>
      <w:r w:rsidRPr="00683A64">
        <w:tab/>
        <w:t>Issues and proceedings before the Committee</w:t>
      </w:r>
    </w:p>
    <w:p w:rsidR="008216A5" w:rsidRPr="00683A64" w:rsidRDefault="00ED06EC" w:rsidP="000E53AA">
      <w:pPr>
        <w:spacing w:before="240" w:after="120"/>
        <w:rPr>
          <w:i/>
        </w:rPr>
      </w:pPr>
      <w:r w:rsidRPr="00683A64">
        <w:tab/>
      </w:r>
      <w:r w:rsidRPr="00683A64">
        <w:tab/>
      </w:r>
      <w:r w:rsidR="008216A5" w:rsidRPr="00683A64">
        <w:rPr>
          <w:i/>
        </w:rPr>
        <w:t>Consideration of admissibility</w:t>
      </w:r>
    </w:p>
    <w:p w:rsidR="008216A5" w:rsidRPr="00683A64" w:rsidRDefault="005576A9" w:rsidP="00781C83">
      <w:pPr>
        <w:pStyle w:val="SingleTxtG"/>
        <w:rPr>
          <w:bCs/>
        </w:rPr>
      </w:pPr>
      <w:r w:rsidRPr="00683A64">
        <w:rPr>
          <w:bCs/>
        </w:rPr>
        <w:t>6</w:t>
      </w:r>
      <w:r w:rsidR="008216A5" w:rsidRPr="00683A64">
        <w:rPr>
          <w:bCs/>
        </w:rPr>
        <w:t>.1</w:t>
      </w:r>
      <w:r w:rsidR="008216A5" w:rsidRPr="00683A64">
        <w:rPr>
          <w:bCs/>
        </w:rPr>
        <w:tab/>
        <w:t>Before considering any claim contained in a communication, the Human Rights Committee must, in accordance with rule 93 of its rules of procedure, decide whether or not the communication is admissible under the Optional Protocol to the Covenant.</w:t>
      </w:r>
    </w:p>
    <w:p w:rsidR="008216A5" w:rsidRPr="00683A64" w:rsidRDefault="005576A9" w:rsidP="00781C83">
      <w:pPr>
        <w:pStyle w:val="SingleTxtG"/>
      </w:pPr>
      <w:r w:rsidRPr="00683A64">
        <w:t>6</w:t>
      </w:r>
      <w:r w:rsidR="008216A5" w:rsidRPr="00683A64">
        <w:t>.2</w:t>
      </w:r>
      <w:r w:rsidR="008216A5" w:rsidRPr="00683A64">
        <w:tab/>
      </w:r>
      <w:r w:rsidR="003D26D6" w:rsidRPr="00683A64">
        <w:t>T</w:t>
      </w:r>
      <w:r w:rsidR="003D26D6" w:rsidRPr="00683A64">
        <w:rPr>
          <w:lang w:val="en-US"/>
        </w:rPr>
        <w:t xml:space="preserve">he Committee takes note of the State party’s </w:t>
      </w:r>
      <w:r w:rsidR="00940F28" w:rsidRPr="00683A64">
        <w:rPr>
          <w:lang w:val="en-US"/>
        </w:rPr>
        <w:t xml:space="preserve">submission </w:t>
      </w:r>
      <w:r w:rsidR="003D26D6" w:rsidRPr="00683A64">
        <w:rPr>
          <w:lang w:val="en-US"/>
        </w:rPr>
        <w:t xml:space="preserve">that the author filed a complaint with the European Court of Human Rights in 2008. </w:t>
      </w:r>
      <w:r w:rsidR="00A43AB1" w:rsidRPr="00683A64">
        <w:rPr>
          <w:lang w:val="en-US"/>
        </w:rPr>
        <w:t>It notes also that when acceding to the Optional Protocol, the State party has made a declaration</w:t>
      </w:r>
      <w:r w:rsidR="00A43AB1" w:rsidRPr="00683A64">
        <w:rPr>
          <w:rStyle w:val="FootnoteReference"/>
          <w:lang w:val="en-US"/>
        </w:rPr>
        <w:footnoteReference w:id="6"/>
      </w:r>
      <w:r w:rsidR="00A43AB1" w:rsidRPr="00683A64">
        <w:rPr>
          <w:lang w:val="en-US"/>
        </w:rPr>
        <w:t xml:space="preserve">, inter alia, to the effect that “the Committee shall not consider any communications unless it has been ascertained that the same matter is not being examined under another procedure of international investigation or settlement”. </w:t>
      </w:r>
      <w:r w:rsidR="008216A5" w:rsidRPr="00683A64">
        <w:t xml:space="preserve">The Committee </w:t>
      </w:r>
      <w:r w:rsidR="003D26D6" w:rsidRPr="00683A64">
        <w:t>observes, however, that the European Court found his complaint inadmissible in April 2010</w:t>
      </w:r>
      <w:r w:rsidR="00940F28" w:rsidRPr="00683A64">
        <w:t xml:space="preserve">. </w:t>
      </w:r>
      <w:r w:rsidR="006637C8" w:rsidRPr="00683A64">
        <w:t xml:space="preserve">Since </w:t>
      </w:r>
      <w:r w:rsidR="00666A9B" w:rsidRPr="00683A64">
        <w:t xml:space="preserve">currently </w:t>
      </w:r>
      <w:r w:rsidR="006637C8" w:rsidRPr="00683A64">
        <w:t>the</w:t>
      </w:r>
      <w:r w:rsidR="006E1A90" w:rsidRPr="00683A64">
        <w:t xml:space="preserve"> </w:t>
      </w:r>
      <w:r w:rsidR="008216A5" w:rsidRPr="00683A64">
        <w:t>same matter is not being examined under another procedure of international investigation or settlement</w:t>
      </w:r>
      <w:r w:rsidR="00940F28" w:rsidRPr="00683A64">
        <w:t xml:space="preserve">, the </w:t>
      </w:r>
      <w:r w:rsidR="003D26D6" w:rsidRPr="00683A64">
        <w:t xml:space="preserve">Committee </w:t>
      </w:r>
      <w:r w:rsidR="00940F28" w:rsidRPr="00683A64">
        <w:t xml:space="preserve">is not precluded from consideration of the author’s complaint </w:t>
      </w:r>
      <w:r w:rsidR="003D26D6" w:rsidRPr="00683A64">
        <w:t>under article 5, paragraph 2 (a), of the Optional Protocol.</w:t>
      </w:r>
    </w:p>
    <w:p w:rsidR="00DA7238" w:rsidRPr="00683A64" w:rsidRDefault="005576A9" w:rsidP="00781C83">
      <w:pPr>
        <w:pStyle w:val="SingleTxtG"/>
      </w:pPr>
      <w:r w:rsidRPr="00683A64">
        <w:t>6</w:t>
      </w:r>
      <w:r w:rsidR="000E2BE1" w:rsidRPr="00683A64">
        <w:t>.3</w:t>
      </w:r>
      <w:r w:rsidR="000E2BE1" w:rsidRPr="00683A64">
        <w:tab/>
      </w:r>
      <w:r w:rsidR="005C674E" w:rsidRPr="00683A64">
        <w:t>T</w:t>
      </w:r>
      <w:r w:rsidR="005C674E" w:rsidRPr="00683A64">
        <w:rPr>
          <w:lang w:val="en-US"/>
        </w:rPr>
        <w:t xml:space="preserve">he Committee takes note of the State party’s </w:t>
      </w:r>
      <w:r w:rsidR="006637C8" w:rsidRPr="00683A64">
        <w:rPr>
          <w:lang w:val="en-US"/>
        </w:rPr>
        <w:t>observation that the author has n</w:t>
      </w:r>
      <w:r w:rsidR="00A43AB1" w:rsidRPr="00683A64">
        <w:rPr>
          <w:lang w:val="en-US"/>
        </w:rPr>
        <w:t>ever</w:t>
      </w:r>
      <w:r w:rsidR="006637C8" w:rsidRPr="00683A64">
        <w:rPr>
          <w:lang w:val="en-US"/>
        </w:rPr>
        <w:t xml:space="preserve"> raised a claim of ill-treatment under article 7 of the Covenant before the domestic </w:t>
      </w:r>
      <w:r w:rsidR="007F614B" w:rsidRPr="00683A64">
        <w:rPr>
          <w:lang w:val="en-US"/>
        </w:rPr>
        <w:t>courts</w:t>
      </w:r>
      <w:r w:rsidR="006637C8" w:rsidRPr="00683A64">
        <w:rPr>
          <w:lang w:val="en-US"/>
        </w:rPr>
        <w:t xml:space="preserve">. </w:t>
      </w:r>
      <w:r w:rsidR="00A43AB1" w:rsidRPr="00683A64">
        <w:rPr>
          <w:lang w:val="en-US"/>
        </w:rPr>
        <w:t xml:space="preserve">It also </w:t>
      </w:r>
      <w:r w:rsidR="008A5864" w:rsidRPr="00683A64">
        <w:rPr>
          <w:lang w:val="en-US"/>
        </w:rPr>
        <w:t xml:space="preserve">notes the author’s claims about having complained repeatedly about his treatment in pre-remand facility to the </w:t>
      </w:r>
      <w:r w:rsidR="0000255D">
        <w:rPr>
          <w:lang w:val="en-US"/>
        </w:rPr>
        <w:t>territorial</w:t>
      </w:r>
      <w:r w:rsidR="0000255D" w:rsidRPr="00683A64">
        <w:rPr>
          <w:lang w:val="en-US"/>
        </w:rPr>
        <w:t xml:space="preserve"> </w:t>
      </w:r>
      <w:r w:rsidR="008A5864" w:rsidRPr="00683A64">
        <w:rPr>
          <w:lang w:val="en-US"/>
        </w:rPr>
        <w:t xml:space="preserve">prosecutor’s office and about making a declaration to this regard in the first instance court hearing. </w:t>
      </w:r>
      <w:r w:rsidR="006637C8" w:rsidRPr="00683A64">
        <w:rPr>
          <w:lang w:val="en-US"/>
        </w:rPr>
        <w:t>The Committee</w:t>
      </w:r>
      <w:r w:rsidR="008A5864" w:rsidRPr="00683A64">
        <w:rPr>
          <w:lang w:val="en-US"/>
        </w:rPr>
        <w:t>, however,</w:t>
      </w:r>
      <w:r w:rsidR="006637C8" w:rsidRPr="00683A64">
        <w:rPr>
          <w:lang w:val="en-US"/>
        </w:rPr>
        <w:t xml:space="preserve"> </w:t>
      </w:r>
      <w:r w:rsidR="006B4A23" w:rsidRPr="00683A64">
        <w:rPr>
          <w:lang w:val="en-US"/>
        </w:rPr>
        <w:t xml:space="preserve">does not find documents on file which would confirm the author’s statement about making a declaration in the first instance court regarding his treatment in violation of </w:t>
      </w:r>
      <w:r w:rsidR="008A5864" w:rsidRPr="00683A64">
        <w:rPr>
          <w:lang w:val="en-US"/>
        </w:rPr>
        <w:t xml:space="preserve">articles 7 and 10 (1) </w:t>
      </w:r>
      <w:r w:rsidR="006B4A23" w:rsidRPr="00683A64">
        <w:rPr>
          <w:lang w:val="en-US"/>
        </w:rPr>
        <w:t xml:space="preserve">and (2) </w:t>
      </w:r>
      <w:r w:rsidR="006B4A23" w:rsidRPr="00683A64">
        <w:rPr>
          <w:lang w:val="en-US"/>
        </w:rPr>
        <w:lastRenderedPageBreak/>
        <w:t xml:space="preserve">(a) </w:t>
      </w:r>
      <w:r w:rsidR="008A5864" w:rsidRPr="00683A64">
        <w:rPr>
          <w:lang w:val="en-US"/>
        </w:rPr>
        <w:t xml:space="preserve">of the Covenant. </w:t>
      </w:r>
      <w:r w:rsidR="00A43AB1" w:rsidRPr="00683A64">
        <w:rPr>
          <w:lang w:val="en-US"/>
        </w:rPr>
        <w:t>Nor has he supplied any medical documents</w:t>
      </w:r>
      <w:r w:rsidR="000B4D0C" w:rsidRPr="00683A64">
        <w:rPr>
          <w:lang w:val="en-US"/>
        </w:rPr>
        <w:t xml:space="preserve"> relevant to his pre-trial detention</w:t>
      </w:r>
      <w:r w:rsidR="0011660C" w:rsidRPr="00683A64">
        <w:rPr>
          <w:lang w:val="en-US"/>
        </w:rPr>
        <w:t>,</w:t>
      </w:r>
      <w:r w:rsidR="00480C4A" w:rsidRPr="00683A64">
        <w:rPr>
          <w:lang w:val="en-US"/>
        </w:rPr>
        <w:t xml:space="preserve"> </w:t>
      </w:r>
      <w:r w:rsidR="0011660C" w:rsidRPr="00683A64">
        <w:rPr>
          <w:lang w:val="en-US"/>
        </w:rPr>
        <w:t xml:space="preserve">complaints or appeals </w:t>
      </w:r>
      <w:r w:rsidR="00B02C46" w:rsidRPr="00683A64">
        <w:rPr>
          <w:lang w:val="en-US"/>
        </w:rPr>
        <w:t>sufficient to</w:t>
      </w:r>
      <w:r w:rsidR="0011660C" w:rsidRPr="00683A64">
        <w:rPr>
          <w:lang w:val="en-US"/>
        </w:rPr>
        <w:t xml:space="preserve"> support his claim.</w:t>
      </w:r>
      <w:r w:rsidR="00A43AB1" w:rsidRPr="00683A64">
        <w:rPr>
          <w:lang w:val="en-US"/>
        </w:rPr>
        <w:t xml:space="preserve"> </w:t>
      </w:r>
      <w:r w:rsidR="008A5864" w:rsidRPr="00683A64">
        <w:rPr>
          <w:lang w:val="en-US"/>
        </w:rPr>
        <w:t>In th</w:t>
      </w:r>
      <w:r w:rsidR="0011660C" w:rsidRPr="00683A64">
        <w:rPr>
          <w:lang w:val="en-US"/>
        </w:rPr>
        <w:t xml:space="preserve">e absence of any other pertinent information on file, </w:t>
      </w:r>
      <w:r w:rsidR="008A5864" w:rsidRPr="00683A64">
        <w:rPr>
          <w:lang w:val="en-US"/>
        </w:rPr>
        <w:t>t</w:t>
      </w:r>
      <w:r w:rsidR="006637C8" w:rsidRPr="00683A64">
        <w:rPr>
          <w:lang w:val="en-US"/>
        </w:rPr>
        <w:t xml:space="preserve">he Committee considers that </w:t>
      </w:r>
      <w:r w:rsidR="008A5864" w:rsidRPr="00683A64">
        <w:rPr>
          <w:lang w:val="en-US"/>
        </w:rPr>
        <w:t xml:space="preserve">the </w:t>
      </w:r>
      <w:r w:rsidR="006637C8" w:rsidRPr="00683A64">
        <w:rPr>
          <w:lang w:val="en-US"/>
        </w:rPr>
        <w:t xml:space="preserve">author </w:t>
      </w:r>
      <w:r w:rsidR="00F106A9" w:rsidRPr="00683A64">
        <w:rPr>
          <w:lang w:val="en-US"/>
        </w:rPr>
        <w:t xml:space="preserve">has failed to </w:t>
      </w:r>
      <w:r w:rsidR="00480C4A" w:rsidRPr="00683A64">
        <w:rPr>
          <w:lang w:val="en-US"/>
        </w:rPr>
        <w:t xml:space="preserve">sufficiently substantiate his </w:t>
      </w:r>
      <w:r w:rsidR="00684375" w:rsidRPr="00683A64">
        <w:rPr>
          <w:lang w:val="en-US"/>
        </w:rPr>
        <w:t>claim under</w:t>
      </w:r>
      <w:r w:rsidR="00F106A9" w:rsidRPr="00683A64">
        <w:rPr>
          <w:lang w:val="en-US"/>
        </w:rPr>
        <w:t xml:space="preserve"> </w:t>
      </w:r>
      <w:r w:rsidR="006637C8" w:rsidRPr="00683A64">
        <w:rPr>
          <w:lang w:val="en-US"/>
        </w:rPr>
        <w:t xml:space="preserve">articles 7 and 10 (1) </w:t>
      </w:r>
      <w:r w:rsidR="00666A9B" w:rsidRPr="00683A64">
        <w:rPr>
          <w:lang w:val="en-US"/>
        </w:rPr>
        <w:t xml:space="preserve">and (2) (a) </w:t>
      </w:r>
      <w:r w:rsidR="006637C8" w:rsidRPr="00683A64">
        <w:rPr>
          <w:lang w:val="en-US"/>
        </w:rPr>
        <w:t>of the C</w:t>
      </w:r>
      <w:r w:rsidR="00EA4009" w:rsidRPr="00683A64">
        <w:rPr>
          <w:lang w:val="en-US"/>
        </w:rPr>
        <w:t xml:space="preserve">ovenant </w:t>
      </w:r>
      <w:r w:rsidR="00480C4A" w:rsidRPr="00683A64">
        <w:rPr>
          <w:lang w:val="en-US"/>
        </w:rPr>
        <w:t xml:space="preserve">and finds it </w:t>
      </w:r>
      <w:r w:rsidR="00EA4009" w:rsidRPr="00683A64">
        <w:rPr>
          <w:lang w:val="en-US"/>
        </w:rPr>
        <w:t xml:space="preserve">inadmissible under </w:t>
      </w:r>
      <w:r w:rsidR="005C674E" w:rsidRPr="00683A64">
        <w:t>article</w:t>
      </w:r>
      <w:r w:rsidR="00124AFB">
        <w:t xml:space="preserve"> </w:t>
      </w:r>
      <w:r w:rsidR="005C674E" w:rsidRPr="00683A64">
        <w:t>2 of the Optional Protocol</w:t>
      </w:r>
      <w:r w:rsidR="00EA4009" w:rsidRPr="00683A64">
        <w:t>.</w:t>
      </w:r>
      <w:r w:rsidR="005C674E" w:rsidRPr="00683A64">
        <w:t xml:space="preserve"> </w:t>
      </w:r>
    </w:p>
    <w:p w:rsidR="00A870F3" w:rsidRPr="00683A64" w:rsidRDefault="005576A9" w:rsidP="00A870F3">
      <w:pPr>
        <w:pStyle w:val="SingleTxtG"/>
        <w:rPr>
          <w:sz w:val="18"/>
        </w:rPr>
      </w:pPr>
      <w:r w:rsidRPr="00683A64">
        <w:t>6</w:t>
      </w:r>
      <w:r w:rsidR="008507D3" w:rsidRPr="00683A64">
        <w:t>.4</w:t>
      </w:r>
      <w:r w:rsidR="008507D3" w:rsidRPr="00683A64">
        <w:tab/>
      </w:r>
      <w:r w:rsidR="00F106A9" w:rsidRPr="00683A64">
        <w:rPr>
          <w:lang w:val="en-US"/>
        </w:rPr>
        <w:t>Regarding t</w:t>
      </w:r>
      <w:r w:rsidR="008507D3" w:rsidRPr="00683A64">
        <w:rPr>
          <w:lang w:val="en-US"/>
        </w:rPr>
        <w:t xml:space="preserve">he </w:t>
      </w:r>
      <w:r w:rsidR="00F106A9" w:rsidRPr="00683A64">
        <w:rPr>
          <w:lang w:val="en-US"/>
        </w:rPr>
        <w:t xml:space="preserve">author’s claims </w:t>
      </w:r>
      <w:r w:rsidR="008A5864" w:rsidRPr="00683A64">
        <w:rPr>
          <w:lang w:val="en-US"/>
        </w:rPr>
        <w:t xml:space="preserve">under article 14 (1) </w:t>
      </w:r>
      <w:r w:rsidR="00372EEE" w:rsidRPr="00683A64">
        <w:rPr>
          <w:lang w:val="en-US"/>
        </w:rPr>
        <w:t xml:space="preserve">of the Covenant </w:t>
      </w:r>
      <w:r w:rsidR="00F27693" w:rsidRPr="00683A64">
        <w:rPr>
          <w:lang w:val="en-US"/>
        </w:rPr>
        <w:t>concerning the fact that the presiding judge prohibited carrying out</w:t>
      </w:r>
      <w:r w:rsidR="0011660C" w:rsidRPr="00683A64">
        <w:rPr>
          <w:lang w:val="en-US"/>
        </w:rPr>
        <w:t xml:space="preserve"> an</w:t>
      </w:r>
      <w:r w:rsidR="00F27693" w:rsidRPr="00683A64">
        <w:rPr>
          <w:lang w:val="en-US"/>
        </w:rPr>
        <w:t xml:space="preserve"> audio recording of the hearing and took away written notes by the author’s lawyer and relatives, </w:t>
      </w:r>
      <w:r w:rsidR="00666A9B" w:rsidRPr="00683A64">
        <w:rPr>
          <w:lang w:val="en-US"/>
        </w:rPr>
        <w:t xml:space="preserve">as well as to his claims concerning violation of the principle of equality before the law in calculating his sentence comparing to the sentence of his co-defendants, </w:t>
      </w:r>
      <w:r w:rsidR="00F27693" w:rsidRPr="00683A64">
        <w:rPr>
          <w:lang w:val="en-US"/>
        </w:rPr>
        <w:t>the Committee notes</w:t>
      </w:r>
      <w:r w:rsidR="00FB143D" w:rsidRPr="00683A64">
        <w:rPr>
          <w:rFonts w:ascii="Sylfaen" w:hAnsi="Sylfaen"/>
          <w:lang w:val="en-US"/>
        </w:rPr>
        <w:t xml:space="preserve"> </w:t>
      </w:r>
      <w:r w:rsidR="00A870F3" w:rsidRPr="00683A64">
        <w:rPr>
          <w:rFonts w:ascii="Sylfaen" w:hAnsi="Sylfaen"/>
          <w:lang w:val="en-US"/>
        </w:rPr>
        <w:t>that the author does not provide any information to support his allegations and therefore finds this part of the</w:t>
      </w:r>
      <w:r w:rsidR="0000255D">
        <w:rPr>
          <w:rFonts w:ascii="Sylfaen" w:hAnsi="Sylfaen"/>
          <w:lang w:val="en-US"/>
        </w:rPr>
        <w:t xml:space="preserve"> complaint is</w:t>
      </w:r>
      <w:r w:rsidR="00A870F3" w:rsidRPr="00683A64">
        <w:rPr>
          <w:rFonts w:ascii="Sylfaen" w:hAnsi="Sylfaen"/>
          <w:lang w:val="en-US"/>
        </w:rPr>
        <w:t xml:space="preserve"> </w:t>
      </w:r>
      <w:r w:rsidR="00A870F3" w:rsidRPr="00683A64">
        <w:t>insufficiently substantiated and inadmissible under article 2 of the Optional Protocol.</w:t>
      </w:r>
    </w:p>
    <w:p w:rsidR="00372EEE" w:rsidRPr="00320862" w:rsidRDefault="00372EEE" w:rsidP="00320862">
      <w:pPr>
        <w:pStyle w:val="SingleTxtG"/>
      </w:pPr>
      <w:r w:rsidRPr="00320862">
        <w:t>6.</w:t>
      </w:r>
      <w:r w:rsidR="00A870F3" w:rsidRPr="00320862">
        <w:t>5</w:t>
      </w:r>
      <w:r w:rsidRPr="00683A64">
        <w:rPr>
          <w:sz w:val="18"/>
        </w:rPr>
        <w:tab/>
      </w:r>
      <w:r w:rsidRPr="00683A64">
        <w:rPr>
          <w:lang w:val="en-US"/>
        </w:rPr>
        <w:t xml:space="preserve">Regarding the author’s claim under article 14 (1) of the Covenant that his sentence was excessively strict and did not take into account his personal and family circumstances, the Committee notes that </w:t>
      </w:r>
      <w:r w:rsidRPr="00683A64">
        <w:t>this claim concerns interpretation of domestic legislation and that domestic legislation is in principle interpreted by the courts of States parties, unless it was clearly arbitrary or amounted to a denial of justice.</w:t>
      </w:r>
      <w:r w:rsidRPr="00683A64">
        <w:rPr>
          <w:vertAlign w:val="superscript"/>
        </w:rPr>
        <w:footnoteReference w:id="7"/>
      </w:r>
      <w:r w:rsidRPr="00683A64">
        <w:t xml:space="preserve"> The Committee considers that </w:t>
      </w:r>
      <w:r w:rsidR="00542EBD" w:rsidRPr="00683A64">
        <w:t>t</w:t>
      </w:r>
      <w:r w:rsidRPr="00683A64">
        <w:t xml:space="preserve">here is nothing in the </w:t>
      </w:r>
      <w:r w:rsidRPr="003346E8">
        <w:t>submissions</w:t>
      </w:r>
      <w:r w:rsidRPr="00683A64">
        <w:t xml:space="preserve"> of the author that would indicate the evaluation was manifestly arbitrary.</w:t>
      </w:r>
      <w:r w:rsidR="00124AFB">
        <w:t xml:space="preserve"> </w:t>
      </w:r>
      <w:r w:rsidRPr="00683A64">
        <w:t>The Committee therefore finds this part of the author’s claim being insufficiently substantiated and inadmissible under article 2 of the Optional Protocol.</w:t>
      </w:r>
    </w:p>
    <w:p w:rsidR="008507D3" w:rsidRPr="003346E8" w:rsidRDefault="005576A9" w:rsidP="003346E8">
      <w:pPr>
        <w:pStyle w:val="SingleTxtG"/>
      </w:pPr>
      <w:r w:rsidRPr="003346E8">
        <w:t>6</w:t>
      </w:r>
      <w:r w:rsidR="00F27693" w:rsidRPr="003346E8">
        <w:t>.</w:t>
      </w:r>
      <w:r w:rsidR="00A870F3" w:rsidRPr="003346E8">
        <w:t>6</w:t>
      </w:r>
      <w:r w:rsidR="00F27693" w:rsidRPr="003346E8">
        <w:tab/>
        <w:t xml:space="preserve">As for the author’s claims under article 14 (1) </w:t>
      </w:r>
      <w:r w:rsidR="00F106A9" w:rsidRPr="003346E8">
        <w:t xml:space="preserve">and (3) (e) in relation to the examination of facts of his case, </w:t>
      </w:r>
      <w:r w:rsidR="0011660C" w:rsidRPr="003346E8">
        <w:t xml:space="preserve">the alleged </w:t>
      </w:r>
      <w:r w:rsidR="00F27693" w:rsidRPr="003346E8">
        <w:t xml:space="preserve">biased </w:t>
      </w:r>
      <w:r w:rsidR="00F106A9" w:rsidRPr="003346E8">
        <w:t xml:space="preserve">behaviour of the presiding judge, </w:t>
      </w:r>
      <w:r w:rsidR="0011660C" w:rsidRPr="003346E8">
        <w:t>t</w:t>
      </w:r>
      <w:r w:rsidR="00B11B0F" w:rsidRPr="003346E8">
        <w:t>h</w:t>
      </w:r>
      <w:r w:rsidR="0011660C" w:rsidRPr="003346E8">
        <w:t xml:space="preserve">e refusal to </w:t>
      </w:r>
      <w:r w:rsidR="00F106A9" w:rsidRPr="003346E8">
        <w:t xml:space="preserve">carry out </w:t>
      </w:r>
      <w:r w:rsidR="0011660C" w:rsidRPr="003346E8">
        <w:t>an</w:t>
      </w:r>
      <w:r w:rsidR="00F106A9" w:rsidRPr="003346E8">
        <w:t xml:space="preserve"> additional expert</w:t>
      </w:r>
      <w:r w:rsidR="0011660C" w:rsidRPr="003346E8">
        <w:t xml:space="preserve"> examination</w:t>
      </w:r>
      <w:r w:rsidR="00F106A9" w:rsidRPr="003346E8">
        <w:t xml:space="preserve"> and questioning of witnesses, the Committee recalls that it is generally for </w:t>
      </w:r>
      <w:r w:rsidR="00F27693" w:rsidRPr="003346E8">
        <w:t xml:space="preserve">the </w:t>
      </w:r>
      <w:r w:rsidR="00F106A9" w:rsidRPr="003346E8">
        <w:t>States parties’ courts to evaluate facts and evidence in a particular case, unless it can be ascertained that the evaluation was clearly arbitrary or amounted to a denial of justice, or that the court failed in its duty of independence and impartiality.</w:t>
      </w:r>
      <w:r w:rsidR="001A79AD" w:rsidRPr="0000255D">
        <w:rPr>
          <w:rStyle w:val="FootnoteReference"/>
          <w:sz w:val="20"/>
        </w:rPr>
        <w:footnoteReference w:id="8"/>
      </w:r>
      <w:r w:rsidR="00F106A9" w:rsidRPr="003346E8">
        <w:t xml:space="preserve"> The Committee notes </w:t>
      </w:r>
      <w:r w:rsidR="00F27693" w:rsidRPr="003346E8">
        <w:t>the State party’s argument</w:t>
      </w:r>
      <w:r w:rsidR="00B11B0F" w:rsidRPr="003346E8">
        <w:t>, left unaddressed by the author,</w:t>
      </w:r>
      <w:r w:rsidR="00F27693" w:rsidRPr="003346E8">
        <w:t xml:space="preserve"> that the author and his counsel were given</w:t>
      </w:r>
      <w:r w:rsidR="00F106A9" w:rsidRPr="003346E8">
        <w:t xml:space="preserve"> an opportunity to </w:t>
      </w:r>
      <w:r w:rsidR="00F27693" w:rsidRPr="003346E8">
        <w:t xml:space="preserve">question the witnesses during the court hearing but did not use this opportunity. The Committee also takes note of the State party’s argument that the refusal of the presiding judge to allow additional expert </w:t>
      </w:r>
      <w:r w:rsidR="0011660C" w:rsidRPr="003346E8">
        <w:t xml:space="preserve">examination </w:t>
      </w:r>
      <w:r w:rsidR="006B4A23" w:rsidRPr="003346E8">
        <w:t xml:space="preserve">took into account the position of the </w:t>
      </w:r>
      <w:r w:rsidR="00F27693" w:rsidRPr="003346E8">
        <w:t xml:space="preserve">participants of the trial and the reasons for a refusal were </w:t>
      </w:r>
      <w:r w:rsidR="0011660C" w:rsidRPr="003346E8">
        <w:t xml:space="preserve">duly </w:t>
      </w:r>
      <w:r w:rsidR="00F27693" w:rsidRPr="003346E8">
        <w:t xml:space="preserve">reflected in the </w:t>
      </w:r>
      <w:r w:rsidR="00F420D2" w:rsidRPr="003346E8">
        <w:t xml:space="preserve">trial </w:t>
      </w:r>
      <w:r w:rsidR="0011660C" w:rsidRPr="003346E8">
        <w:t>transcript</w:t>
      </w:r>
      <w:r w:rsidR="006B4A23" w:rsidRPr="003346E8">
        <w:t xml:space="preserve">. </w:t>
      </w:r>
      <w:r w:rsidR="00D00343" w:rsidRPr="003346E8">
        <w:t xml:space="preserve">Furthermore, as it transpires form the submissions of the State party, on number of occasions, the presiding judge instructed the jury not to take into account certain information and evidence. </w:t>
      </w:r>
      <w:proofErr w:type="gramStart"/>
      <w:r w:rsidR="00D00343" w:rsidRPr="003346E8">
        <w:t>The Committee notes that above arguments were left unaddressed by the author.</w:t>
      </w:r>
      <w:proofErr w:type="gramEnd"/>
      <w:r w:rsidR="00D00343" w:rsidRPr="003346E8">
        <w:t xml:space="preserve"> </w:t>
      </w:r>
      <w:r w:rsidR="006B4A23" w:rsidRPr="003346E8">
        <w:t xml:space="preserve">In light of the information available on file, the Committee considers that, in the present case, the author has failed to demonstrate that the </w:t>
      </w:r>
      <w:r w:rsidR="0011660C" w:rsidRPr="003346E8">
        <w:t xml:space="preserve">trial has indeed suffered from </w:t>
      </w:r>
      <w:r w:rsidR="006B4A23" w:rsidRPr="003346E8">
        <w:t>“bias” or “lack of equality of arms”</w:t>
      </w:r>
      <w:r w:rsidR="0011660C" w:rsidRPr="003346E8">
        <w:t xml:space="preserve"> showing </w:t>
      </w:r>
      <w:r w:rsidR="006B4A23" w:rsidRPr="003346E8">
        <w:t>arbitrariness in the evaluation of the evidence, or amount</w:t>
      </w:r>
      <w:r w:rsidR="0011660C" w:rsidRPr="003346E8">
        <w:t>ing</w:t>
      </w:r>
      <w:r w:rsidR="006B4A23" w:rsidRPr="003346E8">
        <w:t xml:space="preserve"> to a denial of justice. The Committee therefore concludes that the author’s claims under article 14 (1) and (3) (e) </w:t>
      </w:r>
      <w:r w:rsidR="0011660C" w:rsidRPr="003346E8">
        <w:t>are in</w:t>
      </w:r>
      <w:r w:rsidR="006B4A23" w:rsidRPr="003346E8">
        <w:t>sufficiently substantiated</w:t>
      </w:r>
      <w:r w:rsidR="0011660C" w:rsidRPr="003346E8">
        <w:t xml:space="preserve"> for purposes of admissibility</w:t>
      </w:r>
      <w:r w:rsidR="006B4A23" w:rsidRPr="003346E8">
        <w:t>. Accordingly, the Committee declares that part of the communication inadmissible under article </w:t>
      </w:r>
      <w:r w:rsidR="002B00D3" w:rsidRPr="003346E8">
        <w:t>2</w:t>
      </w:r>
      <w:r w:rsidR="006B4A23" w:rsidRPr="003346E8">
        <w:t xml:space="preserve"> of the Optional Protocol.</w:t>
      </w:r>
    </w:p>
    <w:p w:rsidR="006B4A23" w:rsidRPr="00683A64" w:rsidRDefault="005576A9" w:rsidP="003346E8">
      <w:pPr>
        <w:pStyle w:val="SingleTxtG"/>
      </w:pPr>
      <w:r w:rsidRPr="00683A64">
        <w:t>6</w:t>
      </w:r>
      <w:r w:rsidR="006B4A23" w:rsidRPr="00683A64">
        <w:t>.</w:t>
      </w:r>
      <w:r w:rsidR="00A870F3" w:rsidRPr="00683A64">
        <w:t>7</w:t>
      </w:r>
      <w:r w:rsidR="006B4A23" w:rsidRPr="00683A64">
        <w:tab/>
        <w:t>The Committee notes that the author has not provided any details concerning</w:t>
      </w:r>
      <w:r w:rsidR="0011660C" w:rsidRPr="00683A64">
        <w:t xml:space="preserve"> the</w:t>
      </w:r>
      <w:r w:rsidR="006B4A23" w:rsidRPr="00683A64">
        <w:t xml:space="preserve"> alleged violation of his rights under articles</w:t>
      </w:r>
      <w:r w:rsidR="00FC3832" w:rsidRPr="00683A64">
        <w:t xml:space="preserve"> 14 (3) (b) and (g) of the Covenant and finds this </w:t>
      </w:r>
      <w:r w:rsidR="00FC3832" w:rsidRPr="00683A64">
        <w:lastRenderedPageBreak/>
        <w:t>part of claim insufficiently substantiated for the purposes of admissibility</w:t>
      </w:r>
      <w:r w:rsidR="00124AFB">
        <w:t xml:space="preserve"> </w:t>
      </w:r>
      <w:r w:rsidR="00FC3832" w:rsidRPr="00683A64">
        <w:t>under article </w:t>
      </w:r>
      <w:r w:rsidR="002B00D3" w:rsidRPr="00683A64">
        <w:t>2</w:t>
      </w:r>
      <w:r w:rsidR="00FC3832" w:rsidRPr="00683A64">
        <w:t xml:space="preserve"> of the Optional Protocol.</w:t>
      </w:r>
    </w:p>
    <w:p w:rsidR="00EB5A60" w:rsidRPr="00683A64" w:rsidRDefault="005576A9" w:rsidP="003346E8">
      <w:pPr>
        <w:pStyle w:val="SingleTxtG"/>
      </w:pPr>
      <w:r w:rsidRPr="00683A64">
        <w:t>6</w:t>
      </w:r>
      <w:r w:rsidR="00EB5A60" w:rsidRPr="00683A64">
        <w:t>.</w:t>
      </w:r>
      <w:r w:rsidR="00A870F3" w:rsidRPr="00683A64">
        <w:t>8</w:t>
      </w:r>
      <w:r w:rsidR="00EB5A60" w:rsidRPr="00683A64">
        <w:tab/>
        <w:t xml:space="preserve">Concerning the author’s claim that his rights under article 14 (3) (d) were violated because he </w:t>
      </w:r>
      <w:r w:rsidR="00B11B0F" w:rsidRPr="00683A64">
        <w:t xml:space="preserve">was sentenced for </w:t>
      </w:r>
      <w:r w:rsidR="00E466B1" w:rsidRPr="00683A64">
        <w:t xml:space="preserve">giving false testimony, whereas </w:t>
      </w:r>
      <w:r w:rsidR="008F4BEF" w:rsidRPr="00683A64">
        <w:t>under article</w:t>
      </w:r>
      <w:r w:rsidR="00E466B1" w:rsidRPr="00683A64">
        <w:t xml:space="preserve"> 51 of the Constitution, a person who gives false testimon</w:t>
      </w:r>
      <w:r w:rsidR="008F4BEF" w:rsidRPr="00683A64">
        <w:t>y</w:t>
      </w:r>
      <w:r w:rsidR="00E466B1" w:rsidRPr="00683A64">
        <w:t xml:space="preserve"> when interrogated as a</w:t>
      </w:r>
      <w:r w:rsidR="008F4BEF" w:rsidRPr="00683A64">
        <w:t xml:space="preserve"> witness in a crime, cannot</w:t>
      </w:r>
      <w:r w:rsidR="00E466B1" w:rsidRPr="00683A64">
        <w:t xml:space="preserve"> be held </w:t>
      </w:r>
      <w:r w:rsidR="008F4BEF" w:rsidRPr="00683A64">
        <w:t>liable</w:t>
      </w:r>
      <w:r w:rsidR="00E466B1" w:rsidRPr="00683A64">
        <w:t xml:space="preserve"> for </w:t>
      </w:r>
      <w:r w:rsidR="008F4BEF" w:rsidRPr="00683A64">
        <w:t>giving such testimony</w:t>
      </w:r>
      <w:r w:rsidR="00E466B1" w:rsidRPr="00683A64">
        <w:t xml:space="preserve"> if he/she had participated in the crime in question. T</w:t>
      </w:r>
      <w:r w:rsidR="00EB5A60" w:rsidRPr="00683A64">
        <w:t>he Committee notes that on 19 November 2008, the Supreme Court repealed the author’s sentence under article 307 (2) of the Criminal Code</w:t>
      </w:r>
      <w:r w:rsidR="00155593" w:rsidRPr="00683A64">
        <w:t>.</w:t>
      </w:r>
      <w:r w:rsidR="00E466B1" w:rsidRPr="00683A64">
        <w:t xml:space="preserve"> In these circumstances, t</w:t>
      </w:r>
      <w:r w:rsidR="00155593" w:rsidRPr="00683A64">
        <w:t xml:space="preserve">he Committee </w:t>
      </w:r>
      <w:r w:rsidR="0000255D">
        <w:t>concludes that the author cannot claim to be a victim of a violation of article 14 (3) (d).</w:t>
      </w:r>
      <w:r w:rsidR="00124AFB">
        <w:t xml:space="preserve"> </w:t>
      </w:r>
      <w:r w:rsidR="0000255D">
        <w:t>This part of the communication is therefore</w:t>
      </w:r>
      <w:r w:rsidR="00F20CE9">
        <w:t xml:space="preserve"> </w:t>
      </w:r>
      <w:r w:rsidR="00E466B1" w:rsidRPr="00683A64">
        <w:t xml:space="preserve">inadmissible under article </w:t>
      </w:r>
      <w:r w:rsidR="0000255D">
        <w:t>1</w:t>
      </w:r>
      <w:r w:rsidR="00E466B1" w:rsidRPr="00683A64">
        <w:t xml:space="preserve"> of the Optional Protocol.</w:t>
      </w:r>
    </w:p>
    <w:p w:rsidR="00A85CF4" w:rsidRPr="00683A64" w:rsidRDefault="005576A9" w:rsidP="003346E8">
      <w:pPr>
        <w:pStyle w:val="SingleTxtG"/>
      </w:pPr>
      <w:r w:rsidRPr="00683A64">
        <w:t>6</w:t>
      </w:r>
      <w:r w:rsidR="00761652" w:rsidRPr="00683A64">
        <w:t>.9</w:t>
      </w:r>
      <w:r w:rsidR="00761652" w:rsidRPr="00683A64">
        <w:tab/>
      </w:r>
      <w:r w:rsidR="006877CE" w:rsidRPr="00683A64">
        <w:t xml:space="preserve">As to the author’s </w:t>
      </w:r>
      <w:r w:rsidR="00331B68" w:rsidRPr="00683A64">
        <w:t xml:space="preserve">remaining </w:t>
      </w:r>
      <w:r w:rsidR="006877CE" w:rsidRPr="00683A64">
        <w:t xml:space="preserve">claim </w:t>
      </w:r>
      <w:r w:rsidR="00761652" w:rsidRPr="00683A64">
        <w:t>under article 15 (1) of the Covenant regarding</w:t>
      </w:r>
      <w:r w:rsidR="006877CE" w:rsidRPr="00683A64">
        <w:t xml:space="preserve"> </w:t>
      </w:r>
      <w:r w:rsidR="00331B68" w:rsidRPr="00683A64">
        <w:t xml:space="preserve">the </w:t>
      </w:r>
      <w:r w:rsidR="006877CE" w:rsidRPr="00683A64">
        <w:t xml:space="preserve">qualification </w:t>
      </w:r>
      <w:r w:rsidR="00331B68" w:rsidRPr="00683A64">
        <w:t xml:space="preserve">by the courts </w:t>
      </w:r>
      <w:r w:rsidR="006877CE" w:rsidRPr="00683A64">
        <w:t>of his act</w:t>
      </w:r>
      <w:r w:rsidR="00331B68" w:rsidRPr="00683A64">
        <w:t>s</w:t>
      </w:r>
      <w:r w:rsidR="006877CE" w:rsidRPr="00683A64">
        <w:t xml:space="preserve"> as terrorism, the Committee </w:t>
      </w:r>
      <w:r w:rsidR="00761652" w:rsidRPr="00683A64">
        <w:t xml:space="preserve">notes </w:t>
      </w:r>
      <w:r w:rsidR="0055746C" w:rsidRPr="00683A64">
        <w:t xml:space="preserve">the argument by the State party that the domestic courts applied the old version of article 205 of the old Criminal Code since it provided for a lighter penalty comparing to the new version of this article. The Committee as well notes the Supreme Court’s Resolution No. 1 of 9 February 2012 “On Some Aspects of Judicial Practice Relating to Criminal Cases on Crimes of Terrorist Nature” and observes that that the State party’s courts should have revised the author’s sentence retroactively in accordance with the guidance set out in the Resolution. </w:t>
      </w:r>
      <w:r w:rsidR="00761652" w:rsidRPr="00683A64">
        <w:t xml:space="preserve">The Committee notes, however, that </w:t>
      </w:r>
      <w:r w:rsidR="00C12316" w:rsidRPr="00683A64">
        <w:t xml:space="preserve">since </w:t>
      </w:r>
      <w:r w:rsidR="00761652" w:rsidRPr="00683A64">
        <w:t xml:space="preserve">it is up to the </w:t>
      </w:r>
      <w:r w:rsidR="00161B80" w:rsidRPr="00683A64">
        <w:t xml:space="preserve">domestic courts </w:t>
      </w:r>
      <w:r w:rsidR="00761652" w:rsidRPr="00683A64">
        <w:t xml:space="preserve">to qualify the actions of the author under the domestic </w:t>
      </w:r>
      <w:r w:rsidR="00C12316" w:rsidRPr="00683A64">
        <w:t xml:space="preserve">law, </w:t>
      </w:r>
      <w:r w:rsidR="00761652" w:rsidRPr="00683A64">
        <w:t xml:space="preserve">it is unknown whether the penalty </w:t>
      </w:r>
      <w:r w:rsidR="00C12316" w:rsidRPr="00683A64">
        <w:t xml:space="preserve">which could have been </w:t>
      </w:r>
      <w:r w:rsidR="00761652" w:rsidRPr="00683A64">
        <w:t xml:space="preserve">applied to the author </w:t>
      </w:r>
      <w:r w:rsidR="00161B80" w:rsidRPr="00683A64">
        <w:t>after</w:t>
      </w:r>
      <w:r w:rsidR="00455B4A" w:rsidRPr="00683A64">
        <w:t xml:space="preserve"> the revision of his sentence </w:t>
      </w:r>
      <w:r w:rsidR="00161B80" w:rsidRPr="00683A64">
        <w:t xml:space="preserve">in accordance with the Resolution No. 1 </w:t>
      </w:r>
      <w:r w:rsidR="00761652" w:rsidRPr="00683A64">
        <w:t xml:space="preserve">would </w:t>
      </w:r>
      <w:r w:rsidR="00C12316" w:rsidRPr="00683A64">
        <w:t xml:space="preserve">have been </w:t>
      </w:r>
      <w:r w:rsidR="00761652" w:rsidRPr="00683A64">
        <w:t>lighter than th</w:t>
      </w:r>
      <w:r w:rsidR="00161B80" w:rsidRPr="00683A64">
        <w:t>at</w:t>
      </w:r>
      <w:r w:rsidR="00761652" w:rsidRPr="00683A64">
        <w:t xml:space="preserve"> </w:t>
      </w:r>
      <w:r w:rsidR="00C12316" w:rsidRPr="00683A64">
        <w:t>applied to him</w:t>
      </w:r>
      <w:r w:rsidR="005E5092" w:rsidRPr="00683A64">
        <w:t xml:space="preserve"> </w:t>
      </w:r>
      <w:r w:rsidR="00761652" w:rsidRPr="00683A64">
        <w:t>under article 205 of the old Criminal Code</w:t>
      </w:r>
      <w:r w:rsidR="00B3692D" w:rsidRPr="00683A64">
        <w:t xml:space="preserve"> in force when the crimes were committed</w:t>
      </w:r>
      <w:r w:rsidR="00C12316" w:rsidRPr="00683A64">
        <w:t>.</w:t>
      </w:r>
      <w:r w:rsidR="00761652" w:rsidRPr="00683A64">
        <w:t xml:space="preserve"> </w:t>
      </w:r>
      <w:r w:rsidR="00C12316" w:rsidRPr="00683A64">
        <w:t>In this light</w:t>
      </w:r>
      <w:r w:rsidR="00B3692D" w:rsidRPr="00683A64">
        <w:t>,</w:t>
      </w:r>
      <w:r w:rsidR="00C12316" w:rsidRPr="00683A64">
        <w:t xml:space="preserve"> </w:t>
      </w:r>
      <w:r w:rsidR="00761652" w:rsidRPr="00683A64">
        <w:t xml:space="preserve">the </w:t>
      </w:r>
      <w:r w:rsidR="00161B80" w:rsidRPr="00683A64">
        <w:t xml:space="preserve">Committee considers that the author failed to sufficiently substantiate </w:t>
      </w:r>
      <w:r w:rsidR="00AE062A" w:rsidRPr="00683A64">
        <w:t xml:space="preserve">his claim </w:t>
      </w:r>
      <w:r w:rsidR="00161B80" w:rsidRPr="00683A64">
        <w:t xml:space="preserve">that </w:t>
      </w:r>
      <w:r w:rsidR="00B3692D" w:rsidRPr="00683A64">
        <w:t xml:space="preserve">his rights under </w:t>
      </w:r>
      <w:r w:rsidR="00761652" w:rsidRPr="00683A64">
        <w:t>article 15 (1)</w:t>
      </w:r>
      <w:r w:rsidR="00455B4A" w:rsidRPr="00683A64">
        <w:t xml:space="preserve"> of the Covenant</w:t>
      </w:r>
      <w:r w:rsidR="00B3692D" w:rsidRPr="00683A64">
        <w:t xml:space="preserve"> have been violated</w:t>
      </w:r>
      <w:r w:rsidR="00761652" w:rsidRPr="00683A64">
        <w:t xml:space="preserve">. </w:t>
      </w:r>
      <w:r w:rsidR="007E6F3E" w:rsidRPr="00683A64">
        <w:t>T</w:t>
      </w:r>
      <w:r w:rsidR="00F13F55" w:rsidRPr="00683A64">
        <w:t>he Committee</w:t>
      </w:r>
      <w:r w:rsidR="007E6F3E" w:rsidRPr="00683A64">
        <w:t xml:space="preserve"> thus</w:t>
      </w:r>
      <w:r w:rsidR="00F13F55" w:rsidRPr="00683A64">
        <w:t xml:space="preserve"> find</w:t>
      </w:r>
      <w:r w:rsidR="00455B4A" w:rsidRPr="00683A64">
        <w:t>s</w:t>
      </w:r>
      <w:r w:rsidR="005E5092" w:rsidRPr="00683A64">
        <w:t xml:space="preserve"> this part of complaint</w:t>
      </w:r>
      <w:r w:rsidR="00F13F55" w:rsidRPr="00683A64">
        <w:t xml:space="preserve"> inadmissible under article </w:t>
      </w:r>
      <w:r w:rsidR="00455B4A" w:rsidRPr="00683A64">
        <w:t>2</w:t>
      </w:r>
      <w:r w:rsidR="00F13F55" w:rsidRPr="00683A64">
        <w:t xml:space="preserve"> of the Optional Protocol.</w:t>
      </w:r>
    </w:p>
    <w:p w:rsidR="009E6732" w:rsidRPr="009E6732" w:rsidRDefault="00683A64" w:rsidP="009E6732">
      <w:pPr>
        <w:pStyle w:val="SingleTxtG"/>
      </w:pPr>
      <w:r w:rsidRPr="00683A64">
        <w:t>6.10</w:t>
      </w:r>
      <w:r w:rsidR="009E6732">
        <w:rPr>
          <w:lang w:val="en-US"/>
        </w:rPr>
        <w:tab/>
      </w:r>
      <w:r w:rsidR="009E6732" w:rsidRPr="009E6732">
        <w:t xml:space="preserve">As regard the allegations of the author that the supervisory instance court worsened his situation by increasing the term in prison, compared to the terms imposed by the first instance court, the Committee notes that this part of the claim raises issue under article 14, paragraph 1 of the Covenant. The Committee recalls that “the concept of a fair hearing in the context of article 14 (1) of the Covenant should be interpreted as requiring a number of conditions, such as equality of arms, respect for the principle of adversary proceedings, preclusion of ex officio </w:t>
      </w:r>
      <w:proofErr w:type="spellStart"/>
      <w:r w:rsidR="009E6732" w:rsidRPr="009E6732">
        <w:t>reformatio</w:t>
      </w:r>
      <w:proofErr w:type="spellEnd"/>
      <w:r w:rsidR="009E6732" w:rsidRPr="009E6732">
        <w:t xml:space="preserve"> in </w:t>
      </w:r>
      <w:proofErr w:type="spellStart"/>
      <w:r w:rsidR="009E6732" w:rsidRPr="009E6732">
        <w:t>pejus</w:t>
      </w:r>
      <w:proofErr w:type="spellEnd"/>
      <w:r w:rsidR="009E6732" w:rsidRPr="009E6732">
        <w:t>,</w:t>
      </w:r>
      <w:r w:rsidR="009E6732">
        <w:rPr>
          <w:rStyle w:val="FootnoteReference"/>
        </w:rPr>
        <w:footnoteReference w:id="9"/>
      </w:r>
      <w:hyperlink r:id="rId10" w:anchor="*" w:history="1">
        <w:r w:rsidR="009E6732" w:rsidRPr="009E6732">
          <w:t> </w:t>
        </w:r>
      </w:hyperlink>
      <w:r w:rsidR="009E6732" w:rsidRPr="009E6732">
        <w:t>and expeditious procedure. The facts of the case should accordingly be tested against those criteria.</w:t>
      </w:r>
      <w:r w:rsidR="009E6732">
        <w:t xml:space="preserve"> </w:t>
      </w:r>
      <w:r w:rsidR="009E6732" w:rsidRPr="009E6732">
        <w:t xml:space="preserve">The Committee notes that this claim concerns interpretation of domestic legislation and the method applied for calculating the sentence in case of multiple charges. The Committee also notes the submission of the author that the Court repealed the author’s sentence under article 307 (2) of the Criminal Code and at the same time increased the original terms in prison set by the first instance court under articles 306 (3), 167 (2) and 222 (1) of the Code and thus imposed more severe penalty. The Committee notes however that in principle it is up to the courts of States parties to </w:t>
      </w:r>
      <w:r w:rsidR="000419AB">
        <w:t xml:space="preserve">interpret </w:t>
      </w:r>
      <w:r w:rsidR="009E6732" w:rsidRPr="009E6732">
        <w:t xml:space="preserve">domestic legislation, unless it is clearly arbitrary or amounts to a denial of justice. </w:t>
      </w:r>
      <w:r w:rsidR="000419AB">
        <w:t>From the materials on the file t</w:t>
      </w:r>
      <w:r w:rsidR="000419AB" w:rsidRPr="009E6732">
        <w:t xml:space="preserve">he </w:t>
      </w:r>
      <w:r w:rsidR="009E6732" w:rsidRPr="009E6732">
        <w:t xml:space="preserve">Committee </w:t>
      </w:r>
      <w:r w:rsidR="000419AB">
        <w:t xml:space="preserve">cannot conclude </w:t>
      </w:r>
      <w:r w:rsidR="009E6732" w:rsidRPr="009E6732">
        <w:t xml:space="preserve">that the calculation of the prison term by the </w:t>
      </w:r>
      <w:r w:rsidR="008C20BA">
        <w:t>Supreme Court</w:t>
      </w:r>
      <w:r w:rsidR="009E6732" w:rsidRPr="009E6732">
        <w:t xml:space="preserve"> was arbitrary, </w:t>
      </w:r>
      <w:r w:rsidR="000419AB">
        <w:t xml:space="preserve">or </w:t>
      </w:r>
      <w:r w:rsidR="009E6732" w:rsidRPr="009E6732">
        <w:t xml:space="preserve">result of the </w:t>
      </w:r>
      <w:r w:rsidR="000419AB">
        <w:t>im</w:t>
      </w:r>
      <w:r w:rsidR="009E6732" w:rsidRPr="009E6732">
        <w:t xml:space="preserve">proper application of the law or amounted to denial of justice. </w:t>
      </w:r>
      <w:r w:rsidR="00EF7920" w:rsidRPr="009E6732">
        <w:t>The</w:t>
      </w:r>
      <w:r w:rsidR="009E6732" w:rsidRPr="009E6732">
        <w:t xml:space="preserve"> Committee can</w:t>
      </w:r>
      <w:r w:rsidR="000419AB">
        <w:t xml:space="preserve"> neither </w:t>
      </w:r>
      <w:r w:rsidR="009E6732" w:rsidRPr="009E6732">
        <w:t xml:space="preserve">conclude that the </w:t>
      </w:r>
      <w:r w:rsidR="00E36F4B" w:rsidRPr="00EF7920">
        <w:t xml:space="preserve">sentence </w:t>
      </w:r>
      <w:r w:rsidR="00E36F4B" w:rsidRPr="00C749FF">
        <w:t xml:space="preserve">imposed </w:t>
      </w:r>
      <w:r w:rsidR="00E36F4B">
        <w:t xml:space="preserve">by the Supreme Court </w:t>
      </w:r>
      <w:r w:rsidR="00E36F4B" w:rsidRPr="00EF7920">
        <w:t>was more severe</w:t>
      </w:r>
      <w:r w:rsidR="00E36F4B">
        <w:t xml:space="preserve"> in comparison </w:t>
      </w:r>
      <w:r w:rsidR="008C20BA">
        <w:t>to</w:t>
      </w:r>
      <w:r w:rsidR="00E36F4B">
        <w:t xml:space="preserve"> the original sentence imposed </w:t>
      </w:r>
      <w:r w:rsidR="000419AB">
        <w:t>on</w:t>
      </w:r>
      <w:r w:rsidR="00E36F4B">
        <w:t xml:space="preserve"> the author</w:t>
      </w:r>
      <w:r w:rsidR="00EF7920">
        <w:t>,</w:t>
      </w:r>
      <w:r w:rsidR="00EF7920" w:rsidRPr="00EF7920">
        <w:t xml:space="preserve"> </w:t>
      </w:r>
      <w:r w:rsidR="00EF7920" w:rsidRPr="009E6732">
        <w:t>or</w:t>
      </w:r>
      <w:r w:rsidR="000419AB">
        <w:t xml:space="preserve"> </w:t>
      </w:r>
      <w:r w:rsidR="009E6732" w:rsidRPr="009E6732">
        <w:t>that the principle</w:t>
      </w:r>
      <w:r w:rsidR="000419AB">
        <w:t>s</w:t>
      </w:r>
      <w:r w:rsidR="009E6732" w:rsidRPr="009E6732">
        <w:t xml:space="preserve"> of adversary proceedings </w:t>
      </w:r>
      <w:r w:rsidR="008C20BA">
        <w:t>or that</w:t>
      </w:r>
      <w:r w:rsidR="000419AB">
        <w:t xml:space="preserve"> of</w:t>
      </w:r>
      <w:r w:rsidR="008C20BA">
        <w:t xml:space="preserve"> </w:t>
      </w:r>
      <w:r w:rsidR="009E6732" w:rsidRPr="009E6732">
        <w:lastRenderedPageBreak/>
        <w:t xml:space="preserve">preclusion of ex officio </w:t>
      </w:r>
      <w:proofErr w:type="spellStart"/>
      <w:r w:rsidR="009E6732" w:rsidRPr="009E6732">
        <w:t>reformatio</w:t>
      </w:r>
      <w:proofErr w:type="spellEnd"/>
      <w:r w:rsidR="009E6732" w:rsidRPr="009E6732">
        <w:t xml:space="preserve"> in </w:t>
      </w:r>
      <w:proofErr w:type="spellStart"/>
      <w:r w:rsidR="009E6732" w:rsidRPr="009E6732">
        <w:t>pejus</w:t>
      </w:r>
      <w:proofErr w:type="spellEnd"/>
      <w:r w:rsidR="009E6732" w:rsidRPr="009E6732">
        <w:t xml:space="preserve"> were ignored. The Committee therefore finds this part of the author’s claim being insufficiently substantiated and inadmissible under article 2 of the Optional Protocol. </w:t>
      </w:r>
    </w:p>
    <w:p w:rsidR="009E6732" w:rsidRDefault="009E6732" w:rsidP="009E6732">
      <w:pPr>
        <w:pStyle w:val="SingleTxtG"/>
        <w:rPr>
          <w:lang w:val="en-US"/>
        </w:rPr>
      </w:pPr>
      <w:r>
        <w:t>7.</w:t>
      </w:r>
      <w:r>
        <w:tab/>
        <w:t>The Human Rights Committee therefore decides:</w:t>
      </w:r>
    </w:p>
    <w:p w:rsidR="009E6732" w:rsidRPr="00884354" w:rsidRDefault="009E6732" w:rsidP="009E6732">
      <w:pPr>
        <w:pStyle w:val="SingleTxtG"/>
      </w:pPr>
      <w:r>
        <w:rPr>
          <w:lang w:val="en-US"/>
        </w:rPr>
        <w:tab/>
      </w:r>
      <w:r>
        <w:t>(a)</w:t>
      </w:r>
      <w:r>
        <w:tab/>
        <w:t xml:space="preserve">That the communication is inadmissible under articles </w:t>
      </w:r>
      <w:r w:rsidR="00546049">
        <w:t xml:space="preserve">1, </w:t>
      </w:r>
      <w:r>
        <w:t>2, and 5 of the Optional Protocol;</w:t>
      </w:r>
    </w:p>
    <w:p w:rsidR="003346E8" w:rsidRPr="00884354" w:rsidRDefault="009E6732" w:rsidP="003346E8">
      <w:pPr>
        <w:pStyle w:val="SingleTxtG"/>
        <w:rPr>
          <w:u w:val="single"/>
        </w:rPr>
      </w:pPr>
      <w:r w:rsidRPr="00884354">
        <w:tab/>
      </w:r>
      <w:r>
        <w:t>(b)</w:t>
      </w:r>
      <w:r>
        <w:tab/>
        <w:t xml:space="preserve">That </w:t>
      </w:r>
      <w:r>
        <w:rPr>
          <w:lang w:val="en-US"/>
        </w:rPr>
        <w:t>this decision shall</w:t>
      </w:r>
      <w:r>
        <w:t xml:space="preserve"> be transmitted to the State party and to the author</w:t>
      </w:r>
      <w:r>
        <w:rPr>
          <w:lang w:val="en-US"/>
        </w:rPr>
        <w:t xml:space="preserve"> of the communication</w:t>
      </w:r>
      <w:r>
        <w:t>.</w:t>
      </w:r>
    </w:p>
    <w:p w:rsidR="003346E8" w:rsidRPr="00884354" w:rsidRDefault="003346E8" w:rsidP="003346E8">
      <w:pPr>
        <w:pStyle w:val="SingleTxtG"/>
        <w:spacing w:before="240" w:after="0"/>
        <w:jc w:val="center"/>
        <w:rPr>
          <w:u w:val="single"/>
        </w:rPr>
      </w:pPr>
      <w:r w:rsidRPr="00884354">
        <w:rPr>
          <w:u w:val="single"/>
        </w:rPr>
        <w:tab/>
      </w:r>
      <w:r w:rsidRPr="00884354">
        <w:rPr>
          <w:u w:val="single"/>
        </w:rPr>
        <w:tab/>
      </w:r>
      <w:r w:rsidRPr="00884354">
        <w:rPr>
          <w:u w:val="single"/>
        </w:rPr>
        <w:tab/>
      </w:r>
    </w:p>
    <w:sectPr w:rsidR="003346E8" w:rsidRPr="00884354" w:rsidSect="00A360C5">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4CD" w:rsidRDefault="00CF24CD"/>
  </w:endnote>
  <w:endnote w:type="continuationSeparator" w:id="0">
    <w:p w:rsidR="00CF24CD" w:rsidRDefault="00CF24CD"/>
  </w:endnote>
  <w:endnote w:type="continuationNotice" w:id="1">
    <w:p w:rsidR="00CF24CD" w:rsidRDefault="00CF24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Barcode 3 of 9 by request">
    <w:altName w:val="Tw Cen MT Condensed Extra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457" w:rsidRPr="00781C83" w:rsidRDefault="00472457" w:rsidP="00781C83">
    <w:pPr>
      <w:pStyle w:val="Footer"/>
      <w:tabs>
        <w:tab w:val="right" w:pos="9638"/>
      </w:tabs>
    </w:pPr>
    <w:r w:rsidRPr="00781C83">
      <w:rPr>
        <w:b/>
        <w:sz w:val="18"/>
      </w:rPr>
      <w:fldChar w:fldCharType="begin"/>
    </w:r>
    <w:r w:rsidRPr="00781C83">
      <w:rPr>
        <w:b/>
        <w:sz w:val="18"/>
      </w:rPr>
      <w:instrText xml:space="preserve"> PAGE  \* MERGEFORMAT </w:instrText>
    </w:r>
    <w:r w:rsidRPr="00781C83">
      <w:rPr>
        <w:b/>
        <w:sz w:val="18"/>
      </w:rPr>
      <w:fldChar w:fldCharType="separate"/>
    </w:r>
    <w:r w:rsidR="005A431A">
      <w:rPr>
        <w:b/>
        <w:noProof/>
        <w:sz w:val="18"/>
      </w:rPr>
      <w:t>8</w:t>
    </w:r>
    <w:r w:rsidRPr="00781C8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457" w:rsidRPr="00781C83" w:rsidRDefault="00472457" w:rsidP="00781C83">
    <w:pPr>
      <w:pStyle w:val="Footer"/>
      <w:tabs>
        <w:tab w:val="right" w:pos="9638"/>
      </w:tabs>
      <w:rPr>
        <w:sz w:val="18"/>
      </w:rPr>
    </w:pPr>
    <w:r>
      <w:rPr>
        <w:b/>
        <w:sz w:val="18"/>
      </w:rPr>
      <w:tab/>
    </w:r>
    <w:r w:rsidRPr="00781C83">
      <w:rPr>
        <w:sz w:val="18"/>
      </w:rPr>
      <w:fldChar w:fldCharType="begin"/>
    </w:r>
    <w:r w:rsidRPr="00781C83">
      <w:rPr>
        <w:sz w:val="18"/>
      </w:rPr>
      <w:instrText xml:space="preserve"> PAGE  \* MERGEFORMAT </w:instrText>
    </w:r>
    <w:r w:rsidRPr="00781C83">
      <w:rPr>
        <w:sz w:val="18"/>
      </w:rPr>
      <w:fldChar w:fldCharType="separate"/>
    </w:r>
    <w:r w:rsidR="005A431A">
      <w:rPr>
        <w:noProof/>
        <w:sz w:val="18"/>
      </w:rPr>
      <w:t>9</w:t>
    </w:r>
    <w:r w:rsidRPr="00781C83">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8"/>
      <w:gridCol w:w="4587"/>
    </w:tblGrid>
    <w:tr w:rsidR="00A360C5" w:rsidTr="00C8387C">
      <w:tc>
        <w:tcPr>
          <w:tcW w:w="3758" w:type="dxa"/>
          <w:shd w:val="clear" w:color="auto" w:fill="auto"/>
        </w:tcPr>
        <w:p w:rsidR="00A360C5" w:rsidRPr="00A360C5" w:rsidRDefault="00A360C5" w:rsidP="005A431A">
          <w:pPr>
            <w:pStyle w:val="Footer"/>
            <w:rPr>
              <w:rFonts w:ascii="Barcode 3 of 9 by request" w:hAnsi="Barcode 3 of 9 by request"/>
              <w:sz w:val="24"/>
            </w:rPr>
          </w:pPr>
          <w:r>
            <w:rPr>
              <w:sz w:val="20"/>
            </w:rPr>
            <w:t>GE.16-</w:t>
          </w:r>
        </w:p>
      </w:tc>
      <w:tc>
        <w:tcPr>
          <w:tcW w:w="4587" w:type="dxa"/>
          <w:shd w:val="clear" w:color="auto" w:fill="auto"/>
        </w:tcPr>
        <w:p w:rsidR="00A360C5" w:rsidRDefault="00A360C5" w:rsidP="00A360C5">
          <w:pPr>
            <w:pStyle w:val="Footer"/>
            <w:spacing w:line="240" w:lineRule="atLeast"/>
            <w:jc w:val="right"/>
            <w:rPr>
              <w:sz w:val="20"/>
            </w:rPr>
          </w:pPr>
          <w:r>
            <w:rPr>
              <w:noProof/>
              <w:sz w:val="20"/>
              <w:lang w:eastAsia="en-GB"/>
            </w:rPr>
            <w:drawing>
              <wp:inline distT="0" distB="0" distL="0" distR="0" wp14:anchorId="4F26941B" wp14:editId="160CA814">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29642" cy="231648"/>
                        </a:xfrm>
                        <a:prstGeom prst="rect">
                          <a:avLst/>
                        </a:prstGeom>
                      </pic:spPr>
                    </pic:pic>
                  </a:graphicData>
                </a:graphic>
              </wp:inline>
            </w:drawing>
          </w:r>
        </w:p>
      </w:tc>
    </w:tr>
  </w:tbl>
  <w:p w:rsidR="00A360C5" w:rsidRPr="00A360C5" w:rsidRDefault="00A360C5" w:rsidP="00A360C5">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4CD" w:rsidRPr="000B175B" w:rsidRDefault="00CF24CD" w:rsidP="000B175B">
      <w:pPr>
        <w:tabs>
          <w:tab w:val="right" w:pos="2155"/>
        </w:tabs>
        <w:spacing w:after="80"/>
        <w:ind w:left="680"/>
        <w:rPr>
          <w:u w:val="single"/>
        </w:rPr>
      </w:pPr>
      <w:r>
        <w:rPr>
          <w:u w:val="single"/>
        </w:rPr>
        <w:tab/>
      </w:r>
    </w:p>
  </w:footnote>
  <w:footnote w:type="continuationSeparator" w:id="0">
    <w:p w:rsidR="00CF24CD" w:rsidRPr="00FC68B7" w:rsidRDefault="00CF24CD" w:rsidP="00FC68B7">
      <w:pPr>
        <w:tabs>
          <w:tab w:val="left" w:pos="2155"/>
        </w:tabs>
        <w:spacing w:after="80"/>
        <w:ind w:left="680"/>
        <w:rPr>
          <w:u w:val="single"/>
        </w:rPr>
      </w:pPr>
      <w:r>
        <w:rPr>
          <w:u w:val="single"/>
        </w:rPr>
        <w:tab/>
      </w:r>
    </w:p>
  </w:footnote>
  <w:footnote w:type="continuationNotice" w:id="1">
    <w:p w:rsidR="00CF24CD" w:rsidRDefault="00CF24CD"/>
  </w:footnote>
  <w:footnote w:id="2">
    <w:p w:rsidR="00F20CE9" w:rsidRPr="00F43038" w:rsidRDefault="00F20CE9" w:rsidP="00F20CE9">
      <w:pPr>
        <w:pStyle w:val="FootnoteText"/>
        <w:rPr>
          <w:lang w:val="fr-CH"/>
        </w:rPr>
      </w:pPr>
      <w:r>
        <w:rPr>
          <w:rStyle w:val="FootnoteReference"/>
        </w:rPr>
        <w:tab/>
      </w:r>
      <w:r w:rsidRPr="009E4187">
        <w:rPr>
          <w:rStyle w:val="FootnoteReference"/>
        </w:rPr>
        <w:t>*</w:t>
      </w:r>
      <w:r>
        <w:rPr>
          <w:rStyle w:val="FootnoteReference"/>
        </w:rPr>
        <w:tab/>
      </w:r>
      <w:proofErr w:type="gramStart"/>
      <w:r>
        <w:t xml:space="preserve">Adopted by the Committee </w:t>
      </w:r>
      <w:r w:rsidRPr="009E4187">
        <w:t xml:space="preserve">at its </w:t>
      </w:r>
      <w:r w:rsidRPr="009E4187">
        <w:rPr>
          <w:lang w:val="fr-CH"/>
        </w:rPr>
        <w:t>116th</w:t>
      </w:r>
      <w:r w:rsidRPr="009E4187">
        <w:t xml:space="preserve"> session (</w:t>
      </w:r>
      <w:r w:rsidRPr="009E4187">
        <w:rPr>
          <w:lang w:val="fr-CH"/>
        </w:rPr>
        <w:t>7-31 March 2016</w:t>
      </w:r>
      <w:r w:rsidRPr="009E4187">
        <w:t>).</w:t>
      </w:r>
      <w:proofErr w:type="gramEnd"/>
    </w:p>
  </w:footnote>
  <w:footnote w:id="3">
    <w:p w:rsidR="00F20CE9" w:rsidRPr="00F43038" w:rsidRDefault="00F20CE9" w:rsidP="00F20CE9">
      <w:pPr>
        <w:pStyle w:val="FootnoteText"/>
        <w:rPr>
          <w:lang w:val="fr-CH"/>
        </w:rPr>
      </w:pPr>
      <w:r>
        <w:rPr>
          <w:rStyle w:val="FootnoteReference"/>
        </w:rPr>
        <w:tab/>
      </w:r>
      <w:r w:rsidRPr="00F43038">
        <w:rPr>
          <w:rStyle w:val="FootnoteReference"/>
        </w:rPr>
        <w:t>**</w:t>
      </w:r>
      <w:r>
        <w:rPr>
          <w:lang w:val="fr-CH"/>
        </w:rPr>
        <w:tab/>
      </w:r>
      <w:r>
        <w:t>The following members of the Committee participated in the examination of the communication:</w:t>
      </w:r>
      <w:r w:rsidRPr="00465BDB">
        <w:t xml:space="preserve"> </w:t>
      </w:r>
      <w:proofErr w:type="spellStart"/>
      <w:r w:rsidRPr="00C455EA">
        <w:rPr>
          <w:szCs w:val="18"/>
        </w:rPr>
        <w:t>Yadh</w:t>
      </w:r>
      <w:proofErr w:type="spellEnd"/>
      <w:r w:rsidRPr="00C455EA">
        <w:rPr>
          <w:szCs w:val="18"/>
        </w:rPr>
        <w:t xml:space="preserve"> </w:t>
      </w:r>
      <w:r>
        <w:rPr>
          <w:szCs w:val="18"/>
        </w:rPr>
        <w:t xml:space="preserve">Ben </w:t>
      </w:r>
      <w:proofErr w:type="spellStart"/>
      <w:r>
        <w:rPr>
          <w:szCs w:val="18"/>
        </w:rPr>
        <w:t>Achour</w:t>
      </w:r>
      <w:proofErr w:type="spellEnd"/>
      <w:r>
        <w:rPr>
          <w:szCs w:val="18"/>
        </w:rPr>
        <w:t xml:space="preserve">, </w:t>
      </w:r>
      <w:proofErr w:type="spellStart"/>
      <w:r w:rsidRPr="00C455EA">
        <w:rPr>
          <w:szCs w:val="18"/>
        </w:rPr>
        <w:t>Lazhari</w:t>
      </w:r>
      <w:proofErr w:type="spellEnd"/>
      <w:r w:rsidRPr="00C455EA">
        <w:rPr>
          <w:szCs w:val="18"/>
        </w:rPr>
        <w:t xml:space="preserve"> </w:t>
      </w:r>
      <w:proofErr w:type="spellStart"/>
      <w:r w:rsidRPr="00C455EA">
        <w:rPr>
          <w:szCs w:val="18"/>
        </w:rPr>
        <w:t>Bouzid</w:t>
      </w:r>
      <w:proofErr w:type="spellEnd"/>
      <w:r>
        <w:rPr>
          <w:szCs w:val="18"/>
        </w:rPr>
        <w:t xml:space="preserve">, </w:t>
      </w:r>
      <w:r w:rsidRPr="00C455EA">
        <w:rPr>
          <w:szCs w:val="18"/>
        </w:rPr>
        <w:t>Sarah Cleveland</w:t>
      </w:r>
      <w:r>
        <w:rPr>
          <w:szCs w:val="18"/>
        </w:rPr>
        <w:t xml:space="preserve">, Olivier de </w:t>
      </w:r>
      <w:proofErr w:type="spellStart"/>
      <w:r>
        <w:rPr>
          <w:szCs w:val="18"/>
        </w:rPr>
        <w:t>Frouville</w:t>
      </w:r>
      <w:proofErr w:type="spellEnd"/>
      <w:r>
        <w:rPr>
          <w:szCs w:val="18"/>
        </w:rPr>
        <w:t xml:space="preserve">, </w:t>
      </w:r>
      <w:r w:rsidRPr="00C455EA">
        <w:rPr>
          <w:szCs w:val="18"/>
        </w:rPr>
        <w:t xml:space="preserve">Ahmed Amin </w:t>
      </w:r>
      <w:proofErr w:type="spellStart"/>
      <w:r w:rsidRPr="00C455EA">
        <w:rPr>
          <w:szCs w:val="18"/>
        </w:rPr>
        <w:t>Fathalla</w:t>
      </w:r>
      <w:proofErr w:type="spellEnd"/>
      <w:r>
        <w:rPr>
          <w:szCs w:val="18"/>
        </w:rPr>
        <w:t xml:space="preserve">, </w:t>
      </w:r>
      <w:r w:rsidRPr="00C455EA">
        <w:rPr>
          <w:szCs w:val="18"/>
        </w:rPr>
        <w:t xml:space="preserve">Yuji </w:t>
      </w:r>
      <w:proofErr w:type="spellStart"/>
      <w:r w:rsidRPr="00C455EA">
        <w:rPr>
          <w:szCs w:val="18"/>
        </w:rPr>
        <w:t>Iwasawa</w:t>
      </w:r>
      <w:proofErr w:type="spellEnd"/>
      <w:r>
        <w:rPr>
          <w:szCs w:val="18"/>
        </w:rPr>
        <w:t xml:space="preserve">, Ivana </w:t>
      </w:r>
      <w:proofErr w:type="spellStart"/>
      <w:r>
        <w:rPr>
          <w:szCs w:val="18"/>
        </w:rPr>
        <w:t>Jelic</w:t>
      </w:r>
      <w:proofErr w:type="spellEnd"/>
      <w:r>
        <w:rPr>
          <w:szCs w:val="18"/>
        </w:rPr>
        <w:t xml:space="preserve">, </w:t>
      </w:r>
      <w:r w:rsidRPr="00C455EA">
        <w:rPr>
          <w:szCs w:val="18"/>
        </w:rPr>
        <w:t xml:space="preserve">Duncan </w:t>
      </w:r>
      <w:proofErr w:type="spellStart"/>
      <w:r w:rsidRPr="00C455EA">
        <w:rPr>
          <w:szCs w:val="18"/>
        </w:rPr>
        <w:t>Muhumuza</w:t>
      </w:r>
      <w:proofErr w:type="spellEnd"/>
      <w:r w:rsidRPr="00C455EA">
        <w:rPr>
          <w:szCs w:val="18"/>
        </w:rPr>
        <w:t xml:space="preserve"> </w:t>
      </w:r>
      <w:proofErr w:type="spellStart"/>
      <w:r w:rsidRPr="00C455EA">
        <w:rPr>
          <w:szCs w:val="18"/>
        </w:rPr>
        <w:t>Laki</w:t>
      </w:r>
      <w:proofErr w:type="spellEnd"/>
      <w:r>
        <w:rPr>
          <w:szCs w:val="18"/>
        </w:rPr>
        <w:t xml:space="preserve">, </w:t>
      </w:r>
      <w:proofErr w:type="spellStart"/>
      <w:r w:rsidRPr="00C455EA">
        <w:rPr>
          <w:szCs w:val="18"/>
        </w:rPr>
        <w:t>Photini</w:t>
      </w:r>
      <w:proofErr w:type="spellEnd"/>
      <w:r w:rsidRPr="00C455EA">
        <w:rPr>
          <w:szCs w:val="18"/>
        </w:rPr>
        <w:t xml:space="preserve"> </w:t>
      </w:r>
      <w:proofErr w:type="spellStart"/>
      <w:r w:rsidRPr="00C455EA">
        <w:rPr>
          <w:szCs w:val="18"/>
        </w:rPr>
        <w:t>Pazartzis</w:t>
      </w:r>
      <w:proofErr w:type="spellEnd"/>
      <w:r>
        <w:rPr>
          <w:szCs w:val="18"/>
        </w:rPr>
        <w:t xml:space="preserve">, </w:t>
      </w:r>
      <w:r>
        <w:rPr>
          <w:bCs/>
          <w:szCs w:val="18"/>
        </w:rPr>
        <w:t>Sir</w:t>
      </w:r>
      <w:r>
        <w:rPr>
          <w:szCs w:val="18"/>
        </w:rPr>
        <w:t xml:space="preserve"> Nigel </w:t>
      </w:r>
      <w:proofErr w:type="spellStart"/>
      <w:r>
        <w:rPr>
          <w:szCs w:val="18"/>
        </w:rPr>
        <w:t>Rodley</w:t>
      </w:r>
      <w:proofErr w:type="spellEnd"/>
      <w:r>
        <w:rPr>
          <w:szCs w:val="18"/>
        </w:rPr>
        <w:t xml:space="preserve">, </w:t>
      </w:r>
      <w:r w:rsidRPr="00C455EA">
        <w:rPr>
          <w:szCs w:val="18"/>
        </w:rPr>
        <w:t>Victor Manuel Rodríguez-</w:t>
      </w:r>
      <w:proofErr w:type="spellStart"/>
      <w:r w:rsidRPr="00C455EA">
        <w:rPr>
          <w:szCs w:val="18"/>
        </w:rPr>
        <w:t>Rescia</w:t>
      </w:r>
      <w:proofErr w:type="spellEnd"/>
      <w:r>
        <w:rPr>
          <w:szCs w:val="18"/>
        </w:rPr>
        <w:t xml:space="preserve">, </w:t>
      </w:r>
      <w:proofErr w:type="spellStart"/>
      <w:r w:rsidRPr="00C455EA">
        <w:rPr>
          <w:szCs w:val="18"/>
        </w:rPr>
        <w:t>Fabián</w:t>
      </w:r>
      <w:proofErr w:type="spellEnd"/>
      <w:r w:rsidRPr="00C455EA">
        <w:rPr>
          <w:szCs w:val="18"/>
        </w:rPr>
        <w:t xml:space="preserve"> Omar </w:t>
      </w:r>
      <w:proofErr w:type="spellStart"/>
      <w:r w:rsidRPr="00C455EA">
        <w:rPr>
          <w:szCs w:val="18"/>
        </w:rPr>
        <w:t>Salvioli</w:t>
      </w:r>
      <w:proofErr w:type="spellEnd"/>
      <w:r>
        <w:rPr>
          <w:szCs w:val="18"/>
        </w:rPr>
        <w:t xml:space="preserve">, </w:t>
      </w:r>
      <w:proofErr w:type="spellStart"/>
      <w:r w:rsidRPr="00C455EA">
        <w:rPr>
          <w:szCs w:val="18"/>
        </w:rPr>
        <w:t>Dheerujlall</w:t>
      </w:r>
      <w:proofErr w:type="spellEnd"/>
      <w:r w:rsidRPr="00C455EA">
        <w:rPr>
          <w:szCs w:val="18"/>
        </w:rPr>
        <w:t xml:space="preserve"> </w:t>
      </w:r>
      <w:proofErr w:type="spellStart"/>
      <w:r w:rsidRPr="00C455EA">
        <w:rPr>
          <w:szCs w:val="18"/>
        </w:rPr>
        <w:t>Seetulsingh</w:t>
      </w:r>
      <w:proofErr w:type="spellEnd"/>
      <w:r>
        <w:rPr>
          <w:szCs w:val="18"/>
        </w:rPr>
        <w:t xml:space="preserve">, </w:t>
      </w:r>
      <w:proofErr w:type="spellStart"/>
      <w:r w:rsidRPr="00C455EA">
        <w:rPr>
          <w:szCs w:val="18"/>
        </w:rPr>
        <w:t>Anja</w:t>
      </w:r>
      <w:proofErr w:type="spellEnd"/>
      <w:r w:rsidRPr="00C455EA">
        <w:rPr>
          <w:szCs w:val="18"/>
        </w:rPr>
        <w:t xml:space="preserve"> Seibert-</w:t>
      </w:r>
      <w:proofErr w:type="spellStart"/>
      <w:r w:rsidRPr="00C455EA">
        <w:rPr>
          <w:szCs w:val="18"/>
        </w:rPr>
        <w:t>Fohr</w:t>
      </w:r>
      <w:proofErr w:type="spellEnd"/>
      <w:r>
        <w:rPr>
          <w:szCs w:val="18"/>
        </w:rPr>
        <w:t xml:space="preserve">, </w:t>
      </w:r>
      <w:r w:rsidRPr="00C455EA">
        <w:rPr>
          <w:szCs w:val="18"/>
        </w:rPr>
        <w:t xml:space="preserve">Yuval </w:t>
      </w:r>
      <w:proofErr w:type="spellStart"/>
      <w:r w:rsidRPr="00C455EA">
        <w:rPr>
          <w:szCs w:val="18"/>
        </w:rPr>
        <w:t>Shany</w:t>
      </w:r>
      <w:proofErr w:type="spellEnd"/>
      <w:r>
        <w:rPr>
          <w:szCs w:val="18"/>
        </w:rPr>
        <w:t xml:space="preserve">, </w:t>
      </w:r>
      <w:proofErr w:type="spellStart"/>
      <w:r w:rsidRPr="00C455EA">
        <w:rPr>
          <w:szCs w:val="18"/>
        </w:rPr>
        <w:t>Konstantine</w:t>
      </w:r>
      <w:proofErr w:type="spellEnd"/>
      <w:r w:rsidRPr="00C455EA">
        <w:rPr>
          <w:szCs w:val="18"/>
        </w:rPr>
        <w:t xml:space="preserve"> </w:t>
      </w:r>
      <w:proofErr w:type="spellStart"/>
      <w:r w:rsidRPr="00C455EA">
        <w:rPr>
          <w:szCs w:val="18"/>
        </w:rPr>
        <w:t>Vardzelashvili</w:t>
      </w:r>
      <w:proofErr w:type="spellEnd"/>
      <w:r>
        <w:rPr>
          <w:szCs w:val="18"/>
        </w:rPr>
        <w:t xml:space="preserve"> and </w:t>
      </w:r>
      <w:r w:rsidRPr="00C455EA">
        <w:rPr>
          <w:szCs w:val="18"/>
        </w:rPr>
        <w:t xml:space="preserve">Margo </w:t>
      </w:r>
      <w:proofErr w:type="spellStart"/>
      <w:r w:rsidRPr="00C455EA">
        <w:rPr>
          <w:szCs w:val="18"/>
        </w:rPr>
        <w:t>Waterval</w:t>
      </w:r>
      <w:proofErr w:type="spellEnd"/>
      <w:r>
        <w:rPr>
          <w:bCs/>
          <w:szCs w:val="18"/>
        </w:rPr>
        <w:t>.</w:t>
      </w:r>
    </w:p>
  </w:footnote>
  <w:footnote w:id="4">
    <w:p w:rsidR="00472457" w:rsidRDefault="003346E8" w:rsidP="003346E8">
      <w:pPr>
        <w:pStyle w:val="FootnoteText"/>
      </w:pPr>
      <w:r>
        <w:tab/>
      </w:r>
      <w:r w:rsidR="00472457">
        <w:rPr>
          <w:rStyle w:val="FootnoteReference"/>
        </w:rPr>
        <w:footnoteRef/>
      </w:r>
      <w:r>
        <w:tab/>
      </w:r>
      <w:r w:rsidR="00472457">
        <w:t>Article 205 in this version of the Criminal Code reads as follows:</w:t>
      </w:r>
    </w:p>
    <w:p w:rsidR="00472457" w:rsidRPr="003346E8" w:rsidRDefault="00472457" w:rsidP="003346E8">
      <w:pPr>
        <w:pStyle w:val="FootnoteText"/>
      </w:pPr>
      <w:r>
        <w:tab/>
      </w:r>
      <w:r w:rsidR="003346E8">
        <w:tab/>
      </w:r>
      <w:r w:rsidRPr="003346E8">
        <w:t>1. Terrorism, that is, the perpetration of an explosion, arson, or any other action endangering the lives of people, causing sizable property damage, or entailing other socially dangerous consequences, if these actions have been committed for the purpose of violating public security, frightening the population, or exerting influence on decision-making by governmental bodies, and also the threat of committing said actions for the same ends, shall be punishable by deprivation of liberty for a term of five to ten years.</w:t>
      </w:r>
    </w:p>
    <w:p w:rsidR="00472457" w:rsidRPr="008B7D16" w:rsidRDefault="003346E8" w:rsidP="003346E8">
      <w:pPr>
        <w:pStyle w:val="FootnoteText"/>
        <w:rPr>
          <w:lang w:val="fr-CH"/>
        </w:rPr>
      </w:pPr>
      <w:r>
        <w:tab/>
      </w:r>
      <w:r>
        <w:tab/>
      </w:r>
      <w:r w:rsidR="00472457" w:rsidRPr="003346E8">
        <w:t>3. Deeds stipulated in the first or second part of this Article, if they have been committed by an organized group or have involved by negligence the death of a person, or any other grave consequences, and also are associated with infringement on objects of the use of atomic energy or with the use of nuclear materials, radioactive substances or sources of radioactive radiation</w:t>
      </w:r>
      <w:proofErr w:type="gramStart"/>
      <w:r w:rsidR="00472457" w:rsidRPr="003346E8">
        <w:t>,</w:t>
      </w:r>
      <w:proofErr w:type="gramEnd"/>
      <w:r w:rsidR="00472457" w:rsidRPr="003346E8">
        <w:br/>
        <w:t xml:space="preserve">shall be punishable by deprivation of liberty for a term of 10 to 20 years.’ </w:t>
      </w:r>
      <w:r w:rsidR="00472457" w:rsidRPr="00884354">
        <w:rPr>
          <w:lang w:val="fr-FR"/>
        </w:rPr>
        <w:t xml:space="preserve">Source: </w:t>
      </w:r>
      <w:hyperlink r:id="rId1" w:history="1">
        <w:r w:rsidR="00472457" w:rsidRPr="00884354">
          <w:rPr>
            <w:rStyle w:val="Hyperlink"/>
            <w:lang w:val="fr-FR"/>
          </w:rPr>
          <w:t>http://www.russian-criminal-code.com/PartII/SectionIX/Chapter24.html</w:t>
        </w:r>
      </w:hyperlink>
      <w:r w:rsidR="00320862">
        <w:rPr>
          <w:lang w:val="fr-CH"/>
        </w:rPr>
        <w:t>.</w:t>
      </w:r>
    </w:p>
  </w:footnote>
  <w:footnote w:id="5">
    <w:p w:rsidR="00472457" w:rsidRDefault="003346E8" w:rsidP="004A51F3">
      <w:pPr>
        <w:pStyle w:val="FootnoteText"/>
        <w:ind w:left="0" w:firstLine="0"/>
        <w:jc w:val="both"/>
      </w:pPr>
      <w:r w:rsidRPr="00884354">
        <w:rPr>
          <w:lang w:val="fr-FR"/>
        </w:rPr>
        <w:tab/>
      </w:r>
      <w:r w:rsidR="00472457">
        <w:rPr>
          <w:rStyle w:val="FootnoteReference"/>
        </w:rPr>
        <w:footnoteRef/>
      </w:r>
      <w:r>
        <w:tab/>
      </w:r>
      <w:r w:rsidR="00472457">
        <w:t>Article 205 of the Criminal Code as amended on 27 July 2006 reads as follows:</w:t>
      </w:r>
    </w:p>
    <w:p w:rsidR="00472457" w:rsidRDefault="003346E8" w:rsidP="003346E8">
      <w:pPr>
        <w:pStyle w:val="FootnoteText"/>
      </w:pPr>
      <w:r>
        <w:tab/>
      </w:r>
      <w:r>
        <w:tab/>
      </w:r>
      <w:r w:rsidR="00472457">
        <w:t>‘</w:t>
      </w:r>
      <w:r w:rsidR="00472457" w:rsidRPr="00850EB0">
        <w:t>1. The carrying out of an explosion, arson or other actions intimidating the population, and creating the threat of human death, of infliction of significant property damage or the onset of other grave consequences, for the purpose of influencing the taking of a decision by authorities or international organisations, and also the threat of commission of the said actions for the same purposes - shall be punishable by a term of imprisonment of eight to fifteen years.</w:t>
      </w:r>
    </w:p>
    <w:p w:rsidR="00472457" w:rsidRPr="002D36D9" w:rsidRDefault="003346E8" w:rsidP="003346E8">
      <w:pPr>
        <w:pStyle w:val="FootnoteText"/>
      </w:pPr>
      <w:r>
        <w:tab/>
      </w:r>
      <w:r>
        <w:tab/>
      </w:r>
      <w:r w:rsidR="00472457" w:rsidRPr="002D36D9">
        <w:t xml:space="preserve">3. Acts stipulated by Parts one or two of this Article if they: </w:t>
      </w:r>
    </w:p>
    <w:p w:rsidR="00472457" w:rsidRPr="002D36D9" w:rsidRDefault="003346E8" w:rsidP="003346E8">
      <w:pPr>
        <w:pStyle w:val="FootnoteText"/>
      </w:pPr>
      <w:r>
        <w:tab/>
      </w:r>
      <w:r>
        <w:tab/>
      </w:r>
      <w:r w:rsidR="00472457" w:rsidRPr="002D36D9">
        <w:t xml:space="preserve">a) entail encroachment on installations of the use of atomic energy or with the use of nuclear materials or of sources of radioactive radiation or venomous, poisonous, toxic or hazardous chemical or biological substances; </w:t>
      </w:r>
    </w:p>
    <w:p w:rsidR="00472457" w:rsidRPr="002D36D9" w:rsidRDefault="003346E8" w:rsidP="003346E8">
      <w:pPr>
        <w:pStyle w:val="FootnoteText"/>
      </w:pPr>
      <w:r>
        <w:tab/>
      </w:r>
      <w:r>
        <w:tab/>
      </w:r>
      <w:r w:rsidR="00472457" w:rsidRPr="002D36D9">
        <w:t xml:space="preserve">b) have entailed intentional causing of death to a person - </w:t>
      </w:r>
    </w:p>
    <w:p w:rsidR="00472457" w:rsidRPr="00850EB0" w:rsidRDefault="003346E8" w:rsidP="003346E8">
      <w:pPr>
        <w:pStyle w:val="FootnoteText"/>
      </w:pPr>
      <w:r>
        <w:tab/>
      </w:r>
      <w:r>
        <w:tab/>
      </w:r>
      <w:r w:rsidR="00472457" w:rsidRPr="002D36D9">
        <w:t xml:space="preserve">- shall be punishable with </w:t>
      </w:r>
      <w:r w:rsidR="00E8423E" w:rsidRPr="00850EB0">
        <w:t xml:space="preserve">imprisonment </w:t>
      </w:r>
      <w:r w:rsidR="00E8423E">
        <w:t>for</w:t>
      </w:r>
      <w:r w:rsidR="005A431A">
        <w:t xml:space="preserve"> </w:t>
      </w:r>
      <w:bookmarkStart w:id="0" w:name="_GoBack"/>
      <w:bookmarkEnd w:id="0"/>
      <w:r w:rsidR="00472457" w:rsidRPr="002D36D9">
        <w:t xml:space="preserve">fifteen to twenty years or with </w:t>
      </w:r>
      <w:r w:rsidR="00E02662">
        <w:t>a</w:t>
      </w:r>
      <w:r w:rsidR="00124AFB">
        <w:t xml:space="preserve"> </w:t>
      </w:r>
      <w:r w:rsidR="00472457" w:rsidRPr="002D36D9">
        <w:t>life</w:t>
      </w:r>
      <w:r w:rsidR="00884354">
        <w:t xml:space="preserve"> sentence</w:t>
      </w:r>
      <w:r w:rsidR="00472457" w:rsidRPr="002D36D9">
        <w:t>.</w:t>
      </w:r>
      <w:r w:rsidR="00472457">
        <w:t xml:space="preserve">’ Source: </w:t>
      </w:r>
      <w:hyperlink r:id="rId2" w:history="1">
        <w:r w:rsidR="00472457" w:rsidRPr="004638CF">
          <w:rPr>
            <w:rStyle w:val="Hyperlink"/>
          </w:rPr>
          <w:t>http://legislationline.org/documents/section/criminal-codes/country/7</w:t>
        </w:r>
      </w:hyperlink>
      <w:r w:rsidR="00320862">
        <w:rPr>
          <w:rStyle w:val="Hyperlink"/>
        </w:rPr>
        <w:t>.</w:t>
      </w:r>
      <w:r w:rsidR="00472457">
        <w:t xml:space="preserve"> </w:t>
      </w:r>
    </w:p>
  </w:footnote>
  <w:footnote w:id="6">
    <w:p w:rsidR="00472457" w:rsidRPr="00A43AB1" w:rsidRDefault="003346E8" w:rsidP="003346E8">
      <w:pPr>
        <w:pStyle w:val="FootnoteText"/>
      </w:pPr>
      <w:r>
        <w:tab/>
      </w:r>
      <w:r w:rsidR="00472457">
        <w:rPr>
          <w:rStyle w:val="FootnoteReference"/>
        </w:rPr>
        <w:footnoteRef/>
      </w:r>
      <w:r>
        <w:tab/>
      </w:r>
      <w:r w:rsidR="00472457" w:rsidRPr="003346E8">
        <w:t>Declaration</w:t>
      </w:r>
      <w:r w:rsidR="00472457">
        <w:t>: “The Union of Soviet Socialist Republics, pursuant to article 1 of the Optional Protocol, recognizes the competence of the Human Rights Committee to receive and consider communications from individuals subject to the jurisdiction of the Union of Soviet Socialist Republics, in respect of situations or events occurring after the date on which the Protocol entered into force for the USSR.</w:t>
      </w:r>
      <w:r w:rsidR="00124AFB">
        <w:t xml:space="preserve"> </w:t>
      </w:r>
      <w:r w:rsidR="00472457">
        <w:t>The Soviet Union also proceeds from the understanding that the Committee shall not consider any communications unless it has been ascertained that the same matter is not being examined under another procedure of international investigation or settlement and that the individual in question has exhausted all available domestic remedies”.</w:t>
      </w:r>
    </w:p>
  </w:footnote>
  <w:footnote w:id="7">
    <w:p w:rsidR="00372EEE" w:rsidRPr="00A85CF4" w:rsidRDefault="003346E8" w:rsidP="003346E8">
      <w:pPr>
        <w:pStyle w:val="FootnoteText"/>
        <w:rPr>
          <w:lang w:val="en-US"/>
        </w:rPr>
      </w:pPr>
      <w:r>
        <w:tab/>
      </w:r>
      <w:r w:rsidR="00372EEE">
        <w:rPr>
          <w:rStyle w:val="FootnoteReference"/>
        </w:rPr>
        <w:footnoteRef/>
      </w:r>
      <w:r>
        <w:tab/>
      </w:r>
      <w:r w:rsidR="00372EEE">
        <w:rPr>
          <w:lang w:val="en-US"/>
        </w:rPr>
        <w:t xml:space="preserve">See for </w:t>
      </w:r>
      <w:r w:rsidR="00372EEE" w:rsidRPr="003346E8">
        <w:t>example</w:t>
      </w:r>
      <w:r w:rsidR="00372EEE">
        <w:rPr>
          <w:lang w:val="en-US"/>
        </w:rPr>
        <w:t xml:space="preserve"> Communication No. 1342/2005, </w:t>
      </w:r>
      <w:proofErr w:type="spellStart"/>
      <w:r w:rsidR="00372EEE">
        <w:rPr>
          <w:i/>
          <w:lang w:val="en-US"/>
        </w:rPr>
        <w:t>Gavrilin</w:t>
      </w:r>
      <w:proofErr w:type="spellEnd"/>
      <w:r w:rsidR="00372EEE">
        <w:rPr>
          <w:i/>
          <w:lang w:val="en-US"/>
        </w:rPr>
        <w:t xml:space="preserve"> v. Belarus, </w:t>
      </w:r>
      <w:r w:rsidR="00372EEE">
        <w:rPr>
          <w:lang w:val="en-US"/>
        </w:rPr>
        <w:t xml:space="preserve">Views adopted on </w:t>
      </w:r>
      <w:r w:rsidR="00372EEE" w:rsidRPr="00A85CF4">
        <w:rPr>
          <w:lang w:val="en-US"/>
        </w:rPr>
        <w:t>28 March 2007</w:t>
      </w:r>
      <w:r w:rsidR="00372EEE">
        <w:rPr>
          <w:lang w:val="en-US"/>
        </w:rPr>
        <w:t>.</w:t>
      </w:r>
    </w:p>
  </w:footnote>
  <w:footnote w:id="8">
    <w:p w:rsidR="00472457" w:rsidRPr="001A79AD" w:rsidRDefault="003346E8">
      <w:pPr>
        <w:pStyle w:val="FootnoteText"/>
      </w:pPr>
      <w:r>
        <w:tab/>
      </w:r>
      <w:r w:rsidR="00472457">
        <w:rPr>
          <w:rStyle w:val="FootnoteReference"/>
        </w:rPr>
        <w:footnoteRef/>
      </w:r>
      <w:r w:rsidR="00472457">
        <w:tab/>
        <w:t xml:space="preserve">See for example Communication No. 1894/2009, </w:t>
      </w:r>
      <w:r w:rsidR="00472457" w:rsidRPr="008F4BEF">
        <w:rPr>
          <w:i/>
          <w:iCs/>
          <w:lang w:val="en-US"/>
        </w:rPr>
        <w:t>G.J. v. Lithuania</w:t>
      </w:r>
      <w:r w:rsidR="00472457">
        <w:rPr>
          <w:iCs/>
          <w:lang w:val="en-US"/>
        </w:rPr>
        <w:t xml:space="preserve">, Views adopted on </w:t>
      </w:r>
      <w:r w:rsidR="00472457" w:rsidRPr="00F0055D">
        <w:rPr>
          <w:iCs/>
          <w:lang w:val="en-US"/>
        </w:rPr>
        <w:t>25 March 2014</w:t>
      </w:r>
      <w:r w:rsidR="00472457">
        <w:rPr>
          <w:iCs/>
          <w:lang w:val="en-US"/>
        </w:rPr>
        <w:t>.</w:t>
      </w:r>
    </w:p>
  </w:footnote>
  <w:footnote w:id="9">
    <w:p w:rsidR="009E6732" w:rsidRPr="009E6732" w:rsidRDefault="003346E8" w:rsidP="009E6732">
      <w:pPr>
        <w:pStyle w:val="FootnoteText"/>
        <w:rPr>
          <w:lang w:val="en-US"/>
        </w:rPr>
      </w:pPr>
      <w:r>
        <w:tab/>
      </w:r>
      <w:r w:rsidR="009E6732">
        <w:rPr>
          <w:rStyle w:val="FootnoteReference"/>
        </w:rPr>
        <w:footnoteRef/>
      </w:r>
      <w:r>
        <w:tab/>
      </w:r>
      <w:proofErr w:type="gramStart"/>
      <w:r w:rsidR="009E6732" w:rsidRPr="00EF7920">
        <w:t xml:space="preserve">Yves </w:t>
      </w:r>
      <w:proofErr w:type="spellStart"/>
      <w:r w:rsidR="009E6732" w:rsidRPr="00EF7920">
        <w:t>Morael</w:t>
      </w:r>
      <w:proofErr w:type="spellEnd"/>
      <w:r w:rsidR="009E6732" w:rsidRPr="00EF7920">
        <w:t xml:space="preserve"> v. France, Communication No. 207/1986, U.N. Doc. Supp. No. 40 (A/44/40) at 210 (1989)</w:t>
      </w:r>
      <w:r w:rsidR="005261F3">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862" w:rsidRPr="00320862" w:rsidRDefault="00F20CE9" w:rsidP="00320862">
    <w:pPr>
      <w:pStyle w:val="Header"/>
      <w:pBdr>
        <w:bottom w:val="single" w:sz="4" w:space="0" w:color="auto"/>
      </w:pBdr>
      <w:rPr>
        <w:sz w:val="20"/>
      </w:rPr>
    </w:pPr>
    <w:r w:rsidRPr="00F20CE9">
      <w:rPr>
        <w:sz w:val="20"/>
      </w:rPr>
      <w:t xml:space="preserve">Advance unedited version </w:t>
    </w:r>
    <w:r w:rsidR="00472457" w:rsidRPr="00320862">
      <w:rPr>
        <w:sz w:val="20"/>
      </w:rPr>
      <w:t xml:space="preserve">CCPR/C/116/D/2411/2014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457" w:rsidRPr="00320862" w:rsidRDefault="00F20CE9" w:rsidP="00076AA3">
    <w:pPr>
      <w:pStyle w:val="Header"/>
      <w:pBdr>
        <w:bottom w:val="single" w:sz="4" w:space="0" w:color="auto"/>
      </w:pBdr>
      <w:jc w:val="right"/>
      <w:rPr>
        <w:sz w:val="20"/>
      </w:rPr>
    </w:pPr>
    <w:r w:rsidRPr="00F20CE9">
      <w:rPr>
        <w:sz w:val="20"/>
      </w:rPr>
      <w:t xml:space="preserve">Advance unedited version </w:t>
    </w:r>
    <w:r w:rsidR="00472457" w:rsidRPr="00320862">
      <w:rPr>
        <w:sz w:val="20"/>
      </w:rPr>
      <w:t xml:space="preserve">CCPR/C/116/D/2411/2014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28A3FBE"/>
    <w:multiLevelType w:val="hybridMultilevel"/>
    <w:tmpl w:val="EEF0A1B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3EB5B73"/>
    <w:multiLevelType w:val="multilevel"/>
    <w:tmpl w:val="06E0FFDC"/>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3">
    <w:nsid w:val="62116750"/>
    <w:multiLevelType w:val="hybridMultilevel"/>
    <w:tmpl w:val="54828B94"/>
    <w:lvl w:ilvl="0" w:tplc="160AFEEC">
      <w:start w:val="1"/>
      <w:numFmt w:val="decimal"/>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793D6312"/>
    <w:multiLevelType w:val="multilevel"/>
    <w:tmpl w:val="03FE75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4"/>
  </w:num>
  <w:num w:numId="3">
    <w:abstractNumId w:val="3"/>
  </w:num>
  <w:num w:numId="4">
    <w:abstractNumId w:val="2"/>
  </w:num>
  <w:num w:numId="5">
    <w:abstractNumId w:val="5"/>
  </w:num>
  <w:num w:numId="6">
    <w:abstractNumId w:val="0"/>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te vardzelashvili">
    <w15:presenceInfo w15:providerId="Windows Live" w15:userId="a7a568a057651b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6A5"/>
    <w:rsid w:val="0000255D"/>
    <w:rsid w:val="00002773"/>
    <w:rsid w:val="000044E2"/>
    <w:rsid w:val="000158C3"/>
    <w:rsid w:val="00016FB4"/>
    <w:rsid w:val="00024133"/>
    <w:rsid w:val="00025269"/>
    <w:rsid w:val="00025370"/>
    <w:rsid w:val="00025418"/>
    <w:rsid w:val="00025D41"/>
    <w:rsid w:val="000272B3"/>
    <w:rsid w:val="00027A45"/>
    <w:rsid w:val="00030626"/>
    <w:rsid w:val="00031D46"/>
    <w:rsid w:val="00032A3A"/>
    <w:rsid w:val="0003387B"/>
    <w:rsid w:val="00035BA8"/>
    <w:rsid w:val="00035F0E"/>
    <w:rsid w:val="00037807"/>
    <w:rsid w:val="0004012E"/>
    <w:rsid w:val="0004092D"/>
    <w:rsid w:val="00041994"/>
    <w:rsid w:val="000419AB"/>
    <w:rsid w:val="00042B61"/>
    <w:rsid w:val="00050F6B"/>
    <w:rsid w:val="00052A79"/>
    <w:rsid w:val="000556A5"/>
    <w:rsid w:val="00056753"/>
    <w:rsid w:val="0005782B"/>
    <w:rsid w:val="00057E97"/>
    <w:rsid w:val="00057F1A"/>
    <w:rsid w:val="00060C3A"/>
    <w:rsid w:val="00066476"/>
    <w:rsid w:val="0006760F"/>
    <w:rsid w:val="000711B9"/>
    <w:rsid w:val="00072ADD"/>
    <w:rsid w:val="00072C8C"/>
    <w:rsid w:val="000733B5"/>
    <w:rsid w:val="0007628F"/>
    <w:rsid w:val="00076AA3"/>
    <w:rsid w:val="00081815"/>
    <w:rsid w:val="00081F0A"/>
    <w:rsid w:val="0008317C"/>
    <w:rsid w:val="0009038A"/>
    <w:rsid w:val="000908FA"/>
    <w:rsid w:val="000931C0"/>
    <w:rsid w:val="00094EEB"/>
    <w:rsid w:val="000970C1"/>
    <w:rsid w:val="000A2283"/>
    <w:rsid w:val="000A34F4"/>
    <w:rsid w:val="000A442E"/>
    <w:rsid w:val="000A7D92"/>
    <w:rsid w:val="000B175B"/>
    <w:rsid w:val="000B1788"/>
    <w:rsid w:val="000B3A0F"/>
    <w:rsid w:val="000B4D0C"/>
    <w:rsid w:val="000B4EF7"/>
    <w:rsid w:val="000B6942"/>
    <w:rsid w:val="000B6CA3"/>
    <w:rsid w:val="000C15B1"/>
    <w:rsid w:val="000C2C03"/>
    <w:rsid w:val="000C2D2E"/>
    <w:rsid w:val="000C2E06"/>
    <w:rsid w:val="000C6F58"/>
    <w:rsid w:val="000C71A2"/>
    <w:rsid w:val="000D0A22"/>
    <w:rsid w:val="000D5645"/>
    <w:rsid w:val="000E0415"/>
    <w:rsid w:val="000E2BE1"/>
    <w:rsid w:val="000E42FA"/>
    <w:rsid w:val="000E53AA"/>
    <w:rsid w:val="000E567F"/>
    <w:rsid w:val="000E5D7B"/>
    <w:rsid w:val="000E6570"/>
    <w:rsid w:val="000F0195"/>
    <w:rsid w:val="000F03D7"/>
    <w:rsid w:val="000F4E65"/>
    <w:rsid w:val="000F570E"/>
    <w:rsid w:val="000F6B56"/>
    <w:rsid w:val="000F76E4"/>
    <w:rsid w:val="000F7E69"/>
    <w:rsid w:val="00101383"/>
    <w:rsid w:val="00103116"/>
    <w:rsid w:val="001037D9"/>
    <w:rsid w:val="00104ABB"/>
    <w:rsid w:val="001057B7"/>
    <w:rsid w:val="001103AA"/>
    <w:rsid w:val="0011184E"/>
    <w:rsid w:val="00115DDE"/>
    <w:rsid w:val="0011660C"/>
    <w:rsid w:val="00122A76"/>
    <w:rsid w:val="00123048"/>
    <w:rsid w:val="00123B0D"/>
    <w:rsid w:val="00123FC4"/>
    <w:rsid w:val="00124014"/>
    <w:rsid w:val="00124AFB"/>
    <w:rsid w:val="001306DD"/>
    <w:rsid w:val="0013235B"/>
    <w:rsid w:val="00142286"/>
    <w:rsid w:val="00144B80"/>
    <w:rsid w:val="00151CCD"/>
    <w:rsid w:val="0015324D"/>
    <w:rsid w:val="00155593"/>
    <w:rsid w:val="00156376"/>
    <w:rsid w:val="00161364"/>
    <w:rsid w:val="00161B80"/>
    <w:rsid w:val="001649C8"/>
    <w:rsid w:val="00165AA7"/>
    <w:rsid w:val="00165F3A"/>
    <w:rsid w:val="0016693B"/>
    <w:rsid w:val="0017277A"/>
    <w:rsid w:val="00172B2B"/>
    <w:rsid w:val="0017676A"/>
    <w:rsid w:val="00176FE1"/>
    <w:rsid w:val="00180939"/>
    <w:rsid w:val="00182A46"/>
    <w:rsid w:val="00183968"/>
    <w:rsid w:val="0019468C"/>
    <w:rsid w:val="00196732"/>
    <w:rsid w:val="00196CDF"/>
    <w:rsid w:val="001975D8"/>
    <w:rsid w:val="00197E35"/>
    <w:rsid w:val="001A079F"/>
    <w:rsid w:val="001A09DE"/>
    <w:rsid w:val="001A1094"/>
    <w:rsid w:val="001A44F4"/>
    <w:rsid w:val="001A660B"/>
    <w:rsid w:val="001A6686"/>
    <w:rsid w:val="001A723C"/>
    <w:rsid w:val="001A79AD"/>
    <w:rsid w:val="001B4041"/>
    <w:rsid w:val="001B4B04"/>
    <w:rsid w:val="001B734D"/>
    <w:rsid w:val="001C0976"/>
    <w:rsid w:val="001C21B1"/>
    <w:rsid w:val="001C276E"/>
    <w:rsid w:val="001C326D"/>
    <w:rsid w:val="001C34D0"/>
    <w:rsid w:val="001C538B"/>
    <w:rsid w:val="001C6016"/>
    <w:rsid w:val="001C608D"/>
    <w:rsid w:val="001C657F"/>
    <w:rsid w:val="001C6663"/>
    <w:rsid w:val="001C7895"/>
    <w:rsid w:val="001D0C8C"/>
    <w:rsid w:val="001D26DF"/>
    <w:rsid w:val="001D2754"/>
    <w:rsid w:val="001D384D"/>
    <w:rsid w:val="001D3A03"/>
    <w:rsid w:val="001D5C81"/>
    <w:rsid w:val="001D5D82"/>
    <w:rsid w:val="001E10EC"/>
    <w:rsid w:val="001E357C"/>
    <w:rsid w:val="001E48A9"/>
    <w:rsid w:val="001E6F9F"/>
    <w:rsid w:val="001F6335"/>
    <w:rsid w:val="002012C3"/>
    <w:rsid w:val="00202DA8"/>
    <w:rsid w:val="00210AE2"/>
    <w:rsid w:val="00210CE0"/>
    <w:rsid w:val="002117EE"/>
    <w:rsid w:val="00211E0B"/>
    <w:rsid w:val="00213FB7"/>
    <w:rsid w:val="0022501D"/>
    <w:rsid w:val="002313C7"/>
    <w:rsid w:val="00231C9F"/>
    <w:rsid w:val="0023210C"/>
    <w:rsid w:val="00233C44"/>
    <w:rsid w:val="00233EFB"/>
    <w:rsid w:val="002369F3"/>
    <w:rsid w:val="00244EDE"/>
    <w:rsid w:val="002450F8"/>
    <w:rsid w:val="00252600"/>
    <w:rsid w:val="002569AF"/>
    <w:rsid w:val="00256D6F"/>
    <w:rsid w:val="00261870"/>
    <w:rsid w:val="002632E7"/>
    <w:rsid w:val="00267F1B"/>
    <w:rsid w:val="00267F5F"/>
    <w:rsid w:val="0027131E"/>
    <w:rsid w:val="002743EE"/>
    <w:rsid w:val="002744F0"/>
    <w:rsid w:val="0027570D"/>
    <w:rsid w:val="002767FA"/>
    <w:rsid w:val="00280EF1"/>
    <w:rsid w:val="002824C8"/>
    <w:rsid w:val="00286B4D"/>
    <w:rsid w:val="002915E7"/>
    <w:rsid w:val="00294F4A"/>
    <w:rsid w:val="0029586D"/>
    <w:rsid w:val="002974A6"/>
    <w:rsid w:val="002A073D"/>
    <w:rsid w:val="002A239B"/>
    <w:rsid w:val="002A5E37"/>
    <w:rsid w:val="002B00D3"/>
    <w:rsid w:val="002B3F1E"/>
    <w:rsid w:val="002B4AC8"/>
    <w:rsid w:val="002B7E9E"/>
    <w:rsid w:val="002C032D"/>
    <w:rsid w:val="002C3C84"/>
    <w:rsid w:val="002C4B41"/>
    <w:rsid w:val="002C5BCD"/>
    <w:rsid w:val="002D36D9"/>
    <w:rsid w:val="002D3AF5"/>
    <w:rsid w:val="002D46DB"/>
    <w:rsid w:val="002D5CFF"/>
    <w:rsid w:val="002D5ECE"/>
    <w:rsid w:val="002D6EF2"/>
    <w:rsid w:val="002E17F3"/>
    <w:rsid w:val="002E6ABB"/>
    <w:rsid w:val="002F039C"/>
    <w:rsid w:val="002F14CA"/>
    <w:rsid w:val="002F175C"/>
    <w:rsid w:val="002F781E"/>
    <w:rsid w:val="00300FEE"/>
    <w:rsid w:val="0030138D"/>
    <w:rsid w:val="00301BD4"/>
    <w:rsid w:val="00306124"/>
    <w:rsid w:val="00310F2C"/>
    <w:rsid w:val="00312419"/>
    <w:rsid w:val="00314A97"/>
    <w:rsid w:val="0031790F"/>
    <w:rsid w:val="00320862"/>
    <w:rsid w:val="00320E07"/>
    <w:rsid w:val="00321F5A"/>
    <w:rsid w:val="003220F0"/>
    <w:rsid w:val="003229D8"/>
    <w:rsid w:val="0032348D"/>
    <w:rsid w:val="00327502"/>
    <w:rsid w:val="00331B68"/>
    <w:rsid w:val="0033453F"/>
    <w:rsid w:val="003346E8"/>
    <w:rsid w:val="00335D6C"/>
    <w:rsid w:val="00342D6C"/>
    <w:rsid w:val="003464C6"/>
    <w:rsid w:val="00350238"/>
    <w:rsid w:val="00352709"/>
    <w:rsid w:val="00352D2B"/>
    <w:rsid w:val="00354AA8"/>
    <w:rsid w:val="00355BD5"/>
    <w:rsid w:val="003560C0"/>
    <w:rsid w:val="00361582"/>
    <w:rsid w:val="00362F38"/>
    <w:rsid w:val="003652A0"/>
    <w:rsid w:val="00366130"/>
    <w:rsid w:val="0036645D"/>
    <w:rsid w:val="00367567"/>
    <w:rsid w:val="00367876"/>
    <w:rsid w:val="003705C9"/>
    <w:rsid w:val="00370683"/>
    <w:rsid w:val="00371178"/>
    <w:rsid w:val="003719B4"/>
    <w:rsid w:val="0037204F"/>
    <w:rsid w:val="00372EEE"/>
    <w:rsid w:val="003730DD"/>
    <w:rsid w:val="0037536C"/>
    <w:rsid w:val="0037564E"/>
    <w:rsid w:val="003815CD"/>
    <w:rsid w:val="00381A99"/>
    <w:rsid w:val="0038336C"/>
    <w:rsid w:val="00386EF5"/>
    <w:rsid w:val="003871ED"/>
    <w:rsid w:val="003919C8"/>
    <w:rsid w:val="00394A4C"/>
    <w:rsid w:val="00395395"/>
    <w:rsid w:val="003A0984"/>
    <w:rsid w:val="003A1602"/>
    <w:rsid w:val="003A22FB"/>
    <w:rsid w:val="003A6810"/>
    <w:rsid w:val="003B3B38"/>
    <w:rsid w:val="003C02AB"/>
    <w:rsid w:val="003C2CC4"/>
    <w:rsid w:val="003D0290"/>
    <w:rsid w:val="003D1843"/>
    <w:rsid w:val="003D26D6"/>
    <w:rsid w:val="003D335B"/>
    <w:rsid w:val="003D3CF9"/>
    <w:rsid w:val="003D4143"/>
    <w:rsid w:val="003D4794"/>
    <w:rsid w:val="003D4B23"/>
    <w:rsid w:val="003D6A2A"/>
    <w:rsid w:val="003E04FF"/>
    <w:rsid w:val="003E1596"/>
    <w:rsid w:val="003E219E"/>
    <w:rsid w:val="003E2953"/>
    <w:rsid w:val="003E3CF4"/>
    <w:rsid w:val="003E3DEA"/>
    <w:rsid w:val="003E5666"/>
    <w:rsid w:val="003E64CC"/>
    <w:rsid w:val="003E6D09"/>
    <w:rsid w:val="003E6F7E"/>
    <w:rsid w:val="003E7377"/>
    <w:rsid w:val="00400ACF"/>
    <w:rsid w:val="00401BF0"/>
    <w:rsid w:val="00402458"/>
    <w:rsid w:val="00403387"/>
    <w:rsid w:val="00403565"/>
    <w:rsid w:val="004050B9"/>
    <w:rsid w:val="00405473"/>
    <w:rsid w:val="00410C89"/>
    <w:rsid w:val="004147D4"/>
    <w:rsid w:val="00414931"/>
    <w:rsid w:val="00414B35"/>
    <w:rsid w:val="00424E32"/>
    <w:rsid w:val="00426B9B"/>
    <w:rsid w:val="00430160"/>
    <w:rsid w:val="004325CB"/>
    <w:rsid w:val="004331A3"/>
    <w:rsid w:val="004346B9"/>
    <w:rsid w:val="0043559E"/>
    <w:rsid w:val="00435D83"/>
    <w:rsid w:val="00436142"/>
    <w:rsid w:val="00436B33"/>
    <w:rsid w:val="00436E13"/>
    <w:rsid w:val="00442A83"/>
    <w:rsid w:val="00447EEE"/>
    <w:rsid w:val="0045495B"/>
    <w:rsid w:val="00455B4A"/>
    <w:rsid w:val="00456152"/>
    <w:rsid w:val="004567C9"/>
    <w:rsid w:val="0045741F"/>
    <w:rsid w:val="004576A1"/>
    <w:rsid w:val="00457E0B"/>
    <w:rsid w:val="004611D2"/>
    <w:rsid w:val="004645E5"/>
    <w:rsid w:val="00465C93"/>
    <w:rsid w:val="00466844"/>
    <w:rsid w:val="00466B4C"/>
    <w:rsid w:val="004673EA"/>
    <w:rsid w:val="00472457"/>
    <w:rsid w:val="004734D9"/>
    <w:rsid w:val="00473963"/>
    <w:rsid w:val="00480C4A"/>
    <w:rsid w:val="00481D51"/>
    <w:rsid w:val="004821F5"/>
    <w:rsid w:val="00483D1D"/>
    <w:rsid w:val="00484B45"/>
    <w:rsid w:val="0048637B"/>
    <w:rsid w:val="00487256"/>
    <w:rsid w:val="00487460"/>
    <w:rsid w:val="00487488"/>
    <w:rsid w:val="004920AB"/>
    <w:rsid w:val="0049219B"/>
    <w:rsid w:val="00493CC2"/>
    <w:rsid w:val="004976F2"/>
    <w:rsid w:val="004A28A7"/>
    <w:rsid w:val="004A3F24"/>
    <w:rsid w:val="004A51F3"/>
    <w:rsid w:val="004B0C39"/>
    <w:rsid w:val="004B4DE0"/>
    <w:rsid w:val="004B52AC"/>
    <w:rsid w:val="004B62C5"/>
    <w:rsid w:val="004C172E"/>
    <w:rsid w:val="004C4A2B"/>
    <w:rsid w:val="004C721E"/>
    <w:rsid w:val="004D0762"/>
    <w:rsid w:val="004D4AAD"/>
    <w:rsid w:val="004D5BEC"/>
    <w:rsid w:val="004E048C"/>
    <w:rsid w:val="004E062E"/>
    <w:rsid w:val="004E64A6"/>
    <w:rsid w:val="004E7727"/>
    <w:rsid w:val="004F274A"/>
    <w:rsid w:val="004F5078"/>
    <w:rsid w:val="0050121C"/>
    <w:rsid w:val="00502548"/>
    <w:rsid w:val="00512945"/>
    <w:rsid w:val="00514916"/>
    <w:rsid w:val="00515B05"/>
    <w:rsid w:val="00516701"/>
    <w:rsid w:val="0052136D"/>
    <w:rsid w:val="00525395"/>
    <w:rsid w:val="005261F3"/>
    <w:rsid w:val="0052775E"/>
    <w:rsid w:val="00527B53"/>
    <w:rsid w:val="00533AC3"/>
    <w:rsid w:val="00533CAC"/>
    <w:rsid w:val="00537920"/>
    <w:rsid w:val="00537ED5"/>
    <w:rsid w:val="005409DC"/>
    <w:rsid w:val="005420F2"/>
    <w:rsid w:val="00542EBD"/>
    <w:rsid w:val="00546049"/>
    <w:rsid w:val="005477B4"/>
    <w:rsid w:val="005479E7"/>
    <w:rsid w:val="00547A47"/>
    <w:rsid w:val="00550BDA"/>
    <w:rsid w:val="00550D3B"/>
    <w:rsid w:val="005519D0"/>
    <w:rsid w:val="00552689"/>
    <w:rsid w:val="005545F1"/>
    <w:rsid w:val="0055746C"/>
    <w:rsid w:val="005576A9"/>
    <w:rsid w:val="005618F9"/>
    <w:rsid w:val="005628B6"/>
    <w:rsid w:val="00562B61"/>
    <w:rsid w:val="00562F4D"/>
    <w:rsid w:val="00564714"/>
    <w:rsid w:val="0056624F"/>
    <w:rsid w:val="0056760F"/>
    <w:rsid w:val="005704D1"/>
    <w:rsid w:val="00571BB4"/>
    <w:rsid w:val="00571CA9"/>
    <w:rsid w:val="005722B3"/>
    <w:rsid w:val="0057494C"/>
    <w:rsid w:val="00577B96"/>
    <w:rsid w:val="0058072C"/>
    <w:rsid w:val="005848B3"/>
    <w:rsid w:val="00586ABA"/>
    <w:rsid w:val="00587CF8"/>
    <w:rsid w:val="00590F87"/>
    <w:rsid w:val="00592C4A"/>
    <w:rsid w:val="00594CF0"/>
    <w:rsid w:val="00596EFC"/>
    <w:rsid w:val="00597E6E"/>
    <w:rsid w:val="005A0415"/>
    <w:rsid w:val="005A084E"/>
    <w:rsid w:val="005A1B1D"/>
    <w:rsid w:val="005A3B8B"/>
    <w:rsid w:val="005A431A"/>
    <w:rsid w:val="005A533E"/>
    <w:rsid w:val="005B180A"/>
    <w:rsid w:val="005B3DB3"/>
    <w:rsid w:val="005B49E9"/>
    <w:rsid w:val="005B5F27"/>
    <w:rsid w:val="005B6292"/>
    <w:rsid w:val="005C1AAF"/>
    <w:rsid w:val="005C1CC7"/>
    <w:rsid w:val="005C225C"/>
    <w:rsid w:val="005C5760"/>
    <w:rsid w:val="005C674E"/>
    <w:rsid w:val="005D30B8"/>
    <w:rsid w:val="005D4877"/>
    <w:rsid w:val="005D542D"/>
    <w:rsid w:val="005D5721"/>
    <w:rsid w:val="005D5AF5"/>
    <w:rsid w:val="005E06C2"/>
    <w:rsid w:val="005E1E05"/>
    <w:rsid w:val="005E21A5"/>
    <w:rsid w:val="005E2D2C"/>
    <w:rsid w:val="005E5034"/>
    <w:rsid w:val="005E5092"/>
    <w:rsid w:val="005E6348"/>
    <w:rsid w:val="005E783D"/>
    <w:rsid w:val="005F5699"/>
    <w:rsid w:val="005F575F"/>
    <w:rsid w:val="005F7717"/>
    <w:rsid w:val="005F7B75"/>
    <w:rsid w:val="005F7F93"/>
    <w:rsid w:val="006001EE"/>
    <w:rsid w:val="00601CA8"/>
    <w:rsid w:val="00605042"/>
    <w:rsid w:val="0061115C"/>
    <w:rsid w:val="00611FC4"/>
    <w:rsid w:val="00614C50"/>
    <w:rsid w:val="006176FB"/>
    <w:rsid w:val="0062324C"/>
    <w:rsid w:val="00624F12"/>
    <w:rsid w:val="00625FB0"/>
    <w:rsid w:val="006274AD"/>
    <w:rsid w:val="00627FB0"/>
    <w:rsid w:val="00630676"/>
    <w:rsid w:val="00632287"/>
    <w:rsid w:val="006405BC"/>
    <w:rsid w:val="00640B26"/>
    <w:rsid w:val="006418AA"/>
    <w:rsid w:val="00652D0A"/>
    <w:rsid w:val="0066065C"/>
    <w:rsid w:val="00661597"/>
    <w:rsid w:val="006617E2"/>
    <w:rsid w:val="00662BB6"/>
    <w:rsid w:val="006637C8"/>
    <w:rsid w:val="00664C49"/>
    <w:rsid w:val="00666A9B"/>
    <w:rsid w:val="0067133A"/>
    <w:rsid w:val="00674026"/>
    <w:rsid w:val="006743E9"/>
    <w:rsid w:val="006761C2"/>
    <w:rsid w:val="00680461"/>
    <w:rsid w:val="00681447"/>
    <w:rsid w:val="00682284"/>
    <w:rsid w:val="006838C8"/>
    <w:rsid w:val="00683A64"/>
    <w:rsid w:val="00684375"/>
    <w:rsid w:val="00684829"/>
    <w:rsid w:val="00684C21"/>
    <w:rsid w:val="00684FF7"/>
    <w:rsid w:val="0068555B"/>
    <w:rsid w:val="0068599A"/>
    <w:rsid w:val="00685FA6"/>
    <w:rsid w:val="0068743C"/>
    <w:rsid w:val="006877CE"/>
    <w:rsid w:val="00691F84"/>
    <w:rsid w:val="00692BBE"/>
    <w:rsid w:val="00694AE6"/>
    <w:rsid w:val="00696929"/>
    <w:rsid w:val="00696DA7"/>
    <w:rsid w:val="0069763E"/>
    <w:rsid w:val="00697BA2"/>
    <w:rsid w:val="006A1764"/>
    <w:rsid w:val="006B2F07"/>
    <w:rsid w:val="006B3743"/>
    <w:rsid w:val="006B4A23"/>
    <w:rsid w:val="006B4A78"/>
    <w:rsid w:val="006C3AD1"/>
    <w:rsid w:val="006D2401"/>
    <w:rsid w:val="006D2B97"/>
    <w:rsid w:val="006D3367"/>
    <w:rsid w:val="006D37AF"/>
    <w:rsid w:val="006D51D0"/>
    <w:rsid w:val="006D75C7"/>
    <w:rsid w:val="006E046E"/>
    <w:rsid w:val="006E1A90"/>
    <w:rsid w:val="006E3134"/>
    <w:rsid w:val="006E37EC"/>
    <w:rsid w:val="006E564B"/>
    <w:rsid w:val="006E7191"/>
    <w:rsid w:val="006F36AC"/>
    <w:rsid w:val="006F43F3"/>
    <w:rsid w:val="0070353B"/>
    <w:rsid w:val="00703577"/>
    <w:rsid w:val="00704F87"/>
    <w:rsid w:val="007053C1"/>
    <w:rsid w:val="00705625"/>
    <w:rsid w:val="0071071F"/>
    <w:rsid w:val="00711A97"/>
    <w:rsid w:val="00711F00"/>
    <w:rsid w:val="00716634"/>
    <w:rsid w:val="0072226B"/>
    <w:rsid w:val="00726098"/>
    <w:rsid w:val="0072632A"/>
    <w:rsid w:val="007327D5"/>
    <w:rsid w:val="00732B51"/>
    <w:rsid w:val="00735CA1"/>
    <w:rsid w:val="00740255"/>
    <w:rsid w:val="00746F1E"/>
    <w:rsid w:val="007474E2"/>
    <w:rsid w:val="00750181"/>
    <w:rsid w:val="00751147"/>
    <w:rsid w:val="0075313E"/>
    <w:rsid w:val="00753BA9"/>
    <w:rsid w:val="0076033B"/>
    <w:rsid w:val="00761652"/>
    <w:rsid w:val="007629C8"/>
    <w:rsid w:val="00767016"/>
    <w:rsid w:val="00775D48"/>
    <w:rsid w:val="007812BA"/>
    <w:rsid w:val="00781C83"/>
    <w:rsid w:val="00782F90"/>
    <w:rsid w:val="0078300D"/>
    <w:rsid w:val="00784BCF"/>
    <w:rsid w:val="00785623"/>
    <w:rsid w:val="00787E5D"/>
    <w:rsid w:val="007925AE"/>
    <w:rsid w:val="00794D3A"/>
    <w:rsid w:val="007951A6"/>
    <w:rsid w:val="00795689"/>
    <w:rsid w:val="00795F7A"/>
    <w:rsid w:val="007965DB"/>
    <w:rsid w:val="007A1319"/>
    <w:rsid w:val="007A1C27"/>
    <w:rsid w:val="007A401C"/>
    <w:rsid w:val="007A4383"/>
    <w:rsid w:val="007A4CEF"/>
    <w:rsid w:val="007A730C"/>
    <w:rsid w:val="007B0D02"/>
    <w:rsid w:val="007B0DD9"/>
    <w:rsid w:val="007B3D45"/>
    <w:rsid w:val="007B579B"/>
    <w:rsid w:val="007B5F65"/>
    <w:rsid w:val="007B6BA5"/>
    <w:rsid w:val="007C203A"/>
    <w:rsid w:val="007C2104"/>
    <w:rsid w:val="007C3390"/>
    <w:rsid w:val="007C3A7C"/>
    <w:rsid w:val="007C3FFB"/>
    <w:rsid w:val="007C43AE"/>
    <w:rsid w:val="007C4F4B"/>
    <w:rsid w:val="007C5032"/>
    <w:rsid w:val="007C784F"/>
    <w:rsid w:val="007C7C57"/>
    <w:rsid w:val="007D0063"/>
    <w:rsid w:val="007D3316"/>
    <w:rsid w:val="007D42B0"/>
    <w:rsid w:val="007D4CDF"/>
    <w:rsid w:val="007D53D7"/>
    <w:rsid w:val="007D7E65"/>
    <w:rsid w:val="007E0B2D"/>
    <w:rsid w:val="007E16D9"/>
    <w:rsid w:val="007E3031"/>
    <w:rsid w:val="007E360E"/>
    <w:rsid w:val="007E3DF7"/>
    <w:rsid w:val="007E6F3E"/>
    <w:rsid w:val="007E6F98"/>
    <w:rsid w:val="007F1247"/>
    <w:rsid w:val="007F270A"/>
    <w:rsid w:val="007F3A2C"/>
    <w:rsid w:val="007F614B"/>
    <w:rsid w:val="007F6611"/>
    <w:rsid w:val="007F7246"/>
    <w:rsid w:val="007F75D2"/>
    <w:rsid w:val="00800531"/>
    <w:rsid w:val="008006B9"/>
    <w:rsid w:val="00803EEC"/>
    <w:rsid w:val="00806AAA"/>
    <w:rsid w:val="008076A7"/>
    <w:rsid w:val="008105B8"/>
    <w:rsid w:val="008111BA"/>
    <w:rsid w:val="00812971"/>
    <w:rsid w:val="0081534F"/>
    <w:rsid w:val="00815C52"/>
    <w:rsid w:val="00816972"/>
    <w:rsid w:val="0081770E"/>
    <w:rsid w:val="00817DE9"/>
    <w:rsid w:val="008216A5"/>
    <w:rsid w:val="00821A8D"/>
    <w:rsid w:val="008242D7"/>
    <w:rsid w:val="008246B0"/>
    <w:rsid w:val="00824D0D"/>
    <w:rsid w:val="00824F1B"/>
    <w:rsid w:val="00825659"/>
    <w:rsid w:val="008257B1"/>
    <w:rsid w:val="00827317"/>
    <w:rsid w:val="00830A8E"/>
    <w:rsid w:val="00833415"/>
    <w:rsid w:val="00834953"/>
    <w:rsid w:val="00836144"/>
    <w:rsid w:val="00836BE2"/>
    <w:rsid w:val="00840D74"/>
    <w:rsid w:val="0084126F"/>
    <w:rsid w:val="0084307A"/>
    <w:rsid w:val="00843767"/>
    <w:rsid w:val="008454DC"/>
    <w:rsid w:val="00846ED4"/>
    <w:rsid w:val="008507D3"/>
    <w:rsid w:val="00850EB0"/>
    <w:rsid w:val="00852B57"/>
    <w:rsid w:val="008538BE"/>
    <w:rsid w:val="008563FE"/>
    <w:rsid w:val="008655A1"/>
    <w:rsid w:val="008678D8"/>
    <w:rsid w:val="008679D9"/>
    <w:rsid w:val="00871051"/>
    <w:rsid w:val="00875FE5"/>
    <w:rsid w:val="00876A12"/>
    <w:rsid w:val="008809FB"/>
    <w:rsid w:val="008817F2"/>
    <w:rsid w:val="00884110"/>
    <w:rsid w:val="00884354"/>
    <w:rsid w:val="00885F41"/>
    <w:rsid w:val="0088636B"/>
    <w:rsid w:val="0088690D"/>
    <w:rsid w:val="0089139E"/>
    <w:rsid w:val="00896CCE"/>
    <w:rsid w:val="008979B1"/>
    <w:rsid w:val="008A1DB2"/>
    <w:rsid w:val="008A2CE8"/>
    <w:rsid w:val="008A5864"/>
    <w:rsid w:val="008A61F6"/>
    <w:rsid w:val="008A6B25"/>
    <w:rsid w:val="008A6C4F"/>
    <w:rsid w:val="008A778A"/>
    <w:rsid w:val="008B2335"/>
    <w:rsid w:val="008B7D16"/>
    <w:rsid w:val="008C20BA"/>
    <w:rsid w:val="008C3ACC"/>
    <w:rsid w:val="008C4EDC"/>
    <w:rsid w:val="008D092D"/>
    <w:rsid w:val="008D1459"/>
    <w:rsid w:val="008D2C01"/>
    <w:rsid w:val="008D5553"/>
    <w:rsid w:val="008D7FFE"/>
    <w:rsid w:val="008E0104"/>
    <w:rsid w:val="008E0678"/>
    <w:rsid w:val="008E27EC"/>
    <w:rsid w:val="008E2858"/>
    <w:rsid w:val="008E4C4F"/>
    <w:rsid w:val="008F4BEF"/>
    <w:rsid w:val="008F598E"/>
    <w:rsid w:val="009005E0"/>
    <w:rsid w:val="0090237B"/>
    <w:rsid w:val="00902668"/>
    <w:rsid w:val="00903876"/>
    <w:rsid w:val="0090399D"/>
    <w:rsid w:val="00910F40"/>
    <w:rsid w:val="00912256"/>
    <w:rsid w:val="00912C08"/>
    <w:rsid w:val="00913616"/>
    <w:rsid w:val="00913F5E"/>
    <w:rsid w:val="00914B6E"/>
    <w:rsid w:val="009152C3"/>
    <w:rsid w:val="00917B00"/>
    <w:rsid w:val="009223CA"/>
    <w:rsid w:val="00925EAE"/>
    <w:rsid w:val="00935941"/>
    <w:rsid w:val="00940F28"/>
    <w:rsid w:val="00940F93"/>
    <w:rsid w:val="00941AB8"/>
    <w:rsid w:val="00942675"/>
    <w:rsid w:val="00945A23"/>
    <w:rsid w:val="009464A2"/>
    <w:rsid w:val="009502AF"/>
    <w:rsid w:val="00951EAC"/>
    <w:rsid w:val="0095347F"/>
    <w:rsid w:val="009540F6"/>
    <w:rsid w:val="009568BE"/>
    <w:rsid w:val="00965212"/>
    <w:rsid w:val="00966D7C"/>
    <w:rsid w:val="00967918"/>
    <w:rsid w:val="00967F59"/>
    <w:rsid w:val="009701C4"/>
    <w:rsid w:val="00971C45"/>
    <w:rsid w:val="009728A7"/>
    <w:rsid w:val="009735A8"/>
    <w:rsid w:val="009735EF"/>
    <w:rsid w:val="00973B67"/>
    <w:rsid w:val="00974EF5"/>
    <w:rsid w:val="00975230"/>
    <w:rsid w:val="00975E5F"/>
    <w:rsid w:val="009760F3"/>
    <w:rsid w:val="009812E7"/>
    <w:rsid w:val="00985506"/>
    <w:rsid w:val="00990941"/>
    <w:rsid w:val="009909F5"/>
    <w:rsid w:val="009A01E5"/>
    <w:rsid w:val="009A0E8D"/>
    <w:rsid w:val="009A46D6"/>
    <w:rsid w:val="009A59E3"/>
    <w:rsid w:val="009A5E1E"/>
    <w:rsid w:val="009A7439"/>
    <w:rsid w:val="009B09A8"/>
    <w:rsid w:val="009B26E7"/>
    <w:rsid w:val="009B2EF2"/>
    <w:rsid w:val="009B3B6D"/>
    <w:rsid w:val="009B4971"/>
    <w:rsid w:val="009B72E4"/>
    <w:rsid w:val="009C2C0D"/>
    <w:rsid w:val="009C6D81"/>
    <w:rsid w:val="009C6E20"/>
    <w:rsid w:val="009D13F0"/>
    <w:rsid w:val="009D22A2"/>
    <w:rsid w:val="009D7894"/>
    <w:rsid w:val="009D7E85"/>
    <w:rsid w:val="009E017E"/>
    <w:rsid w:val="009E11CB"/>
    <w:rsid w:val="009E2F54"/>
    <w:rsid w:val="009E445F"/>
    <w:rsid w:val="009E6050"/>
    <w:rsid w:val="009E6732"/>
    <w:rsid w:val="009E6A7F"/>
    <w:rsid w:val="009E7D26"/>
    <w:rsid w:val="009F16A1"/>
    <w:rsid w:val="009F25B8"/>
    <w:rsid w:val="009F2AC1"/>
    <w:rsid w:val="009F5D91"/>
    <w:rsid w:val="009F715D"/>
    <w:rsid w:val="00A00A3F"/>
    <w:rsid w:val="00A01489"/>
    <w:rsid w:val="00A0229A"/>
    <w:rsid w:val="00A030AB"/>
    <w:rsid w:val="00A03EDB"/>
    <w:rsid w:val="00A069BB"/>
    <w:rsid w:val="00A11A0C"/>
    <w:rsid w:val="00A12759"/>
    <w:rsid w:val="00A15A08"/>
    <w:rsid w:val="00A15A4A"/>
    <w:rsid w:val="00A1776E"/>
    <w:rsid w:val="00A230A0"/>
    <w:rsid w:val="00A2561D"/>
    <w:rsid w:val="00A25E9B"/>
    <w:rsid w:val="00A262B7"/>
    <w:rsid w:val="00A266D4"/>
    <w:rsid w:val="00A2698E"/>
    <w:rsid w:val="00A31B81"/>
    <w:rsid w:val="00A338F1"/>
    <w:rsid w:val="00A360C5"/>
    <w:rsid w:val="00A37DD8"/>
    <w:rsid w:val="00A416A3"/>
    <w:rsid w:val="00A418CE"/>
    <w:rsid w:val="00A4192B"/>
    <w:rsid w:val="00A438FE"/>
    <w:rsid w:val="00A43AB1"/>
    <w:rsid w:val="00A44615"/>
    <w:rsid w:val="00A45DB8"/>
    <w:rsid w:val="00A4634A"/>
    <w:rsid w:val="00A467EA"/>
    <w:rsid w:val="00A47396"/>
    <w:rsid w:val="00A4753A"/>
    <w:rsid w:val="00A57155"/>
    <w:rsid w:val="00A70218"/>
    <w:rsid w:val="00A710E2"/>
    <w:rsid w:val="00A71B51"/>
    <w:rsid w:val="00A72F22"/>
    <w:rsid w:val="00A7360F"/>
    <w:rsid w:val="00A748A6"/>
    <w:rsid w:val="00A75355"/>
    <w:rsid w:val="00A76388"/>
    <w:rsid w:val="00A769F4"/>
    <w:rsid w:val="00A76CC0"/>
    <w:rsid w:val="00A776B4"/>
    <w:rsid w:val="00A82440"/>
    <w:rsid w:val="00A82504"/>
    <w:rsid w:val="00A82B19"/>
    <w:rsid w:val="00A84416"/>
    <w:rsid w:val="00A85674"/>
    <w:rsid w:val="00A85CF4"/>
    <w:rsid w:val="00A870F3"/>
    <w:rsid w:val="00A871D5"/>
    <w:rsid w:val="00A8780F"/>
    <w:rsid w:val="00A90E23"/>
    <w:rsid w:val="00A91499"/>
    <w:rsid w:val="00A94361"/>
    <w:rsid w:val="00A96457"/>
    <w:rsid w:val="00AA0619"/>
    <w:rsid w:val="00AA0F39"/>
    <w:rsid w:val="00AA0F58"/>
    <w:rsid w:val="00AA293C"/>
    <w:rsid w:val="00AA2D0D"/>
    <w:rsid w:val="00AB19FA"/>
    <w:rsid w:val="00AB5043"/>
    <w:rsid w:val="00AB71B0"/>
    <w:rsid w:val="00AB767D"/>
    <w:rsid w:val="00AB7C6D"/>
    <w:rsid w:val="00AC03E4"/>
    <w:rsid w:val="00AC0A14"/>
    <w:rsid w:val="00AC1844"/>
    <w:rsid w:val="00AC4840"/>
    <w:rsid w:val="00AC63A2"/>
    <w:rsid w:val="00AC77EA"/>
    <w:rsid w:val="00AD1C54"/>
    <w:rsid w:val="00AD46B8"/>
    <w:rsid w:val="00AE062A"/>
    <w:rsid w:val="00AE0FB6"/>
    <w:rsid w:val="00AE327A"/>
    <w:rsid w:val="00AE4DB5"/>
    <w:rsid w:val="00AE5108"/>
    <w:rsid w:val="00AE56A6"/>
    <w:rsid w:val="00AE5DC3"/>
    <w:rsid w:val="00AE7BDD"/>
    <w:rsid w:val="00AF1A44"/>
    <w:rsid w:val="00AF1E8E"/>
    <w:rsid w:val="00AF5CCF"/>
    <w:rsid w:val="00B0282C"/>
    <w:rsid w:val="00B02BAA"/>
    <w:rsid w:val="00B02C46"/>
    <w:rsid w:val="00B04543"/>
    <w:rsid w:val="00B06167"/>
    <w:rsid w:val="00B06D66"/>
    <w:rsid w:val="00B1068E"/>
    <w:rsid w:val="00B11B0F"/>
    <w:rsid w:val="00B12BB4"/>
    <w:rsid w:val="00B1352C"/>
    <w:rsid w:val="00B13E9B"/>
    <w:rsid w:val="00B201CC"/>
    <w:rsid w:val="00B2177C"/>
    <w:rsid w:val="00B30179"/>
    <w:rsid w:val="00B339A7"/>
    <w:rsid w:val="00B35FDA"/>
    <w:rsid w:val="00B3692D"/>
    <w:rsid w:val="00B369CE"/>
    <w:rsid w:val="00B36BD2"/>
    <w:rsid w:val="00B41ACB"/>
    <w:rsid w:val="00B427FA"/>
    <w:rsid w:val="00B43A0B"/>
    <w:rsid w:val="00B44A6F"/>
    <w:rsid w:val="00B4643E"/>
    <w:rsid w:val="00B4718F"/>
    <w:rsid w:val="00B512C7"/>
    <w:rsid w:val="00B56E4A"/>
    <w:rsid w:val="00B56E9C"/>
    <w:rsid w:val="00B60748"/>
    <w:rsid w:val="00B64B1F"/>
    <w:rsid w:val="00B6553F"/>
    <w:rsid w:val="00B65D1D"/>
    <w:rsid w:val="00B66E5E"/>
    <w:rsid w:val="00B67C9C"/>
    <w:rsid w:val="00B716A0"/>
    <w:rsid w:val="00B77D05"/>
    <w:rsid w:val="00B81202"/>
    <w:rsid w:val="00B81206"/>
    <w:rsid w:val="00B81E12"/>
    <w:rsid w:val="00B8236D"/>
    <w:rsid w:val="00B8243A"/>
    <w:rsid w:val="00B83A07"/>
    <w:rsid w:val="00B84C4B"/>
    <w:rsid w:val="00B857DE"/>
    <w:rsid w:val="00B874C1"/>
    <w:rsid w:val="00B878B3"/>
    <w:rsid w:val="00B9067B"/>
    <w:rsid w:val="00B94491"/>
    <w:rsid w:val="00B96520"/>
    <w:rsid w:val="00B966C6"/>
    <w:rsid w:val="00B97AF9"/>
    <w:rsid w:val="00BA1B64"/>
    <w:rsid w:val="00BA29D1"/>
    <w:rsid w:val="00BA4082"/>
    <w:rsid w:val="00BA4341"/>
    <w:rsid w:val="00BB22D5"/>
    <w:rsid w:val="00BB37C3"/>
    <w:rsid w:val="00BB577C"/>
    <w:rsid w:val="00BC01E3"/>
    <w:rsid w:val="00BC298A"/>
    <w:rsid w:val="00BC2C23"/>
    <w:rsid w:val="00BC43D0"/>
    <w:rsid w:val="00BC48F3"/>
    <w:rsid w:val="00BC6B1E"/>
    <w:rsid w:val="00BC74E9"/>
    <w:rsid w:val="00BD3B8C"/>
    <w:rsid w:val="00BE0B12"/>
    <w:rsid w:val="00BE0D42"/>
    <w:rsid w:val="00BE2C31"/>
    <w:rsid w:val="00BE5683"/>
    <w:rsid w:val="00BF09D4"/>
    <w:rsid w:val="00BF3D9D"/>
    <w:rsid w:val="00BF581E"/>
    <w:rsid w:val="00BF68A8"/>
    <w:rsid w:val="00BF6B5D"/>
    <w:rsid w:val="00BF7C2D"/>
    <w:rsid w:val="00C03905"/>
    <w:rsid w:val="00C040CE"/>
    <w:rsid w:val="00C0666D"/>
    <w:rsid w:val="00C11207"/>
    <w:rsid w:val="00C11A03"/>
    <w:rsid w:val="00C12316"/>
    <w:rsid w:val="00C13B55"/>
    <w:rsid w:val="00C154D2"/>
    <w:rsid w:val="00C16605"/>
    <w:rsid w:val="00C16BEB"/>
    <w:rsid w:val="00C227E8"/>
    <w:rsid w:val="00C2284D"/>
    <w:rsid w:val="00C237CB"/>
    <w:rsid w:val="00C2617F"/>
    <w:rsid w:val="00C2623D"/>
    <w:rsid w:val="00C2698D"/>
    <w:rsid w:val="00C26B81"/>
    <w:rsid w:val="00C34926"/>
    <w:rsid w:val="00C37106"/>
    <w:rsid w:val="00C42AEC"/>
    <w:rsid w:val="00C44D68"/>
    <w:rsid w:val="00C463DD"/>
    <w:rsid w:val="00C46474"/>
    <w:rsid w:val="00C4688C"/>
    <w:rsid w:val="00C4724C"/>
    <w:rsid w:val="00C50356"/>
    <w:rsid w:val="00C50CD9"/>
    <w:rsid w:val="00C526F5"/>
    <w:rsid w:val="00C539D4"/>
    <w:rsid w:val="00C54F73"/>
    <w:rsid w:val="00C54F78"/>
    <w:rsid w:val="00C55779"/>
    <w:rsid w:val="00C561E4"/>
    <w:rsid w:val="00C606D3"/>
    <w:rsid w:val="00C629A0"/>
    <w:rsid w:val="00C66B41"/>
    <w:rsid w:val="00C702EE"/>
    <w:rsid w:val="00C745C3"/>
    <w:rsid w:val="00C8165C"/>
    <w:rsid w:val="00C822D7"/>
    <w:rsid w:val="00C8387C"/>
    <w:rsid w:val="00C8504E"/>
    <w:rsid w:val="00C8561F"/>
    <w:rsid w:val="00C866DB"/>
    <w:rsid w:val="00C87756"/>
    <w:rsid w:val="00C9183C"/>
    <w:rsid w:val="00C91BBB"/>
    <w:rsid w:val="00C933D2"/>
    <w:rsid w:val="00C934B4"/>
    <w:rsid w:val="00C96D26"/>
    <w:rsid w:val="00CA0C5E"/>
    <w:rsid w:val="00CA16A8"/>
    <w:rsid w:val="00CA1929"/>
    <w:rsid w:val="00CB09D0"/>
    <w:rsid w:val="00CC1F58"/>
    <w:rsid w:val="00CC5008"/>
    <w:rsid w:val="00CC664C"/>
    <w:rsid w:val="00CC6E74"/>
    <w:rsid w:val="00CD223D"/>
    <w:rsid w:val="00CD63D0"/>
    <w:rsid w:val="00CE1672"/>
    <w:rsid w:val="00CE170A"/>
    <w:rsid w:val="00CE3E66"/>
    <w:rsid w:val="00CE4904"/>
    <w:rsid w:val="00CE4A8F"/>
    <w:rsid w:val="00CE6E6C"/>
    <w:rsid w:val="00CF1206"/>
    <w:rsid w:val="00CF21B3"/>
    <w:rsid w:val="00CF24CD"/>
    <w:rsid w:val="00CF2919"/>
    <w:rsid w:val="00CF2C2A"/>
    <w:rsid w:val="00CF4460"/>
    <w:rsid w:val="00CF4F6B"/>
    <w:rsid w:val="00D00343"/>
    <w:rsid w:val="00D04B04"/>
    <w:rsid w:val="00D06EAB"/>
    <w:rsid w:val="00D103AA"/>
    <w:rsid w:val="00D1131C"/>
    <w:rsid w:val="00D120AF"/>
    <w:rsid w:val="00D141CF"/>
    <w:rsid w:val="00D1732C"/>
    <w:rsid w:val="00D2031B"/>
    <w:rsid w:val="00D2276A"/>
    <w:rsid w:val="00D2305C"/>
    <w:rsid w:val="00D257E7"/>
    <w:rsid w:val="00D25FE2"/>
    <w:rsid w:val="00D34E31"/>
    <w:rsid w:val="00D354E1"/>
    <w:rsid w:val="00D377FC"/>
    <w:rsid w:val="00D37D36"/>
    <w:rsid w:val="00D43252"/>
    <w:rsid w:val="00D439EC"/>
    <w:rsid w:val="00D47963"/>
    <w:rsid w:val="00D47B2C"/>
    <w:rsid w:val="00D47EEA"/>
    <w:rsid w:val="00D50EE6"/>
    <w:rsid w:val="00D51532"/>
    <w:rsid w:val="00D5177F"/>
    <w:rsid w:val="00D537C3"/>
    <w:rsid w:val="00D53FEF"/>
    <w:rsid w:val="00D628BA"/>
    <w:rsid w:val="00D71187"/>
    <w:rsid w:val="00D712FE"/>
    <w:rsid w:val="00D82A52"/>
    <w:rsid w:val="00D90984"/>
    <w:rsid w:val="00D90A8D"/>
    <w:rsid w:val="00D90F93"/>
    <w:rsid w:val="00D912C2"/>
    <w:rsid w:val="00D91CE2"/>
    <w:rsid w:val="00D95303"/>
    <w:rsid w:val="00D95A82"/>
    <w:rsid w:val="00D978C6"/>
    <w:rsid w:val="00DA2330"/>
    <w:rsid w:val="00DA3111"/>
    <w:rsid w:val="00DA3C1C"/>
    <w:rsid w:val="00DA3DC3"/>
    <w:rsid w:val="00DA7238"/>
    <w:rsid w:val="00DA7412"/>
    <w:rsid w:val="00DB0879"/>
    <w:rsid w:val="00DB0C79"/>
    <w:rsid w:val="00DB0EBF"/>
    <w:rsid w:val="00DB208A"/>
    <w:rsid w:val="00DB2C15"/>
    <w:rsid w:val="00DB5B2F"/>
    <w:rsid w:val="00DC1763"/>
    <w:rsid w:val="00DC28AA"/>
    <w:rsid w:val="00DC290C"/>
    <w:rsid w:val="00DC6A6F"/>
    <w:rsid w:val="00DD0339"/>
    <w:rsid w:val="00DD2781"/>
    <w:rsid w:val="00DD30ED"/>
    <w:rsid w:val="00DD41AC"/>
    <w:rsid w:val="00DE79A8"/>
    <w:rsid w:val="00DF0447"/>
    <w:rsid w:val="00DF1E57"/>
    <w:rsid w:val="00DF2785"/>
    <w:rsid w:val="00DF374D"/>
    <w:rsid w:val="00DF436D"/>
    <w:rsid w:val="00DF4996"/>
    <w:rsid w:val="00DF50FB"/>
    <w:rsid w:val="00DF5EFA"/>
    <w:rsid w:val="00DF6A30"/>
    <w:rsid w:val="00DF6C8D"/>
    <w:rsid w:val="00E012C9"/>
    <w:rsid w:val="00E02662"/>
    <w:rsid w:val="00E03A16"/>
    <w:rsid w:val="00E0462F"/>
    <w:rsid w:val="00E075EC"/>
    <w:rsid w:val="00E138E5"/>
    <w:rsid w:val="00E13BBE"/>
    <w:rsid w:val="00E13CA7"/>
    <w:rsid w:val="00E209FD"/>
    <w:rsid w:val="00E24886"/>
    <w:rsid w:val="00E24F38"/>
    <w:rsid w:val="00E25E54"/>
    <w:rsid w:val="00E27346"/>
    <w:rsid w:val="00E27A2C"/>
    <w:rsid w:val="00E3477A"/>
    <w:rsid w:val="00E34BB7"/>
    <w:rsid w:val="00E36F4B"/>
    <w:rsid w:val="00E376E4"/>
    <w:rsid w:val="00E40420"/>
    <w:rsid w:val="00E43EC4"/>
    <w:rsid w:val="00E466B1"/>
    <w:rsid w:val="00E51BCB"/>
    <w:rsid w:val="00E542F7"/>
    <w:rsid w:val="00E566DA"/>
    <w:rsid w:val="00E56C40"/>
    <w:rsid w:val="00E62642"/>
    <w:rsid w:val="00E632CC"/>
    <w:rsid w:val="00E65396"/>
    <w:rsid w:val="00E67476"/>
    <w:rsid w:val="00E71BC8"/>
    <w:rsid w:val="00E7260F"/>
    <w:rsid w:val="00E73E44"/>
    <w:rsid w:val="00E779FC"/>
    <w:rsid w:val="00E800DD"/>
    <w:rsid w:val="00E8423E"/>
    <w:rsid w:val="00E848D3"/>
    <w:rsid w:val="00E86349"/>
    <w:rsid w:val="00E94088"/>
    <w:rsid w:val="00E96630"/>
    <w:rsid w:val="00EA3104"/>
    <w:rsid w:val="00EA31F7"/>
    <w:rsid w:val="00EA4009"/>
    <w:rsid w:val="00EA5005"/>
    <w:rsid w:val="00EA5836"/>
    <w:rsid w:val="00EB0FB9"/>
    <w:rsid w:val="00EB1ECC"/>
    <w:rsid w:val="00EB2581"/>
    <w:rsid w:val="00EB5A60"/>
    <w:rsid w:val="00EB7049"/>
    <w:rsid w:val="00EC0837"/>
    <w:rsid w:val="00EC28F3"/>
    <w:rsid w:val="00ED06EC"/>
    <w:rsid w:val="00ED518D"/>
    <w:rsid w:val="00ED56D0"/>
    <w:rsid w:val="00ED7A2A"/>
    <w:rsid w:val="00EE04C3"/>
    <w:rsid w:val="00EE0AB7"/>
    <w:rsid w:val="00EE1EB9"/>
    <w:rsid w:val="00EE5BD5"/>
    <w:rsid w:val="00EE72F4"/>
    <w:rsid w:val="00EF0235"/>
    <w:rsid w:val="00EF106D"/>
    <w:rsid w:val="00EF1D7F"/>
    <w:rsid w:val="00EF1EF6"/>
    <w:rsid w:val="00EF7920"/>
    <w:rsid w:val="00F004E2"/>
    <w:rsid w:val="00F0064F"/>
    <w:rsid w:val="00F02C8E"/>
    <w:rsid w:val="00F03190"/>
    <w:rsid w:val="00F03A99"/>
    <w:rsid w:val="00F04CDE"/>
    <w:rsid w:val="00F05444"/>
    <w:rsid w:val="00F05AE3"/>
    <w:rsid w:val="00F066FE"/>
    <w:rsid w:val="00F106A9"/>
    <w:rsid w:val="00F10E0C"/>
    <w:rsid w:val="00F12D79"/>
    <w:rsid w:val="00F1389A"/>
    <w:rsid w:val="00F13F55"/>
    <w:rsid w:val="00F20C3D"/>
    <w:rsid w:val="00F20CE9"/>
    <w:rsid w:val="00F25E5E"/>
    <w:rsid w:val="00F26BC3"/>
    <w:rsid w:val="00F27693"/>
    <w:rsid w:val="00F27F80"/>
    <w:rsid w:val="00F30F1F"/>
    <w:rsid w:val="00F33CAB"/>
    <w:rsid w:val="00F36C66"/>
    <w:rsid w:val="00F4204E"/>
    <w:rsid w:val="00F420D2"/>
    <w:rsid w:val="00F43E9E"/>
    <w:rsid w:val="00F45731"/>
    <w:rsid w:val="00F46CDD"/>
    <w:rsid w:val="00F6361F"/>
    <w:rsid w:val="00F63797"/>
    <w:rsid w:val="00F653FE"/>
    <w:rsid w:val="00F65DFC"/>
    <w:rsid w:val="00F75F5B"/>
    <w:rsid w:val="00F76E01"/>
    <w:rsid w:val="00F86121"/>
    <w:rsid w:val="00F9057C"/>
    <w:rsid w:val="00F906D7"/>
    <w:rsid w:val="00F90FD3"/>
    <w:rsid w:val="00F91FD2"/>
    <w:rsid w:val="00F93781"/>
    <w:rsid w:val="00F93D39"/>
    <w:rsid w:val="00F96BA5"/>
    <w:rsid w:val="00FA1718"/>
    <w:rsid w:val="00FA32C0"/>
    <w:rsid w:val="00FA380F"/>
    <w:rsid w:val="00FA447C"/>
    <w:rsid w:val="00FA5D93"/>
    <w:rsid w:val="00FB143D"/>
    <w:rsid w:val="00FB5EB5"/>
    <w:rsid w:val="00FB613B"/>
    <w:rsid w:val="00FB74FB"/>
    <w:rsid w:val="00FB7622"/>
    <w:rsid w:val="00FC0403"/>
    <w:rsid w:val="00FC3832"/>
    <w:rsid w:val="00FC68B7"/>
    <w:rsid w:val="00FC7E8F"/>
    <w:rsid w:val="00FD0381"/>
    <w:rsid w:val="00FD1954"/>
    <w:rsid w:val="00FD23D3"/>
    <w:rsid w:val="00FD4FB8"/>
    <w:rsid w:val="00FD7631"/>
    <w:rsid w:val="00FD77F0"/>
    <w:rsid w:val="00FE106A"/>
    <w:rsid w:val="00FE52FC"/>
    <w:rsid w:val="00FE6BC7"/>
    <w:rsid w:val="00FE7EF7"/>
    <w:rsid w:val="00FF67E9"/>
    <w:rsid w:val="00FF7920"/>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
    <w:basedOn w:val="Normal"/>
    <w:link w:val="FootnoteTextChar"/>
    <w:qFormat/>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Footnote number,ftref,Footnotes refss,Style 10"/>
    <w:qFormat/>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ft Char,Style 27 Char"/>
    <w:link w:val="FootnoteText"/>
    <w:rsid w:val="008216A5"/>
    <w:rPr>
      <w:sz w:val="18"/>
      <w:lang w:eastAsia="en-US"/>
    </w:rPr>
  </w:style>
  <w:style w:type="paragraph" w:styleId="BalloonText">
    <w:name w:val="Balloon Text"/>
    <w:basedOn w:val="Normal"/>
    <w:link w:val="BalloonTextChar"/>
    <w:rsid w:val="006743E9"/>
    <w:pPr>
      <w:spacing w:line="240" w:lineRule="auto"/>
    </w:pPr>
    <w:rPr>
      <w:rFonts w:ascii="Tahoma" w:hAnsi="Tahoma" w:cs="Tahoma"/>
      <w:sz w:val="16"/>
      <w:szCs w:val="16"/>
    </w:rPr>
  </w:style>
  <w:style w:type="character" w:customStyle="1" w:styleId="BalloonTextChar">
    <w:name w:val="Balloon Text Char"/>
    <w:link w:val="BalloonText"/>
    <w:rsid w:val="006743E9"/>
    <w:rPr>
      <w:rFonts w:ascii="Tahoma" w:hAnsi="Tahoma" w:cs="Tahoma"/>
      <w:sz w:val="16"/>
      <w:szCs w:val="16"/>
      <w:lang w:eastAsia="en-US"/>
    </w:rPr>
  </w:style>
  <w:style w:type="character" w:customStyle="1" w:styleId="sb8d990e2">
    <w:name w:val="sb8d990e2"/>
    <w:rsid w:val="001A09DE"/>
  </w:style>
  <w:style w:type="paragraph" w:customStyle="1" w:styleId="Default">
    <w:name w:val="Default"/>
    <w:rsid w:val="00E40420"/>
    <w:pPr>
      <w:autoSpaceDE w:val="0"/>
      <w:autoSpaceDN w:val="0"/>
      <w:adjustRightInd w:val="0"/>
    </w:pPr>
    <w:rPr>
      <w:color w:val="000000"/>
      <w:sz w:val="24"/>
      <w:szCs w:val="24"/>
    </w:rPr>
  </w:style>
  <w:style w:type="paragraph" w:customStyle="1" w:styleId="CM55">
    <w:name w:val="CM55"/>
    <w:basedOn w:val="Default"/>
    <w:next w:val="Default"/>
    <w:uiPriority w:val="99"/>
    <w:rsid w:val="00E40420"/>
    <w:rPr>
      <w:color w:val="auto"/>
    </w:rPr>
  </w:style>
  <w:style w:type="character" w:customStyle="1" w:styleId="SingleTxtGChar">
    <w:name w:val="_ Single Txt_G Char"/>
    <w:link w:val="SingleTxtG"/>
    <w:rsid w:val="00FF7920"/>
    <w:rPr>
      <w:lang w:eastAsia="en-US"/>
    </w:rPr>
  </w:style>
  <w:style w:type="character" w:styleId="CommentReference">
    <w:name w:val="annotation reference"/>
    <w:rsid w:val="00CA1929"/>
    <w:rPr>
      <w:sz w:val="16"/>
      <w:szCs w:val="16"/>
    </w:rPr>
  </w:style>
  <w:style w:type="paragraph" w:styleId="CommentText">
    <w:name w:val="annotation text"/>
    <w:basedOn w:val="Normal"/>
    <w:link w:val="CommentTextChar"/>
    <w:rsid w:val="00CA1929"/>
  </w:style>
  <w:style w:type="character" w:customStyle="1" w:styleId="CommentTextChar">
    <w:name w:val="Comment Text Char"/>
    <w:link w:val="CommentText"/>
    <w:rsid w:val="00CA1929"/>
    <w:rPr>
      <w:lang w:eastAsia="en-US"/>
    </w:rPr>
  </w:style>
  <w:style w:type="paragraph" w:styleId="CommentSubject">
    <w:name w:val="annotation subject"/>
    <w:basedOn w:val="CommentText"/>
    <w:next w:val="CommentText"/>
    <w:link w:val="CommentSubjectChar"/>
    <w:rsid w:val="00CA1929"/>
    <w:rPr>
      <w:b/>
      <w:bCs/>
    </w:rPr>
  </w:style>
  <w:style w:type="character" w:customStyle="1" w:styleId="CommentSubjectChar">
    <w:name w:val="Comment Subject Char"/>
    <w:link w:val="CommentSubject"/>
    <w:rsid w:val="00CA1929"/>
    <w:rPr>
      <w:b/>
      <w:bCs/>
      <w:lang w:eastAsia="en-US"/>
    </w:rPr>
  </w:style>
  <w:style w:type="paragraph" w:customStyle="1" w:styleId="CM2">
    <w:name w:val="CM2"/>
    <w:basedOn w:val="Default"/>
    <w:next w:val="Default"/>
    <w:uiPriority w:val="99"/>
    <w:rsid w:val="00850EB0"/>
    <w:pPr>
      <w:spacing w:line="276" w:lineRule="atLeast"/>
    </w:pPr>
    <w:rPr>
      <w:rFonts w:ascii="Arial" w:hAnsi="Arial" w:cs="Arial"/>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
    <w:basedOn w:val="Normal"/>
    <w:link w:val="FootnoteTextChar"/>
    <w:qFormat/>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Footnote number,ftref,Footnotes refss,Style 10"/>
    <w:qFormat/>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ft Char,Style 27 Char"/>
    <w:link w:val="FootnoteText"/>
    <w:rsid w:val="008216A5"/>
    <w:rPr>
      <w:sz w:val="18"/>
      <w:lang w:eastAsia="en-US"/>
    </w:rPr>
  </w:style>
  <w:style w:type="paragraph" w:styleId="BalloonText">
    <w:name w:val="Balloon Text"/>
    <w:basedOn w:val="Normal"/>
    <w:link w:val="BalloonTextChar"/>
    <w:rsid w:val="006743E9"/>
    <w:pPr>
      <w:spacing w:line="240" w:lineRule="auto"/>
    </w:pPr>
    <w:rPr>
      <w:rFonts w:ascii="Tahoma" w:hAnsi="Tahoma" w:cs="Tahoma"/>
      <w:sz w:val="16"/>
      <w:szCs w:val="16"/>
    </w:rPr>
  </w:style>
  <w:style w:type="character" w:customStyle="1" w:styleId="BalloonTextChar">
    <w:name w:val="Balloon Text Char"/>
    <w:link w:val="BalloonText"/>
    <w:rsid w:val="006743E9"/>
    <w:rPr>
      <w:rFonts w:ascii="Tahoma" w:hAnsi="Tahoma" w:cs="Tahoma"/>
      <w:sz w:val="16"/>
      <w:szCs w:val="16"/>
      <w:lang w:eastAsia="en-US"/>
    </w:rPr>
  </w:style>
  <w:style w:type="character" w:customStyle="1" w:styleId="sb8d990e2">
    <w:name w:val="sb8d990e2"/>
    <w:rsid w:val="001A09DE"/>
  </w:style>
  <w:style w:type="paragraph" w:customStyle="1" w:styleId="Default">
    <w:name w:val="Default"/>
    <w:rsid w:val="00E40420"/>
    <w:pPr>
      <w:autoSpaceDE w:val="0"/>
      <w:autoSpaceDN w:val="0"/>
      <w:adjustRightInd w:val="0"/>
    </w:pPr>
    <w:rPr>
      <w:color w:val="000000"/>
      <w:sz w:val="24"/>
      <w:szCs w:val="24"/>
    </w:rPr>
  </w:style>
  <w:style w:type="paragraph" w:customStyle="1" w:styleId="CM55">
    <w:name w:val="CM55"/>
    <w:basedOn w:val="Default"/>
    <w:next w:val="Default"/>
    <w:uiPriority w:val="99"/>
    <w:rsid w:val="00E40420"/>
    <w:rPr>
      <w:color w:val="auto"/>
    </w:rPr>
  </w:style>
  <w:style w:type="character" w:customStyle="1" w:styleId="SingleTxtGChar">
    <w:name w:val="_ Single Txt_G Char"/>
    <w:link w:val="SingleTxtG"/>
    <w:rsid w:val="00FF7920"/>
    <w:rPr>
      <w:lang w:eastAsia="en-US"/>
    </w:rPr>
  </w:style>
  <w:style w:type="character" w:styleId="CommentReference">
    <w:name w:val="annotation reference"/>
    <w:rsid w:val="00CA1929"/>
    <w:rPr>
      <w:sz w:val="16"/>
      <w:szCs w:val="16"/>
    </w:rPr>
  </w:style>
  <w:style w:type="paragraph" w:styleId="CommentText">
    <w:name w:val="annotation text"/>
    <w:basedOn w:val="Normal"/>
    <w:link w:val="CommentTextChar"/>
    <w:rsid w:val="00CA1929"/>
  </w:style>
  <w:style w:type="character" w:customStyle="1" w:styleId="CommentTextChar">
    <w:name w:val="Comment Text Char"/>
    <w:link w:val="CommentText"/>
    <w:rsid w:val="00CA1929"/>
    <w:rPr>
      <w:lang w:eastAsia="en-US"/>
    </w:rPr>
  </w:style>
  <w:style w:type="paragraph" w:styleId="CommentSubject">
    <w:name w:val="annotation subject"/>
    <w:basedOn w:val="CommentText"/>
    <w:next w:val="CommentText"/>
    <w:link w:val="CommentSubjectChar"/>
    <w:rsid w:val="00CA1929"/>
    <w:rPr>
      <w:b/>
      <w:bCs/>
    </w:rPr>
  </w:style>
  <w:style w:type="character" w:customStyle="1" w:styleId="CommentSubjectChar">
    <w:name w:val="Comment Subject Char"/>
    <w:link w:val="CommentSubject"/>
    <w:rsid w:val="00CA1929"/>
    <w:rPr>
      <w:b/>
      <w:bCs/>
      <w:lang w:eastAsia="en-US"/>
    </w:rPr>
  </w:style>
  <w:style w:type="paragraph" w:customStyle="1" w:styleId="CM2">
    <w:name w:val="CM2"/>
    <w:basedOn w:val="Default"/>
    <w:next w:val="Default"/>
    <w:uiPriority w:val="99"/>
    <w:rsid w:val="00850EB0"/>
    <w:pPr>
      <w:spacing w:line="276" w:lineRule="atLeast"/>
    </w:pPr>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497061">
      <w:bodyDiv w:val="1"/>
      <w:marLeft w:val="0"/>
      <w:marRight w:val="0"/>
      <w:marTop w:val="0"/>
      <w:marBottom w:val="0"/>
      <w:divBdr>
        <w:top w:val="none" w:sz="0" w:space="0" w:color="auto"/>
        <w:left w:val="none" w:sz="0" w:space="0" w:color="auto"/>
        <w:bottom w:val="none" w:sz="0" w:space="0" w:color="auto"/>
        <w:right w:val="none" w:sz="0" w:space="0" w:color="auto"/>
      </w:divBdr>
    </w:div>
    <w:div w:id="583494372">
      <w:bodyDiv w:val="1"/>
      <w:marLeft w:val="0"/>
      <w:marRight w:val="0"/>
      <w:marTop w:val="0"/>
      <w:marBottom w:val="0"/>
      <w:divBdr>
        <w:top w:val="none" w:sz="0" w:space="0" w:color="auto"/>
        <w:left w:val="none" w:sz="0" w:space="0" w:color="auto"/>
        <w:bottom w:val="none" w:sz="0" w:space="0" w:color="auto"/>
        <w:right w:val="none" w:sz="0" w:space="0" w:color="auto"/>
      </w:divBdr>
      <w:divsChild>
        <w:div w:id="1681619634">
          <w:marLeft w:val="0"/>
          <w:marRight w:val="0"/>
          <w:marTop w:val="0"/>
          <w:marBottom w:val="0"/>
          <w:divBdr>
            <w:top w:val="none" w:sz="0" w:space="0" w:color="auto"/>
            <w:left w:val="single" w:sz="6" w:space="0" w:color="414141"/>
            <w:bottom w:val="none" w:sz="0" w:space="0" w:color="auto"/>
            <w:right w:val="single" w:sz="6" w:space="0" w:color="414141"/>
          </w:divBdr>
          <w:divsChild>
            <w:div w:id="1095394897">
              <w:marLeft w:val="0"/>
              <w:marRight w:val="0"/>
              <w:marTop w:val="0"/>
              <w:marBottom w:val="0"/>
              <w:divBdr>
                <w:top w:val="none" w:sz="0" w:space="0" w:color="auto"/>
                <w:left w:val="none" w:sz="0" w:space="0" w:color="auto"/>
                <w:bottom w:val="none" w:sz="0" w:space="0" w:color="auto"/>
                <w:right w:val="none" w:sz="0" w:space="0" w:color="auto"/>
              </w:divBdr>
              <w:divsChild>
                <w:div w:id="190363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877278">
      <w:bodyDiv w:val="1"/>
      <w:marLeft w:val="0"/>
      <w:marRight w:val="0"/>
      <w:marTop w:val="0"/>
      <w:marBottom w:val="0"/>
      <w:divBdr>
        <w:top w:val="none" w:sz="0" w:space="0" w:color="auto"/>
        <w:left w:val="none" w:sz="0" w:space="0" w:color="auto"/>
        <w:bottom w:val="none" w:sz="0" w:space="0" w:color="auto"/>
        <w:right w:val="none" w:sz="0" w:space="0" w:color="auto"/>
      </w:divBdr>
    </w:div>
    <w:div w:id="1048452350">
      <w:bodyDiv w:val="1"/>
      <w:marLeft w:val="0"/>
      <w:marRight w:val="0"/>
      <w:marTop w:val="0"/>
      <w:marBottom w:val="0"/>
      <w:divBdr>
        <w:top w:val="none" w:sz="0" w:space="0" w:color="auto"/>
        <w:left w:val="none" w:sz="0" w:space="0" w:color="auto"/>
        <w:bottom w:val="none" w:sz="0" w:space="0" w:color="auto"/>
        <w:right w:val="none" w:sz="0" w:space="0" w:color="auto"/>
      </w:divBdr>
    </w:div>
    <w:div w:id="1260067655">
      <w:bodyDiv w:val="1"/>
      <w:marLeft w:val="0"/>
      <w:marRight w:val="0"/>
      <w:marTop w:val="0"/>
      <w:marBottom w:val="0"/>
      <w:divBdr>
        <w:top w:val="none" w:sz="0" w:space="0" w:color="auto"/>
        <w:left w:val="none" w:sz="0" w:space="0" w:color="auto"/>
        <w:bottom w:val="none" w:sz="0" w:space="0" w:color="auto"/>
        <w:right w:val="none" w:sz="0" w:space="0" w:color="auto"/>
      </w:divBdr>
    </w:div>
    <w:div w:id="1311788741">
      <w:bodyDiv w:val="1"/>
      <w:marLeft w:val="0"/>
      <w:marRight w:val="0"/>
      <w:marTop w:val="0"/>
      <w:marBottom w:val="0"/>
      <w:divBdr>
        <w:top w:val="none" w:sz="0" w:space="0" w:color="auto"/>
        <w:left w:val="none" w:sz="0" w:space="0" w:color="auto"/>
        <w:bottom w:val="none" w:sz="0" w:space="0" w:color="auto"/>
        <w:right w:val="none" w:sz="0" w:space="0" w:color="auto"/>
      </w:divBdr>
    </w:div>
    <w:div w:id="1414401443">
      <w:bodyDiv w:val="1"/>
      <w:marLeft w:val="0"/>
      <w:marRight w:val="0"/>
      <w:marTop w:val="0"/>
      <w:marBottom w:val="0"/>
      <w:divBdr>
        <w:top w:val="none" w:sz="0" w:space="0" w:color="auto"/>
        <w:left w:val="none" w:sz="0" w:space="0" w:color="auto"/>
        <w:bottom w:val="none" w:sz="0" w:space="0" w:color="auto"/>
        <w:right w:val="none" w:sz="0" w:space="0" w:color="auto"/>
      </w:divBdr>
    </w:div>
    <w:div w:id="1499927440">
      <w:bodyDiv w:val="1"/>
      <w:marLeft w:val="0"/>
      <w:marRight w:val="0"/>
      <w:marTop w:val="0"/>
      <w:marBottom w:val="0"/>
      <w:divBdr>
        <w:top w:val="none" w:sz="0" w:space="0" w:color="auto"/>
        <w:left w:val="none" w:sz="0" w:space="0" w:color="auto"/>
        <w:bottom w:val="none" w:sz="0" w:space="0" w:color="auto"/>
        <w:right w:val="none" w:sz="0" w:space="0" w:color="auto"/>
      </w:divBdr>
    </w:div>
    <w:div w:id="1720397986">
      <w:bodyDiv w:val="1"/>
      <w:marLeft w:val="0"/>
      <w:marRight w:val="0"/>
      <w:marTop w:val="0"/>
      <w:marBottom w:val="0"/>
      <w:divBdr>
        <w:top w:val="none" w:sz="0" w:space="0" w:color="auto"/>
        <w:left w:val="none" w:sz="0" w:space="0" w:color="auto"/>
        <w:bottom w:val="none" w:sz="0" w:space="0" w:color="auto"/>
        <w:right w:val="none" w:sz="0" w:space="0" w:color="auto"/>
      </w:divBdr>
    </w:div>
    <w:div w:id="2135055496">
      <w:bodyDiv w:val="1"/>
      <w:marLeft w:val="0"/>
      <w:marRight w:val="0"/>
      <w:marTop w:val="0"/>
      <w:marBottom w:val="0"/>
      <w:divBdr>
        <w:top w:val="none" w:sz="0" w:space="0" w:color="auto"/>
        <w:left w:val="none" w:sz="0" w:space="0" w:color="auto"/>
        <w:bottom w:val="none" w:sz="0" w:space="0" w:color="auto"/>
        <w:right w:val="none" w:sz="0" w:space="0" w:color="auto"/>
      </w:divBdr>
    </w:div>
    <w:div w:id="214738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1.umn.edu/humanrts/undocs/session44/207-1986.htm"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customXml" Target="../customXml/item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legislationline.org/documents/section/criminal-codes/country/7" TargetMode="External"/><Relationship Id="rId1" Type="http://schemas.openxmlformats.org/officeDocument/2006/relationships/hyperlink" Target="http://www.russian-criminal-code.com/PartII/SectionIX/Chapter2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16FF7A-E0D7-40AD-A382-7B2FC691B429}"/>
</file>

<file path=customXml/itemProps2.xml><?xml version="1.0" encoding="utf-8"?>
<ds:datastoreItem xmlns:ds="http://schemas.openxmlformats.org/officeDocument/2006/customXml" ds:itemID="{6300B1D8-D70A-4039-AA19-840CB79B5183}"/>
</file>

<file path=customXml/itemProps3.xml><?xml version="1.0" encoding="utf-8"?>
<ds:datastoreItem xmlns:ds="http://schemas.openxmlformats.org/officeDocument/2006/customXml" ds:itemID="{22403324-D33D-416A-819F-7C07A6CC9A1D}"/>
</file>

<file path=customXml/itemProps4.xml><?xml version="1.0" encoding="utf-8"?>
<ds:datastoreItem xmlns:ds="http://schemas.openxmlformats.org/officeDocument/2006/customXml" ds:itemID="{010C729B-9B0D-4121-9EFB-FC21AA414C4A}"/>
</file>

<file path=docProps/app.xml><?xml version="1.0" encoding="utf-8"?>
<Properties xmlns="http://schemas.openxmlformats.org/officeDocument/2006/extended-properties" xmlns:vt="http://schemas.openxmlformats.org/officeDocument/2006/docPropsVTypes">
  <Template>CCPR_E.dotm</Template>
  <TotalTime>0</TotalTime>
  <Pages>9</Pages>
  <Words>3977</Words>
  <Characters>22671</Characters>
  <Application>Microsoft Office Word</Application>
  <DocSecurity>0</DocSecurity>
  <Lines>188</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26595</CharactersWithSpaces>
  <SharedDoc>false</SharedDoc>
  <HLinks>
    <vt:vector size="18" baseType="variant">
      <vt:variant>
        <vt:i4>3145801</vt:i4>
      </vt:variant>
      <vt:variant>
        <vt:i4>0</vt:i4>
      </vt:variant>
      <vt:variant>
        <vt:i4>0</vt:i4>
      </vt:variant>
      <vt:variant>
        <vt:i4>5</vt:i4>
      </vt:variant>
      <vt:variant>
        <vt:lpwstr>http://www1.umn.edu/humanrts/undocs/session44/207-1986.htm</vt:lpwstr>
      </vt:variant>
      <vt:variant>
        <vt:lpwstr>*</vt:lpwstr>
      </vt:variant>
      <vt:variant>
        <vt:i4>458756</vt:i4>
      </vt:variant>
      <vt:variant>
        <vt:i4>3</vt:i4>
      </vt:variant>
      <vt:variant>
        <vt:i4>0</vt:i4>
      </vt:variant>
      <vt:variant>
        <vt:i4>5</vt:i4>
      </vt:variant>
      <vt:variant>
        <vt:lpwstr>http://legislationline.org/documents/section/criminal-codes/country/7</vt:lpwstr>
      </vt:variant>
      <vt:variant>
        <vt:lpwstr/>
      </vt:variant>
      <vt:variant>
        <vt:i4>196680</vt:i4>
      </vt:variant>
      <vt:variant>
        <vt:i4>0</vt:i4>
      </vt:variant>
      <vt:variant>
        <vt:i4>0</vt:i4>
      </vt:variant>
      <vt:variant>
        <vt:i4>5</vt:i4>
      </vt:variant>
      <vt:variant>
        <vt:lpwstr>http://www.russian-criminal-code.com/PartII/SectionIX/Chapter24.html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temp Neogi</dc:creator>
  <cp:lastModifiedBy>Viktoria Saprykina-Houdemer</cp:lastModifiedBy>
  <cp:revision>2</cp:revision>
  <cp:lastPrinted>2016-03-10T14:54:00Z</cp:lastPrinted>
  <dcterms:created xsi:type="dcterms:W3CDTF">2016-06-16T14:30:00Z</dcterms:created>
  <dcterms:modified xsi:type="dcterms:W3CDTF">2016-06-16T14:30:00Z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